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4FE56" w14:textId="6E74399D" w:rsidR="00FC6378" w:rsidRPr="00064166" w:rsidRDefault="00B77FCC" w:rsidP="00B77FCC">
      <w:pPr>
        <w:pStyle w:val="Pagedecouverture"/>
        <w:rPr>
          <w:noProof/>
        </w:rPr>
      </w:pPr>
      <w:bookmarkStart w:id="0" w:name="LW_BM_COVERPAGE"/>
      <w:r>
        <w:rPr>
          <w:noProof/>
        </w:rPr>
        <w:pict w14:anchorId="4AACE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F7D0F04-4B5B-4A99-AE25-95DCB74B7403" style="width:455.25pt;height:324pt">
            <v:imagedata r:id="rId8" o:title=""/>
          </v:shape>
        </w:pict>
      </w:r>
    </w:p>
    <w:bookmarkEnd w:id="0"/>
    <w:p w14:paraId="2DCDCFC2" w14:textId="77777777" w:rsidR="00FC6378" w:rsidRPr="00064166" w:rsidRDefault="00FC6378" w:rsidP="00FC6378">
      <w:pPr>
        <w:spacing w:line="276" w:lineRule="auto"/>
        <w:rPr>
          <w:noProof/>
          <w:sz w:val="22"/>
          <w:szCs w:val="22"/>
        </w:rPr>
        <w:sectPr w:rsidR="00FC6378" w:rsidRPr="00064166" w:rsidSect="00B77FC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56F7B97" w14:textId="34C0DA5A" w:rsidR="00064166" w:rsidRPr="00064166" w:rsidRDefault="00064166" w:rsidP="00064166">
      <w:pPr>
        <w:pStyle w:val="Typedudocument"/>
        <w:rPr>
          <w:noProof/>
        </w:rPr>
      </w:pPr>
      <w:bookmarkStart w:id="1" w:name="_GoBack"/>
      <w:bookmarkEnd w:id="1"/>
      <w:r w:rsidRPr="00064166">
        <w:rPr>
          <w:noProof/>
        </w:rPr>
        <w:lastRenderedPageBreak/>
        <w:t>KOMUNIKAT KOMISJI DO PARLAMENTU EUROPEJSKIEGO, RADY, EUROPEJSKIEGO KOMITETU EKONOMICZNO-SPOŁECZNEGO I KOMITETU REGIONÓW</w:t>
      </w:r>
    </w:p>
    <w:p w14:paraId="51AC72D9" w14:textId="7FECD392" w:rsidR="00064166" w:rsidRPr="00064166" w:rsidRDefault="00064166" w:rsidP="00064166">
      <w:pPr>
        <w:pStyle w:val="Titreobjet"/>
        <w:rPr>
          <w:noProof/>
        </w:rPr>
      </w:pPr>
      <w:r w:rsidRPr="00064166">
        <w:rPr>
          <w:noProof/>
        </w:rPr>
        <w:t>Plan awaryjny dla transportu</w:t>
      </w:r>
    </w:p>
    <w:p w14:paraId="60B8181D" w14:textId="0401BC96" w:rsidR="00FC6378" w:rsidRPr="00064166" w:rsidRDefault="00FC6378" w:rsidP="00FC6378">
      <w:pPr>
        <w:rPr>
          <w:noProof/>
        </w:rPr>
      </w:pPr>
    </w:p>
    <w:p w14:paraId="1181FE15" w14:textId="77777777" w:rsidR="00FC6378" w:rsidRPr="00064166" w:rsidRDefault="00FC6378" w:rsidP="00FC6378">
      <w:pPr>
        <w:pStyle w:val="Heading1"/>
        <w:spacing w:before="360" w:after="240" w:line="276" w:lineRule="auto"/>
        <w:ind w:left="431" w:hanging="431"/>
        <w:rPr>
          <w:rFonts w:ascii="Times New Roman" w:hAnsi="Times New Roman"/>
          <w:noProof/>
          <w:sz w:val="22"/>
          <w:szCs w:val="22"/>
        </w:rPr>
      </w:pPr>
      <w:r w:rsidRPr="00064166">
        <w:rPr>
          <w:rFonts w:ascii="Times New Roman" w:hAnsi="Times New Roman"/>
          <w:noProof/>
          <w:sz w:val="22"/>
          <w:szCs w:val="22"/>
        </w:rPr>
        <w:t xml:space="preserve">Wprowadzenie </w:t>
      </w:r>
    </w:p>
    <w:p w14:paraId="42FD3489" w14:textId="275EA3BD" w:rsidR="00FC6378" w:rsidRPr="00064166" w:rsidRDefault="0063274A" w:rsidP="00FC6378">
      <w:pPr>
        <w:spacing w:line="276" w:lineRule="auto"/>
        <w:rPr>
          <w:noProof/>
          <w:sz w:val="22"/>
          <w:szCs w:val="22"/>
        </w:rPr>
      </w:pPr>
      <w:r w:rsidRPr="00064166">
        <w:rPr>
          <w:b/>
          <w:bCs/>
          <w:noProof/>
          <w:sz w:val="22"/>
          <w:szCs w:val="22"/>
          <w:bdr w:val="nil"/>
        </w:rPr>
        <w:t>W ciągu ostatnich dwóch lat unijny sektor transportu znacznie ucierpiał</w:t>
      </w:r>
      <w:r w:rsidR="00064166" w:rsidRPr="00064166">
        <w:rPr>
          <w:b/>
          <w:bCs/>
          <w:noProof/>
          <w:sz w:val="22"/>
          <w:szCs w:val="22"/>
          <w:bdr w:val="nil"/>
        </w:rPr>
        <w:t xml:space="preserve"> w</w:t>
      </w:r>
      <w:r w:rsidR="00064166">
        <w:rPr>
          <w:b/>
          <w:bCs/>
          <w:noProof/>
          <w:sz w:val="22"/>
          <w:szCs w:val="22"/>
          <w:bdr w:val="nil"/>
        </w:rPr>
        <w:t> </w:t>
      </w:r>
      <w:r w:rsidR="00064166" w:rsidRPr="00064166">
        <w:rPr>
          <w:b/>
          <w:bCs/>
          <w:noProof/>
          <w:sz w:val="22"/>
          <w:szCs w:val="22"/>
          <w:bdr w:val="nil"/>
        </w:rPr>
        <w:t>wyn</w:t>
      </w:r>
      <w:r w:rsidRPr="00064166">
        <w:rPr>
          <w:b/>
          <w:bCs/>
          <w:noProof/>
          <w:sz w:val="22"/>
          <w:szCs w:val="22"/>
          <w:bdr w:val="nil"/>
        </w:rPr>
        <w:t>iku dwóch poważnych kryzysów – pandemii COVID-19</w:t>
      </w:r>
      <w:r w:rsidR="00064166" w:rsidRPr="00064166">
        <w:rPr>
          <w:b/>
          <w:bCs/>
          <w:noProof/>
          <w:sz w:val="22"/>
          <w:szCs w:val="22"/>
          <w:bdr w:val="nil"/>
        </w:rPr>
        <w:t xml:space="preserve"> i</w:t>
      </w:r>
      <w:r w:rsidR="00064166">
        <w:rPr>
          <w:b/>
          <w:bCs/>
          <w:noProof/>
          <w:sz w:val="22"/>
          <w:szCs w:val="22"/>
          <w:bdr w:val="nil"/>
        </w:rPr>
        <w:t> </w:t>
      </w:r>
      <w:r w:rsidR="00064166" w:rsidRPr="00064166">
        <w:rPr>
          <w:b/>
          <w:bCs/>
          <w:noProof/>
          <w:sz w:val="22"/>
          <w:szCs w:val="22"/>
          <w:bdr w:val="nil"/>
        </w:rPr>
        <w:t>agr</w:t>
      </w:r>
      <w:r w:rsidRPr="00064166">
        <w:rPr>
          <w:b/>
          <w:bCs/>
          <w:noProof/>
          <w:sz w:val="22"/>
          <w:szCs w:val="22"/>
          <w:bdr w:val="nil"/>
        </w:rPr>
        <w:t xml:space="preserve">esji </w:t>
      </w:r>
      <w:r w:rsidR="0052698C" w:rsidRPr="00064166">
        <w:rPr>
          <w:b/>
          <w:bCs/>
          <w:noProof/>
          <w:sz w:val="22"/>
          <w:szCs w:val="22"/>
          <w:bdr w:val="nil"/>
        </w:rPr>
        <w:t xml:space="preserve">wojskowej Rosji wobec Ukrainy. </w:t>
      </w:r>
      <w:r w:rsidRPr="00064166">
        <w:rPr>
          <w:noProof/>
          <w:sz w:val="22"/>
          <w:szCs w:val="22"/>
          <w:bdr w:val="nil"/>
        </w:rPr>
        <w:t xml:space="preserve">Pandemia COVID-19 wywarła </w:t>
      </w:r>
      <w:r w:rsidRPr="00064166">
        <w:rPr>
          <w:noProof/>
          <w:sz w:val="22"/>
          <w:szCs w:val="22"/>
        </w:rPr>
        <w:t xml:space="preserve">silny </w:t>
      </w:r>
      <w:r w:rsidRPr="00064166">
        <w:rPr>
          <w:noProof/>
          <w:sz w:val="22"/>
          <w:szCs w:val="22"/>
          <w:bdr w:val="nil"/>
        </w:rPr>
        <w:t xml:space="preserve">wpływ </w:t>
      </w:r>
      <w:r w:rsidRPr="00064166">
        <w:rPr>
          <w:noProof/>
          <w:sz w:val="22"/>
          <w:szCs w:val="22"/>
        </w:rPr>
        <w:t>na społeczeństwo,</w:t>
      </w:r>
      <w:r w:rsidR="00064166" w:rsidRPr="00064166">
        <w:rPr>
          <w:noProof/>
          <w:sz w:val="22"/>
          <w:szCs w:val="22"/>
        </w:rPr>
        <w:t xml:space="preserve"> w</w:t>
      </w:r>
      <w:r w:rsidR="00064166">
        <w:rPr>
          <w:noProof/>
          <w:sz w:val="22"/>
          <w:szCs w:val="22"/>
        </w:rPr>
        <w:t> </w:t>
      </w:r>
      <w:r w:rsidR="00064166" w:rsidRPr="00064166">
        <w:rPr>
          <w:noProof/>
          <w:sz w:val="22"/>
          <w:szCs w:val="22"/>
        </w:rPr>
        <w:t>tym</w:t>
      </w:r>
      <w:r w:rsidRPr="00064166">
        <w:rPr>
          <w:noProof/>
          <w:sz w:val="22"/>
          <w:szCs w:val="22"/>
        </w:rPr>
        <w:t xml:space="preserve"> na </w:t>
      </w:r>
      <w:r w:rsidRPr="00064166">
        <w:rPr>
          <w:noProof/>
          <w:sz w:val="22"/>
          <w:szCs w:val="22"/>
          <w:bdr w:val="nil"/>
        </w:rPr>
        <w:t>sektor transportu</w:t>
      </w:r>
      <w:r w:rsidRPr="00064166">
        <w:rPr>
          <w:rStyle w:val="FootnoteReference"/>
          <w:bCs/>
          <w:noProof/>
          <w:sz w:val="22"/>
          <w:szCs w:val="22"/>
          <w:bdr w:val="nil"/>
        </w:rPr>
        <w:footnoteReference w:id="2"/>
      </w:r>
      <w:r w:rsidRPr="00064166">
        <w:rPr>
          <w:noProof/>
          <w:sz w:val="22"/>
          <w:szCs w:val="22"/>
          <w:bdr w:val="nil"/>
        </w:rPr>
        <w:t>.</w:t>
      </w:r>
      <w:r w:rsidRPr="00064166">
        <w:rPr>
          <w:bCs/>
          <w:noProof/>
          <w:sz w:val="22"/>
          <w:szCs w:val="22"/>
          <w:bdr w:val="nil"/>
        </w:rPr>
        <w:t xml:space="preserve"> </w:t>
      </w:r>
      <w:r w:rsidRPr="00064166">
        <w:rPr>
          <w:noProof/>
        </w:rPr>
        <w:t xml:space="preserve">Aby powstrzymać rozprzestrzenianie się pandemii, wprowadzono szereg środków ukierunkowanych na </w:t>
      </w:r>
      <w:r w:rsidRPr="00064166">
        <w:rPr>
          <w:noProof/>
          <w:bdr w:val="nil"/>
        </w:rPr>
        <w:t>ograniczenie podróży międzynarodowych</w:t>
      </w:r>
      <w:r w:rsidR="00064166" w:rsidRPr="00064166">
        <w:rPr>
          <w:noProof/>
          <w:bdr w:val="nil"/>
        </w:rPr>
        <w:t xml:space="preserve"> i</w:t>
      </w:r>
      <w:r w:rsidR="00064166">
        <w:rPr>
          <w:noProof/>
          <w:bdr w:val="nil"/>
        </w:rPr>
        <w:t> </w:t>
      </w:r>
      <w:r w:rsidR="00064166" w:rsidRPr="00064166">
        <w:rPr>
          <w:noProof/>
          <w:bdr w:val="nil"/>
        </w:rPr>
        <w:t>kra</w:t>
      </w:r>
      <w:r w:rsidRPr="00064166">
        <w:rPr>
          <w:noProof/>
          <w:bdr w:val="nil"/>
        </w:rPr>
        <w:t>jowych</w:t>
      </w:r>
      <w:r w:rsidRPr="00064166">
        <w:rPr>
          <w:noProof/>
        </w:rPr>
        <w:t>, t</w:t>
      </w:r>
      <w:r w:rsidRPr="00064166">
        <w:rPr>
          <w:noProof/>
          <w:bdr w:val="nil"/>
        </w:rPr>
        <w:t>akich jak utrzymywanie dystansu fizycznego, nakaz pozostania</w:t>
      </w:r>
      <w:r w:rsidR="00064166" w:rsidRPr="00064166">
        <w:rPr>
          <w:noProof/>
          <w:bdr w:val="nil"/>
        </w:rPr>
        <w:t xml:space="preserve"> w</w:t>
      </w:r>
      <w:r w:rsidR="00064166">
        <w:rPr>
          <w:noProof/>
          <w:bdr w:val="nil"/>
        </w:rPr>
        <w:t> </w:t>
      </w:r>
      <w:r w:rsidR="00064166" w:rsidRPr="00064166">
        <w:rPr>
          <w:noProof/>
          <w:bdr w:val="nil"/>
        </w:rPr>
        <w:t>dom</w:t>
      </w:r>
      <w:r w:rsidRPr="00064166">
        <w:rPr>
          <w:noProof/>
          <w:bdr w:val="nil"/>
        </w:rPr>
        <w:t>u, zawieszenie funkcjonowania transportu publicznego, ustalanie kontaktów zakaźnych</w:t>
      </w:r>
      <w:r w:rsidR="00064166" w:rsidRPr="00064166">
        <w:rPr>
          <w:noProof/>
          <w:bdr w:val="nil"/>
        </w:rPr>
        <w:t xml:space="preserve"> i</w:t>
      </w:r>
      <w:r w:rsidR="00064166">
        <w:rPr>
          <w:noProof/>
          <w:bdr w:val="nil"/>
        </w:rPr>
        <w:t> </w:t>
      </w:r>
      <w:r w:rsidR="00064166" w:rsidRPr="00064166">
        <w:rPr>
          <w:noProof/>
          <w:bdr w:val="nil"/>
        </w:rPr>
        <w:t>kwa</w:t>
      </w:r>
      <w:r w:rsidRPr="00064166">
        <w:rPr>
          <w:noProof/>
          <w:bdr w:val="nil"/>
        </w:rPr>
        <w:t>rantanna, oraz zamknięcie granic</w:t>
      </w:r>
      <w:r w:rsidRPr="00064166">
        <w:rPr>
          <w:noProof/>
        </w:rPr>
        <w:t>.</w:t>
      </w:r>
      <w:r w:rsidRPr="00064166">
        <w:rPr>
          <w:noProof/>
          <w:sz w:val="22"/>
          <w:szCs w:val="22"/>
          <w:bdr w:val="nil"/>
        </w:rPr>
        <w:t xml:space="preserve"> </w:t>
      </w:r>
      <w:r w:rsidRPr="00064166">
        <w:rPr>
          <w:noProof/>
        </w:rPr>
        <w:t>Brak koordynacji środków krajowych dodatkowo wpłynął na sektor transportu, utrudniając transgraniczne operacje transportowe</w:t>
      </w:r>
      <w:r w:rsidRPr="00064166">
        <w:rPr>
          <w:rStyle w:val="FootnoteReference"/>
          <w:noProof/>
          <w:sz w:val="22"/>
          <w:szCs w:val="22"/>
          <w:bdr w:val="nil"/>
        </w:rPr>
        <w:footnoteReference w:id="3"/>
      </w:r>
      <w:r w:rsidRPr="00064166">
        <w:rPr>
          <w:noProof/>
        </w:rPr>
        <w:t>, co często potęgowało skutki początkowego wstrząsu</w:t>
      </w:r>
      <w:r w:rsidR="00064166" w:rsidRPr="00064166">
        <w:rPr>
          <w:noProof/>
        </w:rPr>
        <w:t xml:space="preserve"> w</w:t>
      </w:r>
      <w:r w:rsidR="00064166">
        <w:rPr>
          <w:noProof/>
        </w:rPr>
        <w:t> </w:t>
      </w:r>
      <w:r w:rsidR="00064166" w:rsidRPr="00064166">
        <w:rPr>
          <w:noProof/>
        </w:rPr>
        <w:t>odn</w:t>
      </w:r>
      <w:r w:rsidRPr="00064166">
        <w:rPr>
          <w:noProof/>
        </w:rPr>
        <w:t>iesieniu do ludzi</w:t>
      </w:r>
      <w:r w:rsidR="00064166" w:rsidRPr="00064166">
        <w:rPr>
          <w:noProof/>
        </w:rPr>
        <w:t xml:space="preserve"> i</w:t>
      </w:r>
      <w:r w:rsidR="00064166">
        <w:rPr>
          <w:noProof/>
        </w:rPr>
        <w:t> </w:t>
      </w:r>
      <w:r w:rsidR="00064166" w:rsidRPr="00064166">
        <w:rPr>
          <w:noProof/>
        </w:rPr>
        <w:t>gos</w:t>
      </w:r>
      <w:r w:rsidRPr="00064166">
        <w:rPr>
          <w:noProof/>
        </w:rPr>
        <w:t>podarki</w:t>
      </w:r>
      <w:r w:rsidRPr="00064166">
        <w:rPr>
          <w:rStyle w:val="FootnoteReference"/>
          <w:noProof/>
          <w:sz w:val="22"/>
          <w:szCs w:val="22"/>
          <w:bdr w:val="nil"/>
        </w:rPr>
        <w:footnoteReference w:id="4"/>
      </w:r>
      <w:r w:rsidRPr="00064166">
        <w:rPr>
          <w:noProof/>
        </w:rPr>
        <w:t>.</w:t>
      </w:r>
    </w:p>
    <w:p w14:paraId="06D53B7F" w14:textId="1666EA9A" w:rsidR="00DA7A93" w:rsidRPr="00064166" w:rsidRDefault="0063274A" w:rsidP="00FC6378">
      <w:pPr>
        <w:spacing w:line="276" w:lineRule="auto"/>
        <w:rPr>
          <w:noProof/>
          <w:sz w:val="22"/>
          <w:szCs w:val="22"/>
        </w:rPr>
      </w:pPr>
      <w:r w:rsidRPr="00064166">
        <w:rPr>
          <w:b/>
          <w:noProof/>
          <w:sz w:val="22"/>
          <w:szCs w:val="22"/>
        </w:rPr>
        <w:t>Pełne skutki agresji wojskowej Rosji wobec Ukrainy nie są jeszcze znane.</w:t>
      </w:r>
      <w:r w:rsidRPr="00064166">
        <w:rPr>
          <w:noProof/>
          <w:sz w:val="22"/>
          <w:szCs w:val="22"/>
        </w:rPr>
        <w:t xml:space="preserve"> Od momentu rozpoczęcia inwazji organy państw członkowskich</w:t>
      </w:r>
      <w:r w:rsidR="00064166" w:rsidRPr="00064166">
        <w:rPr>
          <w:noProof/>
          <w:sz w:val="22"/>
          <w:szCs w:val="22"/>
        </w:rPr>
        <w:t xml:space="preserve"> i</w:t>
      </w:r>
      <w:r w:rsidR="00064166">
        <w:rPr>
          <w:noProof/>
          <w:sz w:val="22"/>
          <w:szCs w:val="22"/>
        </w:rPr>
        <w:t> </w:t>
      </w:r>
      <w:r w:rsidR="00064166" w:rsidRPr="00064166">
        <w:rPr>
          <w:noProof/>
          <w:sz w:val="22"/>
          <w:szCs w:val="22"/>
        </w:rPr>
        <w:t>uni</w:t>
      </w:r>
      <w:r w:rsidRPr="00064166">
        <w:rPr>
          <w:noProof/>
          <w:sz w:val="22"/>
          <w:szCs w:val="22"/>
        </w:rPr>
        <w:t>jne przedsiębiorstwa transportowe,</w:t>
      </w:r>
      <w:r w:rsidR="00064166" w:rsidRPr="00064166">
        <w:rPr>
          <w:noProof/>
          <w:sz w:val="22"/>
          <w:szCs w:val="22"/>
        </w:rPr>
        <w:t xml:space="preserve"> w</w:t>
      </w:r>
      <w:r w:rsidR="00064166">
        <w:rPr>
          <w:noProof/>
          <w:sz w:val="22"/>
          <w:szCs w:val="22"/>
        </w:rPr>
        <w:t> </w:t>
      </w:r>
      <w:r w:rsidR="00064166" w:rsidRPr="00064166">
        <w:rPr>
          <w:noProof/>
          <w:sz w:val="22"/>
          <w:szCs w:val="22"/>
        </w:rPr>
        <w:t>szc</w:t>
      </w:r>
      <w:r w:rsidRPr="00064166">
        <w:rPr>
          <w:noProof/>
          <w:sz w:val="22"/>
          <w:szCs w:val="22"/>
        </w:rPr>
        <w:t>zególności</w:t>
      </w:r>
      <w:r w:rsidR="00064166" w:rsidRPr="00064166">
        <w:rPr>
          <w:noProof/>
          <w:sz w:val="22"/>
          <w:szCs w:val="22"/>
        </w:rPr>
        <w:t xml:space="preserve"> w</w:t>
      </w:r>
      <w:r w:rsidR="00064166">
        <w:rPr>
          <w:noProof/>
          <w:sz w:val="22"/>
          <w:szCs w:val="22"/>
        </w:rPr>
        <w:t> </w:t>
      </w:r>
      <w:r w:rsidR="00064166" w:rsidRPr="00064166">
        <w:rPr>
          <w:noProof/>
          <w:sz w:val="22"/>
          <w:szCs w:val="22"/>
        </w:rPr>
        <w:t>pań</w:t>
      </w:r>
      <w:r w:rsidRPr="00064166">
        <w:rPr>
          <w:noProof/>
          <w:sz w:val="22"/>
          <w:szCs w:val="22"/>
        </w:rPr>
        <w:t>stwach graniczących</w:t>
      </w:r>
      <w:r w:rsidR="00064166" w:rsidRPr="00064166">
        <w:rPr>
          <w:noProof/>
          <w:sz w:val="22"/>
          <w:szCs w:val="22"/>
        </w:rPr>
        <w:t xml:space="preserve"> z</w:t>
      </w:r>
      <w:r w:rsidR="00064166">
        <w:rPr>
          <w:noProof/>
          <w:sz w:val="22"/>
          <w:szCs w:val="22"/>
        </w:rPr>
        <w:t> </w:t>
      </w:r>
      <w:r w:rsidR="00064166" w:rsidRPr="00064166">
        <w:rPr>
          <w:noProof/>
          <w:sz w:val="22"/>
          <w:szCs w:val="22"/>
        </w:rPr>
        <w:t>Ukr</w:t>
      </w:r>
      <w:r w:rsidRPr="00064166">
        <w:rPr>
          <w:noProof/>
          <w:sz w:val="22"/>
          <w:szCs w:val="22"/>
        </w:rPr>
        <w:t>ainą, zapewniają pomoc humanitarną na niespotykaną dotąd skalę</w:t>
      </w:r>
      <w:r w:rsidR="00064166" w:rsidRPr="00064166">
        <w:rPr>
          <w:noProof/>
          <w:sz w:val="22"/>
          <w:szCs w:val="22"/>
        </w:rPr>
        <w:t>. W</w:t>
      </w:r>
      <w:r w:rsidR="00064166">
        <w:rPr>
          <w:noProof/>
          <w:sz w:val="22"/>
          <w:szCs w:val="22"/>
        </w:rPr>
        <w:t> </w:t>
      </w:r>
      <w:r w:rsidR="00064166" w:rsidRPr="00064166">
        <w:rPr>
          <w:noProof/>
          <w:sz w:val="22"/>
          <w:szCs w:val="22"/>
        </w:rPr>
        <w:t>nas</w:t>
      </w:r>
      <w:r w:rsidRPr="00064166">
        <w:rPr>
          <w:noProof/>
          <w:sz w:val="22"/>
          <w:szCs w:val="22"/>
        </w:rPr>
        <w:t>tępstwie wojny</w:t>
      </w:r>
      <w:r w:rsidR="00064166" w:rsidRPr="00064166">
        <w:rPr>
          <w:noProof/>
          <w:sz w:val="22"/>
          <w:szCs w:val="22"/>
        </w:rPr>
        <w:t xml:space="preserve"> i</w:t>
      </w:r>
      <w:r w:rsidR="00064166">
        <w:rPr>
          <w:noProof/>
          <w:sz w:val="22"/>
          <w:szCs w:val="22"/>
        </w:rPr>
        <w:t> </w:t>
      </w:r>
      <w:r w:rsidR="00064166" w:rsidRPr="00064166">
        <w:rPr>
          <w:noProof/>
          <w:sz w:val="22"/>
          <w:szCs w:val="22"/>
        </w:rPr>
        <w:t>san</w:t>
      </w:r>
      <w:r w:rsidRPr="00064166">
        <w:rPr>
          <w:noProof/>
          <w:sz w:val="22"/>
          <w:szCs w:val="22"/>
        </w:rPr>
        <w:t>kcji unijny transport stanął również</w:t>
      </w:r>
      <w:r w:rsidR="00064166" w:rsidRPr="00064166">
        <w:rPr>
          <w:noProof/>
          <w:sz w:val="22"/>
          <w:szCs w:val="22"/>
        </w:rPr>
        <w:t xml:space="preserve"> w</w:t>
      </w:r>
      <w:r w:rsidR="00064166">
        <w:rPr>
          <w:noProof/>
          <w:sz w:val="22"/>
          <w:szCs w:val="22"/>
        </w:rPr>
        <w:t> </w:t>
      </w:r>
      <w:r w:rsidR="00064166" w:rsidRPr="00064166">
        <w:rPr>
          <w:noProof/>
          <w:sz w:val="22"/>
          <w:szCs w:val="22"/>
        </w:rPr>
        <w:t>obl</w:t>
      </w:r>
      <w:r w:rsidRPr="00064166">
        <w:rPr>
          <w:noProof/>
          <w:sz w:val="22"/>
          <w:szCs w:val="22"/>
        </w:rPr>
        <w:t>iczu wielu wyzwań: kierowcy samochodów ciężarowych pozostający</w:t>
      </w:r>
      <w:r w:rsidR="00064166" w:rsidRPr="00064166">
        <w:rPr>
          <w:noProof/>
          <w:sz w:val="22"/>
          <w:szCs w:val="22"/>
        </w:rPr>
        <w:t xml:space="preserve"> w</w:t>
      </w:r>
      <w:r w:rsidR="00064166">
        <w:rPr>
          <w:noProof/>
          <w:sz w:val="22"/>
          <w:szCs w:val="22"/>
        </w:rPr>
        <w:t> </w:t>
      </w:r>
      <w:r w:rsidR="00064166" w:rsidRPr="00064166">
        <w:rPr>
          <w:noProof/>
          <w:sz w:val="22"/>
          <w:szCs w:val="22"/>
        </w:rPr>
        <w:t>str</w:t>
      </w:r>
      <w:r w:rsidRPr="00064166">
        <w:rPr>
          <w:noProof/>
          <w:sz w:val="22"/>
          <w:szCs w:val="22"/>
        </w:rPr>
        <w:t xml:space="preserve">efie konfliktu, zamknięcie rosyjskiej przestrzeni powietrznej, zniszczenie ukraińskiej infrastruktury transportowej, przerwanie łańcuchów dostaw oraz presja na wzrost cen ropy naftowej. </w:t>
      </w:r>
    </w:p>
    <w:p w14:paraId="3D5834CE" w14:textId="376B1C61" w:rsidR="00FC6378" w:rsidRPr="00064166" w:rsidRDefault="0009381B" w:rsidP="00FC6378">
      <w:pPr>
        <w:spacing w:line="276" w:lineRule="auto"/>
        <w:rPr>
          <w:noProof/>
          <w:sz w:val="22"/>
          <w:szCs w:val="22"/>
        </w:rPr>
      </w:pPr>
      <w:r w:rsidRPr="00064166">
        <w:rPr>
          <w:b/>
          <w:bCs/>
          <w:noProof/>
          <w:sz w:val="22"/>
          <w:szCs w:val="22"/>
          <w:bdr w:val="nil"/>
        </w:rPr>
        <w:t>Te dwa wydarzenia nie są pierwszymi, które spowodowały poważne zakłócenia unijnego systemu transportu</w:t>
      </w:r>
      <w:r w:rsidR="0052698C" w:rsidRPr="00064166">
        <w:rPr>
          <w:b/>
          <w:bCs/>
          <w:noProof/>
          <w:sz w:val="22"/>
          <w:szCs w:val="22"/>
        </w:rPr>
        <w:t xml:space="preserve">. </w:t>
      </w:r>
      <w:r w:rsidRPr="00064166">
        <w:rPr>
          <w:noProof/>
          <w:sz w:val="22"/>
          <w:szCs w:val="22"/>
        </w:rPr>
        <w:t>Erupcja islandzkiego wulkanu Eyjafjallajökull 14 marca 2010</w:t>
      </w:r>
      <w:r w:rsidR="00064166" w:rsidRPr="00064166">
        <w:rPr>
          <w:noProof/>
          <w:sz w:val="22"/>
          <w:szCs w:val="22"/>
        </w:rPr>
        <w:t> </w:t>
      </w:r>
      <w:r w:rsidRPr="00064166">
        <w:rPr>
          <w:noProof/>
          <w:sz w:val="22"/>
          <w:szCs w:val="22"/>
        </w:rPr>
        <w:t>r. oraz zawalenie się tunelu Rastatt 12 sierpnia 2017</w:t>
      </w:r>
      <w:r w:rsidR="00064166" w:rsidRPr="00064166">
        <w:rPr>
          <w:noProof/>
          <w:sz w:val="22"/>
          <w:szCs w:val="22"/>
        </w:rPr>
        <w:t> </w:t>
      </w:r>
      <w:r w:rsidRPr="00064166">
        <w:rPr>
          <w:noProof/>
          <w:sz w:val="22"/>
          <w:szCs w:val="22"/>
        </w:rPr>
        <w:t>r. również miały skutki systemowe</w:t>
      </w:r>
      <w:r w:rsidR="00064166" w:rsidRPr="00064166">
        <w:rPr>
          <w:noProof/>
          <w:sz w:val="22"/>
          <w:szCs w:val="22"/>
        </w:rPr>
        <w:t xml:space="preserve"> w</w:t>
      </w:r>
      <w:r w:rsidR="00064166">
        <w:rPr>
          <w:noProof/>
          <w:sz w:val="22"/>
          <w:szCs w:val="22"/>
        </w:rPr>
        <w:t> </w:t>
      </w:r>
      <w:r w:rsidR="00064166" w:rsidRPr="00064166">
        <w:rPr>
          <w:noProof/>
          <w:sz w:val="22"/>
          <w:szCs w:val="22"/>
        </w:rPr>
        <w:t>odn</w:t>
      </w:r>
      <w:r w:rsidRPr="00064166">
        <w:rPr>
          <w:noProof/>
          <w:sz w:val="22"/>
          <w:szCs w:val="22"/>
        </w:rPr>
        <w:t>iesieniu do sektora transportu, zarówno pasażerskiego, jak</w:t>
      </w:r>
      <w:r w:rsidR="00064166" w:rsidRPr="00064166">
        <w:rPr>
          <w:noProof/>
          <w:sz w:val="22"/>
          <w:szCs w:val="22"/>
        </w:rPr>
        <w:t xml:space="preserve"> i</w:t>
      </w:r>
      <w:r w:rsidR="00064166">
        <w:rPr>
          <w:noProof/>
          <w:sz w:val="22"/>
          <w:szCs w:val="22"/>
        </w:rPr>
        <w:t> </w:t>
      </w:r>
      <w:r w:rsidR="00064166" w:rsidRPr="00064166">
        <w:rPr>
          <w:noProof/>
          <w:sz w:val="22"/>
          <w:szCs w:val="22"/>
        </w:rPr>
        <w:t>tow</w:t>
      </w:r>
      <w:r w:rsidRPr="00064166">
        <w:rPr>
          <w:noProof/>
          <w:sz w:val="22"/>
          <w:szCs w:val="22"/>
        </w:rPr>
        <w:t xml:space="preserve">arowego. </w:t>
      </w:r>
    </w:p>
    <w:p w14:paraId="7BEE891E" w14:textId="61CCEDC0" w:rsidR="00FC6378" w:rsidRPr="00064166" w:rsidRDefault="006D726B" w:rsidP="00FC6378">
      <w:pPr>
        <w:spacing w:line="276" w:lineRule="auto"/>
        <w:rPr>
          <w:noProof/>
          <w:sz w:val="22"/>
          <w:szCs w:val="22"/>
          <w:bdr w:val="nil"/>
        </w:rPr>
      </w:pPr>
      <w:r w:rsidRPr="00064166">
        <w:rPr>
          <w:b/>
          <w:noProof/>
          <w:sz w:val="22"/>
          <w:szCs w:val="22"/>
        </w:rPr>
        <w:t>W planie awaryjnym dla transportu przedstawionym</w:t>
      </w:r>
      <w:r w:rsidR="00064166" w:rsidRPr="00064166">
        <w:rPr>
          <w:b/>
          <w:noProof/>
          <w:sz w:val="22"/>
          <w:szCs w:val="22"/>
        </w:rPr>
        <w:t xml:space="preserve"> w</w:t>
      </w:r>
      <w:r w:rsidR="00064166">
        <w:rPr>
          <w:b/>
          <w:noProof/>
          <w:sz w:val="22"/>
          <w:szCs w:val="22"/>
        </w:rPr>
        <w:t> </w:t>
      </w:r>
      <w:r w:rsidR="00064166" w:rsidRPr="00064166">
        <w:rPr>
          <w:b/>
          <w:noProof/>
          <w:sz w:val="22"/>
          <w:szCs w:val="22"/>
        </w:rPr>
        <w:t>nin</w:t>
      </w:r>
      <w:r w:rsidRPr="00064166">
        <w:rPr>
          <w:b/>
          <w:noProof/>
          <w:sz w:val="22"/>
          <w:szCs w:val="22"/>
        </w:rPr>
        <w:t>iejszym komunikacie przewidziano zestaw narzędzi ukierunkowanych na postępowanie</w:t>
      </w:r>
      <w:r w:rsidR="00064166" w:rsidRPr="00064166">
        <w:rPr>
          <w:b/>
          <w:noProof/>
          <w:sz w:val="22"/>
          <w:szCs w:val="22"/>
        </w:rPr>
        <w:t xml:space="preserve"> w</w:t>
      </w:r>
      <w:r w:rsidR="00064166">
        <w:rPr>
          <w:b/>
          <w:noProof/>
          <w:sz w:val="22"/>
          <w:szCs w:val="22"/>
        </w:rPr>
        <w:t> </w:t>
      </w:r>
      <w:r w:rsidR="00064166" w:rsidRPr="00064166">
        <w:rPr>
          <w:b/>
          <w:noProof/>
          <w:sz w:val="22"/>
          <w:szCs w:val="22"/>
        </w:rPr>
        <w:t>prz</w:t>
      </w:r>
      <w:r w:rsidRPr="00064166">
        <w:rPr>
          <w:b/>
          <w:noProof/>
          <w:sz w:val="22"/>
          <w:szCs w:val="22"/>
        </w:rPr>
        <w:t>ypadku kryzysów transportowych wszelkiego rodzaju</w:t>
      </w:r>
      <w:r w:rsidRPr="00064166">
        <w:rPr>
          <w:rStyle w:val="FootnoteReference"/>
          <w:b/>
          <w:noProof/>
          <w:sz w:val="22"/>
          <w:szCs w:val="22"/>
        </w:rPr>
        <w:footnoteReference w:id="5"/>
      </w:r>
      <w:r w:rsidRPr="00064166">
        <w:rPr>
          <w:b/>
          <w:bCs/>
          <w:noProof/>
          <w:sz w:val="22"/>
          <w:szCs w:val="22"/>
        </w:rPr>
        <w:t xml:space="preserve">. </w:t>
      </w:r>
      <w:r w:rsidRPr="00064166">
        <w:rPr>
          <w:bCs/>
          <w:noProof/>
          <w:sz w:val="22"/>
          <w:szCs w:val="22"/>
          <w:bdr w:val="nil"/>
        </w:rPr>
        <w:t>Stanowi on odpowiedź na</w:t>
      </w:r>
      <w:r w:rsidRPr="00064166">
        <w:rPr>
          <w:noProof/>
          <w:sz w:val="22"/>
          <w:szCs w:val="22"/>
          <w:bdr w:val="nil"/>
        </w:rPr>
        <w:t xml:space="preserve"> wezwanie Rady</w:t>
      </w:r>
      <w:r w:rsidRPr="00064166">
        <w:rPr>
          <w:rStyle w:val="FootnoteReference"/>
          <w:noProof/>
          <w:sz w:val="22"/>
          <w:szCs w:val="22"/>
          <w:bdr w:val="nil"/>
        </w:rPr>
        <w:footnoteReference w:id="6"/>
      </w:r>
      <w:r w:rsidRPr="00064166">
        <w:rPr>
          <w:noProof/>
          <w:sz w:val="22"/>
          <w:szCs w:val="22"/>
          <w:bdr w:val="nil"/>
        </w:rPr>
        <w:t>, która zwróciła się do Komisji</w:t>
      </w:r>
      <w:r w:rsidR="00064166" w:rsidRPr="00064166">
        <w:rPr>
          <w:noProof/>
          <w:sz w:val="22"/>
          <w:szCs w:val="22"/>
          <w:bdr w:val="nil"/>
        </w:rPr>
        <w:t xml:space="preserve"> o</w:t>
      </w:r>
      <w:r w:rsidR="00064166">
        <w:rPr>
          <w:noProof/>
          <w:sz w:val="22"/>
          <w:szCs w:val="22"/>
          <w:bdr w:val="nil"/>
        </w:rPr>
        <w:t> </w:t>
      </w:r>
      <w:r w:rsidR="00064166" w:rsidRPr="00064166">
        <w:rPr>
          <w:noProof/>
          <w:sz w:val="22"/>
          <w:szCs w:val="22"/>
          <w:bdr w:val="nil"/>
        </w:rPr>
        <w:t>spo</w:t>
      </w:r>
      <w:r w:rsidRPr="00064166">
        <w:rPr>
          <w:noProof/>
          <w:sz w:val="22"/>
          <w:szCs w:val="22"/>
          <w:bdr w:val="nil"/>
        </w:rPr>
        <w:t>rządzenie europejskiego planu awaryjnego dla transportu towarowego na wypadek pandem</w:t>
      </w:r>
      <w:r w:rsidR="0052698C" w:rsidRPr="00064166">
        <w:rPr>
          <w:noProof/>
          <w:sz w:val="22"/>
          <w:szCs w:val="22"/>
          <w:bdr w:val="nil"/>
        </w:rPr>
        <w:t>ii</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inn</w:t>
      </w:r>
      <w:r w:rsidR="0052698C" w:rsidRPr="00064166">
        <w:rPr>
          <w:noProof/>
          <w:sz w:val="22"/>
          <w:szCs w:val="22"/>
          <w:bdr w:val="nil"/>
        </w:rPr>
        <w:t>ych poważnych kryzysów.</w:t>
      </w:r>
      <w:r w:rsidRPr="00064166">
        <w:rPr>
          <w:noProof/>
          <w:sz w:val="22"/>
          <w:szCs w:val="22"/>
          <w:bdr w:val="nil"/>
        </w:rPr>
        <w:t xml:space="preserve"> Ponadto</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ram</w:t>
      </w:r>
      <w:r w:rsidRPr="00064166">
        <w:rPr>
          <w:noProof/>
          <w:sz w:val="22"/>
          <w:szCs w:val="22"/>
          <w:bdr w:val="nil"/>
        </w:rPr>
        <w:t>ach kompleksowej strategii na rzecz zrównoważonej</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int</w:t>
      </w:r>
      <w:r w:rsidRPr="00064166">
        <w:rPr>
          <w:noProof/>
          <w:sz w:val="22"/>
          <w:szCs w:val="22"/>
          <w:bdr w:val="nil"/>
        </w:rPr>
        <w:t>eligentnej mobilności</w:t>
      </w:r>
      <w:r w:rsidRPr="00064166">
        <w:rPr>
          <w:rStyle w:val="FootnoteReference"/>
          <w:noProof/>
          <w:sz w:val="22"/>
          <w:szCs w:val="22"/>
          <w:bdr w:val="nil"/>
        </w:rPr>
        <w:footnoteReference w:id="7"/>
      </w:r>
      <w:r w:rsidRPr="00064166">
        <w:rPr>
          <w:noProof/>
          <w:sz w:val="22"/>
          <w:szCs w:val="22"/>
          <w:bdr w:val="nil"/>
        </w:rPr>
        <w:t xml:space="preserve"> przewidziano, że Komisja opracuje plan awaryjny na wypadek kryzysu, aby zapewnić ciągłość działania</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koo</w:t>
      </w:r>
      <w:r w:rsidRPr="00064166">
        <w:rPr>
          <w:noProof/>
          <w:sz w:val="22"/>
          <w:szCs w:val="22"/>
          <w:bdr w:val="nil"/>
        </w:rPr>
        <w:t>rdynację reagowania</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sek</w:t>
      </w:r>
      <w:r w:rsidRPr="00064166">
        <w:rPr>
          <w:noProof/>
          <w:sz w:val="22"/>
          <w:szCs w:val="22"/>
          <w:bdr w:val="nil"/>
        </w:rPr>
        <w:t>torze transportu. Plan opracowano na podstawie zdobytych doświadczeń</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ini</w:t>
      </w:r>
      <w:r w:rsidRPr="00064166">
        <w:rPr>
          <w:noProof/>
          <w:sz w:val="22"/>
          <w:szCs w:val="22"/>
          <w:bdr w:val="nil"/>
        </w:rPr>
        <w:t>cjatyw podjętych podczas pandemii COVID-19, takich jak komunikat</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spr</w:t>
      </w:r>
      <w:r w:rsidRPr="00064166">
        <w:rPr>
          <w:noProof/>
          <w:sz w:val="22"/>
          <w:szCs w:val="22"/>
          <w:bdr w:val="nil"/>
        </w:rPr>
        <w:t>awie uprzywilejowanych korytarzy</w:t>
      </w:r>
      <w:r w:rsidRPr="00064166">
        <w:rPr>
          <w:noProof/>
          <w:sz w:val="22"/>
          <w:szCs w:val="22"/>
          <w:vertAlign w:val="superscript"/>
        </w:rPr>
        <w:footnoteReference w:id="8"/>
      </w:r>
      <w:r w:rsidRPr="00064166">
        <w:rPr>
          <w:noProof/>
          <w:sz w:val="22"/>
          <w:szCs w:val="22"/>
          <w:bdr w:val="nil"/>
        </w:rPr>
        <w:t>, wytyczne</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spr</w:t>
      </w:r>
      <w:r w:rsidRPr="00064166">
        <w:rPr>
          <w:noProof/>
          <w:sz w:val="22"/>
          <w:szCs w:val="22"/>
          <w:bdr w:val="nil"/>
        </w:rPr>
        <w:t>awie marynarzy</w:t>
      </w:r>
      <w:r w:rsidRPr="00064166">
        <w:rPr>
          <w:rStyle w:val="FootnoteReference"/>
          <w:noProof/>
          <w:sz w:val="22"/>
          <w:szCs w:val="22"/>
          <w:bdr w:val="nil"/>
        </w:rPr>
        <w:footnoteReference w:id="9"/>
      </w:r>
      <w:r w:rsidRPr="00064166">
        <w:rPr>
          <w:noProof/>
          <w:sz w:val="22"/>
          <w:szCs w:val="22"/>
          <w:bdr w:val="nil"/>
        </w:rPr>
        <w:t xml:space="preserve"> oraz przepisy zbiorcze dotyczące COVID-19, wprowadzające tymczasowe środki</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zak</w:t>
      </w:r>
      <w:r w:rsidRPr="00064166">
        <w:rPr>
          <w:noProof/>
          <w:sz w:val="22"/>
          <w:szCs w:val="22"/>
          <w:bdr w:val="nil"/>
        </w:rPr>
        <w:t>resie transportu</w:t>
      </w:r>
      <w:r w:rsidRPr="00064166">
        <w:rPr>
          <w:noProof/>
          <w:sz w:val="22"/>
          <w:szCs w:val="22"/>
          <w:vertAlign w:val="superscript"/>
        </w:rPr>
        <w:footnoteReference w:id="10"/>
      </w:r>
      <w:r w:rsidR="0052698C" w:rsidRPr="00064166">
        <w:rPr>
          <w:noProof/>
          <w:sz w:val="22"/>
          <w:szCs w:val="22"/>
          <w:bdr w:val="nil"/>
        </w:rPr>
        <w:t>.</w:t>
      </w:r>
      <w:r w:rsidRPr="00064166">
        <w:rPr>
          <w:noProof/>
          <w:sz w:val="22"/>
          <w:szCs w:val="22"/>
          <w:bdr w:val="nil"/>
        </w:rPr>
        <w:t xml:space="preserve"> Plan </w:t>
      </w:r>
      <w:r w:rsidRPr="00064166">
        <w:rPr>
          <w:noProof/>
          <w:sz w:val="22"/>
          <w:szCs w:val="22"/>
        </w:rPr>
        <w:t>jest</w:t>
      </w:r>
      <w:r w:rsidRPr="00064166">
        <w:rPr>
          <w:noProof/>
          <w:sz w:val="22"/>
          <w:szCs w:val="22"/>
          <w:bdr w:val="nil"/>
        </w:rPr>
        <w:t xml:space="preserve"> jednym</w:t>
      </w:r>
      <w:r w:rsidR="00064166" w:rsidRPr="00064166">
        <w:rPr>
          <w:noProof/>
          <w:sz w:val="22"/>
          <w:szCs w:val="22"/>
          <w:bdr w:val="nil"/>
        </w:rPr>
        <w:t xml:space="preserve"> z</w:t>
      </w:r>
      <w:r w:rsidR="00064166">
        <w:rPr>
          <w:noProof/>
          <w:sz w:val="22"/>
          <w:szCs w:val="22"/>
          <w:bdr w:val="nil"/>
        </w:rPr>
        <w:t> </w:t>
      </w:r>
      <w:r w:rsidR="00064166" w:rsidRPr="00064166">
        <w:rPr>
          <w:noProof/>
          <w:sz w:val="22"/>
          <w:szCs w:val="22"/>
          <w:bdr w:val="nil"/>
        </w:rPr>
        <w:t>rez</w:t>
      </w:r>
      <w:r w:rsidRPr="00064166">
        <w:rPr>
          <w:noProof/>
          <w:sz w:val="22"/>
          <w:szCs w:val="22"/>
          <w:bdr w:val="nil"/>
        </w:rPr>
        <w:t>ultatów osiągniętych</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ram</w:t>
      </w:r>
      <w:r w:rsidRPr="00064166">
        <w:rPr>
          <w:noProof/>
          <w:sz w:val="22"/>
          <w:szCs w:val="22"/>
          <w:bdr w:val="nil"/>
        </w:rPr>
        <w:t>ach inicjatywy przewodniej 8 – Wzmocnienie jednolitego rynku (działanie 58) kompleksowej strategii na rzecz zrównoważonej</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int</w:t>
      </w:r>
      <w:r w:rsidRPr="00064166">
        <w:rPr>
          <w:noProof/>
          <w:sz w:val="22"/>
          <w:szCs w:val="22"/>
          <w:bdr w:val="nil"/>
        </w:rPr>
        <w:t>eligentnej mobilności. Stanowi on uzupełnienie działania 56 mającego na celu ocenę wpływu pandemii COVID-19 na jakość sieci połączeń</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kon</w:t>
      </w:r>
      <w:r w:rsidR="0052698C" w:rsidRPr="00064166">
        <w:rPr>
          <w:noProof/>
          <w:sz w:val="22"/>
          <w:szCs w:val="22"/>
          <w:bdr w:val="nil"/>
        </w:rPr>
        <w:t>kurencję na jednolitym rynku</w:t>
      </w:r>
      <w:r w:rsidR="00064166" w:rsidRPr="00064166">
        <w:rPr>
          <w:noProof/>
          <w:sz w:val="22"/>
          <w:szCs w:val="22"/>
          <w:bdr w:val="nil"/>
        </w:rPr>
        <w:t>. W</w:t>
      </w:r>
      <w:r w:rsidR="00064166">
        <w:rPr>
          <w:noProof/>
          <w:sz w:val="22"/>
          <w:szCs w:val="22"/>
          <w:bdr w:val="nil"/>
        </w:rPr>
        <w:t> </w:t>
      </w:r>
      <w:r w:rsidR="00064166" w:rsidRPr="00064166">
        <w:rPr>
          <w:noProof/>
          <w:sz w:val="22"/>
          <w:szCs w:val="22"/>
          <w:bdr w:val="nil"/>
        </w:rPr>
        <w:t>pla</w:t>
      </w:r>
      <w:r w:rsidRPr="00064166">
        <w:rPr>
          <w:noProof/>
          <w:sz w:val="22"/>
          <w:szCs w:val="22"/>
          <w:bdr w:val="nil"/>
        </w:rPr>
        <w:t>nie kładzie się nacisk na sektor transportu – Komisja zajmie się kwestiami</w:t>
      </w:r>
      <w:r w:rsidR="00064166" w:rsidRPr="00064166">
        <w:rPr>
          <w:noProof/>
          <w:sz w:val="22"/>
          <w:szCs w:val="22"/>
          <w:bdr w:val="nil"/>
        </w:rPr>
        <w:t xml:space="preserve"> o</w:t>
      </w:r>
      <w:r w:rsidR="00064166">
        <w:rPr>
          <w:noProof/>
          <w:sz w:val="22"/>
          <w:szCs w:val="22"/>
          <w:bdr w:val="nil"/>
        </w:rPr>
        <w:t> </w:t>
      </w:r>
      <w:r w:rsidR="00064166" w:rsidRPr="00064166">
        <w:rPr>
          <w:noProof/>
          <w:sz w:val="22"/>
          <w:szCs w:val="22"/>
          <w:bdr w:val="nil"/>
        </w:rPr>
        <w:t>sze</w:t>
      </w:r>
      <w:r w:rsidRPr="00064166">
        <w:rPr>
          <w:noProof/>
          <w:sz w:val="22"/>
          <w:szCs w:val="22"/>
          <w:bdr w:val="nil"/>
        </w:rPr>
        <w:t>rszym zakresie dotyczącymi swobodnego przepływu towarów, usług</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osó</w:t>
      </w:r>
      <w:r w:rsidRPr="00064166">
        <w:rPr>
          <w:noProof/>
          <w:sz w:val="22"/>
          <w:szCs w:val="22"/>
          <w:bdr w:val="nil"/>
        </w:rPr>
        <w:t>b na jednolitym rynku UE oraz dostępności produktów</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usł</w:t>
      </w:r>
      <w:r w:rsidRPr="00064166">
        <w:rPr>
          <w:noProof/>
          <w:sz w:val="22"/>
          <w:szCs w:val="22"/>
          <w:bdr w:val="nil"/>
        </w:rPr>
        <w:t>ug</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ram</w:t>
      </w:r>
      <w:r w:rsidRPr="00064166">
        <w:rPr>
          <w:noProof/>
          <w:sz w:val="22"/>
          <w:szCs w:val="22"/>
          <w:bdr w:val="nil"/>
        </w:rPr>
        <w:t>ach przyszłego instrumentu nadzwyczajnego jednolitego rynku</w:t>
      </w:r>
      <w:r w:rsidRPr="00064166">
        <w:rPr>
          <w:rStyle w:val="FootnoteReference"/>
          <w:noProof/>
          <w:sz w:val="22"/>
          <w:szCs w:val="22"/>
          <w:bdr w:val="nil"/>
        </w:rPr>
        <w:footnoteReference w:id="11"/>
      </w:r>
      <w:r w:rsidRPr="00064166">
        <w:rPr>
          <w:noProof/>
          <w:sz w:val="22"/>
          <w:szCs w:val="22"/>
          <w:bdr w:val="nil"/>
        </w:rPr>
        <w:t xml:space="preserve">. </w:t>
      </w:r>
    </w:p>
    <w:p w14:paraId="090F2C47" w14:textId="76A3BF69" w:rsidR="00F235A7" w:rsidRPr="00064166" w:rsidRDefault="001B4B28" w:rsidP="00842BB5">
      <w:pPr>
        <w:pStyle w:val="ListParagraph"/>
        <w:ind w:left="0"/>
        <w:rPr>
          <w:rFonts w:ascii="Times New Roman" w:eastAsia="Times New Roman" w:hAnsi="Times New Roman" w:cs="Times New Roman"/>
          <w:noProof/>
          <w:sz w:val="22"/>
          <w:szCs w:val="22"/>
          <w:bdr w:val="nil"/>
        </w:rPr>
      </w:pPr>
      <w:r w:rsidRPr="00064166">
        <w:rPr>
          <w:rFonts w:ascii="Times New Roman" w:hAnsi="Times New Roman"/>
          <w:b/>
          <w:noProof/>
          <w:sz w:val="22"/>
          <w:szCs w:val="22"/>
          <w:bdr w:val="nil"/>
        </w:rPr>
        <w:t>Wiele narzędzi</w:t>
      </w:r>
      <w:r w:rsidR="00064166" w:rsidRPr="00064166">
        <w:rPr>
          <w:rFonts w:ascii="Times New Roman" w:hAnsi="Times New Roman"/>
          <w:b/>
          <w:noProof/>
          <w:sz w:val="22"/>
          <w:szCs w:val="22"/>
          <w:bdr w:val="nil"/>
        </w:rPr>
        <w:t xml:space="preserve"> i</w:t>
      </w:r>
      <w:r w:rsidR="00064166">
        <w:rPr>
          <w:rFonts w:ascii="Times New Roman" w:hAnsi="Times New Roman"/>
          <w:b/>
          <w:noProof/>
          <w:sz w:val="22"/>
          <w:szCs w:val="22"/>
          <w:bdr w:val="nil"/>
        </w:rPr>
        <w:t> </w:t>
      </w:r>
      <w:r w:rsidR="00064166" w:rsidRPr="00064166">
        <w:rPr>
          <w:rFonts w:ascii="Times New Roman" w:hAnsi="Times New Roman"/>
          <w:b/>
          <w:noProof/>
          <w:sz w:val="22"/>
          <w:szCs w:val="22"/>
          <w:bdr w:val="nil"/>
        </w:rPr>
        <w:t>zas</w:t>
      </w:r>
      <w:r w:rsidRPr="00064166">
        <w:rPr>
          <w:rFonts w:ascii="Times New Roman" w:hAnsi="Times New Roman"/>
          <w:b/>
          <w:noProof/>
          <w:sz w:val="22"/>
          <w:szCs w:val="22"/>
          <w:bdr w:val="nil"/>
        </w:rPr>
        <w:t>ad zaproponowanych</w:t>
      </w:r>
      <w:r w:rsidR="00064166" w:rsidRPr="00064166">
        <w:rPr>
          <w:rFonts w:ascii="Times New Roman" w:hAnsi="Times New Roman"/>
          <w:b/>
          <w:noProof/>
          <w:sz w:val="22"/>
          <w:szCs w:val="22"/>
          <w:bdr w:val="nil"/>
        </w:rPr>
        <w:t xml:space="preserve"> w</w:t>
      </w:r>
      <w:r w:rsidR="00064166">
        <w:rPr>
          <w:rFonts w:ascii="Times New Roman" w:hAnsi="Times New Roman"/>
          <w:b/>
          <w:noProof/>
          <w:sz w:val="22"/>
          <w:szCs w:val="22"/>
          <w:bdr w:val="nil"/>
        </w:rPr>
        <w:t> </w:t>
      </w:r>
      <w:r w:rsidR="00064166" w:rsidRPr="00064166">
        <w:rPr>
          <w:rFonts w:ascii="Times New Roman" w:hAnsi="Times New Roman"/>
          <w:b/>
          <w:noProof/>
          <w:sz w:val="22"/>
          <w:szCs w:val="22"/>
          <w:bdr w:val="nil"/>
        </w:rPr>
        <w:t>prz</w:t>
      </w:r>
      <w:r w:rsidRPr="00064166">
        <w:rPr>
          <w:rFonts w:ascii="Times New Roman" w:hAnsi="Times New Roman"/>
          <w:b/>
          <w:noProof/>
          <w:sz w:val="22"/>
          <w:szCs w:val="22"/>
          <w:bdr w:val="nil"/>
        </w:rPr>
        <w:t>edmiotowym planie okazało się już przydatnych</w:t>
      </w:r>
      <w:r w:rsidR="00064166" w:rsidRPr="00064166">
        <w:rPr>
          <w:rFonts w:ascii="Times New Roman" w:hAnsi="Times New Roman"/>
          <w:b/>
          <w:noProof/>
          <w:sz w:val="22"/>
          <w:szCs w:val="22"/>
          <w:bdr w:val="nil"/>
        </w:rPr>
        <w:t xml:space="preserve"> w</w:t>
      </w:r>
      <w:r w:rsidR="00064166">
        <w:rPr>
          <w:rFonts w:ascii="Times New Roman" w:hAnsi="Times New Roman"/>
          <w:b/>
          <w:noProof/>
          <w:sz w:val="22"/>
          <w:szCs w:val="22"/>
          <w:bdr w:val="nil"/>
        </w:rPr>
        <w:t> </w:t>
      </w:r>
      <w:r w:rsidR="00064166" w:rsidRPr="00064166">
        <w:rPr>
          <w:rFonts w:ascii="Times New Roman" w:hAnsi="Times New Roman"/>
          <w:b/>
          <w:noProof/>
          <w:sz w:val="22"/>
          <w:szCs w:val="22"/>
          <w:bdr w:val="nil"/>
        </w:rPr>
        <w:t>roz</w:t>
      </w:r>
      <w:r w:rsidRPr="00064166">
        <w:rPr>
          <w:rFonts w:ascii="Times New Roman" w:hAnsi="Times New Roman"/>
          <w:b/>
          <w:noProof/>
          <w:sz w:val="22"/>
          <w:szCs w:val="22"/>
          <w:bdr w:val="nil"/>
        </w:rPr>
        <w:t xml:space="preserve">wiązywaniu problemów spowodowanych agresją wojskową Rosji wobec Ukrainy. </w:t>
      </w:r>
      <w:r w:rsidRPr="00064166">
        <w:rPr>
          <w:rFonts w:ascii="Times New Roman" w:hAnsi="Times New Roman"/>
          <w:noProof/>
          <w:sz w:val="22"/>
          <w:szCs w:val="22"/>
          <w:bdr w:val="nil"/>
        </w:rPr>
        <w:t>Poniżej przedstawiono niektóre ze wstępnych wniosków, jednak ciągła ponowna ocena pojawiających się wyzwań jest uzasadniona</w:t>
      </w:r>
      <w:r w:rsidR="00064166" w:rsidRPr="00064166">
        <w:rPr>
          <w:rFonts w:ascii="Times New Roman" w:hAnsi="Times New Roman"/>
          <w:noProof/>
          <w:sz w:val="22"/>
          <w:szCs w:val="22"/>
          <w:bdr w:val="nil"/>
        </w:rPr>
        <w:t>. W</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zwi</w:t>
      </w:r>
      <w:r w:rsidRPr="00064166">
        <w:rPr>
          <w:rFonts w:ascii="Times New Roman" w:hAnsi="Times New Roman"/>
          <w:noProof/>
          <w:sz w:val="22"/>
          <w:szCs w:val="22"/>
          <w:bdr w:val="nil"/>
        </w:rPr>
        <w:t>ązku</w:t>
      </w:r>
      <w:r w:rsidR="00064166" w:rsidRPr="00064166">
        <w:rPr>
          <w:rFonts w:ascii="Times New Roman" w:hAnsi="Times New Roman"/>
          <w:noProof/>
          <w:sz w:val="22"/>
          <w:szCs w:val="22"/>
          <w:bdr w:val="nil"/>
        </w:rPr>
        <w:t xml:space="preserve"> z</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tym w</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kol</w:t>
      </w:r>
      <w:r w:rsidRPr="00064166">
        <w:rPr>
          <w:rFonts w:ascii="Times New Roman" w:hAnsi="Times New Roman"/>
          <w:noProof/>
          <w:sz w:val="22"/>
          <w:szCs w:val="22"/>
          <w:bdr w:val="nil"/>
        </w:rPr>
        <w:t>ejnej sekcji znajdującej się poniżej skoncentrowano się przede wszystkim na reakcji UE na pandemię COVID-19. Po niej następuje sekcja odnosząca się do przyszłości dotycząca gotowości na wypadek sytuacji kryzysowej,</w:t>
      </w:r>
      <w:r w:rsidR="00064166" w:rsidRPr="00064166">
        <w:rPr>
          <w:rFonts w:ascii="Times New Roman" w:hAnsi="Times New Roman"/>
          <w:noProof/>
          <w:sz w:val="22"/>
          <w:szCs w:val="22"/>
          <w:bdr w:val="nil"/>
        </w:rPr>
        <w:t xml:space="preserve"> w</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któ</w:t>
      </w:r>
      <w:r w:rsidRPr="00064166">
        <w:rPr>
          <w:rFonts w:ascii="Times New Roman" w:hAnsi="Times New Roman"/>
          <w:noProof/>
          <w:sz w:val="22"/>
          <w:szCs w:val="22"/>
          <w:bdr w:val="nil"/>
        </w:rPr>
        <w:t>rej określono zasady postępowania</w:t>
      </w:r>
      <w:r w:rsidR="00064166" w:rsidRPr="00064166">
        <w:rPr>
          <w:rFonts w:ascii="Times New Roman" w:hAnsi="Times New Roman"/>
          <w:noProof/>
          <w:sz w:val="22"/>
          <w:szCs w:val="22"/>
          <w:bdr w:val="nil"/>
        </w:rPr>
        <w:t xml:space="preserve"> w</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prz</w:t>
      </w:r>
      <w:r w:rsidRPr="00064166">
        <w:rPr>
          <w:rFonts w:ascii="Times New Roman" w:hAnsi="Times New Roman"/>
          <w:noProof/>
          <w:sz w:val="22"/>
          <w:szCs w:val="22"/>
          <w:bdr w:val="nil"/>
        </w:rPr>
        <w:t>ypadku zdarzeń awaryjnych</w:t>
      </w:r>
      <w:r w:rsidR="00064166" w:rsidRPr="00064166">
        <w:rPr>
          <w:rFonts w:ascii="Times New Roman" w:hAnsi="Times New Roman"/>
          <w:noProof/>
          <w:sz w:val="22"/>
          <w:szCs w:val="22"/>
          <w:bdr w:val="nil"/>
        </w:rPr>
        <w:t xml:space="preserve"> w</w:t>
      </w:r>
      <w:r w:rsidR="00064166">
        <w:rPr>
          <w:rFonts w:ascii="Times New Roman" w:hAnsi="Times New Roman"/>
          <w:noProof/>
          <w:sz w:val="22"/>
          <w:szCs w:val="22"/>
          <w:bdr w:val="nil"/>
        </w:rPr>
        <w:t> </w:t>
      </w:r>
      <w:r w:rsidR="00064166" w:rsidRPr="00064166">
        <w:rPr>
          <w:rFonts w:ascii="Times New Roman" w:hAnsi="Times New Roman"/>
          <w:noProof/>
          <w:sz w:val="22"/>
          <w:szCs w:val="22"/>
          <w:bdr w:val="nil"/>
        </w:rPr>
        <w:t>sek</w:t>
      </w:r>
      <w:r w:rsidRPr="00064166">
        <w:rPr>
          <w:rFonts w:ascii="Times New Roman" w:hAnsi="Times New Roman"/>
          <w:noProof/>
          <w:sz w:val="22"/>
          <w:szCs w:val="22"/>
          <w:bdr w:val="nil"/>
        </w:rPr>
        <w:t>torze transportu oraz przedstawiono zestaw narzędzi służących do prowadzenia działań.</w:t>
      </w:r>
    </w:p>
    <w:p w14:paraId="26225452" w14:textId="77777777" w:rsidR="00842BB5" w:rsidRPr="00064166" w:rsidRDefault="00842BB5" w:rsidP="00842BB5">
      <w:pPr>
        <w:pStyle w:val="ListParagraph"/>
        <w:ind w:left="0"/>
        <w:rPr>
          <w:rFonts w:ascii="Times New Roman" w:eastAsia="Times New Roman" w:hAnsi="Times New Roman" w:cs="Times New Roman"/>
          <w:noProof/>
          <w:sz w:val="22"/>
          <w:szCs w:val="22"/>
          <w:bdr w:val="nil"/>
          <w:lang w:eastAsia="en-GB"/>
        </w:rPr>
      </w:pPr>
    </w:p>
    <w:p w14:paraId="0E098DEE" w14:textId="35E1E01F" w:rsidR="00FC6378" w:rsidRPr="00064166" w:rsidRDefault="0068076F" w:rsidP="00D52E0D">
      <w:pPr>
        <w:pStyle w:val="Heading1"/>
        <w:rPr>
          <w:rFonts w:ascii="Times New Roman" w:hAnsi="Times New Roman"/>
          <w:noProof/>
        </w:rPr>
      </w:pPr>
      <w:r w:rsidRPr="00064166">
        <w:rPr>
          <w:rFonts w:ascii="Times New Roman" w:hAnsi="Times New Roman"/>
          <w:noProof/>
        </w:rPr>
        <w:t>Wspieranie</w:t>
      </w:r>
      <w:r w:rsidRPr="00064166">
        <w:rPr>
          <w:rStyle w:val="Hyperlink1"/>
          <w:noProof/>
        </w:rPr>
        <w:t xml:space="preserve"> </w:t>
      </w:r>
      <w:r w:rsidRPr="00064166">
        <w:rPr>
          <w:rStyle w:val="Hyperlink1"/>
          <w:noProof/>
          <w:sz w:val="22"/>
          <w:szCs w:val="22"/>
        </w:rPr>
        <w:t>sektora transportu</w:t>
      </w:r>
      <w:r w:rsidR="00064166" w:rsidRPr="00064166">
        <w:rPr>
          <w:rStyle w:val="Hyperlink1"/>
          <w:noProof/>
          <w:sz w:val="22"/>
          <w:szCs w:val="22"/>
        </w:rPr>
        <w:t xml:space="preserve"> w</w:t>
      </w:r>
      <w:r w:rsidR="00064166">
        <w:rPr>
          <w:rStyle w:val="Hyperlink1"/>
          <w:noProof/>
          <w:sz w:val="22"/>
          <w:szCs w:val="22"/>
        </w:rPr>
        <w:t> </w:t>
      </w:r>
      <w:r w:rsidR="00064166" w:rsidRPr="00064166">
        <w:rPr>
          <w:rStyle w:val="Hyperlink1"/>
          <w:noProof/>
          <w:sz w:val="22"/>
          <w:szCs w:val="22"/>
        </w:rPr>
        <w:t>cza</w:t>
      </w:r>
      <w:r w:rsidRPr="00064166">
        <w:rPr>
          <w:rStyle w:val="Hyperlink1"/>
          <w:noProof/>
          <w:sz w:val="22"/>
          <w:szCs w:val="22"/>
        </w:rPr>
        <w:t>sie kryzysu</w:t>
      </w:r>
    </w:p>
    <w:p w14:paraId="1F96A985" w14:textId="3A3EB2E4" w:rsidR="00FC6378" w:rsidRPr="00064166" w:rsidRDefault="00FC6378" w:rsidP="00FC6378">
      <w:pPr>
        <w:pStyle w:val="LegalNumPar"/>
        <w:spacing w:line="276" w:lineRule="auto"/>
        <w:rPr>
          <w:rFonts w:eastAsia="Times New Roman" w:cs="Times New Roman"/>
          <w:noProof/>
          <w:color w:val="auto"/>
          <w:sz w:val="22"/>
          <w:szCs w:val="22"/>
        </w:rPr>
      </w:pPr>
      <w:r w:rsidRPr="00064166">
        <w:rPr>
          <w:b/>
          <w:bCs/>
          <w:noProof/>
          <w:color w:val="auto"/>
          <w:sz w:val="22"/>
          <w:szCs w:val="22"/>
        </w:rPr>
        <w:t>UE szybko podjęła działania, aby rozwiązać problemy spowodowane przez COVID-19</w:t>
      </w:r>
      <w:r w:rsidR="00064166" w:rsidRPr="00064166">
        <w:rPr>
          <w:b/>
          <w:bCs/>
          <w:noProof/>
          <w:color w:val="auto"/>
          <w:sz w:val="22"/>
          <w:szCs w:val="22"/>
        </w:rPr>
        <w:t xml:space="preserve"> i</w:t>
      </w:r>
      <w:r w:rsidR="00064166">
        <w:rPr>
          <w:b/>
          <w:bCs/>
          <w:noProof/>
          <w:color w:val="auto"/>
          <w:sz w:val="22"/>
          <w:szCs w:val="22"/>
        </w:rPr>
        <w:t> </w:t>
      </w:r>
      <w:r w:rsidR="00064166" w:rsidRPr="00064166">
        <w:rPr>
          <w:b/>
          <w:bCs/>
          <w:noProof/>
          <w:color w:val="auto"/>
          <w:sz w:val="22"/>
          <w:szCs w:val="22"/>
        </w:rPr>
        <w:t>prz</w:t>
      </w:r>
      <w:r w:rsidR="0052698C" w:rsidRPr="00064166">
        <w:rPr>
          <w:b/>
          <w:bCs/>
          <w:noProof/>
          <w:color w:val="auto"/>
          <w:sz w:val="22"/>
          <w:szCs w:val="22"/>
        </w:rPr>
        <w:t>ywrócić jakość sieci połączeń.</w:t>
      </w:r>
      <w:r w:rsidRPr="00064166">
        <w:rPr>
          <w:b/>
          <w:bCs/>
          <w:noProof/>
          <w:color w:val="auto"/>
          <w:sz w:val="22"/>
          <w:szCs w:val="22"/>
        </w:rPr>
        <w:t xml:space="preserve"> </w:t>
      </w:r>
      <w:r w:rsidRPr="00064166">
        <w:rPr>
          <w:noProof/>
          <w:color w:val="auto"/>
          <w:sz w:val="22"/>
          <w:szCs w:val="22"/>
        </w:rPr>
        <w:t>Reakcja skupiła się na zapewnieniu nieprzerwanego przepływu towarów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świ</w:t>
      </w:r>
      <w:r w:rsidRPr="00064166">
        <w:rPr>
          <w:noProof/>
          <w:color w:val="auto"/>
          <w:sz w:val="22"/>
          <w:szCs w:val="22"/>
        </w:rPr>
        <w:t>adczenia usług transportowych bez opóźnień. Pandemia COVID-19 uwidoczniła jednak również, jak podział odpowiedzialności między państwami członkowskimi UE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waż</w:t>
      </w:r>
      <w:r w:rsidRPr="00064166">
        <w:rPr>
          <w:noProof/>
          <w:color w:val="auto"/>
          <w:sz w:val="22"/>
          <w:szCs w:val="22"/>
        </w:rPr>
        <w:t>nych kwestiach, takich jak zdrowie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kon</w:t>
      </w:r>
      <w:r w:rsidRPr="00064166">
        <w:rPr>
          <w:noProof/>
          <w:color w:val="auto"/>
          <w:sz w:val="22"/>
          <w:szCs w:val="22"/>
        </w:rPr>
        <w:t>trola graniczna, może utrudniać szybką</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sko</w:t>
      </w:r>
      <w:r w:rsidRPr="00064166">
        <w:rPr>
          <w:noProof/>
          <w:color w:val="auto"/>
          <w:sz w:val="22"/>
          <w:szCs w:val="22"/>
        </w:rPr>
        <w:t xml:space="preserve">ordynowaną reakcję polityczną. </w:t>
      </w:r>
    </w:p>
    <w:p w14:paraId="71F226C9" w14:textId="0E708B9E" w:rsidR="00FC6378" w:rsidRPr="00064166" w:rsidRDefault="00FC6378" w:rsidP="00FC6378">
      <w:pPr>
        <w:pStyle w:val="NormalWeb"/>
        <w:shd w:val="clear" w:color="auto" w:fill="FFFFFF" w:themeFill="background1"/>
        <w:spacing w:before="240" w:beforeAutospacing="0" w:after="240" w:afterAutospacing="0" w:line="276" w:lineRule="auto"/>
        <w:rPr>
          <w:rFonts w:eastAsiaTheme="minorEastAsia"/>
          <w:b/>
          <w:bCs/>
          <w:noProof/>
          <w:sz w:val="22"/>
          <w:szCs w:val="22"/>
        </w:rPr>
      </w:pPr>
      <w:r w:rsidRPr="00064166">
        <w:rPr>
          <w:b/>
          <w:bCs/>
          <w:noProof/>
          <w:sz w:val="22"/>
          <w:szCs w:val="22"/>
        </w:rPr>
        <w:t xml:space="preserve">2.1 </w:t>
      </w:r>
      <w:r w:rsidRPr="00064166">
        <w:rPr>
          <w:rStyle w:val="Heading2Char"/>
          <w:noProof/>
        </w:rPr>
        <w:t>Koordynowanie, monitorowanie</w:t>
      </w:r>
      <w:r w:rsidR="00064166" w:rsidRPr="00064166">
        <w:rPr>
          <w:rStyle w:val="Heading2Char"/>
          <w:noProof/>
        </w:rPr>
        <w:t xml:space="preserve"> i</w:t>
      </w:r>
      <w:r w:rsidR="00064166">
        <w:rPr>
          <w:rStyle w:val="Heading2Char"/>
          <w:noProof/>
        </w:rPr>
        <w:t> </w:t>
      </w:r>
      <w:r w:rsidR="00064166" w:rsidRPr="00064166">
        <w:rPr>
          <w:rStyle w:val="Heading2Char"/>
          <w:noProof/>
        </w:rPr>
        <w:t>dos</w:t>
      </w:r>
      <w:r w:rsidRPr="00064166">
        <w:rPr>
          <w:rStyle w:val="Heading2Char"/>
          <w:noProof/>
        </w:rPr>
        <w:t>tarczanie informacji</w:t>
      </w:r>
    </w:p>
    <w:p w14:paraId="71C6D431" w14:textId="4FADE806" w:rsidR="00BC6D87" w:rsidRPr="00064166" w:rsidRDefault="00CC0E2F" w:rsidP="00BA1004">
      <w:pPr>
        <w:pStyle w:val="NormalWeb"/>
        <w:shd w:val="clear" w:color="auto" w:fill="FFFFFF" w:themeFill="background1"/>
        <w:spacing w:before="150" w:beforeAutospacing="0" w:after="240" w:afterAutospacing="0" w:line="276" w:lineRule="auto"/>
        <w:rPr>
          <w:noProof/>
          <w:sz w:val="22"/>
          <w:szCs w:val="22"/>
          <w:bdr w:val="nil"/>
        </w:rPr>
      </w:pPr>
      <w:r w:rsidRPr="00064166">
        <w:rPr>
          <w:b/>
          <w:bCs/>
          <w:noProof/>
          <w:sz w:val="22"/>
          <w:szCs w:val="22"/>
          <w:bdr w:val="nil"/>
        </w:rPr>
        <w:t>Sieć krajowych punktów kontaktowych ds. transportu przyczyniła się do poprawy koordynacji</w:t>
      </w:r>
      <w:r w:rsidR="00064166" w:rsidRPr="00064166">
        <w:rPr>
          <w:b/>
          <w:bCs/>
          <w:noProof/>
          <w:sz w:val="22"/>
          <w:szCs w:val="22"/>
          <w:bdr w:val="nil"/>
        </w:rPr>
        <w:t xml:space="preserve"> w</w:t>
      </w:r>
      <w:r w:rsidR="00064166">
        <w:rPr>
          <w:b/>
          <w:bCs/>
          <w:noProof/>
          <w:sz w:val="22"/>
          <w:szCs w:val="22"/>
          <w:bdr w:val="nil"/>
        </w:rPr>
        <w:t> </w:t>
      </w:r>
      <w:r w:rsidR="00064166" w:rsidRPr="00064166">
        <w:rPr>
          <w:b/>
          <w:bCs/>
          <w:noProof/>
          <w:sz w:val="22"/>
          <w:szCs w:val="22"/>
          <w:bdr w:val="nil"/>
        </w:rPr>
        <w:t>sek</w:t>
      </w:r>
      <w:r w:rsidRPr="00064166">
        <w:rPr>
          <w:b/>
          <w:bCs/>
          <w:noProof/>
          <w:sz w:val="22"/>
          <w:szCs w:val="22"/>
          <w:bdr w:val="nil"/>
        </w:rPr>
        <w:t xml:space="preserve">torze transportu. </w:t>
      </w:r>
      <w:r w:rsidRPr="00064166">
        <w:rPr>
          <w:bCs/>
          <w:noProof/>
          <w:sz w:val="22"/>
          <w:szCs w:val="22"/>
          <w:bdr w:val="nil"/>
        </w:rPr>
        <w:t xml:space="preserve">Koordynowaną </w:t>
      </w:r>
      <w:r w:rsidR="0052698C" w:rsidRPr="00064166">
        <w:rPr>
          <w:bCs/>
          <w:noProof/>
          <w:sz w:val="22"/>
          <w:szCs w:val="22"/>
          <w:bdr w:val="nil"/>
        </w:rPr>
        <w:t xml:space="preserve">przez Komisję sieć ustanowiono </w:t>
      </w:r>
      <w:r w:rsidRPr="00064166">
        <w:rPr>
          <w:bCs/>
          <w:noProof/>
          <w:sz w:val="22"/>
          <w:szCs w:val="22"/>
          <w:bdr w:val="nil"/>
        </w:rPr>
        <w:t>na mocy komunikatu</w:t>
      </w:r>
      <w:r w:rsidR="00064166" w:rsidRPr="00064166">
        <w:rPr>
          <w:bCs/>
          <w:noProof/>
          <w:sz w:val="22"/>
          <w:szCs w:val="22"/>
          <w:bdr w:val="nil"/>
        </w:rPr>
        <w:t xml:space="preserve"> w</w:t>
      </w:r>
      <w:r w:rsidR="00064166">
        <w:rPr>
          <w:bCs/>
          <w:noProof/>
          <w:sz w:val="22"/>
          <w:szCs w:val="22"/>
          <w:bdr w:val="nil"/>
        </w:rPr>
        <w:t> </w:t>
      </w:r>
      <w:r w:rsidR="00064166" w:rsidRPr="00064166">
        <w:rPr>
          <w:bCs/>
          <w:noProof/>
          <w:sz w:val="22"/>
          <w:szCs w:val="22"/>
          <w:bdr w:val="nil"/>
        </w:rPr>
        <w:t>spr</w:t>
      </w:r>
      <w:r w:rsidRPr="00064166">
        <w:rPr>
          <w:bCs/>
          <w:noProof/>
          <w:sz w:val="22"/>
          <w:szCs w:val="22"/>
          <w:bdr w:val="nil"/>
        </w:rPr>
        <w:t>awie uprzywilejowanych korytarzy</w:t>
      </w:r>
      <w:r w:rsidR="00064166" w:rsidRPr="00064166">
        <w:rPr>
          <w:bCs/>
          <w:noProof/>
          <w:sz w:val="22"/>
          <w:szCs w:val="22"/>
          <w:bdr w:val="nil"/>
        </w:rPr>
        <w:t xml:space="preserve"> w</w:t>
      </w:r>
      <w:r w:rsidR="00064166">
        <w:rPr>
          <w:bCs/>
          <w:noProof/>
          <w:sz w:val="22"/>
          <w:szCs w:val="22"/>
          <w:bdr w:val="nil"/>
        </w:rPr>
        <w:t> </w:t>
      </w:r>
      <w:r w:rsidR="00064166" w:rsidRPr="00064166">
        <w:rPr>
          <w:bCs/>
          <w:noProof/>
          <w:sz w:val="22"/>
          <w:szCs w:val="22"/>
          <w:bdr w:val="nil"/>
        </w:rPr>
        <w:t>cel</w:t>
      </w:r>
      <w:r w:rsidRPr="00064166">
        <w:rPr>
          <w:bCs/>
          <w:noProof/>
          <w:sz w:val="22"/>
          <w:szCs w:val="22"/>
          <w:bdr w:val="nil"/>
        </w:rPr>
        <w:t>u rozwiązania szczególnych kwestii związanych</w:t>
      </w:r>
      <w:r w:rsidR="00064166" w:rsidRPr="00064166">
        <w:rPr>
          <w:bCs/>
          <w:noProof/>
          <w:sz w:val="22"/>
          <w:szCs w:val="22"/>
          <w:bdr w:val="nil"/>
        </w:rPr>
        <w:t xml:space="preserve"> z</w:t>
      </w:r>
      <w:r w:rsidR="00064166">
        <w:rPr>
          <w:bCs/>
          <w:noProof/>
          <w:sz w:val="22"/>
          <w:szCs w:val="22"/>
          <w:bdr w:val="nil"/>
        </w:rPr>
        <w:t> </w:t>
      </w:r>
      <w:r w:rsidR="00064166" w:rsidRPr="00064166">
        <w:rPr>
          <w:bCs/>
          <w:noProof/>
          <w:sz w:val="22"/>
          <w:szCs w:val="22"/>
          <w:bdr w:val="nil"/>
        </w:rPr>
        <w:t>tra</w:t>
      </w:r>
      <w:r w:rsidRPr="00064166">
        <w:rPr>
          <w:bCs/>
          <w:noProof/>
          <w:sz w:val="22"/>
          <w:szCs w:val="22"/>
          <w:bdr w:val="nil"/>
        </w:rPr>
        <w:t>nsportem.</w:t>
      </w:r>
      <w:r w:rsidRPr="00064166">
        <w:rPr>
          <w:noProof/>
          <w:sz w:val="22"/>
          <w:szCs w:val="22"/>
          <w:bdr w:val="nil"/>
        </w:rPr>
        <w:t xml:space="preserve"> </w:t>
      </w:r>
      <w:r w:rsidRPr="00064166">
        <w:rPr>
          <w:noProof/>
          <w:sz w:val="22"/>
          <w:szCs w:val="22"/>
        </w:rPr>
        <w:t>Sieć miała decydujący wpływ na zarządzanie kryzysowe</w:t>
      </w:r>
      <w:r w:rsidR="00064166" w:rsidRPr="00064166">
        <w:rPr>
          <w:noProof/>
          <w:sz w:val="22"/>
          <w:szCs w:val="22"/>
        </w:rPr>
        <w:t xml:space="preserve"> i</w:t>
      </w:r>
      <w:r w:rsidR="00064166">
        <w:rPr>
          <w:noProof/>
          <w:sz w:val="22"/>
          <w:szCs w:val="22"/>
        </w:rPr>
        <w:t> </w:t>
      </w:r>
      <w:r w:rsidR="00064166" w:rsidRPr="00064166">
        <w:rPr>
          <w:noProof/>
          <w:sz w:val="22"/>
          <w:szCs w:val="22"/>
        </w:rPr>
        <w:t>sta</w:t>
      </w:r>
      <w:r w:rsidRPr="00064166">
        <w:rPr>
          <w:noProof/>
          <w:sz w:val="22"/>
          <w:szCs w:val="22"/>
        </w:rPr>
        <w:t xml:space="preserve">nowi uzupełnienie </w:t>
      </w:r>
      <w:r w:rsidRPr="00064166">
        <w:rPr>
          <w:bCs/>
          <w:noProof/>
          <w:sz w:val="22"/>
          <w:szCs w:val="22"/>
          <w:bdr w:val="nil"/>
        </w:rPr>
        <w:t>unijnego mechanizmu reagowania na szczeblu politycznym</w:t>
      </w:r>
      <w:r w:rsidR="00064166" w:rsidRPr="00064166">
        <w:rPr>
          <w:bCs/>
          <w:noProof/>
          <w:sz w:val="22"/>
          <w:szCs w:val="22"/>
          <w:bdr w:val="nil"/>
        </w:rPr>
        <w:t xml:space="preserve"> w</w:t>
      </w:r>
      <w:r w:rsidR="00064166">
        <w:rPr>
          <w:bCs/>
          <w:noProof/>
          <w:sz w:val="22"/>
          <w:szCs w:val="22"/>
          <w:bdr w:val="nil"/>
        </w:rPr>
        <w:t> </w:t>
      </w:r>
      <w:r w:rsidR="00064166" w:rsidRPr="00064166">
        <w:rPr>
          <w:bCs/>
          <w:noProof/>
          <w:sz w:val="22"/>
          <w:szCs w:val="22"/>
          <w:bdr w:val="nil"/>
        </w:rPr>
        <w:t>syt</w:t>
      </w:r>
      <w:r w:rsidRPr="00064166">
        <w:rPr>
          <w:bCs/>
          <w:noProof/>
          <w:sz w:val="22"/>
          <w:szCs w:val="22"/>
          <w:bdr w:val="nil"/>
        </w:rPr>
        <w:t>uacjach kryzysowych (IPCR), który uruchomiono na samym początku kryzysu,</w:t>
      </w:r>
      <w:r w:rsidR="00064166" w:rsidRPr="00064166">
        <w:rPr>
          <w:bCs/>
          <w:noProof/>
          <w:sz w:val="22"/>
          <w:szCs w:val="22"/>
          <w:bdr w:val="nil"/>
        </w:rPr>
        <w:t xml:space="preserve"> w</w:t>
      </w:r>
      <w:r w:rsidR="00064166">
        <w:rPr>
          <w:bCs/>
          <w:noProof/>
          <w:sz w:val="22"/>
          <w:szCs w:val="22"/>
          <w:bdr w:val="nil"/>
        </w:rPr>
        <w:t> </w:t>
      </w:r>
      <w:r w:rsidR="00064166" w:rsidRPr="00064166">
        <w:rPr>
          <w:noProof/>
          <w:sz w:val="22"/>
          <w:szCs w:val="22"/>
          <w:bdr w:val="nil"/>
        </w:rPr>
        <w:t>sty</w:t>
      </w:r>
      <w:r w:rsidRPr="00064166">
        <w:rPr>
          <w:noProof/>
          <w:sz w:val="22"/>
          <w:szCs w:val="22"/>
          <w:bdr w:val="nil"/>
        </w:rPr>
        <w:t>czniu 2020</w:t>
      </w:r>
      <w:r w:rsidR="00064166" w:rsidRPr="00064166">
        <w:rPr>
          <w:noProof/>
          <w:sz w:val="22"/>
          <w:szCs w:val="22"/>
          <w:bdr w:val="nil"/>
        </w:rPr>
        <w:t> </w:t>
      </w:r>
      <w:r w:rsidRPr="00064166">
        <w:rPr>
          <w:noProof/>
          <w:sz w:val="22"/>
          <w:szCs w:val="22"/>
          <w:bdr w:val="nil"/>
        </w:rPr>
        <w:t>r.</w:t>
      </w:r>
    </w:p>
    <w:p w14:paraId="73C760A5" w14:textId="2E887208" w:rsidR="00C45D6F" w:rsidRPr="00064166" w:rsidRDefault="00A22406" w:rsidP="00BA1004">
      <w:pPr>
        <w:pStyle w:val="NormalWeb"/>
        <w:shd w:val="clear" w:color="auto" w:fill="FFFFFF" w:themeFill="background1"/>
        <w:spacing w:before="150" w:beforeAutospacing="0" w:after="240" w:afterAutospacing="0" w:line="276" w:lineRule="auto"/>
        <w:rPr>
          <w:noProof/>
          <w:sz w:val="22"/>
          <w:szCs w:val="22"/>
        </w:rPr>
      </w:pPr>
      <w:r w:rsidRPr="00064166">
        <w:rPr>
          <w:b/>
          <w:bCs/>
          <w:noProof/>
          <w:sz w:val="22"/>
          <w:szCs w:val="22"/>
        </w:rPr>
        <w:t>Dostarczanie informacji</w:t>
      </w:r>
      <w:r w:rsidR="00064166" w:rsidRPr="00064166">
        <w:rPr>
          <w:b/>
          <w:bCs/>
          <w:noProof/>
          <w:sz w:val="22"/>
          <w:szCs w:val="22"/>
        </w:rPr>
        <w:t xml:space="preserve"> w</w:t>
      </w:r>
      <w:r w:rsidR="00064166">
        <w:rPr>
          <w:b/>
          <w:bCs/>
          <w:noProof/>
          <w:sz w:val="22"/>
          <w:szCs w:val="22"/>
        </w:rPr>
        <w:t> </w:t>
      </w:r>
      <w:r w:rsidR="00064166" w:rsidRPr="00064166">
        <w:rPr>
          <w:b/>
          <w:bCs/>
          <w:noProof/>
          <w:sz w:val="22"/>
          <w:szCs w:val="22"/>
        </w:rPr>
        <w:t>cza</w:t>
      </w:r>
      <w:r w:rsidRPr="00064166">
        <w:rPr>
          <w:b/>
          <w:bCs/>
          <w:noProof/>
          <w:sz w:val="22"/>
          <w:szCs w:val="22"/>
        </w:rPr>
        <w:t xml:space="preserve">sie rzeczywistym stanowiło jednak wyzwanie. </w:t>
      </w:r>
      <w:r w:rsidRPr="00064166">
        <w:rPr>
          <w:bCs/>
          <w:noProof/>
          <w:sz w:val="22"/>
          <w:szCs w:val="22"/>
        </w:rPr>
        <w:t>Aktualne informacje miały zasadnicze znaczenie ze względu na stale zmieniającą się sytuację p</w:t>
      </w:r>
      <w:r w:rsidR="0052698C" w:rsidRPr="00064166">
        <w:rPr>
          <w:bCs/>
          <w:noProof/>
          <w:sz w:val="22"/>
          <w:szCs w:val="22"/>
        </w:rPr>
        <w:t>andemiczną, wymogi</w:t>
      </w:r>
      <w:r w:rsidR="00064166" w:rsidRPr="00064166">
        <w:rPr>
          <w:bCs/>
          <w:noProof/>
          <w:sz w:val="22"/>
          <w:szCs w:val="22"/>
        </w:rPr>
        <w:t xml:space="preserve"> i</w:t>
      </w:r>
      <w:r w:rsidR="00064166">
        <w:rPr>
          <w:bCs/>
          <w:noProof/>
          <w:sz w:val="22"/>
          <w:szCs w:val="22"/>
        </w:rPr>
        <w:t> </w:t>
      </w:r>
      <w:r w:rsidR="00064166" w:rsidRPr="00064166">
        <w:rPr>
          <w:bCs/>
          <w:noProof/>
          <w:sz w:val="22"/>
          <w:szCs w:val="22"/>
        </w:rPr>
        <w:t>prz</w:t>
      </w:r>
      <w:r w:rsidR="0052698C" w:rsidRPr="00064166">
        <w:rPr>
          <w:bCs/>
          <w:noProof/>
          <w:sz w:val="22"/>
          <w:szCs w:val="22"/>
        </w:rPr>
        <w:t xml:space="preserve">episy. </w:t>
      </w:r>
      <w:r w:rsidRPr="00064166">
        <w:rPr>
          <w:bCs/>
          <w:noProof/>
          <w:sz w:val="22"/>
          <w:szCs w:val="22"/>
        </w:rPr>
        <w:t>Strona</w:t>
      </w:r>
      <w:r w:rsidRPr="00064166">
        <w:rPr>
          <w:noProof/>
          <w:sz w:val="22"/>
          <w:szCs w:val="22"/>
        </w:rPr>
        <w:t xml:space="preserve"> internetowa Re-open EU</w:t>
      </w:r>
      <w:r w:rsidRPr="00064166">
        <w:rPr>
          <w:rStyle w:val="FootnoteReference"/>
          <w:noProof/>
          <w:sz w:val="22"/>
          <w:szCs w:val="22"/>
        </w:rPr>
        <w:footnoteReference w:id="12"/>
      </w:r>
      <w:r w:rsidR="00064166" w:rsidRPr="00064166">
        <w:rPr>
          <w:noProof/>
          <w:sz w:val="22"/>
          <w:szCs w:val="22"/>
        </w:rPr>
        <w:t xml:space="preserve"> i</w:t>
      </w:r>
      <w:r w:rsidR="00064166">
        <w:rPr>
          <w:noProof/>
          <w:sz w:val="22"/>
          <w:szCs w:val="22"/>
        </w:rPr>
        <w:t> </w:t>
      </w:r>
      <w:r w:rsidR="00064166" w:rsidRPr="00064166">
        <w:rPr>
          <w:noProof/>
          <w:sz w:val="22"/>
          <w:szCs w:val="22"/>
        </w:rPr>
        <w:t>apl</w:t>
      </w:r>
      <w:r w:rsidRPr="00064166">
        <w:rPr>
          <w:noProof/>
          <w:sz w:val="22"/>
          <w:szCs w:val="22"/>
        </w:rPr>
        <w:t>ikacja mobilna dostarczały informacji ludziom</w:t>
      </w:r>
      <w:r w:rsidR="00064166" w:rsidRPr="00064166">
        <w:rPr>
          <w:noProof/>
          <w:sz w:val="22"/>
          <w:szCs w:val="22"/>
        </w:rPr>
        <w:t xml:space="preserve"> i</w:t>
      </w:r>
      <w:r w:rsidR="00064166">
        <w:rPr>
          <w:noProof/>
          <w:sz w:val="22"/>
          <w:szCs w:val="22"/>
        </w:rPr>
        <w:t> </w:t>
      </w:r>
      <w:r w:rsidR="00064166" w:rsidRPr="00064166">
        <w:rPr>
          <w:noProof/>
          <w:sz w:val="22"/>
          <w:szCs w:val="22"/>
        </w:rPr>
        <w:t>prz</w:t>
      </w:r>
      <w:r w:rsidRPr="00064166">
        <w:rPr>
          <w:noProof/>
          <w:sz w:val="22"/>
          <w:szCs w:val="22"/>
        </w:rPr>
        <w:t>edsiębiorstwom</w:t>
      </w:r>
      <w:r w:rsidR="00064166" w:rsidRPr="00064166">
        <w:rPr>
          <w:noProof/>
          <w:sz w:val="22"/>
          <w:szCs w:val="22"/>
        </w:rPr>
        <w:t xml:space="preserve"> w</w:t>
      </w:r>
      <w:r w:rsidR="00064166">
        <w:rPr>
          <w:noProof/>
          <w:sz w:val="22"/>
          <w:szCs w:val="22"/>
        </w:rPr>
        <w:t> </w:t>
      </w:r>
      <w:r w:rsidR="00064166" w:rsidRPr="00064166">
        <w:rPr>
          <w:noProof/>
          <w:sz w:val="22"/>
          <w:szCs w:val="22"/>
        </w:rPr>
        <w:t>cał</w:t>
      </w:r>
      <w:r w:rsidRPr="00064166">
        <w:rPr>
          <w:noProof/>
          <w:sz w:val="22"/>
          <w:szCs w:val="22"/>
        </w:rPr>
        <w:t>ej UE. Portal Komisji Your Europe</w:t>
      </w:r>
      <w:r w:rsidRPr="00064166">
        <w:rPr>
          <w:rStyle w:val="FootnoteReference"/>
          <w:noProof/>
          <w:sz w:val="22"/>
          <w:szCs w:val="22"/>
        </w:rPr>
        <w:footnoteReference w:id="13"/>
      </w:r>
      <w:r w:rsidRPr="00064166">
        <w:rPr>
          <w:noProof/>
          <w:sz w:val="22"/>
          <w:szCs w:val="22"/>
        </w:rPr>
        <w:t xml:space="preserve"> był ważnym kanałem informacyjnym, który</w:t>
      </w:r>
      <w:r w:rsidR="00064166" w:rsidRPr="00064166">
        <w:rPr>
          <w:noProof/>
          <w:sz w:val="22"/>
          <w:szCs w:val="22"/>
        </w:rPr>
        <w:t xml:space="preserve"> w</w:t>
      </w:r>
      <w:r w:rsidR="00064166">
        <w:rPr>
          <w:noProof/>
          <w:sz w:val="22"/>
          <w:szCs w:val="22"/>
        </w:rPr>
        <w:t> </w:t>
      </w:r>
      <w:r w:rsidR="00064166" w:rsidRPr="00064166">
        <w:rPr>
          <w:noProof/>
          <w:sz w:val="22"/>
          <w:szCs w:val="22"/>
        </w:rPr>
        <w:t>lip</w:t>
      </w:r>
      <w:r w:rsidRPr="00064166">
        <w:rPr>
          <w:noProof/>
          <w:sz w:val="22"/>
          <w:szCs w:val="22"/>
        </w:rPr>
        <w:t>cu 2021</w:t>
      </w:r>
      <w:r w:rsidR="00064166" w:rsidRPr="00064166">
        <w:rPr>
          <w:noProof/>
          <w:sz w:val="22"/>
          <w:szCs w:val="22"/>
        </w:rPr>
        <w:t> </w:t>
      </w:r>
      <w:r w:rsidRPr="00064166">
        <w:rPr>
          <w:noProof/>
          <w:sz w:val="22"/>
          <w:szCs w:val="22"/>
        </w:rPr>
        <w:t>r. odwiedzono 9,9 mln razy. Narzędzia te odegrały ważną rolę</w:t>
      </w:r>
      <w:r w:rsidR="00064166" w:rsidRPr="00064166">
        <w:rPr>
          <w:noProof/>
          <w:sz w:val="22"/>
          <w:szCs w:val="22"/>
        </w:rPr>
        <w:t xml:space="preserve"> w</w:t>
      </w:r>
      <w:r w:rsidR="00064166">
        <w:rPr>
          <w:noProof/>
          <w:sz w:val="22"/>
          <w:szCs w:val="22"/>
        </w:rPr>
        <w:t> </w:t>
      </w:r>
      <w:r w:rsidR="00064166" w:rsidRPr="00064166">
        <w:rPr>
          <w:noProof/>
          <w:sz w:val="22"/>
          <w:szCs w:val="22"/>
        </w:rPr>
        <w:t>prz</w:t>
      </w:r>
      <w:r w:rsidRPr="00064166">
        <w:rPr>
          <w:noProof/>
          <w:sz w:val="22"/>
          <w:szCs w:val="22"/>
        </w:rPr>
        <w:t>ywróceniu bezpiec</w:t>
      </w:r>
      <w:r w:rsidR="0052698C" w:rsidRPr="00064166">
        <w:rPr>
          <w:noProof/>
          <w:sz w:val="22"/>
          <w:szCs w:val="22"/>
        </w:rPr>
        <w:t>znego podróżowania</w:t>
      </w:r>
      <w:r w:rsidR="00064166" w:rsidRPr="00064166">
        <w:rPr>
          <w:noProof/>
          <w:sz w:val="22"/>
          <w:szCs w:val="22"/>
        </w:rPr>
        <w:t xml:space="preserve"> i</w:t>
      </w:r>
      <w:r w:rsidR="00064166">
        <w:rPr>
          <w:noProof/>
          <w:sz w:val="22"/>
          <w:szCs w:val="22"/>
        </w:rPr>
        <w:t> </w:t>
      </w:r>
      <w:r w:rsidR="00064166" w:rsidRPr="00064166">
        <w:rPr>
          <w:noProof/>
          <w:sz w:val="22"/>
          <w:szCs w:val="22"/>
        </w:rPr>
        <w:t>tur</w:t>
      </w:r>
      <w:r w:rsidR="0052698C" w:rsidRPr="00064166">
        <w:rPr>
          <w:noProof/>
          <w:sz w:val="22"/>
          <w:szCs w:val="22"/>
        </w:rPr>
        <w:t>ystyki.</w:t>
      </w:r>
      <w:r w:rsidRPr="00064166">
        <w:rPr>
          <w:noProof/>
          <w:sz w:val="22"/>
          <w:szCs w:val="22"/>
        </w:rPr>
        <w:t xml:space="preserve"> Jednocześnie ze względu na częste zmiany przepisów oraz niedoskonały przepływ informacji między organami krajowymi</w:t>
      </w:r>
      <w:r w:rsidR="00064166" w:rsidRPr="00064166">
        <w:rPr>
          <w:noProof/>
          <w:sz w:val="22"/>
          <w:szCs w:val="22"/>
        </w:rPr>
        <w:t xml:space="preserve"> i</w:t>
      </w:r>
      <w:r w:rsidR="00064166">
        <w:rPr>
          <w:noProof/>
          <w:sz w:val="22"/>
          <w:szCs w:val="22"/>
        </w:rPr>
        <w:t> </w:t>
      </w:r>
      <w:r w:rsidR="00064166" w:rsidRPr="00064166">
        <w:rPr>
          <w:noProof/>
          <w:sz w:val="22"/>
          <w:szCs w:val="22"/>
        </w:rPr>
        <w:t>Kom</w:t>
      </w:r>
      <w:r w:rsidRPr="00064166">
        <w:rPr>
          <w:noProof/>
          <w:sz w:val="22"/>
          <w:szCs w:val="22"/>
        </w:rPr>
        <w:t>isją, informacje na temat niektórych przepisów były czasami nieaktualne</w:t>
      </w:r>
      <w:r w:rsidRPr="00064166">
        <w:rPr>
          <w:rStyle w:val="FootnoteReference"/>
          <w:noProof/>
          <w:sz w:val="22"/>
          <w:szCs w:val="22"/>
        </w:rPr>
        <w:footnoteReference w:id="14"/>
      </w:r>
      <w:r w:rsidRPr="00064166">
        <w:rPr>
          <w:noProof/>
          <w:sz w:val="22"/>
          <w:szCs w:val="22"/>
        </w:rPr>
        <w:t>.</w:t>
      </w:r>
      <w:r w:rsidR="0052698C" w:rsidRPr="00064166">
        <w:rPr>
          <w:noProof/>
          <w:sz w:val="22"/>
          <w:szCs w:val="22"/>
        </w:rPr>
        <w:t xml:space="preserve"> </w:t>
      </w:r>
      <w:r w:rsidRPr="00064166">
        <w:rPr>
          <w:noProof/>
          <w:sz w:val="22"/>
          <w:szCs w:val="22"/>
        </w:rPr>
        <w:t>Portal pomógł pasażerom, ale nie zawiera przepisów dotyczących p</w:t>
      </w:r>
      <w:r w:rsidR="0052698C" w:rsidRPr="00064166">
        <w:rPr>
          <w:noProof/>
          <w:sz w:val="22"/>
          <w:szCs w:val="22"/>
        </w:rPr>
        <w:t>racowników sektora transportu.</w:t>
      </w:r>
    </w:p>
    <w:p w14:paraId="42D39C18" w14:textId="501FD7D2" w:rsidR="00C45D6F" w:rsidRPr="00064166" w:rsidRDefault="00127AEA" w:rsidP="00BA1004">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b/>
          <w:bCs/>
          <w:i/>
          <w:noProof/>
          <w:sz w:val="22"/>
          <w:szCs w:val="22"/>
        </w:rPr>
      </w:pPr>
      <w:r w:rsidRPr="00064166">
        <w:rPr>
          <w:b/>
          <w:bCs/>
          <w:i/>
          <w:noProof/>
          <w:sz w:val="22"/>
          <w:szCs w:val="22"/>
        </w:rPr>
        <w:t>Rosyjska agresja na Ukrainę: koordynowanie, monitorowanie</w:t>
      </w:r>
      <w:r w:rsidR="00064166" w:rsidRPr="00064166">
        <w:rPr>
          <w:b/>
          <w:bCs/>
          <w:i/>
          <w:noProof/>
          <w:sz w:val="22"/>
          <w:szCs w:val="22"/>
        </w:rPr>
        <w:t xml:space="preserve"> i</w:t>
      </w:r>
      <w:r w:rsidR="00064166">
        <w:rPr>
          <w:b/>
          <w:bCs/>
          <w:i/>
          <w:noProof/>
          <w:sz w:val="22"/>
          <w:szCs w:val="22"/>
        </w:rPr>
        <w:t> </w:t>
      </w:r>
      <w:r w:rsidR="00064166" w:rsidRPr="00064166">
        <w:rPr>
          <w:b/>
          <w:bCs/>
          <w:i/>
          <w:noProof/>
          <w:sz w:val="22"/>
          <w:szCs w:val="22"/>
        </w:rPr>
        <w:t>udo</w:t>
      </w:r>
      <w:r w:rsidRPr="00064166">
        <w:rPr>
          <w:b/>
          <w:bCs/>
          <w:i/>
          <w:noProof/>
          <w:sz w:val="22"/>
          <w:szCs w:val="22"/>
        </w:rPr>
        <w:t xml:space="preserve">stępnianie informacji </w:t>
      </w:r>
    </w:p>
    <w:p w14:paraId="4B180BD3" w14:textId="2F545F1A" w:rsidR="00DD2007" w:rsidRPr="00064166" w:rsidRDefault="00C45D6F" w:rsidP="00BA1004">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bCs/>
          <w:noProof/>
          <w:sz w:val="22"/>
          <w:szCs w:val="22"/>
        </w:rPr>
      </w:pPr>
      <w:r w:rsidRPr="00064166">
        <w:rPr>
          <w:bCs/>
          <w:noProof/>
          <w:sz w:val="22"/>
          <w:szCs w:val="22"/>
        </w:rPr>
        <w:t>W pierwszych dniach po agresji wojskowej Rosji wobec Ukrainy ponownie zgromadzili się członkowie sieci krajowych punktów kontaktowych ds. transportu. Stanowi ona forum dla państw członkowskich, Komisji, innych organów UE,</w:t>
      </w:r>
      <w:r w:rsidR="00064166" w:rsidRPr="00064166">
        <w:rPr>
          <w:bCs/>
          <w:noProof/>
          <w:sz w:val="22"/>
          <w:szCs w:val="22"/>
        </w:rPr>
        <w:t xml:space="preserve"> a</w:t>
      </w:r>
      <w:r w:rsidR="00064166">
        <w:rPr>
          <w:bCs/>
          <w:noProof/>
          <w:sz w:val="22"/>
          <w:szCs w:val="22"/>
        </w:rPr>
        <w:t> </w:t>
      </w:r>
      <w:r w:rsidR="00064166" w:rsidRPr="00064166">
        <w:rPr>
          <w:bCs/>
          <w:noProof/>
          <w:sz w:val="22"/>
          <w:szCs w:val="22"/>
        </w:rPr>
        <w:t>cza</w:t>
      </w:r>
      <w:r w:rsidRPr="00064166">
        <w:rPr>
          <w:bCs/>
          <w:noProof/>
          <w:sz w:val="22"/>
          <w:szCs w:val="22"/>
        </w:rPr>
        <w:t>sem nawet dla przedstawicieli Ukrainy</w:t>
      </w:r>
      <w:r w:rsidR="00064166" w:rsidRPr="00064166">
        <w:rPr>
          <w:bCs/>
          <w:noProof/>
          <w:sz w:val="22"/>
          <w:szCs w:val="22"/>
        </w:rPr>
        <w:t>. W</w:t>
      </w:r>
      <w:r w:rsidR="00064166">
        <w:rPr>
          <w:bCs/>
          <w:noProof/>
          <w:sz w:val="22"/>
          <w:szCs w:val="22"/>
        </w:rPr>
        <w:t> </w:t>
      </w:r>
      <w:r w:rsidR="00064166" w:rsidRPr="00064166">
        <w:rPr>
          <w:bCs/>
          <w:noProof/>
          <w:sz w:val="22"/>
          <w:szCs w:val="22"/>
        </w:rPr>
        <w:t>ram</w:t>
      </w:r>
      <w:r w:rsidRPr="00064166">
        <w:rPr>
          <w:bCs/>
          <w:noProof/>
          <w:sz w:val="22"/>
          <w:szCs w:val="22"/>
        </w:rPr>
        <w:t>ach sieci omówiono</w:t>
      </w:r>
      <w:r w:rsidR="00064166" w:rsidRPr="00064166">
        <w:rPr>
          <w:bCs/>
          <w:noProof/>
          <w:sz w:val="22"/>
          <w:szCs w:val="22"/>
        </w:rPr>
        <w:t xml:space="preserve"> i</w:t>
      </w:r>
      <w:r w:rsidR="00064166">
        <w:rPr>
          <w:bCs/>
          <w:noProof/>
          <w:sz w:val="22"/>
          <w:szCs w:val="22"/>
        </w:rPr>
        <w:t> </w:t>
      </w:r>
      <w:r w:rsidR="00064166" w:rsidRPr="00064166">
        <w:rPr>
          <w:bCs/>
          <w:noProof/>
          <w:sz w:val="22"/>
          <w:szCs w:val="22"/>
        </w:rPr>
        <w:t>sko</w:t>
      </w:r>
      <w:r w:rsidRPr="00064166">
        <w:rPr>
          <w:bCs/>
          <w:noProof/>
          <w:sz w:val="22"/>
          <w:szCs w:val="22"/>
        </w:rPr>
        <w:t>ordynowano działania ukierunkowane na utworzenie nowych szlaków transportowych</w:t>
      </w:r>
      <w:r w:rsidR="00064166" w:rsidRPr="00064166">
        <w:rPr>
          <w:bCs/>
          <w:noProof/>
          <w:sz w:val="22"/>
          <w:szCs w:val="22"/>
        </w:rPr>
        <w:t xml:space="preserve"> i</w:t>
      </w:r>
      <w:r w:rsidR="00064166">
        <w:rPr>
          <w:bCs/>
          <w:noProof/>
          <w:sz w:val="22"/>
          <w:szCs w:val="22"/>
        </w:rPr>
        <w:t> </w:t>
      </w:r>
      <w:r w:rsidR="00064166" w:rsidRPr="00064166">
        <w:rPr>
          <w:bCs/>
          <w:noProof/>
          <w:sz w:val="22"/>
          <w:szCs w:val="22"/>
        </w:rPr>
        <w:t>łań</w:t>
      </w:r>
      <w:r w:rsidRPr="00064166">
        <w:rPr>
          <w:bCs/>
          <w:noProof/>
          <w:sz w:val="22"/>
          <w:szCs w:val="22"/>
        </w:rPr>
        <w:t>cuchów dostaw oraz utrzymanie istniejących szlaków</w:t>
      </w:r>
      <w:r w:rsidR="00064166" w:rsidRPr="00064166">
        <w:rPr>
          <w:bCs/>
          <w:noProof/>
          <w:sz w:val="22"/>
          <w:szCs w:val="22"/>
        </w:rPr>
        <w:t xml:space="preserve"> i</w:t>
      </w:r>
      <w:r w:rsidR="00064166">
        <w:rPr>
          <w:bCs/>
          <w:noProof/>
          <w:sz w:val="22"/>
          <w:szCs w:val="22"/>
        </w:rPr>
        <w:t> </w:t>
      </w:r>
      <w:r w:rsidR="00064166" w:rsidRPr="00064166">
        <w:rPr>
          <w:bCs/>
          <w:noProof/>
          <w:sz w:val="22"/>
          <w:szCs w:val="22"/>
        </w:rPr>
        <w:t>łań</w:t>
      </w:r>
      <w:r w:rsidRPr="00064166">
        <w:rPr>
          <w:bCs/>
          <w:noProof/>
          <w:sz w:val="22"/>
          <w:szCs w:val="22"/>
        </w:rPr>
        <w:t>cuchów dostaw do</w:t>
      </w:r>
      <w:r w:rsidR="00064166" w:rsidRPr="00064166">
        <w:rPr>
          <w:bCs/>
          <w:noProof/>
          <w:sz w:val="22"/>
          <w:szCs w:val="22"/>
        </w:rPr>
        <w:t xml:space="preserve"> i</w:t>
      </w:r>
      <w:r w:rsidR="00064166">
        <w:rPr>
          <w:bCs/>
          <w:noProof/>
          <w:sz w:val="22"/>
          <w:szCs w:val="22"/>
        </w:rPr>
        <w:t> </w:t>
      </w:r>
      <w:r w:rsidR="00064166" w:rsidRPr="00064166">
        <w:rPr>
          <w:bCs/>
          <w:noProof/>
          <w:sz w:val="22"/>
          <w:szCs w:val="22"/>
        </w:rPr>
        <w:t>z</w:t>
      </w:r>
      <w:r w:rsidR="00064166">
        <w:rPr>
          <w:bCs/>
          <w:noProof/>
          <w:sz w:val="22"/>
          <w:szCs w:val="22"/>
        </w:rPr>
        <w:t> </w:t>
      </w:r>
      <w:r w:rsidR="00064166" w:rsidRPr="00064166">
        <w:rPr>
          <w:bCs/>
          <w:noProof/>
          <w:sz w:val="22"/>
          <w:szCs w:val="22"/>
        </w:rPr>
        <w:t>Ukr</w:t>
      </w:r>
      <w:r w:rsidRPr="00064166">
        <w:rPr>
          <w:bCs/>
          <w:noProof/>
          <w:sz w:val="22"/>
          <w:szCs w:val="22"/>
        </w:rPr>
        <w:t>ainy.</w:t>
      </w:r>
    </w:p>
    <w:p w14:paraId="748A85F3" w14:textId="77777777" w:rsidR="00FC6378" w:rsidRPr="00064166" w:rsidRDefault="00FC6378" w:rsidP="00890948">
      <w:pPr>
        <w:pStyle w:val="Heading2"/>
        <w:numPr>
          <w:ilvl w:val="0"/>
          <w:numId w:val="0"/>
        </w:numPr>
        <w:ind w:left="576" w:hanging="576"/>
        <w:rPr>
          <w:noProof/>
        </w:rPr>
      </w:pPr>
      <w:r w:rsidRPr="00064166">
        <w:rPr>
          <w:noProof/>
        </w:rPr>
        <w:t xml:space="preserve">2.2 Odblokowanie transportu towarowego </w:t>
      </w:r>
    </w:p>
    <w:p w14:paraId="0141B57D" w14:textId="48396D44" w:rsidR="004F7F40" w:rsidRPr="00064166" w:rsidRDefault="00FC6378" w:rsidP="00CC0E2F">
      <w:pPr>
        <w:pStyle w:val="LegalNumPar"/>
        <w:spacing w:line="276" w:lineRule="auto"/>
        <w:rPr>
          <w:rFonts w:eastAsia="Times New Roman" w:cs="Times New Roman"/>
          <w:noProof/>
          <w:color w:val="auto"/>
          <w:sz w:val="22"/>
          <w:szCs w:val="22"/>
        </w:rPr>
      </w:pPr>
      <w:r w:rsidRPr="00064166">
        <w:rPr>
          <w:b/>
          <w:bCs/>
          <w:noProof/>
          <w:color w:val="auto"/>
          <w:sz w:val="22"/>
          <w:szCs w:val="22"/>
        </w:rPr>
        <w:t>System uprzywilejowanych korytarzy</w:t>
      </w:r>
      <w:r w:rsidRPr="00064166">
        <w:rPr>
          <w:rStyle w:val="FootnoteReference"/>
          <w:rFonts w:eastAsia="Times New Roman" w:cs="Times New Roman"/>
          <w:b/>
          <w:bCs/>
          <w:noProof/>
          <w:color w:val="auto"/>
          <w:sz w:val="22"/>
          <w:szCs w:val="22"/>
        </w:rPr>
        <w:footnoteReference w:id="15"/>
      </w:r>
      <w:r w:rsidRPr="00064166">
        <w:rPr>
          <w:b/>
          <w:bCs/>
          <w:noProof/>
          <w:color w:val="auto"/>
          <w:sz w:val="22"/>
          <w:szCs w:val="22"/>
        </w:rPr>
        <w:t xml:space="preserve"> przyczynił się do utrzymania płynności ruchu w UE</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umo</w:t>
      </w:r>
      <w:r w:rsidRPr="00064166">
        <w:rPr>
          <w:b/>
          <w:noProof/>
          <w:color w:val="auto"/>
          <w:sz w:val="22"/>
          <w:szCs w:val="22"/>
        </w:rPr>
        <w:t>żliwił pracownikom sektora transportu przekraczanie granic</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spo</w:t>
      </w:r>
      <w:r w:rsidRPr="00064166">
        <w:rPr>
          <w:b/>
          <w:noProof/>
          <w:color w:val="auto"/>
          <w:sz w:val="22"/>
          <w:szCs w:val="22"/>
        </w:rPr>
        <w:t>sób niedyskryminujący.</w:t>
      </w:r>
      <w:r w:rsidRPr="00064166">
        <w:rPr>
          <w:noProof/>
          <w:color w:val="auto"/>
          <w:sz w:val="22"/>
          <w:szCs w:val="22"/>
        </w:rPr>
        <w:t xml:space="preserve"> Komisja wezwała państwa członkowskie do wyznaczenia przejść granicznych na granicach wewnętrznych transeuropejskiej sieci transportowej (TEN-T) jako uprzywilejowanych korytarzy,</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prz</w:t>
      </w:r>
      <w:r w:rsidRPr="00064166">
        <w:rPr>
          <w:noProof/>
          <w:color w:val="auto"/>
          <w:sz w:val="22"/>
          <w:szCs w:val="22"/>
        </w:rPr>
        <w:t>ypadku których mają zastosowanie określone przepisy. Przejazd przez te uprzywilejowane korytarze powinien zajmować mniej niż 15 minut na wewnętrznych granicach lądowych,</w:t>
      </w:r>
      <w:r w:rsidR="00064166" w:rsidRPr="00064166">
        <w:rPr>
          <w:noProof/>
          <w:color w:val="auto"/>
          <w:sz w:val="22"/>
          <w:szCs w:val="22"/>
        </w:rPr>
        <w:t xml:space="preserve"> a</w:t>
      </w:r>
      <w:r w:rsidR="00064166">
        <w:rPr>
          <w:noProof/>
          <w:color w:val="auto"/>
          <w:sz w:val="22"/>
          <w:szCs w:val="22"/>
        </w:rPr>
        <w:t> </w:t>
      </w:r>
      <w:r w:rsidR="00064166" w:rsidRPr="00064166">
        <w:rPr>
          <w:noProof/>
          <w:color w:val="auto"/>
          <w:sz w:val="22"/>
          <w:szCs w:val="22"/>
        </w:rPr>
        <w:t>prz</w:t>
      </w:r>
      <w:r w:rsidRPr="00064166">
        <w:rPr>
          <w:noProof/>
          <w:color w:val="auto"/>
          <w:sz w:val="22"/>
          <w:szCs w:val="22"/>
        </w:rPr>
        <w:t xml:space="preserve">ejścia te powinny być otwarte dla wszystkich pojazdów towarowych przewożących dowolny rodzaj towarów. </w:t>
      </w:r>
    </w:p>
    <w:p w14:paraId="50DC39C7" w14:textId="77E3D5F8" w:rsidR="00BD4FAD" w:rsidRPr="00064166" w:rsidRDefault="00FC6378" w:rsidP="00CC0E2F">
      <w:pPr>
        <w:pStyle w:val="LegalNumPar"/>
        <w:spacing w:line="276" w:lineRule="auto"/>
        <w:rPr>
          <w:rFonts w:eastAsia="Times New Roman" w:cs="Times New Roman"/>
          <w:noProof/>
          <w:color w:val="auto"/>
          <w:sz w:val="22"/>
          <w:szCs w:val="22"/>
        </w:rPr>
      </w:pPr>
      <w:r w:rsidRPr="00064166">
        <w:rPr>
          <w:noProof/>
          <w:color w:val="auto"/>
          <w:sz w:val="22"/>
          <w:szCs w:val="22"/>
        </w:rPr>
        <w:t>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pow</w:t>
      </w:r>
      <w:r w:rsidRPr="00064166">
        <w:rPr>
          <w:noProof/>
          <w:color w:val="auto"/>
          <w:sz w:val="22"/>
          <w:szCs w:val="22"/>
        </w:rPr>
        <w:t>szechną opinią zainteresowanych stron</w:t>
      </w:r>
      <w:r w:rsidRPr="00064166">
        <w:rPr>
          <w:rStyle w:val="FootnoteReference"/>
          <w:rFonts w:eastAsia="Times New Roman" w:cs="Times New Roman"/>
          <w:noProof/>
          <w:color w:val="auto"/>
          <w:sz w:val="22"/>
          <w:szCs w:val="22"/>
        </w:rPr>
        <w:footnoteReference w:id="16"/>
      </w:r>
      <w:r w:rsidRPr="00064166">
        <w:rPr>
          <w:noProof/>
          <w:color w:val="auto"/>
          <w:sz w:val="22"/>
          <w:szCs w:val="22"/>
        </w:rPr>
        <w:t xml:space="preserve"> uprzywilejowane korytarze odniosły natychmiastowy skutek</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pos</w:t>
      </w:r>
      <w:r w:rsidRPr="00064166">
        <w:rPr>
          <w:noProof/>
          <w:color w:val="auto"/>
          <w:sz w:val="22"/>
          <w:szCs w:val="22"/>
        </w:rPr>
        <w:t>taci zapewnienia nieprzerwanych usług transportowych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ogr</w:t>
      </w:r>
      <w:r w:rsidRPr="00064166">
        <w:rPr>
          <w:noProof/>
          <w:color w:val="auto"/>
          <w:sz w:val="22"/>
          <w:szCs w:val="22"/>
        </w:rPr>
        <w:t>aniczenia zakłóceń</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łań</w:t>
      </w:r>
      <w:r w:rsidRPr="00064166">
        <w:rPr>
          <w:noProof/>
          <w:color w:val="auto"/>
          <w:sz w:val="22"/>
          <w:szCs w:val="22"/>
        </w:rPr>
        <w:t>cuchach dostaw. Przyczyniło się to do zmniejszenia skutków gospodarczych ograniczeń związanych z COVID-19</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odn</w:t>
      </w:r>
      <w:r w:rsidRPr="00064166">
        <w:rPr>
          <w:noProof/>
          <w:color w:val="auto"/>
          <w:sz w:val="22"/>
          <w:szCs w:val="22"/>
        </w:rPr>
        <w:t>iesieniu do przedsiębiorstw transportowych oraz przyczyniło się do ożywienia gospodarczego w UE. Dzięki przepisom dotyczącym urządzeń sanitarnych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mie</w:t>
      </w:r>
      <w:r w:rsidRPr="00064166">
        <w:rPr>
          <w:noProof/>
          <w:color w:val="auto"/>
          <w:sz w:val="22"/>
          <w:szCs w:val="22"/>
        </w:rPr>
        <w:t>jsc odpoczynku przedmiotowe korytarze zapewniły również zdrowie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bez</w:t>
      </w:r>
      <w:r w:rsidRPr="00064166">
        <w:rPr>
          <w:noProof/>
          <w:color w:val="auto"/>
          <w:sz w:val="22"/>
          <w:szCs w:val="22"/>
        </w:rPr>
        <w:t xml:space="preserve">pieczeństwo pracownikom sektora transportu. Środek ten okazał się sukcesem: codzienne monitorowanie prowadzone przez </w:t>
      </w:r>
      <w:r w:rsidRPr="00064166">
        <w:rPr>
          <w:noProof/>
          <w:color w:val="auto"/>
          <w:sz w:val="22"/>
          <w:szCs w:val="22"/>
          <w:bdr w:val="none" w:sz="0" w:space="0" w:color="auto"/>
        </w:rPr>
        <w:t xml:space="preserve">Agencję Unii Europejskiej ds. Programu Kosmicznego </w:t>
      </w:r>
      <w:r w:rsidRPr="00064166">
        <w:rPr>
          <w:noProof/>
          <w:color w:val="auto"/>
          <w:sz w:val="22"/>
          <w:szCs w:val="22"/>
        </w:rPr>
        <w:t>pozwoliło stwierdzić, że średnic czas oczekiwania na przejściach granicznych wewnątrz strefy Schengen nie przekroczył progu 15 minut</w:t>
      </w:r>
      <w:r w:rsidRPr="00064166">
        <w:rPr>
          <w:rFonts w:eastAsia="Times New Roman" w:cs="Times New Roman"/>
          <w:noProof/>
          <w:color w:val="auto"/>
          <w:sz w:val="22"/>
          <w:szCs w:val="22"/>
          <w:vertAlign w:val="superscript"/>
        </w:rPr>
        <w:footnoteReference w:id="17"/>
      </w:r>
      <w:r w:rsidRPr="00064166">
        <w:rPr>
          <w:noProof/>
          <w:color w:val="auto"/>
          <w:sz w:val="22"/>
          <w:szCs w:val="22"/>
        </w:rPr>
        <w:t xml:space="preserve">. </w:t>
      </w:r>
    </w:p>
    <w:p w14:paraId="2BA15812" w14:textId="645140EC" w:rsidR="00CC0E2F" w:rsidRPr="00064166" w:rsidRDefault="00772D3D" w:rsidP="00CC0E2F">
      <w:pPr>
        <w:pStyle w:val="LegalNumPar"/>
        <w:spacing w:line="276" w:lineRule="auto"/>
        <w:rPr>
          <w:rFonts w:eastAsia="Times New Roman" w:cs="Times New Roman"/>
          <w:noProof/>
          <w:color w:val="auto"/>
          <w:sz w:val="22"/>
          <w:szCs w:val="22"/>
        </w:rPr>
      </w:pPr>
      <w:r w:rsidRPr="00064166">
        <w:rPr>
          <w:noProof/>
          <w:lang w:val="en-GB" w:eastAsia="en-GB"/>
        </w:rPr>
        <w:drawing>
          <wp:inline distT="0" distB="0" distL="0" distR="0" wp14:anchorId="6DBDF6AE" wp14:editId="2230C695">
            <wp:extent cx="5909310" cy="2565779"/>
            <wp:effectExtent l="0" t="0" r="152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64166">
        <w:rPr>
          <w:bCs/>
          <w:noProof/>
          <w:sz w:val="18"/>
          <w:szCs w:val="18"/>
        </w:rPr>
        <w:t>Tabela 1: Średni czas przekraczania granicy</w:t>
      </w:r>
      <w:r w:rsidR="00064166" w:rsidRPr="00064166">
        <w:rPr>
          <w:bCs/>
          <w:noProof/>
          <w:sz w:val="18"/>
          <w:szCs w:val="18"/>
        </w:rPr>
        <w:t xml:space="preserve"> w</w:t>
      </w:r>
      <w:r w:rsidR="00064166">
        <w:rPr>
          <w:bCs/>
          <w:noProof/>
          <w:sz w:val="18"/>
          <w:szCs w:val="18"/>
        </w:rPr>
        <w:t> </w:t>
      </w:r>
      <w:r w:rsidR="00064166" w:rsidRPr="00064166">
        <w:rPr>
          <w:bCs/>
          <w:noProof/>
          <w:sz w:val="18"/>
          <w:szCs w:val="18"/>
        </w:rPr>
        <w:t>min</w:t>
      </w:r>
      <w:r w:rsidRPr="00064166">
        <w:rPr>
          <w:bCs/>
          <w:noProof/>
          <w:sz w:val="18"/>
          <w:szCs w:val="18"/>
        </w:rPr>
        <w:t>utach (wszystkie przejścia graniczne w UE)</w:t>
      </w:r>
      <w:r w:rsidR="00064166" w:rsidRPr="00064166">
        <w:rPr>
          <w:bCs/>
          <w:noProof/>
          <w:sz w:val="18"/>
          <w:szCs w:val="18"/>
        </w:rPr>
        <w:t xml:space="preserve"> i</w:t>
      </w:r>
      <w:r w:rsidR="00064166">
        <w:rPr>
          <w:bCs/>
          <w:noProof/>
          <w:sz w:val="18"/>
          <w:szCs w:val="18"/>
        </w:rPr>
        <w:t> </w:t>
      </w:r>
      <w:r w:rsidR="00064166" w:rsidRPr="00064166">
        <w:rPr>
          <w:bCs/>
          <w:noProof/>
          <w:sz w:val="18"/>
          <w:szCs w:val="18"/>
        </w:rPr>
        <w:t>jeg</w:t>
      </w:r>
      <w:r w:rsidRPr="00064166">
        <w:rPr>
          <w:bCs/>
          <w:noProof/>
          <w:sz w:val="18"/>
          <w:szCs w:val="18"/>
        </w:rPr>
        <w:t>o trend liniowy</w:t>
      </w:r>
      <w:r w:rsidR="00064166" w:rsidRPr="00064166">
        <w:rPr>
          <w:bCs/>
          <w:noProof/>
          <w:sz w:val="18"/>
          <w:szCs w:val="18"/>
        </w:rPr>
        <w:t xml:space="preserve"> w</w:t>
      </w:r>
      <w:r w:rsidR="00064166">
        <w:rPr>
          <w:bCs/>
          <w:noProof/>
          <w:sz w:val="18"/>
          <w:szCs w:val="18"/>
        </w:rPr>
        <w:t> </w:t>
      </w:r>
      <w:r w:rsidR="00064166" w:rsidRPr="00064166">
        <w:rPr>
          <w:bCs/>
          <w:noProof/>
          <w:sz w:val="18"/>
          <w:szCs w:val="18"/>
        </w:rPr>
        <w:t>okr</w:t>
      </w:r>
      <w:r w:rsidRPr="00064166">
        <w:rPr>
          <w:bCs/>
          <w:noProof/>
          <w:sz w:val="18"/>
          <w:szCs w:val="18"/>
        </w:rPr>
        <w:t>esie od czerwca 2020</w:t>
      </w:r>
      <w:r w:rsidR="00064166" w:rsidRPr="00064166">
        <w:rPr>
          <w:bCs/>
          <w:noProof/>
          <w:sz w:val="18"/>
          <w:szCs w:val="18"/>
        </w:rPr>
        <w:t> </w:t>
      </w:r>
      <w:r w:rsidRPr="00064166">
        <w:rPr>
          <w:bCs/>
          <w:noProof/>
          <w:sz w:val="18"/>
          <w:szCs w:val="18"/>
        </w:rPr>
        <w:t>r. do maja 2022</w:t>
      </w:r>
      <w:r w:rsidR="00064166" w:rsidRPr="00064166">
        <w:rPr>
          <w:bCs/>
          <w:noProof/>
          <w:sz w:val="18"/>
          <w:szCs w:val="18"/>
        </w:rPr>
        <w:t> </w:t>
      </w:r>
      <w:r w:rsidRPr="00064166">
        <w:rPr>
          <w:bCs/>
          <w:noProof/>
          <w:sz w:val="18"/>
          <w:szCs w:val="18"/>
        </w:rPr>
        <w:t>r.</w:t>
      </w:r>
      <w:r w:rsidR="00064166" w:rsidRPr="00064166">
        <w:rPr>
          <w:bCs/>
          <w:noProof/>
          <w:sz w:val="18"/>
          <w:szCs w:val="18"/>
        </w:rPr>
        <w:t xml:space="preserve"> w</w:t>
      </w:r>
      <w:r w:rsidR="00064166">
        <w:rPr>
          <w:bCs/>
          <w:noProof/>
          <w:sz w:val="18"/>
          <w:szCs w:val="18"/>
        </w:rPr>
        <w:t> </w:t>
      </w:r>
      <w:r w:rsidR="00064166" w:rsidRPr="00064166">
        <w:rPr>
          <w:bCs/>
          <w:noProof/>
          <w:sz w:val="18"/>
          <w:szCs w:val="18"/>
        </w:rPr>
        <w:t>uję</w:t>
      </w:r>
      <w:r w:rsidRPr="00064166">
        <w:rPr>
          <w:bCs/>
          <w:noProof/>
          <w:sz w:val="18"/>
          <w:szCs w:val="18"/>
        </w:rPr>
        <w:t>ciu tygodniowym.</w:t>
      </w:r>
      <w:r w:rsidRPr="00064166">
        <w:rPr>
          <w:bCs/>
          <w:noProof/>
          <w:sz w:val="22"/>
          <w:szCs w:val="22"/>
        </w:rPr>
        <w:t xml:space="preserve"> </w:t>
      </w:r>
    </w:p>
    <w:p w14:paraId="67BC6222" w14:textId="64426B84" w:rsidR="00FC6378" w:rsidRPr="00064166" w:rsidRDefault="00AE76EB" w:rsidP="00FC6378">
      <w:pPr>
        <w:pBdr>
          <w:top w:val="nil"/>
          <w:left w:val="nil"/>
          <w:bottom w:val="nil"/>
          <w:right w:val="nil"/>
          <w:between w:val="nil"/>
          <w:bar w:val="nil"/>
        </w:pBdr>
        <w:tabs>
          <w:tab w:val="left" w:pos="476"/>
        </w:tabs>
        <w:spacing w:line="276" w:lineRule="auto"/>
        <w:rPr>
          <w:noProof/>
          <w:sz w:val="22"/>
          <w:szCs w:val="22"/>
        </w:rPr>
      </w:pPr>
      <w:r w:rsidRPr="00064166">
        <w:rPr>
          <w:b/>
          <w:bCs/>
          <w:noProof/>
          <w:sz w:val="22"/>
          <w:szCs w:val="22"/>
          <w:bdr w:val="nil"/>
        </w:rPr>
        <w:t>Ponadto UE podjęła konkretne działania</w:t>
      </w:r>
      <w:r w:rsidR="00064166" w:rsidRPr="00064166">
        <w:rPr>
          <w:b/>
          <w:bCs/>
          <w:noProof/>
          <w:sz w:val="22"/>
          <w:szCs w:val="22"/>
          <w:bdr w:val="nil"/>
        </w:rPr>
        <w:t xml:space="preserve"> w</w:t>
      </w:r>
      <w:r w:rsidR="00064166">
        <w:rPr>
          <w:b/>
          <w:bCs/>
          <w:noProof/>
          <w:sz w:val="22"/>
          <w:szCs w:val="22"/>
          <w:bdr w:val="nil"/>
        </w:rPr>
        <w:t> </w:t>
      </w:r>
      <w:r w:rsidR="00064166" w:rsidRPr="00064166">
        <w:rPr>
          <w:b/>
          <w:bCs/>
          <w:noProof/>
          <w:sz w:val="22"/>
          <w:szCs w:val="22"/>
          <w:bdr w:val="nil"/>
        </w:rPr>
        <w:t>cel</w:t>
      </w:r>
      <w:r w:rsidRPr="00064166">
        <w:rPr>
          <w:b/>
          <w:bCs/>
          <w:noProof/>
          <w:sz w:val="22"/>
          <w:szCs w:val="22"/>
          <w:bdr w:val="nil"/>
        </w:rPr>
        <w:t>u zapewnienia możliwości zmiany lub interpretacji przepisów</w:t>
      </w:r>
      <w:r w:rsidR="00064166" w:rsidRPr="00064166">
        <w:rPr>
          <w:b/>
          <w:bCs/>
          <w:noProof/>
          <w:sz w:val="22"/>
          <w:szCs w:val="22"/>
          <w:bdr w:val="nil"/>
        </w:rPr>
        <w:t xml:space="preserve"> w</w:t>
      </w:r>
      <w:r w:rsidR="00064166">
        <w:rPr>
          <w:b/>
          <w:bCs/>
          <w:noProof/>
          <w:sz w:val="22"/>
          <w:szCs w:val="22"/>
          <w:bdr w:val="nil"/>
        </w:rPr>
        <w:t> </w:t>
      </w:r>
      <w:r w:rsidR="00064166" w:rsidRPr="00064166">
        <w:rPr>
          <w:b/>
          <w:bCs/>
          <w:noProof/>
          <w:sz w:val="22"/>
          <w:szCs w:val="22"/>
          <w:bdr w:val="nil"/>
        </w:rPr>
        <w:t>spo</w:t>
      </w:r>
      <w:r w:rsidRPr="00064166">
        <w:rPr>
          <w:b/>
          <w:bCs/>
          <w:noProof/>
          <w:sz w:val="22"/>
          <w:szCs w:val="22"/>
          <w:bdr w:val="nil"/>
        </w:rPr>
        <w:t>sób umożliwiający utrzymanie jakości sieci połączeń</w:t>
      </w:r>
      <w:r w:rsidR="00064166" w:rsidRPr="00064166">
        <w:rPr>
          <w:b/>
          <w:bCs/>
          <w:noProof/>
          <w:sz w:val="22"/>
          <w:szCs w:val="22"/>
          <w:bdr w:val="nil"/>
        </w:rPr>
        <w:t xml:space="preserve"> w</w:t>
      </w:r>
      <w:r w:rsidR="00064166">
        <w:rPr>
          <w:b/>
          <w:bCs/>
          <w:noProof/>
          <w:sz w:val="22"/>
          <w:szCs w:val="22"/>
          <w:bdr w:val="nil"/>
        </w:rPr>
        <w:t> </w:t>
      </w:r>
      <w:r w:rsidR="00064166" w:rsidRPr="00064166">
        <w:rPr>
          <w:b/>
          <w:bCs/>
          <w:noProof/>
          <w:sz w:val="22"/>
          <w:szCs w:val="22"/>
          <w:bdr w:val="nil"/>
        </w:rPr>
        <w:t>cza</w:t>
      </w:r>
      <w:r w:rsidRPr="00064166">
        <w:rPr>
          <w:b/>
          <w:bCs/>
          <w:noProof/>
          <w:sz w:val="22"/>
          <w:szCs w:val="22"/>
          <w:bdr w:val="nil"/>
        </w:rPr>
        <w:t>sie kryzysu.</w:t>
      </w:r>
      <w:r w:rsidRPr="00064166">
        <w:rPr>
          <w:noProof/>
          <w:sz w:val="22"/>
          <w:szCs w:val="22"/>
        </w:rPr>
        <w:t xml:space="preserve"> Niektóre przedsiębiorstwa transportowe nie były</w:t>
      </w:r>
      <w:r w:rsidR="00064166" w:rsidRPr="00064166">
        <w:rPr>
          <w:noProof/>
          <w:sz w:val="22"/>
          <w:szCs w:val="22"/>
        </w:rPr>
        <w:t xml:space="preserve"> w</w:t>
      </w:r>
      <w:r w:rsidR="00064166">
        <w:rPr>
          <w:noProof/>
          <w:sz w:val="22"/>
          <w:szCs w:val="22"/>
        </w:rPr>
        <w:t> </w:t>
      </w:r>
      <w:r w:rsidR="00064166" w:rsidRPr="00064166">
        <w:rPr>
          <w:noProof/>
          <w:sz w:val="22"/>
          <w:szCs w:val="22"/>
        </w:rPr>
        <w:t>sta</w:t>
      </w:r>
      <w:r w:rsidRPr="00064166">
        <w:rPr>
          <w:noProof/>
          <w:sz w:val="22"/>
          <w:szCs w:val="22"/>
        </w:rPr>
        <w:t>nie dopełnić niezbędnych procedur, aby zachować zgodność</w:t>
      </w:r>
      <w:r w:rsidR="00064166" w:rsidRPr="00064166">
        <w:rPr>
          <w:noProof/>
          <w:sz w:val="22"/>
          <w:szCs w:val="22"/>
        </w:rPr>
        <w:t xml:space="preserve"> z</w:t>
      </w:r>
      <w:r w:rsidR="00064166">
        <w:rPr>
          <w:noProof/>
          <w:sz w:val="22"/>
          <w:szCs w:val="22"/>
        </w:rPr>
        <w:t> </w:t>
      </w:r>
      <w:r w:rsidR="00064166" w:rsidRPr="00064166">
        <w:rPr>
          <w:noProof/>
          <w:sz w:val="22"/>
          <w:szCs w:val="22"/>
        </w:rPr>
        <w:t>prz</w:t>
      </w:r>
      <w:r w:rsidRPr="00064166">
        <w:rPr>
          <w:noProof/>
          <w:sz w:val="22"/>
          <w:szCs w:val="22"/>
        </w:rPr>
        <w:t>episami UE</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odnowienia lub przedłużenia ważności certyfikatów</w:t>
      </w:r>
      <w:r w:rsidR="00064166" w:rsidRPr="00064166">
        <w:rPr>
          <w:noProof/>
          <w:sz w:val="22"/>
          <w:szCs w:val="22"/>
        </w:rPr>
        <w:t xml:space="preserve"> i</w:t>
      </w:r>
      <w:r w:rsidR="00064166">
        <w:rPr>
          <w:noProof/>
          <w:sz w:val="22"/>
          <w:szCs w:val="22"/>
        </w:rPr>
        <w:t> </w:t>
      </w:r>
      <w:r w:rsidR="00064166" w:rsidRPr="00064166">
        <w:rPr>
          <w:noProof/>
          <w:sz w:val="22"/>
          <w:szCs w:val="22"/>
        </w:rPr>
        <w:t>świ</w:t>
      </w:r>
      <w:r w:rsidRPr="00064166">
        <w:rPr>
          <w:noProof/>
          <w:sz w:val="22"/>
          <w:szCs w:val="22"/>
        </w:rPr>
        <w:t>adectw (np. certyfikatu bezpieczeństwa), licencji (np. prawa jazdy) lub zezwoleń. Ze względu na ograniczenia</w:t>
      </w:r>
      <w:r w:rsidR="00064166" w:rsidRPr="00064166">
        <w:rPr>
          <w:noProof/>
          <w:sz w:val="22"/>
          <w:szCs w:val="22"/>
        </w:rPr>
        <w:t xml:space="preserve"> w</w:t>
      </w:r>
      <w:r w:rsidR="00064166">
        <w:rPr>
          <w:noProof/>
          <w:sz w:val="22"/>
          <w:szCs w:val="22"/>
        </w:rPr>
        <w:t> </w:t>
      </w:r>
      <w:r w:rsidR="00064166" w:rsidRPr="00064166">
        <w:rPr>
          <w:noProof/>
          <w:sz w:val="22"/>
          <w:szCs w:val="22"/>
        </w:rPr>
        <w:t>prz</w:t>
      </w:r>
      <w:r w:rsidRPr="00064166">
        <w:rPr>
          <w:noProof/>
          <w:sz w:val="22"/>
          <w:szCs w:val="22"/>
        </w:rPr>
        <w:t>emieszczaniu się państwa członkowskie nie mogły zapewnić terminowej realizacji odpowiednich badań, szkoleń ani kontroli wymaganych na mocy unijnych przepisów dotyczących transportu. Przyjmując rozporządzenie (UE) 2020/698</w:t>
      </w:r>
      <w:r w:rsidRPr="00064166">
        <w:rPr>
          <w:noProof/>
          <w:sz w:val="22"/>
          <w:szCs w:val="22"/>
          <w:vertAlign w:val="superscript"/>
        </w:rPr>
        <w:footnoteReference w:id="18"/>
      </w:r>
      <w:r w:rsidRPr="00064166">
        <w:rPr>
          <w:noProof/>
          <w:sz w:val="22"/>
          <w:szCs w:val="22"/>
        </w:rPr>
        <w:t xml:space="preserve"> (rozporządzenie zbiorcze I)</w:t>
      </w:r>
      <w:r w:rsidR="00064166" w:rsidRPr="00064166">
        <w:rPr>
          <w:noProof/>
          <w:sz w:val="22"/>
          <w:szCs w:val="22"/>
        </w:rPr>
        <w:t xml:space="preserve"> i</w:t>
      </w:r>
      <w:r w:rsidR="00064166">
        <w:rPr>
          <w:noProof/>
          <w:sz w:val="22"/>
          <w:szCs w:val="22"/>
        </w:rPr>
        <w:t> </w:t>
      </w:r>
      <w:r w:rsidR="00064166" w:rsidRPr="00064166">
        <w:rPr>
          <w:noProof/>
          <w:sz w:val="22"/>
          <w:szCs w:val="22"/>
        </w:rPr>
        <w:t>roz</w:t>
      </w:r>
      <w:r w:rsidRPr="00064166">
        <w:rPr>
          <w:noProof/>
          <w:sz w:val="22"/>
          <w:szCs w:val="22"/>
        </w:rPr>
        <w:t>porządzenie (UE) 2021/267</w:t>
      </w:r>
      <w:r w:rsidRPr="00064166">
        <w:rPr>
          <w:noProof/>
          <w:sz w:val="22"/>
          <w:szCs w:val="22"/>
          <w:vertAlign w:val="superscript"/>
        </w:rPr>
        <w:footnoteReference w:id="19"/>
      </w:r>
      <w:r w:rsidRPr="00064166">
        <w:rPr>
          <w:noProof/>
          <w:sz w:val="22"/>
          <w:szCs w:val="22"/>
        </w:rPr>
        <w:t xml:space="preserve"> (rozporządzenie zbiorcze II), UE przedłużyła okresy określone</w:t>
      </w:r>
      <w:r w:rsidR="00064166" w:rsidRPr="00064166">
        <w:rPr>
          <w:noProof/>
          <w:sz w:val="22"/>
          <w:szCs w:val="22"/>
        </w:rPr>
        <w:t xml:space="preserve"> w</w:t>
      </w:r>
      <w:r w:rsidR="00064166">
        <w:rPr>
          <w:noProof/>
          <w:sz w:val="22"/>
          <w:szCs w:val="22"/>
        </w:rPr>
        <w:t> </w:t>
      </w:r>
      <w:r w:rsidR="00064166" w:rsidRPr="00064166">
        <w:rPr>
          <w:noProof/>
          <w:sz w:val="22"/>
          <w:szCs w:val="22"/>
        </w:rPr>
        <w:t>odp</w:t>
      </w:r>
      <w:r w:rsidRPr="00064166">
        <w:rPr>
          <w:noProof/>
          <w:sz w:val="22"/>
          <w:szCs w:val="22"/>
        </w:rPr>
        <w:t>owiednich unijnych przepisach dotyczących transportu</w:t>
      </w:r>
      <w:r w:rsidR="00064166" w:rsidRPr="00064166">
        <w:rPr>
          <w:noProof/>
          <w:sz w:val="22"/>
          <w:szCs w:val="22"/>
        </w:rPr>
        <w:t xml:space="preserve"> w</w:t>
      </w:r>
      <w:r w:rsidR="00064166">
        <w:rPr>
          <w:noProof/>
          <w:sz w:val="22"/>
          <w:szCs w:val="22"/>
        </w:rPr>
        <w:t> </w:t>
      </w:r>
      <w:r w:rsidR="00064166" w:rsidRPr="00064166">
        <w:rPr>
          <w:noProof/>
          <w:sz w:val="22"/>
          <w:szCs w:val="22"/>
        </w:rPr>
        <w:t>odn</w:t>
      </w:r>
      <w:r w:rsidRPr="00064166">
        <w:rPr>
          <w:noProof/>
          <w:sz w:val="22"/>
          <w:szCs w:val="22"/>
        </w:rPr>
        <w:t>iesieniu do szkoleń, kontroli</w:t>
      </w:r>
      <w:r w:rsidR="00064166" w:rsidRPr="00064166">
        <w:rPr>
          <w:noProof/>
          <w:sz w:val="22"/>
          <w:szCs w:val="22"/>
        </w:rPr>
        <w:t xml:space="preserve"> i</w:t>
      </w:r>
      <w:r w:rsidR="00064166">
        <w:rPr>
          <w:noProof/>
          <w:sz w:val="22"/>
          <w:szCs w:val="22"/>
        </w:rPr>
        <w:t> </w:t>
      </w:r>
      <w:r w:rsidR="00064166" w:rsidRPr="00064166">
        <w:rPr>
          <w:noProof/>
          <w:sz w:val="22"/>
          <w:szCs w:val="22"/>
        </w:rPr>
        <w:t>wyd</w:t>
      </w:r>
      <w:r w:rsidRPr="00064166">
        <w:rPr>
          <w:noProof/>
          <w:sz w:val="22"/>
          <w:szCs w:val="22"/>
        </w:rPr>
        <w:t>awania certyfikatów</w:t>
      </w:r>
      <w:r w:rsidR="00064166" w:rsidRPr="00064166">
        <w:rPr>
          <w:noProof/>
          <w:sz w:val="22"/>
          <w:szCs w:val="22"/>
        </w:rPr>
        <w:t xml:space="preserve"> i</w:t>
      </w:r>
      <w:r w:rsidR="00064166">
        <w:rPr>
          <w:noProof/>
          <w:sz w:val="22"/>
          <w:szCs w:val="22"/>
        </w:rPr>
        <w:t> </w:t>
      </w:r>
      <w:r w:rsidR="00064166" w:rsidRPr="00064166">
        <w:rPr>
          <w:noProof/>
          <w:sz w:val="22"/>
          <w:szCs w:val="22"/>
        </w:rPr>
        <w:t>świ</w:t>
      </w:r>
      <w:r w:rsidRPr="00064166">
        <w:rPr>
          <w:noProof/>
          <w:sz w:val="22"/>
          <w:szCs w:val="22"/>
        </w:rPr>
        <w:t>adectw, licencji oraz zezwoleń. Zainteresowane strony</w:t>
      </w:r>
      <w:r w:rsidR="00064166" w:rsidRPr="00064166">
        <w:rPr>
          <w:noProof/>
          <w:sz w:val="22"/>
          <w:szCs w:val="22"/>
        </w:rPr>
        <w:t xml:space="preserve"> z</w:t>
      </w:r>
      <w:r w:rsidR="00064166">
        <w:rPr>
          <w:noProof/>
          <w:sz w:val="22"/>
          <w:szCs w:val="22"/>
        </w:rPr>
        <w:t> </w:t>
      </w:r>
      <w:r w:rsidR="00064166" w:rsidRPr="00064166">
        <w:rPr>
          <w:noProof/>
          <w:sz w:val="22"/>
          <w:szCs w:val="22"/>
        </w:rPr>
        <w:t>zad</w:t>
      </w:r>
      <w:r w:rsidRPr="00064166">
        <w:rPr>
          <w:noProof/>
          <w:sz w:val="22"/>
          <w:szCs w:val="22"/>
        </w:rPr>
        <w:t>owoleniem przyjęły wspomniane środki</w:t>
      </w:r>
      <w:r w:rsidRPr="00064166">
        <w:rPr>
          <w:rStyle w:val="FootnoteReference"/>
          <w:noProof/>
          <w:sz w:val="22"/>
          <w:szCs w:val="22"/>
        </w:rPr>
        <w:footnoteReference w:id="20"/>
      </w:r>
      <w:r w:rsidRPr="00064166">
        <w:rPr>
          <w:noProof/>
          <w:sz w:val="22"/>
          <w:szCs w:val="22"/>
        </w:rPr>
        <w:t>,</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których dokładnie uwzględniono bezpieczeństwo transportu</w:t>
      </w:r>
      <w:r w:rsidR="00064166" w:rsidRPr="00064166">
        <w:rPr>
          <w:noProof/>
          <w:sz w:val="22"/>
          <w:szCs w:val="22"/>
        </w:rPr>
        <w:t xml:space="preserve"> i</w:t>
      </w:r>
      <w:r w:rsidR="00064166">
        <w:rPr>
          <w:noProof/>
          <w:sz w:val="22"/>
          <w:szCs w:val="22"/>
        </w:rPr>
        <w:t> </w:t>
      </w:r>
      <w:r w:rsidR="00064166" w:rsidRPr="00064166">
        <w:rPr>
          <w:noProof/>
          <w:sz w:val="22"/>
          <w:szCs w:val="22"/>
        </w:rPr>
        <w:t>zap</w:t>
      </w:r>
      <w:r w:rsidRPr="00064166">
        <w:rPr>
          <w:noProof/>
          <w:sz w:val="22"/>
          <w:szCs w:val="22"/>
        </w:rPr>
        <w:t>ewniono możliwość dalszego prowadzenia działalności przedsiębiorstwom transportowym</w:t>
      </w:r>
      <w:r w:rsidR="00064166" w:rsidRPr="00064166">
        <w:rPr>
          <w:noProof/>
          <w:sz w:val="22"/>
          <w:szCs w:val="22"/>
        </w:rPr>
        <w:t xml:space="preserve"> i</w:t>
      </w:r>
      <w:r w:rsidR="00064166">
        <w:rPr>
          <w:noProof/>
          <w:sz w:val="22"/>
          <w:szCs w:val="22"/>
        </w:rPr>
        <w:t> </w:t>
      </w:r>
      <w:r w:rsidR="00064166" w:rsidRPr="00064166">
        <w:rPr>
          <w:noProof/>
          <w:sz w:val="22"/>
          <w:szCs w:val="22"/>
        </w:rPr>
        <w:t>zai</w:t>
      </w:r>
      <w:r w:rsidRPr="00064166">
        <w:rPr>
          <w:noProof/>
          <w:sz w:val="22"/>
          <w:szCs w:val="22"/>
        </w:rPr>
        <w:t>nteresowanym osobom</w:t>
      </w:r>
      <w:r w:rsidRPr="00064166">
        <w:rPr>
          <w:rStyle w:val="normaltextrun"/>
          <w:noProof/>
          <w:sz w:val="22"/>
          <w:szCs w:val="22"/>
          <w:shd w:val="clear" w:color="auto" w:fill="FFFFFF"/>
        </w:rPr>
        <w:t>.</w:t>
      </w:r>
      <w:r w:rsidRPr="00064166">
        <w:rPr>
          <w:rStyle w:val="normaltextrun"/>
          <w:noProof/>
          <w:sz w:val="22"/>
          <w:szCs w:val="22"/>
          <w:u w:val="single"/>
          <w:shd w:val="clear" w:color="auto" w:fill="FFFFFF"/>
        </w:rPr>
        <w:t xml:space="preserve"> </w:t>
      </w:r>
    </w:p>
    <w:p w14:paraId="410DAA03" w14:textId="51D112A7" w:rsidR="00FC6378" w:rsidRPr="00064166" w:rsidRDefault="00FC6378" w:rsidP="00FC6378">
      <w:pPr>
        <w:pStyle w:val="Heading2"/>
        <w:numPr>
          <w:ilvl w:val="0"/>
          <w:numId w:val="0"/>
        </w:numPr>
        <w:spacing w:before="240" w:after="240" w:line="276" w:lineRule="auto"/>
        <w:ind w:left="576" w:hanging="576"/>
        <w:rPr>
          <w:b w:val="0"/>
          <w:noProof/>
          <w:sz w:val="22"/>
          <w:szCs w:val="22"/>
          <w:u w:val="none"/>
        </w:rPr>
      </w:pPr>
      <w:r w:rsidRPr="00064166">
        <w:rPr>
          <w:bCs/>
          <w:noProof/>
          <w:sz w:val="22"/>
          <w:szCs w:val="22"/>
          <w:u w:val="none"/>
        </w:rPr>
        <w:t>2.3 Koordynowanie środków dotyczących podróży odnoszących się do pasażerów</w:t>
      </w:r>
      <w:r w:rsidR="00064166" w:rsidRPr="00064166">
        <w:rPr>
          <w:bCs/>
          <w:noProof/>
          <w:sz w:val="22"/>
          <w:szCs w:val="22"/>
          <w:u w:val="none"/>
        </w:rPr>
        <w:t xml:space="preserve"> i</w:t>
      </w:r>
      <w:r w:rsidR="00064166">
        <w:rPr>
          <w:bCs/>
          <w:noProof/>
          <w:sz w:val="22"/>
          <w:szCs w:val="22"/>
          <w:u w:val="none"/>
        </w:rPr>
        <w:t> </w:t>
      </w:r>
      <w:r w:rsidR="00064166" w:rsidRPr="00064166">
        <w:rPr>
          <w:bCs/>
          <w:noProof/>
          <w:sz w:val="22"/>
          <w:szCs w:val="22"/>
          <w:u w:val="none"/>
        </w:rPr>
        <w:t>pra</w:t>
      </w:r>
      <w:r w:rsidRPr="00064166">
        <w:rPr>
          <w:bCs/>
          <w:noProof/>
          <w:sz w:val="22"/>
          <w:szCs w:val="22"/>
          <w:u w:val="none"/>
        </w:rPr>
        <w:t>cowników sektora transportu</w:t>
      </w:r>
      <w:r w:rsidRPr="00064166">
        <w:rPr>
          <w:b w:val="0"/>
          <w:bCs/>
          <w:noProof/>
          <w:sz w:val="22"/>
          <w:szCs w:val="22"/>
          <w:u w:val="none"/>
        </w:rPr>
        <w:t xml:space="preserve"> </w:t>
      </w:r>
    </w:p>
    <w:p w14:paraId="44401200" w14:textId="464C07EA" w:rsidR="00FC6378" w:rsidRPr="00064166" w:rsidRDefault="00FC6378" w:rsidP="00FC6378">
      <w:pPr>
        <w:pStyle w:val="LegalNumPar"/>
        <w:spacing w:line="276" w:lineRule="auto"/>
        <w:rPr>
          <w:rFonts w:cs="Times New Roman"/>
          <w:noProof/>
          <w:color w:val="auto"/>
          <w:sz w:val="22"/>
          <w:szCs w:val="22"/>
        </w:rPr>
      </w:pPr>
      <w:r w:rsidRPr="00064166">
        <w:rPr>
          <w:b/>
          <w:noProof/>
          <w:color w:val="auto"/>
          <w:sz w:val="22"/>
          <w:szCs w:val="22"/>
        </w:rPr>
        <w:t>Od początku pandemii Komisja promuje skoordynowane podejście do ograniczenia swobodnego przepływu w UE, które stało się konieczne</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zwi</w:t>
      </w:r>
      <w:r w:rsidRPr="00064166">
        <w:rPr>
          <w:b/>
          <w:noProof/>
          <w:color w:val="auto"/>
          <w:sz w:val="22"/>
          <w:szCs w:val="22"/>
        </w:rPr>
        <w:t>ązku</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pan</w:t>
      </w:r>
      <w:r w:rsidRPr="00064166">
        <w:rPr>
          <w:b/>
          <w:noProof/>
          <w:color w:val="auto"/>
          <w:sz w:val="22"/>
          <w:szCs w:val="22"/>
        </w:rPr>
        <w:t>demią</w:t>
      </w:r>
      <w:r w:rsidRPr="00064166">
        <w:rPr>
          <w:noProof/>
          <w:color w:val="auto"/>
          <w:sz w:val="22"/>
          <w:szCs w:val="22"/>
        </w:rPr>
        <w:t>. Aby uniknąć zakłóceń</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tra</w:t>
      </w:r>
      <w:r w:rsidRPr="00064166">
        <w:rPr>
          <w:noProof/>
          <w:color w:val="auto"/>
          <w:sz w:val="22"/>
          <w:szCs w:val="22"/>
        </w:rPr>
        <w:t>nsporcie,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zal</w:t>
      </w:r>
      <w:r w:rsidRPr="00064166">
        <w:rPr>
          <w:noProof/>
          <w:color w:val="auto"/>
          <w:sz w:val="22"/>
          <w:szCs w:val="22"/>
        </w:rPr>
        <w:t>eceniu Rady 2020/1475</w:t>
      </w:r>
      <w:r w:rsidRPr="00064166">
        <w:rPr>
          <w:rStyle w:val="FootnoteReference"/>
          <w:noProof/>
          <w:color w:val="auto"/>
          <w:sz w:val="22"/>
          <w:szCs w:val="22"/>
        </w:rPr>
        <w:footnoteReference w:id="21"/>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jeg</w:t>
      </w:r>
      <w:r w:rsidRPr="00064166">
        <w:rPr>
          <w:noProof/>
          <w:color w:val="auto"/>
          <w:sz w:val="22"/>
          <w:szCs w:val="22"/>
        </w:rPr>
        <w:t>o kolejnych wersjach potwierdzono, że pracownicy sektora transportu zasadniczo nie są zobowiązani do poddawania się testom ani kwarantannie,</w:t>
      </w:r>
      <w:r w:rsidR="00064166" w:rsidRPr="00064166">
        <w:rPr>
          <w:noProof/>
          <w:color w:val="auto"/>
          <w:sz w:val="22"/>
          <w:szCs w:val="22"/>
        </w:rPr>
        <w:t xml:space="preserve"> a</w:t>
      </w:r>
      <w:r w:rsidR="00064166">
        <w:rPr>
          <w:noProof/>
          <w:color w:val="auto"/>
          <w:sz w:val="22"/>
          <w:szCs w:val="22"/>
        </w:rPr>
        <w:t> </w:t>
      </w:r>
      <w:r w:rsidR="00064166" w:rsidRPr="00064166">
        <w:rPr>
          <w:noProof/>
          <w:color w:val="auto"/>
          <w:sz w:val="22"/>
          <w:szCs w:val="22"/>
        </w:rPr>
        <w:t>jeż</w:t>
      </w:r>
      <w:r w:rsidRPr="00064166">
        <w:rPr>
          <w:noProof/>
          <w:color w:val="auto"/>
          <w:sz w:val="22"/>
          <w:szCs w:val="22"/>
        </w:rPr>
        <w:t>eli test jest konieczny, można zastosować szybki test antygenowy. 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póź</w:t>
      </w:r>
      <w:r w:rsidRPr="00064166">
        <w:rPr>
          <w:noProof/>
          <w:color w:val="auto"/>
          <w:sz w:val="22"/>
          <w:szCs w:val="22"/>
        </w:rPr>
        <w:t>niejszym zaleceniem, tj. zaleceniem Rady 2022/107</w:t>
      </w:r>
      <w:r w:rsidRPr="00064166">
        <w:rPr>
          <w:rStyle w:val="FootnoteReference"/>
          <w:rFonts w:cs="Times New Roman"/>
          <w:noProof/>
          <w:color w:val="auto"/>
          <w:sz w:val="22"/>
          <w:szCs w:val="22"/>
        </w:rPr>
        <w:footnoteReference w:id="22"/>
      </w:r>
      <w:r w:rsidRPr="00064166">
        <w:rPr>
          <w:noProof/>
          <w:color w:val="auto"/>
          <w:sz w:val="22"/>
          <w:szCs w:val="22"/>
        </w:rPr>
        <w:t>, pracownicy sektora transportu nie powinni być zobowiązani do posiadania unijnego cyfrowego zaświadczenia COVID.</w:t>
      </w:r>
    </w:p>
    <w:p w14:paraId="68FF6CD4" w14:textId="56E3BBA4" w:rsidR="00DD2007" w:rsidRPr="00064166" w:rsidRDefault="003000EF" w:rsidP="00FC6378">
      <w:pPr>
        <w:pStyle w:val="LegalNumPar"/>
        <w:spacing w:line="276" w:lineRule="auto"/>
        <w:rPr>
          <w:rFonts w:cs="Times New Roman"/>
          <w:noProof/>
          <w:color w:val="auto"/>
          <w:sz w:val="22"/>
          <w:szCs w:val="22"/>
        </w:rPr>
      </w:pPr>
      <w:r w:rsidRPr="00064166">
        <w:rPr>
          <w:noProof/>
          <w:color w:val="auto"/>
          <w:sz w:val="22"/>
          <w:szCs w:val="22"/>
        </w:rPr>
        <w:t>W odpowiedzi na kryzys związany</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syt</w:t>
      </w:r>
      <w:r w:rsidRPr="00064166">
        <w:rPr>
          <w:noProof/>
          <w:color w:val="auto"/>
          <w:sz w:val="22"/>
          <w:szCs w:val="22"/>
        </w:rPr>
        <w:t>uacją</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Ukr</w:t>
      </w:r>
      <w:r w:rsidRPr="00064166">
        <w:rPr>
          <w:noProof/>
          <w:color w:val="auto"/>
          <w:sz w:val="22"/>
          <w:szCs w:val="22"/>
        </w:rPr>
        <w:t>ainie Komisja potwierdziła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swo</w:t>
      </w:r>
      <w:r w:rsidRPr="00064166">
        <w:rPr>
          <w:noProof/>
          <w:color w:val="auto"/>
          <w:sz w:val="22"/>
          <w:szCs w:val="22"/>
        </w:rPr>
        <w:t xml:space="preserve">im komunikacie </w:t>
      </w:r>
      <w:r w:rsidRPr="00064166">
        <w:rPr>
          <w:noProof/>
          <w:sz w:val="22"/>
          <w:szCs w:val="22"/>
        </w:rPr>
        <w:t>zawierającym wytyczne operacyjne dotyczące zarządzania granicami zewnętrznymi</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ułatwienia przekraczania granicy między UE</w:t>
      </w:r>
      <w:r w:rsidR="00064166" w:rsidRPr="00064166">
        <w:rPr>
          <w:noProof/>
          <w:sz w:val="22"/>
          <w:szCs w:val="22"/>
        </w:rPr>
        <w:t xml:space="preserve"> a</w:t>
      </w:r>
      <w:r w:rsidR="00064166">
        <w:rPr>
          <w:noProof/>
          <w:sz w:val="22"/>
          <w:szCs w:val="22"/>
        </w:rPr>
        <w:t> </w:t>
      </w:r>
      <w:r w:rsidR="00064166" w:rsidRPr="00064166">
        <w:rPr>
          <w:noProof/>
          <w:sz w:val="22"/>
          <w:szCs w:val="22"/>
        </w:rPr>
        <w:t>Ukr</w:t>
      </w:r>
      <w:r w:rsidRPr="00064166">
        <w:rPr>
          <w:noProof/>
          <w:sz w:val="22"/>
          <w:szCs w:val="22"/>
        </w:rPr>
        <w:t>ainą</w:t>
      </w:r>
      <w:r w:rsidRPr="00064166">
        <w:rPr>
          <w:rStyle w:val="FootnoteReference"/>
          <w:noProof/>
          <w:sz w:val="22"/>
          <w:szCs w:val="22"/>
        </w:rPr>
        <w:footnoteReference w:id="23"/>
      </w:r>
      <w:r w:rsidRPr="00064166">
        <w:rPr>
          <w:noProof/>
          <w:color w:val="auto"/>
          <w:sz w:val="22"/>
          <w:szCs w:val="22"/>
        </w:rPr>
        <w:t>, że pracownicy sektora transportu mają kluczowe znaczenie dla łańcuchów dostaw. Komisja zaproponowała również uproszczenie procedur przekraczania granic dla pracowników sektora tran</w:t>
      </w:r>
      <w:r w:rsidR="0052698C" w:rsidRPr="00064166">
        <w:rPr>
          <w:noProof/>
          <w:color w:val="auto"/>
          <w:sz w:val="22"/>
          <w:szCs w:val="22"/>
        </w:rPr>
        <w:t>sportu pracujących</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Ukr</w:t>
      </w:r>
      <w:r w:rsidR="0052698C" w:rsidRPr="00064166">
        <w:rPr>
          <w:noProof/>
          <w:color w:val="auto"/>
          <w:sz w:val="22"/>
          <w:szCs w:val="22"/>
        </w:rPr>
        <w:t>ainie.</w:t>
      </w:r>
    </w:p>
    <w:p w14:paraId="29FEF143" w14:textId="12CBBB6E"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b/>
          <w:bCs/>
          <w:i/>
          <w:noProof/>
          <w:sz w:val="22"/>
          <w:szCs w:val="22"/>
        </w:rPr>
      </w:pPr>
      <w:r w:rsidRPr="00064166">
        <w:rPr>
          <w:b/>
          <w:bCs/>
          <w:i/>
          <w:noProof/>
          <w:sz w:val="22"/>
          <w:szCs w:val="22"/>
          <w:u w:color="000000"/>
          <w:bdr w:val="nil"/>
        </w:rPr>
        <w:t>Unijne cyfrowe zaświadczenie COVID</w:t>
      </w:r>
      <w:r w:rsidR="00064166" w:rsidRPr="00064166">
        <w:rPr>
          <w:b/>
          <w:bCs/>
          <w:i/>
          <w:noProof/>
          <w:sz w:val="22"/>
          <w:szCs w:val="22"/>
          <w:u w:color="000000"/>
          <w:bdr w:val="nil"/>
        </w:rPr>
        <w:t xml:space="preserve"> i</w:t>
      </w:r>
      <w:r w:rsidR="00064166">
        <w:rPr>
          <w:b/>
          <w:bCs/>
          <w:i/>
          <w:noProof/>
          <w:sz w:val="22"/>
          <w:szCs w:val="22"/>
          <w:u w:color="000000"/>
          <w:bdr w:val="nil"/>
        </w:rPr>
        <w:t> </w:t>
      </w:r>
      <w:r w:rsidR="00064166" w:rsidRPr="00064166">
        <w:rPr>
          <w:b/>
          <w:bCs/>
          <w:i/>
          <w:noProof/>
          <w:sz w:val="22"/>
          <w:szCs w:val="22"/>
          <w:u w:color="000000"/>
          <w:bdr w:val="nil"/>
        </w:rPr>
        <w:t>uni</w:t>
      </w:r>
      <w:r w:rsidRPr="00064166">
        <w:rPr>
          <w:b/>
          <w:bCs/>
          <w:i/>
          <w:noProof/>
          <w:sz w:val="22"/>
          <w:szCs w:val="22"/>
          <w:u w:color="000000"/>
          <w:bdr w:val="nil"/>
        </w:rPr>
        <w:t xml:space="preserve">jna cyfrowa karta lokalizacji pasażera </w:t>
      </w:r>
    </w:p>
    <w:p w14:paraId="347A4E90" w14:textId="539D12E0" w:rsidR="00651238" w:rsidRPr="00064166" w:rsidRDefault="00FC6378" w:rsidP="0065123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Bezpieczne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int</w:t>
      </w:r>
      <w:r w:rsidRPr="00064166">
        <w:rPr>
          <w:noProof/>
          <w:sz w:val="22"/>
          <w:szCs w:val="22"/>
          <w:u w:color="000000"/>
          <w:bdr w:val="nil"/>
        </w:rPr>
        <w:t>eroperacyjne unijne cyfrowe zaświadczenie COVID</w:t>
      </w:r>
      <w:r w:rsidRPr="00064166">
        <w:rPr>
          <w:rStyle w:val="FootnoteReference"/>
          <w:rFonts w:eastAsia="Arial Unicode MS"/>
          <w:noProof/>
          <w:sz w:val="22"/>
          <w:szCs w:val="22"/>
          <w:u w:color="000000"/>
          <w:bdr w:val="nil"/>
        </w:rPr>
        <w:footnoteReference w:id="24"/>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inn</w:t>
      </w:r>
      <w:r w:rsidRPr="00064166">
        <w:rPr>
          <w:noProof/>
          <w:sz w:val="22"/>
          <w:szCs w:val="22"/>
          <w:u w:color="000000"/>
          <w:bdr w:val="nil"/>
        </w:rPr>
        <w:t>e protokoły dotyczące zdrowia opracowane przez Komisję</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Eur</w:t>
      </w:r>
      <w:r w:rsidRPr="00064166">
        <w:rPr>
          <w:noProof/>
          <w:sz w:val="22"/>
          <w:szCs w:val="22"/>
          <w:u w:color="000000"/>
          <w:bdr w:val="nil"/>
        </w:rPr>
        <w:t>opejskie Centrum ds. Zapobiegania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Kon</w:t>
      </w:r>
      <w:r w:rsidRPr="00064166">
        <w:rPr>
          <w:noProof/>
          <w:sz w:val="22"/>
          <w:szCs w:val="22"/>
          <w:u w:color="000000"/>
          <w:bdr w:val="nil"/>
        </w:rPr>
        <w:t>troli Chorób wraz</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wła</w:t>
      </w:r>
      <w:r w:rsidRPr="00064166">
        <w:rPr>
          <w:noProof/>
          <w:sz w:val="22"/>
          <w:szCs w:val="22"/>
          <w:u w:color="000000"/>
          <w:bdr w:val="nil"/>
        </w:rPr>
        <w:t>ściwymi agencjami zajmującymi się transportem odegrały zasadniczą rolę we wznowieniu –</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mia</w:t>
      </w:r>
      <w:r w:rsidRPr="00064166">
        <w:rPr>
          <w:noProof/>
          <w:sz w:val="22"/>
          <w:szCs w:val="22"/>
          <w:u w:color="000000"/>
          <w:bdr w:val="nil"/>
        </w:rPr>
        <w:t>rę możliwości – bezpiecznego podróżowania po UE. Unijne cyfrowe zaświadczenie COVID oraz starania na rzecz ustanowienia skoordynowanego podejścia do podróżowania na szczeblu UE zostały ogólnie</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zad</w:t>
      </w:r>
      <w:r w:rsidRPr="00064166">
        <w:rPr>
          <w:noProof/>
          <w:sz w:val="22"/>
          <w:szCs w:val="22"/>
          <w:u w:color="000000"/>
          <w:bdr w:val="nil"/>
        </w:rPr>
        <w:t>owoleniem przyjęte przez organizacje sektora podróży</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tur</w:t>
      </w:r>
      <w:r w:rsidRPr="00064166">
        <w:rPr>
          <w:noProof/>
          <w:sz w:val="22"/>
          <w:szCs w:val="22"/>
          <w:u w:color="000000"/>
          <w:bdr w:val="nil"/>
        </w:rPr>
        <w:t>ystyki jako ważne narzędzie umożliwiające obywatelom podróżowanie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zac</w:t>
      </w:r>
      <w:r w:rsidRPr="00064166">
        <w:rPr>
          <w:noProof/>
          <w:sz w:val="22"/>
          <w:szCs w:val="22"/>
          <w:u w:color="000000"/>
          <w:bdr w:val="nil"/>
        </w:rPr>
        <w:t>hęcające do nich poprzez zapewnienie niezbędnej przewidywalności. Aby nie pozbawić obywateli tego skutecznego</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chr</w:t>
      </w:r>
      <w:r w:rsidRPr="00064166">
        <w:rPr>
          <w:noProof/>
          <w:sz w:val="22"/>
          <w:szCs w:val="22"/>
          <w:u w:color="000000"/>
          <w:bdr w:val="nil"/>
        </w:rPr>
        <w:t>oniącego prywatność sposobu potwierdzania statusu COVID-19,</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prz</w:t>
      </w:r>
      <w:r w:rsidRPr="00064166">
        <w:rPr>
          <w:noProof/>
          <w:sz w:val="22"/>
          <w:szCs w:val="22"/>
          <w:u w:color="000000"/>
          <w:bdr w:val="nil"/>
        </w:rPr>
        <w:t>ypadku gdyby po</w:t>
      </w:r>
      <w:r w:rsidR="00064166" w:rsidRPr="00064166">
        <w:rPr>
          <w:noProof/>
          <w:sz w:val="22"/>
          <w:szCs w:val="22"/>
          <w:u w:color="000000"/>
          <w:bdr w:val="nil"/>
        </w:rPr>
        <w:t> </w:t>
      </w:r>
      <w:r w:rsidRPr="00064166">
        <w:rPr>
          <w:noProof/>
          <w:sz w:val="22"/>
          <w:szCs w:val="22"/>
          <w:u w:color="000000"/>
          <w:bdr w:val="nil"/>
        </w:rPr>
        <w:t>30 czerwca 2022</w:t>
      </w:r>
      <w:r w:rsidR="00064166" w:rsidRPr="00064166">
        <w:rPr>
          <w:noProof/>
          <w:sz w:val="22"/>
          <w:szCs w:val="22"/>
          <w:u w:color="000000"/>
          <w:bdr w:val="nil"/>
        </w:rPr>
        <w:t> </w:t>
      </w:r>
      <w:r w:rsidRPr="00064166">
        <w:rPr>
          <w:noProof/>
          <w:sz w:val="22"/>
          <w:szCs w:val="22"/>
          <w:u w:color="000000"/>
          <w:bdr w:val="nil"/>
        </w:rPr>
        <w:t>r. określone ograniczenia swobodnego przemieszczania się ze względu na zdrowie publiczne nadal obowiązywały, Komisja zaproponowała przedłużenie obowiązywania podstawy prawnej unijnego cyfrowego zaświadczenia COVID do</w:t>
      </w:r>
      <w:r w:rsidR="00064166" w:rsidRPr="00064166">
        <w:rPr>
          <w:noProof/>
          <w:sz w:val="22"/>
          <w:szCs w:val="22"/>
          <w:u w:color="000000"/>
          <w:bdr w:val="nil"/>
        </w:rPr>
        <w:t> </w:t>
      </w:r>
      <w:r w:rsidRPr="00064166">
        <w:rPr>
          <w:noProof/>
          <w:sz w:val="22"/>
          <w:szCs w:val="22"/>
          <w:u w:color="000000"/>
          <w:bdr w:val="nil"/>
        </w:rPr>
        <w:t>30 czerwca 2023</w:t>
      </w:r>
      <w:r w:rsidR="00064166" w:rsidRPr="00064166">
        <w:rPr>
          <w:noProof/>
          <w:sz w:val="22"/>
          <w:szCs w:val="22"/>
          <w:u w:color="000000"/>
          <w:bdr w:val="nil"/>
        </w:rPr>
        <w:t> </w:t>
      </w:r>
      <w:r w:rsidRPr="00064166">
        <w:rPr>
          <w:noProof/>
          <w:sz w:val="22"/>
          <w:szCs w:val="22"/>
          <w:u w:color="000000"/>
          <w:bdr w:val="nil"/>
        </w:rPr>
        <w:t xml:space="preserve">r. </w:t>
      </w:r>
    </w:p>
    <w:p w14:paraId="5324BF21" w14:textId="77777777" w:rsidR="00CC0E2F" w:rsidRPr="00064166" w:rsidRDefault="00CC0E2F" w:rsidP="00CC0E2F">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p>
    <w:p w14:paraId="43C54681" w14:textId="6886FF28" w:rsidR="003C329F" w:rsidRPr="00064166" w:rsidRDefault="00B44871" w:rsidP="00CC0E2F">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Szereg państw członkowskich wprowadziło jednak karty lokalizacji pasażera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inn</w:t>
      </w:r>
      <w:r w:rsidRPr="00064166">
        <w:rPr>
          <w:noProof/>
          <w:sz w:val="22"/>
          <w:szCs w:val="22"/>
          <w:u w:color="000000"/>
          <w:bdr w:val="nil"/>
        </w:rPr>
        <w:t>e oświadczenia (np. oświadczenia dotyczące stanu zdrowia, oświadczenia dotyczące wjazdu na terytorium)</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spo</w:t>
      </w:r>
      <w:r w:rsidRPr="00064166">
        <w:rPr>
          <w:noProof/>
          <w:sz w:val="22"/>
          <w:szCs w:val="22"/>
          <w:u w:color="000000"/>
          <w:bdr w:val="nil"/>
        </w:rPr>
        <w:t>sób nieskoordynowany. Ich formaty są różne,</w:t>
      </w:r>
      <w:r w:rsidR="00064166" w:rsidRPr="00064166">
        <w:rPr>
          <w:noProof/>
          <w:sz w:val="22"/>
          <w:szCs w:val="22"/>
          <w:u w:color="000000"/>
          <w:bdr w:val="nil"/>
        </w:rPr>
        <w:t xml:space="preserve"> a</w:t>
      </w:r>
      <w:r w:rsidR="00064166">
        <w:rPr>
          <w:noProof/>
          <w:sz w:val="22"/>
          <w:szCs w:val="22"/>
          <w:u w:color="000000"/>
          <w:bdr w:val="nil"/>
        </w:rPr>
        <w:t> </w:t>
      </w:r>
      <w:r w:rsidR="00064166" w:rsidRPr="00064166">
        <w:rPr>
          <w:noProof/>
          <w:sz w:val="22"/>
          <w:szCs w:val="22"/>
          <w:u w:color="000000"/>
          <w:bdr w:val="nil"/>
        </w:rPr>
        <w:t>nie</w:t>
      </w:r>
      <w:r w:rsidRPr="00064166">
        <w:rPr>
          <w:noProof/>
          <w:sz w:val="22"/>
          <w:szCs w:val="22"/>
          <w:u w:color="000000"/>
          <w:bdr w:val="nil"/>
        </w:rPr>
        <w:t>które</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nic</w:t>
      </w:r>
      <w:r w:rsidRPr="00064166">
        <w:rPr>
          <w:noProof/>
          <w:sz w:val="22"/>
          <w:szCs w:val="22"/>
          <w:u w:color="000000"/>
          <w:bdr w:val="nil"/>
        </w:rPr>
        <w:t>h mają wyłącznie wersję papierową. Było to powodem niepotrzebnych niedogodności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zam</w:t>
      </w:r>
      <w:r w:rsidRPr="00064166">
        <w:rPr>
          <w:noProof/>
          <w:sz w:val="22"/>
          <w:szCs w:val="22"/>
          <w:u w:color="000000"/>
          <w:bdr w:val="nil"/>
        </w:rPr>
        <w:t>ieszania dla podróżujących, których można było uniknąć dz</w:t>
      </w:r>
      <w:r w:rsidR="0052698C" w:rsidRPr="00064166">
        <w:rPr>
          <w:noProof/>
          <w:sz w:val="22"/>
          <w:szCs w:val="22"/>
          <w:u w:color="000000"/>
          <w:bdr w:val="nil"/>
        </w:rPr>
        <w:t>ięki odpowiedniej koordynacji.</w:t>
      </w:r>
    </w:p>
    <w:p w14:paraId="022EA3D3" w14:textId="778B4174" w:rsidR="00FC6378" w:rsidRPr="00064166" w:rsidRDefault="00FC6378" w:rsidP="00FC6378">
      <w:pPr>
        <w:spacing w:before="120" w:line="276" w:lineRule="auto"/>
        <w:rPr>
          <w:noProof/>
          <w:sz w:val="22"/>
          <w:szCs w:val="22"/>
        </w:rPr>
      </w:pPr>
      <w:r w:rsidRPr="00064166">
        <w:rPr>
          <w:b/>
          <w:noProof/>
          <w:sz w:val="22"/>
          <w:szCs w:val="22"/>
        </w:rPr>
        <w:t>Podczas pandemii COVID-19 wspólne wysiłki UE</w:t>
      </w:r>
      <w:r w:rsidR="00064166" w:rsidRPr="00064166">
        <w:rPr>
          <w:b/>
          <w:noProof/>
          <w:sz w:val="22"/>
          <w:szCs w:val="22"/>
        </w:rPr>
        <w:t xml:space="preserve"> i</w:t>
      </w:r>
      <w:r w:rsidR="00064166">
        <w:rPr>
          <w:b/>
          <w:noProof/>
          <w:sz w:val="22"/>
          <w:szCs w:val="22"/>
        </w:rPr>
        <w:t> </w:t>
      </w:r>
      <w:r w:rsidR="00064166" w:rsidRPr="00064166">
        <w:rPr>
          <w:b/>
          <w:noProof/>
          <w:sz w:val="22"/>
          <w:szCs w:val="22"/>
        </w:rPr>
        <w:t>pań</w:t>
      </w:r>
      <w:r w:rsidRPr="00064166">
        <w:rPr>
          <w:b/>
          <w:noProof/>
          <w:sz w:val="22"/>
          <w:szCs w:val="22"/>
        </w:rPr>
        <w:t>stw członkowskich umożliwiły 650 000 obywateli Unii bezpieczny powrót do domu.</w:t>
      </w:r>
      <w:r w:rsidRPr="00064166">
        <w:rPr>
          <w:noProof/>
          <w:sz w:val="22"/>
          <w:szCs w:val="22"/>
        </w:rPr>
        <w:t xml:space="preserve"> Ponad 100 000 osób,</w:t>
      </w:r>
      <w:r w:rsidR="00064166" w:rsidRPr="00064166">
        <w:rPr>
          <w:noProof/>
          <w:sz w:val="22"/>
          <w:szCs w:val="22"/>
        </w:rPr>
        <w:t xml:space="preserve"> z</w:t>
      </w:r>
      <w:r w:rsidR="00064166">
        <w:rPr>
          <w:noProof/>
          <w:sz w:val="22"/>
          <w:szCs w:val="22"/>
        </w:rPr>
        <w:t> </w:t>
      </w:r>
      <w:r w:rsidR="00064166" w:rsidRPr="00064166">
        <w:rPr>
          <w:noProof/>
          <w:sz w:val="22"/>
          <w:szCs w:val="22"/>
        </w:rPr>
        <w:t>któ</w:t>
      </w:r>
      <w:r w:rsidRPr="00064166">
        <w:rPr>
          <w:noProof/>
          <w:sz w:val="22"/>
          <w:szCs w:val="22"/>
        </w:rPr>
        <w:t>rych 90 060 było obywatelami Unii, objęto repatriacją</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Unijnego Mechanizmu Ochrony Ludności. Pandemia COVID-19 miała również istotny wpływ na pracowników sektora transportu. Pracownicy ci stoją na pierwszej linii frontu kryzysu</w:t>
      </w:r>
      <w:r w:rsidR="00064166" w:rsidRPr="00064166">
        <w:rPr>
          <w:noProof/>
          <w:sz w:val="22"/>
          <w:szCs w:val="22"/>
        </w:rPr>
        <w:t xml:space="preserve"> i</w:t>
      </w:r>
      <w:r w:rsidR="00064166">
        <w:rPr>
          <w:noProof/>
          <w:sz w:val="22"/>
          <w:szCs w:val="22"/>
        </w:rPr>
        <w:t> </w:t>
      </w:r>
      <w:r w:rsidR="00064166" w:rsidRPr="00064166">
        <w:rPr>
          <w:noProof/>
          <w:sz w:val="22"/>
          <w:szCs w:val="22"/>
        </w:rPr>
        <w:t>doś</w:t>
      </w:r>
      <w:r w:rsidRPr="00064166">
        <w:rPr>
          <w:noProof/>
          <w:sz w:val="22"/>
          <w:szCs w:val="22"/>
        </w:rPr>
        <w:t>wiadczają skutków ograniczeń</w:t>
      </w:r>
      <w:r w:rsidR="00064166" w:rsidRPr="00064166">
        <w:rPr>
          <w:noProof/>
          <w:sz w:val="22"/>
          <w:szCs w:val="22"/>
        </w:rPr>
        <w:t xml:space="preserve"> w</w:t>
      </w:r>
      <w:r w:rsidR="00064166">
        <w:rPr>
          <w:noProof/>
          <w:sz w:val="22"/>
          <w:szCs w:val="22"/>
        </w:rPr>
        <w:t> </w:t>
      </w:r>
      <w:r w:rsidR="00064166" w:rsidRPr="00064166">
        <w:rPr>
          <w:noProof/>
          <w:sz w:val="22"/>
          <w:szCs w:val="22"/>
        </w:rPr>
        <w:t>prz</w:t>
      </w:r>
      <w:r w:rsidRPr="00064166">
        <w:rPr>
          <w:noProof/>
          <w:sz w:val="22"/>
          <w:szCs w:val="22"/>
        </w:rPr>
        <w:t>emieszczaniu się po UE,</w:t>
      </w:r>
      <w:r w:rsidR="00064166" w:rsidRPr="00064166">
        <w:rPr>
          <w:noProof/>
          <w:sz w:val="22"/>
          <w:szCs w:val="22"/>
        </w:rPr>
        <w:t xml:space="preserve"> w</w:t>
      </w:r>
      <w:r w:rsidR="00064166">
        <w:rPr>
          <w:noProof/>
          <w:sz w:val="22"/>
          <w:szCs w:val="22"/>
        </w:rPr>
        <w:t> </w:t>
      </w:r>
      <w:r w:rsidR="00064166" w:rsidRPr="00064166">
        <w:rPr>
          <w:noProof/>
          <w:sz w:val="22"/>
          <w:szCs w:val="22"/>
        </w:rPr>
        <w:t>tym</w:t>
      </w:r>
      <w:r w:rsidRPr="00064166">
        <w:rPr>
          <w:noProof/>
          <w:sz w:val="22"/>
          <w:szCs w:val="22"/>
        </w:rPr>
        <w:t xml:space="preserve"> wydłużonego czasu oczekiwania na granicach oraz ograniczonych możliwości zakwaterowania</w:t>
      </w:r>
      <w:r w:rsidR="00064166" w:rsidRPr="00064166">
        <w:rPr>
          <w:noProof/>
          <w:sz w:val="22"/>
          <w:szCs w:val="22"/>
        </w:rPr>
        <w:t xml:space="preserve"> i</w:t>
      </w:r>
      <w:r w:rsidR="00064166">
        <w:rPr>
          <w:noProof/>
          <w:sz w:val="22"/>
          <w:szCs w:val="22"/>
        </w:rPr>
        <w:t> </w:t>
      </w:r>
      <w:r w:rsidR="00064166" w:rsidRPr="00064166">
        <w:rPr>
          <w:noProof/>
          <w:sz w:val="22"/>
          <w:szCs w:val="22"/>
        </w:rPr>
        <w:t>sko</w:t>
      </w:r>
      <w:r w:rsidRPr="00064166">
        <w:rPr>
          <w:noProof/>
          <w:sz w:val="22"/>
          <w:szCs w:val="22"/>
        </w:rPr>
        <w:t>rzystania</w:t>
      </w:r>
      <w:r w:rsidR="00064166" w:rsidRPr="00064166">
        <w:rPr>
          <w:noProof/>
          <w:sz w:val="22"/>
          <w:szCs w:val="22"/>
        </w:rPr>
        <w:t xml:space="preserve"> z</w:t>
      </w:r>
      <w:r w:rsidR="00064166">
        <w:rPr>
          <w:noProof/>
          <w:sz w:val="22"/>
          <w:szCs w:val="22"/>
        </w:rPr>
        <w:t> </w:t>
      </w:r>
      <w:r w:rsidR="00064166" w:rsidRPr="00064166">
        <w:rPr>
          <w:noProof/>
          <w:sz w:val="22"/>
          <w:szCs w:val="22"/>
        </w:rPr>
        <w:t>mie</w:t>
      </w:r>
      <w:r w:rsidRPr="00064166">
        <w:rPr>
          <w:noProof/>
          <w:sz w:val="22"/>
          <w:szCs w:val="22"/>
        </w:rPr>
        <w:t>jsc odpoczynku. Szczególnie poszkodowani byli marynarze, którym przez kilka miesięcy uniemożliwiano powrót do domu</w:t>
      </w:r>
      <w:r w:rsidR="00064166" w:rsidRPr="00064166">
        <w:rPr>
          <w:noProof/>
          <w:sz w:val="22"/>
          <w:szCs w:val="22"/>
        </w:rPr>
        <w:t xml:space="preserve"> z</w:t>
      </w:r>
      <w:r w:rsidR="00064166">
        <w:rPr>
          <w:noProof/>
          <w:sz w:val="22"/>
          <w:szCs w:val="22"/>
        </w:rPr>
        <w:t> </w:t>
      </w:r>
      <w:r w:rsidR="00064166" w:rsidRPr="00064166">
        <w:rPr>
          <w:noProof/>
          <w:sz w:val="22"/>
          <w:szCs w:val="22"/>
        </w:rPr>
        <w:t>pow</w:t>
      </w:r>
      <w:r w:rsidRPr="00064166">
        <w:rPr>
          <w:noProof/>
          <w:sz w:val="22"/>
          <w:szCs w:val="22"/>
        </w:rPr>
        <w:t>odu ograniczeń</w:t>
      </w:r>
      <w:r w:rsidR="00064166" w:rsidRPr="00064166">
        <w:rPr>
          <w:noProof/>
          <w:sz w:val="22"/>
          <w:szCs w:val="22"/>
        </w:rPr>
        <w:t xml:space="preserve"> i</w:t>
      </w:r>
      <w:r w:rsidR="00064166">
        <w:rPr>
          <w:noProof/>
          <w:sz w:val="22"/>
          <w:szCs w:val="22"/>
        </w:rPr>
        <w:t> </w:t>
      </w:r>
      <w:r w:rsidR="00064166" w:rsidRPr="00064166">
        <w:rPr>
          <w:noProof/>
          <w:sz w:val="22"/>
          <w:szCs w:val="22"/>
        </w:rPr>
        <w:t>nis</w:t>
      </w:r>
      <w:r w:rsidRPr="00064166">
        <w:rPr>
          <w:noProof/>
          <w:sz w:val="22"/>
          <w:szCs w:val="22"/>
        </w:rPr>
        <w:t>kiej jakości sieci połączeń. Komisja przedstawiła państwom członkowskim wytyczne dotyczące podróżowania w UE</w:t>
      </w:r>
      <w:r w:rsidRPr="00064166">
        <w:rPr>
          <w:rStyle w:val="FootnoteReference"/>
          <w:noProof/>
          <w:sz w:val="22"/>
          <w:szCs w:val="22"/>
        </w:rPr>
        <w:footnoteReference w:id="25"/>
      </w:r>
      <w:r w:rsidRPr="00064166">
        <w:rPr>
          <w:noProof/>
          <w:sz w:val="22"/>
          <w:szCs w:val="22"/>
        </w:rPr>
        <w:t>, podkreślając potrzebę zapewnienia bezpiecznego przejścia korytarzami transportowymi. Komisja wsparła również marynarzy, zalecając określone rozwiązania</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ochrony zdrowia, repatriacji</w:t>
      </w:r>
      <w:r w:rsidR="00064166" w:rsidRPr="00064166">
        <w:rPr>
          <w:noProof/>
          <w:sz w:val="22"/>
          <w:szCs w:val="22"/>
        </w:rPr>
        <w:t xml:space="preserve"> i</w:t>
      </w:r>
      <w:r w:rsidR="00064166">
        <w:rPr>
          <w:noProof/>
          <w:sz w:val="22"/>
          <w:szCs w:val="22"/>
        </w:rPr>
        <w:t> </w:t>
      </w:r>
      <w:r w:rsidR="00064166" w:rsidRPr="00064166">
        <w:rPr>
          <w:noProof/>
          <w:sz w:val="22"/>
          <w:szCs w:val="22"/>
        </w:rPr>
        <w:t>org</w:t>
      </w:r>
      <w:r w:rsidRPr="00064166">
        <w:rPr>
          <w:noProof/>
          <w:sz w:val="22"/>
          <w:szCs w:val="22"/>
        </w:rPr>
        <w:t>anizacji podróży</w:t>
      </w:r>
      <w:r w:rsidRPr="00064166">
        <w:rPr>
          <w:rStyle w:val="FootnoteReference"/>
          <w:noProof/>
          <w:sz w:val="22"/>
          <w:szCs w:val="22"/>
        </w:rPr>
        <w:footnoteReference w:id="26"/>
      </w:r>
      <w:r w:rsidRPr="00064166">
        <w:rPr>
          <w:noProof/>
          <w:sz w:val="22"/>
          <w:szCs w:val="22"/>
        </w:rPr>
        <w:t>. Wezwała państwa członkowskie do stworzenia sieci bezpiecznych portów,</w:t>
      </w:r>
      <w:r w:rsidR="00064166" w:rsidRPr="00064166">
        <w:rPr>
          <w:noProof/>
          <w:sz w:val="22"/>
          <w:szCs w:val="22"/>
        </w:rPr>
        <w:t xml:space="preserve"> w</w:t>
      </w:r>
      <w:r w:rsidR="00064166">
        <w:rPr>
          <w:noProof/>
          <w:sz w:val="22"/>
          <w:szCs w:val="22"/>
        </w:rPr>
        <w:t> </w:t>
      </w:r>
      <w:r w:rsidR="00064166" w:rsidRPr="00064166">
        <w:rPr>
          <w:noProof/>
          <w:sz w:val="22"/>
          <w:szCs w:val="22"/>
        </w:rPr>
        <w:t>któ</w:t>
      </w:r>
      <w:r w:rsidRPr="00064166">
        <w:rPr>
          <w:noProof/>
          <w:sz w:val="22"/>
          <w:szCs w:val="22"/>
        </w:rPr>
        <w:t>rych załogi mogłyby się wymieniać bez ograniczeń. Komisja złagodziła również obowiązki wizowe</w:t>
      </w:r>
      <w:r w:rsidR="00064166" w:rsidRPr="00064166">
        <w:rPr>
          <w:noProof/>
          <w:sz w:val="22"/>
          <w:szCs w:val="22"/>
        </w:rPr>
        <w:t xml:space="preserve"> i</w:t>
      </w:r>
      <w:r w:rsidR="00064166">
        <w:rPr>
          <w:noProof/>
          <w:sz w:val="22"/>
          <w:szCs w:val="22"/>
        </w:rPr>
        <w:t> </w:t>
      </w:r>
      <w:r w:rsidR="00064166" w:rsidRPr="00064166">
        <w:rPr>
          <w:noProof/>
          <w:sz w:val="22"/>
          <w:szCs w:val="22"/>
        </w:rPr>
        <w:t>wpr</w:t>
      </w:r>
      <w:r w:rsidRPr="00064166">
        <w:rPr>
          <w:noProof/>
          <w:sz w:val="22"/>
          <w:szCs w:val="22"/>
        </w:rPr>
        <w:t>owadziła zwolnienia</w:t>
      </w:r>
      <w:r w:rsidR="00064166" w:rsidRPr="00064166">
        <w:rPr>
          <w:noProof/>
          <w:sz w:val="22"/>
          <w:szCs w:val="22"/>
        </w:rPr>
        <w:t xml:space="preserve"> z</w:t>
      </w:r>
      <w:r w:rsidR="00064166">
        <w:rPr>
          <w:noProof/>
          <w:sz w:val="22"/>
          <w:szCs w:val="22"/>
        </w:rPr>
        <w:t> </w:t>
      </w:r>
      <w:r w:rsidR="00064166" w:rsidRPr="00064166">
        <w:rPr>
          <w:noProof/>
          <w:sz w:val="22"/>
          <w:szCs w:val="22"/>
        </w:rPr>
        <w:t>kwa</w:t>
      </w:r>
      <w:r w:rsidRPr="00064166">
        <w:rPr>
          <w:noProof/>
          <w:sz w:val="22"/>
          <w:szCs w:val="22"/>
        </w:rPr>
        <w:t>rantanny,</w:t>
      </w:r>
      <w:r w:rsidR="00064166" w:rsidRPr="00064166">
        <w:rPr>
          <w:noProof/>
          <w:sz w:val="22"/>
          <w:szCs w:val="22"/>
        </w:rPr>
        <w:t xml:space="preserve"> w</w:t>
      </w:r>
      <w:r w:rsidR="00064166">
        <w:rPr>
          <w:noProof/>
          <w:sz w:val="22"/>
          <w:szCs w:val="22"/>
        </w:rPr>
        <w:t> </w:t>
      </w:r>
      <w:r w:rsidR="00064166" w:rsidRPr="00064166">
        <w:rPr>
          <w:noProof/>
          <w:sz w:val="22"/>
          <w:szCs w:val="22"/>
        </w:rPr>
        <w:t>tym w</w:t>
      </w:r>
      <w:r w:rsidR="00064166">
        <w:rPr>
          <w:noProof/>
          <w:sz w:val="22"/>
          <w:szCs w:val="22"/>
        </w:rPr>
        <w:t> </w:t>
      </w:r>
      <w:r w:rsidR="00064166" w:rsidRPr="00064166">
        <w:rPr>
          <w:noProof/>
          <w:sz w:val="22"/>
          <w:szCs w:val="22"/>
        </w:rPr>
        <w:t>odn</w:t>
      </w:r>
      <w:r w:rsidRPr="00064166">
        <w:rPr>
          <w:noProof/>
          <w:sz w:val="22"/>
          <w:szCs w:val="22"/>
        </w:rPr>
        <w:t>iesieniu do marynarzy spoza UE.</w:t>
      </w:r>
    </w:p>
    <w:p w14:paraId="524F8AC7" w14:textId="626E5CD1"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b/>
          <w:i/>
          <w:noProof/>
          <w:sz w:val="22"/>
          <w:szCs w:val="22"/>
          <w:u w:color="000000"/>
          <w:bdr w:val="nil"/>
        </w:rPr>
      </w:pPr>
      <w:r w:rsidRPr="00064166">
        <w:rPr>
          <w:b/>
          <w:i/>
          <w:noProof/>
          <w:sz w:val="22"/>
          <w:szCs w:val="22"/>
          <w:u w:color="000000"/>
          <w:bdr w:val="nil"/>
        </w:rPr>
        <w:t>COVID-19</w:t>
      </w:r>
      <w:r w:rsidR="00064166" w:rsidRPr="00064166">
        <w:rPr>
          <w:b/>
          <w:i/>
          <w:noProof/>
          <w:sz w:val="22"/>
          <w:szCs w:val="22"/>
          <w:u w:color="000000"/>
          <w:bdr w:val="nil"/>
        </w:rPr>
        <w:t xml:space="preserve"> a</w:t>
      </w:r>
      <w:r w:rsidR="00064166">
        <w:rPr>
          <w:b/>
          <w:i/>
          <w:noProof/>
          <w:sz w:val="22"/>
          <w:szCs w:val="22"/>
          <w:u w:color="000000"/>
          <w:bdr w:val="nil"/>
        </w:rPr>
        <w:t> </w:t>
      </w:r>
      <w:r w:rsidR="00064166" w:rsidRPr="00064166">
        <w:rPr>
          <w:b/>
          <w:i/>
          <w:noProof/>
          <w:sz w:val="22"/>
          <w:szCs w:val="22"/>
          <w:u w:color="000000"/>
          <w:bdr w:val="nil"/>
        </w:rPr>
        <w:t>pra</w:t>
      </w:r>
      <w:r w:rsidRPr="00064166">
        <w:rPr>
          <w:b/>
          <w:i/>
          <w:noProof/>
          <w:sz w:val="22"/>
          <w:szCs w:val="22"/>
          <w:u w:color="000000"/>
          <w:bdr w:val="nil"/>
        </w:rPr>
        <w:t>wa pasażerów</w:t>
      </w:r>
    </w:p>
    <w:p w14:paraId="508BC5D1" w14:textId="7752AF70"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Komisja przedstawiła wstępne wytyczne dotyczące stosowania unijnych przepisów dotyczących praw pasażerów</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odn</w:t>
      </w:r>
      <w:r w:rsidRPr="00064166">
        <w:rPr>
          <w:noProof/>
          <w:sz w:val="22"/>
          <w:szCs w:val="22"/>
          <w:u w:color="000000"/>
          <w:bdr w:val="nil"/>
        </w:rPr>
        <w:t>iesieniu do COVID-19</w:t>
      </w:r>
      <w:r w:rsidRPr="00064166">
        <w:rPr>
          <w:rStyle w:val="FootnoteReference"/>
          <w:rFonts w:eastAsia="Arial Unicode MS"/>
          <w:noProof/>
          <w:sz w:val="22"/>
          <w:szCs w:val="22"/>
          <w:u w:color="000000"/>
          <w:bdr w:val="nil"/>
        </w:rPr>
        <w:footnoteReference w:id="27"/>
      </w:r>
      <w:r w:rsidR="0052698C" w:rsidRPr="00064166">
        <w:rPr>
          <w:noProof/>
          <w:sz w:val="22"/>
          <w:szCs w:val="22"/>
          <w:u w:color="000000"/>
          <w:bdr w:val="nil"/>
        </w:rPr>
        <w:t>.</w:t>
      </w:r>
      <w:r w:rsidRPr="00064166">
        <w:rPr>
          <w:noProof/>
          <w:sz w:val="22"/>
          <w:szCs w:val="22"/>
          <w:u w:color="000000"/>
          <w:bdr w:val="nil"/>
        </w:rPr>
        <w:t xml:space="preserve"> Wydała zalecenie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spr</w:t>
      </w:r>
      <w:r w:rsidRPr="00064166">
        <w:rPr>
          <w:noProof/>
          <w:sz w:val="22"/>
          <w:szCs w:val="22"/>
          <w:u w:color="000000"/>
          <w:bdr w:val="nil"/>
        </w:rPr>
        <w:t>awie bonów oferowanych pasażerom</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pod</w:t>
      </w:r>
      <w:r w:rsidRPr="00064166">
        <w:rPr>
          <w:noProof/>
          <w:sz w:val="22"/>
          <w:szCs w:val="22"/>
          <w:u w:color="000000"/>
          <w:bdr w:val="nil"/>
        </w:rPr>
        <w:t>różnym jako alternatywa dla zwrotu pieniędzy za odwołane podróże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usł</w:t>
      </w:r>
      <w:r w:rsidRPr="00064166">
        <w:rPr>
          <w:noProof/>
          <w:sz w:val="22"/>
          <w:szCs w:val="22"/>
          <w:u w:color="000000"/>
          <w:bdr w:val="nil"/>
        </w:rPr>
        <w:t>ugi transportowe.</w:t>
      </w:r>
      <w:r w:rsidR="0052698C" w:rsidRPr="00064166">
        <w:rPr>
          <w:noProof/>
          <w:sz w:val="22"/>
          <w:szCs w:val="22"/>
          <w:u w:color="000000"/>
          <w:bdr w:val="nil"/>
        </w:rPr>
        <w:t xml:space="preserve"> </w:t>
      </w:r>
      <w:r w:rsidRPr="00064166">
        <w:rPr>
          <w:noProof/>
          <w:sz w:val="22"/>
          <w:szCs w:val="22"/>
          <w:u w:color="000000"/>
          <w:bdr w:val="nil"/>
        </w:rPr>
        <w:t>Podkreśliła również sposób,</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jak</w:t>
      </w:r>
      <w:r w:rsidRPr="00064166">
        <w:rPr>
          <w:noProof/>
          <w:sz w:val="22"/>
          <w:szCs w:val="22"/>
          <w:u w:color="000000"/>
          <w:bdr w:val="nil"/>
        </w:rPr>
        <w:t>i państwa członkowskie mogą wspierać płynność finansową przedsiębiorstw transportowych</w:t>
      </w:r>
      <w:r w:rsidRPr="00064166">
        <w:rPr>
          <w:rStyle w:val="FootnoteReference"/>
          <w:rFonts w:eastAsia="Arial Unicode MS"/>
          <w:noProof/>
          <w:sz w:val="22"/>
          <w:szCs w:val="22"/>
          <w:u w:color="000000"/>
          <w:bdr w:val="nil"/>
        </w:rPr>
        <w:footnoteReference w:id="28"/>
      </w:r>
      <w:r w:rsidR="00064166" w:rsidRPr="00064166">
        <w:rPr>
          <w:noProof/>
          <w:sz w:val="22"/>
          <w:szCs w:val="22"/>
          <w:u w:color="000000"/>
          <w:bdr w:val="nil"/>
        </w:rPr>
        <w:t>. W</w:t>
      </w:r>
      <w:r w:rsidR="00064166">
        <w:rPr>
          <w:noProof/>
          <w:sz w:val="22"/>
          <w:szCs w:val="22"/>
          <w:u w:color="000000"/>
          <w:bdr w:val="nil"/>
        </w:rPr>
        <w:t> </w:t>
      </w:r>
      <w:r w:rsidR="00064166" w:rsidRPr="00064166">
        <w:rPr>
          <w:noProof/>
          <w:sz w:val="22"/>
          <w:szCs w:val="22"/>
          <w:u w:color="000000"/>
          <w:bdr w:val="nil"/>
        </w:rPr>
        <w:t>gru</w:t>
      </w:r>
      <w:r w:rsidRPr="00064166">
        <w:rPr>
          <w:noProof/>
          <w:sz w:val="22"/>
          <w:szCs w:val="22"/>
          <w:u w:color="000000"/>
          <w:bdr w:val="nil"/>
        </w:rPr>
        <w:t>dniu 2020</w:t>
      </w:r>
      <w:r w:rsidR="00064166" w:rsidRPr="00064166">
        <w:rPr>
          <w:noProof/>
          <w:sz w:val="22"/>
          <w:szCs w:val="22"/>
          <w:u w:color="000000"/>
          <w:bdr w:val="nil"/>
        </w:rPr>
        <w:t> </w:t>
      </w:r>
      <w:r w:rsidRPr="00064166">
        <w:rPr>
          <w:noProof/>
          <w:sz w:val="22"/>
          <w:szCs w:val="22"/>
          <w:u w:color="000000"/>
          <w:bdr w:val="nil"/>
        </w:rPr>
        <w:t xml:space="preserve">r. Komisja zwróciła uwagę sieci egzekwowania przepisów dotyczących </w:t>
      </w:r>
      <w:hyperlink r:id="rId16" w:history="1">
        <w:r w:rsidRPr="00064166">
          <w:rPr>
            <w:noProof/>
            <w:sz w:val="22"/>
            <w:szCs w:val="22"/>
            <w:u w:color="000000"/>
            <w:bdr w:val="nil"/>
          </w:rPr>
          <w:t>współpracy</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ochrony konsumenta</w:t>
        </w:r>
      </w:hyperlink>
      <w:r w:rsidRPr="00064166">
        <w:rPr>
          <w:noProof/>
          <w:sz w:val="22"/>
          <w:szCs w:val="22"/>
          <w:u w:color="000000"/>
          <w:bdr w:val="nil"/>
        </w:rPr>
        <w:t xml:space="preserve"> na strategie anulowania rezerwacji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zwr</w:t>
      </w:r>
      <w:r w:rsidRPr="00064166">
        <w:rPr>
          <w:noProof/>
          <w:sz w:val="22"/>
          <w:szCs w:val="22"/>
          <w:u w:color="000000"/>
          <w:bdr w:val="nil"/>
        </w:rPr>
        <w:t>otu kosztów realizowane przez szereg linii lotniczych. Doprowadziło to do dyskusji między Komisją, krajowymi organami ds. ochrony konsumentów</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1</w:t>
      </w:r>
      <w:r w:rsidRPr="00064166">
        <w:rPr>
          <w:noProof/>
          <w:sz w:val="22"/>
          <w:szCs w:val="22"/>
          <w:u w:color="000000"/>
          <w:bdr w:val="nil"/>
        </w:rPr>
        <w:t>6 największymi linia</w:t>
      </w:r>
      <w:r w:rsidR="0052698C" w:rsidRPr="00064166">
        <w:rPr>
          <w:noProof/>
          <w:sz w:val="22"/>
          <w:szCs w:val="22"/>
          <w:u w:color="000000"/>
          <w:bdr w:val="nil"/>
        </w:rPr>
        <w:t>mi lotniczymi</w:t>
      </w:r>
      <w:r w:rsidR="00064166" w:rsidRPr="00064166">
        <w:rPr>
          <w:noProof/>
          <w:sz w:val="22"/>
          <w:szCs w:val="22"/>
          <w:u w:color="000000"/>
          <w:bdr w:val="nil"/>
        </w:rPr>
        <w:t>. W</w:t>
      </w:r>
      <w:r w:rsidR="00064166">
        <w:rPr>
          <w:noProof/>
          <w:sz w:val="22"/>
          <w:szCs w:val="22"/>
          <w:u w:color="000000"/>
          <w:bdr w:val="nil"/>
        </w:rPr>
        <w:t> </w:t>
      </w:r>
      <w:r w:rsidR="00064166" w:rsidRPr="00064166">
        <w:rPr>
          <w:noProof/>
          <w:sz w:val="22"/>
          <w:szCs w:val="22"/>
          <w:u w:color="000000"/>
          <w:bdr w:val="nil"/>
        </w:rPr>
        <w:t>rez</w:t>
      </w:r>
      <w:r w:rsidRPr="00064166">
        <w:rPr>
          <w:noProof/>
          <w:sz w:val="22"/>
          <w:szCs w:val="22"/>
          <w:u w:color="000000"/>
          <w:bdr w:val="nil"/>
        </w:rPr>
        <w:t>ultacie wspomniane linie lotnicze zobowiązały się do zapewnienia pasażerom dokładniejszych informacji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ter</w:t>
      </w:r>
      <w:r w:rsidRPr="00064166">
        <w:rPr>
          <w:noProof/>
          <w:sz w:val="22"/>
          <w:szCs w:val="22"/>
          <w:u w:color="000000"/>
          <w:bdr w:val="nil"/>
        </w:rPr>
        <w:t>minowego zwrotu kosztów za odwołane loty</w:t>
      </w:r>
      <w:r w:rsidRPr="00064166">
        <w:rPr>
          <w:rStyle w:val="FootnoteReference"/>
          <w:rFonts w:eastAsia="Arial Unicode MS"/>
          <w:noProof/>
          <w:sz w:val="22"/>
          <w:szCs w:val="22"/>
          <w:u w:color="000000"/>
          <w:bdr w:val="nil"/>
        </w:rPr>
        <w:footnoteReference w:id="29"/>
      </w:r>
      <w:r w:rsidRPr="00064166">
        <w:rPr>
          <w:noProof/>
        </w:rPr>
        <w:t>.</w:t>
      </w:r>
    </w:p>
    <w:p w14:paraId="1D30C562" w14:textId="62121DB4" w:rsidR="00FC6378" w:rsidRPr="00064166" w:rsidRDefault="0095557D" w:rsidP="00CC0E2F">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Komisja zwróciła się do państw członkowskich</w:t>
      </w:r>
      <w:r w:rsidR="00064166" w:rsidRPr="00064166">
        <w:rPr>
          <w:noProof/>
          <w:sz w:val="22"/>
          <w:szCs w:val="22"/>
          <w:u w:color="000000"/>
          <w:bdr w:val="nil"/>
        </w:rPr>
        <w:t xml:space="preserve"> o</w:t>
      </w:r>
      <w:r w:rsidR="00064166">
        <w:rPr>
          <w:noProof/>
          <w:sz w:val="22"/>
          <w:szCs w:val="22"/>
          <w:u w:color="000000"/>
          <w:bdr w:val="nil"/>
        </w:rPr>
        <w:t> </w:t>
      </w:r>
      <w:r w:rsidR="00064166" w:rsidRPr="00064166">
        <w:rPr>
          <w:noProof/>
          <w:sz w:val="22"/>
          <w:szCs w:val="22"/>
          <w:u w:color="000000"/>
          <w:bdr w:val="nil"/>
        </w:rPr>
        <w:t>wyk</w:t>
      </w:r>
      <w:r w:rsidRPr="00064166">
        <w:rPr>
          <w:noProof/>
          <w:sz w:val="22"/>
          <w:szCs w:val="22"/>
          <w:u w:color="000000"/>
          <w:bdr w:val="nil"/>
        </w:rPr>
        <w:t>orzystanie platformy EU Pilot</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cel</w:t>
      </w:r>
      <w:r w:rsidRPr="00064166">
        <w:rPr>
          <w:noProof/>
          <w:sz w:val="22"/>
          <w:szCs w:val="22"/>
          <w:u w:color="000000"/>
          <w:bdr w:val="nil"/>
        </w:rPr>
        <w:t>u dostarczenia informacji na temat stosowania, monitorowania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egz</w:t>
      </w:r>
      <w:r w:rsidRPr="00064166">
        <w:rPr>
          <w:noProof/>
          <w:sz w:val="22"/>
          <w:szCs w:val="22"/>
          <w:u w:color="000000"/>
          <w:bdr w:val="nil"/>
        </w:rPr>
        <w:t>ekwowania przepisów unijnych dotyczących praw pasażerów</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cza</w:t>
      </w:r>
      <w:r w:rsidRPr="00064166">
        <w:rPr>
          <w:noProof/>
          <w:sz w:val="22"/>
          <w:szCs w:val="22"/>
          <w:u w:color="000000"/>
          <w:bdr w:val="nil"/>
        </w:rPr>
        <w:t>sie kryzysu związanego z COVID-19. Przedmiotem szczególnej uwagi są przedsiębiorstwa transportowe oraz to, czy dają one pasażerom możliwość wyboru między zwrotem kosztów</w:t>
      </w:r>
      <w:r w:rsidR="00064166" w:rsidRPr="00064166">
        <w:rPr>
          <w:noProof/>
          <w:sz w:val="22"/>
          <w:szCs w:val="22"/>
          <w:u w:color="000000"/>
          <w:bdr w:val="nil"/>
        </w:rPr>
        <w:t xml:space="preserve"> a</w:t>
      </w:r>
      <w:r w:rsidR="00064166">
        <w:rPr>
          <w:noProof/>
          <w:sz w:val="22"/>
          <w:szCs w:val="22"/>
          <w:u w:color="000000"/>
          <w:bdr w:val="nil"/>
        </w:rPr>
        <w:t> </w:t>
      </w:r>
      <w:r w:rsidR="00064166" w:rsidRPr="00064166">
        <w:rPr>
          <w:noProof/>
          <w:sz w:val="22"/>
          <w:szCs w:val="22"/>
          <w:u w:color="000000"/>
          <w:bdr w:val="nil"/>
        </w:rPr>
        <w:t>bon</w:t>
      </w:r>
      <w:r w:rsidRPr="00064166">
        <w:rPr>
          <w:noProof/>
          <w:sz w:val="22"/>
          <w:szCs w:val="22"/>
          <w:u w:color="000000"/>
          <w:bdr w:val="nil"/>
        </w:rPr>
        <w:t>ami. Komisja wszczęła postępowanie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spr</w:t>
      </w:r>
      <w:r w:rsidRPr="00064166">
        <w:rPr>
          <w:noProof/>
          <w:sz w:val="22"/>
          <w:szCs w:val="22"/>
          <w:u w:color="000000"/>
          <w:bdr w:val="nil"/>
        </w:rPr>
        <w:t>awie uchybienia zobowiązaniom państwa członkowskiego przeciwko państwom członkowskim, które wprowadziły przepisy naruszające unijne przepisy dotyczące praw pasażerów. Doprowadziło to do wycofania tych sprzecznych przepisów krajowych.</w:t>
      </w:r>
    </w:p>
    <w:p w14:paraId="73110E00" w14:textId="77777777" w:rsidR="00FC6378" w:rsidRPr="00064166" w:rsidRDefault="00FC6378" w:rsidP="00890948">
      <w:pPr>
        <w:pStyle w:val="Heading2"/>
        <w:numPr>
          <w:ilvl w:val="0"/>
          <w:numId w:val="0"/>
        </w:numPr>
        <w:ind w:left="576" w:hanging="576"/>
        <w:rPr>
          <w:noProof/>
        </w:rPr>
      </w:pPr>
      <w:r w:rsidRPr="00064166">
        <w:rPr>
          <w:noProof/>
        </w:rPr>
        <w:t>2.4 Utrzymanie jakości sieci połączeń</w:t>
      </w:r>
    </w:p>
    <w:p w14:paraId="70530830" w14:textId="6169F6E9" w:rsidR="00FC6378" w:rsidRPr="00064166" w:rsidRDefault="00FC6378" w:rsidP="00CC0E2F">
      <w:pPr>
        <w:spacing w:before="120" w:line="276" w:lineRule="auto"/>
        <w:rPr>
          <w:noProof/>
          <w:sz w:val="22"/>
          <w:szCs w:val="22"/>
        </w:rPr>
      </w:pPr>
      <w:r w:rsidRPr="00064166">
        <w:rPr>
          <w:b/>
          <w:noProof/>
          <w:sz w:val="22"/>
          <w:szCs w:val="22"/>
        </w:rPr>
        <w:t>UE wprowadziła również ułatwienia regulacyjne dla przedsiębiorstw transportowych</w:t>
      </w:r>
      <w:r w:rsidR="00064166" w:rsidRPr="00064166">
        <w:rPr>
          <w:b/>
          <w:noProof/>
          <w:sz w:val="22"/>
          <w:szCs w:val="22"/>
        </w:rPr>
        <w:t xml:space="preserve"> w</w:t>
      </w:r>
      <w:r w:rsidR="00064166">
        <w:rPr>
          <w:b/>
          <w:noProof/>
          <w:sz w:val="22"/>
          <w:szCs w:val="22"/>
        </w:rPr>
        <w:t> </w:t>
      </w:r>
      <w:r w:rsidR="00064166" w:rsidRPr="00064166">
        <w:rPr>
          <w:b/>
          <w:noProof/>
          <w:sz w:val="22"/>
          <w:szCs w:val="22"/>
        </w:rPr>
        <w:t>dro</w:t>
      </w:r>
      <w:r w:rsidRPr="00064166">
        <w:rPr>
          <w:b/>
          <w:noProof/>
          <w:sz w:val="22"/>
          <w:szCs w:val="22"/>
        </w:rPr>
        <w:t>dze zmian legislacyjnych.</w:t>
      </w:r>
      <w:r w:rsidR="0052698C" w:rsidRPr="00064166">
        <w:rPr>
          <w:b/>
          <w:noProof/>
          <w:sz w:val="22"/>
          <w:szCs w:val="22"/>
        </w:rPr>
        <w:t xml:space="preserve"> </w:t>
      </w:r>
      <w:r w:rsidRPr="00064166">
        <w:rPr>
          <w:noProof/>
          <w:sz w:val="22"/>
          <w:szCs w:val="22"/>
        </w:rPr>
        <w:t>Jeżeli przewoźnik lotniczy nie jest</w:t>
      </w:r>
      <w:r w:rsidR="00064166" w:rsidRPr="00064166">
        <w:rPr>
          <w:noProof/>
          <w:sz w:val="22"/>
          <w:szCs w:val="22"/>
        </w:rPr>
        <w:t xml:space="preserve"> w</w:t>
      </w:r>
      <w:r w:rsidR="00064166">
        <w:rPr>
          <w:noProof/>
          <w:sz w:val="22"/>
          <w:szCs w:val="22"/>
        </w:rPr>
        <w:t> </w:t>
      </w:r>
      <w:r w:rsidR="00064166" w:rsidRPr="00064166">
        <w:rPr>
          <w:noProof/>
          <w:sz w:val="22"/>
          <w:szCs w:val="22"/>
        </w:rPr>
        <w:t>sta</w:t>
      </w:r>
      <w:r w:rsidRPr="00064166">
        <w:rPr>
          <w:noProof/>
          <w:sz w:val="22"/>
          <w:szCs w:val="22"/>
        </w:rPr>
        <w:t>nie dłużej spełniać swoich zobowiązań finansowych przez okres 12 miesięcy, władze państwa członkowskiego uprawnione do licencjonowania mogą nie zawieszać ani nie cofać jego licencji. Na mocy przepisów wprowadzono środki ukierunkowane na wspieranie portów lotniczych</w:t>
      </w:r>
      <w:r w:rsidR="00064166" w:rsidRPr="00064166">
        <w:rPr>
          <w:noProof/>
          <w:sz w:val="22"/>
          <w:szCs w:val="22"/>
        </w:rPr>
        <w:t xml:space="preserve"> i</w:t>
      </w:r>
      <w:r w:rsidR="00064166">
        <w:rPr>
          <w:noProof/>
          <w:sz w:val="22"/>
          <w:szCs w:val="22"/>
        </w:rPr>
        <w:t> </w:t>
      </w:r>
      <w:r w:rsidR="00064166" w:rsidRPr="00064166">
        <w:rPr>
          <w:noProof/>
          <w:sz w:val="22"/>
          <w:szCs w:val="22"/>
        </w:rPr>
        <w:t>prz</w:t>
      </w:r>
      <w:r w:rsidRPr="00064166">
        <w:rPr>
          <w:noProof/>
          <w:sz w:val="22"/>
          <w:szCs w:val="22"/>
        </w:rPr>
        <w:t>edsiębiorstw zapewniających obsługę naziemną,</w:t>
      </w:r>
      <w:r w:rsidR="00064166" w:rsidRPr="00064166">
        <w:rPr>
          <w:noProof/>
          <w:sz w:val="22"/>
          <w:szCs w:val="22"/>
        </w:rPr>
        <w:t xml:space="preserve"> w</w:t>
      </w:r>
      <w:r w:rsidR="00064166">
        <w:rPr>
          <w:noProof/>
          <w:sz w:val="22"/>
          <w:szCs w:val="22"/>
        </w:rPr>
        <w:t> </w:t>
      </w:r>
      <w:r w:rsidR="00064166" w:rsidRPr="00064166">
        <w:rPr>
          <w:noProof/>
          <w:sz w:val="22"/>
          <w:szCs w:val="22"/>
        </w:rPr>
        <w:t>szc</w:t>
      </w:r>
      <w:r w:rsidRPr="00064166">
        <w:rPr>
          <w:noProof/>
          <w:sz w:val="22"/>
          <w:szCs w:val="22"/>
        </w:rPr>
        <w:t>zególności przez umożliwienie portom lotniczym udzielania zamówień na obsługę naziemną</w:t>
      </w:r>
      <w:r w:rsidR="00064166" w:rsidRPr="00064166">
        <w:rPr>
          <w:noProof/>
          <w:sz w:val="22"/>
          <w:szCs w:val="22"/>
        </w:rPr>
        <w:t xml:space="preserve"> w</w:t>
      </w:r>
      <w:r w:rsidR="00064166">
        <w:rPr>
          <w:noProof/>
          <w:sz w:val="22"/>
          <w:szCs w:val="22"/>
        </w:rPr>
        <w:t> </w:t>
      </w:r>
      <w:r w:rsidR="00064166" w:rsidRPr="00064166">
        <w:rPr>
          <w:noProof/>
          <w:sz w:val="22"/>
          <w:szCs w:val="22"/>
        </w:rPr>
        <w:t>syt</w:t>
      </w:r>
      <w:r w:rsidRPr="00064166">
        <w:rPr>
          <w:noProof/>
          <w:sz w:val="22"/>
          <w:szCs w:val="22"/>
        </w:rPr>
        <w:t>uacjach wyjątkowych, gdy przedsiębiorstwo zaprzestaje działalności</w:t>
      </w:r>
      <w:r w:rsidR="00064166" w:rsidRPr="00064166">
        <w:rPr>
          <w:noProof/>
          <w:sz w:val="22"/>
          <w:szCs w:val="22"/>
        </w:rPr>
        <w:t xml:space="preserve"> z</w:t>
      </w:r>
      <w:r w:rsidR="00064166">
        <w:rPr>
          <w:noProof/>
          <w:sz w:val="22"/>
          <w:szCs w:val="22"/>
        </w:rPr>
        <w:t> </w:t>
      </w:r>
      <w:r w:rsidR="00064166" w:rsidRPr="00064166">
        <w:rPr>
          <w:noProof/>
          <w:sz w:val="22"/>
          <w:szCs w:val="22"/>
        </w:rPr>
        <w:t>pow</w:t>
      </w:r>
      <w:r w:rsidRPr="00064166">
        <w:rPr>
          <w:noProof/>
          <w:sz w:val="22"/>
          <w:szCs w:val="22"/>
        </w:rPr>
        <w:t>odu kryzysu związanego z COVID-19</w:t>
      </w:r>
      <w:r w:rsidRPr="00064166">
        <w:rPr>
          <w:rStyle w:val="FootnoteReference"/>
          <w:noProof/>
          <w:sz w:val="22"/>
          <w:szCs w:val="22"/>
        </w:rPr>
        <w:footnoteReference w:id="30"/>
      </w:r>
      <w:r w:rsidRPr="00064166">
        <w:rPr>
          <w:noProof/>
          <w:sz w:val="22"/>
          <w:szCs w:val="22"/>
        </w:rPr>
        <w:t xml:space="preserve">. </w:t>
      </w:r>
    </w:p>
    <w:p w14:paraId="3C6E12BF" w14:textId="14D11E4C"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b/>
          <w:noProof/>
          <w:sz w:val="22"/>
          <w:szCs w:val="22"/>
          <w:u w:color="000000"/>
          <w:bdr w:val="nil"/>
        </w:rPr>
      </w:pPr>
      <w:r w:rsidRPr="00064166">
        <w:rPr>
          <w:b/>
          <w:bCs/>
          <w:i/>
          <w:noProof/>
          <w:sz w:val="22"/>
          <w:szCs w:val="22"/>
          <w:u w:color="000000"/>
          <w:bdr w:val="nil"/>
        </w:rPr>
        <w:t>Zmiany</w:t>
      </w:r>
      <w:r w:rsidR="00064166" w:rsidRPr="00064166">
        <w:rPr>
          <w:b/>
          <w:bCs/>
          <w:i/>
          <w:noProof/>
          <w:sz w:val="22"/>
          <w:szCs w:val="22"/>
          <w:u w:color="000000"/>
          <w:bdr w:val="nil"/>
        </w:rPr>
        <w:t xml:space="preserve"> w</w:t>
      </w:r>
      <w:r w:rsidR="00064166">
        <w:rPr>
          <w:b/>
          <w:bCs/>
          <w:i/>
          <w:noProof/>
          <w:sz w:val="22"/>
          <w:szCs w:val="22"/>
          <w:u w:color="000000"/>
          <w:bdr w:val="nil"/>
        </w:rPr>
        <w:t> </w:t>
      </w:r>
      <w:r w:rsidR="00064166" w:rsidRPr="00064166">
        <w:rPr>
          <w:b/>
          <w:bCs/>
          <w:i/>
          <w:noProof/>
          <w:sz w:val="22"/>
          <w:szCs w:val="22"/>
          <w:u w:color="000000"/>
          <w:bdr w:val="nil"/>
        </w:rPr>
        <w:t>roz</w:t>
      </w:r>
      <w:r w:rsidRPr="00064166">
        <w:rPr>
          <w:b/>
          <w:bCs/>
          <w:i/>
          <w:noProof/>
          <w:sz w:val="22"/>
          <w:szCs w:val="22"/>
          <w:u w:color="000000"/>
          <w:bdr w:val="nil"/>
        </w:rPr>
        <w:t>porządzeniu</w:t>
      </w:r>
      <w:r w:rsidR="00064166" w:rsidRPr="00064166">
        <w:rPr>
          <w:b/>
          <w:bCs/>
          <w:i/>
          <w:noProof/>
          <w:sz w:val="22"/>
          <w:szCs w:val="22"/>
          <w:u w:color="000000"/>
          <w:bdr w:val="nil"/>
        </w:rPr>
        <w:t xml:space="preserve"> w</w:t>
      </w:r>
      <w:r w:rsidR="00064166">
        <w:rPr>
          <w:b/>
          <w:bCs/>
          <w:i/>
          <w:noProof/>
          <w:sz w:val="22"/>
          <w:szCs w:val="22"/>
          <w:u w:color="000000"/>
          <w:bdr w:val="nil"/>
        </w:rPr>
        <w:t> </w:t>
      </w:r>
      <w:r w:rsidR="00064166" w:rsidRPr="00064166">
        <w:rPr>
          <w:b/>
          <w:bCs/>
          <w:i/>
          <w:noProof/>
          <w:sz w:val="22"/>
          <w:szCs w:val="22"/>
          <w:u w:color="000000"/>
          <w:bdr w:val="nil"/>
        </w:rPr>
        <w:t>spr</w:t>
      </w:r>
      <w:r w:rsidRPr="00064166">
        <w:rPr>
          <w:b/>
          <w:bCs/>
          <w:i/>
          <w:noProof/>
          <w:sz w:val="22"/>
          <w:szCs w:val="22"/>
          <w:u w:color="000000"/>
          <w:bdr w:val="nil"/>
        </w:rPr>
        <w:t>awie przydzielania czasu na start lub lądowanie</w:t>
      </w:r>
      <w:r w:rsidRPr="00064166">
        <w:rPr>
          <w:rStyle w:val="FootnoteReference"/>
          <w:rFonts w:eastAsia="Arial Unicode MS"/>
          <w:b/>
          <w:noProof/>
          <w:sz w:val="22"/>
          <w:szCs w:val="22"/>
          <w:u w:color="000000"/>
          <w:bdr w:val="nil"/>
        </w:rPr>
        <w:footnoteReference w:id="31"/>
      </w:r>
    </w:p>
    <w:p w14:paraId="65D20639" w14:textId="35FA0537"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b/>
          <w:noProof/>
          <w:sz w:val="22"/>
          <w:szCs w:val="22"/>
          <w:u w:color="000000"/>
          <w:bdr w:val="nil"/>
        </w:rPr>
      </w:pPr>
      <w:r w:rsidRPr="00064166">
        <w:rPr>
          <w:noProof/>
          <w:sz w:val="22"/>
          <w:szCs w:val="22"/>
          <w:u w:color="000000"/>
          <w:bdr w:val="nil"/>
        </w:rPr>
        <w:t>UE szybko przyjęła zmiany legislacyjne pozwalające przewoźnikom lotniczym zachować przydziały czasu na start lub lądowanie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kol</w:t>
      </w:r>
      <w:r w:rsidRPr="00064166">
        <w:rPr>
          <w:noProof/>
          <w:sz w:val="22"/>
          <w:szCs w:val="22"/>
          <w:u w:color="000000"/>
          <w:bdr w:val="nil"/>
        </w:rPr>
        <w:t>ejnym sezonie rozkładowym, nawet jeżeli nie są oni</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sta</w:t>
      </w:r>
      <w:r w:rsidRPr="00064166">
        <w:rPr>
          <w:noProof/>
          <w:sz w:val="22"/>
          <w:szCs w:val="22"/>
          <w:u w:color="000000"/>
          <w:bdr w:val="nil"/>
        </w:rPr>
        <w:t>nie wykorzystać minimum 80</w:t>
      </w:r>
      <w:r w:rsidR="00064166" w:rsidRPr="00064166">
        <w:rPr>
          <w:noProof/>
          <w:sz w:val="22"/>
          <w:szCs w:val="22"/>
          <w:u w:color="000000"/>
          <w:bdr w:val="nil"/>
        </w:rPr>
        <w:t> </w:t>
      </w:r>
      <w:r w:rsidRPr="00064166">
        <w:rPr>
          <w:noProof/>
          <w:sz w:val="22"/>
          <w:szCs w:val="22"/>
          <w:u w:color="000000"/>
          <w:bdr w:val="nil"/>
        </w:rPr>
        <w:t>% przydziałów czasu na start lub lądowanie, co jest zwykle wymagane. Zmiany te są ukierunkowane na zapewnienie liniom lotniczym pomocy finansowej oraz uniknięcie sytuacji,</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któ</w:t>
      </w:r>
      <w:r w:rsidRPr="00064166">
        <w:rPr>
          <w:noProof/>
          <w:sz w:val="22"/>
          <w:szCs w:val="22"/>
          <w:u w:color="000000"/>
          <w:bdr w:val="nil"/>
        </w:rPr>
        <w:t>rej musiałyby one obsługiwać loty wyłącznie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cel</w:t>
      </w:r>
      <w:r w:rsidRPr="00064166">
        <w:rPr>
          <w:noProof/>
          <w:sz w:val="22"/>
          <w:szCs w:val="22"/>
          <w:u w:color="000000"/>
          <w:bdr w:val="nil"/>
        </w:rPr>
        <w:t>u zachowania przydziałów czasu na start lub lądowanie. Zapewniają one również konkurencyjne wykorzystanie przepustowości portów lotniczych</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kor</w:t>
      </w:r>
      <w:r w:rsidRPr="00064166">
        <w:rPr>
          <w:noProof/>
          <w:sz w:val="22"/>
          <w:szCs w:val="22"/>
          <w:u w:color="000000"/>
          <w:bdr w:val="nil"/>
        </w:rPr>
        <w:t>zyścią dla konsumentów</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jak</w:t>
      </w:r>
      <w:r w:rsidRPr="00064166">
        <w:rPr>
          <w:noProof/>
          <w:sz w:val="22"/>
          <w:szCs w:val="22"/>
          <w:u w:color="000000"/>
          <w:bdr w:val="nil"/>
        </w:rPr>
        <w:t>ości sieci połączeń.</w:t>
      </w:r>
      <w:r w:rsidRPr="00064166">
        <w:rPr>
          <w:b/>
          <w:noProof/>
          <w:sz w:val="22"/>
          <w:szCs w:val="22"/>
          <w:u w:color="000000"/>
          <w:bdr w:val="nil"/>
        </w:rPr>
        <w:t xml:space="preserve"> </w:t>
      </w:r>
    </w:p>
    <w:p w14:paraId="45459492" w14:textId="3F0716C3" w:rsidR="00FC6378" w:rsidRPr="00064166" w:rsidRDefault="00FC6378" w:rsidP="00FC6378">
      <w:pPr>
        <w:pBdr>
          <w:top w:val="nil"/>
          <w:left w:val="nil"/>
          <w:bottom w:val="nil"/>
          <w:right w:val="nil"/>
          <w:between w:val="nil"/>
          <w:bar w:val="nil"/>
        </w:pBdr>
        <w:tabs>
          <w:tab w:val="left" w:pos="476"/>
        </w:tabs>
        <w:spacing w:line="276" w:lineRule="auto"/>
        <w:rPr>
          <w:b/>
          <w:bCs/>
          <w:noProof/>
          <w:sz w:val="22"/>
          <w:szCs w:val="22"/>
        </w:rPr>
      </w:pPr>
      <w:r w:rsidRPr="00064166">
        <w:rPr>
          <w:noProof/>
          <w:sz w:val="22"/>
          <w:szCs w:val="22"/>
        </w:rPr>
        <w:t>Ulgi prawne</w:t>
      </w:r>
      <w:r w:rsidR="00064166" w:rsidRPr="00064166">
        <w:rPr>
          <w:noProof/>
          <w:sz w:val="22"/>
          <w:szCs w:val="22"/>
        </w:rPr>
        <w:t xml:space="preserve"> w</w:t>
      </w:r>
      <w:r w:rsidR="00064166">
        <w:rPr>
          <w:noProof/>
          <w:sz w:val="22"/>
          <w:szCs w:val="22"/>
        </w:rPr>
        <w:t> </w:t>
      </w:r>
      <w:r w:rsidR="00064166" w:rsidRPr="00064166">
        <w:rPr>
          <w:noProof/>
          <w:sz w:val="22"/>
          <w:szCs w:val="22"/>
        </w:rPr>
        <w:t>sek</w:t>
      </w:r>
      <w:r w:rsidRPr="00064166">
        <w:rPr>
          <w:noProof/>
          <w:sz w:val="22"/>
          <w:szCs w:val="22"/>
        </w:rPr>
        <w:t>torze morskim umożliwiły organowi zarządzającemu portem lub organowi za to odpowiedzialnemu zrzeczenie się, zmniejszenie lub odroczenie opłat za korzystanie</w:t>
      </w:r>
      <w:r w:rsidR="00064166" w:rsidRPr="00064166">
        <w:rPr>
          <w:noProof/>
          <w:sz w:val="22"/>
          <w:szCs w:val="22"/>
        </w:rPr>
        <w:t xml:space="preserve"> z</w:t>
      </w:r>
      <w:r w:rsidR="00064166">
        <w:rPr>
          <w:noProof/>
          <w:sz w:val="22"/>
          <w:szCs w:val="22"/>
        </w:rPr>
        <w:t> </w:t>
      </w:r>
      <w:r w:rsidR="00064166" w:rsidRPr="00064166">
        <w:rPr>
          <w:noProof/>
          <w:sz w:val="22"/>
          <w:szCs w:val="22"/>
        </w:rPr>
        <w:t>inf</w:t>
      </w:r>
      <w:r w:rsidRPr="00064166">
        <w:rPr>
          <w:noProof/>
          <w:sz w:val="22"/>
          <w:szCs w:val="22"/>
        </w:rPr>
        <w:t>rastruktury portów morskich</w:t>
      </w:r>
      <w:r w:rsidRPr="00064166">
        <w:rPr>
          <w:rStyle w:val="FootnoteReference"/>
          <w:noProof/>
          <w:sz w:val="22"/>
          <w:szCs w:val="22"/>
        </w:rPr>
        <w:footnoteReference w:id="32"/>
      </w:r>
      <w:r w:rsidR="00064166" w:rsidRPr="00064166">
        <w:rPr>
          <w:noProof/>
          <w:sz w:val="22"/>
          <w:szCs w:val="22"/>
        </w:rPr>
        <w:t>. W</w:t>
      </w:r>
      <w:r w:rsidR="00064166">
        <w:rPr>
          <w:noProof/>
          <w:sz w:val="22"/>
          <w:szCs w:val="22"/>
        </w:rPr>
        <w:t> </w:t>
      </w:r>
      <w:r w:rsidR="00064166" w:rsidRPr="00064166">
        <w:rPr>
          <w:noProof/>
          <w:sz w:val="22"/>
          <w:szCs w:val="22"/>
        </w:rPr>
        <w:t>sek</w:t>
      </w:r>
      <w:r w:rsidRPr="00064166">
        <w:rPr>
          <w:noProof/>
          <w:sz w:val="22"/>
          <w:szCs w:val="22"/>
        </w:rPr>
        <w:t>torze kolejowym wprowadzono przepisy tymczasowe korzystne dla przedsiębiorstw kolejowych, np. przez umożliwienie zarządcom infrastruktury ustalania opłat za dostęp na poziomie niższym niż koszty operacyjne</w:t>
      </w:r>
      <w:r w:rsidRPr="00064166">
        <w:rPr>
          <w:rStyle w:val="FootnoteReference"/>
          <w:noProof/>
          <w:sz w:val="22"/>
          <w:szCs w:val="22"/>
        </w:rPr>
        <w:footnoteReference w:id="33"/>
      </w:r>
      <w:r w:rsidRPr="00064166">
        <w:rPr>
          <w:noProof/>
          <w:sz w:val="22"/>
          <w:szCs w:val="22"/>
        </w:rPr>
        <w:t>. Odroczono transpozycję</w:t>
      </w:r>
      <w:r w:rsidR="00064166" w:rsidRPr="00064166">
        <w:rPr>
          <w:noProof/>
          <w:sz w:val="22"/>
          <w:szCs w:val="22"/>
        </w:rPr>
        <w:t xml:space="preserve"> i</w:t>
      </w:r>
      <w:r w:rsidR="00064166">
        <w:rPr>
          <w:noProof/>
          <w:sz w:val="22"/>
          <w:szCs w:val="22"/>
        </w:rPr>
        <w:t> </w:t>
      </w:r>
      <w:r w:rsidR="00064166" w:rsidRPr="00064166">
        <w:rPr>
          <w:noProof/>
          <w:sz w:val="22"/>
          <w:szCs w:val="22"/>
        </w:rPr>
        <w:t>wdr</w:t>
      </w:r>
      <w:r w:rsidRPr="00064166">
        <w:rPr>
          <w:noProof/>
          <w:sz w:val="22"/>
          <w:szCs w:val="22"/>
        </w:rPr>
        <w:t>ożenie niektórych przepisów UE</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zmniejszenia obciążenia państw członkowskich, aby mogły się one skupić na walce</w:t>
      </w:r>
      <w:r w:rsidR="00064166" w:rsidRPr="00064166">
        <w:rPr>
          <w:noProof/>
          <w:sz w:val="22"/>
          <w:szCs w:val="22"/>
        </w:rPr>
        <w:t xml:space="preserve"> z</w:t>
      </w:r>
      <w:r w:rsidR="00064166">
        <w:rPr>
          <w:noProof/>
          <w:sz w:val="22"/>
          <w:szCs w:val="22"/>
        </w:rPr>
        <w:t> </w:t>
      </w:r>
      <w:r w:rsidR="00064166" w:rsidRPr="00064166">
        <w:rPr>
          <w:noProof/>
          <w:sz w:val="22"/>
          <w:szCs w:val="22"/>
        </w:rPr>
        <w:t>roz</w:t>
      </w:r>
      <w:r w:rsidRPr="00064166">
        <w:rPr>
          <w:noProof/>
          <w:sz w:val="22"/>
          <w:szCs w:val="22"/>
        </w:rPr>
        <w:t>przestrzenianiem się wirusa</w:t>
      </w:r>
      <w:r w:rsidRPr="00064166">
        <w:rPr>
          <w:rStyle w:val="FootnoteReference"/>
          <w:noProof/>
          <w:sz w:val="22"/>
          <w:szCs w:val="22"/>
        </w:rPr>
        <w:footnoteReference w:id="34"/>
      </w:r>
      <w:r w:rsidRPr="00064166">
        <w:rPr>
          <w:noProof/>
          <w:sz w:val="22"/>
          <w:szCs w:val="22"/>
        </w:rPr>
        <w:t xml:space="preserve">. </w:t>
      </w:r>
    </w:p>
    <w:p w14:paraId="1961730B" w14:textId="3408B9AD" w:rsidR="00FC6378" w:rsidRPr="00064166" w:rsidRDefault="00FC6378" w:rsidP="00FC6378">
      <w:pPr>
        <w:pStyle w:val="LegalNumPar"/>
        <w:spacing w:line="276" w:lineRule="auto"/>
        <w:rPr>
          <w:rFonts w:cs="Times New Roman"/>
          <w:noProof/>
          <w:color w:val="auto"/>
          <w:sz w:val="22"/>
          <w:szCs w:val="22"/>
        </w:rPr>
      </w:pPr>
      <w:r w:rsidRPr="00064166">
        <w:rPr>
          <w:b/>
          <w:bCs/>
          <w:noProof/>
          <w:color w:val="auto"/>
          <w:sz w:val="22"/>
          <w:szCs w:val="22"/>
        </w:rPr>
        <w:t>Zgodnie</w:t>
      </w:r>
      <w:r w:rsidR="00064166" w:rsidRPr="00064166">
        <w:rPr>
          <w:b/>
          <w:bCs/>
          <w:noProof/>
          <w:color w:val="auto"/>
          <w:sz w:val="22"/>
          <w:szCs w:val="22"/>
        </w:rPr>
        <w:t xml:space="preserve"> z</w:t>
      </w:r>
      <w:r w:rsidR="00064166">
        <w:rPr>
          <w:b/>
          <w:bCs/>
          <w:noProof/>
          <w:color w:val="auto"/>
          <w:sz w:val="22"/>
          <w:szCs w:val="22"/>
        </w:rPr>
        <w:t> </w:t>
      </w:r>
      <w:r w:rsidR="00064166" w:rsidRPr="00064166">
        <w:rPr>
          <w:b/>
          <w:bCs/>
          <w:noProof/>
          <w:color w:val="auto"/>
          <w:sz w:val="22"/>
          <w:szCs w:val="22"/>
        </w:rPr>
        <w:t>uni</w:t>
      </w:r>
      <w:r w:rsidRPr="00064166">
        <w:rPr>
          <w:b/>
          <w:bCs/>
          <w:noProof/>
          <w:color w:val="auto"/>
          <w:sz w:val="22"/>
          <w:szCs w:val="22"/>
        </w:rPr>
        <w:t>jnymi zasadami pomocy państwa państwa członkowskie mogą udzielać tymczasowej pomocy</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syt</w:t>
      </w:r>
      <w:r w:rsidRPr="00064166">
        <w:rPr>
          <w:b/>
          <w:bCs/>
          <w:noProof/>
          <w:color w:val="auto"/>
          <w:sz w:val="22"/>
          <w:szCs w:val="22"/>
        </w:rPr>
        <w:t>uacjach nadzwyczajnych</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cel</w:t>
      </w:r>
      <w:r w:rsidRPr="00064166">
        <w:rPr>
          <w:b/>
          <w:bCs/>
          <w:noProof/>
          <w:color w:val="auto"/>
          <w:sz w:val="22"/>
          <w:szCs w:val="22"/>
        </w:rPr>
        <w:t>u zrekompensowania nagłej utraty płynności lub naprawienia szkód bezpośrednio związanych z COVID-19</w:t>
      </w:r>
      <w:r w:rsidR="00064166" w:rsidRPr="00064166">
        <w:rPr>
          <w:b/>
          <w:bCs/>
          <w:noProof/>
          <w:color w:val="auto"/>
          <w:sz w:val="22"/>
          <w:szCs w:val="22"/>
        </w:rPr>
        <w:t xml:space="preserve">. </w:t>
      </w:r>
      <w:r w:rsidR="00064166" w:rsidRPr="00064166">
        <w:rPr>
          <w:noProof/>
          <w:color w:val="auto"/>
          <w:sz w:val="22"/>
          <w:szCs w:val="22"/>
        </w:rPr>
        <w:t>W</w:t>
      </w:r>
      <w:r w:rsidR="00064166">
        <w:rPr>
          <w:b/>
          <w:bCs/>
          <w:noProof/>
          <w:color w:val="auto"/>
          <w:sz w:val="22"/>
          <w:szCs w:val="22"/>
        </w:rPr>
        <w:t> </w:t>
      </w:r>
      <w:r w:rsidR="00064166" w:rsidRPr="00064166">
        <w:rPr>
          <w:noProof/>
          <w:color w:val="auto"/>
          <w:sz w:val="22"/>
          <w:szCs w:val="22"/>
        </w:rPr>
        <w:t>dni</w:t>
      </w:r>
      <w:r w:rsidRPr="00064166">
        <w:rPr>
          <w:noProof/>
          <w:color w:val="auto"/>
          <w:sz w:val="22"/>
          <w:szCs w:val="22"/>
        </w:rPr>
        <w:t>u 19 marca 2020</w:t>
      </w:r>
      <w:r w:rsidR="00064166" w:rsidRPr="00064166">
        <w:rPr>
          <w:noProof/>
          <w:color w:val="auto"/>
          <w:sz w:val="22"/>
          <w:szCs w:val="22"/>
        </w:rPr>
        <w:t> </w:t>
      </w:r>
      <w:r w:rsidRPr="00064166">
        <w:rPr>
          <w:noProof/>
          <w:color w:val="auto"/>
          <w:sz w:val="22"/>
          <w:szCs w:val="22"/>
        </w:rPr>
        <w:t>r. Komisja przyjęła tymczasowe ramy pomocy państwa</w:t>
      </w:r>
      <w:r w:rsidRPr="00064166">
        <w:rPr>
          <w:rStyle w:val="FootnoteReference"/>
          <w:rFonts w:cs="Times New Roman"/>
          <w:noProof/>
          <w:color w:val="auto"/>
          <w:sz w:val="22"/>
          <w:szCs w:val="22"/>
        </w:rPr>
        <w:footnoteReference w:id="35"/>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cel</w:t>
      </w:r>
      <w:r w:rsidRPr="00064166">
        <w:rPr>
          <w:noProof/>
          <w:color w:val="auto"/>
          <w:sz w:val="22"/>
          <w:szCs w:val="22"/>
        </w:rPr>
        <w:t>u wsparcia gospodarki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dob</w:t>
      </w:r>
      <w:r w:rsidRPr="00064166">
        <w:rPr>
          <w:noProof/>
          <w:color w:val="auto"/>
          <w:sz w:val="22"/>
          <w:szCs w:val="22"/>
        </w:rPr>
        <w:t>ie kryzysu związanego z COVID-19. Określono</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nic</w:t>
      </w:r>
      <w:r w:rsidRPr="00064166">
        <w:rPr>
          <w:noProof/>
          <w:color w:val="auto"/>
          <w:sz w:val="22"/>
          <w:szCs w:val="22"/>
        </w:rPr>
        <w:t>h warunki przyznawania pomocy państwa, aby złagodzić wszelkie poważne zakłócenia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gos</w:t>
      </w:r>
      <w:r w:rsidRPr="00064166">
        <w:rPr>
          <w:noProof/>
          <w:color w:val="auto"/>
          <w:sz w:val="22"/>
          <w:szCs w:val="22"/>
        </w:rPr>
        <w:t>podarce państw członkowskich. Ramy te mają zastosowanie do prawie wszystkich sektorów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prz</w:t>
      </w:r>
      <w:r w:rsidRPr="00064166">
        <w:rPr>
          <w:noProof/>
          <w:color w:val="auto"/>
          <w:sz w:val="22"/>
          <w:szCs w:val="22"/>
        </w:rPr>
        <w:t>edsiębiorstw,</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tym</w:t>
      </w:r>
      <w:r w:rsidRPr="00064166">
        <w:rPr>
          <w:noProof/>
          <w:color w:val="auto"/>
          <w:sz w:val="22"/>
          <w:szCs w:val="22"/>
        </w:rPr>
        <w:t xml:space="preserve"> przedsiębiorstw transportowych, które uznano za jeden</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sek</w:t>
      </w:r>
      <w:r w:rsidRPr="00064166">
        <w:rPr>
          <w:noProof/>
          <w:color w:val="auto"/>
          <w:sz w:val="22"/>
          <w:szCs w:val="22"/>
        </w:rPr>
        <w:t xml:space="preserve">torów najbardziej dotkniętych kryzysem. Są one ukierunkowane na złagodzenie niedoborów płynności przedsiębiorstw przez zezwolenie np. na dotacje bezpośrednie, korzyści podatkowe, państwowe gwarancje kredytowe, subsydiowane pożyczki ze środków publicznych oraz dokapitalizowanie. </w:t>
      </w:r>
    </w:p>
    <w:p w14:paraId="4A8723D8" w14:textId="4CBAA8EF" w:rsidR="00FC6378" w:rsidRPr="00064166" w:rsidRDefault="00FC6378" w:rsidP="00FC6378">
      <w:pPr>
        <w:pStyle w:val="LegalNumPar"/>
        <w:spacing w:line="276" w:lineRule="auto"/>
        <w:rPr>
          <w:rFonts w:cs="Times New Roman"/>
          <w:noProof/>
          <w:color w:val="auto"/>
          <w:sz w:val="22"/>
          <w:szCs w:val="22"/>
        </w:rPr>
      </w:pPr>
      <w:r w:rsidRPr="00064166">
        <w:rPr>
          <w:b/>
          <w:bCs/>
          <w:noProof/>
          <w:color w:val="auto"/>
          <w:sz w:val="22"/>
          <w:szCs w:val="22"/>
          <w:bdr w:val="none" w:sz="0" w:space="0" w:color="auto"/>
        </w:rPr>
        <w:t>Komisja wyjaśniła również sposób,</w:t>
      </w:r>
      <w:r w:rsidR="00064166" w:rsidRPr="00064166">
        <w:rPr>
          <w:b/>
          <w:bCs/>
          <w:noProof/>
          <w:color w:val="auto"/>
          <w:sz w:val="22"/>
          <w:szCs w:val="22"/>
          <w:bdr w:val="none" w:sz="0" w:space="0" w:color="auto"/>
        </w:rPr>
        <w:t xml:space="preserve"> w</w:t>
      </w:r>
      <w:r w:rsidR="00064166">
        <w:rPr>
          <w:b/>
          <w:bCs/>
          <w:noProof/>
          <w:color w:val="auto"/>
          <w:sz w:val="22"/>
          <w:szCs w:val="22"/>
          <w:bdr w:val="none" w:sz="0" w:space="0" w:color="auto"/>
        </w:rPr>
        <w:t> </w:t>
      </w:r>
      <w:r w:rsidR="00064166" w:rsidRPr="00064166">
        <w:rPr>
          <w:b/>
          <w:bCs/>
          <w:noProof/>
          <w:color w:val="auto"/>
          <w:sz w:val="22"/>
          <w:szCs w:val="22"/>
          <w:bdr w:val="none" w:sz="0" w:space="0" w:color="auto"/>
        </w:rPr>
        <w:t>jak</w:t>
      </w:r>
      <w:r w:rsidRPr="00064166">
        <w:rPr>
          <w:b/>
          <w:bCs/>
          <w:noProof/>
          <w:color w:val="auto"/>
          <w:sz w:val="22"/>
          <w:szCs w:val="22"/>
          <w:bdr w:val="none" w:sz="0" w:space="0" w:color="auto"/>
        </w:rPr>
        <w:t>i należy interpretować unijne przepisy dotyczące transportu, pomocy państwa</w:t>
      </w:r>
      <w:r w:rsidR="00064166" w:rsidRPr="00064166">
        <w:rPr>
          <w:b/>
          <w:bCs/>
          <w:noProof/>
          <w:color w:val="auto"/>
          <w:sz w:val="22"/>
          <w:szCs w:val="22"/>
          <w:bdr w:val="none" w:sz="0" w:space="0" w:color="auto"/>
        </w:rPr>
        <w:t xml:space="preserve"> i</w:t>
      </w:r>
      <w:r w:rsidR="00064166">
        <w:rPr>
          <w:b/>
          <w:bCs/>
          <w:noProof/>
          <w:color w:val="auto"/>
          <w:sz w:val="22"/>
          <w:szCs w:val="22"/>
          <w:bdr w:val="none" w:sz="0" w:space="0" w:color="auto"/>
        </w:rPr>
        <w:t> </w:t>
      </w:r>
      <w:r w:rsidR="00064166" w:rsidRPr="00064166">
        <w:rPr>
          <w:b/>
          <w:bCs/>
          <w:noProof/>
          <w:color w:val="auto"/>
          <w:sz w:val="22"/>
          <w:szCs w:val="22"/>
          <w:bdr w:val="none" w:sz="0" w:space="0" w:color="auto"/>
        </w:rPr>
        <w:t>zam</w:t>
      </w:r>
      <w:r w:rsidRPr="00064166">
        <w:rPr>
          <w:b/>
          <w:bCs/>
          <w:noProof/>
          <w:color w:val="auto"/>
          <w:sz w:val="22"/>
          <w:szCs w:val="22"/>
          <w:bdr w:val="none" w:sz="0" w:space="0" w:color="auto"/>
        </w:rPr>
        <w:t>ówień publicznych</w:t>
      </w:r>
      <w:r w:rsidR="00064166" w:rsidRPr="00064166">
        <w:rPr>
          <w:b/>
          <w:bCs/>
          <w:noProof/>
          <w:color w:val="auto"/>
          <w:sz w:val="22"/>
          <w:szCs w:val="22"/>
          <w:bdr w:val="none" w:sz="0" w:space="0" w:color="auto"/>
        </w:rPr>
        <w:t xml:space="preserve"> w</w:t>
      </w:r>
      <w:r w:rsidR="00064166">
        <w:rPr>
          <w:b/>
          <w:bCs/>
          <w:noProof/>
          <w:color w:val="auto"/>
          <w:sz w:val="22"/>
          <w:szCs w:val="22"/>
          <w:bdr w:val="none" w:sz="0" w:space="0" w:color="auto"/>
        </w:rPr>
        <w:t> </w:t>
      </w:r>
      <w:r w:rsidR="00064166" w:rsidRPr="00064166">
        <w:rPr>
          <w:b/>
          <w:bCs/>
          <w:noProof/>
          <w:color w:val="auto"/>
          <w:sz w:val="22"/>
          <w:szCs w:val="22"/>
          <w:bdr w:val="none" w:sz="0" w:space="0" w:color="auto"/>
        </w:rPr>
        <w:t>cza</w:t>
      </w:r>
      <w:r w:rsidRPr="00064166">
        <w:rPr>
          <w:b/>
          <w:bCs/>
          <w:noProof/>
          <w:color w:val="auto"/>
          <w:sz w:val="22"/>
          <w:szCs w:val="22"/>
          <w:bdr w:val="none" w:sz="0" w:space="0" w:color="auto"/>
        </w:rPr>
        <w:t xml:space="preserve">sie kryzysu, </w:t>
      </w:r>
      <w:r w:rsidRPr="00064166">
        <w:rPr>
          <w:noProof/>
          <w:color w:val="auto"/>
          <w:sz w:val="22"/>
          <w:szCs w:val="22"/>
          <w:bdr w:val="none" w:sz="0" w:space="0" w:color="auto"/>
        </w:rPr>
        <w:t>przyjmując wytyczne dla państw członkowskich.</w:t>
      </w:r>
      <w:r w:rsidR="0052698C" w:rsidRPr="00064166">
        <w:rPr>
          <w:noProof/>
          <w:color w:val="auto"/>
          <w:sz w:val="22"/>
          <w:szCs w:val="22"/>
          <w:bdr w:val="none" w:sz="0" w:space="0" w:color="auto"/>
        </w:rPr>
        <w:t xml:space="preserve"> </w:t>
      </w:r>
      <w:r w:rsidRPr="00064166">
        <w:rPr>
          <w:noProof/>
          <w:color w:val="auto"/>
          <w:sz w:val="22"/>
          <w:szCs w:val="22"/>
          <w:bdr w:val="none" w:sz="0" w:space="0" w:color="auto"/>
        </w:rPr>
        <w:t>Umożliwiło to państwom członkowskim zmianę obowiązujących zamówień</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ram</w:t>
      </w:r>
      <w:r w:rsidRPr="00064166">
        <w:rPr>
          <w:noProof/>
          <w:color w:val="auto"/>
          <w:sz w:val="22"/>
          <w:szCs w:val="22"/>
          <w:bdr w:val="none" w:sz="0" w:space="0" w:color="auto"/>
        </w:rPr>
        <w:t>ach obowiązku świadczenia usługi publicznej</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zak</w:t>
      </w:r>
      <w:r w:rsidRPr="00064166">
        <w:rPr>
          <w:noProof/>
          <w:color w:val="auto"/>
          <w:sz w:val="22"/>
          <w:szCs w:val="22"/>
          <w:bdr w:val="none" w:sz="0" w:space="0" w:color="auto"/>
        </w:rPr>
        <w:t>resie transportu lądowego</w:t>
      </w:r>
      <w:r w:rsidRPr="00064166">
        <w:rPr>
          <w:rFonts w:eastAsiaTheme="minorEastAsia" w:cs="Times New Roman"/>
          <w:noProof/>
          <w:color w:val="auto"/>
          <w:sz w:val="22"/>
          <w:szCs w:val="22"/>
          <w:bdr w:val="none" w:sz="0" w:space="0" w:color="auto"/>
          <w:vertAlign w:val="superscript"/>
          <w:lang w:eastAsia="en-US"/>
        </w:rPr>
        <w:footnoteReference w:id="36"/>
      </w:r>
      <w:r w:rsidRPr="00064166">
        <w:rPr>
          <w:noProof/>
          <w:color w:val="auto"/>
          <w:sz w:val="22"/>
          <w:szCs w:val="22"/>
          <w:bdr w:val="none" w:sz="0" w:space="0" w:color="auto"/>
        </w:rPr>
        <w:t>, lotniczego</w:t>
      </w:r>
      <w:r w:rsidRPr="00064166">
        <w:rPr>
          <w:rFonts w:eastAsiaTheme="minorEastAsia" w:cs="Times New Roman"/>
          <w:noProof/>
          <w:color w:val="auto"/>
          <w:sz w:val="22"/>
          <w:szCs w:val="22"/>
          <w:bdr w:val="none" w:sz="0" w:space="0" w:color="auto"/>
          <w:vertAlign w:val="superscript"/>
          <w:lang w:eastAsia="en-US"/>
        </w:rPr>
        <w:footnoteReference w:id="37"/>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mor</w:t>
      </w:r>
      <w:r w:rsidRPr="00064166">
        <w:rPr>
          <w:noProof/>
          <w:color w:val="auto"/>
          <w:sz w:val="22"/>
          <w:szCs w:val="22"/>
          <w:bdr w:val="none" w:sz="0" w:space="0" w:color="auto"/>
        </w:rPr>
        <w:t>skiego</w:t>
      </w:r>
      <w:r w:rsidRPr="00064166">
        <w:rPr>
          <w:rFonts w:eastAsiaTheme="minorEastAsia" w:cs="Times New Roman"/>
          <w:noProof/>
          <w:color w:val="auto"/>
          <w:sz w:val="22"/>
          <w:szCs w:val="22"/>
          <w:bdr w:val="none" w:sz="0" w:space="0" w:color="auto"/>
          <w:vertAlign w:val="superscript"/>
          <w:lang w:eastAsia="en-US"/>
        </w:rPr>
        <w:footnoteReference w:id="38"/>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cel</w:t>
      </w:r>
      <w:r w:rsidRPr="00064166">
        <w:rPr>
          <w:noProof/>
          <w:color w:val="auto"/>
          <w:sz w:val="22"/>
          <w:szCs w:val="22"/>
          <w:bdr w:val="none" w:sz="0" w:space="0" w:color="auto"/>
        </w:rPr>
        <w:t>u dostosowania ich do potrzeb wynikających</w:t>
      </w:r>
      <w:r w:rsidR="00064166" w:rsidRPr="00064166">
        <w:rPr>
          <w:noProof/>
          <w:color w:val="auto"/>
          <w:sz w:val="22"/>
          <w:szCs w:val="22"/>
          <w:bdr w:val="none" w:sz="0" w:space="0" w:color="auto"/>
        </w:rPr>
        <w:t xml:space="preserve"> z</w:t>
      </w:r>
      <w:r w:rsidR="00064166">
        <w:rPr>
          <w:noProof/>
          <w:color w:val="auto"/>
          <w:sz w:val="22"/>
          <w:szCs w:val="22"/>
          <w:bdr w:val="none" w:sz="0" w:space="0" w:color="auto"/>
        </w:rPr>
        <w:t> </w:t>
      </w:r>
      <w:r w:rsidR="00064166" w:rsidRPr="00064166">
        <w:rPr>
          <w:noProof/>
          <w:color w:val="auto"/>
          <w:sz w:val="22"/>
          <w:szCs w:val="22"/>
          <w:bdr w:val="none" w:sz="0" w:space="0" w:color="auto"/>
        </w:rPr>
        <w:t>kry</w:t>
      </w:r>
      <w:r w:rsidRPr="00064166">
        <w:rPr>
          <w:noProof/>
          <w:color w:val="auto"/>
          <w:sz w:val="22"/>
          <w:szCs w:val="22"/>
          <w:bdr w:val="none" w:sz="0" w:space="0" w:color="auto"/>
        </w:rPr>
        <w:t>zysu związanego z COVID-19.</w:t>
      </w:r>
      <w:r w:rsidR="0052698C" w:rsidRPr="00064166">
        <w:rPr>
          <w:noProof/>
          <w:color w:val="auto"/>
          <w:sz w:val="22"/>
          <w:szCs w:val="22"/>
          <w:bdr w:val="none" w:sz="0" w:space="0" w:color="auto"/>
        </w:rPr>
        <w:t xml:space="preserve"> </w:t>
      </w:r>
      <w:r w:rsidRPr="00064166">
        <w:rPr>
          <w:noProof/>
          <w:color w:val="auto"/>
          <w:sz w:val="22"/>
          <w:szCs w:val="22"/>
          <w:bdr w:val="none" w:sz="0" w:space="0" w:color="auto"/>
        </w:rPr>
        <w:t>Komisja wydała również wytyczne dotyczące procedury pilnego udzielania nowych zamówień</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ram</w:t>
      </w:r>
      <w:r w:rsidRPr="00064166">
        <w:rPr>
          <w:noProof/>
          <w:color w:val="auto"/>
          <w:sz w:val="22"/>
          <w:szCs w:val="22"/>
          <w:bdr w:val="none" w:sz="0" w:space="0" w:color="auto"/>
        </w:rPr>
        <w:t>ach obowiązku świadczenia usługi publicznej, aby umożliwić utrzymanie podstawowego poziomu jakości sieci połączeń, jeżeli nie jest to możliwe za pomocą usług komercyjnych ze względu na kryzys.</w:t>
      </w:r>
      <w:r w:rsidRPr="00064166">
        <w:rPr>
          <w:noProof/>
          <w:color w:val="auto"/>
          <w:sz w:val="22"/>
          <w:szCs w:val="22"/>
        </w:rPr>
        <w:t xml:space="preserve"> Te środki legislacyjne są tymczasowe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ogr</w:t>
      </w:r>
      <w:r w:rsidRPr="00064166">
        <w:rPr>
          <w:noProof/>
          <w:color w:val="auto"/>
          <w:sz w:val="22"/>
          <w:szCs w:val="22"/>
        </w:rPr>
        <w:t>aniczone do czasu trwania kryzysu związanego z COVID-19. Ich szybkie przyjęcie świadczy</w:t>
      </w:r>
      <w:r w:rsidR="00064166" w:rsidRPr="00064166">
        <w:rPr>
          <w:noProof/>
          <w:color w:val="auto"/>
          <w:sz w:val="22"/>
          <w:szCs w:val="22"/>
        </w:rPr>
        <w:t xml:space="preserve"> o</w:t>
      </w:r>
      <w:r w:rsidR="00064166">
        <w:rPr>
          <w:noProof/>
          <w:color w:val="auto"/>
          <w:sz w:val="22"/>
          <w:szCs w:val="22"/>
        </w:rPr>
        <w:t> </w:t>
      </w:r>
      <w:r w:rsidR="00064166" w:rsidRPr="00064166">
        <w:rPr>
          <w:noProof/>
          <w:color w:val="auto"/>
          <w:sz w:val="22"/>
          <w:szCs w:val="22"/>
        </w:rPr>
        <w:t>tym</w:t>
      </w:r>
      <w:r w:rsidRPr="00064166">
        <w:rPr>
          <w:noProof/>
          <w:color w:val="auto"/>
          <w:sz w:val="22"/>
          <w:szCs w:val="22"/>
        </w:rPr>
        <w:t>, że Komisja, Parlament</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Rad</w:t>
      </w:r>
      <w:r w:rsidRPr="00064166">
        <w:rPr>
          <w:noProof/>
          <w:color w:val="auto"/>
          <w:sz w:val="22"/>
          <w:szCs w:val="22"/>
        </w:rPr>
        <w:t>a są</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sta</w:t>
      </w:r>
      <w:r w:rsidRPr="00064166">
        <w:rPr>
          <w:noProof/>
          <w:color w:val="auto"/>
          <w:sz w:val="22"/>
          <w:szCs w:val="22"/>
        </w:rPr>
        <w:t>nie skutecznie reagować na takie kryzysy.</w:t>
      </w:r>
    </w:p>
    <w:p w14:paraId="3D76EDCF" w14:textId="2D2F43B3" w:rsidR="00FC6378" w:rsidRPr="00064166" w:rsidRDefault="00FC6378" w:rsidP="00FC6378">
      <w:pPr>
        <w:pStyle w:val="LegalNumPar"/>
        <w:spacing w:line="276" w:lineRule="auto"/>
        <w:rPr>
          <w:rStyle w:val="Hyperlink1"/>
          <w:noProof/>
          <w:color w:val="auto"/>
          <w:sz w:val="22"/>
          <w:szCs w:val="22"/>
        </w:rPr>
      </w:pPr>
      <w:r w:rsidRPr="00064166">
        <w:rPr>
          <w:b/>
          <w:bCs/>
          <w:noProof/>
          <w:color w:val="auto"/>
          <w:sz w:val="22"/>
          <w:szCs w:val="22"/>
        </w:rPr>
        <w:t>Państwa członkowskie mogą określić nowe obowiązki świadczenia usługi publicznej, zwłaszcza</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prz</w:t>
      </w:r>
      <w:r w:rsidRPr="00064166">
        <w:rPr>
          <w:b/>
          <w:bCs/>
          <w:noProof/>
          <w:color w:val="auto"/>
          <w:sz w:val="22"/>
          <w:szCs w:val="22"/>
        </w:rPr>
        <w:t>ypadku ryzyka nagłej utraty jakości sieci połączeń.</w:t>
      </w:r>
      <w:r w:rsidRPr="00064166">
        <w:rPr>
          <w:noProof/>
          <w:color w:val="auto"/>
          <w:sz w:val="22"/>
          <w:szCs w:val="22"/>
        </w:rPr>
        <w:t xml:space="preserve"> Komisja przedstawiła wytyczne dotyczące rekompensat</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zwi</w:t>
      </w:r>
      <w:r w:rsidRPr="00064166">
        <w:rPr>
          <w:noProof/>
          <w:color w:val="auto"/>
          <w:sz w:val="22"/>
          <w:szCs w:val="22"/>
        </w:rPr>
        <w:t>ązku</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obo</w:t>
      </w:r>
      <w:r w:rsidRPr="00064166">
        <w:rPr>
          <w:noProof/>
          <w:color w:val="auto"/>
          <w:sz w:val="22"/>
          <w:szCs w:val="22"/>
        </w:rPr>
        <w:t>wiązkiem świadczenia usługi publicznej</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cza</w:t>
      </w:r>
      <w:r w:rsidRPr="00064166">
        <w:rPr>
          <w:noProof/>
          <w:color w:val="auto"/>
          <w:sz w:val="22"/>
          <w:szCs w:val="22"/>
        </w:rPr>
        <w:t>sie pandemii COVID-19</w:t>
      </w:r>
      <w:r w:rsidRPr="00064166">
        <w:rPr>
          <w:rStyle w:val="FootnoteReference"/>
          <w:noProof/>
          <w:color w:val="auto"/>
          <w:sz w:val="22"/>
          <w:szCs w:val="22"/>
        </w:rPr>
        <w:footnoteReference w:id="39"/>
      </w:r>
      <w:r w:rsidRPr="00064166">
        <w:rPr>
          <w:noProof/>
          <w:color w:val="auto"/>
          <w:sz w:val="22"/>
          <w:szCs w:val="22"/>
        </w:rPr>
        <w:t xml:space="preserve"> oraz przeprowadziła szereg dwustronnych rozmów</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pań</w:t>
      </w:r>
      <w:r w:rsidRPr="00064166">
        <w:rPr>
          <w:noProof/>
          <w:color w:val="auto"/>
          <w:sz w:val="22"/>
          <w:szCs w:val="22"/>
        </w:rPr>
        <w:t>stwami członkowskimi.</w:t>
      </w:r>
      <w:r w:rsidRPr="00064166">
        <w:rPr>
          <w:rStyle w:val="Hyperlink1"/>
          <w:noProof/>
          <w:color w:val="auto"/>
          <w:sz w:val="22"/>
          <w:szCs w:val="22"/>
        </w:rPr>
        <w:t xml:space="preserve"> </w:t>
      </w:r>
    </w:p>
    <w:p w14:paraId="168DFDF6" w14:textId="77777777" w:rsidR="00134F6C" w:rsidRPr="00064166" w:rsidRDefault="00134F6C" w:rsidP="00890948">
      <w:pPr>
        <w:pStyle w:val="Heading2"/>
        <w:numPr>
          <w:ilvl w:val="0"/>
          <w:numId w:val="0"/>
        </w:numPr>
        <w:ind w:left="576" w:hanging="576"/>
        <w:rPr>
          <w:rStyle w:val="Hyperlink1"/>
          <w:rFonts w:cs="Arial Unicode MS"/>
          <w:bCs/>
          <w:noProof/>
          <w:sz w:val="22"/>
          <w:szCs w:val="22"/>
        </w:rPr>
      </w:pPr>
      <w:r w:rsidRPr="00064166">
        <w:rPr>
          <w:rStyle w:val="Hyperlink1"/>
          <w:bCs/>
          <w:noProof/>
          <w:sz w:val="22"/>
          <w:szCs w:val="22"/>
        </w:rPr>
        <w:t>2.5 Zapewnienie ukierunkowanego finansowania kluczowych operacji transportowych</w:t>
      </w:r>
    </w:p>
    <w:p w14:paraId="60547F16" w14:textId="22D688CA" w:rsidR="00134F6C" w:rsidRPr="00064166" w:rsidRDefault="00134F6C" w:rsidP="00134F6C">
      <w:pPr>
        <w:pStyle w:val="LegalNumPar"/>
        <w:spacing w:line="276" w:lineRule="auto"/>
        <w:rPr>
          <w:rStyle w:val="Hyperlink1"/>
          <w:noProof/>
          <w:color w:val="auto"/>
          <w:sz w:val="22"/>
          <w:szCs w:val="22"/>
        </w:rPr>
      </w:pPr>
      <w:r w:rsidRPr="00064166">
        <w:rPr>
          <w:rStyle w:val="Hyperlink1"/>
          <w:noProof/>
          <w:color w:val="auto"/>
          <w:sz w:val="22"/>
          <w:szCs w:val="22"/>
        </w:rPr>
        <w:t>W ramach instrumentu wsparcia</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syt</w:t>
      </w:r>
      <w:r w:rsidRPr="00064166">
        <w:rPr>
          <w:rStyle w:val="Hyperlink1"/>
          <w:noProof/>
          <w:color w:val="auto"/>
          <w:sz w:val="22"/>
          <w:szCs w:val="22"/>
        </w:rPr>
        <w:t>uacjach nadzwyczajnych na pomoc państwom członkowskim</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rea</w:t>
      </w:r>
      <w:r w:rsidRPr="00064166">
        <w:rPr>
          <w:rStyle w:val="Hyperlink1"/>
          <w:noProof/>
          <w:color w:val="auto"/>
          <w:sz w:val="22"/>
          <w:szCs w:val="22"/>
        </w:rPr>
        <w:t>gowaniu na kryzys związany z COVID-19 przydzielono 2,7 mld EUR. Elastyczność tego instrumentu pozwoliła na szybkie udostępnienie 220 mln EUR na działania związane</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tra</w:t>
      </w:r>
      <w:r w:rsidRPr="00064166">
        <w:rPr>
          <w:rStyle w:val="Hyperlink1"/>
          <w:noProof/>
          <w:color w:val="auto"/>
          <w:sz w:val="22"/>
          <w:szCs w:val="22"/>
        </w:rPr>
        <w:t>nsportem. Kwotę tę przekształcono następnie</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pak</w:t>
      </w:r>
      <w:r w:rsidRPr="00064166">
        <w:rPr>
          <w:rStyle w:val="Hyperlink1"/>
          <w:noProof/>
          <w:color w:val="auto"/>
          <w:sz w:val="22"/>
          <w:szCs w:val="22"/>
        </w:rPr>
        <w:t>iet na rzecz mobilności</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ram</w:t>
      </w:r>
      <w:r w:rsidRPr="00064166">
        <w:rPr>
          <w:rStyle w:val="Hyperlink1"/>
          <w:noProof/>
          <w:color w:val="auto"/>
          <w:sz w:val="22"/>
          <w:szCs w:val="22"/>
        </w:rPr>
        <w:t>ach instrumentu wsparcia</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syt</w:t>
      </w:r>
      <w:r w:rsidRPr="00064166">
        <w:rPr>
          <w:rStyle w:val="Hyperlink1"/>
          <w:noProof/>
          <w:color w:val="auto"/>
          <w:sz w:val="22"/>
          <w:szCs w:val="22"/>
        </w:rPr>
        <w:t>uacjach nadzwyczajnych, który po uruchomieniu</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dni</w:t>
      </w:r>
      <w:r w:rsidRPr="00064166">
        <w:rPr>
          <w:rStyle w:val="Hyperlink1"/>
          <w:noProof/>
          <w:color w:val="auto"/>
          <w:sz w:val="22"/>
          <w:szCs w:val="22"/>
        </w:rPr>
        <w:t>u 19 czerwca 2020</w:t>
      </w:r>
      <w:r w:rsidR="00064166" w:rsidRPr="00064166">
        <w:rPr>
          <w:rStyle w:val="Hyperlink1"/>
          <w:noProof/>
          <w:color w:val="auto"/>
          <w:sz w:val="22"/>
          <w:szCs w:val="22"/>
        </w:rPr>
        <w:t> </w:t>
      </w:r>
      <w:r w:rsidRPr="00064166">
        <w:rPr>
          <w:rStyle w:val="Hyperlink1"/>
          <w:noProof/>
          <w:color w:val="auto"/>
          <w:sz w:val="22"/>
          <w:szCs w:val="22"/>
        </w:rPr>
        <w:t>r. zapewnił państwom członkowskim wsparcie dostosowane do potrzeb</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zak</w:t>
      </w:r>
      <w:r w:rsidRPr="00064166">
        <w:rPr>
          <w:rStyle w:val="Hyperlink1"/>
          <w:noProof/>
          <w:color w:val="auto"/>
          <w:sz w:val="22"/>
          <w:szCs w:val="22"/>
        </w:rPr>
        <w:t>resie transportu ładunków związanych</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kry</w:t>
      </w:r>
      <w:r w:rsidRPr="00064166">
        <w:rPr>
          <w:rStyle w:val="Hyperlink1"/>
          <w:noProof/>
          <w:color w:val="auto"/>
          <w:sz w:val="22"/>
          <w:szCs w:val="22"/>
        </w:rPr>
        <w:t>zysem związanym z COVID-19, transportu pacjentów,</w:t>
      </w:r>
      <w:r w:rsidR="00064166" w:rsidRPr="00064166">
        <w:rPr>
          <w:rStyle w:val="Hyperlink1"/>
          <w:noProof/>
          <w:color w:val="auto"/>
          <w:sz w:val="22"/>
          <w:szCs w:val="22"/>
        </w:rPr>
        <w:t xml:space="preserve"> a</w:t>
      </w:r>
      <w:r w:rsidR="00064166">
        <w:rPr>
          <w:rStyle w:val="Hyperlink1"/>
          <w:noProof/>
          <w:color w:val="auto"/>
          <w:sz w:val="22"/>
          <w:szCs w:val="22"/>
        </w:rPr>
        <w:t> </w:t>
      </w:r>
      <w:r w:rsidR="00064166" w:rsidRPr="00064166">
        <w:rPr>
          <w:rStyle w:val="Hyperlink1"/>
          <w:noProof/>
          <w:color w:val="auto"/>
          <w:sz w:val="22"/>
          <w:szCs w:val="22"/>
        </w:rPr>
        <w:t>tak</w:t>
      </w:r>
      <w:r w:rsidRPr="00064166">
        <w:rPr>
          <w:rStyle w:val="Hyperlink1"/>
          <w:noProof/>
          <w:color w:val="auto"/>
          <w:sz w:val="22"/>
          <w:szCs w:val="22"/>
        </w:rPr>
        <w:t>że zespołów medycznych</w:t>
      </w:r>
      <w:r w:rsidR="00064166" w:rsidRPr="00064166">
        <w:rPr>
          <w:rStyle w:val="Hyperlink1"/>
          <w:noProof/>
          <w:color w:val="auto"/>
          <w:sz w:val="22"/>
          <w:szCs w:val="22"/>
        </w:rPr>
        <w:t>. W</w:t>
      </w:r>
      <w:r w:rsidR="00064166">
        <w:rPr>
          <w:rStyle w:val="Hyperlink1"/>
          <w:noProof/>
          <w:color w:val="auto"/>
          <w:sz w:val="22"/>
          <w:szCs w:val="22"/>
        </w:rPr>
        <w:t> </w:t>
      </w:r>
      <w:r w:rsidR="00064166" w:rsidRPr="00064166">
        <w:rPr>
          <w:rStyle w:val="Hyperlink1"/>
          <w:noProof/>
          <w:color w:val="auto"/>
          <w:sz w:val="22"/>
          <w:szCs w:val="22"/>
        </w:rPr>
        <w:t>sum</w:t>
      </w:r>
      <w:r w:rsidRPr="00064166">
        <w:rPr>
          <w:rStyle w:val="Hyperlink1"/>
          <w:noProof/>
          <w:color w:val="auto"/>
          <w:sz w:val="22"/>
          <w:szCs w:val="22"/>
        </w:rPr>
        <w:t>ie wsparciem objęto ponad 2 000 operacji lotniczych, lądowych lub morskich</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zak</w:t>
      </w:r>
      <w:r w:rsidRPr="00064166">
        <w:rPr>
          <w:rStyle w:val="Hyperlink1"/>
          <w:noProof/>
          <w:color w:val="auto"/>
          <w:sz w:val="22"/>
          <w:szCs w:val="22"/>
        </w:rPr>
        <w:t>resie transportu sprzętu medycznego</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zes</w:t>
      </w:r>
      <w:r w:rsidRPr="00064166">
        <w:rPr>
          <w:rStyle w:val="Hyperlink1"/>
          <w:noProof/>
          <w:color w:val="auto"/>
          <w:sz w:val="22"/>
          <w:szCs w:val="22"/>
        </w:rPr>
        <w:t>połów medycznych oraz przewozu pacjentów. Ogólnie rzecz biorąc, na sfinansowanie operacji transportu towarowego przeznaczono ponad 164 mln EUR. Dotychczas państwom członkowskim przyznano również ponad 9 mln EUR na transport zespołów medycznych</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prz</w:t>
      </w:r>
      <w:r w:rsidRPr="00064166">
        <w:rPr>
          <w:rStyle w:val="Hyperlink1"/>
          <w:noProof/>
          <w:color w:val="auto"/>
          <w:sz w:val="22"/>
          <w:szCs w:val="22"/>
        </w:rPr>
        <w:t>ewóz pacjentów, co pozwoliło na objęcie wsparciem transportu ponad 450 pracowników sektora zdrowia</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oko</w:t>
      </w:r>
      <w:r w:rsidRPr="00064166">
        <w:rPr>
          <w:rStyle w:val="Hyperlink1"/>
          <w:noProof/>
          <w:color w:val="auto"/>
          <w:sz w:val="22"/>
          <w:szCs w:val="22"/>
        </w:rPr>
        <w:t>ło 350 pacjentów. Liczba państw członkowskich, które skorzystały</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pak</w:t>
      </w:r>
      <w:r w:rsidRPr="00064166">
        <w:rPr>
          <w:rStyle w:val="Hyperlink1"/>
          <w:noProof/>
          <w:color w:val="auto"/>
          <w:sz w:val="22"/>
          <w:szCs w:val="22"/>
        </w:rPr>
        <w:t>ietu na rzecz mobilności</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ram</w:t>
      </w:r>
      <w:r w:rsidRPr="00064166">
        <w:rPr>
          <w:rStyle w:val="Hyperlink1"/>
          <w:noProof/>
          <w:color w:val="auto"/>
          <w:sz w:val="22"/>
          <w:szCs w:val="22"/>
        </w:rPr>
        <w:t>ach instrumentu wsparcia</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syt</w:t>
      </w:r>
      <w:r w:rsidRPr="00064166">
        <w:rPr>
          <w:rStyle w:val="Hyperlink1"/>
          <w:noProof/>
          <w:color w:val="auto"/>
          <w:sz w:val="22"/>
          <w:szCs w:val="22"/>
        </w:rPr>
        <w:t>uacjach nadzwyczajnych, wynosi 21.</w:t>
      </w:r>
    </w:p>
    <w:p w14:paraId="249C5C17" w14:textId="77777777" w:rsidR="006D726B" w:rsidRPr="00064166" w:rsidRDefault="002C5AA8" w:rsidP="007C7D41">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b/>
          <w:i/>
          <w:noProof/>
          <w:color w:val="auto"/>
          <w:sz w:val="22"/>
          <w:szCs w:val="22"/>
        </w:rPr>
      </w:pPr>
      <w:r w:rsidRPr="00064166">
        <w:rPr>
          <w:rStyle w:val="Hyperlink1"/>
          <w:b/>
          <w:i/>
          <w:noProof/>
          <w:color w:val="auto"/>
          <w:sz w:val="22"/>
          <w:szCs w:val="22"/>
        </w:rPr>
        <w:t xml:space="preserve">Reakcja UE na agresję wojskową Rosji wobec Ukrainy </w:t>
      </w:r>
    </w:p>
    <w:p w14:paraId="1D85A3D1" w14:textId="059D40E9" w:rsidR="00485703" w:rsidRPr="00064166" w:rsidRDefault="00586E13" w:rsidP="00A0203F">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sz w:val="22"/>
          <w:szCs w:val="22"/>
        </w:rPr>
      </w:pPr>
      <w:r w:rsidRPr="00064166">
        <w:rPr>
          <w:rStyle w:val="Hyperlink1"/>
          <w:noProof/>
          <w:color w:val="auto"/>
          <w:sz w:val="22"/>
          <w:szCs w:val="22"/>
        </w:rPr>
        <w:t>W dniu 24 lutego 2022</w:t>
      </w:r>
      <w:r w:rsidR="00064166" w:rsidRPr="00064166">
        <w:rPr>
          <w:rStyle w:val="Hyperlink1"/>
          <w:noProof/>
          <w:color w:val="auto"/>
          <w:sz w:val="22"/>
          <w:szCs w:val="22"/>
        </w:rPr>
        <w:t> </w:t>
      </w:r>
      <w:r w:rsidRPr="00064166">
        <w:rPr>
          <w:rStyle w:val="Hyperlink1"/>
          <w:noProof/>
          <w:color w:val="auto"/>
          <w:sz w:val="22"/>
          <w:szCs w:val="22"/>
        </w:rPr>
        <w:t>r. Rosja rozpoczęła inwazję wojskową na Ukrainę na pełną skalę</w:t>
      </w:r>
      <w:r w:rsidR="00064166" w:rsidRPr="00064166">
        <w:rPr>
          <w:rStyle w:val="Hyperlink1"/>
          <w:noProof/>
          <w:color w:val="auto"/>
          <w:sz w:val="22"/>
          <w:szCs w:val="22"/>
        </w:rPr>
        <w:t>. W</w:t>
      </w:r>
      <w:r w:rsidR="00064166">
        <w:rPr>
          <w:rStyle w:val="Hyperlink1"/>
          <w:noProof/>
          <w:color w:val="auto"/>
          <w:sz w:val="22"/>
          <w:szCs w:val="22"/>
        </w:rPr>
        <w:t> </w:t>
      </w:r>
      <w:r w:rsidR="00064166" w:rsidRPr="00064166">
        <w:rPr>
          <w:rStyle w:val="Hyperlink1"/>
          <w:noProof/>
          <w:color w:val="auto"/>
          <w:sz w:val="22"/>
          <w:szCs w:val="22"/>
        </w:rPr>
        <w:t>pie</w:t>
      </w:r>
      <w:r w:rsidRPr="00064166">
        <w:rPr>
          <w:rStyle w:val="Hyperlink1"/>
          <w:noProof/>
          <w:color w:val="auto"/>
          <w:sz w:val="22"/>
          <w:szCs w:val="22"/>
        </w:rPr>
        <w:t>rwszych tygodniach konfliktu</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Ukr</w:t>
      </w:r>
      <w:r w:rsidRPr="00064166">
        <w:rPr>
          <w:rStyle w:val="Hyperlink1"/>
          <w:noProof/>
          <w:color w:val="auto"/>
          <w:sz w:val="22"/>
          <w:szCs w:val="22"/>
        </w:rPr>
        <w:t xml:space="preserve">ainy do UE uciekło ponad 3,9 mln osób. </w:t>
      </w:r>
      <w:r w:rsidRPr="00064166">
        <w:rPr>
          <w:noProof/>
          <w:sz w:val="22"/>
          <w:szCs w:val="22"/>
        </w:rPr>
        <w:t>UE przekazała Ukrainie pomoc makrofinansową</w:t>
      </w:r>
      <w:r w:rsidR="00064166" w:rsidRPr="00064166">
        <w:rPr>
          <w:noProof/>
          <w:sz w:val="22"/>
          <w:szCs w:val="22"/>
        </w:rPr>
        <w:t xml:space="preserve"> w</w:t>
      </w:r>
      <w:r w:rsidR="00064166">
        <w:rPr>
          <w:noProof/>
          <w:sz w:val="22"/>
          <w:szCs w:val="22"/>
        </w:rPr>
        <w:t> </w:t>
      </w:r>
      <w:r w:rsidR="00064166" w:rsidRPr="00064166">
        <w:rPr>
          <w:noProof/>
          <w:sz w:val="22"/>
          <w:szCs w:val="22"/>
        </w:rPr>
        <w:t>wys</w:t>
      </w:r>
      <w:r w:rsidRPr="00064166">
        <w:rPr>
          <w:noProof/>
          <w:sz w:val="22"/>
          <w:szCs w:val="22"/>
        </w:rPr>
        <w:t>okości 1,2 mld EUR, przy czym</w:t>
      </w:r>
      <w:r w:rsidR="00064166" w:rsidRPr="00064166">
        <w:rPr>
          <w:noProof/>
          <w:sz w:val="22"/>
          <w:szCs w:val="22"/>
        </w:rPr>
        <w:t xml:space="preserve"> w</w:t>
      </w:r>
      <w:r w:rsidR="00064166">
        <w:rPr>
          <w:noProof/>
          <w:sz w:val="22"/>
          <w:szCs w:val="22"/>
        </w:rPr>
        <w:t> </w:t>
      </w:r>
      <w:r w:rsidR="00064166" w:rsidRPr="00064166">
        <w:rPr>
          <w:noProof/>
          <w:sz w:val="22"/>
          <w:szCs w:val="22"/>
        </w:rPr>
        <w:t>mar</w:t>
      </w:r>
      <w:r w:rsidRPr="00064166">
        <w:rPr>
          <w:noProof/>
          <w:sz w:val="22"/>
          <w:szCs w:val="22"/>
        </w:rPr>
        <w:t>cu wypłacono 600 mln pożyczki na warunkach preferencyjnych, natomiast druga transza</w:t>
      </w:r>
      <w:r w:rsidR="00064166" w:rsidRPr="00064166">
        <w:rPr>
          <w:noProof/>
          <w:sz w:val="22"/>
          <w:szCs w:val="22"/>
        </w:rPr>
        <w:t xml:space="preserve"> w</w:t>
      </w:r>
      <w:r w:rsidR="00064166">
        <w:rPr>
          <w:noProof/>
          <w:sz w:val="22"/>
          <w:szCs w:val="22"/>
        </w:rPr>
        <w:t> </w:t>
      </w:r>
      <w:r w:rsidR="00064166" w:rsidRPr="00064166">
        <w:rPr>
          <w:noProof/>
          <w:sz w:val="22"/>
          <w:szCs w:val="22"/>
        </w:rPr>
        <w:t>wys</w:t>
      </w:r>
      <w:r w:rsidRPr="00064166">
        <w:rPr>
          <w:noProof/>
          <w:sz w:val="22"/>
          <w:szCs w:val="22"/>
        </w:rPr>
        <w:t>okości 600 mln EUR nie została jeszcze wypłacona. Ponadto</w:t>
      </w:r>
      <w:r w:rsidR="00064166" w:rsidRPr="00064166">
        <w:rPr>
          <w:noProof/>
          <w:sz w:val="22"/>
          <w:szCs w:val="22"/>
        </w:rPr>
        <w:t xml:space="preserve"> w</w:t>
      </w:r>
      <w:r w:rsidR="00064166">
        <w:rPr>
          <w:noProof/>
          <w:sz w:val="22"/>
          <w:szCs w:val="22"/>
        </w:rPr>
        <w:t> </w:t>
      </w:r>
      <w:r w:rsidR="00064166" w:rsidRPr="00064166">
        <w:rPr>
          <w:noProof/>
          <w:sz w:val="22"/>
          <w:szCs w:val="22"/>
        </w:rPr>
        <w:t>dni</w:t>
      </w:r>
      <w:r w:rsidRPr="00064166">
        <w:rPr>
          <w:noProof/>
          <w:sz w:val="22"/>
          <w:szCs w:val="22"/>
        </w:rPr>
        <w:t>u 7 kwietnia do budżetu Ukrainy przekazano wsparcie</w:t>
      </w:r>
      <w:r w:rsidR="00064166" w:rsidRPr="00064166">
        <w:rPr>
          <w:noProof/>
          <w:sz w:val="22"/>
          <w:szCs w:val="22"/>
        </w:rPr>
        <w:t xml:space="preserve"> w</w:t>
      </w:r>
      <w:r w:rsidR="00064166">
        <w:rPr>
          <w:noProof/>
          <w:sz w:val="22"/>
          <w:szCs w:val="22"/>
        </w:rPr>
        <w:t> </w:t>
      </w:r>
      <w:r w:rsidR="00064166" w:rsidRPr="00064166">
        <w:rPr>
          <w:noProof/>
          <w:sz w:val="22"/>
          <w:szCs w:val="22"/>
        </w:rPr>
        <w:t>syt</w:t>
      </w:r>
      <w:r w:rsidRPr="00064166">
        <w:rPr>
          <w:noProof/>
          <w:sz w:val="22"/>
          <w:szCs w:val="22"/>
        </w:rPr>
        <w:t>uacjach nadzwyczajnych</w:t>
      </w:r>
      <w:r w:rsidR="00064166" w:rsidRPr="00064166">
        <w:rPr>
          <w:noProof/>
          <w:sz w:val="22"/>
          <w:szCs w:val="22"/>
        </w:rPr>
        <w:t xml:space="preserve"> w</w:t>
      </w:r>
      <w:r w:rsidR="00064166">
        <w:rPr>
          <w:noProof/>
          <w:sz w:val="22"/>
          <w:szCs w:val="22"/>
        </w:rPr>
        <w:t> </w:t>
      </w:r>
      <w:r w:rsidR="00064166" w:rsidRPr="00064166">
        <w:rPr>
          <w:noProof/>
          <w:sz w:val="22"/>
          <w:szCs w:val="22"/>
        </w:rPr>
        <w:t>wys</w:t>
      </w:r>
      <w:r w:rsidRPr="00064166">
        <w:rPr>
          <w:noProof/>
          <w:sz w:val="22"/>
          <w:szCs w:val="22"/>
        </w:rPr>
        <w:t>okości 120 mln EUR</w:t>
      </w:r>
      <w:r w:rsidR="00064166" w:rsidRPr="00064166">
        <w:rPr>
          <w:noProof/>
          <w:sz w:val="22"/>
          <w:szCs w:val="22"/>
        </w:rPr>
        <w:t xml:space="preserve"> w</w:t>
      </w:r>
      <w:r w:rsidR="00064166">
        <w:rPr>
          <w:noProof/>
          <w:sz w:val="22"/>
          <w:szCs w:val="22"/>
        </w:rPr>
        <w:t> </w:t>
      </w:r>
      <w:r w:rsidR="00064166" w:rsidRPr="00064166">
        <w:rPr>
          <w:noProof/>
          <w:sz w:val="22"/>
          <w:szCs w:val="22"/>
        </w:rPr>
        <w:t>for</w:t>
      </w:r>
      <w:r w:rsidRPr="00064166">
        <w:rPr>
          <w:noProof/>
          <w:sz w:val="22"/>
          <w:szCs w:val="22"/>
        </w:rPr>
        <w:t>mie dotacji na potrzeby podstawowych wydatków rządowych. UE przekierowuje bieżące projekty (o wartości 100–200 mln EUR)</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zapewnienia pomocy</w:t>
      </w:r>
      <w:r w:rsidR="00064166" w:rsidRPr="00064166">
        <w:rPr>
          <w:noProof/>
          <w:sz w:val="22"/>
          <w:szCs w:val="22"/>
        </w:rPr>
        <w:t xml:space="preserve"> w</w:t>
      </w:r>
      <w:r w:rsidR="00064166">
        <w:rPr>
          <w:noProof/>
          <w:sz w:val="22"/>
          <w:szCs w:val="22"/>
        </w:rPr>
        <w:t> </w:t>
      </w:r>
      <w:r w:rsidR="00064166" w:rsidRPr="00064166">
        <w:rPr>
          <w:noProof/>
          <w:sz w:val="22"/>
          <w:szCs w:val="22"/>
        </w:rPr>
        <w:t>syt</w:t>
      </w:r>
      <w:r w:rsidRPr="00064166">
        <w:rPr>
          <w:noProof/>
          <w:sz w:val="22"/>
          <w:szCs w:val="22"/>
        </w:rPr>
        <w:t>uacjach nadzwyczajnych oraz zaspokojenia pilnych potrzeb ludności</w:t>
      </w:r>
      <w:r w:rsidR="00064166" w:rsidRPr="00064166">
        <w:rPr>
          <w:noProof/>
          <w:sz w:val="22"/>
          <w:szCs w:val="22"/>
        </w:rPr>
        <w:t xml:space="preserve"> i</w:t>
      </w:r>
      <w:r w:rsidR="00064166">
        <w:rPr>
          <w:noProof/>
          <w:sz w:val="22"/>
          <w:szCs w:val="22"/>
        </w:rPr>
        <w:t> </w:t>
      </w:r>
      <w:r w:rsidR="00064166" w:rsidRPr="00064166">
        <w:rPr>
          <w:noProof/>
          <w:sz w:val="22"/>
          <w:szCs w:val="22"/>
        </w:rPr>
        <w:t>wła</w:t>
      </w:r>
      <w:r w:rsidRPr="00064166">
        <w:rPr>
          <w:noProof/>
          <w:sz w:val="22"/>
          <w:szCs w:val="22"/>
        </w:rPr>
        <w:t>dz. Komisja przyjęła również nowy pakiet nadzwyczajny</w:t>
      </w:r>
      <w:r w:rsidR="00064166" w:rsidRPr="00064166">
        <w:rPr>
          <w:noProof/>
          <w:sz w:val="22"/>
          <w:szCs w:val="22"/>
        </w:rPr>
        <w:t xml:space="preserve"> o</w:t>
      </w:r>
      <w:r w:rsidR="00064166">
        <w:rPr>
          <w:noProof/>
          <w:sz w:val="22"/>
          <w:szCs w:val="22"/>
        </w:rPr>
        <w:t> </w:t>
      </w:r>
      <w:r w:rsidR="00064166" w:rsidRPr="00064166">
        <w:rPr>
          <w:noProof/>
          <w:sz w:val="22"/>
          <w:szCs w:val="22"/>
        </w:rPr>
        <w:t>war</w:t>
      </w:r>
      <w:r w:rsidRPr="00064166">
        <w:rPr>
          <w:noProof/>
          <w:sz w:val="22"/>
          <w:szCs w:val="22"/>
        </w:rPr>
        <w:t xml:space="preserve">tości 330 mln EUR. </w:t>
      </w:r>
      <w:r w:rsidRPr="00064166">
        <w:rPr>
          <w:rStyle w:val="Hyperlink1"/>
          <w:noProof/>
          <w:color w:val="auto"/>
          <w:sz w:val="22"/>
          <w:szCs w:val="22"/>
        </w:rPr>
        <w:t>UE podjęła szereg działań mających na celu nałożenie sankcji na Rosję</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pom</w:t>
      </w:r>
      <w:r w:rsidRPr="00064166">
        <w:rPr>
          <w:rStyle w:val="Hyperlink1"/>
          <w:noProof/>
          <w:color w:val="auto"/>
          <w:sz w:val="22"/>
          <w:szCs w:val="22"/>
        </w:rPr>
        <w:t>oc Ukrainie. Działania związane</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tra</w:t>
      </w:r>
      <w:r w:rsidRPr="00064166">
        <w:rPr>
          <w:rStyle w:val="Hyperlink1"/>
          <w:noProof/>
          <w:color w:val="auto"/>
          <w:sz w:val="22"/>
          <w:szCs w:val="22"/>
        </w:rPr>
        <w:t xml:space="preserve">nsportem: </w:t>
      </w:r>
    </w:p>
    <w:p w14:paraId="2AEA4B04" w14:textId="1E9BC315" w:rsidR="00905668" w:rsidRPr="00064166" w:rsidRDefault="00905668" w:rsidP="0090566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W wydanym przez Agencję Unii Europejskiej ds. Bezpieczeństwa Lotniczego biuletynie informacyjnym na temat stref konfliktu UE odradza wykonywanie lotów komercyjnych nad całą przestrzenią powietrzną Ukrainy, Białorusi</w:t>
      </w:r>
      <w:r w:rsidR="00064166" w:rsidRPr="00064166">
        <w:rPr>
          <w:noProof/>
          <w:sz w:val="22"/>
          <w:szCs w:val="22"/>
        </w:rPr>
        <w:t xml:space="preserve"> i</w:t>
      </w:r>
      <w:r w:rsidR="00064166">
        <w:rPr>
          <w:noProof/>
          <w:sz w:val="22"/>
          <w:szCs w:val="22"/>
        </w:rPr>
        <w:t> </w:t>
      </w:r>
      <w:r w:rsidR="00064166" w:rsidRPr="00064166">
        <w:rPr>
          <w:noProof/>
          <w:sz w:val="22"/>
          <w:szCs w:val="22"/>
        </w:rPr>
        <w:t>czę</w:t>
      </w:r>
      <w:r w:rsidRPr="00064166">
        <w:rPr>
          <w:noProof/>
          <w:sz w:val="22"/>
          <w:szCs w:val="22"/>
        </w:rPr>
        <w:t>ści Rosji. Zalecenie to szybko rozszerzono</w:t>
      </w:r>
      <w:r w:rsidR="00064166" w:rsidRPr="00064166">
        <w:rPr>
          <w:noProof/>
          <w:sz w:val="22"/>
          <w:szCs w:val="22"/>
        </w:rPr>
        <w:t xml:space="preserve"> o</w:t>
      </w:r>
      <w:r w:rsidR="00064166">
        <w:rPr>
          <w:noProof/>
          <w:sz w:val="22"/>
          <w:szCs w:val="22"/>
        </w:rPr>
        <w:t> </w:t>
      </w:r>
      <w:r w:rsidR="00064166" w:rsidRPr="00064166">
        <w:rPr>
          <w:noProof/>
          <w:sz w:val="22"/>
          <w:szCs w:val="22"/>
        </w:rPr>
        <w:t>prz</w:t>
      </w:r>
      <w:r w:rsidRPr="00064166">
        <w:rPr>
          <w:noProof/>
          <w:sz w:val="22"/>
          <w:szCs w:val="22"/>
        </w:rPr>
        <w:t>estrzeń powietrzną Mołdawii.</w:t>
      </w:r>
    </w:p>
    <w:p w14:paraId="794C93DE" w14:textId="68187DC5" w:rsidR="00E32F5D" w:rsidRPr="00064166" w:rsidRDefault="00905668" w:rsidP="0090566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UE zamknęła swoją przestrzeń powietrzną dla rosyjskich przewoźników</w:t>
      </w:r>
      <w:r w:rsidR="00064166" w:rsidRPr="00064166">
        <w:rPr>
          <w:noProof/>
          <w:sz w:val="22"/>
          <w:szCs w:val="22"/>
        </w:rPr>
        <w:t xml:space="preserve"> i</w:t>
      </w:r>
      <w:r w:rsidR="00064166">
        <w:rPr>
          <w:noProof/>
          <w:sz w:val="22"/>
          <w:szCs w:val="22"/>
        </w:rPr>
        <w:t> </w:t>
      </w:r>
      <w:r w:rsidR="00064166" w:rsidRPr="00064166">
        <w:rPr>
          <w:noProof/>
          <w:sz w:val="22"/>
          <w:szCs w:val="22"/>
        </w:rPr>
        <w:t>prz</w:t>
      </w:r>
      <w:r w:rsidRPr="00064166">
        <w:rPr>
          <w:noProof/>
          <w:sz w:val="22"/>
          <w:szCs w:val="22"/>
        </w:rPr>
        <w:t>edsiębiorstw</w:t>
      </w:r>
      <w:r w:rsidRPr="00064166">
        <w:rPr>
          <w:rStyle w:val="FootnoteReference"/>
          <w:noProof/>
          <w:sz w:val="22"/>
          <w:szCs w:val="22"/>
        </w:rPr>
        <w:footnoteReference w:id="40"/>
      </w:r>
      <w:r w:rsidRPr="00064166">
        <w:rPr>
          <w:noProof/>
          <w:sz w:val="22"/>
          <w:szCs w:val="22"/>
        </w:rPr>
        <w:t>.</w:t>
      </w:r>
    </w:p>
    <w:p w14:paraId="09D1AD6E" w14:textId="248AC45F" w:rsidR="00B751BE" w:rsidRPr="00064166" w:rsidRDefault="00CB59A4"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W dniu 9 marca UE przyjęła zakaz:</w:t>
      </w:r>
    </w:p>
    <w:p w14:paraId="4BF6F927" w14:textId="221445C8" w:rsidR="00B751BE" w:rsidRPr="00064166" w:rsidRDefault="009531A3"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(i) sprzedaży, dostaw, leasingu, przekazywania</w:t>
      </w:r>
      <w:r w:rsidR="00064166" w:rsidRPr="00064166">
        <w:rPr>
          <w:noProof/>
          <w:sz w:val="22"/>
          <w:szCs w:val="22"/>
        </w:rPr>
        <w:t xml:space="preserve"> i</w:t>
      </w:r>
      <w:r w:rsidR="00064166">
        <w:rPr>
          <w:noProof/>
          <w:sz w:val="22"/>
          <w:szCs w:val="22"/>
        </w:rPr>
        <w:t> </w:t>
      </w:r>
      <w:r w:rsidR="00064166" w:rsidRPr="00064166">
        <w:rPr>
          <w:noProof/>
          <w:sz w:val="22"/>
          <w:szCs w:val="22"/>
        </w:rPr>
        <w:t>wyw</w:t>
      </w:r>
      <w:r w:rsidRPr="00064166">
        <w:rPr>
          <w:noProof/>
          <w:sz w:val="22"/>
          <w:szCs w:val="22"/>
        </w:rPr>
        <w:t>ozu –</w:t>
      </w:r>
      <w:r w:rsidR="00064166" w:rsidRPr="00064166">
        <w:rPr>
          <w:noProof/>
          <w:sz w:val="22"/>
          <w:szCs w:val="22"/>
        </w:rPr>
        <w:t xml:space="preserve"> w</w:t>
      </w:r>
      <w:r w:rsidR="00064166">
        <w:rPr>
          <w:noProof/>
          <w:sz w:val="22"/>
          <w:szCs w:val="22"/>
        </w:rPr>
        <w:t> </w:t>
      </w:r>
      <w:r w:rsidR="00064166" w:rsidRPr="00064166">
        <w:rPr>
          <w:noProof/>
          <w:sz w:val="22"/>
          <w:szCs w:val="22"/>
        </w:rPr>
        <w:t>spo</w:t>
      </w:r>
      <w:r w:rsidRPr="00064166">
        <w:rPr>
          <w:noProof/>
          <w:sz w:val="22"/>
          <w:szCs w:val="22"/>
        </w:rPr>
        <w:t>sób bezpośredni lub pośredni – wszelkich towarów</w:t>
      </w:r>
      <w:r w:rsidR="00064166" w:rsidRPr="00064166">
        <w:rPr>
          <w:noProof/>
          <w:sz w:val="22"/>
          <w:szCs w:val="22"/>
        </w:rPr>
        <w:t xml:space="preserve"> i</w:t>
      </w:r>
      <w:r w:rsidR="00064166">
        <w:rPr>
          <w:noProof/>
          <w:sz w:val="22"/>
          <w:szCs w:val="22"/>
        </w:rPr>
        <w:t> </w:t>
      </w:r>
      <w:r w:rsidR="00064166" w:rsidRPr="00064166">
        <w:rPr>
          <w:noProof/>
          <w:sz w:val="22"/>
          <w:szCs w:val="22"/>
        </w:rPr>
        <w:t>tec</w:t>
      </w:r>
      <w:r w:rsidRPr="00064166">
        <w:rPr>
          <w:noProof/>
          <w:sz w:val="22"/>
          <w:szCs w:val="22"/>
        </w:rPr>
        <w:t>hnologii lotniczych (statków powietrznych, statków kosmicznych</w:t>
      </w:r>
      <w:r w:rsidR="00064166" w:rsidRPr="00064166">
        <w:rPr>
          <w:noProof/>
          <w:sz w:val="22"/>
          <w:szCs w:val="22"/>
        </w:rPr>
        <w:t xml:space="preserve"> i</w:t>
      </w:r>
      <w:r w:rsidR="00064166">
        <w:rPr>
          <w:noProof/>
          <w:sz w:val="22"/>
          <w:szCs w:val="22"/>
        </w:rPr>
        <w:t> </w:t>
      </w:r>
      <w:r w:rsidR="00064166" w:rsidRPr="00064166">
        <w:rPr>
          <w:noProof/>
          <w:sz w:val="22"/>
          <w:szCs w:val="22"/>
        </w:rPr>
        <w:t>ich</w:t>
      </w:r>
      <w:r w:rsidRPr="00064166">
        <w:rPr>
          <w:noProof/>
          <w:sz w:val="22"/>
          <w:szCs w:val="22"/>
        </w:rPr>
        <w:t xml:space="preserve"> części); </w:t>
      </w:r>
    </w:p>
    <w:p w14:paraId="5CC11CBE" w14:textId="3AD48956" w:rsidR="00B751BE" w:rsidRPr="00064166" w:rsidRDefault="009531A3"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(ii) bezpośredniego lub pośredniego świadczenia usług ubezpieczeniowych</w:t>
      </w:r>
      <w:r w:rsidR="00064166" w:rsidRPr="00064166">
        <w:rPr>
          <w:noProof/>
          <w:sz w:val="22"/>
          <w:szCs w:val="22"/>
        </w:rPr>
        <w:t xml:space="preserve"> i</w:t>
      </w:r>
      <w:r w:rsidR="00064166">
        <w:rPr>
          <w:noProof/>
          <w:sz w:val="22"/>
          <w:szCs w:val="22"/>
        </w:rPr>
        <w:t> </w:t>
      </w:r>
      <w:r w:rsidR="00064166" w:rsidRPr="00064166">
        <w:rPr>
          <w:noProof/>
          <w:sz w:val="22"/>
          <w:szCs w:val="22"/>
        </w:rPr>
        <w:t>rea</w:t>
      </w:r>
      <w:r w:rsidRPr="00064166">
        <w:rPr>
          <w:noProof/>
          <w:sz w:val="22"/>
          <w:szCs w:val="22"/>
        </w:rPr>
        <w:t>sekuracyjnych</w:t>
      </w:r>
      <w:r w:rsidR="00064166" w:rsidRPr="00064166">
        <w:rPr>
          <w:noProof/>
          <w:sz w:val="22"/>
          <w:szCs w:val="22"/>
        </w:rPr>
        <w:t xml:space="preserve"> w</w:t>
      </w:r>
      <w:r w:rsidR="00064166">
        <w:rPr>
          <w:noProof/>
          <w:sz w:val="22"/>
          <w:szCs w:val="22"/>
        </w:rPr>
        <w:t> </w:t>
      </w:r>
      <w:r w:rsidR="00064166" w:rsidRPr="00064166">
        <w:rPr>
          <w:noProof/>
          <w:sz w:val="22"/>
          <w:szCs w:val="22"/>
        </w:rPr>
        <w:t>odn</w:t>
      </w:r>
      <w:r w:rsidRPr="00064166">
        <w:rPr>
          <w:noProof/>
          <w:sz w:val="22"/>
          <w:szCs w:val="22"/>
        </w:rPr>
        <w:t>iesieniu do któregokolwiek</w:t>
      </w:r>
      <w:r w:rsidR="00064166" w:rsidRPr="00064166">
        <w:rPr>
          <w:noProof/>
          <w:sz w:val="22"/>
          <w:szCs w:val="22"/>
        </w:rPr>
        <w:t xml:space="preserve"> z</w:t>
      </w:r>
      <w:r w:rsidR="00064166">
        <w:rPr>
          <w:noProof/>
          <w:sz w:val="22"/>
          <w:szCs w:val="22"/>
        </w:rPr>
        <w:t> </w:t>
      </w:r>
      <w:r w:rsidR="00064166" w:rsidRPr="00064166">
        <w:rPr>
          <w:noProof/>
          <w:sz w:val="22"/>
          <w:szCs w:val="22"/>
        </w:rPr>
        <w:t>wym</w:t>
      </w:r>
      <w:r w:rsidRPr="00064166">
        <w:rPr>
          <w:noProof/>
          <w:sz w:val="22"/>
          <w:szCs w:val="22"/>
        </w:rPr>
        <w:t>ienionych towarów</w:t>
      </w:r>
      <w:r w:rsidR="00064166" w:rsidRPr="00064166">
        <w:rPr>
          <w:noProof/>
          <w:sz w:val="22"/>
          <w:szCs w:val="22"/>
        </w:rPr>
        <w:t xml:space="preserve"> i</w:t>
      </w:r>
      <w:r w:rsidR="00064166">
        <w:rPr>
          <w:noProof/>
          <w:sz w:val="22"/>
          <w:szCs w:val="22"/>
        </w:rPr>
        <w:t> </w:t>
      </w:r>
      <w:r w:rsidR="00064166" w:rsidRPr="00064166">
        <w:rPr>
          <w:noProof/>
          <w:sz w:val="22"/>
          <w:szCs w:val="22"/>
        </w:rPr>
        <w:t>tec</w:t>
      </w:r>
      <w:r w:rsidRPr="00064166">
        <w:rPr>
          <w:noProof/>
          <w:sz w:val="22"/>
          <w:szCs w:val="22"/>
        </w:rPr>
        <w:t>hnologii lotniczych;</w:t>
      </w:r>
      <w:r w:rsidR="0052698C" w:rsidRPr="00064166">
        <w:rPr>
          <w:noProof/>
          <w:sz w:val="22"/>
          <w:szCs w:val="22"/>
        </w:rPr>
        <w:t xml:space="preserve"> </w:t>
      </w:r>
    </w:p>
    <w:p w14:paraId="77787B1D" w14:textId="77BA1FF7" w:rsidR="00CB59A4" w:rsidRPr="00064166" w:rsidRDefault="009531A3"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(iii) świadczenia usług</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napraw</w:t>
      </w:r>
      <w:r w:rsidR="00064166" w:rsidRPr="00064166">
        <w:rPr>
          <w:noProof/>
          <w:sz w:val="22"/>
          <w:szCs w:val="22"/>
        </w:rPr>
        <w:t xml:space="preserve"> i</w:t>
      </w:r>
      <w:r w:rsidR="00064166">
        <w:rPr>
          <w:noProof/>
          <w:sz w:val="22"/>
          <w:szCs w:val="22"/>
        </w:rPr>
        <w:t> </w:t>
      </w:r>
      <w:r w:rsidR="00064166" w:rsidRPr="00064166">
        <w:rPr>
          <w:noProof/>
          <w:sz w:val="22"/>
          <w:szCs w:val="22"/>
        </w:rPr>
        <w:t>kon</w:t>
      </w:r>
      <w:r w:rsidRPr="00064166">
        <w:rPr>
          <w:noProof/>
          <w:sz w:val="22"/>
          <w:szCs w:val="22"/>
        </w:rPr>
        <w:t>serwacji</w:t>
      </w:r>
      <w:r w:rsidR="00064166" w:rsidRPr="00064166">
        <w:rPr>
          <w:noProof/>
          <w:sz w:val="22"/>
          <w:szCs w:val="22"/>
        </w:rPr>
        <w:t xml:space="preserve"> w</w:t>
      </w:r>
      <w:r w:rsidR="00064166">
        <w:rPr>
          <w:noProof/>
          <w:sz w:val="22"/>
          <w:szCs w:val="22"/>
        </w:rPr>
        <w:t> </w:t>
      </w:r>
      <w:r w:rsidR="00064166" w:rsidRPr="00064166">
        <w:rPr>
          <w:noProof/>
          <w:sz w:val="22"/>
          <w:szCs w:val="22"/>
        </w:rPr>
        <w:t>odn</w:t>
      </w:r>
      <w:r w:rsidRPr="00064166">
        <w:rPr>
          <w:noProof/>
          <w:sz w:val="22"/>
          <w:szCs w:val="22"/>
        </w:rPr>
        <w:t>iesieniu do wspomnianych wyrobów lotniczych.</w:t>
      </w:r>
    </w:p>
    <w:p w14:paraId="6417FC6C" w14:textId="2D0A475C" w:rsidR="00CB59A4" w:rsidRPr="00064166" w:rsidRDefault="00CB59A4"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UE umieściła Koleje Rosyjskie</w:t>
      </w:r>
      <w:r w:rsidR="00064166" w:rsidRPr="00064166">
        <w:rPr>
          <w:noProof/>
          <w:sz w:val="22"/>
          <w:szCs w:val="22"/>
        </w:rPr>
        <w:t xml:space="preserve"> w</w:t>
      </w:r>
      <w:r w:rsidR="00064166">
        <w:rPr>
          <w:noProof/>
          <w:sz w:val="22"/>
          <w:szCs w:val="22"/>
        </w:rPr>
        <w:t> </w:t>
      </w:r>
      <w:r w:rsidR="00064166" w:rsidRPr="00064166">
        <w:rPr>
          <w:noProof/>
          <w:sz w:val="22"/>
          <w:szCs w:val="22"/>
        </w:rPr>
        <w:t>wyk</w:t>
      </w:r>
      <w:r w:rsidRPr="00064166">
        <w:rPr>
          <w:noProof/>
          <w:sz w:val="22"/>
          <w:szCs w:val="22"/>
        </w:rPr>
        <w:t>azie podmiotów objętych sankcjami finansowymi. Osoby powiązane</w:t>
      </w:r>
      <w:r w:rsidR="00064166" w:rsidRPr="00064166">
        <w:rPr>
          <w:noProof/>
          <w:sz w:val="22"/>
          <w:szCs w:val="22"/>
        </w:rPr>
        <w:t xml:space="preserve"> z</w:t>
      </w:r>
      <w:r w:rsidR="00064166">
        <w:rPr>
          <w:noProof/>
          <w:sz w:val="22"/>
          <w:szCs w:val="22"/>
        </w:rPr>
        <w:t> </w:t>
      </w:r>
      <w:r w:rsidR="00064166" w:rsidRPr="00064166">
        <w:rPr>
          <w:noProof/>
          <w:sz w:val="22"/>
          <w:szCs w:val="22"/>
        </w:rPr>
        <w:t>Kol</w:t>
      </w:r>
      <w:r w:rsidRPr="00064166">
        <w:rPr>
          <w:noProof/>
          <w:sz w:val="22"/>
          <w:szCs w:val="22"/>
        </w:rPr>
        <w:t>ejami Rosyjskimi</w:t>
      </w:r>
      <w:r w:rsidR="00064166" w:rsidRPr="00064166">
        <w:rPr>
          <w:noProof/>
          <w:sz w:val="22"/>
          <w:szCs w:val="22"/>
        </w:rPr>
        <w:t xml:space="preserve"> i</w:t>
      </w:r>
      <w:r w:rsidR="00064166">
        <w:rPr>
          <w:noProof/>
          <w:sz w:val="22"/>
          <w:szCs w:val="22"/>
        </w:rPr>
        <w:t> </w:t>
      </w:r>
      <w:r w:rsidR="00064166" w:rsidRPr="00064166">
        <w:rPr>
          <w:noProof/>
          <w:sz w:val="22"/>
          <w:szCs w:val="22"/>
        </w:rPr>
        <w:t>ich</w:t>
      </w:r>
      <w:r w:rsidRPr="00064166">
        <w:rPr>
          <w:noProof/>
          <w:sz w:val="22"/>
          <w:szCs w:val="22"/>
        </w:rPr>
        <w:t xml:space="preserve"> jednostki zależne dodano do wykazu osób objętych unijnymi środkami ograniczającymi.</w:t>
      </w:r>
    </w:p>
    <w:p w14:paraId="073BA2DD" w14:textId="113C4650" w:rsidR="00E32F5D" w:rsidRPr="00064166" w:rsidRDefault="00E32F5D" w:rsidP="00E32F5D">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UE wprowadziła sankcje dotyczące morskich urządzeń nawigacyjnych</w:t>
      </w:r>
      <w:r w:rsidR="00064166" w:rsidRPr="00064166">
        <w:rPr>
          <w:noProof/>
          <w:sz w:val="22"/>
          <w:szCs w:val="22"/>
        </w:rPr>
        <w:t xml:space="preserve"> i</w:t>
      </w:r>
      <w:r w:rsidR="00064166">
        <w:rPr>
          <w:noProof/>
          <w:sz w:val="22"/>
          <w:szCs w:val="22"/>
        </w:rPr>
        <w:t> </w:t>
      </w:r>
      <w:r w:rsidR="00064166" w:rsidRPr="00064166">
        <w:rPr>
          <w:noProof/>
          <w:sz w:val="22"/>
          <w:szCs w:val="22"/>
        </w:rPr>
        <w:t>rad</w:t>
      </w:r>
      <w:r w:rsidRPr="00064166">
        <w:rPr>
          <w:noProof/>
          <w:sz w:val="22"/>
          <w:szCs w:val="22"/>
        </w:rPr>
        <w:t xml:space="preserve">iowych, na mocy których zakazano: </w:t>
      </w:r>
    </w:p>
    <w:p w14:paraId="15E3B3C8" w14:textId="2A526B22" w:rsidR="00E32F5D" w:rsidRPr="00064166" w:rsidRDefault="00E32F5D" w:rsidP="00E32F5D">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(i) sprzedaży, dostaw, przekazywania lub wywozu tych produktów do jakiejkolwiek osoby fizycznej lub prawnej, podmiotu lub organu</w:t>
      </w:r>
      <w:r w:rsidR="00064166" w:rsidRPr="00064166">
        <w:rPr>
          <w:noProof/>
          <w:sz w:val="22"/>
          <w:szCs w:val="22"/>
        </w:rPr>
        <w:t xml:space="preserve"> w</w:t>
      </w:r>
      <w:r w:rsidR="00064166">
        <w:rPr>
          <w:noProof/>
          <w:sz w:val="22"/>
          <w:szCs w:val="22"/>
        </w:rPr>
        <w:t> </w:t>
      </w:r>
      <w:r w:rsidR="00064166" w:rsidRPr="00064166">
        <w:rPr>
          <w:noProof/>
          <w:sz w:val="22"/>
          <w:szCs w:val="22"/>
        </w:rPr>
        <w:t>Ros</w:t>
      </w:r>
      <w:r w:rsidRPr="00064166">
        <w:rPr>
          <w:noProof/>
          <w:sz w:val="22"/>
          <w:szCs w:val="22"/>
        </w:rPr>
        <w:t>ji, do użytku</w:t>
      </w:r>
      <w:r w:rsidR="00064166" w:rsidRPr="00064166">
        <w:rPr>
          <w:noProof/>
          <w:sz w:val="22"/>
          <w:szCs w:val="22"/>
        </w:rPr>
        <w:t xml:space="preserve"> w</w:t>
      </w:r>
      <w:r w:rsidR="00064166">
        <w:rPr>
          <w:noProof/>
          <w:sz w:val="22"/>
          <w:szCs w:val="22"/>
        </w:rPr>
        <w:t> </w:t>
      </w:r>
      <w:r w:rsidR="00064166" w:rsidRPr="00064166">
        <w:rPr>
          <w:noProof/>
          <w:sz w:val="22"/>
          <w:szCs w:val="22"/>
        </w:rPr>
        <w:t>Ros</w:t>
      </w:r>
      <w:r w:rsidRPr="00064166">
        <w:rPr>
          <w:noProof/>
          <w:sz w:val="22"/>
          <w:szCs w:val="22"/>
        </w:rPr>
        <w:t>ji lub</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 xml:space="preserve">u umieszczenia na pokładzie statku pod rosyjską banderą; </w:t>
      </w:r>
    </w:p>
    <w:p w14:paraId="5B74BBAC" w14:textId="05B82915" w:rsidR="00E32F5D" w:rsidRPr="00064166" w:rsidRDefault="00E32F5D" w:rsidP="00E32F5D">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(ii) świadczenia pomocy technicznej, usług pośrednictwa lub innych usług,</w:t>
      </w:r>
      <w:r w:rsidR="00064166" w:rsidRPr="00064166">
        <w:rPr>
          <w:noProof/>
          <w:sz w:val="22"/>
          <w:szCs w:val="22"/>
        </w:rPr>
        <w:t xml:space="preserve"> a</w:t>
      </w:r>
      <w:r w:rsidR="00064166">
        <w:rPr>
          <w:noProof/>
          <w:sz w:val="22"/>
          <w:szCs w:val="22"/>
        </w:rPr>
        <w:t> </w:t>
      </w:r>
      <w:r w:rsidR="00064166" w:rsidRPr="00064166">
        <w:rPr>
          <w:noProof/>
          <w:sz w:val="22"/>
          <w:szCs w:val="22"/>
        </w:rPr>
        <w:t>tak</w:t>
      </w:r>
      <w:r w:rsidRPr="00064166">
        <w:rPr>
          <w:noProof/>
          <w:sz w:val="22"/>
          <w:szCs w:val="22"/>
        </w:rPr>
        <w:t>że finansowania</w:t>
      </w:r>
      <w:r w:rsidR="00064166" w:rsidRPr="00064166">
        <w:rPr>
          <w:noProof/>
          <w:sz w:val="22"/>
          <w:szCs w:val="22"/>
        </w:rPr>
        <w:t xml:space="preserve"> i</w:t>
      </w:r>
      <w:r w:rsidR="00064166">
        <w:rPr>
          <w:noProof/>
          <w:sz w:val="22"/>
          <w:szCs w:val="22"/>
        </w:rPr>
        <w:t> </w:t>
      </w:r>
      <w:r w:rsidR="00064166" w:rsidRPr="00064166">
        <w:rPr>
          <w:noProof/>
          <w:sz w:val="22"/>
          <w:szCs w:val="22"/>
        </w:rPr>
        <w:t>pom</w:t>
      </w:r>
      <w:r w:rsidRPr="00064166">
        <w:rPr>
          <w:noProof/>
          <w:sz w:val="22"/>
          <w:szCs w:val="22"/>
        </w:rPr>
        <w:t>ocy finansowej związanej</w:t>
      </w:r>
      <w:r w:rsidR="00064166" w:rsidRPr="00064166">
        <w:rPr>
          <w:noProof/>
          <w:sz w:val="22"/>
          <w:szCs w:val="22"/>
        </w:rPr>
        <w:t xml:space="preserve"> z</w:t>
      </w:r>
      <w:r w:rsidR="00064166">
        <w:rPr>
          <w:noProof/>
          <w:sz w:val="22"/>
          <w:szCs w:val="22"/>
        </w:rPr>
        <w:t> </w:t>
      </w:r>
      <w:r w:rsidR="00064166" w:rsidRPr="00064166">
        <w:rPr>
          <w:noProof/>
          <w:sz w:val="22"/>
          <w:szCs w:val="22"/>
        </w:rPr>
        <w:t>tym</w:t>
      </w:r>
      <w:r w:rsidRPr="00064166">
        <w:rPr>
          <w:noProof/>
          <w:sz w:val="22"/>
          <w:szCs w:val="22"/>
        </w:rPr>
        <w:t xml:space="preserve">i produktami. </w:t>
      </w:r>
    </w:p>
    <w:p w14:paraId="6B9027F2" w14:textId="5EC317A9" w:rsidR="00376693" w:rsidRPr="00064166" w:rsidRDefault="00E32F5D" w:rsidP="0090566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W dniu 8 kwietnia UE przyjęła kolejne sankcje, na mocy których zakazano statkom pod rosyjską banderą (w tym jachtom) zawijania do portów UE oraz zakazano przedsiębiorstwom transportu drogowego</w:t>
      </w:r>
      <w:r w:rsidR="00064166" w:rsidRPr="00064166">
        <w:rPr>
          <w:noProof/>
          <w:sz w:val="22"/>
          <w:szCs w:val="22"/>
        </w:rPr>
        <w:t xml:space="preserve"> z</w:t>
      </w:r>
      <w:r w:rsidR="00064166">
        <w:rPr>
          <w:noProof/>
          <w:sz w:val="22"/>
          <w:szCs w:val="22"/>
        </w:rPr>
        <w:t> </w:t>
      </w:r>
      <w:r w:rsidR="00064166" w:rsidRPr="00064166">
        <w:rPr>
          <w:noProof/>
          <w:sz w:val="22"/>
          <w:szCs w:val="22"/>
        </w:rPr>
        <w:t>sie</w:t>
      </w:r>
      <w:r w:rsidRPr="00064166">
        <w:rPr>
          <w:noProof/>
          <w:sz w:val="22"/>
          <w:szCs w:val="22"/>
        </w:rPr>
        <w:t>dzibą</w:t>
      </w:r>
      <w:r w:rsidR="00064166" w:rsidRPr="00064166">
        <w:rPr>
          <w:noProof/>
          <w:sz w:val="22"/>
          <w:szCs w:val="22"/>
        </w:rPr>
        <w:t xml:space="preserve"> w</w:t>
      </w:r>
      <w:r w:rsidR="00064166">
        <w:rPr>
          <w:noProof/>
          <w:sz w:val="22"/>
          <w:szCs w:val="22"/>
        </w:rPr>
        <w:t> </w:t>
      </w:r>
      <w:r w:rsidR="00064166" w:rsidRPr="00064166">
        <w:rPr>
          <w:noProof/>
          <w:sz w:val="22"/>
          <w:szCs w:val="22"/>
        </w:rPr>
        <w:t>Ros</w:t>
      </w:r>
      <w:r w:rsidRPr="00064166">
        <w:rPr>
          <w:noProof/>
          <w:sz w:val="22"/>
          <w:szCs w:val="22"/>
        </w:rPr>
        <w:t xml:space="preserve">ji i na Białorusi drogowego przewozu towarów na terytorium Unii Europejskiej. </w:t>
      </w:r>
    </w:p>
    <w:p w14:paraId="00690262" w14:textId="6C207DC3" w:rsidR="00134F6C" w:rsidRPr="00064166" w:rsidRDefault="001E1D82" w:rsidP="0090566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Na wniosek Ukrainy UE uruchomiła Unijny Mechanizm Ochrony Ludności, udzielając wsparcia</w:t>
      </w:r>
      <w:r w:rsidR="00064166" w:rsidRPr="00064166">
        <w:rPr>
          <w:noProof/>
          <w:sz w:val="22"/>
          <w:szCs w:val="22"/>
        </w:rPr>
        <w:t xml:space="preserve"> w</w:t>
      </w:r>
      <w:r w:rsidR="00064166">
        <w:rPr>
          <w:noProof/>
          <w:sz w:val="22"/>
          <w:szCs w:val="22"/>
        </w:rPr>
        <w:t> </w:t>
      </w:r>
      <w:r w:rsidR="00064166" w:rsidRPr="00064166">
        <w:rPr>
          <w:noProof/>
          <w:sz w:val="22"/>
          <w:szCs w:val="22"/>
        </w:rPr>
        <w:t>zwi</w:t>
      </w:r>
      <w:r w:rsidRPr="00064166">
        <w:rPr>
          <w:noProof/>
          <w:sz w:val="22"/>
          <w:szCs w:val="22"/>
        </w:rPr>
        <w:t>ązku ze skutkami rosyjskiej agresji wojskowej. Tysiące ton pomocy ze wszystkich państw członkowskich UE wysłano do Ukrainy za pośrednictwem centrów logistycznych Unijnego Mechanizmu Ochrony Ludności</w:t>
      </w:r>
      <w:r w:rsidR="00064166" w:rsidRPr="00064166">
        <w:rPr>
          <w:noProof/>
          <w:sz w:val="22"/>
          <w:szCs w:val="22"/>
        </w:rPr>
        <w:t xml:space="preserve"> w</w:t>
      </w:r>
      <w:r w:rsidR="00064166">
        <w:rPr>
          <w:noProof/>
          <w:sz w:val="22"/>
          <w:szCs w:val="22"/>
        </w:rPr>
        <w:t> </w:t>
      </w:r>
      <w:r w:rsidR="00064166" w:rsidRPr="00064166">
        <w:rPr>
          <w:noProof/>
          <w:sz w:val="22"/>
          <w:szCs w:val="22"/>
        </w:rPr>
        <w:t>Pol</w:t>
      </w:r>
      <w:r w:rsidRPr="00064166">
        <w:rPr>
          <w:noProof/>
          <w:sz w:val="22"/>
          <w:szCs w:val="22"/>
        </w:rPr>
        <w:t>sce, Rumunii i na Słowacji. Państwa sąsiadujące zwróciły się również</w:t>
      </w:r>
      <w:r w:rsidR="00064166" w:rsidRPr="00064166">
        <w:rPr>
          <w:noProof/>
          <w:sz w:val="22"/>
          <w:szCs w:val="22"/>
        </w:rPr>
        <w:t xml:space="preserve"> o</w:t>
      </w:r>
      <w:r w:rsidR="00064166">
        <w:rPr>
          <w:noProof/>
          <w:sz w:val="22"/>
          <w:szCs w:val="22"/>
        </w:rPr>
        <w:t> </w:t>
      </w:r>
      <w:r w:rsidR="00064166" w:rsidRPr="00064166">
        <w:rPr>
          <w:noProof/>
          <w:sz w:val="22"/>
          <w:szCs w:val="22"/>
        </w:rPr>
        <w:t>pom</w:t>
      </w:r>
      <w:r w:rsidRPr="00064166">
        <w:rPr>
          <w:noProof/>
          <w:sz w:val="22"/>
          <w:szCs w:val="22"/>
        </w:rPr>
        <w:t>oc</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Unijnego Mechanizmu Ochrony Ludności związaną</w:t>
      </w:r>
      <w:r w:rsidR="00064166" w:rsidRPr="00064166">
        <w:rPr>
          <w:noProof/>
          <w:sz w:val="22"/>
          <w:szCs w:val="22"/>
        </w:rPr>
        <w:t xml:space="preserve"> z</w:t>
      </w:r>
      <w:r w:rsidR="00064166">
        <w:rPr>
          <w:noProof/>
          <w:sz w:val="22"/>
          <w:szCs w:val="22"/>
        </w:rPr>
        <w:t> </w:t>
      </w:r>
      <w:r w:rsidR="00064166" w:rsidRPr="00064166">
        <w:rPr>
          <w:noProof/>
          <w:sz w:val="22"/>
          <w:szCs w:val="22"/>
        </w:rPr>
        <w:t>nap</w:t>
      </w:r>
      <w:r w:rsidRPr="00064166">
        <w:rPr>
          <w:noProof/>
          <w:sz w:val="22"/>
          <w:szCs w:val="22"/>
        </w:rPr>
        <w:t>ływem migrantów. Oprócz Ukrainy, Unijny Mechanizm Ochrony Ludności jest również wykorzystywany do udzielania różnych form pilnego wsparcia Mołdawii, Polsce, Słowacji</w:t>
      </w:r>
      <w:r w:rsidR="00064166" w:rsidRPr="00064166">
        <w:rPr>
          <w:noProof/>
          <w:sz w:val="22"/>
          <w:szCs w:val="22"/>
        </w:rPr>
        <w:t xml:space="preserve"> i</w:t>
      </w:r>
      <w:r w:rsidR="00064166">
        <w:rPr>
          <w:noProof/>
          <w:sz w:val="22"/>
          <w:szCs w:val="22"/>
        </w:rPr>
        <w:t> </w:t>
      </w:r>
      <w:r w:rsidR="00064166" w:rsidRPr="00064166">
        <w:rPr>
          <w:noProof/>
          <w:sz w:val="22"/>
          <w:szCs w:val="22"/>
        </w:rPr>
        <w:t>Rep</w:t>
      </w:r>
      <w:r w:rsidRPr="00064166">
        <w:rPr>
          <w:noProof/>
          <w:sz w:val="22"/>
          <w:szCs w:val="22"/>
        </w:rPr>
        <w:t>ublice Czeskiej, które są głównymi krajami docelowymi dla uchodźców uciekających przed konfliktem. Na Unijnym Mechanizmie Ochrony Ludności opierano się również przy ułatwianiu repatriacji obywateli Unii, gdy było to możliwe. W Polsce, na Słowacji</w:t>
      </w:r>
      <w:r w:rsidR="00064166" w:rsidRPr="00064166">
        <w:rPr>
          <w:noProof/>
          <w:sz w:val="22"/>
          <w:szCs w:val="22"/>
        </w:rPr>
        <w:t xml:space="preserve"> i</w:t>
      </w:r>
      <w:r w:rsidR="00064166">
        <w:rPr>
          <w:noProof/>
          <w:sz w:val="22"/>
          <w:szCs w:val="22"/>
        </w:rPr>
        <w:t> </w:t>
      </w:r>
      <w:r w:rsidR="00064166" w:rsidRPr="00064166">
        <w:rPr>
          <w:noProof/>
          <w:sz w:val="22"/>
          <w:szCs w:val="22"/>
        </w:rPr>
        <w:t>w</w:t>
      </w:r>
      <w:r w:rsidR="00064166">
        <w:rPr>
          <w:noProof/>
          <w:sz w:val="22"/>
          <w:szCs w:val="22"/>
        </w:rPr>
        <w:t> </w:t>
      </w:r>
      <w:r w:rsidR="00064166" w:rsidRPr="00064166">
        <w:rPr>
          <w:noProof/>
          <w:sz w:val="22"/>
          <w:szCs w:val="22"/>
        </w:rPr>
        <w:t>Rum</w:t>
      </w:r>
      <w:r w:rsidRPr="00064166">
        <w:rPr>
          <w:noProof/>
          <w:sz w:val="22"/>
          <w:szCs w:val="22"/>
        </w:rPr>
        <w:t>unii utworzono centra logistyczne zajmujące się artykułami pierwszej potrzeby, działające</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odpowiedzialności władz lokalnych</w:t>
      </w:r>
      <w:r w:rsidR="00064166" w:rsidRPr="00064166">
        <w:rPr>
          <w:noProof/>
          <w:sz w:val="22"/>
          <w:szCs w:val="22"/>
        </w:rPr>
        <w:t xml:space="preserve"> i</w:t>
      </w:r>
      <w:r w:rsidR="00064166">
        <w:rPr>
          <w:noProof/>
          <w:sz w:val="22"/>
          <w:szCs w:val="22"/>
        </w:rPr>
        <w:t> </w:t>
      </w:r>
      <w:r w:rsidR="00064166" w:rsidRPr="00064166">
        <w:rPr>
          <w:noProof/>
          <w:sz w:val="22"/>
          <w:szCs w:val="22"/>
        </w:rPr>
        <w:t>w</w:t>
      </w:r>
      <w:r w:rsidR="00064166">
        <w:rPr>
          <w:noProof/>
          <w:sz w:val="22"/>
          <w:szCs w:val="22"/>
        </w:rPr>
        <w:t> </w:t>
      </w:r>
      <w:r w:rsidR="00064166" w:rsidRPr="00064166">
        <w:rPr>
          <w:noProof/>
          <w:sz w:val="22"/>
          <w:szCs w:val="22"/>
        </w:rPr>
        <w:t>peł</w:t>
      </w:r>
      <w:r w:rsidRPr="00064166">
        <w:rPr>
          <w:noProof/>
          <w:sz w:val="22"/>
          <w:szCs w:val="22"/>
        </w:rPr>
        <w:t xml:space="preserve">ni finansowane przez Unijny Mechanizm Ochrony Ludności. </w:t>
      </w:r>
    </w:p>
    <w:p w14:paraId="578D2385" w14:textId="2B164E49" w:rsidR="00485703" w:rsidRPr="00064166" w:rsidRDefault="00134F6C" w:rsidP="0090566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xml:space="preserve">(-) Uruchomienie </w:t>
      </w:r>
      <w:r w:rsidRPr="00064166">
        <w:rPr>
          <w:bCs/>
          <w:noProof/>
          <w:sz w:val="22"/>
          <w:szCs w:val="22"/>
        </w:rPr>
        <w:t>dyrektywy</w:t>
      </w:r>
      <w:r w:rsidR="00064166" w:rsidRPr="00064166">
        <w:rPr>
          <w:bCs/>
          <w:noProof/>
          <w:sz w:val="22"/>
          <w:szCs w:val="22"/>
        </w:rPr>
        <w:t xml:space="preserve"> w</w:t>
      </w:r>
      <w:r w:rsidR="00064166">
        <w:rPr>
          <w:bCs/>
          <w:noProof/>
          <w:sz w:val="22"/>
          <w:szCs w:val="22"/>
        </w:rPr>
        <w:t> </w:t>
      </w:r>
      <w:r w:rsidR="00064166" w:rsidRPr="00064166">
        <w:rPr>
          <w:bCs/>
          <w:noProof/>
          <w:sz w:val="22"/>
          <w:szCs w:val="22"/>
        </w:rPr>
        <w:t>spr</w:t>
      </w:r>
      <w:r w:rsidRPr="00064166">
        <w:rPr>
          <w:bCs/>
          <w:noProof/>
          <w:sz w:val="22"/>
          <w:szCs w:val="22"/>
        </w:rPr>
        <w:t>awie tymczasowej ochrony</w:t>
      </w:r>
      <w:r w:rsidRPr="00064166">
        <w:rPr>
          <w:noProof/>
          <w:sz w:val="22"/>
          <w:szCs w:val="22"/>
          <w:vertAlign w:val="superscript"/>
        </w:rPr>
        <w:footnoteReference w:id="41"/>
      </w:r>
      <w:r w:rsidRPr="00064166">
        <w:rPr>
          <w:noProof/>
          <w:sz w:val="22"/>
          <w:szCs w:val="22"/>
        </w:rPr>
        <w:t xml:space="preserve"> dla Ukraińców</w:t>
      </w:r>
      <w:r w:rsidR="00064166" w:rsidRPr="00064166">
        <w:rPr>
          <w:noProof/>
          <w:sz w:val="22"/>
          <w:szCs w:val="22"/>
        </w:rPr>
        <w:t xml:space="preserve"> i</w:t>
      </w:r>
      <w:r w:rsidR="00064166">
        <w:rPr>
          <w:noProof/>
          <w:sz w:val="22"/>
          <w:szCs w:val="22"/>
        </w:rPr>
        <w:t> </w:t>
      </w:r>
      <w:r w:rsidR="00064166" w:rsidRPr="00064166">
        <w:rPr>
          <w:noProof/>
          <w:sz w:val="22"/>
          <w:szCs w:val="22"/>
        </w:rPr>
        <w:t>osó</w:t>
      </w:r>
      <w:r w:rsidRPr="00064166">
        <w:rPr>
          <w:noProof/>
          <w:sz w:val="22"/>
          <w:szCs w:val="22"/>
        </w:rPr>
        <w:t>b niebędących obywatelami Ukrainy, jeśli nie mogą oni bezpiecznie wrócić na Ukrainę.</w:t>
      </w:r>
    </w:p>
    <w:p w14:paraId="5C988ED1" w14:textId="23CD6A48" w:rsidR="001E1D82" w:rsidRPr="00064166" w:rsidRDefault="001E1D82" w:rsidP="007C7D41">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Wytyczne operacyjne dotyczące zarządzania granicami zewnętrznymi</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ułatwienia przekraczania granicy między UE</w:t>
      </w:r>
      <w:r w:rsidR="00064166" w:rsidRPr="00064166">
        <w:rPr>
          <w:noProof/>
          <w:sz w:val="22"/>
          <w:szCs w:val="22"/>
        </w:rPr>
        <w:t xml:space="preserve"> a</w:t>
      </w:r>
      <w:r w:rsidR="00064166">
        <w:rPr>
          <w:noProof/>
          <w:sz w:val="22"/>
          <w:szCs w:val="22"/>
        </w:rPr>
        <w:t> </w:t>
      </w:r>
      <w:r w:rsidR="00064166" w:rsidRPr="00064166">
        <w:rPr>
          <w:noProof/>
          <w:sz w:val="22"/>
          <w:szCs w:val="22"/>
        </w:rPr>
        <w:t>Ukr</w:t>
      </w:r>
      <w:r w:rsidRPr="00064166">
        <w:rPr>
          <w:noProof/>
          <w:sz w:val="22"/>
          <w:szCs w:val="22"/>
        </w:rPr>
        <w:t>ainą. Wytyczne te obejmują pracowników sektora transportu</w:t>
      </w:r>
      <w:r w:rsidRPr="00064166">
        <w:rPr>
          <w:rStyle w:val="FootnoteReference"/>
          <w:noProof/>
          <w:sz w:val="22"/>
          <w:szCs w:val="22"/>
        </w:rPr>
        <w:footnoteReference w:id="42"/>
      </w:r>
      <w:r w:rsidRPr="00064166">
        <w:rPr>
          <w:noProof/>
          <w:sz w:val="22"/>
          <w:szCs w:val="22"/>
        </w:rPr>
        <w:t>.</w:t>
      </w:r>
    </w:p>
    <w:p w14:paraId="63ABC68F" w14:textId="19B7BFD9" w:rsidR="00134F6C" w:rsidRPr="00064166" w:rsidRDefault="00CB59A4"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Pomoc kierowcom ciężarówek z UE, którzy utknęli</w:t>
      </w:r>
      <w:r w:rsidR="00064166" w:rsidRPr="00064166">
        <w:rPr>
          <w:noProof/>
          <w:sz w:val="22"/>
          <w:szCs w:val="22"/>
        </w:rPr>
        <w:t xml:space="preserve"> w</w:t>
      </w:r>
      <w:r w:rsidR="00064166">
        <w:rPr>
          <w:noProof/>
          <w:sz w:val="22"/>
          <w:szCs w:val="22"/>
        </w:rPr>
        <w:t> </w:t>
      </w:r>
      <w:r w:rsidR="00064166" w:rsidRPr="00064166">
        <w:rPr>
          <w:noProof/>
          <w:sz w:val="22"/>
          <w:szCs w:val="22"/>
        </w:rPr>
        <w:t>pod</w:t>
      </w:r>
      <w:r w:rsidRPr="00064166">
        <w:rPr>
          <w:noProof/>
          <w:sz w:val="22"/>
          <w:szCs w:val="22"/>
        </w:rPr>
        <w:t>róży,</w:t>
      </w:r>
      <w:r w:rsidR="00064166" w:rsidRPr="00064166">
        <w:rPr>
          <w:noProof/>
          <w:sz w:val="22"/>
          <w:szCs w:val="22"/>
        </w:rPr>
        <w:t xml:space="preserve"> w</w:t>
      </w:r>
      <w:r w:rsidR="00064166">
        <w:rPr>
          <w:noProof/>
          <w:sz w:val="22"/>
          <w:szCs w:val="22"/>
        </w:rPr>
        <w:t> </w:t>
      </w:r>
      <w:r w:rsidR="00064166" w:rsidRPr="00064166">
        <w:rPr>
          <w:noProof/>
          <w:sz w:val="22"/>
          <w:szCs w:val="22"/>
        </w:rPr>
        <w:t>dro</w:t>
      </w:r>
      <w:r w:rsidRPr="00064166">
        <w:rPr>
          <w:noProof/>
          <w:sz w:val="22"/>
          <w:szCs w:val="22"/>
        </w:rPr>
        <w:t>dze powrotnej do domu</w:t>
      </w:r>
      <w:r w:rsidR="00064166" w:rsidRPr="00064166">
        <w:rPr>
          <w:noProof/>
          <w:sz w:val="22"/>
          <w:szCs w:val="22"/>
        </w:rPr>
        <w:t xml:space="preserve"> z</w:t>
      </w:r>
      <w:r w:rsidR="00064166">
        <w:rPr>
          <w:noProof/>
          <w:sz w:val="22"/>
          <w:szCs w:val="22"/>
        </w:rPr>
        <w:t> </w:t>
      </w:r>
      <w:r w:rsidR="00064166" w:rsidRPr="00064166">
        <w:rPr>
          <w:noProof/>
          <w:sz w:val="22"/>
          <w:szCs w:val="22"/>
        </w:rPr>
        <w:t>Ukr</w:t>
      </w:r>
      <w:r w:rsidRPr="00064166">
        <w:rPr>
          <w:noProof/>
          <w:sz w:val="22"/>
          <w:szCs w:val="22"/>
        </w:rPr>
        <w:t>ainy, Rosji</w:t>
      </w:r>
      <w:r w:rsidR="00064166" w:rsidRPr="00064166">
        <w:rPr>
          <w:noProof/>
          <w:sz w:val="22"/>
          <w:szCs w:val="22"/>
        </w:rPr>
        <w:t xml:space="preserve"> i</w:t>
      </w:r>
      <w:r w:rsidR="00064166">
        <w:rPr>
          <w:noProof/>
          <w:sz w:val="22"/>
          <w:szCs w:val="22"/>
        </w:rPr>
        <w:t> </w:t>
      </w:r>
      <w:r w:rsidR="00064166" w:rsidRPr="00064166">
        <w:rPr>
          <w:noProof/>
          <w:sz w:val="22"/>
          <w:szCs w:val="22"/>
        </w:rPr>
        <w:t>Bia</w:t>
      </w:r>
      <w:r w:rsidRPr="00064166">
        <w:rPr>
          <w:noProof/>
          <w:sz w:val="22"/>
          <w:szCs w:val="22"/>
        </w:rPr>
        <w:t>łorusi poprzez uproszczenie procedur.</w:t>
      </w:r>
    </w:p>
    <w:p w14:paraId="4FED4599" w14:textId="25BAFDE3" w:rsidR="00CB59A4" w:rsidRPr="00064166" w:rsidRDefault="00CB59A4" w:rsidP="00CB59A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Wszystkie działania transportowe</w:t>
      </w:r>
      <w:r w:rsidR="00064166" w:rsidRPr="00064166">
        <w:rPr>
          <w:noProof/>
          <w:sz w:val="22"/>
          <w:szCs w:val="22"/>
        </w:rPr>
        <w:t xml:space="preserve"> i</w:t>
      </w:r>
      <w:r w:rsidR="00064166">
        <w:rPr>
          <w:noProof/>
          <w:sz w:val="22"/>
          <w:szCs w:val="22"/>
        </w:rPr>
        <w:t> </w:t>
      </w:r>
      <w:r w:rsidR="00064166" w:rsidRPr="00064166">
        <w:rPr>
          <w:noProof/>
          <w:sz w:val="22"/>
          <w:szCs w:val="22"/>
        </w:rPr>
        <w:t>log</w:t>
      </w:r>
      <w:r w:rsidRPr="00064166">
        <w:rPr>
          <w:noProof/>
          <w:sz w:val="22"/>
          <w:szCs w:val="22"/>
        </w:rPr>
        <w:t>istyczne</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partnerstwa</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wymiaru północnego</w:t>
      </w:r>
      <w:r w:rsidR="00064166" w:rsidRPr="00064166">
        <w:rPr>
          <w:noProof/>
          <w:sz w:val="22"/>
          <w:szCs w:val="22"/>
        </w:rPr>
        <w:t xml:space="preserve"> z</w:t>
      </w:r>
      <w:r w:rsidR="00064166">
        <w:rPr>
          <w:noProof/>
          <w:sz w:val="22"/>
          <w:szCs w:val="22"/>
        </w:rPr>
        <w:t> </w:t>
      </w:r>
      <w:r w:rsidR="00064166" w:rsidRPr="00064166">
        <w:rPr>
          <w:noProof/>
          <w:sz w:val="22"/>
          <w:szCs w:val="22"/>
        </w:rPr>
        <w:t>udz</w:t>
      </w:r>
      <w:r w:rsidRPr="00064166">
        <w:rPr>
          <w:noProof/>
          <w:sz w:val="22"/>
          <w:szCs w:val="22"/>
        </w:rPr>
        <w:t>iałem Rosji</w:t>
      </w:r>
      <w:r w:rsidR="00064166" w:rsidRPr="00064166">
        <w:rPr>
          <w:noProof/>
          <w:sz w:val="22"/>
          <w:szCs w:val="22"/>
        </w:rPr>
        <w:t xml:space="preserve"> i</w:t>
      </w:r>
      <w:r w:rsidR="00064166">
        <w:rPr>
          <w:noProof/>
          <w:sz w:val="22"/>
          <w:szCs w:val="22"/>
        </w:rPr>
        <w:t> </w:t>
      </w:r>
      <w:r w:rsidR="00064166" w:rsidRPr="00064166">
        <w:rPr>
          <w:noProof/>
          <w:sz w:val="22"/>
          <w:szCs w:val="22"/>
        </w:rPr>
        <w:t>Bia</w:t>
      </w:r>
      <w:r w:rsidRPr="00064166">
        <w:rPr>
          <w:noProof/>
          <w:sz w:val="22"/>
          <w:szCs w:val="22"/>
        </w:rPr>
        <w:t>łorusi zostały zawieszone.</w:t>
      </w:r>
    </w:p>
    <w:p w14:paraId="5C93DCC4" w14:textId="6B09FE97" w:rsidR="004857BC" w:rsidRPr="00064166" w:rsidRDefault="00905668" w:rsidP="007C7D41">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 xml:space="preserve"> (-) Niektóre państwa członkowskie zapewniły Ukraińcom bezpłatny transport publiczny. Ponadto wiele przedsiębiorstw transportowych w UE wprowadziło środki, takie jak darmowe bilety lotnicze, autobusowe lub kolejowe, aby pomóc Ukrainie</w:t>
      </w:r>
      <w:r w:rsidR="00064166" w:rsidRPr="00064166">
        <w:rPr>
          <w:noProof/>
          <w:sz w:val="22"/>
          <w:szCs w:val="22"/>
        </w:rPr>
        <w:t xml:space="preserve"> i</w:t>
      </w:r>
      <w:r w:rsidR="00064166">
        <w:rPr>
          <w:noProof/>
          <w:sz w:val="22"/>
          <w:szCs w:val="22"/>
        </w:rPr>
        <w:t> </w:t>
      </w:r>
      <w:r w:rsidR="00064166" w:rsidRPr="00064166">
        <w:rPr>
          <w:noProof/>
          <w:sz w:val="22"/>
          <w:szCs w:val="22"/>
        </w:rPr>
        <w:t>jej</w:t>
      </w:r>
      <w:r w:rsidRPr="00064166">
        <w:rPr>
          <w:noProof/>
          <w:sz w:val="22"/>
          <w:szCs w:val="22"/>
        </w:rPr>
        <w:t xml:space="preserve"> mieszkańcom lub dostarczyć pomoc humanitarną. </w:t>
      </w:r>
    </w:p>
    <w:p w14:paraId="2F893168" w14:textId="19F58F55" w:rsidR="006C5130" w:rsidRPr="00064166" w:rsidRDefault="006C5130" w:rsidP="007C7D41">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noProof/>
          <w:sz w:val="22"/>
          <w:szCs w:val="22"/>
        </w:rPr>
        <w:t>(-) Państwa członkowskie graniczące</w:t>
      </w:r>
      <w:r w:rsidR="00064166" w:rsidRPr="00064166">
        <w:rPr>
          <w:noProof/>
          <w:sz w:val="22"/>
          <w:szCs w:val="22"/>
        </w:rPr>
        <w:t xml:space="preserve"> z</w:t>
      </w:r>
      <w:r w:rsidR="00064166">
        <w:rPr>
          <w:noProof/>
          <w:sz w:val="22"/>
          <w:szCs w:val="22"/>
        </w:rPr>
        <w:t> </w:t>
      </w:r>
      <w:r w:rsidR="00064166" w:rsidRPr="00064166">
        <w:rPr>
          <w:noProof/>
          <w:sz w:val="22"/>
          <w:szCs w:val="22"/>
        </w:rPr>
        <w:t>Ukr</w:t>
      </w:r>
      <w:r w:rsidRPr="00064166">
        <w:rPr>
          <w:noProof/>
          <w:sz w:val="22"/>
          <w:szCs w:val="22"/>
        </w:rPr>
        <w:t>ainą utworzyły ośrodki dla cudzoziemców/węzły transportowe</w:t>
      </w:r>
      <w:r w:rsidRPr="00064166">
        <w:rPr>
          <w:rStyle w:val="Hyperlink1"/>
          <w:noProof/>
          <w:color w:val="auto"/>
          <w:sz w:val="22"/>
          <w:szCs w:val="22"/>
        </w:rPr>
        <w:t xml:space="preserve">. </w:t>
      </w:r>
    </w:p>
    <w:p w14:paraId="3D393354" w14:textId="77777777" w:rsidR="00C14C2F" w:rsidRPr="00064166" w:rsidRDefault="00C14C2F" w:rsidP="00C14C2F">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 Komisja uruchomiła sieć krajowych punktów kontaktowych ds. transportu.</w:t>
      </w:r>
    </w:p>
    <w:p w14:paraId="56730178" w14:textId="534285A7" w:rsidR="00D2415D" w:rsidRPr="00064166" w:rsidRDefault="00855EED" w:rsidP="00804043">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 xml:space="preserve"> (-) W świetle inwazji Rosji na Ukrainę Komisja Europejska przedstawiła zarys planu (RePower EU) uniezależnienia Europy od rosyjskich paliw kopalnych, począwszy od gazu, na długo przed 2030</w:t>
      </w:r>
      <w:r w:rsidR="00064166" w:rsidRPr="00064166">
        <w:rPr>
          <w:rStyle w:val="Hyperlink1"/>
          <w:noProof/>
          <w:color w:val="auto"/>
          <w:sz w:val="22"/>
          <w:szCs w:val="22"/>
        </w:rPr>
        <w:t> </w:t>
      </w:r>
      <w:r w:rsidRPr="00064166">
        <w:rPr>
          <w:rStyle w:val="Hyperlink1"/>
          <w:noProof/>
          <w:color w:val="auto"/>
          <w:sz w:val="22"/>
          <w:szCs w:val="22"/>
        </w:rPr>
        <w:t>r.</w:t>
      </w:r>
      <w:r w:rsidRPr="00064166">
        <w:rPr>
          <w:rStyle w:val="FootnoteReference"/>
          <w:noProof/>
          <w:color w:val="auto"/>
          <w:sz w:val="22"/>
          <w:szCs w:val="22"/>
        </w:rPr>
        <w:footnoteReference w:id="43"/>
      </w:r>
    </w:p>
    <w:p w14:paraId="1FE562FF" w14:textId="0FCE9CF8" w:rsidR="000A78E0" w:rsidRPr="00064166" w:rsidRDefault="000256B4" w:rsidP="000256B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 W ramach wsparcia UE dla Ukrainy</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obl</w:t>
      </w:r>
      <w:r w:rsidRPr="00064166">
        <w:rPr>
          <w:rStyle w:val="Hyperlink1"/>
          <w:noProof/>
          <w:color w:val="auto"/>
          <w:sz w:val="22"/>
          <w:szCs w:val="22"/>
        </w:rPr>
        <w:t>iczu rosyjskiej agresji wojskowej 12 maja Komisja ustanowiła korytarze solidarnościowe</w:t>
      </w:r>
      <w:r w:rsidRPr="00064166">
        <w:rPr>
          <w:rStyle w:val="FootnoteReference"/>
          <w:noProof/>
          <w:color w:val="auto"/>
          <w:sz w:val="22"/>
          <w:szCs w:val="22"/>
        </w:rPr>
        <w:footnoteReference w:id="44"/>
      </w:r>
      <w:r w:rsidRPr="00064166">
        <w:rPr>
          <w:rStyle w:val="Hyperlink1"/>
          <w:noProof/>
          <w:color w:val="auto"/>
          <w:sz w:val="22"/>
          <w:szCs w:val="22"/>
        </w:rPr>
        <w:t xml:space="preserve"> składające się</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sze</w:t>
      </w:r>
      <w:r w:rsidRPr="00064166">
        <w:rPr>
          <w:rStyle w:val="Hyperlink1"/>
          <w:noProof/>
          <w:color w:val="auto"/>
          <w:sz w:val="22"/>
          <w:szCs w:val="22"/>
        </w:rPr>
        <w:t>regu działań mających pomóc Ukrainie</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eks</w:t>
      </w:r>
      <w:r w:rsidRPr="00064166">
        <w:rPr>
          <w:rStyle w:val="Hyperlink1"/>
          <w:noProof/>
          <w:color w:val="auto"/>
          <w:sz w:val="22"/>
          <w:szCs w:val="22"/>
        </w:rPr>
        <w:t>porcie produktów rolnych. Po rosyjskiej inwazji na Ukrainę</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blo</w:t>
      </w:r>
      <w:r w:rsidRPr="00064166">
        <w:rPr>
          <w:rStyle w:val="Hyperlink1"/>
          <w:noProof/>
          <w:color w:val="auto"/>
          <w:sz w:val="22"/>
          <w:szCs w:val="22"/>
        </w:rPr>
        <w:t>kadzie ukraińskich portów ukraińskie zboże</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inn</w:t>
      </w:r>
      <w:r w:rsidRPr="00064166">
        <w:rPr>
          <w:rStyle w:val="Hyperlink1"/>
          <w:noProof/>
          <w:color w:val="auto"/>
          <w:sz w:val="22"/>
          <w:szCs w:val="22"/>
        </w:rPr>
        <w:t>e produkty rolne muszą znaleźć alternatywne szlaki logistyczne, aby dotrzeć do miejsca przeznaczenia</w:t>
      </w:r>
      <w:r w:rsidR="00064166" w:rsidRPr="00064166">
        <w:rPr>
          <w:rStyle w:val="Hyperlink1"/>
          <w:noProof/>
          <w:color w:val="auto"/>
          <w:sz w:val="22"/>
          <w:szCs w:val="22"/>
        </w:rPr>
        <w:t>. W</w:t>
      </w:r>
      <w:r w:rsidR="00064166">
        <w:rPr>
          <w:rStyle w:val="Hyperlink1"/>
          <w:noProof/>
          <w:color w:val="auto"/>
          <w:sz w:val="22"/>
          <w:szCs w:val="22"/>
        </w:rPr>
        <w:t> </w:t>
      </w:r>
      <w:r w:rsidR="00064166" w:rsidRPr="00064166">
        <w:rPr>
          <w:rStyle w:val="Hyperlink1"/>
          <w:noProof/>
          <w:color w:val="auto"/>
          <w:sz w:val="22"/>
          <w:szCs w:val="22"/>
        </w:rPr>
        <w:t>kom</w:t>
      </w:r>
      <w:r w:rsidRPr="00064166">
        <w:rPr>
          <w:rStyle w:val="Hyperlink1"/>
          <w:noProof/>
          <w:color w:val="auto"/>
          <w:sz w:val="22"/>
          <w:szCs w:val="22"/>
        </w:rPr>
        <w:t>unikacie Komisja przedstawia plan działania mający na celu ustanowienie „korytarzy solidarnościowych”, aby zapewnić Ukrainie możliwość wywozu zboża, ale również przywozu potrzebnych jej towarów, począwszy od pomocy humanitarnej po pasze dla zwierząt</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naw</w:t>
      </w:r>
      <w:r w:rsidRPr="00064166">
        <w:rPr>
          <w:rStyle w:val="Hyperlink1"/>
          <w:noProof/>
          <w:color w:val="auto"/>
          <w:sz w:val="22"/>
          <w:szCs w:val="22"/>
        </w:rPr>
        <w:t>ozy. Przyczyni się to do wspierania gospodarki Ukrainy oraz bezpieczeństwa żywnościowego na świecie. Komisja, wraz</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pań</w:t>
      </w:r>
      <w:r w:rsidRPr="00064166">
        <w:rPr>
          <w:rStyle w:val="Hyperlink1"/>
          <w:noProof/>
          <w:color w:val="auto"/>
          <w:sz w:val="22"/>
          <w:szCs w:val="22"/>
        </w:rPr>
        <w:t>stwami członkowskimi</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zai</w:t>
      </w:r>
      <w:r w:rsidRPr="00064166">
        <w:rPr>
          <w:rStyle w:val="Hyperlink1"/>
          <w:noProof/>
          <w:color w:val="auto"/>
          <w:sz w:val="22"/>
          <w:szCs w:val="22"/>
        </w:rPr>
        <w:t>nteresowanymi stronami, określiła szereg działań priorytetowych:</w:t>
      </w:r>
    </w:p>
    <w:p w14:paraId="5C1AFE12" w14:textId="1DD1B3D8" w:rsidR="000A78E0" w:rsidRPr="00064166" w:rsidRDefault="000A78E0" w:rsidP="000A78E0">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w:t>
      </w:r>
      <w:r w:rsidRPr="00064166">
        <w:rPr>
          <w:noProof/>
        </w:rPr>
        <w:tab/>
      </w:r>
      <w:r w:rsidRPr="00064166">
        <w:rPr>
          <w:rStyle w:val="Hyperlink1"/>
          <w:noProof/>
          <w:color w:val="auto"/>
          <w:sz w:val="22"/>
          <w:szCs w:val="22"/>
        </w:rPr>
        <w:t>udostępnienie dodatkowego taboru towarowego, statków</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sam</w:t>
      </w:r>
      <w:r w:rsidRPr="00064166">
        <w:rPr>
          <w:rStyle w:val="Hyperlink1"/>
          <w:noProof/>
          <w:color w:val="auto"/>
          <w:sz w:val="22"/>
          <w:szCs w:val="22"/>
        </w:rPr>
        <w:t xml:space="preserve">ochodów ciężarowych: </w:t>
      </w:r>
    </w:p>
    <w:p w14:paraId="1291D767" w14:textId="3AF2D09E" w:rsidR="000A78E0" w:rsidRPr="00064166" w:rsidRDefault="000A78E0" w:rsidP="000A78E0">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w:t>
      </w:r>
      <w:r w:rsidRPr="00064166">
        <w:rPr>
          <w:noProof/>
        </w:rPr>
        <w:tab/>
      </w:r>
      <w:r w:rsidRPr="00064166">
        <w:rPr>
          <w:rStyle w:val="Hyperlink1"/>
          <w:noProof/>
          <w:color w:val="auto"/>
          <w:sz w:val="22"/>
          <w:szCs w:val="22"/>
        </w:rPr>
        <w:t>zapewnienie wystarczającej przepustowości sieci transportowych</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ter</w:t>
      </w:r>
      <w:r w:rsidRPr="00064166">
        <w:rPr>
          <w:rStyle w:val="Hyperlink1"/>
          <w:noProof/>
          <w:color w:val="auto"/>
          <w:sz w:val="22"/>
          <w:szCs w:val="22"/>
        </w:rPr>
        <w:t>minali przeładunkowych na potrzeby wywozu produktów rolnych</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Ukr</w:t>
      </w:r>
      <w:r w:rsidRPr="00064166">
        <w:rPr>
          <w:rStyle w:val="Hyperlink1"/>
          <w:noProof/>
          <w:color w:val="auto"/>
          <w:sz w:val="22"/>
          <w:szCs w:val="22"/>
        </w:rPr>
        <w:t>ainy;</w:t>
      </w:r>
    </w:p>
    <w:p w14:paraId="00013C40" w14:textId="44B633D1" w:rsidR="000A78E0" w:rsidRPr="00064166" w:rsidRDefault="000A78E0" w:rsidP="000A78E0">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w:t>
      </w:r>
      <w:r w:rsidRPr="00064166">
        <w:rPr>
          <w:noProof/>
        </w:rPr>
        <w:tab/>
      </w:r>
      <w:r w:rsidRPr="00064166">
        <w:rPr>
          <w:rStyle w:val="Hyperlink1"/>
          <w:noProof/>
          <w:color w:val="auto"/>
          <w:sz w:val="22"/>
          <w:szCs w:val="22"/>
        </w:rPr>
        <w:t>promowanie maksymalnej elastyczności</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odp</w:t>
      </w:r>
      <w:r w:rsidRPr="00064166">
        <w:rPr>
          <w:rStyle w:val="Hyperlink1"/>
          <w:noProof/>
          <w:color w:val="auto"/>
          <w:sz w:val="22"/>
          <w:szCs w:val="22"/>
        </w:rPr>
        <w:t>owiedniej ilości personelu na potrzeby operacji celnych</w:t>
      </w:r>
      <w:r w:rsidR="00064166" w:rsidRPr="00064166">
        <w:rPr>
          <w:rStyle w:val="Hyperlink1"/>
          <w:noProof/>
          <w:color w:val="auto"/>
          <w:sz w:val="22"/>
          <w:szCs w:val="22"/>
        </w:rPr>
        <w:t xml:space="preserve"> i</w:t>
      </w:r>
      <w:r w:rsidR="00064166">
        <w:rPr>
          <w:rStyle w:val="Hyperlink1"/>
          <w:noProof/>
          <w:color w:val="auto"/>
          <w:sz w:val="22"/>
          <w:szCs w:val="22"/>
        </w:rPr>
        <w:t> </w:t>
      </w:r>
      <w:r w:rsidR="00064166" w:rsidRPr="00064166">
        <w:rPr>
          <w:rStyle w:val="Hyperlink1"/>
          <w:noProof/>
          <w:color w:val="auto"/>
          <w:sz w:val="22"/>
          <w:szCs w:val="22"/>
        </w:rPr>
        <w:t>inn</w:t>
      </w:r>
      <w:r w:rsidRPr="00064166">
        <w:rPr>
          <w:rStyle w:val="Hyperlink1"/>
          <w:noProof/>
          <w:color w:val="auto"/>
          <w:sz w:val="22"/>
          <w:szCs w:val="22"/>
        </w:rPr>
        <w:t>ych kontroli;</w:t>
      </w:r>
    </w:p>
    <w:p w14:paraId="4A710EB5" w14:textId="44012DD9" w:rsidR="000A78E0" w:rsidRPr="00064166" w:rsidRDefault="000A78E0" w:rsidP="000A78E0">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w:t>
      </w:r>
      <w:r w:rsidRPr="00064166">
        <w:rPr>
          <w:noProof/>
        </w:rPr>
        <w:tab/>
      </w:r>
      <w:r w:rsidRPr="00064166">
        <w:rPr>
          <w:rStyle w:val="Hyperlink1"/>
          <w:noProof/>
          <w:color w:val="auto"/>
          <w:sz w:val="22"/>
          <w:szCs w:val="22"/>
        </w:rPr>
        <w:t xml:space="preserve">określenie możliwości składowania ukraińskich towarów rolnych na terytorium UE; </w:t>
      </w:r>
    </w:p>
    <w:p w14:paraId="353F2DF3" w14:textId="33FF3932" w:rsidR="000A78E0" w:rsidRPr="00064166" w:rsidRDefault="000A78E0" w:rsidP="000A78E0">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w:t>
      </w:r>
      <w:r w:rsidRPr="00064166">
        <w:rPr>
          <w:noProof/>
        </w:rPr>
        <w:tab/>
      </w:r>
      <w:r w:rsidRPr="00064166">
        <w:rPr>
          <w:rStyle w:val="Hyperlink1"/>
          <w:noProof/>
          <w:color w:val="auto"/>
          <w:sz w:val="22"/>
          <w:szCs w:val="22"/>
        </w:rPr>
        <w:t>poprawa jakości sieci połączeń między UE</w:t>
      </w:r>
      <w:r w:rsidR="00064166" w:rsidRPr="00064166">
        <w:rPr>
          <w:rStyle w:val="Hyperlink1"/>
          <w:noProof/>
          <w:color w:val="auto"/>
          <w:sz w:val="22"/>
          <w:szCs w:val="22"/>
        </w:rPr>
        <w:t xml:space="preserve"> a</w:t>
      </w:r>
      <w:r w:rsidR="00064166">
        <w:rPr>
          <w:rStyle w:val="Hyperlink1"/>
          <w:noProof/>
          <w:color w:val="auto"/>
          <w:sz w:val="22"/>
          <w:szCs w:val="22"/>
        </w:rPr>
        <w:t> </w:t>
      </w:r>
      <w:r w:rsidR="00064166" w:rsidRPr="00064166">
        <w:rPr>
          <w:rStyle w:val="Hyperlink1"/>
          <w:noProof/>
          <w:color w:val="auto"/>
          <w:sz w:val="22"/>
          <w:szCs w:val="22"/>
        </w:rPr>
        <w:t>Ukr</w:t>
      </w:r>
      <w:r w:rsidRPr="00064166">
        <w:rPr>
          <w:rStyle w:val="Hyperlink1"/>
          <w:noProof/>
          <w:color w:val="auto"/>
          <w:sz w:val="22"/>
          <w:szCs w:val="22"/>
        </w:rPr>
        <w:t>ainą</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per</w:t>
      </w:r>
      <w:r w:rsidRPr="00064166">
        <w:rPr>
          <w:rStyle w:val="Hyperlink1"/>
          <w:noProof/>
          <w:color w:val="auto"/>
          <w:sz w:val="22"/>
          <w:szCs w:val="22"/>
        </w:rPr>
        <w:t>spektywie średnioterminowej poprzez zwiększenie przepustowości infrastruktury nowych korytarzy eksportowych oraz ustanowienie nowych połączeń infrastrukturalnych</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ram</w:t>
      </w:r>
      <w:r w:rsidRPr="00064166">
        <w:rPr>
          <w:rStyle w:val="Hyperlink1"/>
          <w:noProof/>
          <w:color w:val="auto"/>
          <w:sz w:val="22"/>
          <w:szCs w:val="22"/>
        </w:rPr>
        <w:t>ach odbudowy Ukrainy.</w:t>
      </w:r>
    </w:p>
    <w:p w14:paraId="59BB9FF1" w14:textId="46F235F3" w:rsidR="000256B4" w:rsidRPr="00064166" w:rsidRDefault="000A78E0" w:rsidP="000256B4">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Style w:val="Hyperlink1"/>
          <w:noProof/>
          <w:color w:val="auto"/>
          <w:sz w:val="22"/>
          <w:szCs w:val="22"/>
        </w:rPr>
      </w:pPr>
      <w:r w:rsidRPr="00064166">
        <w:rPr>
          <w:rStyle w:val="Hyperlink1"/>
          <w:noProof/>
          <w:color w:val="auto"/>
          <w:sz w:val="22"/>
          <w:szCs w:val="22"/>
        </w:rPr>
        <w:t xml:space="preserve"> (-) W dniu 12 maja Komisja zatwierdziła porozumienie na wysokim szczeblu</w:t>
      </w:r>
      <w:r w:rsidR="00064166" w:rsidRPr="00064166">
        <w:rPr>
          <w:rStyle w:val="Hyperlink1"/>
          <w:noProof/>
          <w:color w:val="auto"/>
          <w:sz w:val="22"/>
          <w:szCs w:val="22"/>
        </w:rPr>
        <w:t xml:space="preserve"> z</w:t>
      </w:r>
      <w:r w:rsidR="00064166">
        <w:rPr>
          <w:rStyle w:val="Hyperlink1"/>
          <w:noProof/>
          <w:color w:val="auto"/>
          <w:sz w:val="22"/>
          <w:szCs w:val="22"/>
        </w:rPr>
        <w:t> </w:t>
      </w:r>
      <w:r w:rsidR="00064166" w:rsidRPr="00064166">
        <w:rPr>
          <w:rStyle w:val="Hyperlink1"/>
          <w:noProof/>
          <w:color w:val="auto"/>
          <w:sz w:val="22"/>
          <w:szCs w:val="22"/>
        </w:rPr>
        <w:t>Ukr</w:t>
      </w:r>
      <w:r w:rsidRPr="00064166">
        <w:rPr>
          <w:rStyle w:val="Hyperlink1"/>
          <w:noProof/>
          <w:color w:val="auto"/>
          <w:sz w:val="22"/>
          <w:szCs w:val="22"/>
        </w:rPr>
        <w:t>ainą</w:t>
      </w:r>
      <w:r w:rsidRPr="00064166">
        <w:rPr>
          <w:rStyle w:val="FootnoteReference"/>
          <w:noProof/>
          <w:color w:val="auto"/>
          <w:sz w:val="22"/>
          <w:szCs w:val="22"/>
        </w:rPr>
        <w:footnoteReference w:id="45"/>
      </w:r>
      <w:r w:rsidRPr="00064166">
        <w:rPr>
          <w:rStyle w:val="Hyperlink1"/>
          <w:noProof/>
          <w:color w:val="auto"/>
          <w:sz w:val="22"/>
          <w:szCs w:val="22"/>
        </w:rPr>
        <w:t>, uzgadniając nowe, orientacyjne mapy transeuropejskiej sieci transportowej (TEN-T) dla Ukrainy,</w:t>
      </w:r>
      <w:r w:rsidR="00064166" w:rsidRPr="00064166">
        <w:rPr>
          <w:rStyle w:val="Hyperlink1"/>
          <w:noProof/>
          <w:color w:val="auto"/>
          <w:sz w:val="22"/>
          <w:szCs w:val="22"/>
        </w:rPr>
        <w:t xml:space="preserve"> w</w:t>
      </w:r>
      <w:r w:rsidR="00064166">
        <w:rPr>
          <w:rStyle w:val="Hyperlink1"/>
          <w:noProof/>
          <w:color w:val="auto"/>
          <w:sz w:val="22"/>
          <w:szCs w:val="22"/>
        </w:rPr>
        <w:t> </w:t>
      </w:r>
      <w:r w:rsidR="00064166" w:rsidRPr="00064166">
        <w:rPr>
          <w:rStyle w:val="Hyperlink1"/>
          <w:noProof/>
          <w:color w:val="auto"/>
          <w:sz w:val="22"/>
          <w:szCs w:val="22"/>
        </w:rPr>
        <w:t>ram</w:t>
      </w:r>
      <w:r w:rsidRPr="00064166">
        <w:rPr>
          <w:rStyle w:val="Hyperlink1"/>
          <w:noProof/>
          <w:color w:val="auto"/>
          <w:sz w:val="22"/>
          <w:szCs w:val="22"/>
        </w:rPr>
        <w:t>ach polityki Komisji dotyczącej rozszerzenia TEN-T na państwa sąsiadujące.</w:t>
      </w:r>
    </w:p>
    <w:p w14:paraId="150C3E46" w14:textId="77777777" w:rsidR="00FC6378" w:rsidRPr="00064166" w:rsidRDefault="00830BD0" w:rsidP="00FC6378">
      <w:pPr>
        <w:pStyle w:val="Heading1"/>
        <w:spacing w:before="360" w:after="240" w:line="276" w:lineRule="auto"/>
        <w:ind w:left="431" w:hanging="431"/>
        <w:rPr>
          <w:rFonts w:ascii="Times New Roman" w:hAnsi="Times New Roman"/>
          <w:noProof/>
          <w:sz w:val="22"/>
          <w:szCs w:val="22"/>
        </w:rPr>
      </w:pPr>
      <w:r w:rsidRPr="00064166">
        <w:rPr>
          <w:rFonts w:ascii="Times New Roman" w:hAnsi="Times New Roman"/>
          <w:noProof/>
          <w:sz w:val="22"/>
          <w:szCs w:val="22"/>
        </w:rPr>
        <w:t>Gotowość na wypadek sytuacji kryzysowej</w:t>
      </w:r>
    </w:p>
    <w:p w14:paraId="11BDC991" w14:textId="2807339E" w:rsidR="00CE7142" w:rsidRPr="00064166" w:rsidRDefault="00B15BAD" w:rsidP="00FC6378">
      <w:pPr>
        <w:pStyle w:val="LegalNumPar"/>
        <w:spacing w:line="276" w:lineRule="auto"/>
        <w:rPr>
          <w:rFonts w:cs="Times New Roman"/>
          <w:noProof/>
          <w:color w:val="auto"/>
          <w:sz w:val="22"/>
          <w:szCs w:val="22"/>
        </w:rPr>
      </w:pPr>
      <w:r w:rsidRPr="00064166">
        <w:rPr>
          <w:b/>
          <w:bCs/>
          <w:noProof/>
          <w:color w:val="auto"/>
          <w:sz w:val="22"/>
          <w:szCs w:val="22"/>
        </w:rPr>
        <w:t>Wojna Rosji</w:t>
      </w:r>
      <w:r w:rsidR="00064166" w:rsidRPr="00064166">
        <w:rPr>
          <w:b/>
          <w:bCs/>
          <w:noProof/>
          <w:color w:val="auto"/>
          <w:sz w:val="22"/>
          <w:szCs w:val="22"/>
        </w:rPr>
        <w:t xml:space="preserve"> z</w:t>
      </w:r>
      <w:r w:rsidR="00064166">
        <w:rPr>
          <w:b/>
          <w:bCs/>
          <w:noProof/>
          <w:color w:val="auto"/>
          <w:sz w:val="22"/>
          <w:szCs w:val="22"/>
        </w:rPr>
        <w:t> </w:t>
      </w:r>
      <w:r w:rsidR="00064166" w:rsidRPr="00064166">
        <w:rPr>
          <w:b/>
          <w:bCs/>
          <w:noProof/>
          <w:color w:val="auto"/>
          <w:sz w:val="22"/>
          <w:szCs w:val="22"/>
        </w:rPr>
        <w:t>Ukr</w:t>
      </w:r>
      <w:r w:rsidRPr="00064166">
        <w:rPr>
          <w:b/>
          <w:bCs/>
          <w:noProof/>
          <w:color w:val="auto"/>
          <w:sz w:val="22"/>
          <w:szCs w:val="22"/>
        </w:rPr>
        <w:t>ainą pokazała, jak ważne jest odpowiednie przygotowanie.</w:t>
      </w:r>
      <w:r w:rsidR="0052698C" w:rsidRPr="00064166">
        <w:rPr>
          <w:b/>
          <w:bCs/>
          <w:noProof/>
          <w:color w:val="auto"/>
          <w:sz w:val="22"/>
          <w:szCs w:val="22"/>
        </w:rPr>
        <w:t xml:space="preserve"> </w:t>
      </w:r>
      <w:r w:rsidRPr="00064166">
        <w:rPr>
          <w:bCs/>
          <w:noProof/>
          <w:color w:val="auto"/>
          <w:sz w:val="22"/>
          <w:szCs w:val="22"/>
        </w:rPr>
        <w:t>Dzięki istniejącym możliwościom UE była</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sta</w:t>
      </w:r>
      <w:r w:rsidRPr="00064166">
        <w:rPr>
          <w:bCs/>
          <w:noProof/>
          <w:color w:val="auto"/>
          <w:sz w:val="22"/>
          <w:szCs w:val="22"/>
        </w:rPr>
        <w:t>nie szybko uruchomić skuteczną pomoc dla Ukrainy</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uch</w:t>
      </w:r>
      <w:r w:rsidRPr="00064166">
        <w:rPr>
          <w:bCs/>
          <w:noProof/>
          <w:color w:val="auto"/>
          <w:sz w:val="22"/>
          <w:szCs w:val="22"/>
        </w:rPr>
        <w:t>odźców uciekających</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teg</w:t>
      </w:r>
      <w:r w:rsidRPr="00064166">
        <w:rPr>
          <w:bCs/>
          <w:noProof/>
          <w:color w:val="auto"/>
          <w:sz w:val="22"/>
          <w:szCs w:val="22"/>
        </w:rPr>
        <w:t>o kraju.</w:t>
      </w:r>
      <w:r w:rsidR="0052698C" w:rsidRPr="00064166">
        <w:rPr>
          <w:bCs/>
          <w:noProof/>
          <w:color w:val="auto"/>
          <w:sz w:val="22"/>
          <w:szCs w:val="22"/>
        </w:rPr>
        <w:t xml:space="preserve"> </w:t>
      </w:r>
      <w:r w:rsidRPr="00064166">
        <w:rPr>
          <w:bCs/>
          <w:noProof/>
          <w:color w:val="auto"/>
          <w:sz w:val="22"/>
          <w:szCs w:val="22"/>
        </w:rPr>
        <w:t>Nie znamy jeszcze pełnych skutków wojny ani kolejnego kryzysu, który może wpłynąć na transport.</w:t>
      </w:r>
      <w:r w:rsidR="0052698C" w:rsidRPr="00064166">
        <w:rPr>
          <w:bCs/>
          <w:noProof/>
          <w:color w:val="auto"/>
          <w:sz w:val="22"/>
          <w:szCs w:val="22"/>
        </w:rPr>
        <w:t xml:space="preserve"> </w:t>
      </w:r>
      <w:r w:rsidRPr="00064166">
        <w:rPr>
          <w:noProof/>
          <w:color w:val="auto"/>
          <w:sz w:val="22"/>
          <w:szCs w:val="22"/>
        </w:rPr>
        <w:t>Skuteczny mechanizm reagowania nie powinien być ukierunkowany tylko na jeden rodzaj transportu, ponieważ zakłócenia systemowe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jed</w:t>
      </w:r>
      <w:r w:rsidRPr="00064166">
        <w:rPr>
          <w:noProof/>
          <w:color w:val="auto"/>
          <w:sz w:val="22"/>
          <w:szCs w:val="22"/>
        </w:rPr>
        <w:t xml:space="preserve">nym rodzaju transportu mogą mieć wpływ na całą sieć. </w:t>
      </w:r>
    </w:p>
    <w:p w14:paraId="38EA73C0" w14:textId="690EFA77" w:rsidR="00FC6378" w:rsidRPr="00064166" w:rsidRDefault="00FC6378" w:rsidP="00FC6378">
      <w:pPr>
        <w:pStyle w:val="LegalNumPar"/>
        <w:spacing w:line="276" w:lineRule="auto"/>
        <w:rPr>
          <w:rFonts w:eastAsia="Times New Roman" w:cs="Times New Roman"/>
          <w:b/>
          <w:noProof/>
          <w:color w:val="auto"/>
          <w:sz w:val="22"/>
          <w:szCs w:val="22"/>
        </w:rPr>
      </w:pPr>
      <w:r w:rsidRPr="00064166">
        <w:rPr>
          <w:b/>
          <w:noProof/>
          <w:color w:val="auto"/>
          <w:sz w:val="22"/>
          <w:szCs w:val="22"/>
        </w:rPr>
        <w:t>W sprawozdaniu UE dotyczącym prognozy strategicznej</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2</w:t>
      </w:r>
      <w:r w:rsidRPr="00064166">
        <w:rPr>
          <w:b/>
          <w:noProof/>
          <w:color w:val="auto"/>
          <w:sz w:val="22"/>
          <w:szCs w:val="22"/>
        </w:rPr>
        <w:t>021</w:t>
      </w:r>
      <w:r w:rsidR="00064166" w:rsidRPr="00064166">
        <w:rPr>
          <w:b/>
          <w:noProof/>
          <w:color w:val="auto"/>
          <w:sz w:val="22"/>
          <w:szCs w:val="22"/>
        </w:rPr>
        <w:t> </w:t>
      </w:r>
      <w:r w:rsidRPr="00064166">
        <w:rPr>
          <w:b/>
          <w:noProof/>
          <w:color w:val="auto"/>
          <w:sz w:val="22"/>
          <w:szCs w:val="22"/>
        </w:rPr>
        <w:t>r.</w:t>
      </w:r>
      <w:r w:rsidRPr="00064166">
        <w:rPr>
          <w:rFonts w:eastAsia="Times New Roman" w:cs="Times New Roman"/>
          <w:b/>
          <w:noProof/>
          <w:color w:val="auto"/>
          <w:sz w:val="22"/>
          <w:szCs w:val="22"/>
          <w:vertAlign w:val="superscript"/>
        </w:rPr>
        <w:footnoteReference w:id="46"/>
      </w:r>
      <w:r w:rsidRPr="00064166">
        <w:rPr>
          <w:b/>
          <w:noProof/>
          <w:color w:val="auto"/>
          <w:sz w:val="22"/>
          <w:szCs w:val="22"/>
        </w:rPr>
        <w:t xml:space="preserve"> podkreślono czynniki, które mogą mieć wpływ na transport w UE,</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tym</w:t>
      </w:r>
      <w:r w:rsidRPr="00064166">
        <w:rPr>
          <w:b/>
          <w:noProof/>
          <w:color w:val="auto"/>
          <w:sz w:val="22"/>
          <w:szCs w:val="22"/>
        </w:rPr>
        <w:t xml:space="preserve"> zmianę klimatu</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inn</w:t>
      </w:r>
      <w:r w:rsidRPr="00064166">
        <w:rPr>
          <w:b/>
          <w:noProof/>
          <w:color w:val="auto"/>
          <w:sz w:val="22"/>
          <w:szCs w:val="22"/>
        </w:rPr>
        <w:t>e wyzwania środowiskowe, zagrożenia bezpieczeństwa</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ter</w:t>
      </w:r>
      <w:r w:rsidRPr="00064166">
        <w:rPr>
          <w:b/>
          <w:noProof/>
          <w:color w:val="auto"/>
          <w:sz w:val="22"/>
          <w:szCs w:val="22"/>
        </w:rPr>
        <w:t>roryzm, hiperłączność</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tra</w:t>
      </w:r>
      <w:r w:rsidRPr="00064166">
        <w:rPr>
          <w:b/>
          <w:noProof/>
          <w:color w:val="auto"/>
          <w:sz w:val="22"/>
          <w:szCs w:val="22"/>
        </w:rPr>
        <w:t>nsformację technologiczną</w:t>
      </w:r>
      <w:r w:rsidR="00064166" w:rsidRPr="00064166">
        <w:rPr>
          <w:b/>
          <w:noProof/>
          <w:color w:val="auto"/>
          <w:sz w:val="22"/>
          <w:szCs w:val="22"/>
        </w:rPr>
        <w:t>.</w:t>
      </w:r>
      <w:r w:rsidR="00064166" w:rsidRPr="00064166">
        <w:rPr>
          <w:noProof/>
          <w:color w:val="auto"/>
          <w:sz w:val="22"/>
          <w:szCs w:val="22"/>
        </w:rPr>
        <w:t xml:space="preserve"> W</w:t>
      </w:r>
      <w:r w:rsidR="00064166">
        <w:rPr>
          <w:b/>
          <w:noProof/>
          <w:color w:val="auto"/>
          <w:sz w:val="22"/>
          <w:szCs w:val="22"/>
        </w:rPr>
        <w:t> </w:t>
      </w:r>
      <w:r w:rsidR="00064166" w:rsidRPr="00064166">
        <w:rPr>
          <w:noProof/>
          <w:color w:val="auto"/>
          <w:sz w:val="22"/>
          <w:szCs w:val="22"/>
        </w:rPr>
        <w:t>prz</w:t>
      </w:r>
      <w:r w:rsidRPr="00064166">
        <w:rPr>
          <w:noProof/>
          <w:color w:val="auto"/>
          <w:sz w:val="22"/>
          <w:szCs w:val="22"/>
        </w:rPr>
        <w:t>eszłości kilka ataków lub prób ataków terrorystycznych było wymierzonych</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tra</w:t>
      </w:r>
      <w:r w:rsidRPr="00064166">
        <w:rPr>
          <w:noProof/>
          <w:color w:val="auto"/>
          <w:sz w:val="22"/>
          <w:szCs w:val="22"/>
        </w:rPr>
        <w:t>nsport w UE, ponieważ transport jest skutecznym celem ze względu na dużą liczbę osób, które codziennie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nie</w:t>
      </w:r>
      <w:r w:rsidRPr="00064166">
        <w:rPr>
          <w:noProof/>
          <w:color w:val="auto"/>
          <w:sz w:val="22"/>
          <w:szCs w:val="22"/>
        </w:rPr>
        <w:t>go korzystają</w:t>
      </w:r>
      <w:r w:rsidRPr="00064166">
        <w:rPr>
          <w:rStyle w:val="FootnoteReference"/>
          <w:rFonts w:cs="Times New Roman"/>
          <w:noProof/>
          <w:color w:val="auto"/>
          <w:sz w:val="22"/>
          <w:szCs w:val="22"/>
        </w:rPr>
        <w:footnoteReference w:id="47"/>
      </w:r>
      <w:r w:rsidRPr="00064166">
        <w:rPr>
          <w:noProof/>
          <w:color w:val="auto"/>
          <w:sz w:val="22"/>
          <w:szCs w:val="22"/>
        </w:rPr>
        <w:t>. Podczas pandemii COVID-19 celem ataku była infrastruktura telekomunikacyjna,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tym</w:t>
      </w:r>
      <w:r w:rsidRPr="00064166">
        <w:rPr>
          <w:noProof/>
          <w:color w:val="auto"/>
          <w:sz w:val="22"/>
          <w:szCs w:val="22"/>
        </w:rPr>
        <w:t xml:space="preserve"> infrastruktura 3G/4G/5G (np. wzmacniacze (ang. repeater), wzmacniacze sieci Wi-Fi (ang. repeater bridge)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mas</w:t>
      </w:r>
      <w:r w:rsidRPr="00064166">
        <w:rPr>
          <w:noProof/>
          <w:color w:val="auto"/>
          <w:sz w:val="22"/>
          <w:szCs w:val="22"/>
        </w:rPr>
        <w:t>zty telefonii komórkowej) oraz inne elementy sieci (np. przekaźniki</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kab</w:t>
      </w:r>
      <w:r w:rsidRPr="00064166">
        <w:rPr>
          <w:noProof/>
          <w:color w:val="auto"/>
          <w:sz w:val="22"/>
          <w:szCs w:val="22"/>
        </w:rPr>
        <w:t>le)</w:t>
      </w:r>
      <w:r w:rsidR="00064166" w:rsidRPr="00064166">
        <w:rPr>
          <w:noProof/>
          <w:color w:val="auto"/>
          <w:sz w:val="22"/>
          <w:szCs w:val="22"/>
        </w:rPr>
        <w:t>. W</w:t>
      </w:r>
      <w:r w:rsidR="00064166">
        <w:rPr>
          <w:noProof/>
          <w:color w:val="auto"/>
          <w:sz w:val="22"/>
          <w:szCs w:val="22"/>
        </w:rPr>
        <w:t> </w:t>
      </w:r>
      <w:r w:rsidR="00064166" w:rsidRPr="00064166">
        <w:rPr>
          <w:noProof/>
          <w:color w:val="auto"/>
          <w:sz w:val="22"/>
          <w:szCs w:val="22"/>
        </w:rPr>
        <w:t>lip</w:t>
      </w:r>
      <w:r w:rsidRPr="00064166">
        <w:rPr>
          <w:noProof/>
          <w:color w:val="auto"/>
          <w:sz w:val="22"/>
          <w:szCs w:val="22"/>
        </w:rPr>
        <w:t>cu 2021</w:t>
      </w:r>
      <w:r w:rsidR="00064166" w:rsidRPr="00064166">
        <w:rPr>
          <w:noProof/>
          <w:color w:val="auto"/>
          <w:sz w:val="22"/>
          <w:szCs w:val="22"/>
        </w:rPr>
        <w:t> </w:t>
      </w:r>
      <w:r w:rsidRPr="00064166">
        <w:rPr>
          <w:noProof/>
          <w:color w:val="auto"/>
          <w:sz w:val="22"/>
          <w:szCs w:val="22"/>
        </w:rPr>
        <w:t>r. powodzie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Bel</w:t>
      </w:r>
      <w:r w:rsidRPr="00064166">
        <w:rPr>
          <w:noProof/>
          <w:color w:val="auto"/>
          <w:sz w:val="22"/>
          <w:szCs w:val="22"/>
        </w:rPr>
        <w:t>gii</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Nie</w:t>
      </w:r>
      <w:r w:rsidRPr="00064166">
        <w:rPr>
          <w:noProof/>
          <w:color w:val="auto"/>
          <w:sz w:val="22"/>
          <w:szCs w:val="22"/>
        </w:rPr>
        <w:t>mczech spowodowały wiele ofiar śmiertelnych oraz poważne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dłu</w:t>
      </w:r>
      <w:r w:rsidRPr="00064166">
        <w:rPr>
          <w:noProof/>
          <w:color w:val="auto"/>
          <w:sz w:val="22"/>
          <w:szCs w:val="22"/>
        </w:rPr>
        <w:t>gotrwałe zakłócenia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tra</w:t>
      </w:r>
      <w:r w:rsidRPr="00064166">
        <w:rPr>
          <w:noProof/>
          <w:color w:val="auto"/>
          <w:sz w:val="22"/>
          <w:szCs w:val="22"/>
        </w:rPr>
        <w:t xml:space="preserve">nsporcie. </w:t>
      </w:r>
    </w:p>
    <w:p w14:paraId="15676FCF" w14:textId="617376F9" w:rsidR="00FC6378" w:rsidRPr="00064166" w:rsidRDefault="00FC6378" w:rsidP="00FC6378">
      <w:pPr>
        <w:spacing w:line="276" w:lineRule="auto"/>
        <w:rPr>
          <w:noProof/>
          <w:sz w:val="22"/>
          <w:szCs w:val="22"/>
        </w:rPr>
      </w:pPr>
      <w:r w:rsidRPr="00064166">
        <w:rPr>
          <w:b/>
          <w:bCs/>
          <w:noProof/>
          <w:sz w:val="22"/>
          <w:szCs w:val="22"/>
        </w:rPr>
        <w:t>Szczególną uwagę należy poświęcić cyberbezpieczeństwu</w:t>
      </w:r>
      <w:r w:rsidR="00064166" w:rsidRPr="00064166">
        <w:rPr>
          <w:b/>
          <w:bCs/>
          <w:noProof/>
          <w:sz w:val="22"/>
          <w:szCs w:val="22"/>
        </w:rPr>
        <w:t>.</w:t>
      </w:r>
      <w:r w:rsidR="00064166" w:rsidRPr="00064166">
        <w:rPr>
          <w:noProof/>
          <w:sz w:val="22"/>
          <w:szCs w:val="22"/>
        </w:rPr>
        <w:t xml:space="preserve"> W</w:t>
      </w:r>
      <w:r w:rsidR="00064166">
        <w:rPr>
          <w:b/>
          <w:bCs/>
          <w:noProof/>
          <w:sz w:val="22"/>
          <w:szCs w:val="22"/>
        </w:rPr>
        <w:t> </w:t>
      </w:r>
      <w:r w:rsidR="00064166" w:rsidRPr="00064166">
        <w:rPr>
          <w:noProof/>
          <w:sz w:val="22"/>
          <w:szCs w:val="22"/>
        </w:rPr>
        <w:t>kom</w:t>
      </w:r>
      <w:r w:rsidRPr="00064166">
        <w:rPr>
          <w:noProof/>
          <w:sz w:val="22"/>
          <w:szCs w:val="22"/>
        </w:rPr>
        <w:t>pleksowej strategii na rzecz zrównoważonej</w:t>
      </w:r>
      <w:r w:rsidR="00064166" w:rsidRPr="00064166">
        <w:rPr>
          <w:noProof/>
          <w:sz w:val="22"/>
          <w:szCs w:val="22"/>
        </w:rPr>
        <w:t xml:space="preserve"> i</w:t>
      </w:r>
      <w:r w:rsidR="00064166">
        <w:rPr>
          <w:noProof/>
          <w:sz w:val="22"/>
          <w:szCs w:val="22"/>
        </w:rPr>
        <w:t> </w:t>
      </w:r>
      <w:r w:rsidR="00064166" w:rsidRPr="00064166">
        <w:rPr>
          <w:noProof/>
          <w:sz w:val="22"/>
          <w:szCs w:val="22"/>
        </w:rPr>
        <w:t>int</w:t>
      </w:r>
      <w:r w:rsidRPr="00064166">
        <w:rPr>
          <w:noProof/>
          <w:sz w:val="22"/>
          <w:szCs w:val="22"/>
        </w:rPr>
        <w:t>eligentnej mobilności uznano potrzebę priorytetowego traktowania cyberbezpieczeństwa</w:t>
      </w:r>
      <w:r w:rsidR="00064166" w:rsidRPr="00064166">
        <w:rPr>
          <w:noProof/>
          <w:sz w:val="22"/>
          <w:szCs w:val="22"/>
        </w:rPr>
        <w:t xml:space="preserve"> w</w:t>
      </w:r>
      <w:r w:rsidR="00064166">
        <w:rPr>
          <w:noProof/>
          <w:sz w:val="22"/>
          <w:szCs w:val="22"/>
        </w:rPr>
        <w:t> </w:t>
      </w:r>
      <w:r w:rsidR="00064166" w:rsidRPr="00064166">
        <w:rPr>
          <w:noProof/>
          <w:sz w:val="22"/>
          <w:szCs w:val="22"/>
        </w:rPr>
        <w:t>tra</w:t>
      </w:r>
      <w:r w:rsidRPr="00064166">
        <w:rPr>
          <w:noProof/>
          <w:sz w:val="22"/>
          <w:szCs w:val="22"/>
        </w:rPr>
        <w:t>nsporcie</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przeciwdziałania zagrożeniom cyberbezpieczeństwa. Według Agencji Unii Europejskiej ds. Cyberbezpieczeństwa (ENISA)</w:t>
      </w:r>
      <w:r w:rsidRPr="00064166">
        <w:rPr>
          <w:rStyle w:val="FootnoteReference"/>
          <w:noProof/>
          <w:sz w:val="22"/>
          <w:szCs w:val="22"/>
        </w:rPr>
        <w:footnoteReference w:id="48"/>
      </w:r>
      <w:r w:rsidRPr="00064166">
        <w:rPr>
          <w:noProof/>
          <w:sz w:val="22"/>
          <w:szCs w:val="22"/>
        </w:rPr>
        <w:t xml:space="preserve"> cyberprzestępcy biorą na celownik bardziej krytyczną infrastrukturę opieki zdrowotnej, transportu</w:t>
      </w:r>
      <w:r w:rsidRPr="00064166">
        <w:rPr>
          <w:rStyle w:val="FootnoteReference"/>
          <w:noProof/>
          <w:sz w:val="22"/>
          <w:szCs w:val="22"/>
        </w:rPr>
        <w:footnoteReference w:id="49"/>
      </w:r>
      <w:r w:rsidR="00064166" w:rsidRPr="00064166">
        <w:rPr>
          <w:noProof/>
          <w:sz w:val="22"/>
          <w:szCs w:val="22"/>
        </w:rPr>
        <w:t xml:space="preserve"> i</w:t>
      </w:r>
      <w:r w:rsidR="00064166">
        <w:rPr>
          <w:noProof/>
          <w:sz w:val="22"/>
          <w:szCs w:val="22"/>
        </w:rPr>
        <w:t> </w:t>
      </w:r>
      <w:r w:rsidR="00064166" w:rsidRPr="00064166">
        <w:rPr>
          <w:noProof/>
          <w:sz w:val="22"/>
          <w:szCs w:val="22"/>
        </w:rPr>
        <w:t>ene</w:t>
      </w:r>
      <w:r w:rsidRPr="00064166">
        <w:rPr>
          <w:noProof/>
          <w:sz w:val="22"/>
          <w:szCs w:val="22"/>
        </w:rPr>
        <w:t>rgetyki. Agresja Rosji na Ukrainę zwiększyła obawy związane</w:t>
      </w:r>
      <w:r w:rsidR="00064166" w:rsidRPr="00064166">
        <w:rPr>
          <w:noProof/>
          <w:sz w:val="22"/>
          <w:szCs w:val="22"/>
        </w:rPr>
        <w:t xml:space="preserve"> z</w:t>
      </w:r>
      <w:r w:rsidR="00064166">
        <w:rPr>
          <w:noProof/>
          <w:sz w:val="22"/>
          <w:szCs w:val="22"/>
        </w:rPr>
        <w:t> </w:t>
      </w:r>
      <w:r w:rsidR="00064166" w:rsidRPr="00064166">
        <w:rPr>
          <w:noProof/>
          <w:sz w:val="22"/>
          <w:szCs w:val="22"/>
        </w:rPr>
        <w:t>zag</w:t>
      </w:r>
      <w:r w:rsidRPr="00064166">
        <w:rPr>
          <w:noProof/>
          <w:sz w:val="22"/>
          <w:szCs w:val="22"/>
        </w:rPr>
        <w:t xml:space="preserve">rożeniami cyberbezpieczeństwa, także wobec celów w UE. </w:t>
      </w:r>
    </w:p>
    <w:p w14:paraId="3C39109F" w14:textId="332608C7" w:rsidR="00FC6378" w:rsidRPr="00064166" w:rsidRDefault="00FC6378" w:rsidP="00CF052E">
      <w:pPr>
        <w:pStyle w:val="Heading2"/>
        <w:numPr>
          <w:ilvl w:val="0"/>
          <w:numId w:val="0"/>
        </w:numPr>
        <w:ind w:left="576" w:hanging="576"/>
        <w:rPr>
          <w:bCs/>
          <w:noProof/>
        </w:rPr>
      </w:pPr>
      <w:r w:rsidRPr="00064166">
        <w:rPr>
          <w:noProof/>
        </w:rPr>
        <w:t>3.1 Zasady postępowania</w:t>
      </w:r>
      <w:r w:rsidR="00064166" w:rsidRPr="00064166">
        <w:rPr>
          <w:noProof/>
        </w:rPr>
        <w:t xml:space="preserve"> w</w:t>
      </w:r>
      <w:r w:rsidR="00064166">
        <w:rPr>
          <w:noProof/>
        </w:rPr>
        <w:t> </w:t>
      </w:r>
      <w:r w:rsidR="00064166" w:rsidRPr="00064166">
        <w:rPr>
          <w:noProof/>
        </w:rPr>
        <w:t>syt</w:t>
      </w:r>
      <w:r w:rsidRPr="00064166">
        <w:rPr>
          <w:noProof/>
        </w:rPr>
        <w:t>uacjach awaryjnych</w:t>
      </w:r>
      <w:r w:rsidR="00064166" w:rsidRPr="00064166">
        <w:rPr>
          <w:noProof/>
        </w:rPr>
        <w:t xml:space="preserve"> w</w:t>
      </w:r>
      <w:r w:rsidR="00064166">
        <w:rPr>
          <w:noProof/>
        </w:rPr>
        <w:t> </w:t>
      </w:r>
      <w:r w:rsidR="00064166" w:rsidRPr="00064166">
        <w:rPr>
          <w:noProof/>
        </w:rPr>
        <w:t>tra</w:t>
      </w:r>
      <w:r w:rsidRPr="00064166">
        <w:rPr>
          <w:noProof/>
        </w:rPr>
        <w:t xml:space="preserve">nsporcie </w:t>
      </w:r>
    </w:p>
    <w:p w14:paraId="743F74FB" w14:textId="2BE67BAF" w:rsidR="00FC6378" w:rsidRPr="00064166" w:rsidRDefault="00262D61" w:rsidP="00FC6378">
      <w:pPr>
        <w:pStyle w:val="LegalNumPar"/>
        <w:spacing w:before="120" w:line="276" w:lineRule="auto"/>
        <w:rPr>
          <w:rFonts w:cs="Times New Roman"/>
          <w:noProof/>
          <w:color w:val="auto"/>
          <w:sz w:val="22"/>
          <w:szCs w:val="22"/>
        </w:rPr>
      </w:pPr>
      <w:r w:rsidRPr="00064166">
        <w:rPr>
          <w:bCs/>
          <w:noProof/>
          <w:color w:val="auto"/>
          <w:sz w:val="22"/>
          <w:szCs w:val="22"/>
        </w:rPr>
        <w:t>W celu przygotowania się</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rea</w:t>
      </w:r>
      <w:r w:rsidRPr="00064166">
        <w:rPr>
          <w:bCs/>
          <w:noProof/>
          <w:color w:val="auto"/>
          <w:sz w:val="22"/>
          <w:szCs w:val="22"/>
        </w:rPr>
        <w:t>gowania na poważne zdarzenia, oprócz innych odpowiednich zasad unijnych, należy zawsze przestrzegać opisanych poniżej zasad postępowania</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syt</w:t>
      </w:r>
      <w:r w:rsidRPr="00064166">
        <w:rPr>
          <w:bCs/>
          <w:noProof/>
          <w:color w:val="auto"/>
          <w:sz w:val="22"/>
          <w:szCs w:val="22"/>
        </w:rPr>
        <w:t xml:space="preserve">uacjach awaryjnych. </w:t>
      </w:r>
    </w:p>
    <w:p w14:paraId="4177BD7D" w14:textId="6D2E5DF1" w:rsidR="004F1E0B" w:rsidRPr="00064166" w:rsidRDefault="003C329F" w:rsidP="00695439">
      <w:pPr>
        <w:pStyle w:val="LegalNumPar"/>
        <w:numPr>
          <w:ilvl w:val="0"/>
          <w:numId w:val="3"/>
        </w:numPr>
        <w:spacing w:line="276" w:lineRule="auto"/>
        <w:rPr>
          <w:rFonts w:cs="Times New Roman"/>
          <w:noProof/>
          <w:color w:val="auto"/>
          <w:sz w:val="22"/>
          <w:szCs w:val="22"/>
        </w:rPr>
      </w:pPr>
      <w:r w:rsidRPr="00064166">
        <w:rPr>
          <w:b/>
          <w:noProof/>
          <w:color w:val="auto"/>
          <w:sz w:val="22"/>
          <w:szCs w:val="22"/>
        </w:rPr>
        <w:t>Proporcjonalność:</w:t>
      </w:r>
      <w:r w:rsidRPr="00064166">
        <w:rPr>
          <w:noProof/>
          <w:color w:val="auto"/>
          <w:sz w:val="22"/>
          <w:szCs w:val="22"/>
        </w:rPr>
        <w:t xml:space="preserve"> środki ograniczające transport towarów lub osób należy wprowadzać tylko</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ost</w:t>
      </w:r>
      <w:r w:rsidRPr="00064166">
        <w:rPr>
          <w:noProof/>
          <w:color w:val="auto"/>
          <w:sz w:val="22"/>
          <w:szCs w:val="22"/>
        </w:rPr>
        <w:t>ateczności. Wszystkie środki muszą być należycie uzasadnione, oparte na dowodach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pro</w:t>
      </w:r>
      <w:r w:rsidRPr="00064166">
        <w:rPr>
          <w:noProof/>
          <w:color w:val="auto"/>
          <w:sz w:val="22"/>
          <w:szCs w:val="22"/>
        </w:rPr>
        <w:t>porcjonalne, podlegać regularnemu monitorowaniu</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prz</w:t>
      </w:r>
      <w:r w:rsidRPr="00064166">
        <w:rPr>
          <w:noProof/>
          <w:color w:val="auto"/>
          <w:sz w:val="22"/>
          <w:szCs w:val="22"/>
        </w:rPr>
        <w:t>eglądowi, być szybko komunikowane, mieć charakter tymczasowy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być</w:t>
      </w:r>
      <w:r w:rsidRPr="00064166">
        <w:rPr>
          <w:noProof/>
          <w:color w:val="auto"/>
          <w:sz w:val="22"/>
          <w:szCs w:val="22"/>
        </w:rPr>
        <w:t xml:space="preserve"> jak najszybciej znoszone</w:t>
      </w:r>
      <w:r w:rsidRPr="00064166">
        <w:rPr>
          <w:rStyle w:val="FootnoteReference"/>
          <w:rFonts w:cs="Times New Roman"/>
          <w:noProof/>
          <w:color w:val="auto"/>
          <w:sz w:val="22"/>
          <w:szCs w:val="22"/>
        </w:rPr>
        <w:footnoteReference w:id="50"/>
      </w:r>
      <w:r w:rsidRPr="00064166">
        <w:rPr>
          <w:noProof/>
          <w:color w:val="auto"/>
          <w:sz w:val="22"/>
          <w:szCs w:val="22"/>
        </w:rPr>
        <w:t>.</w:t>
      </w:r>
    </w:p>
    <w:p w14:paraId="29AD4B70" w14:textId="0834A210" w:rsidR="00E47F78" w:rsidRPr="00064166" w:rsidRDefault="003C329F" w:rsidP="004F1E0B">
      <w:pPr>
        <w:pStyle w:val="LegalNumPar"/>
        <w:numPr>
          <w:ilvl w:val="0"/>
          <w:numId w:val="3"/>
        </w:numPr>
        <w:spacing w:line="276" w:lineRule="auto"/>
        <w:rPr>
          <w:rFonts w:cs="Times New Roman"/>
          <w:noProof/>
          <w:color w:val="auto"/>
          <w:sz w:val="22"/>
          <w:szCs w:val="22"/>
        </w:rPr>
      </w:pPr>
      <w:r w:rsidRPr="00064166">
        <w:rPr>
          <w:b/>
          <w:noProof/>
          <w:color w:val="auto"/>
          <w:sz w:val="22"/>
          <w:szCs w:val="22"/>
        </w:rPr>
        <w:t>Niedyskryminacja:</w:t>
      </w:r>
      <w:r w:rsidRPr="00064166">
        <w:rPr>
          <w:noProof/>
          <w:color w:val="auto"/>
          <w:sz w:val="22"/>
          <w:szCs w:val="22"/>
        </w:rPr>
        <w:t xml:space="preserve"> środki nie powinny</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nie</w:t>
      </w:r>
      <w:r w:rsidRPr="00064166">
        <w:rPr>
          <w:noProof/>
          <w:color w:val="auto"/>
          <w:sz w:val="22"/>
          <w:szCs w:val="22"/>
        </w:rPr>
        <w:t>uzasadniony sposób dyskryminować ze względu na narodowość, pochodzenie towarów lub różne rodzaje transportu lub przewożonych towarów. Powinny one zapewniać niedyskryminacyjne traktowanie pracowników sektora transportu (w tym osób mieszkających poza UE)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w:t>
      </w:r>
      <w:r w:rsidR="00064166">
        <w:rPr>
          <w:noProof/>
          <w:color w:val="auto"/>
          <w:sz w:val="22"/>
          <w:szCs w:val="22"/>
        </w:rPr>
        <w:t> </w:t>
      </w:r>
      <w:r w:rsidR="00064166" w:rsidRPr="00064166">
        <w:rPr>
          <w:noProof/>
          <w:color w:val="auto"/>
          <w:sz w:val="22"/>
          <w:szCs w:val="22"/>
        </w:rPr>
        <w:t>mia</w:t>
      </w:r>
      <w:r w:rsidRPr="00064166">
        <w:rPr>
          <w:noProof/>
          <w:color w:val="auto"/>
          <w:sz w:val="22"/>
          <w:szCs w:val="22"/>
        </w:rPr>
        <w:t>rę możliwości znosić ograniczenia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pod</w:t>
      </w:r>
      <w:r w:rsidRPr="00064166">
        <w:rPr>
          <w:noProof/>
          <w:color w:val="auto"/>
          <w:sz w:val="22"/>
          <w:szCs w:val="22"/>
        </w:rPr>
        <w:t>różowaniu lub ruchu lub wszelkie inne obciążenia administracyjne ich dotyczące, zważywszy na ich kluczową rolę</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łań</w:t>
      </w:r>
      <w:r w:rsidRPr="00064166">
        <w:rPr>
          <w:noProof/>
          <w:color w:val="auto"/>
          <w:sz w:val="22"/>
          <w:szCs w:val="22"/>
        </w:rPr>
        <w:t>cuchach dostaw pojazdów ciężarowych</w:t>
      </w:r>
      <w:r w:rsidRPr="00064166">
        <w:rPr>
          <w:b/>
          <w:noProof/>
          <w:color w:val="auto"/>
          <w:sz w:val="22"/>
          <w:szCs w:val="22"/>
        </w:rPr>
        <w:t>.</w:t>
      </w:r>
      <w:r w:rsidRPr="00064166">
        <w:rPr>
          <w:noProof/>
          <w:color w:val="auto"/>
          <w:sz w:val="22"/>
          <w:szCs w:val="22"/>
        </w:rPr>
        <w:t xml:space="preserve"> To samo dotyczy niedyskryminacji pasażerów. </w:t>
      </w:r>
    </w:p>
    <w:p w14:paraId="7833D828" w14:textId="4FE85F96" w:rsidR="00E47F78" w:rsidRPr="00064166" w:rsidRDefault="00E47F78" w:rsidP="00E47F78">
      <w:pPr>
        <w:pStyle w:val="LegalNumPar"/>
        <w:numPr>
          <w:ilvl w:val="0"/>
          <w:numId w:val="3"/>
        </w:numPr>
        <w:spacing w:line="276" w:lineRule="auto"/>
        <w:rPr>
          <w:rFonts w:cs="Times New Roman"/>
          <w:noProof/>
          <w:color w:val="auto"/>
          <w:sz w:val="22"/>
          <w:szCs w:val="22"/>
        </w:rPr>
      </w:pPr>
      <w:bookmarkStart w:id="2" w:name="_Hlk95411539"/>
      <w:r w:rsidRPr="00064166">
        <w:rPr>
          <w:b/>
          <w:noProof/>
          <w:color w:val="auto"/>
          <w:sz w:val="22"/>
          <w:szCs w:val="22"/>
        </w:rPr>
        <w:t>Koordynacja:</w:t>
      </w:r>
      <w:r w:rsidRPr="00064166">
        <w:rPr>
          <w:noProof/>
          <w:color w:val="auto"/>
          <w:sz w:val="22"/>
          <w:szCs w:val="22"/>
        </w:rPr>
        <w:t xml:space="preserve"> wszystkie działania powinny być koordynowane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org</w:t>
      </w:r>
      <w:r w:rsidRPr="00064166">
        <w:rPr>
          <w:noProof/>
          <w:color w:val="auto"/>
          <w:sz w:val="22"/>
          <w:szCs w:val="22"/>
        </w:rPr>
        <w:t>anami ds. transportu za pośrednictwem sieci krajowych punktów kontaktowych ds. transportu. Należy utworzyć kanały komunikacji między siecią, UE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mię</w:t>
      </w:r>
      <w:r w:rsidRPr="00064166">
        <w:rPr>
          <w:noProof/>
          <w:color w:val="auto"/>
          <w:sz w:val="22"/>
          <w:szCs w:val="22"/>
        </w:rPr>
        <w:t>dzynarodowymi horyzontalnymi forami zarządzania kryzysowego. Koordynacja między odpowiednimi organami musi rozpoczynać się na samym początku wystąpienia sytuacji kryzysowej, zwłaszcza gdy dotyczy sieci TEN-T</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wię</w:t>
      </w:r>
      <w:r w:rsidRPr="00064166">
        <w:rPr>
          <w:noProof/>
          <w:color w:val="auto"/>
          <w:sz w:val="22"/>
          <w:szCs w:val="22"/>
        </w:rPr>
        <w:t xml:space="preserve">cej niż jednego państwa członkowskiego. </w:t>
      </w:r>
    </w:p>
    <w:p w14:paraId="77F879E1" w14:textId="1B760A9A" w:rsidR="00E47F78" w:rsidRPr="00064166" w:rsidRDefault="004F1E0B" w:rsidP="00043AF3">
      <w:pPr>
        <w:pStyle w:val="LegalNumPar"/>
        <w:numPr>
          <w:ilvl w:val="0"/>
          <w:numId w:val="3"/>
        </w:numPr>
        <w:spacing w:line="276" w:lineRule="auto"/>
        <w:rPr>
          <w:rFonts w:cs="Times New Roman"/>
          <w:noProof/>
          <w:color w:val="auto"/>
          <w:sz w:val="22"/>
          <w:szCs w:val="22"/>
        </w:rPr>
      </w:pPr>
      <w:r w:rsidRPr="00064166">
        <w:rPr>
          <w:b/>
          <w:noProof/>
          <w:color w:val="auto"/>
          <w:sz w:val="22"/>
          <w:szCs w:val="22"/>
        </w:rPr>
        <w:t>Przejrzystość, komunikacja</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dia</w:t>
      </w:r>
      <w:r w:rsidRPr="00064166">
        <w:rPr>
          <w:b/>
          <w:noProof/>
          <w:color w:val="auto"/>
          <w:sz w:val="22"/>
          <w:szCs w:val="22"/>
        </w:rPr>
        <w:t>log:</w:t>
      </w:r>
      <w:r w:rsidR="00064166" w:rsidRPr="00064166">
        <w:rPr>
          <w:b/>
          <w:noProof/>
          <w:color w:val="auto"/>
          <w:sz w:val="22"/>
          <w:szCs w:val="22"/>
        </w:rPr>
        <w:t xml:space="preserve"> </w:t>
      </w:r>
      <w:r w:rsidR="00064166" w:rsidRPr="00064166">
        <w:rPr>
          <w:noProof/>
          <w:color w:val="auto"/>
          <w:sz w:val="22"/>
          <w:szCs w:val="22"/>
        </w:rPr>
        <w:t>o</w:t>
      </w:r>
      <w:r w:rsidR="00064166">
        <w:rPr>
          <w:b/>
          <w:noProof/>
          <w:color w:val="auto"/>
          <w:sz w:val="22"/>
          <w:szCs w:val="22"/>
        </w:rPr>
        <w:t> </w:t>
      </w:r>
      <w:r w:rsidR="00064166" w:rsidRPr="00064166">
        <w:rPr>
          <w:noProof/>
          <w:color w:val="auto"/>
          <w:sz w:val="22"/>
          <w:szCs w:val="22"/>
        </w:rPr>
        <w:t>wsz</w:t>
      </w:r>
      <w:r w:rsidRPr="00064166">
        <w:rPr>
          <w:noProof/>
          <w:color w:val="auto"/>
          <w:sz w:val="22"/>
          <w:szCs w:val="22"/>
        </w:rPr>
        <w:t>ystkich środkach należy wyraźnie poinformować zainteresowane strony przed ich wejściem</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życ</w:t>
      </w:r>
      <w:r w:rsidRPr="00064166">
        <w:rPr>
          <w:noProof/>
          <w:color w:val="auto"/>
          <w:sz w:val="22"/>
          <w:szCs w:val="22"/>
        </w:rPr>
        <w:t>ie</w:t>
      </w:r>
      <w:r w:rsidRPr="00064166">
        <w:rPr>
          <w:rStyle w:val="FootnoteReference"/>
          <w:rFonts w:cs="Times New Roman"/>
          <w:noProof/>
          <w:color w:val="auto"/>
          <w:sz w:val="22"/>
          <w:szCs w:val="22"/>
        </w:rPr>
        <w:footnoteReference w:id="51"/>
      </w:r>
      <w:r w:rsidRPr="00064166">
        <w:rPr>
          <w:noProof/>
          <w:color w:val="auto"/>
          <w:sz w:val="22"/>
          <w:szCs w:val="22"/>
        </w:rPr>
        <w:t>, omówić je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nim</w:t>
      </w:r>
      <w:r w:rsidRPr="00064166">
        <w:rPr>
          <w:noProof/>
          <w:color w:val="auto"/>
          <w:sz w:val="22"/>
          <w:szCs w:val="22"/>
        </w:rPr>
        <w:t>i</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w:t>
      </w:r>
      <w:r w:rsidR="00064166">
        <w:rPr>
          <w:noProof/>
          <w:color w:val="auto"/>
          <w:sz w:val="22"/>
          <w:szCs w:val="22"/>
        </w:rPr>
        <w:t> </w:t>
      </w:r>
      <w:r w:rsidR="00064166" w:rsidRPr="00064166">
        <w:rPr>
          <w:noProof/>
          <w:color w:val="auto"/>
          <w:sz w:val="22"/>
          <w:szCs w:val="22"/>
        </w:rPr>
        <w:t>raz</w:t>
      </w:r>
      <w:r w:rsidRPr="00064166">
        <w:rPr>
          <w:noProof/>
          <w:color w:val="auto"/>
          <w:sz w:val="22"/>
          <w:szCs w:val="22"/>
        </w:rPr>
        <w:t>ie potrzeby dostosować.</w:t>
      </w:r>
      <w:r w:rsidR="0052698C" w:rsidRPr="00064166">
        <w:rPr>
          <w:noProof/>
          <w:color w:val="auto"/>
          <w:sz w:val="22"/>
          <w:szCs w:val="22"/>
        </w:rPr>
        <w:t xml:space="preserve"> </w:t>
      </w:r>
      <w:bookmarkEnd w:id="2"/>
      <w:r w:rsidRPr="00064166">
        <w:rPr>
          <w:noProof/>
          <w:color w:val="auto"/>
          <w:sz w:val="22"/>
          <w:szCs w:val="22"/>
        </w:rPr>
        <w:t>Należy zapewnić ciągły dialog</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zai</w:t>
      </w:r>
      <w:r w:rsidRPr="00064166">
        <w:rPr>
          <w:noProof/>
          <w:color w:val="auto"/>
          <w:sz w:val="22"/>
          <w:szCs w:val="22"/>
        </w:rPr>
        <w:t>nteresowanymi stronami,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tym z</w:t>
      </w:r>
      <w:r w:rsidR="00064166">
        <w:rPr>
          <w:noProof/>
          <w:color w:val="auto"/>
          <w:sz w:val="22"/>
          <w:szCs w:val="22"/>
        </w:rPr>
        <w:t> </w:t>
      </w:r>
      <w:r w:rsidR="00064166" w:rsidRPr="00064166">
        <w:rPr>
          <w:noProof/>
          <w:color w:val="auto"/>
          <w:sz w:val="22"/>
          <w:szCs w:val="22"/>
        </w:rPr>
        <w:t>par</w:t>
      </w:r>
      <w:r w:rsidRPr="00064166">
        <w:rPr>
          <w:noProof/>
          <w:color w:val="auto"/>
          <w:sz w:val="22"/>
          <w:szCs w:val="22"/>
        </w:rPr>
        <w:t>tnerami międzynarodowymi.</w:t>
      </w:r>
    </w:p>
    <w:p w14:paraId="1268969D" w14:textId="1BCC5186" w:rsidR="00E47F78" w:rsidRPr="00064166" w:rsidRDefault="00801726" w:rsidP="00E47F78">
      <w:pPr>
        <w:pStyle w:val="LegalNumPar"/>
        <w:numPr>
          <w:ilvl w:val="0"/>
          <w:numId w:val="3"/>
        </w:numPr>
        <w:spacing w:line="276" w:lineRule="auto"/>
        <w:rPr>
          <w:rFonts w:cs="Times New Roman"/>
          <w:noProof/>
          <w:color w:val="auto"/>
          <w:sz w:val="22"/>
          <w:szCs w:val="22"/>
        </w:rPr>
      </w:pPr>
      <w:r w:rsidRPr="00064166">
        <w:rPr>
          <w:b/>
          <w:noProof/>
          <w:color w:val="auto"/>
          <w:sz w:val="22"/>
          <w:szCs w:val="22"/>
        </w:rPr>
        <w:t>Spójność</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pol</w:t>
      </w:r>
      <w:r w:rsidRPr="00064166">
        <w:rPr>
          <w:b/>
          <w:noProof/>
          <w:color w:val="auto"/>
          <w:sz w:val="22"/>
          <w:szCs w:val="22"/>
        </w:rPr>
        <w:t>ityką UE:</w:t>
      </w:r>
      <w:r w:rsidRPr="00064166">
        <w:rPr>
          <w:noProof/>
          <w:color w:val="auto"/>
          <w:sz w:val="22"/>
          <w:szCs w:val="22"/>
        </w:rPr>
        <w:t xml:space="preserve"> należy unikać stosowania środków krajowych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lok</w:t>
      </w:r>
      <w:r w:rsidRPr="00064166">
        <w:rPr>
          <w:noProof/>
          <w:color w:val="auto"/>
          <w:sz w:val="22"/>
          <w:szCs w:val="22"/>
        </w:rPr>
        <w:t>alnych, które zakłócają funkcjonowanie jednolitego europejskiego obszaru transportu. Po wprowadzeniu środków awaryjnych</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tra</w:t>
      </w:r>
      <w:r w:rsidRPr="00064166">
        <w:rPr>
          <w:noProof/>
          <w:color w:val="auto"/>
          <w:sz w:val="22"/>
          <w:szCs w:val="22"/>
        </w:rPr>
        <w:t>nsporcie na szczeblu UE, odpowiednie władze powinny natychmiast znieść środki krajowe.</w:t>
      </w:r>
    </w:p>
    <w:p w14:paraId="5166D1D6" w14:textId="53B141FC" w:rsidR="00E47F78" w:rsidRPr="00064166" w:rsidRDefault="00695439" w:rsidP="00E47F78">
      <w:pPr>
        <w:pStyle w:val="LegalNumPar"/>
        <w:numPr>
          <w:ilvl w:val="0"/>
          <w:numId w:val="3"/>
        </w:numPr>
        <w:spacing w:line="276" w:lineRule="auto"/>
        <w:rPr>
          <w:rFonts w:cs="Times New Roman"/>
          <w:noProof/>
          <w:color w:val="auto"/>
          <w:sz w:val="22"/>
          <w:szCs w:val="22"/>
        </w:rPr>
      </w:pPr>
      <w:r w:rsidRPr="00064166">
        <w:rPr>
          <w:b/>
          <w:noProof/>
          <w:color w:val="auto"/>
          <w:sz w:val="22"/>
          <w:szCs w:val="22"/>
        </w:rPr>
        <w:t>Integralność systemu transportowego:</w:t>
      </w:r>
      <w:r w:rsidR="0052698C" w:rsidRPr="00064166">
        <w:rPr>
          <w:b/>
          <w:noProof/>
          <w:color w:val="auto"/>
          <w:sz w:val="22"/>
          <w:szCs w:val="22"/>
        </w:rPr>
        <w:t xml:space="preserve"> </w:t>
      </w:r>
      <w:r w:rsidRPr="00064166">
        <w:rPr>
          <w:noProof/>
          <w:color w:val="auto"/>
          <w:sz w:val="22"/>
          <w:szCs w:val="22"/>
        </w:rPr>
        <w:t>środki podejmowane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odp</w:t>
      </w:r>
      <w:r w:rsidRPr="00064166">
        <w:rPr>
          <w:noProof/>
          <w:color w:val="auto"/>
          <w:sz w:val="22"/>
          <w:szCs w:val="22"/>
        </w:rPr>
        <w:t>owiedzi na problemy związane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jed</w:t>
      </w:r>
      <w:r w:rsidRPr="00064166">
        <w:rPr>
          <w:noProof/>
          <w:color w:val="auto"/>
          <w:sz w:val="22"/>
          <w:szCs w:val="22"/>
        </w:rPr>
        <w:t>nym rodzajem transportu powinny uwzględniać</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w:t>
      </w:r>
      <w:r w:rsidR="00064166">
        <w:rPr>
          <w:noProof/>
          <w:color w:val="auto"/>
          <w:sz w:val="22"/>
          <w:szCs w:val="22"/>
        </w:rPr>
        <w:t> </w:t>
      </w:r>
      <w:r w:rsidR="00064166" w:rsidRPr="00064166">
        <w:rPr>
          <w:noProof/>
          <w:color w:val="auto"/>
          <w:sz w:val="22"/>
          <w:szCs w:val="22"/>
        </w:rPr>
        <w:t>peł</w:t>
      </w:r>
      <w:r w:rsidRPr="00064166">
        <w:rPr>
          <w:noProof/>
          <w:color w:val="auto"/>
          <w:sz w:val="22"/>
          <w:szCs w:val="22"/>
        </w:rPr>
        <w:t>ni wykorzystywać wszystkie rodzaje transportu.</w:t>
      </w:r>
    </w:p>
    <w:p w14:paraId="708CDF8C" w14:textId="12B7BB5A" w:rsidR="00E47F78" w:rsidRPr="00064166" w:rsidRDefault="002E2C7A" w:rsidP="00E56E23">
      <w:pPr>
        <w:pStyle w:val="LegalNumPar"/>
        <w:numPr>
          <w:ilvl w:val="0"/>
          <w:numId w:val="3"/>
        </w:numPr>
        <w:spacing w:line="276" w:lineRule="auto"/>
        <w:rPr>
          <w:rFonts w:cs="Times New Roman"/>
          <w:noProof/>
          <w:color w:val="auto"/>
          <w:sz w:val="22"/>
          <w:szCs w:val="22"/>
        </w:rPr>
      </w:pPr>
      <w:r w:rsidRPr="00064166">
        <w:rPr>
          <w:b/>
          <w:noProof/>
          <w:color w:val="auto"/>
          <w:sz w:val="22"/>
          <w:szCs w:val="22"/>
        </w:rPr>
        <w:t>Opieka nad pasażerami</w:t>
      </w:r>
      <w:r w:rsidR="00064166" w:rsidRPr="00064166">
        <w:rPr>
          <w:b/>
          <w:noProof/>
          <w:color w:val="auto"/>
          <w:sz w:val="22"/>
          <w:szCs w:val="22"/>
        </w:rPr>
        <w:t xml:space="preserve"> o</w:t>
      </w:r>
      <w:r w:rsidR="00064166">
        <w:rPr>
          <w:b/>
          <w:noProof/>
          <w:color w:val="auto"/>
          <w:sz w:val="22"/>
          <w:szCs w:val="22"/>
        </w:rPr>
        <w:t> </w:t>
      </w:r>
      <w:r w:rsidR="00064166" w:rsidRPr="00064166">
        <w:rPr>
          <w:b/>
          <w:noProof/>
          <w:color w:val="auto"/>
          <w:sz w:val="22"/>
          <w:szCs w:val="22"/>
        </w:rPr>
        <w:t>szc</w:t>
      </w:r>
      <w:r w:rsidRPr="00064166">
        <w:rPr>
          <w:b/>
          <w:noProof/>
          <w:color w:val="auto"/>
          <w:sz w:val="22"/>
          <w:szCs w:val="22"/>
        </w:rPr>
        <w:t>zególnych potrzebach:</w:t>
      </w:r>
      <w:r w:rsidRPr="00064166">
        <w:rPr>
          <w:noProof/>
          <w:color w:val="auto"/>
          <w:sz w:val="22"/>
          <w:szCs w:val="22"/>
        </w:rPr>
        <w:t xml:space="preserve"> szczególną uwagę należy zwrócić na potrzeby pasażerów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gru</w:t>
      </w:r>
      <w:r w:rsidRPr="00064166">
        <w:rPr>
          <w:noProof/>
          <w:color w:val="auto"/>
          <w:sz w:val="22"/>
          <w:szCs w:val="22"/>
        </w:rPr>
        <w:t>p pasażerów znajdujących się</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tru</w:t>
      </w:r>
      <w:r w:rsidRPr="00064166">
        <w:rPr>
          <w:noProof/>
          <w:color w:val="auto"/>
          <w:sz w:val="22"/>
          <w:szCs w:val="22"/>
        </w:rPr>
        <w:t>dnej sytuacji (np. osób</w:t>
      </w:r>
      <w:r w:rsidR="00064166" w:rsidRPr="00064166">
        <w:rPr>
          <w:noProof/>
          <w:color w:val="auto"/>
          <w:sz w:val="22"/>
          <w:szCs w:val="22"/>
        </w:rPr>
        <w:t xml:space="preserve"> o</w:t>
      </w:r>
      <w:r w:rsidR="00064166">
        <w:rPr>
          <w:noProof/>
          <w:color w:val="auto"/>
          <w:sz w:val="22"/>
          <w:szCs w:val="22"/>
        </w:rPr>
        <w:t> </w:t>
      </w:r>
      <w:r w:rsidR="00064166" w:rsidRPr="00064166">
        <w:rPr>
          <w:noProof/>
          <w:color w:val="auto"/>
          <w:sz w:val="22"/>
          <w:szCs w:val="22"/>
        </w:rPr>
        <w:t>ogr</w:t>
      </w:r>
      <w:r w:rsidRPr="00064166">
        <w:rPr>
          <w:noProof/>
          <w:color w:val="auto"/>
          <w:sz w:val="22"/>
          <w:szCs w:val="22"/>
        </w:rPr>
        <w:t>aniczonej możliwości poruszania się lub osób</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nie</w:t>
      </w:r>
      <w:r w:rsidRPr="00064166">
        <w:rPr>
          <w:noProof/>
          <w:color w:val="auto"/>
          <w:sz w:val="22"/>
          <w:szCs w:val="22"/>
        </w:rPr>
        <w:t>pełnosprawnościami), pasażerów, którzy utknęli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pod</w:t>
      </w:r>
      <w:r w:rsidRPr="00064166">
        <w:rPr>
          <w:noProof/>
          <w:color w:val="auto"/>
          <w:sz w:val="22"/>
          <w:szCs w:val="22"/>
        </w:rPr>
        <w:t>róży, podróżnych wykonujących podstawowe prace oraz pracowników transgranicznych.</w:t>
      </w:r>
    </w:p>
    <w:p w14:paraId="6768F1C5" w14:textId="7BFD26AA" w:rsidR="00E47F78" w:rsidRPr="00064166" w:rsidRDefault="002E2C7A" w:rsidP="00E47F78">
      <w:pPr>
        <w:pStyle w:val="LegalNumPar"/>
        <w:numPr>
          <w:ilvl w:val="0"/>
          <w:numId w:val="3"/>
        </w:numPr>
        <w:spacing w:line="276" w:lineRule="auto"/>
        <w:rPr>
          <w:rFonts w:cs="Times New Roman"/>
          <w:noProof/>
          <w:color w:val="auto"/>
          <w:sz w:val="22"/>
          <w:szCs w:val="22"/>
        </w:rPr>
      </w:pPr>
      <w:r w:rsidRPr="00064166">
        <w:rPr>
          <w:b/>
          <w:noProof/>
          <w:color w:val="auto"/>
          <w:sz w:val="22"/>
          <w:szCs w:val="22"/>
        </w:rPr>
        <w:t>Opieka nad pracownikami sektora transportu:</w:t>
      </w:r>
      <w:r w:rsidRPr="00064166">
        <w:rPr>
          <w:noProof/>
          <w:color w:val="auto"/>
          <w:sz w:val="22"/>
          <w:szCs w:val="22"/>
        </w:rPr>
        <w:t xml:space="preserve"> pracownicy sektora transportu powinni mieć zapewnione bezpieczne, pewne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odp</w:t>
      </w:r>
      <w:r w:rsidRPr="00064166">
        <w:rPr>
          <w:noProof/>
          <w:color w:val="auto"/>
          <w:sz w:val="22"/>
          <w:szCs w:val="22"/>
        </w:rPr>
        <w:t>owiednie warunki pracy</w:t>
      </w:r>
      <w:r w:rsidRPr="00064166">
        <w:rPr>
          <w:rStyle w:val="FootnoteReference"/>
          <w:rFonts w:cs="Times New Roman"/>
          <w:noProof/>
          <w:color w:val="auto"/>
          <w:sz w:val="22"/>
          <w:szCs w:val="22"/>
        </w:rPr>
        <w:footnoteReference w:id="52"/>
      </w:r>
      <w:r w:rsidRPr="00064166">
        <w:rPr>
          <w:noProof/>
          <w:color w:val="auto"/>
          <w:sz w:val="22"/>
          <w:szCs w:val="22"/>
        </w:rPr>
        <w:t>.</w:t>
      </w:r>
    </w:p>
    <w:p w14:paraId="401012C5" w14:textId="6722D8C0" w:rsidR="00FC6378" w:rsidRPr="00064166" w:rsidRDefault="00FC6378" w:rsidP="00FC6378">
      <w:pPr>
        <w:pStyle w:val="Heading2"/>
        <w:numPr>
          <w:ilvl w:val="0"/>
          <w:numId w:val="0"/>
        </w:numPr>
        <w:spacing w:before="240" w:after="240" w:line="276" w:lineRule="auto"/>
        <w:ind w:left="576" w:hanging="576"/>
        <w:rPr>
          <w:rFonts w:eastAsia="Times New Roman"/>
          <w:noProof/>
          <w:sz w:val="22"/>
          <w:szCs w:val="22"/>
          <w:u w:val="none"/>
          <w:bdr w:val="none" w:sz="0" w:space="0" w:color="auto"/>
        </w:rPr>
      </w:pPr>
      <w:r w:rsidRPr="00064166">
        <w:rPr>
          <w:noProof/>
          <w:sz w:val="22"/>
          <w:szCs w:val="22"/>
        </w:rPr>
        <w:t>3.2 Zestaw narzędzi na wypadek sytuacji awaryjnych</w:t>
      </w:r>
      <w:r w:rsidR="00064166" w:rsidRPr="00064166">
        <w:rPr>
          <w:noProof/>
          <w:sz w:val="22"/>
          <w:szCs w:val="22"/>
        </w:rPr>
        <w:t xml:space="preserve"> w</w:t>
      </w:r>
      <w:r w:rsidR="00064166">
        <w:rPr>
          <w:noProof/>
          <w:sz w:val="22"/>
          <w:szCs w:val="22"/>
        </w:rPr>
        <w:t> </w:t>
      </w:r>
      <w:r w:rsidR="00064166" w:rsidRPr="00064166">
        <w:rPr>
          <w:noProof/>
          <w:sz w:val="22"/>
          <w:szCs w:val="22"/>
        </w:rPr>
        <w:t>tra</w:t>
      </w:r>
      <w:r w:rsidRPr="00064166">
        <w:rPr>
          <w:noProof/>
          <w:sz w:val="22"/>
          <w:szCs w:val="22"/>
        </w:rPr>
        <w:t>nsporcie</w:t>
      </w:r>
    </w:p>
    <w:p w14:paraId="43ACE13D" w14:textId="2DFC38C5" w:rsidR="00FC6378" w:rsidRPr="00064166" w:rsidRDefault="00FC6378" w:rsidP="00FC6378">
      <w:pPr>
        <w:pStyle w:val="LegalNumPar"/>
        <w:spacing w:before="120" w:line="276" w:lineRule="auto"/>
        <w:rPr>
          <w:rFonts w:cs="Times New Roman"/>
          <w:bCs/>
          <w:noProof/>
          <w:color w:val="auto"/>
          <w:sz w:val="22"/>
          <w:szCs w:val="22"/>
        </w:rPr>
      </w:pPr>
      <w:r w:rsidRPr="00064166">
        <w:rPr>
          <w:b/>
          <w:bCs/>
          <w:noProof/>
          <w:color w:val="auto"/>
          <w:sz w:val="22"/>
          <w:szCs w:val="22"/>
        </w:rPr>
        <w:t>Komisja proponuje zestaw narzędzi zawierający [10] środków służących zwiększeniu gotowości sektora transportu na wypadek sytuacji kryzysowej</w:t>
      </w:r>
      <w:r w:rsidR="00064166" w:rsidRPr="00064166">
        <w:rPr>
          <w:b/>
          <w:bCs/>
          <w:noProof/>
          <w:color w:val="auto"/>
          <w:sz w:val="22"/>
          <w:szCs w:val="22"/>
        </w:rPr>
        <w:t xml:space="preserve"> i</w:t>
      </w:r>
      <w:r w:rsidR="00064166">
        <w:rPr>
          <w:b/>
          <w:bCs/>
          <w:noProof/>
          <w:color w:val="auto"/>
          <w:sz w:val="22"/>
          <w:szCs w:val="22"/>
        </w:rPr>
        <w:t> </w:t>
      </w:r>
      <w:r w:rsidR="00064166" w:rsidRPr="00064166">
        <w:rPr>
          <w:b/>
          <w:bCs/>
          <w:noProof/>
          <w:color w:val="auto"/>
          <w:sz w:val="22"/>
          <w:szCs w:val="22"/>
        </w:rPr>
        <w:t>jeg</w:t>
      </w:r>
      <w:r w:rsidRPr="00064166">
        <w:rPr>
          <w:b/>
          <w:bCs/>
          <w:noProof/>
          <w:color w:val="auto"/>
          <w:sz w:val="22"/>
          <w:szCs w:val="22"/>
        </w:rPr>
        <w:t>o zdolności reagowania</w:t>
      </w:r>
      <w:r w:rsidR="00064166" w:rsidRPr="00064166">
        <w:rPr>
          <w:b/>
          <w:bCs/>
          <w:noProof/>
          <w:color w:val="auto"/>
          <w:sz w:val="22"/>
          <w:szCs w:val="22"/>
        </w:rPr>
        <w:t xml:space="preserve">. </w:t>
      </w:r>
      <w:r w:rsidR="00064166" w:rsidRPr="00064166">
        <w:rPr>
          <w:bCs/>
          <w:noProof/>
          <w:color w:val="auto"/>
          <w:sz w:val="22"/>
          <w:szCs w:val="22"/>
        </w:rPr>
        <w:t>Z</w:t>
      </w:r>
      <w:r w:rsidR="00064166">
        <w:rPr>
          <w:b/>
          <w:bCs/>
          <w:noProof/>
          <w:color w:val="auto"/>
          <w:sz w:val="22"/>
          <w:szCs w:val="22"/>
        </w:rPr>
        <w:t> </w:t>
      </w:r>
      <w:r w:rsidR="00064166" w:rsidRPr="00064166">
        <w:rPr>
          <w:bCs/>
          <w:noProof/>
          <w:color w:val="auto"/>
          <w:sz w:val="22"/>
          <w:szCs w:val="22"/>
        </w:rPr>
        <w:t>zes</w:t>
      </w:r>
      <w:r w:rsidRPr="00064166">
        <w:rPr>
          <w:bCs/>
          <w:noProof/>
          <w:color w:val="auto"/>
          <w:sz w:val="22"/>
          <w:szCs w:val="22"/>
        </w:rPr>
        <w:t>tawu narzędzi należy korzystać zgodnie</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wym</w:t>
      </w:r>
      <w:r w:rsidRPr="00064166">
        <w:rPr>
          <w:bCs/>
          <w:noProof/>
          <w:color w:val="auto"/>
          <w:sz w:val="22"/>
          <w:szCs w:val="22"/>
        </w:rPr>
        <w:t>ienionymi powyżej zasadami. Środki te obejmują zarówno długoterminowe działania przygotowawcze, jak</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nar</w:t>
      </w:r>
      <w:r w:rsidRPr="00064166">
        <w:rPr>
          <w:bCs/>
          <w:noProof/>
          <w:color w:val="auto"/>
          <w:sz w:val="22"/>
          <w:szCs w:val="22"/>
        </w:rPr>
        <w:t>zędzia, które można wykorzystać do działań natychmiastowych. Wspólnym celem jest lepsze przygotowanie do szybkiego reagowania na wszelkie wypadki lub zdarzenia mogące spowodować poważne zakłócenia</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uni</w:t>
      </w:r>
      <w:r w:rsidRPr="00064166">
        <w:rPr>
          <w:bCs/>
          <w:noProof/>
          <w:color w:val="auto"/>
          <w:sz w:val="22"/>
          <w:szCs w:val="22"/>
        </w:rPr>
        <w:t>jnym systemie transportu. Zakłócenia te mogą być spowodowane klęskami żywiołowymi, pandemiami, atakami terrorystycznymi, cyberatakami, oprogramowaniem szantażującym, konfliktami zbrojnymi, awariami infrastruktury (takimi jak zawalenie się mostu lub tunelu) lub przerwami</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dos</w:t>
      </w:r>
      <w:r w:rsidRPr="00064166">
        <w:rPr>
          <w:bCs/>
          <w:noProof/>
          <w:color w:val="auto"/>
          <w:sz w:val="22"/>
          <w:szCs w:val="22"/>
        </w:rPr>
        <w:t xml:space="preserve">tawach prądu. </w:t>
      </w:r>
    </w:p>
    <w:p w14:paraId="5A49BA8C" w14:textId="77777777" w:rsidR="001F6DAF" w:rsidRPr="00064166" w:rsidRDefault="001F6DAF" w:rsidP="001F6DAF">
      <w:pPr>
        <w:pStyle w:val="Heading2"/>
        <w:spacing w:before="240" w:after="240" w:line="276" w:lineRule="auto"/>
        <w:ind w:left="578" w:hanging="578"/>
        <w:rPr>
          <w:noProof/>
          <w:sz w:val="22"/>
          <w:szCs w:val="22"/>
        </w:rPr>
      </w:pPr>
      <w:r w:rsidRPr="00064166">
        <w:rPr>
          <w:noProof/>
          <w:sz w:val="22"/>
          <w:szCs w:val="22"/>
        </w:rPr>
        <w:t xml:space="preserve">Dostosowanie unijnych przepisów dotyczących transportu do sytuacji kryzysowych </w:t>
      </w:r>
    </w:p>
    <w:p w14:paraId="59868172" w14:textId="0CB977D5" w:rsidR="001F6DAF" w:rsidRPr="00064166" w:rsidRDefault="00114963" w:rsidP="001F6DAF">
      <w:pPr>
        <w:pStyle w:val="LegalNumPar"/>
        <w:spacing w:line="276" w:lineRule="auto"/>
        <w:rPr>
          <w:rFonts w:eastAsia="Times New Roman" w:cs="Times New Roman"/>
          <w:noProof/>
          <w:color w:val="auto"/>
          <w:sz w:val="22"/>
          <w:szCs w:val="22"/>
        </w:rPr>
      </w:pPr>
      <w:r w:rsidRPr="00064166">
        <w:rPr>
          <w:b/>
          <w:bCs/>
          <w:noProof/>
          <w:color w:val="auto"/>
          <w:sz w:val="22"/>
          <w:szCs w:val="22"/>
        </w:rPr>
        <w:t>Niektóre przepisy dotyczące transportu zawierają już klauzule nadzwyczajne.</w:t>
      </w:r>
      <w:r w:rsidR="0052698C" w:rsidRPr="00064166">
        <w:rPr>
          <w:b/>
          <w:bCs/>
          <w:noProof/>
          <w:color w:val="auto"/>
          <w:sz w:val="22"/>
          <w:szCs w:val="22"/>
        </w:rPr>
        <w:t xml:space="preserve"> </w:t>
      </w:r>
      <w:r w:rsidRPr="00064166">
        <w:rPr>
          <w:noProof/>
          <w:color w:val="auto"/>
          <w:sz w:val="22"/>
          <w:szCs w:val="22"/>
        </w:rPr>
        <w:t>Przykładem może być art.</w:t>
      </w:r>
      <w:r w:rsidR="00064166" w:rsidRPr="00064166">
        <w:rPr>
          <w:noProof/>
          <w:color w:val="auto"/>
          <w:sz w:val="22"/>
          <w:szCs w:val="22"/>
        </w:rPr>
        <w:t> </w:t>
      </w:r>
      <w:r w:rsidRPr="00064166">
        <w:rPr>
          <w:noProof/>
          <w:color w:val="auto"/>
          <w:sz w:val="22"/>
          <w:szCs w:val="22"/>
        </w:rPr>
        <w:t>21 rozporządzenia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przewozów lotniczych</w:t>
      </w:r>
      <w:r w:rsidRPr="00064166">
        <w:rPr>
          <w:rStyle w:val="FootnoteReference"/>
          <w:noProof/>
          <w:color w:val="auto"/>
          <w:sz w:val="22"/>
          <w:szCs w:val="22"/>
        </w:rPr>
        <w:footnoteReference w:id="53"/>
      </w:r>
      <w:r w:rsidRPr="00064166">
        <w:rPr>
          <w:noProof/>
          <w:color w:val="auto"/>
          <w:sz w:val="22"/>
          <w:szCs w:val="22"/>
        </w:rPr>
        <w:t>, art.</w:t>
      </w:r>
      <w:r w:rsidR="00064166" w:rsidRPr="00064166">
        <w:rPr>
          <w:noProof/>
          <w:color w:val="auto"/>
          <w:sz w:val="22"/>
          <w:szCs w:val="22"/>
        </w:rPr>
        <w:t> </w:t>
      </w:r>
      <w:r w:rsidRPr="00064166">
        <w:rPr>
          <w:noProof/>
          <w:color w:val="auto"/>
          <w:sz w:val="22"/>
          <w:szCs w:val="22"/>
        </w:rPr>
        <w:t>5 ust.</w:t>
      </w:r>
      <w:r w:rsidR="00064166" w:rsidRPr="00064166">
        <w:rPr>
          <w:noProof/>
          <w:color w:val="auto"/>
          <w:sz w:val="22"/>
          <w:szCs w:val="22"/>
        </w:rPr>
        <w:t> </w:t>
      </w:r>
      <w:r w:rsidRPr="00064166">
        <w:rPr>
          <w:noProof/>
          <w:color w:val="auto"/>
          <w:sz w:val="22"/>
          <w:szCs w:val="22"/>
        </w:rPr>
        <w:t>5 rozporządzenia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udzielania zamówień publicznych na usługi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zak</w:t>
      </w:r>
      <w:r w:rsidRPr="00064166">
        <w:rPr>
          <w:noProof/>
          <w:color w:val="auto"/>
          <w:sz w:val="22"/>
          <w:szCs w:val="22"/>
        </w:rPr>
        <w:t>resie transportu lądowego</w:t>
      </w:r>
      <w:r w:rsidRPr="00064166">
        <w:rPr>
          <w:rStyle w:val="FootnoteReference"/>
          <w:noProof/>
          <w:color w:val="auto"/>
          <w:sz w:val="22"/>
          <w:szCs w:val="22"/>
        </w:rPr>
        <w:footnoteReference w:id="54"/>
      </w:r>
      <w:r w:rsidRPr="00064166">
        <w:rPr>
          <w:noProof/>
          <w:color w:val="auto"/>
          <w:sz w:val="22"/>
          <w:szCs w:val="22"/>
        </w:rPr>
        <w:t>, art.</w:t>
      </w:r>
      <w:r w:rsidR="00064166" w:rsidRPr="00064166">
        <w:rPr>
          <w:noProof/>
          <w:color w:val="auto"/>
          <w:sz w:val="22"/>
          <w:szCs w:val="22"/>
        </w:rPr>
        <w:t> </w:t>
      </w:r>
      <w:r w:rsidRPr="00064166">
        <w:rPr>
          <w:noProof/>
          <w:color w:val="auto"/>
          <w:sz w:val="22"/>
          <w:szCs w:val="22"/>
        </w:rPr>
        <w:t>7 ust.</w:t>
      </w:r>
      <w:r w:rsidR="00064166" w:rsidRPr="00064166">
        <w:rPr>
          <w:noProof/>
          <w:color w:val="auto"/>
          <w:sz w:val="22"/>
          <w:szCs w:val="22"/>
        </w:rPr>
        <w:t> </w:t>
      </w:r>
      <w:r w:rsidRPr="00064166">
        <w:rPr>
          <w:noProof/>
          <w:color w:val="auto"/>
          <w:sz w:val="22"/>
          <w:szCs w:val="22"/>
        </w:rPr>
        <w:t>4 rozporządzenia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usług portowych</w:t>
      </w:r>
      <w:r w:rsidRPr="00064166">
        <w:rPr>
          <w:rStyle w:val="FootnoteReference"/>
          <w:noProof/>
          <w:color w:val="auto"/>
          <w:sz w:val="22"/>
          <w:szCs w:val="22"/>
        </w:rPr>
        <w:footnoteReference w:id="55"/>
      </w:r>
      <w:r w:rsidRPr="00064166">
        <w:rPr>
          <w:noProof/>
          <w:color w:val="auto"/>
          <w:sz w:val="22"/>
          <w:szCs w:val="22"/>
        </w:rPr>
        <w:t xml:space="preserve"> oraz art.</w:t>
      </w:r>
      <w:r w:rsidR="00064166" w:rsidRPr="00064166">
        <w:rPr>
          <w:noProof/>
          <w:color w:val="auto"/>
          <w:sz w:val="22"/>
          <w:szCs w:val="22"/>
        </w:rPr>
        <w:t> </w:t>
      </w:r>
      <w:r w:rsidRPr="00064166">
        <w:rPr>
          <w:noProof/>
          <w:color w:val="auto"/>
          <w:sz w:val="22"/>
          <w:szCs w:val="22"/>
        </w:rPr>
        <w:t>10 rozporządzenia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dostępu do rynku międzynarodowych przewozów drogowych</w:t>
      </w:r>
      <w:r w:rsidRPr="00064166">
        <w:rPr>
          <w:rStyle w:val="FootnoteReference"/>
          <w:noProof/>
          <w:color w:val="auto"/>
          <w:sz w:val="22"/>
          <w:szCs w:val="22"/>
        </w:rPr>
        <w:footnoteReference w:id="56"/>
      </w:r>
      <w:r w:rsidR="00064166" w:rsidRPr="00064166">
        <w:rPr>
          <w:noProof/>
          <w:color w:val="auto"/>
          <w:sz w:val="22"/>
          <w:szCs w:val="22"/>
        </w:rPr>
        <w:t>. W</w:t>
      </w:r>
      <w:r w:rsidR="00064166">
        <w:rPr>
          <w:noProof/>
          <w:color w:val="auto"/>
          <w:sz w:val="22"/>
          <w:szCs w:val="22"/>
        </w:rPr>
        <w:t> </w:t>
      </w:r>
      <w:r w:rsidR="00064166" w:rsidRPr="00064166">
        <w:rPr>
          <w:noProof/>
          <w:color w:val="auto"/>
          <w:sz w:val="22"/>
          <w:szCs w:val="22"/>
        </w:rPr>
        <w:t>nie</w:t>
      </w:r>
      <w:r w:rsidRPr="00064166">
        <w:rPr>
          <w:noProof/>
          <w:color w:val="auto"/>
          <w:sz w:val="22"/>
          <w:szCs w:val="22"/>
        </w:rPr>
        <w:t>których obowiązujących aktach prawnych wspomina się już</w:t>
      </w:r>
      <w:r w:rsidR="00064166" w:rsidRPr="00064166">
        <w:rPr>
          <w:noProof/>
          <w:color w:val="auto"/>
          <w:sz w:val="22"/>
          <w:szCs w:val="22"/>
        </w:rPr>
        <w:t xml:space="preserve"> o</w:t>
      </w:r>
      <w:r w:rsidR="00064166">
        <w:rPr>
          <w:noProof/>
          <w:color w:val="auto"/>
          <w:sz w:val="22"/>
          <w:szCs w:val="22"/>
        </w:rPr>
        <w:t> </w:t>
      </w:r>
      <w:r w:rsidR="00064166" w:rsidRPr="00064166">
        <w:rPr>
          <w:noProof/>
          <w:color w:val="auto"/>
          <w:sz w:val="22"/>
          <w:szCs w:val="22"/>
        </w:rPr>
        <w:t>obo</w:t>
      </w:r>
      <w:r w:rsidRPr="00064166">
        <w:rPr>
          <w:noProof/>
          <w:color w:val="auto"/>
          <w:sz w:val="22"/>
          <w:szCs w:val="22"/>
        </w:rPr>
        <w:t>wiązku zapewnienia planów awaryjnych. 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czw</w:t>
      </w:r>
      <w:r w:rsidRPr="00064166">
        <w:rPr>
          <w:noProof/>
          <w:color w:val="auto"/>
          <w:sz w:val="22"/>
          <w:szCs w:val="22"/>
        </w:rPr>
        <w:t>artym pakietem kolejowym</w:t>
      </w:r>
      <w:r w:rsidRPr="00064166">
        <w:rPr>
          <w:rStyle w:val="FootnoteReference"/>
          <w:noProof/>
          <w:color w:val="auto"/>
          <w:sz w:val="22"/>
          <w:szCs w:val="22"/>
        </w:rPr>
        <w:footnoteReference w:id="57"/>
      </w:r>
      <w:r w:rsidRPr="00064166">
        <w:rPr>
          <w:noProof/>
          <w:color w:val="auto"/>
          <w:sz w:val="22"/>
          <w:szCs w:val="22"/>
        </w:rPr>
        <w:t xml:space="preserve"> przedsiębiorstwa kolejowe muszą opracować plany awaryjne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cel</w:t>
      </w:r>
      <w:r w:rsidRPr="00064166">
        <w:rPr>
          <w:noProof/>
          <w:color w:val="auto"/>
          <w:sz w:val="22"/>
          <w:szCs w:val="22"/>
        </w:rPr>
        <w:t>u ochrony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pom</w:t>
      </w:r>
      <w:r w:rsidRPr="00064166">
        <w:rPr>
          <w:noProof/>
          <w:color w:val="auto"/>
          <w:sz w:val="22"/>
          <w:szCs w:val="22"/>
        </w:rPr>
        <w:t>ocy pasażerom</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prz</w:t>
      </w:r>
      <w:r w:rsidRPr="00064166">
        <w:rPr>
          <w:noProof/>
          <w:color w:val="auto"/>
          <w:sz w:val="22"/>
          <w:szCs w:val="22"/>
        </w:rPr>
        <w:t>ypadku poważnych zakłóceń</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tra</w:t>
      </w:r>
      <w:r w:rsidRPr="00064166">
        <w:rPr>
          <w:noProof/>
          <w:color w:val="auto"/>
          <w:sz w:val="22"/>
          <w:szCs w:val="22"/>
        </w:rPr>
        <w:t>nsporcie</w:t>
      </w:r>
      <w:r w:rsidRPr="00064166">
        <w:rPr>
          <w:rStyle w:val="FootnoteReference"/>
          <w:rFonts w:cs="Times New Roman"/>
          <w:noProof/>
          <w:color w:val="auto"/>
          <w:sz w:val="22"/>
          <w:szCs w:val="22"/>
        </w:rPr>
        <w:footnoteReference w:id="58"/>
      </w:r>
      <w:r w:rsidRPr="00064166">
        <w:rPr>
          <w:noProof/>
          <w:color w:val="auto"/>
          <w:sz w:val="22"/>
          <w:szCs w:val="22"/>
        </w:rPr>
        <w:t xml:space="preserve">. </w:t>
      </w:r>
    </w:p>
    <w:p w14:paraId="1820E488" w14:textId="0985A706" w:rsidR="009C058E" w:rsidRPr="00064166" w:rsidRDefault="009C058E" w:rsidP="001F6DAF">
      <w:pPr>
        <w:pStyle w:val="LegalNumPar"/>
        <w:spacing w:line="276" w:lineRule="auto"/>
        <w:rPr>
          <w:rFonts w:cs="Times New Roman"/>
          <w:noProof/>
          <w:color w:val="auto"/>
          <w:sz w:val="22"/>
          <w:szCs w:val="22"/>
        </w:rPr>
      </w:pPr>
      <w:r w:rsidRPr="00064166">
        <w:rPr>
          <w:b/>
          <w:noProof/>
          <w:color w:val="auto"/>
          <w:sz w:val="22"/>
          <w:szCs w:val="22"/>
        </w:rPr>
        <w:t>W stosownych przypadkach należy zmienić unijne przepisy dotyczące transportu, aby wprowadzić przepisy umożliwiające lepsze radzenie sobie</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pow</w:t>
      </w:r>
      <w:r w:rsidRPr="00064166">
        <w:rPr>
          <w:b/>
          <w:noProof/>
          <w:color w:val="auto"/>
          <w:sz w:val="22"/>
          <w:szCs w:val="22"/>
        </w:rPr>
        <w:t>ażnym kryzysem.</w:t>
      </w:r>
      <w:r w:rsidR="0052698C" w:rsidRPr="00064166">
        <w:rPr>
          <w:b/>
          <w:noProof/>
          <w:color w:val="auto"/>
          <w:sz w:val="22"/>
          <w:szCs w:val="22"/>
        </w:rPr>
        <w:t xml:space="preserve"> </w:t>
      </w:r>
      <w:r w:rsidRPr="00064166">
        <w:rPr>
          <w:noProof/>
          <w:color w:val="auto"/>
          <w:sz w:val="22"/>
          <w:szCs w:val="22"/>
        </w:rPr>
        <w:t>Przepisy te nie powinny jednak prowadzić do nieuzasadnionych wyjątków</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sto</w:t>
      </w:r>
      <w:r w:rsidRPr="00064166">
        <w:rPr>
          <w:noProof/>
          <w:color w:val="auto"/>
          <w:sz w:val="22"/>
          <w:szCs w:val="22"/>
        </w:rPr>
        <w:t>sowaniu prawa UE. Dlatego wprowadzenie takich klauzul należy starannie rozważyć podczas zmiany lub przyjmowania konkretnego rozporządzenia lub dyrektywy</w:t>
      </w:r>
      <w:r w:rsidR="00064166" w:rsidRPr="00064166">
        <w:rPr>
          <w:noProof/>
          <w:color w:val="auto"/>
          <w:sz w:val="22"/>
          <w:szCs w:val="22"/>
        </w:rPr>
        <w:t>.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ocen skutków należy ocenić, czy klauzule nadzwyczajne są konieczne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jak</w:t>
      </w:r>
      <w:r w:rsidRPr="00064166">
        <w:rPr>
          <w:noProof/>
          <w:color w:val="auto"/>
          <w:sz w:val="22"/>
          <w:szCs w:val="22"/>
        </w:rPr>
        <w:t xml:space="preserve"> powinny być skonstruowane. </w:t>
      </w:r>
    </w:p>
    <w:p w14:paraId="40EC0162" w14:textId="4A6510D0" w:rsidR="00F351B0" w:rsidRPr="00064166" w:rsidRDefault="001F6DAF" w:rsidP="001F6DAF">
      <w:pPr>
        <w:pStyle w:val="LegalNumPar"/>
        <w:spacing w:line="276" w:lineRule="auto"/>
        <w:rPr>
          <w:rFonts w:cs="Times New Roman"/>
          <w:noProof/>
          <w:color w:val="auto"/>
          <w:sz w:val="22"/>
          <w:szCs w:val="22"/>
        </w:rPr>
      </w:pPr>
      <w:r w:rsidRPr="00064166">
        <w:rPr>
          <w:noProof/>
          <w:color w:val="auto"/>
          <w:sz w:val="22"/>
          <w:szCs w:val="22"/>
        </w:rPr>
        <w:t>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tym</w:t>
      </w:r>
      <w:r w:rsidRPr="00064166">
        <w:rPr>
          <w:noProof/>
          <w:color w:val="auto"/>
          <w:sz w:val="22"/>
          <w:szCs w:val="22"/>
        </w:rPr>
        <w:t xml:space="preserve"> podejściem Komisja zaproponowała pewne przepisy</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niedawnych zmian przepisów dotyczących TEN-T</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int</w:t>
      </w:r>
      <w:r w:rsidRPr="00064166">
        <w:rPr>
          <w:noProof/>
          <w:color w:val="auto"/>
          <w:sz w:val="22"/>
          <w:szCs w:val="22"/>
        </w:rPr>
        <w:t>eligentnego systemu transportowego</w:t>
      </w:r>
      <w:r w:rsidRPr="00064166">
        <w:rPr>
          <w:rStyle w:val="FootnoteReference"/>
          <w:noProof/>
          <w:color w:val="auto"/>
          <w:sz w:val="22"/>
          <w:szCs w:val="22"/>
        </w:rPr>
        <w:footnoteReference w:id="59"/>
      </w:r>
      <w:r w:rsidRPr="00064166">
        <w:rPr>
          <w:noProof/>
          <w:color w:val="auto"/>
          <w:sz w:val="22"/>
          <w:szCs w:val="22"/>
        </w:rPr>
        <w:t>. Wzmocnienie transgranicznych odcinków TEN-T, zwiększenie multimodalności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ter</w:t>
      </w:r>
      <w:r w:rsidRPr="00064166">
        <w:rPr>
          <w:noProof/>
          <w:color w:val="auto"/>
          <w:sz w:val="22"/>
          <w:szCs w:val="22"/>
        </w:rPr>
        <w:t>minalach oraz przejście na zrównoważone rodzaje transportu to przykłady działań długoterminowych, które należy podjąć</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cel</w:t>
      </w:r>
      <w:r w:rsidRPr="00064166">
        <w:rPr>
          <w:noProof/>
          <w:color w:val="auto"/>
          <w:sz w:val="22"/>
          <w:szCs w:val="22"/>
        </w:rPr>
        <w:t>u zapewnienia lepszej gotowości. Komisja zamierza przeanalizować, czy właściwe jest zaoferowanie dodatkowej tymczasowej elastyczności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sto</w:t>
      </w:r>
      <w:r w:rsidRPr="00064166">
        <w:rPr>
          <w:noProof/>
          <w:color w:val="auto"/>
          <w:sz w:val="22"/>
          <w:szCs w:val="22"/>
        </w:rPr>
        <w:t>sowaniu przepisów dotyczących transportu drogowego</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zak</w:t>
      </w:r>
      <w:r w:rsidRPr="00064166">
        <w:rPr>
          <w:noProof/>
          <w:color w:val="auto"/>
          <w:sz w:val="22"/>
          <w:szCs w:val="22"/>
        </w:rPr>
        <w:t>resie ograniczeń</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cza</w:t>
      </w:r>
      <w:r w:rsidRPr="00064166">
        <w:rPr>
          <w:noProof/>
          <w:color w:val="auto"/>
          <w:sz w:val="22"/>
          <w:szCs w:val="22"/>
        </w:rPr>
        <w:t xml:space="preserve">su prowadzenia pojazdu, przy jednoczesnym zapewnieniu bezpieczeństwa operacji transportowych przez cały czas. </w:t>
      </w:r>
    </w:p>
    <w:p w14:paraId="38FDED7C" w14:textId="6EA3559B" w:rsidR="001F6DAF" w:rsidRPr="00064166" w:rsidRDefault="00126045" w:rsidP="001F6DAF">
      <w:pPr>
        <w:pStyle w:val="LegalNumPar"/>
        <w:spacing w:line="276" w:lineRule="auto"/>
        <w:rPr>
          <w:rFonts w:cs="Times New Roman"/>
          <w:noProof/>
          <w:color w:val="auto"/>
          <w:sz w:val="22"/>
          <w:szCs w:val="22"/>
        </w:rPr>
      </w:pPr>
      <w:r w:rsidRPr="00064166">
        <w:rPr>
          <w:noProof/>
          <w:color w:val="auto"/>
          <w:sz w:val="22"/>
          <w:szCs w:val="22"/>
        </w:rPr>
        <w:t>Te stałe przepisy mogłyby odzwierciedlać środki tymczasowe wprowadzone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odp</w:t>
      </w:r>
      <w:r w:rsidRPr="00064166">
        <w:rPr>
          <w:noProof/>
          <w:color w:val="auto"/>
          <w:sz w:val="22"/>
          <w:szCs w:val="22"/>
        </w:rPr>
        <w:t>owiedzi na kryzys związany z COVID-19, takie jak te wprowadzone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rozporządzenia Omnibus I i II lub</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zmian do rozporządzenia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przewozów lotniczych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roz</w:t>
      </w:r>
      <w:r w:rsidRPr="00064166">
        <w:rPr>
          <w:noProof/>
          <w:color w:val="auto"/>
          <w:sz w:val="22"/>
          <w:szCs w:val="22"/>
        </w:rPr>
        <w:t>porządzenia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przydzielania czasu na start lub lądowanie</w:t>
      </w:r>
      <w:r w:rsidRPr="00064166">
        <w:rPr>
          <w:rStyle w:val="FootnoteReference"/>
          <w:rFonts w:cs="Times New Roman"/>
          <w:noProof/>
          <w:color w:val="auto"/>
          <w:sz w:val="22"/>
          <w:szCs w:val="22"/>
        </w:rPr>
        <w:footnoteReference w:id="60"/>
      </w:r>
      <w:r w:rsidRPr="00064166">
        <w:rPr>
          <w:noProof/>
          <w:color w:val="auto"/>
          <w:sz w:val="22"/>
          <w:szCs w:val="22"/>
        </w:rPr>
        <w:t xml:space="preserve"> (zob. sekcja 2.4).</w:t>
      </w:r>
      <w:r w:rsidR="0052698C" w:rsidRPr="00064166">
        <w:rPr>
          <w:noProof/>
          <w:color w:val="auto"/>
          <w:sz w:val="22"/>
          <w:szCs w:val="22"/>
        </w:rPr>
        <w:t xml:space="preserve"> </w:t>
      </w:r>
      <w:r w:rsidRPr="00064166">
        <w:rPr>
          <w:noProof/>
          <w:color w:val="auto"/>
          <w:sz w:val="22"/>
          <w:szCs w:val="22"/>
        </w:rPr>
        <w:t>Podobnie wnioski wyciągnięte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pan</w:t>
      </w:r>
      <w:r w:rsidRPr="00064166">
        <w:rPr>
          <w:noProof/>
          <w:color w:val="auto"/>
          <w:sz w:val="22"/>
          <w:szCs w:val="22"/>
        </w:rPr>
        <w:t>demii COVID-19 powinny zapoczątkować długo odkładane dyskusje na temat zmiany rozporządzenia (WE) nr</w:t>
      </w:r>
      <w:r w:rsidR="00064166" w:rsidRPr="00064166">
        <w:rPr>
          <w:noProof/>
          <w:color w:val="auto"/>
          <w:sz w:val="22"/>
          <w:szCs w:val="22"/>
        </w:rPr>
        <w:t> </w:t>
      </w:r>
      <w:r w:rsidRPr="00064166">
        <w:rPr>
          <w:noProof/>
          <w:color w:val="auto"/>
          <w:sz w:val="22"/>
          <w:szCs w:val="22"/>
        </w:rPr>
        <w:t>261/2004</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praw pasażerów linii lotniczych, tak aby dostosować je do przyszłych sytuacji kryzysowych.</w:t>
      </w:r>
      <w:r w:rsidRPr="00064166">
        <w:rPr>
          <w:noProof/>
        </w:rPr>
        <w:t xml:space="preserve"> </w:t>
      </w:r>
      <w:r w:rsidRPr="00064166">
        <w:rPr>
          <w:noProof/>
          <w:color w:val="auto"/>
          <w:sz w:val="22"/>
          <w:szCs w:val="22"/>
        </w:rPr>
        <w:t>Wprowadzenie planów awaryjnych będzie także częścią bieżącej oceny prawodawstwa UE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zak</w:t>
      </w:r>
      <w:r w:rsidRPr="00064166">
        <w:rPr>
          <w:noProof/>
          <w:color w:val="auto"/>
          <w:sz w:val="22"/>
          <w:szCs w:val="22"/>
        </w:rPr>
        <w:t>resie praw pasażerów.</w:t>
      </w:r>
      <w:r w:rsidR="00064166" w:rsidRPr="00064166">
        <w:rPr>
          <w:noProof/>
          <w:color w:val="auto"/>
          <w:sz w:val="22"/>
          <w:szCs w:val="22"/>
        </w:rPr>
        <w:t xml:space="preserve"> </w:t>
      </w:r>
    </w:p>
    <w:p w14:paraId="008C8292" w14:textId="77777777" w:rsidR="001F6DAF" w:rsidRPr="00064166" w:rsidRDefault="001F6DAF" w:rsidP="001F6DAF">
      <w:pPr>
        <w:pStyle w:val="Heading2"/>
        <w:spacing w:before="240" w:after="240" w:line="276" w:lineRule="auto"/>
        <w:ind w:left="578" w:hanging="578"/>
        <w:rPr>
          <w:noProof/>
          <w:sz w:val="22"/>
          <w:szCs w:val="22"/>
        </w:rPr>
      </w:pPr>
      <w:r w:rsidRPr="00064166">
        <w:rPr>
          <w:noProof/>
          <w:sz w:val="22"/>
          <w:szCs w:val="22"/>
        </w:rPr>
        <w:t xml:space="preserve">Zapewnienie odpowiedniego wsparcia dla sektora transportu </w:t>
      </w:r>
    </w:p>
    <w:p w14:paraId="2979CA52" w14:textId="03983791" w:rsidR="001F6DAF" w:rsidRPr="00064166" w:rsidRDefault="00454E42" w:rsidP="001F6DAF">
      <w:pPr>
        <w:pStyle w:val="LegalNumPar"/>
        <w:spacing w:line="276" w:lineRule="auto"/>
        <w:rPr>
          <w:rFonts w:eastAsia="Times New Roman" w:cs="Times New Roman"/>
          <w:noProof/>
          <w:color w:val="auto"/>
          <w:sz w:val="22"/>
          <w:szCs w:val="22"/>
        </w:rPr>
      </w:pPr>
      <w:r w:rsidRPr="00064166">
        <w:rPr>
          <w:b/>
          <w:noProof/>
          <w:color w:val="auto"/>
          <w:sz w:val="22"/>
          <w:szCs w:val="22"/>
        </w:rPr>
        <w:t>Wzmocnienie odporności sektora transportu idzie</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par</w:t>
      </w:r>
      <w:r w:rsidRPr="00064166">
        <w:rPr>
          <w:b/>
          <w:noProof/>
          <w:color w:val="auto"/>
          <w:sz w:val="22"/>
          <w:szCs w:val="22"/>
        </w:rPr>
        <w:t>ze</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pop</w:t>
      </w:r>
      <w:r w:rsidRPr="00064166">
        <w:rPr>
          <w:b/>
          <w:noProof/>
          <w:color w:val="auto"/>
          <w:sz w:val="22"/>
          <w:szCs w:val="22"/>
        </w:rPr>
        <w:t>rawą jakości sieci połączeń</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zró</w:t>
      </w:r>
      <w:r w:rsidRPr="00064166">
        <w:rPr>
          <w:b/>
          <w:noProof/>
          <w:color w:val="auto"/>
          <w:sz w:val="22"/>
          <w:szCs w:val="22"/>
        </w:rPr>
        <w:t>wnoważonego rozwoju unijnego systemu transportu.</w:t>
      </w:r>
      <w:r w:rsidR="0052698C" w:rsidRPr="00064166">
        <w:rPr>
          <w:b/>
          <w:noProof/>
          <w:color w:val="auto"/>
          <w:sz w:val="22"/>
          <w:szCs w:val="22"/>
        </w:rPr>
        <w:t xml:space="preserve"> </w:t>
      </w:r>
      <w:r w:rsidRPr="00064166">
        <w:rPr>
          <w:noProof/>
          <w:color w:val="auto"/>
          <w:sz w:val="22"/>
          <w:szCs w:val="22"/>
        </w:rPr>
        <w:t>Komisja będzie nadal uważnie śledzić</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wsp</w:t>
      </w:r>
      <w:r w:rsidRPr="00064166">
        <w:rPr>
          <w:noProof/>
          <w:color w:val="auto"/>
          <w:sz w:val="22"/>
          <w:szCs w:val="22"/>
        </w:rPr>
        <w:t>ierać wdrażanie Instrumentu na rzecz Odbudowy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Zwi</w:t>
      </w:r>
      <w:r w:rsidRPr="00064166">
        <w:rPr>
          <w:noProof/>
          <w:color w:val="auto"/>
          <w:sz w:val="22"/>
          <w:szCs w:val="22"/>
        </w:rPr>
        <w:t>ększania Odporności (RRF), który pomoże zwiększyć odporność sektora transportu we wszystkich rodzajach transportu. Państwa członkowskie planują przeznaczyć znaczną część środków z RRF na transport, co plasuje go wśród najważniejszych sektorów gospodarki, które skorzystają</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inw</w:t>
      </w:r>
      <w:r w:rsidRPr="00064166">
        <w:rPr>
          <w:noProof/>
          <w:color w:val="auto"/>
          <w:sz w:val="22"/>
          <w:szCs w:val="22"/>
        </w:rPr>
        <w:t>estycji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NextGenerationEU. W 24 zatwierdzonych przez Radę planach odbudowy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zwi</w:t>
      </w:r>
      <w:r w:rsidRPr="00064166">
        <w:rPr>
          <w:noProof/>
          <w:color w:val="auto"/>
          <w:sz w:val="22"/>
          <w:szCs w:val="22"/>
        </w:rPr>
        <w:t>ększania odporności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krajowych planów odbudowy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zwi</w:t>
      </w:r>
      <w:r w:rsidRPr="00064166">
        <w:rPr>
          <w:noProof/>
          <w:color w:val="auto"/>
          <w:sz w:val="22"/>
          <w:szCs w:val="22"/>
        </w:rPr>
        <w:t>ększania odporności przeznaczona zostanie znaczna kwota na poprawę zrównoważonego rozwoju europejskiego systemu mobilności. Ogółem państwa członkowskie wydadzą 70,7 mld EUR na inwestycje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ref</w:t>
      </w:r>
      <w:r w:rsidRPr="00064166">
        <w:rPr>
          <w:noProof/>
          <w:color w:val="auto"/>
          <w:sz w:val="22"/>
          <w:szCs w:val="22"/>
        </w:rPr>
        <w:t>ormy związane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tra</w:t>
      </w:r>
      <w:r w:rsidRPr="00064166">
        <w:rPr>
          <w:noProof/>
          <w:color w:val="auto"/>
          <w:sz w:val="22"/>
          <w:szCs w:val="22"/>
        </w:rPr>
        <w:t>nsformacją ekologiczną transportu, co stanowi około 15,7</w:t>
      </w:r>
      <w:r w:rsidR="00064166" w:rsidRPr="00064166">
        <w:rPr>
          <w:noProof/>
          <w:color w:val="auto"/>
          <w:sz w:val="22"/>
          <w:szCs w:val="22"/>
        </w:rPr>
        <w:t> </w:t>
      </w:r>
      <w:r w:rsidRPr="00064166">
        <w:rPr>
          <w:noProof/>
          <w:color w:val="auto"/>
          <w:sz w:val="22"/>
          <w:szCs w:val="22"/>
        </w:rPr>
        <w:t>% przydziału środków. Dodatkowe inwestycje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ref</w:t>
      </w:r>
      <w:r w:rsidRPr="00064166">
        <w:rPr>
          <w:noProof/>
          <w:color w:val="auto"/>
          <w:sz w:val="22"/>
          <w:szCs w:val="22"/>
        </w:rPr>
        <w:t>ormy</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sek</w:t>
      </w:r>
      <w:r w:rsidRPr="00064166">
        <w:rPr>
          <w:noProof/>
          <w:color w:val="auto"/>
          <w:sz w:val="22"/>
          <w:szCs w:val="22"/>
        </w:rPr>
        <w:t>torze transportu dotyczą innych priorytetów, takich jak jego transformacja cyfrowa oraz spójność społeczna</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ter</w:t>
      </w:r>
      <w:r w:rsidRPr="00064166">
        <w:rPr>
          <w:noProof/>
          <w:color w:val="auto"/>
          <w:sz w:val="22"/>
          <w:szCs w:val="22"/>
        </w:rPr>
        <w:t>ytorialna</w:t>
      </w:r>
      <w:r w:rsidR="00064166" w:rsidRPr="00064166">
        <w:rPr>
          <w:noProof/>
          <w:color w:val="auto"/>
          <w:sz w:val="22"/>
          <w:szCs w:val="22"/>
        </w:rPr>
        <w:t>.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każdego planu krajowego pewna część środków przeznaczana jest na ten obszar</w:t>
      </w:r>
      <w:r w:rsidR="00064166" w:rsidRPr="00064166">
        <w:rPr>
          <w:noProof/>
          <w:color w:val="auto"/>
          <w:sz w:val="22"/>
          <w:szCs w:val="22"/>
        </w:rPr>
        <w:t>. W</w:t>
      </w:r>
      <w:r w:rsidR="00064166">
        <w:rPr>
          <w:noProof/>
          <w:color w:val="auto"/>
          <w:sz w:val="22"/>
          <w:szCs w:val="22"/>
        </w:rPr>
        <w:t> </w:t>
      </w:r>
      <w:r w:rsidR="00064166" w:rsidRPr="00064166">
        <w:rPr>
          <w:noProof/>
          <w:color w:val="auto"/>
          <w:sz w:val="22"/>
          <w:szCs w:val="22"/>
        </w:rPr>
        <w:t>obe</w:t>
      </w:r>
      <w:r w:rsidRPr="00064166">
        <w:rPr>
          <w:noProof/>
          <w:color w:val="auto"/>
          <w:sz w:val="22"/>
          <w:szCs w:val="22"/>
        </w:rPr>
        <w:t>cnej sytuacji geopolitycznej, na którą wywiera znaczny wpływ rosyjska agresja wojskowa na Ukrainie, jeszcze pilniejsze jest zmniejszenie zależności UE od paliw kopalnych. Aby sprostać tym wyzwaniom,</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dni</w:t>
      </w:r>
      <w:r w:rsidRPr="00064166">
        <w:rPr>
          <w:noProof/>
          <w:color w:val="auto"/>
          <w:sz w:val="22"/>
          <w:szCs w:val="22"/>
        </w:rPr>
        <w:t>u 18 maja 2022</w:t>
      </w:r>
      <w:r w:rsidR="00064166" w:rsidRPr="00064166">
        <w:rPr>
          <w:noProof/>
          <w:color w:val="auto"/>
          <w:sz w:val="22"/>
          <w:szCs w:val="22"/>
        </w:rPr>
        <w:t> </w:t>
      </w:r>
      <w:r w:rsidRPr="00064166">
        <w:rPr>
          <w:noProof/>
          <w:color w:val="auto"/>
          <w:sz w:val="22"/>
          <w:szCs w:val="22"/>
        </w:rPr>
        <w:t>r. Komisja opublikowała plan REPowerEU</w:t>
      </w:r>
      <w:r w:rsidRPr="00064166">
        <w:rPr>
          <w:rStyle w:val="FootnoteReference"/>
          <w:rFonts w:eastAsia="Times New Roman" w:cs="Times New Roman"/>
          <w:noProof/>
          <w:color w:val="auto"/>
          <w:sz w:val="22"/>
          <w:szCs w:val="22"/>
        </w:rPr>
        <w:footnoteReference w:id="61"/>
      </w:r>
      <w:r w:rsidRPr="00064166">
        <w:rPr>
          <w:noProof/>
          <w:color w:val="auto"/>
          <w:sz w:val="22"/>
          <w:szCs w:val="22"/>
        </w:rPr>
        <w:t xml:space="preserve"> określający wspólne europejskie działania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tej</w:t>
      </w:r>
      <w:r w:rsidRPr="00064166">
        <w:rPr>
          <w:noProof/>
          <w:color w:val="auto"/>
          <w:sz w:val="22"/>
          <w:szCs w:val="22"/>
        </w:rPr>
        <w:t xml:space="preserve"> dziedzinie. RRF będzie odgrywał kluczową rolę</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mob</w:t>
      </w:r>
      <w:r w:rsidRPr="00064166">
        <w:rPr>
          <w:noProof/>
          <w:color w:val="auto"/>
          <w:sz w:val="22"/>
          <w:szCs w:val="22"/>
        </w:rPr>
        <w:t>ilizowaniu</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wdr</w:t>
      </w:r>
      <w:r w:rsidRPr="00064166">
        <w:rPr>
          <w:noProof/>
          <w:color w:val="auto"/>
          <w:sz w:val="22"/>
          <w:szCs w:val="22"/>
        </w:rPr>
        <w:t>ażaniu dostępnych zasobów na szczeblu europejskim</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kra</w:t>
      </w:r>
      <w:r w:rsidRPr="00064166">
        <w:rPr>
          <w:noProof/>
          <w:color w:val="auto"/>
          <w:sz w:val="22"/>
          <w:szCs w:val="22"/>
        </w:rPr>
        <w:t>jowym, aby osiągnąć cele planu REPowerEU.</w:t>
      </w:r>
      <w:r w:rsidRPr="00064166">
        <w:rPr>
          <w:b/>
          <w:noProof/>
          <w:color w:val="auto"/>
          <w:sz w:val="22"/>
          <w:szCs w:val="22"/>
        </w:rPr>
        <w:t xml:space="preserve"> </w:t>
      </w:r>
      <w:r w:rsidRPr="00064166">
        <w:rPr>
          <w:noProof/>
          <w:color w:val="auto"/>
          <w:sz w:val="22"/>
          <w:szCs w:val="22"/>
        </w:rPr>
        <w:t>Ponadto instrumenty finansowe, takie jak instrument „Łącząc Europę”,</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tym</w:t>
      </w:r>
      <w:r w:rsidRPr="00064166">
        <w:rPr>
          <w:noProof/>
          <w:color w:val="auto"/>
          <w:sz w:val="22"/>
          <w:szCs w:val="22"/>
        </w:rPr>
        <w:t xml:space="preserve"> jego część dotycząca technologii cyfrowych, Fundusz Spójności, Europejski Fundusz Rozwoju Regionalnego</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Pro</w:t>
      </w:r>
      <w:r w:rsidRPr="00064166">
        <w:rPr>
          <w:noProof/>
          <w:color w:val="auto"/>
          <w:sz w:val="22"/>
          <w:szCs w:val="22"/>
        </w:rPr>
        <w:t>gram InvestEU, mają kluczowe znaczenie dla poprawy odporności jednolitego rynku poprzez inwestycje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inf</w:t>
      </w:r>
      <w:r w:rsidRPr="00064166">
        <w:rPr>
          <w:noProof/>
          <w:color w:val="auto"/>
          <w:sz w:val="22"/>
          <w:szCs w:val="22"/>
        </w:rPr>
        <w:t>rastrukturę sieci połączeń, cyfryzację</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łąc</w:t>
      </w:r>
      <w:r w:rsidRPr="00064166">
        <w:rPr>
          <w:noProof/>
          <w:color w:val="auto"/>
          <w:sz w:val="22"/>
          <w:szCs w:val="22"/>
        </w:rPr>
        <w:t>zność cyfrową oraz multimodalność unijnego systemu transportu,</w:t>
      </w:r>
      <w:r w:rsidR="00064166" w:rsidRPr="00064166">
        <w:rPr>
          <w:noProof/>
          <w:color w:val="auto"/>
          <w:sz w:val="22"/>
          <w:szCs w:val="22"/>
        </w:rPr>
        <w:t xml:space="preserve"> a</w:t>
      </w:r>
      <w:r w:rsidR="00064166">
        <w:rPr>
          <w:noProof/>
          <w:color w:val="auto"/>
          <w:sz w:val="22"/>
          <w:szCs w:val="22"/>
        </w:rPr>
        <w:t> </w:t>
      </w:r>
      <w:r w:rsidR="00064166" w:rsidRPr="00064166">
        <w:rPr>
          <w:noProof/>
          <w:color w:val="auto"/>
          <w:sz w:val="22"/>
          <w:szCs w:val="22"/>
        </w:rPr>
        <w:t>tak</w:t>
      </w:r>
      <w:r w:rsidRPr="00064166">
        <w:rPr>
          <w:noProof/>
          <w:color w:val="auto"/>
          <w:sz w:val="22"/>
          <w:szCs w:val="22"/>
        </w:rPr>
        <w:t xml:space="preserve">że dla zmniejszenia jego zależności od paliw kopalnych. </w:t>
      </w:r>
    </w:p>
    <w:p w14:paraId="405376DE" w14:textId="6D3380D3" w:rsidR="001F6DAF" w:rsidRPr="00064166" w:rsidRDefault="00E7201C" w:rsidP="00CC0E2F">
      <w:pPr>
        <w:pStyle w:val="LegalNumPar"/>
        <w:spacing w:line="276" w:lineRule="auto"/>
        <w:rPr>
          <w:rFonts w:eastAsia="Times New Roman" w:cs="Times New Roman"/>
          <w:noProof/>
          <w:color w:val="auto"/>
          <w:sz w:val="22"/>
          <w:szCs w:val="22"/>
        </w:rPr>
      </w:pPr>
      <w:r w:rsidRPr="00064166">
        <w:rPr>
          <w:b/>
          <w:noProof/>
          <w:color w:val="auto"/>
          <w:sz w:val="22"/>
          <w:szCs w:val="22"/>
        </w:rPr>
        <w:t>Aby szybko zareagować na przyszły kryzys, Komisja</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pań</w:t>
      </w:r>
      <w:r w:rsidRPr="00064166">
        <w:rPr>
          <w:b/>
          <w:noProof/>
          <w:color w:val="auto"/>
          <w:sz w:val="22"/>
          <w:szCs w:val="22"/>
        </w:rPr>
        <w:t>stwa członkowskie powinny</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raz</w:t>
      </w:r>
      <w:r w:rsidRPr="00064166">
        <w:rPr>
          <w:b/>
          <w:noProof/>
          <w:color w:val="auto"/>
          <w:sz w:val="22"/>
          <w:szCs w:val="22"/>
        </w:rPr>
        <w:t>ie potrzeby uruchomić inne fundusze,</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zal</w:t>
      </w:r>
      <w:r w:rsidRPr="00064166">
        <w:rPr>
          <w:b/>
          <w:noProof/>
          <w:color w:val="auto"/>
          <w:sz w:val="22"/>
          <w:szCs w:val="22"/>
        </w:rPr>
        <w:t>eżności od charakteru kryzysu.</w:t>
      </w:r>
      <w:r w:rsidR="0052698C" w:rsidRPr="00064166">
        <w:rPr>
          <w:b/>
          <w:noProof/>
          <w:color w:val="auto"/>
          <w:sz w:val="22"/>
          <w:szCs w:val="22"/>
        </w:rPr>
        <w:t xml:space="preserve"> </w:t>
      </w:r>
      <w:r w:rsidRPr="00064166">
        <w:rPr>
          <w:noProof/>
          <w:color w:val="auto"/>
          <w:sz w:val="22"/>
          <w:szCs w:val="22"/>
        </w:rPr>
        <w:t>Reakcja mogłaby również przybrać formę pomocy finansowej, polegającej na czasowym zwolnieniu</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zob</w:t>
      </w:r>
      <w:r w:rsidRPr="00064166">
        <w:rPr>
          <w:noProof/>
          <w:color w:val="auto"/>
          <w:sz w:val="22"/>
          <w:szCs w:val="22"/>
        </w:rPr>
        <w:t>owiązań płatniczych.</w:t>
      </w:r>
      <w:r w:rsidR="0052698C" w:rsidRPr="00064166">
        <w:rPr>
          <w:noProof/>
          <w:color w:val="auto"/>
          <w:sz w:val="22"/>
          <w:szCs w:val="22"/>
        </w:rPr>
        <w:t xml:space="preserve"> </w:t>
      </w:r>
      <w:r w:rsidRPr="00064166">
        <w:rPr>
          <w:noProof/>
          <w:color w:val="auto"/>
          <w:sz w:val="22"/>
          <w:szCs w:val="22"/>
        </w:rPr>
        <w:t>Komisja mogłaby również rozważyć środki legislacyjne zapewniające ulgi finansowe dla sektora transportu.</w:t>
      </w:r>
      <w:r w:rsidR="0052698C" w:rsidRPr="00064166">
        <w:rPr>
          <w:noProof/>
          <w:color w:val="auto"/>
          <w:sz w:val="22"/>
          <w:szCs w:val="22"/>
        </w:rPr>
        <w:t xml:space="preserve"> </w:t>
      </w:r>
      <w:r w:rsidRPr="00064166">
        <w:rPr>
          <w:noProof/>
          <w:color w:val="auto"/>
          <w:sz w:val="22"/>
        </w:rPr>
        <w:t>Środki te mogłyby pozwolić organowi zarządzającemu portem lub organowi odpowiedzialnemu na zrzeczenie się, zmniejszenie lub odroczenie opłat za korzystanie</w:t>
      </w:r>
      <w:r w:rsidR="00064166" w:rsidRPr="00064166">
        <w:rPr>
          <w:noProof/>
          <w:color w:val="auto"/>
          <w:sz w:val="22"/>
        </w:rPr>
        <w:t xml:space="preserve"> z</w:t>
      </w:r>
      <w:r w:rsidR="00064166">
        <w:rPr>
          <w:noProof/>
          <w:color w:val="auto"/>
          <w:sz w:val="22"/>
        </w:rPr>
        <w:t> </w:t>
      </w:r>
      <w:r w:rsidR="00064166" w:rsidRPr="00064166">
        <w:rPr>
          <w:noProof/>
          <w:color w:val="auto"/>
          <w:sz w:val="22"/>
        </w:rPr>
        <w:t>inf</w:t>
      </w:r>
      <w:r w:rsidRPr="00064166">
        <w:rPr>
          <w:noProof/>
          <w:color w:val="auto"/>
          <w:sz w:val="22"/>
        </w:rPr>
        <w:t>rastruktury portów morskich lub pozwolić zarządcom infrastruktury kolejowej na ustalenie opłat za dostęp poniżej kosztów operacyjnych (zob. sekcja 2.4).</w:t>
      </w:r>
      <w:r w:rsidRPr="00064166">
        <w:rPr>
          <w:noProof/>
          <w:color w:val="auto"/>
          <w:sz w:val="22"/>
          <w:szCs w:val="22"/>
        </w:rPr>
        <w:t xml:space="preserve"> Biorąc pod uwagę, że każdy kryzys jest inny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moż</w:t>
      </w:r>
      <w:r w:rsidRPr="00064166">
        <w:rPr>
          <w:noProof/>
          <w:color w:val="auto"/>
          <w:sz w:val="22"/>
          <w:szCs w:val="22"/>
        </w:rPr>
        <w:t>e wymagać innych działań, potrzeba tymczasowej pomocy państwa będzie analizowana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pos</w:t>
      </w:r>
      <w:r w:rsidRPr="00064166">
        <w:rPr>
          <w:noProof/>
          <w:color w:val="auto"/>
          <w:sz w:val="22"/>
          <w:szCs w:val="22"/>
        </w:rPr>
        <w:t>zczególnych przypadkach, zamiast ustanawiania stałych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nie</w:t>
      </w:r>
      <w:r w:rsidRPr="00064166">
        <w:rPr>
          <w:noProof/>
          <w:color w:val="auto"/>
          <w:sz w:val="22"/>
          <w:szCs w:val="22"/>
        </w:rPr>
        <w:t>elastycznych ram na przyszłość.</w:t>
      </w:r>
    </w:p>
    <w:p w14:paraId="5D040823" w14:textId="17173E3E" w:rsidR="00FC6378" w:rsidRPr="00064166" w:rsidRDefault="00FC6378" w:rsidP="00FC6378">
      <w:pPr>
        <w:pStyle w:val="Heading2"/>
        <w:spacing w:before="240" w:after="240" w:line="276" w:lineRule="auto"/>
        <w:ind w:left="578" w:hanging="578"/>
        <w:rPr>
          <w:noProof/>
          <w:sz w:val="22"/>
          <w:szCs w:val="22"/>
        </w:rPr>
      </w:pPr>
      <w:r w:rsidRPr="00064166">
        <w:rPr>
          <w:noProof/>
          <w:sz w:val="22"/>
          <w:szCs w:val="22"/>
        </w:rPr>
        <w:t>Zapewnienie swobodnego przepływu towarów, usług</w:t>
      </w:r>
      <w:r w:rsidR="00064166" w:rsidRPr="00064166">
        <w:rPr>
          <w:noProof/>
          <w:sz w:val="22"/>
          <w:szCs w:val="22"/>
        </w:rPr>
        <w:t xml:space="preserve"> i</w:t>
      </w:r>
      <w:r w:rsidR="00064166">
        <w:rPr>
          <w:noProof/>
          <w:sz w:val="22"/>
          <w:szCs w:val="22"/>
        </w:rPr>
        <w:t> </w:t>
      </w:r>
      <w:r w:rsidR="00064166" w:rsidRPr="00064166">
        <w:rPr>
          <w:noProof/>
          <w:sz w:val="22"/>
          <w:szCs w:val="22"/>
        </w:rPr>
        <w:t>osó</w:t>
      </w:r>
      <w:r w:rsidRPr="00064166">
        <w:rPr>
          <w:noProof/>
          <w:sz w:val="22"/>
          <w:szCs w:val="22"/>
        </w:rPr>
        <w:t xml:space="preserve">b </w:t>
      </w:r>
    </w:p>
    <w:p w14:paraId="7EB91501" w14:textId="48A66B43" w:rsidR="00FC6378" w:rsidRPr="00064166" w:rsidRDefault="00FC6378" w:rsidP="00FC6378">
      <w:pPr>
        <w:pStyle w:val="LegalNumPar"/>
        <w:spacing w:line="276" w:lineRule="auto"/>
        <w:rPr>
          <w:rFonts w:cs="Times New Roman"/>
          <w:b/>
          <w:noProof/>
          <w:color w:val="auto"/>
          <w:sz w:val="22"/>
          <w:szCs w:val="22"/>
        </w:rPr>
      </w:pPr>
      <w:r w:rsidRPr="00064166">
        <w:rPr>
          <w:b/>
          <w:noProof/>
          <w:color w:val="auto"/>
          <w:sz w:val="22"/>
          <w:szCs w:val="22"/>
        </w:rPr>
        <w:t>System uprzywilejowanych korytarzy, który został</w:t>
      </w:r>
      <w:r w:rsidR="00064166" w:rsidRPr="00064166">
        <w:rPr>
          <w:b/>
          <w:noProof/>
          <w:color w:val="auto"/>
          <w:sz w:val="22"/>
          <w:szCs w:val="22"/>
        </w:rPr>
        <w:t xml:space="preserve"> z</w:t>
      </w:r>
      <w:r w:rsidR="00064166">
        <w:rPr>
          <w:b/>
          <w:noProof/>
          <w:color w:val="auto"/>
          <w:sz w:val="22"/>
          <w:szCs w:val="22"/>
        </w:rPr>
        <w:t> </w:t>
      </w:r>
      <w:r w:rsidR="00064166" w:rsidRPr="00064166">
        <w:rPr>
          <w:b/>
          <w:noProof/>
          <w:color w:val="auto"/>
          <w:sz w:val="22"/>
          <w:szCs w:val="22"/>
        </w:rPr>
        <w:t>pow</w:t>
      </w:r>
      <w:r w:rsidRPr="00064166">
        <w:rPr>
          <w:b/>
          <w:noProof/>
          <w:color w:val="auto"/>
          <w:sz w:val="22"/>
          <w:szCs w:val="22"/>
        </w:rPr>
        <w:t>odzeniem wprowadzony podczas pandemii COVID-19, może zostać ponownie uruchomiony</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raz</w:t>
      </w:r>
      <w:r w:rsidRPr="00064166">
        <w:rPr>
          <w:b/>
          <w:noProof/>
          <w:color w:val="auto"/>
          <w:sz w:val="22"/>
          <w:szCs w:val="22"/>
        </w:rPr>
        <w:t>ie potrzeby, aby zaradzić każdemu nowemu kryzysowi mającemu wpływ na transport w UE.</w:t>
      </w:r>
      <w:r w:rsidRPr="00064166">
        <w:rPr>
          <w:noProof/>
          <w:color w:val="auto"/>
          <w:sz w:val="22"/>
          <w:szCs w:val="22"/>
        </w:rPr>
        <w:t xml:space="preserve"> Aby zagwarantować, że kontrole na granicach wewnętrznych pozostaną środkiem stosowanym</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ost</w:t>
      </w:r>
      <w:r w:rsidRPr="00064166">
        <w:rPr>
          <w:noProof/>
          <w:color w:val="auto"/>
          <w:sz w:val="22"/>
          <w:szCs w:val="22"/>
        </w:rPr>
        <w:t>ateczności, we wniosku Komisji dotyczącym kodeksu granicznego Schengen</w:t>
      </w:r>
      <w:r w:rsidRPr="00064166">
        <w:rPr>
          <w:rStyle w:val="FootnoteReference"/>
          <w:rFonts w:cs="Times New Roman"/>
          <w:noProof/>
          <w:color w:val="auto"/>
          <w:sz w:val="22"/>
          <w:szCs w:val="22"/>
        </w:rPr>
        <w:footnoteReference w:id="62"/>
      </w:r>
      <w:r w:rsidRPr="00064166">
        <w:rPr>
          <w:noProof/>
          <w:color w:val="auto"/>
          <w:sz w:val="22"/>
          <w:szCs w:val="22"/>
        </w:rPr>
        <w:t xml:space="preserve"> wyjaśniono</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roz</w:t>
      </w:r>
      <w:r w:rsidRPr="00064166">
        <w:rPr>
          <w:noProof/>
          <w:color w:val="auto"/>
          <w:sz w:val="22"/>
          <w:szCs w:val="22"/>
        </w:rPr>
        <w:t>szerzono wykaz elementów, które państwo członkowskie musi ocenić, podejmując decyzję</w:t>
      </w:r>
      <w:r w:rsidR="00064166" w:rsidRPr="00064166">
        <w:rPr>
          <w:noProof/>
          <w:color w:val="auto"/>
          <w:sz w:val="22"/>
          <w:szCs w:val="22"/>
        </w:rPr>
        <w:t xml:space="preserve"> o</w:t>
      </w:r>
      <w:r w:rsidR="00064166">
        <w:rPr>
          <w:noProof/>
          <w:color w:val="auto"/>
          <w:sz w:val="22"/>
          <w:szCs w:val="22"/>
        </w:rPr>
        <w:t> </w:t>
      </w:r>
      <w:r w:rsidR="00064166" w:rsidRPr="00064166">
        <w:rPr>
          <w:noProof/>
          <w:color w:val="auto"/>
          <w:sz w:val="22"/>
          <w:szCs w:val="22"/>
        </w:rPr>
        <w:t>tym</w:t>
      </w:r>
      <w:r w:rsidRPr="00064166">
        <w:rPr>
          <w:noProof/>
          <w:color w:val="auto"/>
          <w:sz w:val="22"/>
          <w:szCs w:val="22"/>
        </w:rPr>
        <w:t>czasowym przywróceniu kontroli granicznych. Nowe przepisy wprowadzają również wspólne narzędzia służące skuteczniejszemu zarządzaniu granicami zewnętrznymi</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prz</w:t>
      </w:r>
      <w:r w:rsidRPr="00064166">
        <w:rPr>
          <w:noProof/>
          <w:color w:val="auto"/>
          <w:sz w:val="22"/>
          <w:szCs w:val="22"/>
        </w:rPr>
        <w:t>ypadku kryzysu</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dzi</w:t>
      </w:r>
      <w:r w:rsidRPr="00064166">
        <w:rPr>
          <w:noProof/>
          <w:color w:val="auto"/>
          <w:sz w:val="22"/>
          <w:szCs w:val="22"/>
        </w:rPr>
        <w:t>edzinie zdrowia publicznego, które opierają się na wnioskach wyciągniętych</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pan</w:t>
      </w:r>
      <w:r w:rsidRPr="00064166">
        <w:rPr>
          <w:noProof/>
          <w:color w:val="auto"/>
          <w:sz w:val="22"/>
          <w:szCs w:val="22"/>
        </w:rPr>
        <w:t>demii COVID-19. W 2022</w:t>
      </w:r>
      <w:r w:rsidR="00064166" w:rsidRPr="00064166">
        <w:rPr>
          <w:noProof/>
          <w:color w:val="auto"/>
          <w:sz w:val="22"/>
          <w:szCs w:val="22"/>
        </w:rPr>
        <w:t> </w:t>
      </w:r>
      <w:r w:rsidRPr="00064166">
        <w:rPr>
          <w:noProof/>
          <w:color w:val="auto"/>
          <w:sz w:val="22"/>
          <w:szCs w:val="22"/>
        </w:rPr>
        <w:t xml:space="preserve">r. Komisja planuje przedstawić wniosek dotyczący </w:t>
      </w:r>
      <w:r w:rsidRPr="00064166">
        <w:rPr>
          <w:b/>
          <w:noProof/>
          <w:color w:val="auto"/>
          <w:sz w:val="22"/>
          <w:szCs w:val="22"/>
        </w:rPr>
        <w:t>instrumentu nadzwyczajnego jednolitego rynku</w:t>
      </w:r>
      <w:r w:rsidRPr="00064166">
        <w:rPr>
          <w:noProof/>
          <w:color w:val="auto"/>
          <w:sz w:val="22"/>
          <w:szCs w:val="22"/>
        </w:rPr>
        <w:t>. Będzie on stanowił ramy dla wdrażania środków reagowania kryzysowego istotnych dla sektora transportu,</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szc</w:t>
      </w:r>
      <w:r w:rsidRPr="00064166">
        <w:rPr>
          <w:noProof/>
          <w:color w:val="auto"/>
          <w:sz w:val="22"/>
          <w:szCs w:val="22"/>
        </w:rPr>
        <w:t>zególności swobodnego przepływu towarów, usług</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osó</w:t>
      </w:r>
      <w:r w:rsidRPr="00064166">
        <w:rPr>
          <w:noProof/>
          <w:color w:val="auto"/>
          <w:sz w:val="22"/>
          <w:szCs w:val="22"/>
        </w:rPr>
        <w:t>b, dostępności produktów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usł</w:t>
      </w:r>
      <w:r w:rsidRPr="00064166">
        <w:rPr>
          <w:noProof/>
          <w:color w:val="auto"/>
          <w:sz w:val="22"/>
          <w:szCs w:val="22"/>
        </w:rPr>
        <w:t>ug oraz przejrzystości</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koo</w:t>
      </w:r>
      <w:r w:rsidRPr="00064166">
        <w:rPr>
          <w:noProof/>
          <w:color w:val="auto"/>
          <w:sz w:val="22"/>
          <w:szCs w:val="22"/>
        </w:rPr>
        <w:t>rdynacji.</w:t>
      </w:r>
    </w:p>
    <w:p w14:paraId="1D67D5F4" w14:textId="4BE9B9D5" w:rsidR="00FC6378" w:rsidRPr="00064166" w:rsidRDefault="00E47F78" w:rsidP="00FC6378">
      <w:pPr>
        <w:pStyle w:val="LegalNumPar"/>
        <w:spacing w:line="276" w:lineRule="auto"/>
        <w:rPr>
          <w:rFonts w:cs="Times New Roman"/>
          <w:noProof/>
          <w:color w:val="auto"/>
          <w:sz w:val="22"/>
          <w:szCs w:val="22"/>
        </w:rPr>
      </w:pPr>
      <w:r w:rsidRPr="00064166">
        <w:rPr>
          <w:b/>
          <w:noProof/>
          <w:color w:val="auto"/>
          <w:sz w:val="22"/>
          <w:szCs w:val="22"/>
        </w:rPr>
        <w:t>Komisja wezwała państwa członkowskie do zapewnienia stosowania zasad postępowania</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syt</w:t>
      </w:r>
      <w:r w:rsidRPr="00064166">
        <w:rPr>
          <w:b/>
          <w:noProof/>
          <w:color w:val="auto"/>
          <w:sz w:val="22"/>
          <w:szCs w:val="22"/>
        </w:rPr>
        <w:t>uacjach awaryjnych oraz do ograniczenia do minimum kontroli, przeglądów</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inn</w:t>
      </w:r>
      <w:r w:rsidRPr="00064166">
        <w:rPr>
          <w:b/>
          <w:noProof/>
          <w:color w:val="auto"/>
          <w:sz w:val="22"/>
          <w:szCs w:val="22"/>
        </w:rPr>
        <w:t>ych formalności</w:t>
      </w:r>
      <w:r w:rsidR="00064166" w:rsidRPr="00064166">
        <w:rPr>
          <w:b/>
          <w:noProof/>
          <w:color w:val="auto"/>
          <w:sz w:val="22"/>
          <w:szCs w:val="22"/>
        </w:rPr>
        <w:t xml:space="preserve"> w</w:t>
      </w:r>
      <w:r w:rsidR="00064166">
        <w:rPr>
          <w:b/>
          <w:noProof/>
          <w:color w:val="auto"/>
          <w:sz w:val="22"/>
          <w:szCs w:val="22"/>
        </w:rPr>
        <w:t> </w:t>
      </w:r>
      <w:r w:rsidR="00064166" w:rsidRPr="00064166">
        <w:rPr>
          <w:b/>
          <w:noProof/>
          <w:color w:val="auto"/>
          <w:sz w:val="22"/>
          <w:szCs w:val="22"/>
        </w:rPr>
        <w:t>cel</w:t>
      </w:r>
      <w:r w:rsidRPr="00064166">
        <w:rPr>
          <w:b/>
          <w:noProof/>
          <w:color w:val="auto"/>
          <w:sz w:val="22"/>
          <w:szCs w:val="22"/>
        </w:rPr>
        <w:t>u zmniejszenia opóźnień na przejściach granicznych stanowiących uprzywilejowany korytarz</w:t>
      </w:r>
      <w:r w:rsidR="00064166" w:rsidRPr="00064166">
        <w:rPr>
          <w:b/>
          <w:noProof/>
          <w:color w:val="auto"/>
          <w:sz w:val="22"/>
          <w:szCs w:val="22"/>
        </w:rPr>
        <w:t xml:space="preserve"> i</w:t>
      </w:r>
      <w:r w:rsidR="00064166">
        <w:rPr>
          <w:b/>
          <w:noProof/>
          <w:color w:val="auto"/>
          <w:sz w:val="22"/>
          <w:szCs w:val="22"/>
        </w:rPr>
        <w:t> </w:t>
      </w:r>
      <w:r w:rsidR="00064166" w:rsidRPr="00064166">
        <w:rPr>
          <w:b/>
          <w:noProof/>
          <w:color w:val="auto"/>
          <w:sz w:val="22"/>
          <w:szCs w:val="22"/>
        </w:rPr>
        <w:t>prz</w:t>
      </w:r>
      <w:r w:rsidRPr="00064166">
        <w:rPr>
          <w:b/>
          <w:noProof/>
          <w:color w:val="auto"/>
          <w:sz w:val="22"/>
          <w:szCs w:val="22"/>
        </w:rPr>
        <w:t>estrzegania limitu czasowego 15 minut</w:t>
      </w:r>
      <w:r w:rsidRPr="00064166">
        <w:rPr>
          <w:noProof/>
          <w:color w:val="auto"/>
          <w:sz w:val="22"/>
          <w:szCs w:val="22"/>
        </w:rPr>
        <w:t>. Państwa członkowskie mogą również rozważyć zawieszenie wszelkich ograniczeń</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dos</w:t>
      </w:r>
      <w:r w:rsidRPr="00064166">
        <w:rPr>
          <w:noProof/>
          <w:color w:val="auto"/>
          <w:sz w:val="22"/>
          <w:szCs w:val="22"/>
        </w:rPr>
        <w:t>tępie do dróg na swoim terytorium (zakazy weekendowe, zakazy nocne, zakazy dotyczące niektórych sektorów transportu</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cel</w:t>
      </w:r>
      <w:r w:rsidRPr="00064166">
        <w:rPr>
          <w:noProof/>
          <w:color w:val="auto"/>
          <w:sz w:val="22"/>
          <w:szCs w:val="22"/>
        </w:rPr>
        <w:t>u zmniejszenia hałasu itp.), aby ułatwić transport drogowy towarów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nie</w:t>
      </w:r>
      <w:r w:rsidRPr="00064166">
        <w:rPr>
          <w:noProof/>
          <w:color w:val="auto"/>
          <w:sz w:val="22"/>
          <w:szCs w:val="22"/>
        </w:rPr>
        <w:t>zbędny swobodny przepływ pracowników sektora transportu. Powinny one również zadbać o to, aby składanie/wydawanie dokumentów drogą elektroniczną uznano za wystarczające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zac</w:t>
      </w:r>
      <w:r w:rsidRPr="00064166">
        <w:rPr>
          <w:noProof/>
          <w:color w:val="auto"/>
          <w:sz w:val="22"/>
          <w:szCs w:val="22"/>
        </w:rPr>
        <w:t>hęcano do tego. Państwa członkowskie powinny także kontynuować uznawanie zaświadczenia dla pracowników sektora transportu międzynarodowego wykonujących usługi transgraniczne, 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pro</w:t>
      </w:r>
      <w:r w:rsidRPr="00064166">
        <w:rPr>
          <w:noProof/>
          <w:color w:val="auto"/>
          <w:sz w:val="22"/>
          <w:szCs w:val="22"/>
        </w:rPr>
        <w:t>pozycją zawartą</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zał</w:t>
      </w:r>
      <w:r w:rsidRPr="00064166">
        <w:rPr>
          <w:noProof/>
          <w:color w:val="auto"/>
          <w:sz w:val="22"/>
          <w:szCs w:val="22"/>
        </w:rPr>
        <w:t>ączniku 3 do komunikatu</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uprzywilejowanych korytarzy</w:t>
      </w:r>
      <w:r w:rsidRPr="00064166">
        <w:rPr>
          <w:rStyle w:val="FootnoteReference"/>
          <w:rFonts w:cs="Times New Roman"/>
          <w:noProof/>
          <w:color w:val="auto"/>
          <w:sz w:val="22"/>
          <w:szCs w:val="22"/>
        </w:rPr>
        <w:footnoteReference w:id="63"/>
      </w:r>
      <w:r w:rsidRPr="00064166">
        <w:rPr>
          <w:noProof/>
          <w:color w:val="auto"/>
          <w:sz w:val="22"/>
          <w:szCs w:val="22"/>
        </w:rPr>
        <w:t>. Zaświadczenie to zostało już dodane do Praktycznego podręcznika UE dla straży granicznej</w:t>
      </w:r>
      <w:r w:rsidRPr="00064166">
        <w:rPr>
          <w:rStyle w:val="FootnoteReference"/>
          <w:rFonts w:cs="Times New Roman"/>
          <w:noProof/>
          <w:color w:val="auto"/>
          <w:sz w:val="22"/>
          <w:szCs w:val="22"/>
        </w:rPr>
        <w:footnoteReference w:id="64"/>
      </w:r>
      <w:r w:rsidRPr="00064166">
        <w:rPr>
          <w:noProof/>
          <w:color w:val="auto"/>
          <w:sz w:val="22"/>
          <w:szCs w:val="22"/>
        </w:rPr>
        <w:t>.</w:t>
      </w:r>
    </w:p>
    <w:p w14:paraId="3387BE98" w14:textId="2EF20790" w:rsidR="000124D3" w:rsidRPr="00064166" w:rsidRDefault="008125EF" w:rsidP="00FC6378">
      <w:pPr>
        <w:pStyle w:val="LegalNumPar"/>
        <w:spacing w:line="276" w:lineRule="auto"/>
        <w:rPr>
          <w:noProof/>
          <w:sz w:val="22"/>
          <w:szCs w:val="22"/>
        </w:rPr>
      </w:pPr>
      <w:r w:rsidRPr="00064166">
        <w:rPr>
          <w:noProof/>
          <w:color w:val="auto"/>
          <w:sz w:val="22"/>
          <w:szCs w:val="22"/>
        </w:rPr>
        <w:t>Jeśli dojdzie do kryzysu podobnego do tego, który miał miejsce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prz</w:t>
      </w:r>
      <w:r w:rsidRPr="00064166">
        <w:rPr>
          <w:noProof/>
          <w:color w:val="auto"/>
          <w:sz w:val="22"/>
          <w:szCs w:val="22"/>
        </w:rPr>
        <w:t>ypadku COVID-19, Komisja</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pań</w:t>
      </w:r>
      <w:r w:rsidRPr="00064166">
        <w:rPr>
          <w:noProof/>
          <w:color w:val="auto"/>
          <w:sz w:val="22"/>
          <w:szCs w:val="22"/>
        </w:rPr>
        <w:t>stwa członkowskie powinny skorzystać</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doś</w:t>
      </w:r>
      <w:r w:rsidRPr="00064166">
        <w:rPr>
          <w:noProof/>
          <w:color w:val="auto"/>
          <w:sz w:val="22"/>
          <w:szCs w:val="22"/>
        </w:rPr>
        <w:t xml:space="preserve">wiadczeń zdobytych podczas opracowywania </w:t>
      </w:r>
      <w:r w:rsidRPr="00064166">
        <w:rPr>
          <w:noProof/>
          <w:sz w:val="22"/>
          <w:szCs w:val="22"/>
        </w:rPr>
        <w:t>wspólnego wzoru unijnych cyfrowych kart lokalizacji pasażerów</w:t>
      </w:r>
      <w:r w:rsidRPr="00064166">
        <w:rPr>
          <w:rStyle w:val="FootnoteReference"/>
          <w:noProof/>
          <w:sz w:val="22"/>
          <w:szCs w:val="22"/>
        </w:rPr>
        <w:footnoteReference w:id="65"/>
      </w:r>
      <w:r w:rsidRPr="00064166">
        <w:rPr>
          <w:noProof/>
          <w:sz w:val="22"/>
          <w:szCs w:val="22"/>
        </w:rPr>
        <w:t xml:space="preserve"> oraz platformy służącej wymianie danych</w:t>
      </w:r>
      <w:r w:rsidR="00064166" w:rsidRPr="00064166">
        <w:rPr>
          <w:noProof/>
          <w:sz w:val="22"/>
          <w:szCs w:val="22"/>
        </w:rPr>
        <w:t xml:space="preserve"> o</w:t>
      </w:r>
      <w:r w:rsidR="00064166">
        <w:rPr>
          <w:noProof/>
          <w:sz w:val="22"/>
          <w:szCs w:val="22"/>
        </w:rPr>
        <w:t> </w:t>
      </w:r>
      <w:r w:rsidR="00064166" w:rsidRPr="00064166">
        <w:rPr>
          <w:noProof/>
          <w:sz w:val="22"/>
          <w:szCs w:val="22"/>
        </w:rPr>
        <w:t>pas</w:t>
      </w:r>
      <w:r w:rsidRPr="00064166">
        <w:rPr>
          <w:noProof/>
          <w:sz w:val="22"/>
          <w:szCs w:val="22"/>
        </w:rPr>
        <w:t>ażerach na potrzeby transgranicznego ustalania kontaktów zakaźnych. Narzędzia opracowane na szczeblu UE należy</w:t>
      </w:r>
      <w:r w:rsidR="00064166" w:rsidRPr="00064166">
        <w:rPr>
          <w:noProof/>
          <w:sz w:val="22"/>
          <w:szCs w:val="22"/>
        </w:rPr>
        <w:t xml:space="preserve"> w</w:t>
      </w:r>
      <w:r w:rsidR="00064166">
        <w:rPr>
          <w:noProof/>
          <w:sz w:val="22"/>
          <w:szCs w:val="22"/>
        </w:rPr>
        <w:t> </w:t>
      </w:r>
      <w:r w:rsidR="00064166" w:rsidRPr="00064166">
        <w:rPr>
          <w:noProof/>
          <w:sz w:val="22"/>
          <w:szCs w:val="22"/>
        </w:rPr>
        <w:t>raz</w:t>
      </w:r>
      <w:r w:rsidRPr="00064166">
        <w:rPr>
          <w:noProof/>
          <w:sz w:val="22"/>
          <w:szCs w:val="22"/>
        </w:rPr>
        <w:t>ie potrzeby szybko</w:t>
      </w:r>
      <w:r w:rsidR="00064166" w:rsidRPr="00064166">
        <w:rPr>
          <w:noProof/>
          <w:sz w:val="22"/>
          <w:szCs w:val="22"/>
        </w:rPr>
        <w:t xml:space="preserve"> i</w:t>
      </w:r>
      <w:r w:rsidR="00064166">
        <w:rPr>
          <w:noProof/>
          <w:sz w:val="22"/>
          <w:szCs w:val="22"/>
        </w:rPr>
        <w:t> </w:t>
      </w:r>
      <w:r w:rsidR="00064166" w:rsidRPr="00064166">
        <w:rPr>
          <w:noProof/>
          <w:sz w:val="22"/>
          <w:szCs w:val="22"/>
        </w:rPr>
        <w:t>łat</w:t>
      </w:r>
      <w:r w:rsidRPr="00064166">
        <w:rPr>
          <w:noProof/>
          <w:sz w:val="22"/>
          <w:szCs w:val="22"/>
        </w:rPr>
        <w:t xml:space="preserve">wo reaktywować. </w:t>
      </w:r>
    </w:p>
    <w:p w14:paraId="79A79599" w14:textId="10F27C3E" w:rsidR="006251C9" w:rsidRPr="00064166" w:rsidRDefault="006251C9" w:rsidP="006251C9">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b/>
          <w:i/>
          <w:noProof/>
          <w:sz w:val="22"/>
          <w:szCs w:val="22"/>
        </w:rPr>
      </w:pPr>
      <w:r w:rsidRPr="00064166">
        <w:rPr>
          <w:b/>
          <w:i/>
          <w:noProof/>
          <w:sz w:val="22"/>
          <w:szCs w:val="22"/>
        </w:rPr>
        <w:t>Utworzenie uprzywilejowanych korytarzy dla konwojów humanitarnych</w:t>
      </w:r>
      <w:r w:rsidR="00064166" w:rsidRPr="00064166">
        <w:rPr>
          <w:b/>
          <w:i/>
          <w:noProof/>
          <w:sz w:val="22"/>
          <w:szCs w:val="22"/>
        </w:rPr>
        <w:t xml:space="preserve"> i</w:t>
      </w:r>
      <w:r w:rsidR="00064166">
        <w:rPr>
          <w:b/>
          <w:i/>
          <w:noProof/>
          <w:sz w:val="22"/>
          <w:szCs w:val="22"/>
        </w:rPr>
        <w:t> </w:t>
      </w:r>
      <w:r w:rsidR="00064166" w:rsidRPr="00064166">
        <w:rPr>
          <w:b/>
          <w:i/>
          <w:noProof/>
          <w:sz w:val="22"/>
          <w:szCs w:val="22"/>
        </w:rPr>
        <w:t>cię</w:t>
      </w:r>
      <w:r w:rsidRPr="00064166">
        <w:rPr>
          <w:b/>
          <w:i/>
          <w:noProof/>
          <w:sz w:val="22"/>
          <w:szCs w:val="22"/>
        </w:rPr>
        <w:t>żarówek</w:t>
      </w:r>
    </w:p>
    <w:p w14:paraId="2D22FA41" w14:textId="5BEB5961" w:rsidR="00F84E3B" w:rsidRPr="00064166" w:rsidRDefault="00B3447A" w:rsidP="006251C9">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noProof/>
          <w:sz w:val="22"/>
          <w:szCs w:val="22"/>
        </w:rPr>
      </w:pPr>
      <w:r w:rsidRPr="00064166">
        <w:rPr>
          <w:noProof/>
          <w:sz w:val="22"/>
          <w:szCs w:val="22"/>
        </w:rPr>
        <w:t>Aby ułatwić konwojom humanitarnym szybkie</w:t>
      </w:r>
      <w:r w:rsidR="00064166" w:rsidRPr="00064166">
        <w:rPr>
          <w:noProof/>
          <w:sz w:val="22"/>
          <w:szCs w:val="22"/>
        </w:rPr>
        <w:t xml:space="preserve"> i</w:t>
      </w:r>
      <w:r w:rsidR="00064166">
        <w:rPr>
          <w:noProof/>
          <w:sz w:val="22"/>
          <w:szCs w:val="22"/>
        </w:rPr>
        <w:t> </w:t>
      </w:r>
      <w:r w:rsidR="00064166" w:rsidRPr="00064166">
        <w:rPr>
          <w:noProof/>
          <w:sz w:val="22"/>
          <w:szCs w:val="22"/>
        </w:rPr>
        <w:t>bez</w:t>
      </w:r>
      <w:r w:rsidRPr="00064166">
        <w:rPr>
          <w:noProof/>
          <w:sz w:val="22"/>
          <w:szCs w:val="22"/>
        </w:rPr>
        <w:t>pieczne przekraczanie granicy UE-Ukraina,</w:t>
      </w:r>
      <w:r w:rsidR="00064166" w:rsidRPr="00064166">
        <w:rPr>
          <w:noProof/>
          <w:sz w:val="22"/>
          <w:szCs w:val="22"/>
        </w:rPr>
        <w:t xml:space="preserve"> w</w:t>
      </w:r>
      <w:r w:rsidR="00064166">
        <w:rPr>
          <w:noProof/>
          <w:sz w:val="22"/>
          <w:szCs w:val="22"/>
        </w:rPr>
        <w:t> </w:t>
      </w:r>
      <w:r w:rsidR="00064166" w:rsidRPr="00064166">
        <w:rPr>
          <w:noProof/>
          <w:sz w:val="22"/>
          <w:szCs w:val="22"/>
        </w:rPr>
        <w:t>kom</w:t>
      </w:r>
      <w:r w:rsidRPr="00064166">
        <w:rPr>
          <w:noProof/>
          <w:sz w:val="22"/>
          <w:szCs w:val="22"/>
        </w:rPr>
        <w:t>unikacie</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wytycznych operacyjnych dotyczących zarządzania granicami zewnętrznymi nakazano państwom członkowskim wyznaczenie na przejściach granicznych specjalnych pasów jako uprzywilejowanych korytarzy. Zachęca się również do wyznaczania podobnych pasów ruchu dla samochodów ciężarowych, aby zapewnić ciągłość dostaw towarów</w:t>
      </w:r>
      <w:r w:rsidR="00064166" w:rsidRPr="00064166">
        <w:rPr>
          <w:noProof/>
          <w:sz w:val="22"/>
          <w:szCs w:val="22"/>
        </w:rPr>
        <w:t xml:space="preserve"> i</w:t>
      </w:r>
      <w:r w:rsidR="00064166">
        <w:rPr>
          <w:noProof/>
          <w:sz w:val="22"/>
          <w:szCs w:val="22"/>
        </w:rPr>
        <w:t> </w:t>
      </w:r>
      <w:r w:rsidR="00064166" w:rsidRPr="00064166">
        <w:rPr>
          <w:noProof/>
          <w:sz w:val="22"/>
          <w:szCs w:val="22"/>
        </w:rPr>
        <w:t>usł</w:t>
      </w:r>
      <w:r w:rsidRPr="00064166">
        <w:rPr>
          <w:noProof/>
          <w:sz w:val="22"/>
          <w:szCs w:val="22"/>
        </w:rPr>
        <w:t>ug oraz bezpieczny powrót pracowników sektora transportu</w:t>
      </w:r>
      <w:r w:rsidR="00064166" w:rsidRPr="00064166">
        <w:rPr>
          <w:noProof/>
          <w:sz w:val="22"/>
          <w:szCs w:val="22"/>
        </w:rPr>
        <w:t xml:space="preserve"> z</w:t>
      </w:r>
      <w:r w:rsidR="00064166">
        <w:rPr>
          <w:noProof/>
          <w:sz w:val="22"/>
          <w:szCs w:val="22"/>
        </w:rPr>
        <w:t> </w:t>
      </w:r>
      <w:r w:rsidR="00064166" w:rsidRPr="00064166">
        <w:rPr>
          <w:noProof/>
          <w:sz w:val="22"/>
          <w:szCs w:val="22"/>
        </w:rPr>
        <w:t>Ukr</w:t>
      </w:r>
      <w:r w:rsidRPr="00064166">
        <w:rPr>
          <w:noProof/>
          <w:sz w:val="22"/>
          <w:szCs w:val="22"/>
        </w:rPr>
        <w:t>ainy</w:t>
      </w:r>
      <w:r w:rsidRPr="00064166">
        <w:rPr>
          <w:rStyle w:val="FootnoteReference"/>
          <w:noProof/>
          <w:sz w:val="22"/>
          <w:szCs w:val="22"/>
        </w:rPr>
        <w:footnoteReference w:id="66"/>
      </w:r>
      <w:r w:rsidRPr="00064166">
        <w:rPr>
          <w:noProof/>
          <w:sz w:val="22"/>
          <w:szCs w:val="22"/>
        </w:rPr>
        <w:t>.</w:t>
      </w:r>
    </w:p>
    <w:p w14:paraId="31E76A34" w14:textId="77777777" w:rsidR="00F84E3B" w:rsidRPr="00064166" w:rsidRDefault="00F84E3B" w:rsidP="00F84E3B">
      <w:pPr>
        <w:pStyle w:val="ListParagraph"/>
        <w:ind w:left="576"/>
        <w:rPr>
          <w:rFonts w:ascii="Times New Roman" w:hAnsi="Times New Roman" w:cs="Times New Roman"/>
          <w:bCs/>
          <w:noProof/>
          <w:sz w:val="22"/>
          <w:szCs w:val="22"/>
        </w:rPr>
      </w:pPr>
    </w:p>
    <w:p w14:paraId="15E21786" w14:textId="49223E72" w:rsidR="00FC6378" w:rsidRPr="00064166" w:rsidRDefault="00A83F57" w:rsidP="00FC6378">
      <w:pPr>
        <w:pStyle w:val="Heading2"/>
        <w:spacing w:after="240" w:line="276" w:lineRule="auto"/>
        <w:rPr>
          <w:b w:val="0"/>
          <w:bCs/>
          <w:noProof/>
          <w:sz w:val="22"/>
          <w:szCs w:val="22"/>
        </w:rPr>
      </w:pPr>
      <w:r w:rsidRPr="00064166">
        <w:rPr>
          <w:noProof/>
          <w:sz w:val="22"/>
          <w:szCs w:val="22"/>
        </w:rPr>
        <w:t>Zarządzanie przepływem uchodźców</w:t>
      </w:r>
      <w:r w:rsidR="00064166" w:rsidRPr="00064166">
        <w:rPr>
          <w:noProof/>
          <w:sz w:val="22"/>
          <w:szCs w:val="22"/>
        </w:rPr>
        <w:t xml:space="preserve"> i</w:t>
      </w:r>
      <w:r w:rsidR="00064166">
        <w:rPr>
          <w:noProof/>
          <w:sz w:val="22"/>
          <w:szCs w:val="22"/>
        </w:rPr>
        <w:t> </w:t>
      </w:r>
      <w:r w:rsidR="00064166" w:rsidRPr="00064166">
        <w:rPr>
          <w:noProof/>
          <w:sz w:val="22"/>
          <w:szCs w:val="22"/>
        </w:rPr>
        <w:t>rep</w:t>
      </w:r>
      <w:r w:rsidRPr="00064166">
        <w:rPr>
          <w:noProof/>
          <w:sz w:val="22"/>
          <w:szCs w:val="22"/>
        </w:rPr>
        <w:t>atriacja pasażerów</w:t>
      </w:r>
      <w:r w:rsidR="00064166" w:rsidRPr="00064166">
        <w:rPr>
          <w:noProof/>
          <w:sz w:val="22"/>
          <w:szCs w:val="22"/>
        </w:rPr>
        <w:t xml:space="preserve"> i</w:t>
      </w:r>
      <w:r w:rsidR="00064166">
        <w:rPr>
          <w:noProof/>
          <w:sz w:val="22"/>
          <w:szCs w:val="22"/>
        </w:rPr>
        <w:t> </w:t>
      </w:r>
      <w:r w:rsidR="00064166" w:rsidRPr="00064166">
        <w:rPr>
          <w:noProof/>
          <w:sz w:val="22"/>
          <w:szCs w:val="22"/>
        </w:rPr>
        <w:t>pra</w:t>
      </w:r>
      <w:r w:rsidRPr="00064166">
        <w:rPr>
          <w:noProof/>
          <w:sz w:val="22"/>
          <w:szCs w:val="22"/>
        </w:rPr>
        <w:t>cowników sektora transportu, którzy utknęli</w:t>
      </w:r>
      <w:r w:rsidR="00064166" w:rsidRPr="00064166">
        <w:rPr>
          <w:noProof/>
          <w:sz w:val="22"/>
          <w:szCs w:val="22"/>
        </w:rPr>
        <w:t xml:space="preserve"> w</w:t>
      </w:r>
      <w:r w:rsidR="00064166">
        <w:rPr>
          <w:noProof/>
          <w:sz w:val="22"/>
          <w:szCs w:val="22"/>
        </w:rPr>
        <w:t> </w:t>
      </w:r>
      <w:r w:rsidR="00064166" w:rsidRPr="00064166">
        <w:rPr>
          <w:noProof/>
          <w:sz w:val="22"/>
          <w:szCs w:val="22"/>
        </w:rPr>
        <w:t>pod</w:t>
      </w:r>
      <w:r w:rsidRPr="00064166">
        <w:rPr>
          <w:noProof/>
          <w:sz w:val="22"/>
          <w:szCs w:val="22"/>
        </w:rPr>
        <w:t xml:space="preserve">róży </w:t>
      </w:r>
    </w:p>
    <w:p w14:paraId="1DAD1FDC" w14:textId="6E8318CE" w:rsidR="00FC6378" w:rsidRPr="00064166" w:rsidRDefault="00FC6378" w:rsidP="00FC6378">
      <w:pPr>
        <w:spacing w:line="276" w:lineRule="auto"/>
        <w:rPr>
          <w:noProof/>
          <w:sz w:val="22"/>
          <w:szCs w:val="22"/>
        </w:rPr>
      </w:pPr>
      <w:r w:rsidRPr="00064166">
        <w:rPr>
          <w:b/>
          <w:iCs/>
          <w:noProof/>
          <w:sz w:val="22"/>
          <w:szCs w:val="22"/>
        </w:rPr>
        <w:t>W państwach niebędących członkami UE delegatury Unii</w:t>
      </w:r>
      <w:r w:rsidR="00064166" w:rsidRPr="00064166">
        <w:rPr>
          <w:b/>
          <w:iCs/>
          <w:noProof/>
          <w:sz w:val="22"/>
          <w:szCs w:val="22"/>
        </w:rPr>
        <w:t xml:space="preserve"> i</w:t>
      </w:r>
      <w:r w:rsidR="00064166">
        <w:rPr>
          <w:b/>
          <w:iCs/>
          <w:noProof/>
          <w:sz w:val="22"/>
          <w:szCs w:val="22"/>
        </w:rPr>
        <w:t> </w:t>
      </w:r>
      <w:r w:rsidR="00064166" w:rsidRPr="00064166">
        <w:rPr>
          <w:b/>
          <w:iCs/>
          <w:noProof/>
          <w:sz w:val="22"/>
          <w:szCs w:val="22"/>
        </w:rPr>
        <w:t>pań</w:t>
      </w:r>
      <w:r w:rsidRPr="00064166">
        <w:rPr>
          <w:b/>
          <w:iCs/>
          <w:noProof/>
          <w:sz w:val="22"/>
          <w:szCs w:val="22"/>
        </w:rPr>
        <w:t>stwa członkowskie posiadające ambasady lub konsulaty powinny nadal zwiększać gotowość konsularną na wypadek sytuacji kryzysowych, przede wszystkim za pomocą lokalnych planów awaryjnych.</w:t>
      </w:r>
      <w:r w:rsidR="0052698C" w:rsidRPr="00064166">
        <w:rPr>
          <w:b/>
          <w:iCs/>
          <w:noProof/>
          <w:sz w:val="22"/>
          <w:szCs w:val="22"/>
        </w:rPr>
        <w:t xml:space="preserve"> </w:t>
      </w:r>
      <w:r w:rsidRPr="00064166">
        <w:rPr>
          <w:iCs/>
          <w:noProof/>
          <w:sz w:val="22"/>
          <w:szCs w:val="22"/>
        </w:rPr>
        <w:t>Należy rozważyć</w:t>
      </w:r>
      <w:r w:rsidR="00064166" w:rsidRPr="00064166">
        <w:rPr>
          <w:iCs/>
          <w:noProof/>
          <w:sz w:val="22"/>
          <w:szCs w:val="22"/>
        </w:rPr>
        <w:t xml:space="preserve"> i</w:t>
      </w:r>
      <w:r w:rsidR="00064166">
        <w:rPr>
          <w:iCs/>
          <w:noProof/>
          <w:sz w:val="22"/>
          <w:szCs w:val="22"/>
        </w:rPr>
        <w:t> </w:t>
      </w:r>
      <w:r w:rsidR="00064166" w:rsidRPr="00064166">
        <w:rPr>
          <w:iCs/>
          <w:noProof/>
          <w:sz w:val="22"/>
          <w:szCs w:val="22"/>
        </w:rPr>
        <w:t>utw</w:t>
      </w:r>
      <w:r w:rsidRPr="00064166">
        <w:rPr>
          <w:iCs/>
          <w:noProof/>
          <w:sz w:val="22"/>
          <w:szCs w:val="22"/>
        </w:rPr>
        <w:t>orzyć wspólne unijne konsularne zespoły reagowania kryzysowego,</w:t>
      </w:r>
      <w:r w:rsidR="00064166" w:rsidRPr="00064166">
        <w:rPr>
          <w:iCs/>
          <w:noProof/>
          <w:sz w:val="22"/>
          <w:szCs w:val="22"/>
        </w:rPr>
        <w:t xml:space="preserve"> w</w:t>
      </w:r>
      <w:r w:rsidR="00064166">
        <w:rPr>
          <w:iCs/>
          <w:noProof/>
          <w:sz w:val="22"/>
          <w:szCs w:val="22"/>
        </w:rPr>
        <w:t> </w:t>
      </w:r>
      <w:r w:rsidR="00064166" w:rsidRPr="00064166">
        <w:rPr>
          <w:iCs/>
          <w:noProof/>
          <w:sz w:val="22"/>
          <w:szCs w:val="22"/>
        </w:rPr>
        <w:t>tym</w:t>
      </w:r>
      <w:r w:rsidRPr="00064166">
        <w:rPr>
          <w:iCs/>
          <w:noProof/>
          <w:sz w:val="22"/>
          <w:szCs w:val="22"/>
        </w:rPr>
        <w:t xml:space="preserve"> ewentualny udział niereprezentowanych państw członkowskich.</w:t>
      </w:r>
      <w:r w:rsidR="0052698C" w:rsidRPr="00064166">
        <w:rPr>
          <w:iCs/>
          <w:noProof/>
          <w:sz w:val="22"/>
          <w:szCs w:val="22"/>
        </w:rPr>
        <w:t xml:space="preserve"> </w:t>
      </w:r>
      <w:r w:rsidRPr="00064166">
        <w:rPr>
          <w:noProof/>
          <w:sz w:val="22"/>
          <w:szCs w:val="22"/>
        </w:rPr>
        <w:t>ESDZ wzmocniła swoje konsularne środki reagowania</w:t>
      </w:r>
      <w:r w:rsidR="00064166" w:rsidRPr="00064166">
        <w:rPr>
          <w:noProof/>
          <w:sz w:val="22"/>
          <w:szCs w:val="22"/>
        </w:rPr>
        <w:t xml:space="preserve"> i</w:t>
      </w:r>
      <w:r w:rsidR="00064166">
        <w:rPr>
          <w:noProof/>
          <w:sz w:val="22"/>
          <w:szCs w:val="22"/>
        </w:rPr>
        <w:t> </w:t>
      </w:r>
      <w:r w:rsidR="00064166" w:rsidRPr="00064166">
        <w:rPr>
          <w:noProof/>
          <w:sz w:val="22"/>
          <w:szCs w:val="22"/>
        </w:rPr>
        <w:t>got</w:t>
      </w:r>
      <w:r w:rsidRPr="00064166">
        <w:rPr>
          <w:noProof/>
          <w:sz w:val="22"/>
          <w:szCs w:val="22"/>
        </w:rPr>
        <w:t>owość do działania poprzez utworzenie konsularnego zespołu kryzysowego, gotowego do podjęcia działań</w:t>
      </w:r>
      <w:r w:rsidR="00064166" w:rsidRPr="00064166">
        <w:rPr>
          <w:noProof/>
          <w:sz w:val="22"/>
          <w:szCs w:val="22"/>
        </w:rPr>
        <w:t xml:space="preserve"> i</w:t>
      </w:r>
      <w:r w:rsidR="00064166">
        <w:rPr>
          <w:noProof/>
          <w:sz w:val="22"/>
          <w:szCs w:val="22"/>
        </w:rPr>
        <w:t> </w:t>
      </w:r>
      <w:r w:rsidR="00064166" w:rsidRPr="00064166">
        <w:rPr>
          <w:noProof/>
          <w:sz w:val="22"/>
          <w:szCs w:val="22"/>
        </w:rPr>
        <w:t>koo</w:t>
      </w:r>
      <w:r w:rsidRPr="00064166">
        <w:rPr>
          <w:noProof/>
          <w:sz w:val="22"/>
          <w:szCs w:val="22"/>
        </w:rPr>
        <w:t>rdynowania – wraz</w:t>
      </w:r>
      <w:r w:rsidR="00064166" w:rsidRPr="00064166">
        <w:rPr>
          <w:noProof/>
          <w:sz w:val="22"/>
          <w:szCs w:val="22"/>
        </w:rPr>
        <w:t xml:space="preserve"> z</w:t>
      </w:r>
      <w:r w:rsidR="00064166">
        <w:rPr>
          <w:noProof/>
          <w:sz w:val="22"/>
          <w:szCs w:val="22"/>
        </w:rPr>
        <w:t> </w:t>
      </w:r>
      <w:r w:rsidR="00064166" w:rsidRPr="00064166">
        <w:rPr>
          <w:noProof/>
          <w:sz w:val="22"/>
          <w:szCs w:val="22"/>
        </w:rPr>
        <w:t>sie</w:t>
      </w:r>
      <w:r w:rsidRPr="00064166">
        <w:rPr>
          <w:noProof/>
          <w:sz w:val="22"/>
          <w:szCs w:val="22"/>
        </w:rPr>
        <w:t>cią delegatur Unii – działań repatriacyjnych organizowanych przez państwa członkowskie (sponsorowanych lub nie przez Unijny Mechanizm Ochrony Ludności).</w:t>
      </w:r>
    </w:p>
    <w:p w14:paraId="15AC0CE5" w14:textId="2E260955" w:rsidR="00E47F78" w:rsidRPr="00064166" w:rsidRDefault="00FC6378" w:rsidP="00E47F78">
      <w:pPr>
        <w:pStyle w:val="LegalNumPar"/>
        <w:spacing w:line="276" w:lineRule="auto"/>
        <w:rPr>
          <w:rFonts w:cs="Times New Roman"/>
          <w:iCs/>
          <w:noProof/>
          <w:color w:val="auto"/>
          <w:sz w:val="22"/>
          <w:szCs w:val="22"/>
        </w:rPr>
      </w:pPr>
      <w:r w:rsidRPr="00064166">
        <w:rPr>
          <w:b/>
          <w:iCs/>
          <w:noProof/>
          <w:color w:val="auto"/>
          <w:sz w:val="22"/>
          <w:szCs w:val="22"/>
        </w:rPr>
        <w:t>W razie potrzeby uruchomiony zostanie Unijny Mechanizm Ochrony Ludności oraz rezerwa rescEU.</w:t>
      </w:r>
      <w:r w:rsidR="0052698C" w:rsidRPr="00064166">
        <w:rPr>
          <w:b/>
          <w:iCs/>
          <w:noProof/>
          <w:color w:val="auto"/>
          <w:sz w:val="22"/>
          <w:szCs w:val="22"/>
        </w:rPr>
        <w:t xml:space="preserve"> </w:t>
      </w:r>
      <w:r w:rsidRPr="00064166">
        <w:rPr>
          <w:bCs/>
          <w:noProof/>
          <w:color w:val="auto"/>
          <w:sz w:val="22"/>
          <w:szCs w:val="22"/>
        </w:rPr>
        <w:t>Pasażerowie lub pracownicy mogą utknąć na terytorium UE lub poza nim.</w:t>
      </w:r>
      <w:r w:rsidR="0052698C" w:rsidRPr="00064166">
        <w:rPr>
          <w:bCs/>
          <w:noProof/>
          <w:color w:val="auto"/>
          <w:sz w:val="22"/>
          <w:szCs w:val="22"/>
        </w:rPr>
        <w:t xml:space="preserve"> </w:t>
      </w:r>
      <w:r w:rsidRPr="00064166">
        <w:rPr>
          <w:iCs/>
          <w:noProof/>
          <w:color w:val="auto"/>
          <w:sz w:val="22"/>
          <w:szCs w:val="22"/>
        </w:rPr>
        <w:t>Aby przygotować się na przyszłe kryzysy</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rea</w:t>
      </w:r>
      <w:r w:rsidRPr="00064166">
        <w:rPr>
          <w:iCs/>
          <w:noProof/>
          <w:color w:val="auto"/>
          <w:sz w:val="22"/>
          <w:szCs w:val="22"/>
        </w:rPr>
        <w:t>gować na nie, ESDZ będzie nadal przyczyniać się do współpracy</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koo</w:t>
      </w:r>
      <w:r w:rsidRPr="00064166">
        <w:rPr>
          <w:iCs/>
          <w:noProof/>
          <w:color w:val="auto"/>
          <w:sz w:val="22"/>
          <w:szCs w:val="22"/>
        </w:rPr>
        <w:t>rdynacji</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syt</w:t>
      </w:r>
      <w:r w:rsidRPr="00064166">
        <w:rPr>
          <w:iCs/>
          <w:noProof/>
          <w:color w:val="auto"/>
          <w:sz w:val="22"/>
          <w:szCs w:val="22"/>
        </w:rPr>
        <w:t>uacjach kryzysowych, ściśle współpracując</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pań</w:t>
      </w:r>
      <w:r w:rsidRPr="00064166">
        <w:rPr>
          <w:iCs/>
          <w:noProof/>
          <w:color w:val="auto"/>
          <w:sz w:val="22"/>
          <w:szCs w:val="22"/>
        </w:rPr>
        <w:t>stwami członkowskimi</w:t>
      </w:r>
      <w:r w:rsidR="00064166" w:rsidRPr="00064166">
        <w:rPr>
          <w:iCs/>
          <w:noProof/>
          <w:color w:val="auto"/>
          <w:sz w:val="22"/>
          <w:szCs w:val="22"/>
        </w:rPr>
        <w:t xml:space="preserve">. </w:t>
      </w:r>
      <w:r w:rsidR="00064166" w:rsidRPr="00064166">
        <w:rPr>
          <w:bCs/>
          <w:noProof/>
          <w:color w:val="auto"/>
          <w:sz w:val="22"/>
          <w:szCs w:val="22"/>
        </w:rPr>
        <w:t>W</w:t>
      </w:r>
      <w:r w:rsidR="00064166">
        <w:rPr>
          <w:iCs/>
          <w:noProof/>
          <w:color w:val="auto"/>
          <w:sz w:val="22"/>
          <w:szCs w:val="22"/>
        </w:rPr>
        <w:t> </w:t>
      </w:r>
      <w:r w:rsidR="00064166" w:rsidRPr="00064166">
        <w:rPr>
          <w:bCs/>
          <w:noProof/>
          <w:color w:val="auto"/>
          <w:sz w:val="22"/>
          <w:szCs w:val="22"/>
        </w:rPr>
        <w:t>prz</w:t>
      </w:r>
      <w:r w:rsidRPr="00064166">
        <w:rPr>
          <w:bCs/>
          <w:noProof/>
          <w:color w:val="auto"/>
          <w:sz w:val="22"/>
          <w:szCs w:val="22"/>
        </w:rPr>
        <w:t>ypadku przyszłych kryzysów Unijny Mechanizm Ochrony Ludności będzie wspierał repatriację obywateli Unii, którzy utknęli poza UE.</w:t>
      </w:r>
      <w:r w:rsidR="0052698C" w:rsidRPr="00064166">
        <w:rPr>
          <w:bCs/>
          <w:noProof/>
          <w:color w:val="auto"/>
          <w:sz w:val="22"/>
          <w:szCs w:val="22"/>
        </w:rPr>
        <w:t xml:space="preserve"> </w:t>
      </w:r>
      <w:r w:rsidRPr="00064166">
        <w:rPr>
          <w:iCs/>
          <w:noProof/>
          <w:color w:val="auto"/>
          <w:sz w:val="22"/>
          <w:szCs w:val="22"/>
        </w:rPr>
        <w:t>Mechanizm musi zostać szybko uruchomiony przez rząd lub rządy obywateli dotkniętych kryzysem.</w:t>
      </w:r>
      <w:r w:rsidRPr="00064166">
        <w:rPr>
          <w:noProof/>
          <w:color w:val="auto"/>
          <w:sz w:val="22"/>
          <w:szCs w:val="22"/>
        </w:rPr>
        <w:t xml:space="preserve"> Państwo członkowskie koordynujące pomoc dla wszystkich obywateli Unii dotkniętych kryzysem może również wysłać wniosek do Centrum Koordynacji Reagowania Kryzysowego Komisji Europejskiej.</w:t>
      </w:r>
      <w:r w:rsidRPr="00064166">
        <w:rPr>
          <w:iCs/>
          <w:noProof/>
          <w:color w:val="auto"/>
          <w:sz w:val="22"/>
          <w:szCs w:val="22"/>
        </w:rPr>
        <w:t xml:space="preserve"> </w:t>
      </w:r>
    </w:p>
    <w:p w14:paraId="04777C18" w14:textId="10801A61" w:rsidR="00E47F78" w:rsidRPr="00064166" w:rsidRDefault="00E47F78" w:rsidP="005134E5">
      <w:pPr>
        <w:pStyle w:val="LegalNumPar"/>
        <w:spacing w:line="276" w:lineRule="auto"/>
        <w:rPr>
          <w:rFonts w:cs="Times New Roman"/>
          <w:b/>
          <w:bCs/>
          <w:noProof/>
          <w:color w:val="auto"/>
          <w:sz w:val="22"/>
          <w:szCs w:val="22"/>
        </w:rPr>
      </w:pPr>
      <w:r w:rsidRPr="00064166">
        <w:rPr>
          <w:iCs/>
          <w:noProof/>
          <w:color w:val="auto"/>
          <w:sz w:val="22"/>
          <w:szCs w:val="22"/>
        </w:rPr>
        <w:t>Ewakuacja może być przeprowadzana przez państwa członkowskie lub państwa uczestniczące</w:t>
      </w:r>
      <w:r w:rsidRPr="00064166">
        <w:rPr>
          <w:rStyle w:val="FootnoteReference"/>
          <w:rFonts w:cs="Times New Roman"/>
          <w:iCs/>
          <w:noProof/>
          <w:color w:val="auto"/>
          <w:sz w:val="22"/>
          <w:szCs w:val="22"/>
        </w:rPr>
        <w:footnoteReference w:id="67"/>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Mec</w:t>
      </w:r>
      <w:r w:rsidRPr="00064166">
        <w:rPr>
          <w:iCs/>
          <w:noProof/>
          <w:color w:val="auto"/>
          <w:sz w:val="22"/>
          <w:szCs w:val="22"/>
        </w:rPr>
        <w:t>hanizmie na zasadzie dobrowolności,</w:t>
      </w:r>
      <w:r w:rsidR="00064166" w:rsidRPr="00064166">
        <w:rPr>
          <w:iCs/>
          <w:noProof/>
          <w:color w:val="auto"/>
          <w:sz w:val="22"/>
          <w:szCs w:val="22"/>
        </w:rPr>
        <w:t xml:space="preserve"> a</w:t>
      </w:r>
      <w:r w:rsidR="00064166">
        <w:rPr>
          <w:iCs/>
          <w:noProof/>
          <w:color w:val="auto"/>
          <w:sz w:val="22"/>
          <w:szCs w:val="22"/>
        </w:rPr>
        <w:t> </w:t>
      </w:r>
      <w:r w:rsidR="00064166" w:rsidRPr="00064166">
        <w:rPr>
          <w:iCs/>
          <w:noProof/>
          <w:color w:val="auto"/>
          <w:sz w:val="22"/>
          <w:szCs w:val="22"/>
        </w:rPr>
        <w:t>Kom</w:t>
      </w:r>
      <w:r w:rsidRPr="00064166">
        <w:rPr>
          <w:iCs/>
          <w:noProof/>
          <w:color w:val="auto"/>
          <w:sz w:val="22"/>
          <w:szCs w:val="22"/>
        </w:rPr>
        <w:t>isja może współfinansować do</w:t>
      </w:r>
      <w:r w:rsidR="00064166" w:rsidRPr="00064166">
        <w:rPr>
          <w:iCs/>
          <w:noProof/>
          <w:color w:val="auto"/>
          <w:sz w:val="22"/>
          <w:szCs w:val="22"/>
        </w:rPr>
        <w:t> </w:t>
      </w:r>
      <w:r w:rsidRPr="00064166">
        <w:rPr>
          <w:iCs/>
          <w:noProof/>
          <w:color w:val="auto"/>
          <w:sz w:val="22"/>
          <w:szCs w:val="22"/>
        </w:rPr>
        <w:t>75</w:t>
      </w:r>
      <w:r w:rsidR="00064166" w:rsidRPr="00064166">
        <w:rPr>
          <w:iCs/>
          <w:noProof/>
          <w:color w:val="auto"/>
          <w:sz w:val="22"/>
          <w:szCs w:val="22"/>
        </w:rPr>
        <w:t> </w:t>
      </w:r>
      <w:r w:rsidRPr="00064166">
        <w:rPr>
          <w:iCs/>
          <w:noProof/>
          <w:color w:val="auto"/>
          <w:sz w:val="22"/>
          <w:szCs w:val="22"/>
        </w:rPr>
        <w:t>% kosztów transportu.</w:t>
      </w:r>
      <w:r w:rsidR="0052698C" w:rsidRPr="00064166">
        <w:rPr>
          <w:iCs/>
          <w:noProof/>
          <w:color w:val="auto"/>
          <w:sz w:val="22"/>
          <w:szCs w:val="22"/>
        </w:rPr>
        <w:t xml:space="preserve"> </w:t>
      </w:r>
      <w:r w:rsidRPr="00064166">
        <w:rPr>
          <w:iCs/>
          <w:noProof/>
          <w:color w:val="auto"/>
          <w:sz w:val="22"/>
          <w:szCs w:val="22"/>
        </w:rPr>
        <w:t>Zmienione przepisy dotyczące Mechanizmu</w:t>
      </w:r>
      <w:r w:rsidRPr="00064166">
        <w:rPr>
          <w:rStyle w:val="FootnoteReference"/>
          <w:rFonts w:cs="Times New Roman"/>
          <w:iCs/>
          <w:noProof/>
          <w:color w:val="auto"/>
          <w:sz w:val="22"/>
          <w:szCs w:val="22"/>
        </w:rPr>
        <w:footnoteReference w:id="68"/>
      </w:r>
      <w:r w:rsidRPr="00064166">
        <w:rPr>
          <w:noProof/>
          <w:color w:val="auto"/>
        </w:rPr>
        <w:t xml:space="preserve"> </w:t>
      </w:r>
      <w:r w:rsidRPr="00064166">
        <w:rPr>
          <w:iCs/>
          <w:noProof/>
          <w:color w:val="auto"/>
        </w:rPr>
        <w:t>przewidują możliwość opracowania wielozadaniowych statków powietrznych na potrzeby rezerwy rescEU do ewakuacji medycznej</w:t>
      </w:r>
      <w:r w:rsidR="00064166" w:rsidRPr="00064166">
        <w:rPr>
          <w:iCs/>
          <w:noProof/>
          <w:color w:val="auto"/>
        </w:rPr>
        <w:t>.</w:t>
      </w:r>
      <w:r w:rsidR="00064166" w:rsidRPr="00064166">
        <w:rPr>
          <w:iCs/>
          <w:noProof/>
          <w:color w:val="auto"/>
          <w:sz w:val="22"/>
          <w:szCs w:val="22"/>
        </w:rPr>
        <w:t xml:space="preserve"> W</w:t>
      </w:r>
      <w:r w:rsidR="00064166">
        <w:rPr>
          <w:iCs/>
          <w:noProof/>
          <w:color w:val="auto"/>
        </w:rPr>
        <w:t> </w:t>
      </w:r>
      <w:r w:rsidR="00064166" w:rsidRPr="00064166">
        <w:rPr>
          <w:iCs/>
          <w:noProof/>
          <w:color w:val="auto"/>
          <w:sz w:val="22"/>
          <w:szCs w:val="22"/>
        </w:rPr>
        <w:t>prz</w:t>
      </w:r>
      <w:r w:rsidRPr="00064166">
        <w:rPr>
          <w:iCs/>
          <w:noProof/>
          <w:color w:val="auto"/>
          <w:sz w:val="22"/>
          <w:szCs w:val="22"/>
        </w:rPr>
        <w:t>yszłości Komisja mogłaby wykorzystywać te statki powietrzne,</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ost</w:t>
      </w:r>
      <w:r w:rsidRPr="00064166">
        <w:rPr>
          <w:iCs/>
          <w:noProof/>
          <w:color w:val="auto"/>
          <w:sz w:val="22"/>
          <w:szCs w:val="22"/>
        </w:rPr>
        <w:t>ateczności, do reagowania na prośby państw członkowskich</w:t>
      </w:r>
      <w:r w:rsidR="00064166" w:rsidRPr="00064166">
        <w:rPr>
          <w:iCs/>
          <w:noProof/>
          <w:color w:val="auto"/>
          <w:sz w:val="22"/>
          <w:szCs w:val="22"/>
        </w:rPr>
        <w:t xml:space="preserve"> o</w:t>
      </w:r>
      <w:r w:rsidR="00064166">
        <w:rPr>
          <w:iCs/>
          <w:noProof/>
          <w:color w:val="auto"/>
          <w:sz w:val="22"/>
          <w:szCs w:val="22"/>
        </w:rPr>
        <w:t> </w:t>
      </w:r>
      <w:r w:rsidR="00064166" w:rsidRPr="00064166">
        <w:rPr>
          <w:iCs/>
          <w:noProof/>
          <w:color w:val="auto"/>
          <w:sz w:val="22"/>
          <w:szCs w:val="22"/>
        </w:rPr>
        <w:t>pom</w:t>
      </w:r>
      <w:r w:rsidRPr="00064166">
        <w:rPr>
          <w:iCs/>
          <w:noProof/>
          <w:color w:val="auto"/>
          <w:sz w:val="22"/>
          <w:szCs w:val="22"/>
        </w:rPr>
        <w:t>oc</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ewa</w:t>
      </w:r>
      <w:r w:rsidRPr="00064166">
        <w:rPr>
          <w:iCs/>
          <w:noProof/>
          <w:color w:val="auto"/>
          <w:sz w:val="22"/>
          <w:szCs w:val="22"/>
        </w:rPr>
        <w:t>kuacjach konsularnych</w:t>
      </w:r>
      <w:r w:rsidR="00064166" w:rsidRPr="00064166">
        <w:rPr>
          <w:iCs/>
          <w:noProof/>
          <w:color w:val="auto"/>
          <w:sz w:val="22"/>
          <w:szCs w:val="22"/>
        </w:rPr>
        <w:t>. W</w:t>
      </w:r>
      <w:r w:rsidR="00064166">
        <w:rPr>
          <w:iCs/>
          <w:noProof/>
          <w:color w:val="auto"/>
          <w:sz w:val="22"/>
          <w:szCs w:val="22"/>
        </w:rPr>
        <w:t> </w:t>
      </w:r>
      <w:r w:rsidR="00064166" w:rsidRPr="00064166">
        <w:rPr>
          <w:iCs/>
          <w:noProof/>
          <w:color w:val="auto"/>
          <w:sz w:val="22"/>
          <w:szCs w:val="22"/>
        </w:rPr>
        <w:t>prz</w:t>
      </w:r>
      <w:r w:rsidRPr="00064166">
        <w:rPr>
          <w:iCs/>
          <w:noProof/>
          <w:color w:val="auto"/>
          <w:sz w:val="22"/>
          <w:szCs w:val="22"/>
        </w:rPr>
        <w:t xml:space="preserve">ypadku kryzysu związanego ze zdrowiem </w:t>
      </w:r>
      <w:r w:rsidRPr="00064166">
        <w:rPr>
          <w:noProof/>
          <w:color w:val="auto"/>
          <w:sz w:val="22"/>
          <w:szCs w:val="22"/>
        </w:rPr>
        <w:t>ewakuacja medyczna pasażerów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pra</w:t>
      </w:r>
      <w:r w:rsidRPr="00064166">
        <w:rPr>
          <w:noProof/>
          <w:color w:val="auto"/>
          <w:sz w:val="22"/>
          <w:szCs w:val="22"/>
        </w:rPr>
        <w:t>cowników sektora transportu UE może zostać uruchomiona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operacji ewakuacji medycznej oraz poprzez unijny system wczesnego ostrzegania</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rea</w:t>
      </w:r>
      <w:r w:rsidRPr="00064166">
        <w:rPr>
          <w:noProof/>
          <w:color w:val="auto"/>
          <w:sz w:val="22"/>
          <w:szCs w:val="22"/>
        </w:rPr>
        <w:t>gowania</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koo</w:t>
      </w:r>
      <w:r w:rsidRPr="00064166">
        <w:rPr>
          <w:noProof/>
          <w:color w:val="auto"/>
          <w:sz w:val="22"/>
          <w:szCs w:val="22"/>
        </w:rPr>
        <w:t>rdynacji</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Kom</w:t>
      </w:r>
      <w:r w:rsidRPr="00064166">
        <w:rPr>
          <w:noProof/>
          <w:color w:val="auto"/>
          <w:sz w:val="22"/>
          <w:szCs w:val="22"/>
        </w:rPr>
        <w:t>isją.</w:t>
      </w:r>
      <w:r w:rsidR="0052698C" w:rsidRPr="00064166">
        <w:rPr>
          <w:noProof/>
          <w:color w:val="auto"/>
          <w:sz w:val="22"/>
          <w:szCs w:val="22"/>
        </w:rPr>
        <w:t xml:space="preserve"> </w:t>
      </w:r>
    </w:p>
    <w:p w14:paraId="76E06275" w14:textId="601BDB4F" w:rsidR="00E47F78" w:rsidRPr="00064166" w:rsidRDefault="00E47F78" w:rsidP="00E47F78">
      <w:pPr>
        <w:pStyle w:val="LegalNumPar"/>
        <w:spacing w:line="276" w:lineRule="auto"/>
        <w:rPr>
          <w:rFonts w:cs="Times New Roman"/>
          <w:iCs/>
          <w:noProof/>
          <w:color w:val="auto"/>
          <w:sz w:val="22"/>
          <w:szCs w:val="22"/>
        </w:rPr>
      </w:pPr>
      <w:r w:rsidRPr="00064166">
        <w:rPr>
          <w:b/>
          <w:bCs/>
          <w:noProof/>
          <w:color w:val="auto"/>
          <w:sz w:val="22"/>
          <w:szCs w:val="22"/>
        </w:rPr>
        <w:t>Komisja i ESDZ będą koordynować</w:t>
      </w:r>
      <w:r w:rsidR="00064166" w:rsidRPr="00064166">
        <w:rPr>
          <w:b/>
          <w:bCs/>
          <w:noProof/>
          <w:color w:val="auto"/>
          <w:sz w:val="22"/>
          <w:szCs w:val="22"/>
        </w:rPr>
        <w:t xml:space="preserve"> i</w:t>
      </w:r>
      <w:r w:rsidR="00064166">
        <w:rPr>
          <w:b/>
          <w:bCs/>
          <w:noProof/>
          <w:color w:val="auto"/>
          <w:sz w:val="22"/>
          <w:szCs w:val="22"/>
        </w:rPr>
        <w:t> </w:t>
      </w:r>
      <w:r w:rsidR="00064166" w:rsidRPr="00064166">
        <w:rPr>
          <w:b/>
          <w:bCs/>
          <w:noProof/>
          <w:color w:val="auto"/>
          <w:sz w:val="22"/>
          <w:szCs w:val="22"/>
        </w:rPr>
        <w:t>mon</w:t>
      </w:r>
      <w:r w:rsidRPr="00064166">
        <w:rPr>
          <w:b/>
          <w:bCs/>
          <w:noProof/>
          <w:color w:val="auto"/>
          <w:sz w:val="22"/>
          <w:szCs w:val="22"/>
        </w:rPr>
        <w:t>itorować tworzenie bezpiecznych korytarzy tranzytowych.</w:t>
      </w:r>
      <w:r w:rsidR="0052698C" w:rsidRPr="00064166">
        <w:rPr>
          <w:noProof/>
          <w:color w:val="auto"/>
          <w:sz w:val="22"/>
          <w:szCs w:val="22"/>
        </w:rPr>
        <w:t xml:space="preserve"> </w:t>
      </w:r>
      <w:r w:rsidRPr="00064166">
        <w:rPr>
          <w:noProof/>
          <w:color w:val="auto"/>
          <w:sz w:val="22"/>
          <w:szCs w:val="22"/>
        </w:rPr>
        <w:t>Zgodnie</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kom</w:t>
      </w:r>
      <w:r w:rsidRPr="00064166">
        <w:rPr>
          <w:noProof/>
          <w:color w:val="auto"/>
          <w:sz w:val="22"/>
          <w:szCs w:val="22"/>
        </w:rPr>
        <w:t>unikatem</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spr</w:t>
      </w:r>
      <w:r w:rsidRPr="00064166">
        <w:rPr>
          <w:noProof/>
          <w:color w:val="auto"/>
          <w:sz w:val="22"/>
          <w:szCs w:val="22"/>
        </w:rPr>
        <w:t>awie uprzywilejowanych korytarzy</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mar</w:t>
      </w:r>
      <w:r w:rsidRPr="00064166">
        <w:rPr>
          <w:noProof/>
          <w:color w:val="auto"/>
          <w:sz w:val="22"/>
          <w:szCs w:val="22"/>
        </w:rPr>
        <w:t>ca 2020</w:t>
      </w:r>
      <w:r w:rsidR="00064166" w:rsidRPr="00064166">
        <w:rPr>
          <w:noProof/>
          <w:color w:val="auto"/>
          <w:sz w:val="22"/>
          <w:szCs w:val="22"/>
        </w:rPr>
        <w:t> </w:t>
      </w:r>
      <w:r w:rsidRPr="00064166">
        <w:rPr>
          <w:noProof/>
          <w:color w:val="auto"/>
          <w:sz w:val="22"/>
          <w:szCs w:val="22"/>
        </w:rPr>
        <w:t>r. państwa członkowskie powinny utworzyć korytarze tranzytowe dla prywatnych kierowców</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ich</w:t>
      </w:r>
      <w:r w:rsidRPr="00064166">
        <w:rPr>
          <w:noProof/>
          <w:color w:val="auto"/>
          <w:sz w:val="22"/>
          <w:szCs w:val="22"/>
        </w:rPr>
        <w:t xml:space="preserve"> pasażerów (niezależnie od ich obywatelstwa) oraz wszystkich obywateli Unii, którzy wracają do kraju pochodzenia</w:t>
      </w:r>
      <w:r w:rsidRPr="00064166">
        <w:rPr>
          <w:rStyle w:val="FootnoteReference"/>
          <w:noProof/>
          <w:color w:val="auto"/>
          <w:sz w:val="22"/>
          <w:szCs w:val="22"/>
        </w:rPr>
        <w:footnoteReference w:id="69"/>
      </w:r>
      <w:r w:rsidRPr="00064166">
        <w:rPr>
          <w:noProof/>
          <w:color w:val="auto"/>
          <w:sz w:val="22"/>
          <w:szCs w:val="22"/>
        </w:rPr>
        <w:t>. Państwa członkowskie powinny również zapewnić, by dysponowały co najmniej jednym portem lotniczym na potrzeby powrotów do kraju pochodzenia oraz lotów wykonywanych</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operacji pomocy międzynarodowej.</w:t>
      </w:r>
      <w:r w:rsidRPr="00064166">
        <w:rPr>
          <w:noProof/>
        </w:rPr>
        <w:t xml:space="preserve"> </w:t>
      </w:r>
      <w:r w:rsidRPr="00064166">
        <w:rPr>
          <w:noProof/>
          <w:color w:val="auto"/>
          <w:sz w:val="22"/>
          <w:szCs w:val="22"/>
        </w:rPr>
        <w:t>Takie korytarze powinny być częścią krajowych planów awaryjnych.</w:t>
      </w:r>
    </w:p>
    <w:p w14:paraId="192E161F" w14:textId="74FC7D58" w:rsidR="00FC6378" w:rsidRPr="00064166" w:rsidRDefault="00FC6378" w:rsidP="00FC6378">
      <w:pPr>
        <w:pStyle w:val="LegalNumPar"/>
        <w:spacing w:line="276" w:lineRule="auto"/>
        <w:rPr>
          <w:rFonts w:cs="Times New Roman"/>
          <w:iCs/>
          <w:noProof/>
          <w:color w:val="auto"/>
          <w:sz w:val="22"/>
          <w:szCs w:val="22"/>
        </w:rPr>
      </w:pPr>
      <w:r w:rsidRPr="00064166">
        <w:rPr>
          <w:b/>
          <w:iCs/>
          <w:noProof/>
          <w:color w:val="auto"/>
          <w:sz w:val="22"/>
          <w:szCs w:val="22"/>
        </w:rPr>
        <w:t>Państwa członkowskie powinny umożliwić ludziom podróżowanie</w:t>
      </w:r>
      <w:r w:rsidR="00064166" w:rsidRPr="00064166">
        <w:rPr>
          <w:b/>
          <w:iCs/>
          <w:noProof/>
          <w:color w:val="auto"/>
          <w:sz w:val="22"/>
          <w:szCs w:val="22"/>
        </w:rPr>
        <w:t xml:space="preserve"> i</w:t>
      </w:r>
      <w:r w:rsidR="00064166">
        <w:rPr>
          <w:b/>
          <w:iCs/>
          <w:noProof/>
          <w:color w:val="auto"/>
          <w:sz w:val="22"/>
          <w:szCs w:val="22"/>
        </w:rPr>
        <w:t> </w:t>
      </w:r>
      <w:r w:rsidR="00064166" w:rsidRPr="00064166">
        <w:rPr>
          <w:b/>
          <w:iCs/>
          <w:noProof/>
          <w:color w:val="auto"/>
          <w:sz w:val="22"/>
          <w:szCs w:val="22"/>
        </w:rPr>
        <w:t>pom</w:t>
      </w:r>
      <w:r w:rsidRPr="00064166">
        <w:rPr>
          <w:b/>
          <w:iCs/>
          <w:noProof/>
          <w:color w:val="auto"/>
          <w:sz w:val="22"/>
          <w:szCs w:val="22"/>
        </w:rPr>
        <w:t>óc im wrócić do domu.</w:t>
      </w:r>
      <w:r w:rsidR="0052698C" w:rsidRPr="00064166">
        <w:rPr>
          <w:b/>
          <w:iCs/>
          <w:noProof/>
          <w:color w:val="auto"/>
          <w:sz w:val="22"/>
          <w:szCs w:val="22"/>
        </w:rPr>
        <w:t xml:space="preserve"> </w:t>
      </w:r>
      <w:r w:rsidRPr="00064166">
        <w:rPr>
          <w:iCs/>
          <w:noProof/>
          <w:color w:val="auto"/>
          <w:sz w:val="22"/>
          <w:szCs w:val="22"/>
        </w:rPr>
        <w:t>Obywatele Unii, którzy zostali przetransportowani ze stref kryzysowych</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nie</w:t>
      </w:r>
      <w:r w:rsidRPr="00064166">
        <w:rPr>
          <w:iCs/>
          <w:noProof/>
          <w:color w:val="auto"/>
          <w:sz w:val="22"/>
          <w:szCs w:val="22"/>
        </w:rPr>
        <w:t xml:space="preserve"> dotarli jeszcze do swojego kraju zamieszkania w UE, nie powinni podróżować razem</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duż</w:t>
      </w:r>
      <w:r w:rsidRPr="00064166">
        <w:rPr>
          <w:iCs/>
          <w:noProof/>
          <w:color w:val="auto"/>
          <w:sz w:val="22"/>
          <w:szCs w:val="22"/>
        </w:rPr>
        <w:t>ych grupach, ponieważ może to spowodować przeciążenie infrastruktury/centrów logistycznych. Państwa członkowskie, których obywatele przebywają tranzytem</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inn</w:t>
      </w:r>
      <w:r w:rsidRPr="00064166">
        <w:rPr>
          <w:iCs/>
          <w:noProof/>
          <w:color w:val="auto"/>
          <w:sz w:val="22"/>
          <w:szCs w:val="22"/>
        </w:rPr>
        <w:t>ym państwie UE, powinny starać się pomóc temu państwu</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rep</w:t>
      </w:r>
      <w:r w:rsidRPr="00064166">
        <w:rPr>
          <w:iCs/>
          <w:noProof/>
          <w:color w:val="auto"/>
          <w:sz w:val="22"/>
          <w:szCs w:val="22"/>
        </w:rPr>
        <w:t xml:space="preserve">atriacji dotkniętych kryzysem obywateli. </w:t>
      </w:r>
    </w:p>
    <w:p w14:paraId="1813613B" w14:textId="3910D1B9" w:rsidR="00E56E23" w:rsidRPr="00064166" w:rsidRDefault="00A83F57" w:rsidP="00FC6378">
      <w:pPr>
        <w:pStyle w:val="LegalNumPar"/>
        <w:spacing w:line="276" w:lineRule="auto"/>
        <w:rPr>
          <w:rFonts w:cs="Times New Roman"/>
          <w:iCs/>
          <w:noProof/>
          <w:color w:val="auto"/>
          <w:sz w:val="22"/>
          <w:szCs w:val="22"/>
        </w:rPr>
      </w:pPr>
      <w:r w:rsidRPr="00064166">
        <w:rPr>
          <w:b/>
          <w:iCs/>
          <w:noProof/>
          <w:color w:val="auto"/>
          <w:sz w:val="22"/>
          <w:szCs w:val="22"/>
        </w:rPr>
        <w:t>Państwa członkowskie powinny pomagać obywatelom państw trzecich przybywającym</w:t>
      </w:r>
      <w:r w:rsidR="00064166" w:rsidRPr="00064166">
        <w:rPr>
          <w:b/>
          <w:iCs/>
          <w:noProof/>
          <w:color w:val="auto"/>
          <w:sz w:val="22"/>
          <w:szCs w:val="22"/>
        </w:rPr>
        <w:t xml:space="preserve"> z</w:t>
      </w:r>
      <w:r w:rsidR="00064166">
        <w:rPr>
          <w:b/>
          <w:iCs/>
          <w:noProof/>
          <w:color w:val="auto"/>
          <w:sz w:val="22"/>
          <w:szCs w:val="22"/>
        </w:rPr>
        <w:t> </w:t>
      </w:r>
      <w:r w:rsidR="00064166" w:rsidRPr="00064166">
        <w:rPr>
          <w:b/>
          <w:iCs/>
          <w:noProof/>
          <w:color w:val="auto"/>
          <w:sz w:val="22"/>
          <w:szCs w:val="22"/>
        </w:rPr>
        <w:t>obs</w:t>
      </w:r>
      <w:r w:rsidRPr="00064166">
        <w:rPr>
          <w:b/>
          <w:iCs/>
          <w:noProof/>
          <w:color w:val="auto"/>
          <w:sz w:val="22"/>
          <w:szCs w:val="22"/>
        </w:rPr>
        <w:t>zarów objętych konfliktem lub innych obszarów klęski</w:t>
      </w:r>
      <w:r w:rsidR="00064166" w:rsidRPr="00064166">
        <w:rPr>
          <w:b/>
          <w:iCs/>
          <w:noProof/>
          <w:color w:val="auto"/>
          <w:sz w:val="22"/>
          <w:szCs w:val="22"/>
        </w:rPr>
        <w:t xml:space="preserve"> i</w:t>
      </w:r>
      <w:r w:rsidR="00064166">
        <w:rPr>
          <w:b/>
          <w:iCs/>
          <w:noProof/>
          <w:color w:val="auto"/>
          <w:sz w:val="22"/>
          <w:szCs w:val="22"/>
        </w:rPr>
        <w:t> </w:t>
      </w:r>
      <w:r w:rsidR="00064166" w:rsidRPr="00064166">
        <w:rPr>
          <w:b/>
          <w:iCs/>
          <w:noProof/>
          <w:color w:val="auto"/>
          <w:sz w:val="22"/>
          <w:szCs w:val="22"/>
        </w:rPr>
        <w:t>uła</w:t>
      </w:r>
      <w:r w:rsidRPr="00064166">
        <w:rPr>
          <w:b/>
          <w:iCs/>
          <w:noProof/>
          <w:color w:val="auto"/>
          <w:sz w:val="22"/>
          <w:szCs w:val="22"/>
        </w:rPr>
        <w:t>twiać im dalszą podróż.</w:t>
      </w:r>
      <w:r w:rsidRPr="00064166">
        <w:rPr>
          <w:iCs/>
          <w:noProof/>
          <w:color w:val="auto"/>
          <w:sz w:val="22"/>
          <w:szCs w:val="22"/>
        </w:rPr>
        <w:t xml:space="preserve"> Może to obejmować tworzenie ośrodków dla cudzoziemców</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bez</w:t>
      </w:r>
      <w:r w:rsidRPr="00064166">
        <w:rPr>
          <w:iCs/>
          <w:noProof/>
          <w:color w:val="auto"/>
          <w:sz w:val="22"/>
          <w:szCs w:val="22"/>
        </w:rPr>
        <w:t>piecznych korytarzy tranzytowych, tymczasowe odstąpienie od określonych wymogów (np. pozwoleń na przejazd) oraz przeprowadzanie odpraw granicznych</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bez</w:t>
      </w:r>
      <w:r w:rsidRPr="00064166">
        <w:rPr>
          <w:iCs/>
          <w:noProof/>
          <w:color w:val="auto"/>
          <w:sz w:val="22"/>
          <w:szCs w:val="22"/>
        </w:rPr>
        <w:t>piecznym miejscu</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dal</w:t>
      </w:r>
      <w:r w:rsidRPr="00064166">
        <w:rPr>
          <w:iCs/>
          <w:noProof/>
          <w:color w:val="auto"/>
          <w:sz w:val="22"/>
          <w:szCs w:val="22"/>
        </w:rPr>
        <w:t>a od granicy, aby uniknąć tworzenia się długich kolejek. Zgodnie</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kom</w:t>
      </w:r>
      <w:r w:rsidRPr="00064166">
        <w:rPr>
          <w:iCs/>
          <w:noProof/>
          <w:color w:val="auto"/>
          <w:sz w:val="22"/>
          <w:szCs w:val="22"/>
        </w:rPr>
        <w:t>unikatem</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spr</w:t>
      </w:r>
      <w:r w:rsidRPr="00064166">
        <w:rPr>
          <w:iCs/>
          <w:noProof/>
          <w:color w:val="auto"/>
          <w:sz w:val="22"/>
          <w:szCs w:val="22"/>
        </w:rPr>
        <w:t>awie wytycznych operacyjnych dotyczących zarządzania granicami zewnętrznymi</w:t>
      </w:r>
      <w:r w:rsidRPr="00064166">
        <w:rPr>
          <w:rStyle w:val="FootnoteReference"/>
          <w:rFonts w:cs="Times New Roman"/>
          <w:iCs/>
          <w:noProof/>
          <w:color w:val="auto"/>
          <w:sz w:val="22"/>
          <w:szCs w:val="22"/>
        </w:rPr>
        <w:footnoteReference w:id="70"/>
      </w:r>
      <w:r w:rsidRPr="00064166">
        <w:rPr>
          <w:iCs/>
          <w:noProof/>
          <w:color w:val="auto"/>
          <w:sz w:val="22"/>
          <w:szCs w:val="22"/>
        </w:rPr>
        <w:t xml:space="preserve"> państwa członkowskie powinny korzystać ze stałej służby Fronteksu</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Eur</w:t>
      </w:r>
      <w:r w:rsidRPr="00064166">
        <w:rPr>
          <w:iCs/>
          <w:noProof/>
          <w:color w:val="auto"/>
          <w:sz w:val="22"/>
          <w:szCs w:val="22"/>
        </w:rPr>
        <w:t>opolu, którą można oddelegować do zarządzania ruchem na granicach</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usp</w:t>
      </w:r>
      <w:r w:rsidRPr="00064166">
        <w:rPr>
          <w:iCs/>
          <w:noProof/>
          <w:color w:val="auto"/>
          <w:sz w:val="22"/>
          <w:szCs w:val="22"/>
        </w:rPr>
        <w:t>rawniania go (sprawdzanie dokumentów podróży, zaświadczeń COVID itp.). Wytyczne operacyjne stosuje się we wszystkich państwach członkowskich,</w:t>
      </w:r>
      <w:r w:rsidR="00064166" w:rsidRPr="00064166">
        <w:rPr>
          <w:iCs/>
          <w:noProof/>
          <w:color w:val="auto"/>
          <w:sz w:val="22"/>
          <w:szCs w:val="22"/>
        </w:rPr>
        <w:t xml:space="preserve"> a</w:t>
      </w:r>
      <w:r w:rsidR="00064166">
        <w:rPr>
          <w:iCs/>
          <w:noProof/>
          <w:color w:val="auto"/>
          <w:sz w:val="22"/>
          <w:szCs w:val="22"/>
        </w:rPr>
        <w:t> </w:t>
      </w:r>
      <w:r w:rsidR="00064166" w:rsidRPr="00064166">
        <w:rPr>
          <w:iCs/>
          <w:noProof/>
          <w:color w:val="auto"/>
          <w:sz w:val="22"/>
          <w:szCs w:val="22"/>
        </w:rPr>
        <w:t>nie</w:t>
      </w:r>
      <w:r w:rsidRPr="00064166">
        <w:rPr>
          <w:iCs/>
          <w:noProof/>
          <w:color w:val="auto"/>
          <w:sz w:val="22"/>
          <w:szCs w:val="22"/>
        </w:rPr>
        <w:t xml:space="preserve"> jedynie</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pań</w:t>
      </w:r>
      <w:r w:rsidRPr="00064166">
        <w:rPr>
          <w:iCs/>
          <w:noProof/>
          <w:color w:val="auto"/>
          <w:sz w:val="22"/>
          <w:szCs w:val="22"/>
        </w:rPr>
        <w:t>stwach graniczących</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obs</w:t>
      </w:r>
      <w:r w:rsidRPr="00064166">
        <w:rPr>
          <w:iCs/>
          <w:noProof/>
          <w:color w:val="auto"/>
          <w:sz w:val="22"/>
          <w:szCs w:val="22"/>
        </w:rPr>
        <w:t>zarem, na którym trwa konflikt. Ułatwia to przekraczanie wewnętrznych granic UE, zapobiega zatorom</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sta</w:t>
      </w:r>
      <w:r w:rsidRPr="00064166">
        <w:rPr>
          <w:iCs/>
          <w:noProof/>
          <w:color w:val="auto"/>
          <w:sz w:val="22"/>
          <w:szCs w:val="22"/>
        </w:rPr>
        <w:t>nowi pomoc</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dal</w:t>
      </w:r>
      <w:r w:rsidRPr="00064166">
        <w:rPr>
          <w:iCs/>
          <w:noProof/>
          <w:color w:val="auto"/>
          <w:sz w:val="22"/>
          <w:szCs w:val="22"/>
        </w:rPr>
        <w:t>szej podróży dla osób opuszczających strefy konfliktu. Dotyczy to także przekraczania granicy między państwami strefy Schengen</w:t>
      </w:r>
      <w:r w:rsidR="00064166" w:rsidRPr="00064166">
        <w:rPr>
          <w:iCs/>
          <w:noProof/>
          <w:color w:val="auto"/>
          <w:sz w:val="22"/>
          <w:szCs w:val="22"/>
        </w:rPr>
        <w:t xml:space="preserve"> a</w:t>
      </w:r>
      <w:r w:rsidR="00064166">
        <w:rPr>
          <w:iCs/>
          <w:noProof/>
          <w:color w:val="auto"/>
          <w:sz w:val="22"/>
          <w:szCs w:val="22"/>
        </w:rPr>
        <w:t> </w:t>
      </w:r>
      <w:r w:rsidR="00064166" w:rsidRPr="00064166">
        <w:rPr>
          <w:iCs/>
          <w:noProof/>
          <w:color w:val="auto"/>
          <w:sz w:val="22"/>
          <w:szCs w:val="22"/>
        </w:rPr>
        <w:t>pań</w:t>
      </w:r>
      <w:r w:rsidRPr="00064166">
        <w:rPr>
          <w:iCs/>
          <w:noProof/>
          <w:color w:val="auto"/>
          <w:sz w:val="22"/>
          <w:szCs w:val="22"/>
        </w:rPr>
        <w:t xml:space="preserve">stwami nienależącymi do strefy Schengen. </w:t>
      </w:r>
    </w:p>
    <w:p w14:paraId="3A85D03A" w14:textId="57375094" w:rsidR="00A83F57" w:rsidRPr="00064166" w:rsidRDefault="00E56E23" w:rsidP="00FC6378">
      <w:pPr>
        <w:pStyle w:val="LegalNumPar"/>
        <w:spacing w:line="276" w:lineRule="auto"/>
        <w:rPr>
          <w:rFonts w:cs="Times New Roman"/>
          <w:iCs/>
          <w:noProof/>
          <w:color w:val="auto"/>
          <w:sz w:val="22"/>
          <w:szCs w:val="22"/>
        </w:rPr>
      </w:pPr>
      <w:r w:rsidRPr="00064166">
        <w:rPr>
          <w:b/>
          <w:iCs/>
          <w:noProof/>
          <w:color w:val="auto"/>
          <w:sz w:val="22"/>
          <w:szCs w:val="22"/>
        </w:rPr>
        <w:t>‏W szczególnie trudnej sytuacji</w:t>
      </w:r>
      <w:r w:rsidR="00064166" w:rsidRPr="00064166">
        <w:rPr>
          <w:b/>
          <w:iCs/>
          <w:noProof/>
          <w:color w:val="auto"/>
          <w:sz w:val="22"/>
          <w:szCs w:val="22"/>
        </w:rPr>
        <w:t xml:space="preserve"> w</w:t>
      </w:r>
      <w:r w:rsidR="00064166">
        <w:rPr>
          <w:b/>
          <w:iCs/>
          <w:noProof/>
          <w:color w:val="auto"/>
          <w:sz w:val="22"/>
          <w:szCs w:val="22"/>
        </w:rPr>
        <w:t> </w:t>
      </w:r>
      <w:r w:rsidR="00064166" w:rsidRPr="00064166">
        <w:rPr>
          <w:b/>
          <w:iCs/>
          <w:noProof/>
          <w:color w:val="auto"/>
          <w:sz w:val="22"/>
          <w:szCs w:val="22"/>
        </w:rPr>
        <w:t>cza</w:t>
      </w:r>
      <w:r w:rsidRPr="00064166">
        <w:rPr>
          <w:b/>
          <w:iCs/>
          <w:noProof/>
          <w:color w:val="auto"/>
          <w:sz w:val="22"/>
          <w:szCs w:val="22"/>
        </w:rPr>
        <w:t>sie kryzysu mogą znajdować się osoby</w:t>
      </w:r>
      <w:r w:rsidR="00064166" w:rsidRPr="00064166">
        <w:rPr>
          <w:b/>
          <w:iCs/>
          <w:noProof/>
          <w:color w:val="auto"/>
          <w:sz w:val="22"/>
          <w:szCs w:val="22"/>
        </w:rPr>
        <w:t xml:space="preserve"> z</w:t>
      </w:r>
      <w:r w:rsidR="00064166">
        <w:rPr>
          <w:b/>
          <w:iCs/>
          <w:noProof/>
          <w:color w:val="auto"/>
          <w:sz w:val="22"/>
          <w:szCs w:val="22"/>
        </w:rPr>
        <w:t> </w:t>
      </w:r>
      <w:r w:rsidR="00064166" w:rsidRPr="00064166">
        <w:rPr>
          <w:b/>
          <w:iCs/>
          <w:noProof/>
          <w:color w:val="auto"/>
          <w:sz w:val="22"/>
          <w:szCs w:val="22"/>
        </w:rPr>
        <w:t>nie</w:t>
      </w:r>
      <w:r w:rsidRPr="00064166">
        <w:rPr>
          <w:b/>
          <w:iCs/>
          <w:noProof/>
          <w:color w:val="auto"/>
          <w:sz w:val="22"/>
          <w:szCs w:val="22"/>
        </w:rPr>
        <w:t>pełnosprawnościami.</w:t>
      </w:r>
      <w:r w:rsidR="0052698C" w:rsidRPr="00064166">
        <w:rPr>
          <w:b/>
          <w:iCs/>
          <w:noProof/>
          <w:color w:val="auto"/>
          <w:sz w:val="22"/>
          <w:szCs w:val="22"/>
        </w:rPr>
        <w:t xml:space="preserve"> </w:t>
      </w:r>
      <w:r w:rsidRPr="00064166">
        <w:rPr>
          <w:iCs/>
          <w:noProof/>
          <w:color w:val="auto"/>
          <w:sz w:val="22"/>
          <w:szCs w:val="22"/>
        </w:rPr>
        <w:t>Pasażerowie będący osobami</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nie</w:t>
      </w:r>
      <w:r w:rsidRPr="00064166">
        <w:rPr>
          <w:iCs/>
          <w:noProof/>
          <w:color w:val="auto"/>
          <w:sz w:val="22"/>
          <w:szCs w:val="22"/>
        </w:rPr>
        <w:t>pełnosprawnościami mogą mieć utrudniony dostęp do transportu</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syt</w:t>
      </w:r>
      <w:r w:rsidRPr="00064166">
        <w:rPr>
          <w:iCs/>
          <w:noProof/>
          <w:color w:val="auto"/>
          <w:sz w:val="22"/>
          <w:szCs w:val="22"/>
        </w:rPr>
        <w:t>uacjach wyjątkowych.</w:t>
      </w:r>
      <w:r w:rsidR="0052698C" w:rsidRPr="00064166">
        <w:rPr>
          <w:iCs/>
          <w:noProof/>
          <w:color w:val="auto"/>
          <w:sz w:val="22"/>
          <w:szCs w:val="22"/>
        </w:rPr>
        <w:t xml:space="preserve"> </w:t>
      </w:r>
      <w:r w:rsidRPr="00064166">
        <w:rPr>
          <w:noProof/>
          <w:color w:val="auto"/>
          <w:sz w:val="22"/>
          <w:szCs w:val="22"/>
        </w:rPr>
        <w:t>Państwa członkowskie powinny zatem zapewnić zarówno ukierunkowane działania, jak</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uwz</w:t>
      </w:r>
      <w:r w:rsidRPr="00064166">
        <w:rPr>
          <w:noProof/>
          <w:color w:val="auto"/>
          <w:sz w:val="22"/>
          <w:szCs w:val="22"/>
        </w:rPr>
        <w:t>ględnienie aspektu niepełnosprawności</w:t>
      </w:r>
      <w:r w:rsidR="00064166" w:rsidRPr="00064166">
        <w:rPr>
          <w:noProof/>
          <w:color w:val="auto"/>
          <w:sz w:val="22"/>
          <w:szCs w:val="22"/>
        </w:rPr>
        <w:t xml:space="preserve"> </w:t>
      </w:r>
      <w:r w:rsidR="00064166" w:rsidRPr="00064166">
        <w:rPr>
          <w:iCs/>
          <w:noProof/>
          <w:color w:val="auto"/>
          <w:sz w:val="22"/>
          <w:szCs w:val="22"/>
        </w:rPr>
        <w:t>w</w:t>
      </w:r>
      <w:r w:rsidR="00064166">
        <w:rPr>
          <w:noProof/>
          <w:color w:val="auto"/>
          <w:sz w:val="22"/>
          <w:szCs w:val="22"/>
        </w:rPr>
        <w:t> </w:t>
      </w:r>
      <w:r w:rsidR="00064166" w:rsidRPr="00064166">
        <w:rPr>
          <w:iCs/>
          <w:noProof/>
          <w:color w:val="auto"/>
          <w:sz w:val="22"/>
          <w:szCs w:val="22"/>
        </w:rPr>
        <w:t>każ</w:t>
      </w:r>
      <w:r w:rsidRPr="00064166">
        <w:rPr>
          <w:iCs/>
          <w:noProof/>
          <w:color w:val="auto"/>
          <w:sz w:val="22"/>
          <w:szCs w:val="22"/>
        </w:rPr>
        <w:t>dym</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wyż</w:t>
      </w:r>
      <w:r w:rsidRPr="00064166">
        <w:rPr>
          <w:iCs/>
          <w:noProof/>
          <w:color w:val="auto"/>
          <w:sz w:val="22"/>
          <w:szCs w:val="22"/>
        </w:rPr>
        <w:t>ej wymienionych działań. Należy uwzględnić szczególne potrzeby takich osób, aby zapewnić im dostępność, racjonalne usprawnienia</w:t>
      </w:r>
      <w:r w:rsidR="00064166" w:rsidRPr="00064166">
        <w:rPr>
          <w:iCs/>
          <w:noProof/>
          <w:color w:val="auto"/>
          <w:sz w:val="22"/>
          <w:szCs w:val="22"/>
        </w:rPr>
        <w:t xml:space="preserve"> i</w:t>
      </w:r>
      <w:r w:rsidR="00064166">
        <w:rPr>
          <w:iCs/>
          <w:noProof/>
          <w:color w:val="auto"/>
          <w:sz w:val="22"/>
          <w:szCs w:val="22"/>
        </w:rPr>
        <w:t> </w:t>
      </w:r>
      <w:r w:rsidR="00064166" w:rsidRPr="00064166">
        <w:rPr>
          <w:iCs/>
          <w:noProof/>
          <w:color w:val="auto"/>
          <w:sz w:val="22"/>
          <w:szCs w:val="22"/>
        </w:rPr>
        <w:t>bez</w:t>
      </w:r>
      <w:r w:rsidRPr="00064166">
        <w:rPr>
          <w:iCs/>
          <w:noProof/>
          <w:color w:val="auto"/>
          <w:sz w:val="22"/>
          <w:szCs w:val="22"/>
        </w:rPr>
        <w:t>pieczeństwo</w:t>
      </w:r>
      <w:r w:rsidR="00064166" w:rsidRPr="00064166">
        <w:rPr>
          <w:iCs/>
          <w:noProof/>
          <w:color w:val="auto"/>
          <w:sz w:val="22"/>
          <w:szCs w:val="22"/>
        </w:rPr>
        <w:t xml:space="preserve"> w</w:t>
      </w:r>
      <w:r w:rsidR="00064166">
        <w:rPr>
          <w:iCs/>
          <w:noProof/>
          <w:color w:val="auto"/>
          <w:sz w:val="22"/>
          <w:szCs w:val="22"/>
        </w:rPr>
        <w:t> </w:t>
      </w:r>
      <w:r w:rsidR="00064166" w:rsidRPr="00064166">
        <w:rPr>
          <w:iCs/>
          <w:noProof/>
          <w:color w:val="auto"/>
          <w:sz w:val="22"/>
          <w:szCs w:val="22"/>
        </w:rPr>
        <w:t>ram</w:t>
      </w:r>
      <w:r w:rsidRPr="00064166">
        <w:rPr>
          <w:iCs/>
          <w:noProof/>
          <w:color w:val="auto"/>
          <w:sz w:val="22"/>
          <w:szCs w:val="22"/>
        </w:rPr>
        <w:t>ach zarządzania kryzysami zgodnie</w:t>
      </w:r>
      <w:r w:rsidR="00064166" w:rsidRPr="00064166">
        <w:rPr>
          <w:iCs/>
          <w:noProof/>
          <w:color w:val="auto"/>
          <w:sz w:val="22"/>
          <w:szCs w:val="22"/>
        </w:rPr>
        <w:t xml:space="preserve"> z</w:t>
      </w:r>
      <w:r w:rsidR="00064166">
        <w:rPr>
          <w:iCs/>
          <w:noProof/>
          <w:color w:val="auto"/>
          <w:sz w:val="22"/>
          <w:szCs w:val="22"/>
        </w:rPr>
        <w:t> </w:t>
      </w:r>
      <w:r w:rsidR="00064166" w:rsidRPr="00064166">
        <w:rPr>
          <w:iCs/>
          <w:noProof/>
          <w:color w:val="auto"/>
          <w:sz w:val="22"/>
          <w:szCs w:val="22"/>
        </w:rPr>
        <w:t>Kon</w:t>
      </w:r>
      <w:r w:rsidRPr="00064166">
        <w:rPr>
          <w:iCs/>
          <w:noProof/>
          <w:color w:val="auto"/>
          <w:sz w:val="22"/>
          <w:szCs w:val="22"/>
        </w:rPr>
        <w:t>wencją ONZ</w:t>
      </w:r>
      <w:r w:rsidR="00064166" w:rsidRPr="00064166">
        <w:rPr>
          <w:iCs/>
          <w:noProof/>
          <w:color w:val="auto"/>
          <w:sz w:val="22"/>
          <w:szCs w:val="22"/>
        </w:rPr>
        <w:t xml:space="preserve"> o</w:t>
      </w:r>
      <w:r w:rsidR="00064166">
        <w:rPr>
          <w:iCs/>
          <w:noProof/>
          <w:color w:val="auto"/>
          <w:sz w:val="22"/>
          <w:szCs w:val="22"/>
        </w:rPr>
        <w:t> </w:t>
      </w:r>
      <w:r w:rsidR="00064166" w:rsidRPr="00064166">
        <w:rPr>
          <w:iCs/>
          <w:noProof/>
          <w:color w:val="auto"/>
          <w:sz w:val="22"/>
          <w:szCs w:val="22"/>
        </w:rPr>
        <w:t>pra</w:t>
      </w:r>
      <w:r w:rsidRPr="00064166">
        <w:rPr>
          <w:iCs/>
          <w:noProof/>
          <w:color w:val="auto"/>
          <w:sz w:val="22"/>
          <w:szCs w:val="22"/>
        </w:rPr>
        <w:t>wach osób niepełnosprawnych.</w:t>
      </w:r>
      <w:r w:rsidRPr="00064166">
        <w:rPr>
          <w:rStyle w:val="Heading4Char"/>
          <w:iCs/>
          <w:noProof/>
          <w:color w:val="auto"/>
          <w:sz w:val="22"/>
          <w:szCs w:val="22"/>
        </w:rPr>
        <w:t xml:space="preserve"> </w:t>
      </w:r>
      <w:r w:rsidRPr="00064166">
        <w:rPr>
          <w:rStyle w:val="FootnoteReference"/>
          <w:rFonts w:cs="Times New Roman"/>
          <w:iCs/>
          <w:noProof/>
          <w:color w:val="auto"/>
          <w:sz w:val="22"/>
          <w:szCs w:val="22"/>
        </w:rPr>
        <w:footnoteReference w:id="71"/>
      </w:r>
    </w:p>
    <w:p w14:paraId="3A9218F6" w14:textId="7AAAF918"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b/>
          <w:i/>
          <w:noProof/>
          <w:sz w:val="22"/>
          <w:szCs w:val="22"/>
          <w:u w:color="000000"/>
          <w:bdr w:val="nil"/>
        </w:rPr>
      </w:pPr>
      <w:r w:rsidRPr="00064166">
        <w:rPr>
          <w:b/>
          <w:i/>
          <w:noProof/>
          <w:sz w:val="22"/>
          <w:u w:color="000000"/>
          <w:bdr w:val="nil"/>
        </w:rPr>
        <w:t>Zapewnienie sprawniejszej wymiany załóg</w:t>
      </w:r>
      <w:r w:rsidR="00064166" w:rsidRPr="00064166">
        <w:rPr>
          <w:b/>
          <w:i/>
          <w:noProof/>
          <w:sz w:val="22"/>
          <w:u w:color="000000"/>
          <w:bdr w:val="nil"/>
        </w:rPr>
        <w:t xml:space="preserve"> i</w:t>
      </w:r>
      <w:r w:rsidR="00064166">
        <w:rPr>
          <w:b/>
          <w:i/>
          <w:noProof/>
          <w:sz w:val="22"/>
          <w:u w:color="000000"/>
          <w:bdr w:val="nil"/>
        </w:rPr>
        <w:t> </w:t>
      </w:r>
      <w:r w:rsidR="00064166" w:rsidRPr="00064166">
        <w:rPr>
          <w:b/>
          <w:i/>
          <w:noProof/>
          <w:sz w:val="22"/>
          <w:u w:color="000000"/>
          <w:bdr w:val="nil"/>
        </w:rPr>
        <w:t>rep</w:t>
      </w:r>
      <w:r w:rsidRPr="00064166">
        <w:rPr>
          <w:b/>
          <w:i/>
          <w:noProof/>
          <w:sz w:val="22"/>
          <w:u w:color="000000"/>
          <w:bdr w:val="nil"/>
        </w:rPr>
        <w:t>atriacji marynarzy</w:t>
      </w:r>
    </w:p>
    <w:p w14:paraId="11D471AF" w14:textId="4372058E"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b/>
          <w:noProof/>
          <w:sz w:val="22"/>
          <w:szCs w:val="22"/>
          <w:u w:color="000000"/>
          <w:bdr w:val="nil"/>
        </w:rPr>
        <w:t>Zapewnienie wsparcia marynarzom musi odbywać się</w:t>
      </w:r>
      <w:r w:rsidR="00064166" w:rsidRPr="00064166">
        <w:rPr>
          <w:b/>
          <w:noProof/>
          <w:sz w:val="22"/>
          <w:szCs w:val="22"/>
          <w:u w:color="000000"/>
          <w:bdr w:val="nil"/>
        </w:rPr>
        <w:t xml:space="preserve"> w</w:t>
      </w:r>
      <w:r w:rsidR="00064166">
        <w:rPr>
          <w:b/>
          <w:noProof/>
          <w:sz w:val="22"/>
          <w:szCs w:val="22"/>
          <w:u w:color="000000"/>
          <w:bdr w:val="nil"/>
        </w:rPr>
        <w:t> </w:t>
      </w:r>
      <w:r w:rsidR="00064166" w:rsidRPr="00064166">
        <w:rPr>
          <w:b/>
          <w:noProof/>
          <w:sz w:val="22"/>
          <w:szCs w:val="22"/>
          <w:u w:color="000000"/>
          <w:bdr w:val="nil"/>
        </w:rPr>
        <w:t>dro</w:t>
      </w:r>
      <w:r w:rsidRPr="00064166">
        <w:rPr>
          <w:b/>
          <w:noProof/>
          <w:sz w:val="22"/>
          <w:szCs w:val="22"/>
          <w:u w:color="000000"/>
          <w:bdr w:val="nil"/>
        </w:rPr>
        <w:t>dze specjalnego mechanizmu.</w:t>
      </w:r>
      <w:r w:rsidRPr="00064166">
        <w:rPr>
          <w:noProof/>
          <w:sz w:val="22"/>
          <w:szCs w:val="22"/>
          <w:u w:color="000000"/>
          <w:bdr w:val="nil"/>
        </w:rPr>
        <w:t xml:space="preserve"> Komisja proponuje, aby taki mechanizm opierał się na trzech elementach.</w:t>
      </w:r>
    </w:p>
    <w:p w14:paraId="1E19F1A9" w14:textId="40C8D797"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 xml:space="preserve">• </w:t>
      </w:r>
      <w:r w:rsidRPr="00064166">
        <w:rPr>
          <w:b/>
          <w:noProof/>
          <w:sz w:val="22"/>
          <w:szCs w:val="22"/>
          <w:u w:color="000000"/>
          <w:bdr w:val="nil"/>
        </w:rPr>
        <w:t>Forum zainteresowanych stron</w:t>
      </w:r>
      <w:r w:rsidR="00064166" w:rsidRPr="00064166">
        <w:rPr>
          <w:b/>
          <w:noProof/>
          <w:sz w:val="22"/>
          <w:szCs w:val="22"/>
          <w:u w:color="000000"/>
          <w:bdr w:val="nil"/>
        </w:rPr>
        <w:t xml:space="preserve"> z</w:t>
      </w:r>
      <w:r w:rsidR="00064166">
        <w:rPr>
          <w:b/>
          <w:noProof/>
          <w:sz w:val="22"/>
          <w:szCs w:val="22"/>
          <w:u w:color="000000"/>
          <w:bdr w:val="nil"/>
        </w:rPr>
        <w:t> </w:t>
      </w:r>
      <w:r w:rsidR="00064166" w:rsidRPr="00064166">
        <w:rPr>
          <w:b/>
          <w:noProof/>
          <w:sz w:val="22"/>
          <w:szCs w:val="22"/>
          <w:u w:color="000000"/>
          <w:bdr w:val="nil"/>
        </w:rPr>
        <w:t>sek</w:t>
      </w:r>
      <w:r w:rsidRPr="00064166">
        <w:rPr>
          <w:b/>
          <w:noProof/>
          <w:sz w:val="22"/>
          <w:szCs w:val="22"/>
          <w:u w:color="000000"/>
          <w:bdr w:val="nil"/>
        </w:rPr>
        <w:t>tora morskiego:</w:t>
      </w:r>
      <w:r w:rsidRPr="00064166">
        <w:rPr>
          <w:noProof/>
          <w:sz w:val="22"/>
          <w:szCs w:val="22"/>
          <w:u w:color="000000"/>
          <w:bdr w:val="nil"/>
        </w:rPr>
        <w:t xml:space="preserve"> Utworzone przez Komisję forum będzie prowadzić regularną</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ści</w:t>
      </w:r>
      <w:r w:rsidRPr="00064166">
        <w:rPr>
          <w:noProof/>
          <w:sz w:val="22"/>
          <w:szCs w:val="22"/>
          <w:u w:color="000000"/>
          <w:bdr w:val="nil"/>
        </w:rPr>
        <w:t>słą koordynację problemów</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wymiany załóg</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pod</w:t>
      </w:r>
      <w:r w:rsidRPr="00064166">
        <w:rPr>
          <w:noProof/>
          <w:sz w:val="22"/>
          <w:szCs w:val="22"/>
          <w:u w:color="000000"/>
          <w:bdr w:val="nil"/>
        </w:rPr>
        <w:t>róży marynarzy</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syt</w:t>
      </w:r>
      <w:r w:rsidRPr="00064166">
        <w:rPr>
          <w:noProof/>
          <w:sz w:val="22"/>
          <w:szCs w:val="22"/>
          <w:u w:color="000000"/>
          <w:bdr w:val="nil"/>
        </w:rPr>
        <w:t>uacjach wyjątkowych. Forum będzie szybko uruchamiane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będ</w:t>
      </w:r>
      <w:r w:rsidRPr="00064166">
        <w:rPr>
          <w:noProof/>
          <w:sz w:val="22"/>
          <w:szCs w:val="22"/>
          <w:u w:color="000000"/>
          <w:bdr w:val="nil"/>
        </w:rPr>
        <w:t>zie obejmowało wszystkie zainteresowane strony,</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tym</w:t>
      </w:r>
      <w:r w:rsidRPr="00064166">
        <w:rPr>
          <w:noProof/>
          <w:sz w:val="22"/>
          <w:szCs w:val="22"/>
          <w:u w:color="000000"/>
          <w:bdr w:val="nil"/>
        </w:rPr>
        <w:t xml:space="preserve"> krajowe centra kryzysowe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par</w:t>
      </w:r>
      <w:r w:rsidRPr="00064166">
        <w:rPr>
          <w:noProof/>
          <w:sz w:val="22"/>
          <w:szCs w:val="22"/>
          <w:u w:color="000000"/>
          <w:bdr w:val="nil"/>
        </w:rPr>
        <w:t>tnerów społecznych,</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cel</w:t>
      </w:r>
      <w:r w:rsidRPr="00064166">
        <w:rPr>
          <w:noProof/>
          <w:sz w:val="22"/>
          <w:szCs w:val="22"/>
          <w:u w:color="000000"/>
          <w:bdr w:val="nil"/>
        </w:rPr>
        <w:t>u zapewnienia, aby strony te mogły we właściwym czasie odpowiednio omówić</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roz</w:t>
      </w:r>
      <w:r w:rsidRPr="00064166">
        <w:rPr>
          <w:noProof/>
          <w:sz w:val="22"/>
          <w:szCs w:val="22"/>
          <w:u w:color="000000"/>
          <w:bdr w:val="nil"/>
        </w:rPr>
        <w:t>wiązać wszelkie pojawiające się kwestie. Forum będzie identyfikowało potencjalne problemy, zwiększy odporność systemu zatrudnienia</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sek</w:t>
      </w:r>
      <w:r w:rsidRPr="00064166">
        <w:rPr>
          <w:noProof/>
          <w:sz w:val="22"/>
          <w:szCs w:val="22"/>
          <w:u w:color="000000"/>
          <w:bdr w:val="nil"/>
        </w:rPr>
        <w:t>torze żeglugi oraz zwiększy stabilność unijnego łańcucha dostaw.</w:t>
      </w:r>
    </w:p>
    <w:p w14:paraId="6458A4E1" w14:textId="36346D78"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 xml:space="preserve">• </w:t>
      </w:r>
      <w:r w:rsidRPr="00064166">
        <w:rPr>
          <w:b/>
          <w:noProof/>
          <w:sz w:val="22"/>
          <w:szCs w:val="22"/>
          <w:u w:color="000000"/>
          <w:bdr w:val="nil"/>
        </w:rPr>
        <w:t>Ściślejsza współpraca</w:t>
      </w:r>
      <w:r w:rsidR="00064166" w:rsidRPr="00064166">
        <w:rPr>
          <w:b/>
          <w:noProof/>
          <w:sz w:val="22"/>
          <w:szCs w:val="22"/>
          <w:u w:color="000000"/>
          <w:bdr w:val="nil"/>
        </w:rPr>
        <w:t xml:space="preserve"> z</w:t>
      </w:r>
      <w:r w:rsidR="00064166">
        <w:rPr>
          <w:b/>
          <w:noProof/>
          <w:sz w:val="22"/>
          <w:szCs w:val="22"/>
          <w:u w:color="000000"/>
          <w:bdr w:val="nil"/>
        </w:rPr>
        <w:t> </w:t>
      </w:r>
      <w:r w:rsidR="00064166" w:rsidRPr="00064166">
        <w:rPr>
          <w:b/>
          <w:noProof/>
          <w:sz w:val="22"/>
          <w:szCs w:val="22"/>
          <w:u w:color="000000"/>
          <w:bdr w:val="nil"/>
        </w:rPr>
        <w:t>kra</w:t>
      </w:r>
      <w:r w:rsidRPr="00064166">
        <w:rPr>
          <w:b/>
          <w:noProof/>
          <w:sz w:val="22"/>
          <w:szCs w:val="22"/>
          <w:u w:color="000000"/>
          <w:bdr w:val="nil"/>
        </w:rPr>
        <w:t>jami pochodzenia:</w:t>
      </w:r>
      <w:r w:rsidR="0052698C" w:rsidRPr="00064166">
        <w:rPr>
          <w:b/>
          <w:noProof/>
          <w:sz w:val="22"/>
          <w:szCs w:val="22"/>
          <w:u w:color="000000"/>
          <w:bdr w:val="nil"/>
        </w:rPr>
        <w:t xml:space="preserve"> </w:t>
      </w:r>
      <w:r w:rsidRPr="00064166">
        <w:rPr>
          <w:noProof/>
          <w:sz w:val="22"/>
          <w:szCs w:val="22"/>
          <w:u w:color="000000"/>
          <w:bdr w:val="nil"/>
        </w:rPr>
        <w:t>Bazując na działaniach informacyjnych prowadzonych</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cza</w:t>
      </w:r>
      <w:r w:rsidRPr="00064166">
        <w:rPr>
          <w:noProof/>
          <w:sz w:val="22"/>
          <w:szCs w:val="22"/>
          <w:u w:color="000000"/>
          <w:bdr w:val="nil"/>
        </w:rPr>
        <w:t>sie pandemii COVID-19, Komisja i ESDZ będą współpracować</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del</w:t>
      </w:r>
      <w:r w:rsidRPr="00064166">
        <w:rPr>
          <w:noProof/>
          <w:sz w:val="22"/>
          <w:szCs w:val="22"/>
          <w:u w:color="000000"/>
          <w:bdr w:val="nil"/>
        </w:rPr>
        <w:t>egaturami Unii</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pań</w:t>
      </w:r>
      <w:r w:rsidRPr="00064166">
        <w:rPr>
          <w:noProof/>
          <w:sz w:val="22"/>
          <w:szCs w:val="22"/>
          <w:u w:color="000000"/>
          <w:bdr w:val="nil"/>
        </w:rPr>
        <w:t>stwach zapewniających podaż pracy. Wyciągną wnioski</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pod</w:t>
      </w:r>
      <w:r w:rsidRPr="00064166">
        <w:rPr>
          <w:noProof/>
          <w:sz w:val="22"/>
          <w:szCs w:val="22"/>
          <w:u w:color="000000"/>
          <w:bdr w:val="nil"/>
        </w:rPr>
        <w:t>róży marynarzy</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cza</w:t>
      </w:r>
      <w:r w:rsidRPr="00064166">
        <w:rPr>
          <w:noProof/>
          <w:sz w:val="22"/>
          <w:szCs w:val="22"/>
          <w:u w:color="000000"/>
          <w:bdr w:val="nil"/>
        </w:rPr>
        <w:t>sie kryzysu związanego z COVID-19</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okr</w:t>
      </w:r>
      <w:r w:rsidRPr="00064166">
        <w:rPr>
          <w:noProof/>
          <w:sz w:val="22"/>
          <w:szCs w:val="22"/>
          <w:u w:color="000000"/>
          <w:bdr w:val="nil"/>
        </w:rPr>
        <w:t>eślą sposoby na usprawnienie wymian załóg</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rep</w:t>
      </w:r>
      <w:r w:rsidRPr="00064166">
        <w:rPr>
          <w:noProof/>
          <w:sz w:val="22"/>
          <w:szCs w:val="22"/>
          <w:u w:color="000000"/>
          <w:bdr w:val="nil"/>
        </w:rPr>
        <w:t>atriacji do tych państw. Ułatwi to szybki powrót do domu marynarzy po zejściu na ląd, szczególnie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syt</w:t>
      </w:r>
      <w:r w:rsidRPr="00064166">
        <w:rPr>
          <w:noProof/>
          <w:sz w:val="22"/>
          <w:szCs w:val="22"/>
          <w:u w:color="000000"/>
          <w:bdr w:val="nil"/>
        </w:rPr>
        <w:t>uacjach wyjątkowych.</w:t>
      </w:r>
    </w:p>
    <w:p w14:paraId="37BA2654" w14:textId="7BE20DFA" w:rsidR="00FC6378" w:rsidRPr="00064166" w:rsidRDefault="00FC6378" w:rsidP="00FC6378">
      <w:pPr>
        <w:pBdr>
          <w:top w:val="single" w:sz="4" w:space="1" w:color="auto"/>
          <w:left w:val="single" w:sz="4" w:space="1" w:color="auto"/>
          <w:bottom w:val="single" w:sz="4" w:space="1" w:color="auto"/>
          <w:right w:val="single" w:sz="4" w:space="1" w:color="auto"/>
          <w:between w:val="nil"/>
          <w:bar w:val="nil"/>
        </w:pBdr>
        <w:shd w:val="clear" w:color="auto" w:fill="F9DBDB"/>
        <w:tabs>
          <w:tab w:val="left" w:pos="476"/>
        </w:tabs>
        <w:spacing w:line="276" w:lineRule="auto"/>
        <w:rPr>
          <w:rFonts w:eastAsia="Arial Unicode MS"/>
          <w:noProof/>
          <w:sz w:val="22"/>
          <w:szCs w:val="22"/>
          <w:u w:color="000000"/>
          <w:bdr w:val="nil"/>
        </w:rPr>
      </w:pPr>
      <w:r w:rsidRPr="00064166">
        <w:rPr>
          <w:noProof/>
          <w:sz w:val="22"/>
          <w:szCs w:val="22"/>
          <w:u w:color="000000"/>
          <w:bdr w:val="nil"/>
        </w:rPr>
        <w:t xml:space="preserve">• </w:t>
      </w:r>
      <w:r w:rsidRPr="00064166">
        <w:rPr>
          <w:b/>
          <w:noProof/>
          <w:sz w:val="22"/>
          <w:szCs w:val="22"/>
          <w:u w:color="000000"/>
          <w:bdr w:val="nil"/>
        </w:rPr>
        <w:t>Udoskonalone dane:</w:t>
      </w:r>
      <w:r w:rsidRPr="00064166">
        <w:rPr>
          <w:noProof/>
          <w:sz w:val="22"/>
          <w:szCs w:val="22"/>
          <w:u w:color="000000"/>
          <w:bdr w:val="nil"/>
        </w:rPr>
        <w:t xml:space="preserve"> Jednym</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pow</w:t>
      </w:r>
      <w:r w:rsidRPr="00064166">
        <w:rPr>
          <w:noProof/>
          <w:sz w:val="22"/>
          <w:szCs w:val="22"/>
          <w:u w:color="000000"/>
          <w:bdr w:val="nil"/>
        </w:rPr>
        <w:t>ażnym problemów jest brak danych na temat miejsc pracy</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pod</w:t>
      </w:r>
      <w:r w:rsidRPr="00064166">
        <w:rPr>
          <w:noProof/>
          <w:sz w:val="22"/>
          <w:szCs w:val="22"/>
          <w:u w:color="000000"/>
          <w:bdr w:val="nil"/>
        </w:rPr>
        <w:t>róży marynarzy. Dane te są potrzebne do oszacowania skali problemów związanych</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wym</w:t>
      </w:r>
      <w:r w:rsidRPr="00064166">
        <w:rPr>
          <w:noProof/>
          <w:sz w:val="22"/>
          <w:szCs w:val="22"/>
          <w:u w:color="000000"/>
          <w:bdr w:val="nil"/>
        </w:rPr>
        <w:t>ianą załóg</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pod</w:t>
      </w:r>
      <w:r w:rsidRPr="00064166">
        <w:rPr>
          <w:noProof/>
          <w:sz w:val="22"/>
          <w:szCs w:val="22"/>
          <w:u w:color="000000"/>
          <w:bdr w:val="nil"/>
        </w:rPr>
        <w:t>różami marynarzy,</w:t>
      </w:r>
      <w:r w:rsidR="00064166" w:rsidRPr="00064166">
        <w:rPr>
          <w:noProof/>
          <w:sz w:val="22"/>
          <w:szCs w:val="22"/>
          <w:u w:color="000000"/>
          <w:bdr w:val="nil"/>
        </w:rPr>
        <w:t xml:space="preserve"> a</w:t>
      </w:r>
      <w:r w:rsidR="00064166">
        <w:rPr>
          <w:noProof/>
          <w:sz w:val="22"/>
          <w:szCs w:val="22"/>
          <w:u w:color="000000"/>
          <w:bdr w:val="nil"/>
        </w:rPr>
        <w:t> </w:t>
      </w:r>
      <w:r w:rsidR="00064166" w:rsidRPr="00064166">
        <w:rPr>
          <w:noProof/>
          <w:sz w:val="22"/>
          <w:szCs w:val="22"/>
          <w:u w:color="000000"/>
          <w:bdr w:val="nil"/>
        </w:rPr>
        <w:t>nas</w:t>
      </w:r>
      <w:r w:rsidRPr="00064166">
        <w:rPr>
          <w:noProof/>
          <w:sz w:val="22"/>
          <w:szCs w:val="22"/>
          <w:u w:color="000000"/>
          <w:bdr w:val="nil"/>
        </w:rPr>
        <w:t>tępnie do ich oceny</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roz</w:t>
      </w:r>
      <w:r w:rsidRPr="00064166">
        <w:rPr>
          <w:noProof/>
          <w:sz w:val="22"/>
          <w:szCs w:val="22"/>
          <w:u w:color="000000"/>
          <w:bdr w:val="nil"/>
        </w:rPr>
        <w:t>wiązania. Dlatego też Europejska Agencja Bezpieczeństwa Morskiego (EMSA) dołoży starań, aby gromadzić</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ana</w:t>
      </w:r>
      <w:r w:rsidRPr="00064166">
        <w:rPr>
          <w:noProof/>
          <w:sz w:val="22"/>
          <w:szCs w:val="22"/>
          <w:u w:color="000000"/>
          <w:bdr w:val="nil"/>
        </w:rPr>
        <w:t>lizować te informacje. Tę bazę danych można następnie wykorzystywać</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ini</w:t>
      </w:r>
      <w:r w:rsidRPr="00064166">
        <w:rPr>
          <w:noProof/>
          <w:sz w:val="22"/>
          <w:szCs w:val="22"/>
          <w:u w:color="000000"/>
          <w:bdr w:val="nil"/>
        </w:rPr>
        <w:t>cjatywach Komisji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pań</w:t>
      </w:r>
      <w:r w:rsidRPr="00064166">
        <w:rPr>
          <w:noProof/>
          <w:sz w:val="22"/>
          <w:szCs w:val="22"/>
          <w:u w:color="000000"/>
          <w:bdr w:val="nil"/>
        </w:rPr>
        <w:t>stw członkowskich do przygotowywania środków awaryjnych na wypadek przyszłych kryzysów.</w:t>
      </w:r>
    </w:p>
    <w:p w14:paraId="7B5D2F24" w14:textId="65FFA4EE" w:rsidR="00FC6378" w:rsidRPr="00064166" w:rsidRDefault="00FC6378" w:rsidP="00CC0E2F">
      <w:pPr>
        <w:pStyle w:val="Heading2"/>
        <w:spacing w:before="240" w:after="240" w:line="276" w:lineRule="auto"/>
        <w:ind w:left="578" w:hanging="578"/>
        <w:rPr>
          <w:b w:val="0"/>
          <w:noProof/>
          <w:sz w:val="22"/>
          <w:szCs w:val="22"/>
        </w:rPr>
      </w:pPr>
      <w:r w:rsidRPr="00064166">
        <w:rPr>
          <w:noProof/>
          <w:sz w:val="22"/>
          <w:szCs w:val="22"/>
        </w:rPr>
        <w:t>Zapewnienie minimalnej jakości sieci połączeń</w:t>
      </w:r>
      <w:r w:rsidR="00064166" w:rsidRPr="00064166">
        <w:rPr>
          <w:noProof/>
          <w:sz w:val="22"/>
          <w:szCs w:val="22"/>
        </w:rPr>
        <w:t xml:space="preserve"> i</w:t>
      </w:r>
      <w:r w:rsidR="00064166">
        <w:rPr>
          <w:noProof/>
          <w:sz w:val="22"/>
          <w:szCs w:val="22"/>
        </w:rPr>
        <w:t> </w:t>
      </w:r>
      <w:r w:rsidR="00064166" w:rsidRPr="00064166">
        <w:rPr>
          <w:noProof/>
          <w:sz w:val="22"/>
          <w:szCs w:val="22"/>
        </w:rPr>
        <w:t>och</w:t>
      </w:r>
      <w:r w:rsidRPr="00064166">
        <w:rPr>
          <w:noProof/>
          <w:sz w:val="22"/>
          <w:szCs w:val="22"/>
        </w:rPr>
        <w:t xml:space="preserve">rony pasażerów </w:t>
      </w:r>
    </w:p>
    <w:p w14:paraId="40E674FC" w14:textId="6FA4A023" w:rsidR="00FC6378" w:rsidRPr="00064166" w:rsidRDefault="00FC6378" w:rsidP="00FC6378">
      <w:pPr>
        <w:spacing w:before="120" w:line="276" w:lineRule="auto"/>
        <w:rPr>
          <w:noProof/>
          <w:sz w:val="22"/>
          <w:szCs w:val="22"/>
        </w:rPr>
      </w:pPr>
      <w:r w:rsidRPr="00064166">
        <w:rPr>
          <w:b/>
          <w:noProof/>
          <w:sz w:val="22"/>
          <w:szCs w:val="22"/>
        </w:rPr>
        <w:t>W przypadku występowania presji na usługi transportowe konieczne jest utrzymanie odpowiedniego zbiorowego transportu publicznego</w:t>
      </w:r>
      <w:r w:rsidR="00064166" w:rsidRPr="00064166">
        <w:rPr>
          <w:b/>
          <w:noProof/>
          <w:sz w:val="22"/>
          <w:szCs w:val="22"/>
        </w:rPr>
        <w:t xml:space="preserve"> w</w:t>
      </w:r>
      <w:r w:rsidR="00064166">
        <w:rPr>
          <w:b/>
          <w:noProof/>
          <w:sz w:val="22"/>
          <w:szCs w:val="22"/>
        </w:rPr>
        <w:t> </w:t>
      </w:r>
      <w:r w:rsidR="00064166" w:rsidRPr="00064166">
        <w:rPr>
          <w:b/>
          <w:noProof/>
          <w:sz w:val="22"/>
          <w:szCs w:val="22"/>
        </w:rPr>
        <w:t>mia</w:t>
      </w:r>
      <w:r w:rsidRPr="00064166">
        <w:rPr>
          <w:b/>
          <w:noProof/>
          <w:sz w:val="22"/>
          <w:szCs w:val="22"/>
        </w:rPr>
        <w:t>stach</w:t>
      </w:r>
      <w:r w:rsidR="00064166" w:rsidRPr="00064166">
        <w:rPr>
          <w:b/>
          <w:noProof/>
          <w:sz w:val="22"/>
          <w:szCs w:val="22"/>
        </w:rPr>
        <w:t xml:space="preserve"> i</w:t>
      </w:r>
      <w:r w:rsidR="00064166">
        <w:rPr>
          <w:b/>
          <w:noProof/>
          <w:sz w:val="22"/>
          <w:szCs w:val="22"/>
        </w:rPr>
        <w:t> </w:t>
      </w:r>
      <w:r w:rsidR="00064166" w:rsidRPr="00064166">
        <w:rPr>
          <w:b/>
          <w:noProof/>
          <w:sz w:val="22"/>
          <w:szCs w:val="22"/>
        </w:rPr>
        <w:t>reg</w:t>
      </w:r>
      <w:r w:rsidRPr="00064166">
        <w:rPr>
          <w:b/>
          <w:noProof/>
          <w:sz w:val="22"/>
          <w:szCs w:val="22"/>
        </w:rPr>
        <w:t>ionach</w:t>
      </w:r>
      <w:r w:rsidR="00064166" w:rsidRPr="00064166">
        <w:rPr>
          <w:b/>
          <w:noProof/>
          <w:sz w:val="22"/>
          <w:szCs w:val="22"/>
        </w:rPr>
        <w:t xml:space="preserve"> i</w:t>
      </w:r>
      <w:r w:rsidR="00064166">
        <w:rPr>
          <w:b/>
          <w:noProof/>
          <w:sz w:val="22"/>
          <w:szCs w:val="22"/>
        </w:rPr>
        <w:t> </w:t>
      </w:r>
      <w:r w:rsidR="00064166" w:rsidRPr="00064166">
        <w:rPr>
          <w:b/>
          <w:noProof/>
          <w:sz w:val="22"/>
          <w:szCs w:val="22"/>
        </w:rPr>
        <w:t>mię</w:t>
      </w:r>
      <w:r w:rsidRPr="00064166">
        <w:rPr>
          <w:b/>
          <w:noProof/>
          <w:sz w:val="22"/>
          <w:szCs w:val="22"/>
        </w:rPr>
        <w:t>dzy nimi.</w:t>
      </w:r>
      <w:r w:rsidR="0052698C" w:rsidRPr="00064166">
        <w:rPr>
          <w:b/>
          <w:noProof/>
          <w:sz w:val="22"/>
          <w:szCs w:val="22"/>
        </w:rPr>
        <w:t xml:space="preserve"> </w:t>
      </w:r>
      <w:r w:rsidRPr="00064166">
        <w:rPr>
          <w:noProof/>
          <w:sz w:val="22"/>
          <w:szCs w:val="22"/>
        </w:rPr>
        <w:t>Zadanie to może być szczególnie trudne na obszarach przygranicznych, na których świadczenie podstawowych usług może być uzależnione od pracowników transgranicznych. Państwa członkowskie mogą zatem rozważyć pilne zawieranie umów</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zamówień publicznych na usługi transportu zbiorowego lub zmianę obowiązujących umów na usługi świadczenia przejazdów środkami transportu publicznego</w:t>
      </w:r>
      <w:r w:rsidR="00064166" w:rsidRPr="00064166">
        <w:rPr>
          <w:noProof/>
          <w:sz w:val="22"/>
          <w:szCs w:val="22"/>
        </w:rPr>
        <w:t>. W</w:t>
      </w:r>
      <w:r w:rsidR="00064166">
        <w:rPr>
          <w:noProof/>
          <w:sz w:val="22"/>
          <w:szCs w:val="22"/>
        </w:rPr>
        <w:t> </w:t>
      </w:r>
      <w:r w:rsidR="00064166" w:rsidRPr="00064166">
        <w:rPr>
          <w:noProof/>
          <w:sz w:val="22"/>
          <w:szCs w:val="22"/>
        </w:rPr>
        <w:t>uni</w:t>
      </w:r>
      <w:r w:rsidRPr="00064166">
        <w:rPr>
          <w:noProof/>
          <w:sz w:val="22"/>
          <w:szCs w:val="22"/>
        </w:rPr>
        <w:t>jnych przepisach dotyczących kolejowego, drogowego</w:t>
      </w:r>
      <w:r w:rsidR="00064166" w:rsidRPr="00064166">
        <w:rPr>
          <w:noProof/>
          <w:sz w:val="22"/>
          <w:szCs w:val="22"/>
        </w:rPr>
        <w:t xml:space="preserve"> i</w:t>
      </w:r>
      <w:r w:rsidR="00064166">
        <w:rPr>
          <w:noProof/>
          <w:sz w:val="22"/>
          <w:szCs w:val="22"/>
        </w:rPr>
        <w:t> </w:t>
      </w:r>
      <w:r w:rsidR="00064166" w:rsidRPr="00064166">
        <w:rPr>
          <w:noProof/>
          <w:sz w:val="22"/>
          <w:szCs w:val="22"/>
        </w:rPr>
        <w:t>mor</w:t>
      </w:r>
      <w:r w:rsidRPr="00064166">
        <w:rPr>
          <w:noProof/>
          <w:sz w:val="22"/>
          <w:szCs w:val="22"/>
        </w:rPr>
        <w:t>skiego transportu publicznego przewidziano już tryb pilny</w:t>
      </w:r>
      <w:r w:rsidR="00064166" w:rsidRPr="00064166">
        <w:rPr>
          <w:noProof/>
          <w:sz w:val="22"/>
          <w:szCs w:val="22"/>
        </w:rPr>
        <w:t xml:space="preserve"> w</w:t>
      </w:r>
      <w:r w:rsidR="00064166">
        <w:rPr>
          <w:noProof/>
          <w:sz w:val="22"/>
          <w:szCs w:val="22"/>
        </w:rPr>
        <w:t> </w:t>
      </w:r>
      <w:r w:rsidR="00064166" w:rsidRPr="00064166">
        <w:rPr>
          <w:noProof/>
          <w:sz w:val="22"/>
          <w:szCs w:val="22"/>
        </w:rPr>
        <w:t>okr</w:t>
      </w:r>
      <w:r w:rsidRPr="00064166">
        <w:rPr>
          <w:noProof/>
          <w:sz w:val="22"/>
          <w:szCs w:val="22"/>
        </w:rPr>
        <w:t>eślonych warunkach</w:t>
      </w:r>
      <w:r w:rsidR="00064166" w:rsidRPr="00064166">
        <w:rPr>
          <w:noProof/>
          <w:sz w:val="22"/>
          <w:szCs w:val="22"/>
        </w:rPr>
        <w:t>. W</w:t>
      </w:r>
      <w:r w:rsidR="00064166">
        <w:rPr>
          <w:noProof/>
          <w:sz w:val="22"/>
          <w:szCs w:val="22"/>
        </w:rPr>
        <w:t> </w:t>
      </w:r>
      <w:r w:rsidR="00064166" w:rsidRPr="00064166">
        <w:rPr>
          <w:noProof/>
          <w:sz w:val="22"/>
          <w:szCs w:val="22"/>
        </w:rPr>
        <w:t>ram</w:t>
      </w:r>
      <w:r w:rsidRPr="00064166">
        <w:rPr>
          <w:noProof/>
          <w:sz w:val="22"/>
          <w:szCs w:val="22"/>
        </w:rPr>
        <w:t>ach przeglądu rozporządzenia</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przewozów lotniczych Komisja rozważy warianty umożliwiające udzielanie przez państwa członkowskie zamówień publicznych na usługi</w:t>
      </w:r>
      <w:r w:rsidR="00064166" w:rsidRPr="00064166">
        <w:rPr>
          <w:noProof/>
          <w:sz w:val="22"/>
          <w:szCs w:val="22"/>
        </w:rPr>
        <w:t xml:space="preserve"> w</w:t>
      </w:r>
      <w:r w:rsidR="00064166">
        <w:rPr>
          <w:noProof/>
          <w:sz w:val="22"/>
          <w:szCs w:val="22"/>
        </w:rPr>
        <w:t> </w:t>
      </w:r>
      <w:r w:rsidR="00064166" w:rsidRPr="00064166">
        <w:rPr>
          <w:noProof/>
          <w:sz w:val="22"/>
          <w:szCs w:val="22"/>
        </w:rPr>
        <w:t>try</w:t>
      </w:r>
      <w:r w:rsidRPr="00064166">
        <w:rPr>
          <w:noProof/>
          <w:sz w:val="22"/>
          <w:szCs w:val="22"/>
        </w:rPr>
        <w:t>bie pilnym</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zapewnienia podstawowej jakości sieci połączeń</w:t>
      </w:r>
      <w:r w:rsidR="00064166" w:rsidRPr="00064166">
        <w:rPr>
          <w:noProof/>
          <w:sz w:val="22"/>
          <w:szCs w:val="22"/>
        </w:rPr>
        <w:t xml:space="preserve"> w</w:t>
      </w:r>
      <w:r w:rsidR="00064166">
        <w:rPr>
          <w:noProof/>
          <w:sz w:val="22"/>
          <w:szCs w:val="22"/>
        </w:rPr>
        <w:t> </w:t>
      </w:r>
      <w:r w:rsidR="00064166" w:rsidRPr="00064166">
        <w:rPr>
          <w:noProof/>
          <w:sz w:val="22"/>
          <w:szCs w:val="22"/>
        </w:rPr>
        <w:t>cza</w:t>
      </w:r>
      <w:r w:rsidRPr="00064166">
        <w:rPr>
          <w:noProof/>
          <w:sz w:val="22"/>
          <w:szCs w:val="22"/>
        </w:rPr>
        <w:t>sie kryzysu.</w:t>
      </w:r>
    </w:p>
    <w:p w14:paraId="6422B997" w14:textId="7081ABB3" w:rsidR="00FC6378" w:rsidRPr="00064166" w:rsidRDefault="00FC6378" w:rsidP="00FC6378">
      <w:pPr>
        <w:spacing w:before="120" w:line="276" w:lineRule="auto"/>
        <w:rPr>
          <w:noProof/>
          <w:sz w:val="22"/>
          <w:szCs w:val="22"/>
        </w:rPr>
      </w:pPr>
      <w:r w:rsidRPr="00064166">
        <w:rPr>
          <w:b/>
          <w:noProof/>
          <w:sz w:val="22"/>
          <w:szCs w:val="22"/>
        </w:rPr>
        <w:t>Ponadto Komisja wzywa władze lokalne</w:t>
      </w:r>
      <w:r w:rsidR="00064166" w:rsidRPr="00064166">
        <w:rPr>
          <w:b/>
          <w:noProof/>
          <w:sz w:val="22"/>
          <w:szCs w:val="22"/>
        </w:rPr>
        <w:t xml:space="preserve"> i</w:t>
      </w:r>
      <w:r w:rsidR="00064166">
        <w:rPr>
          <w:b/>
          <w:noProof/>
          <w:sz w:val="22"/>
          <w:szCs w:val="22"/>
        </w:rPr>
        <w:t> </w:t>
      </w:r>
      <w:r w:rsidR="00064166" w:rsidRPr="00064166">
        <w:rPr>
          <w:b/>
          <w:noProof/>
          <w:sz w:val="22"/>
          <w:szCs w:val="22"/>
        </w:rPr>
        <w:t>reg</w:t>
      </w:r>
      <w:r w:rsidRPr="00064166">
        <w:rPr>
          <w:b/>
          <w:noProof/>
          <w:sz w:val="22"/>
          <w:szCs w:val="22"/>
        </w:rPr>
        <w:t>ionalne do zwiększenia swojej gotowości</w:t>
      </w:r>
      <w:r w:rsidR="00064166" w:rsidRPr="00064166">
        <w:rPr>
          <w:b/>
          <w:noProof/>
          <w:sz w:val="22"/>
          <w:szCs w:val="22"/>
        </w:rPr>
        <w:t xml:space="preserve">. </w:t>
      </w:r>
      <w:r w:rsidR="00064166" w:rsidRPr="00064166">
        <w:rPr>
          <w:noProof/>
          <w:sz w:val="22"/>
          <w:szCs w:val="22"/>
        </w:rPr>
        <w:t>W</w:t>
      </w:r>
      <w:r w:rsidR="00064166">
        <w:rPr>
          <w:b/>
          <w:noProof/>
          <w:sz w:val="22"/>
          <w:szCs w:val="22"/>
        </w:rPr>
        <w:t> </w:t>
      </w:r>
      <w:r w:rsidR="00064166" w:rsidRPr="00064166">
        <w:rPr>
          <w:noProof/>
          <w:sz w:val="22"/>
          <w:szCs w:val="22"/>
        </w:rPr>
        <w:t>zwi</w:t>
      </w:r>
      <w:r w:rsidRPr="00064166">
        <w:rPr>
          <w:noProof/>
          <w:sz w:val="22"/>
          <w:szCs w:val="22"/>
        </w:rPr>
        <w:t>ązku</w:t>
      </w:r>
      <w:r w:rsidR="00064166" w:rsidRPr="00064166">
        <w:rPr>
          <w:noProof/>
          <w:sz w:val="22"/>
          <w:szCs w:val="22"/>
        </w:rPr>
        <w:t xml:space="preserve"> z</w:t>
      </w:r>
      <w:r w:rsidR="00064166">
        <w:rPr>
          <w:noProof/>
          <w:sz w:val="22"/>
          <w:szCs w:val="22"/>
        </w:rPr>
        <w:t> </w:t>
      </w:r>
      <w:r w:rsidR="00064166" w:rsidRPr="00064166">
        <w:rPr>
          <w:noProof/>
          <w:sz w:val="22"/>
          <w:szCs w:val="22"/>
        </w:rPr>
        <w:t>wyt</w:t>
      </w:r>
      <w:r w:rsidRPr="00064166">
        <w:rPr>
          <w:noProof/>
          <w:sz w:val="22"/>
          <w:szCs w:val="22"/>
        </w:rPr>
        <w:t>ycznymi dotyczącymi planowania odporniejszej</w:t>
      </w:r>
      <w:r w:rsidR="00064166" w:rsidRPr="00064166">
        <w:rPr>
          <w:noProof/>
          <w:sz w:val="22"/>
          <w:szCs w:val="22"/>
        </w:rPr>
        <w:t xml:space="preserve"> i</w:t>
      </w:r>
      <w:r w:rsidR="00064166">
        <w:rPr>
          <w:noProof/>
          <w:sz w:val="22"/>
          <w:szCs w:val="22"/>
        </w:rPr>
        <w:t> </w:t>
      </w:r>
      <w:r w:rsidR="00064166" w:rsidRPr="00064166">
        <w:rPr>
          <w:noProof/>
          <w:sz w:val="22"/>
          <w:szCs w:val="22"/>
        </w:rPr>
        <w:t>sol</w:t>
      </w:r>
      <w:r w:rsidRPr="00064166">
        <w:rPr>
          <w:noProof/>
          <w:sz w:val="22"/>
          <w:szCs w:val="22"/>
        </w:rPr>
        <w:t>idniejszej mobilności miejskiej</w:t>
      </w:r>
      <w:r w:rsidRPr="00064166">
        <w:rPr>
          <w:rStyle w:val="FootnoteReference"/>
          <w:noProof/>
          <w:sz w:val="22"/>
          <w:szCs w:val="22"/>
        </w:rPr>
        <w:footnoteReference w:id="72"/>
      </w:r>
      <w:r w:rsidRPr="00064166">
        <w:rPr>
          <w:noProof/>
          <w:sz w:val="22"/>
          <w:szCs w:val="22"/>
        </w:rPr>
        <w:t xml:space="preserve"> Komisja wskazała na konieczność przygotowania się na każdą ewentualność oraz podkreśliła znaczenie mobilności miejskiej</w:t>
      </w:r>
      <w:r w:rsidR="00064166" w:rsidRPr="00064166">
        <w:rPr>
          <w:noProof/>
          <w:sz w:val="22"/>
          <w:szCs w:val="22"/>
        </w:rPr>
        <w:t xml:space="preserve"> w</w:t>
      </w:r>
      <w:r w:rsidR="00064166">
        <w:rPr>
          <w:noProof/>
          <w:sz w:val="22"/>
          <w:szCs w:val="22"/>
        </w:rPr>
        <w:t> </w:t>
      </w:r>
      <w:r w:rsidR="00064166" w:rsidRPr="00064166">
        <w:rPr>
          <w:noProof/>
          <w:sz w:val="22"/>
          <w:szCs w:val="22"/>
        </w:rPr>
        <w:t>kon</w:t>
      </w:r>
      <w:r w:rsidRPr="00064166">
        <w:rPr>
          <w:noProof/>
          <w:sz w:val="22"/>
          <w:szCs w:val="22"/>
        </w:rPr>
        <w:t>tekście ogólnej odporności obszarów miejskich. Zostanie to odzwierciedlone</w:t>
      </w:r>
      <w:r w:rsidR="00064166" w:rsidRPr="00064166">
        <w:rPr>
          <w:noProof/>
          <w:sz w:val="22"/>
          <w:szCs w:val="22"/>
        </w:rPr>
        <w:t xml:space="preserve"> w</w:t>
      </w:r>
      <w:r w:rsidR="00064166">
        <w:rPr>
          <w:noProof/>
          <w:sz w:val="22"/>
          <w:szCs w:val="22"/>
        </w:rPr>
        <w:t> </w:t>
      </w:r>
      <w:r w:rsidR="00064166" w:rsidRPr="00064166">
        <w:rPr>
          <w:noProof/>
          <w:sz w:val="22"/>
          <w:szCs w:val="22"/>
        </w:rPr>
        <w:t>dzi</w:t>
      </w:r>
      <w:r w:rsidRPr="00064166">
        <w:rPr>
          <w:noProof/>
          <w:sz w:val="22"/>
          <w:szCs w:val="22"/>
        </w:rPr>
        <w:t>ałaniach następczych,</w:t>
      </w:r>
      <w:r w:rsidR="00064166" w:rsidRPr="00064166">
        <w:rPr>
          <w:noProof/>
          <w:sz w:val="22"/>
          <w:szCs w:val="22"/>
        </w:rPr>
        <w:t xml:space="preserve"> w</w:t>
      </w:r>
      <w:r w:rsidR="00064166">
        <w:rPr>
          <w:noProof/>
          <w:sz w:val="22"/>
          <w:szCs w:val="22"/>
        </w:rPr>
        <w:t> </w:t>
      </w:r>
      <w:r w:rsidR="00064166" w:rsidRPr="00064166">
        <w:rPr>
          <w:noProof/>
          <w:sz w:val="22"/>
          <w:szCs w:val="22"/>
        </w:rPr>
        <w:t>tym w</w:t>
      </w:r>
      <w:r w:rsidR="00064166">
        <w:rPr>
          <w:noProof/>
          <w:sz w:val="22"/>
          <w:szCs w:val="22"/>
        </w:rPr>
        <w:t> </w:t>
      </w:r>
      <w:r w:rsidR="00064166" w:rsidRPr="00064166">
        <w:rPr>
          <w:noProof/>
          <w:sz w:val="22"/>
          <w:szCs w:val="22"/>
        </w:rPr>
        <w:t>zal</w:t>
      </w:r>
      <w:r w:rsidRPr="00064166">
        <w:rPr>
          <w:noProof/>
          <w:sz w:val="22"/>
          <w:szCs w:val="22"/>
        </w:rPr>
        <w:t>eceniu Komisji</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planów zrównoważonej mobilności miejskiej zaplanowanym na</w:t>
      </w:r>
      <w:r w:rsidR="00064166" w:rsidRPr="00064166">
        <w:rPr>
          <w:noProof/>
          <w:sz w:val="22"/>
          <w:szCs w:val="22"/>
        </w:rPr>
        <w:t> </w:t>
      </w:r>
      <w:r w:rsidRPr="00064166">
        <w:rPr>
          <w:noProof/>
          <w:sz w:val="22"/>
          <w:szCs w:val="22"/>
        </w:rPr>
        <w:t>2022</w:t>
      </w:r>
      <w:r w:rsidR="00064166" w:rsidRPr="00064166">
        <w:rPr>
          <w:noProof/>
          <w:sz w:val="22"/>
          <w:szCs w:val="22"/>
        </w:rPr>
        <w:t> </w:t>
      </w:r>
      <w:r w:rsidRPr="00064166">
        <w:rPr>
          <w:noProof/>
          <w:sz w:val="22"/>
          <w:szCs w:val="22"/>
        </w:rPr>
        <w:t>r. oraz</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specjalnych dyskusji</w:t>
      </w:r>
      <w:r w:rsidR="00064166" w:rsidRPr="00064166">
        <w:rPr>
          <w:noProof/>
          <w:sz w:val="22"/>
          <w:szCs w:val="22"/>
        </w:rPr>
        <w:t xml:space="preserve"> z</w:t>
      </w:r>
      <w:r w:rsidR="00064166">
        <w:rPr>
          <w:noProof/>
          <w:sz w:val="22"/>
          <w:szCs w:val="22"/>
        </w:rPr>
        <w:t> </w:t>
      </w:r>
      <w:r w:rsidR="00064166" w:rsidRPr="00064166">
        <w:rPr>
          <w:noProof/>
          <w:sz w:val="22"/>
          <w:szCs w:val="22"/>
        </w:rPr>
        <w:t>udz</w:t>
      </w:r>
      <w:r w:rsidRPr="00064166">
        <w:rPr>
          <w:noProof/>
          <w:sz w:val="22"/>
          <w:szCs w:val="22"/>
        </w:rPr>
        <w:t>iałem państw członkowskich</w:t>
      </w:r>
      <w:r w:rsidR="00064166" w:rsidRPr="00064166">
        <w:rPr>
          <w:noProof/>
          <w:sz w:val="22"/>
          <w:szCs w:val="22"/>
        </w:rPr>
        <w:t xml:space="preserve"> i</w:t>
      </w:r>
      <w:r w:rsidR="00064166">
        <w:rPr>
          <w:noProof/>
          <w:sz w:val="22"/>
          <w:szCs w:val="22"/>
        </w:rPr>
        <w:t> </w:t>
      </w:r>
      <w:r w:rsidR="00064166" w:rsidRPr="00064166">
        <w:rPr>
          <w:noProof/>
          <w:sz w:val="22"/>
          <w:szCs w:val="22"/>
        </w:rPr>
        <w:t>eks</w:t>
      </w:r>
      <w:r w:rsidRPr="00064166">
        <w:rPr>
          <w:noProof/>
          <w:sz w:val="22"/>
          <w:szCs w:val="22"/>
        </w:rPr>
        <w:t>pertów do spraw miejskich na temat dodatkowych środków zwiększających odporność mobilności miejskiej.</w:t>
      </w:r>
    </w:p>
    <w:p w14:paraId="2336D217" w14:textId="03FBB716" w:rsidR="00FC6378" w:rsidRPr="00064166" w:rsidRDefault="00FC6378" w:rsidP="00FC6378">
      <w:pPr>
        <w:spacing w:before="120" w:line="276" w:lineRule="auto"/>
        <w:rPr>
          <w:noProof/>
          <w:sz w:val="22"/>
          <w:szCs w:val="22"/>
        </w:rPr>
      </w:pPr>
      <w:r w:rsidRPr="00064166">
        <w:rPr>
          <w:b/>
          <w:noProof/>
          <w:sz w:val="22"/>
          <w:szCs w:val="22"/>
        </w:rPr>
        <w:t>Kolejnym sposobem na zapewnienie minimalnej jakości sieci połączeń</w:t>
      </w:r>
      <w:r w:rsidR="00064166" w:rsidRPr="00064166">
        <w:rPr>
          <w:b/>
          <w:noProof/>
          <w:sz w:val="22"/>
          <w:szCs w:val="22"/>
        </w:rPr>
        <w:t xml:space="preserve"> w</w:t>
      </w:r>
      <w:r w:rsidR="00064166">
        <w:rPr>
          <w:b/>
          <w:noProof/>
          <w:sz w:val="22"/>
          <w:szCs w:val="22"/>
        </w:rPr>
        <w:t> </w:t>
      </w:r>
      <w:r w:rsidR="00064166" w:rsidRPr="00064166">
        <w:rPr>
          <w:b/>
          <w:noProof/>
          <w:sz w:val="22"/>
          <w:szCs w:val="22"/>
        </w:rPr>
        <w:t>cza</w:t>
      </w:r>
      <w:r w:rsidRPr="00064166">
        <w:rPr>
          <w:b/>
          <w:noProof/>
          <w:sz w:val="22"/>
          <w:szCs w:val="22"/>
        </w:rPr>
        <w:t>sie kryzysu jest zwiększenie odporności infrastruktury transportowej</w:t>
      </w:r>
      <w:r w:rsidR="00064166" w:rsidRPr="00064166">
        <w:rPr>
          <w:b/>
          <w:noProof/>
          <w:sz w:val="22"/>
          <w:szCs w:val="22"/>
        </w:rPr>
        <w:t xml:space="preserve"> i</w:t>
      </w:r>
      <w:r w:rsidR="00064166">
        <w:rPr>
          <w:b/>
          <w:noProof/>
          <w:sz w:val="22"/>
          <w:szCs w:val="22"/>
        </w:rPr>
        <w:t> </w:t>
      </w:r>
      <w:r w:rsidR="00064166" w:rsidRPr="00064166">
        <w:rPr>
          <w:b/>
          <w:noProof/>
          <w:sz w:val="22"/>
          <w:szCs w:val="22"/>
        </w:rPr>
        <w:t>ope</w:t>
      </w:r>
      <w:r w:rsidRPr="00064166">
        <w:rPr>
          <w:b/>
          <w:noProof/>
          <w:sz w:val="22"/>
          <w:szCs w:val="22"/>
        </w:rPr>
        <w:t>ratorów na wstrząsy.</w:t>
      </w:r>
      <w:r w:rsidR="0052698C" w:rsidRPr="00064166">
        <w:rPr>
          <w:b/>
          <w:noProof/>
          <w:sz w:val="22"/>
          <w:szCs w:val="22"/>
        </w:rPr>
        <w:t xml:space="preserve"> </w:t>
      </w:r>
      <w:r w:rsidRPr="00064166">
        <w:rPr>
          <w:noProof/>
          <w:sz w:val="22"/>
          <w:szCs w:val="22"/>
        </w:rPr>
        <w:t>We wniosku Komisji dotyczącym nowego rozporządzenia</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TEN-T wymaga się, aby państwa członkowskie zwiększyły bezpieczeństwo</w:t>
      </w:r>
      <w:r w:rsidR="00064166" w:rsidRPr="00064166">
        <w:rPr>
          <w:noProof/>
          <w:sz w:val="22"/>
          <w:szCs w:val="22"/>
        </w:rPr>
        <w:t xml:space="preserve"> i</w:t>
      </w:r>
      <w:r w:rsidR="00064166">
        <w:rPr>
          <w:noProof/>
          <w:sz w:val="22"/>
          <w:szCs w:val="22"/>
        </w:rPr>
        <w:t> </w:t>
      </w:r>
      <w:r w:rsidR="00064166" w:rsidRPr="00064166">
        <w:rPr>
          <w:noProof/>
          <w:sz w:val="22"/>
          <w:szCs w:val="22"/>
        </w:rPr>
        <w:t>odp</w:t>
      </w:r>
      <w:r w:rsidRPr="00064166">
        <w:rPr>
          <w:noProof/>
          <w:sz w:val="22"/>
          <w:szCs w:val="22"/>
        </w:rPr>
        <w:t>orność sieci TEN-T na zmianę klimatu, katastrofy naturalne</w:t>
      </w:r>
      <w:r w:rsidR="00064166" w:rsidRPr="00064166">
        <w:rPr>
          <w:noProof/>
          <w:sz w:val="22"/>
          <w:szCs w:val="22"/>
        </w:rPr>
        <w:t xml:space="preserve"> i</w:t>
      </w:r>
      <w:r w:rsidR="00064166">
        <w:rPr>
          <w:noProof/>
          <w:sz w:val="22"/>
          <w:szCs w:val="22"/>
        </w:rPr>
        <w:t> </w:t>
      </w:r>
      <w:r w:rsidR="00064166" w:rsidRPr="00064166">
        <w:rPr>
          <w:noProof/>
          <w:sz w:val="22"/>
          <w:szCs w:val="22"/>
        </w:rPr>
        <w:t>kat</w:t>
      </w:r>
      <w:r w:rsidRPr="00064166">
        <w:rPr>
          <w:noProof/>
          <w:sz w:val="22"/>
          <w:szCs w:val="22"/>
        </w:rPr>
        <w:t xml:space="preserve">astrofy spowodowane przez człowieka oraz inne nadzwyczajne zdarzenia mające wpływ na unijny system transportu. </w:t>
      </w:r>
    </w:p>
    <w:p w14:paraId="092675FB" w14:textId="5E690AFF" w:rsidR="00FC6378" w:rsidRPr="00064166" w:rsidRDefault="00FC6378" w:rsidP="00FC6378">
      <w:pPr>
        <w:spacing w:before="120" w:line="276" w:lineRule="auto"/>
        <w:rPr>
          <w:noProof/>
          <w:sz w:val="22"/>
          <w:szCs w:val="22"/>
        </w:rPr>
      </w:pPr>
      <w:r w:rsidRPr="00064166">
        <w:rPr>
          <w:b/>
          <w:bCs/>
          <w:noProof/>
          <w:sz w:val="22"/>
          <w:szCs w:val="22"/>
        </w:rPr>
        <w:t>Komisja rozważa inicjatywy ustawodawcze chroniące pasażerów przed ryzykiem kryzysu płynnościowego lub niewypłacalności przewoźników, które to zjawiska często występują</w:t>
      </w:r>
      <w:r w:rsidR="00064166" w:rsidRPr="00064166">
        <w:rPr>
          <w:b/>
          <w:bCs/>
          <w:noProof/>
          <w:sz w:val="22"/>
          <w:szCs w:val="22"/>
        </w:rPr>
        <w:t xml:space="preserve"> w</w:t>
      </w:r>
      <w:r w:rsidR="00064166">
        <w:rPr>
          <w:b/>
          <w:bCs/>
          <w:noProof/>
          <w:sz w:val="22"/>
          <w:szCs w:val="22"/>
        </w:rPr>
        <w:t> </w:t>
      </w:r>
      <w:r w:rsidR="00064166" w:rsidRPr="00064166">
        <w:rPr>
          <w:b/>
          <w:bCs/>
          <w:noProof/>
          <w:sz w:val="22"/>
          <w:szCs w:val="22"/>
        </w:rPr>
        <w:t>zwi</w:t>
      </w:r>
      <w:r w:rsidRPr="00064166">
        <w:rPr>
          <w:b/>
          <w:bCs/>
          <w:noProof/>
          <w:sz w:val="22"/>
          <w:szCs w:val="22"/>
        </w:rPr>
        <w:t>ązku</w:t>
      </w:r>
      <w:r w:rsidR="00064166" w:rsidRPr="00064166">
        <w:rPr>
          <w:b/>
          <w:bCs/>
          <w:noProof/>
          <w:sz w:val="22"/>
          <w:szCs w:val="22"/>
        </w:rPr>
        <w:t xml:space="preserve"> z</w:t>
      </w:r>
      <w:r w:rsidR="00064166">
        <w:rPr>
          <w:b/>
          <w:bCs/>
          <w:noProof/>
          <w:sz w:val="22"/>
          <w:szCs w:val="22"/>
        </w:rPr>
        <w:t> </w:t>
      </w:r>
      <w:r w:rsidR="00064166" w:rsidRPr="00064166">
        <w:rPr>
          <w:b/>
          <w:bCs/>
          <w:noProof/>
          <w:sz w:val="22"/>
          <w:szCs w:val="22"/>
        </w:rPr>
        <w:t>kry</w:t>
      </w:r>
      <w:r w:rsidRPr="00064166">
        <w:rPr>
          <w:b/>
          <w:bCs/>
          <w:noProof/>
          <w:sz w:val="22"/>
          <w:szCs w:val="22"/>
        </w:rPr>
        <w:t>zysem.</w:t>
      </w:r>
      <w:r w:rsidR="0052698C" w:rsidRPr="00064166">
        <w:rPr>
          <w:b/>
          <w:bCs/>
          <w:noProof/>
          <w:sz w:val="22"/>
          <w:szCs w:val="22"/>
        </w:rPr>
        <w:t xml:space="preserve"> </w:t>
      </w:r>
      <w:r w:rsidRPr="00064166">
        <w:rPr>
          <w:noProof/>
          <w:sz w:val="22"/>
          <w:szCs w:val="22"/>
        </w:rPr>
        <w:t>Ponadto Komisja wyjaśni</w:t>
      </w:r>
      <w:r w:rsidR="00064166" w:rsidRPr="00064166">
        <w:rPr>
          <w:noProof/>
          <w:sz w:val="22"/>
          <w:szCs w:val="22"/>
        </w:rPr>
        <w:t xml:space="preserve"> i</w:t>
      </w:r>
      <w:r w:rsidR="00064166">
        <w:rPr>
          <w:noProof/>
          <w:sz w:val="22"/>
          <w:szCs w:val="22"/>
        </w:rPr>
        <w:t> </w:t>
      </w:r>
      <w:r w:rsidR="00064166" w:rsidRPr="00064166">
        <w:rPr>
          <w:noProof/>
          <w:sz w:val="22"/>
          <w:szCs w:val="22"/>
        </w:rPr>
        <w:t>będ</w:t>
      </w:r>
      <w:r w:rsidRPr="00064166">
        <w:rPr>
          <w:noProof/>
          <w:sz w:val="22"/>
          <w:szCs w:val="22"/>
        </w:rPr>
        <w:t>zie chronić prawa pasażerów znajdujących się pod presją</w:t>
      </w:r>
      <w:r w:rsidR="00064166" w:rsidRPr="00064166">
        <w:rPr>
          <w:noProof/>
          <w:sz w:val="22"/>
          <w:szCs w:val="22"/>
        </w:rPr>
        <w:t xml:space="preserve"> z</w:t>
      </w:r>
      <w:r w:rsidR="00064166">
        <w:rPr>
          <w:noProof/>
          <w:sz w:val="22"/>
          <w:szCs w:val="22"/>
        </w:rPr>
        <w:t> </w:t>
      </w:r>
      <w:r w:rsidR="00064166" w:rsidRPr="00064166">
        <w:rPr>
          <w:noProof/>
          <w:sz w:val="22"/>
          <w:szCs w:val="22"/>
        </w:rPr>
        <w:t>pow</w:t>
      </w:r>
      <w:r w:rsidRPr="00064166">
        <w:rPr>
          <w:noProof/>
          <w:sz w:val="22"/>
          <w:szCs w:val="22"/>
        </w:rPr>
        <w:t>odu kryzysu,</w:t>
      </w:r>
      <w:r w:rsidR="00064166" w:rsidRPr="00064166">
        <w:rPr>
          <w:noProof/>
          <w:sz w:val="22"/>
          <w:szCs w:val="22"/>
        </w:rPr>
        <w:t xml:space="preserve"> a</w:t>
      </w:r>
      <w:r w:rsidR="00064166">
        <w:rPr>
          <w:noProof/>
          <w:sz w:val="22"/>
          <w:szCs w:val="22"/>
        </w:rPr>
        <w:t> </w:t>
      </w:r>
      <w:r w:rsidR="00064166" w:rsidRPr="00064166">
        <w:rPr>
          <w:noProof/>
          <w:sz w:val="22"/>
          <w:szCs w:val="22"/>
        </w:rPr>
        <w:t>tak</w:t>
      </w:r>
      <w:r w:rsidRPr="00064166">
        <w:rPr>
          <w:noProof/>
          <w:sz w:val="22"/>
          <w:szCs w:val="22"/>
        </w:rPr>
        <w:t>że wyjaśni,</w:t>
      </w:r>
      <w:r w:rsidR="00064166" w:rsidRPr="00064166">
        <w:rPr>
          <w:noProof/>
          <w:sz w:val="22"/>
          <w:szCs w:val="22"/>
        </w:rPr>
        <w:t xml:space="preserve"> w</w:t>
      </w:r>
      <w:r w:rsidR="00064166">
        <w:rPr>
          <w:noProof/>
          <w:sz w:val="22"/>
          <w:szCs w:val="22"/>
        </w:rPr>
        <w:t> </w:t>
      </w:r>
      <w:r w:rsidR="00064166" w:rsidRPr="00064166">
        <w:rPr>
          <w:noProof/>
          <w:sz w:val="22"/>
          <w:szCs w:val="22"/>
        </w:rPr>
        <w:t>jak</w:t>
      </w:r>
      <w:r w:rsidRPr="00064166">
        <w:rPr>
          <w:noProof/>
          <w:sz w:val="22"/>
          <w:szCs w:val="22"/>
        </w:rPr>
        <w:t>i sposób można chronić pasażerów przed ryzykiem nieuwzględnionym</w:t>
      </w:r>
      <w:r w:rsidR="00064166" w:rsidRPr="00064166">
        <w:rPr>
          <w:noProof/>
          <w:sz w:val="22"/>
          <w:szCs w:val="22"/>
        </w:rPr>
        <w:t xml:space="preserve"> w</w:t>
      </w:r>
      <w:r w:rsidR="00064166">
        <w:rPr>
          <w:noProof/>
          <w:sz w:val="22"/>
          <w:szCs w:val="22"/>
        </w:rPr>
        <w:t> </w:t>
      </w:r>
      <w:r w:rsidR="00064166" w:rsidRPr="00064166">
        <w:rPr>
          <w:noProof/>
          <w:sz w:val="22"/>
          <w:szCs w:val="22"/>
        </w:rPr>
        <w:t>obe</w:t>
      </w:r>
      <w:r w:rsidRPr="00064166">
        <w:rPr>
          <w:noProof/>
          <w:sz w:val="22"/>
          <w:szCs w:val="22"/>
        </w:rPr>
        <w:t xml:space="preserve">cnie obowiązujących unijnych przepisach dotyczących praw pasażerów. </w:t>
      </w:r>
    </w:p>
    <w:p w14:paraId="2388C573" w14:textId="77777777" w:rsidR="00FC6378" w:rsidRPr="00064166" w:rsidRDefault="00FC6378" w:rsidP="00FC6378">
      <w:pPr>
        <w:pStyle w:val="Heading2"/>
        <w:spacing w:before="240" w:after="240" w:line="276" w:lineRule="auto"/>
        <w:ind w:left="578" w:hanging="578"/>
        <w:rPr>
          <w:noProof/>
          <w:sz w:val="22"/>
          <w:szCs w:val="22"/>
        </w:rPr>
      </w:pPr>
      <w:r w:rsidRPr="00064166">
        <w:rPr>
          <w:noProof/>
          <w:sz w:val="22"/>
          <w:szCs w:val="22"/>
        </w:rPr>
        <w:t xml:space="preserve">Udostępnianie informacji przewozowych </w:t>
      </w:r>
    </w:p>
    <w:p w14:paraId="510B8725" w14:textId="537FD4C0" w:rsidR="00FC6378" w:rsidRPr="00064166" w:rsidRDefault="0027265C" w:rsidP="00FE3EA3">
      <w:pPr>
        <w:pStyle w:val="LegalNumPar"/>
        <w:spacing w:line="276" w:lineRule="auto"/>
        <w:rPr>
          <w:noProof/>
        </w:rPr>
      </w:pPr>
      <w:r w:rsidRPr="00064166">
        <w:rPr>
          <w:b/>
          <w:noProof/>
          <w:color w:val="auto"/>
          <w:sz w:val="22"/>
          <w:szCs w:val="22"/>
        </w:rPr>
        <w:t>Kwestią najwyższej wagi jest udostępnianie informacji wśród głównych podmiotów.</w:t>
      </w:r>
      <w:r w:rsidR="0052698C" w:rsidRPr="00064166">
        <w:rPr>
          <w:b/>
          <w:noProof/>
          <w:color w:val="auto"/>
          <w:sz w:val="22"/>
          <w:szCs w:val="22"/>
        </w:rPr>
        <w:t xml:space="preserve"> </w:t>
      </w:r>
      <w:r w:rsidRPr="00064166">
        <w:rPr>
          <w:noProof/>
          <w:color w:val="auto"/>
          <w:sz w:val="22"/>
          <w:szCs w:val="22"/>
        </w:rPr>
        <w:t>Komisja, organy państw członkowskich (w tym organy na szczeblu regionalnym), agencje UE, inne instytucje Unii (w tym Parlament</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Rad</w:t>
      </w:r>
      <w:r w:rsidRPr="00064166">
        <w:rPr>
          <w:noProof/>
          <w:color w:val="auto"/>
          <w:sz w:val="22"/>
          <w:szCs w:val="22"/>
        </w:rPr>
        <w:t>a), przedsiębiorstwa transportowe, pasażerowie, pracownicy sektora transportu, przedsiębiorstwa oraz organizacje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zwi</w:t>
      </w:r>
      <w:r w:rsidRPr="00064166">
        <w:rPr>
          <w:noProof/>
          <w:color w:val="auto"/>
          <w:sz w:val="22"/>
          <w:szCs w:val="22"/>
        </w:rPr>
        <w:t>ązki transportu – wszystkie te jednostki powinny udostępniać aktualne informacje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mie</w:t>
      </w:r>
      <w:r w:rsidRPr="00064166">
        <w:rPr>
          <w:noProof/>
          <w:color w:val="auto"/>
          <w:sz w:val="22"/>
          <w:szCs w:val="22"/>
        </w:rPr>
        <w:t>ć dostęp do aktualnych informacji, aby wspólnie móc rozwiązywać problemy.</w:t>
      </w:r>
      <w:r w:rsidR="0052698C" w:rsidRPr="00064166">
        <w:rPr>
          <w:noProof/>
          <w:color w:val="auto"/>
          <w:sz w:val="22"/>
          <w:szCs w:val="22"/>
        </w:rPr>
        <w:t xml:space="preserve"> </w:t>
      </w:r>
      <w:r w:rsidRPr="00064166">
        <w:rPr>
          <w:noProof/>
          <w:color w:val="auto"/>
          <w:sz w:val="22"/>
          <w:szCs w:val="22"/>
        </w:rPr>
        <w:t>Na potrzeby skutecznego reagowania kryzysowego ważne jest również prowadzenie regularnych dyskusji</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wsp</w:t>
      </w:r>
      <w:r w:rsidRPr="00064166">
        <w:rPr>
          <w:noProof/>
          <w:color w:val="auto"/>
          <w:sz w:val="22"/>
          <w:szCs w:val="22"/>
        </w:rPr>
        <w:t>ółpracy na szczeblu międzynarodowym (np. na forum Organizacji Międzynarodowego Lotnictwa Cywilnego, Międzynarodowej Organizacji Morskiej</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Świ</w:t>
      </w:r>
      <w:r w:rsidRPr="00064166">
        <w:rPr>
          <w:noProof/>
          <w:color w:val="auto"/>
          <w:sz w:val="22"/>
          <w:szCs w:val="22"/>
        </w:rPr>
        <w:t>atowej Organizacji Zdrowia).</w:t>
      </w:r>
      <w:r w:rsidR="0052698C" w:rsidRPr="00064166">
        <w:rPr>
          <w:noProof/>
          <w:color w:val="auto"/>
          <w:sz w:val="22"/>
          <w:szCs w:val="22"/>
        </w:rPr>
        <w:t xml:space="preserve"> </w:t>
      </w:r>
      <w:r w:rsidRPr="00064166">
        <w:rPr>
          <w:noProof/>
          <w:color w:val="auto"/>
          <w:sz w:val="22"/>
          <w:szCs w:val="22"/>
        </w:rPr>
        <w:t>Aby osiągnąć gotowość na wszelkie możliwe kryzysy (np. począwszy od braku dostępu do internetu po utratę łączności satelitarnej),</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ram</w:t>
      </w:r>
      <w:r w:rsidRPr="00064166">
        <w:rPr>
          <w:noProof/>
          <w:color w:val="auto"/>
          <w:sz w:val="22"/>
          <w:szCs w:val="22"/>
        </w:rPr>
        <w:t>ach prac nad scenariuszami kryzysowymi trzeba będzie ustanowić protokoły dotyczące najodpowiedniejszych kanałów komunikacji/rozpowszechniania informacji oraz powiązanych kwestii.</w:t>
      </w:r>
      <w:r w:rsidR="0052698C" w:rsidRPr="00064166">
        <w:rPr>
          <w:noProof/>
          <w:color w:val="auto"/>
          <w:sz w:val="22"/>
          <w:szCs w:val="22"/>
        </w:rPr>
        <w:t xml:space="preserve"> </w:t>
      </w:r>
      <w:r w:rsidRPr="00064166">
        <w:rPr>
          <w:noProof/>
          <w:color w:val="auto"/>
          <w:sz w:val="22"/>
          <w:szCs w:val="22"/>
        </w:rPr>
        <w:t>Na wypadek gdyby główne systemy komunikacji stanowiły cel ataków, należy ustanowić alternatywne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rez</w:t>
      </w:r>
      <w:r w:rsidRPr="00064166">
        <w:rPr>
          <w:noProof/>
          <w:color w:val="auto"/>
          <w:sz w:val="22"/>
          <w:szCs w:val="22"/>
        </w:rPr>
        <w:t>erwowe systemy wraz</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org</w:t>
      </w:r>
      <w:r w:rsidRPr="00064166">
        <w:rPr>
          <w:noProof/>
          <w:color w:val="auto"/>
          <w:sz w:val="22"/>
          <w:szCs w:val="22"/>
        </w:rPr>
        <w:t>anami państw członkowskich, aby zapewnić skuteczną komunikację wśród zainteresowanych stron.</w:t>
      </w:r>
      <w:r w:rsidR="0052698C" w:rsidRPr="00064166">
        <w:rPr>
          <w:noProof/>
          <w:color w:val="auto"/>
          <w:sz w:val="22"/>
          <w:szCs w:val="22"/>
        </w:rPr>
        <w:t xml:space="preserve"> </w:t>
      </w:r>
      <w:r w:rsidRPr="00064166">
        <w:rPr>
          <w:noProof/>
        </w:rPr>
        <w:t>Rozważone zostaną alternatywne metody komunikacji</w:t>
      </w:r>
      <w:r w:rsidR="00064166" w:rsidRPr="00064166">
        <w:rPr>
          <w:noProof/>
        </w:rPr>
        <w:t xml:space="preserve"> i</w:t>
      </w:r>
      <w:r w:rsidR="00064166">
        <w:rPr>
          <w:noProof/>
        </w:rPr>
        <w:t> </w:t>
      </w:r>
      <w:r w:rsidR="00064166" w:rsidRPr="00064166">
        <w:rPr>
          <w:noProof/>
        </w:rPr>
        <w:t>gro</w:t>
      </w:r>
      <w:r w:rsidRPr="00064166">
        <w:rPr>
          <w:noProof/>
        </w:rPr>
        <w:t>madzenia informacji służące zapewnieniu dostępu do informacji</w:t>
      </w:r>
      <w:r w:rsidR="00064166" w:rsidRPr="00064166">
        <w:rPr>
          <w:noProof/>
        </w:rPr>
        <w:t xml:space="preserve"> w</w:t>
      </w:r>
      <w:r w:rsidR="00064166">
        <w:rPr>
          <w:noProof/>
        </w:rPr>
        <w:t> </w:t>
      </w:r>
      <w:r w:rsidR="00064166" w:rsidRPr="00064166">
        <w:rPr>
          <w:noProof/>
        </w:rPr>
        <w:t>cza</w:t>
      </w:r>
      <w:r w:rsidRPr="00064166">
        <w:rPr>
          <w:noProof/>
        </w:rPr>
        <w:t>sie rzeczywistym</w:t>
      </w:r>
      <w:r w:rsidR="00064166" w:rsidRPr="00064166">
        <w:rPr>
          <w:noProof/>
        </w:rPr>
        <w:t xml:space="preserve"> w</w:t>
      </w:r>
      <w:r w:rsidR="00064166">
        <w:rPr>
          <w:noProof/>
        </w:rPr>
        <w:t> </w:t>
      </w:r>
      <w:r w:rsidR="00064166" w:rsidRPr="00064166">
        <w:rPr>
          <w:noProof/>
        </w:rPr>
        <w:t>prz</w:t>
      </w:r>
      <w:r w:rsidRPr="00064166">
        <w:rPr>
          <w:noProof/>
        </w:rPr>
        <w:t>ypadku przerwy</w:t>
      </w:r>
      <w:r w:rsidR="00064166" w:rsidRPr="00064166">
        <w:rPr>
          <w:noProof/>
        </w:rPr>
        <w:t xml:space="preserve"> w</w:t>
      </w:r>
      <w:r w:rsidR="00064166">
        <w:rPr>
          <w:noProof/>
        </w:rPr>
        <w:t> </w:t>
      </w:r>
      <w:r w:rsidR="00064166" w:rsidRPr="00064166">
        <w:rPr>
          <w:noProof/>
        </w:rPr>
        <w:t>fun</w:t>
      </w:r>
      <w:r w:rsidRPr="00064166">
        <w:rPr>
          <w:noProof/>
        </w:rPr>
        <w:t>kcjonowaniu zwykłych kanałów.</w:t>
      </w:r>
    </w:p>
    <w:p w14:paraId="424C8363" w14:textId="77777777" w:rsidR="00FC6378" w:rsidRPr="00064166" w:rsidRDefault="00FC6378" w:rsidP="00FC637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Fonts w:eastAsia="Times New Roman" w:cs="Times New Roman"/>
          <w:b/>
          <w:i/>
          <w:noProof/>
          <w:color w:val="auto"/>
          <w:sz w:val="22"/>
          <w:szCs w:val="22"/>
          <w:bdr w:val="none" w:sz="0" w:space="0" w:color="auto"/>
        </w:rPr>
      </w:pPr>
      <w:r w:rsidRPr="00064166">
        <w:rPr>
          <w:b/>
          <w:i/>
          <w:noProof/>
          <w:color w:val="auto"/>
          <w:sz w:val="22"/>
          <w:szCs w:val="22"/>
          <w:bdr w:val="none" w:sz="0" w:space="0" w:color="auto"/>
        </w:rPr>
        <w:t xml:space="preserve">Aplikacja Galileo dotycząca uprzywilejowanych korytarzy </w:t>
      </w:r>
    </w:p>
    <w:p w14:paraId="0C594ADA" w14:textId="29C61134" w:rsidR="004E24B3" w:rsidRPr="00064166" w:rsidRDefault="004E24B3" w:rsidP="00FC6378">
      <w:pPr>
        <w:pStyle w:val="LegalNumPar"/>
        <w:pBdr>
          <w:top w:val="single" w:sz="4" w:space="1" w:color="auto"/>
          <w:left w:val="single" w:sz="4" w:space="1" w:color="auto"/>
          <w:bottom w:val="single" w:sz="4" w:space="1" w:color="auto"/>
          <w:right w:val="single" w:sz="4" w:space="1" w:color="auto"/>
        </w:pBdr>
        <w:shd w:val="clear" w:color="auto" w:fill="F9DBDB"/>
        <w:spacing w:line="276" w:lineRule="auto"/>
        <w:rPr>
          <w:rFonts w:eastAsia="Times New Roman" w:cs="Times New Roman"/>
          <w:noProof/>
          <w:color w:val="auto"/>
          <w:sz w:val="22"/>
          <w:szCs w:val="22"/>
          <w:bdr w:val="none" w:sz="0" w:space="0" w:color="auto"/>
        </w:rPr>
      </w:pPr>
      <w:r w:rsidRPr="00064166">
        <w:rPr>
          <w:noProof/>
          <w:color w:val="auto"/>
          <w:sz w:val="22"/>
          <w:szCs w:val="22"/>
          <w:bdr w:val="none" w:sz="0" w:space="0" w:color="auto"/>
        </w:rPr>
        <w:t>Agencja Unii Europejskiej ds. Programu Kosmicznego opracowała aplikację mobilną Galileo dotyczącą uprzywilejowanych korytarzy. Aplikacja ta zapewnia obraz sytuacji na granicach UE</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cza</w:t>
      </w:r>
      <w:r w:rsidRPr="00064166">
        <w:rPr>
          <w:noProof/>
          <w:color w:val="auto"/>
          <w:sz w:val="22"/>
          <w:szCs w:val="22"/>
          <w:bdr w:val="none" w:sz="0" w:space="0" w:color="auto"/>
        </w:rPr>
        <w:t>sie rzeczywistym</w:t>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mon</w:t>
      </w:r>
      <w:r w:rsidRPr="00064166">
        <w:rPr>
          <w:noProof/>
          <w:color w:val="auto"/>
          <w:sz w:val="22"/>
          <w:szCs w:val="22"/>
          <w:bdr w:val="none" w:sz="0" w:space="0" w:color="auto"/>
        </w:rPr>
        <w:t>itoruje ją</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cel</w:t>
      </w:r>
      <w:r w:rsidRPr="00064166">
        <w:rPr>
          <w:noProof/>
          <w:color w:val="auto"/>
          <w:sz w:val="22"/>
          <w:szCs w:val="22"/>
          <w:bdr w:val="none" w:sz="0" w:space="0" w:color="auto"/>
        </w:rPr>
        <w:t>u informowania</w:t>
      </w:r>
      <w:r w:rsidR="00064166" w:rsidRPr="00064166">
        <w:rPr>
          <w:noProof/>
          <w:color w:val="auto"/>
          <w:sz w:val="22"/>
          <w:szCs w:val="22"/>
          <w:bdr w:val="none" w:sz="0" w:space="0" w:color="auto"/>
        </w:rPr>
        <w:t xml:space="preserve"> o</w:t>
      </w:r>
      <w:r w:rsidR="00064166">
        <w:rPr>
          <w:noProof/>
          <w:color w:val="auto"/>
          <w:sz w:val="22"/>
          <w:szCs w:val="22"/>
          <w:bdr w:val="none" w:sz="0" w:space="0" w:color="auto"/>
        </w:rPr>
        <w:t> </w:t>
      </w:r>
      <w:r w:rsidR="00064166" w:rsidRPr="00064166">
        <w:rPr>
          <w:noProof/>
          <w:color w:val="auto"/>
          <w:sz w:val="22"/>
          <w:szCs w:val="22"/>
          <w:bdr w:val="none" w:sz="0" w:space="0" w:color="auto"/>
        </w:rPr>
        <w:t>cza</w:t>
      </w:r>
      <w:r w:rsidRPr="00064166">
        <w:rPr>
          <w:noProof/>
          <w:color w:val="auto"/>
          <w:sz w:val="22"/>
          <w:szCs w:val="22"/>
          <w:bdr w:val="none" w:sz="0" w:space="0" w:color="auto"/>
        </w:rPr>
        <w:t>sie oczekiwania. Aplikacja stanowi pomocne narzędzie dla kierowców ciężarówek</w:t>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prz</w:t>
      </w:r>
      <w:r w:rsidRPr="00064166">
        <w:rPr>
          <w:noProof/>
          <w:color w:val="auto"/>
          <w:sz w:val="22"/>
          <w:szCs w:val="22"/>
          <w:bdr w:val="none" w:sz="0" w:space="0" w:color="auto"/>
        </w:rPr>
        <w:t>edsiębiorstw transportowych</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pla</w:t>
      </w:r>
      <w:r w:rsidRPr="00064166">
        <w:rPr>
          <w:noProof/>
          <w:color w:val="auto"/>
          <w:sz w:val="22"/>
          <w:szCs w:val="22"/>
          <w:bdr w:val="none" w:sz="0" w:space="0" w:color="auto"/>
        </w:rPr>
        <w:t>nowaniu podróży</w:t>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roz</w:t>
      </w:r>
      <w:r w:rsidRPr="00064166">
        <w:rPr>
          <w:noProof/>
          <w:color w:val="auto"/>
          <w:sz w:val="22"/>
          <w:szCs w:val="22"/>
          <w:bdr w:val="none" w:sz="0" w:space="0" w:color="auto"/>
        </w:rPr>
        <w:t>wiązywaniu problemów wynikających</w:t>
      </w:r>
      <w:r w:rsidR="00064166" w:rsidRPr="00064166">
        <w:rPr>
          <w:noProof/>
          <w:color w:val="auto"/>
          <w:sz w:val="22"/>
          <w:szCs w:val="22"/>
          <w:bdr w:val="none" w:sz="0" w:space="0" w:color="auto"/>
        </w:rPr>
        <w:t xml:space="preserve"> z</w:t>
      </w:r>
      <w:r w:rsidR="00064166">
        <w:rPr>
          <w:noProof/>
          <w:color w:val="auto"/>
          <w:sz w:val="22"/>
          <w:szCs w:val="22"/>
          <w:bdr w:val="none" w:sz="0" w:space="0" w:color="auto"/>
        </w:rPr>
        <w:t> </w:t>
      </w:r>
      <w:r w:rsidR="00064166" w:rsidRPr="00064166">
        <w:rPr>
          <w:noProof/>
          <w:color w:val="auto"/>
          <w:sz w:val="22"/>
          <w:szCs w:val="22"/>
          <w:bdr w:val="none" w:sz="0" w:space="0" w:color="auto"/>
        </w:rPr>
        <w:t>ogr</w:t>
      </w:r>
      <w:r w:rsidRPr="00064166">
        <w:rPr>
          <w:noProof/>
          <w:color w:val="auto"/>
          <w:sz w:val="22"/>
          <w:szCs w:val="22"/>
          <w:bdr w:val="none" w:sz="0" w:space="0" w:color="auto"/>
        </w:rPr>
        <w:t>aniczeń związanych</w:t>
      </w:r>
      <w:r w:rsidR="00064166" w:rsidRPr="00064166">
        <w:rPr>
          <w:noProof/>
          <w:color w:val="auto"/>
          <w:sz w:val="22"/>
          <w:szCs w:val="22"/>
          <w:bdr w:val="none" w:sz="0" w:space="0" w:color="auto"/>
        </w:rPr>
        <w:t xml:space="preserve"> z</w:t>
      </w:r>
      <w:r w:rsidR="00064166">
        <w:rPr>
          <w:noProof/>
          <w:color w:val="auto"/>
          <w:sz w:val="22"/>
          <w:szCs w:val="22"/>
          <w:bdr w:val="none" w:sz="0" w:space="0" w:color="auto"/>
        </w:rPr>
        <w:t> </w:t>
      </w:r>
      <w:r w:rsidR="00064166" w:rsidRPr="00064166">
        <w:rPr>
          <w:noProof/>
          <w:color w:val="auto"/>
          <w:sz w:val="22"/>
          <w:szCs w:val="22"/>
          <w:bdr w:val="none" w:sz="0" w:space="0" w:color="auto"/>
        </w:rPr>
        <w:t>pod</w:t>
      </w:r>
      <w:r w:rsidRPr="00064166">
        <w:rPr>
          <w:noProof/>
          <w:color w:val="auto"/>
          <w:sz w:val="22"/>
          <w:szCs w:val="22"/>
          <w:bdr w:val="none" w:sz="0" w:space="0" w:color="auto"/>
        </w:rPr>
        <w:t>różą. Aplikacja ta umożliwia również organom krajowym skuteczniejsze zarządzanie transportem towarów. Komisja</w:t>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Age</w:t>
      </w:r>
      <w:r w:rsidRPr="00064166">
        <w:rPr>
          <w:noProof/>
          <w:color w:val="auto"/>
          <w:sz w:val="22"/>
          <w:szCs w:val="22"/>
          <w:bdr w:val="none" w:sz="0" w:space="0" w:color="auto"/>
        </w:rPr>
        <w:t>ncja Unii Europejskiej ds. Programu Kosmicznego zapewniły zasoby przeznaczone na udoskonalenie aplikacji Galileo dotyczącej uprzywilejowanych korytarzy. Obecnie trwają prace nad tą udoskonaloną wersją aplikacji, która powinna obejmować funkcje</w:t>
      </w:r>
      <w:r w:rsidR="00064166" w:rsidRPr="00064166">
        <w:rPr>
          <w:noProof/>
          <w:color w:val="auto"/>
          <w:sz w:val="22"/>
          <w:szCs w:val="22"/>
          <w:bdr w:val="none" w:sz="0" w:space="0" w:color="auto"/>
        </w:rPr>
        <w:t xml:space="preserve"> i</w:t>
      </w:r>
      <w:r w:rsidR="00064166">
        <w:rPr>
          <w:noProof/>
          <w:color w:val="auto"/>
          <w:sz w:val="22"/>
          <w:szCs w:val="22"/>
          <w:bdr w:val="none" w:sz="0" w:space="0" w:color="auto"/>
        </w:rPr>
        <w:t> </w:t>
      </w:r>
      <w:r w:rsidR="00064166" w:rsidRPr="00064166">
        <w:rPr>
          <w:noProof/>
          <w:color w:val="auto"/>
          <w:sz w:val="22"/>
          <w:szCs w:val="22"/>
          <w:bdr w:val="none" w:sz="0" w:space="0" w:color="auto"/>
        </w:rPr>
        <w:t>zas</w:t>
      </w:r>
      <w:r w:rsidRPr="00064166">
        <w:rPr>
          <w:noProof/>
          <w:color w:val="auto"/>
          <w:sz w:val="22"/>
          <w:szCs w:val="22"/>
          <w:bdr w:val="none" w:sz="0" w:space="0" w:color="auto"/>
        </w:rPr>
        <w:t>ięg geograficzny wskazane</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zak</w:t>
      </w:r>
      <w:r w:rsidRPr="00064166">
        <w:rPr>
          <w:noProof/>
          <w:color w:val="auto"/>
          <w:sz w:val="22"/>
          <w:szCs w:val="22"/>
          <w:bdr w:val="none" w:sz="0" w:space="0" w:color="auto"/>
        </w:rPr>
        <w:t>tualizowanym komunikacie</w:t>
      </w:r>
      <w:r w:rsidR="00064166" w:rsidRPr="00064166">
        <w:rPr>
          <w:noProof/>
          <w:color w:val="auto"/>
          <w:sz w:val="22"/>
          <w:szCs w:val="22"/>
          <w:bdr w:val="none" w:sz="0" w:space="0" w:color="auto"/>
        </w:rPr>
        <w:t xml:space="preserve"> w</w:t>
      </w:r>
      <w:r w:rsidR="00064166">
        <w:rPr>
          <w:noProof/>
          <w:color w:val="auto"/>
          <w:sz w:val="22"/>
          <w:szCs w:val="22"/>
          <w:bdr w:val="none" w:sz="0" w:space="0" w:color="auto"/>
        </w:rPr>
        <w:t> </w:t>
      </w:r>
      <w:r w:rsidR="00064166" w:rsidRPr="00064166">
        <w:rPr>
          <w:noProof/>
          <w:color w:val="auto"/>
          <w:sz w:val="22"/>
          <w:szCs w:val="22"/>
          <w:bdr w:val="none" w:sz="0" w:space="0" w:color="auto"/>
        </w:rPr>
        <w:t>spr</w:t>
      </w:r>
      <w:r w:rsidRPr="00064166">
        <w:rPr>
          <w:noProof/>
          <w:color w:val="auto"/>
          <w:sz w:val="22"/>
          <w:szCs w:val="22"/>
          <w:bdr w:val="none" w:sz="0" w:space="0" w:color="auto"/>
        </w:rPr>
        <w:t>awie uprzywilejowanych korytarzy.</w:t>
      </w:r>
    </w:p>
    <w:p w14:paraId="6AF928AD" w14:textId="77777777" w:rsidR="00980658" w:rsidRPr="00064166" w:rsidRDefault="00BD0F4C" w:rsidP="00BE252A">
      <w:pPr>
        <w:pStyle w:val="Heading2"/>
        <w:spacing w:before="240" w:after="240" w:line="276" w:lineRule="auto"/>
        <w:ind w:left="578" w:hanging="578"/>
        <w:rPr>
          <w:noProof/>
          <w:sz w:val="22"/>
          <w:szCs w:val="22"/>
        </w:rPr>
      </w:pPr>
      <w:r w:rsidRPr="00064166">
        <w:rPr>
          <w:noProof/>
          <w:sz w:val="22"/>
          <w:szCs w:val="22"/>
        </w:rPr>
        <w:t xml:space="preserve">Wzmocnienie koordynacji polityki transportowej </w:t>
      </w:r>
    </w:p>
    <w:p w14:paraId="091F7894" w14:textId="08057D6D" w:rsidR="00FC6378" w:rsidRPr="00064166" w:rsidRDefault="00845339" w:rsidP="00FC6378">
      <w:pPr>
        <w:spacing w:line="276" w:lineRule="auto"/>
        <w:rPr>
          <w:b/>
          <w:noProof/>
          <w:sz w:val="22"/>
          <w:szCs w:val="22"/>
        </w:rPr>
      </w:pPr>
      <w:r w:rsidRPr="00064166">
        <w:rPr>
          <w:b/>
          <w:noProof/>
          <w:sz w:val="22"/>
          <w:szCs w:val="22"/>
        </w:rPr>
        <w:t>Sieć krajowych punktów kontaktowych ds. transportu</w:t>
      </w:r>
      <w:r w:rsidRPr="00064166">
        <w:rPr>
          <w:noProof/>
          <w:sz w:val="22"/>
          <w:szCs w:val="22"/>
        </w:rPr>
        <w:t xml:space="preserve"> pozostanie głównym forum dyskusji na temat kryzysu transportowego</w:t>
      </w:r>
      <w:r w:rsidR="00064166" w:rsidRPr="00064166">
        <w:rPr>
          <w:noProof/>
          <w:sz w:val="22"/>
          <w:szCs w:val="22"/>
        </w:rPr>
        <w:t>. W</w:t>
      </w:r>
      <w:r w:rsidR="00064166">
        <w:rPr>
          <w:noProof/>
          <w:sz w:val="22"/>
          <w:szCs w:val="22"/>
        </w:rPr>
        <w:t> </w:t>
      </w:r>
      <w:r w:rsidR="00064166" w:rsidRPr="00064166">
        <w:rPr>
          <w:noProof/>
          <w:sz w:val="22"/>
          <w:szCs w:val="22"/>
        </w:rPr>
        <w:t>ten</w:t>
      </w:r>
      <w:r w:rsidRPr="00064166">
        <w:rPr>
          <w:noProof/>
          <w:sz w:val="22"/>
          <w:szCs w:val="22"/>
        </w:rPr>
        <w:t xml:space="preserve"> sposób uniknie się podejmowania równoległych decyzji oraz będzie możliwe szybkie reagowanie</w:t>
      </w:r>
      <w:r w:rsidR="00064166" w:rsidRPr="00064166">
        <w:rPr>
          <w:noProof/>
          <w:sz w:val="22"/>
          <w:szCs w:val="22"/>
        </w:rPr>
        <w:t xml:space="preserve"> i</w:t>
      </w:r>
      <w:r w:rsidR="00064166">
        <w:rPr>
          <w:noProof/>
          <w:sz w:val="22"/>
          <w:szCs w:val="22"/>
        </w:rPr>
        <w:t> </w:t>
      </w:r>
      <w:r w:rsidR="00064166" w:rsidRPr="00064166">
        <w:rPr>
          <w:noProof/>
          <w:sz w:val="22"/>
          <w:szCs w:val="22"/>
        </w:rPr>
        <w:t>uwz</w:t>
      </w:r>
      <w:r w:rsidRPr="00064166">
        <w:rPr>
          <w:noProof/>
          <w:sz w:val="22"/>
          <w:szCs w:val="22"/>
        </w:rPr>
        <w:t>ględnianie szczególnych aspektów transportu na forum posiadającym wiedzę techniczną na temat tego sektora</w:t>
      </w:r>
      <w:r w:rsidR="00064166" w:rsidRPr="00064166">
        <w:rPr>
          <w:noProof/>
          <w:sz w:val="22"/>
          <w:szCs w:val="22"/>
        </w:rPr>
        <w:t>. W</w:t>
      </w:r>
      <w:r w:rsidR="00064166">
        <w:rPr>
          <w:noProof/>
          <w:sz w:val="22"/>
          <w:szCs w:val="22"/>
        </w:rPr>
        <w:t> </w:t>
      </w:r>
      <w:r w:rsidR="00064166" w:rsidRPr="00064166">
        <w:rPr>
          <w:noProof/>
          <w:sz w:val="22"/>
          <w:szCs w:val="22"/>
        </w:rPr>
        <w:t>zwi</w:t>
      </w:r>
      <w:r w:rsidRPr="00064166">
        <w:rPr>
          <w:noProof/>
          <w:sz w:val="22"/>
          <w:szCs w:val="22"/>
        </w:rPr>
        <w:t>ązku</w:t>
      </w:r>
      <w:r w:rsidR="00064166" w:rsidRPr="00064166">
        <w:rPr>
          <w:noProof/>
          <w:sz w:val="22"/>
          <w:szCs w:val="22"/>
        </w:rPr>
        <w:t xml:space="preserve"> z</w:t>
      </w:r>
      <w:r w:rsidR="00064166">
        <w:rPr>
          <w:noProof/>
          <w:sz w:val="22"/>
          <w:szCs w:val="22"/>
        </w:rPr>
        <w:t> </w:t>
      </w:r>
      <w:r w:rsidR="00064166" w:rsidRPr="00064166">
        <w:rPr>
          <w:noProof/>
          <w:sz w:val="22"/>
          <w:szCs w:val="22"/>
        </w:rPr>
        <w:t>poz</w:t>
      </w:r>
      <w:r w:rsidRPr="00064166">
        <w:rPr>
          <w:noProof/>
          <w:sz w:val="22"/>
          <w:szCs w:val="22"/>
        </w:rPr>
        <w:t>ytywnymi doświadczeniami dotyczącymi tej sieci</w:t>
      </w:r>
      <w:r w:rsidR="00064166" w:rsidRPr="00064166">
        <w:rPr>
          <w:noProof/>
          <w:sz w:val="22"/>
          <w:szCs w:val="22"/>
        </w:rPr>
        <w:t xml:space="preserve"> i</w:t>
      </w:r>
      <w:r w:rsidR="00064166">
        <w:rPr>
          <w:noProof/>
          <w:sz w:val="22"/>
          <w:szCs w:val="22"/>
        </w:rPr>
        <w:t> </w:t>
      </w:r>
      <w:r w:rsidR="00064166" w:rsidRPr="00064166">
        <w:rPr>
          <w:noProof/>
          <w:sz w:val="22"/>
          <w:szCs w:val="22"/>
        </w:rPr>
        <w:t>zgo</w:t>
      </w:r>
      <w:r w:rsidRPr="00064166">
        <w:rPr>
          <w:noProof/>
          <w:sz w:val="22"/>
          <w:szCs w:val="22"/>
        </w:rPr>
        <w:t>dnie</w:t>
      </w:r>
      <w:r w:rsidR="00064166" w:rsidRPr="00064166">
        <w:rPr>
          <w:noProof/>
          <w:sz w:val="22"/>
          <w:szCs w:val="22"/>
        </w:rPr>
        <w:t xml:space="preserve"> z</w:t>
      </w:r>
      <w:r w:rsidR="00064166">
        <w:rPr>
          <w:noProof/>
          <w:sz w:val="22"/>
          <w:szCs w:val="22"/>
        </w:rPr>
        <w:t> </w:t>
      </w:r>
      <w:r w:rsidR="00064166" w:rsidRPr="00064166">
        <w:rPr>
          <w:noProof/>
          <w:sz w:val="22"/>
          <w:szCs w:val="22"/>
        </w:rPr>
        <w:t>opi</w:t>
      </w:r>
      <w:r w:rsidRPr="00064166">
        <w:rPr>
          <w:noProof/>
          <w:sz w:val="22"/>
          <w:szCs w:val="22"/>
        </w:rPr>
        <w:t>niami zainteresowanych stron</w:t>
      </w:r>
      <w:r w:rsidR="00064166" w:rsidRPr="00064166">
        <w:rPr>
          <w:noProof/>
          <w:sz w:val="22"/>
          <w:szCs w:val="22"/>
        </w:rPr>
        <w:t xml:space="preserve"> w</w:t>
      </w:r>
      <w:r w:rsidR="00064166">
        <w:rPr>
          <w:noProof/>
          <w:sz w:val="22"/>
          <w:szCs w:val="22"/>
        </w:rPr>
        <w:t> </w:t>
      </w:r>
      <w:r w:rsidR="00064166" w:rsidRPr="00064166">
        <w:rPr>
          <w:noProof/>
          <w:sz w:val="22"/>
          <w:szCs w:val="22"/>
        </w:rPr>
        <w:t>kwe</w:t>
      </w:r>
      <w:r w:rsidRPr="00064166">
        <w:rPr>
          <w:noProof/>
          <w:sz w:val="22"/>
          <w:szCs w:val="22"/>
        </w:rPr>
        <w:t>stii konieczności zapewnienia lepszej koordynacji środków krajowych</w:t>
      </w:r>
      <w:r w:rsidR="00064166" w:rsidRPr="00064166">
        <w:rPr>
          <w:noProof/>
          <w:sz w:val="22"/>
          <w:szCs w:val="22"/>
        </w:rPr>
        <w:t xml:space="preserve"> i</w:t>
      </w:r>
      <w:r w:rsidR="00064166">
        <w:rPr>
          <w:noProof/>
          <w:sz w:val="22"/>
          <w:szCs w:val="22"/>
        </w:rPr>
        <w:t> </w:t>
      </w:r>
      <w:r w:rsidR="00064166" w:rsidRPr="00064166">
        <w:rPr>
          <w:noProof/>
          <w:sz w:val="22"/>
          <w:szCs w:val="22"/>
        </w:rPr>
        <w:t>skr</w:t>
      </w:r>
      <w:r w:rsidRPr="00064166">
        <w:rPr>
          <w:noProof/>
          <w:sz w:val="22"/>
          <w:szCs w:val="22"/>
        </w:rPr>
        <w:t>ócenia czasu reakcji Komisja proponuje zwiększenie roli sieci poprzez nadanie jej bardziej stałego charakteru</w:t>
      </w:r>
      <w:r w:rsidR="00064166" w:rsidRPr="00064166">
        <w:rPr>
          <w:noProof/>
          <w:sz w:val="22"/>
          <w:szCs w:val="22"/>
        </w:rPr>
        <w:t xml:space="preserve"> i</w:t>
      </w:r>
      <w:r w:rsidR="00064166">
        <w:rPr>
          <w:noProof/>
          <w:sz w:val="22"/>
          <w:szCs w:val="22"/>
        </w:rPr>
        <w:t> </w:t>
      </w:r>
      <w:r w:rsidR="00064166" w:rsidRPr="00064166">
        <w:rPr>
          <w:noProof/>
          <w:sz w:val="22"/>
          <w:szCs w:val="22"/>
        </w:rPr>
        <w:t>zwi</w:t>
      </w:r>
      <w:r w:rsidRPr="00064166">
        <w:rPr>
          <w:noProof/>
          <w:sz w:val="22"/>
          <w:szCs w:val="22"/>
        </w:rPr>
        <w:t xml:space="preserve">ększenie zakresu realizowanych przez nią zadań tak, aby zawsze była gotowa do szybkiej reakcji. </w:t>
      </w:r>
      <w:r w:rsidRPr="00064166">
        <w:rPr>
          <w:b/>
          <w:noProof/>
          <w:sz w:val="22"/>
          <w:szCs w:val="22"/>
        </w:rPr>
        <w:t>Sieć powinna nadal prowadzić prace</w:t>
      </w:r>
      <w:r w:rsidR="00064166" w:rsidRPr="00064166">
        <w:rPr>
          <w:b/>
          <w:noProof/>
          <w:sz w:val="22"/>
          <w:szCs w:val="22"/>
        </w:rPr>
        <w:t xml:space="preserve"> w</w:t>
      </w:r>
      <w:r w:rsidR="00064166">
        <w:rPr>
          <w:b/>
          <w:noProof/>
          <w:sz w:val="22"/>
          <w:szCs w:val="22"/>
        </w:rPr>
        <w:t> </w:t>
      </w:r>
      <w:r w:rsidR="00064166" w:rsidRPr="00064166">
        <w:rPr>
          <w:b/>
          <w:noProof/>
          <w:sz w:val="22"/>
          <w:szCs w:val="22"/>
        </w:rPr>
        <w:t>spo</w:t>
      </w:r>
      <w:r w:rsidRPr="00064166">
        <w:rPr>
          <w:b/>
          <w:noProof/>
          <w:sz w:val="22"/>
          <w:szCs w:val="22"/>
        </w:rPr>
        <w:t>sób elastyczny</w:t>
      </w:r>
      <w:r w:rsidR="00064166" w:rsidRPr="00064166">
        <w:rPr>
          <w:b/>
          <w:noProof/>
          <w:sz w:val="22"/>
          <w:szCs w:val="22"/>
        </w:rPr>
        <w:t xml:space="preserve"> i</w:t>
      </w:r>
      <w:r w:rsidR="00064166">
        <w:rPr>
          <w:b/>
          <w:noProof/>
          <w:sz w:val="22"/>
          <w:szCs w:val="22"/>
        </w:rPr>
        <w:t> </w:t>
      </w:r>
      <w:r w:rsidR="00064166" w:rsidRPr="00064166">
        <w:rPr>
          <w:b/>
          <w:noProof/>
          <w:sz w:val="22"/>
          <w:szCs w:val="22"/>
        </w:rPr>
        <w:t>nie</w:t>
      </w:r>
      <w:r w:rsidRPr="00064166">
        <w:rPr>
          <w:b/>
          <w:noProof/>
          <w:sz w:val="22"/>
          <w:szCs w:val="22"/>
        </w:rPr>
        <w:t>formalny, aby szybko reagować na kryzysy powodujące trwałe</w:t>
      </w:r>
      <w:r w:rsidR="00064166" w:rsidRPr="00064166">
        <w:rPr>
          <w:b/>
          <w:noProof/>
          <w:sz w:val="22"/>
          <w:szCs w:val="22"/>
        </w:rPr>
        <w:t xml:space="preserve"> i</w:t>
      </w:r>
      <w:r w:rsidR="00064166">
        <w:rPr>
          <w:b/>
          <w:noProof/>
          <w:sz w:val="22"/>
          <w:szCs w:val="22"/>
        </w:rPr>
        <w:t> </w:t>
      </w:r>
      <w:r w:rsidR="00064166" w:rsidRPr="00064166">
        <w:rPr>
          <w:b/>
          <w:noProof/>
          <w:sz w:val="22"/>
          <w:szCs w:val="22"/>
        </w:rPr>
        <w:t>pow</w:t>
      </w:r>
      <w:r w:rsidRPr="00064166">
        <w:rPr>
          <w:b/>
          <w:noProof/>
          <w:sz w:val="22"/>
          <w:szCs w:val="22"/>
        </w:rPr>
        <w:t>ażne zakłócenie unijnego systemu transportu</w:t>
      </w:r>
      <w:r w:rsidRPr="00064166">
        <w:rPr>
          <w:noProof/>
          <w:sz w:val="22"/>
          <w:szCs w:val="22"/>
        </w:rPr>
        <w:t>. Sieć ta powinna stanowić forum służące do omawiania</w:t>
      </w:r>
      <w:r w:rsidR="00064166" w:rsidRPr="00064166">
        <w:rPr>
          <w:noProof/>
          <w:sz w:val="22"/>
          <w:szCs w:val="22"/>
        </w:rPr>
        <w:t xml:space="preserve"> i</w:t>
      </w:r>
      <w:r w:rsidR="00064166">
        <w:rPr>
          <w:noProof/>
          <w:sz w:val="22"/>
          <w:szCs w:val="22"/>
        </w:rPr>
        <w:t> </w:t>
      </w:r>
      <w:r w:rsidR="00064166" w:rsidRPr="00064166">
        <w:rPr>
          <w:noProof/>
          <w:sz w:val="22"/>
          <w:szCs w:val="22"/>
        </w:rPr>
        <w:t>wdr</w:t>
      </w:r>
      <w:r w:rsidRPr="00064166">
        <w:rPr>
          <w:noProof/>
          <w:sz w:val="22"/>
          <w:szCs w:val="22"/>
        </w:rPr>
        <w:t>ażania środków awaryjnych oraz ich dezaktywacji. Komisja będzie przewodniczyć tej sieci, która będzie zrzeszać przedstawicieli ministerstw</w:t>
      </w:r>
      <w:r w:rsidR="00064166" w:rsidRPr="00064166">
        <w:rPr>
          <w:noProof/>
          <w:sz w:val="22"/>
          <w:szCs w:val="22"/>
        </w:rPr>
        <w:t xml:space="preserve"> i</w:t>
      </w:r>
      <w:r w:rsidR="00064166">
        <w:rPr>
          <w:noProof/>
          <w:sz w:val="22"/>
          <w:szCs w:val="22"/>
        </w:rPr>
        <w:t> </w:t>
      </w:r>
      <w:r w:rsidR="00064166" w:rsidRPr="00064166">
        <w:rPr>
          <w:noProof/>
          <w:sz w:val="22"/>
          <w:szCs w:val="22"/>
        </w:rPr>
        <w:t>age</w:t>
      </w:r>
      <w:r w:rsidRPr="00064166">
        <w:rPr>
          <w:noProof/>
          <w:sz w:val="22"/>
          <w:szCs w:val="22"/>
        </w:rPr>
        <w:t>ncji transportu państw członkowskich</w:t>
      </w:r>
      <w:r w:rsidR="00064166" w:rsidRPr="00064166">
        <w:rPr>
          <w:noProof/>
          <w:sz w:val="22"/>
          <w:szCs w:val="22"/>
        </w:rPr>
        <w:t xml:space="preserve"> i</w:t>
      </w:r>
      <w:r w:rsidR="00064166">
        <w:rPr>
          <w:noProof/>
          <w:sz w:val="22"/>
          <w:szCs w:val="22"/>
        </w:rPr>
        <w:t> </w:t>
      </w:r>
      <w:r w:rsidR="00064166" w:rsidRPr="00064166">
        <w:rPr>
          <w:noProof/>
          <w:sz w:val="22"/>
          <w:szCs w:val="22"/>
        </w:rPr>
        <w:t>uni</w:t>
      </w:r>
      <w:r w:rsidRPr="00064166">
        <w:rPr>
          <w:noProof/>
          <w:sz w:val="22"/>
          <w:szCs w:val="22"/>
        </w:rPr>
        <w:t>jnych agencji transportu. Do udziału</w:t>
      </w:r>
      <w:r w:rsidR="00064166" w:rsidRPr="00064166">
        <w:rPr>
          <w:noProof/>
          <w:sz w:val="22"/>
          <w:szCs w:val="22"/>
        </w:rPr>
        <w:t xml:space="preserve"> w</w:t>
      </w:r>
      <w:r w:rsidR="00064166">
        <w:rPr>
          <w:noProof/>
          <w:sz w:val="22"/>
          <w:szCs w:val="22"/>
        </w:rPr>
        <w:t> </w:t>
      </w:r>
      <w:r w:rsidR="00064166" w:rsidRPr="00064166">
        <w:rPr>
          <w:noProof/>
          <w:sz w:val="22"/>
          <w:szCs w:val="22"/>
        </w:rPr>
        <w:t>dys</w:t>
      </w:r>
      <w:r w:rsidRPr="00064166">
        <w:rPr>
          <w:noProof/>
          <w:sz w:val="22"/>
          <w:szCs w:val="22"/>
        </w:rPr>
        <w:t>kusjach</w:t>
      </w:r>
      <w:r w:rsidR="00064166" w:rsidRPr="00064166">
        <w:rPr>
          <w:noProof/>
          <w:sz w:val="22"/>
          <w:szCs w:val="22"/>
        </w:rPr>
        <w:t xml:space="preserve"> w</w:t>
      </w:r>
      <w:r w:rsidR="00064166">
        <w:rPr>
          <w:noProof/>
          <w:sz w:val="22"/>
          <w:szCs w:val="22"/>
        </w:rPr>
        <w:t> </w:t>
      </w:r>
      <w:r w:rsidR="00064166" w:rsidRPr="00064166">
        <w:rPr>
          <w:noProof/>
          <w:sz w:val="22"/>
          <w:szCs w:val="22"/>
        </w:rPr>
        <w:t>pos</w:t>
      </w:r>
      <w:r w:rsidRPr="00064166">
        <w:rPr>
          <w:noProof/>
          <w:sz w:val="22"/>
          <w:szCs w:val="22"/>
        </w:rPr>
        <w:t>zczególnych przypadkach można zapraszać inne strony –</w:t>
      </w:r>
      <w:r w:rsidR="00064166" w:rsidRPr="00064166">
        <w:rPr>
          <w:noProof/>
          <w:sz w:val="22"/>
          <w:szCs w:val="22"/>
        </w:rPr>
        <w:t xml:space="preserve"> w</w:t>
      </w:r>
      <w:r w:rsidR="00064166">
        <w:rPr>
          <w:noProof/>
          <w:sz w:val="22"/>
          <w:szCs w:val="22"/>
        </w:rPr>
        <w:t> </w:t>
      </w:r>
      <w:r w:rsidR="00064166" w:rsidRPr="00064166">
        <w:rPr>
          <w:noProof/>
          <w:sz w:val="22"/>
          <w:szCs w:val="22"/>
        </w:rPr>
        <w:t>tym</w:t>
      </w:r>
      <w:r w:rsidRPr="00064166">
        <w:rPr>
          <w:noProof/>
          <w:sz w:val="22"/>
          <w:szCs w:val="22"/>
        </w:rPr>
        <w:t xml:space="preserve"> inne agencje</w:t>
      </w:r>
      <w:r w:rsidR="00064166" w:rsidRPr="00064166">
        <w:rPr>
          <w:noProof/>
          <w:sz w:val="22"/>
          <w:szCs w:val="22"/>
        </w:rPr>
        <w:t xml:space="preserve"> i</w:t>
      </w:r>
      <w:r w:rsidR="00064166">
        <w:rPr>
          <w:noProof/>
          <w:sz w:val="22"/>
          <w:szCs w:val="22"/>
        </w:rPr>
        <w:t> </w:t>
      </w:r>
      <w:r w:rsidR="00064166" w:rsidRPr="00064166">
        <w:rPr>
          <w:noProof/>
          <w:sz w:val="22"/>
          <w:szCs w:val="22"/>
        </w:rPr>
        <w:t>org</w:t>
      </w:r>
      <w:r w:rsidRPr="00064166">
        <w:rPr>
          <w:noProof/>
          <w:sz w:val="22"/>
          <w:szCs w:val="22"/>
        </w:rPr>
        <w:t>any UE, przedstawiciele innych ministerstw państw członkowskich</w:t>
      </w:r>
      <w:r w:rsidR="00064166" w:rsidRPr="00064166">
        <w:rPr>
          <w:noProof/>
          <w:sz w:val="22"/>
          <w:szCs w:val="22"/>
        </w:rPr>
        <w:t xml:space="preserve"> i</w:t>
      </w:r>
      <w:r w:rsidR="00064166">
        <w:rPr>
          <w:noProof/>
          <w:sz w:val="22"/>
          <w:szCs w:val="22"/>
        </w:rPr>
        <w:t> </w:t>
      </w:r>
      <w:r w:rsidR="00064166" w:rsidRPr="00064166">
        <w:rPr>
          <w:noProof/>
          <w:sz w:val="22"/>
          <w:szCs w:val="22"/>
        </w:rPr>
        <w:t>zai</w:t>
      </w:r>
      <w:r w:rsidRPr="00064166">
        <w:rPr>
          <w:noProof/>
          <w:sz w:val="22"/>
          <w:szCs w:val="22"/>
        </w:rPr>
        <w:t>nteresowane strony</w:t>
      </w:r>
      <w:r w:rsidR="00064166" w:rsidRPr="00064166">
        <w:rPr>
          <w:noProof/>
          <w:sz w:val="22"/>
          <w:szCs w:val="22"/>
        </w:rPr>
        <w:t xml:space="preserve"> z</w:t>
      </w:r>
      <w:r w:rsidR="00064166">
        <w:rPr>
          <w:noProof/>
          <w:sz w:val="22"/>
          <w:szCs w:val="22"/>
        </w:rPr>
        <w:t> </w:t>
      </w:r>
      <w:r w:rsidR="00064166" w:rsidRPr="00064166">
        <w:rPr>
          <w:noProof/>
          <w:sz w:val="22"/>
          <w:szCs w:val="22"/>
        </w:rPr>
        <w:t>sek</w:t>
      </w:r>
      <w:r w:rsidRPr="00064166">
        <w:rPr>
          <w:noProof/>
          <w:sz w:val="22"/>
          <w:szCs w:val="22"/>
        </w:rPr>
        <w:t>tora transportu.</w:t>
      </w:r>
    </w:p>
    <w:p w14:paraId="17616CCE" w14:textId="1437A518" w:rsidR="00FC6378" w:rsidRPr="00064166" w:rsidRDefault="00F10CF2" w:rsidP="00FC6378">
      <w:pPr>
        <w:spacing w:line="276" w:lineRule="auto"/>
        <w:rPr>
          <w:noProof/>
          <w:sz w:val="22"/>
          <w:szCs w:val="22"/>
        </w:rPr>
      </w:pPr>
      <w:r w:rsidRPr="00064166">
        <w:rPr>
          <w:b/>
          <w:noProof/>
          <w:sz w:val="22"/>
          <w:szCs w:val="22"/>
        </w:rPr>
        <w:t>Komisja zapewni przepływ informacji między siecią, IPCR, innymi grupami Rady oraz forami unijnymi</w:t>
      </w:r>
      <w:r w:rsidR="00064166" w:rsidRPr="00064166">
        <w:rPr>
          <w:b/>
          <w:noProof/>
          <w:sz w:val="22"/>
          <w:szCs w:val="22"/>
        </w:rPr>
        <w:t xml:space="preserve"> i</w:t>
      </w:r>
      <w:r w:rsidR="00064166">
        <w:rPr>
          <w:b/>
          <w:noProof/>
          <w:sz w:val="22"/>
          <w:szCs w:val="22"/>
        </w:rPr>
        <w:t> </w:t>
      </w:r>
      <w:r w:rsidR="00064166" w:rsidRPr="00064166">
        <w:rPr>
          <w:b/>
          <w:noProof/>
          <w:sz w:val="22"/>
          <w:szCs w:val="22"/>
        </w:rPr>
        <w:t>mię</w:t>
      </w:r>
      <w:r w:rsidRPr="00064166">
        <w:rPr>
          <w:b/>
          <w:noProof/>
          <w:sz w:val="22"/>
          <w:szCs w:val="22"/>
        </w:rPr>
        <w:t>dzynarodowymi.</w:t>
      </w:r>
      <w:r w:rsidRPr="00064166">
        <w:rPr>
          <w:noProof/>
          <w:sz w:val="22"/>
          <w:szCs w:val="22"/>
        </w:rPr>
        <w:t xml:space="preserve"> Sieć będzie również przedstawiać sprawozdania</w:t>
      </w:r>
      <w:r w:rsidR="00064166" w:rsidRPr="00064166">
        <w:rPr>
          <w:noProof/>
          <w:sz w:val="22"/>
          <w:szCs w:val="22"/>
        </w:rPr>
        <w:t xml:space="preserve"> z</w:t>
      </w:r>
      <w:r w:rsidR="00064166">
        <w:rPr>
          <w:noProof/>
          <w:sz w:val="22"/>
          <w:szCs w:val="22"/>
        </w:rPr>
        <w:t> </w:t>
      </w:r>
      <w:r w:rsidR="00064166" w:rsidRPr="00064166">
        <w:rPr>
          <w:noProof/>
          <w:sz w:val="22"/>
          <w:szCs w:val="22"/>
        </w:rPr>
        <w:t>tes</w:t>
      </w:r>
      <w:r w:rsidRPr="00064166">
        <w:rPr>
          <w:noProof/>
          <w:sz w:val="22"/>
          <w:szCs w:val="22"/>
        </w:rPr>
        <w:t>tów</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gotowości na wypadek sytuacji kryzysowej organizowanych przez agencje UE</w:t>
      </w:r>
      <w:r w:rsidR="00064166" w:rsidRPr="00064166">
        <w:rPr>
          <w:noProof/>
          <w:sz w:val="22"/>
          <w:szCs w:val="22"/>
        </w:rPr>
        <w:t xml:space="preserve"> i</w:t>
      </w:r>
      <w:r w:rsidR="00064166">
        <w:rPr>
          <w:noProof/>
          <w:sz w:val="22"/>
          <w:szCs w:val="22"/>
        </w:rPr>
        <w:t> </w:t>
      </w:r>
      <w:r w:rsidR="00064166" w:rsidRPr="00064166">
        <w:rPr>
          <w:noProof/>
          <w:sz w:val="22"/>
          <w:szCs w:val="22"/>
        </w:rPr>
        <w:t>par</w:t>
      </w:r>
      <w:r w:rsidRPr="00064166">
        <w:rPr>
          <w:noProof/>
          <w:sz w:val="22"/>
          <w:szCs w:val="22"/>
        </w:rPr>
        <w:t>tnerów międzynarodowych. Sieć może również proponować</w:t>
      </w:r>
      <w:r w:rsidR="00064166" w:rsidRPr="00064166">
        <w:rPr>
          <w:noProof/>
          <w:sz w:val="22"/>
          <w:szCs w:val="22"/>
        </w:rPr>
        <w:t xml:space="preserve"> i</w:t>
      </w:r>
      <w:r w:rsidR="00064166">
        <w:rPr>
          <w:noProof/>
          <w:sz w:val="22"/>
          <w:szCs w:val="22"/>
        </w:rPr>
        <w:t> </w:t>
      </w:r>
      <w:r w:rsidR="00064166" w:rsidRPr="00064166">
        <w:rPr>
          <w:noProof/>
          <w:sz w:val="22"/>
          <w:szCs w:val="22"/>
        </w:rPr>
        <w:t>koo</w:t>
      </w:r>
      <w:r w:rsidRPr="00064166">
        <w:rPr>
          <w:noProof/>
          <w:sz w:val="22"/>
          <w:szCs w:val="22"/>
        </w:rPr>
        <w:t>rdynować specjalne szkolenia</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testowania protokołów</w:t>
      </w:r>
      <w:r w:rsidR="00064166" w:rsidRPr="00064166">
        <w:rPr>
          <w:noProof/>
          <w:sz w:val="22"/>
          <w:szCs w:val="22"/>
        </w:rPr>
        <w:t xml:space="preserve"> i</w:t>
      </w:r>
      <w:r w:rsidR="00064166">
        <w:rPr>
          <w:noProof/>
          <w:sz w:val="22"/>
          <w:szCs w:val="22"/>
        </w:rPr>
        <w:t> </w:t>
      </w:r>
      <w:r w:rsidR="00064166" w:rsidRPr="00064166">
        <w:rPr>
          <w:noProof/>
          <w:sz w:val="22"/>
          <w:szCs w:val="22"/>
        </w:rPr>
        <w:t>zwi</w:t>
      </w:r>
      <w:r w:rsidRPr="00064166">
        <w:rPr>
          <w:noProof/>
          <w:sz w:val="22"/>
          <w:szCs w:val="22"/>
        </w:rPr>
        <w:t>ększania gotowości na wypadek sytuacji kryzysowej</w:t>
      </w:r>
      <w:r w:rsidR="00064166" w:rsidRPr="00064166">
        <w:rPr>
          <w:noProof/>
          <w:sz w:val="22"/>
          <w:szCs w:val="22"/>
        </w:rPr>
        <w:t>. W</w:t>
      </w:r>
      <w:r w:rsidR="00064166">
        <w:rPr>
          <w:noProof/>
          <w:sz w:val="22"/>
          <w:szCs w:val="22"/>
        </w:rPr>
        <w:t> </w:t>
      </w:r>
      <w:r w:rsidR="00064166" w:rsidRPr="00064166">
        <w:rPr>
          <w:noProof/>
          <w:sz w:val="22"/>
          <w:szCs w:val="22"/>
        </w:rPr>
        <w:t>sto</w:t>
      </w:r>
      <w:r w:rsidRPr="00064166">
        <w:rPr>
          <w:noProof/>
          <w:sz w:val="22"/>
          <w:szCs w:val="22"/>
        </w:rPr>
        <w:t>sownych przypadkach sieć będzie uczestniczyć</w:t>
      </w:r>
      <w:r w:rsidR="00064166" w:rsidRPr="00064166">
        <w:rPr>
          <w:noProof/>
          <w:sz w:val="22"/>
          <w:szCs w:val="22"/>
        </w:rPr>
        <w:t xml:space="preserve"> w</w:t>
      </w:r>
      <w:r w:rsidR="00064166">
        <w:rPr>
          <w:noProof/>
          <w:sz w:val="22"/>
          <w:szCs w:val="22"/>
        </w:rPr>
        <w:t> </w:t>
      </w:r>
      <w:r w:rsidR="00064166" w:rsidRPr="00064166">
        <w:rPr>
          <w:noProof/>
          <w:sz w:val="22"/>
          <w:szCs w:val="22"/>
        </w:rPr>
        <w:t>tes</w:t>
      </w:r>
      <w:r w:rsidRPr="00064166">
        <w:rPr>
          <w:noProof/>
          <w:sz w:val="22"/>
          <w:szCs w:val="22"/>
        </w:rPr>
        <w:t>tach</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gotowości. Komisja nadal będzie również regularnie monitorować czas oczekiwania na przejściach granicznych na trasie uprzywilejowanych korytarzy</w:t>
      </w:r>
      <w:r w:rsidR="00064166" w:rsidRPr="00064166">
        <w:rPr>
          <w:noProof/>
          <w:sz w:val="22"/>
          <w:szCs w:val="22"/>
        </w:rPr>
        <w:t xml:space="preserve"> i</w:t>
      </w:r>
      <w:r w:rsidR="00064166">
        <w:rPr>
          <w:noProof/>
          <w:sz w:val="22"/>
          <w:szCs w:val="22"/>
        </w:rPr>
        <w:t> </w:t>
      </w:r>
      <w:r w:rsidR="00064166" w:rsidRPr="00064166">
        <w:rPr>
          <w:noProof/>
          <w:sz w:val="22"/>
          <w:szCs w:val="22"/>
        </w:rPr>
        <w:t>prz</w:t>
      </w:r>
      <w:r w:rsidRPr="00064166">
        <w:rPr>
          <w:noProof/>
          <w:sz w:val="22"/>
          <w:szCs w:val="22"/>
        </w:rPr>
        <w:t xml:space="preserve">ekazywać te informacje sieci. Umożliwi to szybką reakcję na wszelkie pojawiające się problemy. </w:t>
      </w:r>
    </w:p>
    <w:p w14:paraId="0F97E6AB" w14:textId="77777777" w:rsidR="00FC6378" w:rsidRPr="00064166" w:rsidRDefault="00AC0BE2" w:rsidP="00FC6378">
      <w:pPr>
        <w:pStyle w:val="Heading2"/>
        <w:spacing w:before="240" w:after="240" w:line="276" w:lineRule="auto"/>
        <w:ind w:left="578" w:hanging="578"/>
        <w:rPr>
          <w:noProof/>
          <w:sz w:val="22"/>
          <w:szCs w:val="22"/>
        </w:rPr>
      </w:pPr>
      <w:r w:rsidRPr="00064166">
        <w:rPr>
          <w:noProof/>
          <w:sz w:val="22"/>
          <w:szCs w:val="22"/>
        </w:rPr>
        <w:t xml:space="preserve">Zwiększenie poziomu cyberbezpieczeństwa </w:t>
      </w:r>
    </w:p>
    <w:p w14:paraId="5178DAB4" w14:textId="12A26F7A" w:rsidR="00FC6378" w:rsidRPr="00064166" w:rsidRDefault="00FC6378" w:rsidP="00FC6378">
      <w:pPr>
        <w:spacing w:line="276" w:lineRule="auto"/>
        <w:rPr>
          <w:noProof/>
          <w:sz w:val="22"/>
          <w:szCs w:val="22"/>
        </w:rPr>
      </w:pPr>
      <w:r w:rsidRPr="00064166">
        <w:rPr>
          <w:b/>
          <w:noProof/>
          <w:sz w:val="22"/>
          <w:bdr w:val="nil"/>
        </w:rPr>
        <w:t>Komisja zintensyfikuje współpracę</w:t>
      </w:r>
      <w:r w:rsidR="00064166" w:rsidRPr="00064166">
        <w:rPr>
          <w:b/>
          <w:noProof/>
          <w:sz w:val="22"/>
          <w:bdr w:val="nil"/>
        </w:rPr>
        <w:t xml:space="preserve"> w</w:t>
      </w:r>
      <w:r w:rsidR="00064166">
        <w:rPr>
          <w:b/>
          <w:noProof/>
          <w:sz w:val="22"/>
          <w:bdr w:val="nil"/>
        </w:rPr>
        <w:t> </w:t>
      </w:r>
      <w:r w:rsidR="00064166" w:rsidRPr="00064166">
        <w:rPr>
          <w:b/>
          <w:noProof/>
          <w:sz w:val="22"/>
          <w:bdr w:val="nil"/>
        </w:rPr>
        <w:t>zak</w:t>
      </w:r>
      <w:r w:rsidRPr="00064166">
        <w:rPr>
          <w:b/>
          <w:noProof/>
          <w:sz w:val="22"/>
          <w:bdr w:val="nil"/>
        </w:rPr>
        <w:t>resie cyberbezpieczeństwa</w:t>
      </w:r>
      <w:r w:rsidR="00064166" w:rsidRPr="00064166">
        <w:rPr>
          <w:b/>
          <w:noProof/>
          <w:sz w:val="22"/>
          <w:bdr w:val="nil"/>
        </w:rPr>
        <w:t xml:space="preserve"> z</w:t>
      </w:r>
      <w:r w:rsidR="00064166">
        <w:rPr>
          <w:b/>
          <w:noProof/>
          <w:sz w:val="22"/>
          <w:bdr w:val="nil"/>
        </w:rPr>
        <w:t> </w:t>
      </w:r>
      <w:r w:rsidR="00064166" w:rsidRPr="00064166">
        <w:rPr>
          <w:b/>
          <w:noProof/>
          <w:sz w:val="22"/>
          <w:bdr w:val="nil"/>
        </w:rPr>
        <w:t>Age</w:t>
      </w:r>
      <w:r w:rsidRPr="00064166">
        <w:rPr>
          <w:b/>
          <w:noProof/>
          <w:sz w:val="22"/>
          <w:bdr w:val="nil"/>
        </w:rPr>
        <w:t>ncją Unii Europejskiej ds. Bezpieczeństwa Lotniczego (EASA), Europejską Agencją Bezpieczeństwa Morskiego (EMSA), Agencją Kolejową Unii Europejskiej (ERA), Agencją Unii Europejskiej ds. Zarządzania Operacyjnego Wielkoskalowymi Systemami Informatycznymi</w:t>
      </w:r>
      <w:r w:rsidR="00064166" w:rsidRPr="00064166">
        <w:rPr>
          <w:b/>
          <w:noProof/>
          <w:sz w:val="22"/>
          <w:bdr w:val="nil"/>
        </w:rPr>
        <w:t xml:space="preserve"> w</w:t>
      </w:r>
      <w:r w:rsidR="00064166">
        <w:rPr>
          <w:b/>
          <w:noProof/>
          <w:sz w:val="22"/>
          <w:bdr w:val="nil"/>
        </w:rPr>
        <w:t> </w:t>
      </w:r>
      <w:r w:rsidR="00064166" w:rsidRPr="00064166">
        <w:rPr>
          <w:b/>
          <w:noProof/>
          <w:sz w:val="22"/>
          <w:bdr w:val="nil"/>
        </w:rPr>
        <w:t>Prz</w:t>
      </w:r>
      <w:r w:rsidRPr="00064166">
        <w:rPr>
          <w:b/>
          <w:noProof/>
          <w:sz w:val="22"/>
          <w:bdr w:val="nil"/>
        </w:rPr>
        <w:t>estrzeni Wolności, Bezpieczeństwa</w:t>
      </w:r>
      <w:r w:rsidR="00064166" w:rsidRPr="00064166">
        <w:rPr>
          <w:b/>
          <w:noProof/>
          <w:sz w:val="22"/>
          <w:bdr w:val="nil"/>
        </w:rPr>
        <w:t xml:space="preserve"> i</w:t>
      </w:r>
      <w:r w:rsidR="00064166">
        <w:rPr>
          <w:b/>
          <w:noProof/>
          <w:sz w:val="22"/>
          <w:bdr w:val="nil"/>
        </w:rPr>
        <w:t> </w:t>
      </w:r>
      <w:r w:rsidR="00064166" w:rsidRPr="00064166">
        <w:rPr>
          <w:b/>
          <w:noProof/>
          <w:sz w:val="22"/>
          <w:bdr w:val="nil"/>
        </w:rPr>
        <w:t>Spr</w:t>
      </w:r>
      <w:r w:rsidRPr="00064166">
        <w:rPr>
          <w:b/>
          <w:noProof/>
          <w:sz w:val="22"/>
          <w:bdr w:val="nil"/>
        </w:rPr>
        <w:t>awiedliwości oraz ENISA.</w:t>
      </w:r>
      <w:r w:rsidRPr="00064166">
        <w:rPr>
          <w:b/>
          <w:noProof/>
          <w:sz w:val="22"/>
          <w:szCs w:val="22"/>
          <w:bdr w:val="nil"/>
        </w:rPr>
        <w:t xml:space="preserve"> </w:t>
      </w:r>
      <w:r w:rsidRPr="00064166">
        <w:rPr>
          <w:noProof/>
          <w:sz w:val="22"/>
          <w:szCs w:val="22"/>
          <w:bdr w:val="nil"/>
        </w:rPr>
        <w:t>Zgodnie</w:t>
      </w:r>
      <w:r w:rsidR="00064166" w:rsidRPr="00064166">
        <w:rPr>
          <w:noProof/>
          <w:sz w:val="22"/>
          <w:szCs w:val="22"/>
          <w:bdr w:val="nil"/>
        </w:rPr>
        <w:t xml:space="preserve"> z</w:t>
      </w:r>
      <w:r w:rsidR="00064166">
        <w:rPr>
          <w:noProof/>
          <w:sz w:val="22"/>
          <w:szCs w:val="22"/>
          <w:bdr w:val="nil"/>
        </w:rPr>
        <w:t> </w:t>
      </w:r>
      <w:r w:rsidR="00064166" w:rsidRPr="00064166">
        <w:rPr>
          <w:noProof/>
          <w:sz w:val="22"/>
          <w:szCs w:val="22"/>
          <w:bdr w:val="nil"/>
        </w:rPr>
        <w:t>obe</w:t>
      </w:r>
      <w:r w:rsidRPr="00064166">
        <w:rPr>
          <w:noProof/>
          <w:sz w:val="22"/>
          <w:szCs w:val="22"/>
          <w:bdr w:val="nil"/>
        </w:rPr>
        <w:t>cnie obowiązującymi</w:t>
      </w:r>
      <w:r w:rsidRPr="00064166">
        <w:rPr>
          <w:bCs/>
          <w:noProof/>
          <w:sz w:val="22"/>
          <w:szCs w:val="22"/>
          <w:bdr w:val="nil"/>
        </w:rPr>
        <w:t xml:space="preserve"> przepisami UE dotyczącymi sektora lotnictwa</w:t>
      </w:r>
      <w:r w:rsidR="00064166" w:rsidRPr="00064166">
        <w:rPr>
          <w:bCs/>
          <w:noProof/>
          <w:sz w:val="22"/>
          <w:szCs w:val="22"/>
          <w:bdr w:val="nil"/>
        </w:rPr>
        <w:t xml:space="preserve"> i</w:t>
      </w:r>
      <w:r w:rsidR="00064166">
        <w:rPr>
          <w:bCs/>
          <w:noProof/>
          <w:sz w:val="22"/>
          <w:szCs w:val="22"/>
          <w:bdr w:val="nil"/>
        </w:rPr>
        <w:t> </w:t>
      </w:r>
      <w:r w:rsidR="00064166" w:rsidRPr="00064166">
        <w:rPr>
          <w:bCs/>
          <w:noProof/>
          <w:sz w:val="22"/>
          <w:szCs w:val="22"/>
          <w:bdr w:val="nil"/>
        </w:rPr>
        <w:t>sek</w:t>
      </w:r>
      <w:r w:rsidRPr="00064166">
        <w:rPr>
          <w:bCs/>
          <w:noProof/>
          <w:sz w:val="22"/>
          <w:szCs w:val="22"/>
          <w:bdr w:val="nil"/>
        </w:rPr>
        <w:t>tora morskiego władze</w:t>
      </w:r>
      <w:r w:rsidR="00064166" w:rsidRPr="00064166">
        <w:rPr>
          <w:bCs/>
          <w:noProof/>
          <w:sz w:val="22"/>
          <w:szCs w:val="22"/>
          <w:bdr w:val="nil"/>
        </w:rPr>
        <w:t xml:space="preserve"> i</w:t>
      </w:r>
      <w:r w:rsidR="00064166">
        <w:rPr>
          <w:bCs/>
          <w:noProof/>
          <w:sz w:val="22"/>
          <w:szCs w:val="22"/>
          <w:bdr w:val="nil"/>
        </w:rPr>
        <w:t> </w:t>
      </w:r>
      <w:r w:rsidR="00064166" w:rsidRPr="00064166">
        <w:rPr>
          <w:bCs/>
          <w:noProof/>
          <w:sz w:val="22"/>
          <w:szCs w:val="22"/>
          <w:bdr w:val="nil"/>
        </w:rPr>
        <w:t>zai</w:t>
      </w:r>
      <w:r w:rsidRPr="00064166">
        <w:rPr>
          <w:bCs/>
          <w:noProof/>
          <w:sz w:val="22"/>
          <w:szCs w:val="22"/>
          <w:bdr w:val="nil"/>
        </w:rPr>
        <w:t>nteresowane strony muszą przeprowadzać oceny ryzyka pod kątem identyfikacji krytycznych danych</w:t>
      </w:r>
      <w:r w:rsidR="00064166" w:rsidRPr="00064166">
        <w:rPr>
          <w:bCs/>
          <w:noProof/>
          <w:sz w:val="22"/>
          <w:szCs w:val="22"/>
          <w:bdr w:val="nil"/>
        </w:rPr>
        <w:t xml:space="preserve"> i</w:t>
      </w:r>
      <w:r w:rsidR="00064166">
        <w:rPr>
          <w:bCs/>
          <w:noProof/>
          <w:sz w:val="22"/>
          <w:szCs w:val="22"/>
          <w:bdr w:val="nil"/>
        </w:rPr>
        <w:t> </w:t>
      </w:r>
      <w:r w:rsidR="00064166" w:rsidRPr="00064166">
        <w:rPr>
          <w:bCs/>
          <w:noProof/>
          <w:sz w:val="22"/>
          <w:szCs w:val="22"/>
          <w:bdr w:val="nil"/>
        </w:rPr>
        <w:t>sys</w:t>
      </w:r>
      <w:r w:rsidRPr="00064166">
        <w:rPr>
          <w:bCs/>
          <w:noProof/>
          <w:sz w:val="22"/>
          <w:szCs w:val="22"/>
          <w:bdr w:val="nil"/>
        </w:rPr>
        <w:t>temów oraz wprowadzać odpowiednie środki służące wyeliminowaniu wszelkiego ryzyka szczątkowego</w:t>
      </w:r>
      <w:r w:rsidRPr="00064166">
        <w:rPr>
          <w:noProof/>
          <w:sz w:val="22"/>
          <w:szCs w:val="22"/>
          <w:bdr w:val="nil"/>
        </w:rPr>
        <w:t>.</w:t>
      </w:r>
      <w:r w:rsidR="0052698C" w:rsidRPr="00064166">
        <w:rPr>
          <w:noProof/>
          <w:sz w:val="22"/>
          <w:szCs w:val="22"/>
          <w:bdr w:val="nil"/>
        </w:rPr>
        <w:t xml:space="preserve"> </w:t>
      </w:r>
      <w:r w:rsidRPr="00064166">
        <w:rPr>
          <w:noProof/>
          <w:sz w:val="22"/>
          <w:szCs w:val="22"/>
          <w:bdr w:val="nil"/>
        </w:rPr>
        <w:t>Środki te należy dopracować</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cel</w:t>
      </w:r>
      <w:r w:rsidRPr="00064166">
        <w:rPr>
          <w:noProof/>
          <w:sz w:val="22"/>
          <w:szCs w:val="22"/>
          <w:bdr w:val="nil"/>
        </w:rPr>
        <w:t>u zwiększenia poziomu świadomości</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zak</w:t>
      </w:r>
      <w:r w:rsidRPr="00064166">
        <w:rPr>
          <w:noProof/>
          <w:sz w:val="22"/>
          <w:szCs w:val="22"/>
          <w:bdr w:val="nil"/>
        </w:rPr>
        <w:t>resie cyberbezpieczeństwa, cyberodporności, udoskonalenia szkoleń</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udo</w:t>
      </w:r>
      <w:r w:rsidRPr="00064166">
        <w:rPr>
          <w:noProof/>
          <w:sz w:val="22"/>
          <w:szCs w:val="22"/>
          <w:bdr w:val="nil"/>
        </w:rPr>
        <w:t>stępniania informacji</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tym</w:t>
      </w:r>
      <w:r w:rsidRPr="00064166">
        <w:rPr>
          <w:noProof/>
          <w:sz w:val="22"/>
          <w:szCs w:val="22"/>
          <w:bdr w:val="nil"/>
        </w:rPr>
        <w:t xml:space="preserve"> zakresie.</w:t>
      </w:r>
      <w:r w:rsidR="0052698C" w:rsidRPr="00064166">
        <w:rPr>
          <w:noProof/>
          <w:sz w:val="22"/>
          <w:szCs w:val="22"/>
          <w:bdr w:val="nil"/>
        </w:rPr>
        <w:t xml:space="preserve"> </w:t>
      </w:r>
      <w:r w:rsidRPr="00064166">
        <w:rPr>
          <w:noProof/>
          <w:sz w:val="22"/>
          <w:szCs w:val="22"/>
        </w:rPr>
        <w:t>Zgodnie</w:t>
      </w:r>
      <w:r w:rsidR="00064166" w:rsidRPr="00064166">
        <w:rPr>
          <w:noProof/>
          <w:sz w:val="22"/>
          <w:szCs w:val="22"/>
        </w:rPr>
        <w:t xml:space="preserve"> z</w:t>
      </w:r>
      <w:r w:rsidR="00064166">
        <w:rPr>
          <w:noProof/>
          <w:sz w:val="22"/>
          <w:szCs w:val="22"/>
        </w:rPr>
        <w:t> </w:t>
      </w:r>
      <w:r w:rsidR="00064166" w:rsidRPr="00064166">
        <w:rPr>
          <w:noProof/>
          <w:sz w:val="22"/>
          <w:szCs w:val="22"/>
        </w:rPr>
        <w:t>dzi</w:t>
      </w:r>
      <w:r w:rsidRPr="00064166">
        <w:rPr>
          <w:noProof/>
          <w:sz w:val="22"/>
          <w:szCs w:val="22"/>
        </w:rPr>
        <w:t>ałaniem 3</w:t>
      </w:r>
      <w:r w:rsidR="00064166" w:rsidRPr="00064166">
        <w:rPr>
          <w:noProof/>
          <w:sz w:val="22"/>
          <w:szCs w:val="22"/>
        </w:rPr>
        <w:t xml:space="preserve"> w</w:t>
      </w:r>
      <w:r w:rsidR="00064166">
        <w:rPr>
          <w:noProof/>
          <w:sz w:val="22"/>
          <w:szCs w:val="22"/>
        </w:rPr>
        <w:t> </w:t>
      </w:r>
      <w:r w:rsidR="00064166" w:rsidRPr="00064166">
        <w:rPr>
          <w:noProof/>
          <w:sz w:val="22"/>
          <w:szCs w:val="22"/>
        </w:rPr>
        <w:t>prz</w:t>
      </w:r>
      <w:r w:rsidRPr="00064166">
        <w:rPr>
          <w:noProof/>
          <w:sz w:val="22"/>
          <w:szCs w:val="22"/>
        </w:rPr>
        <w:t>yszłych przeglądach unijnych przepisów dotyczących transportu należy uwzględniać</w:t>
      </w:r>
      <w:r w:rsidR="00064166" w:rsidRPr="00064166">
        <w:rPr>
          <w:noProof/>
          <w:sz w:val="22"/>
          <w:szCs w:val="22"/>
        </w:rPr>
        <w:t xml:space="preserve"> i</w:t>
      </w:r>
      <w:r w:rsidR="00064166">
        <w:rPr>
          <w:noProof/>
          <w:sz w:val="22"/>
          <w:szCs w:val="22"/>
        </w:rPr>
        <w:t> </w:t>
      </w:r>
      <w:r w:rsidR="00064166" w:rsidRPr="00064166">
        <w:rPr>
          <w:noProof/>
          <w:sz w:val="22"/>
          <w:szCs w:val="22"/>
        </w:rPr>
        <w:t>w</w:t>
      </w:r>
      <w:r w:rsidR="00064166">
        <w:rPr>
          <w:noProof/>
          <w:sz w:val="22"/>
          <w:szCs w:val="22"/>
        </w:rPr>
        <w:t> </w:t>
      </w:r>
      <w:r w:rsidR="00064166" w:rsidRPr="00064166">
        <w:rPr>
          <w:noProof/>
          <w:sz w:val="22"/>
          <w:szCs w:val="22"/>
        </w:rPr>
        <w:t>raz</w:t>
      </w:r>
      <w:r w:rsidRPr="00064166">
        <w:rPr>
          <w:noProof/>
          <w:sz w:val="22"/>
          <w:szCs w:val="22"/>
        </w:rPr>
        <w:t>ie potrzeby eliminować ryzyko cyberataków.</w:t>
      </w:r>
      <w:r w:rsidR="0052698C" w:rsidRPr="00064166">
        <w:rPr>
          <w:noProof/>
          <w:sz w:val="22"/>
          <w:szCs w:val="22"/>
        </w:rPr>
        <w:t xml:space="preserve"> </w:t>
      </w:r>
    </w:p>
    <w:p w14:paraId="246B0827" w14:textId="21580F91" w:rsidR="00AE47A3" w:rsidRPr="00064166" w:rsidRDefault="00AE47A3" w:rsidP="00AE47A3">
      <w:pPr>
        <w:spacing w:line="276" w:lineRule="auto"/>
        <w:rPr>
          <w:noProof/>
          <w:sz w:val="22"/>
          <w:szCs w:val="22"/>
          <w:u w:color="000000"/>
          <w:bdr w:val="nil"/>
        </w:rPr>
      </w:pPr>
      <w:r w:rsidRPr="00064166">
        <w:rPr>
          <w:b/>
          <w:noProof/>
          <w:sz w:val="22"/>
          <w:szCs w:val="22"/>
          <w:bdr w:val="nil"/>
        </w:rPr>
        <w:t>Komisja zaproponowała kompleksowe ramy legislacyjne mające chronić infrastrukturę krytyczną, obejmujące również kwestię odporności sektora transportu</w:t>
      </w:r>
      <w:r w:rsidRPr="00064166">
        <w:rPr>
          <w:noProof/>
          <w:sz w:val="22"/>
          <w:szCs w:val="22"/>
          <w:bdr w:val="nil"/>
        </w:rPr>
        <w:t>. Wniosek dotyczący zmiany dyrektywy</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spr</w:t>
      </w:r>
      <w:r w:rsidRPr="00064166">
        <w:rPr>
          <w:noProof/>
          <w:sz w:val="22"/>
          <w:szCs w:val="22"/>
          <w:bdr w:val="nil"/>
        </w:rPr>
        <w:t>awie odporności podmiotów krytycznych</w:t>
      </w:r>
      <w:r w:rsidRPr="00064166">
        <w:rPr>
          <w:rStyle w:val="FootnoteReference"/>
          <w:noProof/>
          <w:sz w:val="22"/>
          <w:szCs w:val="22"/>
          <w:bdr w:val="nil"/>
          <w:lang w:eastAsia="ja-JP"/>
        </w:rPr>
        <w:footnoteReference w:id="73"/>
      </w:r>
      <w:r w:rsidRPr="00064166">
        <w:rPr>
          <w:noProof/>
          <w:sz w:val="22"/>
          <w:szCs w:val="22"/>
          <w:bdr w:val="nil"/>
        </w:rPr>
        <w:t xml:space="preserve"> zawiera wymóg, zgodnie</w:t>
      </w:r>
      <w:r w:rsidR="00064166" w:rsidRPr="00064166">
        <w:rPr>
          <w:noProof/>
          <w:sz w:val="22"/>
          <w:szCs w:val="22"/>
          <w:bdr w:val="nil"/>
        </w:rPr>
        <w:t xml:space="preserve"> z</w:t>
      </w:r>
      <w:r w:rsidR="00064166">
        <w:rPr>
          <w:noProof/>
          <w:sz w:val="22"/>
          <w:szCs w:val="22"/>
          <w:bdr w:val="nil"/>
        </w:rPr>
        <w:t> </w:t>
      </w:r>
      <w:r w:rsidR="00064166" w:rsidRPr="00064166">
        <w:rPr>
          <w:noProof/>
          <w:sz w:val="22"/>
          <w:szCs w:val="22"/>
          <w:bdr w:val="nil"/>
        </w:rPr>
        <w:t>któ</w:t>
      </w:r>
      <w:r w:rsidRPr="00064166">
        <w:rPr>
          <w:noProof/>
          <w:sz w:val="22"/>
          <w:szCs w:val="22"/>
          <w:bdr w:val="nil"/>
        </w:rPr>
        <w:t>rym podmioty krytyczne, które państwa członkowskie wskazują jako podmioty świadczące usługi kluczowe na rynku wewnętrznym muszą przeprowadzać oceny ryzyka</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wpr</w:t>
      </w:r>
      <w:r w:rsidRPr="00064166">
        <w:rPr>
          <w:noProof/>
          <w:sz w:val="22"/>
          <w:szCs w:val="22"/>
          <w:bdr w:val="nil"/>
        </w:rPr>
        <w:t>owadzać środki zwiększające odporność, aby zwiększyć swoją odporność na wszystkie istotne spowodowane przez człowieka</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nat</w:t>
      </w:r>
      <w:r w:rsidRPr="00064166">
        <w:rPr>
          <w:noProof/>
          <w:sz w:val="22"/>
          <w:szCs w:val="22"/>
          <w:bdr w:val="nil"/>
        </w:rPr>
        <w:t>uralne rodzaje ryzyka poza cyberprzestrzenią. Po przyjęciu ostatecznego tekstu Komisja będzie prowadzić prace nad zapewnieniem jego terminowego wdrożenia oraz zapewni wsparcie państwom członkowskim</w:t>
      </w:r>
      <w:r w:rsidR="00064166" w:rsidRPr="00064166">
        <w:rPr>
          <w:noProof/>
          <w:sz w:val="22"/>
          <w:szCs w:val="22"/>
          <w:bdr w:val="nil"/>
        </w:rPr>
        <w:t xml:space="preserve"> i</w:t>
      </w:r>
      <w:r w:rsidR="00064166">
        <w:rPr>
          <w:noProof/>
          <w:sz w:val="22"/>
          <w:szCs w:val="22"/>
          <w:bdr w:val="nil"/>
        </w:rPr>
        <w:t> </w:t>
      </w:r>
      <w:r w:rsidR="00064166" w:rsidRPr="00064166">
        <w:rPr>
          <w:noProof/>
          <w:sz w:val="22"/>
          <w:szCs w:val="22"/>
          <w:bdr w:val="nil"/>
        </w:rPr>
        <w:t>pod</w:t>
      </w:r>
      <w:r w:rsidRPr="00064166">
        <w:rPr>
          <w:noProof/>
          <w:sz w:val="22"/>
          <w:szCs w:val="22"/>
          <w:bdr w:val="nil"/>
        </w:rPr>
        <w:t>miotom krytycznym,</w:t>
      </w:r>
      <w:r w:rsidR="00064166" w:rsidRPr="00064166">
        <w:rPr>
          <w:noProof/>
          <w:sz w:val="22"/>
          <w:szCs w:val="22"/>
          <w:bdr w:val="nil"/>
        </w:rPr>
        <w:t xml:space="preserve"> w</w:t>
      </w:r>
      <w:r w:rsidR="00064166">
        <w:rPr>
          <w:noProof/>
          <w:sz w:val="22"/>
          <w:szCs w:val="22"/>
          <w:bdr w:val="nil"/>
        </w:rPr>
        <w:t> </w:t>
      </w:r>
      <w:r w:rsidR="00064166" w:rsidRPr="00064166">
        <w:rPr>
          <w:noProof/>
          <w:sz w:val="22"/>
          <w:szCs w:val="22"/>
          <w:bdr w:val="nil"/>
        </w:rPr>
        <w:t>tym w</w:t>
      </w:r>
      <w:r w:rsidR="00064166">
        <w:rPr>
          <w:noProof/>
          <w:sz w:val="22"/>
          <w:szCs w:val="22"/>
          <w:bdr w:val="nil"/>
        </w:rPr>
        <w:t> </w:t>
      </w:r>
      <w:r w:rsidR="00064166" w:rsidRPr="00064166">
        <w:rPr>
          <w:noProof/>
          <w:sz w:val="22"/>
          <w:szCs w:val="22"/>
          <w:bdr w:val="nil"/>
        </w:rPr>
        <w:t>ram</w:t>
      </w:r>
      <w:r w:rsidRPr="00064166">
        <w:rPr>
          <w:noProof/>
          <w:sz w:val="22"/>
          <w:szCs w:val="22"/>
          <w:bdr w:val="nil"/>
        </w:rPr>
        <w:t>ach przeglądu ryzyka na szczeblu unijnym, udostępniania najlepszych praktyk, testów,</w:t>
      </w:r>
      <w:r w:rsidR="00064166" w:rsidRPr="00064166">
        <w:rPr>
          <w:noProof/>
          <w:sz w:val="22"/>
          <w:szCs w:val="22"/>
          <w:bdr w:val="nil"/>
        </w:rPr>
        <w:t xml:space="preserve"> a</w:t>
      </w:r>
      <w:r w:rsidR="00064166">
        <w:rPr>
          <w:noProof/>
          <w:sz w:val="22"/>
          <w:szCs w:val="22"/>
          <w:bdr w:val="nil"/>
        </w:rPr>
        <w:t> </w:t>
      </w:r>
      <w:r w:rsidR="00064166" w:rsidRPr="00064166">
        <w:rPr>
          <w:noProof/>
          <w:sz w:val="22"/>
          <w:szCs w:val="22"/>
          <w:bdr w:val="nil"/>
        </w:rPr>
        <w:t>tak</w:t>
      </w:r>
      <w:r w:rsidRPr="00064166">
        <w:rPr>
          <w:noProof/>
          <w:sz w:val="22"/>
          <w:szCs w:val="22"/>
          <w:bdr w:val="nil"/>
        </w:rPr>
        <w:t>że ułatwiania współpracy</w:t>
      </w:r>
      <w:r w:rsidR="00064166" w:rsidRPr="00064166">
        <w:rPr>
          <w:noProof/>
          <w:sz w:val="22"/>
          <w:szCs w:val="22"/>
          <w:bdr w:val="nil"/>
        </w:rPr>
        <w:t xml:space="preserve"> z</w:t>
      </w:r>
      <w:r w:rsidR="00064166">
        <w:rPr>
          <w:noProof/>
          <w:sz w:val="22"/>
          <w:szCs w:val="22"/>
          <w:bdr w:val="nil"/>
        </w:rPr>
        <w:t> </w:t>
      </w:r>
      <w:r w:rsidR="00064166" w:rsidRPr="00064166">
        <w:rPr>
          <w:noProof/>
          <w:sz w:val="22"/>
          <w:szCs w:val="22"/>
          <w:bdr w:val="nil"/>
        </w:rPr>
        <w:t>pań</w:t>
      </w:r>
      <w:r w:rsidRPr="00064166">
        <w:rPr>
          <w:noProof/>
          <w:sz w:val="22"/>
          <w:szCs w:val="22"/>
          <w:bdr w:val="nil"/>
        </w:rPr>
        <w:t>stwami członkowskimi</w:t>
      </w:r>
      <w:r w:rsidR="00064166" w:rsidRPr="00064166">
        <w:rPr>
          <w:noProof/>
          <w:sz w:val="22"/>
          <w:szCs w:val="22"/>
          <w:bdr w:val="nil"/>
        </w:rPr>
        <w:t xml:space="preserve">. </w:t>
      </w:r>
      <w:r w:rsidR="00064166" w:rsidRPr="00064166">
        <w:rPr>
          <w:noProof/>
          <w:sz w:val="22"/>
          <w:szCs w:val="22"/>
          <w:u w:color="000000"/>
          <w:bdr w:val="nil"/>
        </w:rPr>
        <w:t>W</w:t>
      </w:r>
      <w:r w:rsidR="00064166">
        <w:rPr>
          <w:noProof/>
          <w:sz w:val="22"/>
          <w:szCs w:val="22"/>
          <w:bdr w:val="nil"/>
        </w:rPr>
        <w:t> </w:t>
      </w:r>
      <w:r w:rsidR="00064166" w:rsidRPr="00064166">
        <w:rPr>
          <w:noProof/>
          <w:sz w:val="22"/>
          <w:szCs w:val="22"/>
          <w:u w:color="000000"/>
          <w:bdr w:val="nil"/>
        </w:rPr>
        <w:t>rów</w:t>
      </w:r>
      <w:r w:rsidRPr="00064166">
        <w:rPr>
          <w:noProof/>
          <w:sz w:val="22"/>
          <w:szCs w:val="22"/>
          <w:u w:color="000000"/>
          <w:bdr w:val="nil"/>
        </w:rPr>
        <w:t>noległym wniosku dotyczącym zmiany dyrektywy</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spr</w:t>
      </w:r>
      <w:r w:rsidRPr="00064166">
        <w:rPr>
          <w:noProof/>
          <w:sz w:val="22"/>
          <w:szCs w:val="22"/>
          <w:u w:color="000000"/>
          <w:bdr w:val="nil"/>
        </w:rPr>
        <w:t>awie bezpieczeństwa sieci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inf</w:t>
      </w:r>
      <w:r w:rsidRPr="00064166">
        <w:rPr>
          <w:noProof/>
          <w:sz w:val="22"/>
          <w:szCs w:val="22"/>
          <w:u w:color="000000"/>
          <w:bdr w:val="nil"/>
        </w:rPr>
        <w:t>ormacji Komisja</w:t>
      </w:r>
      <w:r w:rsidRPr="00064166">
        <w:rPr>
          <w:rStyle w:val="FootnoteReference"/>
          <w:noProof/>
          <w:sz w:val="22"/>
          <w:szCs w:val="22"/>
          <w:u w:color="000000"/>
          <w:bdr w:val="nil"/>
          <w:lang w:eastAsia="ja-JP"/>
        </w:rPr>
        <w:footnoteReference w:id="74"/>
      </w:r>
      <w:r w:rsidRPr="00064166">
        <w:rPr>
          <w:noProof/>
          <w:sz w:val="22"/>
          <w:szCs w:val="22"/>
          <w:u w:color="000000"/>
          <w:bdr w:val="nil"/>
        </w:rPr>
        <w:t xml:space="preserve"> proponuje podniesienie poziomu odporności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got</w:t>
      </w:r>
      <w:r w:rsidRPr="00064166">
        <w:rPr>
          <w:noProof/>
          <w:sz w:val="22"/>
          <w:szCs w:val="22"/>
          <w:u w:color="000000"/>
          <w:bdr w:val="nil"/>
        </w:rPr>
        <w:t>owości poprzez wymóg wprowadzenia środków</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ciągłości działania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zar</w:t>
      </w:r>
      <w:r w:rsidRPr="00064166">
        <w:rPr>
          <w:noProof/>
          <w:sz w:val="22"/>
          <w:szCs w:val="22"/>
          <w:u w:color="000000"/>
          <w:bdr w:val="nil"/>
        </w:rPr>
        <w:t>ządzania kryzysowego przez organizacje,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tym</w:t>
      </w:r>
      <w:r w:rsidRPr="00064166">
        <w:rPr>
          <w:noProof/>
          <w:sz w:val="22"/>
          <w:szCs w:val="22"/>
          <w:u w:color="000000"/>
          <w:bdr w:val="nil"/>
        </w:rPr>
        <w:t xml:space="preserve"> organizacje</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sek</w:t>
      </w:r>
      <w:r w:rsidRPr="00064166">
        <w:rPr>
          <w:noProof/>
          <w:sz w:val="22"/>
          <w:szCs w:val="22"/>
          <w:u w:color="000000"/>
          <w:bdr w:val="nil"/>
        </w:rPr>
        <w:t>tora transportu.</w:t>
      </w:r>
    </w:p>
    <w:p w14:paraId="39249510" w14:textId="15A0D98E" w:rsidR="00FC6378" w:rsidRPr="00064166" w:rsidRDefault="00FC6378" w:rsidP="00FC6378">
      <w:pPr>
        <w:spacing w:line="276" w:lineRule="auto"/>
        <w:rPr>
          <w:noProof/>
          <w:sz w:val="22"/>
          <w:szCs w:val="22"/>
          <w:u w:color="000000"/>
          <w:bdr w:val="nil"/>
        </w:rPr>
      </w:pPr>
      <w:r w:rsidRPr="00064166">
        <w:rPr>
          <w:b/>
          <w:noProof/>
          <w:sz w:val="22"/>
          <w:szCs w:val="22"/>
          <w:u w:color="000000"/>
          <w:bdr w:val="nil"/>
        </w:rPr>
        <w:t>Komisja</w:t>
      </w:r>
      <w:r w:rsidR="00064166" w:rsidRPr="00064166">
        <w:rPr>
          <w:b/>
          <w:noProof/>
          <w:sz w:val="22"/>
          <w:szCs w:val="22"/>
          <w:u w:color="000000"/>
          <w:bdr w:val="nil"/>
        </w:rPr>
        <w:t xml:space="preserve"> i</w:t>
      </w:r>
      <w:r w:rsidR="00064166">
        <w:rPr>
          <w:b/>
          <w:noProof/>
          <w:sz w:val="22"/>
          <w:szCs w:val="22"/>
          <w:u w:color="000000"/>
          <w:bdr w:val="nil"/>
        </w:rPr>
        <w:t> </w:t>
      </w:r>
      <w:r w:rsidR="00064166" w:rsidRPr="00064166">
        <w:rPr>
          <w:b/>
          <w:noProof/>
          <w:sz w:val="22"/>
          <w:szCs w:val="22"/>
          <w:u w:color="000000"/>
          <w:bdr w:val="nil"/>
        </w:rPr>
        <w:t>age</w:t>
      </w:r>
      <w:r w:rsidRPr="00064166">
        <w:rPr>
          <w:b/>
          <w:noProof/>
          <w:sz w:val="22"/>
          <w:szCs w:val="22"/>
          <w:u w:color="000000"/>
          <w:bdr w:val="nil"/>
        </w:rPr>
        <w:t>ncje UE nadal będą wspierać rozwój protokołów dotyczących cyberbezpieczeństwa</w:t>
      </w:r>
      <w:r w:rsidR="00064166" w:rsidRPr="00064166">
        <w:rPr>
          <w:b/>
          <w:noProof/>
          <w:sz w:val="22"/>
          <w:szCs w:val="22"/>
          <w:u w:color="000000"/>
          <w:bdr w:val="nil"/>
        </w:rPr>
        <w:t xml:space="preserve"> w</w:t>
      </w:r>
      <w:r w:rsidR="00064166">
        <w:rPr>
          <w:b/>
          <w:noProof/>
          <w:sz w:val="22"/>
          <w:szCs w:val="22"/>
          <w:u w:color="000000"/>
          <w:bdr w:val="nil"/>
        </w:rPr>
        <w:t> </w:t>
      </w:r>
      <w:r w:rsidR="00064166" w:rsidRPr="00064166">
        <w:rPr>
          <w:b/>
          <w:noProof/>
          <w:sz w:val="22"/>
          <w:szCs w:val="22"/>
          <w:u w:color="000000"/>
          <w:bdr w:val="nil"/>
        </w:rPr>
        <w:t>cel</w:t>
      </w:r>
      <w:r w:rsidRPr="00064166">
        <w:rPr>
          <w:b/>
          <w:noProof/>
          <w:sz w:val="22"/>
          <w:szCs w:val="22"/>
          <w:u w:color="000000"/>
          <w:bdr w:val="nil"/>
        </w:rPr>
        <w:t>u zapewnienia ciągłości działania, gdy dochodzi do incydentu.</w:t>
      </w:r>
      <w:r w:rsidR="0052698C" w:rsidRPr="00064166">
        <w:rPr>
          <w:b/>
          <w:noProof/>
          <w:sz w:val="22"/>
          <w:szCs w:val="22"/>
          <w:u w:color="000000"/>
          <w:bdr w:val="nil"/>
        </w:rPr>
        <w:t xml:space="preserve"> </w:t>
      </w:r>
      <w:r w:rsidRPr="00064166">
        <w:rPr>
          <w:noProof/>
          <w:sz w:val="22"/>
          <w:szCs w:val="22"/>
        </w:rPr>
        <w:t>ENISA wydała wytyczne dotyczące zarządzania ryzykiem</w:t>
      </w:r>
      <w:r w:rsidR="00064166" w:rsidRPr="00064166">
        <w:rPr>
          <w:noProof/>
          <w:sz w:val="22"/>
          <w:szCs w:val="22"/>
        </w:rPr>
        <w:t xml:space="preserve"> w</w:t>
      </w:r>
      <w:r w:rsidR="00064166">
        <w:rPr>
          <w:noProof/>
          <w:sz w:val="22"/>
          <w:szCs w:val="22"/>
        </w:rPr>
        <w:t> </w:t>
      </w:r>
      <w:r w:rsidR="00064166" w:rsidRPr="00064166">
        <w:rPr>
          <w:noProof/>
          <w:sz w:val="22"/>
          <w:szCs w:val="22"/>
        </w:rPr>
        <w:t>cyb</w:t>
      </w:r>
      <w:r w:rsidRPr="00064166">
        <w:rPr>
          <w:noProof/>
          <w:sz w:val="22"/>
          <w:szCs w:val="22"/>
        </w:rPr>
        <w:t>erprzestrzeni</w:t>
      </w:r>
      <w:r w:rsidR="00064166" w:rsidRPr="00064166">
        <w:rPr>
          <w:noProof/>
          <w:sz w:val="22"/>
          <w:szCs w:val="22"/>
        </w:rPr>
        <w:t xml:space="preserve"> w</w:t>
      </w:r>
      <w:r w:rsidR="00064166">
        <w:rPr>
          <w:noProof/>
          <w:sz w:val="22"/>
          <w:szCs w:val="22"/>
        </w:rPr>
        <w:t> </w:t>
      </w:r>
      <w:r w:rsidR="00064166" w:rsidRPr="00064166">
        <w:rPr>
          <w:noProof/>
          <w:sz w:val="22"/>
          <w:szCs w:val="22"/>
        </w:rPr>
        <w:t>sek</w:t>
      </w:r>
      <w:r w:rsidRPr="00064166">
        <w:rPr>
          <w:noProof/>
          <w:sz w:val="22"/>
          <w:szCs w:val="22"/>
        </w:rPr>
        <w:t>torze kolejowym</w:t>
      </w:r>
      <w:r w:rsidRPr="00064166">
        <w:rPr>
          <w:rStyle w:val="FootnoteReference"/>
          <w:noProof/>
          <w:sz w:val="22"/>
          <w:szCs w:val="22"/>
        </w:rPr>
        <w:footnoteReference w:id="75"/>
      </w:r>
      <w:r w:rsidR="00064166" w:rsidRPr="00064166">
        <w:rPr>
          <w:noProof/>
          <w:sz w:val="22"/>
          <w:szCs w:val="22"/>
        </w:rPr>
        <w:t xml:space="preserve"> i</w:t>
      </w:r>
      <w:r w:rsidR="00064166">
        <w:rPr>
          <w:noProof/>
          <w:sz w:val="22"/>
          <w:szCs w:val="22"/>
        </w:rPr>
        <w:t> </w:t>
      </w:r>
      <w:r w:rsidR="00064166" w:rsidRPr="00064166">
        <w:rPr>
          <w:noProof/>
          <w:sz w:val="22"/>
          <w:szCs w:val="22"/>
        </w:rPr>
        <w:t>w</w:t>
      </w:r>
      <w:r w:rsidR="00064166">
        <w:rPr>
          <w:noProof/>
          <w:sz w:val="22"/>
          <w:szCs w:val="22"/>
        </w:rPr>
        <w:t> </w:t>
      </w:r>
      <w:r w:rsidR="00064166" w:rsidRPr="00064166">
        <w:rPr>
          <w:noProof/>
          <w:sz w:val="22"/>
          <w:szCs w:val="22"/>
        </w:rPr>
        <w:t>por</w:t>
      </w:r>
      <w:r w:rsidRPr="00064166">
        <w:rPr>
          <w:noProof/>
          <w:sz w:val="22"/>
          <w:szCs w:val="22"/>
        </w:rPr>
        <w:t>tach</w:t>
      </w:r>
      <w:r w:rsidRPr="00064166">
        <w:rPr>
          <w:rStyle w:val="FootnoteReference"/>
          <w:noProof/>
          <w:sz w:val="22"/>
          <w:szCs w:val="22"/>
        </w:rPr>
        <w:footnoteReference w:id="76"/>
      </w:r>
      <w:r w:rsidRPr="00064166">
        <w:rPr>
          <w:noProof/>
          <w:sz w:val="22"/>
          <w:szCs w:val="22"/>
        </w:rPr>
        <w:t xml:space="preserve">. </w:t>
      </w:r>
      <w:r w:rsidRPr="00064166">
        <w:rPr>
          <w:noProof/>
          <w:sz w:val="22"/>
          <w:szCs w:val="22"/>
          <w:u w:color="000000"/>
          <w:bdr w:val="nil"/>
        </w:rPr>
        <w:t>EASA opracowuje obecnie przepisy służące zapewnieniu bezpieczeństwa lotnictwa cywilnego.</w:t>
      </w:r>
      <w:r w:rsidR="0052698C" w:rsidRPr="00064166">
        <w:rPr>
          <w:noProof/>
          <w:sz w:val="22"/>
          <w:szCs w:val="22"/>
          <w:u w:color="000000"/>
          <w:bdr w:val="nil"/>
        </w:rPr>
        <w:t xml:space="preserve"> </w:t>
      </w:r>
      <w:r w:rsidRPr="00064166">
        <w:rPr>
          <w:noProof/>
          <w:sz w:val="22"/>
          <w:szCs w:val="22"/>
          <w:u w:color="000000"/>
          <w:bdr w:val="nil"/>
        </w:rPr>
        <w:t>EMSA prowadzi prace</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pań</w:t>
      </w:r>
      <w:r w:rsidRPr="00064166">
        <w:rPr>
          <w:noProof/>
          <w:sz w:val="22"/>
          <w:szCs w:val="22"/>
          <w:u w:color="000000"/>
          <w:bdr w:val="nil"/>
        </w:rPr>
        <w:t>stwami członkowskimi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sek</w:t>
      </w:r>
      <w:r w:rsidRPr="00064166">
        <w:rPr>
          <w:noProof/>
          <w:sz w:val="22"/>
          <w:szCs w:val="22"/>
          <w:u w:color="000000"/>
          <w:bdr w:val="nil"/>
        </w:rPr>
        <w:t>torem morskim</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cel</w:t>
      </w:r>
      <w:r w:rsidRPr="00064166">
        <w:rPr>
          <w:noProof/>
          <w:sz w:val="22"/>
          <w:szCs w:val="22"/>
          <w:u w:color="000000"/>
          <w:bdr w:val="nil"/>
        </w:rPr>
        <w:t>u identyfikacji ewentualnych luk</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cyb</w:t>
      </w:r>
      <w:r w:rsidRPr="00064166">
        <w:rPr>
          <w:noProof/>
          <w:sz w:val="22"/>
          <w:szCs w:val="22"/>
          <w:u w:color="000000"/>
          <w:bdr w:val="nil"/>
        </w:rPr>
        <w:t>erbezpieczeństwie</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dzi</w:t>
      </w:r>
      <w:r w:rsidRPr="00064166">
        <w:rPr>
          <w:noProof/>
          <w:sz w:val="22"/>
          <w:szCs w:val="22"/>
          <w:u w:color="000000"/>
          <w:bdr w:val="nil"/>
        </w:rPr>
        <w:t>ałań, które należy podjąć, aby wyeliminować takie luki.</w:t>
      </w:r>
      <w:r w:rsidR="0052698C" w:rsidRPr="00064166">
        <w:rPr>
          <w:noProof/>
          <w:sz w:val="22"/>
          <w:szCs w:val="22"/>
          <w:u w:color="000000"/>
          <w:bdr w:val="nil"/>
        </w:rPr>
        <w:t xml:space="preserve"> </w:t>
      </w:r>
      <w:r w:rsidRPr="00064166">
        <w:rPr>
          <w:noProof/>
          <w:sz w:val="22"/>
          <w:szCs w:val="22"/>
          <w:u w:color="000000"/>
          <w:bdr w:val="nil"/>
        </w:rPr>
        <w:t>Prace te posłużą jako podstawa dalszych prac</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Kom</w:t>
      </w:r>
      <w:r w:rsidRPr="00064166">
        <w:rPr>
          <w:noProof/>
          <w:sz w:val="22"/>
          <w:szCs w:val="22"/>
          <w:u w:color="000000"/>
          <w:bdr w:val="nil"/>
        </w:rPr>
        <w:t>isją,</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tym</w:t>
      </w:r>
      <w:r w:rsidRPr="00064166">
        <w:rPr>
          <w:noProof/>
          <w:sz w:val="22"/>
          <w:szCs w:val="22"/>
          <w:u w:color="000000"/>
          <w:bdr w:val="nil"/>
        </w:rPr>
        <w:t xml:space="preserve"> przy opracowywaniu środków</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cyberbezpieczeństwa</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odn</w:t>
      </w:r>
      <w:r w:rsidRPr="00064166">
        <w:rPr>
          <w:noProof/>
          <w:sz w:val="22"/>
          <w:szCs w:val="22"/>
          <w:u w:color="000000"/>
          <w:bdr w:val="nil"/>
        </w:rPr>
        <w:t>iesieniu do statków.</w:t>
      </w:r>
    </w:p>
    <w:p w14:paraId="4B7758EF" w14:textId="4E13EC21" w:rsidR="00B56F23" w:rsidRPr="00064166" w:rsidRDefault="00FC6378" w:rsidP="00CC0E2F">
      <w:pPr>
        <w:spacing w:line="276" w:lineRule="auto"/>
        <w:rPr>
          <w:noProof/>
          <w:sz w:val="22"/>
          <w:szCs w:val="22"/>
          <w:u w:color="000000"/>
          <w:bdr w:val="nil"/>
        </w:rPr>
      </w:pPr>
      <w:r w:rsidRPr="00064166">
        <w:rPr>
          <w:b/>
          <w:noProof/>
          <w:sz w:val="22"/>
          <w:szCs w:val="22"/>
          <w:u w:color="000000"/>
          <w:bdr w:val="nil"/>
        </w:rPr>
        <w:t>Komisja będzie również współpracować</w:t>
      </w:r>
      <w:r w:rsidR="00064166" w:rsidRPr="00064166">
        <w:rPr>
          <w:b/>
          <w:noProof/>
          <w:sz w:val="22"/>
          <w:szCs w:val="22"/>
          <w:u w:color="000000"/>
          <w:bdr w:val="nil"/>
        </w:rPr>
        <w:t xml:space="preserve"> z</w:t>
      </w:r>
      <w:r w:rsidR="00064166">
        <w:rPr>
          <w:b/>
          <w:noProof/>
          <w:sz w:val="22"/>
          <w:szCs w:val="22"/>
          <w:u w:color="000000"/>
          <w:bdr w:val="nil"/>
        </w:rPr>
        <w:t> </w:t>
      </w:r>
      <w:r w:rsidR="00064166" w:rsidRPr="00064166">
        <w:rPr>
          <w:b/>
          <w:noProof/>
          <w:sz w:val="22"/>
          <w:szCs w:val="22"/>
          <w:u w:color="000000"/>
          <w:bdr w:val="nil"/>
        </w:rPr>
        <w:t>par</w:t>
      </w:r>
      <w:r w:rsidRPr="00064166">
        <w:rPr>
          <w:b/>
          <w:noProof/>
          <w:sz w:val="22"/>
          <w:szCs w:val="22"/>
          <w:u w:color="000000"/>
          <w:bdr w:val="nil"/>
        </w:rPr>
        <w:t>tnerami międzynarodowymi.</w:t>
      </w:r>
      <w:r w:rsidRPr="00064166">
        <w:rPr>
          <w:noProof/>
          <w:sz w:val="22"/>
          <w:szCs w:val="22"/>
          <w:u w:color="000000"/>
          <w:bdr w:val="nil"/>
        </w:rPr>
        <w:t xml:space="preserve"> W 2021</w:t>
      </w:r>
      <w:r w:rsidR="00064166" w:rsidRPr="00064166">
        <w:rPr>
          <w:noProof/>
          <w:sz w:val="22"/>
          <w:szCs w:val="22"/>
          <w:u w:color="000000"/>
          <w:bdr w:val="nil"/>
        </w:rPr>
        <w:t> </w:t>
      </w:r>
      <w:r w:rsidRPr="00064166">
        <w:rPr>
          <w:noProof/>
          <w:sz w:val="22"/>
          <w:szCs w:val="22"/>
          <w:u w:color="000000"/>
          <w:bdr w:val="nil"/>
        </w:rPr>
        <w:t>r. OECD przyjęła wytyczne mające ułatwić podróże międzynarodowe, zainspirowane unijnym cyfrowym zaświadczeniem COVID</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inn</w:t>
      </w:r>
      <w:r w:rsidRPr="00064166">
        <w:rPr>
          <w:noProof/>
          <w:sz w:val="22"/>
          <w:szCs w:val="22"/>
          <w:u w:color="000000"/>
          <w:bdr w:val="nil"/>
        </w:rPr>
        <w:t>ymi wytycznymi UE</w:t>
      </w:r>
      <w:r w:rsidRPr="00064166">
        <w:rPr>
          <w:rStyle w:val="FootnoteReference"/>
          <w:noProof/>
          <w:sz w:val="22"/>
          <w:szCs w:val="22"/>
          <w:u w:color="000000"/>
          <w:bdr w:val="nil"/>
          <w:lang w:eastAsia="ja-JP"/>
        </w:rPr>
        <w:footnoteReference w:id="77"/>
      </w:r>
      <w:r w:rsidRPr="00064166">
        <w:rPr>
          <w:noProof/>
          <w:sz w:val="22"/>
          <w:szCs w:val="22"/>
          <w:u w:color="000000"/>
          <w:bdr w:val="nil"/>
        </w:rPr>
        <w:t>. Organizacja Międzynarodowego Lotnictwa Cywilnego (ICAO) przyjęła normy dotyczące środków zapobiegawczych</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cyberbezpieczeństwa, które zostały przetransponowane do unijnego prawa dotyczącego ochrony lotnictwa</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2</w:t>
      </w:r>
      <w:r w:rsidRPr="00064166">
        <w:rPr>
          <w:noProof/>
          <w:sz w:val="22"/>
          <w:szCs w:val="22"/>
          <w:u w:color="000000"/>
          <w:bdr w:val="nil"/>
        </w:rPr>
        <w:t>019</w:t>
      </w:r>
      <w:r w:rsidR="00064166" w:rsidRPr="00064166">
        <w:rPr>
          <w:noProof/>
          <w:sz w:val="22"/>
          <w:szCs w:val="22"/>
          <w:u w:color="000000"/>
          <w:bdr w:val="nil"/>
        </w:rPr>
        <w:t> </w:t>
      </w:r>
      <w:r w:rsidRPr="00064166">
        <w:rPr>
          <w:noProof/>
          <w:sz w:val="22"/>
          <w:szCs w:val="22"/>
          <w:u w:color="000000"/>
          <w:bdr w:val="nil"/>
        </w:rPr>
        <w:t>r.</w:t>
      </w:r>
      <w:r w:rsidRPr="00064166">
        <w:rPr>
          <w:rStyle w:val="FootnoteReference"/>
          <w:noProof/>
          <w:sz w:val="22"/>
          <w:szCs w:val="22"/>
          <w:u w:color="000000"/>
          <w:bdr w:val="nil"/>
          <w:lang w:eastAsia="ja-JP"/>
        </w:rPr>
        <w:footnoteReference w:id="78"/>
      </w:r>
      <w:r w:rsidRPr="00064166">
        <w:rPr>
          <w:noProof/>
          <w:sz w:val="22"/>
          <w:szCs w:val="22"/>
          <w:u w:color="000000"/>
          <w:bdr w:val="nil"/>
        </w:rPr>
        <w:t xml:space="preserve"> Ponadto</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rez</w:t>
      </w:r>
      <w:r w:rsidRPr="00064166">
        <w:rPr>
          <w:noProof/>
          <w:sz w:val="22"/>
          <w:szCs w:val="22"/>
          <w:u w:color="000000"/>
          <w:bdr w:val="nil"/>
        </w:rPr>
        <w:t>olucji ICAO A40-12/1 wezwano państwa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prz</w:t>
      </w:r>
      <w:r w:rsidRPr="00064166">
        <w:rPr>
          <w:noProof/>
          <w:sz w:val="22"/>
          <w:szCs w:val="22"/>
          <w:u w:color="000000"/>
          <w:bdr w:val="nil"/>
        </w:rPr>
        <w:t>emysł między innymi do identyfikacji zagrożeń</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ryz</w:t>
      </w:r>
      <w:r w:rsidRPr="00064166">
        <w:rPr>
          <w:noProof/>
          <w:sz w:val="22"/>
          <w:szCs w:val="22"/>
          <w:u w:color="000000"/>
          <w:bdr w:val="nil"/>
        </w:rPr>
        <w:t>yka</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cyberbezpieczeństwa dotyczących operacji lotnictwa cywilnego</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sys</w:t>
      </w:r>
      <w:r w:rsidRPr="00064166">
        <w:rPr>
          <w:noProof/>
          <w:sz w:val="22"/>
          <w:szCs w:val="22"/>
          <w:u w:color="000000"/>
          <w:bdr w:val="nil"/>
        </w:rPr>
        <w:t>temów krytycznych oraz konsekwencji takich zagrożeń</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ryz</w:t>
      </w:r>
      <w:r w:rsidRPr="00064166">
        <w:rPr>
          <w:noProof/>
          <w:sz w:val="22"/>
          <w:szCs w:val="22"/>
          <w:u w:color="000000"/>
          <w:bdr w:val="nil"/>
        </w:rPr>
        <w:t>yka. Komisja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pań</w:t>
      </w:r>
      <w:r w:rsidRPr="00064166">
        <w:rPr>
          <w:noProof/>
          <w:sz w:val="22"/>
          <w:szCs w:val="22"/>
          <w:u w:color="000000"/>
          <w:bdr w:val="nil"/>
        </w:rPr>
        <w:t>stwa członkowskie czynnie uczestniczą również</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sze</w:t>
      </w:r>
      <w:r w:rsidRPr="00064166">
        <w:rPr>
          <w:noProof/>
          <w:sz w:val="22"/>
          <w:szCs w:val="22"/>
          <w:u w:color="000000"/>
          <w:bdr w:val="nil"/>
        </w:rPr>
        <w:t>regu prowadzonych obecnie działań ICAO</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cyberbezpieczeństwa,</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tym</w:t>
      </w:r>
      <w:r w:rsidRPr="00064166">
        <w:rPr>
          <w:noProof/>
          <w:sz w:val="22"/>
          <w:szCs w:val="22"/>
          <w:u w:color="000000"/>
          <w:bdr w:val="nil"/>
        </w:rPr>
        <w:t xml:space="preserve"> wdrażają plan działania ICAO</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cyberbezpieczeństwa</w:t>
      </w:r>
      <w:r w:rsidRPr="00064166">
        <w:rPr>
          <w:rStyle w:val="FootnoteReference"/>
          <w:noProof/>
          <w:sz w:val="22"/>
          <w:szCs w:val="22"/>
          <w:u w:color="000000"/>
          <w:bdr w:val="nil"/>
          <w:lang w:eastAsia="ja-JP"/>
        </w:rPr>
        <w:footnoteReference w:id="79"/>
      </w:r>
      <w:r w:rsidRPr="00064166">
        <w:rPr>
          <w:noProof/>
          <w:sz w:val="22"/>
          <w:szCs w:val="22"/>
          <w:u w:color="000000"/>
          <w:bdr w:val="nil"/>
        </w:rPr>
        <w:t>. Komisja utrzyma ścisłą współpracę</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Eur</w:t>
      </w:r>
      <w:r w:rsidRPr="00064166">
        <w:rPr>
          <w:noProof/>
          <w:sz w:val="22"/>
          <w:szCs w:val="22"/>
          <w:u w:color="000000"/>
          <w:bdr w:val="nil"/>
        </w:rPr>
        <w:t>ocontrol</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zak</w:t>
      </w:r>
      <w:r w:rsidRPr="00064166">
        <w:rPr>
          <w:noProof/>
          <w:sz w:val="22"/>
          <w:szCs w:val="22"/>
          <w:u w:color="000000"/>
          <w:bdr w:val="nil"/>
        </w:rPr>
        <w:t>resie propagowania zharmonizowanego podejścia do cyberbezpieczeństwa</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cyb</w:t>
      </w:r>
      <w:r w:rsidRPr="00064166">
        <w:rPr>
          <w:noProof/>
          <w:sz w:val="22"/>
          <w:szCs w:val="22"/>
          <w:u w:color="000000"/>
          <w:bdr w:val="nil"/>
        </w:rPr>
        <w:t>erodporności poprzez zwiększanie świadomości</w:t>
      </w:r>
      <w:r w:rsidR="00064166" w:rsidRPr="00064166">
        <w:rPr>
          <w:noProof/>
          <w:sz w:val="22"/>
          <w:szCs w:val="22"/>
          <w:u w:color="000000"/>
          <w:bdr w:val="nil"/>
        </w:rPr>
        <w:t xml:space="preserve"> i</w:t>
      </w:r>
      <w:r w:rsidR="00064166">
        <w:rPr>
          <w:noProof/>
          <w:sz w:val="22"/>
          <w:szCs w:val="22"/>
          <w:u w:color="000000"/>
          <w:bdr w:val="nil"/>
        </w:rPr>
        <w:t> </w:t>
      </w:r>
      <w:r w:rsidR="00064166" w:rsidRPr="00064166">
        <w:rPr>
          <w:noProof/>
          <w:sz w:val="22"/>
          <w:szCs w:val="22"/>
          <w:u w:color="000000"/>
          <w:bdr w:val="nil"/>
        </w:rPr>
        <w:t>wsp</w:t>
      </w:r>
      <w:r w:rsidRPr="00064166">
        <w:rPr>
          <w:noProof/>
          <w:sz w:val="22"/>
          <w:szCs w:val="22"/>
          <w:u w:color="000000"/>
          <w:bdr w:val="nil"/>
        </w:rPr>
        <w:t>ółpracę</w:t>
      </w:r>
      <w:r w:rsidR="00064166" w:rsidRPr="00064166">
        <w:rPr>
          <w:noProof/>
          <w:sz w:val="22"/>
          <w:szCs w:val="22"/>
          <w:u w:color="000000"/>
          <w:bdr w:val="nil"/>
        </w:rPr>
        <w:t xml:space="preserve"> z</w:t>
      </w:r>
      <w:r w:rsidR="00064166">
        <w:rPr>
          <w:noProof/>
          <w:sz w:val="22"/>
          <w:szCs w:val="22"/>
          <w:u w:color="000000"/>
          <w:bdr w:val="nil"/>
        </w:rPr>
        <w:t> </w:t>
      </w:r>
      <w:r w:rsidR="00064166" w:rsidRPr="00064166">
        <w:rPr>
          <w:noProof/>
          <w:sz w:val="22"/>
          <w:szCs w:val="22"/>
          <w:u w:color="000000"/>
          <w:bdr w:val="nil"/>
        </w:rPr>
        <w:t>zai</w:t>
      </w:r>
      <w:r w:rsidRPr="00064166">
        <w:rPr>
          <w:noProof/>
          <w:sz w:val="22"/>
          <w:szCs w:val="22"/>
          <w:u w:color="000000"/>
          <w:bdr w:val="nil"/>
        </w:rPr>
        <w:t>nteresowanymi stronami</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kie</w:t>
      </w:r>
      <w:r w:rsidRPr="00064166">
        <w:rPr>
          <w:noProof/>
          <w:sz w:val="22"/>
          <w:szCs w:val="22"/>
          <w:u w:color="000000"/>
          <w:bdr w:val="nil"/>
        </w:rPr>
        <w:t>runku opracowania środków obrony przed zagrożeniami cyberbezpieczeństwa. Podobnie Komisja nadal będzie wspierać międzynarodowe cyberbezpieczeństwo morskie</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ram</w:t>
      </w:r>
      <w:r w:rsidRPr="00064166">
        <w:rPr>
          <w:noProof/>
          <w:sz w:val="22"/>
          <w:szCs w:val="22"/>
          <w:u w:color="000000"/>
          <w:bdr w:val="nil"/>
        </w:rPr>
        <w:t>ach Międzynarodowej Organizacji Morskiej (IMO)</w:t>
      </w:r>
      <w:r w:rsidR="00064166" w:rsidRPr="00064166">
        <w:rPr>
          <w:noProof/>
          <w:sz w:val="22"/>
          <w:szCs w:val="22"/>
          <w:u w:color="000000"/>
          <w:bdr w:val="nil"/>
        </w:rPr>
        <w:t>. W</w:t>
      </w:r>
      <w:r w:rsidR="00064166">
        <w:rPr>
          <w:noProof/>
          <w:sz w:val="22"/>
          <w:szCs w:val="22"/>
          <w:u w:color="000000"/>
          <w:bdr w:val="nil"/>
        </w:rPr>
        <w:t> </w:t>
      </w:r>
      <w:r w:rsidR="00064166" w:rsidRPr="00064166">
        <w:rPr>
          <w:noProof/>
          <w:sz w:val="22"/>
          <w:szCs w:val="22"/>
          <w:u w:color="000000"/>
          <w:bdr w:val="nil"/>
        </w:rPr>
        <w:t>szc</w:t>
      </w:r>
      <w:r w:rsidRPr="00064166">
        <w:rPr>
          <w:noProof/>
          <w:sz w:val="22"/>
          <w:szCs w:val="22"/>
          <w:u w:color="000000"/>
          <w:bdr w:val="nil"/>
        </w:rPr>
        <w:t>zególności IMO zaleca, aby przedsiębiorstwa żeglugowe odpowiednio uwzględniały ryzyko</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cyb</w:t>
      </w:r>
      <w:r w:rsidRPr="00064166">
        <w:rPr>
          <w:noProof/>
          <w:sz w:val="22"/>
          <w:szCs w:val="22"/>
          <w:u w:color="000000"/>
          <w:bdr w:val="nil"/>
        </w:rPr>
        <w:t>erprzestrzeni</w:t>
      </w:r>
      <w:r w:rsidR="00064166" w:rsidRPr="00064166">
        <w:rPr>
          <w:noProof/>
          <w:sz w:val="22"/>
          <w:szCs w:val="22"/>
          <w:u w:color="000000"/>
          <w:bdr w:val="nil"/>
        </w:rPr>
        <w:t xml:space="preserve"> w</w:t>
      </w:r>
      <w:r w:rsidR="00064166">
        <w:rPr>
          <w:noProof/>
          <w:sz w:val="22"/>
          <w:szCs w:val="22"/>
          <w:u w:color="000000"/>
          <w:bdr w:val="nil"/>
        </w:rPr>
        <w:t> </w:t>
      </w:r>
      <w:r w:rsidR="00064166" w:rsidRPr="00064166">
        <w:rPr>
          <w:noProof/>
          <w:sz w:val="22"/>
          <w:szCs w:val="22"/>
          <w:u w:color="000000"/>
          <w:bdr w:val="nil"/>
        </w:rPr>
        <w:t>sys</w:t>
      </w:r>
      <w:r w:rsidRPr="00064166">
        <w:rPr>
          <w:noProof/>
          <w:sz w:val="22"/>
          <w:szCs w:val="22"/>
          <w:u w:color="000000"/>
          <w:bdr w:val="nil"/>
        </w:rPr>
        <w:t>temach zarządzania bezpieczeństwem,</w:t>
      </w:r>
      <w:r w:rsidR="00064166" w:rsidRPr="00064166">
        <w:rPr>
          <w:noProof/>
          <w:sz w:val="22"/>
          <w:szCs w:val="22"/>
          <w:u w:color="000000"/>
          <w:bdr w:val="nil"/>
        </w:rPr>
        <w:t xml:space="preserve"> a</w:t>
      </w:r>
      <w:r w:rsidR="00064166">
        <w:rPr>
          <w:noProof/>
          <w:sz w:val="22"/>
          <w:szCs w:val="22"/>
          <w:u w:color="000000"/>
          <w:bdr w:val="nil"/>
        </w:rPr>
        <w:t> </w:t>
      </w:r>
      <w:r w:rsidR="00064166" w:rsidRPr="00064166">
        <w:rPr>
          <w:noProof/>
          <w:sz w:val="22"/>
          <w:szCs w:val="22"/>
          <w:u w:color="000000"/>
          <w:bdr w:val="nil"/>
        </w:rPr>
        <w:t>sto</w:t>
      </w:r>
      <w:r w:rsidRPr="00064166">
        <w:rPr>
          <w:noProof/>
          <w:sz w:val="22"/>
          <w:szCs w:val="22"/>
          <w:u w:color="000000"/>
          <w:bdr w:val="nil"/>
        </w:rPr>
        <w:t xml:space="preserve">warzyszenia branżowe opracowały na tej podstawie wytyczne. </w:t>
      </w:r>
    </w:p>
    <w:p w14:paraId="3C9BA5A9" w14:textId="77777777" w:rsidR="00B56F23" w:rsidRPr="00064166" w:rsidRDefault="00B56F23" w:rsidP="00CC0E2F">
      <w:pPr>
        <w:pStyle w:val="CommentText"/>
        <w:rPr>
          <w:noProof/>
        </w:rPr>
      </w:pPr>
    </w:p>
    <w:p w14:paraId="3A2F2042" w14:textId="2BDC3C49" w:rsidR="00FC6378" w:rsidRPr="00064166" w:rsidRDefault="00FC6378" w:rsidP="00FC6378">
      <w:pPr>
        <w:pStyle w:val="Heading2"/>
        <w:spacing w:before="240" w:after="240" w:line="276" w:lineRule="auto"/>
        <w:ind w:left="578" w:hanging="578"/>
        <w:rPr>
          <w:noProof/>
          <w:sz w:val="22"/>
          <w:szCs w:val="22"/>
        </w:rPr>
      </w:pPr>
      <w:r w:rsidRPr="00064166">
        <w:rPr>
          <w:noProof/>
          <w:sz w:val="22"/>
          <w:szCs w:val="22"/>
        </w:rPr>
        <w:t>Testowanie sytuacji awaryjnych</w:t>
      </w:r>
      <w:r w:rsidR="00064166" w:rsidRPr="00064166">
        <w:rPr>
          <w:noProof/>
          <w:sz w:val="22"/>
          <w:szCs w:val="22"/>
        </w:rPr>
        <w:t xml:space="preserve"> w</w:t>
      </w:r>
      <w:r w:rsidR="00064166">
        <w:rPr>
          <w:noProof/>
          <w:sz w:val="22"/>
          <w:szCs w:val="22"/>
        </w:rPr>
        <w:t> </w:t>
      </w:r>
      <w:r w:rsidR="00064166" w:rsidRPr="00064166">
        <w:rPr>
          <w:noProof/>
          <w:sz w:val="22"/>
          <w:szCs w:val="22"/>
        </w:rPr>
        <w:t>tra</w:t>
      </w:r>
      <w:r w:rsidRPr="00064166">
        <w:rPr>
          <w:noProof/>
          <w:sz w:val="22"/>
          <w:szCs w:val="22"/>
        </w:rPr>
        <w:t>nsporcie</w:t>
      </w:r>
      <w:r w:rsidR="0052698C" w:rsidRPr="00064166">
        <w:rPr>
          <w:noProof/>
          <w:sz w:val="22"/>
          <w:szCs w:val="22"/>
        </w:rPr>
        <w:t xml:space="preserve"> </w:t>
      </w:r>
    </w:p>
    <w:p w14:paraId="6951BC87" w14:textId="73D10BD7" w:rsidR="003B6B0E" w:rsidRPr="00064166" w:rsidRDefault="003B6B0E" w:rsidP="003B6B0E">
      <w:pPr>
        <w:pStyle w:val="LegalNumPa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Cs/>
          <w:noProof/>
          <w:color w:val="auto"/>
          <w:sz w:val="22"/>
          <w:szCs w:val="22"/>
        </w:rPr>
      </w:pPr>
      <w:r w:rsidRPr="00064166">
        <w:rPr>
          <w:b/>
          <w:bCs/>
          <w:noProof/>
          <w:color w:val="auto"/>
          <w:sz w:val="22"/>
          <w:szCs w:val="22"/>
        </w:rPr>
        <w:t>Komisja wraz</w:t>
      </w:r>
      <w:r w:rsidR="00064166" w:rsidRPr="00064166">
        <w:rPr>
          <w:b/>
          <w:bCs/>
          <w:noProof/>
          <w:color w:val="auto"/>
          <w:sz w:val="22"/>
          <w:szCs w:val="22"/>
        </w:rPr>
        <w:t xml:space="preserve"> z</w:t>
      </w:r>
      <w:r w:rsidR="00064166">
        <w:rPr>
          <w:b/>
          <w:bCs/>
          <w:noProof/>
          <w:color w:val="auto"/>
          <w:sz w:val="22"/>
          <w:szCs w:val="22"/>
        </w:rPr>
        <w:t> </w:t>
      </w:r>
      <w:r w:rsidR="00064166" w:rsidRPr="00064166">
        <w:rPr>
          <w:b/>
          <w:bCs/>
          <w:noProof/>
          <w:color w:val="auto"/>
          <w:sz w:val="22"/>
          <w:szCs w:val="22"/>
        </w:rPr>
        <w:t>odp</w:t>
      </w:r>
      <w:r w:rsidRPr="00064166">
        <w:rPr>
          <w:b/>
          <w:bCs/>
          <w:noProof/>
          <w:color w:val="auto"/>
          <w:sz w:val="22"/>
          <w:szCs w:val="22"/>
        </w:rPr>
        <w:t>owiednimi agencjami lub innymi podmiotami oraz</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opa</w:t>
      </w:r>
      <w:r w:rsidRPr="00064166">
        <w:rPr>
          <w:b/>
          <w:bCs/>
          <w:noProof/>
          <w:color w:val="auto"/>
          <w:sz w:val="22"/>
          <w:szCs w:val="22"/>
        </w:rPr>
        <w:t>rciu</w:t>
      </w:r>
      <w:r w:rsidR="00064166" w:rsidRPr="00064166">
        <w:rPr>
          <w:b/>
          <w:bCs/>
          <w:noProof/>
          <w:color w:val="auto"/>
          <w:sz w:val="22"/>
          <w:szCs w:val="22"/>
        </w:rPr>
        <w:t xml:space="preserve"> o</w:t>
      </w:r>
      <w:r w:rsidR="00064166">
        <w:rPr>
          <w:b/>
          <w:bCs/>
          <w:noProof/>
          <w:color w:val="auto"/>
          <w:sz w:val="22"/>
          <w:szCs w:val="22"/>
        </w:rPr>
        <w:t> </w:t>
      </w:r>
      <w:r w:rsidR="00064166" w:rsidRPr="00064166">
        <w:rPr>
          <w:b/>
          <w:bCs/>
          <w:noProof/>
          <w:color w:val="auto"/>
          <w:sz w:val="22"/>
          <w:szCs w:val="22"/>
        </w:rPr>
        <w:t>ist</w:t>
      </w:r>
      <w:r w:rsidRPr="00064166">
        <w:rPr>
          <w:b/>
          <w:bCs/>
          <w:noProof/>
          <w:color w:val="auto"/>
          <w:sz w:val="22"/>
          <w:szCs w:val="22"/>
        </w:rPr>
        <w:t>niejące procesy proponuje przeprowadzenie testów sytuacji awaryjnych</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cel</w:t>
      </w:r>
      <w:r w:rsidRPr="00064166">
        <w:rPr>
          <w:b/>
          <w:bCs/>
          <w:noProof/>
          <w:color w:val="auto"/>
          <w:sz w:val="22"/>
          <w:szCs w:val="22"/>
        </w:rPr>
        <w:t>u oceny gotowości na wypadek sytuacji kryzysowej zgodnie</w:t>
      </w:r>
      <w:r w:rsidR="00064166" w:rsidRPr="00064166">
        <w:rPr>
          <w:b/>
          <w:bCs/>
          <w:noProof/>
          <w:color w:val="auto"/>
          <w:sz w:val="22"/>
          <w:szCs w:val="22"/>
        </w:rPr>
        <w:t xml:space="preserve"> z</w:t>
      </w:r>
      <w:r w:rsidR="00064166">
        <w:rPr>
          <w:b/>
          <w:bCs/>
          <w:noProof/>
          <w:color w:val="auto"/>
          <w:sz w:val="22"/>
          <w:szCs w:val="22"/>
        </w:rPr>
        <w:t> </w:t>
      </w:r>
      <w:r w:rsidR="00064166" w:rsidRPr="00064166">
        <w:rPr>
          <w:b/>
          <w:bCs/>
          <w:noProof/>
          <w:color w:val="auto"/>
          <w:sz w:val="22"/>
          <w:szCs w:val="22"/>
        </w:rPr>
        <w:t>nin</w:t>
      </w:r>
      <w:r w:rsidRPr="00064166">
        <w:rPr>
          <w:b/>
          <w:bCs/>
          <w:noProof/>
          <w:color w:val="auto"/>
          <w:sz w:val="22"/>
          <w:szCs w:val="22"/>
        </w:rPr>
        <w:t>iejszym planem.</w:t>
      </w:r>
      <w:r w:rsidRPr="00064166">
        <w:rPr>
          <w:bCs/>
          <w:noProof/>
          <w:color w:val="auto"/>
          <w:sz w:val="22"/>
          <w:szCs w:val="22"/>
        </w:rPr>
        <w:t xml:space="preserve"> </w:t>
      </w:r>
    </w:p>
    <w:p w14:paraId="69CD6B0B" w14:textId="4AAF69F7" w:rsidR="00D61A74" w:rsidRPr="00064166" w:rsidRDefault="00D61A74" w:rsidP="00BE252A">
      <w:pPr>
        <w:pStyle w:val="LegalNumPar"/>
        <w:spacing w:line="276" w:lineRule="auto"/>
        <w:rPr>
          <w:rFonts w:eastAsia="Times New Roman" w:cs="Times New Roman"/>
          <w:noProof/>
          <w:color w:val="auto"/>
          <w:sz w:val="22"/>
          <w:szCs w:val="22"/>
        </w:rPr>
      </w:pPr>
      <w:r w:rsidRPr="00064166">
        <w:rPr>
          <w:b/>
          <w:bCs/>
          <w:noProof/>
          <w:color w:val="auto"/>
          <w:sz w:val="22"/>
          <w:szCs w:val="22"/>
        </w:rPr>
        <w:t>Testy te powinny zostać włączone do ogólnego systemu zarządzania kryzysowego Komisji</w:t>
      </w:r>
      <w:r w:rsidR="00064166" w:rsidRPr="00064166">
        <w:rPr>
          <w:b/>
          <w:bCs/>
          <w:noProof/>
          <w:color w:val="auto"/>
          <w:sz w:val="22"/>
          <w:szCs w:val="22"/>
        </w:rPr>
        <w:t xml:space="preserve"> i</w:t>
      </w:r>
      <w:r w:rsidR="00064166">
        <w:rPr>
          <w:b/>
          <w:bCs/>
          <w:noProof/>
          <w:color w:val="auto"/>
          <w:sz w:val="22"/>
          <w:szCs w:val="22"/>
        </w:rPr>
        <w:t> </w:t>
      </w:r>
      <w:r w:rsidR="00064166" w:rsidRPr="00064166">
        <w:rPr>
          <w:b/>
          <w:bCs/>
          <w:noProof/>
          <w:color w:val="auto"/>
          <w:sz w:val="22"/>
          <w:szCs w:val="22"/>
        </w:rPr>
        <w:t>w</w:t>
      </w:r>
      <w:r w:rsidR="00064166">
        <w:rPr>
          <w:b/>
          <w:bCs/>
          <w:noProof/>
          <w:color w:val="auto"/>
          <w:sz w:val="22"/>
          <w:szCs w:val="22"/>
        </w:rPr>
        <w:t> </w:t>
      </w:r>
      <w:r w:rsidR="00064166" w:rsidRPr="00064166">
        <w:rPr>
          <w:b/>
          <w:bCs/>
          <w:noProof/>
          <w:color w:val="auto"/>
          <w:sz w:val="22"/>
          <w:szCs w:val="22"/>
        </w:rPr>
        <w:t>mia</w:t>
      </w:r>
      <w:r w:rsidRPr="00064166">
        <w:rPr>
          <w:b/>
          <w:bCs/>
          <w:noProof/>
          <w:color w:val="auto"/>
          <w:sz w:val="22"/>
          <w:szCs w:val="22"/>
        </w:rPr>
        <w:t>rę możliwości stanowić część istniejących ćwiczeń UE</w:t>
      </w:r>
      <w:r w:rsidRPr="00064166">
        <w:rPr>
          <w:noProof/>
          <w:color w:val="auto"/>
          <w:sz w:val="22"/>
          <w:szCs w:val="22"/>
        </w:rPr>
        <w:t>, aby zmaksymalizować wkład</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wyn</w:t>
      </w:r>
      <w:r w:rsidRPr="00064166">
        <w:rPr>
          <w:noProof/>
          <w:color w:val="auto"/>
          <w:sz w:val="22"/>
          <w:szCs w:val="22"/>
        </w:rPr>
        <w:t>iki. Przykład stanowi równoległe</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sko</w:t>
      </w:r>
      <w:r w:rsidRPr="00064166">
        <w:rPr>
          <w:noProof/>
          <w:color w:val="auto"/>
          <w:sz w:val="22"/>
          <w:szCs w:val="22"/>
        </w:rPr>
        <w:t>ordynowane ćwiczenie (ang.</w:t>
      </w:r>
      <w:r w:rsidR="0052698C" w:rsidRPr="00064166">
        <w:rPr>
          <w:noProof/>
          <w:color w:val="auto"/>
          <w:sz w:val="22"/>
          <w:szCs w:val="22"/>
        </w:rPr>
        <w:t xml:space="preserve"> </w:t>
      </w:r>
      <w:r w:rsidRPr="00064166">
        <w:rPr>
          <w:bCs/>
          <w:i/>
          <w:noProof/>
          <w:color w:val="auto"/>
          <w:sz w:val="22"/>
          <w:szCs w:val="22"/>
        </w:rPr>
        <w:t>Parallel and Coordinated Exercise</w:t>
      </w:r>
      <w:r w:rsidRPr="00064166">
        <w:rPr>
          <w:noProof/>
          <w:color w:val="auto"/>
          <w:sz w:val="22"/>
          <w:szCs w:val="22"/>
        </w:rPr>
        <w:t>), które ma zostać przeprowadzone</w:t>
      </w:r>
      <w:r w:rsidR="00064166" w:rsidRPr="00064166">
        <w:rPr>
          <w:noProof/>
          <w:color w:val="auto"/>
          <w:sz w:val="22"/>
          <w:szCs w:val="22"/>
        </w:rPr>
        <w:t xml:space="preserve"> w</w:t>
      </w:r>
      <w:r w:rsidR="00064166">
        <w:rPr>
          <w:noProof/>
          <w:color w:val="auto"/>
          <w:sz w:val="22"/>
          <w:szCs w:val="22"/>
        </w:rPr>
        <w:t> </w:t>
      </w:r>
      <w:r w:rsidR="00064166" w:rsidRPr="00064166">
        <w:rPr>
          <w:noProof/>
          <w:color w:val="auto"/>
          <w:sz w:val="22"/>
          <w:szCs w:val="22"/>
        </w:rPr>
        <w:t>2</w:t>
      </w:r>
      <w:r w:rsidRPr="00064166">
        <w:rPr>
          <w:noProof/>
          <w:color w:val="auto"/>
          <w:sz w:val="22"/>
          <w:szCs w:val="22"/>
        </w:rPr>
        <w:t>022</w:t>
      </w:r>
      <w:r w:rsidR="00064166" w:rsidRPr="00064166">
        <w:rPr>
          <w:noProof/>
          <w:color w:val="auto"/>
          <w:sz w:val="22"/>
          <w:szCs w:val="22"/>
        </w:rPr>
        <w:t> </w:t>
      </w:r>
      <w:r w:rsidRPr="00064166">
        <w:rPr>
          <w:noProof/>
          <w:color w:val="auto"/>
          <w:sz w:val="22"/>
          <w:szCs w:val="22"/>
        </w:rPr>
        <w:t>r.</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obe</w:t>
      </w:r>
      <w:r w:rsidRPr="00064166">
        <w:rPr>
          <w:noProof/>
          <w:color w:val="auto"/>
          <w:sz w:val="22"/>
          <w:szCs w:val="22"/>
        </w:rPr>
        <w:t>jmie kwestię transportu. Takie testy mogłyby opierać się na możliwych scenariuszach, które miałyby wpływ na unijny system transportu UE, takich jak pandemia, klęska żywiołowa, atak terrorystyczny, niedobór energii, cyberatak na dużą skalę (w tym</w:t>
      </w:r>
      <w:r w:rsidR="00064166" w:rsidRPr="00064166">
        <w:rPr>
          <w:noProof/>
          <w:color w:val="auto"/>
          <w:sz w:val="22"/>
          <w:szCs w:val="22"/>
        </w:rPr>
        <w:t xml:space="preserve"> z</w:t>
      </w:r>
      <w:r w:rsidR="00064166">
        <w:rPr>
          <w:noProof/>
          <w:color w:val="auto"/>
          <w:sz w:val="22"/>
          <w:szCs w:val="22"/>
        </w:rPr>
        <w:t> </w:t>
      </w:r>
      <w:r w:rsidR="00064166" w:rsidRPr="00064166">
        <w:rPr>
          <w:noProof/>
          <w:color w:val="auto"/>
          <w:sz w:val="22"/>
          <w:szCs w:val="22"/>
        </w:rPr>
        <w:t>zas</w:t>
      </w:r>
      <w:r w:rsidRPr="00064166">
        <w:rPr>
          <w:noProof/>
          <w:color w:val="auto"/>
          <w:sz w:val="22"/>
          <w:szCs w:val="22"/>
        </w:rPr>
        <w:t>tosowaniem oprogramowania szantażującego) lub poważne awarie usług telekomunikacyjnych</w:t>
      </w:r>
      <w:r w:rsidR="00064166" w:rsidRPr="00064166">
        <w:rPr>
          <w:noProof/>
          <w:color w:val="auto"/>
          <w:sz w:val="22"/>
          <w:szCs w:val="22"/>
        </w:rPr>
        <w:t>.</w:t>
      </w:r>
      <w:r w:rsidR="00064166" w:rsidRPr="00064166">
        <w:rPr>
          <w:bCs/>
          <w:noProof/>
          <w:color w:val="auto"/>
          <w:sz w:val="22"/>
          <w:szCs w:val="22"/>
        </w:rPr>
        <w:t xml:space="preserve"> W</w:t>
      </w:r>
      <w:r w:rsidR="00064166">
        <w:rPr>
          <w:noProof/>
          <w:color w:val="auto"/>
          <w:sz w:val="22"/>
          <w:szCs w:val="22"/>
        </w:rPr>
        <w:t> </w:t>
      </w:r>
      <w:r w:rsidR="00064166" w:rsidRPr="00064166">
        <w:rPr>
          <w:bCs/>
          <w:noProof/>
          <w:color w:val="auto"/>
          <w:sz w:val="22"/>
          <w:szCs w:val="22"/>
        </w:rPr>
        <w:t>zal</w:t>
      </w:r>
      <w:r w:rsidRPr="00064166">
        <w:rPr>
          <w:bCs/>
          <w:noProof/>
          <w:color w:val="auto"/>
          <w:sz w:val="22"/>
          <w:szCs w:val="22"/>
        </w:rPr>
        <w:t>eżności od kontekstu należy dołożyć starań, aby zaangażować odpowiednie podmioty, które mogą wnieść jak największy wkład</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tes</w:t>
      </w:r>
      <w:r w:rsidRPr="00064166">
        <w:rPr>
          <w:bCs/>
          <w:noProof/>
          <w:color w:val="auto"/>
          <w:sz w:val="22"/>
          <w:szCs w:val="22"/>
        </w:rPr>
        <w:t>ty, takie jak ENISA, EMSA, EASA, menedżer sieci EUROCONTROL i ERA. Europejska Komórka Koordynacji Kryzysowej ds. Lotnictwa zarządzana przez menadżera sieci Eurocontrol może odegrać główną rolę</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roz</w:t>
      </w:r>
      <w:r w:rsidRPr="00064166">
        <w:rPr>
          <w:bCs/>
          <w:noProof/>
          <w:color w:val="auto"/>
          <w:sz w:val="22"/>
          <w:szCs w:val="22"/>
        </w:rPr>
        <w:t>wiązywaniu wyzwań</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sek</w:t>
      </w:r>
      <w:r w:rsidRPr="00064166">
        <w:rPr>
          <w:bCs/>
          <w:noProof/>
          <w:color w:val="auto"/>
          <w:sz w:val="22"/>
          <w:szCs w:val="22"/>
        </w:rPr>
        <w:t>torze lotnictwa, takich jak ograniczenia dotyczące zdrowia, ograniczenia graniczne</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ogr</w:t>
      </w:r>
      <w:r w:rsidRPr="00064166">
        <w:rPr>
          <w:bCs/>
          <w:noProof/>
          <w:color w:val="auto"/>
          <w:sz w:val="22"/>
          <w:szCs w:val="22"/>
        </w:rPr>
        <w:t>aniczenia związane</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pod</w:t>
      </w:r>
      <w:r w:rsidRPr="00064166">
        <w:rPr>
          <w:bCs/>
          <w:noProof/>
          <w:color w:val="auto"/>
          <w:sz w:val="22"/>
          <w:szCs w:val="22"/>
        </w:rPr>
        <w:t>różą.</w:t>
      </w:r>
      <w:r w:rsidR="0052698C" w:rsidRPr="00064166">
        <w:rPr>
          <w:bCs/>
          <w:noProof/>
          <w:color w:val="auto"/>
          <w:sz w:val="22"/>
          <w:szCs w:val="22"/>
        </w:rPr>
        <w:t xml:space="preserve"> </w:t>
      </w:r>
    </w:p>
    <w:p w14:paraId="689A7DF8" w14:textId="69CC0D95" w:rsidR="00D61A74" w:rsidRPr="00064166" w:rsidRDefault="006A2ACC" w:rsidP="003B6B0E">
      <w:pPr>
        <w:pStyle w:val="LegalNumPa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Cs/>
          <w:noProof/>
          <w:color w:val="auto"/>
          <w:sz w:val="22"/>
          <w:szCs w:val="22"/>
        </w:rPr>
      </w:pPr>
      <w:r w:rsidRPr="00064166">
        <w:rPr>
          <w:b/>
          <w:bCs/>
          <w:noProof/>
          <w:color w:val="auto"/>
          <w:sz w:val="22"/>
          <w:szCs w:val="22"/>
        </w:rPr>
        <w:t>Wnioski wyciągnięte</w:t>
      </w:r>
      <w:r w:rsidR="00064166" w:rsidRPr="00064166">
        <w:rPr>
          <w:b/>
          <w:bCs/>
          <w:noProof/>
          <w:color w:val="auto"/>
          <w:sz w:val="22"/>
          <w:szCs w:val="22"/>
        </w:rPr>
        <w:t xml:space="preserve"> z</w:t>
      </w:r>
      <w:r w:rsidR="00064166">
        <w:rPr>
          <w:b/>
          <w:bCs/>
          <w:noProof/>
          <w:color w:val="auto"/>
          <w:sz w:val="22"/>
          <w:szCs w:val="22"/>
        </w:rPr>
        <w:t> </w:t>
      </w:r>
      <w:r w:rsidR="00064166" w:rsidRPr="00064166">
        <w:rPr>
          <w:b/>
          <w:bCs/>
          <w:noProof/>
          <w:color w:val="auto"/>
          <w:sz w:val="22"/>
          <w:szCs w:val="22"/>
        </w:rPr>
        <w:t>tyc</w:t>
      </w:r>
      <w:r w:rsidRPr="00064166">
        <w:rPr>
          <w:b/>
          <w:bCs/>
          <w:noProof/>
          <w:color w:val="auto"/>
          <w:sz w:val="22"/>
          <w:szCs w:val="22"/>
        </w:rPr>
        <w:t>h testów dotyczących sytuacji awaryjnych powinny pomóc, odpowiednio, przemysłowi transportowemu</w:t>
      </w:r>
      <w:r w:rsidR="00064166" w:rsidRPr="00064166">
        <w:rPr>
          <w:b/>
          <w:bCs/>
          <w:noProof/>
          <w:color w:val="auto"/>
          <w:sz w:val="22"/>
          <w:szCs w:val="22"/>
        </w:rPr>
        <w:t xml:space="preserve"> i</w:t>
      </w:r>
      <w:r w:rsidR="00064166">
        <w:rPr>
          <w:b/>
          <w:bCs/>
          <w:noProof/>
          <w:color w:val="auto"/>
          <w:sz w:val="22"/>
          <w:szCs w:val="22"/>
        </w:rPr>
        <w:t> </w:t>
      </w:r>
      <w:r w:rsidR="00064166" w:rsidRPr="00064166">
        <w:rPr>
          <w:b/>
          <w:bCs/>
          <w:noProof/>
          <w:color w:val="auto"/>
          <w:sz w:val="22"/>
          <w:szCs w:val="22"/>
        </w:rPr>
        <w:t>org</w:t>
      </w:r>
      <w:r w:rsidRPr="00064166">
        <w:rPr>
          <w:b/>
          <w:bCs/>
          <w:noProof/>
          <w:color w:val="auto"/>
          <w:sz w:val="22"/>
          <w:szCs w:val="22"/>
        </w:rPr>
        <w:t>anom ds. transportu</w:t>
      </w:r>
      <w:r w:rsidR="00064166" w:rsidRPr="00064166">
        <w:rPr>
          <w:b/>
          <w:bCs/>
          <w:noProof/>
          <w:color w:val="auto"/>
          <w:sz w:val="22"/>
          <w:szCs w:val="22"/>
        </w:rPr>
        <w:t xml:space="preserve"> w</w:t>
      </w:r>
      <w:r w:rsidR="00064166">
        <w:rPr>
          <w:b/>
          <w:bCs/>
          <w:noProof/>
          <w:color w:val="auto"/>
          <w:sz w:val="22"/>
          <w:szCs w:val="22"/>
        </w:rPr>
        <w:t> </w:t>
      </w:r>
      <w:r w:rsidR="00064166" w:rsidRPr="00064166">
        <w:rPr>
          <w:b/>
          <w:bCs/>
          <w:noProof/>
          <w:color w:val="auto"/>
          <w:sz w:val="22"/>
          <w:szCs w:val="22"/>
        </w:rPr>
        <w:t>opr</w:t>
      </w:r>
      <w:r w:rsidRPr="00064166">
        <w:rPr>
          <w:b/>
          <w:bCs/>
          <w:noProof/>
          <w:color w:val="auto"/>
          <w:sz w:val="22"/>
          <w:szCs w:val="22"/>
        </w:rPr>
        <w:t>acowywaniu własnych planów ciągłości działania</w:t>
      </w:r>
      <w:r w:rsidR="00064166" w:rsidRPr="00064166">
        <w:rPr>
          <w:b/>
          <w:bCs/>
          <w:noProof/>
          <w:color w:val="auto"/>
          <w:sz w:val="22"/>
          <w:szCs w:val="22"/>
        </w:rPr>
        <w:t>.</w:t>
      </w:r>
      <w:r w:rsidR="00064166" w:rsidRPr="00064166">
        <w:rPr>
          <w:bCs/>
          <w:noProof/>
          <w:color w:val="auto"/>
          <w:sz w:val="22"/>
          <w:szCs w:val="22"/>
        </w:rPr>
        <w:t xml:space="preserve"> W</w:t>
      </w:r>
      <w:r w:rsidR="00064166">
        <w:rPr>
          <w:b/>
          <w:bCs/>
          <w:noProof/>
          <w:color w:val="auto"/>
          <w:sz w:val="22"/>
          <w:szCs w:val="22"/>
        </w:rPr>
        <w:t> </w:t>
      </w:r>
      <w:r w:rsidR="00064166" w:rsidRPr="00064166">
        <w:rPr>
          <w:bCs/>
          <w:noProof/>
          <w:color w:val="auto"/>
          <w:sz w:val="22"/>
          <w:szCs w:val="22"/>
        </w:rPr>
        <w:t>cel</w:t>
      </w:r>
      <w:r w:rsidRPr="00064166">
        <w:rPr>
          <w:bCs/>
          <w:noProof/>
          <w:color w:val="auto"/>
          <w:sz w:val="22"/>
          <w:szCs w:val="22"/>
        </w:rPr>
        <w:t xml:space="preserve">u reagowania na różne kryzysy podmioty te powinny rozważyć wprowadzenie </w:t>
      </w:r>
      <w:r w:rsidRPr="00064166">
        <w:rPr>
          <w:noProof/>
          <w:color w:val="auto"/>
          <w:sz w:val="22"/>
          <w:szCs w:val="22"/>
        </w:rPr>
        <w:t>własnych systemów rezerwowych</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red</w:t>
      </w:r>
      <w:r w:rsidRPr="00064166">
        <w:rPr>
          <w:noProof/>
          <w:color w:val="auto"/>
          <w:sz w:val="22"/>
          <w:szCs w:val="22"/>
        </w:rPr>
        <w:t>undantnych rozwiązań (np. alternatywne trasy, zdywersyfikowane dostawy, paliwa alternatywne, zapasowe bazy danych, nieprzerwaną łączność oraz inne technologiczne systemy</w:t>
      </w:r>
      <w:r w:rsidR="00064166" w:rsidRPr="00064166">
        <w:rPr>
          <w:noProof/>
          <w:color w:val="auto"/>
          <w:sz w:val="22"/>
          <w:szCs w:val="22"/>
        </w:rPr>
        <w:t xml:space="preserve"> i</w:t>
      </w:r>
      <w:r w:rsidR="00064166">
        <w:rPr>
          <w:noProof/>
          <w:color w:val="auto"/>
          <w:sz w:val="22"/>
          <w:szCs w:val="22"/>
        </w:rPr>
        <w:t> </w:t>
      </w:r>
      <w:r w:rsidR="00064166" w:rsidRPr="00064166">
        <w:rPr>
          <w:noProof/>
          <w:color w:val="auto"/>
          <w:sz w:val="22"/>
          <w:szCs w:val="22"/>
        </w:rPr>
        <w:t>inf</w:t>
      </w:r>
      <w:r w:rsidRPr="00064166">
        <w:rPr>
          <w:noProof/>
          <w:color w:val="auto"/>
          <w:sz w:val="22"/>
          <w:szCs w:val="22"/>
        </w:rPr>
        <w:t xml:space="preserve">rastruktury). </w:t>
      </w:r>
      <w:r w:rsidRPr="00064166">
        <w:rPr>
          <w:noProof/>
        </w:rPr>
        <w:t xml:space="preserve">Państwa członkowskie powinny również </w:t>
      </w:r>
      <w:r w:rsidRPr="00064166">
        <w:rPr>
          <w:noProof/>
          <w:color w:val="auto"/>
        </w:rPr>
        <w:t>nadal</w:t>
      </w:r>
      <w:r w:rsidRPr="00064166">
        <w:rPr>
          <w:noProof/>
        </w:rPr>
        <w:t xml:space="preserve"> zwiększać odporność</w:t>
      </w:r>
      <w:r w:rsidR="00064166" w:rsidRPr="00064166">
        <w:rPr>
          <w:noProof/>
        </w:rPr>
        <w:t xml:space="preserve"> i</w:t>
      </w:r>
      <w:r w:rsidR="00064166">
        <w:rPr>
          <w:noProof/>
        </w:rPr>
        <w:t> </w:t>
      </w:r>
      <w:r w:rsidR="00064166" w:rsidRPr="00064166">
        <w:rPr>
          <w:noProof/>
        </w:rPr>
        <w:t>dos</w:t>
      </w:r>
      <w:r w:rsidRPr="00064166">
        <w:rPr>
          <w:noProof/>
        </w:rPr>
        <w:t>tępność infrastruktury transportowej na swoim terytorium (w tym portów</w:t>
      </w:r>
      <w:r w:rsidR="00064166" w:rsidRPr="00064166">
        <w:rPr>
          <w:noProof/>
        </w:rPr>
        <w:t xml:space="preserve"> i</w:t>
      </w:r>
      <w:r w:rsidR="00064166">
        <w:rPr>
          <w:noProof/>
        </w:rPr>
        <w:t> </w:t>
      </w:r>
      <w:r w:rsidR="00064166" w:rsidRPr="00064166">
        <w:rPr>
          <w:noProof/>
        </w:rPr>
        <w:t>por</w:t>
      </w:r>
      <w:r w:rsidRPr="00064166">
        <w:rPr>
          <w:noProof/>
        </w:rPr>
        <w:t>tów lotniczych) oraz zapewnić dostępność usług pomocniczych (takich jak dostęp do stacji tankowania paliw, odpowiedni poziom usług sanitarnych, gastronomicznych</w:t>
      </w:r>
      <w:r w:rsidR="00064166" w:rsidRPr="00064166">
        <w:rPr>
          <w:noProof/>
        </w:rPr>
        <w:t xml:space="preserve"> i</w:t>
      </w:r>
      <w:r w:rsidR="00064166">
        <w:rPr>
          <w:noProof/>
        </w:rPr>
        <w:t> </w:t>
      </w:r>
      <w:r w:rsidR="00064166" w:rsidRPr="00064166">
        <w:rPr>
          <w:noProof/>
        </w:rPr>
        <w:t>usł</w:t>
      </w:r>
      <w:r w:rsidRPr="00064166">
        <w:rPr>
          <w:noProof/>
        </w:rPr>
        <w:t>ug zakwaterowania).</w:t>
      </w:r>
      <w:r w:rsidRPr="00064166">
        <w:rPr>
          <w:noProof/>
          <w:sz w:val="22"/>
          <w:szCs w:val="22"/>
        </w:rPr>
        <w:t xml:space="preserve"> </w:t>
      </w:r>
      <w:r w:rsidRPr="00064166">
        <w:rPr>
          <w:bCs/>
          <w:noProof/>
          <w:color w:val="auto"/>
          <w:sz w:val="22"/>
          <w:szCs w:val="22"/>
        </w:rPr>
        <w:t>Wyniki prowadzonych testów dotyczących sytuacji awaryjnych należy również wykorzystywać na potrzeby szkoleń (we współpracy</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zai</w:t>
      </w:r>
      <w:r w:rsidRPr="00064166">
        <w:rPr>
          <w:bCs/>
          <w:noProof/>
          <w:color w:val="auto"/>
          <w:sz w:val="22"/>
          <w:szCs w:val="22"/>
        </w:rPr>
        <w:t>nteresowanymi stronami</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sek</w:t>
      </w:r>
      <w:r w:rsidRPr="00064166">
        <w:rPr>
          <w:bCs/>
          <w:noProof/>
          <w:color w:val="auto"/>
          <w:sz w:val="22"/>
          <w:szCs w:val="22"/>
        </w:rPr>
        <w:t>tora transportu</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pań</w:t>
      </w:r>
      <w:r w:rsidRPr="00064166">
        <w:rPr>
          <w:bCs/>
          <w:noProof/>
          <w:color w:val="auto"/>
          <w:sz w:val="22"/>
          <w:szCs w:val="22"/>
        </w:rPr>
        <w:t>stwami członkowskimi) oraz do pogłębiania wiedzy. Sieć krajowych punktów kontaktowych ds. transportu omówi wnioski wyciągnięte</w:t>
      </w:r>
      <w:r w:rsidR="00064166" w:rsidRPr="00064166">
        <w:rPr>
          <w:bCs/>
          <w:noProof/>
          <w:color w:val="auto"/>
          <w:sz w:val="22"/>
          <w:szCs w:val="22"/>
        </w:rPr>
        <w:t xml:space="preserve"> z</w:t>
      </w:r>
      <w:r w:rsidR="00064166">
        <w:rPr>
          <w:bCs/>
          <w:noProof/>
          <w:color w:val="auto"/>
          <w:sz w:val="22"/>
          <w:szCs w:val="22"/>
        </w:rPr>
        <w:t> </w:t>
      </w:r>
      <w:r w:rsidR="00064166" w:rsidRPr="00064166">
        <w:rPr>
          <w:bCs/>
          <w:noProof/>
          <w:color w:val="auto"/>
          <w:sz w:val="22"/>
          <w:szCs w:val="22"/>
        </w:rPr>
        <w:t>tyc</w:t>
      </w:r>
      <w:r w:rsidRPr="00064166">
        <w:rPr>
          <w:bCs/>
          <w:noProof/>
          <w:color w:val="auto"/>
          <w:sz w:val="22"/>
          <w:szCs w:val="22"/>
        </w:rPr>
        <w:t>h testów</w:t>
      </w:r>
      <w:r w:rsidR="00064166" w:rsidRPr="00064166">
        <w:rPr>
          <w:bCs/>
          <w:noProof/>
          <w:color w:val="auto"/>
          <w:sz w:val="22"/>
          <w:szCs w:val="22"/>
        </w:rPr>
        <w:t xml:space="preserve"> i</w:t>
      </w:r>
      <w:r w:rsidR="00064166">
        <w:rPr>
          <w:bCs/>
          <w:noProof/>
          <w:color w:val="auto"/>
          <w:sz w:val="22"/>
          <w:szCs w:val="22"/>
        </w:rPr>
        <w:t> </w:t>
      </w:r>
      <w:r w:rsidR="00064166" w:rsidRPr="00064166">
        <w:rPr>
          <w:bCs/>
          <w:noProof/>
          <w:color w:val="auto"/>
          <w:sz w:val="22"/>
          <w:szCs w:val="22"/>
        </w:rPr>
        <w:t>sto</w:t>
      </w:r>
      <w:r w:rsidRPr="00064166">
        <w:rPr>
          <w:bCs/>
          <w:noProof/>
          <w:color w:val="auto"/>
          <w:sz w:val="22"/>
          <w:szCs w:val="22"/>
        </w:rPr>
        <w:t>sownie do potrzeb zaproponuje specjalne szkolenie</w:t>
      </w:r>
      <w:r w:rsidR="00064166" w:rsidRPr="00064166">
        <w:rPr>
          <w:bCs/>
          <w:noProof/>
          <w:color w:val="auto"/>
          <w:sz w:val="22"/>
          <w:szCs w:val="22"/>
        </w:rPr>
        <w:t xml:space="preserve"> w</w:t>
      </w:r>
      <w:r w:rsidR="00064166">
        <w:rPr>
          <w:bCs/>
          <w:noProof/>
          <w:color w:val="auto"/>
          <w:sz w:val="22"/>
          <w:szCs w:val="22"/>
        </w:rPr>
        <w:t> </w:t>
      </w:r>
      <w:r w:rsidR="00064166" w:rsidRPr="00064166">
        <w:rPr>
          <w:bCs/>
          <w:noProof/>
          <w:color w:val="auto"/>
          <w:sz w:val="22"/>
          <w:szCs w:val="22"/>
        </w:rPr>
        <w:t>zak</w:t>
      </w:r>
      <w:r w:rsidRPr="00064166">
        <w:rPr>
          <w:bCs/>
          <w:noProof/>
          <w:color w:val="auto"/>
          <w:sz w:val="22"/>
          <w:szCs w:val="22"/>
        </w:rPr>
        <w:t xml:space="preserve">resie gotowości. </w:t>
      </w:r>
    </w:p>
    <w:p w14:paraId="4E6CD8A5" w14:textId="67A295EC" w:rsidR="00FC6378" w:rsidRPr="00064166" w:rsidRDefault="00FC6378" w:rsidP="00FC6378">
      <w:pPr>
        <w:pStyle w:val="Heading2"/>
        <w:spacing w:before="240" w:after="240" w:line="276" w:lineRule="auto"/>
        <w:ind w:left="578" w:hanging="578"/>
        <w:rPr>
          <w:rFonts w:eastAsia="Times New Roman"/>
          <w:noProof/>
          <w:sz w:val="22"/>
          <w:szCs w:val="22"/>
        </w:rPr>
      </w:pPr>
      <w:r w:rsidRPr="00064166">
        <w:rPr>
          <w:noProof/>
          <w:sz w:val="22"/>
          <w:szCs w:val="22"/>
        </w:rPr>
        <w:t>Współpraca</w:t>
      </w:r>
      <w:r w:rsidR="00064166" w:rsidRPr="00064166">
        <w:rPr>
          <w:noProof/>
          <w:sz w:val="22"/>
          <w:szCs w:val="22"/>
        </w:rPr>
        <w:t xml:space="preserve"> z</w:t>
      </w:r>
      <w:r w:rsidR="00064166">
        <w:rPr>
          <w:noProof/>
          <w:sz w:val="22"/>
          <w:szCs w:val="22"/>
        </w:rPr>
        <w:t> </w:t>
      </w:r>
      <w:r w:rsidR="00064166" w:rsidRPr="00064166">
        <w:rPr>
          <w:noProof/>
          <w:sz w:val="22"/>
          <w:szCs w:val="22"/>
        </w:rPr>
        <w:t>par</w:t>
      </w:r>
      <w:r w:rsidRPr="00064166">
        <w:rPr>
          <w:noProof/>
          <w:sz w:val="22"/>
          <w:szCs w:val="22"/>
        </w:rPr>
        <w:t xml:space="preserve">tnerami międzynarodowymi </w:t>
      </w:r>
    </w:p>
    <w:p w14:paraId="40C01107" w14:textId="76A0B183" w:rsidR="00FC6378" w:rsidRPr="00064166" w:rsidRDefault="00FC6378" w:rsidP="00FC6378">
      <w:pPr>
        <w:spacing w:line="276" w:lineRule="auto"/>
        <w:rPr>
          <w:noProof/>
          <w:sz w:val="22"/>
          <w:szCs w:val="22"/>
        </w:rPr>
      </w:pPr>
      <w:r w:rsidRPr="00064166">
        <w:rPr>
          <w:b/>
          <w:noProof/>
          <w:sz w:val="22"/>
          <w:szCs w:val="22"/>
        </w:rPr>
        <w:t>Każdy kryzys mający wpływ na unijny system transportu może mieć wymiar globalny.</w:t>
      </w:r>
      <w:r w:rsidRPr="00064166">
        <w:rPr>
          <w:noProof/>
          <w:sz w:val="22"/>
          <w:szCs w:val="22"/>
        </w:rPr>
        <w:t xml:space="preserve"> Informacje zwrotne uzyskane</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konsultacji publicznych</w:t>
      </w:r>
      <w:r w:rsidRPr="00064166">
        <w:rPr>
          <w:rStyle w:val="FootnoteReference"/>
          <w:noProof/>
          <w:sz w:val="22"/>
          <w:szCs w:val="22"/>
        </w:rPr>
        <w:footnoteReference w:id="80"/>
      </w:r>
      <w:r w:rsidRPr="00064166">
        <w:rPr>
          <w:noProof/>
          <w:sz w:val="22"/>
          <w:szCs w:val="22"/>
        </w:rPr>
        <w:t xml:space="preserve"> wskazują, że ze względu na niewystarczającą zdolność do zapewnienia zharmonizowanej globalnej reakcji widoczną</w:t>
      </w:r>
      <w:r w:rsidR="00064166" w:rsidRPr="00064166">
        <w:rPr>
          <w:noProof/>
          <w:sz w:val="22"/>
          <w:szCs w:val="22"/>
        </w:rPr>
        <w:t xml:space="preserve"> w</w:t>
      </w:r>
      <w:r w:rsidR="00064166">
        <w:rPr>
          <w:noProof/>
          <w:sz w:val="22"/>
          <w:szCs w:val="22"/>
        </w:rPr>
        <w:t> </w:t>
      </w:r>
      <w:r w:rsidR="00064166" w:rsidRPr="00064166">
        <w:rPr>
          <w:noProof/>
          <w:sz w:val="22"/>
          <w:szCs w:val="22"/>
        </w:rPr>
        <w:t>cza</w:t>
      </w:r>
      <w:r w:rsidRPr="00064166">
        <w:rPr>
          <w:noProof/>
          <w:sz w:val="22"/>
          <w:szCs w:val="22"/>
        </w:rPr>
        <w:t>sie pandemii COVID-19 konieczne jest umocnienie międzynarodowych mechanizmów koordynacyjnych. Kwestia zwiększenia poziomu gotowości na wypadek kryzysów powinna zatem stanowić przedmiot regularnych dyskusji</w:t>
      </w:r>
      <w:r w:rsidR="00064166" w:rsidRPr="00064166">
        <w:rPr>
          <w:noProof/>
          <w:sz w:val="22"/>
          <w:szCs w:val="22"/>
        </w:rPr>
        <w:t xml:space="preserve"> z</w:t>
      </w:r>
      <w:r w:rsidR="00064166">
        <w:rPr>
          <w:noProof/>
          <w:sz w:val="22"/>
          <w:szCs w:val="22"/>
        </w:rPr>
        <w:t> </w:t>
      </w:r>
      <w:r w:rsidR="00064166" w:rsidRPr="00064166">
        <w:rPr>
          <w:noProof/>
          <w:sz w:val="22"/>
          <w:szCs w:val="22"/>
        </w:rPr>
        <w:t>głó</w:t>
      </w:r>
      <w:r w:rsidRPr="00064166">
        <w:rPr>
          <w:noProof/>
          <w:sz w:val="22"/>
          <w:szCs w:val="22"/>
        </w:rPr>
        <w:t>wnymi partnerami międzynarodowymi UE, zwłaszcza</w:t>
      </w:r>
      <w:r w:rsidR="00064166" w:rsidRPr="00064166">
        <w:rPr>
          <w:noProof/>
          <w:sz w:val="22"/>
          <w:szCs w:val="22"/>
        </w:rPr>
        <w:t xml:space="preserve"> z</w:t>
      </w:r>
      <w:r w:rsidR="00064166">
        <w:rPr>
          <w:noProof/>
          <w:sz w:val="22"/>
          <w:szCs w:val="22"/>
        </w:rPr>
        <w:t> </w:t>
      </w:r>
      <w:r w:rsidR="00064166" w:rsidRPr="00064166">
        <w:rPr>
          <w:noProof/>
          <w:sz w:val="22"/>
          <w:szCs w:val="22"/>
        </w:rPr>
        <w:t>par</w:t>
      </w:r>
      <w:r w:rsidRPr="00064166">
        <w:rPr>
          <w:noProof/>
          <w:sz w:val="22"/>
          <w:szCs w:val="22"/>
        </w:rPr>
        <w:t>tnerami blisko powiązanymi</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połączeń transportowych</w:t>
      </w:r>
      <w:r w:rsidR="00064166" w:rsidRPr="00064166">
        <w:rPr>
          <w:noProof/>
          <w:sz w:val="22"/>
          <w:szCs w:val="22"/>
        </w:rPr>
        <w:t xml:space="preserve"> i</w:t>
      </w:r>
      <w:r w:rsidR="00064166">
        <w:rPr>
          <w:noProof/>
          <w:sz w:val="22"/>
          <w:szCs w:val="22"/>
        </w:rPr>
        <w:t> </w:t>
      </w:r>
      <w:r w:rsidR="00064166" w:rsidRPr="00064166">
        <w:rPr>
          <w:noProof/>
          <w:sz w:val="22"/>
          <w:szCs w:val="22"/>
        </w:rPr>
        <w:t>par</w:t>
      </w:r>
      <w:r w:rsidRPr="00064166">
        <w:rPr>
          <w:noProof/>
          <w:sz w:val="22"/>
          <w:szCs w:val="22"/>
        </w:rPr>
        <w:t>tnerami posiadającymi konkretne doświadczenia</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kryzysu, zgodnie ze strategią Global Gateway. Pandemia COVID-19</w:t>
      </w:r>
      <w:r w:rsidR="00064166" w:rsidRPr="00064166">
        <w:rPr>
          <w:noProof/>
          <w:sz w:val="22"/>
          <w:szCs w:val="22"/>
        </w:rPr>
        <w:t xml:space="preserve"> i</w:t>
      </w:r>
      <w:r w:rsidR="00064166">
        <w:rPr>
          <w:noProof/>
          <w:sz w:val="22"/>
          <w:szCs w:val="22"/>
        </w:rPr>
        <w:t> </w:t>
      </w:r>
      <w:r w:rsidR="00064166" w:rsidRPr="00064166">
        <w:rPr>
          <w:noProof/>
          <w:sz w:val="22"/>
          <w:szCs w:val="22"/>
        </w:rPr>
        <w:t>ros</w:t>
      </w:r>
      <w:r w:rsidRPr="00064166">
        <w:rPr>
          <w:noProof/>
          <w:sz w:val="22"/>
          <w:szCs w:val="22"/>
        </w:rPr>
        <w:t>yjska agresja na Ukrainę uwidoczniły znaczenie współpracy</w:t>
      </w:r>
      <w:r w:rsidR="00064166" w:rsidRPr="00064166">
        <w:rPr>
          <w:noProof/>
          <w:sz w:val="22"/>
          <w:szCs w:val="22"/>
        </w:rPr>
        <w:t xml:space="preserve"> z</w:t>
      </w:r>
      <w:r w:rsidR="00064166">
        <w:rPr>
          <w:noProof/>
          <w:sz w:val="22"/>
          <w:szCs w:val="22"/>
        </w:rPr>
        <w:t> </w:t>
      </w:r>
      <w:r w:rsidR="00064166" w:rsidRPr="00064166">
        <w:rPr>
          <w:noProof/>
          <w:sz w:val="22"/>
          <w:szCs w:val="22"/>
        </w:rPr>
        <w:t>pań</w:t>
      </w:r>
      <w:r w:rsidRPr="00064166">
        <w:rPr>
          <w:noProof/>
          <w:sz w:val="22"/>
          <w:szCs w:val="22"/>
        </w:rPr>
        <w:t>stwami Bałkanów Zachodnich –</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Wspólnoty Transportowej –</w:t>
      </w:r>
      <w:r w:rsidR="00064166" w:rsidRPr="00064166">
        <w:rPr>
          <w:noProof/>
          <w:sz w:val="22"/>
          <w:szCs w:val="22"/>
        </w:rPr>
        <w:t xml:space="preserve"> w</w:t>
      </w:r>
      <w:r w:rsidR="00064166">
        <w:rPr>
          <w:noProof/>
          <w:sz w:val="22"/>
          <w:szCs w:val="22"/>
        </w:rPr>
        <w:t> </w:t>
      </w:r>
      <w:r w:rsidR="00064166" w:rsidRPr="00064166">
        <w:rPr>
          <w:noProof/>
          <w:sz w:val="22"/>
          <w:szCs w:val="22"/>
        </w:rPr>
        <w:t>cel</w:t>
      </w:r>
      <w:r w:rsidRPr="00064166">
        <w:rPr>
          <w:noProof/>
          <w:sz w:val="22"/>
          <w:szCs w:val="22"/>
        </w:rPr>
        <w:t>u skutecznego funkcjonowania uprzywilejowanych korytarzy poza UE,</w:t>
      </w:r>
      <w:r w:rsidR="00064166" w:rsidRPr="00064166">
        <w:rPr>
          <w:noProof/>
          <w:sz w:val="22"/>
          <w:szCs w:val="22"/>
        </w:rPr>
        <w:t xml:space="preserve"> </w:t>
      </w:r>
      <w:r w:rsidR="00064166" w:rsidRPr="00064166">
        <w:rPr>
          <w:b/>
          <w:bCs/>
          <w:noProof/>
          <w:sz w:val="22"/>
          <w:szCs w:val="22"/>
        </w:rPr>
        <w:t>a</w:t>
      </w:r>
      <w:r w:rsidR="00064166">
        <w:rPr>
          <w:noProof/>
          <w:sz w:val="22"/>
          <w:szCs w:val="22"/>
        </w:rPr>
        <w:t> </w:t>
      </w:r>
      <w:r w:rsidR="00064166" w:rsidRPr="00064166">
        <w:rPr>
          <w:b/>
          <w:bCs/>
          <w:noProof/>
          <w:sz w:val="22"/>
          <w:szCs w:val="22"/>
        </w:rPr>
        <w:t>tak</w:t>
      </w:r>
      <w:r w:rsidRPr="00064166">
        <w:rPr>
          <w:b/>
          <w:bCs/>
          <w:noProof/>
          <w:sz w:val="22"/>
          <w:szCs w:val="22"/>
        </w:rPr>
        <w:t>że rozszerzenia sieci TEN-T</w:t>
      </w:r>
      <w:r w:rsidRPr="00064166">
        <w:rPr>
          <w:noProof/>
          <w:sz w:val="22"/>
          <w:szCs w:val="22"/>
        </w:rPr>
        <w:t>. Podobnie niedawne kryzysy uwidoczniły, że ważne jest również, aby zwracać szczególną uwagę na Azję Środkową oraz regiony oddalone</w:t>
      </w:r>
      <w:r w:rsidR="00064166" w:rsidRPr="00064166">
        <w:rPr>
          <w:noProof/>
          <w:sz w:val="22"/>
          <w:szCs w:val="22"/>
        </w:rPr>
        <w:t xml:space="preserve"> i</w:t>
      </w:r>
      <w:r w:rsidR="00064166">
        <w:rPr>
          <w:noProof/>
          <w:sz w:val="22"/>
          <w:szCs w:val="22"/>
        </w:rPr>
        <w:t> </w:t>
      </w:r>
      <w:r w:rsidR="00064166" w:rsidRPr="00064166">
        <w:rPr>
          <w:noProof/>
          <w:sz w:val="22"/>
          <w:szCs w:val="22"/>
        </w:rPr>
        <w:t>ter</w:t>
      </w:r>
      <w:r w:rsidRPr="00064166">
        <w:rPr>
          <w:noProof/>
          <w:sz w:val="22"/>
          <w:szCs w:val="22"/>
        </w:rPr>
        <w:t>ytoria zamorskie ze względu na występujące tam szczególne potrzeby</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transportu. Komisja i ESDZ będą nadal propagować gotowość na wypadek sytuacji kryzysowej</w:t>
      </w:r>
      <w:r w:rsidR="00064166" w:rsidRPr="00064166">
        <w:rPr>
          <w:noProof/>
          <w:sz w:val="22"/>
          <w:szCs w:val="22"/>
        </w:rPr>
        <w:t xml:space="preserve"> w</w:t>
      </w:r>
      <w:r w:rsidR="00064166">
        <w:rPr>
          <w:noProof/>
          <w:sz w:val="22"/>
          <w:szCs w:val="22"/>
        </w:rPr>
        <w:t> </w:t>
      </w:r>
      <w:r w:rsidR="00064166" w:rsidRPr="00064166">
        <w:rPr>
          <w:noProof/>
          <w:sz w:val="22"/>
          <w:szCs w:val="22"/>
        </w:rPr>
        <w:t>ram</w:t>
      </w:r>
      <w:r w:rsidRPr="00064166">
        <w:rPr>
          <w:noProof/>
          <w:sz w:val="22"/>
          <w:szCs w:val="22"/>
        </w:rPr>
        <w:t>ach wszystkich stosownych międzynarodowych forów</w:t>
      </w:r>
      <w:r w:rsidR="00064166" w:rsidRPr="00064166">
        <w:rPr>
          <w:noProof/>
          <w:sz w:val="22"/>
          <w:szCs w:val="22"/>
        </w:rPr>
        <w:t xml:space="preserve"> i</w:t>
      </w:r>
      <w:r w:rsidR="00064166">
        <w:rPr>
          <w:noProof/>
          <w:sz w:val="22"/>
          <w:szCs w:val="22"/>
        </w:rPr>
        <w:t> </w:t>
      </w:r>
      <w:r w:rsidR="00064166" w:rsidRPr="00064166">
        <w:rPr>
          <w:noProof/>
          <w:sz w:val="22"/>
          <w:szCs w:val="22"/>
        </w:rPr>
        <w:t>org</w:t>
      </w:r>
      <w:r w:rsidRPr="00064166">
        <w:rPr>
          <w:noProof/>
          <w:sz w:val="22"/>
          <w:szCs w:val="22"/>
        </w:rPr>
        <w:t>anizacji, takich jak ICAO i IMO. Ponadto zaplanowana zmiana kodeksu granicznego Schengen służąca usprawnieniu procedury przyjmowania ograniczeń związanych</w:t>
      </w:r>
      <w:r w:rsidR="00064166" w:rsidRPr="00064166">
        <w:rPr>
          <w:noProof/>
          <w:sz w:val="22"/>
          <w:szCs w:val="22"/>
        </w:rPr>
        <w:t xml:space="preserve"> z</w:t>
      </w:r>
      <w:r w:rsidR="00064166">
        <w:rPr>
          <w:noProof/>
          <w:sz w:val="22"/>
          <w:szCs w:val="22"/>
        </w:rPr>
        <w:t> </w:t>
      </w:r>
      <w:r w:rsidR="00064166" w:rsidRPr="00064166">
        <w:rPr>
          <w:noProof/>
          <w:sz w:val="22"/>
          <w:szCs w:val="22"/>
        </w:rPr>
        <w:t>pod</w:t>
      </w:r>
      <w:r w:rsidRPr="00064166">
        <w:rPr>
          <w:noProof/>
          <w:sz w:val="22"/>
          <w:szCs w:val="22"/>
        </w:rPr>
        <w:t>różą inną niż niezbędna wskazuje również na konieczność prowadzenia skutecznej współpracy</w:t>
      </w:r>
      <w:r w:rsidR="00064166" w:rsidRPr="00064166">
        <w:rPr>
          <w:noProof/>
          <w:sz w:val="22"/>
          <w:szCs w:val="22"/>
        </w:rPr>
        <w:t xml:space="preserve"> z</w:t>
      </w:r>
      <w:r w:rsidR="00064166">
        <w:rPr>
          <w:noProof/>
          <w:sz w:val="22"/>
          <w:szCs w:val="22"/>
        </w:rPr>
        <w:t> </w:t>
      </w:r>
      <w:r w:rsidR="00064166" w:rsidRPr="00064166">
        <w:rPr>
          <w:noProof/>
          <w:sz w:val="22"/>
          <w:szCs w:val="22"/>
        </w:rPr>
        <w:t>pań</w:t>
      </w:r>
      <w:r w:rsidRPr="00064166">
        <w:rPr>
          <w:noProof/>
          <w:sz w:val="22"/>
          <w:szCs w:val="22"/>
        </w:rPr>
        <w:t xml:space="preserve">stwami trzecimi. Zagrożenia hybrydowe stanowią już przedmiot </w:t>
      </w:r>
      <w:r w:rsidRPr="00064166">
        <w:rPr>
          <w:bCs/>
          <w:noProof/>
          <w:sz w:val="22"/>
          <w:szCs w:val="22"/>
        </w:rPr>
        <w:t>współpracy UE i NATO</w:t>
      </w:r>
      <w:r w:rsidRPr="00064166">
        <w:rPr>
          <w:noProof/>
          <w:sz w:val="22"/>
          <w:szCs w:val="22"/>
        </w:rPr>
        <w:t xml:space="preserve"> na podstawie wspólnych deklaracji</w:t>
      </w:r>
      <w:r w:rsidR="00064166" w:rsidRPr="00064166">
        <w:rPr>
          <w:noProof/>
          <w:sz w:val="22"/>
          <w:szCs w:val="22"/>
        </w:rPr>
        <w:t xml:space="preserve"> z</w:t>
      </w:r>
      <w:r w:rsidR="00064166">
        <w:rPr>
          <w:noProof/>
          <w:sz w:val="22"/>
          <w:szCs w:val="22"/>
        </w:rPr>
        <w:t> </w:t>
      </w:r>
      <w:r w:rsidR="00064166" w:rsidRPr="00064166">
        <w:rPr>
          <w:noProof/>
          <w:sz w:val="22"/>
          <w:szCs w:val="22"/>
        </w:rPr>
        <w:t>War</w:t>
      </w:r>
      <w:r w:rsidRPr="00064166">
        <w:rPr>
          <w:noProof/>
          <w:sz w:val="22"/>
          <w:szCs w:val="22"/>
        </w:rPr>
        <w:t>szawy</w:t>
      </w:r>
      <w:r w:rsidR="00064166" w:rsidRPr="00064166">
        <w:rPr>
          <w:noProof/>
          <w:sz w:val="22"/>
          <w:szCs w:val="22"/>
        </w:rPr>
        <w:t xml:space="preserve"> i</w:t>
      </w:r>
      <w:r w:rsidR="00064166">
        <w:rPr>
          <w:noProof/>
          <w:sz w:val="22"/>
          <w:szCs w:val="22"/>
        </w:rPr>
        <w:t> </w:t>
      </w:r>
      <w:r w:rsidR="00064166" w:rsidRPr="00064166">
        <w:rPr>
          <w:noProof/>
          <w:sz w:val="22"/>
          <w:szCs w:val="22"/>
        </w:rPr>
        <w:t>Bru</w:t>
      </w:r>
      <w:r w:rsidRPr="00064166">
        <w:rPr>
          <w:noProof/>
          <w:sz w:val="22"/>
          <w:szCs w:val="22"/>
        </w:rPr>
        <w:t>kseli</w:t>
      </w:r>
      <w:r w:rsidR="00064166" w:rsidRPr="00064166">
        <w:rPr>
          <w:noProof/>
          <w:sz w:val="22"/>
          <w:szCs w:val="22"/>
        </w:rPr>
        <w:t xml:space="preserve"> z</w:t>
      </w:r>
      <w:r w:rsidR="00064166">
        <w:rPr>
          <w:noProof/>
          <w:sz w:val="22"/>
          <w:szCs w:val="22"/>
        </w:rPr>
        <w:t> </w:t>
      </w:r>
      <w:r w:rsidR="00064166" w:rsidRPr="00064166">
        <w:rPr>
          <w:noProof/>
          <w:sz w:val="22"/>
          <w:szCs w:val="22"/>
        </w:rPr>
        <w:t>lat </w:t>
      </w:r>
      <w:r w:rsidRPr="00064166">
        <w:rPr>
          <w:noProof/>
          <w:sz w:val="22"/>
          <w:szCs w:val="22"/>
        </w:rPr>
        <w:t>2016</w:t>
      </w:r>
      <w:r w:rsidR="00064166" w:rsidRPr="00064166">
        <w:rPr>
          <w:noProof/>
          <w:sz w:val="22"/>
          <w:szCs w:val="22"/>
        </w:rPr>
        <w:t xml:space="preserve"> i</w:t>
      </w:r>
      <w:r w:rsidR="00064166">
        <w:rPr>
          <w:noProof/>
          <w:sz w:val="22"/>
          <w:szCs w:val="22"/>
        </w:rPr>
        <w:t> </w:t>
      </w:r>
      <w:r w:rsidR="00064166" w:rsidRPr="00064166">
        <w:rPr>
          <w:noProof/>
          <w:sz w:val="22"/>
          <w:szCs w:val="22"/>
        </w:rPr>
        <w:t>2</w:t>
      </w:r>
      <w:r w:rsidRPr="00064166">
        <w:rPr>
          <w:noProof/>
          <w:sz w:val="22"/>
          <w:szCs w:val="22"/>
        </w:rPr>
        <w:t>018</w:t>
      </w:r>
      <w:r w:rsidRPr="00064166">
        <w:rPr>
          <w:rStyle w:val="FootnoteReference"/>
          <w:noProof/>
          <w:sz w:val="22"/>
          <w:szCs w:val="22"/>
        </w:rPr>
        <w:footnoteReference w:id="81"/>
      </w:r>
      <w:r w:rsidRPr="00064166">
        <w:rPr>
          <w:noProof/>
          <w:sz w:val="22"/>
          <w:szCs w:val="22"/>
        </w:rPr>
        <w:t xml:space="preserve">. </w:t>
      </w:r>
    </w:p>
    <w:p w14:paraId="235A0047" w14:textId="77777777" w:rsidR="00FC6378" w:rsidRPr="00064166" w:rsidRDefault="00FC6378" w:rsidP="00845339">
      <w:pPr>
        <w:pStyle w:val="Heading1"/>
        <w:rPr>
          <w:rFonts w:hint="eastAsia"/>
          <w:noProof/>
        </w:rPr>
      </w:pPr>
      <w:r w:rsidRPr="00064166">
        <w:rPr>
          <w:noProof/>
        </w:rPr>
        <w:t xml:space="preserve">Wnioski </w:t>
      </w:r>
    </w:p>
    <w:p w14:paraId="4EC96940" w14:textId="7714CA40" w:rsidR="00C27B6C" w:rsidRPr="00064166" w:rsidRDefault="00106305" w:rsidP="00FC6378">
      <w:pPr>
        <w:spacing w:line="276" w:lineRule="auto"/>
        <w:rPr>
          <w:noProof/>
          <w:sz w:val="22"/>
          <w:szCs w:val="22"/>
        </w:rPr>
      </w:pPr>
      <w:r w:rsidRPr="00064166">
        <w:rPr>
          <w:b/>
          <w:noProof/>
          <w:sz w:val="22"/>
          <w:szCs w:val="22"/>
        </w:rPr>
        <w:t>Rosyjska agresja na Ukrainę ma poważny wpływ na unijny system transportu.</w:t>
      </w:r>
      <w:r w:rsidR="0052698C" w:rsidRPr="00064166">
        <w:rPr>
          <w:b/>
          <w:noProof/>
          <w:sz w:val="22"/>
          <w:szCs w:val="22"/>
        </w:rPr>
        <w:t xml:space="preserve"> </w:t>
      </w:r>
      <w:r w:rsidRPr="00064166">
        <w:rPr>
          <w:noProof/>
          <w:sz w:val="22"/>
          <w:szCs w:val="22"/>
        </w:rPr>
        <w:t>Rosnące ceny ropy naftowej</w:t>
      </w:r>
      <w:r w:rsidR="00064166" w:rsidRPr="00064166">
        <w:rPr>
          <w:noProof/>
          <w:sz w:val="22"/>
          <w:szCs w:val="22"/>
        </w:rPr>
        <w:t xml:space="preserve"> i</w:t>
      </w:r>
      <w:r w:rsidR="00064166">
        <w:rPr>
          <w:noProof/>
          <w:sz w:val="22"/>
          <w:szCs w:val="22"/>
        </w:rPr>
        <w:t> </w:t>
      </w:r>
      <w:r w:rsidR="00064166" w:rsidRPr="00064166">
        <w:rPr>
          <w:noProof/>
          <w:sz w:val="22"/>
          <w:szCs w:val="22"/>
        </w:rPr>
        <w:t>gaz</w:t>
      </w:r>
      <w:r w:rsidRPr="00064166">
        <w:rPr>
          <w:noProof/>
          <w:sz w:val="22"/>
          <w:szCs w:val="22"/>
        </w:rPr>
        <w:t>u, przerwane łańcuchy dostaw, zamknięcie przestrzeni powietrznej</w:t>
      </w:r>
      <w:r w:rsidR="00064166" w:rsidRPr="00064166">
        <w:rPr>
          <w:noProof/>
          <w:sz w:val="22"/>
          <w:szCs w:val="22"/>
        </w:rPr>
        <w:t xml:space="preserve"> i</w:t>
      </w:r>
      <w:r w:rsidR="00064166">
        <w:rPr>
          <w:noProof/>
          <w:sz w:val="22"/>
          <w:szCs w:val="22"/>
        </w:rPr>
        <w:t> </w:t>
      </w:r>
      <w:r w:rsidR="00064166" w:rsidRPr="00064166">
        <w:rPr>
          <w:noProof/>
          <w:sz w:val="22"/>
          <w:szCs w:val="22"/>
        </w:rPr>
        <w:t>ryn</w:t>
      </w:r>
      <w:r w:rsidRPr="00064166">
        <w:rPr>
          <w:noProof/>
          <w:sz w:val="22"/>
          <w:szCs w:val="22"/>
        </w:rPr>
        <w:t>ków oraz potencjalne niedobory pracowników sektora transportu stanowią dodatkowe wyzwania oprócz już istniejących problemów powstałych</w:t>
      </w:r>
      <w:r w:rsidR="00064166" w:rsidRPr="00064166">
        <w:rPr>
          <w:noProof/>
          <w:sz w:val="22"/>
          <w:szCs w:val="22"/>
        </w:rPr>
        <w:t xml:space="preserve"> w</w:t>
      </w:r>
      <w:r w:rsidR="00064166">
        <w:rPr>
          <w:noProof/>
          <w:sz w:val="22"/>
          <w:szCs w:val="22"/>
        </w:rPr>
        <w:t> </w:t>
      </w:r>
      <w:r w:rsidR="00064166" w:rsidRPr="00064166">
        <w:rPr>
          <w:noProof/>
          <w:sz w:val="22"/>
          <w:szCs w:val="22"/>
        </w:rPr>
        <w:t>zwi</w:t>
      </w:r>
      <w:r w:rsidRPr="00064166">
        <w:rPr>
          <w:noProof/>
          <w:sz w:val="22"/>
          <w:szCs w:val="22"/>
        </w:rPr>
        <w:t>ązku</w:t>
      </w:r>
      <w:r w:rsidR="00064166" w:rsidRPr="00064166">
        <w:rPr>
          <w:noProof/>
          <w:sz w:val="22"/>
          <w:szCs w:val="22"/>
        </w:rPr>
        <w:t xml:space="preserve"> z</w:t>
      </w:r>
      <w:r w:rsidR="00064166">
        <w:rPr>
          <w:noProof/>
          <w:sz w:val="22"/>
          <w:szCs w:val="22"/>
        </w:rPr>
        <w:t> </w:t>
      </w:r>
      <w:r w:rsidR="00064166" w:rsidRPr="00064166">
        <w:rPr>
          <w:noProof/>
          <w:sz w:val="22"/>
          <w:szCs w:val="22"/>
        </w:rPr>
        <w:t>pan</w:t>
      </w:r>
      <w:r w:rsidRPr="00064166">
        <w:rPr>
          <w:noProof/>
          <w:sz w:val="22"/>
          <w:szCs w:val="22"/>
        </w:rPr>
        <w:t>demią COVID-19</w:t>
      </w:r>
      <w:r w:rsidR="00064166" w:rsidRPr="00064166">
        <w:rPr>
          <w:noProof/>
          <w:sz w:val="22"/>
          <w:szCs w:val="22"/>
        </w:rPr>
        <w:t>. Z</w:t>
      </w:r>
      <w:r w:rsidR="00064166">
        <w:rPr>
          <w:noProof/>
          <w:sz w:val="22"/>
          <w:szCs w:val="22"/>
        </w:rPr>
        <w:t> </w:t>
      </w:r>
      <w:r w:rsidR="00064166" w:rsidRPr="00064166">
        <w:rPr>
          <w:noProof/>
          <w:sz w:val="22"/>
          <w:szCs w:val="22"/>
        </w:rPr>
        <w:t>szy</w:t>
      </w:r>
      <w:r w:rsidRPr="00064166">
        <w:rPr>
          <w:noProof/>
          <w:sz w:val="22"/>
          <w:szCs w:val="22"/>
        </w:rPr>
        <w:t>bkiego tempa reakcji na trwający konflikt zbrojny wynika jednak, że</w:t>
      </w:r>
      <w:r w:rsidRPr="00064166">
        <w:rPr>
          <w:b/>
          <w:noProof/>
          <w:sz w:val="22"/>
          <w:szCs w:val="22"/>
        </w:rPr>
        <w:t xml:space="preserve"> </w:t>
      </w:r>
      <w:r w:rsidRPr="00064166">
        <w:rPr>
          <w:noProof/>
          <w:sz w:val="22"/>
          <w:szCs w:val="22"/>
        </w:rPr>
        <w:t>UE wiele się nauczyła</w:t>
      </w:r>
      <w:r w:rsidR="00064166" w:rsidRPr="00064166">
        <w:rPr>
          <w:noProof/>
          <w:sz w:val="22"/>
          <w:szCs w:val="22"/>
        </w:rPr>
        <w:t xml:space="preserve"> w</w:t>
      </w:r>
      <w:r w:rsidR="00064166">
        <w:rPr>
          <w:noProof/>
          <w:sz w:val="22"/>
          <w:szCs w:val="22"/>
        </w:rPr>
        <w:t> </w:t>
      </w:r>
      <w:r w:rsidR="00064166" w:rsidRPr="00064166">
        <w:rPr>
          <w:noProof/>
          <w:sz w:val="22"/>
          <w:szCs w:val="22"/>
        </w:rPr>
        <w:t>cza</w:t>
      </w:r>
      <w:r w:rsidRPr="00064166">
        <w:rPr>
          <w:noProof/>
          <w:sz w:val="22"/>
          <w:szCs w:val="22"/>
        </w:rPr>
        <w:t>sie kryzysu związanego z COVID-19. Konflikt ten uwidocznił również konieczność ograniczenia uzależnienia UE od przywozu paliw kopalnych.</w:t>
      </w:r>
    </w:p>
    <w:p w14:paraId="1FD7A4B4" w14:textId="250814E5" w:rsidR="00845339" w:rsidRPr="00064166" w:rsidRDefault="00845339" w:rsidP="00FC6378">
      <w:pPr>
        <w:spacing w:line="276" w:lineRule="auto"/>
        <w:rPr>
          <w:noProof/>
          <w:sz w:val="22"/>
          <w:szCs w:val="22"/>
        </w:rPr>
      </w:pPr>
      <w:r w:rsidRPr="00064166">
        <w:rPr>
          <w:b/>
          <w:noProof/>
          <w:sz w:val="22"/>
          <w:szCs w:val="22"/>
        </w:rPr>
        <w:t>Stale zmieniający się krajobraz ryzyka wymaga stosowania kompleksowego zestawu narzędzi przedstawionego</w:t>
      </w:r>
      <w:r w:rsidR="00064166" w:rsidRPr="00064166">
        <w:rPr>
          <w:b/>
          <w:noProof/>
          <w:sz w:val="22"/>
          <w:szCs w:val="22"/>
        </w:rPr>
        <w:t xml:space="preserve"> w</w:t>
      </w:r>
      <w:r w:rsidR="00064166">
        <w:rPr>
          <w:b/>
          <w:noProof/>
          <w:sz w:val="22"/>
          <w:szCs w:val="22"/>
        </w:rPr>
        <w:t> </w:t>
      </w:r>
      <w:r w:rsidR="00064166" w:rsidRPr="00064166">
        <w:rPr>
          <w:b/>
          <w:noProof/>
          <w:sz w:val="22"/>
          <w:szCs w:val="22"/>
        </w:rPr>
        <w:t>nin</w:t>
      </w:r>
      <w:r w:rsidRPr="00064166">
        <w:rPr>
          <w:b/>
          <w:noProof/>
          <w:sz w:val="22"/>
          <w:szCs w:val="22"/>
        </w:rPr>
        <w:t>iejszym komunikacie.</w:t>
      </w:r>
      <w:r w:rsidR="0052698C" w:rsidRPr="00064166">
        <w:rPr>
          <w:b/>
          <w:noProof/>
          <w:sz w:val="22"/>
          <w:szCs w:val="22"/>
        </w:rPr>
        <w:t xml:space="preserve"> </w:t>
      </w:r>
      <w:r w:rsidRPr="00064166">
        <w:rPr>
          <w:b/>
          <w:noProof/>
          <w:sz w:val="22"/>
          <w:szCs w:val="22"/>
        </w:rPr>
        <w:t>Można,</w:t>
      </w:r>
      <w:r w:rsidR="00064166" w:rsidRPr="00064166">
        <w:rPr>
          <w:b/>
          <w:noProof/>
          <w:sz w:val="22"/>
          <w:szCs w:val="22"/>
        </w:rPr>
        <w:t xml:space="preserve"> a</w:t>
      </w:r>
      <w:r w:rsidR="00064166">
        <w:rPr>
          <w:b/>
          <w:noProof/>
          <w:sz w:val="22"/>
          <w:szCs w:val="22"/>
        </w:rPr>
        <w:t> </w:t>
      </w:r>
      <w:r w:rsidR="00064166" w:rsidRPr="00064166">
        <w:rPr>
          <w:b/>
          <w:noProof/>
          <w:sz w:val="22"/>
          <w:szCs w:val="22"/>
        </w:rPr>
        <w:t>naw</w:t>
      </w:r>
      <w:r w:rsidRPr="00064166">
        <w:rPr>
          <w:b/>
          <w:noProof/>
          <w:sz w:val="22"/>
          <w:szCs w:val="22"/>
        </w:rPr>
        <w:t>et należy zwiększyć poziom gotowości</w:t>
      </w:r>
      <w:r w:rsidR="00064166" w:rsidRPr="00064166">
        <w:rPr>
          <w:b/>
          <w:noProof/>
          <w:sz w:val="22"/>
          <w:szCs w:val="22"/>
        </w:rPr>
        <w:t>.</w:t>
      </w:r>
      <w:r w:rsidR="00064166" w:rsidRPr="00064166">
        <w:rPr>
          <w:noProof/>
          <w:sz w:val="22"/>
          <w:szCs w:val="22"/>
        </w:rPr>
        <w:t xml:space="preserve"> O</w:t>
      </w:r>
      <w:r w:rsidR="00064166">
        <w:rPr>
          <w:b/>
          <w:noProof/>
          <w:sz w:val="22"/>
          <w:szCs w:val="22"/>
        </w:rPr>
        <w:t> </w:t>
      </w:r>
      <w:r w:rsidR="00064166" w:rsidRPr="00064166">
        <w:rPr>
          <w:noProof/>
          <w:sz w:val="22"/>
          <w:szCs w:val="22"/>
        </w:rPr>
        <w:t>ile</w:t>
      </w:r>
      <w:r w:rsidRPr="00064166">
        <w:rPr>
          <w:noProof/>
          <w:sz w:val="22"/>
          <w:szCs w:val="22"/>
        </w:rPr>
        <w:t xml:space="preserve"> inicjatywy</w:t>
      </w:r>
      <w:r w:rsidR="00064166" w:rsidRPr="00064166">
        <w:rPr>
          <w:noProof/>
          <w:sz w:val="22"/>
          <w:szCs w:val="22"/>
        </w:rPr>
        <w:t xml:space="preserve"> w</w:t>
      </w:r>
      <w:r w:rsidR="00064166">
        <w:rPr>
          <w:noProof/>
          <w:sz w:val="22"/>
          <w:szCs w:val="22"/>
        </w:rPr>
        <w:t> </w:t>
      </w:r>
      <w:r w:rsidR="00064166" w:rsidRPr="00064166">
        <w:rPr>
          <w:noProof/>
          <w:sz w:val="22"/>
          <w:szCs w:val="22"/>
        </w:rPr>
        <w:t>zak</w:t>
      </w:r>
      <w:r w:rsidRPr="00064166">
        <w:rPr>
          <w:noProof/>
          <w:sz w:val="22"/>
          <w:szCs w:val="22"/>
        </w:rPr>
        <w:t>resie zapobiegania</w:t>
      </w:r>
      <w:r w:rsidR="00064166" w:rsidRPr="00064166">
        <w:rPr>
          <w:noProof/>
          <w:sz w:val="22"/>
          <w:szCs w:val="22"/>
        </w:rPr>
        <w:t xml:space="preserve"> i</w:t>
      </w:r>
      <w:r w:rsidR="00064166">
        <w:rPr>
          <w:noProof/>
          <w:sz w:val="22"/>
          <w:szCs w:val="22"/>
        </w:rPr>
        <w:t> </w:t>
      </w:r>
      <w:r w:rsidR="00064166" w:rsidRPr="00064166">
        <w:rPr>
          <w:noProof/>
          <w:sz w:val="22"/>
          <w:szCs w:val="22"/>
        </w:rPr>
        <w:t>got</w:t>
      </w:r>
      <w:r w:rsidRPr="00064166">
        <w:rPr>
          <w:noProof/>
          <w:sz w:val="22"/>
          <w:szCs w:val="22"/>
        </w:rPr>
        <w:t>owości umożliwiają dostosowanie się do zmiany klimatu</w:t>
      </w:r>
      <w:r w:rsidR="00064166" w:rsidRPr="00064166">
        <w:rPr>
          <w:noProof/>
          <w:sz w:val="22"/>
          <w:szCs w:val="22"/>
        </w:rPr>
        <w:t xml:space="preserve"> i</w:t>
      </w:r>
      <w:r w:rsidR="00064166">
        <w:rPr>
          <w:noProof/>
          <w:sz w:val="22"/>
          <w:szCs w:val="22"/>
        </w:rPr>
        <w:t> </w:t>
      </w:r>
      <w:r w:rsidR="00064166" w:rsidRPr="00064166">
        <w:rPr>
          <w:noProof/>
          <w:sz w:val="22"/>
          <w:szCs w:val="22"/>
        </w:rPr>
        <w:t>łag</w:t>
      </w:r>
      <w:r w:rsidRPr="00064166">
        <w:rPr>
          <w:noProof/>
          <w:sz w:val="22"/>
          <w:szCs w:val="22"/>
        </w:rPr>
        <w:t>odzenie zmieniającego się ryzyka, to jednak wymagają one ciągłego dostosowywania</w:t>
      </w:r>
      <w:r w:rsidR="00064166" w:rsidRPr="00064166">
        <w:rPr>
          <w:noProof/>
          <w:sz w:val="22"/>
          <w:szCs w:val="22"/>
        </w:rPr>
        <w:t xml:space="preserve"> i</w:t>
      </w:r>
      <w:r w:rsidR="00064166">
        <w:rPr>
          <w:noProof/>
          <w:sz w:val="22"/>
          <w:szCs w:val="22"/>
        </w:rPr>
        <w:t> </w:t>
      </w:r>
      <w:r w:rsidR="00064166" w:rsidRPr="00064166">
        <w:rPr>
          <w:noProof/>
          <w:sz w:val="22"/>
          <w:szCs w:val="22"/>
        </w:rPr>
        <w:t>prz</w:t>
      </w:r>
      <w:r w:rsidRPr="00064166">
        <w:rPr>
          <w:noProof/>
          <w:sz w:val="22"/>
          <w:szCs w:val="22"/>
        </w:rPr>
        <w:t>eglądu. Należy stale udoskonalać</w:t>
      </w:r>
      <w:r w:rsidR="00064166" w:rsidRPr="00064166">
        <w:rPr>
          <w:noProof/>
          <w:sz w:val="22"/>
          <w:szCs w:val="22"/>
        </w:rPr>
        <w:t xml:space="preserve"> i</w:t>
      </w:r>
      <w:r w:rsidR="00064166">
        <w:rPr>
          <w:noProof/>
          <w:sz w:val="22"/>
          <w:szCs w:val="22"/>
        </w:rPr>
        <w:t> </w:t>
      </w:r>
      <w:r w:rsidR="00064166" w:rsidRPr="00064166">
        <w:rPr>
          <w:noProof/>
          <w:sz w:val="22"/>
          <w:szCs w:val="22"/>
        </w:rPr>
        <w:t>usp</w:t>
      </w:r>
      <w:r w:rsidRPr="00064166">
        <w:rPr>
          <w:noProof/>
          <w:sz w:val="22"/>
          <w:szCs w:val="22"/>
        </w:rPr>
        <w:t>rawniać systemy wczesnego ostrzegania, aby pozyskiwać użyteczne informacje, które można wykorzystać do podejmowania świadomych decyzji, oraz aby wczesne informowanie/zdobywanie wiedzy przekładało się na wczesne działania. Nie istnieje gotowe rozwiązanie pozwalające na uporanie się</w:t>
      </w:r>
      <w:r w:rsidR="00064166" w:rsidRPr="00064166">
        <w:rPr>
          <w:noProof/>
          <w:sz w:val="22"/>
          <w:szCs w:val="22"/>
        </w:rPr>
        <w:t xml:space="preserve"> z</w:t>
      </w:r>
      <w:r w:rsidR="00064166">
        <w:rPr>
          <w:noProof/>
          <w:sz w:val="22"/>
          <w:szCs w:val="22"/>
        </w:rPr>
        <w:t> </w:t>
      </w:r>
      <w:r w:rsidR="00064166" w:rsidRPr="00064166">
        <w:rPr>
          <w:noProof/>
          <w:sz w:val="22"/>
          <w:szCs w:val="22"/>
        </w:rPr>
        <w:t>nie</w:t>
      </w:r>
      <w:r w:rsidRPr="00064166">
        <w:rPr>
          <w:noProof/>
          <w:sz w:val="22"/>
          <w:szCs w:val="22"/>
        </w:rPr>
        <w:t>możliwym do przewidzenia kryzysem</w:t>
      </w:r>
      <w:r w:rsidR="00064166" w:rsidRPr="00064166">
        <w:rPr>
          <w:noProof/>
          <w:sz w:val="22"/>
          <w:szCs w:val="22"/>
        </w:rPr>
        <w:t xml:space="preserve"> w</w:t>
      </w:r>
      <w:r w:rsidR="00064166">
        <w:rPr>
          <w:noProof/>
          <w:sz w:val="22"/>
          <w:szCs w:val="22"/>
        </w:rPr>
        <w:t> </w:t>
      </w:r>
      <w:r w:rsidR="00064166" w:rsidRPr="00064166">
        <w:rPr>
          <w:noProof/>
          <w:sz w:val="22"/>
          <w:szCs w:val="22"/>
        </w:rPr>
        <w:t>prz</w:t>
      </w:r>
      <w:r w:rsidRPr="00064166">
        <w:rPr>
          <w:noProof/>
          <w:sz w:val="22"/>
          <w:szCs w:val="22"/>
        </w:rPr>
        <w:t>yszłości. Najlepszym rozwiązaniem jest pogłębienie wiedzy na temat słabych punktów</w:t>
      </w:r>
      <w:r w:rsidR="00064166" w:rsidRPr="00064166">
        <w:rPr>
          <w:noProof/>
          <w:sz w:val="22"/>
          <w:szCs w:val="22"/>
        </w:rPr>
        <w:t xml:space="preserve"> i</w:t>
      </w:r>
      <w:r w:rsidR="00064166">
        <w:rPr>
          <w:noProof/>
          <w:sz w:val="22"/>
          <w:szCs w:val="22"/>
        </w:rPr>
        <w:t> </w:t>
      </w:r>
      <w:r w:rsidR="00064166" w:rsidRPr="00064166">
        <w:rPr>
          <w:noProof/>
          <w:sz w:val="22"/>
          <w:szCs w:val="22"/>
        </w:rPr>
        <w:t>ryz</w:t>
      </w:r>
      <w:r w:rsidRPr="00064166">
        <w:rPr>
          <w:noProof/>
          <w:sz w:val="22"/>
          <w:szCs w:val="22"/>
        </w:rPr>
        <w:t>yka oraz eliminowanie tych elementów. Spowoduje to budowanie</w:t>
      </w:r>
      <w:r w:rsidR="00064166" w:rsidRPr="00064166">
        <w:rPr>
          <w:noProof/>
          <w:sz w:val="22"/>
          <w:szCs w:val="22"/>
        </w:rPr>
        <w:t xml:space="preserve"> i</w:t>
      </w:r>
      <w:r w:rsidR="00064166">
        <w:rPr>
          <w:noProof/>
          <w:sz w:val="22"/>
          <w:szCs w:val="22"/>
        </w:rPr>
        <w:t> </w:t>
      </w:r>
      <w:r w:rsidR="00064166" w:rsidRPr="00064166">
        <w:rPr>
          <w:noProof/>
          <w:sz w:val="22"/>
          <w:szCs w:val="22"/>
        </w:rPr>
        <w:t>utr</w:t>
      </w:r>
      <w:r w:rsidRPr="00064166">
        <w:rPr>
          <w:noProof/>
          <w:sz w:val="22"/>
          <w:szCs w:val="22"/>
        </w:rPr>
        <w:t>zymanie zdolności UE do szybkiego, skoordynowanego</w:t>
      </w:r>
      <w:r w:rsidR="00064166" w:rsidRPr="00064166">
        <w:rPr>
          <w:noProof/>
          <w:sz w:val="22"/>
          <w:szCs w:val="22"/>
        </w:rPr>
        <w:t xml:space="preserve"> i</w:t>
      </w:r>
      <w:r w:rsidR="00064166">
        <w:rPr>
          <w:noProof/>
          <w:sz w:val="22"/>
          <w:szCs w:val="22"/>
        </w:rPr>
        <w:t> </w:t>
      </w:r>
      <w:r w:rsidR="00064166" w:rsidRPr="00064166">
        <w:rPr>
          <w:noProof/>
          <w:sz w:val="22"/>
          <w:szCs w:val="22"/>
        </w:rPr>
        <w:t>opa</w:t>
      </w:r>
      <w:r w:rsidRPr="00064166">
        <w:rPr>
          <w:noProof/>
          <w:sz w:val="22"/>
          <w:szCs w:val="22"/>
        </w:rPr>
        <w:t>rtego na współpracy reagowania</w:t>
      </w:r>
      <w:r w:rsidR="00064166" w:rsidRPr="00064166">
        <w:rPr>
          <w:noProof/>
          <w:sz w:val="22"/>
          <w:szCs w:val="22"/>
        </w:rPr>
        <w:t xml:space="preserve"> w</w:t>
      </w:r>
      <w:r w:rsidR="00064166">
        <w:rPr>
          <w:noProof/>
          <w:sz w:val="22"/>
          <w:szCs w:val="22"/>
        </w:rPr>
        <w:t> </w:t>
      </w:r>
      <w:r w:rsidR="00064166" w:rsidRPr="00064166">
        <w:rPr>
          <w:noProof/>
          <w:sz w:val="22"/>
          <w:szCs w:val="22"/>
        </w:rPr>
        <w:t>dro</w:t>
      </w:r>
      <w:r w:rsidRPr="00064166">
        <w:rPr>
          <w:noProof/>
          <w:sz w:val="22"/>
          <w:szCs w:val="22"/>
        </w:rPr>
        <w:t>dze połączenia środków unijnych, krajowych</w:t>
      </w:r>
      <w:r w:rsidR="00064166" w:rsidRPr="00064166">
        <w:rPr>
          <w:noProof/>
          <w:sz w:val="22"/>
          <w:szCs w:val="22"/>
        </w:rPr>
        <w:t xml:space="preserve"> i</w:t>
      </w:r>
      <w:r w:rsidR="00064166">
        <w:rPr>
          <w:noProof/>
          <w:sz w:val="22"/>
          <w:szCs w:val="22"/>
        </w:rPr>
        <w:t> </w:t>
      </w:r>
      <w:r w:rsidR="00064166" w:rsidRPr="00064166">
        <w:rPr>
          <w:noProof/>
          <w:sz w:val="22"/>
          <w:szCs w:val="22"/>
        </w:rPr>
        <w:t>lok</w:t>
      </w:r>
      <w:r w:rsidRPr="00064166">
        <w:rPr>
          <w:noProof/>
          <w:sz w:val="22"/>
          <w:szCs w:val="22"/>
        </w:rPr>
        <w:t>alnych.</w:t>
      </w:r>
    </w:p>
    <w:p w14:paraId="2ED648CF" w14:textId="13E2F896" w:rsidR="00FC6378" w:rsidRPr="00064166" w:rsidRDefault="004A6318" w:rsidP="00FC6378">
      <w:pPr>
        <w:spacing w:line="276" w:lineRule="auto"/>
        <w:rPr>
          <w:noProof/>
          <w:sz w:val="22"/>
          <w:szCs w:val="22"/>
        </w:rPr>
      </w:pPr>
      <w:r w:rsidRPr="00064166">
        <w:rPr>
          <w:b/>
          <w:noProof/>
          <w:sz w:val="22"/>
          <w:szCs w:val="22"/>
        </w:rPr>
        <w:t>Ważne jest, aby państwa członkowskie stosowały zasady postępowania</w:t>
      </w:r>
      <w:r w:rsidR="00064166" w:rsidRPr="00064166">
        <w:rPr>
          <w:b/>
          <w:noProof/>
          <w:sz w:val="22"/>
          <w:szCs w:val="22"/>
        </w:rPr>
        <w:t xml:space="preserve"> w</w:t>
      </w:r>
      <w:r w:rsidR="00064166">
        <w:rPr>
          <w:b/>
          <w:noProof/>
          <w:sz w:val="22"/>
          <w:szCs w:val="22"/>
        </w:rPr>
        <w:t> </w:t>
      </w:r>
      <w:r w:rsidR="00064166" w:rsidRPr="00064166">
        <w:rPr>
          <w:b/>
          <w:noProof/>
          <w:sz w:val="22"/>
          <w:szCs w:val="22"/>
        </w:rPr>
        <w:t>syt</w:t>
      </w:r>
      <w:r w:rsidRPr="00064166">
        <w:rPr>
          <w:b/>
          <w:noProof/>
          <w:sz w:val="22"/>
          <w:szCs w:val="22"/>
        </w:rPr>
        <w:t>uacjach awaryjnych</w:t>
      </w:r>
      <w:r w:rsidR="00064166" w:rsidRPr="00064166">
        <w:rPr>
          <w:b/>
          <w:noProof/>
          <w:sz w:val="22"/>
          <w:szCs w:val="22"/>
        </w:rPr>
        <w:t xml:space="preserve"> i</w:t>
      </w:r>
      <w:r w:rsidR="00064166">
        <w:rPr>
          <w:b/>
          <w:noProof/>
          <w:sz w:val="22"/>
          <w:szCs w:val="22"/>
        </w:rPr>
        <w:t> </w:t>
      </w:r>
      <w:r w:rsidR="00064166" w:rsidRPr="00064166">
        <w:rPr>
          <w:b/>
          <w:noProof/>
          <w:sz w:val="22"/>
          <w:szCs w:val="22"/>
        </w:rPr>
        <w:t>w</w:t>
      </w:r>
      <w:r w:rsidR="00064166">
        <w:rPr>
          <w:b/>
          <w:noProof/>
          <w:sz w:val="22"/>
          <w:szCs w:val="22"/>
        </w:rPr>
        <w:t> </w:t>
      </w:r>
      <w:r w:rsidR="00064166" w:rsidRPr="00064166">
        <w:rPr>
          <w:b/>
          <w:noProof/>
          <w:sz w:val="22"/>
          <w:szCs w:val="22"/>
        </w:rPr>
        <w:t>peł</w:t>
      </w:r>
      <w:r w:rsidRPr="00064166">
        <w:rPr>
          <w:b/>
          <w:noProof/>
          <w:sz w:val="22"/>
          <w:szCs w:val="22"/>
        </w:rPr>
        <w:t>ni korzystały</w:t>
      </w:r>
      <w:r w:rsidR="00064166" w:rsidRPr="00064166">
        <w:rPr>
          <w:b/>
          <w:noProof/>
          <w:sz w:val="22"/>
          <w:szCs w:val="22"/>
        </w:rPr>
        <w:t xml:space="preserve"> z</w:t>
      </w:r>
      <w:r w:rsidR="00064166">
        <w:rPr>
          <w:b/>
          <w:noProof/>
          <w:sz w:val="22"/>
          <w:szCs w:val="22"/>
        </w:rPr>
        <w:t> </w:t>
      </w:r>
      <w:r w:rsidR="00064166" w:rsidRPr="00064166">
        <w:rPr>
          <w:b/>
          <w:noProof/>
          <w:sz w:val="22"/>
          <w:szCs w:val="22"/>
        </w:rPr>
        <w:t>prz</w:t>
      </w:r>
      <w:r w:rsidRPr="00064166">
        <w:rPr>
          <w:b/>
          <w:noProof/>
          <w:sz w:val="22"/>
          <w:szCs w:val="22"/>
        </w:rPr>
        <w:t>ygotowanego przez Komisję zestawu narzędzi na wypadek sytuacji awaryjnych, stosując poszczególne narzędzia stosownie do konkretnych problemów, które należy rozwiązać.</w:t>
      </w:r>
      <w:r w:rsidRPr="00064166">
        <w:rPr>
          <w:noProof/>
          <w:sz w:val="22"/>
          <w:szCs w:val="22"/>
        </w:rPr>
        <w:t xml:space="preserve"> Komisja będzie czynnie kierować tym procesem na potrzeby osiągnięcia gotowości do reagowania na kryzys we współpracy</w:t>
      </w:r>
      <w:r w:rsidR="00064166" w:rsidRPr="00064166">
        <w:rPr>
          <w:noProof/>
          <w:sz w:val="22"/>
          <w:szCs w:val="22"/>
        </w:rPr>
        <w:t xml:space="preserve"> z</w:t>
      </w:r>
      <w:r w:rsidR="00064166">
        <w:rPr>
          <w:noProof/>
          <w:sz w:val="22"/>
          <w:szCs w:val="22"/>
        </w:rPr>
        <w:t> </w:t>
      </w:r>
      <w:r w:rsidR="00064166" w:rsidRPr="00064166">
        <w:rPr>
          <w:noProof/>
          <w:sz w:val="22"/>
          <w:szCs w:val="22"/>
        </w:rPr>
        <w:t>age</w:t>
      </w:r>
      <w:r w:rsidRPr="00064166">
        <w:rPr>
          <w:noProof/>
          <w:sz w:val="22"/>
          <w:szCs w:val="22"/>
        </w:rPr>
        <w:t>ncjami UE</w:t>
      </w:r>
      <w:r w:rsidR="00064166" w:rsidRPr="00064166">
        <w:rPr>
          <w:noProof/>
          <w:sz w:val="22"/>
          <w:szCs w:val="22"/>
        </w:rPr>
        <w:t xml:space="preserve"> w</w:t>
      </w:r>
      <w:r w:rsidR="00064166">
        <w:rPr>
          <w:noProof/>
          <w:sz w:val="22"/>
          <w:szCs w:val="22"/>
        </w:rPr>
        <w:t> </w:t>
      </w:r>
      <w:r w:rsidR="00064166" w:rsidRPr="00064166">
        <w:rPr>
          <w:noProof/>
          <w:sz w:val="22"/>
          <w:szCs w:val="22"/>
        </w:rPr>
        <w:t>dro</w:t>
      </w:r>
      <w:r w:rsidRPr="00064166">
        <w:rPr>
          <w:noProof/>
          <w:sz w:val="22"/>
          <w:szCs w:val="22"/>
        </w:rPr>
        <w:t>dze koordynacji sieci krajowych punktów kontaktowych ds. transportu</w:t>
      </w:r>
      <w:r w:rsidR="00064166" w:rsidRPr="00064166">
        <w:rPr>
          <w:noProof/>
          <w:sz w:val="22"/>
          <w:szCs w:val="22"/>
        </w:rPr>
        <w:t xml:space="preserve"> i</w:t>
      </w:r>
      <w:r w:rsidR="00064166">
        <w:rPr>
          <w:noProof/>
          <w:sz w:val="22"/>
          <w:szCs w:val="22"/>
        </w:rPr>
        <w:t> </w:t>
      </w:r>
      <w:r w:rsidR="00064166" w:rsidRPr="00064166">
        <w:rPr>
          <w:noProof/>
          <w:sz w:val="22"/>
          <w:szCs w:val="22"/>
        </w:rPr>
        <w:t>pro</w:t>
      </w:r>
      <w:r w:rsidRPr="00064166">
        <w:rPr>
          <w:noProof/>
          <w:sz w:val="22"/>
          <w:szCs w:val="22"/>
        </w:rPr>
        <w:t>wadzenia regularnych dyskusji</w:t>
      </w:r>
      <w:r w:rsidR="00064166" w:rsidRPr="00064166">
        <w:rPr>
          <w:noProof/>
          <w:sz w:val="22"/>
          <w:szCs w:val="22"/>
        </w:rPr>
        <w:t xml:space="preserve"> z</w:t>
      </w:r>
      <w:r w:rsidR="00064166">
        <w:rPr>
          <w:noProof/>
          <w:sz w:val="22"/>
          <w:szCs w:val="22"/>
        </w:rPr>
        <w:t> </w:t>
      </w:r>
      <w:r w:rsidR="00064166" w:rsidRPr="00064166">
        <w:rPr>
          <w:noProof/>
          <w:sz w:val="22"/>
          <w:szCs w:val="22"/>
        </w:rPr>
        <w:t>mię</w:t>
      </w:r>
      <w:r w:rsidRPr="00064166">
        <w:rPr>
          <w:noProof/>
          <w:sz w:val="22"/>
          <w:szCs w:val="22"/>
        </w:rPr>
        <w:t>dzynarodowymi partnerami</w:t>
      </w:r>
      <w:r w:rsidR="00064166" w:rsidRPr="00064166">
        <w:rPr>
          <w:noProof/>
          <w:sz w:val="22"/>
          <w:szCs w:val="22"/>
        </w:rPr>
        <w:t xml:space="preserve"> i</w:t>
      </w:r>
      <w:r w:rsidR="00064166">
        <w:rPr>
          <w:noProof/>
          <w:sz w:val="22"/>
          <w:szCs w:val="22"/>
        </w:rPr>
        <w:t> </w:t>
      </w:r>
      <w:r w:rsidR="00064166" w:rsidRPr="00064166">
        <w:rPr>
          <w:noProof/>
          <w:sz w:val="22"/>
          <w:szCs w:val="22"/>
        </w:rPr>
        <w:t>zai</w:t>
      </w:r>
      <w:r w:rsidRPr="00064166">
        <w:rPr>
          <w:noProof/>
          <w:sz w:val="22"/>
          <w:szCs w:val="22"/>
        </w:rPr>
        <w:t xml:space="preserve">nteresowanymi stronami. </w:t>
      </w:r>
    </w:p>
    <w:p w14:paraId="6DB4089C" w14:textId="34791C2A" w:rsidR="00FC6378" w:rsidRPr="00064166" w:rsidRDefault="006D726B" w:rsidP="00FC6378">
      <w:pPr>
        <w:spacing w:line="276" w:lineRule="auto"/>
        <w:rPr>
          <w:noProof/>
          <w:sz w:val="22"/>
          <w:szCs w:val="22"/>
        </w:rPr>
      </w:pPr>
      <w:r w:rsidRPr="00064166">
        <w:rPr>
          <w:b/>
          <w:noProof/>
          <w:sz w:val="22"/>
          <w:szCs w:val="22"/>
        </w:rPr>
        <w:t>Komisja wesprze państwa członkowskie</w:t>
      </w:r>
      <w:r w:rsidR="00064166" w:rsidRPr="00064166">
        <w:rPr>
          <w:b/>
          <w:noProof/>
          <w:sz w:val="22"/>
          <w:szCs w:val="22"/>
        </w:rPr>
        <w:t xml:space="preserve"> w</w:t>
      </w:r>
      <w:r w:rsidR="00064166">
        <w:rPr>
          <w:b/>
          <w:noProof/>
          <w:sz w:val="22"/>
          <w:szCs w:val="22"/>
        </w:rPr>
        <w:t> </w:t>
      </w:r>
      <w:r w:rsidR="00064166" w:rsidRPr="00064166">
        <w:rPr>
          <w:b/>
          <w:noProof/>
          <w:sz w:val="22"/>
          <w:szCs w:val="22"/>
        </w:rPr>
        <w:t>zwi</w:t>
      </w:r>
      <w:r w:rsidRPr="00064166">
        <w:rPr>
          <w:b/>
          <w:noProof/>
          <w:sz w:val="22"/>
          <w:szCs w:val="22"/>
        </w:rPr>
        <w:t>ększaniu ich gotowości na wypadek sytuacji kryzysowej.</w:t>
      </w:r>
      <w:r w:rsidR="0052698C" w:rsidRPr="00064166">
        <w:rPr>
          <w:b/>
          <w:noProof/>
          <w:sz w:val="22"/>
          <w:szCs w:val="22"/>
        </w:rPr>
        <w:t xml:space="preserve"> </w:t>
      </w:r>
      <w:r w:rsidRPr="00064166">
        <w:rPr>
          <w:noProof/>
          <w:sz w:val="22"/>
          <w:szCs w:val="22"/>
        </w:rPr>
        <w:t>Państwa członkowskie powinny zintensyfikować współpracę</w:t>
      </w:r>
      <w:r w:rsidR="00064166" w:rsidRPr="00064166">
        <w:rPr>
          <w:noProof/>
          <w:sz w:val="22"/>
          <w:szCs w:val="22"/>
        </w:rPr>
        <w:t xml:space="preserve"> i</w:t>
      </w:r>
      <w:r w:rsidR="00064166">
        <w:rPr>
          <w:noProof/>
          <w:sz w:val="22"/>
          <w:szCs w:val="22"/>
        </w:rPr>
        <w:t> </w:t>
      </w:r>
      <w:r w:rsidR="00064166" w:rsidRPr="00064166">
        <w:rPr>
          <w:noProof/>
          <w:sz w:val="22"/>
          <w:szCs w:val="22"/>
        </w:rPr>
        <w:t>dys</w:t>
      </w:r>
      <w:r w:rsidRPr="00064166">
        <w:rPr>
          <w:noProof/>
          <w:sz w:val="22"/>
          <w:szCs w:val="22"/>
        </w:rPr>
        <w:t>kusję</w:t>
      </w:r>
      <w:r w:rsidR="00064166" w:rsidRPr="00064166">
        <w:rPr>
          <w:noProof/>
          <w:sz w:val="22"/>
          <w:szCs w:val="22"/>
        </w:rPr>
        <w:t xml:space="preserve"> z</w:t>
      </w:r>
      <w:r w:rsidR="00064166">
        <w:rPr>
          <w:noProof/>
          <w:sz w:val="22"/>
          <w:szCs w:val="22"/>
        </w:rPr>
        <w:t> </w:t>
      </w:r>
      <w:r w:rsidR="00064166" w:rsidRPr="00064166">
        <w:rPr>
          <w:noProof/>
          <w:sz w:val="22"/>
          <w:szCs w:val="22"/>
        </w:rPr>
        <w:t>zai</w:t>
      </w:r>
      <w:r w:rsidRPr="00064166">
        <w:rPr>
          <w:noProof/>
          <w:sz w:val="22"/>
          <w:szCs w:val="22"/>
        </w:rPr>
        <w:t>nteresowanymi stronami, aby zwiększyć ich gotowość</w:t>
      </w:r>
      <w:r w:rsidR="00064166" w:rsidRPr="00064166">
        <w:rPr>
          <w:noProof/>
          <w:sz w:val="22"/>
          <w:szCs w:val="22"/>
        </w:rPr>
        <w:t xml:space="preserve"> i</w:t>
      </w:r>
      <w:r w:rsidR="00064166">
        <w:rPr>
          <w:noProof/>
          <w:sz w:val="22"/>
          <w:szCs w:val="22"/>
        </w:rPr>
        <w:t> </w:t>
      </w:r>
      <w:r w:rsidR="00064166" w:rsidRPr="00064166">
        <w:rPr>
          <w:noProof/>
          <w:sz w:val="22"/>
          <w:szCs w:val="22"/>
        </w:rPr>
        <w:t>rea</w:t>
      </w:r>
      <w:r w:rsidRPr="00064166">
        <w:rPr>
          <w:noProof/>
          <w:sz w:val="22"/>
          <w:szCs w:val="22"/>
        </w:rPr>
        <w:t>gowanie na kryzys mający wpływ na sektor transportu, na podstawie doświadczeń uzyskanych</w:t>
      </w:r>
      <w:r w:rsidR="00064166" w:rsidRPr="00064166">
        <w:rPr>
          <w:noProof/>
          <w:sz w:val="22"/>
          <w:szCs w:val="22"/>
        </w:rPr>
        <w:t xml:space="preserve"> w</w:t>
      </w:r>
      <w:r w:rsidR="00064166">
        <w:rPr>
          <w:noProof/>
          <w:sz w:val="22"/>
          <w:szCs w:val="22"/>
        </w:rPr>
        <w:t> </w:t>
      </w:r>
      <w:r w:rsidR="00064166" w:rsidRPr="00064166">
        <w:rPr>
          <w:noProof/>
          <w:sz w:val="22"/>
          <w:szCs w:val="22"/>
        </w:rPr>
        <w:t>zwi</w:t>
      </w:r>
      <w:r w:rsidRPr="00064166">
        <w:rPr>
          <w:noProof/>
          <w:sz w:val="22"/>
          <w:szCs w:val="22"/>
        </w:rPr>
        <w:t>ązku</w:t>
      </w:r>
      <w:r w:rsidR="00064166" w:rsidRPr="00064166">
        <w:rPr>
          <w:noProof/>
          <w:sz w:val="22"/>
          <w:szCs w:val="22"/>
        </w:rPr>
        <w:t xml:space="preserve"> z</w:t>
      </w:r>
      <w:r w:rsidR="00064166">
        <w:rPr>
          <w:noProof/>
          <w:sz w:val="22"/>
          <w:szCs w:val="22"/>
        </w:rPr>
        <w:t> </w:t>
      </w:r>
      <w:r w:rsidR="00064166" w:rsidRPr="00064166">
        <w:rPr>
          <w:noProof/>
          <w:sz w:val="22"/>
          <w:szCs w:val="22"/>
        </w:rPr>
        <w:t>pan</w:t>
      </w:r>
      <w:r w:rsidRPr="00064166">
        <w:rPr>
          <w:noProof/>
          <w:sz w:val="22"/>
          <w:szCs w:val="22"/>
        </w:rPr>
        <w:t>demią COVID-19</w:t>
      </w:r>
      <w:r w:rsidR="00064166" w:rsidRPr="00064166">
        <w:rPr>
          <w:noProof/>
          <w:sz w:val="22"/>
          <w:szCs w:val="22"/>
        </w:rPr>
        <w:t xml:space="preserve"> i</w:t>
      </w:r>
      <w:r w:rsidR="00064166">
        <w:rPr>
          <w:noProof/>
          <w:sz w:val="22"/>
          <w:szCs w:val="22"/>
        </w:rPr>
        <w:t> </w:t>
      </w:r>
      <w:r w:rsidR="00064166" w:rsidRPr="00064166">
        <w:rPr>
          <w:noProof/>
          <w:sz w:val="22"/>
          <w:szCs w:val="22"/>
        </w:rPr>
        <w:t>kry</w:t>
      </w:r>
      <w:r w:rsidRPr="00064166">
        <w:rPr>
          <w:noProof/>
          <w:sz w:val="22"/>
          <w:szCs w:val="22"/>
        </w:rPr>
        <w:t>zysem związanym</w:t>
      </w:r>
      <w:r w:rsidR="00064166" w:rsidRPr="00064166">
        <w:rPr>
          <w:noProof/>
          <w:sz w:val="22"/>
          <w:szCs w:val="22"/>
        </w:rPr>
        <w:t xml:space="preserve"> z</w:t>
      </w:r>
      <w:r w:rsidR="00064166">
        <w:rPr>
          <w:noProof/>
          <w:sz w:val="22"/>
          <w:szCs w:val="22"/>
        </w:rPr>
        <w:t> </w:t>
      </w:r>
      <w:r w:rsidR="00064166" w:rsidRPr="00064166">
        <w:rPr>
          <w:noProof/>
          <w:sz w:val="22"/>
          <w:szCs w:val="22"/>
        </w:rPr>
        <w:t>syt</w:t>
      </w:r>
      <w:r w:rsidRPr="00064166">
        <w:rPr>
          <w:noProof/>
          <w:sz w:val="22"/>
          <w:szCs w:val="22"/>
        </w:rPr>
        <w:t>uacją</w:t>
      </w:r>
      <w:r w:rsidR="00064166" w:rsidRPr="00064166">
        <w:rPr>
          <w:noProof/>
          <w:sz w:val="22"/>
          <w:szCs w:val="22"/>
        </w:rPr>
        <w:t xml:space="preserve"> w</w:t>
      </w:r>
      <w:r w:rsidR="00064166">
        <w:rPr>
          <w:noProof/>
          <w:sz w:val="22"/>
          <w:szCs w:val="22"/>
        </w:rPr>
        <w:t> </w:t>
      </w:r>
      <w:r w:rsidR="00064166" w:rsidRPr="00064166">
        <w:rPr>
          <w:noProof/>
          <w:sz w:val="22"/>
          <w:szCs w:val="22"/>
        </w:rPr>
        <w:t>Ukr</w:t>
      </w:r>
      <w:r w:rsidRPr="00064166">
        <w:rPr>
          <w:noProof/>
          <w:sz w:val="22"/>
          <w:szCs w:val="22"/>
        </w:rPr>
        <w:t>ainie oraz testu dotyczącego różnych sytuacji awaryjnych. Komisja wesprze ten proces również poprzez organizację regularnego testu symulacji kryzysów we współpracy</w:t>
      </w:r>
      <w:r w:rsidR="00064166" w:rsidRPr="00064166">
        <w:rPr>
          <w:noProof/>
          <w:sz w:val="22"/>
          <w:szCs w:val="22"/>
        </w:rPr>
        <w:t xml:space="preserve"> z</w:t>
      </w:r>
      <w:r w:rsidR="00064166">
        <w:rPr>
          <w:noProof/>
          <w:sz w:val="22"/>
          <w:szCs w:val="22"/>
        </w:rPr>
        <w:t> </w:t>
      </w:r>
      <w:r w:rsidR="00064166" w:rsidRPr="00064166">
        <w:rPr>
          <w:noProof/>
          <w:sz w:val="22"/>
          <w:szCs w:val="22"/>
        </w:rPr>
        <w:t>age</w:t>
      </w:r>
      <w:r w:rsidRPr="00064166">
        <w:rPr>
          <w:noProof/>
          <w:sz w:val="22"/>
          <w:szCs w:val="22"/>
        </w:rPr>
        <w:t>ncjami UE oraz udostępnianie wyciągniętych wniosków.</w:t>
      </w:r>
    </w:p>
    <w:p w14:paraId="2EBB3997" w14:textId="3991AD8D" w:rsidR="00FC6378" w:rsidRPr="00064166" w:rsidRDefault="00FC6378" w:rsidP="00FC6378">
      <w:pPr>
        <w:spacing w:line="276" w:lineRule="auto"/>
        <w:rPr>
          <w:noProof/>
          <w:sz w:val="22"/>
          <w:szCs w:val="22"/>
        </w:rPr>
      </w:pPr>
      <w:r w:rsidRPr="00064166">
        <w:rPr>
          <w:b/>
          <w:noProof/>
          <w:sz w:val="22"/>
          <w:szCs w:val="22"/>
        </w:rPr>
        <w:t>Komisja wzywa Parlament</w:t>
      </w:r>
      <w:r w:rsidR="00064166" w:rsidRPr="00064166">
        <w:rPr>
          <w:b/>
          <w:noProof/>
          <w:sz w:val="22"/>
          <w:szCs w:val="22"/>
        </w:rPr>
        <w:t xml:space="preserve"> i</w:t>
      </w:r>
      <w:r w:rsidR="00064166">
        <w:rPr>
          <w:b/>
          <w:noProof/>
          <w:sz w:val="22"/>
          <w:szCs w:val="22"/>
        </w:rPr>
        <w:t> </w:t>
      </w:r>
      <w:r w:rsidR="00064166" w:rsidRPr="00064166">
        <w:rPr>
          <w:b/>
          <w:noProof/>
          <w:sz w:val="22"/>
          <w:szCs w:val="22"/>
        </w:rPr>
        <w:t>Rad</w:t>
      </w:r>
      <w:r w:rsidRPr="00064166">
        <w:rPr>
          <w:b/>
          <w:noProof/>
          <w:sz w:val="22"/>
          <w:szCs w:val="22"/>
        </w:rPr>
        <w:t>ę do pełnego zaangażowania się</w:t>
      </w:r>
      <w:r w:rsidR="00064166" w:rsidRPr="00064166">
        <w:rPr>
          <w:b/>
          <w:noProof/>
          <w:sz w:val="22"/>
          <w:szCs w:val="22"/>
        </w:rPr>
        <w:t xml:space="preserve"> w</w:t>
      </w:r>
      <w:r w:rsidR="00064166">
        <w:rPr>
          <w:b/>
          <w:noProof/>
          <w:sz w:val="22"/>
          <w:szCs w:val="22"/>
        </w:rPr>
        <w:t> </w:t>
      </w:r>
      <w:r w:rsidR="00064166" w:rsidRPr="00064166">
        <w:rPr>
          <w:b/>
          <w:noProof/>
          <w:sz w:val="22"/>
          <w:szCs w:val="22"/>
        </w:rPr>
        <w:t>pra</w:t>
      </w:r>
      <w:r w:rsidRPr="00064166">
        <w:rPr>
          <w:b/>
          <w:noProof/>
          <w:sz w:val="22"/>
          <w:szCs w:val="22"/>
        </w:rPr>
        <w:t>ce legislacyjne mające na celu modernizację</w:t>
      </w:r>
      <w:r w:rsidR="00064166" w:rsidRPr="00064166">
        <w:rPr>
          <w:b/>
          <w:noProof/>
          <w:sz w:val="22"/>
          <w:szCs w:val="22"/>
        </w:rPr>
        <w:t xml:space="preserve"> i</w:t>
      </w:r>
      <w:r w:rsidR="00064166">
        <w:rPr>
          <w:b/>
          <w:noProof/>
          <w:sz w:val="22"/>
          <w:szCs w:val="22"/>
        </w:rPr>
        <w:t> </w:t>
      </w:r>
      <w:r w:rsidR="00064166" w:rsidRPr="00064166">
        <w:rPr>
          <w:b/>
          <w:noProof/>
          <w:sz w:val="22"/>
          <w:szCs w:val="22"/>
        </w:rPr>
        <w:t>zwi</w:t>
      </w:r>
      <w:r w:rsidRPr="00064166">
        <w:rPr>
          <w:b/>
          <w:noProof/>
          <w:sz w:val="22"/>
          <w:szCs w:val="22"/>
        </w:rPr>
        <w:t>ększenie odporności unijnego sektora transportu.</w:t>
      </w:r>
      <w:r w:rsidRPr="00064166">
        <w:rPr>
          <w:noProof/>
          <w:sz w:val="22"/>
          <w:szCs w:val="22"/>
        </w:rPr>
        <w:t xml:space="preserve"> Ważną kwestią pozwalającą osiągnąć długoterminową odporność transportu UE będzie ukończenie prac nad przyszłymi wnioskami dotyczącymi TEN-T, inteligentnego systemu transportowego, jednolitej europejskiej przestrzeni powietrznej, ReFuelEU Aviation, FuelEU Maritime</w:t>
      </w:r>
      <w:r w:rsidR="00064166" w:rsidRPr="00064166">
        <w:rPr>
          <w:noProof/>
          <w:sz w:val="22"/>
          <w:szCs w:val="22"/>
        </w:rPr>
        <w:t xml:space="preserve"> i</w:t>
      </w:r>
      <w:r w:rsidR="00064166">
        <w:rPr>
          <w:noProof/>
          <w:sz w:val="22"/>
          <w:szCs w:val="22"/>
        </w:rPr>
        <w:t> </w:t>
      </w:r>
      <w:r w:rsidR="00064166" w:rsidRPr="00064166">
        <w:rPr>
          <w:noProof/>
          <w:sz w:val="22"/>
          <w:szCs w:val="22"/>
        </w:rPr>
        <w:t>roz</w:t>
      </w:r>
      <w:r w:rsidRPr="00064166">
        <w:rPr>
          <w:noProof/>
          <w:sz w:val="22"/>
          <w:szCs w:val="22"/>
        </w:rPr>
        <w:t>porządzenia</w:t>
      </w:r>
      <w:r w:rsidR="00064166" w:rsidRPr="00064166">
        <w:rPr>
          <w:noProof/>
          <w:sz w:val="22"/>
          <w:szCs w:val="22"/>
        </w:rPr>
        <w:t xml:space="preserve"> w</w:t>
      </w:r>
      <w:r w:rsidR="00064166">
        <w:rPr>
          <w:noProof/>
          <w:sz w:val="22"/>
          <w:szCs w:val="22"/>
        </w:rPr>
        <w:t> </w:t>
      </w:r>
      <w:r w:rsidR="00064166" w:rsidRPr="00064166">
        <w:rPr>
          <w:noProof/>
          <w:sz w:val="22"/>
          <w:szCs w:val="22"/>
        </w:rPr>
        <w:t>spr</w:t>
      </w:r>
      <w:r w:rsidRPr="00064166">
        <w:rPr>
          <w:noProof/>
          <w:sz w:val="22"/>
          <w:szCs w:val="22"/>
        </w:rPr>
        <w:t>awie infrastruktury paliw alternatywnych. Władze lokalne</w:t>
      </w:r>
      <w:r w:rsidR="00064166" w:rsidRPr="00064166">
        <w:rPr>
          <w:noProof/>
          <w:sz w:val="22"/>
          <w:szCs w:val="22"/>
        </w:rPr>
        <w:t xml:space="preserve"> i</w:t>
      </w:r>
      <w:r w:rsidR="00064166">
        <w:rPr>
          <w:noProof/>
          <w:sz w:val="22"/>
          <w:szCs w:val="22"/>
        </w:rPr>
        <w:t> </w:t>
      </w:r>
      <w:r w:rsidR="00064166" w:rsidRPr="00064166">
        <w:rPr>
          <w:noProof/>
          <w:sz w:val="22"/>
          <w:szCs w:val="22"/>
        </w:rPr>
        <w:t>reg</w:t>
      </w:r>
      <w:r w:rsidRPr="00064166">
        <w:rPr>
          <w:noProof/>
          <w:sz w:val="22"/>
          <w:szCs w:val="22"/>
        </w:rPr>
        <w:t>ionalne w UE powinny również współpracować</w:t>
      </w:r>
      <w:r w:rsidR="00064166" w:rsidRPr="00064166">
        <w:rPr>
          <w:noProof/>
          <w:sz w:val="22"/>
          <w:szCs w:val="22"/>
        </w:rPr>
        <w:t xml:space="preserve"> z</w:t>
      </w:r>
      <w:r w:rsidR="00064166">
        <w:rPr>
          <w:noProof/>
          <w:sz w:val="22"/>
          <w:szCs w:val="22"/>
        </w:rPr>
        <w:t> </w:t>
      </w:r>
      <w:r w:rsidR="00064166" w:rsidRPr="00064166">
        <w:rPr>
          <w:noProof/>
          <w:sz w:val="22"/>
          <w:szCs w:val="22"/>
        </w:rPr>
        <w:t>Kom</w:t>
      </w:r>
      <w:r w:rsidRPr="00064166">
        <w:rPr>
          <w:noProof/>
          <w:sz w:val="22"/>
          <w:szCs w:val="22"/>
        </w:rPr>
        <w:t>isją</w:t>
      </w:r>
      <w:r w:rsidR="00064166" w:rsidRPr="00064166">
        <w:rPr>
          <w:noProof/>
          <w:sz w:val="22"/>
          <w:szCs w:val="22"/>
        </w:rPr>
        <w:t xml:space="preserve"> z</w:t>
      </w:r>
      <w:r w:rsidR="00064166">
        <w:rPr>
          <w:noProof/>
          <w:sz w:val="22"/>
          <w:szCs w:val="22"/>
        </w:rPr>
        <w:t> </w:t>
      </w:r>
      <w:r w:rsidR="00064166" w:rsidRPr="00064166">
        <w:rPr>
          <w:noProof/>
          <w:sz w:val="22"/>
          <w:szCs w:val="22"/>
        </w:rPr>
        <w:t>myś</w:t>
      </w:r>
      <w:r w:rsidRPr="00064166">
        <w:rPr>
          <w:noProof/>
          <w:sz w:val="22"/>
          <w:szCs w:val="22"/>
        </w:rPr>
        <w:t>lą</w:t>
      </w:r>
      <w:r w:rsidR="00064166" w:rsidRPr="00064166">
        <w:rPr>
          <w:noProof/>
          <w:sz w:val="22"/>
          <w:szCs w:val="22"/>
        </w:rPr>
        <w:t xml:space="preserve"> o</w:t>
      </w:r>
      <w:r w:rsidR="00064166">
        <w:rPr>
          <w:noProof/>
          <w:sz w:val="22"/>
          <w:szCs w:val="22"/>
        </w:rPr>
        <w:t> </w:t>
      </w:r>
      <w:r w:rsidR="00064166" w:rsidRPr="00064166">
        <w:rPr>
          <w:noProof/>
          <w:sz w:val="22"/>
          <w:szCs w:val="22"/>
        </w:rPr>
        <w:t>pop</w:t>
      </w:r>
      <w:r w:rsidRPr="00064166">
        <w:rPr>
          <w:noProof/>
          <w:sz w:val="22"/>
          <w:szCs w:val="22"/>
        </w:rPr>
        <w:t>rawie mobilności miejskiej, zgodnie</w:t>
      </w:r>
      <w:r w:rsidR="00064166" w:rsidRPr="00064166">
        <w:rPr>
          <w:noProof/>
          <w:sz w:val="22"/>
          <w:szCs w:val="22"/>
        </w:rPr>
        <w:t xml:space="preserve"> z</w:t>
      </w:r>
      <w:r w:rsidR="00064166">
        <w:rPr>
          <w:noProof/>
          <w:sz w:val="22"/>
          <w:szCs w:val="22"/>
        </w:rPr>
        <w:t> </w:t>
      </w:r>
      <w:r w:rsidR="00064166" w:rsidRPr="00064166">
        <w:rPr>
          <w:noProof/>
          <w:sz w:val="22"/>
          <w:szCs w:val="22"/>
        </w:rPr>
        <w:t>now</w:t>
      </w:r>
      <w:r w:rsidRPr="00064166">
        <w:rPr>
          <w:noProof/>
          <w:sz w:val="22"/>
          <w:szCs w:val="22"/>
        </w:rPr>
        <w:t>ymi ramami mobilności miejskiej.</w:t>
      </w:r>
    </w:p>
    <w:p w14:paraId="5F9D2581" w14:textId="77777777" w:rsidR="00932966" w:rsidRPr="00064166" w:rsidRDefault="00FC6378" w:rsidP="003156B2">
      <w:pPr>
        <w:spacing w:line="276" w:lineRule="auto"/>
        <w:rPr>
          <w:noProof/>
        </w:rPr>
      </w:pPr>
      <w:r w:rsidRPr="00064166">
        <w:rPr>
          <w:noProof/>
          <w:sz w:val="22"/>
          <w:szCs w:val="22"/>
        </w:rPr>
        <w:t xml:space="preserve"> </w:t>
      </w:r>
    </w:p>
    <w:sectPr w:rsidR="00932966" w:rsidRPr="00064166">
      <w:headerReference w:type="even" r:id="rId17"/>
      <w:headerReference w:type="default" r:id="rId18"/>
      <w:footerReference w:type="even" r:id="rId19"/>
      <w:footerReference w:type="default" r:id="rId20"/>
      <w:headerReference w:type="first" r:id="rId21"/>
      <w:footerReference w:type="first" r:id="rId22"/>
      <w:pgSz w:w="11906" w:h="16838"/>
      <w:pgMar w:top="1276" w:right="1274" w:bottom="851"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8B427" w14:textId="77777777" w:rsidR="008A6858" w:rsidRPr="00064166" w:rsidRDefault="008A6858" w:rsidP="00FC6378">
      <w:pPr>
        <w:spacing w:after="0"/>
      </w:pPr>
      <w:r w:rsidRPr="00064166">
        <w:separator/>
      </w:r>
    </w:p>
  </w:endnote>
  <w:endnote w:type="continuationSeparator" w:id="0">
    <w:p w14:paraId="01FFF61F" w14:textId="77777777" w:rsidR="008A6858" w:rsidRPr="00064166" w:rsidRDefault="008A6858" w:rsidP="00FC6378">
      <w:pPr>
        <w:spacing w:after="0"/>
      </w:pPr>
      <w:r w:rsidRPr="00064166">
        <w:continuationSeparator/>
      </w:r>
    </w:p>
  </w:endnote>
  <w:endnote w:type="continuationNotice" w:id="1">
    <w:p w14:paraId="1935F5AA" w14:textId="77777777" w:rsidR="008A6858" w:rsidRPr="00064166" w:rsidRDefault="008A6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6E7C" w14:textId="77777777" w:rsidR="00B77FCC" w:rsidRPr="00B77FCC" w:rsidRDefault="00B77FCC" w:rsidP="00B77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B031" w14:textId="065414A9" w:rsidR="00064166" w:rsidRPr="00B77FCC" w:rsidRDefault="00B77FCC" w:rsidP="00B77FCC">
    <w:pPr>
      <w:pStyle w:val="FooterCoverPage"/>
      <w:rPr>
        <w:rFonts w:ascii="Arial" w:hAnsi="Arial" w:cs="Arial"/>
        <w:b/>
        <w:sz w:val="48"/>
      </w:rPr>
    </w:pPr>
    <w:r w:rsidRPr="00B77FCC">
      <w:rPr>
        <w:rFonts w:ascii="Arial" w:hAnsi="Arial" w:cs="Arial"/>
        <w:b/>
        <w:sz w:val="48"/>
      </w:rPr>
      <w:t>PL</w:t>
    </w:r>
    <w:r w:rsidRPr="00B77FCC">
      <w:rPr>
        <w:rFonts w:ascii="Arial" w:hAnsi="Arial" w:cs="Arial"/>
        <w:b/>
        <w:sz w:val="48"/>
      </w:rPr>
      <w:tab/>
    </w:r>
    <w:r w:rsidRPr="00B77FCC">
      <w:rPr>
        <w:rFonts w:ascii="Arial" w:hAnsi="Arial" w:cs="Arial"/>
        <w:b/>
        <w:sz w:val="48"/>
      </w:rPr>
      <w:tab/>
    </w:r>
    <w:r w:rsidRPr="00B77FCC">
      <w:tab/>
    </w:r>
    <w:r w:rsidRPr="00B77FCC">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3D0D7" w14:textId="77777777" w:rsidR="00B77FCC" w:rsidRPr="00B77FCC" w:rsidRDefault="00B77FCC" w:rsidP="00B77FC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C62C" w14:textId="77777777" w:rsidR="009531A3" w:rsidRDefault="009531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614031"/>
      <w:docPartObj>
        <w:docPartGallery w:val="Page Numbers (Bottom of Page)"/>
        <w:docPartUnique/>
      </w:docPartObj>
    </w:sdtPr>
    <w:sdtEndPr>
      <w:rPr>
        <w:noProof/>
      </w:rPr>
    </w:sdtEndPr>
    <w:sdtContent>
      <w:p w14:paraId="2B016B91" w14:textId="1E98C10D" w:rsidR="009531A3" w:rsidRDefault="009531A3">
        <w:pPr>
          <w:pStyle w:val="Footer"/>
          <w:jc w:val="center"/>
        </w:pPr>
        <w:r>
          <w:fldChar w:fldCharType="begin"/>
        </w:r>
        <w:r>
          <w:instrText xml:space="preserve"> PAGE   \* MERGEFORMAT </w:instrText>
        </w:r>
        <w:r>
          <w:fldChar w:fldCharType="separate"/>
        </w:r>
        <w:r w:rsidR="00B77FCC" w:rsidRPr="00B77FCC">
          <w:rPr>
            <w:rFonts w:cstheme="minorBidi"/>
            <w:noProof/>
          </w:rPr>
          <w:t>1</w:t>
        </w:r>
        <w:r>
          <w:fldChar w:fldCharType="end"/>
        </w:r>
      </w:p>
    </w:sdtContent>
  </w:sdt>
  <w:p w14:paraId="708861FB" w14:textId="77777777" w:rsidR="009531A3" w:rsidRDefault="009531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DD1E" w14:textId="77777777" w:rsidR="009531A3" w:rsidRDefault="00953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BFA9F" w14:textId="77777777" w:rsidR="008A6858" w:rsidRPr="00064166" w:rsidRDefault="008A6858" w:rsidP="00FC6378">
      <w:pPr>
        <w:spacing w:after="0"/>
      </w:pPr>
      <w:r w:rsidRPr="00064166">
        <w:separator/>
      </w:r>
    </w:p>
  </w:footnote>
  <w:footnote w:type="continuationSeparator" w:id="0">
    <w:p w14:paraId="62A0BCFA" w14:textId="77777777" w:rsidR="008A6858" w:rsidRPr="00064166" w:rsidRDefault="008A6858" w:rsidP="00FC6378">
      <w:pPr>
        <w:spacing w:after="0"/>
      </w:pPr>
      <w:r w:rsidRPr="00064166">
        <w:continuationSeparator/>
      </w:r>
    </w:p>
  </w:footnote>
  <w:footnote w:type="continuationNotice" w:id="1">
    <w:p w14:paraId="55243BDB" w14:textId="77777777" w:rsidR="008A6858" w:rsidRPr="00064166" w:rsidRDefault="008A6858">
      <w:pPr>
        <w:spacing w:after="0"/>
      </w:pPr>
    </w:p>
  </w:footnote>
  <w:footnote w:id="2">
    <w:p w14:paraId="7A735339" w14:textId="29EBDA5C"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 2020</w:t>
      </w:r>
      <w:r w:rsidR="00064166" w:rsidRPr="00064166">
        <w:rPr>
          <w:rStyle w:val="footnotereference0"/>
        </w:rPr>
        <w:t> </w:t>
      </w:r>
      <w:r w:rsidRPr="00064166">
        <w:rPr>
          <w:rStyle w:val="footnotereference0"/>
        </w:rPr>
        <w:t>r. ruch lotniczy</w:t>
      </w:r>
      <w:r w:rsidR="00064166" w:rsidRPr="00064166">
        <w:rPr>
          <w:rStyle w:val="footnotereference0"/>
        </w:rPr>
        <w:t xml:space="preserve"> w</w:t>
      </w:r>
      <w:r w:rsidR="00064166">
        <w:rPr>
          <w:rStyle w:val="footnotereference0"/>
        </w:rPr>
        <w:t> </w:t>
      </w:r>
      <w:r w:rsidR="00064166" w:rsidRPr="00064166">
        <w:rPr>
          <w:rStyle w:val="footnotereference0"/>
        </w:rPr>
        <w:t>Eur</w:t>
      </w:r>
      <w:r w:rsidRPr="00064166">
        <w:rPr>
          <w:rStyle w:val="footnotereference0"/>
        </w:rPr>
        <w:t>opie wyniósł 45</w:t>
      </w:r>
      <w:r w:rsidR="00064166" w:rsidRPr="00064166">
        <w:rPr>
          <w:rStyle w:val="footnotereference0"/>
        </w:rPr>
        <w:t> </w:t>
      </w:r>
      <w:r w:rsidRPr="00064166">
        <w:rPr>
          <w:rStyle w:val="footnotereference0"/>
        </w:rPr>
        <w:t>% poziomu</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019</w:t>
      </w:r>
      <w:r w:rsidR="00064166" w:rsidRPr="00064166">
        <w:rPr>
          <w:rStyle w:val="footnotereference0"/>
        </w:rPr>
        <w:t> </w:t>
      </w:r>
      <w:r w:rsidRPr="00064166">
        <w:rPr>
          <w:rStyle w:val="footnotereference0"/>
        </w:rPr>
        <w:t>r.</w:t>
      </w:r>
      <w:r w:rsidR="00064166" w:rsidRPr="00064166">
        <w:rPr>
          <w:rStyle w:val="footnotereference0"/>
        </w:rPr>
        <w:t xml:space="preserve"> i</w:t>
      </w:r>
      <w:r w:rsidR="00064166">
        <w:rPr>
          <w:rStyle w:val="footnotereference0"/>
        </w:rPr>
        <w:t> </w:t>
      </w:r>
      <w:r w:rsidR="00064166" w:rsidRPr="00064166">
        <w:rPr>
          <w:rStyle w:val="footnotereference0"/>
        </w:rPr>
        <w:t>w</w:t>
      </w:r>
      <w:r w:rsidR="00064166">
        <w:rPr>
          <w:rStyle w:val="footnotereference0"/>
        </w:rPr>
        <w:t> </w:t>
      </w:r>
      <w:r w:rsidR="00064166" w:rsidRPr="00064166">
        <w:rPr>
          <w:rStyle w:val="footnotereference0"/>
        </w:rPr>
        <w:t>rez</w:t>
      </w:r>
      <w:r w:rsidRPr="00064166">
        <w:rPr>
          <w:rStyle w:val="footnotereference0"/>
        </w:rPr>
        <w:t>ultacie liczba pasażerów zmniejszyła się</w:t>
      </w:r>
      <w:r w:rsidR="00064166" w:rsidRPr="00064166">
        <w:rPr>
          <w:rStyle w:val="footnotereference0"/>
        </w:rPr>
        <w:t xml:space="preserve"> o</w:t>
      </w:r>
      <w:r w:rsidR="00064166">
        <w:rPr>
          <w:rStyle w:val="footnotereference0"/>
        </w:rPr>
        <w:t> </w:t>
      </w:r>
      <w:r w:rsidR="00064166" w:rsidRPr="00064166">
        <w:rPr>
          <w:rStyle w:val="footnotereference0"/>
        </w:rPr>
        <w:t>pon</w:t>
      </w:r>
      <w:r w:rsidRPr="00064166">
        <w:rPr>
          <w:rStyle w:val="footnotereference0"/>
        </w:rPr>
        <w:t>ad 70</w:t>
      </w:r>
      <w:r w:rsidR="00064166" w:rsidRPr="00064166">
        <w:rPr>
          <w:rStyle w:val="footnotereference0"/>
        </w:rPr>
        <w:t> </w:t>
      </w:r>
      <w:r w:rsidRPr="00064166">
        <w:rPr>
          <w:rStyle w:val="footnotereference0"/>
        </w:rPr>
        <w:t>% (Eurocontrol)</w:t>
      </w:r>
      <w:r w:rsidR="00064166" w:rsidRPr="00064166">
        <w:rPr>
          <w:rStyle w:val="footnotereference0"/>
        </w:rPr>
        <w:t>. W</w:t>
      </w:r>
      <w:r w:rsidR="00064166">
        <w:rPr>
          <w:rStyle w:val="footnotereference0"/>
        </w:rPr>
        <w:t> </w:t>
      </w:r>
      <w:r w:rsidR="00064166" w:rsidRPr="00064166">
        <w:rPr>
          <w:rStyle w:val="footnotereference0"/>
        </w:rPr>
        <w:t>nie</w:t>
      </w:r>
      <w:r w:rsidRPr="00064166">
        <w:rPr>
          <w:rStyle w:val="footnotereference0"/>
        </w:rPr>
        <w:t>których miesiącach 2020</w:t>
      </w:r>
      <w:r w:rsidR="00064166" w:rsidRPr="00064166">
        <w:rPr>
          <w:rStyle w:val="footnotereference0"/>
        </w:rPr>
        <w:t> </w:t>
      </w:r>
      <w:r w:rsidRPr="00064166">
        <w:rPr>
          <w:rStyle w:val="footnotereference0"/>
        </w:rPr>
        <w:t>r. liczba pasażerów wchodzących na pokład</w:t>
      </w:r>
      <w:r w:rsidR="00064166" w:rsidRPr="00064166">
        <w:rPr>
          <w:rStyle w:val="footnotereference0"/>
        </w:rPr>
        <w:t xml:space="preserve"> i</w:t>
      </w:r>
      <w:r w:rsidR="00064166">
        <w:rPr>
          <w:rStyle w:val="footnotereference0"/>
        </w:rPr>
        <w:t> </w:t>
      </w:r>
      <w:r w:rsidR="00064166" w:rsidRPr="00064166">
        <w:rPr>
          <w:rStyle w:val="footnotereference0"/>
        </w:rPr>
        <w:t>sch</w:t>
      </w:r>
      <w:r w:rsidRPr="00064166">
        <w:rPr>
          <w:rStyle w:val="footnotereference0"/>
        </w:rPr>
        <w:t>odzących</w:t>
      </w:r>
      <w:r w:rsidR="00064166" w:rsidRPr="00064166">
        <w:rPr>
          <w:rStyle w:val="footnotereference0"/>
        </w:rPr>
        <w:t xml:space="preserve"> z</w:t>
      </w:r>
      <w:r w:rsidR="00064166">
        <w:rPr>
          <w:rStyle w:val="footnotereference0"/>
        </w:rPr>
        <w:t> </w:t>
      </w:r>
      <w:r w:rsidR="00064166" w:rsidRPr="00064166">
        <w:rPr>
          <w:rStyle w:val="footnotereference0"/>
        </w:rPr>
        <w:t>pok</w:t>
      </w:r>
      <w:r w:rsidRPr="00064166">
        <w:rPr>
          <w:rStyle w:val="footnotereference0"/>
        </w:rPr>
        <w:t>ładu</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tach UE zmniejszyła się niemal</w:t>
      </w:r>
      <w:r w:rsidR="00064166" w:rsidRPr="00064166">
        <w:rPr>
          <w:rStyle w:val="footnotereference0"/>
        </w:rPr>
        <w:t xml:space="preserve"> o</w:t>
      </w:r>
      <w:r w:rsidR="00064166">
        <w:rPr>
          <w:rStyle w:val="footnotereference0"/>
        </w:rPr>
        <w:t> </w:t>
      </w:r>
      <w:r w:rsidR="00064166" w:rsidRPr="00064166">
        <w:rPr>
          <w:rStyle w:val="footnotereference0"/>
        </w:rPr>
        <w:t>poł</w:t>
      </w:r>
      <w:r w:rsidRPr="00064166">
        <w:rPr>
          <w:rStyle w:val="footnotereference0"/>
        </w:rPr>
        <w:t>owę (o 45</w:t>
      </w:r>
      <w:r w:rsidR="00064166" w:rsidRPr="00064166">
        <w:rPr>
          <w:rStyle w:val="footnotereference0"/>
        </w:rPr>
        <w:t> </w:t>
      </w:r>
      <w:r w:rsidRPr="00064166">
        <w:rPr>
          <w:rStyle w:val="footnotereference0"/>
        </w:rPr>
        <w:t>%)</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ównaniu</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019</w:t>
      </w:r>
      <w:r w:rsidR="00064166" w:rsidRPr="00064166">
        <w:rPr>
          <w:rStyle w:val="footnotereference0"/>
        </w:rPr>
        <w:t> </w:t>
      </w:r>
      <w:r w:rsidRPr="00064166">
        <w:rPr>
          <w:rStyle w:val="footnotereference0"/>
        </w:rPr>
        <w:t>r. Ponadto nastąpił spadek liczby pasażerów kolei</w:t>
      </w:r>
      <w:r w:rsidR="00064166" w:rsidRPr="00064166">
        <w:rPr>
          <w:rStyle w:val="footnotereference0"/>
        </w:rPr>
        <w:t xml:space="preserve"> o</w:t>
      </w:r>
      <w:r w:rsidR="00064166">
        <w:rPr>
          <w:rStyle w:val="footnotereference0"/>
        </w:rPr>
        <w:t> </w:t>
      </w:r>
      <w:r w:rsidR="00064166" w:rsidRPr="00064166">
        <w:rPr>
          <w:rStyle w:val="footnotereference0"/>
        </w:rPr>
        <w:t>4</w:t>
      </w:r>
      <w:r w:rsidRPr="00064166">
        <w:rPr>
          <w:rStyle w:val="footnotereference0"/>
        </w:rPr>
        <w:t>2</w:t>
      </w:r>
      <w:r w:rsidR="00064166" w:rsidRPr="00064166">
        <w:rPr>
          <w:rStyle w:val="footnotereference0"/>
        </w:rPr>
        <w:t> </w:t>
      </w:r>
      <w:r w:rsidRPr="00064166">
        <w:rPr>
          <w:rStyle w:val="footnotereference0"/>
        </w:rPr>
        <w:t>% (Eurostat)</w:t>
      </w:r>
      <w:r w:rsidR="00064166" w:rsidRPr="00064166">
        <w:rPr>
          <w:rStyle w:val="footnotereference0"/>
        </w:rPr>
        <w:t>. W</w:t>
      </w:r>
      <w:r w:rsidR="00064166">
        <w:rPr>
          <w:rStyle w:val="footnotereference0"/>
        </w:rPr>
        <w:t> </w:t>
      </w:r>
      <w:r w:rsidR="00064166" w:rsidRPr="00064166">
        <w:rPr>
          <w:rStyle w:val="footnotereference0"/>
        </w:rPr>
        <w:t>lat</w:t>
      </w:r>
      <w:r w:rsidRPr="00064166">
        <w:rPr>
          <w:rStyle w:val="footnotereference0"/>
        </w:rPr>
        <w:t>ach 2019–2020 odnotowano spadek łącznego obrotu</w:t>
      </w:r>
      <w:r w:rsidR="00064166" w:rsidRPr="00064166">
        <w:rPr>
          <w:rStyle w:val="footnotereference0"/>
        </w:rPr>
        <w:t xml:space="preserve"> w</w:t>
      </w:r>
      <w:r w:rsidR="00064166">
        <w:rPr>
          <w:rStyle w:val="footnotereference0"/>
        </w:rPr>
        <w:t> </w:t>
      </w:r>
      <w:r w:rsidR="00064166" w:rsidRPr="00064166">
        <w:rPr>
          <w:rStyle w:val="footnotereference0"/>
        </w:rPr>
        <w:t>sek</w:t>
      </w:r>
      <w:r w:rsidRPr="00064166">
        <w:rPr>
          <w:rStyle w:val="footnotereference0"/>
        </w:rPr>
        <w:t>torze usług transportowych</w:t>
      </w:r>
      <w:r w:rsidR="00064166" w:rsidRPr="00064166">
        <w:rPr>
          <w:rStyle w:val="footnotereference0"/>
        </w:rPr>
        <w:t xml:space="preserve"> o</w:t>
      </w:r>
      <w:r w:rsidR="00064166">
        <w:rPr>
          <w:rStyle w:val="footnotereference0"/>
        </w:rPr>
        <w:t> </w:t>
      </w:r>
      <w:r w:rsidR="00064166" w:rsidRPr="00064166">
        <w:rPr>
          <w:rStyle w:val="footnotereference0"/>
        </w:rPr>
        <w:t>1</w:t>
      </w:r>
      <w:r w:rsidRPr="00064166">
        <w:rPr>
          <w:rStyle w:val="footnotereference0"/>
        </w:rPr>
        <w:t>3</w:t>
      </w:r>
      <w:r w:rsidR="00064166" w:rsidRPr="00064166">
        <w:rPr>
          <w:rStyle w:val="footnotereference0"/>
        </w:rPr>
        <w:t> </w:t>
      </w:r>
      <w:r w:rsidRPr="00064166">
        <w:rPr>
          <w:rStyle w:val="footnotereference0"/>
        </w:rPr>
        <w:t>%.</w:t>
      </w:r>
    </w:p>
  </w:footnote>
  <w:footnote w:id="3">
    <w:p w14:paraId="354CBDC0" w14:textId="09AC33D6"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Więcej informacji na temat bazy danych dotyczącej środ</w:t>
      </w:r>
      <w:r w:rsidR="0052698C" w:rsidRPr="00064166">
        <w:rPr>
          <w:rStyle w:val="footnotereference0"/>
        </w:rPr>
        <w:t xml:space="preserve">ków można znaleźć pod adresem: </w:t>
      </w:r>
      <w:hyperlink r:id="rId1" w:history="1">
        <w:r w:rsidRPr="00064166">
          <w:rPr>
            <w:rStyle w:val="footnotereference0"/>
          </w:rPr>
          <w:t>https://covid-statistics.jrc.ec.europa.eu/RMeasures</w:t>
        </w:r>
      </w:hyperlink>
      <w:r w:rsidRPr="00064166">
        <w:rPr>
          <w:rStyle w:val="footnotereference0"/>
        </w:rPr>
        <w:t xml:space="preserve"> </w:t>
      </w:r>
    </w:p>
  </w:footnote>
  <w:footnote w:id="4">
    <w:p w14:paraId="5C1834F5"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The impact of COVID-19 on the Internal Market [Wpływ COVID-19 na rynek wewnętrzny], IPOL_STU(2021)658219_EN.</w:t>
      </w:r>
    </w:p>
  </w:footnote>
  <w:footnote w:id="5">
    <w:p w14:paraId="27B47C6A" w14:textId="1922BE6F"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Przykłady możliwych sytuacji kryzysowych obejmują klęski żywiołowe, pandemie, ataki terrorystyczne, cyberataki, oprogramowanie szantażujące, konflikty zbrojne, zawalenie się mostu lub tunelu lub inne awarie infrastruktury,</w:t>
      </w:r>
      <w:r w:rsidR="00064166" w:rsidRPr="00064166">
        <w:rPr>
          <w:rStyle w:val="footnotereference0"/>
        </w:rPr>
        <w:t xml:space="preserve"> a</w:t>
      </w:r>
      <w:r w:rsidR="00064166">
        <w:rPr>
          <w:rStyle w:val="footnotereference0"/>
        </w:rPr>
        <w:t> </w:t>
      </w:r>
      <w:r w:rsidR="00064166" w:rsidRPr="00064166">
        <w:rPr>
          <w:rStyle w:val="footnotereference0"/>
        </w:rPr>
        <w:t>tak</w:t>
      </w:r>
      <w:r w:rsidRPr="00064166">
        <w:rPr>
          <w:rStyle w:val="footnotereference0"/>
        </w:rPr>
        <w:t>że przerwy</w:t>
      </w:r>
      <w:r w:rsidR="00064166" w:rsidRPr="00064166">
        <w:rPr>
          <w:rStyle w:val="footnotereference0"/>
        </w:rPr>
        <w:t xml:space="preserve"> w</w:t>
      </w:r>
      <w:r w:rsidR="00064166">
        <w:rPr>
          <w:rStyle w:val="footnotereference0"/>
        </w:rPr>
        <w:t> </w:t>
      </w:r>
      <w:r w:rsidR="00064166" w:rsidRPr="00064166">
        <w:rPr>
          <w:rStyle w:val="footnotereference0"/>
        </w:rPr>
        <w:t>dos</w:t>
      </w:r>
      <w:r w:rsidRPr="00064166">
        <w:rPr>
          <w:rStyle w:val="footnotereference0"/>
        </w:rPr>
        <w:t xml:space="preserve">tawach prądu. </w:t>
      </w:r>
    </w:p>
  </w:footnote>
  <w:footnote w:id="6">
    <w:p w14:paraId="5215A714"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Konkluzje Rady, ST 12391/20.</w:t>
      </w:r>
    </w:p>
  </w:footnote>
  <w:footnote w:id="7">
    <w:p w14:paraId="23B7896D"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789 final.</w:t>
      </w:r>
    </w:p>
  </w:footnote>
  <w:footnote w:id="8">
    <w:p w14:paraId="531FE84C"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1897.</w:t>
      </w:r>
    </w:p>
  </w:footnote>
  <w:footnote w:id="9">
    <w:p w14:paraId="0A1F9350" w14:textId="06F7D634"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3100.</w:t>
      </w:r>
    </w:p>
  </w:footnote>
  <w:footnote w:id="10">
    <w:p w14:paraId="78632685" w14:textId="60ADA5FE"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2020/698</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maja 2020</w:t>
      </w:r>
      <w:r w:rsidR="00064166" w:rsidRPr="00064166">
        <w:rPr>
          <w:rStyle w:val="footnotereference0"/>
        </w:rPr>
        <w:t> </w:t>
      </w:r>
      <w:r w:rsidRPr="00064166">
        <w:rPr>
          <w:rStyle w:val="footnotereference0"/>
        </w:rPr>
        <w:t>r. ustanawiające szczególne środki tymczasowe</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epi</w:t>
      </w:r>
      <w:r w:rsidRPr="00064166">
        <w:rPr>
          <w:rStyle w:val="footnotereference0"/>
        </w:rPr>
        <w:t>demią COVID-19 dotyczące odnawiania lub przedłużania ważności niektórych certyfikatów</w:t>
      </w:r>
      <w:r w:rsidR="00064166" w:rsidRPr="00064166">
        <w:rPr>
          <w:rStyle w:val="footnotereference0"/>
        </w:rPr>
        <w:t xml:space="preserve"> i</w:t>
      </w:r>
      <w:r w:rsidR="00064166">
        <w:rPr>
          <w:rStyle w:val="footnotereference0"/>
        </w:rPr>
        <w:t> </w:t>
      </w:r>
      <w:r w:rsidR="00064166" w:rsidRPr="00064166">
        <w:rPr>
          <w:rStyle w:val="footnotereference0"/>
        </w:rPr>
        <w:t>świ</w:t>
      </w:r>
      <w:r w:rsidRPr="00064166">
        <w:rPr>
          <w:rStyle w:val="footnotereference0"/>
        </w:rPr>
        <w:t>adectw, licencji</w:t>
      </w:r>
      <w:r w:rsidR="00064166" w:rsidRPr="00064166">
        <w:rPr>
          <w:rStyle w:val="footnotereference0"/>
        </w:rPr>
        <w:t xml:space="preserve"> i</w:t>
      </w:r>
      <w:r w:rsidR="00064166">
        <w:rPr>
          <w:rStyle w:val="footnotereference0"/>
        </w:rPr>
        <w:t> </w:t>
      </w:r>
      <w:r w:rsidR="00064166" w:rsidRPr="00064166">
        <w:rPr>
          <w:rStyle w:val="footnotereference0"/>
        </w:rPr>
        <w:t>zez</w:t>
      </w:r>
      <w:r w:rsidRPr="00064166">
        <w:rPr>
          <w:rStyle w:val="footnotereference0"/>
        </w:rPr>
        <w:t>woleń oraz przesunięcia niektórych okresowych kontroli</w:t>
      </w:r>
      <w:r w:rsidR="00064166" w:rsidRPr="00064166">
        <w:rPr>
          <w:rStyle w:val="footnotereference0"/>
        </w:rPr>
        <w:t xml:space="preserve"> i</w:t>
      </w:r>
      <w:r w:rsidR="00064166">
        <w:rPr>
          <w:rStyle w:val="footnotereference0"/>
        </w:rPr>
        <w:t> </w:t>
      </w:r>
      <w:r w:rsidR="00064166" w:rsidRPr="00064166">
        <w:rPr>
          <w:rStyle w:val="footnotereference0"/>
        </w:rPr>
        <w:t>okr</w:t>
      </w:r>
      <w:r w:rsidRPr="00064166">
        <w:rPr>
          <w:rStyle w:val="footnotereference0"/>
        </w:rPr>
        <w:t>esowych szkoleń</w:t>
      </w:r>
      <w:r w:rsidR="00064166" w:rsidRPr="00064166">
        <w:rPr>
          <w:rStyle w:val="footnotereference0"/>
        </w:rPr>
        <w:t xml:space="preserve"> w</w:t>
      </w:r>
      <w:r w:rsidR="00064166">
        <w:rPr>
          <w:rStyle w:val="footnotereference0"/>
        </w:rPr>
        <w:t> </w:t>
      </w:r>
      <w:r w:rsidR="00064166" w:rsidRPr="00064166">
        <w:rPr>
          <w:rStyle w:val="footnotereference0"/>
        </w:rPr>
        <w:t>nie</w:t>
      </w:r>
      <w:r w:rsidRPr="00064166">
        <w:rPr>
          <w:rStyle w:val="footnotereference0"/>
        </w:rPr>
        <w:t>których obszarach prawodawstwa dotyczącego transportu, Dz.U. L 165</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7.5.2020, s. 10.</w:t>
      </w:r>
    </w:p>
  </w:footnote>
  <w:footnote w:id="11">
    <w:p w14:paraId="0EC9C0F1"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https://ec.europa.eu/info/law/better-regulation/have-your-say/initiatives/13181-Jednolity-rynek-nowy-instrument-UE-gwarantujacy-funkcjonowanie-jednolitego-rynku-w-sytuacjach-nadzwyczajnych_pl </w:t>
      </w:r>
    </w:p>
  </w:footnote>
  <w:footnote w:id="12">
    <w:p w14:paraId="6CFBA481" w14:textId="3BC57DFE"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Strona internetowa Re-open EU dostarcza informacji dotyczących COVID-19 na temat podróży</w:t>
      </w:r>
      <w:r w:rsidR="00064166" w:rsidRPr="00064166">
        <w:rPr>
          <w:rStyle w:val="footnotereference0"/>
        </w:rPr>
        <w:t xml:space="preserve"> i</w:t>
      </w:r>
      <w:r w:rsidR="00064166">
        <w:rPr>
          <w:rStyle w:val="footnotereference0"/>
        </w:rPr>
        <w:t> </w:t>
      </w:r>
      <w:r w:rsidR="00064166" w:rsidRPr="00064166">
        <w:rPr>
          <w:rStyle w:val="footnotereference0"/>
        </w:rPr>
        <w:t>śro</w:t>
      </w:r>
      <w:r w:rsidRPr="00064166">
        <w:rPr>
          <w:rStyle w:val="footnotereference0"/>
        </w:rPr>
        <w:t>dków ochrony zdrowia</w:t>
      </w:r>
      <w:r w:rsidR="00064166" w:rsidRPr="00064166">
        <w:rPr>
          <w:rStyle w:val="footnotereference0"/>
        </w:rPr>
        <w:t xml:space="preserve"> w</w:t>
      </w:r>
      <w:r w:rsidR="00064166">
        <w:rPr>
          <w:rStyle w:val="footnotereference0"/>
        </w:rPr>
        <w:t> </w:t>
      </w:r>
      <w:r w:rsidR="00064166" w:rsidRPr="00064166">
        <w:rPr>
          <w:rStyle w:val="footnotereference0"/>
        </w:rPr>
        <w:t>pań</w:t>
      </w:r>
      <w:r w:rsidRPr="00064166">
        <w:rPr>
          <w:rStyle w:val="footnotereference0"/>
        </w:rPr>
        <w:t>stwach UE</w:t>
      </w:r>
      <w:r w:rsidR="00064166" w:rsidRPr="00064166">
        <w:rPr>
          <w:rStyle w:val="footnotereference0"/>
        </w:rPr>
        <w:t xml:space="preserve"> i</w:t>
      </w:r>
      <w:r w:rsidR="00064166">
        <w:rPr>
          <w:rStyle w:val="footnotereference0"/>
        </w:rPr>
        <w:t> </w:t>
      </w:r>
      <w:r w:rsidR="00064166" w:rsidRPr="00064166">
        <w:rPr>
          <w:rStyle w:val="footnotereference0"/>
        </w:rPr>
        <w:t>str</w:t>
      </w:r>
      <w:r w:rsidRPr="00064166">
        <w:rPr>
          <w:rStyle w:val="footnotereference0"/>
        </w:rPr>
        <w:t>efy Schengen (Islandii, Liechtensteinie, Norwegii</w:t>
      </w:r>
      <w:r w:rsidR="00064166" w:rsidRPr="00064166">
        <w:rPr>
          <w:rStyle w:val="footnotereference0"/>
        </w:rPr>
        <w:t xml:space="preserve"> i</w:t>
      </w:r>
      <w:r w:rsidR="00064166">
        <w:rPr>
          <w:rStyle w:val="footnotereference0"/>
        </w:rPr>
        <w:t> </w:t>
      </w:r>
      <w:r w:rsidR="00064166" w:rsidRPr="00064166">
        <w:rPr>
          <w:rStyle w:val="footnotereference0"/>
        </w:rPr>
        <w:t>Szw</w:t>
      </w:r>
      <w:r w:rsidRPr="00064166">
        <w:rPr>
          <w:rStyle w:val="footnotereference0"/>
        </w:rPr>
        <w:t>ajcarii). Informacje są często aktualizowane</w:t>
      </w:r>
      <w:r w:rsidR="00064166" w:rsidRPr="00064166">
        <w:rPr>
          <w:rStyle w:val="footnotereference0"/>
        </w:rPr>
        <w:t xml:space="preserve"> i</w:t>
      </w:r>
      <w:r w:rsidR="00064166">
        <w:rPr>
          <w:rStyle w:val="footnotereference0"/>
        </w:rPr>
        <w:t> </w:t>
      </w:r>
      <w:r w:rsidR="00064166" w:rsidRPr="00064166">
        <w:rPr>
          <w:rStyle w:val="footnotereference0"/>
        </w:rPr>
        <w:t>dos</w:t>
      </w:r>
      <w:r w:rsidRPr="00064166">
        <w:rPr>
          <w:rStyle w:val="footnotereference0"/>
        </w:rPr>
        <w:t>tępne</w:t>
      </w:r>
      <w:r w:rsidR="00064166" w:rsidRPr="00064166">
        <w:rPr>
          <w:rStyle w:val="footnotereference0"/>
        </w:rPr>
        <w:t xml:space="preserve"> w</w:t>
      </w:r>
      <w:r w:rsidR="00064166">
        <w:rPr>
          <w:rStyle w:val="footnotereference0"/>
        </w:rPr>
        <w:t> </w:t>
      </w:r>
      <w:r w:rsidR="00064166" w:rsidRPr="00064166">
        <w:rPr>
          <w:rStyle w:val="footnotereference0"/>
        </w:rPr>
        <w:t>2</w:t>
      </w:r>
      <w:r w:rsidRPr="00064166">
        <w:rPr>
          <w:rStyle w:val="footnotereference0"/>
        </w:rPr>
        <w:t xml:space="preserve">4 językach. </w:t>
      </w:r>
    </w:p>
  </w:footnote>
  <w:footnote w:id="13">
    <w:p w14:paraId="0CE2E998"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https://europa.eu/youreurope/index_pl.htm</w:t>
      </w:r>
    </w:p>
  </w:footnote>
  <w:footnote w:id="14">
    <w:p w14:paraId="78282217" w14:textId="35E5A7F6"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Ocena strony internetowej Re-Open.eu przeprowadzona przez Europejski Trybunał Obrachunkowy, sprawozdanie specjalne 15/2021: Prawa pasażerów lotniczych</w:t>
      </w:r>
      <w:r w:rsidR="00064166" w:rsidRPr="00064166">
        <w:rPr>
          <w:rStyle w:val="footnotereference0"/>
        </w:rPr>
        <w:t xml:space="preserve"> w</w:t>
      </w:r>
      <w:r w:rsidR="00064166">
        <w:rPr>
          <w:rStyle w:val="footnotereference0"/>
        </w:rPr>
        <w:t> </w:t>
      </w:r>
      <w:r w:rsidR="00064166" w:rsidRPr="00064166">
        <w:rPr>
          <w:rStyle w:val="footnotereference0"/>
        </w:rPr>
        <w:t>cza</w:t>
      </w:r>
      <w:r w:rsidRPr="00064166">
        <w:rPr>
          <w:rStyle w:val="footnotereference0"/>
        </w:rPr>
        <w:t>sie pandemii COVID-19 – Pomimo wysiłków podejmowanych przez Komisję nie zapewniono ochrony najważniejszych praw.</w:t>
      </w:r>
    </w:p>
  </w:footnote>
  <w:footnote w:id="15">
    <w:p w14:paraId="36B0BD33"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189, COM(2020) 685 final.</w:t>
      </w:r>
    </w:p>
  </w:footnote>
  <w:footnote w:id="16">
    <w:p w14:paraId="35571649"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https://ec.europa.eu/info/law/better-regulation/have-your-say/initiatives/13056-Plan-awaryjny-dla-transportu_pl</w:t>
      </w:r>
    </w:p>
  </w:footnote>
  <w:footnote w:id="17">
    <w:p w14:paraId="68FEB04E" w14:textId="42573493"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 okresie od</w:t>
      </w:r>
      <w:r w:rsidR="00064166" w:rsidRPr="00064166">
        <w:rPr>
          <w:rStyle w:val="footnotereference0"/>
        </w:rPr>
        <w:t> </w:t>
      </w:r>
      <w:r w:rsidRPr="00064166">
        <w:rPr>
          <w:rStyle w:val="footnotereference0"/>
        </w:rPr>
        <w:t>3 czerwca 2020</w:t>
      </w:r>
      <w:r w:rsidR="00064166" w:rsidRPr="00064166">
        <w:rPr>
          <w:rStyle w:val="footnotereference0"/>
        </w:rPr>
        <w:t> </w:t>
      </w:r>
      <w:r w:rsidRPr="00064166">
        <w:rPr>
          <w:rStyle w:val="footnotereference0"/>
        </w:rPr>
        <w:t>r. (kiedy rozpoczęto monitorowanie) do</w:t>
      </w:r>
      <w:r w:rsidR="00064166" w:rsidRPr="00064166">
        <w:rPr>
          <w:rStyle w:val="footnotereference0"/>
        </w:rPr>
        <w:t> </w:t>
      </w:r>
      <w:r w:rsidRPr="00064166">
        <w:rPr>
          <w:rStyle w:val="footnotereference0"/>
        </w:rPr>
        <w:t>30 września 2021</w:t>
      </w:r>
      <w:r w:rsidR="00064166" w:rsidRPr="00064166">
        <w:rPr>
          <w:rStyle w:val="footnotereference0"/>
        </w:rPr>
        <w:t> </w:t>
      </w:r>
      <w:r w:rsidRPr="00064166">
        <w:rPr>
          <w:rStyle w:val="footnotereference0"/>
        </w:rPr>
        <w:t>r. średni dzienny czas przekraczania granicy na wszystkich przejściach granicznych UE wzdłuż sieci TEN-T wynosił 15,5 minuty, przy czym odchylenie standardowe wynosiło 2,8 minuty. Te same wartości</w:t>
      </w:r>
      <w:r w:rsidR="00064166" w:rsidRPr="00064166">
        <w:rPr>
          <w:rStyle w:val="footnotereference0"/>
        </w:rPr>
        <w:t xml:space="preserve"> w</w:t>
      </w:r>
      <w:r w:rsidR="00064166">
        <w:rPr>
          <w:rStyle w:val="footnotereference0"/>
        </w:rPr>
        <w:t> </w:t>
      </w:r>
      <w:r w:rsidR="00064166" w:rsidRPr="00064166">
        <w:rPr>
          <w:rStyle w:val="footnotereference0"/>
        </w:rPr>
        <w:t>2</w:t>
      </w:r>
      <w:r w:rsidRPr="00064166">
        <w:rPr>
          <w:rStyle w:val="footnotereference0"/>
        </w:rPr>
        <w:t>021</w:t>
      </w:r>
      <w:r w:rsidR="00064166" w:rsidRPr="00064166">
        <w:rPr>
          <w:rStyle w:val="footnotereference0"/>
        </w:rPr>
        <w:t> </w:t>
      </w:r>
      <w:r w:rsidRPr="00064166">
        <w:rPr>
          <w:rStyle w:val="footnotereference0"/>
        </w:rPr>
        <w:t>r. wyniosły odpowiednio 15,1</w:t>
      </w:r>
      <w:r w:rsidR="00064166" w:rsidRPr="00064166">
        <w:rPr>
          <w:rStyle w:val="footnotereference0"/>
        </w:rPr>
        <w:t xml:space="preserve"> i</w:t>
      </w:r>
      <w:r w:rsidR="00064166">
        <w:rPr>
          <w:rStyle w:val="footnotereference0"/>
        </w:rPr>
        <w:t> </w:t>
      </w:r>
      <w:r w:rsidR="00064166" w:rsidRPr="00064166">
        <w:rPr>
          <w:rStyle w:val="footnotereference0"/>
        </w:rPr>
        <w:t>2</w:t>
      </w:r>
      <w:r w:rsidRPr="00064166">
        <w:rPr>
          <w:rStyle w:val="footnotereference0"/>
        </w:rPr>
        <w:t xml:space="preserve"> minuty.</w:t>
      </w:r>
    </w:p>
  </w:footnote>
  <w:footnote w:id="18">
    <w:p w14:paraId="0DBE8C9C" w14:textId="78B5F7D2"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2020/698</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maja 2020</w:t>
      </w:r>
      <w:r w:rsidR="00064166" w:rsidRPr="00064166">
        <w:rPr>
          <w:rStyle w:val="footnotereference0"/>
        </w:rPr>
        <w:t> </w:t>
      </w:r>
      <w:r w:rsidRPr="00064166">
        <w:rPr>
          <w:rStyle w:val="footnotereference0"/>
        </w:rPr>
        <w:t>r. ustanawiające szczególne środki tymczasowe</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epi</w:t>
      </w:r>
      <w:r w:rsidRPr="00064166">
        <w:rPr>
          <w:rStyle w:val="footnotereference0"/>
        </w:rPr>
        <w:t>demią COVID-19 dotyczące odnawiania lub przedłużania ważności niektórych certyfikatów</w:t>
      </w:r>
      <w:r w:rsidR="00064166" w:rsidRPr="00064166">
        <w:rPr>
          <w:rStyle w:val="footnotereference0"/>
        </w:rPr>
        <w:t xml:space="preserve"> i</w:t>
      </w:r>
      <w:r w:rsidR="00064166">
        <w:rPr>
          <w:rStyle w:val="footnotereference0"/>
        </w:rPr>
        <w:t> </w:t>
      </w:r>
      <w:r w:rsidR="00064166" w:rsidRPr="00064166">
        <w:rPr>
          <w:rStyle w:val="footnotereference0"/>
        </w:rPr>
        <w:t>świ</w:t>
      </w:r>
      <w:r w:rsidRPr="00064166">
        <w:rPr>
          <w:rStyle w:val="footnotereference0"/>
        </w:rPr>
        <w:t>adectw, licencji</w:t>
      </w:r>
      <w:r w:rsidR="00064166" w:rsidRPr="00064166">
        <w:rPr>
          <w:rStyle w:val="footnotereference0"/>
        </w:rPr>
        <w:t xml:space="preserve"> i</w:t>
      </w:r>
      <w:r w:rsidR="00064166">
        <w:rPr>
          <w:rStyle w:val="footnotereference0"/>
        </w:rPr>
        <w:t> </w:t>
      </w:r>
      <w:r w:rsidR="00064166" w:rsidRPr="00064166">
        <w:rPr>
          <w:rStyle w:val="footnotereference0"/>
        </w:rPr>
        <w:t>zez</w:t>
      </w:r>
      <w:r w:rsidRPr="00064166">
        <w:rPr>
          <w:rStyle w:val="footnotereference0"/>
        </w:rPr>
        <w:t>woleń oraz przesunięcia niektórych okresowych kontroli</w:t>
      </w:r>
      <w:r w:rsidR="00064166" w:rsidRPr="00064166">
        <w:rPr>
          <w:rStyle w:val="footnotereference0"/>
        </w:rPr>
        <w:t xml:space="preserve"> i</w:t>
      </w:r>
      <w:r w:rsidR="00064166">
        <w:rPr>
          <w:rStyle w:val="footnotereference0"/>
        </w:rPr>
        <w:t> </w:t>
      </w:r>
      <w:r w:rsidR="00064166" w:rsidRPr="00064166">
        <w:rPr>
          <w:rStyle w:val="footnotereference0"/>
        </w:rPr>
        <w:t>okr</w:t>
      </w:r>
      <w:r w:rsidRPr="00064166">
        <w:rPr>
          <w:rStyle w:val="footnotereference0"/>
        </w:rPr>
        <w:t>esowych szkoleń</w:t>
      </w:r>
      <w:r w:rsidR="00064166" w:rsidRPr="00064166">
        <w:rPr>
          <w:rStyle w:val="footnotereference0"/>
        </w:rPr>
        <w:t xml:space="preserve"> w</w:t>
      </w:r>
      <w:r w:rsidR="00064166">
        <w:rPr>
          <w:rStyle w:val="footnotereference0"/>
        </w:rPr>
        <w:t> </w:t>
      </w:r>
      <w:r w:rsidR="00064166" w:rsidRPr="00064166">
        <w:rPr>
          <w:rStyle w:val="footnotereference0"/>
        </w:rPr>
        <w:t>nie</w:t>
      </w:r>
      <w:r w:rsidRPr="00064166">
        <w:rPr>
          <w:rStyle w:val="footnotereference0"/>
        </w:rPr>
        <w:t>których obszarach prawodawstwa dotyczącego transportu, Dz.U. L 165</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7.5.2020, s. 10.</w:t>
      </w:r>
    </w:p>
  </w:footnote>
  <w:footnote w:id="19">
    <w:p w14:paraId="62250234" w14:textId="68DBE862"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2021/267</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16 lutego 2021</w:t>
      </w:r>
      <w:r w:rsidR="00064166" w:rsidRPr="00064166">
        <w:rPr>
          <w:rStyle w:val="footnotereference0"/>
        </w:rPr>
        <w:t> </w:t>
      </w:r>
      <w:r w:rsidRPr="00064166">
        <w:rPr>
          <w:rStyle w:val="footnotereference0"/>
        </w:rPr>
        <w:t>r. ustanawiające szczególne środki tymczasowe</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utr</w:t>
      </w:r>
      <w:r w:rsidRPr="00064166">
        <w:rPr>
          <w:rStyle w:val="footnotereference0"/>
        </w:rPr>
        <w:t>zymywaniem się kryzysu związanego z COVID-19 dotyczące odnawiania lub przedłużania ważności niektórych certyfikatów, świadectw, licencji</w:t>
      </w:r>
      <w:r w:rsidR="00064166" w:rsidRPr="00064166">
        <w:rPr>
          <w:rStyle w:val="footnotereference0"/>
        </w:rPr>
        <w:t xml:space="preserve"> i</w:t>
      </w:r>
      <w:r w:rsidR="00064166">
        <w:rPr>
          <w:rStyle w:val="footnotereference0"/>
        </w:rPr>
        <w:t> </w:t>
      </w:r>
      <w:r w:rsidR="00064166" w:rsidRPr="00064166">
        <w:rPr>
          <w:rStyle w:val="footnotereference0"/>
        </w:rPr>
        <w:t>zez</w:t>
      </w:r>
      <w:r w:rsidRPr="00064166">
        <w:rPr>
          <w:rStyle w:val="footnotereference0"/>
        </w:rPr>
        <w:t>woleń, przesunięcia niektórych okresowych kontroli</w:t>
      </w:r>
      <w:r w:rsidR="00064166" w:rsidRPr="00064166">
        <w:rPr>
          <w:rStyle w:val="footnotereference0"/>
        </w:rPr>
        <w:t xml:space="preserve"> i</w:t>
      </w:r>
      <w:r w:rsidR="00064166">
        <w:rPr>
          <w:rStyle w:val="footnotereference0"/>
        </w:rPr>
        <w:t> </w:t>
      </w:r>
      <w:r w:rsidR="00064166" w:rsidRPr="00064166">
        <w:rPr>
          <w:rStyle w:val="footnotereference0"/>
        </w:rPr>
        <w:t>okr</w:t>
      </w:r>
      <w:r w:rsidRPr="00064166">
        <w:rPr>
          <w:rStyle w:val="footnotereference0"/>
        </w:rPr>
        <w:t>esowych szkoleń</w:t>
      </w:r>
      <w:r w:rsidR="00064166" w:rsidRPr="00064166">
        <w:rPr>
          <w:rStyle w:val="footnotereference0"/>
        </w:rPr>
        <w:t xml:space="preserve"> w</w:t>
      </w:r>
      <w:r w:rsidR="00064166">
        <w:rPr>
          <w:rStyle w:val="footnotereference0"/>
        </w:rPr>
        <w:t> </w:t>
      </w:r>
      <w:r w:rsidR="00064166" w:rsidRPr="00064166">
        <w:rPr>
          <w:rStyle w:val="footnotereference0"/>
        </w:rPr>
        <w:t>nie</w:t>
      </w:r>
      <w:r w:rsidRPr="00064166">
        <w:rPr>
          <w:rStyle w:val="footnotereference0"/>
        </w:rPr>
        <w:t>których obszarach ustawodawstwa dotyczącego transportu oraz przedłużenia niektórych okresów,</w:t>
      </w:r>
      <w:r w:rsidR="00064166" w:rsidRPr="00064166">
        <w:rPr>
          <w:rStyle w:val="footnotereference0"/>
        </w:rPr>
        <w:t xml:space="preserve"> o</w:t>
      </w:r>
      <w:r w:rsidR="00064166">
        <w:rPr>
          <w:rStyle w:val="footnotereference0"/>
        </w:rPr>
        <w:t> </w:t>
      </w:r>
      <w:r w:rsidR="00064166" w:rsidRPr="00064166">
        <w:rPr>
          <w:rStyle w:val="footnotereference0"/>
        </w:rPr>
        <w:t>któ</w:t>
      </w:r>
      <w:r w:rsidRPr="00064166">
        <w:rPr>
          <w:rStyle w:val="footnotereference0"/>
        </w:rPr>
        <w:t>rych mowa</w:t>
      </w:r>
      <w:r w:rsidR="00064166" w:rsidRPr="00064166">
        <w:rPr>
          <w:rStyle w:val="footnotereference0"/>
        </w:rPr>
        <w:t xml:space="preserve"> w</w:t>
      </w:r>
      <w:r w:rsidR="00064166">
        <w:rPr>
          <w:rStyle w:val="footnotereference0"/>
        </w:rPr>
        <w:t> </w:t>
      </w:r>
      <w:r w:rsidR="00064166" w:rsidRPr="00064166">
        <w:rPr>
          <w:rStyle w:val="footnotereference0"/>
        </w:rPr>
        <w:t>roz</w:t>
      </w:r>
      <w:r w:rsidRPr="00064166">
        <w:rPr>
          <w:rStyle w:val="footnotereference0"/>
        </w:rPr>
        <w:t>porządzeniu (UE) 2020/698, Dz.U. L 60</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2.2.2021, s. 1.</w:t>
      </w:r>
    </w:p>
  </w:footnote>
  <w:footnote w:id="20">
    <w:p w14:paraId="40D2744F"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https://ec.europa.eu/info/law/better-regulation/have-your-say/initiatives/13056-Plan-awaryjny-dla-transportu_pl </w:t>
      </w:r>
    </w:p>
  </w:footnote>
  <w:footnote w:id="21">
    <w:p w14:paraId="64C4D85C" w14:textId="47FFB2B5"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Zalecenie Rady</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13 października 2020</w:t>
      </w:r>
      <w:r w:rsidR="00064166" w:rsidRPr="00064166">
        <w:rPr>
          <w:rStyle w:val="footnotereference0"/>
        </w:rPr>
        <w:t> </w:t>
      </w:r>
      <w:r w:rsidRPr="00064166">
        <w:rPr>
          <w:rStyle w:val="footnotereference0"/>
        </w:rPr>
        <w:t>r.</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skoordynowanego podejścia do ograniczania swobodnego przepływu</w:t>
      </w:r>
      <w:r w:rsidR="00064166" w:rsidRPr="00064166">
        <w:rPr>
          <w:rStyle w:val="footnotereference0"/>
        </w:rPr>
        <w:t xml:space="preserve"> w</w:t>
      </w:r>
      <w:r w:rsidR="00064166">
        <w:rPr>
          <w:rStyle w:val="footnotereference0"/>
        </w:rPr>
        <w:t> </w:t>
      </w:r>
      <w:r w:rsidR="00064166" w:rsidRPr="00064166">
        <w:rPr>
          <w:rStyle w:val="footnotereference0"/>
        </w:rPr>
        <w:t>odp</w:t>
      </w:r>
      <w:r w:rsidRPr="00064166">
        <w:rPr>
          <w:rStyle w:val="footnotereference0"/>
        </w:rPr>
        <w:t>owiedzi na pandemię COVID-19, Dz.U. L 337</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 xml:space="preserve">4.10.2020, s. 3. </w:t>
      </w:r>
    </w:p>
  </w:footnote>
  <w:footnote w:id="22">
    <w:p w14:paraId="6EAD1D35" w14:textId="64403586" w:rsidR="00651238" w:rsidRPr="00064166" w:rsidRDefault="00651238" w:rsidP="00651238">
      <w:pPr>
        <w:pStyle w:val="FootnoteText"/>
        <w:ind w:left="0" w:firstLine="0"/>
        <w:rPr>
          <w:rStyle w:val="footnotereference0"/>
        </w:rPr>
      </w:pPr>
      <w:r w:rsidRPr="00064166">
        <w:rPr>
          <w:rStyle w:val="footnotereference0"/>
        </w:rPr>
        <w:footnoteRef/>
      </w:r>
      <w:r w:rsidRPr="00064166">
        <w:rPr>
          <w:rStyle w:val="footnotereference0"/>
        </w:rPr>
        <w:t xml:space="preserve"> Zalecenie Rady (UE) 2022/107</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stycznia 2022 r.</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skoordynowanego podejścia na rzecz ułatwienia bezpiecznego swobodnego przemieszczania się podczas pandemii COVID-19</w:t>
      </w:r>
      <w:r w:rsidR="00064166" w:rsidRPr="00064166">
        <w:rPr>
          <w:rStyle w:val="footnotereference0"/>
        </w:rPr>
        <w:t xml:space="preserve"> i</w:t>
      </w:r>
      <w:r w:rsidR="00064166">
        <w:rPr>
          <w:rStyle w:val="footnotereference0"/>
        </w:rPr>
        <w:t> </w:t>
      </w:r>
      <w:r w:rsidR="00064166" w:rsidRPr="00064166">
        <w:rPr>
          <w:rStyle w:val="footnotereference0"/>
        </w:rPr>
        <w:t>zas</w:t>
      </w:r>
      <w:r w:rsidRPr="00064166">
        <w:rPr>
          <w:rStyle w:val="footnotereference0"/>
        </w:rPr>
        <w:t>tępujące zalecenie (UE) 20</w:t>
      </w:r>
      <w:r w:rsidR="0052698C" w:rsidRPr="00064166">
        <w:rPr>
          <w:rStyle w:val="footnotereference0"/>
        </w:rPr>
        <w:t xml:space="preserve">20/1475 (dostępne pod adresem: </w:t>
      </w:r>
      <w:hyperlink r:id="rId2" w:tooltip="Daje dostęp do tego dokumentu za pomocą jego URI w systemie ELI." w:history="1">
        <w:r w:rsidRPr="00064166">
          <w:rPr>
            <w:rStyle w:val="footnotereference0"/>
          </w:rPr>
          <w:t>http://data.europa.eu/eli/reco/2022/107/oj</w:t>
        </w:r>
      </w:hyperlink>
      <w:r w:rsidRPr="00064166">
        <w:rPr>
          <w:rStyle w:val="footnotereference0"/>
        </w:rPr>
        <w:t>).</w:t>
      </w:r>
    </w:p>
  </w:footnote>
  <w:footnote w:id="23">
    <w:p w14:paraId="024667A7" w14:textId="6CE14488"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COM(2022) 1404 final.</w:t>
      </w:r>
    </w:p>
  </w:footnote>
  <w:footnote w:id="24">
    <w:p w14:paraId="62032CA3" w14:textId="47867B2B"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Parlament</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a przyjęły rozporządzenie (UE) 2021/953</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ram wydawania, weryfikowania</w:t>
      </w:r>
      <w:r w:rsidR="00064166" w:rsidRPr="00064166">
        <w:rPr>
          <w:rStyle w:val="footnotereference0"/>
        </w:rPr>
        <w:t xml:space="preserve"> i</w:t>
      </w:r>
      <w:r w:rsidR="00064166">
        <w:rPr>
          <w:rStyle w:val="footnotereference0"/>
        </w:rPr>
        <w:t> </w:t>
      </w:r>
      <w:r w:rsidR="00064166" w:rsidRPr="00064166">
        <w:rPr>
          <w:rStyle w:val="footnotereference0"/>
        </w:rPr>
        <w:t>uzn</w:t>
      </w:r>
      <w:r w:rsidRPr="00064166">
        <w:rPr>
          <w:rStyle w:val="footnotereference0"/>
        </w:rPr>
        <w:t>awania interoperacyjnych zaświadczeń</w:t>
      </w:r>
      <w:r w:rsidR="00064166" w:rsidRPr="00064166">
        <w:rPr>
          <w:rStyle w:val="footnotereference0"/>
        </w:rPr>
        <w:t xml:space="preserve"> o</w:t>
      </w:r>
      <w:r w:rsidR="00064166">
        <w:rPr>
          <w:rStyle w:val="footnotereference0"/>
        </w:rPr>
        <w:t> </w:t>
      </w:r>
      <w:r w:rsidR="00064166" w:rsidRPr="00064166">
        <w:rPr>
          <w:rStyle w:val="footnotereference0"/>
        </w:rPr>
        <w:t>szc</w:t>
      </w:r>
      <w:r w:rsidRPr="00064166">
        <w:rPr>
          <w:rStyle w:val="footnotereference0"/>
        </w:rPr>
        <w:t>zepieniu,</w:t>
      </w:r>
      <w:r w:rsidR="00064166" w:rsidRPr="00064166">
        <w:rPr>
          <w:rStyle w:val="footnotereference0"/>
        </w:rPr>
        <w:t xml:space="preserve"> o</w:t>
      </w:r>
      <w:r w:rsidR="00064166">
        <w:rPr>
          <w:rStyle w:val="footnotereference0"/>
        </w:rPr>
        <w:t> </w:t>
      </w:r>
      <w:r w:rsidR="00064166" w:rsidRPr="00064166">
        <w:rPr>
          <w:rStyle w:val="footnotereference0"/>
        </w:rPr>
        <w:t>wyn</w:t>
      </w:r>
      <w:r w:rsidRPr="00064166">
        <w:rPr>
          <w:rStyle w:val="footnotereference0"/>
        </w:rPr>
        <w:t>iku testu</w:t>
      </w:r>
      <w:r w:rsidR="00064166" w:rsidRPr="00064166">
        <w:rPr>
          <w:rStyle w:val="footnotereference0"/>
        </w:rPr>
        <w:t xml:space="preserve"> i</w:t>
      </w:r>
      <w:r w:rsidR="00064166">
        <w:rPr>
          <w:rStyle w:val="footnotereference0"/>
        </w:rPr>
        <w:t> </w:t>
      </w:r>
      <w:r w:rsidR="00064166" w:rsidRPr="00064166">
        <w:rPr>
          <w:rStyle w:val="footnotereference0"/>
        </w:rPr>
        <w:t>o</w:t>
      </w:r>
      <w:r w:rsidR="00064166">
        <w:rPr>
          <w:rStyle w:val="footnotereference0"/>
        </w:rPr>
        <w:t> </w:t>
      </w:r>
      <w:r w:rsidR="00064166" w:rsidRPr="00064166">
        <w:rPr>
          <w:rStyle w:val="footnotereference0"/>
        </w:rPr>
        <w:t>pow</w:t>
      </w:r>
      <w:r w:rsidRPr="00064166">
        <w:rPr>
          <w:rStyle w:val="footnotereference0"/>
        </w:rPr>
        <w:t>rocie do zdrowia</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 z COVID-19 (unijne cyfrowe zaświadczenie COVID)</w:t>
      </w:r>
      <w:r w:rsidR="00064166" w:rsidRPr="00064166">
        <w:rPr>
          <w:rStyle w:val="footnotereference0"/>
        </w:rPr>
        <w:t xml:space="preserve"> w</w:t>
      </w:r>
      <w:r w:rsidR="00064166">
        <w:rPr>
          <w:rStyle w:val="footnotereference0"/>
        </w:rPr>
        <w:t> </w:t>
      </w:r>
      <w:r w:rsidR="00064166" w:rsidRPr="00064166">
        <w:rPr>
          <w:rStyle w:val="footnotereference0"/>
        </w:rPr>
        <w:t>cel</w:t>
      </w:r>
      <w:r w:rsidRPr="00064166">
        <w:rPr>
          <w:rStyle w:val="footnotereference0"/>
        </w:rPr>
        <w:t>u ułatwienia swobodnego przemieszczania się</w:t>
      </w:r>
      <w:r w:rsidR="00064166" w:rsidRPr="00064166">
        <w:rPr>
          <w:rStyle w:val="footnotereference0"/>
        </w:rPr>
        <w:t xml:space="preserve"> w</w:t>
      </w:r>
      <w:r w:rsidR="00064166">
        <w:rPr>
          <w:rStyle w:val="footnotereference0"/>
        </w:rPr>
        <w:t> </w:t>
      </w:r>
      <w:r w:rsidR="00064166" w:rsidRPr="00064166">
        <w:rPr>
          <w:rStyle w:val="footnotereference0"/>
        </w:rPr>
        <w:t>cza</w:t>
      </w:r>
      <w:r w:rsidRPr="00064166">
        <w:rPr>
          <w:rStyle w:val="footnotereference0"/>
        </w:rPr>
        <w:t>sie pandemii COVID-19.</w:t>
      </w:r>
    </w:p>
  </w:footnote>
  <w:footnote w:id="25">
    <w:p w14:paraId="2ED4412F"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1897 final.</w:t>
      </w:r>
    </w:p>
  </w:footnote>
  <w:footnote w:id="26">
    <w:p w14:paraId="1FD57BFF"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119/01.</w:t>
      </w:r>
    </w:p>
  </w:footnote>
  <w:footnote w:id="27">
    <w:p w14:paraId="5C02A9E5" w14:textId="118E5A9B"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Wytyczne interpretacyjne</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18 marca 2020</w:t>
      </w:r>
      <w:r w:rsidR="00064166" w:rsidRPr="00064166">
        <w:rPr>
          <w:rStyle w:val="footnotereference0"/>
        </w:rPr>
        <w:t> </w:t>
      </w:r>
      <w:r w:rsidRPr="00064166">
        <w:rPr>
          <w:rStyle w:val="footnotereference0"/>
        </w:rPr>
        <w:t>r. poprzedzające zalecenie</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bonów</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13 maja 2020</w:t>
      </w:r>
      <w:r w:rsidR="00064166" w:rsidRPr="00064166">
        <w:rPr>
          <w:rStyle w:val="footnotereference0"/>
        </w:rPr>
        <w:t> </w:t>
      </w:r>
      <w:r w:rsidRPr="00064166">
        <w:rPr>
          <w:rStyle w:val="footnotereference0"/>
        </w:rPr>
        <w:t>r.</w:t>
      </w:r>
    </w:p>
  </w:footnote>
  <w:footnote w:id="28">
    <w:p w14:paraId="6D3CA23C" w14:textId="3954D9FD"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Zalecenie Komisji (UE) 2020/648</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13 maja 2020</w:t>
      </w:r>
      <w:r w:rsidR="00064166" w:rsidRPr="00064166">
        <w:rPr>
          <w:rStyle w:val="footnotereference0"/>
        </w:rPr>
        <w:t> </w:t>
      </w:r>
      <w:r w:rsidRPr="00064166">
        <w:rPr>
          <w:rStyle w:val="footnotereference0"/>
        </w:rPr>
        <w:t>r.</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bonów oferowanych pasażerom</w:t>
      </w:r>
      <w:r w:rsidR="00064166" w:rsidRPr="00064166">
        <w:rPr>
          <w:rStyle w:val="footnotereference0"/>
        </w:rPr>
        <w:t xml:space="preserve"> i</w:t>
      </w:r>
      <w:r w:rsidR="00064166">
        <w:rPr>
          <w:rStyle w:val="footnotereference0"/>
        </w:rPr>
        <w:t> </w:t>
      </w:r>
      <w:r w:rsidR="00064166" w:rsidRPr="00064166">
        <w:rPr>
          <w:rStyle w:val="footnotereference0"/>
        </w:rPr>
        <w:t>pod</w:t>
      </w:r>
      <w:r w:rsidRPr="00064166">
        <w:rPr>
          <w:rStyle w:val="footnotereference0"/>
        </w:rPr>
        <w:t>różnym jako alternatywa dla zwrotu pieniędzy za odwołane imprezy turystyczne</w:t>
      </w:r>
      <w:r w:rsidR="00064166" w:rsidRPr="00064166">
        <w:rPr>
          <w:rStyle w:val="footnotereference0"/>
        </w:rPr>
        <w:t xml:space="preserve"> i</w:t>
      </w:r>
      <w:r w:rsidR="00064166">
        <w:rPr>
          <w:rStyle w:val="footnotereference0"/>
        </w:rPr>
        <w:t> </w:t>
      </w:r>
      <w:r w:rsidR="00064166" w:rsidRPr="00064166">
        <w:rPr>
          <w:rStyle w:val="footnotereference0"/>
        </w:rPr>
        <w:t>usł</w:t>
      </w:r>
      <w:r w:rsidRPr="00064166">
        <w:rPr>
          <w:rStyle w:val="footnotereference0"/>
        </w:rPr>
        <w:t>ugi transportowe</w:t>
      </w:r>
      <w:r w:rsidR="00064166" w:rsidRPr="00064166">
        <w:rPr>
          <w:rStyle w:val="footnotereference0"/>
        </w:rPr>
        <w:t xml:space="preserve"> w</w:t>
      </w:r>
      <w:r w:rsidR="00064166">
        <w:rPr>
          <w:rStyle w:val="footnotereference0"/>
        </w:rPr>
        <w:t> </w:t>
      </w:r>
      <w:r w:rsidR="00064166" w:rsidRPr="00064166">
        <w:rPr>
          <w:rStyle w:val="footnotereference0"/>
        </w:rPr>
        <w:t>kon</w:t>
      </w:r>
      <w:r w:rsidRPr="00064166">
        <w:rPr>
          <w:rStyle w:val="footnotereference0"/>
        </w:rPr>
        <w:t>tekście pandemii COVID-19, COM(2020) 3125, Dz.U. L 151</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4.5.2020, s. 10.</w:t>
      </w:r>
    </w:p>
  </w:footnote>
  <w:footnote w:id="29">
    <w:p w14:paraId="4A28D527"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Więcej informacji na temat zobowiązań poszczególnych linii lotniczych można znaleźć pod adresem: https://ec.europa.eu/info/live-work-travel-eu/consumer-rights-and-complaints/enforcement-consumer-protection/coordinated-actions/air-travel_pl</w:t>
      </w:r>
    </w:p>
  </w:footnote>
  <w:footnote w:id="30">
    <w:p w14:paraId="1B860EAA" w14:textId="58B11F3D"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2020/696</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maja 2020</w:t>
      </w:r>
      <w:r w:rsidR="00064166" w:rsidRPr="00064166">
        <w:rPr>
          <w:rStyle w:val="footnotereference0"/>
        </w:rPr>
        <w:t> </w:t>
      </w:r>
      <w:r w:rsidRPr="00064166">
        <w:rPr>
          <w:rStyle w:val="footnotereference0"/>
        </w:rPr>
        <w:t>r. zmieniające rozporządzenie (WE) nr</w:t>
      </w:r>
      <w:r w:rsidR="00064166" w:rsidRPr="00064166">
        <w:rPr>
          <w:rStyle w:val="footnotereference0"/>
        </w:rPr>
        <w:t> </w:t>
      </w:r>
      <w:r w:rsidRPr="00064166">
        <w:rPr>
          <w:rStyle w:val="footnotereference0"/>
        </w:rPr>
        <w:t>1008/2008</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wspólnych zasad wykonywania przewozów lotniczych na terenie Wspólnoty,</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pan</w:t>
      </w:r>
      <w:r w:rsidRPr="00064166">
        <w:rPr>
          <w:rStyle w:val="footnotereference0"/>
        </w:rPr>
        <w:t>demią COVID-19, Dz.U. L 165</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7.5.2020, s. 1.</w:t>
      </w:r>
    </w:p>
  </w:footnote>
  <w:footnote w:id="31">
    <w:p w14:paraId="00ED4CE7" w14:textId="2D916569"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2020/459</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30 marca 2020</w:t>
      </w:r>
      <w:r w:rsidR="00064166" w:rsidRPr="00064166">
        <w:rPr>
          <w:rStyle w:val="footnotereference0"/>
        </w:rPr>
        <w:t> </w:t>
      </w:r>
      <w:r w:rsidRPr="00064166">
        <w:rPr>
          <w:rStyle w:val="footnotereference0"/>
        </w:rPr>
        <w:t>r. zmieniające rozporządzenie Rady (EWG) nr</w:t>
      </w:r>
      <w:r w:rsidR="00064166" w:rsidRPr="00064166">
        <w:rPr>
          <w:rStyle w:val="footnotereference0"/>
        </w:rPr>
        <w:t> </w:t>
      </w:r>
      <w:r w:rsidRPr="00064166">
        <w:rPr>
          <w:rStyle w:val="footnotereference0"/>
        </w:rPr>
        <w:t>95/93</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wspólnych zasad przydzielania czasu na start lub lądowanie</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tach lotniczych Wspólnoty, Dz.U. L 99</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1.3.2020, s. 1;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2021/250</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16 lutego 2021</w:t>
      </w:r>
      <w:r w:rsidR="00064166" w:rsidRPr="00064166">
        <w:rPr>
          <w:rStyle w:val="footnotereference0"/>
        </w:rPr>
        <w:t> </w:t>
      </w:r>
      <w:r w:rsidRPr="00064166">
        <w:rPr>
          <w:rStyle w:val="footnotereference0"/>
        </w:rPr>
        <w:t>r. zmieniające rozporządzenie Rady (EWG) nr</w:t>
      </w:r>
      <w:r w:rsidR="00064166" w:rsidRPr="00064166">
        <w:rPr>
          <w:rStyle w:val="footnotereference0"/>
        </w:rPr>
        <w:t> </w:t>
      </w:r>
      <w:r w:rsidRPr="00064166">
        <w:rPr>
          <w:rStyle w:val="footnotereference0"/>
        </w:rPr>
        <w:t>95/93</w:t>
      </w:r>
      <w:r w:rsidR="00064166" w:rsidRPr="00064166">
        <w:rPr>
          <w:rStyle w:val="footnotereference0"/>
        </w:rPr>
        <w:t xml:space="preserve"> w</w:t>
      </w:r>
      <w:r w:rsidR="00064166">
        <w:rPr>
          <w:rStyle w:val="footnotereference0"/>
        </w:rPr>
        <w:t> </w:t>
      </w:r>
      <w:r w:rsidR="00064166" w:rsidRPr="00064166">
        <w:rPr>
          <w:rStyle w:val="footnotereference0"/>
        </w:rPr>
        <w:t>odn</w:t>
      </w:r>
      <w:r w:rsidRPr="00064166">
        <w:rPr>
          <w:rStyle w:val="footnotereference0"/>
        </w:rPr>
        <w:t>iesieniu do tymczasowego złagodzenia zasad wykorzystywania czasów na start lub lądowanie</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tach lotniczych Unii</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kry</w:t>
      </w:r>
      <w:r w:rsidRPr="00064166">
        <w:rPr>
          <w:rStyle w:val="footnotereference0"/>
        </w:rPr>
        <w:t>zysem związanym z COVID-19, Dz.U. L 58</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9.2.2021, s. 1.</w:t>
      </w:r>
    </w:p>
  </w:footnote>
  <w:footnote w:id="32">
    <w:p w14:paraId="2AABF5CA" w14:textId="33B4D38E"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2017/352</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15 lutego 2017</w:t>
      </w:r>
      <w:r w:rsidR="00064166" w:rsidRPr="00064166">
        <w:rPr>
          <w:rStyle w:val="footnotereference0"/>
        </w:rPr>
        <w:t> </w:t>
      </w:r>
      <w:r w:rsidRPr="00064166">
        <w:rPr>
          <w:rStyle w:val="footnotereference0"/>
        </w:rPr>
        <w:t>r. ustanawiające ramy</w:t>
      </w:r>
      <w:r w:rsidR="00064166" w:rsidRPr="00064166">
        <w:rPr>
          <w:rStyle w:val="footnotereference0"/>
        </w:rPr>
        <w:t xml:space="preserve"> w</w:t>
      </w:r>
      <w:r w:rsidR="00064166">
        <w:rPr>
          <w:rStyle w:val="footnotereference0"/>
        </w:rPr>
        <w:t> </w:t>
      </w:r>
      <w:r w:rsidR="00064166" w:rsidRPr="00064166">
        <w:rPr>
          <w:rStyle w:val="footnotereference0"/>
        </w:rPr>
        <w:t>zak</w:t>
      </w:r>
      <w:r w:rsidRPr="00064166">
        <w:rPr>
          <w:rStyle w:val="footnotereference0"/>
        </w:rPr>
        <w:t>resie świadczenia usług portowych oraz wspólne zasady dotyczące przejrzystości finansowej portów, Dz.U. L 57</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.3.2017, s. 1.</w:t>
      </w:r>
    </w:p>
  </w:footnote>
  <w:footnote w:id="33">
    <w:p w14:paraId="2200FEE2" w14:textId="72671A1F"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2020/1429</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7 października 2020 r. ustanawiające środki na rzecz zrównoważonego rynku kolejowego</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epi</w:t>
      </w:r>
      <w:r w:rsidRPr="00064166">
        <w:rPr>
          <w:rStyle w:val="footnotereference0"/>
        </w:rPr>
        <w:t>demią COVID-19, Dz.U. L 333</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2.10.2020, s. 1.</w:t>
      </w:r>
    </w:p>
  </w:footnote>
  <w:footnote w:id="34">
    <w:p w14:paraId="1B3EE16F" w14:textId="72E99D25"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Zob. np. dyrektywa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2020/700</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maja 2020</w:t>
      </w:r>
      <w:r w:rsidR="00064166" w:rsidRPr="00064166">
        <w:rPr>
          <w:rStyle w:val="footnotereference0"/>
        </w:rPr>
        <w:t> </w:t>
      </w:r>
      <w:r w:rsidRPr="00064166">
        <w:rPr>
          <w:rStyle w:val="footnotereference0"/>
        </w:rPr>
        <w:t>r. zmieniająca dyrektywy (UE) 2016/797 i (UE) 2016/798</w:t>
      </w:r>
      <w:r w:rsidR="00064166" w:rsidRPr="00064166">
        <w:rPr>
          <w:rStyle w:val="footnotereference0"/>
        </w:rPr>
        <w:t xml:space="preserve"> w</w:t>
      </w:r>
      <w:r w:rsidR="00064166">
        <w:rPr>
          <w:rStyle w:val="footnotereference0"/>
        </w:rPr>
        <w:t> </w:t>
      </w:r>
      <w:r w:rsidR="00064166" w:rsidRPr="00064166">
        <w:rPr>
          <w:rStyle w:val="footnotereference0"/>
        </w:rPr>
        <w:t>odn</w:t>
      </w:r>
      <w:r w:rsidRPr="00064166">
        <w:rPr>
          <w:rStyle w:val="footnotereference0"/>
        </w:rPr>
        <w:t>iesieniu do przedłużenia okresu ich transpozycji, Dz.U. L 165</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7.5.2020, s. 27.</w:t>
      </w:r>
    </w:p>
  </w:footnote>
  <w:footnote w:id="35">
    <w:p w14:paraId="565B196E" w14:textId="1F610464"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Dz.U. C 91</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 xml:space="preserve">0.3.2020, s. 1. Tymczasowe ramy były kilkakrotnie zmieniane. </w:t>
      </w:r>
    </w:p>
  </w:footnote>
  <w:footnote w:id="36">
    <w:p w14:paraId="7FEB78B2" w14:textId="77777777" w:rsidR="009531A3" w:rsidRPr="00064166" w:rsidRDefault="009531A3" w:rsidP="00594A4B">
      <w:pPr>
        <w:pStyle w:val="FootnoteText"/>
        <w:spacing w:after="0"/>
        <w:ind w:left="0"/>
        <w:rPr>
          <w:rStyle w:val="footnotereference0"/>
        </w:rPr>
      </w:pPr>
      <w:r w:rsidRPr="00064166">
        <w:rPr>
          <w:rStyle w:val="footnotereference0"/>
        </w:rPr>
        <w:footnoteRef/>
      </w:r>
      <w:hyperlink r:id="rId3" w:history="1">
        <w:r w:rsidRPr="00064166">
          <w:rPr>
            <w:rStyle w:val="footnotereference0"/>
          </w:rPr>
          <w:t>https://ec.europa.eu/competition-policy/system/files/2021-03/land_transport_overview_rules_during_coronavirus.pdf</w:t>
        </w:r>
      </w:hyperlink>
      <w:r w:rsidRPr="00064166">
        <w:rPr>
          <w:rStyle w:val="footnotereference0"/>
        </w:rPr>
        <w:t xml:space="preserve"> </w:t>
      </w:r>
    </w:p>
  </w:footnote>
  <w:footnote w:id="37">
    <w:p w14:paraId="07824432"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https://ec.europa.eu/competition-policy/system/files/2021-05/air_transport_update_March_2021.pdf</w:t>
      </w:r>
    </w:p>
  </w:footnote>
  <w:footnote w:id="38">
    <w:p w14:paraId="2B7EEBA3"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https://ec.europa.eu/competition-policy/system/files/2021-05/maritime_transport_update_March_2021.pdf </w:t>
      </w:r>
    </w:p>
  </w:footnote>
  <w:footnote w:id="39">
    <w:p w14:paraId="3F228BE7"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https://ec.europa.eu/competition/state_aid/what_is_new/air_transport_overview_sa_rules_during_coronavirus.pdf </w:t>
      </w:r>
    </w:p>
  </w:footnote>
  <w:footnote w:id="40">
    <w:p w14:paraId="2B5E05E5" w14:textId="37C8138C"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Zarówno Rosja, jak</w:t>
      </w:r>
      <w:r w:rsidR="00064166" w:rsidRPr="00064166">
        <w:rPr>
          <w:rStyle w:val="footnotereference0"/>
        </w:rPr>
        <w:t xml:space="preserve"> i</w:t>
      </w:r>
      <w:r w:rsidR="00064166">
        <w:rPr>
          <w:rStyle w:val="footnotereference0"/>
        </w:rPr>
        <w:t> </w:t>
      </w:r>
      <w:r w:rsidR="00064166" w:rsidRPr="00064166">
        <w:rPr>
          <w:rStyle w:val="footnotereference0"/>
        </w:rPr>
        <w:t>Bia</w:t>
      </w:r>
      <w:r w:rsidRPr="00064166">
        <w:rPr>
          <w:rStyle w:val="footnotereference0"/>
        </w:rPr>
        <w:t>łoruś zamknęły swoją przestrzeń powietrzną dla lotów unijnych. Statkom powietrznym pod banderą UE zmieniono banderę na rosyjską</w:t>
      </w:r>
      <w:r w:rsidR="00064166" w:rsidRPr="00064166">
        <w:rPr>
          <w:rStyle w:val="footnotereference0"/>
        </w:rPr>
        <w:t xml:space="preserve"> i</w:t>
      </w:r>
      <w:r w:rsidR="00064166">
        <w:rPr>
          <w:rStyle w:val="footnotereference0"/>
        </w:rPr>
        <w:t> </w:t>
      </w:r>
      <w:r w:rsidR="00064166" w:rsidRPr="00064166">
        <w:rPr>
          <w:rStyle w:val="footnotereference0"/>
        </w:rPr>
        <w:t>rea</w:t>
      </w:r>
      <w:r w:rsidRPr="00064166">
        <w:rPr>
          <w:rStyle w:val="footnotereference0"/>
        </w:rPr>
        <w:t>sekurowano je</w:t>
      </w:r>
      <w:r w:rsidR="00064166" w:rsidRPr="00064166">
        <w:rPr>
          <w:rStyle w:val="footnotereference0"/>
        </w:rPr>
        <w:t xml:space="preserve"> w</w:t>
      </w:r>
      <w:r w:rsidR="00064166">
        <w:rPr>
          <w:rStyle w:val="footnotereference0"/>
        </w:rPr>
        <w:t> </w:t>
      </w:r>
      <w:r w:rsidR="00064166" w:rsidRPr="00064166">
        <w:rPr>
          <w:rStyle w:val="footnotereference0"/>
        </w:rPr>
        <w:t>Ros</w:t>
      </w:r>
      <w:r w:rsidRPr="00064166">
        <w:rPr>
          <w:rStyle w:val="footnotereference0"/>
        </w:rPr>
        <w:t>ji wbrew prawu międzynarodowemu.</w:t>
      </w:r>
    </w:p>
  </w:footnote>
  <w:footnote w:id="41">
    <w:p w14:paraId="5114E806" w14:textId="1582538C" w:rsidR="009531A3" w:rsidRPr="00064166" w:rsidRDefault="009531A3" w:rsidP="00594A4B">
      <w:pPr>
        <w:pStyle w:val="FootnoteText"/>
        <w:spacing w:after="0"/>
        <w:ind w:left="0"/>
        <w:rPr>
          <w:rStyle w:val="footnotereference0"/>
        </w:rPr>
      </w:pPr>
      <w:r w:rsidRPr="00064166">
        <w:rPr>
          <w:rStyle w:val="footnotereference0"/>
          <w:rFonts w:eastAsiaTheme="majorEastAsia"/>
        </w:rPr>
        <w:footnoteRef/>
      </w:r>
      <w:r w:rsidRPr="00064166">
        <w:rPr>
          <w:rStyle w:val="footnotereference0"/>
        </w:rPr>
        <w:t xml:space="preserve"> Prawo to było odpowiedzią UE</w:t>
      </w:r>
      <w:r w:rsidR="00064166" w:rsidRPr="00064166">
        <w:rPr>
          <w:rStyle w:val="footnotereference0"/>
        </w:rPr>
        <w:t xml:space="preserve"> w</w:t>
      </w:r>
      <w:r w:rsidR="00064166">
        <w:rPr>
          <w:rStyle w:val="footnotereference0"/>
        </w:rPr>
        <w:t> </w:t>
      </w:r>
      <w:r w:rsidR="00064166" w:rsidRPr="00064166">
        <w:rPr>
          <w:rStyle w:val="footnotereference0"/>
        </w:rPr>
        <w:t>2</w:t>
      </w:r>
      <w:r w:rsidRPr="00064166">
        <w:rPr>
          <w:rStyle w:val="footnotereference0"/>
        </w:rPr>
        <w:t>001</w:t>
      </w:r>
      <w:r w:rsidR="00064166" w:rsidRPr="00064166">
        <w:rPr>
          <w:rStyle w:val="footnotereference0"/>
        </w:rPr>
        <w:t> </w:t>
      </w:r>
      <w:r w:rsidRPr="00064166">
        <w:rPr>
          <w:rStyle w:val="footnotereference0"/>
        </w:rPr>
        <w:t>r. na napływ osób przesiedlonych</w:t>
      </w:r>
      <w:r w:rsidR="00064166" w:rsidRPr="00064166">
        <w:rPr>
          <w:rStyle w:val="footnotereference0"/>
        </w:rPr>
        <w:t xml:space="preserve"> w</w:t>
      </w:r>
      <w:r w:rsidR="00064166">
        <w:rPr>
          <w:rStyle w:val="footnotereference0"/>
        </w:rPr>
        <w:t> </w:t>
      </w:r>
      <w:r w:rsidR="00064166" w:rsidRPr="00064166">
        <w:rPr>
          <w:rStyle w:val="footnotereference0"/>
        </w:rPr>
        <w:t>nas</w:t>
      </w:r>
      <w:r w:rsidRPr="00064166">
        <w:rPr>
          <w:rStyle w:val="footnotereference0"/>
        </w:rPr>
        <w:t>tępstwie konfliktu</w:t>
      </w:r>
      <w:r w:rsidR="00064166" w:rsidRPr="00064166">
        <w:rPr>
          <w:rStyle w:val="footnotereference0"/>
        </w:rPr>
        <w:t xml:space="preserve"> w</w:t>
      </w:r>
      <w:r w:rsidR="00064166">
        <w:rPr>
          <w:rStyle w:val="footnotereference0"/>
        </w:rPr>
        <w:t> </w:t>
      </w:r>
      <w:r w:rsidR="00064166" w:rsidRPr="00064166">
        <w:rPr>
          <w:rStyle w:val="footnotereference0"/>
        </w:rPr>
        <w:t>był</w:t>
      </w:r>
      <w:r w:rsidRPr="00064166">
        <w:rPr>
          <w:rStyle w:val="footnotereference0"/>
        </w:rPr>
        <w:t>ej Jugosławii. Do 3 marca 2022</w:t>
      </w:r>
      <w:r w:rsidR="00064166" w:rsidRPr="00064166">
        <w:rPr>
          <w:rStyle w:val="footnotereference0"/>
        </w:rPr>
        <w:t> </w:t>
      </w:r>
      <w:r w:rsidRPr="00064166">
        <w:rPr>
          <w:rStyle w:val="footnotereference0"/>
        </w:rPr>
        <w:t>r. nigdy nie zostało uruchomione. Do 7 kwietnia 2022</w:t>
      </w:r>
      <w:r w:rsidR="00064166" w:rsidRPr="00064166">
        <w:rPr>
          <w:rStyle w:val="footnotereference0"/>
        </w:rPr>
        <w:t> </w:t>
      </w:r>
      <w:r w:rsidRPr="00064166">
        <w:rPr>
          <w:rStyle w:val="footnotereference0"/>
        </w:rPr>
        <w:t>r. zarejestrowało się ponad 1,6 mln osób.</w:t>
      </w:r>
    </w:p>
  </w:footnote>
  <w:footnote w:id="42">
    <w:p w14:paraId="2A16131C" w14:textId="190F05BA"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COM(2022) 1404 final. </w:t>
      </w:r>
    </w:p>
  </w:footnote>
  <w:footnote w:id="43">
    <w:p w14:paraId="2BE7E659"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COM(2022) 108 final</w:t>
      </w:r>
    </w:p>
  </w:footnote>
  <w:footnote w:id="44">
    <w:p w14:paraId="5EA6E3C4" w14:textId="31F0D6AE" w:rsidR="000A78E0" w:rsidRPr="00064166" w:rsidRDefault="000A78E0" w:rsidP="00D7796F">
      <w:pPr>
        <w:pStyle w:val="FootnoteText"/>
        <w:spacing w:after="0"/>
        <w:ind w:left="0"/>
      </w:pPr>
      <w:r w:rsidRPr="00064166">
        <w:rPr>
          <w:rStyle w:val="footnotereference0"/>
        </w:rPr>
        <w:footnoteRef/>
      </w:r>
      <w:r w:rsidRPr="00064166">
        <w:t xml:space="preserve"> </w:t>
      </w:r>
      <w:r w:rsidRPr="00064166">
        <w:rPr>
          <w:rStyle w:val="footnotereference0"/>
        </w:rPr>
        <w:t>COM(2022) 217 final.</w:t>
      </w:r>
    </w:p>
  </w:footnote>
  <w:footnote w:id="45">
    <w:p w14:paraId="07AA731D" w14:textId="492BC87A" w:rsidR="000256B4" w:rsidRPr="00064166" w:rsidRDefault="000256B4" w:rsidP="00D7796F">
      <w:pPr>
        <w:pStyle w:val="FootnoteText"/>
        <w:spacing w:after="0"/>
        <w:ind w:left="0"/>
      </w:pPr>
      <w:r w:rsidRPr="00064166">
        <w:rPr>
          <w:rStyle w:val="footnotereference0"/>
        </w:rPr>
        <w:footnoteRef/>
      </w:r>
      <w:r w:rsidRPr="00064166">
        <w:rPr>
          <w:rStyle w:val="footnotereference0"/>
        </w:rPr>
        <w:t xml:space="preserve"> COM(2022) 3204 final.</w:t>
      </w:r>
    </w:p>
  </w:footnote>
  <w:footnote w:id="46">
    <w:p w14:paraId="7A7CC19D"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t>
      </w:r>
      <w:hyperlink r:id="rId4">
        <w:r w:rsidRPr="00064166">
          <w:rPr>
            <w:rStyle w:val="footnotereference0"/>
          </w:rPr>
          <w:t>https://ec.europa.eu/info/strategy/strategic-planning/strategic-foresight/2021-strategic-foresight-report_pl</w:t>
        </w:r>
      </w:hyperlink>
      <w:r w:rsidRPr="00064166">
        <w:rPr>
          <w:rStyle w:val="footnotereference0"/>
        </w:rPr>
        <w:t xml:space="preserve"> </w:t>
      </w:r>
    </w:p>
  </w:footnote>
  <w:footnote w:id="47">
    <w:p w14:paraId="1F1CA9B6"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Madryt (2004), Londyn (2005), Glasgow (2007), port lotniczy we Frankfurcie (2011), Oignies (Thalys, 2015), Bruksela (2016), Würzburg (2016), Bruksela (2017) lub Londyn (2017).</w:t>
      </w:r>
    </w:p>
  </w:footnote>
  <w:footnote w:id="48">
    <w:p w14:paraId="29A76065"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t>
      </w:r>
      <w:hyperlink r:id="rId5" w:history="1">
        <w:r w:rsidRPr="00064166">
          <w:rPr>
            <w:rStyle w:val="footnotereference0"/>
          </w:rPr>
          <w:t>https://www.enisa.europa.eu/publications/enisa-threat-landscape-2021</w:t>
        </w:r>
      </w:hyperlink>
    </w:p>
  </w:footnote>
  <w:footnote w:id="49">
    <w:p w14:paraId="1529BBCA" w14:textId="0FA8CCD2"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Np.</w:t>
      </w:r>
      <w:r w:rsidR="00064166" w:rsidRPr="00064166">
        <w:rPr>
          <w:rStyle w:val="footnotereference0"/>
        </w:rPr>
        <w:t xml:space="preserve"> w</w:t>
      </w:r>
      <w:r w:rsidR="00064166">
        <w:rPr>
          <w:rStyle w:val="footnotereference0"/>
        </w:rPr>
        <w:t> </w:t>
      </w:r>
      <w:r w:rsidR="00064166" w:rsidRPr="00064166">
        <w:rPr>
          <w:rStyle w:val="footnotereference0"/>
        </w:rPr>
        <w:t>sek</w:t>
      </w:r>
      <w:r w:rsidRPr="00064166">
        <w:rPr>
          <w:rStyle w:val="footnotereference0"/>
        </w:rPr>
        <w:t>torze morskim od</w:t>
      </w:r>
      <w:r w:rsidR="00064166" w:rsidRPr="00064166">
        <w:rPr>
          <w:rStyle w:val="footnotereference0"/>
        </w:rPr>
        <w:t> </w:t>
      </w:r>
      <w:r w:rsidRPr="00064166">
        <w:rPr>
          <w:rStyle w:val="footnotereference0"/>
        </w:rPr>
        <w:t>2017</w:t>
      </w:r>
      <w:r w:rsidR="00064166" w:rsidRPr="00064166">
        <w:rPr>
          <w:rStyle w:val="footnotereference0"/>
        </w:rPr>
        <w:t> </w:t>
      </w:r>
      <w:r w:rsidRPr="00064166">
        <w:rPr>
          <w:rStyle w:val="footnotereference0"/>
        </w:rPr>
        <w:t>r. cztery</w:t>
      </w:r>
      <w:r w:rsidR="00064166" w:rsidRPr="00064166">
        <w:rPr>
          <w:rStyle w:val="footnotereference0"/>
        </w:rPr>
        <w:t xml:space="preserve"> z</w:t>
      </w:r>
      <w:r w:rsidR="00064166">
        <w:rPr>
          <w:rStyle w:val="footnotereference0"/>
        </w:rPr>
        <w:t> </w:t>
      </w:r>
      <w:r w:rsidR="00064166" w:rsidRPr="00064166">
        <w:rPr>
          <w:rStyle w:val="footnotereference0"/>
        </w:rPr>
        <w:t>naj</w:t>
      </w:r>
      <w:r w:rsidRPr="00064166">
        <w:rPr>
          <w:rStyle w:val="footnotereference0"/>
        </w:rPr>
        <w:t>większych przedsiębiorstw żeglugi morskiej (APM Maersk, CMA CGM, COSCO, Mediterranean Shipping Company) zostały dotknięte cyberatakami.</w:t>
      </w:r>
    </w:p>
  </w:footnote>
  <w:footnote w:id="50">
    <w:p w14:paraId="7D15F797"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To samo dotyczy czasowego zawieszenia stosowania środków ochrony środowiska, społeczeństwa lub zdrowia.</w:t>
      </w:r>
    </w:p>
  </w:footnote>
  <w:footnote w:id="51">
    <w:p w14:paraId="4EC8596F"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 szczególnych sytuacjach, takich jak sankcje gospodarcze wobec Rosji, konieczne może być ograniczenie niektórych wcześniejszych konsultacji.</w:t>
      </w:r>
    </w:p>
  </w:footnote>
  <w:footnote w:id="52">
    <w:p w14:paraId="771BE1A5" w14:textId="4E40F251"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 tym przestrzeganie odpowiednich przepisów unijnych</w:t>
      </w:r>
      <w:r w:rsidR="00064166" w:rsidRPr="00064166">
        <w:rPr>
          <w:rStyle w:val="footnotereference0"/>
        </w:rPr>
        <w:t xml:space="preserve"> i</w:t>
      </w:r>
      <w:r w:rsidR="00064166">
        <w:rPr>
          <w:rStyle w:val="footnotereference0"/>
        </w:rPr>
        <w:t> </w:t>
      </w:r>
      <w:r w:rsidR="00064166" w:rsidRPr="00064166">
        <w:rPr>
          <w:rStyle w:val="footnotereference0"/>
        </w:rPr>
        <w:t>kra</w:t>
      </w:r>
      <w:r w:rsidRPr="00064166">
        <w:rPr>
          <w:rStyle w:val="footnotereference0"/>
        </w:rPr>
        <w:t>jowych</w:t>
      </w:r>
      <w:r w:rsidR="00064166" w:rsidRPr="00064166">
        <w:rPr>
          <w:rStyle w:val="footnotereference0"/>
        </w:rPr>
        <w:t xml:space="preserve"> w</w:t>
      </w:r>
      <w:r w:rsidR="00064166">
        <w:rPr>
          <w:rStyle w:val="footnotereference0"/>
        </w:rPr>
        <w:t> </w:t>
      </w:r>
      <w:r w:rsidR="00064166" w:rsidRPr="00064166">
        <w:rPr>
          <w:rStyle w:val="footnotereference0"/>
        </w:rPr>
        <w:t>zak</w:t>
      </w:r>
      <w:r w:rsidRPr="00064166">
        <w:rPr>
          <w:rStyle w:val="footnotereference0"/>
        </w:rPr>
        <w:t>resie bezpieczeństwa</w:t>
      </w:r>
      <w:r w:rsidR="00064166" w:rsidRPr="00064166">
        <w:rPr>
          <w:rStyle w:val="footnotereference0"/>
        </w:rPr>
        <w:t xml:space="preserve"> i</w:t>
      </w:r>
      <w:r w:rsidR="00064166">
        <w:rPr>
          <w:rStyle w:val="footnotereference0"/>
        </w:rPr>
        <w:t> </w:t>
      </w:r>
      <w:r w:rsidR="00064166" w:rsidRPr="00064166">
        <w:rPr>
          <w:rStyle w:val="footnotereference0"/>
        </w:rPr>
        <w:t>hig</w:t>
      </w:r>
      <w:r w:rsidRPr="00064166">
        <w:rPr>
          <w:rStyle w:val="footnotereference0"/>
        </w:rPr>
        <w:t>ieny pracy,</w:t>
      </w:r>
      <w:r w:rsidR="00064166" w:rsidRPr="00064166">
        <w:rPr>
          <w:rStyle w:val="footnotereference0"/>
        </w:rPr>
        <w:t xml:space="preserve"> w</w:t>
      </w:r>
      <w:r w:rsidR="00064166">
        <w:rPr>
          <w:rStyle w:val="footnotereference0"/>
        </w:rPr>
        <w:t> </w:t>
      </w:r>
      <w:r w:rsidR="00064166" w:rsidRPr="00064166">
        <w:rPr>
          <w:rStyle w:val="footnotereference0"/>
        </w:rPr>
        <w:t>tym w</w:t>
      </w:r>
      <w:r w:rsidR="00064166">
        <w:rPr>
          <w:rStyle w:val="footnotereference0"/>
        </w:rPr>
        <w:t> </w:t>
      </w:r>
      <w:r w:rsidR="00064166" w:rsidRPr="00064166">
        <w:rPr>
          <w:rStyle w:val="footnotereference0"/>
        </w:rPr>
        <w:t>odn</w:t>
      </w:r>
      <w:r w:rsidRPr="00064166">
        <w:rPr>
          <w:rStyle w:val="footnotereference0"/>
        </w:rPr>
        <w:t>iesieniu do dyrektywy Rady 89/391/EWG</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12 czerwca 1989</w:t>
      </w:r>
      <w:r w:rsidR="00064166" w:rsidRPr="00064166">
        <w:rPr>
          <w:rStyle w:val="footnotereference0"/>
        </w:rPr>
        <w:t> </w:t>
      </w:r>
      <w:r w:rsidRPr="00064166">
        <w:rPr>
          <w:rStyle w:val="footnotereference0"/>
        </w:rPr>
        <w:t>r.</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wprowadzenia środków</w:t>
      </w:r>
      <w:r w:rsidR="00064166" w:rsidRPr="00064166">
        <w:rPr>
          <w:rStyle w:val="footnotereference0"/>
        </w:rPr>
        <w:t xml:space="preserve"> w</w:t>
      </w:r>
      <w:r w:rsidR="00064166">
        <w:rPr>
          <w:rStyle w:val="footnotereference0"/>
        </w:rPr>
        <w:t> </w:t>
      </w:r>
      <w:r w:rsidR="00064166" w:rsidRPr="00064166">
        <w:rPr>
          <w:rStyle w:val="footnotereference0"/>
        </w:rPr>
        <w:t>cel</w:t>
      </w:r>
      <w:r w:rsidRPr="00064166">
        <w:rPr>
          <w:rStyle w:val="footnotereference0"/>
        </w:rPr>
        <w:t>u poprawy bezpieczeństwa</w:t>
      </w:r>
      <w:r w:rsidR="00064166" w:rsidRPr="00064166">
        <w:rPr>
          <w:rStyle w:val="footnotereference0"/>
        </w:rPr>
        <w:t xml:space="preserve"> i</w:t>
      </w:r>
      <w:r w:rsidR="00064166">
        <w:rPr>
          <w:rStyle w:val="footnotereference0"/>
        </w:rPr>
        <w:t> </w:t>
      </w:r>
      <w:r w:rsidR="00064166" w:rsidRPr="00064166">
        <w:rPr>
          <w:rStyle w:val="footnotereference0"/>
        </w:rPr>
        <w:t>zdr</w:t>
      </w:r>
      <w:r w:rsidRPr="00064166">
        <w:rPr>
          <w:rStyle w:val="footnotereference0"/>
        </w:rPr>
        <w:t>owia pracowników</w:t>
      </w:r>
      <w:r w:rsidR="00064166" w:rsidRPr="00064166">
        <w:rPr>
          <w:rStyle w:val="footnotereference0"/>
        </w:rPr>
        <w:t xml:space="preserve"> w</w:t>
      </w:r>
      <w:r w:rsidR="00064166">
        <w:rPr>
          <w:rStyle w:val="footnotereference0"/>
        </w:rPr>
        <w:t> </w:t>
      </w:r>
      <w:r w:rsidR="00064166" w:rsidRPr="00064166">
        <w:rPr>
          <w:rStyle w:val="footnotereference0"/>
        </w:rPr>
        <w:t>mie</w:t>
      </w:r>
      <w:r w:rsidRPr="00064166">
        <w:rPr>
          <w:rStyle w:val="footnotereference0"/>
        </w:rPr>
        <w:t>jscu pracy, Dz.U. L 183</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9.6.1989, s. 1.</w:t>
      </w:r>
    </w:p>
  </w:footnote>
  <w:footnote w:id="53">
    <w:p w14:paraId="03AC6D7B" w14:textId="710CB61F"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(WE) nr</w:t>
      </w:r>
      <w:r w:rsidR="00064166" w:rsidRPr="00064166">
        <w:rPr>
          <w:rStyle w:val="footnotereference0"/>
        </w:rPr>
        <w:t> </w:t>
      </w:r>
      <w:r w:rsidRPr="00064166">
        <w:rPr>
          <w:rStyle w:val="footnotereference0"/>
        </w:rPr>
        <w:t>1008/2008</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24 września 2008</w:t>
      </w:r>
      <w:r w:rsidR="00064166" w:rsidRPr="00064166">
        <w:rPr>
          <w:rStyle w:val="footnotereference0"/>
        </w:rPr>
        <w:t> </w:t>
      </w:r>
      <w:r w:rsidRPr="00064166">
        <w:rPr>
          <w:rStyle w:val="footnotereference0"/>
        </w:rPr>
        <w:t>r.</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wspólnych zasad wykonywania przewozów lotniczych na terenie Wspólnoty (wersja przekształcona), Dz.U. L 293</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1.10.2008, s. 3.</w:t>
      </w:r>
    </w:p>
  </w:footnote>
  <w:footnote w:id="54">
    <w:p w14:paraId="08F0C8F3" w14:textId="7770D4B4"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(WE) nr</w:t>
      </w:r>
      <w:r w:rsidR="00064166" w:rsidRPr="00064166">
        <w:rPr>
          <w:rStyle w:val="footnotereference0"/>
        </w:rPr>
        <w:t> </w:t>
      </w:r>
      <w:r w:rsidRPr="00064166">
        <w:rPr>
          <w:rStyle w:val="footnotereference0"/>
        </w:rPr>
        <w:t>1370/2007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23 października 2007</w:t>
      </w:r>
      <w:r w:rsidR="00064166" w:rsidRPr="00064166">
        <w:rPr>
          <w:rStyle w:val="footnotereference0"/>
        </w:rPr>
        <w:t> </w:t>
      </w:r>
      <w:r w:rsidRPr="00064166">
        <w:rPr>
          <w:rStyle w:val="footnotereference0"/>
        </w:rPr>
        <w:t>r. dotyczące usług publicznych</w:t>
      </w:r>
      <w:r w:rsidR="00064166" w:rsidRPr="00064166">
        <w:rPr>
          <w:rStyle w:val="footnotereference0"/>
        </w:rPr>
        <w:t xml:space="preserve"> w</w:t>
      </w:r>
      <w:r w:rsidR="00064166">
        <w:rPr>
          <w:rStyle w:val="footnotereference0"/>
        </w:rPr>
        <w:t> </w:t>
      </w:r>
      <w:r w:rsidR="00064166" w:rsidRPr="00064166">
        <w:rPr>
          <w:rStyle w:val="footnotereference0"/>
        </w:rPr>
        <w:t>zak</w:t>
      </w:r>
      <w:r w:rsidRPr="00064166">
        <w:rPr>
          <w:rStyle w:val="footnotereference0"/>
        </w:rPr>
        <w:t>resie kolejowego</w:t>
      </w:r>
      <w:r w:rsidR="00064166" w:rsidRPr="00064166">
        <w:rPr>
          <w:rStyle w:val="footnotereference0"/>
        </w:rPr>
        <w:t xml:space="preserve"> i</w:t>
      </w:r>
      <w:r w:rsidR="00064166">
        <w:rPr>
          <w:rStyle w:val="footnotereference0"/>
        </w:rPr>
        <w:t> </w:t>
      </w:r>
      <w:r w:rsidR="00064166" w:rsidRPr="00064166">
        <w:rPr>
          <w:rStyle w:val="footnotereference0"/>
        </w:rPr>
        <w:t>dro</w:t>
      </w:r>
      <w:r w:rsidRPr="00064166">
        <w:rPr>
          <w:rStyle w:val="footnotereference0"/>
        </w:rPr>
        <w:t>gowego transportu pasażerskiego oraz uchylające rozporządzenia Rady (EWG) nr</w:t>
      </w:r>
      <w:r w:rsidR="00064166" w:rsidRPr="00064166">
        <w:rPr>
          <w:rStyle w:val="footnotereference0"/>
        </w:rPr>
        <w:t> </w:t>
      </w:r>
      <w:r w:rsidRPr="00064166">
        <w:rPr>
          <w:rStyle w:val="footnotereference0"/>
        </w:rPr>
        <w:t>1191/69 i (EWG) nr</w:t>
      </w:r>
      <w:r w:rsidR="00064166" w:rsidRPr="00064166">
        <w:rPr>
          <w:rStyle w:val="footnotereference0"/>
        </w:rPr>
        <w:t> </w:t>
      </w:r>
      <w:r w:rsidRPr="00064166">
        <w:rPr>
          <w:rStyle w:val="footnotereference0"/>
        </w:rPr>
        <w:t>1107/70, Dz.U. L 315</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.12.2007, s. 1.</w:t>
      </w:r>
    </w:p>
  </w:footnote>
  <w:footnote w:id="55">
    <w:p w14:paraId="1859CDC6" w14:textId="6CB540DB"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2017/352</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15 lutego 2017</w:t>
      </w:r>
      <w:r w:rsidR="00064166" w:rsidRPr="00064166">
        <w:rPr>
          <w:rStyle w:val="footnotereference0"/>
        </w:rPr>
        <w:t> </w:t>
      </w:r>
      <w:r w:rsidRPr="00064166">
        <w:rPr>
          <w:rStyle w:val="footnotereference0"/>
        </w:rPr>
        <w:t>r. ustanawiające ramy</w:t>
      </w:r>
      <w:r w:rsidR="00064166" w:rsidRPr="00064166">
        <w:rPr>
          <w:rStyle w:val="footnotereference0"/>
        </w:rPr>
        <w:t xml:space="preserve"> w</w:t>
      </w:r>
      <w:r w:rsidR="00064166">
        <w:rPr>
          <w:rStyle w:val="footnotereference0"/>
        </w:rPr>
        <w:t> </w:t>
      </w:r>
      <w:r w:rsidR="00064166" w:rsidRPr="00064166">
        <w:rPr>
          <w:rStyle w:val="footnotereference0"/>
        </w:rPr>
        <w:t>zak</w:t>
      </w:r>
      <w:r w:rsidRPr="00064166">
        <w:rPr>
          <w:rStyle w:val="footnotereference0"/>
        </w:rPr>
        <w:t>resie świadczenia usług portowych oraz wspólne zasady dotyczące przejrzystości finansowej portów, Dz.U. L 57</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.3.2017, s. 1.</w:t>
      </w:r>
    </w:p>
  </w:footnote>
  <w:footnote w:id="56">
    <w:p w14:paraId="4837E0F2" w14:textId="484FE285"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(WE) nr</w:t>
      </w:r>
      <w:r w:rsidR="00064166" w:rsidRPr="00064166">
        <w:rPr>
          <w:rStyle w:val="footnotereference0"/>
        </w:rPr>
        <w:t> </w:t>
      </w:r>
      <w:r w:rsidRPr="00064166">
        <w:rPr>
          <w:rStyle w:val="footnotereference0"/>
        </w:rPr>
        <w:t>1072/2009</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21 października 2009</w:t>
      </w:r>
      <w:r w:rsidR="00064166" w:rsidRPr="00064166">
        <w:rPr>
          <w:rStyle w:val="footnotereference0"/>
        </w:rPr>
        <w:t> </w:t>
      </w:r>
      <w:r w:rsidRPr="00064166">
        <w:rPr>
          <w:rStyle w:val="footnotereference0"/>
        </w:rPr>
        <w:t>r. dotyczące wspólnych zasad dostępu do rynku międzynarodowych przewozów drogowych, Dz.U. L 300</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4.11.2009, s. 72.</w:t>
      </w:r>
    </w:p>
  </w:footnote>
  <w:footnote w:id="57">
    <w:p w14:paraId="22BD90B6" w14:textId="1D7E92F6" w:rsidR="009531A3" w:rsidRPr="00064166" w:rsidRDefault="009531A3" w:rsidP="00594A4B">
      <w:pPr>
        <w:pStyle w:val="FootnoteText"/>
        <w:spacing w:after="0"/>
        <w:ind w:left="0"/>
        <w:rPr>
          <w:rStyle w:val="footnotereference0"/>
        </w:rPr>
      </w:pPr>
      <w:r w:rsidRPr="00064166">
        <w:rPr>
          <w:rStyle w:val="footnotereference0"/>
        </w:rPr>
        <w:t xml:space="preserve"> </w:t>
      </w:r>
      <w:r w:rsidRPr="00064166">
        <w:rPr>
          <w:rStyle w:val="footnotereference0"/>
        </w:rPr>
        <w:footnoteRef/>
      </w:r>
      <w:r w:rsidRPr="00064166">
        <w:rPr>
          <w:rStyle w:val="footnotereference0"/>
        </w:rPr>
        <w:t xml:space="preserve"> Art. 54 dyrektywy 2012/34/UE</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utworzenia jednolitego europejskiego obszaru kolejowego.</w:t>
      </w:r>
    </w:p>
  </w:footnote>
  <w:footnote w:id="58">
    <w:p w14:paraId="5D656610" w14:textId="1670D532"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Ponadto nowe rozporządzenie (UE) 2021/782 dotyczące praw</w:t>
      </w:r>
      <w:r w:rsidR="00064166" w:rsidRPr="00064166">
        <w:rPr>
          <w:rStyle w:val="footnotereference0"/>
        </w:rPr>
        <w:t xml:space="preserve"> i</w:t>
      </w:r>
      <w:r w:rsidR="00064166">
        <w:rPr>
          <w:rStyle w:val="footnotereference0"/>
        </w:rPr>
        <w:t> </w:t>
      </w:r>
      <w:r w:rsidR="00064166" w:rsidRPr="00064166">
        <w:rPr>
          <w:rStyle w:val="footnotereference0"/>
        </w:rPr>
        <w:t>obo</w:t>
      </w:r>
      <w:r w:rsidRPr="00064166">
        <w:rPr>
          <w:rStyle w:val="footnotereference0"/>
        </w:rPr>
        <w:t>wiązków pasażerów</w:t>
      </w:r>
      <w:r w:rsidR="00064166" w:rsidRPr="00064166">
        <w:rPr>
          <w:rStyle w:val="footnotereference0"/>
        </w:rPr>
        <w:t xml:space="preserve"> w</w:t>
      </w:r>
      <w:r w:rsidR="00064166">
        <w:rPr>
          <w:rStyle w:val="footnotereference0"/>
        </w:rPr>
        <w:t> </w:t>
      </w:r>
      <w:r w:rsidR="00064166" w:rsidRPr="00064166">
        <w:rPr>
          <w:rStyle w:val="footnotereference0"/>
        </w:rPr>
        <w:t>ruc</w:t>
      </w:r>
      <w:r w:rsidRPr="00064166">
        <w:rPr>
          <w:rStyle w:val="footnotereference0"/>
        </w:rPr>
        <w:t>hu kolejowym, które będzie obowiązywać od</w:t>
      </w:r>
      <w:r w:rsidR="00064166" w:rsidRPr="00064166">
        <w:rPr>
          <w:rStyle w:val="footnotereference0"/>
        </w:rPr>
        <w:t> </w:t>
      </w:r>
      <w:r w:rsidRPr="00064166">
        <w:rPr>
          <w:rStyle w:val="footnotereference0"/>
        </w:rPr>
        <w:t>7 czerwca 2023</w:t>
      </w:r>
      <w:r w:rsidR="00064166" w:rsidRPr="00064166">
        <w:rPr>
          <w:rStyle w:val="footnotereference0"/>
        </w:rPr>
        <w:t> </w:t>
      </w:r>
      <w:r w:rsidRPr="00064166">
        <w:rPr>
          <w:rStyle w:val="footnotereference0"/>
        </w:rPr>
        <w:t>r., zobowiązuje przedsiębiorstwa kolejowe do współpracy</w:t>
      </w:r>
      <w:r w:rsidR="00064166" w:rsidRPr="00064166">
        <w:rPr>
          <w:rStyle w:val="footnotereference0"/>
        </w:rPr>
        <w:t xml:space="preserve"> z</w:t>
      </w:r>
      <w:r w:rsidR="00064166">
        <w:rPr>
          <w:rStyle w:val="footnotereference0"/>
        </w:rPr>
        <w:t> </w:t>
      </w:r>
      <w:r w:rsidR="00064166" w:rsidRPr="00064166">
        <w:rPr>
          <w:rStyle w:val="footnotereference0"/>
        </w:rPr>
        <w:t>zar</w:t>
      </w:r>
      <w:r w:rsidRPr="00064166">
        <w:rPr>
          <w:rStyle w:val="footnotereference0"/>
        </w:rPr>
        <w:t>ządcami stacji</w:t>
      </w:r>
      <w:r w:rsidR="00064166" w:rsidRPr="00064166">
        <w:rPr>
          <w:rStyle w:val="footnotereference0"/>
        </w:rPr>
        <w:t xml:space="preserve"> i</w:t>
      </w:r>
      <w:r w:rsidR="00064166">
        <w:rPr>
          <w:rStyle w:val="footnotereference0"/>
        </w:rPr>
        <w:t> </w:t>
      </w:r>
      <w:r w:rsidR="00064166" w:rsidRPr="00064166">
        <w:rPr>
          <w:rStyle w:val="footnotereference0"/>
        </w:rPr>
        <w:t>inf</w:t>
      </w:r>
      <w:r w:rsidRPr="00064166">
        <w:rPr>
          <w:rStyle w:val="footnotereference0"/>
        </w:rPr>
        <w:t>rastruktury przy opracowywaniu tych planów. Plany awaryjne muszą również uwzględniać potrzebę zapewnienia dostępnych systemów ostrzegania</w:t>
      </w:r>
      <w:r w:rsidR="00064166" w:rsidRPr="00064166">
        <w:rPr>
          <w:rStyle w:val="footnotereference0"/>
        </w:rPr>
        <w:t xml:space="preserve"> i</w:t>
      </w:r>
      <w:r w:rsidR="00064166">
        <w:rPr>
          <w:rStyle w:val="footnotereference0"/>
        </w:rPr>
        <w:t> </w:t>
      </w:r>
      <w:r w:rsidR="00064166" w:rsidRPr="00064166">
        <w:rPr>
          <w:rStyle w:val="footnotereference0"/>
        </w:rPr>
        <w:t>inf</w:t>
      </w:r>
      <w:r w:rsidRPr="00064166">
        <w:rPr>
          <w:rStyle w:val="footnotereference0"/>
        </w:rPr>
        <w:t>ormacji.</w:t>
      </w:r>
    </w:p>
  </w:footnote>
  <w:footnote w:id="59">
    <w:p w14:paraId="16096CC0"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COM(2021) 812 i COM(2021) 813.</w:t>
      </w:r>
    </w:p>
  </w:footnote>
  <w:footnote w:id="60">
    <w:p w14:paraId="029DBBAC" w14:textId="6B148A3D"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2020/459</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30 marca 2020</w:t>
      </w:r>
      <w:r w:rsidR="00064166" w:rsidRPr="00064166">
        <w:rPr>
          <w:rStyle w:val="footnotereference0"/>
        </w:rPr>
        <w:t> </w:t>
      </w:r>
      <w:r w:rsidRPr="00064166">
        <w:rPr>
          <w:rStyle w:val="footnotereference0"/>
        </w:rPr>
        <w:t>r. zmieniające rozporządzenie Rady (EWG) nr</w:t>
      </w:r>
      <w:r w:rsidR="00064166" w:rsidRPr="00064166">
        <w:rPr>
          <w:rStyle w:val="footnotereference0"/>
        </w:rPr>
        <w:t> </w:t>
      </w:r>
      <w:r w:rsidRPr="00064166">
        <w:rPr>
          <w:rStyle w:val="footnotereference0"/>
        </w:rPr>
        <w:t>95/93</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wspólnych zasad przydzielania czasu na start lub lądowanie</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tach lotniczych Wspólnoty, Dz.U. L 99</w:t>
      </w:r>
      <w:r w:rsidR="00064166" w:rsidRPr="00064166">
        <w:rPr>
          <w:rStyle w:val="footnotereference0"/>
        </w:rPr>
        <w:t xml:space="preserve"> z</w:t>
      </w:r>
      <w:r w:rsidR="00064166">
        <w:rPr>
          <w:rStyle w:val="footnotereference0"/>
        </w:rPr>
        <w:t> </w:t>
      </w:r>
      <w:r w:rsidR="00064166" w:rsidRPr="00064166">
        <w:rPr>
          <w:rStyle w:val="footnotereference0"/>
        </w:rPr>
        <w:t>3</w:t>
      </w:r>
      <w:r w:rsidRPr="00064166">
        <w:rPr>
          <w:rStyle w:val="footnotereference0"/>
        </w:rPr>
        <w:t>1.3.2020, s. 1; 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2021/250</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16 lutego 2021</w:t>
      </w:r>
      <w:r w:rsidR="00064166" w:rsidRPr="00064166">
        <w:rPr>
          <w:rStyle w:val="footnotereference0"/>
        </w:rPr>
        <w:t> </w:t>
      </w:r>
      <w:r w:rsidRPr="00064166">
        <w:rPr>
          <w:rStyle w:val="footnotereference0"/>
        </w:rPr>
        <w:t>r. zmieniające rozporządzenie Rady (EWG) nr</w:t>
      </w:r>
      <w:r w:rsidR="00064166" w:rsidRPr="00064166">
        <w:rPr>
          <w:rStyle w:val="footnotereference0"/>
        </w:rPr>
        <w:t> </w:t>
      </w:r>
      <w:r w:rsidRPr="00064166">
        <w:rPr>
          <w:rStyle w:val="footnotereference0"/>
        </w:rPr>
        <w:t>95/93</w:t>
      </w:r>
      <w:r w:rsidR="00064166" w:rsidRPr="00064166">
        <w:rPr>
          <w:rStyle w:val="footnotereference0"/>
        </w:rPr>
        <w:t xml:space="preserve"> w</w:t>
      </w:r>
      <w:r w:rsidR="00064166">
        <w:rPr>
          <w:rStyle w:val="footnotereference0"/>
        </w:rPr>
        <w:t> </w:t>
      </w:r>
      <w:r w:rsidR="00064166" w:rsidRPr="00064166">
        <w:rPr>
          <w:rStyle w:val="footnotereference0"/>
        </w:rPr>
        <w:t>odn</w:t>
      </w:r>
      <w:r w:rsidRPr="00064166">
        <w:rPr>
          <w:rStyle w:val="footnotereference0"/>
        </w:rPr>
        <w:t>iesieniu do tymczasowego złagodzenia zasad wykorzystywania czasów na start lub lądowanie</w:t>
      </w:r>
      <w:r w:rsidR="00064166" w:rsidRPr="00064166">
        <w:rPr>
          <w:rStyle w:val="footnotereference0"/>
        </w:rPr>
        <w:t xml:space="preserve"> w</w:t>
      </w:r>
      <w:r w:rsidR="00064166">
        <w:rPr>
          <w:rStyle w:val="footnotereference0"/>
        </w:rPr>
        <w:t> </w:t>
      </w:r>
      <w:r w:rsidR="00064166" w:rsidRPr="00064166">
        <w:rPr>
          <w:rStyle w:val="footnotereference0"/>
        </w:rPr>
        <w:t>por</w:t>
      </w:r>
      <w:r w:rsidRPr="00064166">
        <w:rPr>
          <w:rStyle w:val="footnotereference0"/>
        </w:rPr>
        <w:t>tach lotniczych Unii</w:t>
      </w:r>
      <w:r w:rsidR="00064166" w:rsidRPr="00064166">
        <w:rPr>
          <w:rStyle w:val="footnotereference0"/>
        </w:rPr>
        <w:t xml:space="preserve"> w</w:t>
      </w:r>
      <w:r w:rsidR="00064166">
        <w:rPr>
          <w:rStyle w:val="footnotereference0"/>
        </w:rPr>
        <w:t> </w:t>
      </w:r>
      <w:r w:rsidR="00064166" w:rsidRPr="00064166">
        <w:rPr>
          <w:rStyle w:val="footnotereference0"/>
        </w:rPr>
        <w:t>zwi</w:t>
      </w:r>
      <w:r w:rsidRPr="00064166">
        <w:rPr>
          <w:rStyle w:val="footnotereference0"/>
        </w:rPr>
        <w:t>ązku</w:t>
      </w:r>
      <w:r w:rsidR="00064166" w:rsidRPr="00064166">
        <w:rPr>
          <w:rStyle w:val="footnotereference0"/>
        </w:rPr>
        <w:t xml:space="preserve"> z</w:t>
      </w:r>
      <w:r w:rsidR="00064166">
        <w:rPr>
          <w:rStyle w:val="footnotereference0"/>
        </w:rPr>
        <w:t> </w:t>
      </w:r>
      <w:r w:rsidR="00064166" w:rsidRPr="00064166">
        <w:rPr>
          <w:rStyle w:val="footnotereference0"/>
        </w:rPr>
        <w:t>kry</w:t>
      </w:r>
      <w:r w:rsidRPr="00064166">
        <w:rPr>
          <w:rStyle w:val="footnotereference0"/>
        </w:rPr>
        <w:t>zysem związanym z COVID-19, Dz.U. L 58</w:t>
      </w:r>
      <w:r w:rsidR="00064166" w:rsidRPr="00064166">
        <w:rPr>
          <w:rStyle w:val="footnotereference0"/>
        </w:rPr>
        <w:t xml:space="preserve"> z</w:t>
      </w:r>
      <w:r w:rsidR="00064166">
        <w:rPr>
          <w:rStyle w:val="footnotereference0"/>
        </w:rPr>
        <w:t> </w:t>
      </w:r>
      <w:r w:rsidR="00064166" w:rsidRPr="00064166">
        <w:rPr>
          <w:rStyle w:val="footnotereference0"/>
        </w:rPr>
        <w:t>1</w:t>
      </w:r>
      <w:r w:rsidRPr="00064166">
        <w:rPr>
          <w:rStyle w:val="footnotereference0"/>
        </w:rPr>
        <w:t>9.2.2021, s. 1.</w:t>
      </w:r>
    </w:p>
  </w:footnote>
  <w:footnote w:id="61">
    <w:p w14:paraId="35AB4A7F" w14:textId="3A6C2B59" w:rsidR="002E1E39" w:rsidRPr="00064166" w:rsidRDefault="002E1E39" w:rsidP="00D7796F">
      <w:pPr>
        <w:pStyle w:val="FootnoteText"/>
        <w:spacing w:after="0"/>
        <w:ind w:left="0"/>
      </w:pPr>
      <w:r w:rsidRPr="00064166">
        <w:rPr>
          <w:rStyle w:val="footnotereference0"/>
        </w:rPr>
        <w:footnoteRef/>
      </w:r>
      <w:r w:rsidRPr="00064166">
        <w:rPr>
          <w:rStyle w:val="footnotereference0"/>
        </w:rPr>
        <w:t xml:space="preserve"> COM(2022) 108 final.</w:t>
      </w:r>
    </w:p>
  </w:footnote>
  <w:footnote w:id="62">
    <w:p w14:paraId="7835789E"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COM(2021) 891 final.</w:t>
      </w:r>
    </w:p>
  </w:footnote>
  <w:footnote w:id="63">
    <w:p w14:paraId="36613C03"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C(2020) 1897. </w:t>
      </w:r>
    </w:p>
  </w:footnote>
  <w:footnote w:id="64">
    <w:p w14:paraId="4B481E2C"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C(2019) 7131 final.</w:t>
      </w:r>
    </w:p>
  </w:footnote>
  <w:footnote w:id="65">
    <w:p w14:paraId="28BA6B15" w14:textId="4A9DF341"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 decyzji wykonawczej (UE) 2021/858</w:t>
      </w:r>
      <w:r w:rsidR="00064166" w:rsidRPr="00064166">
        <w:rPr>
          <w:rStyle w:val="footnotereference0"/>
        </w:rPr>
        <w:t xml:space="preserve"> i</w:t>
      </w:r>
      <w:r w:rsidR="00064166">
        <w:rPr>
          <w:rStyle w:val="footnotereference0"/>
        </w:rPr>
        <w:t> </w:t>
      </w:r>
      <w:r w:rsidR="00064166" w:rsidRPr="00064166">
        <w:rPr>
          <w:rStyle w:val="footnotereference0"/>
        </w:rPr>
        <w:t>dec</w:t>
      </w:r>
      <w:r w:rsidRPr="00064166">
        <w:rPr>
          <w:rStyle w:val="footnotereference0"/>
        </w:rPr>
        <w:t>yzji wykonawczej (UE) 2021/1212 określono podstawę prawną wymiany danych zakażonych pasażerów</w:t>
      </w:r>
      <w:r w:rsidR="00064166" w:rsidRPr="00064166">
        <w:rPr>
          <w:rStyle w:val="footnotereference0"/>
        </w:rPr>
        <w:t xml:space="preserve"> i</w:t>
      </w:r>
      <w:r w:rsidR="00064166">
        <w:rPr>
          <w:rStyle w:val="footnotereference0"/>
        </w:rPr>
        <w:t> </w:t>
      </w:r>
      <w:r w:rsidR="00064166" w:rsidRPr="00064166">
        <w:rPr>
          <w:rStyle w:val="footnotereference0"/>
        </w:rPr>
        <w:t>osó</w:t>
      </w:r>
      <w:r w:rsidRPr="00064166">
        <w:rPr>
          <w:rStyle w:val="footnotereference0"/>
        </w:rPr>
        <w:t>b narażonych na zakażenie na potrzeby transgranicznego ustalania kontaktów zakaźnych.</w:t>
      </w:r>
    </w:p>
  </w:footnote>
  <w:footnote w:id="66">
    <w:p w14:paraId="12AACA17" w14:textId="15AD3A28"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Ponadto poczyniono specjalne ustalenia</w:t>
      </w:r>
      <w:r w:rsidR="00064166" w:rsidRPr="00064166">
        <w:rPr>
          <w:rStyle w:val="footnotereference0"/>
        </w:rPr>
        <w:t xml:space="preserve"> w</w:t>
      </w:r>
      <w:r w:rsidR="00064166">
        <w:rPr>
          <w:rStyle w:val="footnotereference0"/>
        </w:rPr>
        <w:t> </w:t>
      </w:r>
      <w:r w:rsidR="00064166" w:rsidRPr="00064166">
        <w:rPr>
          <w:rStyle w:val="footnotereference0"/>
        </w:rPr>
        <w:t>cel</w:t>
      </w:r>
      <w:r w:rsidRPr="00064166">
        <w:rPr>
          <w:rStyle w:val="footnotereference0"/>
        </w:rPr>
        <w:t>u ułatwienia lotów transferowych osobom uciekającym</w:t>
      </w:r>
      <w:r w:rsidR="00064166" w:rsidRPr="00064166">
        <w:rPr>
          <w:rStyle w:val="footnotereference0"/>
        </w:rPr>
        <w:t xml:space="preserve"> z</w:t>
      </w:r>
      <w:r w:rsidR="00064166">
        <w:rPr>
          <w:rStyle w:val="footnotereference0"/>
        </w:rPr>
        <w:t> </w:t>
      </w:r>
      <w:r w:rsidR="00064166" w:rsidRPr="00064166">
        <w:rPr>
          <w:rStyle w:val="footnotereference0"/>
        </w:rPr>
        <w:t>Ukr</w:t>
      </w:r>
      <w:r w:rsidRPr="00064166">
        <w:rPr>
          <w:rStyle w:val="footnotereference0"/>
        </w:rPr>
        <w:t>ainy, które dotarły do Mołdawii</w:t>
      </w:r>
      <w:r w:rsidR="00064166" w:rsidRPr="00064166">
        <w:rPr>
          <w:rStyle w:val="footnotereference0"/>
        </w:rPr>
        <w:t xml:space="preserve"> w</w:t>
      </w:r>
      <w:r w:rsidR="00064166">
        <w:rPr>
          <w:rStyle w:val="footnotereference0"/>
        </w:rPr>
        <w:t> </w:t>
      </w:r>
      <w:r w:rsidR="00064166" w:rsidRPr="00064166">
        <w:rPr>
          <w:rStyle w:val="footnotereference0"/>
        </w:rPr>
        <w:t>dro</w:t>
      </w:r>
      <w:r w:rsidRPr="00064166">
        <w:rPr>
          <w:rStyle w:val="footnotereference0"/>
        </w:rPr>
        <w:t xml:space="preserve">dze do UE. Mołdawia wydała zakaz lotów, który musiał zostać zmieniony, aby umożliwić te loty. </w:t>
      </w:r>
    </w:p>
  </w:footnote>
  <w:footnote w:id="67">
    <w:p w14:paraId="3D179671" w14:textId="0F3EF5EF"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Państwa uczestniczące</w:t>
      </w:r>
      <w:r w:rsidR="00064166" w:rsidRPr="00064166">
        <w:rPr>
          <w:rStyle w:val="footnotereference0"/>
        </w:rPr>
        <w:t xml:space="preserve"> w</w:t>
      </w:r>
      <w:r w:rsidR="00064166">
        <w:rPr>
          <w:rStyle w:val="footnotereference0"/>
        </w:rPr>
        <w:t> </w:t>
      </w:r>
      <w:r w:rsidR="00064166" w:rsidRPr="00064166">
        <w:rPr>
          <w:rStyle w:val="footnotereference0"/>
        </w:rPr>
        <w:t>Mec</w:t>
      </w:r>
      <w:r w:rsidRPr="00064166">
        <w:rPr>
          <w:rStyle w:val="footnotereference0"/>
        </w:rPr>
        <w:t>hanizmie (Islandia, Norwegia, Serbia, Macedonia Północna, Czarnogóra</w:t>
      </w:r>
      <w:r w:rsidR="00064166" w:rsidRPr="00064166">
        <w:rPr>
          <w:rStyle w:val="footnotereference0"/>
        </w:rPr>
        <w:t xml:space="preserve"> i</w:t>
      </w:r>
      <w:r w:rsidR="00064166">
        <w:rPr>
          <w:rStyle w:val="footnotereference0"/>
        </w:rPr>
        <w:t> </w:t>
      </w:r>
      <w:r w:rsidR="00064166" w:rsidRPr="00064166">
        <w:rPr>
          <w:rStyle w:val="footnotereference0"/>
        </w:rPr>
        <w:t>Tur</w:t>
      </w:r>
      <w:r w:rsidRPr="00064166">
        <w:rPr>
          <w:rStyle w:val="footnotereference0"/>
        </w:rPr>
        <w:t>cja).</w:t>
      </w:r>
    </w:p>
  </w:footnote>
  <w:footnote w:id="68">
    <w:p w14:paraId="4CF34ED5" w14:textId="5CC40845" w:rsidR="009531A3" w:rsidRPr="00064166" w:rsidRDefault="009531A3" w:rsidP="003C0EF9">
      <w:pPr>
        <w:pStyle w:val="FootnoteText"/>
        <w:spacing w:after="0"/>
        <w:ind w:left="0"/>
        <w:rPr>
          <w:rStyle w:val="footnotereference0"/>
        </w:rPr>
      </w:pPr>
      <w:r w:rsidRPr="00064166">
        <w:rPr>
          <w:rStyle w:val="footnotereference0"/>
        </w:rPr>
        <w:footnoteRef/>
      </w:r>
      <w:r w:rsidRPr="00064166">
        <w:rPr>
          <w:rStyle w:val="footnotereference0"/>
        </w:rPr>
        <w:t xml:space="preserve"> </w:t>
      </w:r>
      <w:hyperlink r:id="rId6" w:history="1">
        <w:r w:rsidRPr="00064166">
          <w:rPr>
            <w:rStyle w:val="footnotereference0"/>
          </w:rPr>
          <w:t>Rozporządzenie Parlamentu Europejskiego</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y (UE) 2021/836</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20 maja 2021</w:t>
        </w:r>
        <w:r w:rsidR="00064166" w:rsidRPr="00064166">
          <w:rPr>
            <w:rStyle w:val="footnotereference0"/>
          </w:rPr>
          <w:t> </w:t>
        </w:r>
        <w:r w:rsidRPr="00064166">
          <w:rPr>
            <w:rStyle w:val="footnotereference0"/>
          </w:rPr>
          <w:t>r. zmieniające decyzję nr</w:t>
        </w:r>
        <w:r w:rsidR="00064166" w:rsidRPr="00064166">
          <w:rPr>
            <w:rStyle w:val="footnotereference0"/>
          </w:rPr>
          <w:t> </w:t>
        </w:r>
        <w:r w:rsidRPr="00064166">
          <w:rPr>
            <w:rStyle w:val="footnotereference0"/>
          </w:rPr>
          <w:t>1313/2013/UE</w:t>
        </w:r>
        <w:r w:rsidR="00064166" w:rsidRPr="00064166">
          <w:rPr>
            <w:rStyle w:val="footnotereference0"/>
          </w:rPr>
          <w:t xml:space="preserve"> w</w:t>
        </w:r>
        <w:r w:rsidR="00064166">
          <w:rPr>
            <w:rStyle w:val="footnotereference0"/>
          </w:rPr>
          <w:t> </w:t>
        </w:r>
        <w:r w:rsidR="00064166" w:rsidRPr="00064166">
          <w:rPr>
            <w:rStyle w:val="footnotereference0"/>
          </w:rPr>
          <w:t>spr</w:t>
        </w:r>
        <w:r w:rsidRPr="00064166">
          <w:rPr>
            <w:rStyle w:val="footnotereference0"/>
          </w:rPr>
          <w:t>awie Unijnego Mechanizmu Ochrony Ludności, Dz.U. L 185</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6.5.2021, s. 1</w:t>
        </w:r>
      </w:hyperlink>
      <w:r w:rsidRPr="00064166">
        <w:rPr>
          <w:rStyle w:val="footnotereference0"/>
        </w:rPr>
        <w:t>.</w:t>
      </w:r>
    </w:p>
  </w:footnote>
  <w:footnote w:id="69">
    <w:p w14:paraId="2D241CCB" w14:textId="49CD214C"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Państwa członkowskie muszą zapewniać niereprezentowanym obywatelom Unii</w:t>
      </w:r>
      <w:r w:rsidR="00064166" w:rsidRPr="00064166">
        <w:rPr>
          <w:rStyle w:val="footnotereference0"/>
        </w:rPr>
        <w:t xml:space="preserve"> w</w:t>
      </w:r>
      <w:r w:rsidR="00064166">
        <w:rPr>
          <w:rStyle w:val="footnotereference0"/>
        </w:rPr>
        <w:t> </w:t>
      </w:r>
      <w:r w:rsidR="00064166" w:rsidRPr="00064166">
        <w:rPr>
          <w:rStyle w:val="footnotereference0"/>
        </w:rPr>
        <w:t>pań</w:t>
      </w:r>
      <w:r w:rsidRPr="00064166">
        <w:rPr>
          <w:rStyle w:val="footnotereference0"/>
        </w:rPr>
        <w:t xml:space="preserve">stwie niebędącym członkiem UE pomoc na takich samych warunkach jak własnym obywatelom. </w:t>
      </w:r>
    </w:p>
  </w:footnote>
  <w:footnote w:id="70">
    <w:p w14:paraId="5D71624C" w14:textId="4EF66CD9"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COM(2022) 1404 final.</w:t>
      </w:r>
    </w:p>
  </w:footnote>
  <w:footnote w:id="71">
    <w:p w14:paraId="61D4F38B" w14:textId="204110E9"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Konwencja ONZ</w:t>
      </w:r>
      <w:r w:rsidR="00064166" w:rsidRPr="00064166">
        <w:rPr>
          <w:rStyle w:val="footnotereference0"/>
        </w:rPr>
        <w:t xml:space="preserve"> o</w:t>
      </w:r>
      <w:r w:rsidR="00064166">
        <w:rPr>
          <w:rStyle w:val="footnotereference0"/>
        </w:rPr>
        <w:t> </w:t>
      </w:r>
      <w:r w:rsidR="00064166" w:rsidRPr="00064166">
        <w:rPr>
          <w:rStyle w:val="footnotereference0"/>
        </w:rPr>
        <w:t>pra</w:t>
      </w:r>
      <w:r w:rsidRPr="00064166">
        <w:rPr>
          <w:rStyle w:val="footnotereference0"/>
        </w:rPr>
        <w:t>wach osób niepełnosprawnych, art.</w:t>
      </w:r>
      <w:r w:rsidR="00064166" w:rsidRPr="00064166">
        <w:rPr>
          <w:rStyle w:val="footnotereference0"/>
        </w:rPr>
        <w:t> </w:t>
      </w:r>
      <w:r w:rsidRPr="00064166">
        <w:rPr>
          <w:rStyle w:val="footnotereference0"/>
        </w:rPr>
        <w:t>2, 9</w:t>
      </w:r>
      <w:r w:rsidR="00064166" w:rsidRPr="00064166">
        <w:rPr>
          <w:rStyle w:val="footnotereference0"/>
        </w:rPr>
        <w:t xml:space="preserve"> i</w:t>
      </w:r>
      <w:r w:rsidR="00064166">
        <w:rPr>
          <w:rStyle w:val="footnotereference0"/>
        </w:rPr>
        <w:t> </w:t>
      </w:r>
      <w:r w:rsidR="00064166" w:rsidRPr="00064166">
        <w:rPr>
          <w:rStyle w:val="footnotereference0"/>
        </w:rPr>
        <w:t>1</w:t>
      </w:r>
      <w:r w:rsidRPr="00064166">
        <w:rPr>
          <w:rStyle w:val="footnotereference0"/>
        </w:rPr>
        <w:t xml:space="preserve">1. </w:t>
      </w:r>
    </w:p>
  </w:footnote>
  <w:footnote w:id="72">
    <w:p w14:paraId="419017F4"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 (2021) 811 final.</w:t>
      </w:r>
    </w:p>
  </w:footnote>
  <w:footnote w:id="73">
    <w:p w14:paraId="4FF3BA2A"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829 final.</w:t>
      </w:r>
    </w:p>
  </w:footnote>
  <w:footnote w:id="74">
    <w:p w14:paraId="5439C4E2"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COM(2020) 823 final.</w:t>
      </w:r>
    </w:p>
    <w:p w14:paraId="4742F3F5" w14:textId="77777777" w:rsidR="009531A3" w:rsidRPr="00064166" w:rsidRDefault="009531A3" w:rsidP="00594A4B">
      <w:pPr>
        <w:pStyle w:val="FootnoteText"/>
        <w:spacing w:after="0"/>
        <w:ind w:left="0"/>
        <w:rPr>
          <w:rStyle w:val="footnotereference0"/>
        </w:rPr>
      </w:pPr>
    </w:p>
  </w:footnote>
  <w:footnote w:id="75">
    <w:p w14:paraId="6E95E062"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https://www.enisa.europa.eu/publications/railway-cybersecurity-good-practices-in-cyber-risk-management</w:t>
      </w:r>
    </w:p>
  </w:footnote>
  <w:footnote w:id="76">
    <w:p w14:paraId="06CDFC67"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t>
      </w:r>
      <w:hyperlink r:id="rId7" w:history="1">
        <w:r w:rsidRPr="00064166">
          <w:rPr>
            <w:rStyle w:val="footnotereference0"/>
          </w:rPr>
          <w:t>https://www.enisa.europa.eu/publications/guidelines-cyber-risk-management-for-ports/</w:t>
        </w:r>
      </w:hyperlink>
      <w:r w:rsidRPr="00064166">
        <w:rPr>
          <w:rStyle w:val="footnotereference0"/>
        </w:rPr>
        <w:t xml:space="preserve"> </w:t>
      </w:r>
    </w:p>
  </w:footnote>
  <w:footnote w:id="77">
    <w:p w14:paraId="2758A501"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w:t>
      </w:r>
      <w:hyperlink r:id="rId8" w:history="1">
        <w:r w:rsidRPr="00064166">
          <w:rPr>
            <w:rStyle w:val="footnotereference0"/>
          </w:rPr>
          <w:t>https://www.oecd.org/coronavirus/policy-responses/oecd-initiative-for-safe-international-mobility-during-the-covid-19-pandemic-including-blueprint-d0594162/</w:t>
        </w:r>
      </w:hyperlink>
      <w:r w:rsidRPr="00064166">
        <w:rPr>
          <w:rStyle w:val="footnotereference0"/>
        </w:rPr>
        <w:t xml:space="preserve"> </w:t>
      </w:r>
    </w:p>
  </w:footnote>
  <w:footnote w:id="78">
    <w:p w14:paraId="0EBEE9F0" w14:textId="62B23241"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Rozporządzenie wykonawcze Komisji (UE) 2019/1583</w:t>
      </w:r>
      <w:r w:rsidR="00064166" w:rsidRPr="00064166">
        <w:rPr>
          <w:rStyle w:val="footnotereference0"/>
        </w:rPr>
        <w:t xml:space="preserve"> z</w:t>
      </w:r>
      <w:r w:rsidR="00064166">
        <w:rPr>
          <w:rStyle w:val="footnotereference0"/>
        </w:rPr>
        <w:t> </w:t>
      </w:r>
      <w:r w:rsidR="00064166" w:rsidRPr="00064166">
        <w:rPr>
          <w:rStyle w:val="footnotereference0"/>
        </w:rPr>
        <w:t>dni</w:t>
      </w:r>
      <w:r w:rsidRPr="00064166">
        <w:rPr>
          <w:rStyle w:val="footnotereference0"/>
        </w:rPr>
        <w:t>a 25 września 2019</w:t>
      </w:r>
      <w:r w:rsidR="00064166" w:rsidRPr="00064166">
        <w:rPr>
          <w:rStyle w:val="footnotereference0"/>
        </w:rPr>
        <w:t> </w:t>
      </w:r>
      <w:r w:rsidRPr="00064166">
        <w:rPr>
          <w:rStyle w:val="footnotereference0"/>
        </w:rPr>
        <w:t>r. zmieniające rozporządzenie wykonawcze (UE) 2015/1998 ustanawiające szczegółowe środki</w:t>
      </w:r>
      <w:r w:rsidR="00064166" w:rsidRPr="00064166">
        <w:rPr>
          <w:rStyle w:val="footnotereference0"/>
        </w:rPr>
        <w:t xml:space="preserve"> w</w:t>
      </w:r>
      <w:r w:rsidR="00064166">
        <w:rPr>
          <w:rStyle w:val="footnotereference0"/>
        </w:rPr>
        <w:t> </w:t>
      </w:r>
      <w:r w:rsidR="00064166" w:rsidRPr="00064166">
        <w:rPr>
          <w:rStyle w:val="footnotereference0"/>
        </w:rPr>
        <w:t>cel</w:t>
      </w:r>
      <w:r w:rsidRPr="00064166">
        <w:rPr>
          <w:rStyle w:val="footnotereference0"/>
        </w:rPr>
        <w:t>u wprowadzenia</w:t>
      </w:r>
      <w:r w:rsidR="00064166" w:rsidRPr="00064166">
        <w:rPr>
          <w:rStyle w:val="footnotereference0"/>
        </w:rPr>
        <w:t xml:space="preserve"> w</w:t>
      </w:r>
      <w:r w:rsidR="00064166">
        <w:rPr>
          <w:rStyle w:val="footnotereference0"/>
        </w:rPr>
        <w:t> </w:t>
      </w:r>
      <w:r w:rsidR="00064166" w:rsidRPr="00064166">
        <w:rPr>
          <w:rStyle w:val="footnotereference0"/>
        </w:rPr>
        <w:t>życ</w:t>
      </w:r>
      <w:r w:rsidRPr="00064166">
        <w:rPr>
          <w:rStyle w:val="footnotereference0"/>
        </w:rPr>
        <w:t>ie wspólnych podstawowych norm ochrony lotnictwa cywilnego</w:t>
      </w:r>
      <w:r w:rsidR="00064166" w:rsidRPr="00064166">
        <w:rPr>
          <w:rStyle w:val="footnotereference0"/>
        </w:rPr>
        <w:t xml:space="preserve"> w</w:t>
      </w:r>
      <w:r w:rsidR="00064166">
        <w:rPr>
          <w:rStyle w:val="footnotereference0"/>
        </w:rPr>
        <w:t> </w:t>
      </w:r>
      <w:r w:rsidR="00064166" w:rsidRPr="00064166">
        <w:rPr>
          <w:rStyle w:val="footnotereference0"/>
        </w:rPr>
        <w:t>odn</w:t>
      </w:r>
      <w:r w:rsidRPr="00064166">
        <w:rPr>
          <w:rStyle w:val="footnotereference0"/>
        </w:rPr>
        <w:t>iesieniu do środków</w:t>
      </w:r>
      <w:r w:rsidR="00064166" w:rsidRPr="00064166">
        <w:rPr>
          <w:rStyle w:val="footnotereference0"/>
        </w:rPr>
        <w:t xml:space="preserve"> w</w:t>
      </w:r>
      <w:r w:rsidR="00064166">
        <w:rPr>
          <w:rStyle w:val="footnotereference0"/>
        </w:rPr>
        <w:t> </w:t>
      </w:r>
      <w:r w:rsidR="00064166" w:rsidRPr="00064166">
        <w:rPr>
          <w:rStyle w:val="footnotereference0"/>
        </w:rPr>
        <w:t>zak</w:t>
      </w:r>
      <w:r w:rsidRPr="00064166">
        <w:rPr>
          <w:rStyle w:val="footnotereference0"/>
        </w:rPr>
        <w:t>resie cyberbezpieczeństwa (Dz.U. L 246</w:t>
      </w:r>
      <w:r w:rsidR="00064166" w:rsidRPr="00064166">
        <w:rPr>
          <w:rStyle w:val="footnotereference0"/>
        </w:rPr>
        <w:t xml:space="preserve"> z</w:t>
      </w:r>
      <w:r w:rsidR="00064166">
        <w:rPr>
          <w:rStyle w:val="footnotereference0"/>
        </w:rPr>
        <w:t> </w:t>
      </w:r>
      <w:r w:rsidR="00064166" w:rsidRPr="00064166">
        <w:rPr>
          <w:rStyle w:val="footnotereference0"/>
        </w:rPr>
        <w:t>2</w:t>
      </w:r>
      <w:r w:rsidRPr="00064166">
        <w:rPr>
          <w:rStyle w:val="footnotereference0"/>
        </w:rPr>
        <w:t>6.9.2019, s. 15).</w:t>
      </w:r>
    </w:p>
  </w:footnote>
  <w:footnote w:id="79">
    <w:p w14:paraId="4D21561B"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https://www.icao.int/cybersecurity/Pages/Cybersecurity-Action-Plan.aspx</w:t>
      </w:r>
    </w:p>
  </w:footnote>
  <w:footnote w:id="80">
    <w:p w14:paraId="12F13350" w14:textId="77777777"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https://ec.europa.eu/info/law/better-regulation/have-your-say/initiatives/13056-Contingency-plan-for-transport_pl</w:t>
      </w:r>
    </w:p>
  </w:footnote>
  <w:footnote w:id="81">
    <w:p w14:paraId="4A4A2DF2" w14:textId="0E880309" w:rsidR="009531A3" w:rsidRPr="00064166" w:rsidRDefault="009531A3" w:rsidP="00594A4B">
      <w:pPr>
        <w:pStyle w:val="FootnoteText"/>
        <w:spacing w:after="0"/>
        <w:ind w:left="0"/>
        <w:rPr>
          <w:rStyle w:val="footnotereference0"/>
        </w:rPr>
      </w:pPr>
      <w:r w:rsidRPr="00064166">
        <w:rPr>
          <w:rStyle w:val="footnotereference0"/>
        </w:rPr>
        <w:footnoteRef/>
      </w:r>
      <w:r w:rsidRPr="00064166">
        <w:rPr>
          <w:rStyle w:val="footnotereference0"/>
        </w:rPr>
        <w:t xml:space="preserve"> Szóste sprawozdanie</w:t>
      </w:r>
      <w:r w:rsidR="00064166" w:rsidRPr="00064166">
        <w:rPr>
          <w:rStyle w:val="footnotereference0"/>
        </w:rPr>
        <w:t xml:space="preserve"> z</w:t>
      </w:r>
      <w:r w:rsidR="00064166">
        <w:rPr>
          <w:rStyle w:val="footnotereference0"/>
        </w:rPr>
        <w:t> </w:t>
      </w:r>
      <w:r w:rsidR="00064166" w:rsidRPr="00064166">
        <w:rPr>
          <w:rStyle w:val="footnotereference0"/>
        </w:rPr>
        <w:t>pos</w:t>
      </w:r>
      <w:r w:rsidRPr="00064166">
        <w:rPr>
          <w:rStyle w:val="footnotereference0"/>
        </w:rPr>
        <w:t>tępu prac we wdrażaniu wspólnego zestawu wniosków zatwierdzonych przez Radę UE</w:t>
      </w:r>
      <w:r w:rsidR="00064166" w:rsidRPr="00064166">
        <w:rPr>
          <w:rStyle w:val="footnotereference0"/>
        </w:rPr>
        <w:t xml:space="preserve"> i</w:t>
      </w:r>
      <w:r w:rsidR="00064166">
        <w:rPr>
          <w:rStyle w:val="footnotereference0"/>
        </w:rPr>
        <w:t> </w:t>
      </w:r>
      <w:r w:rsidR="00064166" w:rsidRPr="00064166">
        <w:rPr>
          <w:rStyle w:val="footnotereference0"/>
        </w:rPr>
        <w:t>Rad</w:t>
      </w:r>
      <w:r w:rsidRPr="00064166">
        <w:rPr>
          <w:rStyle w:val="footnotereference0"/>
        </w:rPr>
        <w:t>ę Północnoatlantycką</w:t>
      </w:r>
      <w:r w:rsidR="00064166" w:rsidRPr="00064166">
        <w:rPr>
          <w:rStyle w:val="footnotereference0"/>
        </w:rPr>
        <w:t xml:space="preserve"> w</w:t>
      </w:r>
      <w:r w:rsidR="00064166">
        <w:rPr>
          <w:rStyle w:val="footnotereference0"/>
        </w:rPr>
        <w:t> </w:t>
      </w:r>
      <w:r w:rsidR="00064166" w:rsidRPr="00064166">
        <w:rPr>
          <w:rStyle w:val="footnotereference0"/>
        </w:rPr>
        <w:t>dni</w:t>
      </w:r>
      <w:r w:rsidRPr="00064166">
        <w:rPr>
          <w:rStyle w:val="footnotereference0"/>
        </w:rPr>
        <w:t>ach 6 grudnia 2016</w:t>
      </w:r>
      <w:r w:rsidR="00064166" w:rsidRPr="00064166">
        <w:rPr>
          <w:rStyle w:val="footnotereference0"/>
        </w:rPr>
        <w:t> </w:t>
      </w:r>
      <w:r w:rsidRPr="00064166">
        <w:rPr>
          <w:rStyle w:val="footnotereference0"/>
        </w:rPr>
        <w:t>r.</w:t>
      </w:r>
      <w:r w:rsidR="00064166" w:rsidRPr="00064166">
        <w:rPr>
          <w:rStyle w:val="footnotereference0"/>
        </w:rPr>
        <w:t xml:space="preserve"> i</w:t>
      </w:r>
      <w:r w:rsidR="00064166">
        <w:rPr>
          <w:rStyle w:val="footnotereference0"/>
        </w:rPr>
        <w:t> </w:t>
      </w:r>
      <w:r w:rsidR="00064166" w:rsidRPr="00064166">
        <w:rPr>
          <w:rStyle w:val="footnotereference0"/>
        </w:rPr>
        <w:t>5</w:t>
      </w:r>
      <w:r w:rsidRPr="00064166">
        <w:rPr>
          <w:rStyle w:val="footnotereference0"/>
        </w:rPr>
        <w:t xml:space="preserve"> grudnia 2017</w:t>
      </w:r>
      <w:r w:rsidR="00064166" w:rsidRPr="00064166">
        <w:rPr>
          <w:rStyle w:val="footnotereference0"/>
        </w:rPr>
        <w:t> </w:t>
      </w:r>
      <w:r w:rsidRPr="00064166">
        <w:rPr>
          <w:rStyle w:val="footnotereference0"/>
        </w:rPr>
        <w:t>r., 3 czerwca 2021</w:t>
      </w:r>
      <w:r w:rsidR="00064166" w:rsidRPr="00064166">
        <w:rPr>
          <w:rStyle w:val="footnotereference0"/>
        </w:rPr>
        <w:t> </w:t>
      </w:r>
      <w:r w:rsidRPr="00064166">
        <w:rPr>
          <w:rStyle w:val="footnotereference0"/>
        </w:rPr>
        <w: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8F18" w14:textId="77777777" w:rsidR="00B77FCC" w:rsidRPr="00B77FCC" w:rsidRDefault="00B77FCC" w:rsidP="00B77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65F2" w14:textId="77777777" w:rsidR="00B77FCC" w:rsidRPr="00B77FCC" w:rsidRDefault="00B77FCC" w:rsidP="00B77FC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E5AE" w14:textId="77777777" w:rsidR="00B77FCC" w:rsidRPr="00B77FCC" w:rsidRDefault="00B77FCC" w:rsidP="00B77FC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3D84" w14:textId="77777777" w:rsidR="009531A3" w:rsidRDefault="009531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F339" w14:textId="77777777" w:rsidR="009531A3" w:rsidRDefault="009531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E919" w14:textId="77777777" w:rsidR="009531A3" w:rsidRDefault="00953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267"/>
    <w:multiLevelType w:val="hybridMultilevel"/>
    <w:tmpl w:val="46D6E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A10615"/>
    <w:multiLevelType w:val="hybridMultilevel"/>
    <w:tmpl w:val="194C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3A6051"/>
    <w:multiLevelType w:val="hybridMultilevel"/>
    <w:tmpl w:val="8E00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83737"/>
    <w:multiLevelType w:val="hybridMultilevel"/>
    <w:tmpl w:val="34646BEE"/>
    <w:lvl w:ilvl="0" w:tplc="2EE695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14A93"/>
    <w:multiLevelType w:val="multilevel"/>
    <w:tmpl w:val="4280A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465611"/>
    <w:multiLevelType w:val="hybridMultilevel"/>
    <w:tmpl w:val="13424084"/>
    <w:styleLink w:val="ImportedStyle3"/>
    <w:lvl w:ilvl="0" w:tplc="65363096">
      <w:start w:val="1"/>
      <w:numFmt w:val="decimal"/>
      <w:lvlText w:val="%1."/>
      <w:lvlJc w:val="left"/>
      <w:pPr>
        <w:ind w:left="476"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64FD38">
      <w:start w:val="1"/>
      <w:numFmt w:val="lowerLetter"/>
      <w:lvlText w:val="%2."/>
      <w:lvlJc w:val="left"/>
      <w:pPr>
        <w:ind w:left="952"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C24D20">
      <w:start w:val="1"/>
      <w:numFmt w:val="lowerRoman"/>
      <w:lvlText w:val="%3."/>
      <w:lvlJc w:val="left"/>
      <w:pPr>
        <w:ind w:left="1429"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CE7170">
      <w:start w:val="1"/>
      <w:numFmt w:val="lowerRoman"/>
      <w:lvlText w:val="%4."/>
      <w:lvlJc w:val="left"/>
      <w:pPr>
        <w:ind w:left="1905"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80E6E">
      <w:start w:val="1"/>
      <w:numFmt w:val="lowerRoman"/>
      <w:lvlText w:val="%5."/>
      <w:lvlJc w:val="left"/>
      <w:pPr>
        <w:ind w:left="2381"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02BC16">
      <w:start w:val="1"/>
      <w:numFmt w:val="lowerRoman"/>
      <w:lvlText w:val="%6."/>
      <w:lvlJc w:val="left"/>
      <w:pPr>
        <w:ind w:left="2857"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43650">
      <w:start w:val="1"/>
      <w:numFmt w:val="lowerRoman"/>
      <w:lvlText w:val="%7."/>
      <w:lvlJc w:val="left"/>
      <w:pPr>
        <w:ind w:left="3333"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06CB38">
      <w:start w:val="1"/>
      <w:numFmt w:val="lowerRoman"/>
      <w:lvlText w:val="%8."/>
      <w:lvlJc w:val="left"/>
      <w:pPr>
        <w:ind w:left="3809"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4A5D80">
      <w:start w:val="1"/>
      <w:numFmt w:val="lowerRoman"/>
      <w:lvlText w:val="%9."/>
      <w:lvlJc w:val="left"/>
      <w:pPr>
        <w:ind w:left="4285"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1017363"/>
    <w:multiLevelType w:val="multilevel"/>
    <w:tmpl w:val="102EF9EE"/>
    <w:lvl w:ilvl="0">
      <w:start w:val="1"/>
      <w:numFmt w:val="decimal"/>
      <w:pStyle w:val="Heading1"/>
      <w:lvlText w:val="%1"/>
      <w:lvlJc w:val="left"/>
      <w:pPr>
        <w:ind w:left="432" w:hanging="432"/>
      </w:pPr>
    </w:lvl>
    <w:lvl w:ilvl="1">
      <w:start w:val="1"/>
      <w:numFmt w:val="decimal"/>
      <w:pStyle w:val="Heading2"/>
      <w:lvlText w:val="%2)"/>
      <w:lvlJc w:val="left"/>
      <w:pPr>
        <w:ind w:left="576" w:hanging="576"/>
      </w:pPr>
      <w:rPr>
        <w:rFonts w:hint="default"/>
        <w:b/>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1DE54E1"/>
    <w:multiLevelType w:val="hybridMultilevel"/>
    <w:tmpl w:val="F3325D9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C2D58AB"/>
    <w:multiLevelType w:val="hybridMultilevel"/>
    <w:tmpl w:val="B03214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5"/>
  </w:num>
  <w:num w:numId="5">
    <w:abstractNumId w:val="2"/>
  </w:num>
  <w:num w:numId="6">
    <w:abstractNumId w:val="7"/>
  </w:num>
  <w:num w:numId="7">
    <w:abstractNumId w:val="9"/>
  </w:num>
  <w:num w:numId="8">
    <w:abstractNumId w:val="7"/>
  </w:num>
  <w:num w:numId="9">
    <w:abstractNumId w:val="1"/>
  </w:num>
  <w:num w:numId="10">
    <w:abstractNumId w:val="3"/>
  </w:num>
  <w:num w:numId="11">
    <w:abstractNumId w:val="4"/>
  </w:num>
  <w:num w:numId="12">
    <w:abstractNumId w:val="0"/>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F7D0F04-4B5B-4A99-AE25-95DCB74B7403"/>
    <w:docVar w:name="LW_COVERPAGE_TYPE" w:val="1"/>
    <w:docVar w:name="LW_CROSSREFERENCE" w:val="&lt;UNUSED&gt;"/>
    <w:docVar w:name="LW_DocType" w:val="NORMAL"/>
    <w:docVar w:name="LW_EMISSION" w:val="23.5.2022"/>
    <w:docVar w:name="LW_EMISSION_ISODATE" w:val="2022-05-23"/>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2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 awaryjny dla transportu"/>
    <w:docVar w:name="LW_TYPE.DOC.CP" w:val="KOMUNIKAT KOMISJI DO PARLAMENTU EUROPEJSKIEGO, RADY, EUROPEJSKIEGO KOMITETU EKONOMICZNO-SPOŁECZNEGO I KOMITETU REGIONÓW"/>
    <w:docVar w:name="LW_TYPE.DOC.CP.USERTEXT" w:val="&lt;EMPTY&gt;"/>
    <w:docVar w:name="LwApiVersions" w:val="LW4CoDe 1.23.2.0; LW 8.0, Build 20211117"/>
  </w:docVars>
  <w:rsids>
    <w:rsidRoot w:val="00FC6378"/>
    <w:rsid w:val="00002722"/>
    <w:rsid w:val="00010CD6"/>
    <w:rsid w:val="00011B74"/>
    <w:rsid w:val="0001243F"/>
    <w:rsid w:val="000124D3"/>
    <w:rsid w:val="00022248"/>
    <w:rsid w:val="000256B4"/>
    <w:rsid w:val="00040725"/>
    <w:rsid w:val="00043AF3"/>
    <w:rsid w:val="00043D07"/>
    <w:rsid w:val="000453CA"/>
    <w:rsid w:val="0004778A"/>
    <w:rsid w:val="00062544"/>
    <w:rsid w:val="00063375"/>
    <w:rsid w:val="00064166"/>
    <w:rsid w:val="000725D6"/>
    <w:rsid w:val="00080966"/>
    <w:rsid w:val="000926B9"/>
    <w:rsid w:val="0009381B"/>
    <w:rsid w:val="0009533F"/>
    <w:rsid w:val="000966B5"/>
    <w:rsid w:val="000A78E0"/>
    <w:rsid w:val="000B12A0"/>
    <w:rsid w:val="000B1CB0"/>
    <w:rsid w:val="000B3E52"/>
    <w:rsid w:val="000C0933"/>
    <w:rsid w:val="000C110F"/>
    <w:rsid w:val="000C18C0"/>
    <w:rsid w:val="000C5444"/>
    <w:rsid w:val="000C5C62"/>
    <w:rsid w:val="000D54C3"/>
    <w:rsid w:val="000D6C93"/>
    <w:rsid w:val="000D6CDF"/>
    <w:rsid w:val="000D7DC7"/>
    <w:rsid w:val="000E5F68"/>
    <w:rsid w:val="000F6077"/>
    <w:rsid w:val="00106305"/>
    <w:rsid w:val="001137DC"/>
    <w:rsid w:val="00113FEB"/>
    <w:rsid w:val="00114963"/>
    <w:rsid w:val="0012476A"/>
    <w:rsid w:val="00126045"/>
    <w:rsid w:val="00127AEA"/>
    <w:rsid w:val="0013286A"/>
    <w:rsid w:val="00132D55"/>
    <w:rsid w:val="00134F6C"/>
    <w:rsid w:val="00136665"/>
    <w:rsid w:val="001379AA"/>
    <w:rsid w:val="00141EC6"/>
    <w:rsid w:val="00145A47"/>
    <w:rsid w:val="0014651C"/>
    <w:rsid w:val="00150B74"/>
    <w:rsid w:val="00151A9A"/>
    <w:rsid w:val="00162FCA"/>
    <w:rsid w:val="00167F89"/>
    <w:rsid w:val="00196F4B"/>
    <w:rsid w:val="001A18A8"/>
    <w:rsid w:val="001A368A"/>
    <w:rsid w:val="001B4B28"/>
    <w:rsid w:val="001B6393"/>
    <w:rsid w:val="001C07E0"/>
    <w:rsid w:val="001C6DAB"/>
    <w:rsid w:val="001D1ADB"/>
    <w:rsid w:val="001D3689"/>
    <w:rsid w:val="001E1D82"/>
    <w:rsid w:val="001F6DAF"/>
    <w:rsid w:val="002014F5"/>
    <w:rsid w:val="00203B8F"/>
    <w:rsid w:val="00206265"/>
    <w:rsid w:val="00211F6C"/>
    <w:rsid w:val="00217E18"/>
    <w:rsid w:val="00221713"/>
    <w:rsid w:val="00224EAA"/>
    <w:rsid w:val="0022559B"/>
    <w:rsid w:val="00225CAC"/>
    <w:rsid w:val="00231C43"/>
    <w:rsid w:val="00231C77"/>
    <w:rsid w:val="002368F8"/>
    <w:rsid w:val="002415A5"/>
    <w:rsid w:val="002463CD"/>
    <w:rsid w:val="00246D40"/>
    <w:rsid w:val="00253147"/>
    <w:rsid w:val="00262D61"/>
    <w:rsid w:val="002637E4"/>
    <w:rsid w:val="00263A86"/>
    <w:rsid w:val="0026762A"/>
    <w:rsid w:val="0027265C"/>
    <w:rsid w:val="00273EAC"/>
    <w:rsid w:val="00286AB1"/>
    <w:rsid w:val="0029588A"/>
    <w:rsid w:val="00297514"/>
    <w:rsid w:val="002A0E12"/>
    <w:rsid w:val="002B2C45"/>
    <w:rsid w:val="002B5E3B"/>
    <w:rsid w:val="002C5AA8"/>
    <w:rsid w:val="002D125D"/>
    <w:rsid w:val="002D12C1"/>
    <w:rsid w:val="002D20D0"/>
    <w:rsid w:val="002E1E39"/>
    <w:rsid w:val="002E26E7"/>
    <w:rsid w:val="002E2C7A"/>
    <w:rsid w:val="002F025E"/>
    <w:rsid w:val="002F234E"/>
    <w:rsid w:val="002F3F25"/>
    <w:rsid w:val="003000EF"/>
    <w:rsid w:val="00303CE1"/>
    <w:rsid w:val="00306618"/>
    <w:rsid w:val="00311ABA"/>
    <w:rsid w:val="003156B2"/>
    <w:rsid w:val="00316547"/>
    <w:rsid w:val="0032044F"/>
    <w:rsid w:val="00332D79"/>
    <w:rsid w:val="00335EC2"/>
    <w:rsid w:val="003413D3"/>
    <w:rsid w:val="00343ED9"/>
    <w:rsid w:val="00345571"/>
    <w:rsid w:val="00355905"/>
    <w:rsid w:val="00356564"/>
    <w:rsid w:val="003600A7"/>
    <w:rsid w:val="00365763"/>
    <w:rsid w:val="00366FCB"/>
    <w:rsid w:val="0037332D"/>
    <w:rsid w:val="00376693"/>
    <w:rsid w:val="00387A33"/>
    <w:rsid w:val="00387FF6"/>
    <w:rsid w:val="00390267"/>
    <w:rsid w:val="00393EE8"/>
    <w:rsid w:val="003A1A32"/>
    <w:rsid w:val="003B21C5"/>
    <w:rsid w:val="003B463C"/>
    <w:rsid w:val="003B4CC9"/>
    <w:rsid w:val="003B6B0E"/>
    <w:rsid w:val="003C0E2F"/>
    <w:rsid w:val="003C0EF9"/>
    <w:rsid w:val="003C11C8"/>
    <w:rsid w:val="003C222E"/>
    <w:rsid w:val="003C329F"/>
    <w:rsid w:val="003C7162"/>
    <w:rsid w:val="003D7C40"/>
    <w:rsid w:val="003E0F1E"/>
    <w:rsid w:val="003E555B"/>
    <w:rsid w:val="003E72DA"/>
    <w:rsid w:val="003F47A0"/>
    <w:rsid w:val="00402237"/>
    <w:rsid w:val="004108B7"/>
    <w:rsid w:val="004113C6"/>
    <w:rsid w:val="00411CEC"/>
    <w:rsid w:val="00411CF0"/>
    <w:rsid w:val="00437C48"/>
    <w:rsid w:val="00444EDE"/>
    <w:rsid w:val="004452ED"/>
    <w:rsid w:val="00450A61"/>
    <w:rsid w:val="00451E1A"/>
    <w:rsid w:val="00454E42"/>
    <w:rsid w:val="0045501B"/>
    <w:rsid w:val="004632AE"/>
    <w:rsid w:val="00463FEE"/>
    <w:rsid w:val="0048469D"/>
    <w:rsid w:val="00485703"/>
    <w:rsid w:val="004857BC"/>
    <w:rsid w:val="00485CEF"/>
    <w:rsid w:val="00491B24"/>
    <w:rsid w:val="00494F31"/>
    <w:rsid w:val="004A08BA"/>
    <w:rsid w:val="004A6318"/>
    <w:rsid w:val="004A64F5"/>
    <w:rsid w:val="004A68B8"/>
    <w:rsid w:val="004B2959"/>
    <w:rsid w:val="004D5386"/>
    <w:rsid w:val="004E24B3"/>
    <w:rsid w:val="004E4C2C"/>
    <w:rsid w:val="004E7EEA"/>
    <w:rsid w:val="004F1C52"/>
    <w:rsid w:val="004F1E0B"/>
    <w:rsid w:val="004F6C2B"/>
    <w:rsid w:val="004F7F40"/>
    <w:rsid w:val="00501622"/>
    <w:rsid w:val="00501FFC"/>
    <w:rsid w:val="0050274C"/>
    <w:rsid w:val="00503801"/>
    <w:rsid w:val="005131C3"/>
    <w:rsid w:val="005134E5"/>
    <w:rsid w:val="00515C0B"/>
    <w:rsid w:val="00520437"/>
    <w:rsid w:val="00520C8C"/>
    <w:rsid w:val="0052698C"/>
    <w:rsid w:val="00527C0A"/>
    <w:rsid w:val="00533732"/>
    <w:rsid w:val="00535804"/>
    <w:rsid w:val="00540209"/>
    <w:rsid w:val="00555D0E"/>
    <w:rsid w:val="00556011"/>
    <w:rsid w:val="005561A2"/>
    <w:rsid w:val="00557BD8"/>
    <w:rsid w:val="00560114"/>
    <w:rsid w:val="00566BDB"/>
    <w:rsid w:val="00573CBC"/>
    <w:rsid w:val="00574B89"/>
    <w:rsid w:val="00586E13"/>
    <w:rsid w:val="00594A4B"/>
    <w:rsid w:val="005A5D18"/>
    <w:rsid w:val="005C7586"/>
    <w:rsid w:val="005D14BB"/>
    <w:rsid w:val="005D45A1"/>
    <w:rsid w:val="005E2379"/>
    <w:rsid w:val="005E3454"/>
    <w:rsid w:val="005E42B9"/>
    <w:rsid w:val="005F6C31"/>
    <w:rsid w:val="00604141"/>
    <w:rsid w:val="00604342"/>
    <w:rsid w:val="006062A8"/>
    <w:rsid w:val="0061038D"/>
    <w:rsid w:val="0061116B"/>
    <w:rsid w:val="00614018"/>
    <w:rsid w:val="00621AC4"/>
    <w:rsid w:val="00624855"/>
    <w:rsid w:val="006251C9"/>
    <w:rsid w:val="00626098"/>
    <w:rsid w:val="00630182"/>
    <w:rsid w:val="0063274A"/>
    <w:rsid w:val="00636C76"/>
    <w:rsid w:val="006416F7"/>
    <w:rsid w:val="00643068"/>
    <w:rsid w:val="006459F9"/>
    <w:rsid w:val="00651238"/>
    <w:rsid w:val="00672E01"/>
    <w:rsid w:val="006779D9"/>
    <w:rsid w:val="0068076F"/>
    <w:rsid w:val="00686E2F"/>
    <w:rsid w:val="00687CFD"/>
    <w:rsid w:val="00692A58"/>
    <w:rsid w:val="00694D1F"/>
    <w:rsid w:val="00695439"/>
    <w:rsid w:val="006956E1"/>
    <w:rsid w:val="006A2ACC"/>
    <w:rsid w:val="006A4933"/>
    <w:rsid w:val="006A6D8E"/>
    <w:rsid w:val="006C41B3"/>
    <w:rsid w:val="006C5130"/>
    <w:rsid w:val="006C61CC"/>
    <w:rsid w:val="006D2EAB"/>
    <w:rsid w:val="006D726B"/>
    <w:rsid w:val="006E01F4"/>
    <w:rsid w:val="006F0370"/>
    <w:rsid w:val="00704680"/>
    <w:rsid w:val="00706E82"/>
    <w:rsid w:val="00724F17"/>
    <w:rsid w:val="00725DBA"/>
    <w:rsid w:val="00726D82"/>
    <w:rsid w:val="00732806"/>
    <w:rsid w:val="0074019C"/>
    <w:rsid w:val="007543C8"/>
    <w:rsid w:val="00772D3D"/>
    <w:rsid w:val="007869A8"/>
    <w:rsid w:val="007B2EEA"/>
    <w:rsid w:val="007B3E92"/>
    <w:rsid w:val="007C7D41"/>
    <w:rsid w:val="007D0B46"/>
    <w:rsid w:val="007D551C"/>
    <w:rsid w:val="007D6F36"/>
    <w:rsid w:val="007E1B85"/>
    <w:rsid w:val="007F4610"/>
    <w:rsid w:val="00801726"/>
    <w:rsid w:val="008025FD"/>
    <w:rsid w:val="00804043"/>
    <w:rsid w:val="00805EF4"/>
    <w:rsid w:val="00806425"/>
    <w:rsid w:val="008109AB"/>
    <w:rsid w:val="008125EF"/>
    <w:rsid w:val="0081352B"/>
    <w:rsid w:val="008243B3"/>
    <w:rsid w:val="008263C6"/>
    <w:rsid w:val="00830BD0"/>
    <w:rsid w:val="00836056"/>
    <w:rsid w:val="00842BB5"/>
    <w:rsid w:val="00845339"/>
    <w:rsid w:val="00850D4A"/>
    <w:rsid w:val="00853D5D"/>
    <w:rsid w:val="00855EED"/>
    <w:rsid w:val="00865C52"/>
    <w:rsid w:val="008677BB"/>
    <w:rsid w:val="00867DD7"/>
    <w:rsid w:val="00867FB3"/>
    <w:rsid w:val="008744BC"/>
    <w:rsid w:val="00876CB2"/>
    <w:rsid w:val="008812D6"/>
    <w:rsid w:val="0089077F"/>
    <w:rsid w:val="00890948"/>
    <w:rsid w:val="008A6858"/>
    <w:rsid w:val="008B3BAC"/>
    <w:rsid w:val="008B7AE0"/>
    <w:rsid w:val="008C52EC"/>
    <w:rsid w:val="008C7F1B"/>
    <w:rsid w:val="008E255B"/>
    <w:rsid w:val="008F13C0"/>
    <w:rsid w:val="008F1961"/>
    <w:rsid w:val="008F4A58"/>
    <w:rsid w:val="00905668"/>
    <w:rsid w:val="0092445D"/>
    <w:rsid w:val="009270B2"/>
    <w:rsid w:val="00932966"/>
    <w:rsid w:val="00945909"/>
    <w:rsid w:val="009531A3"/>
    <w:rsid w:val="0095557D"/>
    <w:rsid w:val="009605FD"/>
    <w:rsid w:val="00963F83"/>
    <w:rsid w:val="00980658"/>
    <w:rsid w:val="00982CB5"/>
    <w:rsid w:val="00986ED8"/>
    <w:rsid w:val="009A25D4"/>
    <w:rsid w:val="009A5F71"/>
    <w:rsid w:val="009C058E"/>
    <w:rsid w:val="009C5648"/>
    <w:rsid w:val="009C6C0D"/>
    <w:rsid w:val="009E7CFB"/>
    <w:rsid w:val="009F50FC"/>
    <w:rsid w:val="00A0203F"/>
    <w:rsid w:val="00A044F3"/>
    <w:rsid w:val="00A06711"/>
    <w:rsid w:val="00A06B0A"/>
    <w:rsid w:val="00A102BA"/>
    <w:rsid w:val="00A22406"/>
    <w:rsid w:val="00A33E4A"/>
    <w:rsid w:val="00A5241B"/>
    <w:rsid w:val="00A55405"/>
    <w:rsid w:val="00A55A79"/>
    <w:rsid w:val="00A720A4"/>
    <w:rsid w:val="00A7270D"/>
    <w:rsid w:val="00A77CAE"/>
    <w:rsid w:val="00A8313C"/>
    <w:rsid w:val="00A83F57"/>
    <w:rsid w:val="00A87E89"/>
    <w:rsid w:val="00AB6D98"/>
    <w:rsid w:val="00AC0BE2"/>
    <w:rsid w:val="00AD28E5"/>
    <w:rsid w:val="00AD2EA0"/>
    <w:rsid w:val="00AD7FFA"/>
    <w:rsid w:val="00AE12D2"/>
    <w:rsid w:val="00AE4077"/>
    <w:rsid w:val="00AE47A3"/>
    <w:rsid w:val="00AE76EB"/>
    <w:rsid w:val="00AF4BD6"/>
    <w:rsid w:val="00AF657E"/>
    <w:rsid w:val="00B032C2"/>
    <w:rsid w:val="00B064F7"/>
    <w:rsid w:val="00B06E0A"/>
    <w:rsid w:val="00B15BAD"/>
    <w:rsid w:val="00B25167"/>
    <w:rsid w:val="00B2665D"/>
    <w:rsid w:val="00B3447A"/>
    <w:rsid w:val="00B35A8D"/>
    <w:rsid w:val="00B36665"/>
    <w:rsid w:val="00B44871"/>
    <w:rsid w:val="00B5251A"/>
    <w:rsid w:val="00B56F23"/>
    <w:rsid w:val="00B64974"/>
    <w:rsid w:val="00B66B1D"/>
    <w:rsid w:val="00B67F16"/>
    <w:rsid w:val="00B751BE"/>
    <w:rsid w:val="00B777D8"/>
    <w:rsid w:val="00B77FCC"/>
    <w:rsid w:val="00B81C00"/>
    <w:rsid w:val="00B852AE"/>
    <w:rsid w:val="00B95182"/>
    <w:rsid w:val="00BA1004"/>
    <w:rsid w:val="00BA1053"/>
    <w:rsid w:val="00BB6C80"/>
    <w:rsid w:val="00BB71AB"/>
    <w:rsid w:val="00BC5D83"/>
    <w:rsid w:val="00BC6D87"/>
    <w:rsid w:val="00BD0BA7"/>
    <w:rsid w:val="00BD0F4C"/>
    <w:rsid w:val="00BD22A6"/>
    <w:rsid w:val="00BD2424"/>
    <w:rsid w:val="00BD2702"/>
    <w:rsid w:val="00BD37B0"/>
    <w:rsid w:val="00BD3FDB"/>
    <w:rsid w:val="00BD4FAD"/>
    <w:rsid w:val="00BE252A"/>
    <w:rsid w:val="00BE6D98"/>
    <w:rsid w:val="00BE77D6"/>
    <w:rsid w:val="00C0554D"/>
    <w:rsid w:val="00C13FFC"/>
    <w:rsid w:val="00C14C2F"/>
    <w:rsid w:val="00C20A90"/>
    <w:rsid w:val="00C242DB"/>
    <w:rsid w:val="00C26837"/>
    <w:rsid w:val="00C27B6C"/>
    <w:rsid w:val="00C45D6F"/>
    <w:rsid w:val="00C463F7"/>
    <w:rsid w:val="00C46B91"/>
    <w:rsid w:val="00C4741B"/>
    <w:rsid w:val="00C56375"/>
    <w:rsid w:val="00C713C6"/>
    <w:rsid w:val="00C817B8"/>
    <w:rsid w:val="00C858BB"/>
    <w:rsid w:val="00C9169B"/>
    <w:rsid w:val="00C93F95"/>
    <w:rsid w:val="00C9570B"/>
    <w:rsid w:val="00CA0EA5"/>
    <w:rsid w:val="00CA731C"/>
    <w:rsid w:val="00CB2FF5"/>
    <w:rsid w:val="00CB39E0"/>
    <w:rsid w:val="00CB59A4"/>
    <w:rsid w:val="00CB5B67"/>
    <w:rsid w:val="00CB7C49"/>
    <w:rsid w:val="00CC0D62"/>
    <w:rsid w:val="00CC0E2F"/>
    <w:rsid w:val="00CD2280"/>
    <w:rsid w:val="00CD30A9"/>
    <w:rsid w:val="00CD40B1"/>
    <w:rsid w:val="00CD4E09"/>
    <w:rsid w:val="00CD7E5B"/>
    <w:rsid w:val="00CE7142"/>
    <w:rsid w:val="00CF052E"/>
    <w:rsid w:val="00CF0CED"/>
    <w:rsid w:val="00CF331E"/>
    <w:rsid w:val="00CF4414"/>
    <w:rsid w:val="00CF4A00"/>
    <w:rsid w:val="00CF4D7F"/>
    <w:rsid w:val="00D11F3F"/>
    <w:rsid w:val="00D123DE"/>
    <w:rsid w:val="00D17ECB"/>
    <w:rsid w:val="00D215EB"/>
    <w:rsid w:val="00D2415D"/>
    <w:rsid w:val="00D301F7"/>
    <w:rsid w:val="00D3282A"/>
    <w:rsid w:val="00D52E0D"/>
    <w:rsid w:val="00D55483"/>
    <w:rsid w:val="00D60CB0"/>
    <w:rsid w:val="00D61A74"/>
    <w:rsid w:val="00D634AC"/>
    <w:rsid w:val="00D736DD"/>
    <w:rsid w:val="00D74227"/>
    <w:rsid w:val="00D76D0C"/>
    <w:rsid w:val="00D76FA7"/>
    <w:rsid w:val="00D7796F"/>
    <w:rsid w:val="00D86615"/>
    <w:rsid w:val="00D8709A"/>
    <w:rsid w:val="00D97F6B"/>
    <w:rsid w:val="00DA10CA"/>
    <w:rsid w:val="00DA200F"/>
    <w:rsid w:val="00DA7A93"/>
    <w:rsid w:val="00DB7069"/>
    <w:rsid w:val="00DC2546"/>
    <w:rsid w:val="00DC498D"/>
    <w:rsid w:val="00DC6256"/>
    <w:rsid w:val="00DC6CA1"/>
    <w:rsid w:val="00DC7A40"/>
    <w:rsid w:val="00DC7FCB"/>
    <w:rsid w:val="00DD2007"/>
    <w:rsid w:val="00DD2602"/>
    <w:rsid w:val="00DD531E"/>
    <w:rsid w:val="00DF1FD8"/>
    <w:rsid w:val="00DF6B83"/>
    <w:rsid w:val="00E01DC0"/>
    <w:rsid w:val="00E02954"/>
    <w:rsid w:val="00E0651D"/>
    <w:rsid w:val="00E12486"/>
    <w:rsid w:val="00E15183"/>
    <w:rsid w:val="00E236D7"/>
    <w:rsid w:val="00E278C0"/>
    <w:rsid w:val="00E32F5D"/>
    <w:rsid w:val="00E42330"/>
    <w:rsid w:val="00E43D7C"/>
    <w:rsid w:val="00E4738B"/>
    <w:rsid w:val="00E47F78"/>
    <w:rsid w:val="00E55169"/>
    <w:rsid w:val="00E56E23"/>
    <w:rsid w:val="00E7201C"/>
    <w:rsid w:val="00E82195"/>
    <w:rsid w:val="00E85AEA"/>
    <w:rsid w:val="00E95B41"/>
    <w:rsid w:val="00EA2044"/>
    <w:rsid w:val="00EA5C62"/>
    <w:rsid w:val="00EB0D7D"/>
    <w:rsid w:val="00EB3489"/>
    <w:rsid w:val="00EB4A55"/>
    <w:rsid w:val="00EC41B3"/>
    <w:rsid w:val="00EC4994"/>
    <w:rsid w:val="00EC50BC"/>
    <w:rsid w:val="00EE5B2E"/>
    <w:rsid w:val="00EE5F58"/>
    <w:rsid w:val="00EF09A0"/>
    <w:rsid w:val="00EF3C05"/>
    <w:rsid w:val="00EF4287"/>
    <w:rsid w:val="00EF5077"/>
    <w:rsid w:val="00F017ED"/>
    <w:rsid w:val="00F028B1"/>
    <w:rsid w:val="00F10CF2"/>
    <w:rsid w:val="00F1306A"/>
    <w:rsid w:val="00F235A7"/>
    <w:rsid w:val="00F351B0"/>
    <w:rsid w:val="00F354DA"/>
    <w:rsid w:val="00F4086A"/>
    <w:rsid w:val="00F45412"/>
    <w:rsid w:val="00F62191"/>
    <w:rsid w:val="00F651B3"/>
    <w:rsid w:val="00F65552"/>
    <w:rsid w:val="00F708EE"/>
    <w:rsid w:val="00F75319"/>
    <w:rsid w:val="00F82570"/>
    <w:rsid w:val="00F838EC"/>
    <w:rsid w:val="00F84E3B"/>
    <w:rsid w:val="00F86BEC"/>
    <w:rsid w:val="00F95E25"/>
    <w:rsid w:val="00FA0CF6"/>
    <w:rsid w:val="00FB707A"/>
    <w:rsid w:val="00FB7339"/>
    <w:rsid w:val="00FC6378"/>
    <w:rsid w:val="00FD09C3"/>
    <w:rsid w:val="00FD69F8"/>
    <w:rsid w:val="00FE3EA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B35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6378"/>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FC6378"/>
    <w:pPr>
      <w:numPr>
        <w:ilvl w:val="0"/>
      </w:numPr>
      <w:outlineLvl w:val="0"/>
    </w:pPr>
    <w:rPr>
      <w:rFonts w:ascii="Times New Roman Bold" w:hAnsi="Times New Roman Bold"/>
      <w:bCs/>
      <w:smallCaps/>
      <w:u w:val="none"/>
    </w:rPr>
  </w:style>
  <w:style w:type="paragraph" w:styleId="Heading2">
    <w:name w:val="heading 2"/>
    <w:basedOn w:val="Normal"/>
    <w:next w:val="Normal"/>
    <w:link w:val="Heading2Char"/>
    <w:uiPriority w:val="9"/>
    <w:unhideWhenUsed/>
    <w:qFormat/>
    <w:rsid w:val="00FC6378"/>
    <w:pPr>
      <w:keepNext/>
      <w:keepLines/>
      <w:numPr>
        <w:ilvl w:val="1"/>
        <w:numId w:val="2"/>
      </w:numPr>
      <w:spacing w:before="40" w:after="120"/>
      <w:outlineLvl w:val="1"/>
    </w:pPr>
    <w:rPr>
      <w:rFonts w:eastAsiaTheme="majorEastAsia"/>
      <w:b/>
      <w:szCs w:val="24"/>
      <w:u w:val="single" w:color="000000"/>
      <w:bdr w:val="nil"/>
      <w:lang w:eastAsia="ja-JP"/>
    </w:rPr>
  </w:style>
  <w:style w:type="paragraph" w:styleId="Heading3">
    <w:name w:val="heading 3"/>
    <w:basedOn w:val="Heading2"/>
    <w:next w:val="Normal"/>
    <w:link w:val="Heading3Char"/>
    <w:uiPriority w:val="9"/>
    <w:unhideWhenUsed/>
    <w:qFormat/>
    <w:rsid w:val="00FC6378"/>
    <w:pPr>
      <w:numPr>
        <w:ilvl w:val="0"/>
        <w:numId w:val="0"/>
      </w:numPr>
      <w:outlineLvl w:val="2"/>
    </w:pPr>
    <w:rPr>
      <w:b w:val="0"/>
      <w:smallCaps/>
      <w:u w:val="none"/>
    </w:rPr>
  </w:style>
  <w:style w:type="paragraph" w:styleId="Heading4">
    <w:name w:val="heading 4"/>
    <w:basedOn w:val="Heading3"/>
    <w:next w:val="Normal"/>
    <w:link w:val="Heading4Char"/>
    <w:uiPriority w:val="9"/>
    <w:unhideWhenUsed/>
    <w:qFormat/>
    <w:rsid w:val="00FC6378"/>
    <w:pPr>
      <w:numPr>
        <w:ilvl w:val="3"/>
        <w:numId w:val="2"/>
      </w:numPr>
      <w:outlineLvl w:val="3"/>
    </w:pPr>
    <w:rPr>
      <w:b/>
      <w:bCs/>
      <w:i/>
      <w:caps/>
    </w:rPr>
  </w:style>
  <w:style w:type="paragraph" w:styleId="Heading5">
    <w:name w:val="heading 5"/>
    <w:basedOn w:val="Normal"/>
    <w:next w:val="Normal"/>
    <w:link w:val="Heading5Char"/>
    <w:uiPriority w:val="9"/>
    <w:unhideWhenUsed/>
    <w:qFormat/>
    <w:rsid w:val="00FC6378"/>
    <w:pPr>
      <w:keepNext/>
      <w:keepLines/>
      <w:numPr>
        <w:ilvl w:val="4"/>
        <w:numId w:val="2"/>
      </w:numPr>
      <w:spacing w:after="0"/>
      <w:outlineLvl w:val="4"/>
    </w:pPr>
    <w:rPr>
      <w:rFonts w:eastAsiaTheme="majorEastAsia"/>
      <w:lang w:eastAsia="ja-JP"/>
    </w:rPr>
  </w:style>
  <w:style w:type="paragraph" w:styleId="Heading6">
    <w:name w:val="heading 6"/>
    <w:basedOn w:val="Normal"/>
    <w:next w:val="Normal"/>
    <w:link w:val="Heading6Char"/>
    <w:uiPriority w:val="9"/>
    <w:semiHidden/>
    <w:unhideWhenUsed/>
    <w:qFormat/>
    <w:rsid w:val="00FC637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C637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637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637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78"/>
    <w:rPr>
      <w:rFonts w:ascii="Times New Roman Bold" w:eastAsiaTheme="majorEastAsia" w:hAnsi="Times New Roman Bold" w:cs="Times New Roman"/>
      <w:b/>
      <w:bCs/>
      <w:smallCaps/>
      <w:sz w:val="24"/>
      <w:szCs w:val="24"/>
      <w:u w:color="000000"/>
      <w:bdr w:val="nil"/>
      <w:lang w:val="pl-PL" w:eastAsia="ja-JP"/>
    </w:rPr>
  </w:style>
  <w:style w:type="character" w:customStyle="1" w:styleId="Heading2Char">
    <w:name w:val="Heading 2 Char"/>
    <w:basedOn w:val="DefaultParagraphFont"/>
    <w:link w:val="Heading2"/>
    <w:uiPriority w:val="9"/>
    <w:rsid w:val="00FC6378"/>
    <w:rPr>
      <w:rFonts w:ascii="Times New Roman" w:eastAsiaTheme="majorEastAsia" w:hAnsi="Times New Roman" w:cs="Times New Roman"/>
      <w:b/>
      <w:sz w:val="24"/>
      <w:szCs w:val="24"/>
      <w:u w:val="single" w:color="000000"/>
      <w:bdr w:val="nil"/>
      <w:lang w:val="pl-PL" w:eastAsia="ja-JP"/>
    </w:rPr>
  </w:style>
  <w:style w:type="character" w:customStyle="1" w:styleId="Heading3Char">
    <w:name w:val="Heading 3 Char"/>
    <w:basedOn w:val="DefaultParagraphFont"/>
    <w:link w:val="Heading3"/>
    <w:uiPriority w:val="9"/>
    <w:rsid w:val="00FC6378"/>
    <w:rPr>
      <w:rFonts w:ascii="Times New Roman" w:eastAsiaTheme="majorEastAsia" w:hAnsi="Times New Roman" w:cs="Times New Roman"/>
      <w:smallCaps/>
      <w:sz w:val="24"/>
      <w:szCs w:val="24"/>
      <w:u w:color="000000"/>
      <w:bdr w:val="nil"/>
      <w:lang w:val="pl-PL" w:eastAsia="ja-JP"/>
    </w:rPr>
  </w:style>
  <w:style w:type="character" w:customStyle="1" w:styleId="Heading4Char">
    <w:name w:val="Heading 4 Char"/>
    <w:basedOn w:val="DefaultParagraphFont"/>
    <w:link w:val="Heading4"/>
    <w:uiPriority w:val="9"/>
    <w:rsid w:val="00FC6378"/>
    <w:rPr>
      <w:rFonts w:ascii="Times New Roman" w:eastAsiaTheme="majorEastAsia" w:hAnsi="Times New Roman" w:cs="Times New Roman"/>
      <w:b/>
      <w:bCs/>
      <w:i/>
      <w:caps/>
      <w:smallCaps/>
      <w:sz w:val="24"/>
      <w:szCs w:val="24"/>
      <w:u w:color="000000"/>
      <w:bdr w:val="nil"/>
      <w:lang w:val="pl-PL" w:eastAsia="ja-JP"/>
    </w:rPr>
  </w:style>
  <w:style w:type="character" w:customStyle="1" w:styleId="Heading5Char">
    <w:name w:val="Heading 5 Char"/>
    <w:basedOn w:val="DefaultParagraphFont"/>
    <w:link w:val="Heading5"/>
    <w:uiPriority w:val="9"/>
    <w:rsid w:val="00FC6378"/>
    <w:rPr>
      <w:rFonts w:ascii="Times New Roman" w:eastAsiaTheme="majorEastAsia" w:hAnsi="Times New Roman" w:cs="Times New Roman"/>
      <w:sz w:val="24"/>
      <w:szCs w:val="20"/>
      <w:lang w:val="pl-PL" w:eastAsia="ja-JP"/>
    </w:rPr>
  </w:style>
  <w:style w:type="character" w:customStyle="1" w:styleId="Heading6Char">
    <w:name w:val="Heading 6 Char"/>
    <w:basedOn w:val="DefaultParagraphFont"/>
    <w:link w:val="Heading6"/>
    <w:uiPriority w:val="9"/>
    <w:semiHidden/>
    <w:rsid w:val="00FC6378"/>
    <w:rPr>
      <w:rFonts w:asciiTheme="majorHAnsi" w:eastAsiaTheme="majorEastAsia" w:hAnsiTheme="majorHAnsi" w:cstheme="majorBidi"/>
      <w:color w:val="1F4D78" w:themeColor="accent1" w:themeShade="7F"/>
      <w:sz w:val="24"/>
      <w:szCs w:val="20"/>
      <w:lang w:val="pl-PL" w:eastAsia="en-GB"/>
    </w:rPr>
  </w:style>
  <w:style w:type="character" w:customStyle="1" w:styleId="Heading7Char">
    <w:name w:val="Heading 7 Char"/>
    <w:basedOn w:val="DefaultParagraphFont"/>
    <w:link w:val="Heading7"/>
    <w:uiPriority w:val="9"/>
    <w:semiHidden/>
    <w:rsid w:val="00FC6378"/>
    <w:rPr>
      <w:rFonts w:asciiTheme="majorHAnsi" w:eastAsiaTheme="majorEastAsia" w:hAnsiTheme="majorHAnsi" w:cstheme="majorBidi"/>
      <w:i/>
      <w:iCs/>
      <w:color w:val="1F4D78" w:themeColor="accent1" w:themeShade="7F"/>
      <w:sz w:val="24"/>
      <w:szCs w:val="20"/>
      <w:lang w:val="pl-PL" w:eastAsia="en-GB"/>
    </w:rPr>
  </w:style>
  <w:style w:type="character" w:customStyle="1" w:styleId="Heading8Char">
    <w:name w:val="Heading 8 Char"/>
    <w:basedOn w:val="DefaultParagraphFont"/>
    <w:link w:val="Heading8"/>
    <w:uiPriority w:val="9"/>
    <w:semiHidden/>
    <w:rsid w:val="00FC6378"/>
    <w:rPr>
      <w:rFonts w:asciiTheme="majorHAnsi" w:eastAsiaTheme="majorEastAsia" w:hAnsiTheme="majorHAnsi" w:cstheme="majorBidi"/>
      <w:color w:val="272727" w:themeColor="text1" w:themeTint="D8"/>
      <w:sz w:val="21"/>
      <w:szCs w:val="21"/>
      <w:lang w:val="pl-PL" w:eastAsia="en-GB"/>
    </w:rPr>
  </w:style>
  <w:style w:type="character" w:customStyle="1" w:styleId="Heading9Char">
    <w:name w:val="Heading 9 Char"/>
    <w:basedOn w:val="DefaultParagraphFont"/>
    <w:link w:val="Heading9"/>
    <w:uiPriority w:val="9"/>
    <w:semiHidden/>
    <w:rsid w:val="00FC6378"/>
    <w:rPr>
      <w:rFonts w:asciiTheme="majorHAnsi" w:eastAsiaTheme="majorEastAsia" w:hAnsiTheme="majorHAnsi" w:cstheme="majorBidi"/>
      <w:i/>
      <w:iCs/>
      <w:color w:val="272727" w:themeColor="text1" w:themeTint="D8"/>
      <w:sz w:val="21"/>
      <w:szCs w:val="21"/>
      <w:lang w:val="pl-PL" w:eastAsia="en-GB"/>
    </w:rPr>
  </w:style>
  <w:style w:type="character" w:customStyle="1" w:styleId="Marker">
    <w:name w:val="Marker"/>
    <w:basedOn w:val="DefaultParagraphFont"/>
    <w:rsid w:val="00FC6378"/>
    <w:rPr>
      <w:color w:val="0000FF"/>
      <w:shd w:val="clear" w:color="auto" w:fill="auto"/>
    </w:rPr>
  </w:style>
  <w:style w:type="paragraph" w:customStyle="1" w:styleId="Pagedecouverture">
    <w:name w:val="Page de couverture"/>
    <w:basedOn w:val="Normal"/>
    <w:next w:val="Normal"/>
    <w:rsid w:val="00FC6378"/>
    <w:pPr>
      <w:spacing w:after="0"/>
    </w:pPr>
  </w:style>
  <w:style w:type="paragraph" w:styleId="Header">
    <w:name w:val="header"/>
    <w:basedOn w:val="Normal"/>
    <w:link w:val="HeaderChar"/>
    <w:uiPriority w:val="99"/>
    <w:unhideWhenUsed/>
    <w:rsid w:val="00FC6378"/>
    <w:pPr>
      <w:tabs>
        <w:tab w:val="center" w:pos="4513"/>
        <w:tab w:val="right" w:pos="9026"/>
      </w:tabs>
      <w:spacing w:after="0"/>
    </w:pPr>
  </w:style>
  <w:style w:type="character" w:customStyle="1" w:styleId="HeaderChar">
    <w:name w:val="Header Char"/>
    <w:basedOn w:val="DefaultParagraphFont"/>
    <w:link w:val="Header"/>
    <w:uiPriority w:val="99"/>
    <w:rsid w:val="00FC6378"/>
    <w:rPr>
      <w:rFonts w:ascii="Times New Roman" w:eastAsia="Times New Roman" w:hAnsi="Times New Roman" w:cs="Times New Roman"/>
      <w:sz w:val="24"/>
      <w:szCs w:val="20"/>
      <w:lang w:val="pl-PL" w:eastAsia="en-GB"/>
    </w:rPr>
  </w:style>
  <w:style w:type="paragraph" w:styleId="Footer">
    <w:name w:val="footer"/>
    <w:basedOn w:val="Normal"/>
    <w:link w:val="FooterChar"/>
    <w:uiPriority w:val="99"/>
    <w:unhideWhenUsed/>
    <w:rsid w:val="00FC6378"/>
    <w:pPr>
      <w:tabs>
        <w:tab w:val="center" w:pos="4513"/>
        <w:tab w:val="right" w:pos="9026"/>
      </w:tabs>
      <w:spacing w:after="0"/>
    </w:pPr>
  </w:style>
  <w:style w:type="character" w:customStyle="1" w:styleId="FooterChar">
    <w:name w:val="Footer Char"/>
    <w:basedOn w:val="DefaultParagraphFont"/>
    <w:link w:val="Footer"/>
    <w:uiPriority w:val="99"/>
    <w:rsid w:val="00FC6378"/>
    <w:rPr>
      <w:rFonts w:ascii="Times New Roman" w:eastAsia="Times New Roman" w:hAnsi="Times New Roman" w:cs="Times New Roman"/>
      <w:sz w:val="24"/>
      <w:szCs w:val="20"/>
      <w:lang w:val="pl-PL" w:eastAsia="en-GB"/>
    </w:rPr>
  </w:style>
  <w:style w:type="paragraph" w:customStyle="1" w:styleId="FooterCoverPage">
    <w:name w:val="Footer Cover Page"/>
    <w:basedOn w:val="Normal"/>
    <w:link w:val="FooterCoverPageChar"/>
    <w:rsid w:val="00FC6378"/>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FC6378"/>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FC63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FC6378"/>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FC6378"/>
    <w:pPr>
      <w:tabs>
        <w:tab w:val="center" w:pos="4535"/>
        <w:tab w:val="right" w:pos="9071"/>
      </w:tabs>
      <w:spacing w:after="120"/>
    </w:pPr>
  </w:style>
  <w:style w:type="character" w:customStyle="1" w:styleId="HeaderCoverPageChar">
    <w:name w:val="Header Cover Page Char"/>
    <w:basedOn w:val="DefaultParagraphFont"/>
    <w:link w:val="HeaderCoverPage"/>
    <w:rsid w:val="00FC6378"/>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FC637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FC6378"/>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982CB5"/>
    <w:pPr>
      <w:spacing w:after="120"/>
      <w:jc w:val="right"/>
    </w:pPr>
    <w:rPr>
      <w:sz w:val="28"/>
    </w:rPr>
  </w:style>
  <w:style w:type="character" w:customStyle="1" w:styleId="HeaderSensitivityRightChar">
    <w:name w:val="Header Sensitivity Right Char"/>
    <w:basedOn w:val="DefaultParagraphFont"/>
    <w:link w:val="HeaderSensitivityRight"/>
    <w:rsid w:val="00FC6378"/>
    <w:rPr>
      <w:rFonts w:ascii="Times New Roman" w:eastAsia="Times New Roman" w:hAnsi="Times New Roman" w:cs="Times New Roman"/>
      <w:sz w:val="28"/>
      <w:szCs w:val="20"/>
      <w:lang w:eastAsia="en-GB"/>
    </w:rPr>
  </w:style>
  <w:style w:type="character" w:styleId="Hyperlink">
    <w:name w:val="Hyperlink"/>
    <w:rsid w:val="00FC6378"/>
    <w:rPr>
      <w:u w:val="single"/>
    </w:rPr>
  </w:style>
  <w:style w:type="paragraph" w:styleId="FootnoteText">
    <w:name w:val="footnote text"/>
    <w:aliases w:val="Schriftart: 9 pt,Schriftart: 10 pt,Schriftart: 8 pt,WB-Fußnotentext,fn,Footnotes,Footnote ak,Fußnotentextf,Fußnotentextr,stile 1,Footnote1,Footnote2,Footnote3,Footnote4,Footnote5,Footnote6,Footnote7,Footnote8,Footnote9,Footnote10,Char,ft,f"/>
    <w:link w:val="FootnoteTextChar"/>
    <w:uiPriority w:val="99"/>
    <w:qFormat/>
    <w:rsid w:val="00FC6378"/>
    <w:pPr>
      <w:pBdr>
        <w:top w:val="nil"/>
        <w:left w:val="nil"/>
        <w:bottom w:val="nil"/>
        <w:right w:val="nil"/>
        <w:between w:val="nil"/>
        <w:bar w:val="nil"/>
      </w:pBdr>
      <w:spacing w:after="120" w:line="240" w:lineRule="auto"/>
      <w:ind w:left="357" w:hanging="357"/>
      <w:jc w:val="both"/>
    </w:pPr>
    <w:rPr>
      <w:rFonts w:ascii="Times New Roman" w:eastAsia="Times New Roman" w:hAnsi="Times New Roman" w:cs="Times New Roman"/>
      <w:color w:val="000000"/>
      <w:sz w:val="20"/>
      <w:szCs w:val="20"/>
      <w:u w:color="000000"/>
      <w:bdr w:val="nil"/>
      <w:lang w:eastAsia="ja-JP"/>
    </w:rPr>
  </w:style>
  <w:style w:type="character" w:customStyle="1" w:styleId="FootnoteTextChar">
    <w:name w:val="Footnote Text Char"/>
    <w:aliases w:val="Schriftart: 9 pt Char,Schriftart: 10 pt Char,Schriftart: 8 pt Char,WB-Fußnotentext Char,fn Char,Footnotes Char,Footnote ak Char,Fußnotentextf Char,Fußnotentextr Char,stile 1 Char,Footnote1 Char,Footnote2 Char,Footnote3 Char,Char Char"/>
    <w:basedOn w:val="DefaultParagraphFont"/>
    <w:link w:val="FootnoteText"/>
    <w:uiPriority w:val="99"/>
    <w:qFormat/>
    <w:rsid w:val="00FC6378"/>
    <w:rPr>
      <w:rFonts w:ascii="Times New Roman" w:eastAsia="Times New Roman" w:hAnsi="Times New Roman" w:cs="Times New Roman"/>
      <w:color w:val="000000"/>
      <w:sz w:val="20"/>
      <w:szCs w:val="20"/>
      <w:u w:color="000000"/>
      <w:bdr w:val="nil"/>
      <w:lang w:val="pl-PL" w:eastAsia="ja-JP"/>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o"/>
    <w:basedOn w:val="DefaultParagraphFont"/>
    <w:link w:val="FootnotesymbolCarZchn"/>
    <w:uiPriority w:val="99"/>
    <w:unhideWhenUsed/>
    <w:qFormat/>
    <w:rsid w:val="00FC6378"/>
    <w:rPr>
      <w:vertAlign w:val="superscript"/>
    </w:rPr>
  </w:style>
  <w:style w:type="paragraph" w:customStyle="1" w:styleId="LegalNumPar">
    <w:name w:val="LegalNumPar"/>
    <w:link w:val="LegalNumParChar"/>
    <w:qFormat/>
    <w:rsid w:val="00FC6378"/>
    <w:pPr>
      <w:pBdr>
        <w:top w:val="nil"/>
        <w:left w:val="nil"/>
        <w:bottom w:val="nil"/>
        <w:right w:val="nil"/>
        <w:between w:val="nil"/>
        <w:bar w:val="nil"/>
      </w:pBdr>
      <w:tabs>
        <w:tab w:val="left" w:pos="476"/>
      </w:tabs>
      <w:spacing w:after="240" w:line="360" w:lineRule="auto"/>
      <w:jc w:val="both"/>
    </w:pPr>
    <w:rPr>
      <w:rFonts w:ascii="Times New Roman" w:eastAsia="Arial Unicode MS" w:hAnsi="Times New Roman" w:cs="Arial Unicode MS"/>
      <w:color w:val="000000"/>
      <w:sz w:val="24"/>
      <w:szCs w:val="24"/>
      <w:u w:color="000000"/>
      <w:bdr w:val="nil"/>
      <w:lang w:eastAsia="ja-JP"/>
    </w:rPr>
  </w:style>
  <w:style w:type="numbering" w:customStyle="1" w:styleId="ImportedStyle3">
    <w:name w:val="Imported Style 3"/>
    <w:rsid w:val="00FC6378"/>
    <w:pPr>
      <w:numPr>
        <w:numId w:val="1"/>
      </w:numPr>
    </w:pPr>
  </w:style>
  <w:style w:type="character" w:customStyle="1" w:styleId="Hyperlink1">
    <w:name w:val="Hyperlink.1"/>
    <w:basedOn w:val="DefaultParagraphFont"/>
    <w:rsid w:val="00FC6378"/>
  </w:style>
  <w:style w:type="character" w:customStyle="1" w:styleId="Hyperlink3">
    <w:name w:val="Hyperlink.3"/>
    <w:basedOn w:val="DefaultParagraphFont"/>
    <w:rsid w:val="00FC6378"/>
    <w:rPr>
      <w:vertAlign w:val="superscript"/>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rsid w:val="00FC6378"/>
    <w:pPr>
      <w:spacing w:after="0"/>
      <w:ind w:left="720"/>
    </w:pPr>
    <w:rPr>
      <w:rFonts w:ascii="Calibri" w:eastAsiaTheme="minorEastAsia" w:hAnsi="Calibri" w:cs="Calibri"/>
      <w:lang w:eastAsia="ja-JP"/>
    </w:rPr>
  </w:style>
  <w:style w:type="character" w:customStyle="1" w:styleId="None">
    <w:name w:val="None"/>
    <w:rsid w:val="00FC6378"/>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sid w:val="00FC6378"/>
    <w:rPr>
      <w:rFonts w:ascii="Calibri" w:eastAsiaTheme="minorEastAsia" w:hAnsi="Calibri" w:cs="Calibri"/>
      <w:sz w:val="24"/>
      <w:szCs w:val="20"/>
      <w:lang w:val="pl-PL" w:eastAsia="ja-JP"/>
    </w:rPr>
  </w:style>
  <w:style w:type="paragraph" w:styleId="NoSpacing">
    <w:name w:val="No Spacing"/>
    <w:uiPriority w:val="1"/>
    <w:qFormat/>
    <w:rsid w:val="00FC6378"/>
    <w:pPr>
      <w:spacing w:after="0" w:line="240" w:lineRule="auto"/>
    </w:pPr>
  </w:style>
  <w:style w:type="paragraph" w:customStyle="1" w:styleId="Typedudocument">
    <w:name w:val="Type du document"/>
    <w:basedOn w:val="Normal"/>
    <w:next w:val="Normal"/>
    <w:rsid w:val="00FC6378"/>
    <w:pPr>
      <w:spacing w:before="360" w:after="0"/>
      <w:jc w:val="center"/>
    </w:pPr>
    <w:rPr>
      <w:b/>
    </w:rPr>
  </w:style>
  <w:style w:type="paragraph" w:customStyle="1" w:styleId="Titreobjet">
    <w:name w:val="Titre objet"/>
    <w:basedOn w:val="Normal"/>
    <w:next w:val="Normal"/>
    <w:rsid w:val="00FC6378"/>
    <w:pPr>
      <w:spacing w:before="360" w:after="360"/>
      <w:jc w:val="center"/>
    </w:pPr>
    <w:rPr>
      <w:b/>
    </w:rPr>
  </w:style>
  <w:style w:type="character" w:styleId="CommentReference">
    <w:name w:val="annotation reference"/>
    <w:basedOn w:val="DefaultParagraphFont"/>
    <w:uiPriority w:val="99"/>
    <w:unhideWhenUsed/>
    <w:rsid w:val="00FC6378"/>
    <w:rPr>
      <w:sz w:val="16"/>
      <w:szCs w:val="16"/>
    </w:rPr>
  </w:style>
  <w:style w:type="paragraph" w:styleId="CommentText">
    <w:name w:val="annotation text"/>
    <w:basedOn w:val="Normal"/>
    <w:link w:val="CommentTextChar"/>
    <w:uiPriority w:val="99"/>
    <w:unhideWhenUsed/>
    <w:qFormat/>
    <w:rsid w:val="00FC6378"/>
    <w:rPr>
      <w:rFonts w:eastAsiaTheme="minorEastAsia"/>
      <w:sz w:val="20"/>
      <w:lang w:eastAsia="ja-JP"/>
    </w:rPr>
  </w:style>
  <w:style w:type="character" w:customStyle="1" w:styleId="CommentTextChar">
    <w:name w:val="Comment Text Char"/>
    <w:basedOn w:val="DefaultParagraphFont"/>
    <w:link w:val="CommentText"/>
    <w:uiPriority w:val="99"/>
    <w:rsid w:val="00FC6378"/>
    <w:rPr>
      <w:rFonts w:ascii="Times New Roman" w:eastAsiaTheme="minorEastAsia" w:hAnsi="Times New Roman" w:cs="Times New Roman"/>
      <w:sz w:val="20"/>
      <w:szCs w:val="20"/>
      <w:lang w:val="pl-PL" w:eastAsia="ja-JP"/>
    </w:rPr>
  </w:style>
  <w:style w:type="paragraph" w:styleId="CommentSubject">
    <w:name w:val="annotation subject"/>
    <w:basedOn w:val="CommentText"/>
    <w:next w:val="CommentText"/>
    <w:link w:val="CommentSubjectChar"/>
    <w:uiPriority w:val="99"/>
    <w:semiHidden/>
    <w:unhideWhenUsed/>
    <w:rsid w:val="00FC6378"/>
    <w:rPr>
      <w:b/>
      <w:bCs/>
    </w:rPr>
  </w:style>
  <w:style w:type="character" w:customStyle="1" w:styleId="CommentSubjectChar">
    <w:name w:val="Comment Subject Char"/>
    <w:basedOn w:val="CommentTextChar"/>
    <w:link w:val="CommentSubject"/>
    <w:uiPriority w:val="99"/>
    <w:semiHidden/>
    <w:rsid w:val="00FC6378"/>
    <w:rPr>
      <w:rFonts w:ascii="Times New Roman" w:eastAsiaTheme="minorEastAsia" w:hAnsi="Times New Roman" w:cs="Times New Roman"/>
      <w:b/>
      <w:bCs/>
      <w:sz w:val="20"/>
      <w:szCs w:val="20"/>
      <w:lang w:val="pl-PL" w:eastAsia="ja-JP"/>
    </w:rPr>
  </w:style>
  <w:style w:type="paragraph" w:styleId="BalloonText">
    <w:name w:val="Balloon Text"/>
    <w:basedOn w:val="Normal"/>
    <w:link w:val="BalloonTextChar"/>
    <w:uiPriority w:val="99"/>
    <w:semiHidden/>
    <w:unhideWhenUsed/>
    <w:rsid w:val="00FC6378"/>
    <w:pPr>
      <w:spacing w:after="0"/>
    </w:pPr>
    <w:rPr>
      <w:rFonts w:ascii="Segoe UI" w:eastAsiaTheme="minorEastAsia" w:hAnsi="Segoe UI" w:cs="Segoe UI"/>
      <w:sz w:val="18"/>
      <w:szCs w:val="18"/>
      <w:lang w:eastAsia="ja-JP"/>
    </w:rPr>
  </w:style>
  <w:style w:type="character" w:customStyle="1" w:styleId="BalloonTextChar">
    <w:name w:val="Balloon Text Char"/>
    <w:basedOn w:val="DefaultParagraphFont"/>
    <w:link w:val="BalloonText"/>
    <w:uiPriority w:val="99"/>
    <w:semiHidden/>
    <w:rsid w:val="00FC6378"/>
    <w:rPr>
      <w:rFonts w:ascii="Segoe UI" w:eastAsiaTheme="minorEastAsia" w:hAnsi="Segoe UI" w:cs="Segoe UI"/>
      <w:sz w:val="18"/>
      <w:szCs w:val="18"/>
      <w:lang w:val="pl-PL" w:eastAsia="ja-JP"/>
    </w:rPr>
  </w:style>
  <w:style w:type="paragraph" w:customStyle="1" w:styleId="Default">
    <w:name w:val="Default"/>
    <w:rsid w:val="00FC63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C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6378"/>
    <w:pPr>
      <w:spacing w:after="0" w:line="240" w:lineRule="auto"/>
    </w:pPr>
    <w:rPr>
      <w:rFonts w:eastAsiaTheme="minorEastAsia"/>
      <w:lang w:eastAsia="ja-JP"/>
    </w:rPr>
  </w:style>
  <w:style w:type="character" w:customStyle="1" w:styleId="LegalNumParChar">
    <w:name w:val="LegalNumPar Char"/>
    <w:basedOn w:val="DefaultParagraphFont"/>
    <w:link w:val="LegalNumPar"/>
    <w:rsid w:val="00FC6378"/>
    <w:rPr>
      <w:rFonts w:ascii="Times New Roman" w:eastAsia="Arial Unicode MS" w:hAnsi="Times New Roman" w:cs="Arial Unicode MS"/>
      <w:color w:val="000000"/>
      <w:sz w:val="24"/>
      <w:szCs w:val="24"/>
      <w:u w:color="000000"/>
      <w:bdr w:val="nil"/>
      <w:lang w:val="pl-PL" w:eastAsia="ja-JP"/>
    </w:rPr>
  </w:style>
  <w:style w:type="paragraph" w:customStyle="1" w:styleId="legalnumpar0">
    <w:name w:val="legalnumpar"/>
    <w:basedOn w:val="Normal"/>
    <w:rsid w:val="00FC6378"/>
    <w:pPr>
      <w:spacing w:before="100" w:beforeAutospacing="1" w:after="100" w:afterAutospacing="1"/>
    </w:pPr>
    <w:rPr>
      <w:szCs w:val="24"/>
    </w:rPr>
  </w:style>
  <w:style w:type="character" w:customStyle="1" w:styleId="hyperlink10">
    <w:name w:val="hyperlink1"/>
    <w:basedOn w:val="DefaultParagraphFont"/>
    <w:rsid w:val="00FC6378"/>
  </w:style>
  <w:style w:type="paragraph" w:styleId="NormalWeb">
    <w:name w:val="Normal (Web)"/>
    <w:basedOn w:val="Normal"/>
    <w:uiPriority w:val="99"/>
    <w:unhideWhenUsed/>
    <w:rsid w:val="00FC6378"/>
    <w:pPr>
      <w:spacing w:before="100" w:beforeAutospacing="1" w:after="100" w:afterAutospacing="1"/>
    </w:pPr>
    <w:rPr>
      <w:szCs w:val="24"/>
    </w:rPr>
  </w:style>
  <w:style w:type="character" w:styleId="Emphasis">
    <w:name w:val="Emphasis"/>
    <w:uiPriority w:val="20"/>
    <w:qFormat/>
    <w:rsid w:val="00FC6378"/>
    <w:rPr>
      <w:i/>
      <w:iCs/>
    </w:rPr>
  </w:style>
  <w:style w:type="paragraph" w:styleId="Date">
    <w:name w:val="Date"/>
    <w:basedOn w:val="Normal"/>
    <w:next w:val="Normal"/>
    <w:link w:val="DateChar"/>
    <w:uiPriority w:val="99"/>
    <w:rsid w:val="00FC6378"/>
    <w:pPr>
      <w:spacing w:after="0"/>
      <w:ind w:left="5103" w:right="-567"/>
    </w:pPr>
  </w:style>
  <w:style w:type="character" w:customStyle="1" w:styleId="DateChar">
    <w:name w:val="Date Char"/>
    <w:basedOn w:val="DefaultParagraphFont"/>
    <w:link w:val="Date"/>
    <w:uiPriority w:val="99"/>
    <w:rsid w:val="00FC6378"/>
    <w:rPr>
      <w:rFonts w:ascii="Times New Roman" w:eastAsia="Times New Roman" w:hAnsi="Times New Roman" w:cs="Times New Roman"/>
      <w:sz w:val="24"/>
      <w:szCs w:val="20"/>
      <w:lang w:val="pl-PL"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FC6378"/>
    <w:pPr>
      <w:spacing w:line="240" w:lineRule="exact"/>
    </w:pPr>
    <w:rPr>
      <w:rFonts w:asciiTheme="minorHAnsi" w:eastAsiaTheme="minorHAnsi" w:hAnsiTheme="minorHAnsi" w:cstheme="minorBidi"/>
      <w:sz w:val="22"/>
      <w:szCs w:val="22"/>
      <w:vertAlign w:val="superscript"/>
      <w:lang w:eastAsia="en-US"/>
    </w:rPr>
  </w:style>
  <w:style w:type="paragraph" w:customStyle="1" w:styleId="Text1">
    <w:name w:val="Text 1"/>
    <w:basedOn w:val="Normal"/>
    <w:link w:val="Text1Char"/>
    <w:rsid w:val="00FC6378"/>
    <w:pPr>
      <w:ind w:left="482"/>
    </w:pPr>
  </w:style>
  <w:style w:type="character" w:customStyle="1" w:styleId="Text1Char">
    <w:name w:val="Text 1 Char"/>
    <w:link w:val="Text1"/>
    <w:rsid w:val="00FC6378"/>
    <w:rPr>
      <w:rFonts w:ascii="Times New Roman" w:eastAsia="Times New Roman" w:hAnsi="Times New Roman" w:cs="Times New Roman"/>
      <w:sz w:val="24"/>
      <w:szCs w:val="20"/>
      <w:lang w:val="pl-PL" w:eastAsia="en-GB"/>
    </w:rPr>
  </w:style>
  <w:style w:type="character" w:customStyle="1" w:styleId="bumpedfont15">
    <w:name w:val="bumpedfont15"/>
    <w:basedOn w:val="DefaultParagraphFont"/>
    <w:rsid w:val="00FC6378"/>
  </w:style>
  <w:style w:type="paragraph" w:customStyle="1" w:styleId="content-intro">
    <w:name w:val="content-intro"/>
    <w:basedOn w:val="Normal"/>
    <w:rsid w:val="00FC6378"/>
    <w:pPr>
      <w:spacing w:before="100" w:beforeAutospacing="1" w:after="100" w:afterAutospacing="1"/>
    </w:pPr>
    <w:rPr>
      <w:szCs w:val="24"/>
      <w:lang w:eastAsia="fr-BE"/>
    </w:rPr>
  </w:style>
  <w:style w:type="character" w:styleId="FollowedHyperlink">
    <w:name w:val="FollowedHyperlink"/>
    <w:basedOn w:val="DefaultParagraphFont"/>
    <w:uiPriority w:val="99"/>
    <w:semiHidden/>
    <w:unhideWhenUsed/>
    <w:rsid w:val="00FC6378"/>
    <w:rPr>
      <w:color w:val="954F72" w:themeColor="followedHyperlink"/>
      <w:u w:val="single"/>
    </w:rPr>
  </w:style>
  <w:style w:type="paragraph" w:customStyle="1" w:styleId="Disclaimer">
    <w:name w:val="Disclaimer"/>
    <w:basedOn w:val="Normal"/>
    <w:rsid w:val="00FC63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style>
  <w:style w:type="paragraph" w:customStyle="1" w:styleId="SecurityMarking">
    <w:name w:val="SecurityMarking"/>
    <w:basedOn w:val="Normal"/>
    <w:rsid w:val="00982CB5"/>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982CB5"/>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982CB5"/>
    <w:pPr>
      <w:spacing w:after="0" w:line="276" w:lineRule="auto"/>
      <w:ind w:left="5103"/>
      <w:jc w:val="left"/>
    </w:pPr>
    <w:rPr>
      <w:rFonts w:eastAsiaTheme="minorHAnsi"/>
      <w:i/>
      <w:sz w:val="28"/>
      <w:szCs w:val="22"/>
      <w:lang w:eastAsia="en-US"/>
    </w:rPr>
  </w:style>
  <w:style w:type="character" w:styleId="Strong">
    <w:name w:val="Strong"/>
    <w:basedOn w:val="DefaultParagraphFont"/>
    <w:uiPriority w:val="22"/>
    <w:qFormat/>
    <w:rsid w:val="00FC6378"/>
    <w:rPr>
      <w:b/>
      <w:bCs/>
    </w:rPr>
  </w:style>
  <w:style w:type="character" w:customStyle="1" w:styleId="at1">
    <w:name w:val="a__t1"/>
    <w:basedOn w:val="DefaultParagraphFont"/>
    <w:rsid w:val="00FC6378"/>
  </w:style>
  <w:style w:type="paragraph" w:customStyle="1" w:styleId="a3520normal">
    <w:name w:val="a___35__20_normal"/>
    <w:basedOn w:val="Normal"/>
    <w:rsid w:val="00FC6378"/>
    <w:pPr>
      <w:spacing w:before="100" w:beforeAutospacing="1" w:after="100" w:afterAutospacing="1"/>
    </w:pPr>
    <w:rPr>
      <w:szCs w:val="24"/>
      <w:lang w:eastAsia="en-IE"/>
    </w:rPr>
  </w:style>
  <w:style w:type="character" w:customStyle="1" w:styleId="at4">
    <w:name w:val="a__t4"/>
    <w:basedOn w:val="DefaultParagraphFont"/>
    <w:rsid w:val="00FC6378"/>
  </w:style>
  <w:style w:type="paragraph" w:customStyle="1" w:styleId="LegalNumPar3">
    <w:name w:val="LegalNumPar3"/>
    <w:basedOn w:val="Normal"/>
    <w:uiPriority w:val="1"/>
    <w:rsid w:val="00FC6378"/>
    <w:pPr>
      <w:tabs>
        <w:tab w:val="num" w:pos="1429"/>
      </w:tabs>
      <w:spacing w:line="360" w:lineRule="auto"/>
      <w:ind w:left="1429" w:hanging="477"/>
    </w:pPr>
  </w:style>
  <w:style w:type="paragraph" w:customStyle="1" w:styleId="LegalNumPar2">
    <w:name w:val="LegalNumPar2"/>
    <w:basedOn w:val="Normal"/>
    <w:uiPriority w:val="1"/>
    <w:rsid w:val="00FC6378"/>
    <w:pPr>
      <w:tabs>
        <w:tab w:val="num" w:pos="952"/>
      </w:tabs>
      <w:spacing w:line="360" w:lineRule="auto"/>
      <w:ind w:left="952" w:hanging="476"/>
    </w:pPr>
  </w:style>
  <w:style w:type="character" w:customStyle="1" w:styleId="normaltextrun">
    <w:name w:val="normaltextrun"/>
    <w:basedOn w:val="DefaultParagraphFont"/>
    <w:rsid w:val="00FC6378"/>
  </w:style>
  <w:style w:type="paragraph" w:customStyle="1" w:styleId="paragraph">
    <w:name w:val="paragraph"/>
    <w:basedOn w:val="Normal"/>
    <w:rsid w:val="00FC6378"/>
    <w:pPr>
      <w:spacing w:before="100" w:beforeAutospacing="1" w:after="100" w:afterAutospacing="1"/>
      <w:jc w:val="left"/>
    </w:pPr>
    <w:rPr>
      <w:szCs w:val="24"/>
    </w:rPr>
  </w:style>
  <w:style w:type="character" w:customStyle="1" w:styleId="eop">
    <w:name w:val="eop"/>
    <w:basedOn w:val="DefaultParagraphFont"/>
    <w:rsid w:val="00FC6378"/>
  </w:style>
  <w:style w:type="character" w:customStyle="1" w:styleId="footnotereference0">
    <w:name w:val="footnotereference"/>
    <w:basedOn w:val="DefaultParagraphFont"/>
    <w:rsid w:val="00FC6378"/>
  </w:style>
  <w:style w:type="character" w:customStyle="1" w:styleId="BriefingtextChar">
    <w:name w:val="Briefing text Char"/>
    <w:link w:val="Briefingtext"/>
    <w:locked/>
    <w:rsid w:val="00A55405"/>
    <w:rPr>
      <w:rFonts w:ascii="Arial" w:hAnsi="Arial" w:cs="Arial"/>
      <w:szCs w:val="24"/>
    </w:rPr>
  </w:style>
  <w:style w:type="paragraph" w:customStyle="1" w:styleId="Briefingtext">
    <w:name w:val="Briefing text"/>
    <w:basedOn w:val="Normal"/>
    <w:link w:val="BriefingtextChar"/>
    <w:rsid w:val="00A55405"/>
    <w:rPr>
      <w:rFonts w:ascii="Arial" w:eastAsiaTheme="minorHAnsi" w:hAnsi="Arial" w:cs="Arial"/>
      <w:sz w:val="22"/>
      <w:szCs w:val="24"/>
      <w:lang w:eastAsia="en-US"/>
    </w:rPr>
  </w:style>
  <w:style w:type="paragraph" w:customStyle="1" w:styleId="Briefinglist1">
    <w:name w:val="Briefing list 1"/>
    <w:basedOn w:val="Briefingtext"/>
    <w:rsid w:val="00F838EC"/>
    <w:pPr>
      <w:keepLines/>
      <w:numPr>
        <w:numId w:val="10"/>
      </w:numPr>
      <w:spacing w:after="120"/>
    </w:pPr>
    <w:rPr>
      <w:rFonts w:eastAsia="Times New Roman"/>
    </w:rPr>
  </w:style>
  <w:style w:type="character" w:customStyle="1" w:styleId="description">
    <w:name w:val="description"/>
    <w:basedOn w:val="DefaultParagraphFont"/>
    <w:rsid w:val="0063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0676">
      <w:bodyDiv w:val="1"/>
      <w:marLeft w:val="0"/>
      <w:marRight w:val="0"/>
      <w:marTop w:val="0"/>
      <w:marBottom w:val="0"/>
      <w:divBdr>
        <w:top w:val="none" w:sz="0" w:space="0" w:color="auto"/>
        <w:left w:val="none" w:sz="0" w:space="0" w:color="auto"/>
        <w:bottom w:val="none" w:sz="0" w:space="0" w:color="auto"/>
        <w:right w:val="none" w:sz="0" w:space="0" w:color="auto"/>
      </w:divBdr>
    </w:div>
    <w:div w:id="270861199">
      <w:bodyDiv w:val="1"/>
      <w:marLeft w:val="0"/>
      <w:marRight w:val="0"/>
      <w:marTop w:val="0"/>
      <w:marBottom w:val="0"/>
      <w:divBdr>
        <w:top w:val="none" w:sz="0" w:space="0" w:color="auto"/>
        <w:left w:val="none" w:sz="0" w:space="0" w:color="auto"/>
        <w:bottom w:val="none" w:sz="0" w:space="0" w:color="auto"/>
        <w:right w:val="none" w:sz="0" w:space="0" w:color="auto"/>
      </w:divBdr>
    </w:div>
    <w:div w:id="478497351">
      <w:bodyDiv w:val="1"/>
      <w:marLeft w:val="0"/>
      <w:marRight w:val="0"/>
      <w:marTop w:val="0"/>
      <w:marBottom w:val="0"/>
      <w:divBdr>
        <w:top w:val="none" w:sz="0" w:space="0" w:color="auto"/>
        <w:left w:val="none" w:sz="0" w:space="0" w:color="auto"/>
        <w:bottom w:val="none" w:sz="0" w:space="0" w:color="auto"/>
        <w:right w:val="none" w:sz="0" w:space="0" w:color="auto"/>
      </w:divBdr>
    </w:div>
    <w:div w:id="554895776">
      <w:bodyDiv w:val="1"/>
      <w:marLeft w:val="0"/>
      <w:marRight w:val="0"/>
      <w:marTop w:val="0"/>
      <w:marBottom w:val="0"/>
      <w:divBdr>
        <w:top w:val="none" w:sz="0" w:space="0" w:color="auto"/>
        <w:left w:val="none" w:sz="0" w:space="0" w:color="auto"/>
        <w:bottom w:val="none" w:sz="0" w:space="0" w:color="auto"/>
        <w:right w:val="none" w:sz="0" w:space="0" w:color="auto"/>
      </w:divBdr>
    </w:div>
    <w:div w:id="634260427">
      <w:bodyDiv w:val="1"/>
      <w:marLeft w:val="0"/>
      <w:marRight w:val="0"/>
      <w:marTop w:val="0"/>
      <w:marBottom w:val="0"/>
      <w:divBdr>
        <w:top w:val="none" w:sz="0" w:space="0" w:color="auto"/>
        <w:left w:val="none" w:sz="0" w:space="0" w:color="auto"/>
        <w:bottom w:val="none" w:sz="0" w:space="0" w:color="auto"/>
        <w:right w:val="none" w:sz="0" w:space="0" w:color="auto"/>
      </w:divBdr>
    </w:div>
    <w:div w:id="653798328">
      <w:bodyDiv w:val="1"/>
      <w:marLeft w:val="0"/>
      <w:marRight w:val="0"/>
      <w:marTop w:val="0"/>
      <w:marBottom w:val="0"/>
      <w:divBdr>
        <w:top w:val="none" w:sz="0" w:space="0" w:color="auto"/>
        <w:left w:val="none" w:sz="0" w:space="0" w:color="auto"/>
        <w:bottom w:val="none" w:sz="0" w:space="0" w:color="auto"/>
        <w:right w:val="none" w:sz="0" w:space="0" w:color="auto"/>
      </w:divBdr>
    </w:div>
    <w:div w:id="886531819">
      <w:bodyDiv w:val="1"/>
      <w:marLeft w:val="0"/>
      <w:marRight w:val="0"/>
      <w:marTop w:val="0"/>
      <w:marBottom w:val="0"/>
      <w:divBdr>
        <w:top w:val="none" w:sz="0" w:space="0" w:color="auto"/>
        <w:left w:val="none" w:sz="0" w:space="0" w:color="auto"/>
        <w:bottom w:val="none" w:sz="0" w:space="0" w:color="auto"/>
        <w:right w:val="none" w:sz="0" w:space="0" w:color="auto"/>
      </w:divBdr>
    </w:div>
    <w:div w:id="895119482">
      <w:bodyDiv w:val="1"/>
      <w:marLeft w:val="0"/>
      <w:marRight w:val="0"/>
      <w:marTop w:val="0"/>
      <w:marBottom w:val="0"/>
      <w:divBdr>
        <w:top w:val="none" w:sz="0" w:space="0" w:color="auto"/>
        <w:left w:val="none" w:sz="0" w:space="0" w:color="auto"/>
        <w:bottom w:val="none" w:sz="0" w:space="0" w:color="auto"/>
        <w:right w:val="none" w:sz="0" w:space="0" w:color="auto"/>
      </w:divBdr>
    </w:div>
    <w:div w:id="1272054226">
      <w:bodyDiv w:val="1"/>
      <w:marLeft w:val="0"/>
      <w:marRight w:val="0"/>
      <w:marTop w:val="0"/>
      <w:marBottom w:val="0"/>
      <w:divBdr>
        <w:top w:val="none" w:sz="0" w:space="0" w:color="auto"/>
        <w:left w:val="none" w:sz="0" w:space="0" w:color="auto"/>
        <w:bottom w:val="none" w:sz="0" w:space="0" w:color="auto"/>
        <w:right w:val="none" w:sz="0" w:space="0" w:color="auto"/>
      </w:divBdr>
    </w:div>
    <w:div w:id="1342656739">
      <w:bodyDiv w:val="1"/>
      <w:marLeft w:val="0"/>
      <w:marRight w:val="0"/>
      <w:marTop w:val="0"/>
      <w:marBottom w:val="0"/>
      <w:divBdr>
        <w:top w:val="none" w:sz="0" w:space="0" w:color="auto"/>
        <w:left w:val="none" w:sz="0" w:space="0" w:color="auto"/>
        <w:bottom w:val="none" w:sz="0" w:space="0" w:color="auto"/>
        <w:right w:val="none" w:sz="0" w:space="0" w:color="auto"/>
      </w:divBdr>
    </w:div>
    <w:div w:id="1356419579">
      <w:bodyDiv w:val="1"/>
      <w:marLeft w:val="0"/>
      <w:marRight w:val="0"/>
      <w:marTop w:val="0"/>
      <w:marBottom w:val="0"/>
      <w:divBdr>
        <w:top w:val="none" w:sz="0" w:space="0" w:color="auto"/>
        <w:left w:val="none" w:sz="0" w:space="0" w:color="auto"/>
        <w:bottom w:val="none" w:sz="0" w:space="0" w:color="auto"/>
        <w:right w:val="none" w:sz="0" w:space="0" w:color="auto"/>
      </w:divBdr>
    </w:div>
    <w:div w:id="1581518615">
      <w:bodyDiv w:val="1"/>
      <w:marLeft w:val="0"/>
      <w:marRight w:val="0"/>
      <w:marTop w:val="0"/>
      <w:marBottom w:val="0"/>
      <w:divBdr>
        <w:top w:val="none" w:sz="0" w:space="0" w:color="auto"/>
        <w:left w:val="none" w:sz="0" w:space="0" w:color="auto"/>
        <w:bottom w:val="none" w:sz="0" w:space="0" w:color="auto"/>
        <w:right w:val="none" w:sz="0" w:space="0" w:color="auto"/>
      </w:divBdr>
    </w:div>
    <w:div w:id="1676807149">
      <w:bodyDiv w:val="1"/>
      <w:marLeft w:val="0"/>
      <w:marRight w:val="0"/>
      <w:marTop w:val="0"/>
      <w:marBottom w:val="0"/>
      <w:divBdr>
        <w:top w:val="none" w:sz="0" w:space="0" w:color="auto"/>
        <w:left w:val="none" w:sz="0" w:space="0" w:color="auto"/>
        <w:bottom w:val="none" w:sz="0" w:space="0" w:color="auto"/>
        <w:right w:val="none" w:sz="0" w:space="0" w:color="auto"/>
      </w:divBdr>
    </w:div>
    <w:div w:id="1725517109">
      <w:bodyDiv w:val="1"/>
      <w:marLeft w:val="0"/>
      <w:marRight w:val="0"/>
      <w:marTop w:val="0"/>
      <w:marBottom w:val="0"/>
      <w:divBdr>
        <w:top w:val="none" w:sz="0" w:space="0" w:color="auto"/>
        <w:left w:val="none" w:sz="0" w:space="0" w:color="auto"/>
        <w:bottom w:val="none" w:sz="0" w:space="0" w:color="auto"/>
        <w:right w:val="none" w:sz="0" w:space="0" w:color="auto"/>
      </w:divBdr>
    </w:div>
    <w:div w:id="1841503618">
      <w:bodyDiv w:val="1"/>
      <w:marLeft w:val="0"/>
      <w:marRight w:val="0"/>
      <w:marTop w:val="0"/>
      <w:marBottom w:val="0"/>
      <w:divBdr>
        <w:top w:val="none" w:sz="0" w:space="0" w:color="auto"/>
        <w:left w:val="none" w:sz="0" w:space="0" w:color="auto"/>
        <w:bottom w:val="none" w:sz="0" w:space="0" w:color="auto"/>
        <w:right w:val="none" w:sz="0" w:space="0" w:color="auto"/>
      </w:divBdr>
    </w:div>
    <w:div w:id="1973557173">
      <w:bodyDiv w:val="1"/>
      <w:marLeft w:val="0"/>
      <w:marRight w:val="0"/>
      <w:marTop w:val="0"/>
      <w:marBottom w:val="0"/>
      <w:divBdr>
        <w:top w:val="none" w:sz="0" w:space="0" w:color="auto"/>
        <w:left w:val="none" w:sz="0" w:space="0" w:color="auto"/>
        <w:bottom w:val="none" w:sz="0" w:space="0" w:color="auto"/>
        <w:right w:val="none" w:sz="0" w:space="0" w:color="auto"/>
      </w:divBdr>
    </w:div>
    <w:div w:id="2013794565">
      <w:bodyDiv w:val="1"/>
      <w:marLeft w:val="0"/>
      <w:marRight w:val="0"/>
      <w:marTop w:val="0"/>
      <w:marBottom w:val="0"/>
      <w:divBdr>
        <w:top w:val="none" w:sz="0" w:space="0" w:color="auto"/>
        <w:left w:val="none" w:sz="0" w:space="0" w:color="auto"/>
        <w:bottom w:val="none" w:sz="0" w:space="0" w:color="auto"/>
        <w:right w:val="none" w:sz="0" w:space="0" w:color="auto"/>
      </w:divBdr>
    </w:div>
    <w:div w:id="20921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live-work-travel-eu/consumer-rights-and-complaints/enforcement-consumer-protection/consumer-protection-cooperation-network_p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ronavirus/policy-responses/oecd-initiative-for-safe-international-mobility-during-the-covid-19-pandemic-including-blueprint-d0594162/" TargetMode="External"/><Relationship Id="rId3" Type="http://schemas.openxmlformats.org/officeDocument/2006/relationships/hyperlink" Target="https://ec.europa.eu/competition-policy/system/files/2021-03/land_transport_overview_rules_during_coronavirus.pdf" TargetMode="External"/><Relationship Id="rId7" Type="http://schemas.openxmlformats.org/officeDocument/2006/relationships/hyperlink" Target="https://www.enisa.europa.eu/publications/guidelines-cyber-risk-management-for-ports/" TargetMode="External"/><Relationship Id="rId2" Type="http://schemas.openxmlformats.org/officeDocument/2006/relationships/hyperlink" Target="http://data.europa.eu/eli/reco/2022/107/oj" TargetMode="External"/><Relationship Id="rId1" Type="http://schemas.openxmlformats.org/officeDocument/2006/relationships/hyperlink" Target="https://covid-statistics.jrc.ec.europa.eu/RMeasures" TargetMode="External"/><Relationship Id="rId6" Type="http://schemas.openxmlformats.org/officeDocument/2006/relationships/hyperlink" Target="https://eur-lex.europa.eu/legal-content/PL/TXT/?uri=uriserv:OJ.L_.2021.185.01.0001.01.ENG&amp;toc=OJ:L:2021:185:TOC" TargetMode="External"/><Relationship Id="rId5" Type="http://schemas.openxmlformats.org/officeDocument/2006/relationships/hyperlink" Target="https://www.enisa.europa.eu/publications/enisa-threat-landscape-2021" TargetMode="External"/><Relationship Id="rId4" Type="http://schemas.openxmlformats.org/officeDocument/2006/relationships/hyperlink" Target="https://ec.europa.eu/info/strategy/strategic-planning/strategic-foresight/2021-strategic-foresight-report_p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skuin\AppData\Local\Microsoft\Windows\INetCache\Content.Outlook\HMOP6EK5\dataset%2015mins%20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pl-PL" sz="800"/>
              <a:t>Przestrzeganie</a:t>
            </a:r>
            <a:r>
              <a:rPr lang="pl-PL" sz="800" baseline="0"/>
              <a:t> progu 15 minut na przejazd korytarzem uprzywilejowanym</a:t>
            </a:r>
            <a:endParaRPr lang="en-GB"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Sheet1!$K$81</c:f>
              <c:strCache>
                <c:ptCount val="1"/>
                <c:pt idx="0">
                  <c:v>2020</c:v>
                </c:pt>
              </c:strCache>
            </c:strRef>
          </c:tx>
          <c:spPr>
            <a:ln w="12700" cap="rnd">
              <a:solidFill>
                <a:schemeClr val="accent1"/>
              </a:solidFill>
              <a:prstDash val="sysDash"/>
              <a:round/>
            </a:ln>
            <a:effectLst/>
          </c:spPr>
          <c:marker>
            <c:symbol val="none"/>
          </c:marker>
          <c:cat>
            <c:strRef>
              <c:f>Sheet1!$J$82:$J$133</c:f>
              <c:strCache>
                <c:ptCount val="52"/>
                <c:pt idx="0">
                  <c:v>w1</c:v>
                </c:pt>
                <c:pt idx="1">
                  <c:v>w2</c:v>
                </c:pt>
                <c:pt idx="2">
                  <c:v>w3</c:v>
                </c:pt>
                <c:pt idx="3">
                  <c:v>w4</c:v>
                </c:pt>
                <c:pt idx="4">
                  <c:v>w5</c:v>
                </c:pt>
                <c:pt idx="5">
                  <c:v>w6</c:v>
                </c:pt>
                <c:pt idx="6">
                  <c:v>w7</c:v>
                </c:pt>
                <c:pt idx="7">
                  <c:v>w8</c:v>
                </c:pt>
                <c:pt idx="8">
                  <c:v>w9</c:v>
                </c:pt>
                <c:pt idx="9">
                  <c:v>w10</c:v>
                </c:pt>
                <c:pt idx="10">
                  <c:v>w11</c:v>
                </c:pt>
                <c:pt idx="11">
                  <c:v>w12</c:v>
                </c:pt>
                <c:pt idx="12">
                  <c:v>w13</c:v>
                </c:pt>
                <c:pt idx="13">
                  <c:v>w14</c:v>
                </c:pt>
                <c:pt idx="14">
                  <c:v>w15</c:v>
                </c:pt>
                <c:pt idx="15">
                  <c:v>w16</c:v>
                </c:pt>
                <c:pt idx="16">
                  <c:v>w17</c:v>
                </c:pt>
                <c:pt idx="17">
                  <c:v>w18</c:v>
                </c:pt>
                <c:pt idx="18">
                  <c:v>w19</c:v>
                </c:pt>
                <c:pt idx="19">
                  <c:v>w20</c:v>
                </c:pt>
                <c:pt idx="20">
                  <c:v>w21</c:v>
                </c:pt>
                <c:pt idx="21">
                  <c:v>w22</c:v>
                </c:pt>
                <c:pt idx="22">
                  <c:v>w23</c:v>
                </c:pt>
                <c:pt idx="23">
                  <c:v>w24</c:v>
                </c:pt>
                <c:pt idx="24">
                  <c:v>w25</c:v>
                </c:pt>
                <c:pt idx="25">
                  <c:v>w26</c:v>
                </c:pt>
                <c:pt idx="26">
                  <c:v>w27</c:v>
                </c:pt>
                <c:pt idx="27">
                  <c:v>w28</c:v>
                </c:pt>
                <c:pt idx="28">
                  <c:v>w29</c:v>
                </c:pt>
                <c:pt idx="29">
                  <c:v>w30</c:v>
                </c:pt>
                <c:pt idx="30">
                  <c:v>w31</c:v>
                </c:pt>
                <c:pt idx="31">
                  <c:v>w32</c:v>
                </c:pt>
                <c:pt idx="32">
                  <c:v>w33</c:v>
                </c:pt>
                <c:pt idx="33">
                  <c:v>w34</c:v>
                </c:pt>
                <c:pt idx="34">
                  <c:v>w35</c:v>
                </c:pt>
                <c:pt idx="35">
                  <c:v>w36</c:v>
                </c:pt>
                <c:pt idx="36">
                  <c:v>w37</c:v>
                </c:pt>
                <c:pt idx="37">
                  <c:v>w38</c:v>
                </c:pt>
                <c:pt idx="38">
                  <c:v>w39</c:v>
                </c:pt>
                <c:pt idx="39">
                  <c:v>w40</c:v>
                </c:pt>
                <c:pt idx="40">
                  <c:v>w41</c:v>
                </c:pt>
                <c:pt idx="41">
                  <c:v>w42</c:v>
                </c:pt>
                <c:pt idx="42">
                  <c:v>w43</c:v>
                </c:pt>
                <c:pt idx="43">
                  <c:v>w44</c:v>
                </c:pt>
                <c:pt idx="44">
                  <c:v>w45</c:v>
                </c:pt>
                <c:pt idx="45">
                  <c:v>w46</c:v>
                </c:pt>
                <c:pt idx="46">
                  <c:v>w47</c:v>
                </c:pt>
                <c:pt idx="47">
                  <c:v>w48</c:v>
                </c:pt>
                <c:pt idx="48">
                  <c:v>w49</c:v>
                </c:pt>
                <c:pt idx="49">
                  <c:v>w50</c:v>
                </c:pt>
                <c:pt idx="50">
                  <c:v>w51</c:v>
                </c:pt>
                <c:pt idx="51">
                  <c:v>w52</c:v>
                </c:pt>
              </c:strCache>
            </c:strRef>
          </c:cat>
          <c:val>
            <c:numRef>
              <c:f>Sheet1!$K$82:$K$133</c:f>
              <c:numCache>
                <c:formatCode>General</c:formatCode>
                <c:ptCount val="52"/>
                <c:pt idx="23" formatCode="0">
                  <c:v>21.857142857142858</c:v>
                </c:pt>
                <c:pt idx="24" formatCode="0">
                  <c:v>21.142857142857142</c:v>
                </c:pt>
                <c:pt idx="25" formatCode="0">
                  <c:v>20.714285714285715</c:v>
                </c:pt>
                <c:pt idx="26" formatCode="0">
                  <c:v>19.857142857142858</c:v>
                </c:pt>
                <c:pt idx="27" formatCode="0">
                  <c:v>18.428571428571427</c:v>
                </c:pt>
                <c:pt idx="28" formatCode="0">
                  <c:v>17.714285714285715</c:v>
                </c:pt>
                <c:pt idx="29" formatCode="0">
                  <c:v>19.142857142857142</c:v>
                </c:pt>
                <c:pt idx="30" formatCode="0">
                  <c:v>19.571428571428573</c:v>
                </c:pt>
                <c:pt idx="31" formatCode="0">
                  <c:v>20.142857142857142</c:v>
                </c:pt>
                <c:pt idx="32" formatCode="0">
                  <c:v>17.285714285714285</c:v>
                </c:pt>
                <c:pt idx="33" formatCode="0">
                  <c:v>18.142857142857142</c:v>
                </c:pt>
                <c:pt idx="34" formatCode="0">
                  <c:v>13.571428571428571</c:v>
                </c:pt>
                <c:pt idx="35" formatCode="0">
                  <c:v>13.714285714285714</c:v>
                </c:pt>
                <c:pt idx="36" formatCode="0">
                  <c:v>13.428571428571429</c:v>
                </c:pt>
                <c:pt idx="37" formatCode="0">
                  <c:v>13.285714285714286</c:v>
                </c:pt>
                <c:pt idx="38" formatCode="0">
                  <c:v>13.142857142857142</c:v>
                </c:pt>
                <c:pt idx="39" formatCode="0">
                  <c:v>13.285714285714286</c:v>
                </c:pt>
                <c:pt idx="40" formatCode="0">
                  <c:v>15.285714285714286</c:v>
                </c:pt>
                <c:pt idx="41" formatCode="0">
                  <c:v>14.142857142857142</c:v>
                </c:pt>
                <c:pt idx="42" formatCode="0">
                  <c:v>14.571428571428571</c:v>
                </c:pt>
                <c:pt idx="43" formatCode="0">
                  <c:v>15.428571428571429</c:v>
                </c:pt>
                <c:pt idx="44" formatCode="0">
                  <c:v>14.142857142857142</c:v>
                </c:pt>
                <c:pt idx="45" formatCode="0">
                  <c:v>13.285714285714286</c:v>
                </c:pt>
                <c:pt idx="46" formatCode="0">
                  <c:v>14</c:v>
                </c:pt>
                <c:pt idx="47" formatCode="0">
                  <c:v>14.857142857142858</c:v>
                </c:pt>
                <c:pt idx="48" formatCode="0">
                  <c:v>14.857142857142858</c:v>
                </c:pt>
                <c:pt idx="49" formatCode="0">
                  <c:v>14.714285714285714</c:v>
                </c:pt>
                <c:pt idx="50" formatCode="0">
                  <c:v>14.428571428571429</c:v>
                </c:pt>
                <c:pt idx="51" formatCode="0">
                  <c:v>11.714285714285714</c:v>
                </c:pt>
              </c:numCache>
            </c:numRef>
          </c:val>
          <c:smooth val="0"/>
          <c:extLst>
            <c:ext xmlns:c16="http://schemas.microsoft.com/office/drawing/2014/chart" uri="{C3380CC4-5D6E-409C-BE32-E72D297353CC}">
              <c16:uniqueId val="{00000000-E5B3-4F60-9EC4-F3FE938D4CA4}"/>
            </c:ext>
          </c:extLst>
        </c:ser>
        <c:ser>
          <c:idx val="0"/>
          <c:order val="1"/>
          <c:tx>
            <c:strRef>
              <c:f>Sheet1!$L$81</c:f>
              <c:strCache>
                <c:ptCount val="1"/>
                <c:pt idx="0">
                  <c:v>2021</c:v>
                </c:pt>
              </c:strCache>
            </c:strRef>
          </c:tx>
          <c:spPr>
            <a:ln w="19050" cap="rnd">
              <a:solidFill>
                <a:schemeClr val="accent1"/>
              </a:solidFill>
              <a:prstDash val="dash"/>
              <a:round/>
            </a:ln>
            <a:effectLst/>
          </c:spPr>
          <c:marker>
            <c:symbol val="none"/>
          </c:marker>
          <c:cat>
            <c:strRef>
              <c:f>Sheet1!$J$82:$J$133</c:f>
              <c:strCache>
                <c:ptCount val="52"/>
                <c:pt idx="0">
                  <c:v>w1</c:v>
                </c:pt>
                <c:pt idx="1">
                  <c:v>w2</c:v>
                </c:pt>
                <c:pt idx="2">
                  <c:v>w3</c:v>
                </c:pt>
                <c:pt idx="3">
                  <c:v>w4</c:v>
                </c:pt>
                <c:pt idx="4">
                  <c:v>w5</c:v>
                </c:pt>
                <c:pt idx="5">
                  <c:v>w6</c:v>
                </c:pt>
                <c:pt idx="6">
                  <c:v>w7</c:v>
                </c:pt>
                <c:pt idx="7">
                  <c:v>w8</c:v>
                </c:pt>
                <c:pt idx="8">
                  <c:v>w9</c:v>
                </c:pt>
                <c:pt idx="9">
                  <c:v>w10</c:v>
                </c:pt>
                <c:pt idx="10">
                  <c:v>w11</c:v>
                </c:pt>
                <c:pt idx="11">
                  <c:v>w12</c:v>
                </c:pt>
                <c:pt idx="12">
                  <c:v>w13</c:v>
                </c:pt>
                <c:pt idx="13">
                  <c:v>w14</c:v>
                </c:pt>
                <c:pt idx="14">
                  <c:v>w15</c:v>
                </c:pt>
                <c:pt idx="15">
                  <c:v>w16</c:v>
                </c:pt>
                <c:pt idx="16">
                  <c:v>w17</c:v>
                </c:pt>
                <c:pt idx="17">
                  <c:v>w18</c:v>
                </c:pt>
                <c:pt idx="18">
                  <c:v>w19</c:v>
                </c:pt>
                <c:pt idx="19">
                  <c:v>w20</c:v>
                </c:pt>
                <c:pt idx="20">
                  <c:v>w21</c:v>
                </c:pt>
                <c:pt idx="21">
                  <c:v>w22</c:v>
                </c:pt>
                <c:pt idx="22">
                  <c:v>w23</c:v>
                </c:pt>
                <c:pt idx="23">
                  <c:v>w24</c:v>
                </c:pt>
                <c:pt idx="24">
                  <c:v>w25</c:v>
                </c:pt>
                <c:pt idx="25">
                  <c:v>w26</c:v>
                </c:pt>
                <c:pt idx="26">
                  <c:v>w27</c:v>
                </c:pt>
                <c:pt idx="27">
                  <c:v>w28</c:v>
                </c:pt>
                <c:pt idx="28">
                  <c:v>w29</c:v>
                </c:pt>
                <c:pt idx="29">
                  <c:v>w30</c:v>
                </c:pt>
                <c:pt idx="30">
                  <c:v>w31</c:v>
                </c:pt>
                <c:pt idx="31">
                  <c:v>w32</c:v>
                </c:pt>
                <c:pt idx="32">
                  <c:v>w33</c:v>
                </c:pt>
                <c:pt idx="33">
                  <c:v>w34</c:v>
                </c:pt>
                <c:pt idx="34">
                  <c:v>w35</c:v>
                </c:pt>
                <c:pt idx="35">
                  <c:v>w36</c:v>
                </c:pt>
                <c:pt idx="36">
                  <c:v>w37</c:v>
                </c:pt>
                <c:pt idx="37">
                  <c:v>w38</c:v>
                </c:pt>
                <c:pt idx="38">
                  <c:v>w39</c:v>
                </c:pt>
                <c:pt idx="39">
                  <c:v>w40</c:v>
                </c:pt>
                <c:pt idx="40">
                  <c:v>w41</c:v>
                </c:pt>
                <c:pt idx="41">
                  <c:v>w42</c:v>
                </c:pt>
                <c:pt idx="42">
                  <c:v>w43</c:v>
                </c:pt>
                <c:pt idx="43">
                  <c:v>w44</c:v>
                </c:pt>
                <c:pt idx="44">
                  <c:v>w45</c:v>
                </c:pt>
                <c:pt idx="45">
                  <c:v>w46</c:v>
                </c:pt>
                <c:pt idx="46">
                  <c:v>w47</c:v>
                </c:pt>
                <c:pt idx="47">
                  <c:v>w48</c:v>
                </c:pt>
                <c:pt idx="48">
                  <c:v>w49</c:v>
                </c:pt>
                <c:pt idx="49">
                  <c:v>w50</c:v>
                </c:pt>
                <c:pt idx="50">
                  <c:v>w51</c:v>
                </c:pt>
                <c:pt idx="51">
                  <c:v>w52</c:v>
                </c:pt>
              </c:strCache>
            </c:strRef>
          </c:cat>
          <c:val>
            <c:numRef>
              <c:f>Sheet1!$L$82:$L$133</c:f>
              <c:numCache>
                <c:formatCode>0</c:formatCode>
                <c:ptCount val="52"/>
                <c:pt idx="0">
                  <c:v>12.714285714285714</c:v>
                </c:pt>
                <c:pt idx="1">
                  <c:v>13.142857142857142</c:v>
                </c:pt>
                <c:pt idx="2">
                  <c:v>15.428571428571429</c:v>
                </c:pt>
                <c:pt idx="3">
                  <c:v>15.571428571428571</c:v>
                </c:pt>
                <c:pt idx="4">
                  <c:v>14.142857142857142</c:v>
                </c:pt>
                <c:pt idx="5">
                  <c:v>14.142857142857142</c:v>
                </c:pt>
                <c:pt idx="6">
                  <c:v>14.428571428571429</c:v>
                </c:pt>
                <c:pt idx="7">
                  <c:v>14.571428571428571</c:v>
                </c:pt>
                <c:pt idx="8">
                  <c:v>15.857142857142858</c:v>
                </c:pt>
                <c:pt idx="9">
                  <c:v>16.428571428571427</c:v>
                </c:pt>
                <c:pt idx="10">
                  <c:v>15.428571428571429</c:v>
                </c:pt>
                <c:pt idx="11">
                  <c:v>14.428571428571429</c:v>
                </c:pt>
                <c:pt idx="12">
                  <c:v>15.428571428571429</c:v>
                </c:pt>
                <c:pt idx="13">
                  <c:v>14.285714285714286</c:v>
                </c:pt>
                <c:pt idx="14">
                  <c:v>14.285714285714286</c:v>
                </c:pt>
                <c:pt idx="15">
                  <c:v>15</c:v>
                </c:pt>
                <c:pt idx="16">
                  <c:v>15</c:v>
                </c:pt>
                <c:pt idx="17">
                  <c:v>13.571428571428571</c:v>
                </c:pt>
                <c:pt idx="18">
                  <c:v>14.428571428571429</c:v>
                </c:pt>
                <c:pt idx="19">
                  <c:v>14.714285714285714</c:v>
                </c:pt>
                <c:pt idx="20">
                  <c:v>14.666666666666666</c:v>
                </c:pt>
                <c:pt idx="21">
                  <c:v>15.142857142857142</c:v>
                </c:pt>
                <c:pt idx="22">
                  <c:v>16</c:v>
                </c:pt>
                <c:pt idx="23">
                  <c:v>16</c:v>
                </c:pt>
                <c:pt idx="24">
                  <c:v>16</c:v>
                </c:pt>
                <c:pt idx="25">
                  <c:v>16.142857142857142</c:v>
                </c:pt>
                <c:pt idx="26">
                  <c:v>15.285714285714286</c:v>
                </c:pt>
                <c:pt idx="27">
                  <c:v>16.857142857142858</c:v>
                </c:pt>
                <c:pt idx="28">
                  <c:v>17.142857142857142</c:v>
                </c:pt>
                <c:pt idx="29">
                  <c:v>15.571428571428571</c:v>
                </c:pt>
                <c:pt idx="30">
                  <c:v>14.857142857142858</c:v>
                </c:pt>
                <c:pt idx="31">
                  <c:v>15.714285714285714</c:v>
                </c:pt>
                <c:pt idx="32">
                  <c:v>15.142857142857142</c:v>
                </c:pt>
                <c:pt idx="33">
                  <c:v>15.571428571428571</c:v>
                </c:pt>
                <c:pt idx="34">
                  <c:v>13.857142857142858</c:v>
                </c:pt>
                <c:pt idx="35">
                  <c:v>14.571428571428571</c:v>
                </c:pt>
                <c:pt idx="36">
                  <c:v>15.571428571428571</c:v>
                </c:pt>
                <c:pt idx="37">
                  <c:v>15.142857142857142</c:v>
                </c:pt>
                <c:pt idx="38">
                  <c:v>14.571428571428571</c:v>
                </c:pt>
                <c:pt idx="39">
                  <c:v>14.285714285714286</c:v>
                </c:pt>
                <c:pt idx="40">
                  <c:v>13.428571428571429</c:v>
                </c:pt>
                <c:pt idx="41">
                  <c:v>14</c:v>
                </c:pt>
                <c:pt idx="42">
                  <c:v>15</c:v>
                </c:pt>
                <c:pt idx="43">
                  <c:v>13.285714285714286</c:v>
                </c:pt>
                <c:pt idx="44">
                  <c:v>13.333333333333334</c:v>
                </c:pt>
                <c:pt idx="45">
                  <c:v>14.142857142857142</c:v>
                </c:pt>
                <c:pt idx="46">
                  <c:v>14.714285714285714</c:v>
                </c:pt>
                <c:pt idx="47">
                  <c:v>15.571428571428571</c:v>
                </c:pt>
                <c:pt idx="48">
                  <c:v>15.714285714285714</c:v>
                </c:pt>
                <c:pt idx="49">
                  <c:v>16</c:v>
                </c:pt>
                <c:pt idx="50">
                  <c:v>14.428571428571429</c:v>
                </c:pt>
                <c:pt idx="51">
                  <c:v>13.714285714285714</c:v>
                </c:pt>
              </c:numCache>
            </c:numRef>
          </c:val>
          <c:smooth val="0"/>
          <c:extLst>
            <c:ext xmlns:c16="http://schemas.microsoft.com/office/drawing/2014/chart" uri="{C3380CC4-5D6E-409C-BE32-E72D297353CC}">
              <c16:uniqueId val="{00000001-E5B3-4F60-9EC4-F3FE938D4CA4}"/>
            </c:ext>
          </c:extLst>
        </c:ser>
        <c:ser>
          <c:idx val="1"/>
          <c:order val="2"/>
          <c:tx>
            <c:strRef>
              <c:f>Sheet1!$M$81</c:f>
              <c:strCache>
                <c:ptCount val="1"/>
                <c:pt idx="0">
                  <c:v>2022</c:v>
                </c:pt>
              </c:strCache>
            </c:strRef>
          </c:tx>
          <c:spPr>
            <a:ln w="31750" cap="rnd">
              <a:solidFill>
                <a:schemeClr val="tx2"/>
              </a:solidFill>
              <a:round/>
            </a:ln>
            <a:effectLst/>
          </c:spPr>
          <c:marker>
            <c:symbol val="none"/>
          </c:marker>
          <c:cat>
            <c:strRef>
              <c:f>Sheet1!$J$82:$J$133</c:f>
              <c:strCache>
                <c:ptCount val="52"/>
                <c:pt idx="0">
                  <c:v>w1</c:v>
                </c:pt>
                <c:pt idx="1">
                  <c:v>w2</c:v>
                </c:pt>
                <c:pt idx="2">
                  <c:v>w3</c:v>
                </c:pt>
                <c:pt idx="3">
                  <c:v>w4</c:v>
                </c:pt>
                <c:pt idx="4">
                  <c:v>w5</c:v>
                </c:pt>
                <c:pt idx="5">
                  <c:v>w6</c:v>
                </c:pt>
                <c:pt idx="6">
                  <c:v>w7</c:v>
                </c:pt>
                <c:pt idx="7">
                  <c:v>w8</c:v>
                </c:pt>
                <c:pt idx="8">
                  <c:v>w9</c:v>
                </c:pt>
                <c:pt idx="9">
                  <c:v>w10</c:v>
                </c:pt>
                <c:pt idx="10">
                  <c:v>w11</c:v>
                </c:pt>
                <c:pt idx="11">
                  <c:v>w12</c:v>
                </c:pt>
                <c:pt idx="12">
                  <c:v>w13</c:v>
                </c:pt>
                <c:pt idx="13">
                  <c:v>w14</c:v>
                </c:pt>
                <c:pt idx="14">
                  <c:v>w15</c:v>
                </c:pt>
                <c:pt idx="15">
                  <c:v>w16</c:v>
                </c:pt>
                <c:pt idx="16">
                  <c:v>w17</c:v>
                </c:pt>
                <c:pt idx="17">
                  <c:v>w18</c:v>
                </c:pt>
                <c:pt idx="18">
                  <c:v>w19</c:v>
                </c:pt>
                <c:pt idx="19">
                  <c:v>w20</c:v>
                </c:pt>
                <c:pt idx="20">
                  <c:v>w21</c:v>
                </c:pt>
                <c:pt idx="21">
                  <c:v>w22</c:v>
                </c:pt>
                <c:pt idx="22">
                  <c:v>w23</c:v>
                </c:pt>
                <c:pt idx="23">
                  <c:v>w24</c:v>
                </c:pt>
                <c:pt idx="24">
                  <c:v>w25</c:v>
                </c:pt>
                <c:pt idx="25">
                  <c:v>w26</c:v>
                </c:pt>
                <c:pt idx="26">
                  <c:v>w27</c:v>
                </c:pt>
                <c:pt idx="27">
                  <c:v>w28</c:v>
                </c:pt>
                <c:pt idx="28">
                  <c:v>w29</c:v>
                </c:pt>
                <c:pt idx="29">
                  <c:v>w30</c:v>
                </c:pt>
                <c:pt idx="30">
                  <c:v>w31</c:v>
                </c:pt>
                <c:pt idx="31">
                  <c:v>w32</c:v>
                </c:pt>
                <c:pt idx="32">
                  <c:v>w33</c:v>
                </c:pt>
                <c:pt idx="33">
                  <c:v>w34</c:v>
                </c:pt>
                <c:pt idx="34">
                  <c:v>w35</c:v>
                </c:pt>
                <c:pt idx="35">
                  <c:v>w36</c:v>
                </c:pt>
                <c:pt idx="36">
                  <c:v>w37</c:v>
                </c:pt>
                <c:pt idx="37">
                  <c:v>w38</c:v>
                </c:pt>
                <c:pt idx="38">
                  <c:v>w39</c:v>
                </c:pt>
                <c:pt idx="39">
                  <c:v>w40</c:v>
                </c:pt>
                <c:pt idx="40">
                  <c:v>w41</c:v>
                </c:pt>
                <c:pt idx="41">
                  <c:v>w42</c:v>
                </c:pt>
                <c:pt idx="42">
                  <c:v>w43</c:v>
                </c:pt>
                <c:pt idx="43">
                  <c:v>w44</c:v>
                </c:pt>
                <c:pt idx="44">
                  <c:v>w45</c:v>
                </c:pt>
                <c:pt idx="45">
                  <c:v>w46</c:v>
                </c:pt>
                <c:pt idx="46">
                  <c:v>w47</c:v>
                </c:pt>
                <c:pt idx="47">
                  <c:v>w48</c:v>
                </c:pt>
                <c:pt idx="48">
                  <c:v>w49</c:v>
                </c:pt>
                <c:pt idx="49">
                  <c:v>w50</c:v>
                </c:pt>
                <c:pt idx="50">
                  <c:v>w51</c:v>
                </c:pt>
                <c:pt idx="51">
                  <c:v>w52</c:v>
                </c:pt>
              </c:strCache>
            </c:strRef>
          </c:cat>
          <c:val>
            <c:numRef>
              <c:f>Sheet1!$M$82:$M$133</c:f>
              <c:numCache>
                <c:formatCode>0</c:formatCode>
                <c:ptCount val="52"/>
                <c:pt idx="0">
                  <c:v>12.571428571428571</c:v>
                </c:pt>
                <c:pt idx="1">
                  <c:v>15</c:v>
                </c:pt>
                <c:pt idx="2" formatCode="0.00">
                  <c:v>15.571428571428571</c:v>
                </c:pt>
                <c:pt idx="3" formatCode="0.00">
                  <c:v>16.285714285714285</c:v>
                </c:pt>
                <c:pt idx="4" formatCode="0.00">
                  <c:v>15</c:v>
                </c:pt>
                <c:pt idx="5" formatCode="0.00">
                  <c:v>16.857142857142858</c:v>
                </c:pt>
                <c:pt idx="6" formatCode="0.00">
                  <c:v>15.333333333333334</c:v>
                </c:pt>
                <c:pt idx="7" formatCode="0.00">
                  <c:v>16.714285714285715</c:v>
                </c:pt>
                <c:pt idx="8" formatCode="0.00">
                  <c:v>17.714285714285715</c:v>
                </c:pt>
                <c:pt idx="9" formatCode="0.00">
                  <c:v>17.285714285714285</c:v>
                </c:pt>
                <c:pt idx="10" formatCode="0.00">
                  <c:v>19.142857142857142</c:v>
                </c:pt>
                <c:pt idx="11" formatCode="0.00">
                  <c:v>17.571428571428573</c:v>
                </c:pt>
                <c:pt idx="12" formatCode="0.00">
                  <c:v>18.571428571428573</c:v>
                </c:pt>
                <c:pt idx="13" formatCode="0.00">
                  <c:v>19</c:v>
                </c:pt>
                <c:pt idx="14" formatCode="0.00">
                  <c:v>17.714285714285715</c:v>
                </c:pt>
                <c:pt idx="15" formatCode="0.00">
                  <c:v>18.428571428571427</c:v>
                </c:pt>
                <c:pt idx="16" formatCode="0.00">
                  <c:v>16.142857142857142</c:v>
                </c:pt>
                <c:pt idx="17" formatCode="0.00">
                  <c:v>17.714285714285715</c:v>
                </c:pt>
              </c:numCache>
            </c:numRef>
          </c:val>
          <c:smooth val="0"/>
          <c:extLst>
            <c:ext xmlns:c16="http://schemas.microsoft.com/office/drawing/2014/chart" uri="{C3380CC4-5D6E-409C-BE32-E72D297353CC}">
              <c16:uniqueId val="{00000002-E5B3-4F60-9EC4-F3FE938D4CA4}"/>
            </c:ext>
          </c:extLst>
        </c:ser>
        <c:dLbls>
          <c:showLegendKey val="0"/>
          <c:showVal val="0"/>
          <c:showCatName val="0"/>
          <c:showSerName val="0"/>
          <c:showPercent val="0"/>
          <c:showBubbleSize val="0"/>
        </c:dLbls>
        <c:smooth val="0"/>
        <c:axId val="560653984"/>
        <c:axId val="560654968"/>
      </c:lineChart>
      <c:catAx>
        <c:axId val="5606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60654968"/>
        <c:crosses val="autoZero"/>
        <c:auto val="1"/>
        <c:lblAlgn val="ctr"/>
        <c:lblOffset val="100"/>
        <c:noMultiLvlLbl val="0"/>
      </c:catAx>
      <c:valAx>
        <c:axId val="560654968"/>
        <c:scaling>
          <c:orientation val="minMax"/>
          <c:max val="20"/>
          <c:min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6065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D4933-0A94-4E93-8933-00DA6D3C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8774</Words>
  <Characters>60805</Characters>
  <Application>Microsoft Office Word</Application>
  <DocSecurity>0</DocSecurity>
  <Lines>832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2022-05-20T11:06:00Z</dcterms:created>
  <dcterms:modified xsi:type="dcterms:W3CDTF">2022-05-23T09:26:00Z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2022-05-12T18:31:07Z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257ee2ed-a2d3-49db-80ef-ec89c2c381ac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8.0, Build 20220128</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