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EFC84" w14:textId="2AD3EEEE" w:rsidR="003767C2" w:rsidRPr="00A5335D" w:rsidRDefault="00084382" w:rsidP="00084382">
      <w:pPr>
        <w:pStyle w:val="Pagedecouverture"/>
        <w:rPr>
          <w:noProof/>
        </w:rPr>
      </w:pPr>
      <w:bookmarkStart w:id="0" w:name="LW_BM_COVERPAGE"/>
      <w:r>
        <w:rPr>
          <w:noProof/>
        </w:rPr>
        <w:pict w14:anchorId="79B9FC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7FA84631-7ADB-480F-82EE-B57162AC589E" style="width:455.25pt;height:324pt">
            <v:imagedata r:id="rId11" o:title=""/>
          </v:shape>
        </w:pict>
      </w:r>
    </w:p>
    <w:bookmarkEnd w:id="0"/>
    <w:p w14:paraId="27CEFC85" w14:textId="77777777" w:rsidR="003767C2" w:rsidRPr="00A5335D" w:rsidRDefault="003767C2" w:rsidP="003767C2">
      <w:pPr>
        <w:rPr>
          <w:noProof/>
        </w:rPr>
        <w:sectPr w:rsidR="003767C2" w:rsidRPr="00A5335D" w:rsidSect="00084382">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7CEFC86" w14:textId="77777777" w:rsidR="003767C2" w:rsidRPr="00A5335D" w:rsidRDefault="003767C2" w:rsidP="00834BBD">
      <w:pPr>
        <w:spacing w:before="120" w:after="240"/>
        <w:jc w:val="center"/>
        <w:rPr>
          <w:rFonts w:ascii="Times New Roman" w:hAnsi="Times New Roman" w:cs="Times New Roman"/>
          <w:b/>
          <w:bCs/>
          <w:noProof/>
          <w:sz w:val="24"/>
          <w:szCs w:val="24"/>
        </w:rPr>
      </w:pPr>
      <w:bookmarkStart w:id="1" w:name="_GoBack"/>
      <w:bookmarkEnd w:id="1"/>
      <w:r w:rsidRPr="00A5335D">
        <w:rPr>
          <w:rFonts w:ascii="Times New Roman" w:hAnsi="Times New Roman"/>
          <w:b/>
          <w:bCs/>
          <w:noProof/>
          <w:sz w:val="24"/>
          <w:szCs w:val="24"/>
        </w:rPr>
        <w:lastRenderedPageBreak/>
        <w:t>KOMUNIKAT KOMISJI DO PARLAMENTU EUROPEJSKIEGO, RADY, EUROPEJSKIEGO KOMITETU EKONOMICZNO-SPOŁECZNEGO I KOMITETU REGIONÓW</w:t>
      </w:r>
    </w:p>
    <w:p w14:paraId="27CEFC87" w14:textId="7E4C7C34" w:rsidR="003767C2" w:rsidRPr="00A5335D" w:rsidRDefault="003767C2" w:rsidP="00834BBD">
      <w:pPr>
        <w:spacing w:before="120" w:after="240"/>
        <w:jc w:val="center"/>
        <w:rPr>
          <w:rFonts w:ascii="Times New Roman" w:hAnsi="Times New Roman" w:cs="Times New Roman"/>
          <w:b/>
          <w:bCs/>
          <w:i/>
          <w:iCs/>
          <w:noProof/>
          <w:sz w:val="24"/>
          <w:szCs w:val="24"/>
        </w:rPr>
      </w:pPr>
      <w:r w:rsidRPr="00A5335D">
        <w:rPr>
          <w:rFonts w:ascii="Times New Roman" w:hAnsi="Times New Roman"/>
          <w:b/>
          <w:bCs/>
          <w:i/>
          <w:iCs/>
          <w:noProof/>
          <w:sz w:val="24"/>
          <w:szCs w:val="24"/>
        </w:rPr>
        <w:t>Przyciąganie umiejętności</w:t>
      </w:r>
      <w:r w:rsidR="00A5335D" w:rsidRPr="00A5335D">
        <w:rPr>
          <w:rFonts w:ascii="Times New Roman" w:hAnsi="Times New Roman"/>
          <w:b/>
          <w:bCs/>
          <w:i/>
          <w:iCs/>
          <w:noProof/>
          <w:sz w:val="24"/>
          <w:szCs w:val="24"/>
        </w:rPr>
        <w:t xml:space="preserve"> i tal</w:t>
      </w:r>
      <w:r w:rsidRPr="00A5335D">
        <w:rPr>
          <w:rFonts w:ascii="Times New Roman" w:hAnsi="Times New Roman"/>
          <w:b/>
          <w:bCs/>
          <w:i/>
          <w:iCs/>
          <w:noProof/>
          <w:sz w:val="24"/>
          <w:szCs w:val="24"/>
        </w:rPr>
        <w:t>entów do UE</w:t>
      </w:r>
    </w:p>
    <w:p w14:paraId="27CEFC88" w14:textId="77777777" w:rsidR="001D5F88" w:rsidRPr="00A5335D" w:rsidRDefault="001D5F88" w:rsidP="003767C2">
      <w:pPr>
        <w:spacing w:before="120" w:after="240"/>
        <w:jc w:val="center"/>
        <w:rPr>
          <w:rFonts w:ascii="Times New Roman" w:hAnsi="Times New Roman" w:cs="Times New Roman"/>
          <w:bCs/>
          <w:i/>
          <w:noProof/>
          <w:sz w:val="24"/>
          <w:szCs w:val="24"/>
        </w:rPr>
      </w:pPr>
    </w:p>
    <w:p w14:paraId="27CEFC89" w14:textId="77777777" w:rsidR="00755275" w:rsidRPr="00A5335D" w:rsidRDefault="00755275" w:rsidP="00755275">
      <w:pPr>
        <w:numPr>
          <w:ilvl w:val="0"/>
          <w:numId w:val="11"/>
        </w:numPr>
        <w:jc w:val="both"/>
        <w:rPr>
          <w:rFonts w:ascii="Times New Roman" w:hAnsi="Times New Roman"/>
          <w:b/>
          <w:i/>
          <w:iCs/>
          <w:noProof/>
          <w:sz w:val="24"/>
          <w:szCs w:val="24"/>
        </w:rPr>
      </w:pPr>
      <w:r w:rsidRPr="00A5335D">
        <w:rPr>
          <w:rFonts w:ascii="Times New Roman" w:hAnsi="Times New Roman"/>
          <w:b/>
          <w:iCs/>
          <w:noProof/>
          <w:sz w:val="24"/>
          <w:szCs w:val="24"/>
        </w:rPr>
        <w:t>WPROWADZENIE</w:t>
      </w:r>
    </w:p>
    <w:p w14:paraId="27CEFC8A" w14:textId="68E51BD3" w:rsidR="00D7386D" w:rsidRPr="00A5335D" w:rsidRDefault="00755275" w:rsidP="00755275">
      <w:pPr>
        <w:jc w:val="both"/>
        <w:rPr>
          <w:rFonts w:ascii="Times New Roman" w:hAnsi="Times New Roman" w:cs="Times New Roman"/>
          <w:iCs/>
          <w:noProof/>
          <w:sz w:val="24"/>
          <w:szCs w:val="24"/>
        </w:rPr>
      </w:pPr>
      <w:r w:rsidRPr="00A5335D">
        <w:rPr>
          <w:rFonts w:ascii="Times New Roman" w:hAnsi="Times New Roman"/>
          <w:bCs/>
          <w:iCs/>
          <w:noProof/>
          <w:sz w:val="24"/>
          <w:szCs w:val="24"/>
        </w:rPr>
        <w:t>Legalna migracja przynosi korzyści zarówno migrantom, jak</w:t>
      </w:r>
      <w:r w:rsidR="00A5335D" w:rsidRPr="00A5335D">
        <w:rPr>
          <w:rFonts w:ascii="Times New Roman" w:hAnsi="Times New Roman"/>
          <w:bCs/>
          <w:iCs/>
          <w:noProof/>
          <w:sz w:val="24"/>
          <w:szCs w:val="24"/>
        </w:rPr>
        <w:t xml:space="preserve"> i kra</w:t>
      </w:r>
      <w:r w:rsidRPr="00A5335D">
        <w:rPr>
          <w:rFonts w:ascii="Times New Roman" w:hAnsi="Times New Roman"/>
          <w:bCs/>
          <w:iCs/>
          <w:noProof/>
          <w:sz w:val="24"/>
          <w:szCs w:val="24"/>
        </w:rPr>
        <w:t>jom pochodzenia</w:t>
      </w:r>
      <w:r w:rsidR="00A5335D" w:rsidRPr="00A5335D">
        <w:rPr>
          <w:rFonts w:ascii="Times New Roman" w:hAnsi="Times New Roman"/>
          <w:bCs/>
          <w:iCs/>
          <w:noProof/>
          <w:sz w:val="24"/>
          <w:szCs w:val="24"/>
        </w:rPr>
        <w:t xml:space="preserve"> i kra</w:t>
      </w:r>
      <w:r w:rsidRPr="00A5335D">
        <w:rPr>
          <w:rFonts w:ascii="Times New Roman" w:hAnsi="Times New Roman"/>
          <w:bCs/>
          <w:iCs/>
          <w:noProof/>
          <w:sz w:val="24"/>
          <w:szCs w:val="24"/>
        </w:rPr>
        <w:t>jom docelowym. Legalna migracja zapewnia osobom, które chcą migrować, możliwość poprawy swojej sytuacji życiowej</w:t>
      </w:r>
      <w:r w:rsidR="00A5335D" w:rsidRPr="00A5335D">
        <w:rPr>
          <w:rFonts w:ascii="Times New Roman" w:hAnsi="Times New Roman"/>
          <w:bCs/>
          <w:iCs/>
          <w:noProof/>
          <w:sz w:val="24"/>
          <w:szCs w:val="24"/>
        </w:rPr>
        <w:t xml:space="preserve"> i pom</w:t>
      </w:r>
      <w:r w:rsidRPr="00A5335D">
        <w:rPr>
          <w:rFonts w:ascii="Times New Roman" w:hAnsi="Times New Roman"/>
          <w:bCs/>
          <w:iCs/>
          <w:noProof/>
          <w:sz w:val="24"/>
          <w:szCs w:val="24"/>
        </w:rPr>
        <w:t>aga zaspokoić potrzeby rynku pracy</w:t>
      </w:r>
      <w:r w:rsidR="00A5335D" w:rsidRPr="00A5335D">
        <w:rPr>
          <w:rFonts w:ascii="Times New Roman" w:hAnsi="Times New Roman"/>
          <w:bCs/>
          <w:iCs/>
          <w:noProof/>
          <w:sz w:val="24"/>
          <w:szCs w:val="24"/>
        </w:rPr>
        <w:t xml:space="preserve"> w pań</w:t>
      </w:r>
      <w:r w:rsidRPr="00A5335D">
        <w:rPr>
          <w:rFonts w:ascii="Times New Roman" w:hAnsi="Times New Roman"/>
          <w:bCs/>
          <w:iCs/>
          <w:noProof/>
          <w:sz w:val="24"/>
          <w:szCs w:val="24"/>
        </w:rPr>
        <w:t>stwach przyjmujących. Sama</w:t>
      </w:r>
      <w:r w:rsidR="00A5335D" w:rsidRPr="00A5335D">
        <w:rPr>
          <w:rFonts w:ascii="Times New Roman" w:hAnsi="Times New Roman"/>
          <w:bCs/>
          <w:iCs/>
          <w:noProof/>
          <w:sz w:val="24"/>
          <w:szCs w:val="24"/>
        </w:rPr>
        <w:t xml:space="preserve"> w sob</w:t>
      </w:r>
      <w:r w:rsidRPr="00A5335D">
        <w:rPr>
          <w:rFonts w:ascii="Times New Roman" w:hAnsi="Times New Roman"/>
          <w:bCs/>
          <w:iCs/>
          <w:noProof/>
          <w:sz w:val="24"/>
          <w:szCs w:val="24"/>
        </w:rPr>
        <w:t>ie może stanowić inwestycję</w:t>
      </w:r>
      <w:r w:rsidR="00A5335D" w:rsidRPr="00A5335D">
        <w:rPr>
          <w:rFonts w:ascii="Times New Roman" w:hAnsi="Times New Roman"/>
          <w:bCs/>
          <w:iCs/>
          <w:noProof/>
          <w:sz w:val="24"/>
          <w:szCs w:val="24"/>
        </w:rPr>
        <w:t xml:space="preserve"> w gos</w:t>
      </w:r>
      <w:r w:rsidRPr="00A5335D">
        <w:rPr>
          <w:rFonts w:ascii="Times New Roman" w:hAnsi="Times New Roman"/>
          <w:bCs/>
          <w:iCs/>
          <w:noProof/>
          <w:sz w:val="24"/>
          <w:szCs w:val="24"/>
        </w:rPr>
        <w:t>podarkę</w:t>
      </w:r>
      <w:r w:rsidR="00A5335D" w:rsidRPr="00A5335D">
        <w:rPr>
          <w:rFonts w:ascii="Times New Roman" w:hAnsi="Times New Roman"/>
          <w:bCs/>
          <w:iCs/>
          <w:noProof/>
          <w:sz w:val="24"/>
          <w:szCs w:val="24"/>
        </w:rPr>
        <w:t xml:space="preserve"> i spo</w:t>
      </w:r>
      <w:r w:rsidRPr="00A5335D">
        <w:rPr>
          <w:rFonts w:ascii="Times New Roman" w:hAnsi="Times New Roman"/>
          <w:bCs/>
          <w:iCs/>
          <w:noProof/>
          <w:sz w:val="24"/>
          <w:szCs w:val="24"/>
        </w:rPr>
        <w:t>łeczeństwo jako całość, wspierając przejście UE na zieloną</w:t>
      </w:r>
      <w:r w:rsidR="00A5335D" w:rsidRPr="00A5335D">
        <w:rPr>
          <w:rFonts w:ascii="Times New Roman" w:hAnsi="Times New Roman"/>
          <w:bCs/>
          <w:iCs/>
          <w:noProof/>
          <w:sz w:val="24"/>
          <w:szCs w:val="24"/>
        </w:rPr>
        <w:t xml:space="preserve"> i cyf</w:t>
      </w:r>
      <w:r w:rsidRPr="00A5335D">
        <w:rPr>
          <w:rFonts w:ascii="Times New Roman" w:hAnsi="Times New Roman"/>
          <w:bCs/>
          <w:iCs/>
          <w:noProof/>
          <w:sz w:val="24"/>
          <w:szCs w:val="24"/>
        </w:rPr>
        <w:t>rową gospodarkę</w:t>
      </w:r>
      <w:r w:rsidR="00A5335D" w:rsidRPr="00A5335D">
        <w:rPr>
          <w:rFonts w:ascii="Times New Roman" w:hAnsi="Times New Roman"/>
          <w:bCs/>
          <w:iCs/>
          <w:noProof/>
          <w:sz w:val="24"/>
          <w:szCs w:val="24"/>
        </w:rPr>
        <w:t xml:space="preserve"> i jed</w:t>
      </w:r>
      <w:r w:rsidRPr="00A5335D">
        <w:rPr>
          <w:rFonts w:ascii="Times New Roman" w:hAnsi="Times New Roman"/>
          <w:bCs/>
          <w:iCs/>
          <w:noProof/>
          <w:sz w:val="24"/>
          <w:szCs w:val="24"/>
        </w:rPr>
        <w:t>nocześnie przyczyniając się do zwiększenia spójności</w:t>
      </w:r>
      <w:r w:rsidR="00A5335D" w:rsidRPr="00A5335D">
        <w:rPr>
          <w:rFonts w:ascii="Times New Roman" w:hAnsi="Times New Roman"/>
          <w:bCs/>
          <w:iCs/>
          <w:noProof/>
          <w:sz w:val="24"/>
          <w:szCs w:val="24"/>
        </w:rPr>
        <w:t xml:space="preserve"> i odp</w:t>
      </w:r>
      <w:r w:rsidRPr="00A5335D">
        <w:rPr>
          <w:rFonts w:ascii="Times New Roman" w:hAnsi="Times New Roman"/>
          <w:bCs/>
          <w:iCs/>
          <w:noProof/>
          <w:sz w:val="24"/>
          <w:szCs w:val="24"/>
        </w:rPr>
        <w:t xml:space="preserve">orności społeczeństw europejskich. </w:t>
      </w:r>
      <w:r w:rsidRPr="00A5335D">
        <w:rPr>
          <w:rFonts w:ascii="Times New Roman" w:hAnsi="Times New Roman"/>
          <w:noProof/>
          <w:sz w:val="24"/>
          <w:szCs w:val="24"/>
        </w:rPr>
        <w:t>Wspólna polityka migracyjna UE musi odzwierciedlać integrację gospodarki UE</w:t>
      </w:r>
      <w:r w:rsidR="00A5335D" w:rsidRPr="00A5335D">
        <w:rPr>
          <w:rFonts w:ascii="Times New Roman" w:hAnsi="Times New Roman"/>
          <w:noProof/>
          <w:sz w:val="24"/>
          <w:szCs w:val="24"/>
        </w:rPr>
        <w:t xml:space="preserve"> i wsp</w:t>
      </w:r>
      <w:r w:rsidRPr="00A5335D">
        <w:rPr>
          <w:rFonts w:ascii="Times New Roman" w:hAnsi="Times New Roman"/>
          <w:noProof/>
          <w:sz w:val="24"/>
          <w:szCs w:val="24"/>
        </w:rPr>
        <w:t xml:space="preserve">ółzależność rynków pracy państw członkowskich. </w:t>
      </w:r>
      <w:r w:rsidRPr="00A5335D">
        <w:rPr>
          <w:rFonts w:ascii="Times New Roman" w:hAnsi="Times New Roman"/>
          <w:iCs/>
          <w:noProof/>
          <w:sz w:val="24"/>
          <w:szCs w:val="24"/>
        </w:rPr>
        <w:t>Powinna pomóc państwom członkowskim</w:t>
      </w:r>
      <w:r w:rsidR="00A5335D" w:rsidRPr="00A5335D">
        <w:rPr>
          <w:rFonts w:ascii="Times New Roman" w:hAnsi="Times New Roman"/>
          <w:iCs/>
          <w:noProof/>
          <w:sz w:val="24"/>
          <w:szCs w:val="24"/>
        </w:rPr>
        <w:t xml:space="preserve"> w wyk</w:t>
      </w:r>
      <w:r w:rsidRPr="00A5335D">
        <w:rPr>
          <w:rFonts w:ascii="Times New Roman" w:hAnsi="Times New Roman"/>
          <w:iCs/>
          <w:noProof/>
          <w:sz w:val="24"/>
          <w:szCs w:val="24"/>
        </w:rPr>
        <w:t xml:space="preserve">orzystaniu ich członkostwa w </w:t>
      </w:r>
      <w:r w:rsidRPr="00A5335D">
        <w:rPr>
          <w:rFonts w:ascii="Times New Roman" w:hAnsi="Times New Roman"/>
          <w:b/>
          <w:bCs/>
          <w:iCs/>
          <w:noProof/>
          <w:sz w:val="24"/>
          <w:szCs w:val="24"/>
        </w:rPr>
        <w:t>UE jako atutu</w:t>
      </w:r>
      <w:r w:rsidR="00A5335D" w:rsidRPr="00A5335D">
        <w:rPr>
          <w:rFonts w:ascii="Times New Roman" w:hAnsi="Times New Roman"/>
          <w:b/>
          <w:bCs/>
          <w:iCs/>
          <w:noProof/>
          <w:sz w:val="24"/>
          <w:szCs w:val="24"/>
        </w:rPr>
        <w:t xml:space="preserve"> w prz</w:t>
      </w:r>
      <w:r w:rsidRPr="00A5335D">
        <w:rPr>
          <w:rFonts w:ascii="Times New Roman" w:hAnsi="Times New Roman"/>
          <w:b/>
          <w:bCs/>
          <w:iCs/>
          <w:noProof/>
          <w:sz w:val="24"/>
          <w:szCs w:val="24"/>
        </w:rPr>
        <w:t>yciąganiu talentów</w:t>
      </w:r>
      <w:r w:rsidR="00A5335D" w:rsidRPr="00A5335D">
        <w:rPr>
          <w:rFonts w:ascii="Times New Roman" w:hAnsi="Times New Roman"/>
          <w:b/>
          <w:bCs/>
          <w:noProof/>
          <w:sz w:val="24"/>
          <w:szCs w:val="24"/>
        </w:rPr>
        <w:t xml:space="preserve"> i róż</w:t>
      </w:r>
      <w:r w:rsidRPr="00A5335D">
        <w:rPr>
          <w:rFonts w:ascii="Times New Roman" w:hAnsi="Times New Roman"/>
          <w:b/>
          <w:bCs/>
          <w:noProof/>
          <w:sz w:val="24"/>
          <w:szCs w:val="24"/>
        </w:rPr>
        <w:t>nego rodzaju umiejętności</w:t>
      </w:r>
      <w:r w:rsidRPr="00A5335D">
        <w:rPr>
          <w:rFonts w:ascii="Times New Roman" w:hAnsi="Times New Roman"/>
          <w:noProof/>
          <w:sz w:val="24"/>
          <w:szCs w:val="24"/>
        </w:rPr>
        <w:t xml:space="preserve">, </w:t>
      </w:r>
      <w:r w:rsidRPr="00A5335D">
        <w:rPr>
          <w:rFonts w:ascii="Times New Roman" w:hAnsi="Times New Roman"/>
          <w:iCs/>
          <w:noProof/>
          <w:sz w:val="24"/>
          <w:szCs w:val="24"/>
        </w:rPr>
        <w:t>które mogą przyczynić się do zwiększenia dynamiki unijnych gospodarek.</w:t>
      </w:r>
    </w:p>
    <w:p w14:paraId="27CEFC8B" w14:textId="11657CFE" w:rsidR="00834BBD" w:rsidRPr="00A5335D" w:rsidRDefault="00834BBD" w:rsidP="00834BBD">
      <w:pPr>
        <w:jc w:val="both"/>
        <w:rPr>
          <w:rFonts w:ascii="Times New Roman" w:hAnsi="Times New Roman" w:cs="Times New Roman"/>
          <w:iCs/>
          <w:noProof/>
          <w:sz w:val="24"/>
          <w:szCs w:val="24"/>
        </w:rPr>
      </w:pPr>
      <w:r w:rsidRPr="00A5335D">
        <w:rPr>
          <w:rFonts w:ascii="Times New Roman" w:hAnsi="Times New Roman"/>
          <w:b/>
          <w:iCs/>
          <w:noProof/>
          <w:sz w:val="24"/>
          <w:szCs w:val="24"/>
        </w:rPr>
        <w:t>Migracja</w:t>
      </w:r>
      <w:r w:rsidR="00A5335D" w:rsidRPr="00A5335D">
        <w:rPr>
          <w:rFonts w:ascii="Times New Roman" w:hAnsi="Times New Roman"/>
          <w:b/>
          <w:iCs/>
          <w:noProof/>
          <w:sz w:val="24"/>
          <w:szCs w:val="24"/>
        </w:rPr>
        <w:t xml:space="preserve"> i mob</w:t>
      </w:r>
      <w:r w:rsidRPr="00A5335D">
        <w:rPr>
          <w:rFonts w:ascii="Times New Roman" w:hAnsi="Times New Roman"/>
          <w:b/>
          <w:iCs/>
          <w:noProof/>
          <w:sz w:val="24"/>
          <w:szCs w:val="24"/>
        </w:rPr>
        <w:t>ilność są</w:t>
      </w:r>
      <w:r w:rsidR="00A5335D" w:rsidRPr="00A5335D">
        <w:rPr>
          <w:rFonts w:ascii="Times New Roman" w:hAnsi="Times New Roman"/>
          <w:b/>
          <w:iCs/>
          <w:noProof/>
          <w:sz w:val="24"/>
          <w:szCs w:val="24"/>
        </w:rPr>
        <w:t xml:space="preserve"> i poz</w:t>
      </w:r>
      <w:r w:rsidRPr="00A5335D">
        <w:rPr>
          <w:rFonts w:ascii="Times New Roman" w:hAnsi="Times New Roman"/>
          <w:b/>
          <w:iCs/>
          <w:noProof/>
          <w:sz w:val="24"/>
          <w:szCs w:val="24"/>
        </w:rPr>
        <w:t>ostaną nieodłącznymi cechami ludzkości, zarówno</w:t>
      </w:r>
      <w:r w:rsidR="00A5335D" w:rsidRPr="00A5335D">
        <w:rPr>
          <w:rFonts w:ascii="Times New Roman" w:hAnsi="Times New Roman"/>
          <w:b/>
          <w:iCs/>
          <w:noProof/>
          <w:sz w:val="24"/>
          <w:szCs w:val="24"/>
        </w:rPr>
        <w:t xml:space="preserve"> w ska</w:t>
      </w:r>
      <w:r w:rsidRPr="00A5335D">
        <w:rPr>
          <w:rFonts w:ascii="Times New Roman" w:hAnsi="Times New Roman"/>
          <w:b/>
          <w:iCs/>
          <w:noProof/>
          <w:sz w:val="24"/>
          <w:szCs w:val="24"/>
        </w:rPr>
        <w:t>li globalnej, jak i w UE.</w:t>
      </w:r>
      <w:r w:rsidRPr="00A5335D">
        <w:rPr>
          <w:rFonts w:ascii="Times New Roman" w:hAnsi="Times New Roman"/>
          <w:iCs/>
          <w:noProof/>
          <w:sz w:val="24"/>
          <w:szCs w:val="24"/>
        </w:rPr>
        <w:t xml:space="preserve"> 1 stycznia 2021</w:t>
      </w:r>
      <w:r w:rsidR="00A5335D" w:rsidRPr="00A5335D">
        <w:rPr>
          <w:rFonts w:ascii="Times New Roman" w:hAnsi="Times New Roman"/>
          <w:iCs/>
          <w:noProof/>
          <w:sz w:val="24"/>
          <w:szCs w:val="24"/>
        </w:rPr>
        <w:t> </w:t>
      </w:r>
      <w:r w:rsidRPr="00A5335D">
        <w:rPr>
          <w:rFonts w:ascii="Times New Roman" w:hAnsi="Times New Roman"/>
          <w:iCs/>
          <w:noProof/>
          <w:sz w:val="24"/>
          <w:szCs w:val="24"/>
        </w:rPr>
        <w:t>r. w UE przebywało 23,7 mln obywateli państw trzecich, co stanowiło 5,3</w:t>
      </w:r>
      <w:r w:rsidR="00A5335D" w:rsidRPr="00A5335D">
        <w:rPr>
          <w:rFonts w:ascii="Times New Roman" w:hAnsi="Times New Roman"/>
          <w:iCs/>
          <w:noProof/>
          <w:sz w:val="24"/>
          <w:szCs w:val="24"/>
        </w:rPr>
        <w:t> </w:t>
      </w:r>
      <w:r w:rsidRPr="00A5335D">
        <w:rPr>
          <w:rFonts w:ascii="Times New Roman" w:hAnsi="Times New Roman"/>
          <w:iCs/>
          <w:noProof/>
          <w:sz w:val="24"/>
          <w:szCs w:val="24"/>
        </w:rPr>
        <w:t>% ogółu ludności</w:t>
      </w:r>
      <w:r w:rsidRPr="00A5335D">
        <w:rPr>
          <w:rStyle w:val="FootnoteReference"/>
          <w:rFonts w:ascii="Times New Roman" w:hAnsi="Times New Roman" w:cs="Times New Roman"/>
          <w:iCs/>
          <w:noProof/>
          <w:sz w:val="24"/>
          <w:szCs w:val="24"/>
        </w:rPr>
        <w:footnoteReference w:id="2"/>
      </w:r>
      <w:r w:rsidRPr="00A5335D">
        <w:rPr>
          <w:rFonts w:ascii="Times New Roman" w:hAnsi="Times New Roman"/>
          <w:iCs/>
          <w:noProof/>
          <w:sz w:val="24"/>
          <w:szCs w:val="24"/>
        </w:rPr>
        <w:t>. Migracja nieuregulowana do UE pozostaje ograniczona, mimo że jest szeroko komentowana</w:t>
      </w:r>
      <w:r w:rsidR="00A5335D" w:rsidRPr="00A5335D">
        <w:rPr>
          <w:rFonts w:ascii="Times New Roman" w:hAnsi="Times New Roman"/>
          <w:iCs/>
          <w:noProof/>
          <w:sz w:val="24"/>
          <w:szCs w:val="24"/>
        </w:rPr>
        <w:t xml:space="preserve"> w med</w:t>
      </w:r>
      <w:r w:rsidRPr="00A5335D">
        <w:rPr>
          <w:rFonts w:ascii="Times New Roman" w:hAnsi="Times New Roman"/>
          <w:iCs/>
          <w:noProof/>
          <w:sz w:val="24"/>
          <w:szCs w:val="24"/>
        </w:rPr>
        <w:t>iach. Rocznie około 2,25 do</w:t>
      </w:r>
      <w:r w:rsidR="00A5335D" w:rsidRPr="00A5335D">
        <w:rPr>
          <w:rFonts w:ascii="Times New Roman" w:hAnsi="Times New Roman"/>
          <w:iCs/>
          <w:noProof/>
          <w:sz w:val="24"/>
          <w:szCs w:val="24"/>
        </w:rPr>
        <w:t> </w:t>
      </w:r>
      <w:r w:rsidRPr="00A5335D">
        <w:rPr>
          <w:rFonts w:ascii="Times New Roman" w:hAnsi="Times New Roman"/>
          <w:iCs/>
          <w:noProof/>
          <w:sz w:val="24"/>
          <w:szCs w:val="24"/>
        </w:rPr>
        <w:t>3 mln obywateli państw trzecich przybywa do UE legalnymi kanałami, podczas gdy liczba przybywających osób</w:t>
      </w:r>
      <w:r w:rsidR="00A5335D" w:rsidRPr="00A5335D">
        <w:rPr>
          <w:rFonts w:ascii="Times New Roman" w:hAnsi="Times New Roman"/>
          <w:iCs/>
          <w:noProof/>
          <w:sz w:val="24"/>
          <w:szCs w:val="24"/>
        </w:rPr>
        <w:t xml:space="preserve"> o nie</w:t>
      </w:r>
      <w:r w:rsidRPr="00A5335D">
        <w:rPr>
          <w:rFonts w:ascii="Times New Roman" w:hAnsi="Times New Roman"/>
          <w:iCs/>
          <w:noProof/>
          <w:sz w:val="24"/>
          <w:szCs w:val="24"/>
        </w:rPr>
        <w:t>uregulowanym statusie wynosi od</w:t>
      </w:r>
      <w:r w:rsidR="00A5335D" w:rsidRPr="00A5335D">
        <w:rPr>
          <w:rFonts w:ascii="Times New Roman" w:hAnsi="Times New Roman"/>
          <w:iCs/>
          <w:noProof/>
          <w:sz w:val="24"/>
          <w:szCs w:val="24"/>
        </w:rPr>
        <w:t> </w:t>
      </w:r>
      <w:r w:rsidRPr="00A5335D">
        <w:rPr>
          <w:rFonts w:ascii="Times New Roman" w:hAnsi="Times New Roman"/>
          <w:iCs/>
          <w:noProof/>
          <w:sz w:val="24"/>
          <w:szCs w:val="24"/>
        </w:rPr>
        <w:t>125 000 do</w:t>
      </w:r>
      <w:r w:rsidR="00A5335D" w:rsidRPr="00A5335D">
        <w:rPr>
          <w:rFonts w:ascii="Times New Roman" w:hAnsi="Times New Roman"/>
          <w:iCs/>
          <w:noProof/>
          <w:sz w:val="24"/>
          <w:szCs w:val="24"/>
        </w:rPr>
        <w:t> </w:t>
      </w:r>
      <w:r w:rsidRPr="00A5335D">
        <w:rPr>
          <w:rFonts w:ascii="Times New Roman" w:hAnsi="Times New Roman"/>
          <w:iCs/>
          <w:noProof/>
          <w:sz w:val="24"/>
          <w:szCs w:val="24"/>
        </w:rPr>
        <w:t>200 000</w:t>
      </w:r>
      <w:r w:rsidRPr="00A5335D">
        <w:rPr>
          <w:rStyle w:val="FootnoteReference"/>
          <w:rFonts w:ascii="Times New Roman" w:hAnsi="Times New Roman" w:cs="Times New Roman"/>
          <w:iCs/>
          <w:noProof/>
          <w:sz w:val="24"/>
          <w:szCs w:val="24"/>
        </w:rPr>
        <w:footnoteReference w:id="3"/>
      </w:r>
      <w:r w:rsidRPr="00A5335D">
        <w:rPr>
          <w:rFonts w:ascii="Times New Roman" w:hAnsi="Times New Roman"/>
          <w:iCs/>
          <w:noProof/>
          <w:sz w:val="24"/>
          <w:szCs w:val="24"/>
        </w:rPr>
        <w:t xml:space="preserve">. </w:t>
      </w:r>
    </w:p>
    <w:p w14:paraId="27CEFC8C" w14:textId="6EEA0E4F" w:rsidR="005D11F5" w:rsidRPr="00A5335D" w:rsidRDefault="00D7386D" w:rsidP="00755275">
      <w:pPr>
        <w:spacing w:before="240"/>
        <w:jc w:val="both"/>
        <w:rPr>
          <w:rFonts w:ascii="Times New Roman" w:hAnsi="Times New Roman" w:cs="Times New Roman"/>
          <w:iCs/>
          <w:noProof/>
          <w:sz w:val="24"/>
          <w:szCs w:val="24"/>
        </w:rPr>
      </w:pPr>
      <w:r w:rsidRPr="00A5335D">
        <w:rPr>
          <w:rFonts w:ascii="Times New Roman" w:hAnsi="Times New Roman"/>
          <w:b/>
          <w:iCs/>
          <w:noProof/>
          <w:sz w:val="24"/>
          <w:szCs w:val="24"/>
        </w:rPr>
        <w:t xml:space="preserve">Legalna migracja jest kluczowym elementem </w:t>
      </w:r>
      <w:r w:rsidRPr="00A5335D">
        <w:rPr>
          <w:rFonts w:ascii="Times New Roman" w:hAnsi="Times New Roman"/>
          <w:b/>
          <w:bCs/>
          <w:iCs/>
          <w:noProof/>
          <w:sz w:val="24"/>
          <w:szCs w:val="24"/>
        </w:rPr>
        <w:t>kompleksowego podejścia</w:t>
      </w:r>
      <w:r w:rsidRPr="00A5335D">
        <w:rPr>
          <w:rFonts w:ascii="Times New Roman" w:hAnsi="Times New Roman"/>
          <w:iCs/>
          <w:noProof/>
          <w:sz w:val="24"/>
          <w:szCs w:val="24"/>
        </w:rPr>
        <w:t xml:space="preserve"> do kwestii migracji </w:t>
      </w:r>
      <w:r w:rsidRPr="00A5335D">
        <w:rPr>
          <w:rFonts w:ascii="Times New Roman" w:hAnsi="Times New Roman"/>
          <w:b/>
          <w:bCs/>
          <w:iCs/>
          <w:noProof/>
          <w:sz w:val="24"/>
          <w:szCs w:val="24"/>
        </w:rPr>
        <w:t>przedstawionego</w:t>
      </w:r>
      <w:r w:rsidR="00A5335D" w:rsidRPr="00A5335D">
        <w:rPr>
          <w:rFonts w:ascii="Times New Roman" w:hAnsi="Times New Roman"/>
          <w:b/>
          <w:bCs/>
          <w:iCs/>
          <w:noProof/>
          <w:sz w:val="24"/>
          <w:szCs w:val="24"/>
        </w:rPr>
        <w:t xml:space="preserve"> w now</w:t>
      </w:r>
      <w:r w:rsidRPr="00A5335D">
        <w:rPr>
          <w:rFonts w:ascii="Times New Roman" w:hAnsi="Times New Roman"/>
          <w:b/>
          <w:bCs/>
          <w:iCs/>
          <w:noProof/>
          <w:sz w:val="24"/>
          <w:szCs w:val="24"/>
        </w:rPr>
        <w:t>ym pakcie</w:t>
      </w:r>
      <w:r w:rsidR="00A5335D" w:rsidRPr="00A5335D">
        <w:rPr>
          <w:rFonts w:ascii="Times New Roman" w:hAnsi="Times New Roman"/>
          <w:b/>
          <w:bCs/>
          <w:iCs/>
          <w:noProof/>
          <w:sz w:val="24"/>
          <w:szCs w:val="24"/>
        </w:rPr>
        <w:t xml:space="preserve"> o mig</w:t>
      </w:r>
      <w:r w:rsidRPr="00A5335D">
        <w:rPr>
          <w:rFonts w:ascii="Times New Roman" w:hAnsi="Times New Roman"/>
          <w:b/>
          <w:bCs/>
          <w:iCs/>
          <w:noProof/>
          <w:sz w:val="24"/>
          <w:szCs w:val="24"/>
        </w:rPr>
        <w:t>racji</w:t>
      </w:r>
      <w:r w:rsidR="00A5335D" w:rsidRPr="00A5335D">
        <w:rPr>
          <w:rFonts w:ascii="Times New Roman" w:hAnsi="Times New Roman"/>
          <w:b/>
          <w:bCs/>
          <w:iCs/>
          <w:noProof/>
          <w:sz w:val="24"/>
          <w:szCs w:val="24"/>
        </w:rPr>
        <w:t xml:space="preserve"> i azy</w:t>
      </w:r>
      <w:r w:rsidRPr="00A5335D">
        <w:rPr>
          <w:rFonts w:ascii="Times New Roman" w:hAnsi="Times New Roman"/>
          <w:b/>
          <w:bCs/>
          <w:iCs/>
          <w:noProof/>
          <w:sz w:val="24"/>
          <w:szCs w:val="24"/>
        </w:rPr>
        <w:t>lu</w:t>
      </w:r>
      <w:r w:rsidRPr="00A5335D">
        <w:rPr>
          <w:rFonts w:ascii="Times New Roman" w:hAnsi="Times New Roman" w:cs="Times New Roman"/>
          <w:iCs/>
          <w:noProof/>
          <w:sz w:val="24"/>
          <w:szCs w:val="24"/>
          <w:vertAlign w:val="superscript"/>
        </w:rPr>
        <w:footnoteReference w:id="4"/>
      </w:r>
      <w:r w:rsidRPr="00A5335D">
        <w:rPr>
          <w:rFonts w:ascii="Times New Roman" w:hAnsi="Times New Roman"/>
          <w:iCs/>
          <w:noProof/>
          <w:sz w:val="24"/>
          <w:szCs w:val="24"/>
        </w:rPr>
        <w:t>, który zapewnia także większą spójność między wewnętrznym</w:t>
      </w:r>
      <w:r w:rsidR="00A5335D" w:rsidRPr="00A5335D">
        <w:rPr>
          <w:rFonts w:ascii="Times New Roman" w:hAnsi="Times New Roman"/>
          <w:iCs/>
          <w:noProof/>
          <w:sz w:val="24"/>
          <w:szCs w:val="24"/>
        </w:rPr>
        <w:t xml:space="preserve"> i zew</w:t>
      </w:r>
      <w:r w:rsidRPr="00A5335D">
        <w:rPr>
          <w:rFonts w:ascii="Times New Roman" w:hAnsi="Times New Roman"/>
          <w:iCs/>
          <w:noProof/>
          <w:sz w:val="24"/>
          <w:szCs w:val="24"/>
        </w:rPr>
        <w:t>nętrznym wymiarem polityki migracyjnej. Aby pomóc</w:t>
      </w:r>
      <w:r w:rsidR="00A5335D" w:rsidRPr="00A5335D">
        <w:rPr>
          <w:rFonts w:ascii="Times New Roman" w:hAnsi="Times New Roman"/>
          <w:iCs/>
          <w:noProof/>
          <w:sz w:val="24"/>
          <w:szCs w:val="24"/>
        </w:rPr>
        <w:t xml:space="preserve"> w stw</w:t>
      </w:r>
      <w:r w:rsidRPr="00A5335D">
        <w:rPr>
          <w:rFonts w:ascii="Times New Roman" w:hAnsi="Times New Roman"/>
          <w:iCs/>
          <w:noProof/>
          <w:sz w:val="24"/>
          <w:szCs w:val="24"/>
        </w:rPr>
        <w:t>orzeniu bardziej skutecznych ram legalnych ścieżek migracji do UE,</w:t>
      </w:r>
      <w:r w:rsidR="00A5335D" w:rsidRPr="00A5335D">
        <w:rPr>
          <w:rFonts w:ascii="Times New Roman" w:hAnsi="Times New Roman"/>
          <w:iCs/>
          <w:noProof/>
          <w:sz w:val="24"/>
          <w:szCs w:val="24"/>
        </w:rPr>
        <w:t xml:space="preserve"> </w:t>
      </w:r>
      <w:r w:rsidR="00A5335D" w:rsidRPr="00A5335D">
        <w:rPr>
          <w:rFonts w:ascii="Times New Roman" w:hAnsi="Times New Roman"/>
          <w:b/>
          <w:bCs/>
          <w:iCs/>
          <w:noProof/>
          <w:sz w:val="24"/>
          <w:szCs w:val="24"/>
        </w:rPr>
        <w:t>w</w:t>
      </w:r>
      <w:r w:rsidR="00A5335D" w:rsidRPr="00A5335D">
        <w:rPr>
          <w:rFonts w:ascii="Times New Roman" w:hAnsi="Times New Roman"/>
          <w:iCs/>
          <w:noProof/>
          <w:sz w:val="24"/>
          <w:szCs w:val="24"/>
        </w:rPr>
        <w:t> </w:t>
      </w:r>
      <w:r w:rsidR="00A5335D" w:rsidRPr="00A5335D">
        <w:rPr>
          <w:rFonts w:ascii="Times New Roman" w:hAnsi="Times New Roman"/>
          <w:b/>
          <w:bCs/>
          <w:iCs/>
          <w:noProof/>
          <w:sz w:val="24"/>
          <w:szCs w:val="24"/>
        </w:rPr>
        <w:t>nin</w:t>
      </w:r>
      <w:r w:rsidRPr="00A5335D">
        <w:rPr>
          <w:rFonts w:ascii="Times New Roman" w:hAnsi="Times New Roman"/>
          <w:b/>
          <w:bCs/>
          <w:iCs/>
          <w:noProof/>
          <w:sz w:val="24"/>
          <w:szCs w:val="24"/>
        </w:rPr>
        <w:t>iejszym komunikacie określono trzy filary ambitnej</w:t>
      </w:r>
      <w:r w:rsidR="00A5335D" w:rsidRPr="00A5335D">
        <w:rPr>
          <w:rFonts w:ascii="Times New Roman" w:hAnsi="Times New Roman"/>
          <w:b/>
          <w:bCs/>
          <w:iCs/>
          <w:noProof/>
          <w:sz w:val="24"/>
          <w:szCs w:val="24"/>
        </w:rPr>
        <w:t xml:space="preserve"> i zró</w:t>
      </w:r>
      <w:r w:rsidRPr="00A5335D">
        <w:rPr>
          <w:rFonts w:ascii="Times New Roman" w:hAnsi="Times New Roman"/>
          <w:b/>
          <w:bCs/>
          <w:iCs/>
          <w:noProof/>
          <w:sz w:val="24"/>
          <w:szCs w:val="24"/>
        </w:rPr>
        <w:t>wnoważonej polityki UE</w:t>
      </w:r>
      <w:r w:rsidR="00A5335D" w:rsidRPr="00A5335D">
        <w:rPr>
          <w:rFonts w:ascii="Times New Roman" w:hAnsi="Times New Roman"/>
          <w:b/>
          <w:bCs/>
          <w:iCs/>
          <w:noProof/>
          <w:sz w:val="24"/>
          <w:szCs w:val="24"/>
        </w:rPr>
        <w:t xml:space="preserve"> w dzi</w:t>
      </w:r>
      <w:r w:rsidRPr="00A5335D">
        <w:rPr>
          <w:rFonts w:ascii="Times New Roman" w:hAnsi="Times New Roman"/>
          <w:b/>
          <w:bCs/>
          <w:iCs/>
          <w:noProof/>
          <w:sz w:val="24"/>
          <w:szCs w:val="24"/>
        </w:rPr>
        <w:t>edzinie legalnej migracji.</w:t>
      </w:r>
      <w:r w:rsidRPr="00A5335D">
        <w:rPr>
          <w:rFonts w:ascii="Times New Roman" w:hAnsi="Times New Roman"/>
          <w:noProof/>
          <w:sz w:val="24"/>
          <w:szCs w:val="24"/>
        </w:rPr>
        <w:t xml:space="preserve"> Filary te obejmują 1) legislacyjne, 2) operacyjne</w:t>
      </w:r>
      <w:r w:rsidR="00A5335D" w:rsidRPr="00A5335D">
        <w:rPr>
          <w:rFonts w:ascii="Times New Roman" w:hAnsi="Times New Roman"/>
          <w:noProof/>
          <w:sz w:val="24"/>
          <w:szCs w:val="24"/>
        </w:rPr>
        <w:t xml:space="preserve"> i 3</w:t>
      </w:r>
      <w:r w:rsidRPr="00A5335D">
        <w:rPr>
          <w:rFonts w:ascii="Times New Roman" w:hAnsi="Times New Roman"/>
          <w:noProof/>
          <w:sz w:val="24"/>
          <w:szCs w:val="24"/>
        </w:rPr>
        <w:t>) przyszłościowe środki</w:t>
      </w:r>
      <w:r w:rsidR="00A5335D" w:rsidRPr="00A5335D">
        <w:rPr>
          <w:rFonts w:ascii="Times New Roman" w:hAnsi="Times New Roman"/>
          <w:noProof/>
          <w:sz w:val="24"/>
          <w:szCs w:val="24"/>
        </w:rPr>
        <w:t xml:space="preserve"> z zak</w:t>
      </w:r>
      <w:r w:rsidRPr="00A5335D">
        <w:rPr>
          <w:rFonts w:ascii="Times New Roman" w:hAnsi="Times New Roman"/>
          <w:noProof/>
          <w:sz w:val="24"/>
          <w:szCs w:val="24"/>
        </w:rPr>
        <w:t xml:space="preserve">resu polityki, które </w:t>
      </w:r>
      <w:r w:rsidRPr="00A5335D">
        <w:rPr>
          <w:rFonts w:ascii="Times New Roman" w:hAnsi="Times New Roman"/>
          <w:iCs/>
          <w:noProof/>
          <w:sz w:val="24"/>
          <w:szCs w:val="24"/>
        </w:rPr>
        <w:t>pomogą rozwiązać niektóre</w:t>
      </w:r>
      <w:r w:rsidR="00A5335D" w:rsidRPr="00A5335D">
        <w:rPr>
          <w:rFonts w:ascii="Times New Roman" w:hAnsi="Times New Roman"/>
          <w:iCs/>
          <w:noProof/>
          <w:sz w:val="24"/>
          <w:szCs w:val="24"/>
        </w:rPr>
        <w:t xml:space="preserve"> z naj</w:t>
      </w:r>
      <w:r w:rsidRPr="00A5335D">
        <w:rPr>
          <w:rFonts w:ascii="Times New Roman" w:hAnsi="Times New Roman"/>
          <w:iCs/>
          <w:noProof/>
          <w:sz w:val="24"/>
          <w:szCs w:val="24"/>
        </w:rPr>
        <w:t>ważniejszych wyzwań, przed jakimi stoi UE</w:t>
      </w:r>
      <w:r w:rsidR="00A5335D" w:rsidRPr="00A5335D">
        <w:rPr>
          <w:rFonts w:ascii="Times New Roman" w:hAnsi="Times New Roman"/>
          <w:iCs/>
          <w:noProof/>
          <w:sz w:val="24"/>
          <w:szCs w:val="24"/>
        </w:rPr>
        <w:t xml:space="preserve"> w zak</w:t>
      </w:r>
      <w:r w:rsidRPr="00A5335D">
        <w:rPr>
          <w:rFonts w:ascii="Times New Roman" w:hAnsi="Times New Roman"/>
          <w:iCs/>
          <w:noProof/>
          <w:sz w:val="24"/>
          <w:szCs w:val="24"/>
        </w:rPr>
        <w:t>resie przyciągania umiejętności</w:t>
      </w:r>
      <w:r w:rsidR="00A5335D" w:rsidRPr="00A5335D">
        <w:rPr>
          <w:rFonts w:ascii="Times New Roman" w:hAnsi="Times New Roman"/>
          <w:iCs/>
          <w:noProof/>
          <w:sz w:val="24"/>
          <w:szCs w:val="24"/>
        </w:rPr>
        <w:t xml:space="preserve"> i tal</w:t>
      </w:r>
      <w:r w:rsidRPr="00A5335D">
        <w:rPr>
          <w:rFonts w:ascii="Times New Roman" w:hAnsi="Times New Roman"/>
          <w:iCs/>
          <w:noProof/>
          <w:sz w:val="24"/>
          <w:szCs w:val="24"/>
        </w:rPr>
        <w:t>entów,</w:t>
      </w:r>
      <w:r w:rsidR="00A5335D" w:rsidRPr="00A5335D">
        <w:rPr>
          <w:rFonts w:ascii="Times New Roman" w:hAnsi="Times New Roman"/>
          <w:iCs/>
          <w:noProof/>
          <w:sz w:val="24"/>
          <w:szCs w:val="24"/>
        </w:rPr>
        <w:t xml:space="preserve"> w per</w:t>
      </w:r>
      <w:r w:rsidRPr="00A5335D">
        <w:rPr>
          <w:rFonts w:ascii="Times New Roman" w:hAnsi="Times New Roman"/>
          <w:iCs/>
          <w:noProof/>
          <w:sz w:val="24"/>
          <w:szCs w:val="24"/>
        </w:rPr>
        <w:t>spektywie krótko-</w:t>
      </w:r>
      <w:r w:rsidR="00A5335D" w:rsidRPr="00A5335D">
        <w:rPr>
          <w:rFonts w:ascii="Times New Roman" w:hAnsi="Times New Roman"/>
          <w:iCs/>
          <w:noProof/>
          <w:sz w:val="24"/>
          <w:szCs w:val="24"/>
        </w:rPr>
        <w:t xml:space="preserve"> i dłu</w:t>
      </w:r>
      <w:r w:rsidRPr="00A5335D">
        <w:rPr>
          <w:rFonts w:ascii="Times New Roman" w:hAnsi="Times New Roman"/>
          <w:iCs/>
          <w:noProof/>
          <w:sz w:val="24"/>
          <w:szCs w:val="24"/>
        </w:rPr>
        <w:t>goterminowej</w:t>
      </w:r>
      <w:r w:rsidR="00A5335D" w:rsidRPr="00A5335D">
        <w:rPr>
          <w:rFonts w:ascii="Times New Roman" w:hAnsi="Times New Roman"/>
          <w:iCs/>
          <w:noProof/>
          <w:sz w:val="24"/>
          <w:szCs w:val="24"/>
        </w:rPr>
        <w:t>. W nin</w:t>
      </w:r>
      <w:r w:rsidRPr="00A5335D">
        <w:rPr>
          <w:rFonts w:ascii="Times New Roman" w:hAnsi="Times New Roman"/>
          <w:iCs/>
          <w:noProof/>
          <w:sz w:val="24"/>
          <w:szCs w:val="24"/>
        </w:rPr>
        <w:t>iejszym komunikacie zostanie także omówiona pilna potrzeba integracji na unijnym rynku pracy osób</w:t>
      </w:r>
      <w:r w:rsidR="00A5335D" w:rsidRPr="00A5335D">
        <w:rPr>
          <w:rFonts w:ascii="Times New Roman" w:hAnsi="Times New Roman"/>
          <w:iCs/>
          <w:noProof/>
          <w:sz w:val="24"/>
          <w:szCs w:val="24"/>
        </w:rPr>
        <w:t xml:space="preserve"> w wie</w:t>
      </w:r>
      <w:r w:rsidRPr="00A5335D">
        <w:rPr>
          <w:rFonts w:ascii="Times New Roman" w:hAnsi="Times New Roman"/>
          <w:iCs/>
          <w:noProof/>
          <w:sz w:val="24"/>
          <w:szCs w:val="24"/>
        </w:rPr>
        <w:t>ku produkcyjnym przybywających do UE</w:t>
      </w:r>
      <w:r w:rsidR="00A5335D" w:rsidRPr="00A5335D">
        <w:rPr>
          <w:rFonts w:ascii="Times New Roman" w:hAnsi="Times New Roman"/>
          <w:iCs/>
          <w:noProof/>
          <w:sz w:val="24"/>
          <w:szCs w:val="24"/>
        </w:rPr>
        <w:t xml:space="preserve"> w wyn</w:t>
      </w:r>
      <w:r w:rsidRPr="00A5335D">
        <w:rPr>
          <w:rFonts w:ascii="Times New Roman" w:hAnsi="Times New Roman"/>
          <w:iCs/>
          <w:noProof/>
          <w:sz w:val="24"/>
          <w:szCs w:val="24"/>
        </w:rPr>
        <w:t>iku rosyjskiej wojny napastniczej przeciwko Ukrainie – ponad 2,5 mln dorosłych</w:t>
      </w:r>
      <w:r w:rsidR="009B2900" w:rsidRPr="00A5335D">
        <w:rPr>
          <w:rStyle w:val="FootnoteReference"/>
          <w:rFonts w:ascii="Times New Roman" w:hAnsi="Times New Roman" w:cs="Times New Roman"/>
          <w:iCs/>
          <w:noProof/>
          <w:sz w:val="24"/>
          <w:szCs w:val="24"/>
        </w:rPr>
        <w:footnoteReference w:id="5"/>
      </w:r>
      <w:r w:rsidRPr="00A5335D">
        <w:rPr>
          <w:rFonts w:ascii="Times New Roman" w:hAnsi="Times New Roman"/>
          <w:iCs/>
          <w:noProof/>
          <w:sz w:val="24"/>
          <w:szCs w:val="24"/>
        </w:rPr>
        <w:t xml:space="preserve"> do kwietnia 2022</w:t>
      </w:r>
      <w:r w:rsidR="00A5335D" w:rsidRPr="00A5335D">
        <w:rPr>
          <w:rFonts w:ascii="Times New Roman" w:hAnsi="Times New Roman"/>
          <w:iCs/>
          <w:noProof/>
          <w:sz w:val="24"/>
          <w:szCs w:val="24"/>
        </w:rPr>
        <w:t> </w:t>
      </w:r>
      <w:r w:rsidRPr="00A5335D">
        <w:rPr>
          <w:rFonts w:ascii="Times New Roman" w:hAnsi="Times New Roman"/>
          <w:iCs/>
          <w:noProof/>
          <w:sz w:val="24"/>
          <w:szCs w:val="24"/>
        </w:rPr>
        <w:t>r.</w:t>
      </w:r>
    </w:p>
    <w:p w14:paraId="2A25702D" w14:textId="77777777" w:rsidR="005E157B" w:rsidRPr="00A5335D" w:rsidRDefault="005E157B" w:rsidP="00834BBD">
      <w:pPr>
        <w:jc w:val="both"/>
        <w:rPr>
          <w:rFonts w:ascii="Times New Roman" w:hAnsi="Times New Roman" w:cs="Times New Roman"/>
          <w:iCs/>
          <w:noProof/>
          <w:sz w:val="24"/>
          <w:szCs w:val="24"/>
        </w:rPr>
      </w:pPr>
    </w:p>
    <w:p w14:paraId="27CEFC8F" w14:textId="1E63F38A" w:rsidR="005D11F5" w:rsidRPr="00A5335D" w:rsidRDefault="005D11F5" w:rsidP="00834BBD">
      <w:pPr>
        <w:jc w:val="both"/>
        <w:rPr>
          <w:rFonts w:ascii="Times New Roman" w:hAnsi="Times New Roman" w:cs="Times New Roman"/>
          <w:b/>
          <w:bCs/>
          <w:noProof/>
          <w:sz w:val="24"/>
          <w:szCs w:val="24"/>
        </w:rPr>
      </w:pPr>
      <w:r w:rsidRPr="00A5335D">
        <w:rPr>
          <w:rFonts w:ascii="Times New Roman" w:hAnsi="Times New Roman"/>
          <w:b/>
          <w:bCs/>
          <w:i/>
          <w:noProof/>
          <w:sz w:val="24"/>
          <w:szCs w:val="24"/>
        </w:rPr>
        <w:t>Argumenty polityczne</w:t>
      </w:r>
      <w:r w:rsidR="00A5335D" w:rsidRPr="00A5335D">
        <w:rPr>
          <w:rFonts w:ascii="Times New Roman" w:hAnsi="Times New Roman"/>
          <w:b/>
          <w:bCs/>
          <w:i/>
          <w:noProof/>
          <w:sz w:val="24"/>
          <w:szCs w:val="24"/>
        </w:rPr>
        <w:t xml:space="preserve"> i eko</w:t>
      </w:r>
      <w:r w:rsidRPr="00A5335D">
        <w:rPr>
          <w:rFonts w:ascii="Times New Roman" w:hAnsi="Times New Roman"/>
          <w:b/>
          <w:bCs/>
          <w:i/>
          <w:noProof/>
          <w:sz w:val="24"/>
          <w:szCs w:val="24"/>
        </w:rPr>
        <w:t>nomiczne przemawiające za migracją pracowników</w:t>
      </w:r>
    </w:p>
    <w:p w14:paraId="27CEFC90" w14:textId="3251BAEA" w:rsidR="00D7386D" w:rsidRPr="00A5335D" w:rsidRDefault="00D7386D" w:rsidP="00834BBD">
      <w:pPr>
        <w:jc w:val="both"/>
        <w:rPr>
          <w:rFonts w:ascii="Times New Roman" w:hAnsi="Times New Roman" w:cs="Times New Roman"/>
          <w:noProof/>
          <w:sz w:val="24"/>
          <w:szCs w:val="24"/>
        </w:rPr>
      </w:pPr>
      <w:r w:rsidRPr="00A5335D">
        <w:rPr>
          <w:rFonts w:ascii="Times New Roman" w:hAnsi="Times New Roman"/>
          <w:noProof/>
          <w:sz w:val="24"/>
          <w:szCs w:val="24"/>
        </w:rPr>
        <w:t>Migranci już teraz odgrywają kluczową rolę</w:t>
      </w:r>
      <w:r w:rsidR="00A5335D" w:rsidRPr="00A5335D">
        <w:rPr>
          <w:rFonts w:ascii="Times New Roman" w:hAnsi="Times New Roman"/>
          <w:noProof/>
          <w:sz w:val="24"/>
          <w:szCs w:val="24"/>
        </w:rPr>
        <w:t xml:space="preserve"> w gos</w:t>
      </w:r>
      <w:r w:rsidRPr="00A5335D">
        <w:rPr>
          <w:rFonts w:ascii="Times New Roman" w:hAnsi="Times New Roman"/>
          <w:noProof/>
          <w:sz w:val="24"/>
          <w:szCs w:val="24"/>
        </w:rPr>
        <w:t>podarce</w:t>
      </w:r>
      <w:r w:rsidR="00A5335D" w:rsidRPr="00A5335D">
        <w:rPr>
          <w:rFonts w:ascii="Times New Roman" w:hAnsi="Times New Roman"/>
          <w:noProof/>
          <w:sz w:val="24"/>
          <w:szCs w:val="24"/>
        </w:rPr>
        <w:t xml:space="preserve"> i spo</w:t>
      </w:r>
      <w:r w:rsidRPr="00A5335D">
        <w:rPr>
          <w:rFonts w:ascii="Times New Roman" w:hAnsi="Times New Roman"/>
          <w:noProof/>
          <w:sz w:val="24"/>
          <w:szCs w:val="24"/>
        </w:rPr>
        <w:t>łeczeństwie Europy</w:t>
      </w:r>
      <w:r w:rsidR="00A5335D" w:rsidRPr="00A5335D">
        <w:rPr>
          <w:rFonts w:ascii="Times New Roman" w:hAnsi="Times New Roman"/>
          <w:noProof/>
          <w:sz w:val="24"/>
          <w:szCs w:val="24"/>
        </w:rPr>
        <w:t>. W ost</w:t>
      </w:r>
      <w:r w:rsidRPr="00A5335D">
        <w:rPr>
          <w:rFonts w:ascii="Times New Roman" w:hAnsi="Times New Roman"/>
          <w:noProof/>
          <w:sz w:val="24"/>
          <w:szCs w:val="24"/>
        </w:rPr>
        <w:t>atniej dekadzie pracownicy migrujący</w:t>
      </w:r>
      <w:r w:rsidRPr="00A5335D">
        <w:rPr>
          <w:rStyle w:val="FootnoteReference"/>
          <w:rFonts w:ascii="Times New Roman" w:hAnsi="Times New Roman" w:cs="Times New Roman"/>
          <w:noProof/>
          <w:sz w:val="24"/>
          <w:szCs w:val="24"/>
        </w:rPr>
        <w:footnoteReference w:id="6"/>
      </w:r>
      <w:r w:rsidRPr="00A5335D">
        <w:rPr>
          <w:rFonts w:ascii="Times New Roman" w:hAnsi="Times New Roman"/>
          <w:noProof/>
          <w:sz w:val="24"/>
          <w:szCs w:val="24"/>
        </w:rPr>
        <w:t xml:space="preserve"> zajmowali znaczną część nowych miejsc zatrudnienia w UE, pomagając</w:t>
      </w:r>
      <w:r w:rsidRPr="00A5335D">
        <w:rPr>
          <w:rFonts w:ascii="Times New Roman" w:hAnsi="Times New Roman"/>
          <w:b/>
          <w:bCs/>
          <w:noProof/>
          <w:sz w:val="24"/>
          <w:szCs w:val="24"/>
        </w:rPr>
        <w:t xml:space="preserve"> zaspokoić potrzeby rynku pracy. </w:t>
      </w:r>
      <w:r w:rsidRPr="00A5335D">
        <w:rPr>
          <w:rFonts w:ascii="Times New Roman" w:hAnsi="Times New Roman"/>
          <w:bCs/>
          <w:noProof/>
          <w:sz w:val="24"/>
          <w:szCs w:val="24"/>
        </w:rPr>
        <w:t>Przyjmowanie migrantów jest częścią większego zestawu środków</w:t>
      </w:r>
      <w:r w:rsidR="00A5335D" w:rsidRPr="00A5335D">
        <w:rPr>
          <w:rFonts w:ascii="Times New Roman" w:hAnsi="Times New Roman"/>
          <w:bCs/>
          <w:noProof/>
          <w:sz w:val="24"/>
          <w:szCs w:val="24"/>
        </w:rPr>
        <w:t xml:space="preserve"> z róż</w:t>
      </w:r>
      <w:r w:rsidRPr="00A5335D">
        <w:rPr>
          <w:rFonts w:ascii="Times New Roman" w:hAnsi="Times New Roman"/>
          <w:bCs/>
          <w:noProof/>
          <w:sz w:val="24"/>
          <w:szCs w:val="24"/>
        </w:rPr>
        <w:t>nych dziedzin polityki mającego na celu zaradzenie zarówno istnieniu, jak</w:t>
      </w:r>
      <w:r w:rsidR="00A5335D" w:rsidRPr="00A5335D">
        <w:rPr>
          <w:rFonts w:ascii="Times New Roman" w:hAnsi="Times New Roman"/>
          <w:bCs/>
          <w:noProof/>
          <w:sz w:val="24"/>
          <w:szCs w:val="24"/>
        </w:rPr>
        <w:t xml:space="preserve"> i pie</w:t>
      </w:r>
      <w:r w:rsidRPr="00A5335D">
        <w:rPr>
          <w:rFonts w:ascii="Times New Roman" w:hAnsi="Times New Roman"/>
          <w:bCs/>
          <w:noProof/>
          <w:sz w:val="24"/>
          <w:szCs w:val="24"/>
        </w:rPr>
        <w:t>rwotnym przyczynom niedoborów siły roboczej</w:t>
      </w:r>
      <w:r w:rsidR="00A5335D" w:rsidRPr="00A5335D">
        <w:rPr>
          <w:rFonts w:ascii="Times New Roman" w:hAnsi="Times New Roman"/>
          <w:bCs/>
          <w:noProof/>
          <w:sz w:val="24"/>
          <w:szCs w:val="24"/>
        </w:rPr>
        <w:t xml:space="preserve"> i kwa</w:t>
      </w:r>
      <w:r w:rsidRPr="00A5335D">
        <w:rPr>
          <w:rFonts w:ascii="Times New Roman" w:hAnsi="Times New Roman"/>
          <w:bCs/>
          <w:noProof/>
          <w:sz w:val="24"/>
          <w:szCs w:val="24"/>
        </w:rPr>
        <w:t>lifikacji</w:t>
      </w:r>
      <w:r w:rsidR="008A015B" w:rsidRPr="00A5335D">
        <w:rPr>
          <w:rStyle w:val="FootnoteReference"/>
          <w:rFonts w:ascii="Times New Roman" w:hAnsi="Times New Roman" w:cs="Times New Roman"/>
          <w:bCs/>
          <w:noProof/>
          <w:sz w:val="24"/>
          <w:szCs w:val="24"/>
        </w:rPr>
        <w:footnoteReference w:id="7"/>
      </w:r>
      <w:r w:rsidRPr="00A5335D">
        <w:rPr>
          <w:rFonts w:ascii="Times New Roman" w:hAnsi="Times New Roman"/>
          <w:bCs/>
          <w:noProof/>
          <w:sz w:val="24"/>
          <w:szCs w:val="24"/>
        </w:rPr>
        <w:t xml:space="preserve">. </w:t>
      </w:r>
      <w:r w:rsidRPr="00A5335D">
        <w:rPr>
          <w:rFonts w:ascii="Times New Roman" w:hAnsi="Times New Roman"/>
          <w:noProof/>
          <w:sz w:val="24"/>
          <w:szCs w:val="24"/>
        </w:rPr>
        <w:t>Podczas pandemii COVID-19 okazało się, że aż 13</w:t>
      </w:r>
      <w:r w:rsidR="00A5335D" w:rsidRPr="00A5335D">
        <w:rPr>
          <w:rFonts w:ascii="Times New Roman" w:hAnsi="Times New Roman"/>
          <w:noProof/>
          <w:sz w:val="24"/>
          <w:szCs w:val="24"/>
        </w:rPr>
        <w:t> </w:t>
      </w:r>
      <w:r w:rsidRPr="00A5335D">
        <w:rPr>
          <w:rFonts w:ascii="Times New Roman" w:hAnsi="Times New Roman"/>
          <w:noProof/>
          <w:sz w:val="24"/>
          <w:szCs w:val="24"/>
        </w:rPr>
        <w:t>% pracowników</w:t>
      </w:r>
      <w:r w:rsidR="00A5335D" w:rsidRPr="00A5335D">
        <w:rPr>
          <w:rFonts w:ascii="Times New Roman" w:hAnsi="Times New Roman"/>
          <w:noProof/>
          <w:sz w:val="24"/>
          <w:szCs w:val="24"/>
        </w:rPr>
        <w:t xml:space="preserve"> o kry</w:t>
      </w:r>
      <w:r w:rsidRPr="00A5335D">
        <w:rPr>
          <w:rFonts w:ascii="Times New Roman" w:hAnsi="Times New Roman"/>
          <w:noProof/>
          <w:sz w:val="24"/>
          <w:szCs w:val="24"/>
        </w:rPr>
        <w:t>tycznym znaczeniu – od lekarzy po pielęgniarki</w:t>
      </w:r>
      <w:r w:rsidR="00A5335D" w:rsidRPr="00A5335D">
        <w:rPr>
          <w:rFonts w:ascii="Times New Roman" w:hAnsi="Times New Roman"/>
          <w:noProof/>
          <w:sz w:val="24"/>
          <w:szCs w:val="24"/>
        </w:rPr>
        <w:t xml:space="preserve"> i kie</w:t>
      </w:r>
      <w:r w:rsidRPr="00A5335D">
        <w:rPr>
          <w:rFonts w:ascii="Times New Roman" w:hAnsi="Times New Roman"/>
          <w:noProof/>
          <w:sz w:val="24"/>
          <w:szCs w:val="24"/>
        </w:rPr>
        <w:t>rowców – to migranci</w:t>
      </w:r>
      <w:r w:rsidRPr="00A5335D">
        <w:rPr>
          <w:rStyle w:val="FootnoteReference"/>
          <w:rFonts w:ascii="Times New Roman" w:hAnsi="Times New Roman" w:cs="Times New Roman"/>
          <w:noProof/>
          <w:sz w:val="24"/>
          <w:szCs w:val="24"/>
        </w:rPr>
        <w:footnoteReference w:id="8"/>
      </w:r>
      <w:r w:rsidRPr="00A5335D">
        <w:rPr>
          <w:rFonts w:ascii="Times New Roman" w:hAnsi="Times New Roman"/>
          <w:noProof/>
          <w:sz w:val="24"/>
          <w:szCs w:val="24"/>
        </w:rPr>
        <w:t xml:space="preserve">. </w:t>
      </w:r>
    </w:p>
    <w:p w14:paraId="27CEFC91" w14:textId="206A2871" w:rsidR="00942FC0" w:rsidRPr="00A5335D" w:rsidRDefault="002D5F3E" w:rsidP="00834BBD">
      <w:pPr>
        <w:jc w:val="both"/>
        <w:rPr>
          <w:rFonts w:ascii="Times New Roman" w:hAnsi="Times New Roman" w:cs="Times New Roman"/>
          <w:noProof/>
          <w:sz w:val="24"/>
          <w:szCs w:val="24"/>
        </w:rPr>
      </w:pPr>
      <w:r w:rsidRPr="00A5335D">
        <w:rPr>
          <w:rFonts w:ascii="Times New Roman" w:hAnsi="Times New Roman"/>
          <w:noProof/>
          <w:sz w:val="24"/>
          <w:szCs w:val="24"/>
        </w:rPr>
        <w:t xml:space="preserve">Jednocześnie </w:t>
      </w:r>
      <w:r w:rsidRPr="00A5335D">
        <w:rPr>
          <w:rFonts w:ascii="Times New Roman" w:hAnsi="Times New Roman"/>
          <w:b/>
          <w:bCs/>
          <w:noProof/>
          <w:sz w:val="24"/>
          <w:szCs w:val="24"/>
        </w:rPr>
        <w:t>rosyjska wojna napastnicza przeciwko Ukrainie spowodowała największe od czasów II wojny światowej przymusowe przesiedlenie</w:t>
      </w:r>
      <w:r w:rsidR="00A5335D" w:rsidRPr="00A5335D">
        <w:rPr>
          <w:rFonts w:ascii="Times New Roman" w:hAnsi="Times New Roman"/>
          <w:b/>
          <w:bCs/>
          <w:noProof/>
          <w:sz w:val="24"/>
          <w:szCs w:val="24"/>
        </w:rPr>
        <w:t xml:space="preserve"> w Eur</w:t>
      </w:r>
      <w:r w:rsidRPr="00A5335D">
        <w:rPr>
          <w:rFonts w:ascii="Times New Roman" w:hAnsi="Times New Roman"/>
          <w:b/>
          <w:bCs/>
          <w:noProof/>
          <w:sz w:val="24"/>
          <w:szCs w:val="24"/>
        </w:rPr>
        <w:t>opie</w:t>
      </w:r>
      <w:r w:rsidRPr="00A5335D">
        <w:rPr>
          <w:rFonts w:ascii="Times New Roman" w:hAnsi="Times New Roman"/>
          <w:noProof/>
          <w:sz w:val="24"/>
          <w:szCs w:val="24"/>
        </w:rPr>
        <w:t>, przy czym zdecydowaną większość przybyłych stanowią kobiety</w:t>
      </w:r>
      <w:r w:rsidR="00A5335D" w:rsidRPr="00A5335D">
        <w:rPr>
          <w:rFonts w:ascii="Times New Roman" w:hAnsi="Times New Roman"/>
          <w:noProof/>
          <w:sz w:val="24"/>
          <w:szCs w:val="24"/>
        </w:rPr>
        <w:t xml:space="preserve"> i dzi</w:t>
      </w:r>
      <w:r w:rsidRPr="00A5335D">
        <w:rPr>
          <w:rFonts w:ascii="Times New Roman" w:hAnsi="Times New Roman"/>
          <w:noProof/>
          <w:sz w:val="24"/>
          <w:szCs w:val="24"/>
        </w:rPr>
        <w:t>eci</w:t>
      </w:r>
      <w:r w:rsidRPr="00A5335D">
        <w:rPr>
          <w:rFonts w:ascii="Times New Roman" w:hAnsi="Times New Roman"/>
          <w:bCs/>
          <w:noProof/>
          <w:sz w:val="24"/>
          <w:szCs w:val="24"/>
        </w:rPr>
        <w:t>.</w:t>
      </w:r>
      <w:r w:rsidRPr="00A5335D">
        <w:rPr>
          <w:rFonts w:ascii="Times New Roman" w:hAnsi="Times New Roman"/>
          <w:b/>
          <w:bCs/>
          <w:noProof/>
          <w:sz w:val="24"/>
          <w:szCs w:val="24"/>
        </w:rPr>
        <w:t xml:space="preserve"> </w:t>
      </w:r>
      <w:r w:rsidRPr="00A5335D">
        <w:rPr>
          <w:rFonts w:ascii="Times New Roman" w:hAnsi="Times New Roman"/>
          <w:noProof/>
          <w:sz w:val="24"/>
          <w:szCs w:val="24"/>
        </w:rPr>
        <w:t>Po uruchomieniu dyrektywy</w:t>
      </w:r>
      <w:r w:rsidR="00A5335D" w:rsidRPr="00A5335D">
        <w:rPr>
          <w:rFonts w:ascii="Times New Roman" w:hAnsi="Times New Roman"/>
          <w:noProof/>
          <w:sz w:val="24"/>
          <w:szCs w:val="24"/>
        </w:rPr>
        <w:t xml:space="preserve"> w spr</w:t>
      </w:r>
      <w:r w:rsidRPr="00A5335D">
        <w:rPr>
          <w:rFonts w:ascii="Times New Roman" w:hAnsi="Times New Roman"/>
          <w:noProof/>
          <w:sz w:val="24"/>
          <w:szCs w:val="24"/>
        </w:rPr>
        <w:t>awie ochrony tymczasowej</w:t>
      </w:r>
      <w:r w:rsidR="00942FC0" w:rsidRPr="00A5335D">
        <w:rPr>
          <w:rStyle w:val="FootnoteReference"/>
          <w:rFonts w:ascii="Times New Roman" w:hAnsi="Times New Roman" w:cs="Times New Roman"/>
          <w:noProof/>
          <w:sz w:val="24"/>
          <w:szCs w:val="24"/>
        </w:rPr>
        <w:footnoteReference w:id="9"/>
      </w:r>
      <w:r w:rsidRPr="00A5335D">
        <w:rPr>
          <w:rFonts w:ascii="Times New Roman" w:hAnsi="Times New Roman"/>
          <w:noProof/>
          <w:sz w:val="24"/>
          <w:szCs w:val="24"/>
        </w:rPr>
        <w:t xml:space="preserve"> UE będzie nadal przyjmować osoby uciekające przed </w:t>
      </w:r>
      <w:r w:rsidRPr="00A5335D">
        <w:rPr>
          <w:rFonts w:ascii="Times New Roman" w:hAnsi="Times New Roman"/>
          <w:iCs/>
          <w:noProof/>
          <w:sz w:val="24"/>
          <w:szCs w:val="24"/>
        </w:rPr>
        <w:t>wojną</w:t>
      </w:r>
      <w:r w:rsidR="00A5335D" w:rsidRPr="00A5335D">
        <w:rPr>
          <w:rFonts w:ascii="Times New Roman" w:hAnsi="Times New Roman"/>
          <w:iCs/>
          <w:noProof/>
          <w:sz w:val="24"/>
          <w:szCs w:val="24"/>
        </w:rPr>
        <w:t xml:space="preserve"> w Ukr</w:t>
      </w:r>
      <w:r w:rsidRPr="00A5335D">
        <w:rPr>
          <w:rFonts w:ascii="Times New Roman" w:hAnsi="Times New Roman"/>
          <w:iCs/>
          <w:noProof/>
          <w:sz w:val="24"/>
          <w:szCs w:val="24"/>
        </w:rPr>
        <w:t>ainie</w:t>
      </w:r>
      <w:r w:rsidR="00A5335D" w:rsidRPr="00A5335D">
        <w:rPr>
          <w:rFonts w:ascii="Times New Roman" w:hAnsi="Times New Roman"/>
          <w:noProof/>
          <w:sz w:val="24"/>
          <w:szCs w:val="24"/>
        </w:rPr>
        <w:t xml:space="preserve"> i udz</w:t>
      </w:r>
      <w:r w:rsidRPr="00A5335D">
        <w:rPr>
          <w:rFonts w:ascii="Times New Roman" w:hAnsi="Times New Roman"/>
          <w:noProof/>
          <w:sz w:val="24"/>
          <w:szCs w:val="24"/>
        </w:rPr>
        <w:t>ielać im wsparcia</w:t>
      </w:r>
      <w:r w:rsidR="00A5335D" w:rsidRPr="00A5335D">
        <w:rPr>
          <w:rFonts w:ascii="Times New Roman" w:hAnsi="Times New Roman"/>
          <w:noProof/>
          <w:sz w:val="24"/>
          <w:szCs w:val="24"/>
        </w:rPr>
        <w:t xml:space="preserve"> w int</w:t>
      </w:r>
      <w:r w:rsidRPr="00A5335D">
        <w:rPr>
          <w:rFonts w:ascii="Times New Roman" w:hAnsi="Times New Roman"/>
          <w:noProof/>
          <w:sz w:val="24"/>
          <w:szCs w:val="24"/>
        </w:rPr>
        <w:t>egracji na rynku pracy, co będzie miało charakter priorytetowy. Ich przyjazd do UE nie wyklucza potrzeby stworzenia podstaw trwałego</w:t>
      </w:r>
      <w:r w:rsidR="00A5335D" w:rsidRPr="00A5335D">
        <w:rPr>
          <w:rFonts w:ascii="Times New Roman" w:hAnsi="Times New Roman"/>
          <w:noProof/>
          <w:sz w:val="24"/>
          <w:szCs w:val="24"/>
        </w:rPr>
        <w:t xml:space="preserve"> i wsp</w:t>
      </w:r>
      <w:r w:rsidRPr="00A5335D">
        <w:rPr>
          <w:rFonts w:ascii="Times New Roman" w:hAnsi="Times New Roman"/>
          <w:noProof/>
          <w:sz w:val="24"/>
          <w:szCs w:val="24"/>
        </w:rPr>
        <w:t xml:space="preserve">ólnego podejścia do migracji pracowników, aby zaspokoić długofalowe zapotrzebowanie UE na wykwalifikowanych pracowników. </w:t>
      </w:r>
    </w:p>
    <w:p w14:paraId="27CEFC92" w14:textId="2E4D707C" w:rsidR="00D7386D" w:rsidRPr="00A5335D" w:rsidRDefault="0006348A" w:rsidP="00834BBD">
      <w:pPr>
        <w:jc w:val="both"/>
        <w:rPr>
          <w:rFonts w:ascii="Times New Roman" w:hAnsi="Times New Roman" w:cs="Times New Roman"/>
          <w:noProof/>
          <w:sz w:val="24"/>
          <w:szCs w:val="24"/>
        </w:rPr>
      </w:pPr>
      <w:r w:rsidRPr="00A5335D">
        <w:rPr>
          <w:rFonts w:ascii="Times New Roman" w:hAnsi="Times New Roman"/>
          <w:b/>
          <w:noProof/>
          <w:sz w:val="24"/>
          <w:szCs w:val="24"/>
        </w:rPr>
        <w:t>Po problemach spowodowanych przez COVID-19 europejski rynek pracy zasadniczo wraca do poziomu sprzed pandemii</w:t>
      </w:r>
      <w:r w:rsidR="00D7386D" w:rsidRPr="00A5335D">
        <w:rPr>
          <w:rStyle w:val="FootnoteReference"/>
          <w:rFonts w:ascii="Times New Roman" w:hAnsi="Times New Roman" w:cs="Times New Roman"/>
          <w:noProof/>
          <w:sz w:val="24"/>
          <w:szCs w:val="24"/>
        </w:rPr>
        <w:footnoteReference w:id="10"/>
      </w:r>
      <w:r w:rsidRPr="00A5335D">
        <w:rPr>
          <w:rFonts w:ascii="Times New Roman" w:hAnsi="Times New Roman"/>
          <w:noProof/>
          <w:sz w:val="24"/>
          <w:szCs w:val="24"/>
        </w:rPr>
        <w:t>: nadal trwa odbudowa rynku pracy w UE, który potrzebuje nowych pracowników, zwłaszcza</w:t>
      </w:r>
      <w:r w:rsidR="00A5335D" w:rsidRPr="00A5335D">
        <w:rPr>
          <w:rFonts w:ascii="Times New Roman" w:hAnsi="Times New Roman"/>
          <w:noProof/>
          <w:sz w:val="24"/>
          <w:szCs w:val="24"/>
        </w:rPr>
        <w:t xml:space="preserve"> w sek</w:t>
      </w:r>
      <w:r w:rsidRPr="00A5335D">
        <w:rPr>
          <w:rFonts w:ascii="Times New Roman" w:hAnsi="Times New Roman"/>
          <w:noProof/>
          <w:sz w:val="24"/>
          <w:szCs w:val="24"/>
        </w:rPr>
        <w:t>torach,</w:t>
      </w:r>
      <w:r w:rsidR="00A5335D" w:rsidRPr="00A5335D">
        <w:rPr>
          <w:rFonts w:ascii="Times New Roman" w:hAnsi="Times New Roman"/>
          <w:noProof/>
          <w:sz w:val="24"/>
          <w:szCs w:val="24"/>
        </w:rPr>
        <w:t xml:space="preserve"> w któ</w:t>
      </w:r>
      <w:r w:rsidRPr="00A5335D">
        <w:rPr>
          <w:rFonts w:ascii="Times New Roman" w:hAnsi="Times New Roman"/>
          <w:noProof/>
          <w:sz w:val="24"/>
          <w:szCs w:val="24"/>
        </w:rPr>
        <w:t>rych występują niedobory strukturalne, takich jak turystyka, hotelarstwo, technologia informacyjna, opieka zdrowotna</w:t>
      </w:r>
      <w:r w:rsidR="00A5335D" w:rsidRPr="00A5335D">
        <w:rPr>
          <w:rFonts w:ascii="Times New Roman" w:hAnsi="Times New Roman"/>
          <w:noProof/>
          <w:sz w:val="24"/>
          <w:szCs w:val="24"/>
        </w:rPr>
        <w:t xml:space="preserve"> i log</w:t>
      </w:r>
      <w:r w:rsidRPr="00A5335D">
        <w:rPr>
          <w:rFonts w:ascii="Times New Roman" w:hAnsi="Times New Roman"/>
          <w:noProof/>
          <w:sz w:val="24"/>
          <w:szCs w:val="24"/>
        </w:rPr>
        <w:t>istyka. Niedobory siły roboczej</w:t>
      </w:r>
      <w:r w:rsidR="00A5335D" w:rsidRPr="00A5335D">
        <w:rPr>
          <w:rFonts w:ascii="Times New Roman" w:hAnsi="Times New Roman"/>
          <w:noProof/>
          <w:sz w:val="24"/>
          <w:szCs w:val="24"/>
        </w:rPr>
        <w:t xml:space="preserve"> w nie</w:t>
      </w:r>
      <w:r w:rsidRPr="00A5335D">
        <w:rPr>
          <w:rFonts w:ascii="Times New Roman" w:hAnsi="Times New Roman"/>
          <w:noProof/>
          <w:sz w:val="24"/>
          <w:szCs w:val="24"/>
        </w:rPr>
        <w:t>których sektorach są jednak większe niż przed pandemią COVID-19</w:t>
      </w:r>
      <w:r w:rsidR="00D7386D" w:rsidRPr="00A5335D">
        <w:rPr>
          <w:rStyle w:val="FootnoteReference"/>
          <w:rFonts w:ascii="Times New Roman" w:hAnsi="Times New Roman" w:cs="Times New Roman"/>
          <w:noProof/>
          <w:sz w:val="24"/>
          <w:szCs w:val="24"/>
        </w:rPr>
        <w:footnoteReference w:id="11"/>
      </w:r>
      <w:r w:rsidRPr="00A5335D">
        <w:rPr>
          <w:rFonts w:ascii="Times New Roman" w:hAnsi="Times New Roman"/>
          <w:noProof/>
          <w:sz w:val="24"/>
          <w:szCs w:val="24"/>
        </w:rPr>
        <w:t>,</w:t>
      </w:r>
      <w:r w:rsidR="00A5335D" w:rsidRPr="00A5335D">
        <w:rPr>
          <w:rFonts w:ascii="Times New Roman" w:hAnsi="Times New Roman"/>
          <w:noProof/>
          <w:sz w:val="24"/>
          <w:szCs w:val="24"/>
        </w:rPr>
        <w:t xml:space="preserve"> a lic</w:t>
      </w:r>
      <w:r w:rsidRPr="00A5335D">
        <w:rPr>
          <w:rFonts w:ascii="Times New Roman" w:hAnsi="Times New Roman"/>
          <w:noProof/>
          <w:sz w:val="24"/>
          <w:szCs w:val="24"/>
        </w:rPr>
        <w:t>zba nieobsadzonych wakatów gwałtownie wzrosła, mimo że zatrudnienie nie wróciło jeszcze</w:t>
      </w:r>
      <w:r w:rsidR="00A5335D" w:rsidRPr="00A5335D">
        <w:rPr>
          <w:rFonts w:ascii="Times New Roman" w:hAnsi="Times New Roman"/>
          <w:noProof/>
          <w:sz w:val="24"/>
          <w:szCs w:val="24"/>
        </w:rPr>
        <w:t xml:space="preserve"> w peł</w:t>
      </w:r>
      <w:r w:rsidRPr="00A5335D">
        <w:rPr>
          <w:rFonts w:ascii="Times New Roman" w:hAnsi="Times New Roman"/>
          <w:noProof/>
          <w:sz w:val="24"/>
          <w:szCs w:val="24"/>
        </w:rPr>
        <w:t>ni do normy.</w:t>
      </w:r>
    </w:p>
    <w:p w14:paraId="27CEFC93" w14:textId="2FE10438" w:rsidR="00942FC0" w:rsidRPr="00A5335D" w:rsidRDefault="006E70BE" w:rsidP="00942FC0">
      <w:pPr>
        <w:jc w:val="both"/>
        <w:rPr>
          <w:rFonts w:ascii="Times New Roman" w:hAnsi="Times New Roman" w:cs="Times New Roman"/>
          <w:noProof/>
          <w:sz w:val="24"/>
          <w:szCs w:val="24"/>
        </w:rPr>
      </w:pPr>
      <w:r w:rsidRPr="00A5335D">
        <w:rPr>
          <w:rFonts w:ascii="Times New Roman" w:hAnsi="Times New Roman"/>
          <w:noProof/>
          <w:sz w:val="24"/>
          <w:szCs w:val="24"/>
        </w:rPr>
        <w:t xml:space="preserve">Biorąc pod uwagę przyszłe potrzeby, legalnej migracji musi także towarzyszyć </w:t>
      </w:r>
      <w:r w:rsidRPr="00A5335D">
        <w:rPr>
          <w:rFonts w:ascii="Times New Roman" w:hAnsi="Times New Roman"/>
          <w:b/>
          <w:noProof/>
          <w:sz w:val="24"/>
          <w:szCs w:val="24"/>
        </w:rPr>
        <w:t>przejście UE na zieloną</w:t>
      </w:r>
      <w:r w:rsidR="00A5335D" w:rsidRPr="00A5335D">
        <w:rPr>
          <w:rFonts w:ascii="Times New Roman" w:hAnsi="Times New Roman"/>
          <w:b/>
          <w:noProof/>
          <w:sz w:val="24"/>
          <w:szCs w:val="24"/>
        </w:rPr>
        <w:t xml:space="preserve"> i cyf</w:t>
      </w:r>
      <w:r w:rsidRPr="00A5335D">
        <w:rPr>
          <w:rFonts w:ascii="Times New Roman" w:hAnsi="Times New Roman"/>
          <w:b/>
          <w:noProof/>
          <w:sz w:val="24"/>
          <w:szCs w:val="24"/>
        </w:rPr>
        <w:t>rową gospodarkę</w:t>
      </w:r>
      <w:r w:rsidRPr="00A5335D">
        <w:rPr>
          <w:rFonts w:ascii="Times New Roman" w:hAnsi="Times New Roman"/>
          <w:noProof/>
          <w:sz w:val="24"/>
          <w:szCs w:val="24"/>
        </w:rPr>
        <w:t>, co wymaga specyficznych umiejętności oraz restrukturyzacji gospodarek</w:t>
      </w:r>
      <w:r w:rsidR="00A5335D" w:rsidRPr="00A5335D">
        <w:rPr>
          <w:rFonts w:ascii="Times New Roman" w:hAnsi="Times New Roman"/>
          <w:noProof/>
          <w:sz w:val="24"/>
          <w:szCs w:val="24"/>
        </w:rPr>
        <w:t xml:space="preserve"> i ryn</w:t>
      </w:r>
      <w:r w:rsidRPr="00A5335D">
        <w:rPr>
          <w:rFonts w:ascii="Times New Roman" w:hAnsi="Times New Roman"/>
          <w:noProof/>
          <w:sz w:val="24"/>
          <w:szCs w:val="24"/>
        </w:rPr>
        <w:t>ków pracy w UE. Aby wesprzeć dwojaką transformację, migracja pracowników w UE powinna być ukierunkowana przyszłościowo. Sektory takie jak budownictwo, energetyka, produkcja</w:t>
      </w:r>
      <w:r w:rsidR="00A5335D" w:rsidRPr="00A5335D">
        <w:rPr>
          <w:rFonts w:ascii="Times New Roman" w:hAnsi="Times New Roman"/>
          <w:noProof/>
          <w:sz w:val="24"/>
          <w:szCs w:val="24"/>
        </w:rPr>
        <w:t xml:space="preserve"> i tra</w:t>
      </w:r>
      <w:r w:rsidRPr="00A5335D">
        <w:rPr>
          <w:rFonts w:ascii="Times New Roman" w:hAnsi="Times New Roman"/>
          <w:noProof/>
          <w:sz w:val="24"/>
          <w:szCs w:val="24"/>
        </w:rPr>
        <w:t>nsport prawdopodobnie odczują skutki przejścia na gospodarkę neutralną dla klimatu, wymagającą dodatkowej siły roboczej</w:t>
      </w:r>
      <w:r w:rsidR="00A5335D" w:rsidRPr="00A5335D">
        <w:rPr>
          <w:rFonts w:ascii="Times New Roman" w:hAnsi="Times New Roman"/>
          <w:noProof/>
          <w:sz w:val="24"/>
          <w:szCs w:val="24"/>
        </w:rPr>
        <w:t xml:space="preserve"> i now</w:t>
      </w:r>
      <w:r w:rsidRPr="00A5335D">
        <w:rPr>
          <w:rFonts w:ascii="Times New Roman" w:hAnsi="Times New Roman"/>
          <w:noProof/>
          <w:sz w:val="24"/>
          <w:szCs w:val="24"/>
        </w:rPr>
        <w:t>ych umiejętności</w:t>
      </w:r>
      <w:r w:rsidR="00942FC0" w:rsidRPr="00A5335D">
        <w:rPr>
          <w:rStyle w:val="FootnoteReference"/>
          <w:rFonts w:ascii="Times New Roman" w:hAnsi="Times New Roman" w:cs="Times New Roman"/>
          <w:noProof/>
          <w:sz w:val="24"/>
          <w:szCs w:val="24"/>
        </w:rPr>
        <w:footnoteReference w:id="12"/>
      </w:r>
      <w:r w:rsidRPr="00A5335D">
        <w:rPr>
          <w:rFonts w:ascii="Times New Roman" w:hAnsi="Times New Roman"/>
          <w:noProof/>
          <w:sz w:val="24"/>
          <w:szCs w:val="24"/>
        </w:rPr>
        <w:t xml:space="preserve">. </w:t>
      </w:r>
    </w:p>
    <w:p w14:paraId="27CEFC94" w14:textId="67F03D9F" w:rsidR="003C44CF" w:rsidRPr="00A5335D" w:rsidRDefault="00483024" w:rsidP="00942FC0">
      <w:pPr>
        <w:jc w:val="both"/>
        <w:rPr>
          <w:rFonts w:ascii="Times New Roman" w:hAnsi="Times New Roman" w:cs="Times New Roman"/>
          <w:noProof/>
          <w:sz w:val="24"/>
          <w:szCs w:val="24"/>
        </w:rPr>
      </w:pPr>
      <w:r w:rsidRPr="00A5335D">
        <w:rPr>
          <w:rFonts w:ascii="Times New Roman" w:hAnsi="Times New Roman"/>
          <w:noProof/>
          <w:sz w:val="24"/>
          <w:szCs w:val="24"/>
        </w:rPr>
        <w:t xml:space="preserve">Migracja pracowników przynosi nie tylko korzyści gospodarcze, lecz także </w:t>
      </w:r>
      <w:r w:rsidRPr="00A5335D">
        <w:rPr>
          <w:rFonts w:ascii="Times New Roman" w:hAnsi="Times New Roman"/>
          <w:b/>
          <w:bCs/>
          <w:noProof/>
          <w:sz w:val="24"/>
          <w:szCs w:val="24"/>
        </w:rPr>
        <w:t>poprawia ogólne zarządzanie migracjami, ponieważ pomaga wzmocnić współpracę</w:t>
      </w:r>
      <w:r w:rsidR="00A5335D" w:rsidRPr="00A5335D">
        <w:rPr>
          <w:rFonts w:ascii="Times New Roman" w:hAnsi="Times New Roman"/>
          <w:b/>
          <w:bCs/>
          <w:noProof/>
          <w:sz w:val="24"/>
          <w:szCs w:val="24"/>
        </w:rPr>
        <w:t xml:space="preserve"> z kra</w:t>
      </w:r>
      <w:r w:rsidRPr="00A5335D">
        <w:rPr>
          <w:rFonts w:ascii="Times New Roman" w:hAnsi="Times New Roman"/>
          <w:b/>
          <w:bCs/>
          <w:noProof/>
          <w:sz w:val="24"/>
          <w:szCs w:val="24"/>
        </w:rPr>
        <w:t>jami pochodzenia</w:t>
      </w:r>
      <w:r w:rsidR="00A5335D" w:rsidRPr="00A5335D">
        <w:rPr>
          <w:rFonts w:ascii="Times New Roman" w:hAnsi="Times New Roman"/>
          <w:b/>
          <w:bCs/>
          <w:noProof/>
          <w:sz w:val="24"/>
          <w:szCs w:val="24"/>
        </w:rPr>
        <w:t xml:space="preserve"> i tra</w:t>
      </w:r>
      <w:r w:rsidRPr="00A5335D">
        <w:rPr>
          <w:rFonts w:ascii="Times New Roman" w:hAnsi="Times New Roman"/>
          <w:b/>
          <w:bCs/>
          <w:noProof/>
          <w:sz w:val="24"/>
          <w:szCs w:val="24"/>
        </w:rPr>
        <w:t>nzytu</w:t>
      </w:r>
      <w:r w:rsidRPr="00A5335D">
        <w:rPr>
          <w:rFonts w:ascii="Times New Roman" w:hAnsi="Times New Roman"/>
          <w:noProof/>
          <w:sz w:val="24"/>
          <w:szCs w:val="24"/>
        </w:rPr>
        <w:t>, m.in.</w:t>
      </w:r>
      <w:r w:rsidR="00A5335D" w:rsidRPr="00A5335D">
        <w:rPr>
          <w:rFonts w:ascii="Times New Roman" w:hAnsi="Times New Roman"/>
          <w:noProof/>
          <w:sz w:val="24"/>
          <w:szCs w:val="24"/>
        </w:rPr>
        <w:t xml:space="preserve"> w cel</w:t>
      </w:r>
      <w:r w:rsidRPr="00A5335D">
        <w:rPr>
          <w:rFonts w:ascii="Times New Roman" w:hAnsi="Times New Roman"/>
          <w:noProof/>
          <w:sz w:val="24"/>
          <w:szCs w:val="24"/>
        </w:rPr>
        <w:t>u ograniczenia migracji nieuregulowanej. Jest to jeden</w:t>
      </w:r>
      <w:r w:rsidR="00A5335D" w:rsidRPr="00A5335D">
        <w:rPr>
          <w:rFonts w:ascii="Times New Roman" w:hAnsi="Times New Roman"/>
          <w:noProof/>
          <w:sz w:val="24"/>
          <w:szCs w:val="24"/>
        </w:rPr>
        <w:t xml:space="preserve"> z klu</w:t>
      </w:r>
      <w:r w:rsidRPr="00A5335D">
        <w:rPr>
          <w:rFonts w:ascii="Times New Roman" w:hAnsi="Times New Roman"/>
          <w:noProof/>
          <w:sz w:val="24"/>
          <w:szCs w:val="24"/>
        </w:rPr>
        <w:t>czowych instrumentów</w:t>
      </w:r>
      <w:r w:rsidR="00A5335D" w:rsidRPr="00A5335D">
        <w:rPr>
          <w:rFonts w:ascii="Times New Roman" w:hAnsi="Times New Roman"/>
          <w:noProof/>
          <w:sz w:val="24"/>
          <w:szCs w:val="24"/>
        </w:rPr>
        <w:t xml:space="preserve"> w zes</w:t>
      </w:r>
      <w:r w:rsidRPr="00A5335D">
        <w:rPr>
          <w:rFonts w:ascii="Times New Roman" w:hAnsi="Times New Roman"/>
          <w:noProof/>
          <w:sz w:val="24"/>
          <w:szCs w:val="24"/>
        </w:rPr>
        <w:t>tawie narzędzi UE określonych</w:t>
      </w:r>
      <w:r w:rsidR="00A5335D" w:rsidRPr="00A5335D">
        <w:rPr>
          <w:rFonts w:ascii="Times New Roman" w:hAnsi="Times New Roman"/>
          <w:noProof/>
          <w:sz w:val="24"/>
          <w:szCs w:val="24"/>
        </w:rPr>
        <w:t xml:space="preserve"> w now</w:t>
      </w:r>
      <w:r w:rsidRPr="00A5335D">
        <w:rPr>
          <w:rFonts w:ascii="Times New Roman" w:hAnsi="Times New Roman"/>
          <w:noProof/>
          <w:sz w:val="24"/>
          <w:szCs w:val="24"/>
        </w:rPr>
        <w:t>ym pakcie</w:t>
      </w:r>
      <w:r w:rsidR="00A5335D" w:rsidRPr="00A5335D">
        <w:rPr>
          <w:rFonts w:ascii="Times New Roman" w:hAnsi="Times New Roman"/>
          <w:noProof/>
          <w:sz w:val="24"/>
          <w:szCs w:val="24"/>
        </w:rPr>
        <w:t xml:space="preserve"> o mig</w:t>
      </w:r>
      <w:r w:rsidRPr="00A5335D">
        <w:rPr>
          <w:rFonts w:ascii="Times New Roman" w:hAnsi="Times New Roman"/>
          <w:noProof/>
          <w:sz w:val="24"/>
          <w:szCs w:val="24"/>
        </w:rPr>
        <w:t>racji</w:t>
      </w:r>
      <w:r w:rsidR="00A5335D" w:rsidRPr="00A5335D">
        <w:rPr>
          <w:rFonts w:ascii="Times New Roman" w:hAnsi="Times New Roman"/>
          <w:noProof/>
          <w:sz w:val="24"/>
          <w:szCs w:val="24"/>
        </w:rPr>
        <w:t xml:space="preserve"> i azy</w:t>
      </w:r>
      <w:r w:rsidRPr="00A5335D">
        <w:rPr>
          <w:rFonts w:ascii="Times New Roman" w:hAnsi="Times New Roman"/>
          <w:noProof/>
          <w:sz w:val="24"/>
          <w:szCs w:val="24"/>
        </w:rPr>
        <w:t>lu, służących budowaniu – zgodnie</w:t>
      </w:r>
      <w:r w:rsidR="00A5335D" w:rsidRPr="00A5335D">
        <w:rPr>
          <w:rFonts w:ascii="Times New Roman" w:hAnsi="Times New Roman"/>
          <w:noProof/>
          <w:sz w:val="24"/>
          <w:szCs w:val="24"/>
        </w:rPr>
        <w:t xml:space="preserve"> z Age</w:t>
      </w:r>
      <w:r w:rsidRPr="00A5335D">
        <w:rPr>
          <w:rFonts w:ascii="Times New Roman" w:hAnsi="Times New Roman"/>
          <w:noProof/>
          <w:sz w:val="24"/>
          <w:szCs w:val="24"/>
        </w:rPr>
        <w:t>ndą na rzecz zrównoważonego rozwoju – zrównoważonych</w:t>
      </w:r>
      <w:r w:rsidR="00A5335D" w:rsidRPr="00A5335D">
        <w:rPr>
          <w:rFonts w:ascii="Times New Roman" w:hAnsi="Times New Roman"/>
          <w:noProof/>
          <w:sz w:val="24"/>
          <w:szCs w:val="24"/>
        </w:rPr>
        <w:t xml:space="preserve"> i wza</w:t>
      </w:r>
      <w:r w:rsidRPr="00A5335D">
        <w:rPr>
          <w:rFonts w:ascii="Times New Roman" w:hAnsi="Times New Roman"/>
          <w:noProof/>
          <w:sz w:val="24"/>
          <w:szCs w:val="24"/>
        </w:rPr>
        <w:t>jemnie korzystnych partnerstw</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stwami trzecimi</w:t>
      </w:r>
      <w:r w:rsidR="00A5335D" w:rsidRPr="00A5335D">
        <w:rPr>
          <w:rFonts w:ascii="Times New Roman" w:hAnsi="Times New Roman"/>
          <w:noProof/>
          <w:sz w:val="24"/>
          <w:szCs w:val="24"/>
        </w:rPr>
        <w:t xml:space="preserve"> w dzi</w:t>
      </w:r>
      <w:r w:rsidRPr="00A5335D">
        <w:rPr>
          <w:rFonts w:ascii="Times New Roman" w:hAnsi="Times New Roman"/>
          <w:noProof/>
          <w:sz w:val="24"/>
          <w:szCs w:val="24"/>
        </w:rPr>
        <w:t xml:space="preserve">edzinie migracji. </w:t>
      </w:r>
    </w:p>
    <w:p w14:paraId="27CEFC95" w14:textId="14C60D94" w:rsidR="005D11F5" w:rsidRPr="00A5335D" w:rsidRDefault="005D11F5" w:rsidP="005D11F5">
      <w:pPr>
        <w:pStyle w:val="ListParagraph"/>
        <w:ind w:left="0"/>
        <w:contextualSpacing w:val="0"/>
        <w:jc w:val="both"/>
        <w:rPr>
          <w:rFonts w:ascii="Times New Roman" w:hAnsi="Times New Roman" w:cs="Times New Roman"/>
          <w:noProof/>
          <w:sz w:val="24"/>
          <w:szCs w:val="24"/>
        </w:rPr>
      </w:pPr>
      <w:r w:rsidRPr="00A5335D">
        <w:rPr>
          <w:rFonts w:ascii="Times New Roman" w:hAnsi="Times New Roman"/>
          <w:noProof/>
          <w:sz w:val="24"/>
          <w:szCs w:val="24"/>
        </w:rPr>
        <w:t>Istnieją zatem silne argumenty polityczne</w:t>
      </w:r>
      <w:r w:rsidR="00A5335D" w:rsidRPr="00A5335D">
        <w:rPr>
          <w:rFonts w:ascii="Times New Roman" w:hAnsi="Times New Roman"/>
          <w:noProof/>
          <w:sz w:val="24"/>
          <w:szCs w:val="24"/>
        </w:rPr>
        <w:t xml:space="preserve"> i eko</w:t>
      </w:r>
      <w:r w:rsidRPr="00A5335D">
        <w:rPr>
          <w:rFonts w:ascii="Times New Roman" w:hAnsi="Times New Roman"/>
          <w:noProof/>
          <w:sz w:val="24"/>
          <w:szCs w:val="24"/>
        </w:rPr>
        <w:t>nomiczne przemawiające za ustanowieniem skuteczniejszych legalnych ścieżek migracji do Europy. Należy jednak pamiętać, że sytuacja</w:t>
      </w:r>
      <w:r w:rsidR="00A5335D" w:rsidRPr="00A5335D">
        <w:rPr>
          <w:rFonts w:ascii="Times New Roman" w:hAnsi="Times New Roman"/>
          <w:noProof/>
          <w:sz w:val="24"/>
          <w:szCs w:val="24"/>
        </w:rPr>
        <w:t xml:space="preserve"> i pol</w:t>
      </w:r>
      <w:r w:rsidRPr="00A5335D">
        <w:rPr>
          <w:rFonts w:ascii="Times New Roman" w:hAnsi="Times New Roman"/>
          <w:noProof/>
          <w:sz w:val="24"/>
          <w:szCs w:val="24"/>
        </w:rPr>
        <w:t>ityka poszczególnych państw członkowskich UE</w:t>
      </w:r>
      <w:r w:rsidR="00A5335D" w:rsidRPr="00A5335D">
        <w:rPr>
          <w:rFonts w:ascii="Times New Roman" w:hAnsi="Times New Roman"/>
          <w:noProof/>
          <w:sz w:val="24"/>
          <w:szCs w:val="24"/>
        </w:rPr>
        <w:t xml:space="preserve"> w tym</w:t>
      </w:r>
      <w:r w:rsidRPr="00A5335D">
        <w:rPr>
          <w:rFonts w:ascii="Times New Roman" w:hAnsi="Times New Roman"/>
          <w:noProof/>
          <w:sz w:val="24"/>
          <w:szCs w:val="24"/>
        </w:rPr>
        <w:t xml:space="preserve"> zakresie często się różnią. Legalna migracja jest </w:t>
      </w:r>
      <w:r w:rsidRPr="00A5335D">
        <w:rPr>
          <w:rFonts w:ascii="Times New Roman" w:hAnsi="Times New Roman"/>
          <w:b/>
          <w:bCs/>
          <w:noProof/>
          <w:sz w:val="24"/>
          <w:szCs w:val="24"/>
        </w:rPr>
        <w:t>przedmiotem kompetencji dzielonych Unii Europejskiej</w:t>
      </w:r>
      <w:r w:rsidR="00A5335D" w:rsidRPr="00A5335D">
        <w:rPr>
          <w:rFonts w:ascii="Times New Roman" w:hAnsi="Times New Roman"/>
          <w:b/>
          <w:bCs/>
          <w:noProof/>
          <w:sz w:val="24"/>
          <w:szCs w:val="24"/>
        </w:rPr>
        <w:t xml:space="preserve"> i jej</w:t>
      </w:r>
      <w:r w:rsidRPr="00A5335D">
        <w:rPr>
          <w:rFonts w:ascii="Times New Roman" w:hAnsi="Times New Roman"/>
          <w:b/>
          <w:bCs/>
          <w:noProof/>
          <w:sz w:val="24"/>
          <w:szCs w:val="24"/>
        </w:rPr>
        <w:t xml:space="preserve"> państw członkowskich</w:t>
      </w:r>
      <w:r w:rsidRPr="00A5335D">
        <w:rPr>
          <w:rFonts w:ascii="Times New Roman" w:hAnsi="Times New Roman"/>
          <w:noProof/>
          <w:sz w:val="24"/>
          <w:szCs w:val="24"/>
        </w:rPr>
        <w:t>. Tylko państwa członkowskie posiadają kompetencje, aby decydować</w:t>
      </w:r>
      <w:r w:rsidR="00A5335D" w:rsidRPr="00A5335D">
        <w:rPr>
          <w:rFonts w:ascii="Times New Roman" w:hAnsi="Times New Roman"/>
          <w:noProof/>
          <w:sz w:val="24"/>
          <w:szCs w:val="24"/>
        </w:rPr>
        <w:t xml:space="preserve"> o lic</w:t>
      </w:r>
      <w:r w:rsidRPr="00A5335D">
        <w:rPr>
          <w:rFonts w:ascii="Times New Roman" w:hAnsi="Times New Roman"/>
          <w:noProof/>
          <w:sz w:val="24"/>
          <w:szCs w:val="24"/>
        </w:rPr>
        <w:t>zbie obywateli państw trzecich wjeżdżających na ich terytorium</w:t>
      </w:r>
      <w:r w:rsidR="00A5335D" w:rsidRPr="00A5335D">
        <w:rPr>
          <w:rFonts w:ascii="Times New Roman" w:hAnsi="Times New Roman"/>
          <w:noProof/>
          <w:sz w:val="24"/>
          <w:szCs w:val="24"/>
        </w:rPr>
        <w:t xml:space="preserve"> w cel</w:t>
      </w:r>
      <w:r w:rsidRPr="00A5335D">
        <w:rPr>
          <w:rFonts w:ascii="Times New Roman" w:hAnsi="Times New Roman"/>
          <w:noProof/>
          <w:sz w:val="24"/>
          <w:szCs w:val="24"/>
        </w:rPr>
        <w:t>u znalezienia pracy.</w:t>
      </w:r>
    </w:p>
    <w:p w14:paraId="27CEFC96" w14:textId="7E2E2424" w:rsidR="00942FC0" w:rsidRPr="00A5335D" w:rsidRDefault="00B33141" w:rsidP="00D81FB2">
      <w:pPr>
        <w:spacing w:after="120"/>
        <w:jc w:val="both"/>
        <w:rPr>
          <w:rFonts w:ascii="Times New Roman" w:hAnsi="Times New Roman" w:cs="Times New Roman"/>
          <w:noProof/>
          <w:sz w:val="24"/>
          <w:szCs w:val="24"/>
        </w:rPr>
      </w:pPr>
      <w:r w:rsidRPr="00A5335D">
        <w:rPr>
          <w:rFonts w:ascii="Times New Roman" w:hAnsi="Times New Roman"/>
          <w:noProof/>
          <w:sz w:val="24"/>
          <w:szCs w:val="24"/>
        </w:rPr>
        <w:t xml:space="preserve">W tym kontekście należy dążyć do </w:t>
      </w:r>
      <w:r w:rsidRPr="00A5335D">
        <w:rPr>
          <w:rFonts w:ascii="Times New Roman" w:hAnsi="Times New Roman"/>
          <w:b/>
          <w:noProof/>
          <w:sz w:val="24"/>
          <w:szCs w:val="24"/>
        </w:rPr>
        <w:t>realistycznych, pragmatycznych</w:t>
      </w:r>
      <w:r w:rsidR="00A5335D" w:rsidRPr="00A5335D">
        <w:rPr>
          <w:rFonts w:ascii="Times New Roman" w:hAnsi="Times New Roman"/>
          <w:b/>
          <w:noProof/>
          <w:sz w:val="24"/>
          <w:szCs w:val="24"/>
        </w:rPr>
        <w:t xml:space="preserve"> i sto</w:t>
      </w:r>
      <w:r w:rsidRPr="00A5335D">
        <w:rPr>
          <w:rFonts w:ascii="Times New Roman" w:hAnsi="Times New Roman"/>
          <w:b/>
          <w:noProof/>
          <w:sz w:val="24"/>
          <w:szCs w:val="24"/>
        </w:rPr>
        <w:t>pniowych postępów</w:t>
      </w:r>
      <w:r w:rsidRPr="00A5335D">
        <w:rPr>
          <w:rFonts w:ascii="Times New Roman" w:hAnsi="Times New Roman"/>
          <w:noProof/>
          <w:sz w:val="24"/>
          <w:szCs w:val="24"/>
        </w:rPr>
        <w:t>. Prawodawstwo umożliwia ustalenie wspólnych zasad. Inicjatywy operacyjne, koordynowane</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stwami członkowskimi, Parlamentem Europejskim</w:t>
      </w:r>
      <w:r w:rsidR="00A5335D" w:rsidRPr="00A5335D">
        <w:rPr>
          <w:rFonts w:ascii="Times New Roman" w:hAnsi="Times New Roman"/>
          <w:noProof/>
          <w:sz w:val="24"/>
          <w:szCs w:val="24"/>
        </w:rPr>
        <w:t xml:space="preserve"> i pań</w:t>
      </w:r>
      <w:r w:rsidRPr="00A5335D">
        <w:rPr>
          <w:rFonts w:ascii="Times New Roman" w:hAnsi="Times New Roman"/>
          <w:noProof/>
          <w:sz w:val="24"/>
          <w:szCs w:val="24"/>
        </w:rPr>
        <w:t>stwami trzecimi, umożliwiają podejmowanie konkretnych</w:t>
      </w:r>
      <w:r w:rsidR="00A5335D" w:rsidRPr="00A5335D">
        <w:rPr>
          <w:rFonts w:ascii="Times New Roman" w:hAnsi="Times New Roman"/>
          <w:noProof/>
          <w:sz w:val="24"/>
          <w:szCs w:val="24"/>
        </w:rPr>
        <w:t xml:space="preserve"> i pra</w:t>
      </w:r>
      <w:r w:rsidRPr="00A5335D">
        <w:rPr>
          <w:rFonts w:ascii="Times New Roman" w:hAnsi="Times New Roman"/>
          <w:noProof/>
          <w:sz w:val="24"/>
          <w:szCs w:val="24"/>
        </w:rPr>
        <w:t>gmatycznych działań. Nowe inicjatywy polityczne stwarzają możliwości dla przyszłych działań. Razem stanowią podstawę wspólnego europejskiego podejścia do legalnej migracji, zgodnego</w:t>
      </w:r>
      <w:r w:rsidR="00A5335D" w:rsidRPr="00A5335D">
        <w:rPr>
          <w:rFonts w:ascii="Times New Roman" w:hAnsi="Times New Roman"/>
          <w:noProof/>
          <w:sz w:val="24"/>
          <w:szCs w:val="24"/>
        </w:rPr>
        <w:t xml:space="preserve"> z war</w:t>
      </w:r>
      <w:r w:rsidRPr="00A5335D">
        <w:rPr>
          <w:rFonts w:ascii="Times New Roman" w:hAnsi="Times New Roman"/>
          <w:noProof/>
          <w:sz w:val="24"/>
          <w:szCs w:val="24"/>
        </w:rPr>
        <w:t>tościami europejskimi</w:t>
      </w:r>
      <w:r w:rsidR="00A5335D" w:rsidRPr="00A5335D">
        <w:rPr>
          <w:rFonts w:ascii="Times New Roman" w:hAnsi="Times New Roman"/>
          <w:noProof/>
          <w:sz w:val="24"/>
          <w:szCs w:val="24"/>
        </w:rPr>
        <w:t xml:space="preserve"> i zdo</w:t>
      </w:r>
      <w:r w:rsidRPr="00A5335D">
        <w:rPr>
          <w:rFonts w:ascii="Times New Roman" w:hAnsi="Times New Roman"/>
          <w:noProof/>
          <w:sz w:val="24"/>
          <w:szCs w:val="24"/>
        </w:rPr>
        <w:t>lnego do stawienia czoła wspólnym wyzwaniom.</w:t>
      </w:r>
    </w:p>
    <w:p w14:paraId="27CEFC97" w14:textId="746D1994" w:rsidR="005D11F5" w:rsidRPr="00A5335D" w:rsidRDefault="005D11F5" w:rsidP="00834BBD">
      <w:pPr>
        <w:jc w:val="both"/>
        <w:rPr>
          <w:rFonts w:ascii="Times New Roman" w:hAnsi="Times New Roman" w:cs="Times New Roman"/>
          <w:b/>
          <w:bCs/>
          <w:i/>
          <w:noProof/>
          <w:sz w:val="24"/>
          <w:szCs w:val="24"/>
        </w:rPr>
      </w:pPr>
      <w:r w:rsidRPr="00A5335D">
        <w:rPr>
          <w:rFonts w:ascii="Times New Roman" w:hAnsi="Times New Roman"/>
          <w:b/>
          <w:bCs/>
          <w:i/>
          <w:noProof/>
          <w:sz w:val="24"/>
          <w:szCs w:val="24"/>
        </w:rPr>
        <w:t>Kontekst demograficzny</w:t>
      </w:r>
      <w:r w:rsidR="00A5335D" w:rsidRPr="00A5335D">
        <w:rPr>
          <w:rFonts w:ascii="Times New Roman" w:hAnsi="Times New Roman"/>
          <w:b/>
          <w:bCs/>
          <w:i/>
          <w:noProof/>
          <w:sz w:val="24"/>
          <w:szCs w:val="24"/>
        </w:rPr>
        <w:t xml:space="preserve"> i klu</w:t>
      </w:r>
      <w:r w:rsidRPr="00A5335D">
        <w:rPr>
          <w:rFonts w:ascii="Times New Roman" w:hAnsi="Times New Roman"/>
          <w:b/>
          <w:bCs/>
          <w:i/>
          <w:noProof/>
          <w:sz w:val="24"/>
          <w:szCs w:val="24"/>
        </w:rPr>
        <w:t>czowe wyzwania</w:t>
      </w:r>
    </w:p>
    <w:p w14:paraId="27CEFC98" w14:textId="67AA83E0" w:rsidR="00A25958" w:rsidRPr="00A5335D" w:rsidRDefault="00A25958" w:rsidP="00A25958">
      <w:pPr>
        <w:jc w:val="both"/>
        <w:rPr>
          <w:rFonts w:ascii="Times New Roman" w:hAnsi="Times New Roman" w:cs="Times New Roman"/>
          <w:noProof/>
          <w:sz w:val="24"/>
          <w:szCs w:val="24"/>
        </w:rPr>
      </w:pPr>
      <w:r w:rsidRPr="00A5335D">
        <w:rPr>
          <w:rFonts w:ascii="Times New Roman" w:hAnsi="Times New Roman"/>
          <w:b/>
          <w:noProof/>
          <w:sz w:val="24"/>
          <w:szCs w:val="24"/>
        </w:rPr>
        <w:t>Jednocześnie ludność</w:t>
      </w:r>
      <w:r w:rsidR="00A5335D" w:rsidRPr="00A5335D">
        <w:rPr>
          <w:rFonts w:ascii="Times New Roman" w:hAnsi="Times New Roman"/>
          <w:b/>
          <w:noProof/>
          <w:sz w:val="24"/>
          <w:szCs w:val="24"/>
        </w:rPr>
        <w:t xml:space="preserve"> w wie</w:t>
      </w:r>
      <w:r w:rsidRPr="00A5335D">
        <w:rPr>
          <w:rFonts w:ascii="Times New Roman" w:hAnsi="Times New Roman"/>
          <w:b/>
          <w:noProof/>
          <w:sz w:val="24"/>
          <w:szCs w:val="24"/>
        </w:rPr>
        <w:t>ku produkcyjnym w UE starzeje się</w:t>
      </w:r>
      <w:r w:rsidR="00A5335D" w:rsidRPr="00A5335D">
        <w:rPr>
          <w:rFonts w:ascii="Times New Roman" w:hAnsi="Times New Roman"/>
          <w:b/>
          <w:noProof/>
          <w:sz w:val="24"/>
          <w:szCs w:val="24"/>
        </w:rPr>
        <w:t xml:space="preserve"> i mal</w:t>
      </w:r>
      <w:r w:rsidRPr="00A5335D">
        <w:rPr>
          <w:rFonts w:ascii="Times New Roman" w:hAnsi="Times New Roman"/>
          <w:b/>
          <w:noProof/>
          <w:sz w:val="24"/>
          <w:szCs w:val="24"/>
        </w:rPr>
        <w:t>eje jej liczba.</w:t>
      </w:r>
      <w:r w:rsidRPr="00A5335D">
        <w:rPr>
          <w:rFonts w:ascii="Times New Roman" w:hAnsi="Times New Roman"/>
          <w:noProof/>
          <w:sz w:val="24"/>
          <w:szCs w:val="24"/>
        </w:rPr>
        <w:t xml:space="preserve"> Do 2070</w:t>
      </w:r>
      <w:r w:rsidR="00A5335D" w:rsidRPr="00A5335D">
        <w:rPr>
          <w:rFonts w:ascii="Times New Roman" w:hAnsi="Times New Roman"/>
          <w:noProof/>
          <w:sz w:val="24"/>
          <w:szCs w:val="24"/>
        </w:rPr>
        <w:t> </w:t>
      </w:r>
      <w:r w:rsidRPr="00A5335D">
        <w:rPr>
          <w:rFonts w:ascii="Times New Roman" w:hAnsi="Times New Roman"/>
          <w:noProof/>
          <w:sz w:val="24"/>
          <w:szCs w:val="24"/>
        </w:rPr>
        <w:t>r. liczba ludności</w:t>
      </w:r>
      <w:r w:rsidR="00A5335D" w:rsidRPr="00A5335D">
        <w:rPr>
          <w:rFonts w:ascii="Times New Roman" w:hAnsi="Times New Roman"/>
          <w:noProof/>
          <w:sz w:val="24"/>
          <w:szCs w:val="24"/>
        </w:rPr>
        <w:t xml:space="preserve"> w wie</w:t>
      </w:r>
      <w:r w:rsidRPr="00A5335D">
        <w:rPr>
          <w:rFonts w:ascii="Times New Roman" w:hAnsi="Times New Roman"/>
          <w:noProof/>
          <w:sz w:val="24"/>
          <w:szCs w:val="24"/>
        </w:rPr>
        <w:t>ku produkcyjnym zmniejszy się</w:t>
      </w:r>
      <w:r w:rsidR="00A5335D" w:rsidRPr="00A5335D">
        <w:rPr>
          <w:rFonts w:ascii="Times New Roman" w:hAnsi="Times New Roman"/>
          <w:noProof/>
          <w:sz w:val="24"/>
          <w:szCs w:val="24"/>
        </w:rPr>
        <w:t xml:space="preserve"> z oko</w:t>
      </w:r>
      <w:r w:rsidRPr="00A5335D">
        <w:rPr>
          <w:rFonts w:ascii="Times New Roman" w:hAnsi="Times New Roman"/>
          <w:noProof/>
          <w:sz w:val="24"/>
          <w:szCs w:val="24"/>
        </w:rPr>
        <w:t>ło 65</w:t>
      </w:r>
      <w:r w:rsidR="00A5335D" w:rsidRPr="00A5335D">
        <w:rPr>
          <w:rFonts w:ascii="Times New Roman" w:hAnsi="Times New Roman"/>
          <w:noProof/>
          <w:sz w:val="24"/>
          <w:szCs w:val="24"/>
        </w:rPr>
        <w:t> </w:t>
      </w:r>
      <w:r w:rsidRPr="00A5335D">
        <w:rPr>
          <w:rFonts w:ascii="Times New Roman" w:hAnsi="Times New Roman"/>
          <w:noProof/>
          <w:sz w:val="24"/>
          <w:szCs w:val="24"/>
        </w:rPr>
        <w:t>%</w:t>
      </w:r>
      <w:r w:rsidR="00A5335D" w:rsidRPr="00A5335D">
        <w:rPr>
          <w:rFonts w:ascii="Times New Roman" w:hAnsi="Times New Roman"/>
          <w:noProof/>
          <w:sz w:val="24"/>
          <w:szCs w:val="24"/>
        </w:rPr>
        <w:t xml:space="preserve"> w 2</w:t>
      </w:r>
      <w:r w:rsidRPr="00A5335D">
        <w:rPr>
          <w:rFonts w:ascii="Times New Roman" w:hAnsi="Times New Roman"/>
          <w:noProof/>
          <w:sz w:val="24"/>
          <w:szCs w:val="24"/>
        </w:rPr>
        <w:t>019</w:t>
      </w:r>
      <w:r w:rsidR="00A5335D" w:rsidRPr="00A5335D">
        <w:rPr>
          <w:rFonts w:ascii="Times New Roman" w:hAnsi="Times New Roman"/>
          <w:noProof/>
          <w:sz w:val="24"/>
          <w:szCs w:val="24"/>
        </w:rPr>
        <w:t> </w:t>
      </w:r>
      <w:r w:rsidRPr="00A5335D">
        <w:rPr>
          <w:rFonts w:ascii="Times New Roman" w:hAnsi="Times New Roman"/>
          <w:noProof/>
          <w:sz w:val="24"/>
          <w:szCs w:val="24"/>
        </w:rPr>
        <w:t>r. do</w:t>
      </w:r>
      <w:r w:rsidR="00A5335D" w:rsidRPr="00A5335D">
        <w:rPr>
          <w:rFonts w:ascii="Times New Roman" w:hAnsi="Times New Roman"/>
          <w:noProof/>
          <w:sz w:val="24"/>
          <w:szCs w:val="24"/>
        </w:rPr>
        <w:t> </w:t>
      </w:r>
      <w:r w:rsidRPr="00A5335D">
        <w:rPr>
          <w:rFonts w:ascii="Times New Roman" w:hAnsi="Times New Roman"/>
          <w:noProof/>
          <w:sz w:val="24"/>
          <w:szCs w:val="24"/>
        </w:rPr>
        <w:t>56–54</w:t>
      </w:r>
      <w:r w:rsidR="00A5335D" w:rsidRPr="00A5335D">
        <w:rPr>
          <w:rFonts w:ascii="Times New Roman" w:hAnsi="Times New Roman"/>
          <w:noProof/>
          <w:sz w:val="24"/>
          <w:szCs w:val="24"/>
        </w:rPr>
        <w:t> </w:t>
      </w:r>
      <w:r w:rsidRPr="00A5335D">
        <w:rPr>
          <w:rFonts w:ascii="Times New Roman" w:hAnsi="Times New Roman"/>
          <w:noProof/>
          <w:sz w:val="24"/>
          <w:szCs w:val="24"/>
        </w:rPr>
        <w:t>% całkowitej liczby ludności w UE-27</w:t>
      </w:r>
      <w:r w:rsidRPr="00A5335D">
        <w:rPr>
          <w:rStyle w:val="FootnoteReference"/>
          <w:rFonts w:ascii="Times New Roman" w:hAnsi="Times New Roman" w:cs="Times New Roman"/>
          <w:noProof/>
          <w:sz w:val="24"/>
          <w:szCs w:val="24"/>
        </w:rPr>
        <w:footnoteReference w:id="13"/>
      </w:r>
      <w:r w:rsidRPr="00A5335D">
        <w:rPr>
          <w:rFonts w:ascii="Times New Roman" w:hAnsi="Times New Roman"/>
          <w:noProof/>
          <w:sz w:val="24"/>
          <w:szCs w:val="24"/>
        </w:rPr>
        <w:t>.</w:t>
      </w:r>
    </w:p>
    <w:p w14:paraId="27CEFC99" w14:textId="1EDA006C" w:rsidR="007C0A65" w:rsidRPr="00A5335D" w:rsidRDefault="00BA09C4" w:rsidP="007C0A65">
      <w:pPr>
        <w:jc w:val="both"/>
        <w:rPr>
          <w:rFonts w:ascii="Times New Roman" w:hAnsi="Times New Roman" w:cs="Times New Roman"/>
          <w:noProof/>
          <w:sz w:val="24"/>
          <w:szCs w:val="24"/>
        </w:rPr>
      </w:pPr>
      <w:r w:rsidRPr="00A5335D">
        <w:rPr>
          <w:rFonts w:ascii="Times New Roman" w:hAnsi="Times New Roman"/>
          <w:b/>
          <w:bCs/>
          <w:noProof/>
          <w:sz w:val="24"/>
          <w:szCs w:val="24"/>
        </w:rPr>
        <w:t xml:space="preserve">Tendencje te </w:t>
      </w:r>
      <w:r w:rsidRPr="00A5335D">
        <w:rPr>
          <w:rFonts w:ascii="Times New Roman" w:hAnsi="Times New Roman"/>
          <w:noProof/>
          <w:sz w:val="24"/>
          <w:szCs w:val="24"/>
        </w:rPr>
        <w:t>zwiększają presję na rynki pracy, osłabiając konkurencyjność</w:t>
      </w:r>
      <w:r w:rsidR="00A5335D" w:rsidRPr="00A5335D">
        <w:rPr>
          <w:rFonts w:ascii="Times New Roman" w:hAnsi="Times New Roman"/>
          <w:noProof/>
          <w:sz w:val="24"/>
          <w:szCs w:val="24"/>
        </w:rPr>
        <w:t xml:space="preserve"> i wzr</w:t>
      </w:r>
      <w:r w:rsidRPr="00A5335D">
        <w:rPr>
          <w:rFonts w:ascii="Times New Roman" w:hAnsi="Times New Roman"/>
          <w:noProof/>
          <w:sz w:val="24"/>
          <w:szCs w:val="24"/>
        </w:rPr>
        <w:t>ost gospodarczy. Wraz ze spadkiem udziału ludności</w:t>
      </w:r>
      <w:r w:rsidR="00A5335D" w:rsidRPr="00A5335D">
        <w:rPr>
          <w:rFonts w:ascii="Times New Roman" w:hAnsi="Times New Roman"/>
          <w:noProof/>
          <w:sz w:val="24"/>
          <w:szCs w:val="24"/>
        </w:rPr>
        <w:t xml:space="preserve"> w wie</w:t>
      </w:r>
      <w:r w:rsidRPr="00A5335D">
        <w:rPr>
          <w:rFonts w:ascii="Times New Roman" w:hAnsi="Times New Roman"/>
          <w:noProof/>
          <w:sz w:val="24"/>
          <w:szCs w:val="24"/>
        </w:rPr>
        <w:t>ku produkcyjnym wzrasta udział osób starszych. Jest to szczególnie widoczne</w:t>
      </w:r>
      <w:r w:rsidR="00A5335D" w:rsidRPr="00A5335D">
        <w:rPr>
          <w:rFonts w:ascii="Times New Roman" w:hAnsi="Times New Roman"/>
          <w:noProof/>
          <w:sz w:val="24"/>
          <w:szCs w:val="24"/>
        </w:rPr>
        <w:t xml:space="preserve"> w nie</w:t>
      </w:r>
      <w:r w:rsidRPr="00A5335D">
        <w:rPr>
          <w:rFonts w:ascii="Times New Roman" w:hAnsi="Times New Roman"/>
          <w:noProof/>
          <w:sz w:val="24"/>
          <w:szCs w:val="24"/>
        </w:rPr>
        <w:t>których państwach członkowskich</w:t>
      </w:r>
      <w:r w:rsidR="007C0A65" w:rsidRPr="00A5335D">
        <w:rPr>
          <w:rFonts w:ascii="Times New Roman" w:hAnsi="Times New Roman" w:cs="Times New Roman"/>
          <w:noProof/>
          <w:sz w:val="24"/>
          <w:szCs w:val="24"/>
          <w:vertAlign w:val="superscript"/>
        </w:rPr>
        <w:footnoteReference w:id="14"/>
      </w:r>
      <w:r w:rsidRPr="00A5335D">
        <w:rPr>
          <w:rFonts w:ascii="Times New Roman" w:hAnsi="Times New Roman"/>
          <w:noProof/>
          <w:sz w:val="24"/>
          <w:szCs w:val="24"/>
        </w:rPr>
        <w:t>. Niektóre regiony UE bardziej niż inne odczuwają skutki zmniejszania się liczby ludności</w:t>
      </w:r>
      <w:r w:rsidR="00A5335D" w:rsidRPr="00A5335D">
        <w:rPr>
          <w:rFonts w:ascii="Times New Roman" w:hAnsi="Times New Roman"/>
          <w:noProof/>
          <w:sz w:val="24"/>
          <w:szCs w:val="24"/>
        </w:rPr>
        <w:t xml:space="preserve"> w wie</w:t>
      </w:r>
      <w:r w:rsidRPr="00A5335D">
        <w:rPr>
          <w:rFonts w:ascii="Times New Roman" w:hAnsi="Times New Roman"/>
          <w:noProof/>
          <w:sz w:val="24"/>
          <w:szCs w:val="24"/>
        </w:rPr>
        <w:t>ku produkcyjnym, przy czym najbardziej dotknięte są obszary wiejskie. Zmniejszająca się liczba ludności</w:t>
      </w:r>
      <w:r w:rsidR="00A5335D" w:rsidRPr="00A5335D">
        <w:rPr>
          <w:rFonts w:ascii="Times New Roman" w:hAnsi="Times New Roman"/>
          <w:noProof/>
          <w:sz w:val="24"/>
          <w:szCs w:val="24"/>
        </w:rPr>
        <w:t xml:space="preserve"> w wie</w:t>
      </w:r>
      <w:r w:rsidRPr="00A5335D">
        <w:rPr>
          <w:rFonts w:ascii="Times New Roman" w:hAnsi="Times New Roman"/>
          <w:noProof/>
          <w:sz w:val="24"/>
          <w:szCs w:val="24"/>
        </w:rPr>
        <w:t>ku produkcyjnym wywiera większą presję na nasze systemy emerytalne</w:t>
      </w:r>
      <w:r w:rsidR="00A5335D" w:rsidRPr="00A5335D">
        <w:rPr>
          <w:rFonts w:ascii="Times New Roman" w:hAnsi="Times New Roman"/>
          <w:noProof/>
          <w:sz w:val="24"/>
          <w:szCs w:val="24"/>
        </w:rPr>
        <w:t xml:space="preserve"> i och</w:t>
      </w:r>
      <w:r w:rsidRPr="00A5335D">
        <w:rPr>
          <w:rFonts w:ascii="Times New Roman" w:hAnsi="Times New Roman"/>
          <w:noProof/>
          <w:sz w:val="24"/>
          <w:szCs w:val="24"/>
        </w:rPr>
        <w:t xml:space="preserve">rony socjalnej, stawiając pod znakiem zapytania ich długoterminową stabilność. </w:t>
      </w:r>
    </w:p>
    <w:p w14:paraId="27CEFC9A" w14:textId="7412B770" w:rsidR="007C0A65" w:rsidRPr="00A5335D" w:rsidRDefault="007C0A65" w:rsidP="007C0A65">
      <w:pPr>
        <w:jc w:val="both"/>
        <w:rPr>
          <w:rFonts w:ascii="Times New Roman" w:hAnsi="Times New Roman" w:cs="Times New Roman"/>
          <w:noProof/>
          <w:sz w:val="24"/>
          <w:szCs w:val="24"/>
        </w:rPr>
      </w:pPr>
      <w:r w:rsidRPr="00A5335D">
        <w:rPr>
          <w:rFonts w:ascii="Times New Roman" w:hAnsi="Times New Roman"/>
          <w:b/>
          <w:bCs/>
          <w:noProof/>
          <w:sz w:val="24"/>
          <w:szCs w:val="24"/>
        </w:rPr>
        <w:t>Ponadto UE musi zająć się problemem niedoborów pracowników</w:t>
      </w:r>
      <w:r w:rsidR="00A5335D" w:rsidRPr="00A5335D">
        <w:rPr>
          <w:rFonts w:ascii="Times New Roman" w:hAnsi="Times New Roman"/>
          <w:b/>
          <w:bCs/>
          <w:noProof/>
          <w:sz w:val="24"/>
          <w:szCs w:val="24"/>
        </w:rPr>
        <w:t xml:space="preserve"> w okr</w:t>
      </w:r>
      <w:r w:rsidRPr="00A5335D">
        <w:rPr>
          <w:rFonts w:ascii="Times New Roman" w:hAnsi="Times New Roman"/>
          <w:b/>
          <w:bCs/>
          <w:noProof/>
          <w:sz w:val="24"/>
          <w:szCs w:val="24"/>
        </w:rPr>
        <w:t>eślonych sektorach</w:t>
      </w:r>
      <w:r w:rsidRPr="00A5335D">
        <w:rPr>
          <w:rStyle w:val="FootnoteReference"/>
          <w:rFonts w:ascii="Times New Roman" w:hAnsi="Times New Roman" w:cs="Times New Roman"/>
          <w:noProof/>
          <w:sz w:val="24"/>
          <w:szCs w:val="24"/>
        </w:rPr>
        <w:footnoteReference w:id="15"/>
      </w:r>
      <w:r w:rsidR="00A5335D" w:rsidRPr="00A5335D">
        <w:rPr>
          <w:rFonts w:ascii="Times New Roman" w:hAnsi="Times New Roman"/>
          <w:b/>
          <w:bCs/>
          <w:noProof/>
          <w:sz w:val="24"/>
          <w:szCs w:val="24"/>
        </w:rPr>
        <w:t xml:space="preserve"> i reg</w:t>
      </w:r>
      <w:r w:rsidRPr="00A5335D">
        <w:rPr>
          <w:rFonts w:ascii="Times New Roman" w:hAnsi="Times New Roman"/>
          <w:b/>
          <w:bCs/>
          <w:noProof/>
          <w:sz w:val="24"/>
          <w:szCs w:val="24"/>
        </w:rPr>
        <w:t>ionach</w:t>
      </w:r>
      <w:r w:rsidRPr="00A5335D">
        <w:rPr>
          <w:rFonts w:ascii="Times New Roman" w:hAnsi="Times New Roman"/>
          <w:noProof/>
          <w:sz w:val="24"/>
          <w:szCs w:val="24"/>
        </w:rPr>
        <w:t>, obejmujących wszystkie poziomy umiejętności: Pracodawcy w UE stoją</w:t>
      </w:r>
      <w:r w:rsidR="00A5335D" w:rsidRPr="00A5335D">
        <w:rPr>
          <w:rFonts w:ascii="Times New Roman" w:hAnsi="Times New Roman"/>
          <w:noProof/>
          <w:sz w:val="24"/>
          <w:szCs w:val="24"/>
        </w:rPr>
        <w:t xml:space="preserve"> w obl</w:t>
      </w:r>
      <w:r w:rsidRPr="00A5335D">
        <w:rPr>
          <w:rFonts w:ascii="Times New Roman" w:hAnsi="Times New Roman"/>
          <w:noProof/>
          <w:sz w:val="24"/>
          <w:szCs w:val="24"/>
        </w:rPr>
        <w:t>iczu niedoboru pracowników aż</w:t>
      </w:r>
      <w:r w:rsidR="00A5335D" w:rsidRPr="00A5335D">
        <w:rPr>
          <w:rFonts w:ascii="Times New Roman" w:hAnsi="Times New Roman"/>
          <w:noProof/>
          <w:sz w:val="24"/>
          <w:szCs w:val="24"/>
        </w:rPr>
        <w:t xml:space="preserve"> w 2</w:t>
      </w:r>
      <w:r w:rsidRPr="00A5335D">
        <w:rPr>
          <w:rFonts w:ascii="Times New Roman" w:hAnsi="Times New Roman"/>
          <w:noProof/>
          <w:sz w:val="24"/>
          <w:szCs w:val="24"/>
        </w:rPr>
        <w:t>8 zawodach,</w:t>
      </w:r>
      <w:r w:rsidR="00A5335D" w:rsidRPr="00A5335D">
        <w:rPr>
          <w:rFonts w:ascii="Times New Roman" w:hAnsi="Times New Roman"/>
          <w:noProof/>
          <w:sz w:val="24"/>
          <w:szCs w:val="24"/>
        </w:rPr>
        <w:t xml:space="preserve"> w któ</w:t>
      </w:r>
      <w:r w:rsidRPr="00A5335D">
        <w:rPr>
          <w:rFonts w:ascii="Times New Roman" w:hAnsi="Times New Roman"/>
          <w:noProof/>
          <w:sz w:val="24"/>
          <w:szCs w:val="24"/>
        </w:rPr>
        <w:t>rych</w:t>
      </w:r>
      <w:r w:rsidR="00A5335D" w:rsidRPr="00A5335D">
        <w:rPr>
          <w:rFonts w:ascii="Times New Roman" w:hAnsi="Times New Roman"/>
          <w:noProof/>
          <w:sz w:val="24"/>
          <w:szCs w:val="24"/>
        </w:rPr>
        <w:t xml:space="preserve"> w 2</w:t>
      </w:r>
      <w:r w:rsidRPr="00A5335D">
        <w:rPr>
          <w:rFonts w:ascii="Times New Roman" w:hAnsi="Times New Roman"/>
          <w:noProof/>
          <w:sz w:val="24"/>
          <w:szCs w:val="24"/>
        </w:rPr>
        <w:t>020</w:t>
      </w:r>
      <w:r w:rsidR="00A5335D" w:rsidRPr="00A5335D">
        <w:rPr>
          <w:rFonts w:ascii="Times New Roman" w:hAnsi="Times New Roman"/>
          <w:noProof/>
          <w:sz w:val="24"/>
          <w:szCs w:val="24"/>
        </w:rPr>
        <w:t> </w:t>
      </w:r>
      <w:r w:rsidRPr="00A5335D">
        <w:rPr>
          <w:rFonts w:ascii="Times New Roman" w:hAnsi="Times New Roman"/>
          <w:noProof/>
          <w:sz w:val="24"/>
          <w:szCs w:val="24"/>
        </w:rPr>
        <w:t>r. zatrudnionych będzie 14</w:t>
      </w:r>
      <w:r w:rsidR="00A5335D" w:rsidRPr="00A5335D">
        <w:rPr>
          <w:rFonts w:ascii="Times New Roman" w:hAnsi="Times New Roman"/>
          <w:noProof/>
          <w:sz w:val="24"/>
          <w:szCs w:val="24"/>
        </w:rPr>
        <w:t> </w:t>
      </w:r>
      <w:r w:rsidRPr="00A5335D">
        <w:rPr>
          <w:rFonts w:ascii="Times New Roman" w:hAnsi="Times New Roman"/>
          <w:noProof/>
          <w:sz w:val="24"/>
          <w:szCs w:val="24"/>
        </w:rPr>
        <w:t>% siły roboczej UE. Do zawodów tych należą hydraulicy</w:t>
      </w:r>
      <w:r w:rsidR="00A5335D" w:rsidRPr="00A5335D">
        <w:rPr>
          <w:rFonts w:ascii="Times New Roman" w:hAnsi="Times New Roman"/>
          <w:noProof/>
          <w:sz w:val="24"/>
          <w:szCs w:val="24"/>
        </w:rPr>
        <w:t xml:space="preserve"> i mon</w:t>
      </w:r>
      <w:r w:rsidRPr="00A5335D">
        <w:rPr>
          <w:rFonts w:ascii="Times New Roman" w:hAnsi="Times New Roman"/>
          <w:noProof/>
          <w:sz w:val="24"/>
          <w:szCs w:val="24"/>
        </w:rPr>
        <w:t>terzy rurociągów, pielęgniarze</w:t>
      </w:r>
      <w:r w:rsidR="00A5335D" w:rsidRPr="00A5335D">
        <w:rPr>
          <w:rFonts w:ascii="Times New Roman" w:hAnsi="Times New Roman"/>
          <w:noProof/>
          <w:sz w:val="24"/>
          <w:szCs w:val="24"/>
        </w:rPr>
        <w:t xml:space="preserve"> i pie</w:t>
      </w:r>
      <w:r w:rsidRPr="00A5335D">
        <w:rPr>
          <w:rFonts w:ascii="Times New Roman" w:hAnsi="Times New Roman"/>
          <w:noProof/>
          <w:sz w:val="24"/>
          <w:szCs w:val="24"/>
        </w:rPr>
        <w:t>lęgniarki, analitycy systemów, spawacze</w:t>
      </w:r>
      <w:r w:rsidR="00A5335D" w:rsidRPr="00A5335D">
        <w:rPr>
          <w:rFonts w:ascii="Times New Roman" w:hAnsi="Times New Roman"/>
          <w:noProof/>
          <w:sz w:val="24"/>
          <w:szCs w:val="24"/>
        </w:rPr>
        <w:t xml:space="preserve"> i fre</w:t>
      </w:r>
      <w:r w:rsidRPr="00A5335D">
        <w:rPr>
          <w:rFonts w:ascii="Times New Roman" w:hAnsi="Times New Roman"/>
          <w:noProof/>
          <w:sz w:val="24"/>
          <w:szCs w:val="24"/>
        </w:rPr>
        <w:t>zerzy, kierowcy samochodów ciężarowych</w:t>
      </w:r>
      <w:r w:rsidR="00A5335D" w:rsidRPr="00A5335D">
        <w:rPr>
          <w:rFonts w:ascii="Times New Roman" w:hAnsi="Times New Roman"/>
          <w:noProof/>
          <w:sz w:val="24"/>
          <w:szCs w:val="24"/>
        </w:rPr>
        <w:t xml:space="preserve"> i dos</w:t>
      </w:r>
      <w:r w:rsidRPr="00A5335D">
        <w:rPr>
          <w:rFonts w:ascii="Times New Roman" w:hAnsi="Times New Roman"/>
          <w:noProof/>
          <w:sz w:val="24"/>
          <w:szCs w:val="24"/>
        </w:rPr>
        <w:t>tawczych, inżynierowie budownictwa</w:t>
      </w:r>
      <w:r w:rsidR="00A5335D" w:rsidRPr="00A5335D">
        <w:rPr>
          <w:rFonts w:ascii="Times New Roman" w:hAnsi="Times New Roman"/>
          <w:noProof/>
          <w:sz w:val="24"/>
          <w:szCs w:val="24"/>
        </w:rPr>
        <w:t xml:space="preserve"> i pro</w:t>
      </w:r>
      <w:r w:rsidRPr="00A5335D">
        <w:rPr>
          <w:rFonts w:ascii="Times New Roman" w:hAnsi="Times New Roman"/>
          <w:noProof/>
          <w:sz w:val="24"/>
          <w:szCs w:val="24"/>
        </w:rPr>
        <w:t>gramiści</w:t>
      </w:r>
      <w:r w:rsidRPr="00A5335D">
        <w:rPr>
          <w:rStyle w:val="FootnoteReference"/>
          <w:rFonts w:ascii="Times New Roman" w:hAnsi="Times New Roman" w:cs="Times New Roman"/>
          <w:noProof/>
          <w:sz w:val="24"/>
          <w:szCs w:val="24"/>
        </w:rPr>
        <w:footnoteReference w:id="16"/>
      </w:r>
      <w:r w:rsidRPr="00A5335D">
        <w:rPr>
          <w:rFonts w:ascii="Times New Roman" w:hAnsi="Times New Roman"/>
          <w:noProof/>
          <w:sz w:val="24"/>
          <w:szCs w:val="24"/>
        </w:rPr>
        <w:t>. Niedobory siły roboczej są również widoczne na poziomie regionalnym, np. ze względu na różnice</w:t>
      </w:r>
      <w:r w:rsidR="00A5335D" w:rsidRPr="00A5335D">
        <w:rPr>
          <w:rFonts w:ascii="Times New Roman" w:hAnsi="Times New Roman"/>
          <w:noProof/>
          <w:sz w:val="24"/>
          <w:szCs w:val="24"/>
        </w:rPr>
        <w:t xml:space="preserve"> w poz</w:t>
      </w:r>
      <w:r w:rsidRPr="00A5335D">
        <w:rPr>
          <w:rFonts w:ascii="Times New Roman" w:hAnsi="Times New Roman"/>
          <w:noProof/>
          <w:sz w:val="24"/>
          <w:szCs w:val="24"/>
        </w:rPr>
        <w:t>iomie rozwoju poszczególnych regionów, obecność obszarów miejskich, rozbieżności między regionalnymi rynkami pracy czy też różnice</w:t>
      </w:r>
      <w:r w:rsidR="00A5335D" w:rsidRPr="00A5335D">
        <w:rPr>
          <w:rFonts w:ascii="Times New Roman" w:hAnsi="Times New Roman"/>
          <w:noProof/>
          <w:sz w:val="24"/>
          <w:szCs w:val="24"/>
        </w:rPr>
        <w:t xml:space="preserve"> w war</w:t>
      </w:r>
      <w:r w:rsidRPr="00A5335D">
        <w:rPr>
          <w:rFonts w:ascii="Times New Roman" w:hAnsi="Times New Roman"/>
          <w:noProof/>
          <w:sz w:val="24"/>
          <w:szCs w:val="24"/>
        </w:rPr>
        <w:t>unkach życia</w:t>
      </w:r>
      <w:r w:rsidR="00F97E2E" w:rsidRPr="00A5335D">
        <w:rPr>
          <w:rStyle w:val="FootnoteReference"/>
          <w:rFonts w:ascii="Times New Roman" w:hAnsi="Times New Roman" w:cs="Times New Roman"/>
          <w:noProof/>
          <w:sz w:val="24"/>
          <w:szCs w:val="24"/>
        </w:rPr>
        <w:footnoteReference w:id="17"/>
      </w:r>
      <w:r w:rsidRPr="00A5335D">
        <w:rPr>
          <w:rFonts w:ascii="Times New Roman" w:hAnsi="Times New Roman"/>
          <w:noProof/>
          <w:sz w:val="24"/>
          <w:szCs w:val="24"/>
        </w:rPr>
        <w:t xml:space="preserve">. </w:t>
      </w:r>
    </w:p>
    <w:p w14:paraId="27CEFC9B" w14:textId="54132B43" w:rsidR="002E0BE1" w:rsidRPr="00A5335D" w:rsidRDefault="001228C7" w:rsidP="002E0BE1">
      <w:pPr>
        <w:jc w:val="both"/>
        <w:rPr>
          <w:rFonts w:ascii="Times New Roman" w:hAnsi="Times New Roman" w:cs="Times New Roman"/>
          <w:noProof/>
          <w:sz w:val="24"/>
          <w:szCs w:val="24"/>
        </w:rPr>
      </w:pPr>
      <w:r w:rsidRPr="00A5335D">
        <w:rPr>
          <w:rFonts w:ascii="Times New Roman" w:hAnsi="Times New Roman"/>
          <w:noProof/>
          <w:sz w:val="24"/>
          <w:szCs w:val="24"/>
        </w:rPr>
        <w:t>UE dąży do zwiększenia uczestnictwa</w:t>
      </w:r>
      <w:r w:rsidR="00A5335D" w:rsidRPr="00A5335D">
        <w:rPr>
          <w:rFonts w:ascii="Times New Roman" w:hAnsi="Times New Roman"/>
          <w:noProof/>
          <w:sz w:val="24"/>
          <w:szCs w:val="24"/>
        </w:rPr>
        <w:t xml:space="preserve"> w ryn</w:t>
      </w:r>
      <w:r w:rsidRPr="00A5335D">
        <w:rPr>
          <w:rFonts w:ascii="Times New Roman" w:hAnsi="Times New Roman"/>
          <w:noProof/>
          <w:sz w:val="24"/>
          <w:szCs w:val="24"/>
        </w:rPr>
        <w:t>ku pracy kobiet, osób starszych, osób</w:t>
      </w:r>
      <w:r w:rsidR="00A5335D" w:rsidRPr="00A5335D">
        <w:rPr>
          <w:rFonts w:ascii="Times New Roman" w:hAnsi="Times New Roman"/>
          <w:noProof/>
          <w:sz w:val="24"/>
          <w:szCs w:val="24"/>
        </w:rPr>
        <w:t xml:space="preserve"> z nie</w:t>
      </w:r>
      <w:r w:rsidRPr="00A5335D">
        <w:rPr>
          <w:rFonts w:ascii="Times New Roman" w:hAnsi="Times New Roman"/>
          <w:noProof/>
          <w:sz w:val="24"/>
          <w:szCs w:val="24"/>
        </w:rPr>
        <w:t>pełnosprawnościami, osób wywodzących się ze środowisk migracyjnych</w:t>
      </w:r>
      <w:r w:rsidR="00A5335D" w:rsidRPr="00A5335D">
        <w:rPr>
          <w:rFonts w:ascii="Times New Roman" w:hAnsi="Times New Roman"/>
          <w:noProof/>
          <w:sz w:val="24"/>
          <w:szCs w:val="24"/>
        </w:rPr>
        <w:t xml:space="preserve"> i inn</w:t>
      </w:r>
      <w:r w:rsidRPr="00A5335D">
        <w:rPr>
          <w:rFonts w:ascii="Times New Roman" w:hAnsi="Times New Roman"/>
          <w:noProof/>
          <w:sz w:val="24"/>
          <w:szCs w:val="24"/>
        </w:rPr>
        <w:t>ych grup niedostatecznie reprezentowanych. Celem UE jest również doskonalenie umiejętności przez całe życie zawodowe, zgodnie</w:t>
      </w:r>
      <w:r w:rsidR="00A5335D" w:rsidRPr="00A5335D">
        <w:rPr>
          <w:rFonts w:ascii="Times New Roman" w:hAnsi="Times New Roman"/>
          <w:noProof/>
          <w:sz w:val="24"/>
          <w:szCs w:val="24"/>
        </w:rPr>
        <w:t xml:space="preserve"> z zał</w:t>
      </w:r>
      <w:r w:rsidRPr="00A5335D">
        <w:rPr>
          <w:rFonts w:ascii="Times New Roman" w:hAnsi="Times New Roman"/>
          <w:noProof/>
          <w:sz w:val="24"/>
          <w:szCs w:val="24"/>
        </w:rPr>
        <w:t>ożeniami europejskiego programu na rzecz umiejętności</w:t>
      </w:r>
      <w:r w:rsidRPr="00A5335D">
        <w:rPr>
          <w:rStyle w:val="FootnoteReference"/>
          <w:rFonts w:ascii="Times New Roman" w:hAnsi="Times New Roman" w:cs="Times New Roman"/>
          <w:noProof/>
          <w:sz w:val="24"/>
          <w:szCs w:val="24"/>
        </w:rPr>
        <w:footnoteReference w:id="18"/>
      </w:r>
      <w:r w:rsidRPr="00A5335D">
        <w:rPr>
          <w:rFonts w:ascii="Times New Roman" w:hAnsi="Times New Roman"/>
          <w:noProof/>
          <w:sz w:val="24"/>
          <w:szCs w:val="24"/>
        </w:rPr>
        <w:t xml:space="preserve">. Aby </w:t>
      </w:r>
      <w:r w:rsidRPr="00A5335D">
        <w:rPr>
          <w:rFonts w:ascii="Times New Roman" w:hAnsi="Times New Roman"/>
          <w:b/>
          <w:bCs/>
          <w:noProof/>
          <w:sz w:val="24"/>
          <w:szCs w:val="24"/>
        </w:rPr>
        <w:t>zaspokoić te rosnące potrzeby rynku pracy, związane</w:t>
      </w:r>
      <w:r w:rsidR="00A5335D" w:rsidRPr="00A5335D">
        <w:rPr>
          <w:rFonts w:ascii="Times New Roman" w:hAnsi="Times New Roman"/>
          <w:b/>
          <w:bCs/>
          <w:noProof/>
          <w:sz w:val="24"/>
          <w:szCs w:val="24"/>
        </w:rPr>
        <w:t xml:space="preserve"> z tre</w:t>
      </w:r>
      <w:r w:rsidRPr="00A5335D">
        <w:rPr>
          <w:rFonts w:ascii="Times New Roman" w:hAnsi="Times New Roman"/>
          <w:b/>
          <w:bCs/>
          <w:noProof/>
          <w:sz w:val="24"/>
          <w:szCs w:val="24"/>
        </w:rPr>
        <w:t>ndami</w:t>
      </w:r>
      <w:r w:rsidR="00A5335D" w:rsidRPr="00A5335D">
        <w:rPr>
          <w:rFonts w:ascii="Times New Roman" w:hAnsi="Times New Roman"/>
          <w:b/>
          <w:bCs/>
          <w:noProof/>
          <w:sz w:val="24"/>
          <w:szCs w:val="24"/>
        </w:rPr>
        <w:t xml:space="preserve"> i nie</w:t>
      </w:r>
      <w:r w:rsidRPr="00A5335D">
        <w:rPr>
          <w:rFonts w:ascii="Times New Roman" w:hAnsi="Times New Roman"/>
          <w:b/>
          <w:bCs/>
          <w:noProof/>
          <w:sz w:val="24"/>
          <w:szCs w:val="24"/>
        </w:rPr>
        <w:t>doborami demograficznymi, nie wystarczy jednak sama mobilizacja krajowej siły roboczej ani ułatwianie mobilności wewnątrz UE</w:t>
      </w:r>
      <w:r w:rsidRPr="00A5335D">
        <w:rPr>
          <w:rFonts w:ascii="Times New Roman" w:hAnsi="Times New Roman"/>
          <w:noProof/>
          <w:sz w:val="24"/>
          <w:szCs w:val="24"/>
        </w:rPr>
        <w:t>. Potencjał mobilności wewnątrzunijnej</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łagodzenia niedoborów siły roboczej jest coraz bardziej ograniczony, między innymi dlatego, że zakłada on, iż talent</w:t>
      </w:r>
      <w:r w:rsidR="00A5335D" w:rsidRPr="00A5335D">
        <w:rPr>
          <w:rFonts w:ascii="Times New Roman" w:hAnsi="Times New Roman"/>
          <w:noProof/>
          <w:sz w:val="24"/>
          <w:szCs w:val="24"/>
        </w:rPr>
        <w:t xml:space="preserve"> i umi</w:t>
      </w:r>
      <w:r w:rsidRPr="00A5335D">
        <w:rPr>
          <w:rFonts w:ascii="Times New Roman" w:hAnsi="Times New Roman"/>
          <w:noProof/>
          <w:sz w:val="24"/>
          <w:szCs w:val="24"/>
        </w:rPr>
        <w:t>ejętności zdobyte</w:t>
      </w:r>
      <w:r w:rsidR="00A5335D" w:rsidRPr="00A5335D">
        <w:rPr>
          <w:rFonts w:ascii="Times New Roman" w:hAnsi="Times New Roman"/>
          <w:noProof/>
          <w:sz w:val="24"/>
          <w:szCs w:val="24"/>
        </w:rPr>
        <w:t xml:space="preserve"> w jed</w:t>
      </w:r>
      <w:r w:rsidRPr="00A5335D">
        <w:rPr>
          <w:rFonts w:ascii="Times New Roman" w:hAnsi="Times New Roman"/>
          <w:noProof/>
          <w:sz w:val="24"/>
          <w:szCs w:val="24"/>
        </w:rPr>
        <w:t>nym miejscu są tracone</w:t>
      </w:r>
      <w:r w:rsidR="00A5335D" w:rsidRPr="00A5335D">
        <w:rPr>
          <w:rFonts w:ascii="Times New Roman" w:hAnsi="Times New Roman"/>
          <w:noProof/>
          <w:sz w:val="24"/>
          <w:szCs w:val="24"/>
        </w:rPr>
        <w:t xml:space="preserve"> w inn</w:t>
      </w:r>
      <w:r w:rsidRPr="00A5335D">
        <w:rPr>
          <w:rFonts w:ascii="Times New Roman" w:hAnsi="Times New Roman"/>
          <w:noProof/>
          <w:sz w:val="24"/>
          <w:szCs w:val="24"/>
        </w:rPr>
        <w:t>ym</w:t>
      </w:r>
      <w:r w:rsidR="00A42ADC" w:rsidRPr="00A5335D">
        <w:rPr>
          <w:rStyle w:val="FootnoteReference"/>
          <w:rFonts w:ascii="Times New Roman" w:hAnsi="Times New Roman" w:cs="Times New Roman"/>
          <w:noProof/>
          <w:sz w:val="24"/>
          <w:szCs w:val="24"/>
        </w:rPr>
        <w:footnoteReference w:id="19"/>
      </w:r>
      <w:r w:rsidRPr="00A5335D">
        <w:rPr>
          <w:rFonts w:ascii="Times New Roman" w:hAnsi="Times New Roman"/>
          <w:noProof/>
          <w:sz w:val="24"/>
          <w:szCs w:val="24"/>
        </w:rPr>
        <w:t>,</w:t>
      </w:r>
      <w:r w:rsidR="00A5335D" w:rsidRPr="00A5335D">
        <w:rPr>
          <w:rFonts w:ascii="Times New Roman" w:hAnsi="Times New Roman"/>
          <w:noProof/>
          <w:sz w:val="24"/>
          <w:szCs w:val="24"/>
        </w:rPr>
        <w:t xml:space="preserve"> i mus</w:t>
      </w:r>
      <w:r w:rsidRPr="00A5335D">
        <w:rPr>
          <w:rFonts w:ascii="Times New Roman" w:hAnsi="Times New Roman"/>
          <w:noProof/>
          <w:sz w:val="24"/>
          <w:szCs w:val="24"/>
        </w:rPr>
        <w:t>i być rozpatrywany</w:t>
      </w:r>
      <w:r w:rsidR="00A5335D" w:rsidRPr="00A5335D">
        <w:rPr>
          <w:rFonts w:ascii="Times New Roman" w:hAnsi="Times New Roman"/>
          <w:noProof/>
          <w:sz w:val="24"/>
          <w:szCs w:val="24"/>
        </w:rPr>
        <w:t xml:space="preserve"> w świ</w:t>
      </w:r>
      <w:r w:rsidRPr="00A5335D">
        <w:rPr>
          <w:rFonts w:ascii="Times New Roman" w:hAnsi="Times New Roman"/>
          <w:noProof/>
          <w:sz w:val="24"/>
          <w:szCs w:val="24"/>
        </w:rPr>
        <w:t>etle faktu, że niedobory siły roboczej zgłasza się</w:t>
      </w:r>
      <w:r w:rsidR="00A5335D" w:rsidRPr="00A5335D">
        <w:rPr>
          <w:rFonts w:ascii="Times New Roman" w:hAnsi="Times New Roman"/>
          <w:noProof/>
          <w:sz w:val="24"/>
          <w:szCs w:val="24"/>
        </w:rPr>
        <w:t xml:space="preserve"> w pra</w:t>
      </w:r>
      <w:r w:rsidRPr="00A5335D">
        <w:rPr>
          <w:rFonts w:ascii="Times New Roman" w:hAnsi="Times New Roman"/>
          <w:noProof/>
          <w:sz w:val="24"/>
          <w:szCs w:val="24"/>
        </w:rPr>
        <w:t>wie wszystkich państwach członkowskich. Pandemia COVID-19 dodatkowo przyczynia się do większego zapotrzebowania na szereg specjalistycznych zawodów deficytowych, przy czym największy wpływ ma na zapotrzebowanie na umiejętności</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opieki zdrowotnej. Na przykład</w:t>
      </w:r>
      <w:r w:rsidR="00A5335D" w:rsidRPr="00A5335D">
        <w:rPr>
          <w:rFonts w:ascii="Times New Roman" w:hAnsi="Times New Roman"/>
          <w:noProof/>
          <w:sz w:val="24"/>
          <w:szCs w:val="24"/>
        </w:rPr>
        <w:t xml:space="preserve"> w 2</w:t>
      </w:r>
      <w:r w:rsidRPr="00A5335D">
        <w:rPr>
          <w:rFonts w:ascii="Times New Roman" w:hAnsi="Times New Roman"/>
          <w:noProof/>
          <w:sz w:val="24"/>
          <w:szCs w:val="24"/>
        </w:rPr>
        <w:t>020</w:t>
      </w:r>
      <w:r w:rsidR="00A5335D" w:rsidRPr="00A5335D">
        <w:rPr>
          <w:rFonts w:ascii="Times New Roman" w:hAnsi="Times New Roman"/>
          <w:noProof/>
          <w:sz w:val="24"/>
          <w:szCs w:val="24"/>
        </w:rPr>
        <w:t> </w:t>
      </w:r>
      <w:r w:rsidRPr="00A5335D">
        <w:rPr>
          <w:rFonts w:ascii="Times New Roman" w:hAnsi="Times New Roman"/>
          <w:noProof/>
          <w:sz w:val="24"/>
          <w:szCs w:val="24"/>
        </w:rPr>
        <w:t>r. Belgia, Niemcy, Dania, Estonia, Finlandia, Francja, Węgry, Irlandia, Niderlandy, Rumunia</w:t>
      </w:r>
      <w:r w:rsidR="00A5335D" w:rsidRPr="00A5335D">
        <w:rPr>
          <w:rFonts w:ascii="Times New Roman" w:hAnsi="Times New Roman"/>
          <w:noProof/>
          <w:sz w:val="24"/>
          <w:szCs w:val="24"/>
        </w:rPr>
        <w:t xml:space="preserve"> i Szw</w:t>
      </w:r>
      <w:r w:rsidRPr="00A5335D">
        <w:rPr>
          <w:rFonts w:ascii="Times New Roman" w:hAnsi="Times New Roman"/>
          <w:noProof/>
          <w:sz w:val="24"/>
          <w:szCs w:val="24"/>
        </w:rPr>
        <w:t>ecja zgłaszały niedobory pracowników służby zdrowia</w:t>
      </w:r>
      <w:r w:rsidR="00A5335D" w:rsidRPr="00A5335D">
        <w:rPr>
          <w:rFonts w:ascii="Times New Roman" w:hAnsi="Times New Roman"/>
          <w:noProof/>
          <w:sz w:val="24"/>
          <w:szCs w:val="24"/>
        </w:rPr>
        <w:t xml:space="preserve"> i inn</w:t>
      </w:r>
      <w:r w:rsidRPr="00A5335D">
        <w:rPr>
          <w:rFonts w:ascii="Times New Roman" w:hAnsi="Times New Roman"/>
          <w:noProof/>
          <w:sz w:val="24"/>
          <w:szCs w:val="24"/>
        </w:rPr>
        <w:t>ych specjalistów</w:t>
      </w:r>
      <w:r w:rsidR="00A5335D" w:rsidRPr="00A5335D">
        <w:rPr>
          <w:rFonts w:ascii="Times New Roman" w:hAnsi="Times New Roman"/>
          <w:noProof/>
          <w:sz w:val="24"/>
          <w:szCs w:val="24"/>
        </w:rPr>
        <w:t xml:space="preserve"> w tej</w:t>
      </w:r>
      <w:r w:rsidRPr="00A5335D">
        <w:rPr>
          <w:rFonts w:ascii="Times New Roman" w:hAnsi="Times New Roman"/>
          <w:noProof/>
          <w:sz w:val="24"/>
          <w:szCs w:val="24"/>
        </w:rPr>
        <w:t xml:space="preserve"> branży</w:t>
      </w:r>
      <w:r w:rsidR="002E0BE1" w:rsidRPr="00A5335D">
        <w:rPr>
          <w:rStyle w:val="FootnoteReference"/>
          <w:rFonts w:ascii="Times New Roman" w:hAnsi="Times New Roman" w:cs="Times New Roman"/>
          <w:noProof/>
          <w:sz w:val="24"/>
          <w:szCs w:val="24"/>
        </w:rPr>
        <w:footnoteReference w:id="20"/>
      </w:r>
      <w:r w:rsidRPr="00A5335D">
        <w:rPr>
          <w:rFonts w:ascii="Times New Roman" w:hAnsi="Times New Roman"/>
          <w:noProof/>
          <w:sz w:val="24"/>
          <w:szCs w:val="24"/>
        </w:rPr>
        <w:t>. Pracownicy mobilni z UE stanowią mniej niż jedną trzecią pracowników opieki osobistej urodzonych w UE poza krajem zamieszkania,</w:t>
      </w:r>
      <w:r w:rsidR="00A5335D" w:rsidRPr="00A5335D">
        <w:rPr>
          <w:rFonts w:ascii="Times New Roman" w:hAnsi="Times New Roman"/>
          <w:noProof/>
          <w:sz w:val="24"/>
          <w:szCs w:val="24"/>
        </w:rPr>
        <w:t xml:space="preserve"> a dwi</w:t>
      </w:r>
      <w:r w:rsidRPr="00A5335D">
        <w:rPr>
          <w:rFonts w:ascii="Times New Roman" w:hAnsi="Times New Roman"/>
          <w:noProof/>
          <w:sz w:val="24"/>
          <w:szCs w:val="24"/>
        </w:rPr>
        <w:t xml:space="preserve">e trzecie pochodzi spoza UE. </w:t>
      </w:r>
    </w:p>
    <w:p w14:paraId="27CEFC9C" w14:textId="470CEBEC" w:rsidR="00C14962" w:rsidRPr="00A5335D" w:rsidRDefault="00F1077E" w:rsidP="007C0A65">
      <w:pPr>
        <w:jc w:val="both"/>
        <w:rPr>
          <w:rFonts w:ascii="Times New Roman" w:hAnsi="Times New Roman" w:cs="Times New Roman"/>
          <w:noProof/>
          <w:sz w:val="24"/>
          <w:szCs w:val="24"/>
        </w:rPr>
      </w:pPr>
      <w:r w:rsidRPr="00A5335D">
        <w:rPr>
          <w:rFonts w:ascii="Times New Roman" w:hAnsi="Times New Roman"/>
          <w:noProof/>
          <w:sz w:val="24"/>
          <w:szCs w:val="24"/>
        </w:rPr>
        <w:t>Zarówno</w:t>
      </w:r>
      <w:r w:rsidR="00A5335D" w:rsidRPr="00A5335D">
        <w:rPr>
          <w:rFonts w:ascii="Times New Roman" w:hAnsi="Times New Roman"/>
          <w:noProof/>
          <w:sz w:val="24"/>
          <w:szCs w:val="24"/>
        </w:rPr>
        <w:t xml:space="preserve"> w </w:t>
      </w:r>
      <w:r w:rsidR="00A5335D" w:rsidRPr="00A5335D">
        <w:rPr>
          <w:rFonts w:ascii="Times New Roman" w:hAnsi="Times New Roman"/>
          <w:b/>
          <w:noProof/>
          <w:sz w:val="24"/>
          <w:szCs w:val="24"/>
        </w:rPr>
        <w:t>eur</w:t>
      </w:r>
      <w:r w:rsidRPr="00A5335D">
        <w:rPr>
          <w:rFonts w:ascii="Times New Roman" w:hAnsi="Times New Roman"/>
          <w:b/>
          <w:noProof/>
          <w:sz w:val="24"/>
          <w:szCs w:val="24"/>
        </w:rPr>
        <w:t>opejskim programie na rzecz umiejętności</w:t>
      </w:r>
      <w:r w:rsidRPr="00A5335D">
        <w:rPr>
          <w:rFonts w:ascii="Times New Roman" w:hAnsi="Times New Roman"/>
          <w:noProof/>
          <w:sz w:val="24"/>
          <w:szCs w:val="24"/>
        </w:rPr>
        <w:t>, jak</w:t>
      </w:r>
      <w:r w:rsidR="00A5335D" w:rsidRPr="00A5335D">
        <w:rPr>
          <w:rFonts w:ascii="Times New Roman" w:hAnsi="Times New Roman"/>
          <w:noProof/>
          <w:sz w:val="24"/>
          <w:szCs w:val="24"/>
        </w:rPr>
        <w:t xml:space="preserve"> i </w:t>
      </w:r>
      <w:r w:rsidR="00A5335D" w:rsidRPr="00A5335D">
        <w:rPr>
          <w:rFonts w:ascii="Times New Roman" w:hAnsi="Times New Roman"/>
          <w:b/>
          <w:noProof/>
          <w:sz w:val="24"/>
          <w:szCs w:val="24"/>
        </w:rPr>
        <w:t>now</w:t>
      </w:r>
      <w:r w:rsidRPr="00A5335D">
        <w:rPr>
          <w:rFonts w:ascii="Times New Roman" w:hAnsi="Times New Roman"/>
          <w:b/>
          <w:noProof/>
          <w:sz w:val="24"/>
          <w:szCs w:val="24"/>
        </w:rPr>
        <w:t>ym pakcie</w:t>
      </w:r>
      <w:r w:rsidR="00A5335D" w:rsidRPr="00A5335D">
        <w:rPr>
          <w:rFonts w:ascii="Times New Roman" w:hAnsi="Times New Roman"/>
          <w:b/>
          <w:noProof/>
          <w:sz w:val="24"/>
          <w:szCs w:val="24"/>
        </w:rPr>
        <w:t xml:space="preserve"> o mig</w:t>
      </w:r>
      <w:r w:rsidRPr="00A5335D">
        <w:rPr>
          <w:rFonts w:ascii="Times New Roman" w:hAnsi="Times New Roman"/>
          <w:b/>
          <w:noProof/>
          <w:sz w:val="24"/>
          <w:szCs w:val="24"/>
        </w:rPr>
        <w:t>racji</w:t>
      </w:r>
      <w:r w:rsidR="00A5335D" w:rsidRPr="00A5335D">
        <w:rPr>
          <w:rFonts w:ascii="Times New Roman" w:hAnsi="Times New Roman"/>
          <w:b/>
          <w:noProof/>
          <w:sz w:val="24"/>
          <w:szCs w:val="24"/>
        </w:rPr>
        <w:t xml:space="preserve"> i azy</w:t>
      </w:r>
      <w:r w:rsidRPr="00A5335D">
        <w:rPr>
          <w:rFonts w:ascii="Times New Roman" w:hAnsi="Times New Roman"/>
          <w:b/>
          <w:noProof/>
          <w:sz w:val="24"/>
          <w:szCs w:val="24"/>
        </w:rPr>
        <w:t>lu</w:t>
      </w:r>
      <w:r w:rsidRPr="00A5335D">
        <w:rPr>
          <w:rFonts w:ascii="Times New Roman" w:hAnsi="Times New Roman"/>
          <w:noProof/>
          <w:sz w:val="24"/>
          <w:szCs w:val="24"/>
        </w:rPr>
        <w:t xml:space="preserve"> uznano zatem potrzebę bardziej strategicznego podejścia do legalnej migracji, ukierunkowanego na lepsze przyciąganie</w:t>
      </w:r>
      <w:r w:rsidR="00A5335D" w:rsidRPr="00A5335D">
        <w:rPr>
          <w:rFonts w:ascii="Times New Roman" w:hAnsi="Times New Roman"/>
          <w:noProof/>
          <w:sz w:val="24"/>
          <w:szCs w:val="24"/>
        </w:rPr>
        <w:t xml:space="preserve"> i zat</w:t>
      </w:r>
      <w:r w:rsidRPr="00A5335D">
        <w:rPr>
          <w:rFonts w:ascii="Times New Roman" w:hAnsi="Times New Roman"/>
          <w:noProof/>
          <w:sz w:val="24"/>
          <w:szCs w:val="24"/>
        </w:rPr>
        <w:t>rzymywanie talentów</w:t>
      </w:r>
      <w:r w:rsidR="00A5335D" w:rsidRPr="00A5335D">
        <w:rPr>
          <w:rFonts w:ascii="Times New Roman" w:hAnsi="Times New Roman"/>
          <w:noProof/>
          <w:sz w:val="24"/>
          <w:szCs w:val="24"/>
        </w:rPr>
        <w:t xml:space="preserve"> w cel</w:t>
      </w:r>
      <w:r w:rsidRPr="00A5335D">
        <w:rPr>
          <w:rFonts w:ascii="Times New Roman" w:hAnsi="Times New Roman"/>
          <w:noProof/>
          <w:sz w:val="24"/>
          <w:szCs w:val="24"/>
        </w:rPr>
        <w:t>u wspierania potencjału wzrostu</w:t>
      </w:r>
      <w:r w:rsidR="00A5335D" w:rsidRPr="00A5335D">
        <w:rPr>
          <w:rFonts w:ascii="Times New Roman" w:hAnsi="Times New Roman"/>
          <w:noProof/>
          <w:sz w:val="24"/>
          <w:szCs w:val="24"/>
        </w:rPr>
        <w:t xml:space="preserve"> i inn</w:t>
      </w:r>
      <w:r w:rsidRPr="00A5335D">
        <w:rPr>
          <w:rFonts w:ascii="Times New Roman" w:hAnsi="Times New Roman"/>
          <w:noProof/>
          <w:sz w:val="24"/>
          <w:szCs w:val="24"/>
        </w:rPr>
        <w:t>owacji oraz ukierunkowania legalnej migracji na regiony</w:t>
      </w:r>
      <w:r w:rsidR="00A5335D" w:rsidRPr="00A5335D">
        <w:rPr>
          <w:rFonts w:ascii="Times New Roman" w:hAnsi="Times New Roman"/>
          <w:noProof/>
          <w:sz w:val="24"/>
          <w:szCs w:val="24"/>
        </w:rPr>
        <w:t xml:space="preserve"> i zaw</w:t>
      </w:r>
      <w:r w:rsidRPr="00A5335D">
        <w:rPr>
          <w:rFonts w:ascii="Times New Roman" w:hAnsi="Times New Roman"/>
          <w:noProof/>
          <w:sz w:val="24"/>
          <w:szCs w:val="24"/>
        </w:rPr>
        <w:t>ody,</w:t>
      </w:r>
      <w:r w:rsidR="00A5335D" w:rsidRPr="00A5335D">
        <w:rPr>
          <w:rFonts w:ascii="Times New Roman" w:hAnsi="Times New Roman"/>
          <w:noProof/>
          <w:sz w:val="24"/>
          <w:szCs w:val="24"/>
        </w:rPr>
        <w:t xml:space="preserve"> w któ</w:t>
      </w:r>
      <w:r w:rsidRPr="00A5335D">
        <w:rPr>
          <w:rFonts w:ascii="Times New Roman" w:hAnsi="Times New Roman"/>
          <w:noProof/>
          <w:sz w:val="24"/>
          <w:szCs w:val="24"/>
        </w:rPr>
        <w:t>rych występują niedobory wykwalifikowanej siły roboczej.</w:t>
      </w:r>
    </w:p>
    <w:p w14:paraId="27CEFC9D" w14:textId="1379A6B4" w:rsidR="00C14962" w:rsidRPr="00A5335D" w:rsidRDefault="00F1077E" w:rsidP="00C14962">
      <w:pPr>
        <w:jc w:val="both"/>
        <w:rPr>
          <w:rFonts w:ascii="Times New Roman" w:hAnsi="Times New Roman" w:cs="Times New Roman"/>
          <w:noProof/>
          <w:sz w:val="24"/>
          <w:szCs w:val="24"/>
        </w:rPr>
      </w:pPr>
      <w:r w:rsidRPr="00A5335D">
        <w:rPr>
          <w:rFonts w:ascii="Times New Roman" w:hAnsi="Times New Roman"/>
          <w:noProof/>
          <w:sz w:val="24"/>
          <w:szCs w:val="24"/>
        </w:rPr>
        <w:t xml:space="preserve">Aby zachować globalną konkurencyjność, </w:t>
      </w:r>
      <w:r w:rsidRPr="00A5335D">
        <w:rPr>
          <w:rFonts w:ascii="Times New Roman" w:hAnsi="Times New Roman"/>
          <w:b/>
          <w:bCs/>
          <w:noProof/>
          <w:sz w:val="24"/>
          <w:szCs w:val="24"/>
        </w:rPr>
        <w:t>UE musi stać się bardziej atrakcyjna</w:t>
      </w:r>
      <w:r w:rsidRPr="00A5335D">
        <w:rPr>
          <w:rFonts w:ascii="Times New Roman" w:hAnsi="Times New Roman"/>
          <w:noProof/>
          <w:sz w:val="24"/>
          <w:szCs w:val="24"/>
        </w:rPr>
        <w:t xml:space="preserve"> </w:t>
      </w:r>
      <w:r w:rsidRPr="00A5335D">
        <w:rPr>
          <w:rFonts w:ascii="Times New Roman" w:hAnsi="Times New Roman"/>
          <w:b/>
          <w:bCs/>
          <w:noProof/>
          <w:sz w:val="24"/>
          <w:szCs w:val="24"/>
        </w:rPr>
        <w:t>dla talentów</w:t>
      </w:r>
      <w:r w:rsidR="00A5335D" w:rsidRPr="00A5335D">
        <w:rPr>
          <w:rFonts w:ascii="Times New Roman" w:hAnsi="Times New Roman"/>
          <w:b/>
          <w:bCs/>
          <w:noProof/>
          <w:sz w:val="24"/>
          <w:szCs w:val="24"/>
        </w:rPr>
        <w:t xml:space="preserve"> z cał</w:t>
      </w:r>
      <w:r w:rsidRPr="00A5335D">
        <w:rPr>
          <w:rFonts w:ascii="Times New Roman" w:hAnsi="Times New Roman"/>
          <w:b/>
          <w:bCs/>
          <w:noProof/>
          <w:sz w:val="24"/>
          <w:szCs w:val="24"/>
        </w:rPr>
        <w:t>ego świata</w:t>
      </w:r>
      <w:r w:rsidRPr="00A5335D">
        <w:rPr>
          <w:rFonts w:ascii="Times New Roman" w:hAnsi="Times New Roman"/>
          <w:noProof/>
          <w:sz w:val="24"/>
          <w:szCs w:val="24"/>
        </w:rPr>
        <w:t>. Obecnie wysoko wykwalifikowani obywatele państw trzecich częściej wybierają Amerykę Północną lub Oceanię niż UE</w:t>
      </w:r>
      <w:r w:rsidR="00C14962" w:rsidRPr="00A5335D">
        <w:rPr>
          <w:rStyle w:val="FootnoteReference"/>
          <w:rFonts w:ascii="Times New Roman" w:hAnsi="Times New Roman" w:cs="Times New Roman"/>
          <w:noProof/>
          <w:sz w:val="24"/>
          <w:szCs w:val="24"/>
        </w:rPr>
        <w:footnoteReference w:id="21"/>
      </w:r>
      <w:r w:rsidRPr="00A5335D">
        <w:rPr>
          <w:rFonts w:ascii="Times New Roman" w:hAnsi="Times New Roman"/>
          <w:noProof/>
          <w:sz w:val="24"/>
          <w:szCs w:val="24"/>
        </w:rPr>
        <w:t>. Pierwszym ważnym krokiem</w:t>
      </w:r>
      <w:r w:rsidR="00A5335D" w:rsidRPr="00A5335D">
        <w:rPr>
          <w:rFonts w:ascii="Times New Roman" w:hAnsi="Times New Roman"/>
          <w:noProof/>
          <w:sz w:val="24"/>
          <w:szCs w:val="24"/>
        </w:rPr>
        <w:t xml:space="preserve"> w kie</w:t>
      </w:r>
      <w:r w:rsidRPr="00A5335D">
        <w:rPr>
          <w:rFonts w:ascii="Times New Roman" w:hAnsi="Times New Roman"/>
          <w:noProof/>
          <w:sz w:val="24"/>
          <w:szCs w:val="24"/>
        </w:rPr>
        <w:t xml:space="preserve">runku zwiększenia atrakcyjności UE była niedawna zmiana </w:t>
      </w:r>
      <w:r w:rsidRPr="00A5335D">
        <w:rPr>
          <w:rFonts w:ascii="Times New Roman" w:hAnsi="Times New Roman"/>
          <w:b/>
          <w:bCs/>
          <w:noProof/>
          <w:sz w:val="24"/>
          <w:szCs w:val="24"/>
        </w:rPr>
        <w:t>dyrektywy</w:t>
      </w:r>
      <w:r w:rsidR="00A5335D" w:rsidRPr="00A5335D">
        <w:rPr>
          <w:rFonts w:ascii="Times New Roman" w:hAnsi="Times New Roman"/>
          <w:b/>
          <w:bCs/>
          <w:noProof/>
          <w:sz w:val="24"/>
          <w:szCs w:val="24"/>
        </w:rPr>
        <w:t xml:space="preserve"> w spr</w:t>
      </w:r>
      <w:r w:rsidRPr="00A5335D">
        <w:rPr>
          <w:rFonts w:ascii="Times New Roman" w:hAnsi="Times New Roman"/>
          <w:b/>
          <w:bCs/>
          <w:noProof/>
          <w:sz w:val="24"/>
          <w:szCs w:val="24"/>
        </w:rPr>
        <w:t>awie niebieskiej karty</w:t>
      </w:r>
      <w:r w:rsidR="00C14962" w:rsidRPr="00A5335D">
        <w:rPr>
          <w:rFonts w:ascii="Times New Roman" w:hAnsi="Times New Roman" w:cs="Times New Roman"/>
          <w:b/>
          <w:bCs/>
          <w:noProof/>
          <w:sz w:val="20"/>
          <w:vertAlign w:val="superscript"/>
        </w:rPr>
        <w:footnoteReference w:id="22"/>
      </w:r>
      <w:r w:rsidRPr="00A5335D">
        <w:rPr>
          <w:rFonts w:ascii="Times New Roman" w:hAnsi="Times New Roman"/>
          <w:noProof/>
          <w:sz w:val="24"/>
          <w:szCs w:val="24"/>
        </w:rPr>
        <w:t>, która umożliwi wysoko wykwalifikowanym migrantom korzystanie</w:t>
      </w:r>
      <w:r w:rsidR="00A5335D" w:rsidRPr="00A5335D">
        <w:rPr>
          <w:rFonts w:ascii="Times New Roman" w:hAnsi="Times New Roman"/>
          <w:noProof/>
          <w:sz w:val="24"/>
          <w:szCs w:val="24"/>
        </w:rPr>
        <w:t xml:space="preserve"> z wię</w:t>
      </w:r>
      <w:r w:rsidRPr="00A5335D">
        <w:rPr>
          <w:rFonts w:ascii="Times New Roman" w:hAnsi="Times New Roman"/>
          <w:noProof/>
          <w:sz w:val="24"/>
          <w:szCs w:val="24"/>
        </w:rPr>
        <w:t>kszych praw,</w:t>
      </w:r>
      <w:r w:rsidR="00A5335D" w:rsidRPr="00A5335D">
        <w:rPr>
          <w:rFonts w:ascii="Times New Roman" w:hAnsi="Times New Roman"/>
          <w:noProof/>
          <w:sz w:val="24"/>
          <w:szCs w:val="24"/>
        </w:rPr>
        <w:t xml:space="preserve"> w szc</w:t>
      </w:r>
      <w:r w:rsidRPr="00A5335D">
        <w:rPr>
          <w:rFonts w:ascii="Times New Roman" w:hAnsi="Times New Roman"/>
          <w:noProof/>
          <w:sz w:val="24"/>
          <w:szCs w:val="24"/>
        </w:rPr>
        <w:t>zególności</w:t>
      </w:r>
      <w:r w:rsidR="00A5335D" w:rsidRPr="00A5335D">
        <w:rPr>
          <w:rFonts w:ascii="Times New Roman" w:hAnsi="Times New Roman"/>
          <w:noProof/>
          <w:sz w:val="24"/>
          <w:szCs w:val="24"/>
        </w:rPr>
        <w:t xml:space="preserve"> z pra</w:t>
      </w:r>
      <w:r w:rsidRPr="00A5335D">
        <w:rPr>
          <w:rFonts w:ascii="Times New Roman" w:hAnsi="Times New Roman"/>
          <w:noProof/>
          <w:sz w:val="24"/>
          <w:szCs w:val="24"/>
        </w:rPr>
        <w:t>wa do przemieszczania się</w:t>
      </w:r>
      <w:r w:rsidR="00A5335D" w:rsidRPr="00A5335D">
        <w:rPr>
          <w:rFonts w:ascii="Times New Roman" w:hAnsi="Times New Roman"/>
          <w:noProof/>
          <w:sz w:val="24"/>
          <w:szCs w:val="24"/>
        </w:rPr>
        <w:t xml:space="preserve"> i pra</w:t>
      </w:r>
      <w:r w:rsidRPr="00A5335D">
        <w:rPr>
          <w:rFonts w:ascii="Times New Roman" w:hAnsi="Times New Roman"/>
          <w:noProof/>
          <w:sz w:val="24"/>
          <w:szCs w:val="24"/>
        </w:rPr>
        <w:t>cy</w:t>
      </w:r>
      <w:r w:rsidR="00A5335D" w:rsidRPr="00A5335D">
        <w:rPr>
          <w:rFonts w:ascii="Times New Roman" w:hAnsi="Times New Roman"/>
          <w:noProof/>
          <w:sz w:val="24"/>
          <w:szCs w:val="24"/>
        </w:rPr>
        <w:t xml:space="preserve"> w inn</w:t>
      </w:r>
      <w:r w:rsidRPr="00A5335D">
        <w:rPr>
          <w:rFonts w:ascii="Times New Roman" w:hAnsi="Times New Roman"/>
          <w:noProof/>
          <w:sz w:val="24"/>
          <w:szCs w:val="24"/>
        </w:rPr>
        <w:t>ych państwach UE,</w:t>
      </w:r>
      <w:r w:rsidR="00A5335D" w:rsidRPr="00A5335D">
        <w:rPr>
          <w:rFonts w:ascii="Times New Roman" w:hAnsi="Times New Roman"/>
          <w:noProof/>
          <w:sz w:val="24"/>
          <w:szCs w:val="24"/>
        </w:rPr>
        <w:t xml:space="preserve"> a tak</w:t>
      </w:r>
      <w:r w:rsidRPr="00A5335D">
        <w:rPr>
          <w:rFonts w:ascii="Times New Roman" w:hAnsi="Times New Roman"/>
          <w:noProof/>
          <w:sz w:val="24"/>
          <w:szCs w:val="24"/>
        </w:rPr>
        <w:t>że</w:t>
      </w:r>
      <w:r w:rsidR="00A5335D" w:rsidRPr="00A5335D">
        <w:rPr>
          <w:rFonts w:ascii="Times New Roman" w:hAnsi="Times New Roman"/>
          <w:noProof/>
          <w:sz w:val="24"/>
          <w:szCs w:val="24"/>
        </w:rPr>
        <w:t xml:space="preserve"> z szy</w:t>
      </w:r>
      <w:r w:rsidRPr="00A5335D">
        <w:rPr>
          <w:rFonts w:ascii="Times New Roman" w:hAnsi="Times New Roman"/>
          <w:noProof/>
          <w:sz w:val="24"/>
          <w:szCs w:val="24"/>
        </w:rPr>
        <w:t>bszych</w:t>
      </w:r>
      <w:r w:rsidR="00A5335D" w:rsidRPr="00A5335D">
        <w:rPr>
          <w:rFonts w:ascii="Times New Roman" w:hAnsi="Times New Roman"/>
          <w:noProof/>
          <w:sz w:val="24"/>
          <w:szCs w:val="24"/>
        </w:rPr>
        <w:t xml:space="preserve"> i spr</w:t>
      </w:r>
      <w:r w:rsidRPr="00A5335D">
        <w:rPr>
          <w:rFonts w:ascii="Times New Roman" w:hAnsi="Times New Roman"/>
          <w:noProof/>
          <w:sz w:val="24"/>
          <w:szCs w:val="24"/>
        </w:rPr>
        <w:t>awniejszych procedur. Wszystkie te aspekty atrakcyjności należy wzmocnić również</w:t>
      </w:r>
      <w:r w:rsidR="00A5335D" w:rsidRPr="00A5335D">
        <w:rPr>
          <w:rFonts w:ascii="Times New Roman" w:hAnsi="Times New Roman"/>
          <w:noProof/>
          <w:sz w:val="24"/>
          <w:szCs w:val="24"/>
        </w:rPr>
        <w:t xml:space="preserve"> w prz</w:t>
      </w:r>
      <w:r w:rsidRPr="00A5335D">
        <w:rPr>
          <w:rFonts w:ascii="Times New Roman" w:hAnsi="Times New Roman"/>
          <w:noProof/>
          <w:sz w:val="24"/>
          <w:szCs w:val="24"/>
        </w:rPr>
        <w:t>ypadku innych kategorii migrantów, wraz ze środkami zwalczania wyzysku pracowników</w:t>
      </w:r>
      <w:r w:rsidR="00C14962" w:rsidRPr="00A5335D">
        <w:rPr>
          <w:rStyle w:val="FootnoteReference"/>
          <w:rFonts w:ascii="Times New Roman" w:hAnsi="Times New Roman" w:cs="Times New Roman"/>
          <w:noProof/>
          <w:sz w:val="24"/>
          <w:szCs w:val="24"/>
        </w:rPr>
        <w:footnoteReference w:id="23"/>
      </w:r>
      <w:r w:rsidR="00A5335D" w:rsidRPr="00A5335D">
        <w:rPr>
          <w:rFonts w:ascii="Times New Roman" w:hAnsi="Times New Roman"/>
          <w:noProof/>
          <w:sz w:val="24"/>
          <w:szCs w:val="24"/>
        </w:rPr>
        <w:t xml:space="preserve"> i dys</w:t>
      </w:r>
      <w:r w:rsidRPr="00A5335D">
        <w:rPr>
          <w:rFonts w:ascii="Times New Roman" w:hAnsi="Times New Roman"/>
          <w:noProof/>
          <w:sz w:val="24"/>
          <w:szCs w:val="24"/>
        </w:rPr>
        <w:t>kryminacji</w:t>
      </w:r>
      <w:r w:rsidR="00C14962" w:rsidRPr="00A5335D">
        <w:rPr>
          <w:rStyle w:val="FootnoteReference"/>
          <w:rFonts w:ascii="Times New Roman" w:hAnsi="Times New Roman" w:cs="Times New Roman"/>
          <w:noProof/>
          <w:sz w:val="24"/>
          <w:szCs w:val="24"/>
        </w:rPr>
        <w:footnoteReference w:id="24"/>
      </w:r>
      <w:r w:rsidRPr="00A5335D">
        <w:rPr>
          <w:rFonts w:ascii="Times New Roman" w:hAnsi="Times New Roman"/>
          <w:noProof/>
          <w:sz w:val="24"/>
          <w:szCs w:val="24"/>
        </w:rPr>
        <w:t xml:space="preserve">. </w:t>
      </w:r>
      <w:r w:rsidRPr="00A5335D">
        <w:rPr>
          <w:rFonts w:ascii="Times New Roman" w:hAnsi="Times New Roman"/>
          <w:b/>
          <w:bCs/>
          <w:noProof/>
          <w:sz w:val="24"/>
          <w:szCs w:val="24"/>
        </w:rPr>
        <w:t>Dopasowanie popytu na pracę</w:t>
      </w:r>
      <w:r w:rsidR="00A5335D" w:rsidRPr="00A5335D">
        <w:rPr>
          <w:rFonts w:ascii="Times New Roman" w:hAnsi="Times New Roman"/>
          <w:b/>
          <w:bCs/>
          <w:noProof/>
          <w:sz w:val="24"/>
          <w:szCs w:val="24"/>
        </w:rPr>
        <w:t xml:space="preserve"> i pod</w:t>
      </w:r>
      <w:r w:rsidRPr="00A5335D">
        <w:rPr>
          <w:rFonts w:ascii="Times New Roman" w:hAnsi="Times New Roman"/>
          <w:b/>
          <w:bCs/>
          <w:noProof/>
          <w:sz w:val="24"/>
          <w:szCs w:val="24"/>
        </w:rPr>
        <w:t>aży pracy</w:t>
      </w:r>
      <w:r w:rsidRPr="00A5335D">
        <w:rPr>
          <w:rFonts w:ascii="Times New Roman" w:hAnsi="Times New Roman"/>
          <w:noProof/>
          <w:sz w:val="24"/>
          <w:szCs w:val="24"/>
        </w:rPr>
        <w:t xml:space="preserve"> jest również wyzwaniem</w:t>
      </w:r>
      <w:r w:rsidR="00A5335D" w:rsidRPr="00A5335D">
        <w:rPr>
          <w:rFonts w:ascii="Times New Roman" w:hAnsi="Times New Roman"/>
          <w:noProof/>
          <w:sz w:val="24"/>
          <w:szCs w:val="24"/>
        </w:rPr>
        <w:t xml:space="preserve"> w kon</w:t>
      </w:r>
      <w:r w:rsidRPr="00A5335D">
        <w:rPr>
          <w:rFonts w:ascii="Times New Roman" w:hAnsi="Times New Roman"/>
          <w:noProof/>
          <w:sz w:val="24"/>
          <w:szCs w:val="24"/>
        </w:rPr>
        <w:t>tekście międzynarodowym</w:t>
      </w:r>
      <w:r w:rsidRPr="00A5335D">
        <w:rPr>
          <w:rFonts w:ascii="Times New Roman" w:hAnsi="Times New Roman"/>
          <w:b/>
          <w:bCs/>
          <w:noProof/>
          <w:sz w:val="24"/>
          <w:szCs w:val="24"/>
        </w:rPr>
        <w:t xml:space="preserve"> </w:t>
      </w:r>
      <w:r w:rsidRPr="00A5335D">
        <w:rPr>
          <w:rFonts w:ascii="Times New Roman" w:hAnsi="Times New Roman"/>
          <w:noProof/>
          <w:sz w:val="24"/>
          <w:szCs w:val="24"/>
        </w:rPr>
        <w:t>charakteryzującym się rosnącą konkurencją</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umiejętności</w:t>
      </w:r>
      <w:r w:rsidR="00A5335D" w:rsidRPr="00A5335D">
        <w:rPr>
          <w:rFonts w:ascii="Times New Roman" w:hAnsi="Times New Roman"/>
          <w:noProof/>
          <w:sz w:val="24"/>
          <w:szCs w:val="24"/>
        </w:rPr>
        <w:t xml:space="preserve"> i tal</w:t>
      </w:r>
      <w:r w:rsidRPr="00A5335D">
        <w:rPr>
          <w:rFonts w:ascii="Times New Roman" w:hAnsi="Times New Roman"/>
          <w:noProof/>
          <w:sz w:val="24"/>
          <w:szCs w:val="24"/>
        </w:rPr>
        <w:t>entów. Dwie obecne przeszkody to długie</w:t>
      </w:r>
      <w:r w:rsidR="00A5335D" w:rsidRPr="00A5335D">
        <w:rPr>
          <w:rFonts w:ascii="Times New Roman" w:hAnsi="Times New Roman"/>
          <w:noProof/>
          <w:sz w:val="24"/>
          <w:szCs w:val="24"/>
        </w:rPr>
        <w:t xml:space="preserve"> i sko</w:t>
      </w:r>
      <w:r w:rsidRPr="00A5335D">
        <w:rPr>
          <w:rFonts w:ascii="Times New Roman" w:hAnsi="Times New Roman"/>
          <w:noProof/>
          <w:sz w:val="24"/>
          <w:szCs w:val="24"/>
        </w:rPr>
        <w:t>mplikowane procedury imigracyjne oraz zróżnicowane wymagania</w:t>
      </w:r>
      <w:r w:rsidR="00A5335D" w:rsidRPr="00A5335D">
        <w:rPr>
          <w:rFonts w:ascii="Times New Roman" w:hAnsi="Times New Roman"/>
          <w:noProof/>
          <w:sz w:val="24"/>
          <w:szCs w:val="24"/>
        </w:rPr>
        <w:t xml:space="preserve"> w pos</w:t>
      </w:r>
      <w:r w:rsidRPr="00A5335D">
        <w:rPr>
          <w:rFonts w:ascii="Times New Roman" w:hAnsi="Times New Roman"/>
          <w:noProof/>
          <w:sz w:val="24"/>
          <w:szCs w:val="24"/>
        </w:rPr>
        <w:t>zczególnych państwach członkowskich,</w:t>
      </w:r>
      <w:r w:rsidR="00A5335D" w:rsidRPr="00A5335D">
        <w:rPr>
          <w:rFonts w:ascii="Times New Roman" w:hAnsi="Times New Roman"/>
          <w:noProof/>
          <w:sz w:val="24"/>
          <w:szCs w:val="24"/>
        </w:rPr>
        <w:t xml:space="preserve"> a tak</w:t>
      </w:r>
      <w:r w:rsidRPr="00A5335D">
        <w:rPr>
          <w:rFonts w:ascii="Times New Roman" w:hAnsi="Times New Roman"/>
          <w:noProof/>
          <w:sz w:val="24"/>
          <w:szCs w:val="24"/>
        </w:rPr>
        <w:t>że trudności</w:t>
      </w:r>
      <w:r w:rsidR="00A5335D" w:rsidRPr="00A5335D">
        <w:rPr>
          <w:rFonts w:ascii="Times New Roman" w:hAnsi="Times New Roman"/>
          <w:noProof/>
          <w:sz w:val="24"/>
          <w:szCs w:val="24"/>
        </w:rPr>
        <w:t xml:space="preserve"> w łąc</w:t>
      </w:r>
      <w:r w:rsidRPr="00A5335D">
        <w:rPr>
          <w:rFonts w:ascii="Times New Roman" w:hAnsi="Times New Roman"/>
          <w:noProof/>
          <w:sz w:val="24"/>
          <w:szCs w:val="24"/>
        </w:rPr>
        <w:t>zeniu talentów</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trzecich</w:t>
      </w:r>
      <w:r w:rsidR="00A5335D" w:rsidRPr="00A5335D">
        <w:rPr>
          <w:rFonts w:ascii="Times New Roman" w:hAnsi="Times New Roman"/>
          <w:noProof/>
          <w:sz w:val="24"/>
          <w:szCs w:val="24"/>
        </w:rPr>
        <w:t xml:space="preserve"> z pot</w:t>
      </w:r>
      <w:r w:rsidRPr="00A5335D">
        <w:rPr>
          <w:rFonts w:ascii="Times New Roman" w:hAnsi="Times New Roman"/>
          <w:noProof/>
          <w:sz w:val="24"/>
          <w:szCs w:val="24"/>
        </w:rPr>
        <w:t>encjalnymi pracodawcami</w:t>
      </w:r>
      <w:r w:rsidR="00A5335D" w:rsidRPr="00A5335D">
        <w:rPr>
          <w:rFonts w:ascii="Times New Roman" w:hAnsi="Times New Roman"/>
          <w:noProof/>
          <w:sz w:val="24"/>
          <w:szCs w:val="24"/>
        </w:rPr>
        <w:t xml:space="preserve"> w pań</w:t>
      </w:r>
      <w:r w:rsidRPr="00A5335D">
        <w:rPr>
          <w:rFonts w:ascii="Times New Roman" w:hAnsi="Times New Roman"/>
          <w:noProof/>
          <w:sz w:val="24"/>
          <w:szCs w:val="24"/>
        </w:rPr>
        <w:t xml:space="preserve">stwach członkowskich. </w:t>
      </w:r>
    </w:p>
    <w:p w14:paraId="27CEFC9E" w14:textId="03D61978" w:rsidR="00EA497B" w:rsidRPr="00A5335D" w:rsidRDefault="00F1077E" w:rsidP="00D81FB2">
      <w:pPr>
        <w:jc w:val="both"/>
        <w:rPr>
          <w:rFonts w:ascii="Times New Roman" w:hAnsi="Times New Roman" w:cs="Times New Roman"/>
          <w:noProof/>
          <w:sz w:val="24"/>
          <w:szCs w:val="24"/>
        </w:rPr>
      </w:pPr>
      <w:r w:rsidRPr="00A5335D">
        <w:rPr>
          <w:rFonts w:ascii="Times New Roman" w:hAnsi="Times New Roman"/>
          <w:noProof/>
          <w:sz w:val="24"/>
          <w:szCs w:val="24"/>
        </w:rPr>
        <w:t>Jak określono</w:t>
      </w:r>
      <w:r w:rsidR="00A5335D" w:rsidRPr="00A5335D">
        <w:rPr>
          <w:rFonts w:ascii="Times New Roman" w:hAnsi="Times New Roman"/>
          <w:noProof/>
          <w:sz w:val="24"/>
          <w:szCs w:val="24"/>
        </w:rPr>
        <w:t xml:space="preserve"> w kom</w:t>
      </w:r>
      <w:r w:rsidRPr="00A5335D">
        <w:rPr>
          <w:rFonts w:ascii="Times New Roman" w:hAnsi="Times New Roman"/>
          <w:noProof/>
          <w:sz w:val="24"/>
          <w:szCs w:val="24"/>
        </w:rPr>
        <w:t>unikacie „Przyjmowanie osób uciekających przed wojną</w:t>
      </w:r>
      <w:r w:rsidR="00A5335D" w:rsidRPr="00A5335D">
        <w:rPr>
          <w:rFonts w:ascii="Times New Roman" w:hAnsi="Times New Roman"/>
          <w:noProof/>
          <w:sz w:val="24"/>
          <w:szCs w:val="24"/>
        </w:rPr>
        <w:t xml:space="preserve"> w Ukr</w:t>
      </w:r>
      <w:r w:rsidRPr="00A5335D">
        <w:rPr>
          <w:rFonts w:ascii="Times New Roman" w:hAnsi="Times New Roman"/>
          <w:noProof/>
          <w:sz w:val="24"/>
          <w:szCs w:val="24"/>
        </w:rPr>
        <w:t>ainie:</w:t>
      </w:r>
      <w:r w:rsidR="00A5335D" w:rsidRPr="00A5335D">
        <w:rPr>
          <w:rFonts w:ascii="Times New Roman" w:hAnsi="Times New Roman"/>
          <w:noProof/>
          <w:sz w:val="24"/>
          <w:szCs w:val="24"/>
        </w:rPr>
        <w:t xml:space="preserve"> </w:t>
      </w:r>
      <w:r w:rsidRPr="00A5335D">
        <w:rPr>
          <w:rFonts w:ascii="Times New Roman" w:hAnsi="Times New Roman"/>
          <w:noProof/>
          <w:sz w:val="24"/>
          <w:szCs w:val="24"/>
        </w:rPr>
        <w:t>Przygotowanie Europy do zaspokojenia potrzeb”</w:t>
      </w:r>
      <w:r w:rsidR="00A22D3C" w:rsidRPr="00A5335D">
        <w:rPr>
          <w:rStyle w:val="FootnoteReference"/>
          <w:rFonts w:ascii="Times New Roman" w:hAnsi="Times New Roman" w:cs="Times New Roman"/>
          <w:noProof/>
          <w:sz w:val="24"/>
          <w:szCs w:val="24"/>
        </w:rPr>
        <w:footnoteReference w:id="25"/>
      </w:r>
      <w:r w:rsidRPr="00A5335D">
        <w:rPr>
          <w:rFonts w:ascii="Times New Roman" w:hAnsi="Times New Roman"/>
          <w:noProof/>
          <w:sz w:val="24"/>
          <w:szCs w:val="24"/>
        </w:rPr>
        <w:t xml:space="preserve">, państwa członkowskie będą musiały podjąć działania na rzecz </w:t>
      </w:r>
      <w:r w:rsidRPr="00A5335D">
        <w:rPr>
          <w:rFonts w:ascii="Times New Roman" w:hAnsi="Times New Roman"/>
          <w:b/>
          <w:bCs/>
          <w:noProof/>
          <w:sz w:val="24"/>
          <w:szCs w:val="24"/>
        </w:rPr>
        <w:t>integracji osób korzystających</w:t>
      </w:r>
      <w:r w:rsidR="00A5335D" w:rsidRPr="00A5335D">
        <w:rPr>
          <w:rFonts w:ascii="Times New Roman" w:hAnsi="Times New Roman"/>
          <w:b/>
          <w:bCs/>
          <w:noProof/>
          <w:sz w:val="24"/>
          <w:szCs w:val="24"/>
        </w:rPr>
        <w:t xml:space="preserve"> z och</w:t>
      </w:r>
      <w:r w:rsidRPr="00A5335D">
        <w:rPr>
          <w:rFonts w:ascii="Times New Roman" w:hAnsi="Times New Roman"/>
          <w:b/>
          <w:bCs/>
          <w:noProof/>
          <w:sz w:val="24"/>
          <w:szCs w:val="24"/>
        </w:rPr>
        <w:t>rony tymczasowej na rynku pracy</w:t>
      </w:r>
      <w:r w:rsidRPr="00A5335D">
        <w:rPr>
          <w:rFonts w:ascii="Times New Roman" w:hAnsi="Times New Roman"/>
          <w:noProof/>
          <w:sz w:val="24"/>
          <w:szCs w:val="24"/>
        </w:rPr>
        <w:t>. Komisja będzie wspierać identyfikację</w:t>
      </w:r>
      <w:r w:rsidR="00A5335D" w:rsidRPr="00A5335D">
        <w:rPr>
          <w:rFonts w:ascii="Times New Roman" w:hAnsi="Times New Roman"/>
          <w:noProof/>
          <w:sz w:val="24"/>
          <w:szCs w:val="24"/>
        </w:rPr>
        <w:t xml:space="preserve"> i gru</w:t>
      </w:r>
      <w:r w:rsidRPr="00A5335D">
        <w:rPr>
          <w:rFonts w:ascii="Times New Roman" w:hAnsi="Times New Roman"/>
          <w:noProof/>
          <w:sz w:val="24"/>
          <w:szCs w:val="24"/>
        </w:rPr>
        <w:t>powanie ich umiejętności</w:t>
      </w:r>
      <w:r w:rsidR="00A5335D" w:rsidRPr="00A5335D">
        <w:rPr>
          <w:rFonts w:ascii="Times New Roman" w:hAnsi="Times New Roman"/>
          <w:noProof/>
          <w:sz w:val="24"/>
          <w:szCs w:val="24"/>
        </w:rPr>
        <w:t xml:space="preserve"> i kwa</w:t>
      </w:r>
      <w:r w:rsidRPr="00A5335D">
        <w:rPr>
          <w:rFonts w:ascii="Times New Roman" w:hAnsi="Times New Roman"/>
          <w:noProof/>
          <w:sz w:val="24"/>
          <w:szCs w:val="24"/>
        </w:rPr>
        <w:t>lifikacji, aby ułatwić im znalezienie pracodawców w UE</w:t>
      </w:r>
      <w:r w:rsidR="00140207" w:rsidRPr="00A5335D">
        <w:rPr>
          <w:rStyle w:val="FootnoteReference"/>
          <w:rFonts w:ascii="Times New Roman" w:hAnsi="Times New Roman" w:cs="Times New Roman"/>
          <w:noProof/>
          <w:sz w:val="24"/>
          <w:szCs w:val="24"/>
        </w:rPr>
        <w:footnoteReference w:id="26"/>
      </w:r>
      <w:r w:rsidRPr="00A5335D">
        <w:rPr>
          <w:rFonts w:ascii="Times New Roman" w:hAnsi="Times New Roman"/>
          <w:noProof/>
          <w:sz w:val="24"/>
          <w:szCs w:val="24"/>
        </w:rPr>
        <w:t xml:space="preserve">. </w:t>
      </w:r>
    </w:p>
    <w:p w14:paraId="27CEFC9F" w14:textId="0924BBE4" w:rsidR="00967215" w:rsidRPr="00A5335D" w:rsidRDefault="00EA497B" w:rsidP="00D81FB2">
      <w:pPr>
        <w:jc w:val="both"/>
        <w:rPr>
          <w:rFonts w:ascii="Times New Roman" w:hAnsi="Times New Roman" w:cs="Times New Roman"/>
          <w:b/>
          <w:bCs/>
          <w:i/>
          <w:noProof/>
          <w:sz w:val="24"/>
          <w:szCs w:val="24"/>
        </w:rPr>
      </w:pPr>
      <w:r w:rsidRPr="00A5335D">
        <w:rPr>
          <w:rFonts w:ascii="Times New Roman" w:hAnsi="Times New Roman"/>
          <w:b/>
          <w:bCs/>
          <w:i/>
          <w:noProof/>
          <w:sz w:val="24"/>
          <w:szCs w:val="24"/>
        </w:rPr>
        <w:t>W kierunku zrównoważonej polityki UE</w:t>
      </w:r>
      <w:r w:rsidR="00A5335D" w:rsidRPr="00A5335D">
        <w:rPr>
          <w:rFonts w:ascii="Times New Roman" w:hAnsi="Times New Roman"/>
          <w:b/>
          <w:bCs/>
          <w:i/>
          <w:noProof/>
          <w:sz w:val="24"/>
          <w:szCs w:val="24"/>
        </w:rPr>
        <w:t xml:space="preserve"> w dzi</w:t>
      </w:r>
      <w:r w:rsidRPr="00A5335D">
        <w:rPr>
          <w:rFonts w:ascii="Times New Roman" w:hAnsi="Times New Roman"/>
          <w:b/>
          <w:bCs/>
          <w:i/>
          <w:noProof/>
          <w:sz w:val="24"/>
          <w:szCs w:val="24"/>
        </w:rPr>
        <w:t xml:space="preserve">edzinie legalnej migracji, opartej na trzech filarach </w:t>
      </w:r>
    </w:p>
    <w:p w14:paraId="27CEFCA0" w14:textId="422C355D" w:rsidR="00021AE5" w:rsidRPr="00A5335D" w:rsidRDefault="003767C2" w:rsidP="005A3F82">
      <w:pPr>
        <w:jc w:val="both"/>
        <w:rPr>
          <w:rFonts w:ascii="Times New Roman" w:hAnsi="Times New Roman" w:cs="Times New Roman"/>
          <w:noProof/>
          <w:sz w:val="24"/>
          <w:szCs w:val="24"/>
        </w:rPr>
      </w:pPr>
      <w:r w:rsidRPr="00A5335D">
        <w:rPr>
          <w:rFonts w:ascii="Times New Roman" w:hAnsi="Times New Roman"/>
          <w:noProof/>
          <w:sz w:val="24"/>
          <w:szCs w:val="24"/>
        </w:rPr>
        <w:t xml:space="preserve">W ostatnich dwudziestu latach </w:t>
      </w:r>
      <w:r w:rsidRPr="00A5335D">
        <w:rPr>
          <w:rFonts w:ascii="Times New Roman" w:hAnsi="Times New Roman"/>
          <w:b/>
          <w:bCs/>
          <w:noProof/>
          <w:sz w:val="24"/>
          <w:szCs w:val="24"/>
        </w:rPr>
        <w:t>UE opracowała ramy prawne</w:t>
      </w:r>
      <w:r w:rsidRPr="00A5335D">
        <w:rPr>
          <w:rFonts w:ascii="Times New Roman" w:hAnsi="Times New Roman"/>
          <w:noProof/>
          <w:sz w:val="24"/>
          <w:szCs w:val="24"/>
        </w:rPr>
        <w:t>, dzięki którym</w:t>
      </w:r>
      <w:r w:rsidR="00A5335D" w:rsidRPr="00A5335D">
        <w:rPr>
          <w:rFonts w:ascii="Times New Roman" w:hAnsi="Times New Roman"/>
          <w:noProof/>
          <w:sz w:val="24"/>
          <w:szCs w:val="24"/>
        </w:rPr>
        <w:t xml:space="preserve"> w duż</w:t>
      </w:r>
      <w:r w:rsidRPr="00A5335D">
        <w:rPr>
          <w:rFonts w:ascii="Times New Roman" w:hAnsi="Times New Roman"/>
          <w:noProof/>
          <w:sz w:val="24"/>
          <w:szCs w:val="24"/>
        </w:rPr>
        <w:t>ej mierze udało się zharmonizować obowiązujące</w:t>
      </w:r>
      <w:r w:rsidR="00A5335D" w:rsidRPr="00A5335D">
        <w:rPr>
          <w:rFonts w:ascii="Times New Roman" w:hAnsi="Times New Roman"/>
          <w:noProof/>
          <w:sz w:val="24"/>
          <w:szCs w:val="24"/>
        </w:rPr>
        <w:t xml:space="preserve"> w pań</w:t>
      </w:r>
      <w:r w:rsidRPr="00A5335D">
        <w:rPr>
          <w:rFonts w:ascii="Times New Roman" w:hAnsi="Times New Roman"/>
          <w:noProof/>
          <w:sz w:val="24"/>
          <w:szCs w:val="24"/>
        </w:rPr>
        <w:t>stwach członkowskich warunki wjazdu</w:t>
      </w:r>
      <w:r w:rsidR="00A5335D" w:rsidRPr="00A5335D">
        <w:rPr>
          <w:rFonts w:ascii="Times New Roman" w:hAnsi="Times New Roman"/>
          <w:noProof/>
          <w:sz w:val="24"/>
          <w:szCs w:val="24"/>
        </w:rPr>
        <w:t xml:space="preserve"> i pob</w:t>
      </w:r>
      <w:r w:rsidRPr="00A5335D">
        <w:rPr>
          <w:rFonts w:ascii="Times New Roman" w:hAnsi="Times New Roman"/>
          <w:noProof/>
          <w:sz w:val="24"/>
          <w:szCs w:val="24"/>
        </w:rPr>
        <w:t>ytu pewnych kategorii obywateli państw trzecich. Kategorie te obejmują pracowników przyjeżdżających</w:t>
      </w:r>
      <w:r w:rsidR="00A5335D" w:rsidRPr="00A5335D">
        <w:rPr>
          <w:rFonts w:ascii="Times New Roman" w:hAnsi="Times New Roman"/>
          <w:noProof/>
          <w:sz w:val="24"/>
          <w:szCs w:val="24"/>
        </w:rPr>
        <w:t xml:space="preserve"> w cel</w:t>
      </w:r>
      <w:r w:rsidRPr="00A5335D">
        <w:rPr>
          <w:rFonts w:ascii="Times New Roman" w:hAnsi="Times New Roman"/>
          <w:noProof/>
          <w:sz w:val="24"/>
          <w:szCs w:val="24"/>
        </w:rPr>
        <w:t>ach zarobkowych, takich jak pracownicy wysoko wykwalifikowani (tj. posiadacze „niebieskiej karty”)</w:t>
      </w:r>
      <w:r w:rsidR="003B36F7" w:rsidRPr="00A5335D">
        <w:rPr>
          <w:rStyle w:val="FootnoteReference"/>
          <w:rFonts w:ascii="Times New Roman" w:hAnsi="Times New Roman" w:cs="Times New Roman"/>
          <w:noProof/>
          <w:sz w:val="24"/>
          <w:szCs w:val="24"/>
        </w:rPr>
        <w:footnoteReference w:id="27"/>
      </w:r>
      <w:r w:rsidRPr="00A5335D">
        <w:rPr>
          <w:rFonts w:ascii="Times New Roman" w:hAnsi="Times New Roman"/>
          <w:noProof/>
          <w:sz w:val="24"/>
          <w:szCs w:val="24"/>
        </w:rPr>
        <w:t>, pracowników sezonowych</w:t>
      </w:r>
      <w:r w:rsidR="003B36F7" w:rsidRPr="00A5335D">
        <w:rPr>
          <w:rStyle w:val="FootnoteReference"/>
          <w:rFonts w:ascii="Times New Roman" w:hAnsi="Times New Roman" w:cs="Times New Roman"/>
          <w:noProof/>
          <w:sz w:val="24"/>
          <w:szCs w:val="24"/>
        </w:rPr>
        <w:footnoteReference w:id="28"/>
      </w:r>
      <w:r w:rsidR="00A5335D" w:rsidRPr="00A5335D">
        <w:rPr>
          <w:rFonts w:ascii="Times New Roman" w:hAnsi="Times New Roman"/>
          <w:noProof/>
          <w:sz w:val="24"/>
          <w:szCs w:val="24"/>
        </w:rPr>
        <w:t xml:space="preserve"> i pra</w:t>
      </w:r>
      <w:r w:rsidRPr="00A5335D">
        <w:rPr>
          <w:rFonts w:ascii="Times New Roman" w:hAnsi="Times New Roman"/>
          <w:noProof/>
          <w:sz w:val="24"/>
          <w:szCs w:val="24"/>
        </w:rPr>
        <w:t>cowników przenoszonych wewnątrz przedsiębiorstwa</w:t>
      </w:r>
      <w:r w:rsidR="003B36F7" w:rsidRPr="00A5335D">
        <w:rPr>
          <w:rStyle w:val="FootnoteReference"/>
          <w:rFonts w:ascii="Times New Roman" w:hAnsi="Times New Roman" w:cs="Times New Roman"/>
          <w:noProof/>
          <w:sz w:val="24"/>
          <w:szCs w:val="24"/>
        </w:rPr>
        <w:footnoteReference w:id="29"/>
      </w:r>
      <w:r w:rsidR="002D5B0A" w:rsidRPr="00A5335D">
        <w:rPr>
          <w:rFonts w:ascii="Times New Roman" w:hAnsi="Times New Roman"/>
          <w:noProof/>
          <w:sz w:val="24"/>
          <w:szCs w:val="24"/>
        </w:rPr>
        <w:t xml:space="preserve">. </w:t>
      </w:r>
      <w:r w:rsidRPr="00A5335D">
        <w:rPr>
          <w:rFonts w:ascii="Times New Roman" w:hAnsi="Times New Roman"/>
          <w:noProof/>
          <w:sz w:val="24"/>
          <w:szCs w:val="24"/>
        </w:rPr>
        <w:t>Ramy prawne UE regulują również: (i) warunki przyjmowania oraz praw studentów</w:t>
      </w:r>
      <w:r w:rsidR="00A5335D" w:rsidRPr="00A5335D">
        <w:rPr>
          <w:rFonts w:ascii="Times New Roman" w:hAnsi="Times New Roman"/>
          <w:noProof/>
          <w:sz w:val="24"/>
          <w:szCs w:val="24"/>
        </w:rPr>
        <w:t xml:space="preserve"> i nau</w:t>
      </w:r>
      <w:r w:rsidRPr="00A5335D">
        <w:rPr>
          <w:rFonts w:ascii="Times New Roman" w:hAnsi="Times New Roman"/>
          <w:noProof/>
          <w:sz w:val="24"/>
          <w:szCs w:val="24"/>
        </w:rPr>
        <w:t>kowców</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trzecich</w:t>
      </w:r>
      <w:r w:rsidR="00DD3124" w:rsidRPr="00A5335D">
        <w:rPr>
          <w:rStyle w:val="FootnoteReference"/>
          <w:rFonts w:ascii="Times New Roman" w:hAnsi="Times New Roman" w:cs="Times New Roman"/>
          <w:noProof/>
          <w:sz w:val="24"/>
          <w:szCs w:val="24"/>
        </w:rPr>
        <w:footnoteReference w:id="30"/>
      </w:r>
      <w:r w:rsidRPr="00A5335D">
        <w:rPr>
          <w:rFonts w:ascii="Times New Roman" w:hAnsi="Times New Roman"/>
          <w:noProof/>
          <w:sz w:val="24"/>
          <w:szCs w:val="24"/>
        </w:rPr>
        <w:t>, (ii) prawo do łączenia rodzin</w:t>
      </w:r>
      <w:r w:rsidR="00AE5665" w:rsidRPr="00A5335D">
        <w:rPr>
          <w:rStyle w:val="FootnoteReference"/>
          <w:rFonts w:ascii="Times New Roman" w:hAnsi="Times New Roman" w:cs="Times New Roman"/>
          <w:noProof/>
          <w:sz w:val="24"/>
          <w:szCs w:val="24"/>
        </w:rPr>
        <w:footnoteReference w:id="31"/>
      </w:r>
      <w:r w:rsidRPr="00A5335D">
        <w:rPr>
          <w:rFonts w:ascii="Times New Roman" w:hAnsi="Times New Roman"/>
          <w:noProof/>
          <w:sz w:val="24"/>
          <w:szCs w:val="24"/>
        </w:rPr>
        <w:t>,</w:t>
      </w:r>
      <w:r w:rsidR="00A5335D" w:rsidRPr="00A5335D">
        <w:rPr>
          <w:rFonts w:ascii="Times New Roman" w:hAnsi="Times New Roman"/>
          <w:noProof/>
          <w:sz w:val="24"/>
          <w:szCs w:val="24"/>
        </w:rPr>
        <w:t xml:space="preserve"> a tak</w:t>
      </w:r>
      <w:r w:rsidRPr="00A5335D">
        <w:rPr>
          <w:rFonts w:ascii="Times New Roman" w:hAnsi="Times New Roman"/>
          <w:noProof/>
          <w:sz w:val="24"/>
          <w:szCs w:val="24"/>
        </w:rPr>
        <w:t>że (iii) warunki</w:t>
      </w:r>
      <w:r w:rsidR="00A5335D" w:rsidRPr="00A5335D">
        <w:rPr>
          <w:rFonts w:ascii="Times New Roman" w:hAnsi="Times New Roman"/>
          <w:noProof/>
          <w:sz w:val="24"/>
          <w:szCs w:val="24"/>
        </w:rPr>
        <w:t xml:space="preserve"> i pro</w:t>
      </w:r>
      <w:r w:rsidRPr="00A5335D">
        <w:rPr>
          <w:rFonts w:ascii="Times New Roman" w:hAnsi="Times New Roman"/>
          <w:noProof/>
          <w:sz w:val="24"/>
          <w:szCs w:val="24"/>
        </w:rPr>
        <w:t>cedury dotyczące uzyskiwania prawa stałego pobytu przez obywateli państw trzecich (tj. „pobyt długoterminowy”)</w:t>
      </w:r>
      <w:r w:rsidR="00AE5665" w:rsidRPr="00A5335D">
        <w:rPr>
          <w:rStyle w:val="FootnoteReference"/>
          <w:rFonts w:ascii="Times New Roman" w:hAnsi="Times New Roman" w:cs="Times New Roman"/>
          <w:noProof/>
          <w:sz w:val="24"/>
          <w:szCs w:val="24"/>
        </w:rPr>
        <w:footnoteReference w:id="32"/>
      </w:r>
      <w:r w:rsidR="00A5335D" w:rsidRPr="00A5335D">
        <w:rPr>
          <w:rFonts w:ascii="Times New Roman" w:hAnsi="Times New Roman"/>
          <w:noProof/>
          <w:sz w:val="24"/>
          <w:szCs w:val="24"/>
        </w:rPr>
        <w:t>. W prz</w:t>
      </w:r>
      <w:r w:rsidRPr="00A5335D">
        <w:rPr>
          <w:rFonts w:ascii="Times New Roman" w:hAnsi="Times New Roman"/>
          <w:noProof/>
          <w:sz w:val="24"/>
          <w:szCs w:val="24"/>
        </w:rPr>
        <w:t>episach UE ustanowiono również jedną procedurę – oraz jedno zezwolenie, które łączy</w:t>
      </w:r>
      <w:r w:rsidR="00A5335D" w:rsidRPr="00A5335D">
        <w:rPr>
          <w:rFonts w:ascii="Times New Roman" w:hAnsi="Times New Roman"/>
          <w:noProof/>
          <w:sz w:val="24"/>
          <w:szCs w:val="24"/>
        </w:rPr>
        <w:t xml:space="preserve"> w sob</w:t>
      </w:r>
      <w:r w:rsidRPr="00A5335D">
        <w:rPr>
          <w:rFonts w:ascii="Times New Roman" w:hAnsi="Times New Roman"/>
          <w:noProof/>
          <w:sz w:val="24"/>
          <w:szCs w:val="24"/>
        </w:rPr>
        <w:t>ie zezwolenie na pracę</w:t>
      </w:r>
      <w:r w:rsidR="00A5335D" w:rsidRPr="00A5335D">
        <w:rPr>
          <w:rFonts w:ascii="Times New Roman" w:hAnsi="Times New Roman"/>
          <w:noProof/>
          <w:sz w:val="24"/>
          <w:szCs w:val="24"/>
        </w:rPr>
        <w:t xml:space="preserve"> i pob</w:t>
      </w:r>
      <w:r w:rsidRPr="00A5335D">
        <w:rPr>
          <w:rFonts w:ascii="Times New Roman" w:hAnsi="Times New Roman"/>
          <w:noProof/>
          <w:sz w:val="24"/>
          <w:szCs w:val="24"/>
        </w:rPr>
        <w:t>yt – dla pracowników</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trzecich przyjmowanych</w:t>
      </w:r>
      <w:r w:rsidR="00A5335D" w:rsidRPr="00A5335D">
        <w:rPr>
          <w:rFonts w:ascii="Times New Roman" w:hAnsi="Times New Roman"/>
          <w:noProof/>
          <w:sz w:val="24"/>
          <w:szCs w:val="24"/>
        </w:rPr>
        <w:t xml:space="preserve"> w ram</w:t>
      </w:r>
      <w:r w:rsidRPr="00A5335D">
        <w:rPr>
          <w:rFonts w:ascii="Times New Roman" w:hAnsi="Times New Roman"/>
          <w:noProof/>
          <w:sz w:val="24"/>
          <w:szCs w:val="24"/>
        </w:rPr>
        <w:t>ach systemów krajowych państw członkowskich</w:t>
      </w:r>
      <w:r w:rsidR="00FB5FB6" w:rsidRPr="00A5335D">
        <w:rPr>
          <w:rStyle w:val="FootnoteReference"/>
          <w:rFonts w:ascii="Times New Roman" w:hAnsi="Times New Roman" w:cs="Times New Roman"/>
          <w:noProof/>
          <w:sz w:val="24"/>
          <w:szCs w:val="24"/>
        </w:rPr>
        <w:footnoteReference w:id="33"/>
      </w:r>
      <w:r w:rsidRPr="00A5335D">
        <w:rPr>
          <w:rFonts w:ascii="Times New Roman" w:hAnsi="Times New Roman"/>
          <w:noProof/>
          <w:sz w:val="24"/>
          <w:szCs w:val="24"/>
        </w:rPr>
        <w:t xml:space="preserve">. </w:t>
      </w:r>
    </w:p>
    <w:p w14:paraId="27CEFCA1" w14:textId="1BF0E60F" w:rsidR="003767C2" w:rsidRPr="00A5335D" w:rsidRDefault="00266761" w:rsidP="005A3F82">
      <w:pPr>
        <w:jc w:val="both"/>
        <w:rPr>
          <w:rFonts w:ascii="Times New Roman" w:hAnsi="Times New Roman" w:cs="Times New Roman"/>
          <w:noProof/>
          <w:sz w:val="24"/>
          <w:szCs w:val="24"/>
        </w:rPr>
      </w:pPr>
      <w:r w:rsidRPr="00A5335D">
        <w:rPr>
          <w:rFonts w:ascii="Times New Roman" w:hAnsi="Times New Roman"/>
          <w:noProof/>
          <w:sz w:val="24"/>
          <w:szCs w:val="24"/>
        </w:rPr>
        <w:t>Obecnie prawo Unii nie obejmuje innych kategorii migrantów zarobkowych ani osób prowadzących działalność na własny rachunek. Niektóre</w:t>
      </w:r>
      <w:r w:rsidR="00A5335D" w:rsidRPr="00A5335D">
        <w:rPr>
          <w:rFonts w:ascii="Times New Roman" w:hAnsi="Times New Roman"/>
          <w:noProof/>
          <w:sz w:val="24"/>
          <w:szCs w:val="24"/>
        </w:rPr>
        <w:t xml:space="preserve"> z nic</w:t>
      </w:r>
      <w:r w:rsidRPr="00A5335D">
        <w:rPr>
          <w:rFonts w:ascii="Times New Roman" w:hAnsi="Times New Roman"/>
          <w:noProof/>
          <w:sz w:val="24"/>
          <w:szCs w:val="24"/>
        </w:rPr>
        <w:t>h są objęte przepisami krajowymi</w:t>
      </w:r>
      <w:r w:rsidR="00A5335D" w:rsidRPr="00A5335D">
        <w:rPr>
          <w:rFonts w:ascii="Times New Roman" w:hAnsi="Times New Roman"/>
          <w:noProof/>
          <w:sz w:val="24"/>
          <w:szCs w:val="24"/>
        </w:rPr>
        <w:t>. W mar</w:t>
      </w:r>
      <w:r w:rsidRPr="00A5335D">
        <w:rPr>
          <w:rFonts w:ascii="Times New Roman" w:hAnsi="Times New Roman"/>
          <w:noProof/>
          <w:sz w:val="24"/>
          <w:szCs w:val="24"/>
        </w:rPr>
        <w:t>cu 2019</w:t>
      </w:r>
      <w:r w:rsidR="00A5335D" w:rsidRPr="00A5335D">
        <w:rPr>
          <w:rFonts w:ascii="Times New Roman" w:hAnsi="Times New Roman"/>
          <w:noProof/>
          <w:sz w:val="24"/>
          <w:szCs w:val="24"/>
        </w:rPr>
        <w:t> </w:t>
      </w:r>
      <w:r w:rsidRPr="00A5335D">
        <w:rPr>
          <w:rFonts w:ascii="Times New Roman" w:hAnsi="Times New Roman"/>
          <w:noProof/>
          <w:sz w:val="24"/>
          <w:szCs w:val="24"/>
        </w:rPr>
        <w:t>r. Komisja Europejska zakończyła ogólną ocenę tych ram prawnych</w:t>
      </w:r>
      <w:r w:rsidRPr="00A5335D">
        <w:rPr>
          <w:rFonts w:ascii="Times New Roman" w:hAnsi="Times New Roman"/>
          <w:b/>
          <w:bCs/>
          <w:noProof/>
          <w:sz w:val="24"/>
          <w:szCs w:val="24"/>
        </w:rPr>
        <w:t xml:space="preserve"> </w:t>
      </w:r>
      <w:r w:rsidRPr="00A5335D">
        <w:rPr>
          <w:rFonts w:ascii="Times New Roman" w:hAnsi="Times New Roman"/>
          <w:noProof/>
          <w:sz w:val="24"/>
          <w:szCs w:val="24"/>
        </w:rPr>
        <w:t xml:space="preserve">(tj. </w:t>
      </w:r>
      <w:hyperlink r:id="rId18" w:history="1">
        <w:r w:rsidRPr="00A5335D">
          <w:rPr>
            <w:rFonts w:ascii="Times New Roman" w:hAnsi="Times New Roman"/>
            <w:noProof/>
            <w:sz w:val="24"/>
            <w:szCs w:val="24"/>
          </w:rPr>
          <w:t>ocenę adekwatności przepisów dotyczących legalnej migracji</w:t>
        </w:r>
      </w:hyperlink>
      <w:r w:rsidR="00140C52" w:rsidRPr="00A5335D">
        <w:rPr>
          <w:rStyle w:val="FootnoteReference"/>
          <w:rFonts w:ascii="Times New Roman" w:hAnsi="Times New Roman" w:cs="Times New Roman"/>
          <w:noProof/>
          <w:sz w:val="24"/>
          <w:szCs w:val="24"/>
        </w:rPr>
        <w:footnoteReference w:id="34"/>
      </w:r>
      <w:r w:rsidRPr="00A5335D">
        <w:rPr>
          <w:rFonts w:ascii="Times New Roman" w:hAnsi="Times New Roman"/>
          <w:noProof/>
          <w:sz w:val="24"/>
          <w:szCs w:val="24"/>
        </w:rPr>
        <w:t>). Ocena ta przyniosła niejednoznaczne wnioski</w:t>
      </w:r>
      <w:r w:rsidR="00A5335D" w:rsidRPr="00A5335D">
        <w:rPr>
          <w:rFonts w:ascii="Times New Roman" w:hAnsi="Times New Roman"/>
          <w:noProof/>
          <w:sz w:val="24"/>
          <w:szCs w:val="24"/>
        </w:rPr>
        <w:t xml:space="preserve"> i wsk</w:t>
      </w:r>
      <w:r w:rsidRPr="00A5335D">
        <w:rPr>
          <w:rFonts w:ascii="Times New Roman" w:hAnsi="Times New Roman"/>
          <w:noProof/>
          <w:sz w:val="24"/>
          <w:szCs w:val="24"/>
        </w:rPr>
        <w:t>azywała, że można zrobić więcej, aby wzmocnić oddziaływanie unijnych ram prawnych dotyczących legalnej migracji na wyzwania demograficzne, gospodarcze</w:t>
      </w:r>
      <w:r w:rsidR="00A5335D" w:rsidRPr="00A5335D">
        <w:rPr>
          <w:rFonts w:ascii="Times New Roman" w:hAnsi="Times New Roman"/>
          <w:noProof/>
          <w:sz w:val="24"/>
          <w:szCs w:val="24"/>
        </w:rPr>
        <w:t xml:space="preserve"> i mig</w:t>
      </w:r>
      <w:r w:rsidRPr="00A5335D">
        <w:rPr>
          <w:rFonts w:ascii="Times New Roman" w:hAnsi="Times New Roman"/>
          <w:noProof/>
          <w:sz w:val="24"/>
          <w:szCs w:val="24"/>
        </w:rPr>
        <w:t>racyjne w UE</w:t>
      </w:r>
      <w:r w:rsidR="00A5335D" w:rsidRPr="00A5335D">
        <w:rPr>
          <w:rFonts w:ascii="Times New Roman" w:hAnsi="Times New Roman"/>
          <w:noProof/>
          <w:sz w:val="24"/>
          <w:szCs w:val="24"/>
        </w:rPr>
        <w:t>. W oce</w:t>
      </w:r>
      <w:r w:rsidRPr="00A5335D">
        <w:rPr>
          <w:rFonts w:ascii="Times New Roman" w:hAnsi="Times New Roman"/>
          <w:noProof/>
          <w:sz w:val="24"/>
          <w:szCs w:val="24"/>
        </w:rPr>
        <w:t>nie adekwatności stwierdzono, że system legalnej migracji w UE charakteryzuje się szeregiem niedociągnięć, takich jak rozdrobnienie, ograniczony zakres przepisów UE, niespójności między różnymi dyrektywami, złożoność procedur oraz nieprawidłowe wdrożenie.</w:t>
      </w:r>
    </w:p>
    <w:p w14:paraId="27CEFCA2" w14:textId="568F197B" w:rsidR="00E36CD2" w:rsidRPr="00A5335D" w:rsidRDefault="003767C2" w:rsidP="00E36CD2">
      <w:pPr>
        <w:pStyle w:val="ListParagraph"/>
        <w:ind w:left="0"/>
        <w:contextualSpacing w:val="0"/>
        <w:jc w:val="both"/>
        <w:rPr>
          <w:rFonts w:ascii="Times New Roman" w:hAnsi="Times New Roman" w:cs="Times New Roman"/>
          <w:noProof/>
          <w:sz w:val="24"/>
          <w:szCs w:val="24"/>
        </w:rPr>
      </w:pPr>
      <w:r w:rsidRPr="00A5335D">
        <w:rPr>
          <w:rFonts w:ascii="Times New Roman" w:hAnsi="Times New Roman"/>
          <w:noProof/>
          <w:sz w:val="24"/>
          <w:szCs w:val="24"/>
        </w:rPr>
        <w:t xml:space="preserve">UE opracowała również </w:t>
      </w:r>
      <w:r w:rsidRPr="00A5335D">
        <w:rPr>
          <w:rFonts w:ascii="Times New Roman" w:hAnsi="Times New Roman"/>
          <w:b/>
          <w:bCs/>
          <w:noProof/>
          <w:sz w:val="24"/>
          <w:szCs w:val="24"/>
        </w:rPr>
        <w:t>programy mobilności pracowników</w:t>
      </w:r>
      <w:r w:rsidR="00A5335D" w:rsidRPr="00A5335D">
        <w:rPr>
          <w:rFonts w:ascii="Times New Roman" w:hAnsi="Times New Roman"/>
          <w:b/>
          <w:bCs/>
          <w:noProof/>
          <w:sz w:val="24"/>
          <w:szCs w:val="24"/>
        </w:rPr>
        <w:t xml:space="preserve"> z pań</w:t>
      </w:r>
      <w:r w:rsidRPr="00A5335D">
        <w:rPr>
          <w:rFonts w:ascii="Times New Roman" w:hAnsi="Times New Roman"/>
          <w:b/>
          <w:bCs/>
          <w:noProof/>
          <w:sz w:val="24"/>
          <w:szCs w:val="24"/>
        </w:rPr>
        <w:t>stwami trzecimi</w:t>
      </w:r>
      <w:r w:rsidRPr="00A5335D">
        <w:rPr>
          <w:rFonts w:ascii="Times New Roman" w:hAnsi="Times New Roman"/>
          <w:noProof/>
          <w:sz w:val="24"/>
          <w:szCs w:val="24"/>
        </w:rPr>
        <w:t>. Projekty pilotażowe dotyczące legalnej migracji</w:t>
      </w:r>
      <w:r w:rsidRPr="00A5335D">
        <w:rPr>
          <w:rStyle w:val="FootnoteReference"/>
          <w:rFonts w:ascii="Times New Roman" w:hAnsi="Times New Roman" w:cs="Times New Roman"/>
          <w:noProof/>
          <w:sz w:val="24"/>
          <w:szCs w:val="24"/>
        </w:rPr>
        <w:footnoteReference w:id="35"/>
      </w:r>
      <w:r w:rsidRPr="00A5335D">
        <w:rPr>
          <w:rFonts w:ascii="Times New Roman" w:hAnsi="Times New Roman"/>
          <w:noProof/>
          <w:sz w:val="24"/>
          <w:szCs w:val="24"/>
        </w:rPr>
        <w:t xml:space="preserve"> pokazały, że zapewniając ukierunkowane wsparcie, UE może pomóc państwom członkowskim we wdrażaniu programów, które spełniają potrzeby pracodawców,</w:t>
      </w:r>
      <w:r w:rsidR="00A5335D" w:rsidRPr="00A5335D">
        <w:rPr>
          <w:rFonts w:ascii="Times New Roman" w:hAnsi="Times New Roman"/>
          <w:noProof/>
          <w:sz w:val="24"/>
          <w:szCs w:val="24"/>
        </w:rPr>
        <w:t xml:space="preserve"> a jed</w:t>
      </w:r>
      <w:r w:rsidRPr="00A5335D">
        <w:rPr>
          <w:rFonts w:ascii="Times New Roman" w:hAnsi="Times New Roman"/>
          <w:noProof/>
          <w:sz w:val="24"/>
          <w:szCs w:val="24"/>
        </w:rPr>
        <w:t>nocześnie wzmacniają rozwój kapitału ludzkiego</w:t>
      </w:r>
      <w:r w:rsidR="00A5335D" w:rsidRPr="00A5335D">
        <w:rPr>
          <w:rFonts w:ascii="Times New Roman" w:hAnsi="Times New Roman"/>
          <w:noProof/>
          <w:sz w:val="24"/>
          <w:szCs w:val="24"/>
        </w:rPr>
        <w:t xml:space="preserve"> w kra</w:t>
      </w:r>
      <w:r w:rsidRPr="00A5335D">
        <w:rPr>
          <w:rFonts w:ascii="Times New Roman" w:hAnsi="Times New Roman"/>
          <w:noProof/>
          <w:sz w:val="24"/>
          <w:szCs w:val="24"/>
        </w:rPr>
        <w:t>jach partnerskich. UE otworzyła również dla państw trzecich program Erasmus+ mający promować mobilność osób uczących się</w:t>
      </w:r>
      <w:r w:rsidR="00A5335D" w:rsidRPr="00A5335D">
        <w:rPr>
          <w:rFonts w:ascii="Times New Roman" w:hAnsi="Times New Roman"/>
          <w:noProof/>
          <w:sz w:val="24"/>
          <w:szCs w:val="24"/>
        </w:rPr>
        <w:t xml:space="preserve"> i pra</w:t>
      </w:r>
      <w:r w:rsidRPr="00A5335D">
        <w:rPr>
          <w:rFonts w:ascii="Times New Roman" w:hAnsi="Times New Roman"/>
          <w:noProof/>
          <w:sz w:val="24"/>
          <w:szCs w:val="24"/>
        </w:rPr>
        <w:t>cowników</w:t>
      </w:r>
      <w:r w:rsidR="00A5335D" w:rsidRPr="00A5335D">
        <w:rPr>
          <w:rFonts w:ascii="Times New Roman" w:hAnsi="Times New Roman"/>
          <w:noProof/>
          <w:sz w:val="24"/>
          <w:szCs w:val="24"/>
        </w:rPr>
        <w:t xml:space="preserve"> w dzi</w:t>
      </w:r>
      <w:r w:rsidRPr="00A5335D">
        <w:rPr>
          <w:rFonts w:ascii="Times New Roman" w:hAnsi="Times New Roman"/>
          <w:noProof/>
          <w:sz w:val="24"/>
          <w:szCs w:val="24"/>
        </w:rPr>
        <w:t>edzinie kształcenia</w:t>
      </w:r>
      <w:r w:rsidR="00A5335D" w:rsidRPr="00A5335D">
        <w:rPr>
          <w:rFonts w:ascii="Times New Roman" w:hAnsi="Times New Roman"/>
          <w:noProof/>
          <w:sz w:val="24"/>
          <w:szCs w:val="24"/>
        </w:rPr>
        <w:t xml:space="preserve"> i szk</w:t>
      </w:r>
      <w:r w:rsidRPr="00A5335D">
        <w:rPr>
          <w:rFonts w:ascii="Times New Roman" w:hAnsi="Times New Roman"/>
          <w:noProof/>
          <w:sz w:val="24"/>
          <w:szCs w:val="24"/>
        </w:rPr>
        <w:t>olenia zawodowego. Nadal jednak istnieje możliwość zwiększenia zakresu</w:t>
      </w:r>
      <w:r w:rsidR="00A5335D" w:rsidRPr="00A5335D">
        <w:rPr>
          <w:rFonts w:ascii="Times New Roman" w:hAnsi="Times New Roman"/>
          <w:noProof/>
          <w:sz w:val="24"/>
          <w:szCs w:val="24"/>
        </w:rPr>
        <w:t xml:space="preserve"> i amb</w:t>
      </w:r>
      <w:r w:rsidRPr="00A5335D">
        <w:rPr>
          <w:rFonts w:ascii="Times New Roman" w:hAnsi="Times New Roman"/>
          <w:noProof/>
          <w:sz w:val="24"/>
          <w:szCs w:val="24"/>
        </w:rPr>
        <w:t xml:space="preserve">icji obecnych programów. </w:t>
      </w:r>
    </w:p>
    <w:p w14:paraId="27CEFCA3" w14:textId="24C269D4" w:rsidR="003767C2" w:rsidRPr="00A5335D" w:rsidRDefault="003767C2" w:rsidP="00E36CD2">
      <w:pPr>
        <w:pStyle w:val="ListParagraph"/>
        <w:ind w:left="0"/>
        <w:contextualSpacing w:val="0"/>
        <w:jc w:val="both"/>
        <w:rPr>
          <w:noProof/>
        </w:rPr>
      </w:pPr>
      <w:r w:rsidRPr="00A5335D">
        <w:rPr>
          <w:rFonts w:ascii="Times New Roman" w:hAnsi="Times New Roman"/>
          <w:noProof/>
          <w:sz w:val="24"/>
          <w:szCs w:val="24"/>
        </w:rPr>
        <w:t>Aby znaleźć rozwiązania dostosowane do różnorodnych potrzeb oraz zaradzić niedociągnięciom prawnym</w:t>
      </w:r>
      <w:r w:rsidR="00A5335D" w:rsidRPr="00A5335D">
        <w:rPr>
          <w:rFonts w:ascii="Times New Roman" w:hAnsi="Times New Roman"/>
          <w:noProof/>
          <w:sz w:val="24"/>
          <w:szCs w:val="24"/>
        </w:rPr>
        <w:t xml:space="preserve"> i ope</w:t>
      </w:r>
      <w:r w:rsidRPr="00A5335D">
        <w:rPr>
          <w:rFonts w:ascii="Times New Roman" w:hAnsi="Times New Roman"/>
          <w:noProof/>
          <w:sz w:val="24"/>
          <w:szCs w:val="24"/>
        </w:rPr>
        <w:t xml:space="preserve">racyjnym, </w:t>
      </w:r>
      <w:r w:rsidRPr="00A5335D">
        <w:rPr>
          <w:rFonts w:ascii="Times New Roman" w:hAnsi="Times New Roman"/>
          <w:b/>
          <w:bCs/>
          <w:noProof/>
          <w:sz w:val="24"/>
          <w:szCs w:val="24"/>
        </w:rPr>
        <w:t>Komisja przeprowadziła szeroko zakrojone konsultacje</w:t>
      </w:r>
      <w:r w:rsidRPr="00A5335D">
        <w:rPr>
          <w:rFonts w:ascii="Times New Roman" w:hAnsi="Times New Roman"/>
          <w:noProof/>
          <w:sz w:val="24"/>
          <w:szCs w:val="24"/>
        </w:rPr>
        <w:t>. Zasięgnęła opinii ogółu społeczeństwa</w:t>
      </w:r>
      <w:r w:rsidR="00A5335D" w:rsidRPr="00A5335D">
        <w:rPr>
          <w:rFonts w:ascii="Times New Roman" w:hAnsi="Times New Roman"/>
          <w:noProof/>
          <w:sz w:val="24"/>
          <w:szCs w:val="24"/>
        </w:rPr>
        <w:t xml:space="preserve"> w ram</w:t>
      </w:r>
      <w:r w:rsidRPr="00A5335D">
        <w:rPr>
          <w:rFonts w:ascii="Times New Roman" w:hAnsi="Times New Roman"/>
          <w:noProof/>
          <w:sz w:val="24"/>
          <w:szCs w:val="24"/>
        </w:rPr>
        <w:t>ach otwartych konsultacji</w:t>
      </w:r>
      <w:r w:rsidRPr="00A5335D">
        <w:rPr>
          <w:rStyle w:val="FootnoteReference"/>
          <w:rFonts w:ascii="Times New Roman" w:hAnsi="Times New Roman" w:cs="Times New Roman"/>
          <w:noProof/>
          <w:sz w:val="24"/>
          <w:szCs w:val="24"/>
        </w:rPr>
        <w:footnoteReference w:id="36"/>
      </w:r>
      <w:r w:rsidRPr="00A5335D">
        <w:rPr>
          <w:rFonts w:ascii="Times New Roman" w:hAnsi="Times New Roman"/>
          <w:noProof/>
          <w:sz w:val="24"/>
          <w:szCs w:val="24"/>
        </w:rPr>
        <w:t>, państw członkowskich, Parlamentu Europejskiego, europejskich partnerów społecznych</w:t>
      </w:r>
      <w:r w:rsidR="00A2756D" w:rsidRPr="00A5335D">
        <w:rPr>
          <w:rStyle w:val="FootnoteReference"/>
          <w:rFonts w:ascii="Times New Roman" w:hAnsi="Times New Roman" w:cs="Times New Roman"/>
          <w:noProof/>
          <w:sz w:val="24"/>
          <w:szCs w:val="24"/>
        </w:rPr>
        <w:footnoteReference w:id="37"/>
      </w:r>
      <w:r w:rsidR="00A5335D" w:rsidRPr="00A5335D">
        <w:rPr>
          <w:rFonts w:ascii="Times New Roman" w:hAnsi="Times New Roman"/>
          <w:noProof/>
          <w:sz w:val="24"/>
          <w:szCs w:val="24"/>
        </w:rPr>
        <w:t xml:space="preserve"> i spo</w:t>
      </w:r>
      <w:r w:rsidRPr="00A5335D">
        <w:rPr>
          <w:rFonts w:ascii="Times New Roman" w:hAnsi="Times New Roman"/>
          <w:noProof/>
          <w:sz w:val="24"/>
          <w:szCs w:val="24"/>
        </w:rPr>
        <w:t>łeczeństwa obywatelskiego</w:t>
      </w:r>
      <w:r w:rsidR="00A2756D" w:rsidRPr="00A5335D">
        <w:rPr>
          <w:rStyle w:val="FootnoteReference"/>
          <w:rFonts w:ascii="Times New Roman" w:hAnsi="Times New Roman" w:cs="Times New Roman"/>
          <w:noProof/>
          <w:sz w:val="24"/>
          <w:szCs w:val="24"/>
        </w:rPr>
        <w:footnoteReference w:id="38"/>
      </w:r>
      <w:r w:rsidRPr="00A5335D">
        <w:rPr>
          <w:rFonts w:ascii="Times New Roman" w:hAnsi="Times New Roman"/>
          <w:noProof/>
          <w:sz w:val="24"/>
          <w:szCs w:val="24"/>
        </w:rPr>
        <w:t>. W 2021</w:t>
      </w:r>
      <w:r w:rsidR="00A5335D" w:rsidRPr="00A5335D">
        <w:rPr>
          <w:rFonts w:ascii="Times New Roman" w:hAnsi="Times New Roman"/>
          <w:noProof/>
          <w:sz w:val="24"/>
          <w:szCs w:val="24"/>
        </w:rPr>
        <w:t> </w:t>
      </w:r>
      <w:r w:rsidRPr="00A5335D">
        <w:rPr>
          <w:rFonts w:ascii="Times New Roman" w:hAnsi="Times New Roman"/>
          <w:noProof/>
          <w:sz w:val="24"/>
          <w:szCs w:val="24"/>
        </w:rPr>
        <w:t>r. Parlament Europejski przyjął dwie rezolucje</w:t>
      </w:r>
      <w:r w:rsidR="00A5335D" w:rsidRPr="00A5335D">
        <w:rPr>
          <w:rFonts w:ascii="Times New Roman" w:hAnsi="Times New Roman"/>
          <w:noProof/>
          <w:sz w:val="24"/>
          <w:szCs w:val="24"/>
        </w:rPr>
        <w:t xml:space="preserve"> w spr</w:t>
      </w:r>
      <w:r w:rsidRPr="00A5335D">
        <w:rPr>
          <w:rFonts w:ascii="Times New Roman" w:hAnsi="Times New Roman"/>
          <w:noProof/>
          <w:sz w:val="24"/>
          <w:szCs w:val="24"/>
        </w:rPr>
        <w:t>awie legalnej migracji</w:t>
      </w:r>
      <w:r w:rsidRPr="00A5335D">
        <w:rPr>
          <w:noProof/>
          <w:vertAlign w:val="superscript"/>
        </w:rPr>
        <w:footnoteReference w:id="39"/>
      </w:r>
      <w:r w:rsidRPr="00A5335D">
        <w:rPr>
          <w:rFonts w:ascii="Times New Roman" w:hAnsi="Times New Roman"/>
          <w:noProof/>
          <w:sz w:val="24"/>
          <w:szCs w:val="24"/>
        </w:rPr>
        <w:t>, wzywając Komisję do ulepszenia</w:t>
      </w:r>
      <w:r w:rsidR="00A5335D" w:rsidRPr="00A5335D">
        <w:rPr>
          <w:rFonts w:ascii="Times New Roman" w:hAnsi="Times New Roman"/>
          <w:noProof/>
          <w:sz w:val="24"/>
          <w:szCs w:val="24"/>
        </w:rPr>
        <w:t xml:space="preserve"> i roz</w:t>
      </w:r>
      <w:r w:rsidRPr="00A5335D">
        <w:rPr>
          <w:rFonts w:ascii="Times New Roman" w:hAnsi="Times New Roman"/>
          <w:noProof/>
          <w:sz w:val="24"/>
          <w:szCs w:val="24"/>
        </w:rPr>
        <w:t>winięcia unijnych ram prawnych</w:t>
      </w:r>
      <w:r w:rsidR="00A5335D" w:rsidRPr="00A5335D">
        <w:rPr>
          <w:rFonts w:ascii="Times New Roman" w:hAnsi="Times New Roman"/>
          <w:noProof/>
          <w:sz w:val="24"/>
          <w:szCs w:val="24"/>
        </w:rPr>
        <w:t xml:space="preserve"> i pol</w:t>
      </w:r>
      <w:r w:rsidRPr="00A5335D">
        <w:rPr>
          <w:rFonts w:ascii="Times New Roman" w:hAnsi="Times New Roman"/>
          <w:noProof/>
          <w:sz w:val="24"/>
          <w:szCs w:val="24"/>
        </w:rPr>
        <w:t>itycznych. Na podstawie art.</w:t>
      </w:r>
      <w:r w:rsidR="00A5335D" w:rsidRPr="00A5335D">
        <w:rPr>
          <w:rFonts w:ascii="Times New Roman" w:hAnsi="Times New Roman"/>
          <w:noProof/>
          <w:sz w:val="24"/>
          <w:szCs w:val="24"/>
        </w:rPr>
        <w:t> </w:t>
      </w:r>
      <w:r w:rsidRPr="00A5335D">
        <w:rPr>
          <w:rFonts w:ascii="Times New Roman" w:hAnsi="Times New Roman"/>
          <w:noProof/>
          <w:sz w:val="24"/>
          <w:szCs w:val="24"/>
        </w:rPr>
        <w:t>225 Traktatu</w:t>
      </w:r>
      <w:r w:rsidR="00A5335D" w:rsidRPr="00A5335D">
        <w:rPr>
          <w:rFonts w:ascii="Times New Roman" w:hAnsi="Times New Roman"/>
          <w:noProof/>
          <w:sz w:val="24"/>
          <w:szCs w:val="24"/>
        </w:rPr>
        <w:t xml:space="preserve"> o fun</w:t>
      </w:r>
      <w:r w:rsidRPr="00A5335D">
        <w:rPr>
          <w:rFonts w:ascii="Times New Roman" w:hAnsi="Times New Roman"/>
          <w:noProof/>
          <w:sz w:val="24"/>
          <w:szCs w:val="24"/>
        </w:rPr>
        <w:t>kcjonowaniu Unii Europejskiej Parlament Europejski zwrócił się do Komisji</w:t>
      </w:r>
      <w:r w:rsidR="00A5335D" w:rsidRPr="00A5335D">
        <w:rPr>
          <w:rFonts w:ascii="Times New Roman" w:hAnsi="Times New Roman"/>
          <w:noProof/>
          <w:sz w:val="24"/>
          <w:szCs w:val="24"/>
        </w:rPr>
        <w:t xml:space="preserve"> o prz</w:t>
      </w:r>
      <w:r w:rsidRPr="00A5335D">
        <w:rPr>
          <w:rFonts w:ascii="Times New Roman" w:hAnsi="Times New Roman"/>
          <w:noProof/>
          <w:sz w:val="24"/>
          <w:szCs w:val="24"/>
        </w:rPr>
        <w:t>edstawienie zestawu wniosków mających na celu ułatwienie</w:t>
      </w:r>
      <w:r w:rsidR="00A5335D" w:rsidRPr="00A5335D">
        <w:rPr>
          <w:rFonts w:ascii="Times New Roman" w:hAnsi="Times New Roman"/>
          <w:noProof/>
          <w:sz w:val="24"/>
          <w:szCs w:val="24"/>
        </w:rPr>
        <w:t xml:space="preserve"> i pro</w:t>
      </w:r>
      <w:r w:rsidRPr="00A5335D">
        <w:rPr>
          <w:rFonts w:ascii="Times New Roman" w:hAnsi="Times New Roman"/>
          <w:noProof/>
          <w:sz w:val="24"/>
          <w:szCs w:val="24"/>
        </w:rPr>
        <w:t>mowanie wjazdu do UE</w:t>
      </w:r>
      <w:r w:rsidR="00A5335D" w:rsidRPr="00A5335D">
        <w:rPr>
          <w:rFonts w:ascii="Times New Roman" w:hAnsi="Times New Roman"/>
          <w:noProof/>
          <w:sz w:val="24"/>
          <w:szCs w:val="24"/>
        </w:rPr>
        <w:t xml:space="preserve"> i mob</w:t>
      </w:r>
      <w:r w:rsidRPr="00A5335D">
        <w:rPr>
          <w:rFonts w:ascii="Times New Roman" w:hAnsi="Times New Roman"/>
          <w:noProof/>
          <w:sz w:val="24"/>
          <w:szCs w:val="24"/>
        </w:rPr>
        <w:t>ilności</w:t>
      </w:r>
      <w:r w:rsidR="00A5335D" w:rsidRPr="00A5335D">
        <w:rPr>
          <w:rFonts w:ascii="Times New Roman" w:hAnsi="Times New Roman"/>
          <w:noProof/>
          <w:sz w:val="24"/>
          <w:szCs w:val="24"/>
        </w:rPr>
        <w:t xml:space="preserve"> w jej</w:t>
      </w:r>
      <w:r w:rsidRPr="00A5335D">
        <w:rPr>
          <w:rFonts w:ascii="Times New Roman" w:hAnsi="Times New Roman"/>
          <w:noProof/>
          <w:sz w:val="24"/>
          <w:szCs w:val="24"/>
        </w:rPr>
        <w:t xml:space="preserve"> obrębie legalnie migrujących obywateli państw trzecich,</w:t>
      </w:r>
      <w:r w:rsidR="00A5335D" w:rsidRPr="00A5335D">
        <w:rPr>
          <w:rFonts w:ascii="Times New Roman" w:hAnsi="Times New Roman"/>
          <w:noProof/>
          <w:sz w:val="24"/>
          <w:szCs w:val="24"/>
        </w:rPr>
        <w:t xml:space="preserve"> w cel</w:t>
      </w:r>
      <w:r w:rsidRPr="00A5335D">
        <w:rPr>
          <w:rFonts w:ascii="Times New Roman" w:hAnsi="Times New Roman"/>
          <w:noProof/>
          <w:sz w:val="24"/>
          <w:szCs w:val="24"/>
        </w:rPr>
        <w:t>u ograniczenia biurokracji, poprawy harmonizacji, promowania praw podstawowych</w:t>
      </w:r>
      <w:r w:rsidR="00A5335D" w:rsidRPr="00A5335D">
        <w:rPr>
          <w:rFonts w:ascii="Times New Roman" w:hAnsi="Times New Roman"/>
          <w:noProof/>
          <w:sz w:val="24"/>
          <w:szCs w:val="24"/>
        </w:rPr>
        <w:t xml:space="preserve"> i rów</w:t>
      </w:r>
      <w:r w:rsidRPr="00A5335D">
        <w:rPr>
          <w:rFonts w:ascii="Times New Roman" w:hAnsi="Times New Roman"/>
          <w:noProof/>
          <w:sz w:val="24"/>
          <w:szCs w:val="24"/>
        </w:rPr>
        <w:t>nego traktowania oraz zapobiegania wyzyskowi pracowników.</w:t>
      </w:r>
    </w:p>
    <w:p w14:paraId="27CEFCA4" w14:textId="580CFFE2" w:rsidR="00F20353" w:rsidRPr="00A5335D" w:rsidRDefault="00021AE5" w:rsidP="003767C2">
      <w:pPr>
        <w:jc w:val="both"/>
        <w:rPr>
          <w:noProof/>
        </w:rPr>
      </w:pPr>
      <w:r w:rsidRPr="00A5335D">
        <w:rPr>
          <w:rFonts w:ascii="Times New Roman" w:hAnsi="Times New Roman"/>
          <w:noProof/>
          <w:sz w:val="24"/>
          <w:szCs w:val="24"/>
        </w:rPr>
        <w:t>Państwa członkowskie, opowiadając się za uproszczeniem</w:t>
      </w:r>
      <w:r w:rsidR="00A5335D" w:rsidRPr="00A5335D">
        <w:rPr>
          <w:rFonts w:ascii="Times New Roman" w:hAnsi="Times New Roman"/>
          <w:noProof/>
          <w:sz w:val="24"/>
          <w:szCs w:val="24"/>
        </w:rPr>
        <w:t xml:space="preserve"> i usp</w:t>
      </w:r>
      <w:r w:rsidRPr="00A5335D">
        <w:rPr>
          <w:rFonts w:ascii="Times New Roman" w:hAnsi="Times New Roman"/>
          <w:noProof/>
          <w:sz w:val="24"/>
          <w:szCs w:val="24"/>
        </w:rPr>
        <w:t>rawnieniem procedur, na ogół wolą skupić się na aspektach operacyjnych</w:t>
      </w:r>
      <w:r w:rsidR="00A5335D" w:rsidRPr="00A5335D">
        <w:rPr>
          <w:rFonts w:ascii="Times New Roman" w:hAnsi="Times New Roman"/>
          <w:noProof/>
          <w:sz w:val="24"/>
          <w:szCs w:val="24"/>
        </w:rPr>
        <w:t xml:space="preserve"> i nie</w:t>
      </w:r>
      <w:r w:rsidRPr="00A5335D">
        <w:rPr>
          <w:rFonts w:ascii="Times New Roman" w:hAnsi="Times New Roman"/>
          <w:noProof/>
          <w:sz w:val="24"/>
          <w:szCs w:val="24"/>
        </w:rPr>
        <w:t xml:space="preserve"> podejmować nowych prac legislacyjnych</w:t>
      </w:r>
      <w:r w:rsidR="00A5335D" w:rsidRPr="00A5335D">
        <w:rPr>
          <w:rFonts w:ascii="Times New Roman" w:hAnsi="Times New Roman"/>
          <w:noProof/>
          <w:sz w:val="24"/>
          <w:szCs w:val="24"/>
        </w:rPr>
        <w:t xml:space="preserve"> w dzi</w:t>
      </w:r>
      <w:r w:rsidRPr="00A5335D">
        <w:rPr>
          <w:rFonts w:ascii="Times New Roman" w:hAnsi="Times New Roman"/>
          <w:noProof/>
          <w:sz w:val="24"/>
          <w:szCs w:val="24"/>
        </w:rPr>
        <w:t>edzinie legalnej migracji na szczeblu UE.</w:t>
      </w:r>
    </w:p>
    <w:p w14:paraId="27CEFCA5" w14:textId="05609881" w:rsidR="0009172D" w:rsidRPr="00A5335D" w:rsidRDefault="0009172D" w:rsidP="0009172D">
      <w:pPr>
        <w:jc w:val="both"/>
        <w:rPr>
          <w:rFonts w:ascii="Times New Roman" w:hAnsi="Times New Roman" w:cs="Times New Roman"/>
          <w:noProof/>
          <w:sz w:val="24"/>
          <w:szCs w:val="24"/>
        </w:rPr>
      </w:pPr>
      <w:r w:rsidRPr="00A5335D">
        <w:rPr>
          <w:rFonts w:ascii="Times New Roman" w:hAnsi="Times New Roman"/>
          <w:noProof/>
          <w:sz w:val="24"/>
          <w:szCs w:val="24"/>
        </w:rPr>
        <w:t>Aby poprawić zarządzanie legalną migracją w UE,</w:t>
      </w:r>
      <w:r w:rsidR="00A5335D" w:rsidRPr="00A5335D">
        <w:rPr>
          <w:rFonts w:ascii="Times New Roman" w:hAnsi="Times New Roman"/>
          <w:noProof/>
          <w:sz w:val="24"/>
          <w:szCs w:val="24"/>
        </w:rPr>
        <w:t xml:space="preserve"> a jed</w:t>
      </w:r>
      <w:r w:rsidRPr="00A5335D">
        <w:rPr>
          <w:rFonts w:ascii="Times New Roman" w:hAnsi="Times New Roman"/>
          <w:noProof/>
          <w:sz w:val="24"/>
          <w:szCs w:val="24"/>
        </w:rPr>
        <w:t>nocześnie</w:t>
      </w:r>
      <w:r w:rsidR="00A5335D" w:rsidRPr="00A5335D">
        <w:rPr>
          <w:rFonts w:ascii="Times New Roman" w:hAnsi="Times New Roman"/>
          <w:noProof/>
          <w:sz w:val="24"/>
          <w:szCs w:val="24"/>
        </w:rPr>
        <w:t xml:space="preserve"> w zró</w:t>
      </w:r>
      <w:r w:rsidRPr="00A5335D">
        <w:rPr>
          <w:rFonts w:ascii="Times New Roman" w:hAnsi="Times New Roman"/>
          <w:noProof/>
          <w:sz w:val="24"/>
          <w:szCs w:val="24"/>
        </w:rPr>
        <w:t>wnoważony</w:t>
      </w:r>
      <w:r w:rsidR="00A5335D" w:rsidRPr="00A5335D">
        <w:rPr>
          <w:rFonts w:ascii="Times New Roman" w:hAnsi="Times New Roman"/>
          <w:noProof/>
          <w:sz w:val="24"/>
          <w:szCs w:val="24"/>
        </w:rPr>
        <w:t xml:space="preserve"> i pra</w:t>
      </w:r>
      <w:r w:rsidRPr="00A5335D">
        <w:rPr>
          <w:rFonts w:ascii="Times New Roman" w:hAnsi="Times New Roman"/>
          <w:noProof/>
          <w:sz w:val="24"/>
          <w:szCs w:val="24"/>
        </w:rPr>
        <w:t>gmatyczny sposób odpowiedzieć na postulaty Parlamentu Europejskiego</w:t>
      </w:r>
      <w:r w:rsidR="00A5335D" w:rsidRPr="00A5335D">
        <w:rPr>
          <w:rFonts w:ascii="Times New Roman" w:hAnsi="Times New Roman"/>
          <w:noProof/>
          <w:sz w:val="24"/>
          <w:szCs w:val="24"/>
        </w:rPr>
        <w:t xml:space="preserve"> i pań</w:t>
      </w:r>
      <w:r w:rsidRPr="00A5335D">
        <w:rPr>
          <w:rFonts w:ascii="Times New Roman" w:hAnsi="Times New Roman"/>
          <w:noProof/>
          <w:sz w:val="24"/>
          <w:szCs w:val="24"/>
        </w:rPr>
        <w:t>stw członkowskich,</w:t>
      </w:r>
      <w:r w:rsidR="00A5335D" w:rsidRPr="00A5335D">
        <w:rPr>
          <w:rFonts w:ascii="Times New Roman" w:hAnsi="Times New Roman"/>
          <w:noProof/>
          <w:sz w:val="24"/>
          <w:szCs w:val="24"/>
        </w:rPr>
        <w:t xml:space="preserve"> w nin</w:t>
      </w:r>
      <w:r w:rsidRPr="00A5335D">
        <w:rPr>
          <w:rFonts w:ascii="Times New Roman" w:hAnsi="Times New Roman"/>
          <w:noProof/>
          <w:sz w:val="24"/>
          <w:szCs w:val="24"/>
        </w:rPr>
        <w:t xml:space="preserve">iejszym komunikacie określono </w:t>
      </w:r>
      <w:r w:rsidRPr="00A5335D">
        <w:rPr>
          <w:rFonts w:ascii="Times New Roman" w:hAnsi="Times New Roman"/>
          <w:b/>
          <w:bCs/>
          <w:noProof/>
          <w:sz w:val="24"/>
          <w:szCs w:val="24"/>
        </w:rPr>
        <w:t>trzy kluczowe filary zrównoważonej polityki UE</w:t>
      </w:r>
      <w:r w:rsidR="00A5335D" w:rsidRPr="00A5335D">
        <w:rPr>
          <w:rFonts w:ascii="Times New Roman" w:hAnsi="Times New Roman"/>
          <w:b/>
          <w:bCs/>
          <w:noProof/>
          <w:sz w:val="24"/>
          <w:szCs w:val="24"/>
        </w:rPr>
        <w:t xml:space="preserve"> w dzi</w:t>
      </w:r>
      <w:r w:rsidRPr="00A5335D">
        <w:rPr>
          <w:rFonts w:ascii="Times New Roman" w:hAnsi="Times New Roman"/>
          <w:b/>
          <w:bCs/>
          <w:noProof/>
          <w:sz w:val="24"/>
          <w:szCs w:val="24"/>
        </w:rPr>
        <w:t>edzinie legalnej migracji:</w:t>
      </w:r>
      <w:r w:rsidRPr="00A5335D">
        <w:rPr>
          <w:rFonts w:ascii="Times New Roman" w:hAnsi="Times New Roman"/>
          <w:noProof/>
          <w:sz w:val="24"/>
          <w:szCs w:val="24"/>
        </w:rPr>
        <w:t xml:space="preserve"> </w:t>
      </w:r>
    </w:p>
    <w:p w14:paraId="27CEFCA6" w14:textId="142DB4A4" w:rsidR="00D72DB3" w:rsidRPr="00A5335D" w:rsidRDefault="00E15283" w:rsidP="00282F98">
      <w:pPr>
        <w:pStyle w:val="ListParagraph"/>
        <w:numPr>
          <w:ilvl w:val="0"/>
          <w:numId w:val="12"/>
        </w:numPr>
        <w:spacing w:before="120" w:after="240"/>
        <w:jc w:val="both"/>
        <w:rPr>
          <w:rFonts w:ascii="Times New Roman" w:hAnsi="Times New Roman" w:cs="Times New Roman"/>
          <w:noProof/>
          <w:sz w:val="24"/>
          <w:szCs w:val="24"/>
        </w:rPr>
      </w:pPr>
      <w:r w:rsidRPr="00A5335D">
        <w:rPr>
          <w:rFonts w:ascii="Times New Roman" w:hAnsi="Times New Roman"/>
          <w:b/>
          <w:bCs/>
          <w:noProof/>
          <w:sz w:val="24"/>
          <w:szCs w:val="24"/>
        </w:rPr>
        <w:t>filar legislacyjny</w:t>
      </w:r>
      <w:r w:rsidRPr="00A5335D">
        <w:rPr>
          <w:rFonts w:ascii="Times New Roman" w:hAnsi="Times New Roman"/>
          <w:noProof/>
          <w:sz w:val="24"/>
          <w:szCs w:val="24"/>
        </w:rPr>
        <w:t xml:space="preserve"> obejmujący przekształcenie </w:t>
      </w:r>
      <w:r w:rsidRPr="00A5335D">
        <w:rPr>
          <w:rFonts w:ascii="Times New Roman" w:hAnsi="Times New Roman"/>
          <w:b/>
          <w:bCs/>
          <w:noProof/>
          <w:sz w:val="24"/>
          <w:szCs w:val="24"/>
        </w:rPr>
        <w:t>dyrektywy</w:t>
      </w:r>
      <w:r w:rsidR="00A5335D" w:rsidRPr="00A5335D">
        <w:rPr>
          <w:rFonts w:ascii="Times New Roman" w:hAnsi="Times New Roman"/>
          <w:b/>
          <w:bCs/>
          <w:noProof/>
          <w:sz w:val="24"/>
          <w:szCs w:val="24"/>
        </w:rPr>
        <w:t xml:space="preserve"> w spr</w:t>
      </w:r>
      <w:r w:rsidRPr="00A5335D">
        <w:rPr>
          <w:rFonts w:ascii="Times New Roman" w:hAnsi="Times New Roman"/>
          <w:b/>
          <w:bCs/>
          <w:noProof/>
          <w:sz w:val="24"/>
          <w:szCs w:val="24"/>
        </w:rPr>
        <w:t>awie rezydentów długoterminowych</w:t>
      </w:r>
      <w:r w:rsidR="005671DC" w:rsidRPr="00A5335D" w:rsidDel="004A5E34">
        <w:rPr>
          <w:noProof/>
          <w:vertAlign w:val="superscript"/>
        </w:rPr>
        <w:footnoteReference w:id="40"/>
      </w:r>
      <w:r w:rsidR="00A5335D" w:rsidRPr="00A5335D">
        <w:rPr>
          <w:rFonts w:ascii="Times New Roman" w:hAnsi="Times New Roman"/>
          <w:noProof/>
          <w:sz w:val="24"/>
          <w:szCs w:val="24"/>
        </w:rPr>
        <w:t xml:space="preserve"> i </w:t>
      </w:r>
      <w:r w:rsidR="00A5335D" w:rsidRPr="00A5335D">
        <w:rPr>
          <w:rFonts w:ascii="Times New Roman" w:hAnsi="Times New Roman"/>
          <w:b/>
          <w:bCs/>
          <w:noProof/>
          <w:sz w:val="24"/>
          <w:szCs w:val="24"/>
        </w:rPr>
        <w:t>dyr</w:t>
      </w:r>
      <w:r w:rsidRPr="00A5335D">
        <w:rPr>
          <w:rFonts w:ascii="Times New Roman" w:hAnsi="Times New Roman"/>
          <w:b/>
          <w:bCs/>
          <w:noProof/>
          <w:sz w:val="24"/>
          <w:szCs w:val="24"/>
        </w:rPr>
        <w:t>ektywy</w:t>
      </w:r>
      <w:r w:rsidR="00A5335D" w:rsidRPr="00A5335D">
        <w:rPr>
          <w:rFonts w:ascii="Times New Roman" w:hAnsi="Times New Roman"/>
          <w:b/>
          <w:bCs/>
          <w:noProof/>
          <w:sz w:val="24"/>
          <w:szCs w:val="24"/>
        </w:rPr>
        <w:t xml:space="preserve"> w spr</w:t>
      </w:r>
      <w:r w:rsidRPr="00A5335D">
        <w:rPr>
          <w:rFonts w:ascii="Times New Roman" w:hAnsi="Times New Roman"/>
          <w:b/>
          <w:bCs/>
          <w:noProof/>
          <w:sz w:val="24"/>
          <w:szCs w:val="24"/>
        </w:rPr>
        <w:t>awie jednego zezwolenia</w:t>
      </w:r>
      <w:r w:rsidR="005671DC" w:rsidRPr="00A5335D">
        <w:rPr>
          <w:noProof/>
          <w:vertAlign w:val="superscript"/>
        </w:rPr>
        <w:footnoteReference w:id="41"/>
      </w:r>
      <w:r w:rsidR="00A5335D" w:rsidRPr="00A5335D">
        <w:rPr>
          <w:rFonts w:ascii="Times New Roman" w:hAnsi="Times New Roman"/>
          <w:noProof/>
          <w:sz w:val="24"/>
          <w:szCs w:val="24"/>
        </w:rPr>
        <w:t xml:space="preserve"> w cel</w:t>
      </w:r>
      <w:r w:rsidRPr="00A5335D">
        <w:rPr>
          <w:rFonts w:ascii="Times New Roman" w:hAnsi="Times New Roman"/>
          <w:noProof/>
          <w:sz w:val="24"/>
          <w:szCs w:val="24"/>
        </w:rPr>
        <w:t>u uproszczenia procedur przyjmowania do UE pracowników</w:t>
      </w:r>
      <w:r w:rsidR="00A5335D" w:rsidRPr="00A5335D">
        <w:rPr>
          <w:rFonts w:ascii="Times New Roman" w:hAnsi="Times New Roman"/>
          <w:noProof/>
          <w:sz w:val="24"/>
          <w:szCs w:val="24"/>
        </w:rPr>
        <w:t xml:space="preserve"> o róż</w:t>
      </w:r>
      <w:r w:rsidRPr="00A5335D">
        <w:rPr>
          <w:rFonts w:ascii="Times New Roman" w:hAnsi="Times New Roman"/>
          <w:noProof/>
          <w:sz w:val="24"/>
          <w:szCs w:val="24"/>
        </w:rPr>
        <w:t>nych poziomach kwalifikacji oraz ułatwienia mobilności wewnątrzunijnej pracowników</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trzecich, którzy już przebywają w UE,</w:t>
      </w:r>
      <w:r w:rsidR="00A5335D" w:rsidRPr="00A5335D">
        <w:rPr>
          <w:rFonts w:ascii="Times New Roman" w:hAnsi="Times New Roman"/>
          <w:noProof/>
          <w:sz w:val="24"/>
          <w:szCs w:val="24"/>
        </w:rPr>
        <w:t xml:space="preserve"> a tak</w:t>
      </w:r>
      <w:r w:rsidRPr="00A5335D">
        <w:rPr>
          <w:rFonts w:ascii="Times New Roman" w:hAnsi="Times New Roman"/>
          <w:noProof/>
          <w:sz w:val="24"/>
          <w:szCs w:val="24"/>
        </w:rPr>
        <w:t>że wzmocnienia ich praw</w:t>
      </w:r>
      <w:r w:rsidR="00A5335D" w:rsidRPr="00A5335D">
        <w:rPr>
          <w:rFonts w:ascii="Times New Roman" w:hAnsi="Times New Roman"/>
          <w:noProof/>
          <w:sz w:val="24"/>
          <w:szCs w:val="24"/>
        </w:rPr>
        <w:t xml:space="preserve"> i och</w:t>
      </w:r>
      <w:r w:rsidRPr="00A5335D">
        <w:rPr>
          <w:rFonts w:ascii="Times New Roman" w:hAnsi="Times New Roman"/>
          <w:noProof/>
          <w:sz w:val="24"/>
          <w:szCs w:val="24"/>
        </w:rPr>
        <w:t xml:space="preserve">rony przed wyzyskiem; </w:t>
      </w:r>
    </w:p>
    <w:p w14:paraId="27CEFCA7" w14:textId="4A0D6AC3" w:rsidR="00E15283" w:rsidRPr="00A5335D" w:rsidRDefault="00941366" w:rsidP="00282F98">
      <w:pPr>
        <w:pStyle w:val="ListParagraph"/>
        <w:numPr>
          <w:ilvl w:val="0"/>
          <w:numId w:val="12"/>
        </w:numPr>
        <w:spacing w:before="120" w:after="240"/>
        <w:jc w:val="both"/>
        <w:rPr>
          <w:rFonts w:ascii="Times New Roman" w:hAnsi="Times New Roman" w:cs="Times New Roman"/>
          <w:noProof/>
          <w:sz w:val="24"/>
          <w:szCs w:val="24"/>
        </w:rPr>
      </w:pPr>
      <w:r w:rsidRPr="00A5335D">
        <w:rPr>
          <w:rFonts w:ascii="Times New Roman" w:hAnsi="Times New Roman"/>
          <w:b/>
          <w:bCs/>
          <w:noProof/>
          <w:sz w:val="24"/>
          <w:szCs w:val="24"/>
        </w:rPr>
        <w:t>filar operacyjny</w:t>
      </w:r>
      <w:r w:rsidRPr="00A5335D">
        <w:rPr>
          <w:rFonts w:ascii="Times New Roman" w:hAnsi="Times New Roman"/>
          <w:noProof/>
          <w:sz w:val="24"/>
          <w:szCs w:val="24"/>
        </w:rPr>
        <w:t xml:space="preserve"> ukierunkowany na sprostanie wyzwaniu, jakim jest dopasowanie popytu na pracę</w:t>
      </w:r>
      <w:r w:rsidR="00A5335D" w:rsidRPr="00A5335D">
        <w:rPr>
          <w:rFonts w:ascii="Times New Roman" w:hAnsi="Times New Roman"/>
          <w:noProof/>
          <w:sz w:val="24"/>
          <w:szCs w:val="24"/>
        </w:rPr>
        <w:t xml:space="preserve"> i jej</w:t>
      </w:r>
      <w:r w:rsidRPr="00A5335D">
        <w:rPr>
          <w:rFonts w:ascii="Times New Roman" w:hAnsi="Times New Roman"/>
          <w:noProof/>
          <w:sz w:val="24"/>
          <w:szCs w:val="24"/>
        </w:rPr>
        <w:t xml:space="preserve"> podaży</w:t>
      </w:r>
      <w:r w:rsidR="00A5335D" w:rsidRPr="00A5335D">
        <w:rPr>
          <w:rFonts w:ascii="Times New Roman" w:hAnsi="Times New Roman"/>
          <w:noProof/>
          <w:sz w:val="24"/>
          <w:szCs w:val="24"/>
        </w:rPr>
        <w:t xml:space="preserve"> w kon</w:t>
      </w:r>
      <w:r w:rsidRPr="00A5335D">
        <w:rPr>
          <w:rFonts w:ascii="Times New Roman" w:hAnsi="Times New Roman"/>
          <w:noProof/>
          <w:sz w:val="24"/>
          <w:szCs w:val="24"/>
        </w:rPr>
        <w:t xml:space="preserve">tekście międzynarodowym przez określenie konkretnych działań mających na celu rozwój </w:t>
      </w:r>
      <w:r w:rsidRPr="00A5335D">
        <w:rPr>
          <w:rFonts w:ascii="Times New Roman" w:hAnsi="Times New Roman"/>
          <w:b/>
          <w:bCs/>
          <w:noProof/>
          <w:sz w:val="24"/>
          <w:szCs w:val="24"/>
        </w:rPr>
        <w:t>partnerstw</w:t>
      </w:r>
      <w:r w:rsidR="00A5335D" w:rsidRPr="00A5335D">
        <w:rPr>
          <w:rFonts w:ascii="Times New Roman" w:hAnsi="Times New Roman"/>
          <w:b/>
          <w:bCs/>
          <w:noProof/>
          <w:sz w:val="24"/>
          <w:szCs w:val="24"/>
        </w:rPr>
        <w:t xml:space="preserve"> w zak</w:t>
      </w:r>
      <w:r w:rsidRPr="00A5335D">
        <w:rPr>
          <w:rFonts w:ascii="Times New Roman" w:hAnsi="Times New Roman"/>
          <w:b/>
          <w:bCs/>
          <w:noProof/>
          <w:sz w:val="24"/>
          <w:szCs w:val="24"/>
        </w:rPr>
        <w:t>resie talentów</w:t>
      </w:r>
      <w:r w:rsidR="00A5335D" w:rsidRPr="00A5335D">
        <w:rPr>
          <w:rFonts w:ascii="Times New Roman" w:hAnsi="Times New Roman"/>
          <w:noProof/>
          <w:sz w:val="24"/>
          <w:szCs w:val="24"/>
        </w:rPr>
        <w:t xml:space="preserve"> z klu</w:t>
      </w:r>
      <w:r w:rsidRPr="00A5335D">
        <w:rPr>
          <w:rFonts w:ascii="Times New Roman" w:hAnsi="Times New Roman"/>
          <w:noProof/>
          <w:sz w:val="24"/>
          <w:szCs w:val="24"/>
        </w:rPr>
        <w:t xml:space="preserve">czowymi krajami partnerskimi oraz wskazanie zasadniczych cech </w:t>
      </w:r>
      <w:r w:rsidRPr="00A5335D">
        <w:rPr>
          <w:rFonts w:ascii="Times New Roman" w:hAnsi="Times New Roman"/>
          <w:b/>
          <w:bCs/>
          <w:noProof/>
          <w:sz w:val="24"/>
          <w:szCs w:val="24"/>
        </w:rPr>
        <w:t>unijnej puli talentów</w:t>
      </w:r>
      <w:r w:rsidR="007D7ADB" w:rsidRPr="00A5335D">
        <w:rPr>
          <w:rStyle w:val="FootnoteReference"/>
          <w:rFonts w:ascii="Times New Roman" w:hAnsi="Times New Roman" w:cs="Times New Roman"/>
          <w:noProof/>
          <w:sz w:val="24"/>
          <w:szCs w:val="24"/>
        </w:rPr>
        <w:footnoteReference w:id="42"/>
      </w:r>
      <w:r w:rsidRPr="00A5335D">
        <w:rPr>
          <w:rFonts w:ascii="Times New Roman" w:hAnsi="Times New Roman"/>
          <w:noProof/>
          <w:sz w:val="24"/>
          <w:szCs w:val="24"/>
        </w:rPr>
        <w:t>; oraz</w:t>
      </w:r>
    </w:p>
    <w:p w14:paraId="27CEFCA8" w14:textId="10177DAC" w:rsidR="003767C2" w:rsidRPr="00A5335D" w:rsidRDefault="00941366" w:rsidP="00D81FB2">
      <w:pPr>
        <w:pStyle w:val="ListParagraph"/>
        <w:numPr>
          <w:ilvl w:val="0"/>
          <w:numId w:val="12"/>
        </w:numPr>
        <w:spacing w:before="120" w:after="240"/>
        <w:jc w:val="both"/>
        <w:rPr>
          <w:rFonts w:ascii="Times New Roman" w:hAnsi="Times New Roman" w:cs="Times New Roman"/>
          <w:b/>
          <w:bCs/>
          <w:noProof/>
          <w:sz w:val="24"/>
          <w:szCs w:val="24"/>
          <w:u w:val="single"/>
        </w:rPr>
      </w:pPr>
      <w:r w:rsidRPr="00A5335D">
        <w:rPr>
          <w:rFonts w:ascii="Times New Roman" w:hAnsi="Times New Roman"/>
          <w:b/>
          <w:bCs/>
          <w:noProof/>
          <w:sz w:val="24"/>
          <w:szCs w:val="24"/>
        </w:rPr>
        <w:t>filar przyszłościowy obejmujący trzy konkretne priorytety działania</w:t>
      </w:r>
      <w:r w:rsidRPr="00A5335D">
        <w:rPr>
          <w:rFonts w:ascii="Times New Roman" w:hAnsi="Times New Roman"/>
          <w:noProof/>
          <w:sz w:val="24"/>
          <w:szCs w:val="24"/>
        </w:rPr>
        <w:t>, które powinny wytyczać kierunek przyszłej polityki UE</w:t>
      </w:r>
      <w:r w:rsidR="00A5335D" w:rsidRPr="00A5335D">
        <w:rPr>
          <w:rFonts w:ascii="Times New Roman" w:hAnsi="Times New Roman"/>
          <w:noProof/>
          <w:sz w:val="24"/>
          <w:szCs w:val="24"/>
        </w:rPr>
        <w:t xml:space="preserve"> w dzi</w:t>
      </w:r>
      <w:r w:rsidRPr="00A5335D">
        <w:rPr>
          <w:rFonts w:ascii="Times New Roman" w:hAnsi="Times New Roman"/>
          <w:noProof/>
          <w:sz w:val="24"/>
          <w:szCs w:val="24"/>
        </w:rPr>
        <w:t xml:space="preserve">edzinie legalnej migracji i do których zalicza się: </w:t>
      </w:r>
      <w:r w:rsidRPr="00A5335D">
        <w:rPr>
          <w:rFonts w:ascii="Times New Roman" w:hAnsi="Times New Roman"/>
          <w:b/>
          <w:bCs/>
          <w:noProof/>
          <w:sz w:val="24"/>
          <w:szCs w:val="24"/>
        </w:rPr>
        <w:t>opiekę, młodzież</w:t>
      </w:r>
      <w:r w:rsidR="00A5335D" w:rsidRPr="00A5335D">
        <w:rPr>
          <w:rFonts w:ascii="Times New Roman" w:hAnsi="Times New Roman"/>
          <w:b/>
          <w:bCs/>
          <w:noProof/>
          <w:sz w:val="24"/>
          <w:szCs w:val="24"/>
        </w:rPr>
        <w:t xml:space="preserve"> i inn</w:t>
      </w:r>
      <w:r w:rsidRPr="00A5335D">
        <w:rPr>
          <w:rFonts w:ascii="Times New Roman" w:hAnsi="Times New Roman"/>
          <w:b/>
          <w:bCs/>
          <w:noProof/>
          <w:sz w:val="24"/>
          <w:szCs w:val="24"/>
        </w:rPr>
        <w:t>owacje</w:t>
      </w:r>
      <w:r w:rsidRPr="00A5335D">
        <w:rPr>
          <w:rFonts w:ascii="Times New Roman" w:hAnsi="Times New Roman"/>
          <w:noProof/>
          <w:sz w:val="24"/>
          <w:szCs w:val="24"/>
        </w:rPr>
        <w:t>.</w:t>
      </w:r>
    </w:p>
    <w:p w14:paraId="27CEFCA9" w14:textId="77777777" w:rsidR="00DE6956" w:rsidRPr="00A5335D" w:rsidRDefault="00DE6956" w:rsidP="00DE6956">
      <w:pPr>
        <w:pStyle w:val="ListParagraph"/>
        <w:spacing w:before="120" w:after="240"/>
        <w:jc w:val="both"/>
        <w:rPr>
          <w:rFonts w:ascii="Times New Roman" w:hAnsi="Times New Roman" w:cs="Times New Roman"/>
          <w:b/>
          <w:bCs/>
          <w:noProof/>
          <w:sz w:val="24"/>
          <w:szCs w:val="24"/>
          <w:u w:val="single"/>
        </w:rPr>
      </w:pPr>
    </w:p>
    <w:p w14:paraId="27CEFCAA" w14:textId="77777777" w:rsidR="00DE6956" w:rsidRPr="00A5335D" w:rsidRDefault="00DE6956" w:rsidP="00DE6956">
      <w:pPr>
        <w:pStyle w:val="ListParagraph"/>
        <w:spacing w:before="120" w:after="240"/>
        <w:jc w:val="both"/>
        <w:rPr>
          <w:rFonts w:ascii="Times New Roman" w:hAnsi="Times New Roman" w:cs="Times New Roman"/>
          <w:b/>
          <w:bCs/>
          <w:noProof/>
          <w:sz w:val="24"/>
          <w:szCs w:val="24"/>
          <w:u w:val="single"/>
        </w:rPr>
      </w:pPr>
    </w:p>
    <w:p w14:paraId="27CEFCAB" w14:textId="77777777" w:rsidR="003767C2" w:rsidRPr="00A5335D" w:rsidRDefault="00A624DA" w:rsidP="00D81FB2">
      <w:pPr>
        <w:pStyle w:val="ListParagraph"/>
        <w:numPr>
          <w:ilvl w:val="0"/>
          <w:numId w:val="11"/>
        </w:numPr>
        <w:jc w:val="both"/>
        <w:rPr>
          <w:rFonts w:ascii="Times New Roman" w:hAnsi="Times New Roman" w:cs="Times New Roman"/>
          <w:b/>
          <w:bCs/>
          <w:noProof/>
          <w:sz w:val="24"/>
          <w:szCs w:val="24"/>
        </w:rPr>
      </w:pPr>
      <w:r w:rsidRPr="00A5335D">
        <w:rPr>
          <w:rFonts w:ascii="Times New Roman" w:hAnsi="Times New Roman"/>
          <w:b/>
          <w:bCs/>
          <w:noProof/>
          <w:sz w:val="24"/>
          <w:szCs w:val="24"/>
        </w:rPr>
        <w:t>FILAR LEGISLACYJNY: UPROSZCZENIE PROCEDUR MIGRACYJNYCH I POPRAWA PRAW PRACOWNIKÓW MIGRUJĄCYCH</w:t>
      </w:r>
    </w:p>
    <w:p w14:paraId="27CEFCAC" w14:textId="069BEE6B" w:rsidR="0009172D" w:rsidRPr="00A5335D" w:rsidRDefault="0009172D" w:rsidP="0009172D">
      <w:pPr>
        <w:spacing w:before="120" w:after="240"/>
        <w:jc w:val="both"/>
        <w:rPr>
          <w:rFonts w:ascii="Times New Roman" w:hAnsi="Times New Roman" w:cs="Times New Roman"/>
          <w:noProof/>
          <w:sz w:val="24"/>
          <w:szCs w:val="24"/>
        </w:rPr>
      </w:pPr>
      <w:r w:rsidRPr="00A5335D">
        <w:rPr>
          <w:rFonts w:ascii="Times New Roman" w:hAnsi="Times New Roman"/>
          <w:b/>
          <w:bCs/>
          <w:noProof/>
          <w:sz w:val="24"/>
          <w:szCs w:val="24"/>
        </w:rPr>
        <w:t>Dyrektywa</w:t>
      </w:r>
      <w:r w:rsidR="00A5335D" w:rsidRPr="00A5335D">
        <w:rPr>
          <w:rFonts w:ascii="Times New Roman" w:hAnsi="Times New Roman"/>
          <w:b/>
          <w:bCs/>
          <w:noProof/>
          <w:sz w:val="24"/>
          <w:szCs w:val="24"/>
        </w:rPr>
        <w:t xml:space="preserve"> w spr</w:t>
      </w:r>
      <w:r w:rsidRPr="00A5335D">
        <w:rPr>
          <w:rFonts w:ascii="Times New Roman" w:hAnsi="Times New Roman"/>
          <w:b/>
          <w:bCs/>
          <w:noProof/>
          <w:sz w:val="24"/>
          <w:szCs w:val="24"/>
        </w:rPr>
        <w:t>awie rezydentów długoterminowych</w:t>
      </w:r>
      <w:r w:rsidR="00A5335D" w:rsidRPr="00A5335D">
        <w:rPr>
          <w:rFonts w:ascii="Times New Roman" w:hAnsi="Times New Roman"/>
          <w:b/>
          <w:bCs/>
          <w:noProof/>
          <w:sz w:val="24"/>
          <w:szCs w:val="24"/>
        </w:rPr>
        <w:t xml:space="preserve"> i dyr</w:t>
      </w:r>
      <w:r w:rsidRPr="00A5335D">
        <w:rPr>
          <w:rFonts w:ascii="Times New Roman" w:hAnsi="Times New Roman"/>
          <w:b/>
          <w:bCs/>
          <w:noProof/>
          <w:sz w:val="24"/>
          <w:szCs w:val="24"/>
        </w:rPr>
        <w:t>ektywa</w:t>
      </w:r>
      <w:r w:rsidR="00A5335D" w:rsidRPr="00A5335D">
        <w:rPr>
          <w:rFonts w:ascii="Times New Roman" w:hAnsi="Times New Roman"/>
          <w:b/>
          <w:bCs/>
          <w:noProof/>
          <w:sz w:val="24"/>
          <w:szCs w:val="24"/>
        </w:rPr>
        <w:t xml:space="preserve"> w spr</w:t>
      </w:r>
      <w:r w:rsidRPr="00A5335D">
        <w:rPr>
          <w:rFonts w:ascii="Times New Roman" w:hAnsi="Times New Roman"/>
          <w:b/>
          <w:bCs/>
          <w:noProof/>
          <w:sz w:val="24"/>
          <w:szCs w:val="24"/>
        </w:rPr>
        <w:t>awie jednego zezwolenia</w:t>
      </w:r>
      <w:r w:rsidRPr="00A5335D">
        <w:rPr>
          <w:rFonts w:ascii="Times New Roman" w:hAnsi="Times New Roman"/>
          <w:noProof/>
          <w:sz w:val="24"/>
          <w:szCs w:val="24"/>
        </w:rPr>
        <w:t xml:space="preserve"> ustanawiają ramy prawne</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procedur</w:t>
      </w:r>
      <w:r w:rsidR="00A5335D" w:rsidRPr="00A5335D">
        <w:rPr>
          <w:rFonts w:ascii="Times New Roman" w:hAnsi="Times New Roman"/>
          <w:noProof/>
          <w:sz w:val="24"/>
          <w:szCs w:val="24"/>
        </w:rPr>
        <w:t xml:space="preserve"> i pra</w:t>
      </w:r>
      <w:r w:rsidRPr="00A5335D">
        <w:rPr>
          <w:rFonts w:ascii="Times New Roman" w:hAnsi="Times New Roman"/>
          <w:noProof/>
          <w:sz w:val="24"/>
          <w:szCs w:val="24"/>
        </w:rPr>
        <w:t>w dla znacznej części pracowników</w:t>
      </w:r>
      <w:r w:rsidR="00A5335D" w:rsidRPr="00A5335D">
        <w:rPr>
          <w:rFonts w:ascii="Times New Roman" w:hAnsi="Times New Roman"/>
          <w:noProof/>
          <w:sz w:val="24"/>
          <w:szCs w:val="24"/>
        </w:rPr>
        <w:t xml:space="preserve"> z kra</w:t>
      </w:r>
      <w:r w:rsidRPr="00A5335D">
        <w:rPr>
          <w:rFonts w:ascii="Times New Roman" w:hAnsi="Times New Roman"/>
          <w:noProof/>
          <w:sz w:val="24"/>
          <w:szCs w:val="24"/>
        </w:rPr>
        <w:t>jów trzecich przebywających legalnie w UE. Oba akty prawne nie osiągnęły jednak</w:t>
      </w:r>
      <w:r w:rsidR="00A5335D" w:rsidRPr="00A5335D">
        <w:rPr>
          <w:rFonts w:ascii="Times New Roman" w:hAnsi="Times New Roman"/>
          <w:noProof/>
          <w:sz w:val="24"/>
          <w:szCs w:val="24"/>
        </w:rPr>
        <w:t xml:space="preserve"> w peł</w:t>
      </w:r>
      <w:r w:rsidRPr="00A5335D">
        <w:rPr>
          <w:rFonts w:ascii="Times New Roman" w:hAnsi="Times New Roman"/>
          <w:noProof/>
          <w:sz w:val="24"/>
          <w:szCs w:val="24"/>
        </w:rPr>
        <w:t>ni celów, dla których zostały po raz pierwszy przyjęte, odpowiednio</w:t>
      </w:r>
      <w:r w:rsidR="00A5335D" w:rsidRPr="00A5335D">
        <w:rPr>
          <w:rFonts w:ascii="Times New Roman" w:hAnsi="Times New Roman"/>
          <w:noProof/>
          <w:sz w:val="24"/>
          <w:szCs w:val="24"/>
        </w:rPr>
        <w:t xml:space="preserve"> w 2</w:t>
      </w:r>
      <w:r w:rsidRPr="00A5335D">
        <w:rPr>
          <w:rFonts w:ascii="Times New Roman" w:hAnsi="Times New Roman"/>
          <w:noProof/>
          <w:sz w:val="24"/>
          <w:szCs w:val="24"/>
        </w:rPr>
        <w:t>003</w:t>
      </w:r>
      <w:r w:rsidR="00A5335D" w:rsidRPr="00A5335D">
        <w:rPr>
          <w:rFonts w:ascii="Times New Roman" w:hAnsi="Times New Roman"/>
          <w:noProof/>
          <w:sz w:val="24"/>
          <w:szCs w:val="24"/>
        </w:rPr>
        <w:t xml:space="preserve"> i 2</w:t>
      </w:r>
      <w:r w:rsidRPr="00A5335D">
        <w:rPr>
          <w:rFonts w:ascii="Times New Roman" w:hAnsi="Times New Roman"/>
          <w:noProof/>
          <w:sz w:val="24"/>
          <w:szCs w:val="24"/>
        </w:rPr>
        <w:t>011 roku. Dyrektywa</w:t>
      </w:r>
      <w:r w:rsidR="00A5335D" w:rsidRPr="00A5335D">
        <w:rPr>
          <w:rFonts w:ascii="Times New Roman" w:hAnsi="Times New Roman"/>
          <w:noProof/>
          <w:sz w:val="24"/>
          <w:szCs w:val="24"/>
        </w:rPr>
        <w:t xml:space="preserve"> w spr</w:t>
      </w:r>
      <w:r w:rsidRPr="00A5335D">
        <w:rPr>
          <w:rFonts w:ascii="Times New Roman" w:hAnsi="Times New Roman"/>
          <w:noProof/>
          <w:sz w:val="24"/>
          <w:szCs w:val="24"/>
        </w:rPr>
        <w:t>awie rezydentów długoterminowych jest niedostatecznie wykorzystywana przez państwa członkowskie</w:t>
      </w:r>
      <w:r w:rsidR="00A5335D" w:rsidRPr="00A5335D">
        <w:rPr>
          <w:rFonts w:ascii="Times New Roman" w:hAnsi="Times New Roman"/>
          <w:noProof/>
          <w:sz w:val="24"/>
          <w:szCs w:val="24"/>
        </w:rPr>
        <w:t xml:space="preserve"> i nie</w:t>
      </w:r>
      <w:r w:rsidRPr="00A5335D">
        <w:rPr>
          <w:rFonts w:ascii="Times New Roman" w:hAnsi="Times New Roman"/>
          <w:noProof/>
          <w:sz w:val="24"/>
          <w:szCs w:val="24"/>
        </w:rPr>
        <w:t xml:space="preserve"> zapewnia skutecznego prawa do mobilności wewnątrz UE. Dyrektywa</w:t>
      </w:r>
      <w:r w:rsidR="00A5335D" w:rsidRPr="00A5335D">
        <w:rPr>
          <w:rFonts w:ascii="Times New Roman" w:hAnsi="Times New Roman"/>
          <w:noProof/>
          <w:sz w:val="24"/>
          <w:szCs w:val="24"/>
        </w:rPr>
        <w:t xml:space="preserve"> w spr</w:t>
      </w:r>
      <w:r w:rsidRPr="00A5335D">
        <w:rPr>
          <w:rFonts w:ascii="Times New Roman" w:hAnsi="Times New Roman"/>
          <w:noProof/>
          <w:sz w:val="24"/>
          <w:szCs w:val="24"/>
        </w:rPr>
        <w:t>awie jednego zezwolenia nie osiągnęła</w:t>
      </w:r>
      <w:r w:rsidR="00A5335D" w:rsidRPr="00A5335D">
        <w:rPr>
          <w:rFonts w:ascii="Times New Roman" w:hAnsi="Times New Roman"/>
          <w:noProof/>
          <w:sz w:val="24"/>
          <w:szCs w:val="24"/>
        </w:rPr>
        <w:t xml:space="preserve"> w peł</w:t>
      </w:r>
      <w:r w:rsidRPr="00A5335D">
        <w:rPr>
          <w:rFonts w:ascii="Times New Roman" w:hAnsi="Times New Roman"/>
          <w:noProof/>
          <w:sz w:val="24"/>
          <w:szCs w:val="24"/>
        </w:rPr>
        <w:t>ni swojego celu, jakim było uproszczenie procedur przyjmowania wszystkich pracowników</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trzecich.</w:t>
      </w:r>
    </w:p>
    <w:p w14:paraId="27CEFCAD" w14:textId="1E3FB032" w:rsidR="0009172D" w:rsidRPr="00A5335D" w:rsidRDefault="0009172D" w:rsidP="0009172D">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 xml:space="preserve">Z tych względów Komisja proponuje </w:t>
      </w:r>
      <w:r w:rsidRPr="00A5335D">
        <w:rPr>
          <w:rFonts w:ascii="Times New Roman" w:hAnsi="Times New Roman"/>
          <w:b/>
          <w:bCs/>
          <w:noProof/>
          <w:sz w:val="24"/>
          <w:szCs w:val="24"/>
        </w:rPr>
        <w:t>ogólne przekształcenie obu dyrektyw</w:t>
      </w:r>
      <w:r w:rsidR="005671DC" w:rsidRPr="00A5335D">
        <w:rPr>
          <w:rStyle w:val="FootnoteReference"/>
          <w:rFonts w:ascii="Times New Roman" w:hAnsi="Times New Roman" w:cs="Times New Roman"/>
          <w:b/>
          <w:bCs/>
          <w:noProof/>
          <w:sz w:val="24"/>
          <w:szCs w:val="24"/>
        </w:rPr>
        <w:footnoteReference w:id="43"/>
      </w:r>
      <w:r w:rsidRPr="00A5335D">
        <w:rPr>
          <w:rFonts w:ascii="Times New Roman" w:hAnsi="Times New Roman"/>
          <w:noProof/>
          <w:sz w:val="24"/>
          <w:szCs w:val="24"/>
        </w:rPr>
        <w:t>. Głównym celem jest zmniejszenie kosztów</w:t>
      </w:r>
      <w:r w:rsidR="00A5335D" w:rsidRPr="00A5335D">
        <w:rPr>
          <w:rFonts w:ascii="Times New Roman" w:hAnsi="Times New Roman"/>
          <w:noProof/>
          <w:sz w:val="24"/>
          <w:szCs w:val="24"/>
        </w:rPr>
        <w:t xml:space="preserve"> i obc</w:t>
      </w:r>
      <w:r w:rsidRPr="00A5335D">
        <w:rPr>
          <w:rFonts w:ascii="Times New Roman" w:hAnsi="Times New Roman"/>
          <w:noProof/>
          <w:sz w:val="24"/>
          <w:szCs w:val="24"/>
        </w:rPr>
        <w:t>iążeń administracyjnych dla pracodawców, zapobieganie wyzyskowi pracowników oraz wspieranie dalszej integracji</w:t>
      </w:r>
      <w:r w:rsidR="00A5335D" w:rsidRPr="00A5335D">
        <w:rPr>
          <w:rFonts w:ascii="Times New Roman" w:hAnsi="Times New Roman"/>
          <w:noProof/>
          <w:sz w:val="24"/>
          <w:szCs w:val="24"/>
        </w:rPr>
        <w:t xml:space="preserve"> i mob</w:t>
      </w:r>
      <w:r w:rsidRPr="00A5335D">
        <w:rPr>
          <w:rFonts w:ascii="Times New Roman" w:hAnsi="Times New Roman"/>
          <w:noProof/>
          <w:sz w:val="24"/>
          <w:szCs w:val="24"/>
        </w:rPr>
        <w:t>ilności w UE obywateli państw trzecich, którzy już zamieszkują</w:t>
      </w:r>
      <w:r w:rsidR="00A5335D" w:rsidRPr="00A5335D">
        <w:rPr>
          <w:rFonts w:ascii="Times New Roman" w:hAnsi="Times New Roman"/>
          <w:noProof/>
          <w:sz w:val="24"/>
          <w:szCs w:val="24"/>
        </w:rPr>
        <w:t xml:space="preserve"> i pra</w:t>
      </w:r>
      <w:r w:rsidRPr="00A5335D">
        <w:rPr>
          <w:rFonts w:ascii="Times New Roman" w:hAnsi="Times New Roman"/>
          <w:noProof/>
          <w:sz w:val="24"/>
          <w:szCs w:val="24"/>
        </w:rPr>
        <w:t>cują na jej terenie.</w:t>
      </w:r>
    </w:p>
    <w:p w14:paraId="27CEFCAE" w14:textId="12652CC1" w:rsidR="0009172D" w:rsidRPr="00A5335D" w:rsidRDefault="0009172D" w:rsidP="0009172D">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Komisja będzie również nadal monitorować wdrażanie najnowszych dyrektyw sektorowych. W 2023</w:t>
      </w:r>
      <w:r w:rsidR="00A5335D" w:rsidRPr="00A5335D">
        <w:rPr>
          <w:rFonts w:ascii="Times New Roman" w:hAnsi="Times New Roman"/>
          <w:noProof/>
          <w:sz w:val="24"/>
          <w:szCs w:val="24"/>
        </w:rPr>
        <w:t> </w:t>
      </w:r>
      <w:r w:rsidRPr="00A5335D">
        <w:rPr>
          <w:rFonts w:ascii="Times New Roman" w:hAnsi="Times New Roman"/>
          <w:noProof/>
          <w:sz w:val="24"/>
          <w:szCs w:val="24"/>
        </w:rPr>
        <w:t>r. Komisja przedstawi sprawozdanie</w:t>
      </w:r>
      <w:r w:rsidR="00A5335D" w:rsidRPr="00A5335D">
        <w:rPr>
          <w:rFonts w:ascii="Times New Roman" w:hAnsi="Times New Roman"/>
          <w:noProof/>
          <w:sz w:val="24"/>
          <w:szCs w:val="24"/>
        </w:rPr>
        <w:t xml:space="preserve"> z wdr</w:t>
      </w:r>
      <w:r w:rsidRPr="00A5335D">
        <w:rPr>
          <w:rFonts w:ascii="Times New Roman" w:hAnsi="Times New Roman"/>
          <w:noProof/>
          <w:sz w:val="24"/>
          <w:szCs w:val="24"/>
        </w:rPr>
        <w:t xml:space="preserve">ożenia </w:t>
      </w:r>
      <w:r w:rsidRPr="00A5335D">
        <w:rPr>
          <w:rFonts w:ascii="Times New Roman" w:hAnsi="Times New Roman"/>
          <w:b/>
          <w:bCs/>
          <w:noProof/>
          <w:sz w:val="24"/>
          <w:szCs w:val="24"/>
        </w:rPr>
        <w:t>dyrektywy</w:t>
      </w:r>
      <w:r w:rsidR="00A5335D" w:rsidRPr="00A5335D">
        <w:rPr>
          <w:rFonts w:ascii="Times New Roman" w:hAnsi="Times New Roman"/>
          <w:b/>
          <w:bCs/>
          <w:noProof/>
          <w:sz w:val="24"/>
          <w:szCs w:val="24"/>
        </w:rPr>
        <w:t xml:space="preserve"> w spr</w:t>
      </w:r>
      <w:r w:rsidRPr="00A5335D">
        <w:rPr>
          <w:rFonts w:ascii="Times New Roman" w:hAnsi="Times New Roman"/>
          <w:b/>
          <w:bCs/>
          <w:noProof/>
          <w:sz w:val="24"/>
          <w:szCs w:val="24"/>
        </w:rPr>
        <w:t>awie pracowników sezonowych</w:t>
      </w:r>
      <w:r w:rsidRPr="00A5335D">
        <w:rPr>
          <w:rFonts w:ascii="Times New Roman" w:hAnsi="Times New Roman"/>
          <w:noProof/>
          <w:sz w:val="24"/>
          <w:szCs w:val="24"/>
        </w:rPr>
        <w:t xml:space="preserve"> oraz </w:t>
      </w:r>
      <w:r w:rsidRPr="00A5335D">
        <w:rPr>
          <w:rFonts w:ascii="Times New Roman" w:hAnsi="Times New Roman"/>
          <w:b/>
          <w:bCs/>
          <w:noProof/>
          <w:sz w:val="24"/>
          <w:szCs w:val="24"/>
        </w:rPr>
        <w:t>dyrektywy</w:t>
      </w:r>
      <w:r w:rsidR="00A5335D" w:rsidRPr="00A5335D">
        <w:rPr>
          <w:rFonts w:ascii="Times New Roman" w:hAnsi="Times New Roman"/>
          <w:b/>
          <w:bCs/>
          <w:noProof/>
          <w:sz w:val="24"/>
          <w:szCs w:val="24"/>
        </w:rPr>
        <w:t xml:space="preserve"> w spr</w:t>
      </w:r>
      <w:r w:rsidRPr="00A5335D">
        <w:rPr>
          <w:rFonts w:ascii="Times New Roman" w:hAnsi="Times New Roman"/>
          <w:b/>
          <w:bCs/>
          <w:noProof/>
          <w:sz w:val="24"/>
          <w:szCs w:val="24"/>
        </w:rPr>
        <w:t>awie pracowników przenoszonych wewnątrz przedsiębiorstwa</w:t>
      </w:r>
      <w:r w:rsidRPr="00A5335D">
        <w:rPr>
          <w:rFonts w:ascii="Times New Roman" w:hAnsi="Times New Roman"/>
          <w:noProof/>
          <w:sz w:val="24"/>
          <w:szCs w:val="24"/>
        </w:rPr>
        <w:t>. Jeśli chodzi</w:t>
      </w:r>
      <w:r w:rsidR="00A5335D" w:rsidRPr="00A5335D">
        <w:rPr>
          <w:rFonts w:ascii="Times New Roman" w:hAnsi="Times New Roman"/>
          <w:noProof/>
          <w:sz w:val="24"/>
          <w:szCs w:val="24"/>
        </w:rPr>
        <w:t xml:space="preserve"> o dyr</w:t>
      </w:r>
      <w:r w:rsidRPr="00A5335D">
        <w:rPr>
          <w:rFonts w:ascii="Times New Roman" w:hAnsi="Times New Roman"/>
          <w:noProof/>
          <w:sz w:val="24"/>
          <w:szCs w:val="24"/>
        </w:rPr>
        <w:t>ektywę</w:t>
      </w:r>
      <w:r w:rsidR="00A5335D" w:rsidRPr="00A5335D">
        <w:rPr>
          <w:rFonts w:ascii="Times New Roman" w:hAnsi="Times New Roman"/>
          <w:noProof/>
          <w:sz w:val="24"/>
          <w:szCs w:val="24"/>
        </w:rPr>
        <w:t xml:space="preserve"> o pra</w:t>
      </w:r>
      <w:r w:rsidRPr="00A5335D">
        <w:rPr>
          <w:rFonts w:ascii="Times New Roman" w:hAnsi="Times New Roman"/>
          <w:noProof/>
          <w:sz w:val="24"/>
          <w:szCs w:val="24"/>
        </w:rPr>
        <w:t>cownikach sezonowych,</w:t>
      </w:r>
      <w:r w:rsidR="00A5335D" w:rsidRPr="00A5335D">
        <w:rPr>
          <w:rFonts w:ascii="Times New Roman" w:hAnsi="Times New Roman"/>
          <w:noProof/>
          <w:sz w:val="24"/>
          <w:szCs w:val="24"/>
        </w:rPr>
        <w:t xml:space="preserve"> w nas</w:t>
      </w:r>
      <w:r w:rsidRPr="00A5335D">
        <w:rPr>
          <w:rFonts w:ascii="Times New Roman" w:hAnsi="Times New Roman"/>
          <w:noProof/>
          <w:sz w:val="24"/>
          <w:szCs w:val="24"/>
        </w:rPr>
        <w:t>tępstwie wyżej wymienionych rezolucji Parlamentu Europejskiego Komisja oceni, czy obecne przepisy zapewniają pracownikom sezonowym wystarczającą ochronę przed wyzyskiem. Komisja rozważy również potrzebę wprowadzenia</w:t>
      </w:r>
      <w:r w:rsidR="00A5335D" w:rsidRPr="00A5335D">
        <w:rPr>
          <w:rFonts w:ascii="Times New Roman" w:hAnsi="Times New Roman"/>
          <w:noProof/>
          <w:sz w:val="24"/>
          <w:szCs w:val="24"/>
        </w:rPr>
        <w:t xml:space="preserve"> w prz</w:t>
      </w:r>
      <w:r w:rsidRPr="00A5335D">
        <w:rPr>
          <w:rFonts w:ascii="Times New Roman" w:hAnsi="Times New Roman"/>
          <w:noProof/>
          <w:sz w:val="24"/>
          <w:szCs w:val="24"/>
        </w:rPr>
        <w:t xml:space="preserve">yszłości zmian legislacyjnych. </w:t>
      </w:r>
    </w:p>
    <w:p w14:paraId="27CEFCAF" w14:textId="77777777" w:rsidR="003767C2" w:rsidRPr="00A5335D" w:rsidRDefault="00EA497B" w:rsidP="00834BBD">
      <w:pPr>
        <w:pStyle w:val="ListParagraph"/>
        <w:spacing w:before="240"/>
        <w:ind w:left="792"/>
        <w:jc w:val="both"/>
        <w:rPr>
          <w:rFonts w:ascii="Times New Roman" w:hAnsi="Times New Roman" w:cs="Times New Roman"/>
          <w:b/>
          <w:bCs/>
          <w:noProof/>
          <w:sz w:val="24"/>
          <w:szCs w:val="24"/>
        </w:rPr>
      </w:pPr>
      <w:r w:rsidRPr="00A5335D">
        <w:rPr>
          <w:rFonts w:ascii="Times New Roman" w:hAnsi="Times New Roman"/>
          <w:b/>
          <w:bCs/>
          <w:noProof/>
          <w:sz w:val="24"/>
          <w:szCs w:val="24"/>
        </w:rPr>
        <w:t>2.1. Usprawnienie procedury jednego zezwolenia</w:t>
      </w:r>
    </w:p>
    <w:p w14:paraId="27CEFCB0" w14:textId="4268FF15" w:rsidR="003767C2" w:rsidRPr="00A5335D" w:rsidRDefault="003767C2" w:rsidP="00834BBD">
      <w:pPr>
        <w:spacing w:before="120" w:after="240"/>
        <w:jc w:val="both"/>
        <w:rPr>
          <w:rFonts w:ascii="Times New Roman" w:hAnsi="Times New Roman" w:cs="Times New Roman"/>
          <w:b/>
          <w:bCs/>
          <w:noProof/>
          <w:sz w:val="24"/>
          <w:szCs w:val="24"/>
        </w:rPr>
      </w:pPr>
      <w:r w:rsidRPr="00A5335D">
        <w:rPr>
          <w:rFonts w:ascii="Times New Roman" w:hAnsi="Times New Roman"/>
          <w:b/>
          <w:bCs/>
          <w:noProof/>
          <w:sz w:val="24"/>
          <w:szCs w:val="24"/>
        </w:rPr>
        <w:t>Dyrektywa</w:t>
      </w:r>
      <w:r w:rsidR="00A5335D" w:rsidRPr="00A5335D">
        <w:rPr>
          <w:rFonts w:ascii="Times New Roman" w:hAnsi="Times New Roman"/>
          <w:b/>
          <w:bCs/>
          <w:noProof/>
          <w:sz w:val="24"/>
          <w:szCs w:val="24"/>
        </w:rPr>
        <w:t xml:space="preserve"> w spr</w:t>
      </w:r>
      <w:r w:rsidRPr="00A5335D">
        <w:rPr>
          <w:rFonts w:ascii="Times New Roman" w:hAnsi="Times New Roman"/>
          <w:b/>
          <w:bCs/>
          <w:noProof/>
          <w:sz w:val="24"/>
          <w:szCs w:val="24"/>
        </w:rPr>
        <w:t>awie jednego zezwolenia</w:t>
      </w:r>
      <w:r w:rsidRPr="00A5335D">
        <w:rPr>
          <w:rFonts w:ascii="Times New Roman" w:hAnsi="Times New Roman"/>
          <w:noProof/>
          <w:sz w:val="24"/>
          <w:szCs w:val="24"/>
        </w:rPr>
        <w:t xml:space="preserve"> upraszcza procedurę dla obywateli państw trzecich, którzy chcą legalnie migrować do UE</w:t>
      </w:r>
      <w:r w:rsidR="00A5335D" w:rsidRPr="00A5335D">
        <w:rPr>
          <w:rFonts w:ascii="Times New Roman" w:hAnsi="Times New Roman"/>
          <w:noProof/>
          <w:sz w:val="24"/>
          <w:szCs w:val="24"/>
        </w:rPr>
        <w:t xml:space="preserve"> w cel</w:t>
      </w:r>
      <w:r w:rsidRPr="00A5335D">
        <w:rPr>
          <w:rFonts w:ascii="Times New Roman" w:hAnsi="Times New Roman"/>
          <w:noProof/>
          <w:sz w:val="24"/>
          <w:szCs w:val="24"/>
        </w:rPr>
        <w:t>u podjęcia pracy. Wprowadza ona procedurę jednego wniosku</w:t>
      </w:r>
      <w:r w:rsidR="00A5335D" w:rsidRPr="00A5335D">
        <w:rPr>
          <w:rFonts w:ascii="Times New Roman" w:hAnsi="Times New Roman"/>
          <w:noProof/>
          <w:sz w:val="24"/>
          <w:szCs w:val="24"/>
        </w:rPr>
        <w:t xml:space="preserve"> o łąc</w:t>
      </w:r>
      <w:r w:rsidRPr="00A5335D">
        <w:rPr>
          <w:rFonts w:ascii="Times New Roman" w:hAnsi="Times New Roman"/>
          <w:noProof/>
          <w:sz w:val="24"/>
          <w:szCs w:val="24"/>
        </w:rPr>
        <w:t>zne zezwolenie na pracę</w:t>
      </w:r>
      <w:r w:rsidR="00A5335D" w:rsidRPr="00A5335D">
        <w:rPr>
          <w:rFonts w:ascii="Times New Roman" w:hAnsi="Times New Roman"/>
          <w:noProof/>
          <w:sz w:val="24"/>
          <w:szCs w:val="24"/>
        </w:rPr>
        <w:t xml:space="preserve"> i pob</w:t>
      </w:r>
      <w:r w:rsidRPr="00A5335D">
        <w:rPr>
          <w:rFonts w:ascii="Times New Roman" w:hAnsi="Times New Roman"/>
          <w:noProof/>
          <w:sz w:val="24"/>
          <w:szCs w:val="24"/>
        </w:rPr>
        <w:t xml:space="preserve">yt (jedno zezwolenie). Zapewnia również </w:t>
      </w:r>
      <w:r w:rsidRPr="00A5335D">
        <w:rPr>
          <w:rFonts w:ascii="Times New Roman" w:hAnsi="Times New Roman"/>
          <w:b/>
          <w:bCs/>
          <w:noProof/>
          <w:sz w:val="24"/>
          <w:szCs w:val="24"/>
        </w:rPr>
        <w:t>równe traktowanie</w:t>
      </w:r>
      <w:r w:rsidRPr="00A5335D">
        <w:rPr>
          <w:rFonts w:ascii="Times New Roman" w:hAnsi="Times New Roman"/>
          <w:noProof/>
          <w:sz w:val="24"/>
          <w:szCs w:val="24"/>
        </w:rPr>
        <w:t xml:space="preserve"> pracowników</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trzecich</w:t>
      </w:r>
      <w:r w:rsidR="00A5335D" w:rsidRPr="00A5335D">
        <w:rPr>
          <w:rFonts w:ascii="Times New Roman" w:hAnsi="Times New Roman"/>
          <w:noProof/>
          <w:sz w:val="24"/>
          <w:szCs w:val="24"/>
        </w:rPr>
        <w:t xml:space="preserve"> i oby</w:t>
      </w:r>
      <w:r w:rsidRPr="00A5335D">
        <w:rPr>
          <w:rFonts w:ascii="Times New Roman" w:hAnsi="Times New Roman"/>
          <w:noProof/>
          <w:sz w:val="24"/>
          <w:szCs w:val="24"/>
        </w:rPr>
        <w:t>wateli państwa członkowskiego zamieszkania poprzez zapewnienie wspólnego zbioru praw dla pracowników</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trzecich</w:t>
      </w:r>
      <w:r w:rsidRPr="00A5335D">
        <w:rPr>
          <w:rStyle w:val="FootnoteReference"/>
          <w:rFonts w:ascii="Times New Roman" w:hAnsi="Times New Roman" w:cs="Times New Roman"/>
          <w:noProof/>
          <w:sz w:val="24"/>
          <w:szCs w:val="24"/>
        </w:rPr>
        <w:footnoteReference w:id="44"/>
      </w:r>
      <w:r w:rsidRPr="00A5335D">
        <w:rPr>
          <w:rFonts w:ascii="Times New Roman" w:hAnsi="Times New Roman"/>
          <w:noProof/>
          <w:sz w:val="24"/>
          <w:szCs w:val="24"/>
        </w:rPr>
        <w:t xml:space="preserve">. </w:t>
      </w:r>
    </w:p>
    <w:p w14:paraId="27CEFCB1" w14:textId="6A077F0E" w:rsidR="0009172D" w:rsidRPr="00A5335D" w:rsidRDefault="0009172D" w:rsidP="0009172D">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 xml:space="preserve">W wyniku proponowanego przekształcenia dyrektywy </w:t>
      </w:r>
      <w:r w:rsidRPr="00A5335D">
        <w:rPr>
          <w:rFonts w:ascii="Times New Roman" w:hAnsi="Times New Roman"/>
          <w:b/>
          <w:bCs/>
          <w:noProof/>
          <w:sz w:val="24"/>
          <w:szCs w:val="24"/>
        </w:rPr>
        <w:t>procedura składania wniosków stanie się prostsza</w:t>
      </w:r>
      <w:r w:rsidR="00A5335D" w:rsidRPr="00A5335D">
        <w:rPr>
          <w:rFonts w:ascii="Times New Roman" w:hAnsi="Times New Roman"/>
          <w:b/>
          <w:bCs/>
          <w:noProof/>
          <w:sz w:val="24"/>
          <w:szCs w:val="24"/>
        </w:rPr>
        <w:t xml:space="preserve"> i bar</w:t>
      </w:r>
      <w:r w:rsidRPr="00A5335D">
        <w:rPr>
          <w:rFonts w:ascii="Times New Roman" w:hAnsi="Times New Roman"/>
          <w:b/>
          <w:bCs/>
          <w:noProof/>
          <w:sz w:val="24"/>
          <w:szCs w:val="24"/>
        </w:rPr>
        <w:t>dziej skuteczna</w:t>
      </w:r>
      <w:r w:rsidRPr="00A5335D">
        <w:rPr>
          <w:rFonts w:ascii="Times New Roman" w:hAnsi="Times New Roman"/>
          <w:noProof/>
          <w:sz w:val="24"/>
          <w:szCs w:val="24"/>
        </w:rPr>
        <w:t>. Umożliwi ona wnioskodawcom ubieganie się</w:t>
      </w:r>
      <w:r w:rsidR="00A5335D" w:rsidRPr="00A5335D">
        <w:rPr>
          <w:rFonts w:ascii="Times New Roman" w:hAnsi="Times New Roman"/>
          <w:noProof/>
          <w:sz w:val="24"/>
          <w:szCs w:val="24"/>
        </w:rPr>
        <w:t xml:space="preserve"> o zez</w:t>
      </w:r>
      <w:r w:rsidRPr="00A5335D">
        <w:rPr>
          <w:rFonts w:ascii="Times New Roman" w:hAnsi="Times New Roman"/>
          <w:noProof/>
          <w:sz w:val="24"/>
          <w:szCs w:val="24"/>
        </w:rPr>
        <w:t>wolenia zarówno</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trzecich, jak</w:t>
      </w:r>
      <w:r w:rsidR="00A5335D" w:rsidRPr="00A5335D">
        <w:rPr>
          <w:rFonts w:ascii="Times New Roman" w:hAnsi="Times New Roman"/>
          <w:noProof/>
          <w:sz w:val="24"/>
          <w:szCs w:val="24"/>
        </w:rPr>
        <w:t xml:space="preserve"> i z pań</w:t>
      </w:r>
      <w:r w:rsidRPr="00A5335D">
        <w:rPr>
          <w:rFonts w:ascii="Times New Roman" w:hAnsi="Times New Roman"/>
          <w:noProof/>
          <w:sz w:val="24"/>
          <w:szCs w:val="24"/>
        </w:rPr>
        <w:t>stw członkowskich. Ogólny czas trwania procedur składania wniosków</w:t>
      </w:r>
      <w:r w:rsidR="008C71D6" w:rsidRPr="00A5335D">
        <w:rPr>
          <w:rStyle w:val="FootnoteReference"/>
          <w:rFonts w:ascii="Times New Roman" w:eastAsia="Times New Roman" w:hAnsi="Times New Roman" w:cs="Times New Roman"/>
          <w:noProof/>
          <w:sz w:val="24"/>
          <w:szCs w:val="24"/>
        </w:rPr>
        <w:footnoteReference w:id="45"/>
      </w:r>
      <w:r w:rsidRPr="00A5335D">
        <w:rPr>
          <w:rFonts w:ascii="Times New Roman" w:hAnsi="Times New Roman"/>
          <w:noProof/>
          <w:sz w:val="24"/>
          <w:szCs w:val="24"/>
        </w:rPr>
        <w:t xml:space="preserve"> zniechęca obecnie pracodawców do rekrutacji międzynarodowej. Oczekuje się, że skrócenie tego okresu pomoże zwiększyć atrakcyjność UE</w:t>
      </w:r>
      <w:r w:rsidR="00A5335D" w:rsidRPr="00A5335D">
        <w:rPr>
          <w:rFonts w:ascii="Times New Roman" w:hAnsi="Times New Roman"/>
          <w:noProof/>
          <w:sz w:val="24"/>
          <w:szCs w:val="24"/>
        </w:rPr>
        <w:t xml:space="preserve"> i roz</w:t>
      </w:r>
      <w:r w:rsidRPr="00A5335D">
        <w:rPr>
          <w:rFonts w:ascii="Times New Roman" w:hAnsi="Times New Roman"/>
          <w:noProof/>
          <w:sz w:val="24"/>
          <w:szCs w:val="24"/>
        </w:rPr>
        <w:t xml:space="preserve">wiązać problem niedoboru siły roboczej w UE. Wniosek zawiera również nowe wymogi dotyczące </w:t>
      </w:r>
      <w:r w:rsidRPr="00A5335D">
        <w:rPr>
          <w:rFonts w:ascii="Times New Roman" w:hAnsi="Times New Roman"/>
          <w:b/>
          <w:bCs/>
          <w:noProof/>
          <w:sz w:val="24"/>
          <w:szCs w:val="24"/>
        </w:rPr>
        <w:t>wzmocnienia zabezpieczeń</w:t>
      </w:r>
      <w:r w:rsidR="00A5335D" w:rsidRPr="00A5335D">
        <w:rPr>
          <w:rFonts w:ascii="Times New Roman" w:hAnsi="Times New Roman"/>
          <w:b/>
          <w:bCs/>
          <w:noProof/>
          <w:sz w:val="24"/>
          <w:szCs w:val="24"/>
        </w:rPr>
        <w:t xml:space="preserve"> i rów</w:t>
      </w:r>
      <w:r w:rsidRPr="00A5335D">
        <w:rPr>
          <w:rFonts w:ascii="Times New Roman" w:hAnsi="Times New Roman"/>
          <w:b/>
          <w:bCs/>
          <w:noProof/>
          <w:sz w:val="24"/>
          <w:szCs w:val="24"/>
        </w:rPr>
        <w:t>nego traktowania</w:t>
      </w:r>
      <w:r w:rsidRPr="00A5335D">
        <w:rPr>
          <w:rFonts w:ascii="Times New Roman" w:hAnsi="Times New Roman"/>
          <w:noProof/>
          <w:sz w:val="24"/>
          <w:szCs w:val="24"/>
        </w:rPr>
        <w:t xml:space="preserve"> obywateli państw trzecich</w:t>
      </w:r>
      <w:r w:rsidR="00A5335D" w:rsidRPr="00A5335D">
        <w:rPr>
          <w:rFonts w:ascii="Times New Roman" w:hAnsi="Times New Roman"/>
          <w:noProof/>
          <w:sz w:val="24"/>
          <w:szCs w:val="24"/>
        </w:rPr>
        <w:t xml:space="preserve"> w por</w:t>
      </w:r>
      <w:r w:rsidRPr="00A5335D">
        <w:rPr>
          <w:rFonts w:ascii="Times New Roman" w:hAnsi="Times New Roman"/>
          <w:noProof/>
          <w:sz w:val="24"/>
          <w:szCs w:val="24"/>
        </w:rPr>
        <w:t>ównaniu</w:t>
      </w:r>
      <w:r w:rsidR="00A5335D" w:rsidRPr="00A5335D">
        <w:rPr>
          <w:rFonts w:ascii="Times New Roman" w:hAnsi="Times New Roman"/>
          <w:noProof/>
          <w:sz w:val="24"/>
          <w:szCs w:val="24"/>
        </w:rPr>
        <w:t xml:space="preserve"> z oby</w:t>
      </w:r>
      <w:r w:rsidRPr="00A5335D">
        <w:rPr>
          <w:rFonts w:ascii="Times New Roman" w:hAnsi="Times New Roman"/>
          <w:noProof/>
          <w:sz w:val="24"/>
          <w:szCs w:val="24"/>
        </w:rPr>
        <w:t>watelami Unii oraz poprawy ochrony pracowników przed wyzyskiem</w:t>
      </w:r>
      <w:r w:rsidR="00A5335D" w:rsidRPr="00A5335D">
        <w:rPr>
          <w:rFonts w:ascii="Times New Roman" w:hAnsi="Times New Roman"/>
          <w:noProof/>
          <w:sz w:val="24"/>
          <w:szCs w:val="24"/>
        </w:rPr>
        <w:t>. W szc</w:t>
      </w:r>
      <w:r w:rsidRPr="00A5335D">
        <w:rPr>
          <w:rFonts w:ascii="Times New Roman" w:hAnsi="Times New Roman"/>
          <w:noProof/>
          <w:sz w:val="24"/>
          <w:szCs w:val="24"/>
        </w:rPr>
        <w:t>zególności, zgodnie</w:t>
      </w:r>
      <w:r w:rsidR="00A5335D" w:rsidRPr="00A5335D">
        <w:rPr>
          <w:rFonts w:ascii="Times New Roman" w:hAnsi="Times New Roman"/>
          <w:noProof/>
          <w:sz w:val="24"/>
          <w:szCs w:val="24"/>
        </w:rPr>
        <w:t xml:space="preserve"> z pro</w:t>
      </w:r>
      <w:r w:rsidRPr="00A5335D">
        <w:rPr>
          <w:rFonts w:ascii="Times New Roman" w:hAnsi="Times New Roman"/>
          <w:noProof/>
          <w:sz w:val="24"/>
          <w:szCs w:val="24"/>
        </w:rPr>
        <w:t>ponowanymi nowymi przepisami, jedno zezwolenie nie będzie związane wyłącznie</w:t>
      </w:r>
      <w:r w:rsidR="00A5335D" w:rsidRPr="00A5335D">
        <w:rPr>
          <w:rFonts w:ascii="Times New Roman" w:hAnsi="Times New Roman"/>
          <w:noProof/>
          <w:sz w:val="24"/>
          <w:szCs w:val="24"/>
        </w:rPr>
        <w:t xml:space="preserve"> z jed</w:t>
      </w:r>
      <w:r w:rsidRPr="00A5335D">
        <w:rPr>
          <w:rFonts w:ascii="Times New Roman" w:hAnsi="Times New Roman"/>
          <w:noProof/>
          <w:sz w:val="24"/>
          <w:szCs w:val="24"/>
        </w:rPr>
        <w:t>nym pracodawcą. Oznacza to, że</w:t>
      </w:r>
      <w:r w:rsidR="00A5335D" w:rsidRPr="00A5335D">
        <w:rPr>
          <w:rFonts w:ascii="Times New Roman" w:hAnsi="Times New Roman"/>
          <w:noProof/>
          <w:sz w:val="24"/>
          <w:szCs w:val="24"/>
        </w:rPr>
        <w:t xml:space="preserve"> w okr</w:t>
      </w:r>
      <w:r w:rsidRPr="00A5335D">
        <w:rPr>
          <w:rFonts w:ascii="Times New Roman" w:hAnsi="Times New Roman"/>
          <w:noProof/>
          <w:sz w:val="24"/>
          <w:szCs w:val="24"/>
        </w:rPr>
        <w:t>esie ważności zezwolenia pracownicy będą mieli prawo do zmiany pracodawcy, zachowując jednocześnie prawo do legalnego pobytu</w:t>
      </w:r>
      <w:r w:rsidR="00A5335D" w:rsidRPr="00A5335D">
        <w:rPr>
          <w:rFonts w:ascii="Times New Roman" w:hAnsi="Times New Roman"/>
          <w:noProof/>
          <w:sz w:val="24"/>
          <w:szCs w:val="24"/>
        </w:rPr>
        <w:t xml:space="preserve"> w dan</w:t>
      </w:r>
      <w:r w:rsidRPr="00A5335D">
        <w:rPr>
          <w:rFonts w:ascii="Times New Roman" w:hAnsi="Times New Roman"/>
          <w:noProof/>
          <w:sz w:val="24"/>
          <w:szCs w:val="24"/>
        </w:rPr>
        <w:t>ym państwie członkowskim. Ułatwi to kojarzenie ofert pracy</w:t>
      </w:r>
      <w:r w:rsidR="00A5335D" w:rsidRPr="00A5335D">
        <w:rPr>
          <w:rFonts w:ascii="Times New Roman" w:hAnsi="Times New Roman"/>
          <w:noProof/>
          <w:sz w:val="24"/>
          <w:szCs w:val="24"/>
        </w:rPr>
        <w:t xml:space="preserve"> z pos</w:t>
      </w:r>
      <w:r w:rsidRPr="00A5335D">
        <w:rPr>
          <w:rFonts w:ascii="Times New Roman" w:hAnsi="Times New Roman"/>
          <w:noProof/>
          <w:sz w:val="24"/>
          <w:szCs w:val="24"/>
        </w:rPr>
        <w:t>zukującymi zatrudnienia</w:t>
      </w:r>
      <w:r w:rsidR="00A5335D" w:rsidRPr="00A5335D">
        <w:rPr>
          <w:rFonts w:ascii="Times New Roman" w:hAnsi="Times New Roman"/>
          <w:noProof/>
          <w:sz w:val="24"/>
          <w:szCs w:val="24"/>
        </w:rPr>
        <w:t xml:space="preserve"> i zmn</w:t>
      </w:r>
      <w:r w:rsidRPr="00A5335D">
        <w:rPr>
          <w:rFonts w:ascii="Times New Roman" w:hAnsi="Times New Roman"/>
          <w:noProof/>
          <w:sz w:val="24"/>
          <w:szCs w:val="24"/>
        </w:rPr>
        <w:t>iejszy narażenie pracowników na wyzysk. Ponadto wniosek zawiera nowe zobowiązania państw członkowskich do zapewnienia kontroli, mechanizmów monitorowania</w:t>
      </w:r>
      <w:r w:rsidR="00A5335D" w:rsidRPr="00A5335D">
        <w:rPr>
          <w:rFonts w:ascii="Times New Roman" w:hAnsi="Times New Roman"/>
          <w:noProof/>
          <w:sz w:val="24"/>
          <w:szCs w:val="24"/>
        </w:rPr>
        <w:t xml:space="preserve"> i san</w:t>
      </w:r>
      <w:r w:rsidRPr="00A5335D">
        <w:rPr>
          <w:rFonts w:ascii="Times New Roman" w:hAnsi="Times New Roman"/>
          <w:noProof/>
          <w:sz w:val="24"/>
          <w:szCs w:val="24"/>
        </w:rPr>
        <w:t>kcji wobec pracodawców naruszających przepisy krajowe przyjęte na mocy dyrektywy.</w:t>
      </w:r>
    </w:p>
    <w:p w14:paraId="27CEFCB2" w14:textId="77777777" w:rsidR="003767C2" w:rsidRPr="00A5335D" w:rsidRDefault="00EA497B" w:rsidP="00834BBD">
      <w:pPr>
        <w:pStyle w:val="ListParagraph"/>
        <w:spacing w:before="240"/>
        <w:ind w:left="792"/>
        <w:jc w:val="both"/>
        <w:rPr>
          <w:rFonts w:ascii="Times New Roman" w:hAnsi="Times New Roman" w:cs="Times New Roman"/>
          <w:b/>
          <w:bCs/>
          <w:noProof/>
          <w:sz w:val="24"/>
          <w:szCs w:val="24"/>
        </w:rPr>
      </w:pPr>
      <w:r w:rsidRPr="00A5335D">
        <w:rPr>
          <w:rFonts w:ascii="Times New Roman" w:hAnsi="Times New Roman"/>
          <w:b/>
          <w:bCs/>
          <w:noProof/>
          <w:sz w:val="24"/>
          <w:szCs w:val="24"/>
        </w:rPr>
        <w:t>2.2. Poprawa statusu rezydenta długoterminowego UE</w:t>
      </w:r>
    </w:p>
    <w:p w14:paraId="27CEFCB3" w14:textId="66DE7F57" w:rsidR="003767C2" w:rsidRPr="00A5335D" w:rsidRDefault="003767C2" w:rsidP="003767C2">
      <w:pPr>
        <w:spacing w:before="120" w:after="240"/>
        <w:jc w:val="both"/>
        <w:rPr>
          <w:rFonts w:ascii="Times New Roman" w:hAnsi="Times New Roman" w:cs="Times New Roman"/>
          <w:noProof/>
          <w:sz w:val="24"/>
          <w:szCs w:val="24"/>
        </w:rPr>
      </w:pPr>
      <w:r w:rsidRPr="00A5335D">
        <w:rPr>
          <w:rFonts w:ascii="Times New Roman" w:hAnsi="Times New Roman"/>
          <w:b/>
          <w:bCs/>
          <w:noProof/>
          <w:sz w:val="24"/>
          <w:szCs w:val="24"/>
        </w:rPr>
        <w:t>Przekształcenie dyrektywy</w:t>
      </w:r>
      <w:r w:rsidR="00A5335D" w:rsidRPr="00A5335D">
        <w:rPr>
          <w:rFonts w:ascii="Times New Roman" w:hAnsi="Times New Roman"/>
          <w:b/>
          <w:bCs/>
          <w:noProof/>
          <w:sz w:val="24"/>
          <w:szCs w:val="24"/>
        </w:rPr>
        <w:t xml:space="preserve"> w spr</w:t>
      </w:r>
      <w:r w:rsidRPr="00A5335D">
        <w:rPr>
          <w:rFonts w:ascii="Times New Roman" w:hAnsi="Times New Roman"/>
          <w:b/>
          <w:bCs/>
          <w:noProof/>
          <w:sz w:val="24"/>
          <w:szCs w:val="24"/>
        </w:rPr>
        <w:t>awie rezydentów długoterminowych</w:t>
      </w:r>
      <w:r w:rsidRPr="00A5335D">
        <w:rPr>
          <w:rFonts w:ascii="Times New Roman" w:hAnsi="Times New Roman"/>
          <w:noProof/>
          <w:sz w:val="24"/>
          <w:szCs w:val="24"/>
        </w:rPr>
        <w:t xml:space="preserve"> ma na celu stworzenie bardziej skutecznego, spójnego</w:t>
      </w:r>
      <w:r w:rsidR="00A5335D" w:rsidRPr="00A5335D">
        <w:rPr>
          <w:rFonts w:ascii="Times New Roman" w:hAnsi="Times New Roman"/>
          <w:noProof/>
          <w:sz w:val="24"/>
          <w:szCs w:val="24"/>
        </w:rPr>
        <w:t xml:space="preserve"> i spr</w:t>
      </w:r>
      <w:r w:rsidRPr="00A5335D">
        <w:rPr>
          <w:rFonts w:ascii="Times New Roman" w:hAnsi="Times New Roman"/>
          <w:noProof/>
          <w:sz w:val="24"/>
          <w:szCs w:val="24"/>
        </w:rPr>
        <w:t>awiedliwego systemu uzyskiwania statusu rezydenta długoterminowego UE. System ten powinien być kluczowym narzędziem promowania integracji obywateli państw trzecich, którzy osiedlili się w UE legalnie</w:t>
      </w:r>
      <w:r w:rsidR="00A5335D" w:rsidRPr="00A5335D">
        <w:rPr>
          <w:rFonts w:ascii="Times New Roman" w:hAnsi="Times New Roman"/>
          <w:noProof/>
          <w:sz w:val="24"/>
          <w:szCs w:val="24"/>
        </w:rPr>
        <w:t xml:space="preserve"> i dłu</w:t>
      </w:r>
      <w:r w:rsidRPr="00A5335D">
        <w:rPr>
          <w:rFonts w:ascii="Times New Roman" w:hAnsi="Times New Roman"/>
          <w:noProof/>
          <w:sz w:val="24"/>
          <w:szCs w:val="24"/>
        </w:rPr>
        <w:t>goterminowo.</w:t>
      </w:r>
    </w:p>
    <w:p w14:paraId="27CEFCB4" w14:textId="597762E7" w:rsidR="00D06B61" w:rsidRPr="00A5335D" w:rsidRDefault="008C71D6" w:rsidP="00834BBD">
      <w:pPr>
        <w:spacing w:before="120" w:after="240"/>
        <w:jc w:val="both"/>
        <w:rPr>
          <w:rFonts w:ascii="Times New Roman" w:hAnsi="Times New Roman" w:cs="Times New Roman"/>
          <w:i/>
          <w:iCs/>
          <w:noProof/>
          <w:sz w:val="24"/>
          <w:szCs w:val="24"/>
          <w:highlight w:val="yellow"/>
        </w:rPr>
      </w:pPr>
      <w:r w:rsidRPr="00A5335D">
        <w:rPr>
          <w:rFonts w:ascii="Times New Roman" w:hAnsi="Times New Roman"/>
          <w:noProof/>
          <w:sz w:val="24"/>
          <w:szCs w:val="24"/>
        </w:rPr>
        <w:t xml:space="preserve">Wniosek ma na celu </w:t>
      </w:r>
      <w:r w:rsidRPr="00A5335D">
        <w:rPr>
          <w:rFonts w:ascii="Times New Roman" w:hAnsi="Times New Roman"/>
          <w:b/>
          <w:bCs/>
          <w:noProof/>
          <w:sz w:val="24"/>
          <w:szCs w:val="24"/>
        </w:rPr>
        <w:t>ułatwienie uzyskania statusu rezydenta długoterminowego UE</w:t>
      </w:r>
      <w:r w:rsidRPr="00A5335D">
        <w:rPr>
          <w:rFonts w:ascii="Times New Roman" w:hAnsi="Times New Roman"/>
          <w:noProof/>
          <w:sz w:val="24"/>
          <w:szCs w:val="24"/>
        </w:rPr>
        <w:t xml:space="preserve"> przez umożliwienie obywatelom państw trzecich kumulowania okresów pobytu</w:t>
      </w:r>
      <w:r w:rsidR="00A5335D" w:rsidRPr="00A5335D">
        <w:rPr>
          <w:rFonts w:ascii="Times New Roman" w:hAnsi="Times New Roman"/>
          <w:noProof/>
          <w:sz w:val="24"/>
          <w:szCs w:val="24"/>
        </w:rPr>
        <w:t xml:space="preserve"> w róż</w:t>
      </w:r>
      <w:r w:rsidRPr="00A5335D">
        <w:rPr>
          <w:rFonts w:ascii="Times New Roman" w:hAnsi="Times New Roman"/>
          <w:noProof/>
          <w:sz w:val="24"/>
          <w:szCs w:val="24"/>
        </w:rPr>
        <w:t>nych państwach członkowskich</w:t>
      </w:r>
      <w:r w:rsidR="00A5335D" w:rsidRPr="00A5335D">
        <w:rPr>
          <w:rFonts w:ascii="Times New Roman" w:hAnsi="Times New Roman"/>
          <w:noProof/>
          <w:sz w:val="24"/>
          <w:szCs w:val="24"/>
        </w:rPr>
        <w:t xml:space="preserve"> w cel</w:t>
      </w:r>
      <w:r w:rsidRPr="00A5335D">
        <w:rPr>
          <w:rFonts w:ascii="Times New Roman" w:hAnsi="Times New Roman"/>
          <w:noProof/>
          <w:sz w:val="24"/>
          <w:szCs w:val="24"/>
        </w:rPr>
        <w:t>u spełnienia wymogu dotyczącego czasu zamieszkania; oraz poprzez wyjaśnienie, że wszystkie okresy legalnego pobytu powinny być</w:t>
      </w:r>
      <w:r w:rsidR="00A5335D" w:rsidRPr="00A5335D">
        <w:rPr>
          <w:rFonts w:ascii="Times New Roman" w:hAnsi="Times New Roman"/>
          <w:noProof/>
          <w:sz w:val="24"/>
          <w:szCs w:val="24"/>
        </w:rPr>
        <w:t xml:space="preserve"> w peł</w:t>
      </w:r>
      <w:r w:rsidRPr="00A5335D">
        <w:rPr>
          <w:rFonts w:ascii="Times New Roman" w:hAnsi="Times New Roman"/>
          <w:noProof/>
          <w:sz w:val="24"/>
          <w:szCs w:val="24"/>
        </w:rPr>
        <w:t>ni uwzględniane,</w:t>
      </w:r>
      <w:r w:rsidR="00A5335D" w:rsidRPr="00A5335D">
        <w:rPr>
          <w:rFonts w:ascii="Times New Roman" w:hAnsi="Times New Roman"/>
          <w:noProof/>
          <w:sz w:val="24"/>
          <w:szCs w:val="24"/>
        </w:rPr>
        <w:t xml:space="preserve"> w tym</w:t>
      </w:r>
      <w:r w:rsidRPr="00A5335D">
        <w:rPr>
          <w:rFonts w:ascii="Times New Roman" w:hAnsi="Times New Roman"/>
          <w:noProof/>
          <w:sz w:val="24"/>
          <w:szCs w:val="24"/>
        </w:rPr>
        <w:t xml:space="preserve"> pobyt</w:t>
      </w:r>
      <w:r w:rsidR="00A5335D" w:rsidRPr="00A5335D">
        <w:rPr>
          <w:rFonts w:ascii="Times New Roman" w:hAnsi="Times New Roman"/>
          <w:noProof/>
          <w:sz w:val="24"/>
          <w:szCs w:val="24"/>
        </w:rPr>
        <w:t xml:space="preserve"> w cha</w:t>
      </w:r>
      <w:r w:rsidRPr="00A5335D">
        <w:rPr>
          <w:rFonts w:ascii="Times New Roman" w:hAnsi="Times New Roman"/>
          <w:noProof/>
          <w:sz w:val="24"/>
          <w:szCs w:val="24"/>
        </w:rPr>
        <w:t>rakterze studenta, osoby korzystającej</w:t>
      </w:r>
      <w:r w:rsidR="00A5335D" w:rsidRPr="00A5335D">
        <w:rPr>
          <w:rFonts w:ascii="Times New Roman" w:hAnsi="Times New Roman"/>
          <w:noProof/>
          <w:sz w:val="24"/>
          <w:szCs w:val="24"/>
        </w:rPr>
        <w:t xml:space="preserve"> z och</w:t>
      </w:r>
      <w:r w:rsidRPr="00A5335D">
        <w:rPr>
          <w:rFonts w:ascii="Times New Roman" w:hAnsi="Times New Roman"/>
          <w:noProof/>
          <w:sz w:val="24"/>
          <w:szCs w:val="24"/>
        </w:rPr>
        <w:t xml:space="preserve">rony tymczasowej czy też pobyt, który początkowo miały charakter tymczasowy. </w:t>
      </w:r>
    </w:p>
    <w:p w14:paraId="27CEFCB5" w14:textId="00CEB9AD" w:rsidR="00D06B61" w:rsidRPr="00A5335D" w:rsidRDefault="00D06B61" w:rsidP="00834BBD">
      <w:pPr>
        <w:jc w:val="both"/>
        <w:rPr>
          <w:rFonts w:ascii="Times New Roman" w:hAnsi="Times New Roman" w:cs="Times New Roman"/>
          <w:b/>
          <w:bCs/>
          <w:noProof/>
          <w:sz w:val="24"/>
          <w:szCs w:val="24"/>
        </w:rPr>
      </w:pPr>
      <w:r w:rsidRPr="00A5335D">
        <w:rPr>
          <w:rFonts w:ascii="Times New Roman" w:hAnsi="Times New Roman"/>
          <w:noProof/>
          <w:sz w:val="24"/>
          <w:szCs w:val="24"/>
        </w:rPr>
        <w:t xml:space="preserve">Wniosek ma również na celu wzmocnienie </w:t>
      </w:r>
      <w:r w:rsidRPr="00A5335D">
        <w:rPr>
          <w:rFonts w:ascii="Times New Roman" w:hAnsi="Times New Roman"/>
          <w:b/>
          <w:bCs/>
          <w:noProof/>
          <w:sz w:val="24"/>
          <w:szCs w:val="24"/>
        </w:rPr>
        <w:t>praw rezydentów długoterminowych</w:t>
      </w:r>
      <w:r w:rsidR="00A5335D" w:rsidRPr="00A5335D">
        <w:rPr>
          <w:rFonts w:ascii="Times New Roman" w:hAnsi="Times New Roman"/>
          <w:b/>
          <w:bCs/>
          <w:noProof/>
          <w:sz w:val="24"/>
          <w:szCs w:val="24"/>
        </w:rPr>
        <w:t xml:space="preserve"> i czł</w:t>
      </w:r>
      <w:r w:rsidRPr="00A5335D">
        <w:rPr>
          <w:rFonts w:ascii="Times New Roman" w:hAnsi="Times New Roman"/>
          <w:b/>
          <w:bCs/>
          <w:noProof/>
          <w:sz w:val="24"/>
          <w:szCs w:val="24"/>
        </w:rPr>
        <w:t xml:space="preserve">onków ich rodzin. </w:t>
      </w:r>
      <w:r w:rsidRPr="00A5335D">
        <w:rPr>
          <w:rFonts w:ascii="Times New Roman" w:hAnsi="Times New Roman"/>
          <w:noProof/>
          <w:sz w:val="24"/>
          <w:szCs w:val="24"/>
        </w:rPr>
        <w:t>Dotyczy to</w:t>
      </w:r>
      <w:r w:rsidRPr="00A5335D">
        <w:rPr>
          <w:rFonts w:ascii="Times New Roman" w:hAnsi="Times New Roman"/>
          <w:b/>
          <w:noProof/>
          <w:sz w:val="24"/>
          <w:szCs w:val="24"/>
        </w:rPr>
        <w:t xml:space="preserve"> prawa do przemieszczania się</w:t>
      </w:r>
      <w:r w:rsidR="00A5335D" w:rsidRPr="00A5335D">
        <w:rPr>
          <w:rFonts w:ascii="Times New Roman" w:hAnsi="Times New Roman"/>
          <w:b/>
          <w:noProof/>
          <w:sz w:val="24"/>
          <w:szCs w:val="24"/>
        </w:rPr>
        <w:t xml:space="preserve"> i pra</w:t>
      </w:r>
      <w:r w:rsidRPr="00A5335D">
        <w:rPr>
          <w:rFonts w:ascii="Times New Roman" w:hAnsi="Times New Roman"/>
          <w:b/>
          <w:noProof/>
          <w:sz w:val="24"/>
          <w:szCs w:val="24"/>
        </w:rPr>
        <w:t>cy</w:t>
      </w:r>
      <w:r w:rsidR="00A5335D" w:rsidRPr="00A5335D">
        <w:rPr>
          <w:rFonts w:ascii="Times New Roman" w:hAnsi="Times New Roman"/>
          <w:b/>
          <w:noProof/>
          <w:sz w:val="24"/>
          <w:szCs w:val="24"/>
        </w:rPr>
        <w:t xml:space="preserve"> w inn</w:t>
      </w:r>
      <w:r w:rsidRPr="00A5335D">
        <w:rPr>
          <w:rFonts w:ascii="Times New Roman" w:hAnsi="Times New Roman"/>
          <w:b/>
          <w:noProof/>
          <w:sz w:val="24"/>
          <w:szCs w:val="24"/>
        </w:rPr>
        <w:t>ych państwach członkowskich</w:t>
      </w:r>
      <w:r w:rsidRPr="00A5335D">
        <w:rPr>
          <w:rFonts w:ascii="Times New Roman" w:hAnsi="Times New Roman"/>
          <w:noProof/>
          <w:sz w:val="24"/>
          <w:szCs w:val="24"/>
        </w:rPr>
        <w:t>,</w:t>
      </w:r>
      <w:r w:rsidR="00A5335D" w:rsidRPr="00A5335D">
        <w:rPr>
          <w:rFonts w:ascii="Times New Roman" w:hAnsi="Times New Roman"/>
          <w:noProof/>
          <w:sz w:val="24"/>
          <w:szCs w:val="24"/>
        </w:rPr>
        <w:t xml:space="preserve"> o któ</w:t>
      </w:r>
      <w:r w:rsidRPr="00A5335D">
        <w:rPr>
          <w:rFonts w:ascii="Times New Roman" w:hAnsi="Times New Roman"/>
          <w:noProof/>
          <w:sz w:val="24"/>
          <w:szCs w:val="24"/>
        </w:rPr>
        <w:t>re apelował Parlament Europejski</w:t>
      </w:r>
      <w:r w:rsidR="00736792" w:rsidRPr="00A5335D">
        <w:rPr>
          <w:rStyle w:val="FootnoteReference"/>
          <w:rFonts w:ascii="Times New Roman" w:hAnsi="Times New Roman" w:cs="Times New Roman"/>
          <w:noProof/>
          <w:sz w:val="24"/>
          <w:szCs w:val="24"/>
        </w:rPr>
        <w:footnoteReference w:id="46"/>
      </w:r>
      <w:r w:rsidR="00A5335D" w:rsidRPr="00A5335D">
        <w:rPr>
          <w:rFonts w:ascii="Times New Roman" w:hAnsi="Times New Roman"/>
          <w:noProof/>
          <w:sz w:val="24"/>
          <w:szCs w:val="24"/>
        </w:rPr>
        <w:t xml:space="preserve"> i nie</w:t>
      </w:r>
      <w:r w:rsidRPr="00A5335D">
        <w:rPr>
          <w:rFonts w:ascii="Times New Roman" w:hAnsi="Times New Roman"/>
          <w:noProof/>
          <w:sz w:val="24"/>
          <w:szCs w:val="24"/>
        </w:rPr>
        <w:t>które zainteresowane strony</w:t>
      </w:r>
      <w:r w:rsidR="00736792" w:rsidRPr="00A5335D">
        <w:rPr>
          <w:rStyle w:val="FootnoteReference"/>
          <w:rFonts w:ascii="Times New Roman" w:hAnsi="Times New Roman" w:cs="Times New Roman"/>
          <w:noProof/>
          <w:sz w:val="24"/>
          <w:szCs w:val="24"/>
        </w:rPr>
        <w:footnoteReference w:id="47"/>
      </w:r>
      <w:r w:rsidR="00A5335D" w:rsidRPr="00A5335D">
        <w:rPr>
          <w:rFonts w:ascii="Times New Roman" w:hAnsi="Times New Roman"/>
          <w:noProof/>
          <w:sz w:val="24"/>
          <w:szCs w:val="24"/>
        </w:rPr>
        <w:t xml:space="preserve"> i któ</w:t>
      </w:r>
      <w:r w:rsidRPr="00A5335D">
        <w:rPr>
          <w:rFonts w:ascii="Times New Roman" w:hAnsi="Times New Roman"/>
          <w:noProof/>
          <w:sz w:val="24"/>
          <w:szCs w:val="24"/>
        </w:rPr>
        <w:t>re powinno być</w:t>
      </w:r>
      <w:r w:rsidRPr="00A5335D">
        <w:rPr>
          <w:rFonts w:ascii="Times New Roman" w:hAnsi="Times New Roman"/>
          <w:b/>
          <w:noProof/>
          <w:sz w:val="24"/>
          <w:szCs w:val="24"/>
        </w:rPr>
        <w:t xml:space="preserve"> </w:t>
      </w:r>
      <w:r w:rsidRPr="00A5335D">
        <w:rPr>
          <w:rFonts w:ascii="Times New Roman" w:hAnsi="Times New Roman"/>
          <w:noProof/>
          <w:sz w:val="24"/>
          <w:szCs w:val="24"/>
        </w:rPr>
        <w:t>jak najbardziej zbliżone do prawa przysługującego obywatelom UE (w ramach obowiązujących przepisów Unii).</w:t>
      </w:r>
      <w:r w:rsidRPr="00A5335D">
        <w:rPr>
          <w:rFonts w:ascii="Times New Roman" w:hAnsi="Times New Roman"/>
          <w:b/>
          <w:bCs/>
          <w:noProof/>
          <w:sz w:val="24"/>
          <w:szCs w:val="24"/>
        </w:rPr>
        <w:t xml:space="preserve"> </w:t>
      </w:r>
      <w:r w:rsidRPr="00A5335D">
        <w:rPr>
          <w:rFonts w:ascii="Times New Roman" w:hAnsi="Times New Roman"/>
          <w:noProof/>
          <w:sz w:val="24"/>
          <w:szCs w:val="24"/>
        </w:rPr>
        <w:t>Umożliwienie obywatelom państw trzecich, którzy są już rezydentami długoterminowymi UE</w:t>
      </w:r>
      <w:r w:rsidR="00A5335D" w:rsidRPr="00A5335D">
        <w:rPr>
          <w:rFonts w:ascii="Times New Roman" w:hAnsi="Times New Roman"/>
          <w:noProof/>
          <w:sz w:val="24"/>
          <w:szCs w:val="24"/>
        </w:rPr>
        <w:t xml:space="preserve"> w jed</w:t>
      </w:r>
      <w:r w:rsidRPr="00A5335D">
        <w:rPr>
          <w:rFonts w:ascii="Times New Roman" w:hAnsi="Times New Roman"/>
          <w:noProof/>
          <w:sz w:val="24"/>
          <w:szCs w:val="24"/>
        </w:rPr>
        <w:t>nym państwie członkowskim, zmiany pracy</w:t>
      </w:r>
      <w:r w:rsidR="00A5335D" w:rsidRPr="00A5335D">
        <w:rPr>
          <w:rFonts w:ascii="Times New Roman" w:hAnsi="Times New Roman"/>
          <w:noProof/>
          <w:sz w:val="24"/>
          <w:szCs w:val="24"/>
        </w:rPr>
        <w:t xml:space="preserve"> i prz</w:t>
      </w:r>
      <w:r w:rsidRPr="00A5335D">
        <w:rPr>
          <w:rFonts w:ascii="Times New Roman" w:hAnsi="Times New Roman"/>
          <w:noProof/>
          <w:sz w:val="24"/>
          <w:szCs w:val="24"/>
        </w:rPr>
        <w:t>eniesienia się do innego państwa członkowskiego</w:t>
      </w:r>
      <w:r w:rsidR="00A5335D" w:rsidRPr="00A5335D">
        <w:rPr>
          <w:rFonts w:ascii="Times New Roman" w:hAnsi="Times New Roman"/>
          <w:noProof/>
          <w:sz w:val="24"/>
          <w:szCs w:val="24"/>
        </w:rPr>
        <w:t xml:space="preserve"> w cel</w:t>
      </w:r>
      <w:r w:rsidRPr="00A5335D">
        <w:rPr>
          <w:rFonts w:ascii="Times New Roman" w:hAnsi="Times New Roman"/>
          <w:noProof/>
          <w:sz w:val="24"/>
          <w:szCs w:val="24"/>
        </w:rPr>
        <w:t>u jej podjęcia może pomóc</w:t>
      </w:r>
      <w:r w:rsidR="00A5335D" w:rsidRPr="00A5335D">
        <w:rPr>
          <w:rFonts w:ascii="Times New Roman" w:hAnsi="Times New Roman"/>
          <w:noProof/>
          <w:sz w:val="24"/>
          <w:szCs w:val="24"/>
        </w:rPr>
        <w:t xml:space="preserve"> w pop</w:t>
      </w:r>
      <w:r w:rsidRPr="00A5335D">
        <w:rPr>
          <w:rFonts w:ascii="Times New Roman" w:hAnsi="Times New Roman"/>
          <w:noProof/>
          <w:sz w:val="24"/>
          <w:szCs w:val="24"/>
        </w:rPr>
        <w:t>rawie efektywności rynku pracy</w:t>
      </w:r>
      <w:r w:rsidR="00A5335D" w:rsidRPr="00A5335D">
        <w:rPr>
          <w:rFonts w:ascii="Times New Roman" w:hAnsi="Times New Roman"/>
          <w:noProof/>
          <w:sz w:val="24"/>
          <w:szCs w:val="24"/>
        </w:rPr>
        <w:t xml:space="preserve"> w cał</w:t>
      </w:r>
      <w:r w:rsidRPr="00A5335D">
        <w:rPr>
          <w:rFonts w:ascii="Times New Roman" w:hAnsi="Times New Roman"/>
          <w:noProof/>
          <w:sz w:val="24"/>
          <w:szCs w:val="24"/>
        </w:rPr>
        <w:t>ej UE, rozwiązaniu problemu niedoboru wykwalifikowanej siły roboczej</w:t>
      </w:r>
      <w:r w:rsidR="00A5335D" w:rsidRPr="00A5335D">
        <w:rPr>
          <w:rFonts w:ascii="Times New Roman" w:hAnsi="Times New Roman"/>
          <w:noProof/>
          <w:sz w:val="24"/>
          <w:szCs w:val="24"/>
        </w:rPr>
        <w:t xml:space="preserve"> i zni</w:t>
      </w:r>
      <w:r w:rsidRPr="00A5335D">
        <w:rPr>
          <w:rFonts w:ascii="Times New Roman" w:hAnsi="Times New Roman"/>
          <w:noProof/>
          <w:sz w:val="24"/>
          <w:szCs w:val="24"/>
        </w:rPr>
        <w:t>welowaniu dysproporcji regionalnych. Może to również zwiększyć ogólną atrakcyjność UE dla zagranicznych talentów.</w:t>
      </w:r>
    </w:p>
    <w:p w14:paraId="27CEFCB7" w14:textId="17282DBF" w:rsidR="00A60137" w:rsidRPr="00A5335D" w:rsidRDefault="00736792" w:rsidP="00A60137">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Wniosek wprowadza ponadto mechanizm zapewniający</w:t>
      </w:r>
      <w:r w:rsidR="00A5335D" w:rsidRPr="00A5335D">
        <w:rPr>
          <w:rFonts w:ascii="Times New Roman" w:hAnsi="Times New Roman"/>
          <w:noProof/>
          <w:sz w:val="24"/>
          <w:szCs w:val="24"/>
        </w:rPr>
        <w:t xml:space="preserve"> w odn</w:t>
      </w:r>
      <w:r w:rsidRPr="00A5335D">
        <w:rPr>
          <w:rFonts w:ascii="Times New Roman" w:hAnsi="Times New Roman"/>
          <w:noProof/>
          <w:sz w:val="24"/>
          <w:szCs w:val="24"/>
        </w:rPr>
        <w:t xml:space="preserve">iesieniu do zezwolenia na pobyt rezydenta długoterminowego UE oraz krajowych dokumentów pobytowych uprawniających do stałego pobytu </w:t>
      </w:r>
      <w:r w:rsidRPr="00A5335D">
        <w:rPr>
          <w:rFonts w:ascii="Times New Roman" w:hAnsi="Times New Roman"/>
          <w:b/>
          <w:bCs/>
          <w:noProof/>
          <w:sz w:val="24"/>
          <w:szCs w:val="24"/>
        </w:rPr>
        <w:t>równe warunki</w:t>
      </w:r>
      <w:r w:rsidRPr="00A5335D">
        <w:rPr>
          <w:rFonts w:ascii="Times New Roman" w:hAnsi="Times New Roman"/>
          <w:noProof/>
          <w:sz w:val="24"/>
          <w:szCs w:val="24"/>
        </w:rPr>
        <w:t xml:space="preserve"> pod względem procedur, prawa do równego traktowania</w:t>
      </w:r>
      <w:r w:rsidR="00A5335D" w:rsidRPr="00A5335D">
        <w:rPr>
          <w:rFonts w:ascii="Times New Roman" w:hAnsi="Times New Roman"/>
          <w:noProof/>
          <w:sz w:val="24"/>
          <w:szCs w:val="24"/>
        </w:rPr>
        <w:t xml:space="preserve"> i dos</w:t>
      </w:r>
      <w:r w:rsidRPr="00A5335D">
        <w:rPr>
          <w:rFonts w:ascii="Times New Roman" w:hAnsi="Times New Roman"/>
          <w:noProof/>
          <w:sz w:val="24"/>
          <w:szCs w:val="24"/>
        </w:rPr>
        <w:t xml:space="preserve">tępu do informacji, tak aby obywatele państw trzecich mieli rzeczywisty wybór między tymi dwoma dokumentami. Wniosek sprzyja również </w:t>
      </w:r>
      <w:r w:rsidRPr="00A5335D">
        <w:rPr>
          <w:rFonts w:ascii="Times New Roman" w:hAnsi="Times New Roman"/>
          <w:b/>
          <w:bCs/>
          <w:noProof/>
          <w:sz w:val="24"/>
          <w:szCs w:val="24"/>
        </w:rPr>
        <w:t>migracji cyrkulacyjnej</w:t>
      </w:r>
      <w:r w:rsidRPr="00A5335D">
        <w:rPr>
          <w:rFonts w:ascii="Times New Roman" w:hAnsi="Times New Roman"/>
          <w:noProof/>
          <w:sz w:val="24"/>
          <w:szCs w:val="24"/>
        </w:rPr>
        <w:t>, ułatwiając rezydentom długoterminowym powrót do kraju pochodzenia bez utraty przysługujących im praw, co jest korzystne zarówno dla kraju pochodzenia, jak</w:t>
      </w:r>
      <w:r w:rsidR="00A5335D" w:rsidRPr="00A5335D">
        <w:rPr>
          <w:rFonts w:ascii="Times New Roman" w:hAnsi="Times New Roman"/>
          <w:noProof/>
          <w:sz w:val="24"/>
          <w:szCs w:val="24"/>
        </w:rPr>
        <w:t xml:space="preserve"> i kra</w:t>
      </w:r>
      <w:r w:rsidRPr="00A5335D">
        <w:rPr>
          <w:rFonts w:ascii="Times New Roman" w:hAnsi="Times New Roman"/>
          <w:noProof/>
          <w:sz w:val="24"/>
          <w:szCs w:val="24"/>
        </w:rPr>
        <w:t xml:space="preserve">ju zamieszkania. </w:t>
      </w:r>
    </w:p>
    <w:p w14:paraId="26812B7F" w14:textId="77777777" w:rsidR="00507095" w:rsidRPr="00A5335D" w:rsidRDefault="00507095" w:rsidP="00A60137">
      <w:pPr>
        <w:spacing w:before="120" w:after="240"/>
        <w:jc w:val="both"/>
        <w:rPr>
          <w:rFonts w:ascii="Times New Roman" w:hAnsi="Times New Roman" w:cs="Times New Roman"/>
          <w:noProof/>
          <w:sz w:val="24"/>
          <w:szCs w:val="24"/>
        </w:rPr>
      </w:pPr>
    </w:p>
    <w:p w14:paraId="27CEFCB8" w14:textId="77777777" w:rsidR="00A60137" w:rsidRPr="00A5335D" w:rsidRDefault="00A60137" w:rsidP="00A60137">
      <w:pPr>
        <w:pStyle w:val="ListParagraph"/>
        <w:numPr>
          <w:ilvl w:val="0"/>
          <w:numId w:val="11"/>
        </w:numPr>
        <w:jc w:val="both"/>
        <w:rPr>
          <w:rFonts w:ascii="Times New Roman" w:hAnsi="Times New Roman" w:cs="Times New Roman"/>
          <w:b/>
          <w:bCs/>
          <w:noProof/>
          <w:sz w:val="24"/>
          <w:szCs w:val="24"/>
        </w:rPr>
      </w:pPr>
      <w:r w:rsidRPr="00A5335D">
        <w:rPr>
          <w:rFonts w:ascii="Times New Roman" w:hAnsi="Times New Roman"/>
          <w:b/>
          <w:bCs/>
          <w:noProof/>
          <w:sz w:val="24"/>
          <w:szCs w:val="24"/>
        </w:rPr>
        <w:t>FILAR OPERACYJNY: WSPIERANIE LEPSZEGO DOPASOWANIA UMIEJĘTNOŚCI DO POTRZEB W UE I KRAJACH PARTNERSKICH</w:t>
      </w:r>
    </w:p>
    <w:p w14:paraId="27CEFCB9" w14:textId="4DD02D7F" w:rsidR="00A60137" w:rsidRPr="00A5335D" w:rsidRDefault="006133ED" w:rsidP="00A60137">
      <w:pPr>
        <w:spacing w:before="240" w:after="120"/>
        <w:jc w:val="both"/>
        <w:rPr>
          <w:rFonts w:ascii="Times New Roman" w:hAnsi="Times New Roman" w:cs="Times New Roman"/>
          <w:noProof/>
          <w:sz w:val="24"/>
          <w:szCs w:val="24"/>
        </w:rPr>
      </w:pPr>
      <w:r w:rsidRPr="00A5335D">
        <w:rPr>
          <w:rFonts w:ascii="Times New Roman" w:hAnsi="Times New Roman"/>
          <w:noProof/>
          <w:sz w:val="24"/>
          <w:szCs w:val="24"/>
        </w:rPr>
        <w:t>Wraz</w:t>
      </w:r>
      <w:r w:rsidR="00A5335D" w:rsidRPr="00A5335D">
        <w:rPr>
          <w:rFonts w:ascii="Times New Roman" w:hAnsi="Times New Roman"/>
          <w:noProof/>
          <w:sz w:val="24"/>
          <w:szCs w:val="24"/>
        </w:rPr>
        <w:t xml:space="preserve"> z fil</w:t>
      </w:r>
      <w:r w:rsidRPr="00A5335D">
        <w:rPr>
          <w:rFonts w:ascii="Times New Roman" w:hAnsi="Times New Roman"/>
          <w:noProof/>
          <w:sz w:val="24"/>
          <w:szCs w:val="24"/>
        </w:rPr>
        <w:t>arem legislacyjnym Komisja proponuje znaczne zacieśnienie współpracy operacyjnej na poziomie unijnym między państwami członkowskimi, jak również</w:t>
      </w:r>
      <w:r w:rsidR="00A5335D" w:rsidRPr="00A5335D">
        <w:rPr>
          <w:rFonts w:ascii="Times New Roman" w:hAnsi="Times New Roman"/>
          <w:noProof/>
          <w:sz w:val="24"/>
          <w:szCs w:val="24"/>
        </w:rPr>
        <w:t xml:space="preserve"> z kra</w:t>
      </w:r>
      <w:r w:rsidRPr="00A5335D">
        <w:rPr>
          <w:rFonts w:ascii="Times New Roman" w:hAnsi="Times New Roman"/>
          <w:noProof/>
          <w:sz w:val="24"/>
          <w:szCs w:val="24"/>
        </w:rPr>
        <w:t>jami partnerskimi. Trwają już zaawansowane prace nad utworzeniem partnerstw</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w:t>
      </w:r>
      <w:r w:rsidR="00A5335D" w:rsidRPr="00A5335D">
        <w:rPr>
          <w:rFonts w:ascii="Times New Roman" w:hAnsi="Times New Roman"/>
          <w:noProof/>
          <w:sz w:val="24"/>
          <w:szCs w:val="24"/>
        </w:rPr>
        <w:t xml:space="preserve"> i uni</w:t>
      </w:r>
      <w:r w:rsidRPr="00A5335D">
        <w:rPr>
          <w:rFonts w:ascii="Times New Roman" w:hAnsi="Times New Roman"/>
          <w:noProof/>
          <w:sz w:val="24"/>
          <w:szCs w:val="24"/>
        </w:rPr>
        <w:t>jnej puli talentów –</w:t>
      </w:r>
      <w:r w:rsidR="00A5335D" w:rsidRPr="00A5335D">
        <w:rPr>
          <w:rFonts w:ascii="Times New Roman" w:hAnsi="Times New Roman"/>
          <w:noProof/>
          <w:sz w:val="24"/>
          <w:szCs w:val="24"/>
        </w:rPr>
        <w:t xml:space="preserve"> w obu</w:t>
      </w:r>
      <w:r w:rsidRPr="00A5335D">
        <w:rPr>
          <w:rFonts w:ascii="Times New Roman" w:hAnsi="Times New Roman"/>
          <w:noProof/>
          <w:sz w:val="24"/>
          <w:szCs w:val="24"/>
        </w:rPr>
        <w:t xml:space="preserve"> przypadkach są to kluczowe inicjatywy ogłoszone</w:t>
      </w:r>
      <w:r w:rsidR="00A5335D" w:rsidRPr="00A5335D">
        <w:rPr>
          <w:rFonts w:ascii="Times New Roman" w:hAnsi="Times New Roman"/>
          <w:noProof/>
          <w:sz w:val="24"/>
          <w:szCs w:val="24"/>
        </w:rPr>
        <w:t xml:space="preserve"> w ram</w:t>
      </w:r>
      <w:r w:rsidRPr="00A5335D">
        <w:rPr>
          <w:rFonts w:ascii="Times New Roman" w:hAnsi="Times New Roman"/>
          <w:noProof/>
          <w:sz w:val="24"/>
          <w:szCs w:val="24"/>
        </w:rPr>
        <w:t>ach nowego paktu</w:t>
      </w:r>
      <w:r w:rsidR="00A5335D" w:rsidRPr="00A5335D">
        <w:rPr>
          <w:rFonts w:ascii="Times New Roman" w:hAnsi="Times New Roman"/>
          <w:noProof/>
          <w:sz w:val="24"/>
          <w:szCs w:val="24"/>
        </w:rPr>
        <w:t xml:space="preserve"> o mig</w:t>
      </w:r>
      <w:r w:rsidRPr="00A5335D">
        <w:rPr>
          <w:rFonts w:ascii="Times New Roman" w:hAnsi="Times New Roman"/>
          <w:noProof/>
          <w:sz w:val="24"/>
          <w:szCs w:val="24"/>
        </w:rPr>
        <w:t>racji</w:t>
      </w:r>
      <w:r w:rsidR="00A5335D" w:rsidRPr="00A5335D">
        <w:rPr>
          <w:rFonts w:ascii="Times New Roman" w:hAnsi="Times New Roman"/>
          <w:noProof/>
          <w:sz w:val="24"/>
          <w:szCs w:val="24"/>
        </w:rPr>
        <w:t xml:space="preserve"> i azy</w:t>
      </w:r>
      <w:r w:rsidRPr="00A5335D">
        <w:rPr>
          <w:rFonts w:ascii="Times New Roman" w:hAnsi="Times New Roman"/>
          <w:noProof/>
          <w:sz w:val="24"/>
          <w:szCs w:val="24"/>
        </w:rPr>
        <w:t xml:space="preserve">lu. </w:t>
      </w:r>
    </w:p>
    <w:p w14:paraId="27CEFCBA" w14:textId="1A0A2264" w:rsidR="00A60137" w:rsidRPr="00A5335D" w:rsidRDefault="00A60137" w:rsidP="00A60137">
      <w:pPr>
        <w:spacing w:before="240" w:after="120"/>
        <w:jc w:val="both"/>
        <w:rPr>
          <w:rFonts w:ascii="Times New Roman" w:hAnsi="Times New Roman" w:cs="Times New Roman"/>
          <w:noProof/>
          <w:sz w:val="24"/>
          <w:szCs w:val="24"/>
        </w:rPr>
      </w:pPr>
      <w:r w:rsidRPr="00A5335D">
        <w:rPr>
          <w:rFonts w:ascii="Times New Roman" w:hAnsi="Times New Roman"/>
          <w:noProof/>
          <w:sz w:val="24"/>
          <w:szCs w:val="24"/>
        </w:rPr>
        <w:t>W połączeniu ze zwiększonym zaangażowaniem politycznym ze strony państw członkowskich Komisja proponuje obecnie jasny plan działania na rzecz realizacji tych dwóch ważnych inicjatyw, najpóźniej do końca 2022</w:t>
      </w:r>
      <w:r w:rsidR="00A5335D" w:rsidRPr="00A5335D">
        <w:rPr>
          <w:rFonts w:ascii="Times New Roman" w:hAnsi="Times New Roman"/>
          <w:noProof/>
          <w:sz w:val="24"/>
          <w:szCs w:val="24"/>
        </w:rPr>
        <w:t> </w:t>
      </w:r>
      <w:r w:rsidRPr="00A5335D">
        <w:rPr>
          <w:rFonts w:ascii="Times New Roman" w:hAnsi="Times New Roman"/>
          <w:noProof/>
          <w:sz w:val="24"/>
          <w:szCs w:val="24"/>
        </w:rPr>
        <w:t>r.</w:t>
      </w:r>
    </w:p>
    <w:p w14:paraId="27CEFCBB" w14:textId="35A081BE" w:rsidR="00A60137" w:rsidRPr="00A5335D" w:rsidRDefault="00A60137" w:rsidP="00A60137">
      <w:pPr>
        <w:pStyle w:val="ListParagraph"/>
        <w:spacing w:before="240" w:after="120"/>
        <w:ind w:left="792"/>
        <w:jc w:val="both"/>
        <w:rPr>
          <w:rFonts w:ascii="Times New Roman" w:hAnsi="Times New Roman" w:cs="Times New Roman"/>
          <w:b/>
          <w:bCs/>
          <w:noProof/>
          <w:sz w:val="24"/>
          <w:szCs w:val="24"/>
        </w:rPr>
      </w:pPr>
      <w:r w:rsidRPr="00A5335D">
        <w:rPr>
          <w:rFonts w:ascii="Times New Roman" w:hAnsi="Times New Roman"/>
          <w:b/>
          <w:bCs/>
          <w:noProof/>
          <w:sz w:val="24"/>
          <w:szCs w:val="24"/>
        </w:rPr>
        <w:t>3.1. Poprawa współpracy</w:t>
      </w:r>
      <w:r w:rsidR="00A5335D" w:rsidRPr="00A5335D">
        <w:rPr>
          <w:rFonts w:ascii="Times New Roman" w:hAnsi="Times New Roman"/>
          <w:b/>
          <w:bCs/>
          <w:noProof/>
          <w:sz w:val="24"/>
          <w:szCs w:val="24"/>
        </w:rPr>
        <w:t xml:space="preserve"> z kra</w:t>
      </w:r>
      <w:r w:rsidRPr="00A5335D">
        <w:rPr>
          <w:rFonts w:ascii="Times New Roman" w:hAnsi="Times New Roman"/>
          <w:b/>
          <w:bCs/>
          <w:noProof/>
          <w:sz w:val="24"/>
          <w:szCs w:val="24"/>
        </w:rPr>
        <w:t>jami partnerskimi przez partnerstwa</w:t>
      </w:r>
      <w:r w:rsidR="00A5335D" w:rsidRPr="00A5335D">
        <w:rPr>
          <w:rFonts w:ascii="Times New Roman" w:hAnsi="Times New Roman"/>
          <w:b/>
          <w:bCs/>
          <w:noProof/>
          <w:sz w:val="24"/>
          <w:szCs w:val="24"/>
        </w:rPr>
        <w:t xml:space="preserve"> w zak</w:t>
      </w:r>
      <w:r w:rsidRPr="00A5335D">
        <w:rPr>
          <w:rFonts w:ascii="Times New Roman" w:hAnsi="Times New Roman"/>
          <w:b/>
          <w:bCs/>
          <w:noProof/>
          <w:sz w:val="24"/>
          <w:szCs w:val="24"/>
        </w:rPr>
        <w:t xml:space="preserve">resie talentów </w:t>
      </w:r>
    </w:p>
    <w:p w14:paraId="27CEFCBC" w14:textId="64F98336" w:rsidR="00A60137" w:rsidRPr="00A5335D" w:rsidRDefault="00A60137" w:rsidP="00A60137">
      <w:pPr>
        <w:jc w:val="both"/>
        <w:rPr>
          <w:rFonts w:ascii="Times New Roman" w:hAnsi="Times New Roman" w:cs="Times New Roman"/>
          <w:noProof/>
          <w:sz w:val="24"/>
          <w:szCs w:val="24"/>
        </w:rPr>
      </w:pPr>
      <w:r w:rsidRPr="00A5335D">
        <w:rPr>
          <w:rFonts w:ascii="Times New Roman" w:hAnsi="Times New Roman"/>
          <w:noProof/>
          <w:sz w:val="24"/>
          <w:szCs w:val="24"/>
        </w:rPr>
        <w:t>Partnerstwa</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 xml:space="preserve">resie talentów to </w:t>
      </w:r>
      <w:r w:rsidRPr="00A5335D">
        <w:rPr>
          <w:rFonts w:ascii="Times New Roman" w:hAnsi="Times New Roman"/>
          <w:b/>
          <w:bCs/>
          <w:noProof/>
          <w:sz w:val="24"/>
          <w:szCs w:val="24"/>
        </w:rPr>
        <w:t>jeden</w:t>
      </w:r>
      <w:r w:rsidR="00A5335D" w:rsidRPr="00A5335D">
        <w:rPr>
          <w:rFonts w:ascii="Times New Roman" w:hAnsi="Times New Roman"/>
          <w:b/>
          <w:bCs/>
          <w:noProof/>
          <w:sz w:val="24"/>
          <w:szCs w:val="24"/>
        </w:rPr>
        <w:t xml:space="preserve"> z klu</w:t>
      </w:r>
      <w:r w:rsidRPr="00A5335D">
        <w:rPr>
          <w:rFonts w:ascii="Times New Roman" w:hAnsi="Times New Roman"/>
          <w:b/>
          <w:bCs/>
          <w:noProof/>
          <w:sz w:val="24"/>
          <w:szCs w:val="24"/>
        </w:rPr>
        <w:t>czowych aspektów zewnętrznego wymiaru nowego paktu</w:t>
      </w:r>
      <w:r w:rsidR="00A5335D" w:rsidRPr="00A5335D">
        <w:rPr>
          <w:rFonts w:ascii="Times New Roman" w:hAnsi="Times New Roman"/>
          <w:b/>
          <w:bCs/>
          <w:noProof/>
          <w:sz w:val="24"/>
          <w:szCs w:val="24"/>
        </w:rPr>
        <w:t xml:space="preserve"> o mig</w:t>
      </w:r>
      <w:r w:rsidRPr="00A5335D">
        <w:rPr>
          <w:rFonts w:ascii="Times New Roman" w:hAnsi="Times New Roman"/>
          <w:b/>
          <w:bCs/>
          <w:noProof/>
          <w:sz w:val="24"/>
          <w:szCs w:val="24"/>
        </w:rPr>
        <w:t>racji</w:t>
      </w:r>
      <w:r w:rsidR="00A5335D" w:rsidRPr="00A5335D">
        <w:rPr>
          <w:rFonts w:ascii="Times New Roman" w:hAnsi="Times New Roman"/>
          <w:b/>
          <w:bCs/>
          <w:noProof/>
          <w:sz w:val="24"/>
          <w:szCs w:val="24"/>
        </w:rPr>
        <w:t xml:space="preserve"> i azy</w:t>
      </w:r>
      <w:r w:rsidRPr="00A5335D">
        <w:rPr>
          <w:rFonts w:ascii="Times New Roman" w:hAnsi="Times New Roman"/>
          <w:b/>
          <w:bCs/>
          <w:noProof/>
          <w:sz w:val="24"/>
          <w:szCs w:val="24"/>
        </w:rPr>
        <w:t>lu.</w:t>
      </w:r>
      <w:r w:rsidRPr="00A5335D">
        <w:rPr>
          <w:rFonts w:ascii="Times New Roman" w:hAnsi="Times New Roman"/>
          <w:noProof/>
          <w:sz w:val="24"/>
          <w:szCs w:val="24"/>
        </w:rPr>
        <w:t xml:space="preserve"> Mają one na celu wzmocnienie współpracy między UE, państwami członkowskimi</w:t>
      </w:r>
      <w:r w:rsidR="00A5335D" w:rsidRPr="00A5335D">
        <w:rPr>
          <w:rFonts w:ascii="Times New Roman" w:hAnsi="Times New Roman"/>
          <w:noProof/>
          <w:sz w:val="24"/>
          <w:szCs w:val="24"/>
        </w:rPr>
        <w:t xml:space="preserve"> i kra</w:t>
      </w:r>
      <w:r w:rsidRPr="00A5335D">
        <w:rPr>
          <w:rFonts w:ascii="Times New Roman" w:hAnsi="Times New Roman"/>
          <w:noProof/>
          <w:sz w:val="24"/>
          <w:szCs w:val="24"/>
        </w:rPr>
        <w:t>jami partnerskimi, zwiększenie międzynarodowej mobilności pracowników oraz rozwój talentów</w:t>
      </w:r>
      <w:r w:rsidR="00A5335D" w:rsidRPr="00A5335D">
        <w:rPr>
          <w:rFonts w:ascii="Times New Roman" w:hAnsi="Times New Roman"/>
          <w:noProof/>
          <w:sz w:val="24"/>
          <w:szCs w:val="24"/>
        </w:rPr>
        <w:t xml:space="preserve"> w spo</w:t>
      </w:r>
      <w:r w:rsidRPr="00A5335D">
        <w:rPr>
          <w:rFonts w:ascii="Times New Roman" w:hAnsi="Times New Roman"/>
          <w:noProof/>
          <w:sz w:val="24"/>
          <w:szCs w:val="24"/>
        </w:rPr>
        <w:t>sób korzystny dla obu stron i na zasadach migracji cyrkulacyjnej. Będą one stanowić podstawę kompleksowych ram polityki</w:t>
      </w:r>
      <w:r w:rsidR="00A5335D" w:rsidRPr="00A5335D">
        <w:rPr>
          <w:rFonts w:ascii="Times New Roman" w:hAnsi="Times New Roman"/>
          <w:noProof/>
          <w:sz w:val="24"/>
          <w:szCs w:val="24"/>
        </w:rPr>
        <w:t xml:space="preserve"> i wsp</w:t>
      </w:r>
      <w:r w:rsidRPr="00A5335D">
        <w:rPr>
          <w:rFonts w:ascii="Times New Roman" w:hAnsi="Times New Roman"/>
          <w:noProof/>
          <w:sz w:val="24"/>
          <w:szCs w:val="24"/>
        </w:rPr>
        <w:t>arcia finansowego</w:t>
      </w:r>
      <w:r w:rsidR="00A5335D" w:rsidRPr="00A5335D">
        <w:rPr>
          <w:rFonts w:ascii="Times New Roman" w:hAnsi="Times New Roman"/>
          <w:noProof/>
          <w:sz w:val="24"/>
          <w:szCs w:val="24"/>
        </w:rPr>
        <w:t xml:space="preserve"> w cel</w:t>
      </w:r>
      <w:r w:rsidRPr="00A5335D">
        <w:rPr>
          <w:rFonts w:ascii="Times New Roman" w:hAnsi="Times New Roman"/>
          <w:noProof/>
          <w:sz w:val="24"/>
          <w:szCs w:val="24"/>
        </w:rPr>
        <w:t>u strategicznego zaangażowania kluczowych krajów partnerskich we wszystkich obszarach zarządzania migracjami,</w:t>
      </w:r>
      <w:r w:rsidR="00A5335D" w:rsidRPr="00A5335D">
        <w:rPr>
          <w:rFonts w:ascii="Times New Roman" w:hAnsi="Times New Roman"/>
          <w:noProof/>
          <w:sz w:val="24"/>
          <w:szCs w:val="24"/>
        </w:rPr>
        <w:t xml:space="preserve"> w tym</w:t>
      </w:r>
      <w:r w:rsidRPr="00A5335D">
        <w:rPr>
          <w:rFonts w:ascii="Times New Roman" w:hAnsi="Times New Roman"/>
          <w:noProof/>
          <w:sz w:val="24"/>
          <w:szCs w:val="24"/>
        </w:rPr>
        <w:t xml:space="preserve"> skutecznych powrotów</w:t>
      </w:r>
      <w:r w:rsidR="00A5335D" w:rsidRPr="00A5335D">
        <w:rPr>
          <w:rFonts w:ascii="Times New Roman" w:hAnsi="Times New Roman"/>
          <w:noProof/>
          <w:sz w:val="24"/>
          <w:szCs w:val="24"/>
        </w:rPr>
        <w:t xml:space="preserve"> i rea</w:t>
      </w:r>
      <w:r w:rsidRPr="00A5335D">
        <w:rPr>
          <w:rFonts w:ascii="Times New Roman" w:hAnsi="Times New Roman"/>
          <w:noProof/>
          <w:sz w:val="24"/>
          <w:szCs w:val="24"/>
        </w:rPr>
        <w:t>dmisji,</w:t>
      </w:r>
      <w:r w:rsidR="00A5335D" w:rsidRPr="00A5335D">
        <w:rPr>
          <w:rFonts w:ascii="Times New Roman" w:hAnsi="Times New Roman"/>
          <w:noProof/>
          <w:sz w:val="24"/>
          <w:szCs w:val="24"/>
        </w:rPr>
        <w:t xml:space="preserve"> a tak</w:t>
      </w:r>
      <w:r w:rsidRPr="00A5335D">
        <w:rPr>
          <w:rFonts w:ascii="Times New Roman" w:hAnsi="Times New Roman"/>
          <w:noProof/>
          <w:sz w:val="24"/>
          <w:szCs w:val="24"/>
        </w:rPr>
        <w:t>że zapobiegania nielegalnym wyjazdom. Zgodnie</w:t>
      </w:r>
      <w:r w:rsidR="00A5335D" w:rsidRPr="00A5335D">
        <w:rPr>
          <w:rFonts w:ascii="Times New Roman" w:hAnsi="Times New Roman"/>
          <w:noProof/>
          <w:sz w:val="24"/>
          <w:szCs w:val="24"/>
        </w:rPr>
        <w:t xml:space="preserve"> z zał</w:t>
      </w:r>
      <w:r w:rsidRPr="00A5335D">
        <w:rPr>
          <w:rFonts w:ascii="Times New Roman" w:hAnsi="Times New Roman"/>
          <w:noProof/>
          <w:sz w:val="24"/>
          <w:szCs w:val="24"/>
        </w:rPr>
        <w:t xml:space="preserve">ożeniami nowego paktu rozwój legalnych ścieżek migracji powinien również przyczynić się do ograniczenia migracji nieuregulowanej. </w:t>
      </w:r>
    </w:p>
    <w:p w14:paraId="27CEFCBD" w14:textId="252788A7" w:rsidR="00A60137" w:rsidRPr="00A5335D" w:rsidRDefault="00A60137" w:rsidP="00A60137">
      <w:pPr>
        <w:jc w:val="both"/>
        <w:rPr>
          <w:rFonts w:ascii="Times New Roman" w:hAnsi="Times New Roman" w:cs="Times New Roman"/>
          <w:noProof/>
          <w:sz w:val="24"/>
          <w:szCs w:val="24"/>
        </w:rPr>
      </w:pPr>
      <w:r w:rsidRPr="00A5335D">
        <w:rPr>
          <w:rFonts w:ascii="Times New Roman" w:hAnsi="Times New Roman"/>
          <w:noProof/>
          <w:sz w:val="24"/>
          <w:szCs w:val="24"/>
        </w:rPr>
        <w:t>Komisja kieruje rozwojem partnerstw</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 chcąc zapewnić, by były one przygotowane</w:t>
      </w:r>
      <w:r w:rsidR="00A5335D" w:rsidRPr="00A5335D">
        <w:rPr>
          <w:rFonts w:ascii="Times New Roman" w:hAnsi="Times New Roman"/>
          <w:noProof/>
          <w:sz w:val="24"/>
          <w:szCs w:val="24"/>
        </w:rPr>
        <w:t xml:space="preserve"> w </w:t>
      </w:r>
      <w:r w:rsidR="00A5335D" w:rsidRPr="00A5335D">
        <w:rPr>
          <w:rFonts w:ascii="Times New Roman" w:hAnsi="Times New Roman"/>
          <w:b/>
          <w:bCs/>
          <w:noProof/>
          <w:sz w:val="24"/>
          <w:szCs w:val="24"/>
        </w:rPr>
        <w:t>dos</w:t>
      </w:r>
      <w:r w:rsidRPr="00A5335D">
        <w:rPr>
          <w:rFonts w:ascii="Times New Roman" w:hAnsi="Times New Roman"/>
          <w:b/>
          <w:bCs/>
          <w:noProof/>
          <w:sz w:val="24"/>
          <w:szCs w:val="24"/>
        </w:rPr>
        <w:t>tosowany do indywidualnych potrzeb</w:t>
      </w:r>
      <w:r w:rsidR="00A5335D" w:rsidRPr="00A5335D">
        <w:rPr>
          <w:rFonts w:ascii="Times New Roman" w:hAnsi="Times New Roman"/>
          <w:b/>
          <w:bCs/>
          <w:noProof/>
          <w:sz w:val="24"/>
          <w:szCs w:val="24"/>
        </w:rPr>
        <w:t xml:space="preserve"> i ela</w:t>
      </w:r>
      <w:r w:rsidRPr="00A5335D">
        <w:rPr>
          <w:rFonts w:ascii="Times New Roman" w:hAnsi="Times New Roman"/>
          <w:b/>
          <w:bCs/>
          <w:noProof/>
          <w:sz w:val="24"/>
          <w:szCs w:val="24"/>
        </w:rPr>
        <w:t>styczny sposób</w:t>
      </w:r>
      <w:r w:rsidRPr="00A5335D">
        <w:rPr>
          <w:rFonts w:ascii="Times New Roman" w:hAnsi="Times New Roman"/>
          <w:noProof/>
          <w:sz w:val="24"/>
          <w:szCs w:val="24"/>
        </w:rPr>
        <w:t xml:space="preserve"> oraz by uwzględniały potrzeby rynku pracy</w:t>
      </w:r>
      <w:r w:rsidR="00A5335D" w:rsidRPr="00A5335D">
        <w:rPr>
          <w:rFonts w:ascii="Times New Roman" w:hAnsi="Times New Roman"/>
          <w:noProof/>
          <w:sz w:val="24"/>
          <w:szCs w:val="24"/>
        </w:rPr>
        <w:t xml:space="preserve"> i zap</w:t>
      </w:r>
      <w:r w:rsidRPr="00A5335D">
        <w:rPr>
          <w:rFonts w:ascii="Times New Roman" w:hAnsi="Times New Roman"/>
          <w:noProof/>
          <w:sz w:val="24"/>
          <w:szCs w:val="24"/>
        </w:rPr>
        <w:t>otrzebowanie na umiejętności</w:t>
      </w:r>
      <w:r w:rsidR="00A5335D" w:rsidRPr="00A5335D">
        <w:rPr>
          <w:rFonts w:ascii="Times New Roman" w:hAnsi="Times New Roman"/>
          <w:noProof/>
          <w:sz w:val="24"/>
          <w:szCs w:val="24"/>
        </w:rPr>
        <w:t xml:space="preserve"> w pań</w:t>
      </w:r>
      <w:r w:rsidRPr="00A5335D">
        <w:rPr>
          <w:rFonts w:ascii="Times New Roman" w:hAnsi="Times New Roman"/>
          <w:noProof/>
          <w:sz w:val="24"/>
          <w:szCs w:val="24"/>
        </w:rPr>
        <w:t>stwach członkowskich</w:t>
      </w:r>
      <w:r w:rsidR="00A5335D" w:rsidRPr="00A5335D">
        <w:rPr>
          <w:rFonts w:ascii="Times New Roman" w:hAnsi="Times New Roman"/>
          <w:noProof/>
          <w:sz w:val="24"/>
          <w:szCs w:val="24"/>
        </w:rPr>
        <w:t xml:space="preserve"> i kra</w:t>
      </w:r>
      <w:r w:rsidRPr="00A5335D">
        <w:rPr>
          <w:rFonts w:ascii="Times New Roman" w:hAnsi="Times New Roman"/>
          <w:noProof/>
          <w:sz w:val="24"/>
          <w:szCs w:val="24"/>
        </w:rPr>
        <w:t xml:space="preserve">jach partnerskich. </w:t>
      </w:r>
    </w:p>
    <w:p w14:paraId="27CEFCBE" w14:textId="232A8FA5" w:rsidR="00A60137" w:rsidRPr="00A5335D" w:rsidRDefault="00A60137" w:rsidP="00A60137">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Partnerstwa</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 xml:space="preserve">resie talentów powinny łączyć </w:t>
      </w:r>
      <w:r w:rsidRPr="00A5335D">
        <w:rPr>
          <w:rFonts w:ascii="Times New Roman" w:hAnsi="Times New Roman"/>
          <w:b/>
          <w:bCs/>
          <w:noProof/>
          <w:sz w:val="24"/>
          <w:szCs w:val="24"/>
        </w:rPr>
        <w:t>bezpośrednie wsparcie na rzecz programów mobilności</w:t>
      </w:r>
      <w:r w:rsidRPr="00A5335D">
        <w:rPr>
          <w:rStyle w:val="FootnoteReference"/>
          <w:rFonts w:ascii="Times New Roman" w:hAnsi="Times New Roman" w:cs="Times New Roman"/>
          <w:b/>
          <w:bCs/>
          <w:noProof/>
          <w:sz w:val="24"/>
          <w:szCs w:val="24"/>
        </w:rPr>
        <w:footnoteReference w:id="48"/>
      </w:r>
      <w:r w:rsidRPr="00A5335D">
        <w:rPr>
          <w:rFonts w:ascii="Times New Roman" w:hAnsi="Times New Roman"/>
          <w:b/>
          <w:bCs/>
          <w:noProof/>
          <w:sz w:val="24"/>
          <w:szCs w:val="24"/>
        </w:rPr>
        <w:t xml:space="preserve"> dotyczących pracy lub szkolenia</w:t>
      </w:r>
      <w:r w:rsidR="00A5335D" w:rsidRPr="00A5335D">
        <w:rPr>
          <w:rFonts w:ascii="Times New Roman" w:hAnsi="Times New Roman"/>
          <w:b/>
          <w:bCs/>
          <w:noProof/>
          <w:sz w:val="24"/>
          <w:szCs w:val="24"/>
        </w:rPr>
        <w:t xml:space="preserve"> z bud</w:t>
      </w:r>
      <w:r w:rsidRPr="00A5335D">
        <w:rPr>
          <w:rFonts w:ascii="Times New Roman" w:hAnsi="Times New Roman"/>
          <w:b/>
          <w:bCs/>
          <w:noProof/>
          <w:sz w:val="24"/>
          <w:szCs w:val="24"/>
        </w:rPr>
        <w:t>owaniem zdolności</w:t>
      </w:r>
      <w:r w:rsidR="00A5335D" w:rsidRPr="00A5335D">
        <w:rPr>
          <w:rFonts w:ascii="Times New Roman" w:hAnsi="Times New Roman"/>
          <w:b/>
          <w:bCs/>
          <w:noProof/>
          <w:sz w:val="24"/>
          <w:szCs w:val="24"/>
        </w:rPr>
        <w:t xml:space="preserve"> i inw</w:t>
      </w:r>
      <w:r w:rsidRPr="00A5335D">
        <w:rPr>
          <w:rFonts w:ascii="Times New Roman" w:hAnsi="Times New Roman"/>
          <w:b/>
          <w:bCs/>
          <w:noProof/>
          <w:sz w:val="24"/>
          <w:szCs w:val="24"/>
        </w:rPr>
        <w:t>estycjami</w:t>
      </w:r>
      <w:r w:rsidR="00A5335D" w:rsidRPr="00A5335D">
        <w:rPr>
          <w:rFonts w:ascii="Times New Roman" w:hAnsi="Times New Roman"/>
          <w:b/>
          <w:bCs/>
          <w:noProof/>
          <w:sz w:val="24"/>
          <w:szCs w:val="24"/>
        </w:rPr>
        <w:t xml:space="preserve"> w kap</w:t>
      </w:r>
      <w:r w:rsidRPr="00A5335D">
        <w:rPr>
          <w:rFonts w:ascii="Times New Roman" w:hAnsi="Times New Roman"/>
          <w:b/>
          <w:bCs/>
          <w:noProof/>
          <w:sz w:val="24"/>
          <w:szCs w:val="24"/>
        </w:rPr>
        <w:t>itał ludzki</w:t>
      </w:r>
      <w:r w:rsidRPr="00A5335D">
        <w:rPr>
          <w:rFonts w:ascii="Times New Roman" w:hAnsi="Times New Roman"/>
          <w:noProof/>
          <w:sz w:val="24"/>
          <w:szCs w:val="24"/>
        </w:rPr>
        <w:t>,</w:t>
      </w:r>
      <w:r w:rsidR="00A5335D" w:rsidRPr="00A5335D">
        <w:rPr>
          <w:rFonts w:ascii="Times New Roman" w:hAnsi="Times New Roman"/>
          <w:noProof/>
          <w:sz w:val="24"/>
          <w:szCs w:val="24"/>
        </w:rPr>
        <w:t xml:space="preserve"> w tym</w:t>
      </w:r>
      <w:r w:rsidRPr="00A5335D">
        <w:rPr>
          <w:rFonts w:ascii="Times New Roman" w:hAnsi="Times New Roman"/>
          <w:noProof/>
          <w:sz w:val="24"/>
          <w:szCs w:val="24"/>
        </w:rPr>
        <w:t xml:space="preserve"> rozwijaniem umiejętności, kształceniem</w:t>
      </w:r>
      <w:r w:rsidR="00A5335D" w:rsidRPr="00A5335D">
        <w:rPr>
          <w:rFonts w:ascii="Times New Roman" w:hAnsi="Times New Roman"/>
          <w:noProof/>
          <w:sz w:val="24"/>
          <w:szCs w:val="24"/>
        </w:rPr>
        <w:t xml:space="preserve"> i szk</w:t>
      </w:r>
      <w:r w:rsidRPr="00A5335D">
        <w:rPr>
          <w:rFonts w:ascii="Times New Roman" w:hAnsi="Times New Roman"/>
          <w:noProof/>
          <w:sz w:val="24"/>
          <w:szCs w:val="24"/>
        </w:rPr>
        <w:t>oleniem zawodowym oraz realizacją programów wymiany pracowników</w:t>
      </w:r>
      <w:r w:rsidRPr="00A5335D">
        <w:rPr>
          <w:rStyle w:val="FootnoteReference"/>
          <w:rFonts w:ascii="Times New Roman" w:hAnsi="Times New Roman" w:cs="Times New Roman"/>
          <w:noProof/>
          <w:sz w:val="24"/>
          <w:szCs w:val="24"/>
        </w:rPr>
        <w:footnoteReference w:id="49"/>
      </w:r>
      <w:r w:rsidRPr="00A5335D">
        <w:rPr>
          <w:rFonts w:ascii="Times New Roman" w:hAnsi="Times New Roman"/>
          <w:noProof/>
          <w:sz w:val="24"/>
          <w:szCs w:val="24"/>
        </w:rPr>
        <w:t>. Tym samym celem partnerstw</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 jest zapewnienie równych szans krajom partnerskim, państwom członkowskim, środowiskom biznesowym po obu stronach oraz osobom korzystającym</w:t>
      </w:r>
      <w:r w:rsidR="00A5335D" w:rsidRPr="00A5335D">
        <w:rPr>
          <w:rFonts w:ascii="Times New Roman" w:hAnsi="Times New Roman"/>
          <w:noProof/>
          <w:sz w:val="24"/>
          <w:szCs w:val="24"/>
        </w:rPr>
        <w:t xml:space="preserve"> z tyc</w:t>
      </w:r>
      <w:r w:rsidRPr="00A5335D">
        <w:rPr>
          <w:rFonts w:ascii="Times New Roman" w:hAnsi="Times New Roman"/>
          <w:noProof/>
          <w:sz w:val="24"/>
          <w:szCs w:val="24"/>
        </w:rPr>
        <w:t>h programów. Zgodnie</w:t>
      </w:r>
      <w:r w:rsidR="00A5335D" w:rsidRPr="00A5335D">
        <w:rPr>
          <w:rFonts w:ascii="Times New Roman" w:hAnsi="Times New Roman"/>
          <w:noProof/>
          <w:sz w:val="24"/>
          <w:szCs w:val="24"/>
        </w:rPr>
        <w:t xml:space="preserve"> z zas</w:t>
      </w:r>
      <w:r w:rsidRPr="00A5335D">
        <w:rPr>
          <w:rFonts w:ascii="Times New Roman" w:hAnsi="Times New Roman"/>
          <w:noProof/>
          <w:sz w:val="24"/>
          <w:szCs w:val="24"/>
        </w:rPr>
        <w:t>adami dwustronnej współpracy UE</w:t>
      </w:r>
      <w:r w:rsidR="00A5335D" w:rsidRPr="00A5335D">
        <w:rPr>
          <w:rFonts w:ascii="Times New Roman" w:hAnsi="Times New Roman"/>
          <w:noProof/>
          <w:sz w:val="24"/>
          <w:szCs w:val="24"/>
        </w:rPr>
        <w:t xml:space="preserve"> z kra</w:t>
      </w:r>
      <w:r w:rsidRPr="00A5335D">
        <w:rPr>
          <w:rFonts w:ascii="Times New Roman" w:hAnsi="Times New Roman"/>
          <w:noProof/>
          <w:sz w:val="24"/>
          <w:szCs w:val="24"/>
        </w:rPr>
        <w:t>jami partnerskimi przedmiotowe partnerstwa powinny</w:t>
      </w:r>
      <w:r w:rsidR="00A5335D" w:rsidRPr="00A5335D">
        <w:rPr>
          <w:rFonts w:ascii="Times New Roman" w:hAnsi="Times New Roman"/>
          <w:noProof/>
          <w:sz w:val="24"/>
          <w:szCs w:val="24"/>
        </w:rPr>
        <w:t xml:space="preserve"> </w:t>
      </w:r>
      <w:r w:rsidRPr="00A5335D">
        <w:rPr>
          <w:rFonts w:ascii="Times New Roman" w:hAnsi="Times New Roman"/>
          <w:noProof/>
          <w:sz w:val="24"/>
          <w:szCs w:val="24"/>
        </w:rPr>
        <w:t>przyczyniać się do rozwoju gospodarczego społeczności pochodzenia, wspierać szersze cele rozwojowe kluczowych krajów partnerskich oraz zwiększać możliwości dla ich obywateli. Jednocześnie partnerstwa</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 powinny pomóc</w:t>
      </w:r>
      <w:r w:rsidR="00A5335D" w:rsidRPr="00A5335D">
        <w:rPr>
          <w:rFonts w:ascii="Times New Roman" w:hAnsi="Times New Roman"/>
          <w:noProof/>
          <w:sz w:val="24"/>
          <w:szCs w:val="24"/>
        </w:rPr>
        <w:t xml:space="preserve"> w roz</w:t>
      </w:r>
      <w:r w:rsidRPr="00A5335D">
        <w:rPr>
          <w:rFonts w:ascii="Times New Roman" w:hAnsi="Times New Roman"/>
          <w:noProof/>
          <w:sz w:val="24"/>
          <w:szCs w:val="24"/>
        </w:rPr>
        <w:t>wiązaniu problemu niedoborów</w:t>
      </w:r>
      <w:r w:rsidR="00A5335D" w:rsidRPr="00A5335D">
        <w:rPr>
          <w:rFonts w:ascii="Times New Roman" w:hAnsi="Times New Roman"/>
          <w:noProof/>
          <w:sz w:val="24"/>
          <w:szCs w:val="24"/>
        </w:rPr>
        <w:t xml:space="preserve"> w nie</w:t>
      </w:r>
      <w:r w:rsidRPr="00A5335D">
        <w:rPr>
          <w:rFonts w:ascii="Times New Roman" w:hAnsi="Times New Roman"/>
          <w:noProof/>
          <w:sz w:val="24"/>
          <w:szCs w:val="24"/>
        </w:rPr>
        <w:t>których sektorach na rynkach pracy państw członkowskich oraz wspierać środowisko biznesowe po obu stronach</w:t>
      </w:r>
      <w:r w:rsidR="00A5335D" w:rsidRPr="00A5335D">
        <w:rPr>
          <w:rFonts w:ascii="Times New Roman" w:hAnsi="Times New Roman"/>
          <w:noProof/>
          <w:sz w:val="24"/>
          <w:szCs w:val="24"/>
        </w:rPr>
        <w:t xml:space="preserve"> w bud</w:t>
      </w:r>
      <w:r w:rsidRPr="00A5335D">
        <w:rPr>
          <w:rFonts w:ascii="Times New Roman" w:hAnsi="Times New Roman"/>
          <w:noProof/>
          <w:sz w:val="24"/>
          <w:szCs w:val="24"/>
        </w:rPr>
        <w:t>owaniu umiejętności, na które jest zapotrzebowanie. Powinny one przyczynić się do przekształcenia ryzyka drenażu mózgów</w:t>
      </w:r>
      <w:r w:rsidR="00A5335D" w:rsidRPr="00A5335D">
        <w:rPr>
          <w:rFonts w:ascii="Times New Roman" w:hAnsi="Times New Roman"/>
          <w:noProof/>
          <w:sz w:val="24"/>
          <w:szCs w:val="24"/>
        </w:rPr>
        <w:t xml:space="preserve"> z kra</w:t>
      </w:r>
      <w:r w:rsidRPr="00A5335D">
        <w:rPr>
          <w:rFonts w:ascii="Times New Roman" w:hAnsi="Times New Roman"/>
          <w:noProof/>
          <w:sz w:val="24"/>
          <w:szCs w:val="24"/>
        </w:rPr>
        <w:t>jów partnerskich</w:t>
      </w:r>
      <w:r w:rsidR="00A5335D" w:rsidRPr="00A5335D">
        <w:rPr>
          <w:rFonts w:ascii="Times New Roman" w:hAnsi="Times New Roman"/>
          <w:noProof/>
          <w:sz w:val="24"/>
          <w:szCs w:val="24"/>
        </w:rPr>
        <w:t xml:space="preserve"> w </w:t>
      </w:r>
      <w:r w:rsidR="00A5335D" w:rsidRPr="00A5335D">
        <w:rPr>
          <w:rFonts w:ascii="Times New Roman" w:hAnsi="Times New Roman"/>
          <w:b/>
          <w:bCs/>
          <w:noProof/>
          <w:sz w:val="24"/>
          <w:szCs w:val="24"/>
        </w:rPr>
        <w:t>poz</w:t>
      </w:r>
      <w:r w:rsidRPr="00A5335D">
        <w:rPr>
          <w:rFonts w:ascii="Times New Roman" w:hAnsi="Times New Roman"/>
          <w:b/>
          <w:bCs/>
          <w:noProof/>
          <w:sz w:val="24"/>
          <w:szCs w:val="24"/>
        </w:rPr>
        <w:t>yskiwanie mózgów</w:t>
      </w:r>
      <w:r w:rsidRPr="00A5335D">
        <w:rPr>
          <w:rFonts w:ascii="Times New Roman" w:hAnsi="Times New Roman"/>
          <w:noProof/>
          <w:sz w:val="24"/>
          <w:szCs w:val="24"/>
        </w:rPr>
        <w:t xml:space="preserve"> dla wszystkich partnerów, przynosząc korzyści osobom zainteresowanym dzięki dostępowi do nowych możliwości szkoleniowych, doświadczeń zawodowych</w:t>
      </w:r>
      <w:r w:rsidR="00A5335D" w:rsidRPr="00A5335D">
        <w:rPr>
          <w:rFonts w:ascii="Times New Roman" w:hAnsi="Times New Roman"/>
          <w:noProof/>
          <w:sz w:val="24"/>
          <w:szCs w:val="24"/>
        </w:rPr>
        <w:t xml:space="preserve"> i dod</w:t>
      </w:r>
      <w:r w:rsidRPr="00A5335D">
        <w:rPr>
          <w:rFonts w:ascii="Times New Roman" w:hAnsi="Times New Roman"/>
          <w:noProof/>
          <w:sz w:val="24"/>
          <w:szCs w:val="24"/>
        </w:rPr>
        <w:t>atkowych studiów lub kształcenia</w:t>
      </w:r>
      <w:r w:rsidR="00A5335D" w:rsidRPr="00A5335D">
        <w:rPr>
          <w:rFonts w:ascii="Times New Roman" w:hAnsi="Times New Roman"/>
          <w:noProof/>
          <w:sz w:val="24"/>
          <w:szCs w:val="24"/>
        </w:rPr>
        <w:t xml:space="preserve"> i szk</w:t>
      </w:r>
      <w:r w:rsidRPr="00A5335D">
        <w:rPr>
          <w:rFonts w:ascii="Times New Roman" w:hAnsi="Times New Roman"/>
          <w:noProof/>
          <w:sz w:val="24"/>
          <w:szCs w:val="24"/>
        </w:rPr>
        <w:t>olenia zawodowego opracowanych w UE lub</w:t>
      </w:r>
      <w:r w:rsidR="00A5335D" w:rsidRPr="00A5335D">
        <w:rPr>
          <w:rFonts w:ascii="Times New Roman" w:hAnsi="Times New Roman"/>
          <w:noProof/>
          <w:sz w:val="24"/>
          <w:szCs w:val="24"/>
        </w:rPr>
        <w:t xml:space="preserve"> w ich</w:t>
      </w:r>
      <w:r w:rsidRPr="00A5335D">
        <w:rPr>
          <w:rFonts w:ascii="Times New Roman" w:hAnsi="Times New Roman"/>
          <w:noProof/>
          <w:sz w:val="24"/>
          <w:szCs w:val="24"/>
        </w:rPr>
        <w:t xml:space="preserve"> krajach pochodzenia. </w:t>
      </w:r>
    </w:p>
    <w:p w14:paraId="27CEFCBF" w14:textId="25640241" w:rsidR="00A60137" w:rsidRPr="00A5335D" w:rsidRDefault="00A60137" w:rsidP="00A60137">
      <w:pPr>
        <w:spacing w:after="120"/>
        <w:jc w:val="both"/>
        <w:rPr>
          <w:rFonts w:ascii="Times New Roman" w:hAnsi="Times New Roman" w:cs="Times New Roman"/>
          <w:noProof/>
          <w:sz w:val="24"/>
          <w:szCs w:val="24"/>
        </w:rPr>
      </w:pPr>
      <w:r w:rsidRPr="00A5335D">
        <w:rPr>
          <w:rFonts w:ascii="Times New Roman" w:hAnsi="Times New Roman"/>
          <w:noProof/>
          <w:sz w:val="24"/>
          <w:szCs w:val="24"/>
        </w:rPr>
        <w:t>Partnerstwa</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 będą otwarte dla osób</w:t>
      </w:r>
      <w:r w:rsidR="00A5335D" w:rsidRPr="00A5335D">
        <w:rPr>
          <w:rFonts w:ascii="Times New Roman" w:hAnsi="Times New Roman"/>
          <w:noProof/>
          <w:sz w:val="24"/>
          <w:szCs w:val="24"/>
        </w:rPr>
        <w:t xml:space="preserve"> o </w:t>
      </w:r>
      <w:r w:rsidR="00A5335D" w:rsidRPr="00A5335D">
        <w:rPr>
          <w:rFonts w:ascii="Times New Roman" w:hAnsi="Times New Roman"/>
          <w:b/>
          <w:bCs/>
          <w:noProof/>
          <w:sz w:val="24"/>
          <w:szCs w:val="24"/>
        </w:rPr>
        <w:t>wsz</w:t>
      </w:r>
      <w:r w:rsidRPr="00A5335D">
        <w:rPr>
          <w:rFonts w:ascii="Times New Roman" w:hAnsi="Times New Roman"/>
          <w:b/>
          <w:bCs/>
          <w:noProof/>
          <w:sz w:val="24"/>
          <w:szCs w:val="24"/>
        </w:rPr>
        <w:t>ystkich poziomach umiejętności</w:t>
      </w:r>
      <w:r w:rsidR="00A5335D" w:rsidRPr="00A5335D">
        <w:rPr>
          <w:rFonts w:ascii="Times New Roman" w:hAnsi="Times New Roman"/>
          <w:noProof/>
          <w:sz w:val="24"/>
          <w:szCs w:val="24"/>
        </w:rPr>
        <w:t xml:space="preserve"> i mog</w:t>
      </w:r>
      <w:r w:rsidRPr="00A5335D">
        <w:rPr>
          <w:rFonts w:ascii="Times New Roman" w:hAnsi="Times New Roman"/>
          <w:noProof/>
          <w:sz w:val="24"/>
          <w:szCs w:val="24"/>
        </w:rPr>
        <w:t xml:space="preserve">ą dotyczyć </w:t>
      </w:r>
      <w:r w:rsidRPr="00A5335D">
        <w:rPr>
          <w:rFonts w:ascii="Times New Roman" w:hAnsi="Times New Roman"/>
          <w:b/>
          <w:bCs/>
          <w:noProof/>
          <w:sz w:val="24"/>
          <w:szCs w:val="24"/>
        </w:rPr>
        <w:t>różnych sektorów gospodarki</w:t>
      </w:r>
      <w:r w:rsidRPr="00A5335D">
        <w:rPr>
          <w:rFonts w:ascii="Times New Roman" w:hAnsi="Times New Roman"/>
          <w:noProof/>
          <w:sz w:val="24"/>
          <w:szCs w:val="24"/>
        </w:rPr>
        <w:t>, takich jak technologie informacyjno-komunikacyjne, nauka, inżynieria, zdrowie</w:t>
      </w:r>
      <w:r w:rsidR="00A65FD2" w:rsidRPr="00A5335D">
        <w:rPr>
          <w:rStyle w:val="FootnoteReference"/>
          <w:rFonts w:ascii="Times New Roman" w:hAnsi="Times New Roman" w:cs="Times New Roman"/>
          <w:noProof/>
          <w:sz w:val="24"/>
          <w:szCs w:val="24"/>
        </w:rPr>
        <w:footnoteReference w:id="50"/>
      </w:r>
      <w:r w:rsidR="00A5335D" w:rsidRPr="00A5335D">
        <w:rPr>
          <w:rFonts w:ascii="Times New Roman" w:hAnsi="Times New Roman"/>
          <w:noProof/>
          <w:sz w:val="24"/>
          <w:szCs w:val="24"/>
        </w:rPr>
        <w:t xml:space="preserve"> i opi</w:t>
      </w:r>
      <w:r w:rsidRPr="00A5335D">
        <w:rPr>
          <w:rFonts w:ascii="Times New Roman" w:hAnsi="Times New Roman"/>
          <w:noProof/>
          <w:sz w:val="24"/>
          <w:szCs w:val="24"/>
        </w:rPr>
        <w:t>eka długoterminowa, rolnictwo, transport, ogrodnictwo, przetwórstwo spożywcze</w:t>
      </w:r>
      <w:r w:rsidR="00A5335D" w:rsidRPr="00A5335D">
        <w:rPr>
          <w:rFonts w:ascii="Times New Roman" w:hAnsi="Times New Roman"/>
          <w:noProof/>
          <w:sz w:val="24"/>
          <w:szCs w:val="24"/>
        </w:rPr>
        <w:t xml:space="preserve"> i tur</w:t>
      </w:r>
      <w:r w:rsidRPr="00A5335D">
        <w:rPr>
          <w:rFonts w:ascii="Times New Roman" w:hAnsi="Times New Roman"/>
          <w:noProof/>
          <w:sz w:val="24"/>
          <w:szCs w:val="24"/>
        </w:rPr>
        <w:t>ystyka, budownictwo</w:t>
      </w:r>
      <w:r w:rsidR="00A5335D" w:rsidRPr="00A5335D">
        <w:rPr>
          <w:rFonts w:ascii="Times New Roman" w:hAnsi="Times New Roman"/>
          <w:noProof/>
          <w:sz w:val="24"/>
          <w:szCs w:val="24"/>
        </w:rPr>
        <w:t xml:space="preserve"> i prz</w:t>
      </w:r>
      <w:r w:rsidRPr="00A5335D">
        <w:rPr>
          <w:rFonts w:ascii="Times New Roman" w:hAnsi="Times New Roman"/>
          <w:noProof/>
          <w:sz w:val="24"/>
          <w:szCs w:val="24"/>
        </w:rPr>
        <w:t>emysł stoczniowy, transport</w:t>
      </w:r>
      <w:r w:rsidR="00A5335D" w:rsidRPr="00A5335D">
        <w:rPr>
          <w:rFonts w:ascii="Times New Roman" w:hAnsi="Times New Roman"/>
          <w:noProof/>
          <w:sz w:val="24"/>
          <w:szCs w:val="24"/>
        </w:rPr>
        <w:t xml:space="preserve"> i log</w:t>
      </w:r>
      <w:r w:rsidRPr="00A5335D">
        <w:rPr>
          <w:rFonts w:ascii="Times New Roman" w:hAnsi="Times New Roman"/>
          <w:noProof/>
          <w:sz w:val="24"/>
          <w:szCs w:val="24"/>
        </w:rPr>
        <w:t>istyka,</w:t>
      </w:r>
      <w:r w:rsidR="00A5335D" w:rsidRPr="00A5335D">
        <w:rPr>
          <w:rFonts w:ascii="Times New Roman" w:hAnsi="Times New Roman"/>
          <w:noProof/>
          <w:sz w:val="24"/>
          <w:szCs w:val="24"/>
        </w:rPr>
        <w:t xml:space="preserve"> </w:t>
      </w:r>
      <w:r w:rsidR="00A5335D" w:rsidRPr="00A5335D">
        <w:rPr>
          <w:rFonts w:ascii="Times New Roman" w:hAnsi="Times New Roman"/>
          <w:b/>
          <w:noProof/>
          <w:sz w:val="24"/>
          <w:szCs w:val="24"/>
        </w:rPr>
        <w:t>w</w:t>
      </w:r>
      <w:r w:rsidR="00A5335D" w:rsidRPr="00A5335D">
        <w:rPr>
          <w:rFonts w:ascii="Times New Roman" w:hAnsi="Times New Roman"/>
          <w:noProof/>
          <w:sz w:val="24"/>
          <w:szCs w:val="24"/>
        </w:rPr>
        <w:t> </w:t>
      </w:r>
      <w:r w:rsidR="00A5335D" w:rsidRPr="00A5335D">
        <w:rPr>
          <w:rFonts w:ascii="Times New Roman" w:hAnsi="Times New Roman"/>
          <w:b/>
          <w:noProof/>
          <w:sz w:val="24"/>
          <w:szCs w:val="24"/>
        </w:rPr>
        <w:t>zal</w:t>
      </w:r>
      <w:r w:rsidRPr="00A5335D">
        <w:rPr>
          <w:rFonts w:ascii="Times New Roman" w:hAnsi="Times New Roman"/>
          <w:b/>
          <w:noProof/>
          <w:sz w:val="24"/>
          <w:szCs w:val="24"/>
        </w:rPr>
        <w:t>eżności od interesów obu stron</w:t>
      </w:r>
      <w:r w:rsidRPr="00A5335D">
        <w:rPr>
          <w:rFonts w:ascii="Times New Roman" w:hAnsi="Times New Roman"/>
          <w:noProof/>
          <w:sz w:val="24"/>
          <w:szCs w:val="24"/>
        </w:rPr>
        <w:t>, które kształtują partnerstwa</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 xml:space="preserve">resie talentów, </w:t>
      </w:r>
      <w:r w:rsidRPr="00A5335D">
        <w:rPr>
          <w:rFonts w:ascii="Times New Roman" w:hAnsi="Times New Roman"/>
          <w:b/>
          <w:noProof/>
          <w:sz w:val="24"/>
          <w:szCs w:val="24"/>
        </w:rPr>
        <w:t>pamiętając jednocześnie</w:t>
      </w:r>
      <w:r w:rsidR="00A5335D" w:rsidRPr="00A5335D">
        <w:rPr>
          <w:rFonts w:ascii="Times New Roman" w:hAnsi="Times New Roman"/>
          <w:b/>
          <w:noProof/>
          <w:sz w:val="24"/>
          <w:szCs w:val="24"/>
        </w:rPr>
        <w:t xml:space="preserve"> o ryz</w:t>
      </w:r>
      <w:r w:rsidRPr="00A5335D">
        <w:rPr>
          <w:rFonts w:ascii="Times New Roman" w:hAnsi="Times New Roman"/>
          <w:b/>
          <w:noProof/>
          <w:sz w:val="24"/>
          <w:szCs w:val="24"/>
        </w:rPr>
        <w:t>yku drenażu mózgów</w:t>
      </w:r>
      <w:r w:rsidRPr="00A5335D">
        <w:rPr>
          <w:rFonts w:ascii="Times New Roman" w:hAnsi="Times New Roman"/>
          <w:noProof/>
          <w:sz w:val="24"/>
          <w:szCs w:val="24"/>
        </w:rPr>
        <w:t>. Partnerstwa</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 xml:space="preserve">resie talentów zapewnią </w:t>
      </w:r>
      <w:r w:rsidRPr="00A5335D">
        <w:rPr>
          <w:rFonts w:ascii="Times New Roman" w:hAnsi="Times New Roman"/>
          <w:b/>
          <w:bCs/>
          <w:noProof/>
          <w:sz w:val="24"/>
          <w:szCs w:val="24"/>
        </w:rPr>
        <w:t>różne rodzaje mobilności</w:t>
      </w:r>
      <w:r w:rsidRPr="00A5335D">
        <w:rPr>
          <w:rFonts w:ascii="Times New Roman" w:hAnsi="Times New Roman"/>
          <w:noProof/>
          <w:sz w:val="24"/>
          <w:szCs w:val="24"/>
        </w:rPr>
        <w:t>:</w:t>
      </w:r>
      <w:r w:rsidR="00A5335D" w:rsidRPr="00A5335D">
        <w:rPr>
          <w:rFonts w:ascii="Times New Roman" w:hAnsi="Times New Roman"/>
          <w:noProof/>
          <w:sz w:val="24"/>
          <w:szCs w:val="24"/>
        </w:rPr>
        <w:t xml:space="preserve"> o cha</w:t>
      </w:r>
      <w:r w:rsidRPr="00A5335D">
        <w:rPr>
          <w:rFonts w:ascii="Times New Roman" w:hAnsi="Times New Roman"/>
          <w:noProof/>
          <w:sz w:val="24"/>
          <w:szCs w:val="24"/>
        </w:rPr>
        <w:t>rakterze tymczasowym, długoterminowym lub cyrkulacyjnym, zgodnie</w:t>
      </w:r>
      <w:r w:rsidR="00A5335D" w:rsidRPr="00A5335D">
        <w:rPr>
          <w:rFonts w:ascii="Times New Roman" w:hAnsi="Times New Roman"/>
          <w:noProof/>
          <w:sz w:val="24"/>
          <w:szCs w:val="24"/>
        </w:rPr>
        <w:t xml:space="preserve"> z ust</w:t>
      </w:r>
      <w:r w:rsidRPr="00A5335D">
        <w:rPr>
          <w:rFonts w:ascii="Times New Roman" w:hAnsi="Times New Roman"/>
          <w:noProof/>
          <w:sz w:val="24"/>
          <w:szCs w:val="24"/>
        </w:rPr>
        <w:t>aleniami obu stron. Powinny one</w:t>
      </w:r>
      <w:r w:rsidR="00A5335D" w:rsidRPr="00A5335D">
        <w:rPr>
          <w:rFonts w:ascii="Times New Roman" w:hAnsi="Times New Roman"/>
          <w:noProof/>
          <w:sz w:val="24"/>
          <w:szCs w:val="24"/>
        </w:rPr>
        <w:t xml:space="preserve"> w szc</w:t>
      </w:r>
      <w:r w:rsidRPr="00A5335D">
        <w:rPr>
          <w:rFonts w:ascii="Times New Roman" w:hAnsi="Times New Roman"/>
          <w:noProof/>
          <w:sz w:val="24"/>
          <w:szCs w:val="24"/>
        </w:rPr>
        <w:t>zególności uwzględniać przejście na zieloną</w:t>
      </w:r>
      <w:r w:rsidR="00A5335D" w:rsidRPr="00A5335D">
        <w:rPr>
          <w:rFonts w:ascii="Times New Roman" w:hAnsi="Times New Roman"/>
          <w:noProof/>
          <w:sz w:val="24"/>
          <w:szCs w:val="24"/>
        </w:rPr>
        <w:t xml:space="preserve"> i cyf</w:t>
      </w:r>
      <w:r w:rsidRPr="00A5335D">
        <w:rPr>
          <w:rFonts w:ascii="Times New Roman" w:hAnsi="Times New Roman"/>
          <w:noProof/>
          <w:sz w:val="24"/>
          <w:szCs w:val="24"/>
        </w:rPr>
        <w:t>rową gospodarkę oraz wspierać rynki pracy</w:t>
      </w:r>
      <w:r w:rsidR="00A5335D" w:rsidRPr="00A5335D">
        <w:rPr>
          <w:rFonts w:ascii="Times New Roman" w:hAnsi="Times New Roman"/>
          <w:noProof/>
          <w:sz w:val="24"/>
          <w:szCs w:val="24"/>
        </w:rPr>
        <w:t xml:space="preserve"> w cel</w:t>
      </w:r>
      <w:r w:rsidRPr="00A5335D">
        <w:rPr>
          <w:rFonts w:ascii="Times New Roman" w:hAnsi="Times New Roman"/>
          <w:noProof/>
          <w:sz w:val="24"/>
          <w:szCs w:val="24"/>
        </w:rPr>
        <w:t>u zwiększenia potencjału wzrostu UE, promując przyszłościowe technologie</w:t>
      </w:r>
      <w:r w:rsidR="00A5335D" w:rsidRPr="00A5335D">
        <w:rPr>
          <w:rFonts w:ascii="Times New Roman" w:hAnsi="Times New Roman"/>
          <w:noProof/>
          <w:sz w:val="24"/>
          <w:szCs w:val="24"/>
        </w:rPr>
        <w:t xml:space="preserve"> i roz</w:t>
      </w:r>
      <w:r w:rsidRPr="00A5335D">
        <w:rPr>
          <w:rFonts w:ascii="Times New Roman" w:hAnsi="Times New Roman"/>
          <w:noProof/>
          <w:sz w:val="24"/>
          <w:szCs w:val="24"/>
        </w:rPr>
        <w:t>wiązania.</w:t>
      </w:r>
    </w:p>
    <w:p w14:paraId="27CEFCC0" w14:textId="28581D80" w:rsidR="00A60137" w:rsidRPr="00A5335D" w:rsidRDefault="00A60137" w:rsidP="00A60137">
      <w:pPr>
        <w:jc w:val="both"/>
        <w:rPr>
          <w:rFonts w:ascii="Times New Roman" w:hAnsi="Times New Roman" w:cs="Times New Roman"/>
          <w:noProof/>
          <w:sz w:val="24"/>
          <w:szCs w:val="24"/>
        </w:rPr>
      </w:pPr>
      <w:r w:rsidRPr="00A5335D">
        <w:rPr>
          <w:rFonts w:ascii="Times New Roman" w:hAnsi="Times New Roman"/>
          <w:noProof/>
          <w:sz w:val="24"/>
          <w:szCs w:val="24"/>
        </w:rPr>
        <w:t xml:space="preserve">Komisja będzie wspierać </w:t>
      </w:r>
      <w:r w:rsidRPr="00A5335D">
        <w:rPr>
          <w:rFonts w:ascii="Times New Roman" w:hAnsi="Times New Roman"/>
          <w:b/>
          <w:bCs/>
          <w:noProof/>
          <w:sz w:val="24"/>
          <w:szCs w:val="24"/>
        </w:rPr>
        <w:t>uczestnictwo wielu państw członkowskich</w:t>
      </w:r>
      <w:r w:rsidR="00A5335D" w:rsidRPr="00A5335D">
        <w:rPr>
          <w:rFonts w:ascii="Times New Roman" w:hAnsi="Times New Roman"/>
          <w:noProof/>
          <w:sz w:val="24"/>
          <w:szCs w:val="24"/>
        </w:rPr>
        <w:t xml:space="preserve"> w ram</w:t>
      </w:r>
      <w:r w:rsidRPr="00A5335D">
        <w:rPr>
          <w:rFonts w:ascii="Times New Roman" w:hAnsi="Times New Roman"/>
          <w:noProof/>
          <w:sz w:val="24"/>
          <w:szCs w:val="24"/>
        </w:rPr>
        <w:t>ach jednego partnerstwa</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w:t>
      </w:r>
      <w:r w:rsidR="00A5335D" w:rsidRPr="00A5335D">
        <w:rPr>
          <w:rFonts w:ascii="Times New Roman" w:hAnsi="Times New Roman"/>
          <w:noProof/>
          <w:sz w:val="24"/>
          <w:szCs w:val="24"/>
        </w:rPr>
        <w:t xml:space="preserve"> z dan</w:t>
      </w:r>
      <w:r w:rsidRPr="00A5335D">
        <w:rPr>
          <w:rFonts w:ascii="Times New Roman" w:hAnsi="Times New Roman"/>
          <w:noProof/>
          <w:sz w:val="24"/>
          <w:szCs w:val="24"/>
        </w:rPr>
        <w:t>ym krajem partnerskim. Umożliwi to poszerzenie zakresu działań, zapewni różne rodzaje mobilności dla różnych umiejętności</w:t>
      </w:r>
      <w:r w:rsidR="00A5335D" w:rsidRPr="00A5335D">
        <w:rPr>
          <w:rFonts w:ascii="Times New Roman" w:hAnsi="Times New Roman"/>
          <w:noProof/>
          <w:sz w:val="24"/>
          <w:szCs w:val="24"/>
        </w:rPr>
        <w:t xml:space="preserve"> i sek</w:t>
      </w:r>
      <w:r w:rsidRPr="00A5335D">
        <w:rPr>
          <w:rFonts w:ascii="Times New Roman" w:hAnsi="Times New Roman"/>
          <w:noProof/>
          <w:sz w:val="24"/>
          <w:szCs w:val="24"/>
        </w:rPr>
        <w:t>torów gospodarki, pozwoli wywrzeć silniejszy wpływ zarówno na państwa członkowskie, jak i na kraje partnerskie oraz zapewni wartość dodaną</w:t>
      </w:r>
      <w:r w:rsidR="00A5335D" w:rsidRPr="00A5335D">
        <w:rPr>
          <w:rFonts w:ascii="Times New Roman" w:hAnsi="Times New Roman"/>
          <w:noProof/>
          <w:sz w:val="24"/>
          <w:szCs w:val="24"/>
        </w:rPr>
        <w:t xml:space="preserve"> w ści</w:t>
      </w:r>
      <w:r w:rsidRPr="00A5335D">
        <w:rPr>
          <w:rFonts w:ascii="Times New Roman" w:hAnsi="Times New Roman"/>
          <w:noProof/>
          <w:sz w:val="24"/>
          <w:szCs w:val="24"/>
        </w:rPr>
        <w:t xml:space="preserve">eżkach kariery poszczególnych osób. </w:t>
      </w:r>
    </w:p>
    <w:p w14:paraId="27CEFCC1" w14:textId="16818626" w:rsidR="00A60137" w:rsidRPr="00A5335D" w:rsidRDefault="00A60137" w:rsidP="00A60137">
      <w:pPr>
        <w:jc w:val="both"/>
        <w:rPr>
          <w:rFonts w:ascii="Times New Roman" w:hAnsi="Times New Roman" w:cs="Times New Roman"/>
          <w:noProof/>
          <w:sz w:val="24"/>
          <w:szCs w:val="24"/>
        </w:rPr>
      </w:pPr>
      <w:r w:rsidRPr="00A5335D">
        <w:rPr>
          <w:rFonts w:ascii="Times New Roman" w:hAnsi="Times New Roman"/>
          <w:b/>
          <w:bCs/>
          <w:noProof/>
          <w:sz w:val="24"/>
          <w:szCs w:val="24"/>
        </w:rPr>
        <w:t>Poczucie współodpowiedzialności państw członkowskich</w:t>
      </w:r>
      <w:r w:rsidR="00A5335D" w:rsidRPr="00A5335D">
        <w:rPr>
          <w:rFonts w:ascii="Times New Roman" w:hAnsi="Times New Roman"/>
          <w:b/>
          <w:bCs/>
          <w:noProof/>
          <w:sz w:val="24"/>
          <w:szCs w:val="24"/>
        </w:rPr>
        <w:t xml:space="preserve"> i kra</w:t>
      </w:r>
      <w:r w:rsidRPr="00A5335D">
        <w:rPr>
          <w:rFonts w:ascii="Times New Roman" w:hAnsi="Times New Roman"/>
          <w:b/>
          <w:bCs/>
          <w:noProof/>
          <w:sz w:val="24"/>
          <w:szCs w:val="24"/>
        </w:rPr>
        <w:t>jów partnerskich</w:t>
      </w:r>
      <w:r w:rsidR="00A5335D" w:rsidRPr="00A5335D">
        <w:rPr>
          <w:rFonts w:ascii="Times New Roman" w:hAnsi="Times New Roman"/>
          <w:noProof/>
          <w:sz w:val="24"/>
          <w:szCs w:val="24"/>
        </w:rPr>
        <w:t xml:space="preserve"> w ram</w:t>
      </w:r>
      <w:r w:rsidRPr="00A5335D">
        <w:rPr>
          <w:rFonts w:ascii="Times New Roman" w:hAnsi="Times New Roman"/>
          <w:noProof/>
          <w:sz w:val="24"/>
          <w:szCs w:val="24"/>
        </w:rPr>
        <w:t>ach partnerstwa</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 xml:space="preserve">resie talentów ma kluczowe znaczenie dla zapewnienia </w:t>
      </w:r>
      <w:r w:rsidRPr="00A5335D">
        <w:rPr>
          <w:rFonts w:ascii="Times New Roman" w:hAnsi="Times New Roman"/>
          <w:b/>
          <w:bCs/>
          <w:noProof/>
          <w:sz w:val="24"/>
          <w:szCs w:val="24"/>
        </w:rPr>
        <w:t>skalowalności</w:t>
      </w:r>
      <w:r w:rsidRPr="00A5335D">
        <w:rPr>
          <w:rFonts w:ascii="Times New Roman" w:hAnsi="Times New Roman"/>
          <w:noProof/>
          <w:sz w:val="24"/>
          <w:szCs w:val="24"/>
        </w:rPr>
        <w:t xml:space="preserve"> oraz zbudowania obopólnie korzystnej</w:t>
      </w:r>
      <w:r w:rsidR="00A5335D" w:rsidRPr="00A5335D">
        <w:rPr>
          <w:rFonts w:ascii="Times New Roman" w:hAnsi="Times New Roman"/>
          <w:noProof/>
          <w:sz w:val="24"/>
          <w:szCs w:val="24"/>
        </w:rPr>
        <w:t xml:space="preserve"> i trw</w:t>
      </w:r>
      <w:r w:rsidRPr="00A5335D">
        <w:rPr>
          <w:rFonts w:ascii="Times New Roman" w:hAnsi="Times New Roman"/>
          <w:noProof/>
          <w:sz w:val="24"/>
          <w:szCs w:val="24"/>
        </w:rPr>
        <w:t>ałej współpracy.</w:t>
      </w:r>
      <w:r w:rsidR="000A12A6" w:rsidRPr="00A5335D">
        <w:rPr>
          <w:rFonts w:ascii="Times New Roman" w:hAnsi="Times New Roman"/>
          <w:noProof/>
          <w:sz w:val="24"/>
          <w:szCs w:val="24"/>
        </w:rPr>
        <w:t xml:space="preserve"> </w:t>
      </w:r>
      <w:r w:rsidRPr="00A5335D">
        <w:rPr>
          <w:rFonts w:ascii="Times New Roman" w:hAnsi="Times New Roman"/>
          <w:noProof/>
          <w:sz w:val="24"/>
          <w:szCs w:val="24"/>
        </w:rPr>
        <w:t>Partnerstwa</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 xml:space="preserve">resie talentów będą musiały </w:t>
      </w:r>
      <w:r w:rsidRPr="00A5335D">
        <w:rPr>
          <w:rFonts w:ascii="Times New Roman" w:hAnsi="Times New Roman"/>
          <w:b/>
          <w:bCs/>
          <w:noProof/>
          <w:sz w:val="24"/>
          <w:szCs w:val="24"/>
        </w:rPr>
        <w:t>zaspokoić rzeczywiste potrzeb rynku pracy</w:t>
      </w:r>
      <w:r w:rsidR="00A5335D" w:rsidRPr="00A5335D">
        <w:rPr>
          <w:rFonts w:ascii="Times New Roman" w:hAnsi="Times New Roman"/>
          <w:b/>
          <w:bCs/>
          <w:noProof/>
          <w:sz w:val="24"/>
          <w:szCs w:val="24"/>
        </w:rPr>
        <w:t xml:space="preserve"> i umi</w:t>
      </w:r>
      <w:r w:rsidRPr="00A5335D">
        <w:rPr>
          <w:rFonts w:ascii="Times New Roman" w:hAnsi="Times New Roman"/>
          <w:b/>
          <w:bCs/>
          <w:noProof/>
          <w:sz w:val="24"/>
          <w:szCs w:val="24"/>
        </w:rPr>
        <w:t>ejętności</w:t>
      </w:r>
      <w:r w:rsidR="000A12A6" w:rsidRPr="00A5335D">
        <w:rPr>
          <w:rFonts w:ascii="Times New Roman" w:hAnsi="Times New Roman"/>
          <w:b/>
          <w:bCs/>
          <w:noProof/>
          <w:sz w:val="24"/>
          <w:szCs w:val="24"/>
        </w:rPr>
        <w:t xml:space="preserve"> </w:t>
      </w:r>
      <w:r w:rsidRPr="00A5335D">
        <w:rPr>
          <w:rFonts w:ascii="Times New Roman" w:hAnsi="Times New Roman"/>
          <w:noProof/>
          <w:sz w:val="24"/>
          <w:szCs w:val="24"/>
        </w:rPr>
        <w:t>obu stron. Partnerstwa te powinny przynosić korzyści zainteresowanym stronom</w:t>
      </w:r>
      <w:r w:rsidR="00A5335D" w:rsidRPr="00A5335D">
        <w:rPr>
          <w:rFonts w:ascii="Times New Roman" w:hAnsi="Times New Roman"/>
          <w:noProof/>
          <w:sz w:val="24"/>
          <w:szCs w:val="24"/>
        </w:rPr>
        <w:t xml:space="preserve"> w sek</w:t>
      </w:r>
      <w:r w:rsidRPr="00A5335D">
        <w:rPr>
          <w:rFonts w:ascii="Times New Roman" w:hAnsi="Times New Roman"/>
          <w:noProof/>
          <w:sz w:val="24"/>
          <w:szCs w:val="24"/>
        </w:rPr>
        <w:t>torze</w:t>
      </w:r>
      <w:r w:rsidR="00A5335D" w:rsidRPr="00A5335D">
        <w:rPr>
          <w:rFonts w:ascii="Times New Roman" w:hAnsi="Times New Roman"/>
          <w:noProof/>
          <w:sz w:val="24"/>
          <w:szCs w:val="24"/>
        </w:rPr>
        <w:t xml:space="preserve"> i pub</w:t>
      </w:r>
      <w:r w:rsidRPr="00A5335D">
        <w:rPr>
          <w:rFonts w:ascii="Times New Roman" w:hAnsi="Times New Roman"/>
          <w:noProof/>
          <w:sz w:val="24"/>
          <w:szCs w:val="24"/>
        </w:rPr>
        <w:t>licznym</w:t>
      </w:r>
      <w:r w:rsidR="00A5335D" w:rsidRPr="00A5335D">
        <w:rPr>
          <w:rFonts w:ascii="Times New Roman" w:hAnsi="Times New Roman"/>
          <w:noProof/>
          <w:sz w:val="24"/>
          <w:szCs w:val="24"/>
        </w:rPr>
        <w:t xml:space="preserve"> i pry</w:t>
      </w:r>
      <w:r w:rsidRPr="00A5335D">
        <w:rPr>
          <w:rFonts w:ascii="Times New Roman" w:hAnsi="Times New Roman"/>
          <w:noProof/>
          <w:sz w:val="24"/>
          <w:szCs w:val="24"/>
        </w:rPr>
        <w:t>watnym, takim jak pracodawcy, instytucje szkoleniowe</w:t>
      </w:r>
      <w:r w:rsidR="00A5335D" w:rsidRPr="00A5335D">
        <w:rPr>
          <w:rFonts w:ascii="Times New Roman" w:hAnsi="Times New Roman"/>
          <w:noProof/>
          <w:sz w:val="24"/>
          <w:szCs w:val="24"/>
        </w:rPr>
        <w:t xml:space="preserve"> i org</w:t>
      </w:r>
      <w:r w:rsidRPr="00A5335D">
        <w:rPr>
          <w:rFonts w:ascii="Times New Roman" w:hAnsi="Times New Roman"/>
          <w:noProof/>
          <w:sz w:val="24"/>
          <w:szCs w:val="24"/>
        </w:rPr>
        <w:t>anizacje diaspory</w:t>
      </w:r>
      <w:r w:rsidR="00A5335D" w:rsidRPr="00A5335D">
        <w:rPr>
          <w:rFonts w:ascii="Times New Roman" w:hAnsi="Times New Roman"/>
          <w:noProof/>
          <w:sz w:val="24"/>
          <w:szCs w:val="24"/>
        </w:rPr>
        <w:t>. W duc</w:t>
      </w:r>
      <w:r w:rsidRPr="00A5335D">
        <w:rPr>
          <w:rFonts w:ascii="Times New Roman" w:hAnsi="Times New Roman"/>
          <w:noProof/>
          <w:sz w:val="24"/>
          <w:szCs w:val="24"/>
        </w:rPr>
        <w:t xml:space="preserve">hu </w:t>
      </w:r>
      <w:r w:rsidRPr="00A5335D">
        <w:rPr>
          <w:rFonts w:ascii="Times New Roman" w:hAnsi="Times New Roman"/>
          <w:b/>
          <w:bCs/>
          <w:noProof/>
          <w:sz w:val="24"/>
          <w:szCs w:val="24"/>
        </w:rPr>
        <w:t>podejścia opartego na inicjatywach Drużyny Europy</w:t>
      </w:r>
      <w:r w:rsidRPr="00A5335D">
        <w:rPr>
          <w:rStyle w:val="FootnoteReference"/>
          <w:rFonts w:ascii="Times New Roman" w:hAnsi="Times New Roman" w:cs="Times New Roman"/>
          <w:b/>
          <w:bCs/>
          <w:noProof/>
          <w:sz w:val="24"/>
          <w:szCs w:val="24"/>
        </w:rPr>
        <w:footnoteReference w:id="51"/>
      </w:r>
      <w:r w:rsidRPr="00A5335D">
        <w:rPr>
          <w:rFonts w:ascii="Times New Roman" w:hAnsi="Times New Roman"/>
          <w:noProof/>
          <w:sz w:val="24"/>
          <w:szCs w:val="24"/>
        </w:rPr>
        <w:t xml:space="preserve"> partnerstwa</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 powinny mobilizować zarówno instrumenty finansowania UE</w:t>
      </w:r>
      <w:r w:rsidR="00A5335D" w:rsidRPr="00A5335D">
        <w:rPr>
          <w:rFonts w:ascii="Times New Roman" w:hAnsi="Times New Roman"/>
          <w:noProof/>
          <w:sz w:val="24"/>
          <w:szCs w:val="24"/>
        </w:rPr>
        <w:t xml:space="preserve"> i pań</w:t>
      </w:r>
      <w:r w:rsidRPr="00A5335D">
        <w:rPr>
          <w:rFonts w:ascii="Times New Roman" w:hAnsi="Times New Roman"/>
          <w:noProof/>
          <w:sz w:val="24"/>
          <w:szCs w:val="24"/>
        </w:rPr>
        <w:t>stw członkowskich</w:t>
      </w:r>
      <w:r w:rsidR="003849B8" w:rsidRPr="00A5335D">
        <w:rPr>
          <w:rStyle w:val="FootnoteReference"/>
          <w:noProof/>
        </w:rPr>
        <w:footnoteReference w:id="52"/>
      </w:r>
      <w:r w:rsidRPr="00A5335D">
        <w:rPr>
          <w:rFonts w:ascii="Times New Roman" w:hAnsi="Times New Roman"/>
          <w:noProof/>
          <w:sz w:val="24"/>
          <w:szCs w:val="24"/>
        </w:rPr>
        <w:t>, jak</w:t>
      </w:r>
      <w:r w:rsidR="00A5335D" w:rsidRPr="00A5335D">
        <w:rPr>
          <w:rFonts w:ascii="Times New Roman" w:hAnsi="Times New Roman"/>
          <w:noProof/>
          <w:sz w:val="24"/>
          <w:szCs w:val="24"/>
        </w:rPr>
        <w:t xml:space="preserve"> i fun</w:t>
      </w:r>
      <w:r w:rsidRPr="00A5335D">
        <w:rPr>
          <w:rFonts w:ascii="Times New Roman" w:hAnsi="Times New Roman"/>
          <w:noProof/>
          <w:sz w:val="24"/>
          <w:szCs w:val="24"/>
        </w:rPr>
        <w:t>dusze sektora prywatnego oraz krajów partnerskich, stosownie do potrzeb</w:t>
      </w:r>
      <w:r w:rsidRPr="00A5335D">
        <w:rPr>
          <w:noProof/>
        </w:rPr>
        <w:t xml:space="preserve">. </w:t>
      </w:r>
      <w:r w:rsidRPr="00A5335D">
        <w:rPr>
          <w:rFonts w:ascii="Times New Roman" w:hAnsi="Times New Roman"/>
          <w:noProof/>
          <w:sz w:val="24"/>
          <w:szCs w:val="24"/>
        </w:rPr>
        <w:t>Powinno temu towarzyszyć silne zaangażowanie wielu zainteresowanych stron</w:t>
      </w:r>
      <w:r w:rsidR="00A5335D" w:rsidRPr="00A5335D">
        <w:rPr>
          <w:rFonts w:ascii="Times New Roman" w:hAnsi="Times New Roman"/>
          <w:noProof/>
          <w:sz w:val="24"/>
          <w:szCs w:val="24"/>
        </w:rPr>
        <w:t xml:space="preserve"> w opr</w:t>
      </w:r>
      <w:r w:rsidRPr="00A5335D">
        <w:rPr>
          <w:rFonts w:ascii="Times New Roman" w:hAnsi="Times New Roman"/>
          <w:noProof/>
          <w:sz w:val="24"/>
          <w:szCs w:val="24"/>
        </w:rPr>
        <w:t>acowywanie</w:t>
      </w:r>
      <w:r w:rsidR="00A5335D" w:rsidRPr="00A5335D">
        <w:rPr>
          <w:rFonts w:ascii="Times New Roman" w:hAnsi="Times New Roman"/>
          <w:noProof/>
          <w:sz w:val="24"/>
          <w:szCs w:val="24"/>
        </w:rPr>
        <w:t xml:space="preserve"> i rea</w:t>
      </w:r>
      <w:r w:rsidRPr="00A5335D">
        <w:rPr>
          <w:rFonts w:ascii="Times New Roman" w:hAnsi="Times New Roman"/>
          <w:noProof/>
          <w:sz w:val="24"/>
          <w:szCs w:val="24"/>
        </w:rPr>
        <w:t xml:space="preserve">lizację tych partnerstw. </w:t>
      </w:r>
    </w:p>
    <w:p w14:paraId="27CEFCC2" w14:textId="3A35FFEF" w:rsidR="00A60137" w:rsidRPr="00A5335D" w:rsidRDefault="00A60137" w:rsidP="00A60137">
      <w:pPr>
        <w:jc w:val="both"/>
        <w:rPr>
          <w:rFonts w:ascii="Times New Roman" w:hAnsi="Times New Roman" w:cs="Times New Roman"/>
          <w:b/>
          <w:bCs/>
          <w:i/>
          <w:iCs/>
          <w:noProof/>
          <w:sz w:val="24"/>
          <w:szCs w:val="24"/>
        </w:rPr>
      </w:pPr>
      <w:r w:rsidRPr="00A5335D">
        <w:rPr>
          <w:rFonts w:ascii="Times New Roman" w:hAnsi="Times New Roman"/>
          <w:b/>
          <w:bCs/>
          <w:i/>
          <w:iCs/>
          <w:noProof/>
          <w:sz w:val="24"/>
          <w:szCs w:val="24"/>
        </w:rPr>
        <w:t>Uruchomienie partnerstw</w:t>
      </w:r>
      <w:r w:rsidR="00A5335D" w:rsidRPr="00A5335D">
        <w:rPr>
          <w:rFonts w:ascii="Times New Roman" w:hAnsi="Times New Roman"/>
          <w:b/>
          <w:bCs/>
          <w:i/>
          <w:iCs/>
          <w:noProof/>
          <w:sz w:val="24"/>
          <w:szCs w:val="24"/>
        </w:rPr>
        <w:t xml:space="preserve"> w zak</w:t>
      </w:r>
      <w:r w:rsidRPr="00A5335D">
        <w:rPr>
          <w:rFonts w:ascii="Times New Roman" w:hAnsi="Times New Roman"/>
          <w:b/>
          <w:bCs/>
          <w:i/>
          <w:iCs/>
          <w:noProof/>
          <w:sz w:val="24"/>
          <w:szCs w:val="24"/>
        </w:rPr>
        <w:t xml:space="preserve">resie talentów </w:t>
      </w:r>
    </w:p>
    <w:p w14:paraId="27CEFCC3" w14:textId="43BDA320" w:rsidR="00A60137" w:rsidRPr="00A5335D" w:rsidRDefault="00A60137" w:rsidP="00786D7B">
      <w:pPr>
        <w:jc w:val="both"/>
        <w:rPr>
          <w:rFonts w:ascii="Times New Roman" w:eastAsia="Calibri" w:hAnsi="Times New Roman" w:cs="Times New Roman"/>
          <w:noProof/>
          <w:sz w:val="24"/>
          <w:szCs w:val="24"/>
        </w:rPr>
      </w:pPr>
      <w:r w:rsidRPr="00A5335D">
        <w:rPr>
          <w:rFonts w:ascii="Times New Roman" w:hAnsi="Times New Roman"/>
          <w:noProof/>
          <w:sz w:val="24"/>
          <w:szCs w:val="24"/>
        </w:rPr>
        <w:t>Inicjatywa dotycząca partnerstw</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 została zainaugurowana na spotkaniu wysokiego szczebla</w:t>
      </w:r>
      <w:r w:rsidR="00A5335D" w:rsidRPr="00A5335D">
        <w:rPr>
          <w:rFonts w:ascii="Times New Roman" w:hAnsi="Times New Roman"/>
          <w:noProof/>
          <w:sz w:val="24"/>
          <w:szCs w:val="24"/>
        </w:rPr>
        <w:t xml:space="preserve"> w cze</w:t>
      </w:r>
      <w:r w:rsidRPr="00A5335D">
        <w:rPr>
          <w:rFonts w:ascii="Times New Roman" w:hAnsi="Times New Roman"/>
          <w:noProof/>
          <w:sz w:val="24"/>
          <w:szCs w:val="24"/>
        </w:rPr>
        <w:t>rwcu 2021</w:t>
      </w:r>
      <w:r w:rsidR="00A5335D" w:rsidRPr="00A5335D">
        <w:rPr>
          <w:rFonts w:ascii="Times New Roman" w:hAnsi="Times New Roman"/>
          <w:noProof/>
          <w:sz w:val="24"/>
          <w:szCs w:val="24"/>
        </w:rPr>
        <w:t> </w:t>
      </w:r>
      <w:r w:rsidRPr="00A5335D">
        <w:rPr>
          <w:rFonts w:ascii="Times New Roman" w:hAnsi="Times New Roman"/>
          <w:noProof/>
          <w:sz w:val="24"/>
          <w:szCs w:val="24"/>
        </w:rPr>
        <w:t>r.</w:t>
      </w:r>
      <w:r w:rsidRPr="00A5335D">
        <w:rPr>
          <w:rStyle w:val="FootnoteReference"/>
          <w:rFonts w:ascii="Times New Roman" w:eastAsia="Calibri" w:hAnsi="Times New Roman" w:cs="Times New Roman"/>
          <w:noProof/>
          <w:sz w:val="24"/>
          <w:szCs w:val="24"/>
        </w:rPr>
        <w:footnoteReference w:id="53"/>
      </w:r>
      <w:r w:rsidRPr="00A5335D">
        <w:rPr>
          <w:rFonts w:ascii="Times New Roman" w:hAnsi="Times New Roman"/>
          <w:noProof/>
          <w:sz w:val="24"/>
          <w:szCs w:val="24"/>
        </w:rPr>
        <w:t xml:space="preserve"> Od tego czasu Komisja uczestniczyła</w:t>
      </w:r>
      <w:r w:rsidR="00A5335D" w:rsidRPr="00A5335D">
        <w:rPr>
          <w:rFonts w:ascii="Times New Roman" w:hAnsi="Times New Roman"/>
          <w:noProof/>
          <w:sz w:val="24"/>
          <w:szCs w:val="24"/>
        </w:rPr>
        <w:t xml:space="preserve"> w wym</w:t>
      </w:r>
      <w:r w:rsidRPr="00A5335D">
        <w:rPr>
          <w:rFonts w:ascii="Times New Roman" w:hAnsi="Times New Roman"/>
          <w:noProof/>
          <w:sz w:val="24"/>
          <w:szCs w:val="24"/>
        </w:rPr>
        <w:t>ianie poglądów</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stwami członkowskimi na temat koncepcji</w:t>
      </w:r>
      <w:r w:rsidR="00A5335D" w:rsidRPr="00A5335D">
        <w:rPr>
          <w:rFonts w:ascii="Times New Roman" w:hAnsi="Times New Roman"/>
          <w:noProof/>
          <w:sz w:val="24"/>
          <w:szCs w:val="24"/>
        </w:rPr>
        <w:t xml:space="preserve"> i uru</w:t>
      </w:r>
      <w:r w:rsidRPr="00A5335D">
        <w:rPr>
          <w:rFonts w:ascii="Times New Roman" w:hAnsi="Times New Roman"/>
          <w:noProof/>
          <w:sz w:val="24"/>
          <w:szCs w:val="24"/>
        </w:rPr>
        <w:t>chamiania partnerstw, prowadziła dialogi na wysokim szczeblu</w:t>
      </w:r>
      <w:r w:rsidR="00A5335D" w:rsidRPr="00A5335D">
        <w:rPr>
          <w:rFonts w:ascii="Times New Roman" w:hAnsi="Times New Roman"/>
          <w:noProof/>
          <w:sz w:val="24"/>
          <w:szCs w:val="24"/>
        </w:rPr>
        <w:t xml:space="preserve"> z kra</w:t>
      </w:r>
      <w:r w:rsidRPr="00A5335D">
        <w:rPr>
          <w:rFonts w:ascii="Times New Roman" w:hAnsi="Times New Roman"/>
          <w:noProof/>
          <w:sz w:val="24"/>
          <w:szCs w:val="24"/>
        </w:rPr>
        <w:t>jami partnerskimi oraz uwzględniła partnerstwa</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 xml:space="preserve">resie talentów, planując wieloletnie ramy finansowe na lata 2021–2027. </w:t>
      </w:r>
    </w:p>
    <w:p w14:paraId="27CEFCC4" w14:textId="79C034EE" w:rsidR="00786D7B" w:rsidRPr="00A5335D" w:rsidRDefault="00A60137" w:rsidP="00BF3B16">
      <w:pPr>
        <w:jc w:val="both"/>
        <w:rPr>
          <w:rFonts w:ascii="Times New Roman" w:hAnsi="Times New Roman" w:cs="Times New Roman"/>
          <w:noProof/>
          <w:sz w:val="24"/>
          <w:szCs w:val="24"/>
        </w:rPr>
      </w:pPr>
      <w:r w:rsidRPr="00A5335D">
        <w:rPr>
          <w:rFonts w:ascii="Times New Roman" w:hAnsi="Times New Roman"/>
          <w:noProof/>
          <w:sz w:val="24"/>
          <w:szCs w:val="24"/>
        </w:rPr>
        <w:t>Partnerstwa</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 będą opierać się na doświadczeniach zgromadzonych</w:t>
      </w:r>
      <w:r w:rsidR="00A5335D" w:rsidRPr="00A5335D">
        <w:rPr>
          <w:rFonts w:ascii="Times New Roman" w:hAnsi="Times New Roman"/>
          <w:noProof/>
          <w:sz w:val="24"/>
          <w:szCs w:val="24"/>
        </w:rPr>
        <w:t xml:space="preserve"> w tra</w:t>
      </w:r>
      <w:r w:rsidRPr="00A5335D">
        <w:rPr>
          <w:rFonts w:ascii="Times New Roman" w:hAnsi="Times New Roman"/>
          <w:noProof/>
          <w:sz w:val="24"/>
          <w:szCs w:val="24"/>
        </w:rPr>
        <w:t>kcie realizowanych już projektów pilotażowych. Jednocześnie partnerstwa zapewnią nową, bardziej strategiczną</w:t>
      </w:r>
      <w:r w:rsidR="00A5335D" w:rsidRPr="00A5335D">
        <w:rPr>
          <w:rFonts w:ascii="Times New Roman" w:hAnsi="Times New Roman"/>
          <w:noProof/>
          <w:sz w:val="24"/>
          <w:szCs w:val="24"/>
        </w:rPr>
        <w:t xml:space="preserve"> i zin</w:t>
      </w:r>
      <w:r w:rsidRPr="00A5335D">
        <w:rPr>
          <w:rFonts w:ascii="Times New Roman" w:hAnsi="Times New Roman"/>
          <w:noProof/>
          <w:sz w:val="24"/>
          <w:szCs w:val="24"/>
        </w:rPr>
        <w:t>tensyfikowaną współpracę</w:t>
      </w:r>
      <w:r w:rsidR="00A5335D" w:rsidRPr="00A5335D">
        <w:rPr>
          <w:rFonts w:ascii="Times New Roman" w:hAnsi="Times New Roman"/>
          <w:noProof/>
          <w:sz w:val="24"/>
          <w:szCs w:val="24"/>
        </w:rPr>
        <w:t xml:space="preserve"> z kra</w:t>
      </w:r>
      <w:r w:rsidRPr="00A5335D">
        <w:rPr>
          <w:rFonts w:ascii="Times New Roman" w:hAnsi="Times New Roman"/>
          <w:noProof/>
          <w:sz w:val="24"/>
          <w:szCs w:val="24"/>
        </w:rPr>
        <w:t>jami partnerskimi</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legalnej migracji. Ustrukturyzowane ramy partnerstw</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 wraz</w:t>
      </w:r>
      <w:r w:rsidR="00A5335D" w:rsidRPr="00A5335D">
        <w:rPr>
          <w:rFonts w:ascii="Times New Roman" w:hAnsi="Times New Roman"/>
          <w:noProof/>
          <w:sz w:val="24"/>
          <w:szCs w:val="24"/>
        </w:rPr>
        <w:t xml:space="preserve"> z sol</w:t>
      </w:r>
      <w:r w:rsidRPr="00A5335D">
        <w:rPr>
          <w:rFonts w:ascii="Times New Roman" w:hAnsi="Times New Roman"/>
          <w:noProof/>
          <w:sz w:val="24"/>
          <w:szCs w:val="24"/>
        </w:rPr>
        <w:t>idnymi mechanizmami koordynacji, pozwolą uwzględnić cele polityczne UE, państw członkowskich</w:t>
      </w:r>
      <w:r w:rsidR="00A5335D" w:rsidRPr="00A5335D">
        <w:rPr>
          <w:rFonts w:ascii="Times New Roman" w:hAnsi="Times New Roman"/>
          <w:noProof/>
          <w:sz w:val="24"/>
          <w:szCs w:val="24"/>
        </w:rPr>
        <w:t xml:space="preserve"> i kra</w:t>
      </w:r>
      <w:r w:rsidRPr="00A5335D">
        <w:rPr>
          <w:rFonts w:ascii="Times New Roman" w:hAnsi="Times New Roman"/>
          <w:noProof/>
          <w:sz w:val="24"/>
          <w:szCs w:val="24"/>
        </w:rPr>
        <w:t>jów partnerskich oraz przełożyć te cele na konkretne działania</w:t>
      </w:r>
      <w:r w:rsidR="00A5335D" w:rsidRPr="00A5335D">
        <w:rPr>
          <w:rFonts w:ascii="Times New Roman" w:hAnsi="Times New Roman"/>
          <w:noProof/>
          <w:sz w:val="24"/>
          <w:szCs w:val="24"/>
        </w:rPr>
        <w:t xml:space="preserve"> w pos</w:t>
      </w:r>
      <w:r w:rsidRPr="00A5335D">
        <w:rPr>
          <w:rFonts w:ascii="Times New Roman" w:hAnsi="Times New Roman"/>
          <w:noProof/>
          <w:sz w:val="24"/>
          <w:szCs w:val="24"/>
        </w:rPr>
        <w:t xml:space="preserve">taci konkretnych programów. </w:t>
      </w:r>
    </w:p>
    <w:p w14:paraId="27CEFCC5" w14:textId="1A478152" w:rsidR="00786D7B" w:rsidRPr="00A5335D" w:rsidRDefault="00786D7B" w:rsidP="00BF3B16">
      <w:pPr>
        <w:jc w:val="both"/>
        <w:rPr>
          <w:rFonts w:ascii="Times New Roman" w:hAnsi="Times New Roman"/>
          <w:noProof/>
          <w:sz w:val="24"/>
          <w:szCs w:val="24"/>
        </w:rPr>
      </w:pPr>
      <w:r w:rsidRPr="00A5335D">
        <w:rPr>
          <w:rFonts w:ascii="Times New Roman" w:hAnsi="Times New Roman"/>
          <w:noProof/>
          <w:sz w:val="24"/>
          <w:szCs w:val="24"/>
        </w:rPr>
        <w:t>Wraz</w:t>
      </w:r>
      <w:r w:rsidR="00A5335D" w:rsidRPr="00A5335D">
        <w:rPr>
          <w:rFonts w:ascii="Times New Roman" w:hAnsi="Times New Roman"/>
          <w:noProof/>
          <w:sz w:val="24"/>
          <w:szCs w:val="24"/>
        </w:rPr>
        <w:t xml:space="preserve"> z odp</w:t>
      </w:r>
      <w:r w:rsidRPr="00A5335D">
        <w:rPr>
          <w:rFonts w:ascii="Times New Roman" w:hAnsi="Times New Roman"/>
          <w:noProof/>
          <w:sz w:val="24"/>
          <w:szCs w:val="24"/>
        </w:rPr>
        <w:t>owiednimi partnerami partnerstwa</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 Komisja dopilnuje, by utworzono odpowiedni mechanizm koordynacji na poziomie technicznym – zarówno</w:t>
      </w:r>
      <w:r w:rsidR="00A5335D" w:rsidRPr="00A5335D">
        <w:rPr>
          <w:rFonts w:ascii="Times New Roman" w:hAnsi="Times New Roman"/>
          <w:noProof/>
          <w:sz w:val="24"/>
          <w:szCs w:val="24"/>
        </w:rPr>
        <w:t xml:space="preserve"> w cel</w:t>
      </w:r>
      <w:r w:rsidRPr="00A5335D">
        <w:rPr>
          <w:rFonts w:ascii="Times New Roman" w:hAnsi="Times New Roman"/>
          <w:noProof/>
          <w:sz w:val="24"/>
          <w:szCs w:val="24"/>
        </w:rPr>
        <w:t>u koordynacji działań państw członkowskich</w:t>
      </w:r>
      <w:r w:rsidR="00A5335D" w:rsidRPr="00A5335D">
        <w:rPr>
          <w:rFonts w:ascii="Times New Roman" w:hAnsi="Times New Roman"/>
          <w:noProof/>
          <w:sz w:val="24"/>
          <w:szCs w:val="24"/>
        </w:rPr>
        <w:t xml:space="preserve"> i zai</w:t>
      </w:r>
      <w:r w:rsidRPr="00A5335D">
        <w:rPr>
          <w:rFonts w:ascii="Times New Roman" w:hAnsi="Times New Roman"/>
          <w:noProof/>
          <w:sz w:val="24"/>
          <w:szCs w:val="24"/>
        </w:rPr>
        <w:t>nteresowanych stron ze strony UE, jak</w:t>
      </w:r>
      <w:r w:rsidR="00A5335D" w:rsidRPr="00A5335D">
        <w:rPr>
          <w:rFonts w:ascii="Times New Roman" w:hAnsi="Times New Roman"/>
          <w:noProof/>
          <w:sz w:val="24"/>
          <w:szCs w:val="24"/>
        </w:rPr>
        <w:t xml:space="preserve"> i dzi</w:t>
      </w:r>
      <w:r w:rsidRPr="00A5335D">
        <w:rPr>
          <w:rFonts w:ascii="Times New Roman" w:hAnsi="Times New Roman"/>
          <w:noProof/>
          <w:sz w:val="24"/>
          <w:szCs w:val="24"/>
        </w:rPr>
        <w:t>ałań podejmowanych</w:t>
      </w:r>
      <w:r w:rsidR="00A5335D" w:rsidRPr="00A5335D">
        <w:rPr>
          <w:rFonts w:ascii="Times New Roman" w:hAnsi="Times New Roman"/>
          <w:noProof/>
          <w:sz w:val="24"/>
          <w:szCs w:val="24"/>
        </w:rPr>
        <w:t xml:space="preserve"> z kra</w:t>
      </w:r>
      <w:r w:rsidRPr="00A5335D">
        <w:rPr>
          <w:rFonts w:ascii="Times New Roman" w:hAnsi="Times New Roman"/>
          <w:noProof/>
          <w:sz w:val="24"/>
          <w:szCs w:val="24"/>
        </w:rPr>
        <w:t>jami partnerskimi ogółem. Mechanizm ten umożliwi monitorowanie wdrażania partnerstwa</w:t>
      </w:r>
      <w:r w:rsidR="00A5335D" w:rsidRPr="00A5335D">
        <w:rPr>
          <w:rFonts w:ascii="Times New Roman" w:hAnsi="Times New Roman"/>
          <w:noProof/>
          <w:sz w:val="24"/>
          <w:szCs w:val="24"/>
        </w:rPr>
        <w:t xml:space="preserve"> i rea</w:t>
      </w:r>
      <w:r w:rsidRPr="00A5335D">
        <w:rPr>
          <w:rFonts w:ascii="Times New Roman" w:hAnsi="Times New Roman"/>
          <w:noProof/>
          <w:sz w:val="24"/>
          <w:szCs w:val="24"/>
        </w:rPr>
        <w:t>lizacji poszczególnych działań oraz zapewni komplementarność ze wszystkimi innymi odpowiednimi inicjatywami</w:t>
      </w:r>
      <w:r w:rsidR="00A5335D" w:rsidRPr="00A5335D">
        <w:rPr>
          <w:rFonts w:ascii="Times New Roman" w:hAnsi="Times New Roman"/>
          <w:noProof/>
          <w:sz w:val="24"/>
          <w:szCs w:val="24"/>
        </w:rPr>
        <w:t xml:space="preserve"> w dzi</w:t>
      </w:r>
      <w:r w:rsidRPr="00A5335D">
        <w:rPr>
          <w:rFonts w:ascii="Times New Roman" w:hAnsi="Times New Roman"/>
          <w:noProof/>
          <w:sz w:val="24"/>
          <w:szCs w:val="24"/>
        </w:rPr>
        <w:t>edzinie migracji</w:t>
      </w:r>
      <w:r w:rsidR="00A5335D" w:rsidRPr="00A5335D">
        <w:rPr>
          <w:rFonts w:ascii="Times New Roman" w:hAnsi="Times New Roman"/>
          <w:noProof/>
          <w:sz w:val="24"/>
          <w:szCs w:val="24"/>
        </w:rPr>
        <w:t xml:space="preserve"> i roz</w:t>
      </w:r>
      <w:r w:rsidRPr="00A5335D">
        <w:rPr>
          <w:rFonts w:ascii="Times New Roman" w:hAnsi="Times New Roman"/>
          <w:noProof/>
          <w:sz w:val="24"/>
          <w:szCs w:val="24"/>
        </w:rPr>
        <w:t>woju rynku pracy.</w:t>
      </w:r>
    </w:p>
    <w:p w14:paraId="16A750A8" w14:textId="5FD9CC37" w:rsidR="00FE3785" w:rsidRPr="00A5335D" w:rsidRDefault="00834B91" w:rsidP="00BF3B16">
      <w:pPr>
        <w:jc w:val="both"/>
        <w:rPr>
          <w:rFonts w:ascii="Times New Roman" w:hAnsi="Times New Roman" w:cs="Times New Roman"/>
          <w:noProof/>
          <w:sz w:val="24"/>
          <w:szCs w:val="24"/>
        </w:rPr>
      </w:pPr>
      <w:r w:rsidRPr="00A5335D">
        <w:rPr>
          <w:noProof/>
          <w:lang w:val="en-GB" w:eastAsia="en-GB"/>
        </w:rPr>
        <w:drawing>
          <wp:inline distT="0" distB="0" distL="0" distR="0" wp14:anchorId="65B09D80" wp14:editId="3DBC2E1A">
            <wp:extent cx="6009005" cy="842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14587" cy="8427922"/>
                    </a:xfrm>
                    <a:prstGeom prst="rect">
                      <a:avLst/>
                    </a:prstGeom>
                    <a:noFill/>
                    <a:ln>
                      <a:noFill/>
                    </a:ln>
                  </pic:spPr>
                </pic:pic>
              </a:graphicData>
            </a:graphic>
          </wp:inline>
        </w:drawing>
      </w:r>
    </w:p>
    <w:p w14:paraId="27CEFCC7" w14:textId="03805849" w:rsidR="00A60137" w:rsidRPr="00A5335D" w:rsidRDefault="00A60137" w:rsidP="00A60137">
      <w:pPr>
        <w:spacing w:before="240"/>
        <w:jc w:val="both"/>
        <w:rPr>
          <w:rFonts w:ascii="Times New Roman" w:hAnsi="Times New Roman" w:cs="Times New Roman"/>
          <w:noProof/>
          <w:sz w:val="24"/>
          <w:szCs w:val="24"/>
          <w:highlight w:val="yellow"/>
        </w:rPr>
      </w:pPr>
      <w:r w:rsidRPr="00A5335D">
        <w:rPr>
          <w:rFonts w:ascii="Times New Roman" w:hAnsi="Times New Roman"/>
          <w:noProof/>
          <w:sz w:val="24"/>
          <w:szCs w:val="24"/>
        </w:rPr>
        <w:t>W pierwszej kolejności, po dyskusjach na wysokim szczeblu oraz opierając się na silnej</w:t>
      </w:r>
      <w:r w:rsidR="00A5335D" w:rsidRPr="00A5335D">
        <w:rPr>
          <w:rFonts w:ascii="Times New Roman" w:hAnsi="Times New Roman"/>
          <w:noProof/>
          <w:sz w:val="24"/>
          <w:szCs w:val="24"/>
        </w:rPr>
        <w:t xml:space="preserve"> i cią</w:t>
      </w:r>
      <w:r w:rsidRPr="00A5335D">
        <w:rPr>
          <w:rFonts w:ascii="Times New Roman" w:hAnsi="Times New Roman"/>
          <w:noProof/>
          <w:sz w:val="24"/>
          <w:szCs w:val="24"/>
        </w:rPr>
        <w:t>głej współpracy we wszystkich aspektach zarządzania migracjami</w:t>
      </w:r>
      <w:r w:rsidR="00A5335D" w:rsidRPr="00A5335D">
        <w:rPr>
          <w:rFonts w:ascii="Times New Roman" w:hAnsi="Times New Roman"/>
          <w:noProof/>
          <w:sz w:val="24"/>
          <w:szCs w:val="24"/>
        </w:rPr>
        <w:t xml:space="preserve"> w ram</w:t>
      </w:r>
      <w:r w:rsidRPr="00A5335D">
        <w:rPr>
          <w:rFonts w:ascii="Times New Roman" w:hAnsi="Times New Roman"/>
          <w:noProof/>
          <w:sz w:val="24"/>
          <w:szCs w:val="24"/>
        </w:rPr>
        <w:t>ach kompleksowego podejścia nowego paktu</w:t>
      </w:r>
      <w:r w:rsidR="00A5335D" w:rsidRPr="00A5335D">
        <w:rPr>
          <w:rFonts w:ascii="Times New Roman" w:hAnsi="Times New Roman"/>
          <w:noProof/>
          <w:sz w:val="24"/>
          <w:szCs w:val="24"/>
        </w:rPr>
        <w:t xml:space="preserve"> o mig</w:t>
      </w:r>
      <w:r w:rsidRPr="00A5335D">
        <w:rPr>
          <w:rFonts w:ascii="Times New Roman" w:hAnsi="Times New Roman"/>
          <w:noProof/>
          <w:sz w:val="24"/>
          <w:szCs w:val="24"/>
        </w:rPr>
        <w:t>racji</w:t>
      </w:r>
      <w:r w:rsidR="00A5335D" w:rsidRPr="00A5335D">
        <w:rPr>
          <w:rFonts w:ascii="Times New Roman" w:hAnsi="Times New Roman"/>
          <w:noProof/>
          <w:sz w:val="24"/>
          <w:szCs w:val="24"/>
        </w:rPr>
        <w:t xml:space="preserve"> i azy</w:t>
      </w:r>
      <w:r w:rsidRPr="00A5335D">
        <w:rPr>
          <w:rFonts w:ascii="Times New Roman" w:hAnsi="Times New Roman"/>
          <w:noProof/>
          <w:sz w:val="24"/>
          <w:szCs w:val="24"/>
        </w:rPr>
        <w:t>lu,</w:t>
      </w:r>
      <w:r w:rsidR="00A5335D" w:rsidRPr="00A5335D">
        <w:rPr>
          <w:rFonts w:ascii="Times New Roman" w:hAnsi="Times New Roman"/>
          <w:noProof/>
          <w:sz w:val="24"/>
          <w:szCs w:val="24"/>
        </w:rPr>
        <w:t xml:space="preserve"> w tym w kwe</w:t>
      </w:r>
      <w:r w:rsidRPr="00A5335D">
        <w:rPr>
          <w:rFonts w:ascii="Times New Roman" w:hAnsi="Times New Roman"/>
          <w:noProof/>
          <w:sz w:val="24"/>
          <w:szCs w:val="24"/>
        </w:rPr>
        <w:t>stii migracji nieuregulowanej, Komisja ma zamiar uruchomić pierwsze partnerstwa</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w:t>
      </w:r>
      <w:r w:rsidR="00A5335D" w:rsidRPr="00A5335D">
        <w:rPr>
          <w:rFonts w:ascii="Times New Roman" w:hAnsi="Times New Roman"/>
          <w:noProof/>
          <w:sz w:val="24"/>
          <w:szCs w:val="24"/>
        </w:rPr>
        <w:t xml:space="preserve"> z </w:t>
      </w:r>
      <w:r w:rsidR="00A5335D" w:rsidRPr="00A5335D">
        <w:rPr>
          <w:rFonts w:ascii="Times New Roman" w:hAnsi="Times New Roman"/>
          <w:b/>
          <w:noProof/>
          <w:sz w:val="24"/>
          <w:szCs w:val="24"/>
        </w:rPr>
        <w:t>par</w:t>
      </w:r>
      <w:r w:rsidRPr="00A5335D">
        <w:rPr>
          <w:rFonts w:ascii="Times New Roman" w:hAnsi="Times New Roman"/>
          <w:b/>
          <w:noProof/>
          <w:sz w:val="24"/>
          <w:szCs w:val="24"/>
        </w:rPr>
        <w:t>tnerami</w:t>
      </w:r>
      <w:r w:rsidR="00A5335D" w:rsidRPr="00A5335D">
        <w:rPr>
          <w:rFonts w:ascii="Times New Roman" w:hAnsi="Times New Roman"/>
          <w:b/>
          <w:noProof/>
          <w:sz w:val="24"/>
          <w:szCs w:val="24"/>
        </w:rPr>
        <w:t xml:space="preserve"> z Afr</w:t>
      </w:r>
      <w:r w:rsidRPr="00A5335D">
        <w:rPr>
          <w:rFonts w:ascii="Times New Roman" w:hAnsi="Times New Roman"/>
          <w:b/>
          <w:noProof/>
          <w:sz w:val="24"/>
          <w:szCs w:val="24"/>
        </w:rPr>
        <w:t>yki Północnej,</w:t>
      </w:r>
      <w:r w:rsidR="00A5335D" w:rsidRPr="00A5335D">
        <w:rPr>
          <w:rFonts w:ascii="Times New Roman" w:hAnsi="Times New Roman"/>
          <w:b/>
          <w:noProof/>
          <w:sz w:val="24"/>
          <w:szCs w:val="24"/>
        </w:rPr>
        <w:t xml:space="preserve"> w szc</w:t>
      </w:r>
      <w:r w:rsidRPr="00A5335D">
        <w:rPr>
          <w:rFonts w:ascii="Times New Roman" w:hAnsi="Times New Roman"/>
          <w:b/>
          <w:noProof/>
          <w:sz w:val="24"/>
          <w:szCs w:val="24"/>
        </w:rPr>
        <w:t>zególności</w:t>
      </w:r>
      <w:r w:rsidR="00A5335D" w:rsidRPr="00A5335D">
        <w:rPr>
          <w:rFonts w:ascii="Times New Roman" w:hAnsi="Times New Roman"/>
          <w:b/>
          <w:noProof/>
          <w:sz w:val="24"/>
          <w:szCs w:val="24"/>
        </w:rPr>
        <w:t xml:space="preserve"> z Egi</w:t>
      </w:r>
      <w:r w:rsidRPr="00A5335D">
        <w:rPr>
          <w:rFonts w:ascii="Times New Roman" w:hAnsi="Times New Roman"/>
          <w:b/>
          <w:noProof/>
          <w:sz w:val="24"/>
          <w:szCs w:val="24"/>
        </w:rPr>
        <w:t>ptem, Marokiem</w:t>
      </w:r>
      <w:r w:rsidR="00A5335D" w:rsidRPr="00A5335D">
        <w:rPr>
          <w:rFonts w:ascii="Times New Roman" w:hAnsi="Times New Roman"/>
          <w:b/>
          <w:noProof/>
          <w:sz w:val="24"/>
          <w:szCs w:val="24"/>
        </w:rPr>
        <w:t xml:space="preserve"> i Tun</w:t>
      </w:r>
      <w:r w:rsidRPr="00A5335D">
        <w:rPr>
          <w:rFonts w:ascii="Times New Roman" w:hAnsi="Times New Roman"/>
          <w:b/>
          <w:noProof/>
          <w:sz w:val="24"/>
          <w:szCs w:val="24"/>
        </w:rPr>
        <w:t>ezją, tak aby ich realizacja rozpoczęła się przed końcem 2022</w:t>
      </w:r>
      <w:r w:rsidR="00A5335D" w:rsidRPr="00A5335D">
        <w:rPr>
          <w:rFonts w:ascii="Times New Roman" w:hAnsi="Times New Roman"/>
          <w:b/>
          <w:noProof/>
          <w:sz w:val="24"/>
          <w:szCs w:val="24"/>
        </w:rPr>
        <w:t> </w:t>
      </w:r>
      <w:r w:rsidRPr="00A5335D">
        <w:rPr>
          <w:rFonts w:ascii="Times New Roman" w:hAnsi="Times New Roman"/>
          <w:b/>
          <w:noProof/>
          <w:sz w:val="24"/>
          <w:szCs w:val="24"/>
        </w:rPr>
        <w:t>r.</w:t>
      </w:r>
      <w:r w:rsidRPr="00A5335D">
        <w:rPr>
          <w:rFonts w:ascii="Times New Roman" w:hAnsi="Times New Roman"/>
          <w:noProof/>
          <w:sz w:val="24"/>
          <w:szCs w:val="24"/>
        </w:rPr>
        <w:t xml:space="preserve"> Prace nad partnerstwami</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 będą opierać się na udanych projektach pilotażowych opracowanych</w:t>
      </w:r>
      <w:r w:rsidR="00A5335D" w:rsidRPr="00A5335D">
        <w:rPr>
          <w:rFonts w:ascii="Times New Roman" w:hAnsi="Times New Roman"/>
          <w:noProof/>
          <w:sz w:val="24"/>
          <w:szCs w:val="24"/>
        </w:rPr>
        <w:t xml:space="preserve"> z tym</w:t>
      </w:r>
      <w:r w:rsidRPr="00A5335D">
        <w:rPr>
          <w:rFonts w:ascii="Times New Roman" w:hAnsi="Times New Roman"/>
          <w:noProof/>
          <w:sz w:val="24"/>
          <w:szCs w:val="24"/>
        </w:rPr>
        <w:t>i partnerami, przy jednoczesnym rozszerzaniu ich zakresu</w:t>
      </w:r>
      <w:r w:rsidR="00A5335D" w:rsidRPr="00A5335D">
        <w:rPr>
          <w:rFonts w:ascii="Times New Roman" w:hAnsi="Times New Roman"/>
          <w:noProof/>
          <w:sz w:val="24"/>
          <w:szCs w:val="24"/>
        </w:rPr>
        <w:t xml:space="preserve"> i poz</w:t>
      </w:r>
      <w:r w:rsidRPr="00A5335D">
        <w:rPr>
          <w:rFonts w:ascii="Times New Roman" w:hAnsi="Times New Roman"/>
          <w:noProof/>
          <w:sz w:val="24"/>
          <w:szCs w:val="24"/>
        </w:rPr>
        <w:t>iomu ambicji</w:t>
      </w:r>
      <w:r w:rsidRPr="00A5335D">
        <w:rPr>
          <w:rStyle w:val="FootnoteReference"/>
          <w:rFonts w:ascii="Times New Roman" w:eastAsia="Times New Roman" w:hAnsi="Times New Roman" w:cs="Times New Roman"/>
          <w:noProof/>
          <w:sz w:val="24"/>
          <w:szCs w:val="24"/>
        </w:rPr>
        <w:footnoteReference w:id="54"/>
      </w:r>
      <w:r w:rsidRPr="00A5335D">
        <w:rPr>
          <w:rFonts w:ascii="Times New Roman" w:hAnsi="Times New Roman"/>
          <w:noProof/>
          <w:sz w:val="24"/>
          <w:szCs w:val="24"/>
        </w:rPr>
        <w:t>, uzupełnianiu ich</w:t>
      </w:r>
      <w:r w:rsidR="00A5335D" w:rsidRPr="00A5335D">
        <w:rPr>
          <w:rFonts w:ascii="Times New Roman" w:hAnsi="Times New Roman"/>
          <w:noProof/>
          <w:sz w:val="24"/>
          <w:szCs w:val="24"/>
        </w:rPr>
        <w:t xml:space="preserve"> o sze</w:t>
      </w:r>
      <w:r w:rsidRPr="00A5335D">
        <w:rPr>
          <w:rFonts w:ascii="Times New Roman" w:hAnsi="Times New Roman"/>
          <w:noProof/>
          <w:sz w:val="24"/>
          <w:szCs w:val="24"/>
        </w:rPr>
        <w:t>rsze ramy współpracy, które zostaną określone wspólnie</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stwami członkowskimi</w:t>
      </w:r>
      <w:r w:rsidR="00A5335D" w:rsidRPr="00A5335D">
        <w:rPr>
          <w:rFonts w:ascii="Times New Roman" w:hAnsi="Times New Roman"/>
          <w:noProof/>
          <w:sz w:val="24"/>
          <w:szCs w:val="24"/>
        </w:rPr>
        <w:t xml:space="preserve"> i odp</w:t>
      </w:r>
      <w:r w:rsidRPr="00A5335D">
        <w:rPr>
          <w:rFonts w:ascii="Times New Roman" w:hAnsi="Times New Roman"/>
          <w:noProof/>
          <w:sz w:val="24"/>
          <w:szCs w:val="24"/>
        </w:rPr>
        <w:t>owiednimi krajami partnerskimi, oraz przy mobilizacji wszystkich zainteresowanych stron</w:t>
      </w:r>
      <w:r w:rsidR="00A5335D" w:rsidRPr="00A5335D">
        <w:rPr>
          <w:rFonts w:ascii="Times New Roman" w:hAnsi="Times New Roman"/>
          <w:noProof/>
          <w:sz w:val="24"/>
          <w:szCs w:val="24"/>
        </w:rPr>
        <w:t xml:space="preserve"> w tym</w:t>
      </w:r>
      <w:r w:rsidRPr="00A5335D">
        <w:rPr>
          <w:rFonts w:ascii="Times New Roman" w:hAnsi="Times New Roman"/>
          <w:noProof/>
          <w:sz w:val="24"/>
          <w:szCs w:val="24"/>
        </w:rPr>
        <w:t xml:space="preserve"> procesie.</w:t>
      </w:r>
    </w:p>
    <w:p w14:paraId="507F35C7" w14:textId="6F7C59DD" w:rsidR="00507095" w:rsidRPr="00A5335D" w:rsidRDefault="00A60137" w:rsidP="00977F8D">
      <w:pPr>
        <w:jc w:val="both"/>
        <w:rPr>
          <w:rFonts w:ascii="Times New Roman" w:hAnsi="Times New Roman" w:cs="Times New Roman"/>
          <w:noProof/>
          <w:sz w:val="24"/>
          <w:szCs w:val="24"/>
        </w:rPr>
      </w:pPr>
      <w:r w:rsidRPr="00A5335D">
        <w:rPr>
          <w:rFonts w:ascii="Times New Roman" w:hAnsi="Times New Roman"/>
          <w:noProof/>
          <w:sz w:val="24"/>
          <w:szCs w:val="24"/>
        </w:rPr>
        <w:t>W ramach stopniowego podejścia naturalnym kolejnym krokiem</w:t>
      </w:r>
      <w:r w:rsidR="00A5335D" w:rsidRPr="00A5335D">
        <w:rPr>
          <w:rFonts w:ascii="Times New Roman" w:hAnsi="Times New Roman"/>
          <w:noProof/>
          <w:sz w:val="24"/>
          <w:szCs w:val="24"/>
        </w:rPr>
        <w:t xml:space="preserve"> w pro</w:t>
      </w:r>
      <w:r w:rsidRPr="00A5335D">
        <w:rPr>
          <w:rFonts w:ascii="Times New Roman" w:hAnsi="Times New Roman"/>
          <w:noProof/>
          <w:sz w:val="24"/>
          <w:szCs w:val="24"/>
        </w:rPr>
        <w:t>cesie zacieśniania współpracy</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zarządzania migracjami będzie uruchomienie partnerstw</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w:t>
      </w:r>
      <w:r w:rsidR="00A5335D" w:rsidRPr="00A5335D">
        <w:rPr>
          <w:rFonts w:ascii="Times New Roman" w:hAnsi="Times New Roman"/>
          <w:noProof/>
          <w:sz w:val="24"/>
          <w:szCs w:val="24"/>
        </w:rPr>
        <w:t xml:space="preserve"> z </w:t>
      </w:r>
      <w:r w:rsidR="00A5335D" w:rsidRPr="00A5335D">
        <w:rPr>
          <w:rFonts w:ascii="Times New Roman" w:hAnsi="Times New Roman"/>
          <w:b/>
          <w:bCs/>
          <w:noProof/>
          <w:sz w:val="24"/>
          <w:szCs w:val="24"/>
        </w:rPr>
        <w:t>inn</w:t>
      </w:r>
      <w:r w:rsidRPr="00A5335D">
        <w:rPr>
          <w:rFonts w:ascii="Times New Roman" w:hAnsi="Times New Roman"/>
          <w:b/>
          <w:bCs/>
          <w:noProof/>
          <w:sz w:val="24"/>
          <w:szCs w:val="24"/>
        </w:rPr>
        <w:t>ymi krajami partnerskimi</w:t>
      </w:r>
      <w:r w:rsidR="00A5335D" w:rsidRPr="00A5335D">
        <w:rPr>
          <w:rFonts w:ascii="Times New Roman" w:hAnsi="Times New Roman"/>
          <w:noProof/>
          <w:sz w:val="24"/>
          <w:szCs w:val="24"/>
        </w:rPr>
        <w:t xml:space="preserve"> </w:t>
      </w:r>
      <w:r w:rsidR="00A5335D" w:rsidRPr="00A5335D">
        <w:rPr>
          <w:rFonts w:ascii="Times New Roman" w:hAnsi="Times New Roman"/>
          <w:b/>
          <w:bCs/>
          <w:noProof/>
          <w:sz w:val="24"/>
          <w:szCs w:val="24"/>
        </w:rPr>
        <w:t>w</w:t>
      </w:r>
      <w:r w:rsidR="00A5335D" w:rsidRPr="00A5335D">
        <w:rPr>
          <w:rFonts w:ascii="Times New Roman" w:hAnsi="Times New Roman"/>
          <w:noProof/>
          <w:sz w:val="24"/>
          <w:szCs w:val="24"/>
        </w:rPr>
        <w:t> </w:t>
      </w:r>
      <w:r w:rsidR="00A5335D" w:rsidRPr="00A5335D">
        <w:rPr>
          <w:rFonts w:ascii="Times New Roman" w:hAnsi="Times New Roman"/>
          <w:b/>
          <w:bCs/>
          <w:noProof/>
          <w:sz w:val="24"/>
          <w:szCs w:val="24"/>
        </w:rPr>
        <w:t>Afr</w:t>
      </w:r>
      <w:r w:rsidRPr="00A5335D">
        <w:rPr>
          <w:rFonts w:ascii="Times New Roman" w:hAnsi="Times New Roman"/>
          <w:b/>
          <w:bCs/>
          <w:noProof/>
          <w:sz w:val="24"/>
          <w:szCs w:val="24"/>
        </w:rPr>
        <w:t>yce</w:t>
      </w:r>
      <w:r w:rsidR="00A5335D" w:rsidRPr="00A5335D">
        <w:rPr>
          <w:rFonts w:ascii="Times New Roman" w:hAnsi="Times New Roman"/>
          <w:b/>
          <w:bCs/>
          <w:noProof/>
          <w:sz w:val="24"/>
          <w:szCs w:val="24"/>
        </w:rPr>
        <w:t xml:space="preserve"> i Azj</w:t>
      </w:r>
      <w:r w:rsidRPr="00A5335D">
        <w:rPr>
          <w:rFonts w:ascii="Times New Roman" w:hAnsi="Times New Roman"/>
          <w:b/>
          <w:bCs/>
          <w:noProof/>
          <w:sz w:val="24"/>
          <w:szCs w:val="24"/>
        </w:rPr>
        <w:t>i</w:t>
      </w:r>
      <w:r w:rsidR="00A5335D" w:rsidRPr="00A5335D">
        <w:rPr>
          <w:rFonts w:ascii="Times New Roman" w:hAnsi="Times New Roman"/>
          <w:noProof/>
          <w:sz w:val="24"/>
          <w:szCs w:val="24"/>
        </w:rPr>
        <w:t>. W szc</w:t>
      </w:r>
      <w:r w:rsidRPr="00A5335D">
        <w:rPr>
          <w:rFonts w:ascii="Times New Roman" w:hAnsi="Times New Roman"/>
          <w:noProof/>
          <w:sz w:val="24"/>
          <w:szCs w:val="24"/>
        </w:rPr>
        <w:t>zególności, począwszy od jesieni 2022</w:t>
      </w:r>
      <w:r w:rsidR="00A5335D" w:rsidRPr="00A5335D">
        <w:rPr>
          <w:rFonts w:ascii="Times New Roman" w:hAnsi="Times New Roman"/>
          <w:noProof/>
          <w:sz w:val="24"/>
          <w:szCs w:val="24"/>
        </w:rPr>
        <w:t> </w:t>
      </w:r>
      <w:r w:rsidRPr="00A5335D">
        <w:rPr>
          <w:rFonts w:ascii="Times New Roman" w:hAnsi="Times New Roman"/>
          <w:noProof/>
          <w:sz w:val="24"/>
          <w:szCs w:val="24"/>
        </w:rPr>
        <w:t>r., równolegle do realizacji partnerstw</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 które zostaną uruchomione</w:t>
      </w:r>
      <w:r w:rsidR="00A5335D" w:rsidRPr="00A5335D">
        <w:rPr>
          <w:rFonts w:ascii="Times New Roman" w:hAnsi="Times New Roman"/>
          <w:noProof/>
          <w:sz w:val="24"/>
          <w:szCs w:val="24"/>
        </w:rPr>
        <w:t xml:space="preserve"> z Egi</w:t>
      </w:r>
      <w:r w:rsidRPr="00A5335D">
        <w:rPr>
          <w:rFonts w:ascii="Times New Roman" w:hAnsi="Times New Roman"/>
          <w:noProof/>
          <w:sz w:val="24"/>
          <w:szCs w:val="24"/>
        </w:rPr>
        <w:t>ptem, Marokiem</w:t>
      </w:r>
      <w:r w:rsidR="00A5335D" w:rsidRPr="00A5335D">
        <w:rPr>
          <w:rFonts w:ascii="Times New Roman" w:hAnsi="Times New Roman"/>
          <w:noProof/>
          <w:sz w:val="24"/>
          <w:szCs w:val="24"/>
        </w:rPr>
        <w:t xml:space="preserve"> i Tun</w:t>
      </w:r>
      <w:r w:rsidRPr="00A5335D">
        <w:rPr>
          <w:rFonts w:ascii="Times New Roman" w:hAnsi="Times New Roman"/>
          <w:noProof/>
          <w:sz w:val="24"/>
          <w:szCs w:val="24"/>
        </w:rPr>
        <w:t>ezją, przewiduje się rozpoczęcie oceny możliwości uruchomienia partnerstw</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w:t>
      </w:r>
      <w:r w:rsidR="00A5335D" w:rsidRPr="00A5335D">
        <w:rPr>
          <w:rFonts w:ascii="Times New Roman" w:hAnsi="Times New Roman"/>
          <w:noProof/>
          <w:sz w:val="24"/>
          <w:szCs w:val="24"/>
        </w:rPr>
        <w:t xml:space="preserve"> z Pak</w:t>
      </w:r>
      <w:r w:rsidRPr="00A5335D">
        <w:rPr>
          <w:rFonts w:ascii="Times New Roman" w:hAnsi="Times New Roman"/>
          <w:noProof/>
          <w:sz w:val="24"/>
          <w:szCs w:val="24"/>
        </w:rPr>
        <w:t>istanem, Bangladeszem, Senegalem</w:t>
      </w:r>
      <w:r w:rsidR="00A5335D" w:rsidRPr="00A5335D">
        <w:rPr>
          <w:rFonts w:ascii="Times New Roman" w:hAnsi="Times New Roman"/>
          <w:noProof/>
          <w:sz w:val="24"/>
          <w:szCs w:val="24"/>
        </w:rPr>
        <w:t xml:space="preserve"> i Nig</w:t>
      </w:r>
      <w:r w:rsidRPr="00A5335D">
        <w:rPr>
          <w:rFonts w:ascii="Times New Roman" w:hAnsi="Times New Roman"/>
          <w:noProof/>
          <w:sz w:val="24"/>
          <w:szCs w:val="24"/>
        </w:rPr>
        <w:t>erią, jako jednego</w:t>
      </w:r>
      <w:r w:rsidR="00A5335D" w:rsidRPr="00A5335D">
        <w:rPr>
          <w:rFonts w:ascii="Times New Roman" w:hAnsi="Times New Roman"/>
          <w:noProof/>
          <w:sz w:val="24"/>
          <w:szCs w:val="24"/>
        </w:rPr>
        <w:t xml:space="preserve"> z klu</w:t>
      </w:r>
      <w:r w:rsidRPr="00A5335D">
        <w:rPr>
          <w:rFonts w:ascii="Times New Roman" w:hAnsi="Times New Roman"/>
          <w:noProof/>
          <w:sz w:val="24"/>
          <w:szCs w:val="24"/>
        </w:rPr>
        <w:t>czowych elementów wzmocnionej współpracy</w:t>
      </w:r>
      <w:r w:rsidR="00A5335D" w:rsidRPr="00A5335D">
        <w:rPr>
          <w:rFonts w:ascii="Times New Roman" w:hAnsi="Times New Roman"/>
          <w:noProof/>
          <w:sz w:val="24"/>
          <w:szCs w:val="24"/>
        </w:rPr>
        <w:t xml:space="preserve"> z tym</w:t>
      </w:r>
      <w:r w:rsidRPr="00A5335D">
        <w:rPr>
          <w:rFonts w:ascii="Times New Roman" w:hAnsi="Times New Roman"/>
          <w:noProof/>
          <w:sz w:val="24"/>
          <w:szCs w:val="24"/>
        </w:rPr>
        <w:t>i krajami</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 xml:space="preserve">resie zarządzania migracjami. </w:t>
      </w:r>
    </w:p>
    <w:p w14:paraId="27CEFCC9" w14:textId="7E14418B" w:rsidR="003767C2" w:rsidRPr="00A5335D" w:rsidRDefault="00EA497B" w:rsidP="00834BBD">
      <w:pPr>
        <w:pStyle w:val="ListParagraph"/>
        <w:spacing w:before="240" w:after="120"/>
        <w:ind w:left="792"/>
        <w:jc w:val="both"/>
        <w:rPr>
          <w:rFonts w:ascii="Times New Roman" w:hAnsi="Times New Roman" w:cs="Times New Roman"/>
          <w:b/>
          <w:bCs/>
          <w:noProof/>
          <w:sz w:val="24"/>
          <w:szCs w:val="24"/>
        </w:rPr>
      </w:pPr>
      <w:bookmarkStart w:id="2" w:name="_Hlk101428654"/>
      <w:r w:rsidRPr="00A5335D">
        <w:rPr>
          <w:rFonts w:ascii="Times New Roman" w:hAnsi="Times New Roman"/>
          <w:b/>
          <w:bCs/>
          <w:noProof/>
          <w:sz w:val="24"/>
          <w:szCs w:val="24"/>
        </w:rPr>
        <w:t>3.2. Rozwijanie unijnej puli talentów</w:t>
      </w:r>
      <w:r w:rsidR="00A5335D" w:rsidRPr="00A5335D">
        <w:rPr>
          <w:rFonts w:ascii="Times New Roman" w:hAnsi="Times New Roman"/>
          <w:b/>
          <w:bCs/>
          <w:noProof/>
          <w:sz w:val="24"/>
          <w:szCs w:val="24"/>
        </w:rPr>
        <w:t xml:space="preserve"> w cel</w:t>
      </w:r>
      <w:r w:rsidRPr="00A5335D">
        <w:rPr>
          <w:rFonts w:ascii="Times New Roman" w:hAnsi="Times New Roman"/>
          <w:b/>
          <w:bCs/>
          <w:noProof/>
          <w:sz w:val="24"/>
          <w:szCs w:val="24"/>
        </w:rPr>
        <w:t>u lepszego kojarzenia potrzeb pracodawców z UE</w:t>
      </w:r>
      <w:r w:rsidR="00A5335D" w:rsidRPr="00A5335D">
        <w:rPr>
          <w:rFonts w:ascii="Times New Roman" w:hAnsi="Times New Roman"/>
          <w:b/>
          <w:bCs/>
          <w:noProof/>
          <w:sz w:val="24"/>
          <w:szCs w:val="24"/>
        </w:rPr>
        <w:t xml:space="preserve"> i dos</w:t>
      </w:r>
      <w:r w:rsidRPr="00A5335D">
        <w:rPr>
          <w:rFonts w:ascii="Times New Roman" w:hAnsi="Times New Roman"/>
          <w:b/>
          <w:bCs/>
          <w:noProof/>
          <w:sz w:val="24"/>
          <w:szCs w:val="24"/>
        </w:rPr>
        <w:t>tępnych talentów</w:t>
      </w:r>
    </w:p>
    <w:bookmarkEnd w:id="2"/>
    <w:p w14:paraId="27CEFCCA" w14:textId="2927AAD4" w:rsidR="003767C2" w:rsidRPr="00A5335D" w:rsidRDefault="00424774" w:rsidP="003767C2">
      <w:pPr>
        <w:spacing w:before="120" w:after="240"/>
        <w:jc w:val="both"/>
        <w:rPr>
          <w:rFonts w:ascii="Times New Roman" w:hAnsi="Times New Roman" w:cs="Times New Roman"/>
          <w:b/>
          <w:noProof/>
          <w:sz w:val="24"/>
          <w:szCs w:val="24"/>
        </w:rPr>
      </w:pPr>
      <w:r w:rsidRPr="00A5335D">
        <w:rPr>
          <w:rFonts w:ascii="Times New Roman" w:hAnsi="Times New Roman"/>
          <w:noProof/>
          <w:sz w:val="24"/>
          <w:szCs w:val="24"/>
        </w:rPr>
        <w:t xml:space="preserve">Komisja proponuje utworzenie </w:t>
      </w:r>
      <w:r w:rsidRPr="00A5335D">
        <w:rPr>
          <w:rFonts w:ascii="Times New Roman" w:hAnsi="Times New Roman"/>
          <w:b/>
          <w:bCs/>
          <w:noProof/>
          <w:sz w:val="24"/>
          <w:szCs w:val="24"/>
        </w:rPr>
        <w:t>pierwszej ogólnounijnej platformy</w:t>
      </w:r>
      <w:r w:rsidR="00A5335D" w:rsidRPr="00A5335D">
        <w:rPr>
          <w:rFonts w:ascii="Times New Roman" w:hAnsi="Times New Roman"/>
          <w:b/>
          <w:bCs/>
          <w:noProof/>
          <w:sz w:val="24"/>
          <w:szCs w:val="24"/>
        </w:rPr>
        <w:t xml:space="preserve"> i nar</w:t>
      </w:r>
      <w:r w:rsidRPr="00A5335D">
        <w:rPr>
          <w:rFonts w:ascii="Times New Roman" w:hAnsi="Times New Roman"/>
          <w:b/>
          <w:bCs/>
          <w:noProof/>
          <w:sz w:val="24"/>
          <w:szCs w:val="24"/>
        </w:rPr>
        <w:t>zędzia pozwalających kojarzyć oferty pracy</w:t>
      </w:r>
      <w:r w:rsidR="00A5335D" w:rsidRPr="00A5335D">
        <w:rPr>
          <w:rFonts w:ascii="Times New Roman" w:hAnsi="Times New Roman"/>
          <w:b/>
          <w:bCs/>
          <w:noProof/>
          <w:sz w:val="24"/>
          <w:szCs w:val="24"/>
        </w:rPr>
        <w:t xml:space="preserve"> z pos</w:t>
      </w:r>
      <w:r w:rsidRPr="00A5335D">
        <w:rPr>
          <w:rFonts w:ascii="Times New Roman" w:hAnsi="Times New Roman"/>
          <w:b/>
          <w:bCs/>
          <w:noProof/>
          <w:sz w:val="24"/>
          <w:szCs w:val="24"/>
        </w:rPr>
        <w:t>zukującymi zatrudnienia</w:t>
      </w:r>
      <w:r w:rsidRPr="00A5335D">
        <w:rPr>
          <w:rFonts w:ascii="Times New Roman" w:hAnsi="Times New Roman"/>
          <w:noProof/>
          <w:sz w:val="24"/>
          <w:szCs w:val="24"/>
        </w:rPr>
        <w:t xml:space="preserve">, </w:t>
      </w:r>
      <w:r w:rsidRPr="00A5335D">
        <w:rPr>
          <w:rFonts w:ascii="Times New Roman" w:hAnsi="Times New Roman"/>
          <w:b/>
          <w:noProof/>
          <w:sz w:val="24"/>
          <w:szCs w:val="24"/>
        </w:rPr>
        <w:t>unijną pulę talentów</w:t>
      </w:r>
      <w:r w:rsidR="0067714E" w:rsidRPr="00A5335D">
        <w:rPr>
          <w:rStyle w:val="FootnoteReference"/>
          <w:rFonts w:ascii="Times New Roman" w:hAnsi="Times New Roman" w:cs="Times New Roman"/>
          <w:noProof/>
          <w:sz w:val="24"/>
          <w:szCs w:val="24"/>
        </w:rPr>
        <w:footnoteReference w:id="55"/>
      </w:r>
      <w:r w:rsidRPr="00A5335D">
        <w:rPr>
          <w:rFonts w:ascii="Times New Roman" w:hAnsi="Times New Roman"/>
          <w:noProof/>
          <w:sz w:val="24"/>
          <w:szCs w:val="24"/>
        </w:rPr>
        <w:t>, aby pomóc</w:t>
      </w:r>
      <w:r w:rsidR="00A5335D" w:rsidRPr="00A5335D">
        <w:rPr>
          <w:rFonts w:ascii="Times New Roman" w:hAnsi="Times New Roman"/>
          <w:noProof/>
          <w:sz w:val="24"/>
          <w:szCs w:val="24"/>
        </w:rPr>
        <w:t xml:space="preserve"> w zwi</w:t>
      </w:r>
      <w:r w:rsidRPr="00A5335D">
        <w:rPr>
          <w:rFonts w:ascii="Times New Roman" w:hAnsi="Times New Roman"/>
          <w:noProof/>
          <w:sz w:val="24"/>
          <w:szCs w:val="24"/>
        </w:rPr>
        <w:t>ększeniu atrakcyjności UE dla obywateli</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trzecich</w:t>
      </w:r>
      <w:r w:rsidR="00A5335D" w:rsidRPr="00A5335D">
        <w:rPr>
          <w:rFonts w:ascii="Times New Roman" w:hAnsi="Times New Roman"/>
          <w:noProof/>
          <w:sz w:val="24"/>
          <w:szCs w:val="24"/>
        </w:rPr>
        <w:t xml:space="preserve"> i spr</w:t>
      </w:r>
      <w:r w:rsidRPr="00A5335D">
        <w:rPr>
          <w:rFonts w:ascii="Times New Roman" w:hAnsi="Times New Roman"/>
          <w:noProof/>
          <w:sz w:val="24"/>
          <w:szCs w:val="24"/>
        </w:rPr>
        <w:t>ostać wyzwaniu, jakim jest dopasowanie unijnych pracodawców</w:t>
      </w:r>
      <w:r w:rsidR="00A5335D" w:rsidRPr="00A5335D">
        <w:rPr>
          <w:rFonts w:ascii="Times New Roman" w:hAnsi="Times New Roman"/>
          <w:noProof/>
          <w:sz w:val="24"/>
          <w:szCs w:val="24"/>
        </w:rPr>
        <w:t xml:space="preserve"> i tal</w:t>
      </w:r>
      <w:r w:rsidRPr="00A5335D">
        <w:rPr>
          <w:rFonts w:ascii="Times New Roman" w:hAnsi="Times New Roman"/>
          <w:noProof/>
          <w:sz w:val="24"/>
          <w:szCs w:val="24"/>
        </w:rPr>
        <w:t>entów, których nie są</w:t>
      </w:r>
      <w:r w:rsidR="00A5335D" w:rsidRPr="00A5335D">
        <w:rPr>
          <w:rFonts w:ascii="Times New Roman" w:hAnsi="Times New Roman"/>
          <w:noProof/>
          <w:sz w:val="24"/>
          <w:szCs w:val="24"/>
        </w:rPr>
        <w:t xml:space="preserve"> w sta</w:t>
      </w:r>
      <w:r w:rsidRPr="00A5335D">
        <w:rPr>
          <w:rFonts w:ascii="Times New Roman" w:hAnsi="Times New Roman"/>
          <w:noProof/>
          <w:sz w:val="24"/>
          <w:szCs w:val="24"/>
        </w:rPr>
        <w:t>nie znaleźć na unijnym rynku pracy.</w:t>
      </w:r>
      <w:r w:rsidRPr="00A5335D">
        <w:rPr>
          <w:rFonts w:ascii="Times New Roman" w:hAnsi="Times New Roman"/>
          <w:b/>
          <w:noProof/>
          <w:sz w:val="24"/>
          <w:szCs w:val="24"/>
        </w:rPr>
        <w:t xml:space="preserve"> </w:t>
      </w:r>
      <w:r w:rsidRPr="00A5335D">
        <w:rPr>
          <w:rFonts w:ascii="Times New Roman" w:hAnsi="Times New Roman"/>
          <w:noProof/>
          <w:sz w:val="24"/>
          <w:szCs w:val="24"/>
        </w:rPr>
        <w:t>Unijna pula talentów będzie</w:t>
      </w:r>
      <w:r w:rsidRPr="00A5335D">
        <w:rPr>
          <w:rFonts w:ascii="Times New Roman" w:hAnsi="Times New Roman"/>
          <w:b/>
          <w:noProof/>
          <w:sz w:val="24"/>
          <w:szCs w:val="24"/>
        </w:rPr>
        <w:t xml:space="preserve"> </w:t>
      </w:r>
      <w:r w:rsidRPr="00A5335D">
        <w:rPr>
          <w:rFonts w:ascii="Times New Roman" w:hAnsi="Times New Roman"/>
          <w:noProof/>
          <w:sz w:val="24"/>
          <w:szCs w:val="24"/>
        </w:rPr>
        <w:t>ogólnounijną pulą kandydatów</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trzecich, którzy zostaną wybrani na podstawie określonych poziomów umiejętności, kryteriów</w:t>
      </w:r>
      <w:r w:rsidR="00A5335D" w:rsidRPr="00A5335D">
        <w:rPr>
          <w:rFonts w:ascii="Times New Roman" w:hAnsi="Times New Roman"/>
          <w:noProof/>
          <w:sz w:val="24"/>
          <w:szCs w:val="24"/>
        </w:rPr>
        <w:t xml:space="preserve"> i wym</w:t>
      </w:r>
      <w:r w:rsidRPr="00A5335D">
        <w:rPr>
          <w:rFonts w:ascii="Times New Roman" w:hAnsi="Times New Roman"/>
          <w:noProof/>
          <w:sz w:val="24"/>
          <w:szCs w:val="24"/>
        </w:rPr>
        <w:t>ogów migracyjnych, po sprawdzeniu referencji kandydatów</w:t>
      </w:r>
      <w:r w:rsidR="00EB794A" w:rsidRPr="00A5335D">
        <w:rPr>
          <w:rStyle w:val="FootnoteReference"/>
          <w:rFonts w:ascii="Times New Roman" w:hAnsi="Times New Roman" w:cs="Times New Roman"/>
          <w:noProof/>
          <w:sz w:val="24"/>
          <w:szCs w:val="24"/>
        </w:rPr>
        <w:footnoteReference w:id="56"/>
      </w:r>
      <w:r w:rsidRPr="00A5335D">
        <w:rPr>
          <w:rFonts w:ascii="Times New Roman" w:hAnsi="Times New Roman"/>
          <w:noProof/>
          <w:sz w:val="24"/>
          <w:szCs w:val="24"/>
        </w:rPr>
        <w:t xml:space="preserve">. </w:t>
      </w:r>
    </w:p>
    <w:p w14:paraId="27CEFCCB" w14:textId="6C522AF6" w:rsidR="00B72878" w:rsidRPr="00A5335D" w:rsidRDefault="008F3D7C" w:rsidP="00341E3E">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W trakcie przygotowywania niniejszego komunikatu</w:t>
      </w:r>
      <w:r w:rsidR="00A5335D" w:rsidRPr="00A5335D">
        <w:rPr>
          <w:rFonts w:ascii="Times New Roman" w:hAnsi="Times New Roman"/>
          <w:noProof/>
          <w:sz w:val="24"/>
          <w:szCs w:val="24"/>
        </w:rPr>
        <w:t xml:space="preserve"> w wyn</w:t>
      </w:r>
      <w:r w:rsidRPr="00A5335D">
        <w:rPr>
          <w:rFonts w:ascii="Times New Roman" w:hAnsi="Times New Roman"/>
          <w:noProof/>
          <w:sz w:val="24"/>
          <w:szCs w:val="24"/>
        </w:rPr>
        <w:t>iku rosyjskiej wojny napastniczej przeciwko Ukrainie pojawiła się nowa, pilna potrzeba ułatwienia osobom korzystającym</w:t>
      </w:r>
      <w:r w:rsidR="00A5335D" w:rsidRPr="00A5335D">
        <w:rPr>
          <w:rFonts w:ascii="Times New Roman" w:hAnsi="Times New Roman"/>
          <w:noProof/>
          <w:sz w:val="24"/>
          <w:szCs w:val="24"/>
        </w:rPr>
        <w:t xml:space="preserve"> z och</w:t>
      </w:r>
      <w:r w:rsidRPr="00A5335D">
        <w:rPr>
          <w:rFonts w:ascii="Times New Roman" w:hAnsi="Times New Roman"/>
          <w:noProof/>
          <w:sz w:val="24"/>
          <w:szCs w:val="24"/>
        </w:rPr>
        <w:t>rony tymczasowej dostępu do unijnego rynku pracy. Aby sprostać temu wyzwaniu</w:t>
      </w:r>
      <w:r w:rsidR="00A5335D" w:rsidRPr="00A5335D">
        <w:rPr>
          <w:rFonts w:ascii="Times New Roman" w:hAnsi="Times New Roman"/>
          <w:noProof/>
          <w:sz w:val="24"/>
          <w:szCs w:val="24"/>
        </w:rPr>
        <w:t xml:space="preserve"> i jak</w:t>
      </w:r>
      <w:r w:rsidRPr="00A5335D">
        <w:rPr>
          <w:rFonts w:ascii="Times New Roman" w:hAnsi="Times New Roman"/>
          <w:noProof/>
          <w:sz w:val="24"/>
          <w:szCs w:val="24"/>
        </w:rPr>
        <w:t xml:space="preserve"> najlepiej wykorzystać umiejętności wysiedleńców, Komisja ogłosiła, że do lata 2022</w:t>
      </w:r>
      <w:r w:rsidR="00A5335D" w:rsidRPr="00A5335D">
        <w:rPr>
          <w:rFonts w:ascii="Times New Roman" w:hAnsi="Times New Roman"/>
          <w:noProof/>
          <w:sz w:val="24"/>
          <w:szCs w:val="24"/>
        </w:rPr>
        <w:t> </w:t>
      </w:r>
      <w:r w:rsidRPr="00A5335D">
        <w:rPr>
          <w:rFonts w:ascii="Times New Roman" w:hAnsi="Times New Roman"/>
          <w:noProof/>
          <w:sz w:val="24"/>
          <w:szCs w:val="24"/>
        </w:rPr>
        <w:t xml:space="preserve">r. uruchomi </w:t>
      </w:r>
      <w:r w:rsidRPr="00A5335D">
        <w:rPr>
          <w:rFonts w:ascii="Times New Roman" w:hAnsi="Times New Roman"/>
          <w:b/>
          <w:bCs/>
          <w:noProof/>
          <w:sz w:val="24"/>
          <w:szCs w:val="24"/>
        </w:rPr>
        <w:t>pilotażową unijną pulę talentów dla osób uciekających przed rosyjską wojną napastniczą przeciwko Ukrainie</w:t>
      </w:r>
      <w:r w:rsidRPr="00A5335D">
        <w:rPr>
          <w:rFonts w:ascii="Times New Roman" w:hAnsi="Times New Roman"/>
          <w:noProof/>
          <w:sz w:val="24"/>
          <w:szCs w:val="24"/>
        </w:rPr>
        <w:t xml:space="preserve">. Ta pilotażowa inicjatywa internetowa </w:t>
      </w:r>
      <w:bookmarkStart w:id="3" w:name="_Hlk99469782"/>
      <w:r w:rsidRPr="00A5335D">
        <w:rPr>
          <w:rFonts w:ascii="Times New Roman" w:hAnsi="Times New Roman"/>
          <w:noProof/>
          <w:sz w:val="24"/>
          <w:szCs w:val="24"/>
        </w:rPr>
        <w:t>umożliwi identyfikację</w:t>
      </w:r>
      <w:r w:rsidR="00A5335D" w:rsidRPr="00A5335D">
        <w:rPr>
          <w:rFonts w:ascii="Times New Roman" w:hAnsi="Times New Roman"/>
          <w:noProof/>
          <w:sz w:val="24"/>
          <w:szCs w:val="24"/>
        </w:rPr>
        <w:t xml:space="preserve"> i gru</w:t>
      </w:r>
      <w:r w:rsidRPr="00A5335D">
        <w:rPr>
          <w:rFonts w:ascii="Times New Roman" w:hAnsi="Times New Roman"/>
          <w:noProof/>
          <w:sz w:val="24"/>
          <w:szCs w:val="24"/>
        </w:rPr>
        <w:t>powanie umiejętności osób, które uciekły</w:t>
      </w:r>
      <w:r w:rsidR="00A5335D" w:rsidRPr="00A5335D">
        <w:rPr>
          <w:rFonts w:ascii="Times New Roman" w:hAnsi="Times New Roman"/>
          <w:noProof/>
          <w:sz w:val="24"/>
          <w:szCs w:val="24"/>
        </w:rPr>
        <w:t xml:space="preserve"> z Ukr</w:t>
      </w:r>
      <w:r w:rsidRPr="00A5335D">
        <w:rPr>
          <w:rFonts w:ascii="Times New Roman" w:hAnsi="Times New Roman"/>
          <w:noProof/>
          <w:sz w:val="24"/>
          <w:szCs w:val="24"/>
        </w:rPr>
        <w:t>ainy</w:t>
      </w:r>
      <w:r w:rsidR="00A5335D" w:rsidRPr="00A5335D">
        <w:rPr>
          <w:rFonts w:ascii="Times New Roman" w:hAnsi="Times New Roman"/>
          <w:noProof/>
          <w:sz w:val="24"/>
          <w:szCs w:val="24"/>
        </w:rPr>
        <w:t xml:space="preserve"> i prz</w:t>
      </w:r>
      <w:r w:rsidRPr="00A5335D">
        <w:rPr>
          <w:rFonts w:ascii="Times New Roman" w:hAnsi="Times New Roman"/>
          <w:noProof/>
          <w:sz w:val="24"/>
          <w:szCs w:val="24"/>
        </w:rPr>
        <w:t>ebywają</w:t>
      </w:r>
      <w:bookmarkEnd w:id="3"/>
      <w:r w:rsidR="00A5335D" w:rsidRPr="00A5335D">
        <w:rPr>
          <w:rFonts w:ascii="Times New Roman" w:hAnsi="Times New Roman"/>
          <w:noProof/>
          <w:sz w:val="24"/>
          <w:szCs w:val="24"/>
        </w:rPr>
        <w:t xml:space="preserve"> w pań</w:t>
      </w:r>
      <w:r w:rsidRPr="00A5335D">
        <w:rPr>
          <w:rFonts w:ascii="Times New Roman" w:hAnsi="Times New Roman"/>
          <w:noProof/>
          <w:sz w:val="24"/>
          <w:szCs w:val="24"/>
        </w:rPr>
        <w:t>stwach członkowskich</w:t>
      </w:r>
      <w:bookmarkStart w:id="4" w:name="_Hlk101428555"/>
      <w:r w:rsidRPr="00A5335D">
        <w:rPr>
          <w:rFonts w:ascii="Times New Roman" w:hAnsi="Times New Roman"/>
          <w:noProof/>
          <w:sz w:val="24"/>
          <w:szCs w:val="24"/>
        </w:rPr>
        <w:t>, aby ułatwić im znalezienie pracodawców w UE</w:t>
      </w:r>
      <w:bookmarkEnd w:id="4"/>
      <w:r w:rsidR="00A5335D" w:rsidRPr="00A5335D">
        <w:rPr>
          <w:rFonts w:ascii="Times New Roman" w:hAnsi="Times New Roman"/>
          <w:noProof/>
          <w:sz w:val="24"/>
          <w:szCs w:val="24"/>
        </w:rPr>
        <w:t>. W ini</w:t>
      </w:r>
      <w:r w:rsidRPr="00A5335D">
        <w:rPr>
          <w:rFonts w:ascii="Times New Roman" w:hAnsi="Times New Roman"/>
          <w:noProof/>
          <w:sz w:val="24"/>
          <w:szCs w:val="24"/>
        </w:rPr>
        <w:t>cjatywie pilotażowej zostaną uwzględnione bieżące udane inicjatywy realizowane</w:t>
      </w:r>
      <w:r w:rsidR="00A5335D" w:rsidRPr="00A5335D">
        <w:rPr>
          <w:rFonts w:ascii="Times New Roman" w:hAnsi="Times New Roman"/>
          <w:noProof/>
          <w:sz w:val="24"/>
          <w:szCs w:val="24"/>
        </w:rPr>
        <w:t xml:space="preserve"> w pań</w:t>
      </w:r>
      <w:r w:rsidRPr="00A5335D">
        <w:rPr>
          <w:rFonts w:ascii="Times New Roman" w:hAnsi="Times New Roman"/>
          <w:noProof/>
          <w:sz w:val="24"/>
          <w:szCs w:val="24"/>
        </w:rPr>
        <w:t>stwach członkowskich (np.</w:t>
      </w:r>
      <w:r w:rsidR="00A5335D" w:rsidRPr="00A5335D">
        <w:rPr>
          <w:rFonts w:ascii="Times New Roman" w:hAnsi="Times New Roman"/>
          <w:noProof/>
          <w:sz w:val="24"/>
          <w:szCs w:val="24"/>
        </w:rPr>
        <w:t xml:space="preserve"> w Por</w:t>
      </w:r>
      <w:r w:rsidRPr="00A5335D">
        <w:rPr>
          <w:rFonts w:ascii="Times New Roman" w:hAnsi="Times New Roman"/>
          <w:noProof/>
          <w:sz w:val="24"/>
          <w:szCs w:val="24"/>
        </w:rPr>
        <w:t>tugalii</w:t>
      </w:r>
      <w:r w:rsidR="00A5335D" w:rsidRPr="00A5335D">
        <w:rPr>
          <w:rFonts w:ascii="Times New Roman" w:hAnsi="Times New Roman"/>
          <w:noProof/>
          <w:sz w:val="24"/>
          <w:szCs w:val="24"/>
        </w:rPr>
        <w:t xml:space="preserve"> i Rum</w:t>
      </w:r>
      <w:r w:rsidRPr="00A5335D">
        <w:rPr>
          <w:rFonts w:ascii="Times New Roman" w:hAnsi="Times New Roman"/>
          <w:noProof/>
          <w:sz w:val="24"/>
          <w:szCs w:val="24"/>
        </w:rPr>
        <w:t>unii). Inicjatywa ta zostanie opracowana we współpracy</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stwami członkowskimi,</w:t>
      </w:r>
      <w:r w:rsidR="00A5335D" w:rsidRPr="00A5335D">
        <w:rPr>
          <w:rFonts w:ascii="Times New Roman" w:hAnsi="Times New Roman"/>
          <w:noProof/>
          <w:sz w:val="24"/>
          <w:szCs w:val="24"/>
        </w:rPr>
        <w:t xml:space="preserve"> a tak</w:t>
      </w:r>
      <w:r w:rsidRPr="00A5335D">
        <w:rPr>
          <w:rFonts w:ascii="Times New Roman" w:hAnsi="Times New Roman"/>
          <w:noProof/>
          <w:sz w:val="24"/>
          <w:szCs w:val="24"/>
        </w:rPr>
        <w:t>że</w:t>
      </w:r>
      <w:r w:rsidR="00A5335D" w:rsidRPr="00A5335D">
        <w:rPr>
          <w:rFonts w:ascii="Times New Roman" w:hAnsi="Times New Roman"/>
          <w:noProof/>
          <w:sz w:val="24"/>
          <w:szCs w:val="24"/>
        </w:rPr>
        <w:t xml:space="preserve"> w por</w:t>
      </w:r>
      <w:r w:rsidRPr="00A5335D">
        <w:rPr>
          <w:rFonts w:ascii="Times New Roman" w:hAnsi="Times New Roman"/>
          <w:noProof/>
          <w:sz w:val="24"/>
          <w:szCs w:val="24"/>
        </w:rPr>
        <w:t>ozumieniu</w:t>
      </w:r>
      <w:r w:rsidR="00A5335D" w:rsidRPr="00A5335D">
        <w:rPr>
          <w:rFonts w:ascii="Times New Roman" w:hAnsi="Times New Roman"/>
          <w:noProof/>
          <w:sz w:val="24"/>
          <w:szCs w:val="24"/>
        </w:rPr>
        <w:t xml:space="preserve"> z pra</w:t>
      </w:r>
      <w:r w:rsidRPr="00A5335D">
        <w:rPr>
          <w:rFonts w:ascii="Times New Roman" w:hAnsi="Times New Roman"/>
          <w:noProof/>
          <w:sz w:val="24"/>
          <w:szCs w:val="24"/>
        </w:rPr>
        <w:t>codawcami, partnerami społecznymi</w:t>
      </w:r>
      <w:r w:rsidR="00A5335D" w:rsidRPr="00A5335D">
        <w:rPr>
          <w:rFonts w:ascii="Times New Roman" w:hAnsi="Times New Roman"/>
          <w:noProof/>
          <w:sz w:val="24"/>
          <w:szCs w:val="24"/>
        </w:rPr>
        <w:t xml:space="preserve"> i wsz</w:t>
      </w:r>
      <w:r w:rsidRPr="00A5335D">
        <w:rPr>
          <w:rFonts w:ascii="Times New Roman" w:hAnsi="Times New Roman"/>
          <w:noProof/>
          <w:sz w:val="24"/>
          <w:szCs w:val="24"/>
        </w:rPr>
        <w:t xml:space="preserve">ystkimi innymi zainteresowanymi stronami. </w:t>
      </w:r>
      <w:r w:rsidRPr="00A5335D">
        <w:rPr>
          <w:rFonts w:ascii="Times New Roman" w:hAnsi="Times New Roman"/>
          <w:b/>
          <w:bCs/>
          <w:noProof/>
          <w:sz w:val="24"/>
          <w:szCs w:val="24"/>
        </w:rPr>
        <w:t>Inicjatywa pilotażowa może ułatwić dopasowanie umiejętności wewnątrz UE</w:t>
      </w:r>
      <w:r w:rsidR="00A5335D" w:rsidRPr="00A5335D">
        <w:rPr>
          <w:rFonts w:ascii="Times New Roman" w:hAnsi="Times New Roman"/>
          <w:b/>
          <w:bCs/>
          <w:noProof/>
          <w:sz w:val="24"/>
          <w:szCs w:val="24"/>
        </w:rPr>
        <w:t xml:space="preserve"> i zap</w:t>
      </w:r>
      <w:r w:rsidRPr="00A5335D">
        <w:rPr>
          <w:rFonts w:ascii="Times New Roman" w:hAnsi="Times New Roman"/>
          <w:b/>
          <w:bCs/>
          <w:noProof/>
          <w:sz w:val="24"/>
          <w:szCs w:val="24"/>
        </w:rPr>
        <w:t>ewnić władzom przegląd szerokiego zakresu umiejętności, które można zmobilizować</w:t>
      </w:r>
      <w:r w:rsidR="00A5335D" w:rsidRPr="00A5335D">
        <w:rPr>
          <w:rFonts w:ascii="Times New Roman" w:hAnsi="Times New Roman"/>
          <w:b/>
          <w:bCs/>
          <w:noProof/>
          <w:sz w:val="24"/>
          <w:szCs w:val="24"/>
        </w:rPr>
        <w:t xml:space="preserve"> w ich</w:t>
      </w:r>
      <w:r w:rsidRPr="00A5335D">
        <w:rPr>
          <w:rFonts w:ascii="Times New Roman" w:hAnsi="Times New Roman"/>
          <w:b/>
          <w:bCs/>
          <w:noProof/>
          <w:sz w:val="24"/>
          <w:szCs w:val="24"/>
        </w:rPr>
        <w:t xml:space="preserve"> krajach</w:t>
      </w:r>
      <w:r w:rsidRPr="00A5335D">
        <w:rPr>
          <w:rFonts w:ascii="Times New Roman" w:hAnsi="Times New Roman"/>
          <w:noProof/>
          <w:sz w:val="24"/>
          <w:szCs w:val="24"/>
        </w:rPr>
        <w:t>. Mogłaby ona ułatwić dopasowanie się do potrzeb</w:t>
      </w:r>
      <w:r w:rsidR="00A5335D" w:rsidRPr="00A5335D">
        <w:rPr>
          <w:rFonts w:ascii="Times New Roman" w:hAnsi="Times New Roman"/>
          <w:noProof/>
          <w:sz w:val="24"/>
          <w:szCs w:val="24"/>
        </w:rPr>
        <w:t xml:space="preserve"> w pri</w:t>
      </w:r>
      <w:r w:rsidRPr="00A5335D">
        <w:rPr>
          <w:rFonts w:ascii="Times New Roman" w:hAnsi="Times New Roman"/>
          <w:noProof/>
          <w:sz w:val="24"/>
          <w:szCs w:val="24"/>
        </w:rPr>
        <w:t>orytetowych sektorach</w:t>
      </w:r>
      <w:r w:rsidR="00A5335D" w:rsidRPr="00A5335D">
        <w:rPr>
          <w:rFonts w:ascii="Times New Roman" w:hAnsi="Times New Roman"/>
          <w:noProof/>
          <w:sz w:val="24"/>
          <w:szCs w:val="24"/>
        </w:rPr>
        <w:t xml:space="preserve"> w zwi</w:t>
      </w:r>
      <w:r w:rsidRPr="00A5335D">
        <w:rPr>
          <w:rFonts w:ascii="Times New Roman" w:hAnsi="Times New Roman"/>
          <w:noProof/>
          <w:sz w:val="24"/>
          <w:szCs w:val="24"/>
        </w:rPr>
        <w:t>ązku</w:t>
      </w:r>
      <w:r w:rsidR="00A5335D" w:rsidRPr="00A5335D">
        <w:rPr>
          <w:rFonts w:ascii="Times New Roman" w:hAnsi="Times New Roman"/>
          <w:noProof/>
          <w:sz w:val="24"/>
          <w:szCs w:val="24"/>
        </w:rPr>
        <w:t xml:space="preserve"> z duż</w:t>
      </w:r>
      <w:r w:rsidRPr="00A5335D">
        <w:rPr>
          <w:rFonts w:ascii="Times New Roman" w:hAnsi="Times New Roman"/>
          <w:noProof/>
          <w:sz w:val="24"/>
          <w:szCs w:val="24"/>
        </w:rPr>
        <w:t>ą liczbą uchodźców przybywających</w:t>
      </w:r>
      <w:r w:rsidR="00A5335D" w:rsidRPr="00A5335D">
        <w:rPr>
          <w:rFonts w:ascii="Times New Roman" w:hAnsi="Times New Roman"/>
          <w:noProof/>
          <w:sz w:val="24"/>
          <w:szCs w:val="24"/>
        </w:rPr>
        <w:t xml:space="preserve"> z Ukr</w:t>
      </w:r>
      <w:r w:rsidRPr="00A5335D">
        <w:rPr>
          <w:rFonts w:ascii="Times New Roman" w:hAnsi="Times New Roman"/>
          <w:noProof/>
          <w:sz w:val="24"/>
          <w:szCs w:val="24"/>
        </w:rPr>
        <w:t>ainy, np. edukacja dla przybywających dzieci (ułatwiona przez organizowanie usług komunalnych) lub dostęp do podstawowych usług</w:t>
      </w:r>
      <w:r w:rsidR="00A5335D" w:rsidRPr="00A5335D">
        <w:rPr>
          <w:rFonts w:ascii="Times New Roman" w:hAnsi="Times New Roman"/>
          <w:noProof/>
          <w:sz w:val="24"/>
          <w:szCs w:val="24"/>
        </w:rPr>
        <w:t xml:space="preserve"> i opi</w:t>
      </w:r>
      <w:r w:rsidRPr="00A5335D">
        <w:rPr>
          <w:rFonts w:ascii="Times New Roman" w:hAnsi="Times New Roman"/>
          <w:noProof/>
          <w:sz w:val="24"/>
          <w:szCs w:val="24"/>
        </w:rPr>
        <w:t>eki zdrowotnej (zapewniony przez pracowników służby zdrowia lub tłumaczy).</w:t>
      </w:r>
    </w:p>
    <w:p w14:paraId="27CEFCCC" w14:textId="205B19C2" w:rsidR="008A39C9" w:rsidRPr="00A5335D" w:rsidRDefault="005A26F0" w:rsidP="00341E3E">
      <w:pPr>
        <w:spacing w:before="120" w:after="240"/>
        <w:jc w:val="both"/>
        <w:rPr>
          <w:rFonts w:ascii="Times New Roman" w:hAnsi="Times New Roman" w:cs="Times New Roman"/>
          <w:noProof/>
          <w:sz w:val="24"/>
          <w:szCs w:val="24"/>
        </w:rPr>
      </w:pPr>
      <w:r w:rsidRPr="00A5335D">
        <w:rPr>
          <w:rFonts w:ascii="Times New Roman" w:hAnsi="Times New Roman"/>
          <w:noProof/>
          <w:snapToGrid w:val="0"/>
          <w:color w:val="000000"/>
          <w:sz w:val="0"/>
          <w:szCs w:val="0"/>
          <w:u w:color="000000"/>
          <w:bdr w:val="none" w:sz="0" w:space="0" w:color="000000"/>
          <w:shd w:val="clear" w:color="000000" w:fill="000000"/>
        </w:rPr>
        <w:t xml:space="preserve"> </w:t>
      </w:r>
      <w:r w:rsidR="00C36B20" w:rsidRPr="00A5335D">
        <w:rPr>
          <w:noProof/>
          <w:lang w:val="en-GB" w:eastAsia="en-GB"/>
        </w:rPr>
        <w:drawing>
          <wp:inline distT="0" distB="0" distL="0" distR="0" wp14:anchorId="1A07B534" wp14:editId="34BF4B22">
            <wp:extent cx="5760720" cy="3261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720" cy="3261995"/>
                    </a:xfrm>
                    <a:prstGeom prst="rect">
                      <a:avLst/>
                    </a:prstGeom>
                  </pic:spPr>
                </pic:pic>
              </a:graphicData>
            </a:graphic>
          </wp:inline>
        </w:drawing>
      </w:r>
      <w:r w:rsidR="00C36B20" w:rsidRPr="00A5335D">
        <w:rPr>
          <w:noProof/>
        </w:rPr>
        <w:t xml:space="preserve"> </w:t>
      </w:r>
    </w:p>
    <w:p w14:paraId="27CEFCCD" w14:textId="3B4F95CF" w:rsidR="003767C2" w:rsidRPr="00A5335D" w:rsidRDefault="00341E3E" w:rsidP="006F114F">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 xml:space="preserve">Komisja utworzyła już specjalną </w:t>
      </w:r>
      <w:r w:rsidRPr="00A5335D">
        <w:rPr>
          <w:rFonts w:ascii="Times New Roman" w:hAnsi="Times New Roman"/>
          <w:b/>
          <w:bCs/>
          <w:noProof/>
          <w:sz w:val="24"/>
          <w:szCs w:val="24"/>
        </w:rPr>
        <w:t>grupę tematyczną</w:t>
      </w:r>
      <w:r w:rsidRPr="00A5335D">
        <w:rPr>
          <w:rFonts w:ascii="Times New Roman" w:hAnsi="Times New Roman"/>
          <w:noProof/>
          <w:sz w:val="24"/>
          <w:szCs w:val="24"/>
        </w:rPr>
        <w:t xml:space="preserve"> składającą się</w:t>
      </w:r>
      <w:r w:rsidR="00A5335D" w:rsidRPr="00A5335D">
        <w:rPr>
          <w:rFonts w:ascii="Times New Roman" w:hAnsi="Times New Roman"/>
          <w:noProof/>
          <w:sz w:val="24"/>
          <w:szCs w:val="24"/>
        </w:rPr>
        <w:t xml:space="preserve"> z pun</w:t>
      </w:r>
      <w:r w:rsidRPr="00A5335D">
        <w:rPr>
          <w:rFonts w:ascii="Times New Roman" w:hAnsi="Times New Roman"/>
          <w:noProof/>
          <w:sz w:val="24"/>
          <w:szCs w:val="24"/>
        </w:rPr>
        <w:t>któw kontaktowych</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członkowskich zainteresowanych udziałem</w:t>
      </w:r>
      <w:r w:rsidR="00A5335D" w:rsidRPr="00A5335D">
        <w:rPr>
          <w:rFonts w:ascii="Times New Roman" w:hAnsi="Times New Roman"/>
          <w:noProof/>
          <w:sz w:val="24"/>
          <w:szCs w:val="24"/>
        </w:rPr>
        <w:t xml:space="preserve"> w ini</w:t>
      </w:r>
      <w:r w:rsidRPr="00A5335D">
        <w:rPr>
          <w:rFonts w:ascii="Times New Roman" w:hAnsi="Times New Roman"/>
          <w:noProof/>
          <w:sz w:val="24"/>
          <w:szCs w:val="24"/>
        </w:rPr>
        <w:t>cjatywie pilotażowej</w:t>
      </w:r>
      <w:r w:rsidR="00A5335D" w:rsidRPr="00A5335D">
        <w:rPr>
          <w:rFonts w:ascii="Times New Roman" w:hAnsi="Times New Roman"/>
          <w:noProof/>
          <w:sz w:val="24"/>
          <w:szCs w:val="24"/>
        </w:rPr>
        <w:t xml:space="preserve"> w ram</w:t>
      </w:r>
      <w:r w:rsidRPr="00A5335D">
        <w:rPr>
          <w:rFonts w:ascii="Times New Roman" w:hAnsi="Times New Roman"/>
          <w:noProof/>
          <w:sz w:val="24"/>
          <w:szCs w:val="24"/>
        </w:rPr>
        <w:t>ach Europejskiej Sieci Migracyjnej. Do lata grupa tematyczna opracuje</w:t>
      </w:r>
      <w:r w:rsidR="00A5335D" w:rsidRPr="00A5335D">
        <w:rPr>
          <w:rFonts w:ascii="Times New Roman" w:hAnsi="Times New Roman"/>
          <w:noProof/>
          <w:sz w:val="24"/>
          <w:szCs w:val="24"/>
        </w:rPr>
        <w:t xml:space="preserve"> i wdr</w:t>
      </w:r>
      <w:r w:rsidRPr="00A5335D">
        <w:rPr>
          <w:rFonts w:ascii="Times New Roman" w:hAnsi="Times New Roman"/>
          <w:noProof/>
          <w:sz w:val="24"/>
          <w:szCs w:val="24"/>
        </w:rPr>
        <w:t xml:space="preserve">oży inicjatywę pilotażową. Udostępniony zostanie </w:t>
      </w:r>
      <w:r w:rsidRPr="00A5335D">
        <w:rPr>
          <w:rFonts w:ascii="Times New Roman" w:hAnsi="Times New Roman"/>
          <w:b/>
          <w:bCs/>
          <w:noProof/>
          <w:sz w:val="24"/>
          <w:szCs w:val="24"/>
        </w:rPr>
        <w:t>portal internetowy</w:t>
      </w:r>
      <w:r w:rsidRPr="00A5335D">
        <w:rPr>
          <w:rFonts w:ascii="Times New Roman" w:hAnsi="Times New Roman"/>
          <w:noProof/>
          <w:sz w:val="24"/>
          <w:szCs w:val="24"/>
        </w:rPr>
        <w:t>, na którym osoby korzystające</w:t>
      </w:r>
      <w:r w:rsidR="00A5335D" w:rsidRPr="00A5335D">
        <w:rPr>
          <w:rFonts w:ascii="Times New Roman" w:hAnsi="Times New Roman"/>
          <w:noProof/>
          <w:sz w:val="24"/>
          <w:szCs w:val="24"/>
        </w:rPr>
        <w:t xml:space="preserve"> z och</w:t>
      </w:r>
      <w:r w:rsidRPr="00A5335D">
        <w:rPr>
          <w:rFonts w:ascii="Times New Roman" w:hAnsi="Times New Roman"/>
          <w:noProof/>
          <w:sz w:val="24"/>
          <w:szCs w:val="24"/>
        </w:rPr>
        <w:t>rony tymczasowej będą mogły zarejestrować się jako osoby zainteresowane znalezieniem pracy</w:t>
      </w:r>
      <w:r w:rsidR="00A5335D" w:rsidRPr="00A5335D">
        <w:rPr>
          <w:rFonts w:ascii="Times New Roman" w:hAnsi="Times New Roman"/>
          <w:noProof/>
          <w:sz w:val="24"/>
          <w:szCs w:val="24"/>
        </w:rPr>
        <w:t xml:space="preserve"> w pań</w:t>
      </w:r>
      <w:r w:rsidRPr="00A5335D">
        <w:rPr>
          <w:rFonts w:ascii="Times New Roman" w:hAnsi="Times New Roman"/>
          <w:noProof/>
          <w:sz w:val="24"/>
          <w:szCs w:val="24"/>
        </w:rPr>
        <w:t>stwach członkowskich oraz zaprezentować swoje umiejętności</w:t>
      </w:r>
      <w:r w:rsidR="00A5335D" w:rsidRPr="00A5335D">
        <w:rPr>
          <w:rFonts w:ascii="Times New Roman" w:hAnsi="Times New Roman"/>
          <w:noProof/>
          <w:sz w:val="24"/>
          <w:szCs w:val="24"/>
        </w:rPr>
        <w:t xml:space="preserve"> i doś</w:t>
      </w:r>
      <w:r w:rsidRPr="00A5335D">
        <w:rPr>
          <w:rFonts w:ascii="Times New Roman" w:hAnsi="Times New Roman"/>
          <w:noProof/>
          <w:sz w:val="24"/>
          <w:szCs w:val="24"/>
        </w:rPr>
        <w:t xml:space="preserve">wiadczenie zawodowe. Projekt portalu będzie zawierał elementy </w:t>
      </w:r>
      <w:r w:rsidRPr="00A5335D">
        <w:rPr>
          <w:rFonts w:ascii="Times New Roman" w:hAnsi="Times New Roman"/>
          <w:b/>
          <w:bCs/>
          <w:noProof/>
          <w:sz w:val="24"/>
          <w:szCs w:val="24"/>
        </w:rPr>
        <w:t>narzędzia do tworzenia profilu umiejętności obywateli państw trzecich</w:t>
      </w:r>
      <w:r w:rsidRPr="00A5335D">
        <w:rPr>
          <w:rFonts w:ascii="Times New Roman" w:hAnsi="Times New Roman"/>
          <w:noProof/>
          <w:sz w:val="24"/>
          <w:szCs w:val="24"/>
        </w:rPr>
        <w:t>, specjalnego narzędzia UE służącego do identyfikacji, grupowania</w:t>
      </w:r>
      <w:r w:rsidR="00A5335D" w:rsidRPr="00A5335D">
        <w:rPr>
          <w:rFonts w:ascii="Times New Roman" w:hAnsi="Times New Roman"/>
          <w:noProof/>
          <w:sz w:val="24"/>
          <w:szCs w:val="24"/>
        </w:rPr>
        <w:t xml:space="preserve"> i dok</w:t>
      </w:r>
      <w:r w:rsidRPr="00A5335D">
        <w:rPr>
          <w:rFonts w:ascii="Times New Roman" w:hAnsi="Times New Roman"/>
          <w:noProof/>
          <w:sz w:val="24"/>
          <w:szCs w:val="24"/>
        </w:rPr>
        <w:t>umentowania umiejętności obywateli państw trzecich</w:t>
      </w:r>
      <w:r w:rsidR="00A5335D" w:rsidRPr="00A5335D">
        <w:rPr>
          <w:rFonts w:ascii="Times New Roman" w:hAnsi="Times New Roman"/>
          <w:noProof/>
          <w:sz w:val="24"/>
          <w:szCs w:val="24"/>
        </w:rPr>
        <w:t>. W ram</w:t>
      </w:r>
      <w:r w:rsidRPr="00A5335D">
        <w:rPr>
          <w:rFonts w:ascii="Times New Roman" w:hAnsi="Times New Roman"/>
          <w:noProof/>
          <w:sz w:val="24"/>
          <w:szCs w:val="24"/>
        </w:rPr>
        <w:t>ach realizacji tej inicjatywy nawiązana zostanie współpraca</w:t>
      </w:r>
      <w:r w:rsidR="00A5335D" w:rsidRPr="00A5335D">
        <w:rPr>
          <w:rFonts w:ascii="Times New Roman" w:hAnsi="Times New Roman"/>
          <w:noProof/>
          <w:sz w:val="24"/>
          <w:szCs w:val="24"/>
        </w:rPr>
        <w:t xml:space="preserve"> z wła</w:t>
      </w:r>
      <w:r w:rsidRPr="00A5335D">
        <w:rPr>
          <w:rFonts w:ascii="Times New Roman" w:hAnsi="Times New Roman"/>
          <w:noProof/>
          <w:sz w:val="24"/>
          <w:szCs w:val="24"/>
        </w:rPr>
        <w:t>dzami ukraińskimi,</w:t>
      </w:r>
      <w:r w:rsidR="00A5335D" w:rsidRPr="00A5335D">
        <w:rPr>
          <w:rFonts w:ascii="Times New Roman" w:hAnsi="Times New Roman"/>
          <w:noProof/>
          <w:sz w:val="24"/>
          <w:szCs w:val="24"/>
        </w:rPr>
        <w:t xml:space="preserve"> w tym w zak</w:t>
      </w:r>
      <w:r w:rsidRPr="00A5335D">
        <w:rPr>
          <w:rFonts w:ascii="Times New Roman" w:hAnsi="Times New Roman"/>
          <w:noProof/>
          <w:sz w:val="24"/>
          <w:szCs w:val="24"/>
        </w:rPr>
        <w:t>resie ułatwiania uznawania kwalifikacji zgodnie</w:t>
      </w:r>
      <w:r w:rsidR="00A5335D" w:rsidRPr="00A5335D">
        <w:rPr>
          <w:rFonts w:ascii="Times New Roman" w:hAnsi="Times New Roman"/>
          <w:noProof/>
          <w:sz w:val="24"/>
          <w:szCs w:val="24"/>
        </w:rPr>
        <w:t xml:space="preserve"> z zal</w:t>
      </w:r>
      <w:r w:rsidRPr="00A5335D">
        <w:rPr>
          <w:rFonts w:ascii="Times New Roman" w:hAnsi="Times New Roman"/>
          <w:noProof/>
          <w:sz w:val="24"/>
          <w:szCs w:val="24"/>
        </w:rPr>
        <w:t>eceniem Komisji</w:t>
      </w:r>
      <w:r w:rsidR="00A5335D" w:rsidRPr="00A5335D">
        <w:rPr>
          <w:rFonts w:ascii="Times New Roman" w:hAnsi="Times New Roman"/>
          <w:noProof/>
          <w:sz w:val="24"/>
          <w:szCs w:val="24"/>
        </w:rPr>
        <w:t xml:space="preserve"> w spr</w:t>
      </w:r>
      <w:r w:rsidRPr="00A5335D">
        <w:rPr>
          <w:rFonts w:ascii="Times New Roman" w:hAnsi="Times New Roman"/>
          <w:noProof/>
          <w:sz w:val="24"/>
          <w:szCs w:val="24"/>
        </w:rPr>
        <w:t>awie uznawania kwalifikacji osób uciekających przed rosyjską wojną napastniczą przeciwko Ukrainie</w:t>
      </w:r>
      <w:r w:rsidRPr="00A5335D">
        <w:rPr>
          <w:rStyle w:val="FootnoteReference"/>
          <w:rFonts w:ascii="Times New Roman" w:hAnsi="Times New Roman" w:cs="Times New Roman"/>
          <w:noProof/>
          <w:sz w:val="24"/>
          <w:szCs w:val="24"/>
        </w:rPr>
        <w:footnoteReference w:id="57"/>
      </w:r>
      <w:r w:rsidRPr="00A5335D">
        <w:rPr>
          <w:rFonts w:ascii="Times New Roman" w:hAnsi="Times New Roman"/>
          <w:noProof/>
          <w:sz w:val="24"/>
          <w:szCs w:val="24"/>
        </w:rPr>
        <w:t>.</w:t>
      </w:r>
    </w:p>
    <w:p w14:paraId="27CEFCCE" w14:textId="4DB98422" w:rsidR="00750624" w:rsidRPr="00A5335D" w:rsidRDefault="005F380E" w:rsidP="002004B8">
      <w:pPr>
        <w:spacing w:before="120" w:after="240"/>
        <w:jc w:val="both"/>
        <w:rPr>
          <w:rFonts w:ascii="Times New Roman" w:hAnsi="Times New Roman" w:cs="Times New Roman"/>
          <w:noProof/>
          <w:sz w:val="24"/>
          <w:szCs w:val="24"/>
        </w:rPr>
      </w:pPr>
      <w:r w:rsidRPr="00A5335D">
        <w:rPr>
          <w:rFonts w:ascii="Times New Roman" w:hAnsi="Times New Roman"/>
          <w:b/>
          <w:bCs/>
          <w:noProof/>
          <w:sz w:val="24"/>
          <w:szCs w:val="24"/>
        </w:rPr>
        <w:t>Równolegle do inicjatywy pilotażowej</w:t>
      </w:r>
      <w:r w:rsidRPr="00A5335D">
        <w:rPr>
          <w:rFonts w:ascii="Times New Roman" w:hAnsi="Times New Roman"/>
          <w:noProof/>
          <w:sz w:val="24"/>
          <w:szCs w:val="24"/>
        </w:rPr>
        <w:t>,</w:t>
      </w:r>
      <w:r w:rsidR="00A5335D" w:rsidRPr="00A5335D">
        <w:rPr>
          <w:rFonts w:ascii="Times New Roman" w:hAnsi="Times New Roman"/>
          <w:noProof/>
          <w:sz w:val="24"/>
          <w:szCs w:val="24"/>
        </w:rPr>
        <w:t xml:space="preserve"> w ści</w:t>
      </w:r>
      <w:r w:rsidRPr="00A5335D">
        <w:rPr>
          <w:rFonts w:ascii="Times New Roman" w:hAnsi="Times New Roman"/>
          <w:noProof/>
          <w:sz w:val="24"/>
          <w:szCs w:val="24"/>
        </w:rPr>
        <w:t>słej współpracy</w:t>
      </w:r>
      <w:r w:rsidR="00A5335D" w:rsidRPr="00A5335D">
        <w:rPr>
          <w:rFonts w:ascii="Times New Roman" w:hAnsi="Times New Roman"/>
          <w:noProof/>
          <w:sz w:val="24"/>
          <w:szCs w:val="24"/>
        </w:rPr>
        <w:t xml:space="preserve"> z ucz</w:t>
      </w:r>
      <w:r w:rsidRPr="00A5335D">
        <w:rPr>
          <w:rFonts w:ascii="Times New Roman" w:hAnsi="Times New Roman"/>
          <w:noProof/>
          <w:sz w:val="24"/>
          <w:szCs w:val="24"/>
        </w:rPr>
        <w:t>estniczącymi państwami członkowskimi</w:t>
      </w:r>
      <w:r w:rsidR="00A5335D" w:rsidRPr="00A5335D">
        <w:rPr>
          <w:rFonts w:ascii="Times New Roman" w:hAnsi="Times New Roman"/>
          <w:noProof/>
          <w:sz w:val="24"/>
          <w:szCs w:val="24"/>
        </w:rPr>
        <w:t xml:space="preserve"> i inn</w:t>
      </w:r>
      <w:r w:rsidRPr="00A5335D">
        <w:rPr>
          <w:rFonts w:ascii="Times New Roman" w:hAnsi="Times New Roman"/>
          <w:noProof/>
          <w:sz w:val="24"/>
          <w:szCs w:val="24"/>
        </w:rPr>
        <w:t>ymi zainteresowanymi stronami, takimi jak organizacje pracodawców, partnerzy społeczni oraz ośrodki kształcenia</w:t>
      </w:r>
      <w:r w:rsidR="00A5335D" w:rsidRPr="00A5335D">
        <w:rPr>
          <w:rFonts w:ascii="Times New Roman" w:hAnsi="Times New Roman"/>
          <w:noProof/>
          <w:sz w:val="24"/>
          <w:szCs w:val="24"/>
        </w:rPr>
        <w:t xml:space="preserve"> i szk</w:t>
      </w:r>
      <w:r w:rsidRPr="00A5335D">
        <w:rPr>
          <w:rFonts w:ascii="Times New Roman" w:hAnsi="Times New Roman"/>
          <w:noProof/>
          <w:sz w:val="24"/>
          <w:szCs w:val="24"/>
        </w:rPr>
        <w:t>olenia zawodowego, zostanie opracowana stała</w:t>
      </w:r>
      <w:r w:rsidR="00A5335D" w:rsidRPr="00A5335D">
        <w:rPr>
          <w:rFonts w:ascii="Times New Roman" w:hAnsi="Times New Roman"/>
          <w:noProof/>
          <w:sz w:val="24"/>
          <w:szCs w:val="24"/>
        </w:rPr>
        <w:t xml:space="preserve"> i ogó</w:t>
      </w:r>
      <w:r w:rsidRPr="00A5335D">
        <w:rPr>
          <w:rFonts w:ascii="Times New Roman" w:hAnsi="Times New Roman"/>
          <w:noProof/>
          <w:sz w:val="24"/>
          <w:szCs w:val="24"/>
        </w:rPr>
        <w:t xml:space="preserve">lna </w:t>
      </w:r>
      <w:r w:rsidRPr="00A5335D">
        <w:rPr>
          <w:rFonts w:ascii="Times New Roman" w:hAnsi="Times New Roman"/>
          <w:b/>
          <w:bCs/>
          <w:noProof/>
          <w:sz w:val="24"/>
          <w:szCs w:val="24"/>
        </w:rPr>
        <w:t>unijna pula talentów</w:t>
      </w:r>
      <w:r w:rsidRPr="00A5335D">
        <w:rPr>
          <w:rFonts w:ascii="Times New Roman" w:hAnsi="Times New Roman"/>
          <w:noProof/>
          <w:sz w:val="24"/>
          <w:szCs w:val="24"/>
        </w:rPr>
        <w:t xml:space="preserve"> dla wszystkich obywateli państw trzecich, którzy są zainteresowani migracją</w:t>
      </w:r>
      <w:r w:rsidR="00A5335D" w:rsidRPr="00A5335D">
        <w:rPr>
          <w:rFonts w:ascii="Times New Roman" w:hAnsi="Times New Roman"/>
          <w:noProof/>
          <w:sz w:val="24"/>
          <w:szCs w:val="24"/>
        </w:rPr>
        <w:t xml:space="preserve"> w cel</w:t>
      </w:r>
      <w:r w:rsidRPr="00A5335D">
        <w:rPr>
          <w:rFonts w:ascii="Times New Roman" w:hAnsi="Times New Roman"/>
          <w:noProof/>
          <w:sz w:val="24"/>
          <w:szCs w:val="24"/>
        </w:rPr>
        <w:t>u zamieszkania</w:t>
      </w:r>
      <w:r w:rsidR="00A5335D" w:rsidRPr="00A5335D">
        <w:rPr>
          <w:rFonts w:ascii="Times New Roman" w:hAnsi="Times New Roman"/>
          <w:noProof/>
          <w:sz w:val="24"/>
          <w:szCs w:val="24"/>
        </w:rPr>
        <w:t xml:space="preserve"> i pra</w:t>
      </w:r>
      <w:r w:rsidRPr="00A5335D">
        <w:rPr>
          <w:rFonts w:ascii="Times New Roman" w:hAnsi="Times New Roman"/>
          <w:noProof/>
          <w:sz w:val="24"/>
          <w:szCs w:val="24"/>
        </w:rPr>
        <w:t xml:space="preserve">cy w UE. </w:t>
      </w:r>
      <w:r w:rsidRPr="00A5335D">
        <w:rPr>
          <w:rFonts w:ascii="Times New Roman" w:hAnsi="Times New Roman"/>
          <w:b/>
          <w:bCs/>
          <w:noProof/>
          <w:sz w:val="24"/>
          <w:szCs w:val="24"/>
        </w:rPr>
        <w:t>Do połowy 2023</w:t>
      </w:r>
      <w:r w:rsidR="00A5335D" w:rsidRPr="00A5335D">
        <w:rPr>
          <w:rFonts w:ascii="Times New Roman" w:hAnsi="Times New Roman"/>
          <w:b/>
          <w:bCs/>
          <w:noProof/>
          <w:sz w:val="24"/>
          <w:szCs w:val="24"/>
        </w:rPr>
        <w:t> </w:t>
      </w:r>
      <w:r w:rsidRPr="00A5335D">
        <w:rPr>
          <w:rFonts w:ascii="Times New Roman" w:hAnsi="Times New Roman"/>
          <w:b/>
          <w:bCs/>
          <w:noProof/>
          <w:sz w:val="24"/>
          <w:szCs w:val="24"/>
        </w:rPr>
        <w:t>r. Komisja zamierza formalnie uruchomić unijną pulę talentów</w:t>
      </w:r>
      <w:r w:rsidR="00A5335D" w:rsidRPr="00A5335D">
        <w:rPr>
          <w:rFonts w:ascii="Times New Roman" w:hAnsi="Times New Roman"/>
          <w:b/>
          <w:bCs/>
          <w:noProof/>
          <w:sz w:val="24"/>
          <w:szCs w:val="24"/>
        </w:rPr>
        <w:t xml:space="preserve"> i jej</w:t>
      </w:r>
      <w:r w:rsidRPr="00A5335D">
        <w:rPr>
          <w:rFonts w:ascii="Times New Roman" w:hAnsi="Times New Roman"/>
          <w:b/>
          <w:bCs/>
          <w:noProof/>
          <w:sz w:val="24"/>
          <w:szCs w:val="24"/>
        </w:rPr>
        <w:t xml:space="preserve"> portal internetowy</w:t>
      </w:r>
      <w:r w:rsidRPr="00A5335D">
        <w:rPr>
          <w:rFonts w:ascii="Times New Roman" w:hAnsi="Times New Roman"/>
          <w:noProof/>
          <w:sz w:val="24"/>
          <w:szCs w:val="24"/>
        </w:rPr>
        <w:t xml:space="preserve"> </w:t>
      </w:r>
      <w:r w:rsidRPr="00A5335D">
        <w:rPr>
          <w:rFonts w:ascii="Times New Roman" w:hAnsi="Times New Roman"/>
          <w:noProof/>
          <w:color w:val="1F497D"/>
          <w:sz w:val="24"/>
          <w:szCs w:val="24"/>
        </w:rPr>
        <w:t>–</w:t>
      </w:r>
      <w:r w:rsidR="00A5335D" w:rsidRPr="00A5335D">
        <w:rPr>
          <w:rFonts w:ascii="Times New Roman" w:hAnsi="Times New Roman"/>
          <w:noProof/>
          <w:color w:val="1F497D"/>
          <w:sz w:val="24"/>
          <w:szCs w:val="24"/>
        </w:rPr>
        <w:t xml:space="preserve"> </w:t>
      </w:r>
      <w:r w:rsidR="00A5335D" w:rsidRPr="00A5335D">
        <w:rPr>
          <w:rFonts w:ascii="Times New Roman" w:hAnsi="Times New Roman"/>
          <w:noProof/>
          <w:sz w:val="24"/>
          <w:szCs w:val="24"/>
        </w:rPr>
        <w:t>i</w:t>
      </w:r>
      <w:r w:rsidR="00A5335D" w:rsidRPr="00A5335D">
        <w:rPr>
          <w:rFonts w:ascii="Times New Roman" w:hAnsi="Times New Roman"/>
          <w:noProof/>
          <w:color w:val="1F497D"/>
          <w:sz w:val="24"/>
          <w:szCs w:val="24"/>
        </w:rPr>
        <w:t> </w:t>
      </w:r>
      <w:r w:rsidR="00A5335D" w:rsidRPr="00A5335D">
        <w:rPr>
          <w:rFonts w:ascii="Times New Roman" w:hAnsi="Times New Roman"/>
          <w:noProof/>
          <w:sz w:val="24"/>
          <w:szCs w:val="24"/>
        </w:rPr>
        <w:t>zap</w:t>
      </w:r>
      <w:r w:rsidRPr="00A5335D">
        <w:rPr>
          <w:rFonts w:ascii="Times New Roman" w:hAnsi="Times New Roman"/>
          <w:noProof/>
          <w:sz w:val="24"/>
          <w:szCs w:val="24"/>
        </w:rPr>
        <w:t>roponuje zalecenie</w:t>
      </w:r>
      <w:r w:rsidR="00A5335D" w:rsidRPr="00A5335D">
        <w:rPr>
          <w:rFonts w:ascii="Times New Roman" w:hAnsi="Times New Roman"/>
          <w:noProof/>
          <w:sz w:val="24"/>
          <w:szCs w:val="24"/>
        </w:rPr>
        <w:t xml:space="preserve"> w spr</w:t>
      </w:r>
      <w:r w:rsidRPr="00A5335D">
        <w:rPr>
          <w:rFonts w:ascii="Times New Roman" w:hAnsi="Times New Roman"/>
          <w:noProof/>
          <w:sz w:val="24"/>
          <w:szCs w:val="24"/>
        </w:rPr>
        <w:t>awie utworzenia unijnej puli talentów,</w:t>
      </w:r>
      <w:r w:rsidR="00A5335D" w:rsidRPr="00A5335D">
        <w:rPr>
          <w:rFonts w:ascii="Times New Roman" w:hAnsi="Times New Roman"/>
          <w:noProof/>
          <w:sz w:val="24"/>
          <w:szCs w:val="24"/>
        </w:rPr>
        <w:t xml:space="preserve"> w tym</w:t>
      </w:r>
      <w:r w:rsidRPr="00A5335D">
        <w:rPr>
          <w:rFonts w:ascii="Times New Roman" w:hAnsi="Times New Roman"/>
          <w:noProof/>
          <w:sz w:val="24"/>
          <w:szCs w:val="24"/>
        </w:rPr>
        <w:t xml:space="preserve"> kartę</w:t>
      </w:r>
      <w:r w:rsidR="00A5335D" w:rsidRPr="00A5335D">
        <w:rPr>
          <w:rFonts w:ascii="Times New Roman" w:hAnsi="Times New Roman"/>
          <w:noProof/>
          <w:sz w:val="24"/>
          <w:szCs w:val="24"/>
        </w:rPr>
        <w:t xml:space="preserve"> i szc</w:t>
      </w:r>
      <w:r w:rsidRPr="00A5335D">
        <w:rPr>
          <w:rFonts w:ascii="Times New Roman" w:hAnsi="Times New Roman"/>
          <w:noProof/>
          <w:sz w:val="24"/>
          <w:szCs w:val="24"/>
        </w:rPr>
        <w:t>zegółowy plan działania dotyczący etapów jej stopniowego rozwoju</w:t>
      </w:r>
      <w:r w:rsidR="00483889" w:rsidRPr="00A5335D">
        <w:rPr>
          <w:rStyle w:val="FootnoteReference"/>
          <w:rFonts w:ascii="Times New Roman" w:hAnsi="Times New Roman" w:cs="Times New Roman"/>
          <w:noProof/>
          <w:sz w:val="24"/>
          <w:szCs w:val="24"/>
        </w:rPr>
        <w:footnoteReference w:id="58"/>
      </w:r>
      <w:r w:rsidRPr="00A5335D">
        <w:rPr>
          <w:rFonts w:ascii="Times New Roman" w:hAnsi="Times New Roman"/>
          <w:noProof/>
          <w:sz w:val="24"/>
          <w:szCs w:val="24"/>
        </w:rPr>
        <w:t>. Opierając się na wnioskach wyciągniętych</w:t>
      </w:r>
      <w:r w:rsidR="00A5335D" w:rsidRPr="00A5335D">
        <w:rPr>
          <w:rFonts w:ascii="Times New Roman" w:hAnsi="Times New Roman"/>
          <w:noProof/>
          <w:sz w:val="24"/>
          <w:szCs w:val="24"/>
        </w:rPr>
        <w:t xml:space="preserve"> z fun</w:t>
      </w:r>
      <w:r w:rsidRPr="00A5335D">
        <w:rPr>
          <w:rFonts w:ascii="Times New Roman" w:hAnsi="Times New Roman"/>
          <w:noProof/>
          <w:sz w:val="24"/>
          <w:szCs w:val="24"/>
        </w:rPr>
        <w:t>kcjonowania inicjatywy pilotażowej, pracująca nad nią grupa tematyczna będzie również kierować pracami nad projektem struktury organizacyjnej unijnej puli talentów, jej struktury zarządzania</w:t>
      </w:r>
      <w:r w:rsidR="00A5335D" w:rsidRPr="00A5335D">
        <w:rPr>
          <w:rFonts w:ascii="Times New Roman" w:hAnsi="Times New Roman"/>
          <w:noProof/>
          <w:sz w:val="24"/>
          <w:szCs w:val="24"/>
        </w:rPr>
        <w:t xml:space="preserve"> </w:t>
      </w:r>
      <w:r w:rsidRPr="00A5335D">
        <w:rPr>
          <w:rFonts w:ascii="Times New Roman" w:hAnsi="Times New Roman"/>
          <w:noProof/>
          <w:sz w:val="24"/>
          <w:szCs w:val="24"/>
        </w:rPr>
        <w:t>oraz</w:t>
      </w:r>
      <w:r w:rsidR="00A5335D" w:rsidRPr="00A5335D">
        <w:rPr>
          <w:rFonts w:ascii="Times New Roman" w:hAnsi="Times New Roman"/>
          <w:noProof/>
          <w:sz w:val="24"/>
          <w:szCs w:val="24"/>
        </w:rPr>
        <w:t xml:space="preserve"> </w:t>
      </w:r>
      <w:r w:rsidRPr="00A5335D">
        <w:rPr>
          <w:rFonts w:ascii="Times New Roman" w:hAnsi="Times New Roman"/>
          <w:noProof/>
          <w:sz w:val="24"/>
          <w:szCs w:val="24"/>
        </w:rPr>
        <w:t>jej funkcjonowania. Obejmie to m.in. określenie, jakie umiejętności są potrzebne na unijnym rynku pracy, uzgodnienie odpowiednich kryteriów przyjmowania, zorganizowanie procesu przyjmowania oraz koordynowanie dostępu potencjalnych pracodawców do unijnej puli talentów. Dlatego też pełne zaangażowanie</w:t>
      </w:r>
      <w:r w:rsidR="00A5335D" w:rsidRPr="00A5335D">
        <w:rPr>
          <w:rFonts w:ascii="Times New Roman" w:hAnsi="Times New Roman"/>
          <w:noProof/>
          <w:sz w:val="24"/>
          <w:szCs w:val="24"/>
        </w:rPr>
        <w:t xml:space="preserve"> i akt</w:t>
      </w:r>
      <w:r w:rsidRPr="00A5335D">
        <w:rPr>
          <w:rFonts w:ascii="Times New Roman" w:hAnsi="Times New Roman"/>
          <w:noProof/>
          <w:sz w:val="24"/>
          <w:szCs w:val="24"/>
        </w:rPr>
        <w:t>ywny udział uczestniczących państw członkowskich będą miały kluczowe znaczenie dla rozwoju</w:t>
      </w:r>
      <w:r w:rsidR="00A5335D" w:rsidRPr="00A5335D">
        <w:rPr>
          <w:rFonts w:ascii="Times New Roman" w:hAnsi="Times New Roman"/>
          <w:noProof/>
          <w:sz w:val="24"/>
          <w:szCs w:val="24"/>
        </w:rPr>
        <w:t xml:space="preserve"> i fun</w:t>
      </w:r>
      <w:r w:rsidRPr="00A5335D">
        <w:rPr>
          <w:rFonts w:ascii="Times New Roman" w:hAnsi="Times New Roman"/>
          <w:noProof/>
          <w:sz w:val="24"/>
          <w:szCs w:val="24"/>
        </w:rPr>
        <w:t xml:space="preserve">kcjonowania unijnej puli talentów. </w:t>
      </w:r>
    </w:p>
    <w:p w14:paraId="27CEFCCF" w14:textId="1F42A9F4" w:rsidR="00331D43" w:rsidRPr="00A5335D" w:rsidRDefault="00C36B20" w:rsidP="002004B8">
      <w:pPr>
        <w:spacing w:before="120" w:after="240"/>
        <w:jc w:val="both"/>
        <w:rPr>
          <w:rFonts w:ascii="Times New Roman" w:hAnsi="Times New Roman" w:cs="Times New Roman"/>
          <w:noProof/>
          <w:sz w:val="24"/>
          <w:szCs w:val="24"/>
        </w:rPr>
      </w:pPr>
      <w:r w:rsidRPr="00A5335D">
        <w:rPr>
          <w:noProof/>
          <w:lang w:val="en-GB" w:eastAsia="en-GB"/>
        </w:rPr>
        <w:drawing>
          <wp:inline distT="0" distB="0" distL="0" distR="0" wp14:anchorId="3275998D" wp14:editId="64908AE4">
            <wp:extent cx="5760720" cy="3573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720" cy="3573780"/>
                    </a:xfrm>
                    <a:prstGeom prst="rect">
                      <a:avLst/>
                    </a:prstGeom>
                  </pic:spPr>
                </pic:pic>
              </a:graphicData>
            </a:graphic>
          </wp:inline>
        </w:drawing>
      </w:r>
      <w:r w:rsidRPr="00A5335D">
        <w:rPr>
          <w:noProof/>
        </w:rPr>
        <w:t xml:space="preserve"> </w:t>
      </w:r>
    </w:p>
    <w:p w14:paraId="27CEFCD0" w14:textId="77777777" w:rsidR="00424774" w:rsidRPr="00A5335D" w:rsidRDefault="00424774" w:rsidP="00D81FB2">
      <w:pPr>
        <w:jc w:val="both"/>
        <w:rPr>
          <w:rFonts w:ascii="Times New Roman" w:hAnsi="Times New Roman" w:cs="Times New Roman"/>
          <w:noProof/>
          <w:sz w:val="24"/>
          <w:szCs w:val="24"/>
        </w:rPr>
      </w:pPr>
    </w:p>
    <w:p w14:paraId="27CEFCD1" w14:textId="664B6099" w:rsidR="006D151C" w:rsidRPr="00A5335D" w:rsidRDefault="00E20634" w:rsidP="00834BBD">
      <w:pPr>
        <w:pStyle w:val="ListParagraph"/>
        <w:spacing w:before="240" w:after="120"/>
        <w:ind w:left="792"/>
        <w:jc w:val="both"/>
        <w:rPr>
          <w:rFonts w:ascii="Times New Roman" w:hAnsi="Times New Roman" w:cs="Times New Roman"/>
          <w:b/>
          <w:bCs/>
          <w:noProof/>
          <w:sz w:val="24"/>
          <w:szCs w:val="24"/>
        </w:rPr>
      </w:pPr>
      <w:r w:rsidRPr="00A5335D">
        <w:rPr>
          <w:rFonts w:ascii="Times New Roman" w:hAnsi="Times New Roman"/>
          <w:b/>
          <w:bCs/>
          <w:noProof/>
          <w:sz w:val="24"/>
          <w:szCs w:val="24"/>
        </w:rPr>
        <w:t>3.3. Poprawa zarządzania migracją pracowników na poziomie UE</w:t>
      </w:r>
    </w:p>
    <w:p w14:paraId="27CEFCD2" w14:textId="001B8DC8" w:rsidR="00424774" w:rsidRPr="00A5335D" w:rsidRDefault="006D151C" w:rsidP="003767C2">
      <w:pPr>
        <w:jc w:val="both"/>
        <w:rPr>
          <w:rFonts w:ascii="Times New Roman" w:hAnsi="Times New Roman" w:cs="Times New Roman"/>
          <w:noProof/>
          <w:sz w:val="24"/>
          <w:szCs w:val="24"/>
        </w:rPr>
      </w:pPr>
      <w:r w:rsidRPr="00A5335D">
        <w:rPr>
          <w:rFonts w:ascii="Times New Roman" w:hAnsi="Times New Roman"/>
          <w:noProof/>
          <w:sz w:val="24"/>
          <w:szCs w:val="24"/>
        </w:rPr>
        <w:t>Postępy</w:t>
      </w:r>
      <w:r w:rsidR="00A5335D" w:rsidRPr="00A5335D">
        <w:rPr>
          <w:rFonts w:ascii="Times New Roman" w:hAnsi="Times New Roman"/>
          <w:noProof/>
          <w:sz w:val="24"/>
          <w:szCs w:val="24"/>
        </w:rPr>
        <w:t xml:space="preserve"> w dzi</w:t>
      </w:r>
      <w:r w:rsidRPr="00A5335D">
        <w:rPr>
          <w:rFonts w:ascii="Times New Roman" w:hAnsi="Times New Roman"/>
          <w:noProof/>
          <w:sz w:val="24"/>
          <w:szCs w:val="24"/>
        </w:rPr>
        <w:t>edzinie migracji pracowników</w:t>
      </w:r>
      <w:r w:rsidR="00A5335D" w:rsidRPr="00A5335D">
        <w:rPr>
          <w:rFonts w:ascii="Times New Roman" w:hAnsi="Times New Roman"/>
          <w:noProof/>
          <w:sz w:val="24"/>
          <w:szCs w:val="24"/>
        </w:rPr>
        <w:t xml:space="preserve"> i pow</w:t>
      </w:r>
      <w:r w:rsidRPr="00A5335D">
        <w:rPr>
          <w:rFonts w:ascii="Times New Roman" w:hAnsi="Times New Roman"/>
          <w:noProof/>
          <w:sz w:val="24"/>
          <w:szCs w:val="24"/>
        </w:rPr>
        <w:t>odzenie wyżej wymienionych nowych inicjatyw będą zależeć od ściślejszej współpracy</w:t>
      </w:r>
      <w:r w:rsidR="00A5335D" w:rsidRPr="00A5335D">
        <w:rPr>
          <w:rFonts w:ascii="Times New Roman" w:hAnsi="Times New Roman"/>
          <w:noProof/>
          <w:sz w:val="24"/>
          <w:szCs w:val="24"/>
        </w:rPr>
        <w:t xml:space="preserve"> i lep</w:t>
      </w:r>
      <w:r w:rsidRPr="00A5335D">
        <w:rPr>
          <w:rFonts w:ascii="Times New Roman" w:hAnsi="Times New Roman"/>
          <w:noProof/>
          <w:sz w:val="24"/>
          <w:szCs w:val="24"/>
        </w:rPr>
        <w:t xml:space="preserve">szego zrozumienia między </w:t>
      </w:r>
      <w:r w:rsidRPr="00A5335D">
        <w:rPr>
          <w:rFonts w:ascii="Times New Roman" w:hAnsi="Times New Roman"/>
          <w:b/>
          <w:bCs/>
          <w:noProof/>
          <w:sz w:val="24"/>
          <w:szCs w:val="24"/>
        </w:rPr>
        <w:t>sektorami migracji</w:t>
      </w:r>
      <w:r w:rsidR="00A5335D" w:rsidRPr="00A5335D">
        <w:rPr>
          <w:rFonts w:ascii="Times New Roman" w:hAnsi="Times New Roman"/>
          <w:b/>
          <w:bCs/>
          <w:noProof/>
          <w:sz w:val="24"/>
          <w:szCs w:val="24"/>
        </w:rPr>
        <w:t xml:space="preserve"> i zat</w:t>
      </w:r>
      <w:r w:rsidRPr="00A5335D">
        <w:rPr>
          <w:rFonts w:ascii="Times New Roman" w:hAnsi="Times New Roman"/>
          <w:b/>
          <w:bCs/>
          <w:noProof/>
          <w:sz w:val="24"/>
          <w:szCs w:val="24"/>
        </w:rPr>
        <w:t>rudnienia</w:t>
      </w:r>
      <w:r w:rsidR="00A5335D" w:rsidRPr="00A5335D">
        <w:rPr>
          <w:rFonts w:ascii="Times New Roman" w:hAnsi="Times New Roman"/>
          <w:noProof/>
          <w:sz w:val="24"/>
          <w:szCs w:val="24"/>
        </w:rPr>
        <w:t>. W ram</w:t>
      </w:r>
      <w:r w:rsidRPr="00A5335D">
        <w:rPr>
          <w:rFonts w:ascii="Times New Roman" w:hAnsi="Times New Roman"/>
          <w:noProof/>
          <w:sz w:val="24"/>
          <w:szCs w:val="24"/>
        </w:rPr>
        <w:t xml:space="preserve">ach tego pakietu </w:t>
      </w:r>
      <w:r w:rsidRPr="00A5335D">
        <w:rPr>
          <w:rFonts w:ascii="Times New Roman" w:hAnsi="Times New Roman"/>
          <w:b/>
          <w:bCs/>
          <w:noProof/>
          <w:sz w:val="24"/>
          <w:szCs w:val="24"/>
        </w:rPr>
        <w:t>Komisja uruchamia nową platformę</w:t>
      </w:r>
      <w:r w:rsidRPr="00A5335D">
        <w:rPr>
          <w:rFonts w:ascii="Times New Roman" w:hAnsi="Times New Roman"/>
          <w:noProof/>
          <w:sz w:val="24"/>
          <w:szCs w:val="24"/>
        </w:rPr>
        <w:t xml:space="preserve">, która umożliwi prowadzenie </w:t>
      </w:r>
      <w:r w:rsidRPr="00A5335D">
        <w:rPr>
          <w:rFonts w:ascii="Times New Roman" w:hAnsi="Times New Roman"/>
          <w:b/>
          <w:bCs/>
          <w:noProof/>
          <w:sz w:val="24"/>
          <w:szCs w:val="24"/>
        </w:rPr>
        <w:t>dyskusji na temat praktycznych kwestii związanych</w:t>
      </w:r>
      <w:r w:rsidR="00A5335D" w:rsidRPr="00A5335D">
        <w:rPr>
          <w:rFonts w:ascii="Times New Roman" w:hAnsi="Times New Roman"/>
          <w:b/>
          <w:bCs/>
          <w:noProof/>
          <w:sz w:val="24"/>
          <w:szCs w:val="24"/>
        </w:rPr>
        <w:t xml:space="preserve"> z mig</w:t>
      </w:r>
      <w:r w:rsidRPr="00A5335D">
        <w:rPr>
          <w:rFonts w:ascii="Times New Roman" w:hAnsi="Times New Roman"/>
          <w:b/>
          <w:bCs/>
          <w:noProof/>
          <w:sz w:val="24"/>
          <w:szCs w:val="24"/>
        </w:rPr>
        <w:t>racją pracowników</w:t>
      </w:r>
      <w:r w:rsidRPr="00A5335D">
        <w:rPr>
          <w:rFonts w:ascii="Times New Roman" w:hAnsi="Times New Roman"/>
          <w:noProof/>
          <w:sz w:val="24"/>
          <w:szCs w:val="24"/>
        </w:rPr>
        <w:t>,</w:t>
      </w:r>
      <w:r w:rsidR="00A5335D" w:rsidRPr="00A5335D">
        <w:rPr>
          <w:rFonts w:ascii="Times New Roman" w:hAnsi="Times New Roman"/>
          <w:noProof/>
          <w:sz w:val="24"/>
          <w:szCs w:val="24"/>
        </w:rPr>
        <w:t xml:space="preserve"> w szc</w:t>
      </w:r>
      <w:r w:rsidRPr="00A5335D">
        <w:rPr>
          <w:rFonts w:ascii="Times New Roman" w:hAnsi="Times New Roman"/>
          <w:noProof/>
          <w:sz w:val="24"/>
          <w:szCs w:val="24"/>
        </w:rPr>
        <w:t>zególności na temat zewnętrznego wymiaru polityki migracyjnej, niedoborów siły roboczej</w:t>
      </w:r>
      <w:r w:rsidR="00A5335D" w:rsidRPr="00A5335D">
        <w:rPr>
          <w:rFonts w:ascii="Times New Roman" w:hAnsi="Times New Roman"/>
          <w:noProof/>
          <w:sz w:val="24"/>
          <w:szCs w:val="24"/>
        </w:rPr>
        <w:t xml:space="preserve"> i kwe</w:t>
      </w:r>
      <w:r w:rsidRPr="00A5335D">
        <w:rPr>
          <w:rFonts w:ascii="Times New Roman" w:hAnsi="Times New Roman"/>
          <w:noProof/>
          <w:sz w:val="24"/>
          <w:szCs w:val="24"/>
        </w:rPr>
        <w:t>stii związanych</w:t>
      </w:r>
      <w:r w:rsidR="00A5335D" w:rsidRPr="00A5335D">
        <w:rPr>
          <w:rFonts w:ascii="Times New Roman" w:hAnsi="Times New Roman"/>
          <w:noProof/>
          <w:sz w:val="24"/>
          <w:szCs w:val="24"/>
        </w:rPr>
        <w:t xml:space="preserve"> z pro</w:t>
      </w:r>
      <w:r w:rsidRPr="00A5335D">
        <w:rPr>
          <w:rFonts w:ascii="Times New Roman" w:hAnsi="Times New Roman"/>
          <w:noProof/>
          <w:sz w:val="24"/>
          <w:szCs w:val="24"/>
        </w:rPr>
        <w:t>cesami na rynku pracy. Prace</w:t>
      </w:r>
      <w:r w:rsidR="00A5335D" w:rsidRPr="00A5335D">
        <w:rPr>
          <w:rFonts w:ascii="Times New Roman" w:hAnsi="Times New Roman"/>
          <w:noProof/>
          <w:sz w:val="24"/>
          <w:szCs w:val="24"/>
        </w:rPr>
        <w:t xml:space="preserve"> w ram</w:t>
      </w:r>
      <w:r w:rsidRPr="00A5335D">
        <w:rPr>
          <w:rFonts w:ascii="Times New Roman" w:hAnsi="Times New Roman"/>
          <w:noProof/>
          <w:sz w:val="24"/>
          <w:szCs w:val="24"/>
        </w:rPr>
        <w:t>ach platformy przyczynią się do uruchomienia partnerstw</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w:t>
      </w:r>
      <w:r w:rsidR="00A5335D" w:rsidRPr="00A5335D">
        <w:rPr>
          <w:rFonts w:ascii="Times New Roman" w:hAnsi="Times New Roman"/>
          <w:noProof/>
          <w:sz w:val="24"/>
          <w:szCs w:val="24"/>
        </w:rPr>
        <w:t xml:space="preserve"> i uni</w:t>
      </w:r>
      <w:r w:rsidRPr="00A5335D">
        <w:rPr>
          <w:rFonts w:ascii="Times New Roman" w:hAnsi="Times New Roman"/>
          <w:noProof/>
          <w:sz w:val="24"/>
          <w:szCs w:val="24"/>
        </w:rPr>
        <w:t>jnej puli talentów. Prowadzone</w:t>
      </w:r>
      <w:r w:rsidR="00A5335D" w:rsidRPr="00A5335D">
        <w:rPr>
          <w:rFonts w:ascii="Times New Roman" w:hAnsi="Times New Roman"/>
          <w:noProof/>
          <w:sz w:val="24"/>
          <w:szCs w:val="24"/>
        </w:rPr>
        <w:t xml:space="preserve"> w ram</w:t>
      </w:r>
      <w:r w:rsidRPr="00A5335D">
        <w:rPr>
          <w:rFonts w:ascii="Times New Roman" w:hAnsi="Times New Roman"/>
          <w:noProof/>
          <w:sz w:val="24"/>
          <w:szCs w:val="24"/>
        </w:rPr>
        <w:t xml:space="preserve">ach platformy dyskusje będzie można </w:t>
      </w:r>
      <w:r w:rsidRPr="00A5335D">
        <w:rPr>
          <w:rFonts w:ascii="Times New Roman" w:hAnsi="Times New Roman"/>
          <w:b/>
          <w:bCs/>
          <w:noProof/>
          <w:sz w:val="24"/>
          <w:szCs w:val="24"/>
        </w:rPr>
        <w:t>wykorzystać</w:t>
      </w:r>
      <w:r w:rsidR="00A5335D" w:rsidRPr="00A5335D">
        <w:rPr>
          <w:rFonts w:ascii="Times New Roman" w:hAnsi="Times New Roman"/>
          <w:b/>
          <w:bCs/>
          <w:noProof/>
          <w:sz w:val="24"/>
          <w:szCs w:val="24"/>
        </w:rPr>
        <w:t xml:space="preserve"> w bar</w:t>
      </w:r>
      <w:r w:rsidRPr="00A5335D">
        <w:rPr>
          <w:rFonts w:ascii="Times New Roman" w:hAnsi="Times New Roman"/>
          <w:b/>
          <w:bCs/>
          <w:noProof/>
          <w:sz w:val="24"/>
          <w:szCs w:val="24"/>
        </w:rPr>
        <w:t>dziej politycznych debatach</w:t>
      </w:r>
      <w:r w:rsidRPr="00A5335D">
        <w:rPr>
          <w:rFonts w:ascii="Times New Roman" w:hAnsi="Times New Roman"/>
          <w:noProof/>
          <w:sz w:val="24"/>
          <w:szCs w:val="24"/>
        </w:rPr>
        <w:t xml:space="preserve"> na odpowiednich forach, np. na szczeblu Rady</w:t>
      </w:r>
      <w:r w:rsidR="00A5335D" w:rsidRPr="00A5335D">
        <w:rPr>
          <w:rFonts w:ascii="Times New Roman" w:hAnsi="Times New Roman"/>
          <w:noProof/>
          <w:sz w:val="24"/>
          <w:szCs w:val="24"/>
        </w:rPr>
        <w:t xml:space="preserve"> i Par</w:t>
      </w:r>
      <w:r w:rsidRPr="00A5335D">
        <w:rPr>
          <w:rFonts w:ascii="Times New Roman" w:hAnsi="Times New Roman"/>
          <w:noProof/>
          <w:sz w:val="24"/>
          <w:szCs w:val="24"/>
        </w:rPr>
        <w:t>lamentu Europejskiego</w:t>
      </w:r>
      <w:r w:rsidR="00A5335D" w:rsidRPr="00A5335D">
        <w:rPr>
          <w:rFonts w:ascii="Times New Roman" w:hAnsi="Times New Roman"/>
          <w:noProof/>
          <w:sz w:val="24"/>
          <w:szCs w:val="24"/>
        </w:rPr>
        <w:t>. W raz</w:t>
      </w:r>
      <w:r w:rsidRPr="00A5335D">
        <w:rPr>
          <w:rFonts w:ascii="Times New Roman" w:hAnsi="Times New Roman"/>
          <w:noProof/>
          <w:sz w:val="24"/>
          <w:szCs w:val="24"/>
        </w:rPr>
        <w:t>ie potrzeby</w:t>
      </w:r>
      <w:r w:rsidR="00A5335D" w:rsidRPr="00A5335D">
        <w:rPr>
          <w:rFonts w:ascii="Times New Roman" w:hAnsi="Times New Roman"/>
          <w:noProof/>
          <w:sz w:val="24"/>
          <w:szCs w:val="24"/>
        </w:rPr>
        <w:t xml:space="preserve"> w dys</w:t>
      </w:r>
      <w:r w:rsidRPr="00A5335D">
        <w:rPr>
          <w:rFonts w:ascii="Times New Roman" w:hAnsi="Times New Roman"/>
          <w:noProof/>
          <w:sz w:val="24"/>
          <w:szCs w:val="24"/>
        </w:rPr>
        <w:t>kusje zostaną włączeni przedstawiciele partnerów społecznych, agencji UE, publicznych służb zatrudnienia, eksperci, organizacje międzynarodowe, organizacje zrzeszające migrantów</w:t>
      </w:r>
      <w:r w:rsidR="00A5335D" w:rsidRPr="00A5335D">
        <w:rPr>
          <w:rFonts w:ascii="Times New Roman" w:hAnsi="Times New Roman"/>
          <w:noProof/>
          <w:sz w:val="24"/>
          <w:szCs w:val="24"/>
        </w:rPr>
        <w:t xml:space="preserve"> i inn</w:t>
      </w:r>
      <w:r w:rsidRPr="00A5335D">
        <w:rPr>
          <w:rFonts w:ascii="Times New Roman" w:hAnsi="Times New Roman"/>
          <w:noProof/>
          <w:sz w:val="24"/>
          <w:szCs w:val="24"/>
        </w:rPr>
        <w:t>e kluczowe podmioty.</w:t>
      </w:r>
    </w:p>
    <w:p w14:paraId="27CEFCD3" w14:textId="77777777" w:rsidR="00253FE8" w:rsidRPr="00A5335D" w:rsidRDefault="00253FE8" w:rsidP="003767C2">
      <w:pPr>
        <w:jc w:val="both"/>
        <w:rPr>
          <w:rFonts w:ascii="Times New Roman" w:hAnsi="Times New Roman" w:cs="Times New Roman"/>
          <w:noProof/>
          <w:sz w:val="24"/>
          <w:szCs w:val="24"/>
        </w:rPr>
      </w:pPr>
    </w:p>
    <w:p w14:paraId="27CEFCD4" w14:textId="77777777" w:rsidR="003767C2" w:rsidRPr="00A5335D" w:rsidRDefault="00EA497B" w:rsidP="00D81FB2">
      <w:pPr>
        <w:pStyle w:val="ListParagraph"/>
        <w:numPr>
          <w:ilvl w:val="0"/>
          <w:numId w:val="11"/>
        </w:numPr>
        <w:jc w:val="both"/>
        <w:rPr>
          <w:rFonts w:ascii="Times New Roman" w:hAnsi="Times New Roman" w:cs="Times New Roman"/>
          <w:b/>
          <w:bCs/>
          <w:noProof/>
          <w:sz w:val="24"/>
          <w:szCs w:val="24"/>
        </w:rPr>
      </w:pPr>
      <w:r w:rsidRPr="00A5335D">
        <w:rPr>
          <w:rFonts w:ascii="Times New Roman" w:hAnsi="Times New Roman"/>
          <w:b/>
          <w:bCs/>
          <w:noProof/>
          <w:sz w:val="24"/>
          <w:szCs w:val="24"/>
        </w:rPr>
        <w:t>FILAR PRZYSZŁOŚCIOWY: KLUCZOWE OBSZARY PRIORYTETOWE DZIAŁANIA</w:t>
      </w:r>
    </w:p>
    <w:p w14:paraId="27CEFCD5" w14:textId="402964D6" w:rsidR="00D93DF9" w:rsidRPr="00A5335D" w:rsidRDefault="008F3D7C" w:rsidP="00834BBD">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Oprócz natychmiastowych środków legislacyjnych</w:t>
      </w:r>
      <w:r w:rsidR="00A5335D" w:rsidRPr="00A5335D">
        <w:rPr>
          <w:rFonts w:ascii="Times New Roman" w:hAnsi="Times New Roman"/>
          <w:noProof/>
          <w:sz w:val="24"/>
          <w:szCs w:val="24"/>
        </w:rPr>
        <w:t xml:space="preserve"> i ope</w:t>
      </w:r>
      <w:r w:rsidRPr="00A5335D">
        <w:rPr>
          <w:rFonts w:ascii="Times New Roman" w:hAnsi="Times New Roman"/>
          <w:noProof/>
          <w:sz w:val="24"/>
          <w:szCs w:val="24"/>
        </w:rPr>
        <w:t>racyjnych opisanych powyżej należy kontynuować prace nad zbadaniem dalszych potencjalnych możliwości legalnej migracji do UE</w:t>
      </w:r>
      <w:r w:rsidR="00A5335D" w:rsidRPr="00A5335D">
        <w:rPr>
          <w:rFonts w:ascii="Times New Roman" w:hAnsi="Times New Roman"/>
          <w:noProof/>
          <w:sz w:val="24"/>
          <w:szCs w:val="24"/>
        </w:rPr>
        <w:t xml:space="preserve"> </w:t>
      </w:r>
      <w:r w:rsidR="00A5335D" w:rsidRPr="00A5335D">
        <w:rPr>
          <w:rFonts w:ascii="Times New Roman" w:hAnsi="Times New Roman"/>
          <w:b/>
          <w:bCs/>
          <w:noProof/>
          <w:sz w:val="24"/>
          <w:szCs w:val="24"/>
        </w:rPr>
        <w:t>w</w:t>
      </w:r>
      <w:r w:rsidR="00A5335D" w:rsidRPr="00A5335D">
        <w:rPr>
          <w:rFonts w:ascii="Times New Roman" w:hAnsi="Times New Roman"/>
          <w:noProof/>
          <w:sz w:val="24"/>
          <w:szCs w:val="24"/>
        </w:rPr>
        <w:t> </w:t>
      </w:r>
      <w:r w:rsidR="00A5335D" w:rsidRPr="00A5335D">
        <w:rPr>
          <w:rFonts w:ascii="Times New Roman" w:hAnsi="Times New Roman"/>
          <w:b/>
          <w:bCs/>
          <w:noProof/>
          <w:sz w:val="24"/>
          <w:szCs w:val="24"/>
        </w:rPr>
        <w:t>per</w:t>
      </w:r>
      <w:r w:rsidRPr="00A5335D">
        <w:rPr>
          <w:rFonts w:ascii="Times New Roman" w:hAnsi="Times New Roman"/>
          <w:b/>
          <w:bCs/>
          <w:noProof/>
          <w:sz w:val="24"/>
          <w:szCs w:val="24"/>
        </w:rPr>
        <w:t>spektywie średnio-</w:t>
      </w:r>
      <w:r w:rsidR="00A5335D" w:rsidRPr="00A5335D">
        <w:rPr>
          <w:rFonts w:ascii="Times New Roman" w:hAnsi="Times New Roman"/>
          <w:b/>
          <w:bCs/>
          <w:noProof/>
          <w:sz w:val="24"/>
          <w:szCs w:val="24"/>
        </w:rPr>
        <w:t xml:space="preserve"> i dłu</w:t>
      </w:r>
      <w:r w:rsidRPr="00A5335D">
        <w:rPr>
          <w:rFonts w:ascii="Times New Roman" w:hAnsi="Times New Roman"/>
          <w:b/>
          <w:bCs/>
          <w:noProof/>
          <w:sz w:val="24"/>
          <w:szCs w:val="24"/>
        </w:rPr>
        <w:t>goterminowej</w:t>
      </w:r>
      <w:r w:rsidRPr="00A5335D">
        <w:rPr>
          <w:rFonts w:ascii="Times New Roman" w:hAnsi="Times New Roman"/>
          <w:noProof/>
          <w:sz w:val="24"/>
          <w:szCs w:val="24"/>
        </w:rPr>
        <w:t xml:space="preserve">. Komisja widzi możliwość skoncentrowania polityki perspektywicznej wokół trzech obszarów działania: </w:t>
      </w:r>
      <w:r w:rsidRPr="00A5335D">
        <w:rPr>
          <w:rFonts w:ascii="Times New Roman" w:hAnsi="Times New Roman"/>
          <w:b/>
          <w:noProof/>
          <w:sz w:val="24"/>
          <w:szCs w:val="24"/>
        </w:rPr>
        <w:t>opieki</w:t>
      </w:r>
      <w:r w:rsidRPr="00A5335D">
        <w:rPr>
          <w:rFonts w:ascii="Times New Roman" w:hAnsi="Times New Roman"/>
          <w:noProof/>
          <w:sz w:val="24"/>
          <w:szCs w:val="24"/>
        </w:rPr>
        <w:t>,</w:t>
      </w:r>
      <w:r w:rsidRPr="00A5335D">
        <w:rPr>
          <w:rFonts w:ascii="Times New Roman" w:hAnsi="Times New Roman"/>
          <w:b/>
          <w:noProof/>
          <w:sz w:val="24"/>
          <w:szCs w:val="24"/>
        </w:rPr>
        <w:t xml:space="preserve"> młodzieży</w:t>
      </w:r>
      <w:r w:rsidR="00A5335D" w:rsidRPr="00A5335D">
        <w:rPr>
          <w:rFonts w:ascii="Times New Roman" w:hAnsi="Times New Roman"/>
          <w:b/>
          <w:noProof/>
          <w:sz w:val="24"/>
          <w:szCs w:val="24"/>
        </w:rPr>
        <w:t xml:space="preserve"> </w:t>
      </w:r>
      <w:r w:rsidR="00A5335D" w:rsidRPr="00A5335D">
        <w:rPr>
          <w:rFonts w:ascii="Times New Roman" w:hAnsi="Times New Roman"/>
          <w:noProof/>
          <w:sz w:val="24"/>
          <w:szCs w:val="24"/>
        </w:rPr>
        <w:t>i</w:t>
      </w:r>
      <w:r w:rsidR="00A5335D" w:rsidRPr="00A5335D">
        <w:rPr>
          <w:rFonts w:ascii="Times New Roman" w:hAnsi="Times New Roman"/>
          <w:b/>
          <w:noProof/>
          <w:sz w:val="24"/>
          <w:szCs w:val="24"/>
        </w:rPr>
        <w:t> inn</w:t>
      </w:r>
      <w:r w:rsidRPr="00A5335D">
        <w:rPr>
          <w:rFonts w:ascii="Times New Roman" w:hAnsi="Times New Roman"/>
          <w:b/>
          <w:noProof/>
          <w:sz w:val="24"/>
          <w:szCs w:val="24"/>
        </w:rPr>
        <w:t>owacji</w:t>
      </w:r>
      <w:r w:rsidRPr="00A5335D">
        <w:rPr>
          <w:rFonts w:ascii="Times New Roman" w:hAnsi="Times New Roman"/>
          <w:noProof/>
          <w:sz w:val="24"/>
          <w:szCs w:val="24"/>
        </w:rPr>
        <w:t xml:space="preserve">. </w:t>
      </w:r>
    </w:p>
    <w:p w14:paraId="27CEFCD6" w14:textId="1BEB949B" w:rsidR="00D93DF9" w:rsidRPr="00A5335D" w:rsidRDefault="00D93DF9" w:rsidP="00834BBD">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 xml:space="preserve">Te trzy obszary odpowiadają </w:t>
      </w:r>
      <w:r w:rsidRPr="00A5335D">
        <w:rPr>
          <w:rFonts w:ascii="Times New Roman" w:hAnsi="Times New Roman"/>
          <w:b/>
          <w:bCs/>
          <w:noProof/>
          <w:sz w:val="24"/>
          <w:szCs w:val="24"/>
        </w:rPr>
        <w:t>trzem ważnym priorytetom politycznym</w:t>
      </w:r>
      <w:r w:rsidRPr="00A5335D">
        <w:rPr>
          <w:rFonts w:ascii="Times New Roman" w:hAnsi="Times New Roman"/>
          <w:noProof/>
          <w:sz w:val="24"/>
          <w:szCs w:val="24"/>
        </w:rPr>
        <w:t>, podkreślonym również przez Parlament Europejski</w:t>
      </w:r>
      <w:r w:rsidR="00A5335D" w:rsidRPr="00A5335D">
        <w:rPr>
          <w:rFonts w:ascii="Times New Roman" w:hAnsi="Times New Roman"/>
          <w:noProof/>
          <w:sz w:val="24"/>
          <w:szCs w:val="24"/>
        </w:rPr>
        <w:t xml:space="preserve"> w jeg</w:t>
      </w:r>
      <w:r w:rsidRPr="00A5335D">
        <w:rPr>
          <w:rFonts w:ascii="Times New Roman" w:hAnsi="Times New Roman"/>
          <w:noProof/>
          <w:sz w:val="24"/>
          <w:szCs w:val="24"/>
        </w:rPr>
        <w:t>o ostatnim sprawozdaniu</w:t>
      </w:r>
      <w:r w:rsidR="00A5335D" w:rsidRPr="00A5335D">
        <w:rPr>
          <w:rFonts w:ascii="Times New Roman" w:hAnsi="Times New Roman"/>
          <w:noProof/>
          <w:sz w:val="24"/>
          <w:szCs w:val="24"/>
        </w:rPr>
        <w:t xml:space="preserve"> z wła</w:t>
      </w:r>
      <w:r w:rsidRPr="00A5335D">
        <w:rPr>
          <w:rFonts w:ascii="Times New Roman" w:hAnsi="Times New Roman"/>
          <w:noProof/>
          <w:sz w:val="24"/>
          <w:szCs w:val="24"/>
        </w:rPr>
        <w:t>snej inicjatywy</w:t>
      </w:r>
      <w:r w:rsidR="00A5335D" w:rsidRPr="00A5335D">
        <w:rPr>
          <w:rFonts w:ascii="Times New Roman" w:hAnsi="Times New Roman"/>
          <w:noProof/>
          <w:sz w:val="24"/>
          <w:szCs w:val="24"/>
        </w:rPr>
        <w:t xml:space="preserve"> w kwe</w:t>
      </w:r>
      <w:r w:rsidRPr="00A5335D">
        <w:rPr>
          <w:rFonts w:ascii="Times New Roman" w:hAnsi="Times New Roman"/>
          <w:noProof/>
          <w:sz w:val="24"/>
          <w:szCs w:val="24"/>
        </w:rPr>
        <w:t>stiach ustawodawczych</w:t>
      </w:r>
      <w:r w:rsidRPr="00A5335D">
        <w:rPr>
          <w:rStyle w:val="FootnoteReference"/>
          <w:rFonts w:ascii="Times New Roman" w:hAnsi="Times New Roman" w:cs="Times New Roman"/>
          <w:noProof/>
          <w:sz w:val="24"/>
          <w:szCs w:val="24"/>
        </w:rPr>
        <w:footnoteReference w:id="59"/>
      </w:r>
      <w:r w:rsidRPr="00A5335D">
        <w:rPr>
          <w:rFonts w:ascii="Times New Roman" w:hAnsi="Times New Roman"/>
          <w:noProof/>
          <w:sz w:val="24"/>
          <w:szCs w:val="24"/>
        </w:rPr>
        <w:t>: przyciąganie nisko</w:t>
      </w:r>
      <w:r w:rsidR="00A5335D" w:rsidRPr="00A5335D">
        <w:rPr>
          <w:rFonts w:ascii="Times New Roman" w:hAnsi="Times New Roman"/>
          <w:noProof/>
          <w:sz w:val="24"/>
          <w:szCs w:val="24"/>
        </w:rPr>
        <w:t xml:space="preserve"> i śre</w:t>
      </w:r>
      <w:r w:rsidRPr="00A5335D">
        <w:rPr>
          <w:rFonts w:ascii="Times New Roman" w:hAnsi="Times New Roman"/>
          <w:noProof/>
          <w:sz w:val="24"/>
          <w:szCs w:val="24"/>
        </w:rPr>
        <w:t>dnio wykwalifikowanych pracowników</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trzecich</w:t>
      </w:r>
      <w:r w:rsidR="00A5335D" w:rsidRPr="00A5335D">
        <w:rPr>
          <w:rFonts w:ascii="Times New Roman" w:hAnsi="Times New Roman"/>
          <w:noProof/>
          <w:sz w:val="24"/>
          <w:szCs w:val="24"/>
        </w:rPr>
        <w:t xml:space="preserve"> w sek</w:t>
      </w:r>
      <w:r w:rsidRPr="00A5335D">
        <w:rPr>
          <w:rFonts w:ascii="Times New Roman" w:hAnsi="Times New Roman"/>
          <w:noProof/>
          <w:sz w:val="24"/>
          <w:szCs w:val="24"/>
        </w:rPr>
        <w:t>torach,</w:t>
      </w:r>
      <w:r w:rsidR="00A5335D" w:rsidRPr="00A5335D">
        <w:rPr>
          <w:rFonts w:ascii="Times New Roman" w:hAnsi="Times New Roman"/>
          <w:noProof/>
          <w:sz w:val="24"/>
          <w:szCs w:val="24"/>
        </w:rPr>
        <w:t xml:space="preserve"> w któ</w:t>
      </w:r>
      <w:r w:rsidRPr="00A5335D">
        <w:rPr>
          <w:rFonts w:ascii="Times New Roman" w:hAnsi="Times New Roman"/>
          <w:noProof/>
          <w:sz w:val="24"/>
          <w:szCs w:val="24"/>
        </w:rPr>
        <w:t>rych występują znaczne niedobory siły roboczej</w:t>
      </w:r>
      <w:r w:rsidR="00A5335D" w:rsidRPr="00A5335D">
        <w:rPr>
          <w:rFonts w:ascii="Times New Roman" w:hAnsi="Times New Roman"/>
          <w:noProof/>
          <w:sz w:val="24"/>
          <w:szCs w:val="24"/>
        </w:rPr>
        <w:t xml:space="preserve"> i zap</w:t>
      </w:r>
      <w:r w:rsidRPr="00A5335D">
        <w:rPr>
          <w:rFonts w:ascii="Times New Roman" w:hAnsi="Times New Roman"/>
          <w:noProof/>
          <w:sz w:val="24"/>
          <w:szCs w:val="24"/>
        </w:rPr>
        <w:t>otrzebowanie na siłę roboczą, np.</w:t>
      </w:r>
      <w:r w:rsidR="00A5335D" w:rsidRPr="00A5335D">
        <w:rPr>
          <w:rFonts w:ascii="Times New Roman" w:hAnsi="Times New Roman"/>
          <w:noProof/>
          <w:sz w:val="24"/>
          <w:szCs w:val="24"/>
        </w:rPr>
        <w:t xml:space="preserve"> w opi</w:t>
      </w:r>
      <w:r w:rsidRPr="00A5335D">
        <w:rPr>
          <w:rFonts w:ascii="Times New Roman" w:hAnsi="Times New Roman"/>
          <w:noProof/>
          <w:sz w:val="24"/>
          <w:szCs w:val="24"/>
        </w:rPr>
        <w:t>ece długoterminowej; tworzenie większych możliwości dla osób młodych z UE</w:t>
      </w:r>
      <w:r w:rsidR="00A5335D" w:rsidRPr="00A5335D">
        <w:rPr>
          <w:rFonts w:ascii="Times New Roman" w:hAnsi="Times New Roman"/>
          <w:noProof/>
          <w:sz w:val="24"/>
          <w:szCs w:val="24"/>
        </w:rPr>
        <w:t xml:space="preserve"> i spo</w:t>
      </w:r>
      <w:r w:rsidRPr="00A5335D">
        <w:rPr>
          <w:rFonts w:ascii="Times New Roman" w:hAnsi="Times New Roman"/>
          <w:noProof/>
          <w:sz w:val="24"/>
          <w:szCs w:val="24"/>
        </w:rPr>
        <w:t>za niej;</w:t>
      </w:r>
      <w:r w:rsidR="00A5335D" w:rsidRPr="00A5335D">
        <w:rPr>
          <w:rFonts w:ascii="Times New Roman" w:hAnsi="Times New Roman"/>
          <w:noProof/>
          <w:sz w:val="24"/>
          <w:szCs w:val="24"/>
        </w:rPr>
        <w:t xml:space="preserve"> i pro</w:t>
      </w:r>
      <w:r w:rsidRPr="00A5335D">
        <w:rPr>
          <w:rFonts w:ascii="Times New Roman" w:hAnsi="Times New Roman"/>
          <w:noProof/>
          <w:sz w:val="24"/>
          <w:szCs w:val="24"/>
        </w:rPr>
        <w:t>mowanie innowacji</w:t>
      </w:r>
      <w:r w:rsidR="00A5335D" w:rsidRPr="00A5335D">
        <w:rPr>
          <w:rFonts w:ascii="Times New Roman" w:hAnsi="Times New Roman"/>
          <w:noProof/>
          <w:sz w:val="24"/>
          <w:szCs w:val="24"/>
        </w:rPr>
        <w:t xml:space="preserve"> i prz</w:t>
      </w:r>
      <w:r w:rsidRPr="00A5335D">
        <w:rPr>
          <w:rFonts w:ascii="Times New Roman" w:hAnsi="Times New Roman"/>
          <w:noProof/>
          <w:sz w:val="24"/>
          <w:szCs w:val="24"/>
        </w:rPr>
        <w:t>edsiębiorczości w UE oraz inwestowanie</w:t>
      </w:r>
      <w:r w:rsidR="00A5335D" w:rsidRPr="00A5335D">
        <w:rPr>
          <w:rFonts w:ascii="Times New Roman" w:hAnsi="Times New Roman"/>
          <w:noProof/>
          <w:sz w:val="24"/>
          <w:szCs w:val="24"/>
        </w:rPr>
        <w:t xml:space="preserve"> w suw</w:t>
      </w:r>
      <w:r w:rsidRPr="00A5335D">
        <w:rPr>
          <w:rFonts w:ascii="Times New Roman" w:hAnsi="Times New Roman"/>
          <w:noProof/>
          <w:sz w:val="24"/>
          <w:szCs w:val="24"/>
        </w:rPr>
        <w:t>erenność technologiczną UE.</w:t>
      </w:r>
    </w:p>
    <w:p w14:paraId="27CEFCD7" w14:textId="6408AABC" w:rsidR="003767C2" w:rsidRPr="00A5335D" w:rsidRDefault="00EA497B" w:rsidP="00834BBD">
      <w:pPr>
        <w:pStyle w:val="ListParagraph"/>
        <w:spacing w:before="240"/>
        <w:ind w:left="792"/>
        <w:jc w:val="both"/>
        <w:rPr>
          <w:rFonts w:ascii="Times New Roman" w:hAnsi="Times New Roman" w:cs="Times New Roman"/>
          <w:b/>
          <w:bCs/>
          <w:noProof/>
          <w:sz w:val="24"/>
          <w:szCs w:val="24"/>
        </w:rPr>
      </w:pPr>
      <w:r w:rsidRPr="00A5335D">
        <w:rPr>
          <w:rFonts w:ascii="Times New Roman" w:hAnsi="Times New Roman"/>
          <w:b/>
          <w:bCs/>
          <w:noProof/>
          <w:sz w:val="24"/>
          <w:szCs w:val="24"/>
        </w:rPr>
        <w:t>4.1. Przyciąganie pracowników świadczących opiekę długoterminową</w:t>
      </w:r>
      <w:r w:rsidR="00A5335D" w:rsidRPr="00A5335D">
        <w:rPr>
          <w:rFonts w:ascii="Times New Roman" w:hAnsi="Times New Roman"/>
          <w:b/>
          <w:bCs/>
          <w:noProof/>
          <w:sz w:val="24"/>
          <w:szCs w:val="24"/>
        </w:rPr>
        <w:t xml:space="preserve"> z pań</w:t>
      </w:r>
      <w:r w:rsidRPr="00A5335D">
        <w:rPr>
          <w:rFonts w:ascii="Times New Roman" w:hAnsi="Times New Roman"/>
          <w:b/>
          <w:bCs/>
          <w:noProof/>
          <w:sz w:val="24"/>
          <w:szCs w:val="24"/>
        </w:rPr>
        <w:t>stw trzecich</w:t>
      </w:r>
    </w:p>
    <w:p w14:paraId="27CEFCD8" w14:textId="34282C41" w:rsidR="003767C2" w:rsidRPr="00A5335D" w:rsidRDefault="00AA6A27" w:rsidP="003767C2">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Zmieniona dyrektywa</w:t>
      </w:r>
      <w:r w:rsidR="00A5335D" w:rsidRPr="00A5335D">
        <w:rPr>
          <w:rFonts w:ascii="Times New Roman" w:hAnsi="Times New Roman"/>
          <w:noProof/>
          <w:sz w:val="24"/>
          <w:szCs w:val="24"/>
        </w:rPr>
        <w:t xml:space="preserve"> w spr</w:t>
      </w:r>
      <w:r w:rsidRPr="00A5335D">
        <w:rPr>
          <w:rFonts w:ascii="Times New Roman" w:hAnsi="Times New Roman"/>
          <w:noProof/>
          <w:sz w:val="24"/>
          <w:szCs w:val="24"/>
        </w:rPr>
        <w:t>awie niebieskiej karty unowocześniła obowiązujące zasady, aby ułatwić przyciąganie wysoko wykwalifikowanych pracowników</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trzecich</w:t>
      </w:r>
      <w:r w:rsidR="00A5335D" w:rsidRPr="00A5335D">
        <w:rPr>
          <w:rFonts w:ascii="Times New Roman" w:hAnsi="Times New Roman"/>
          <w:noProof/>
          <w:sz w:val="24"/>
          <w:szCs w:val="24"/>
        </w:rPr>
        <w:t>. W zwi</w:t>
      </w:r>
      <w:r w:rsidRPr="00A5335D">
        <w:rPr>
          <w:rFonts w:ascii="Times New Roman" w:hAnsi="Times New Roman"/>
          <w:noProof/>
          <w:sz w:val="24"/>
          <w:szCs w:val="24"/>
        </w:rPr>
        <w:t>ązku</w:t>
      </w:r>
      <w:r w:rsidR="00A5335D" w:rsidRPr="00A5335D">
        <w:rPr>
          <w:rFonts w:ascii="Times New Roman" w:hAnsi="Times New Roman"/>
          <w:noProof/>
          <w:sz w:val="24"/>
          <w:szCs w:val="24"/>
        </w:rPr>
        <w:t xml:space="preserve"> z tym</w:t>
      </w:r>
      <w:r w:rsidRPr="00A5335D">
        <w:rPr>
          <w:rFonts w:ascii="Times New Roman" w:hAnsi="Times New Roman"/>
          <w:noProof/>
          <w:sz w:val="24"/>
          <w:szCs w:val="24"/>
        </w:rPr>
        <w:t xml:space="preserve"> Komisja zastanowi się,</w:t>
      </w:r>
      <w:r w:rsidR="00A5335D" w:rsidRPr="00A5335D">
        <w:rPr>
          <w:rFonts w:ascii="Times New Roman" w:hAnsi="Times New Roman"/>
          <w:noProof/>
          <w:sz w:val="24"/>
          <w:szCs w:val="24"/>
        </w:rPr>
        <w:t xml:space="preserve"> w jak</w:t>
      </w:r>
      <w:r w:rsidRPr="00A5335D">
        <w:rPr>
          <w:rFonts w:ascii="Times New Roman" w:hAnsi="Times New Roman"/>
          <w:noProof/>
          <w:sz w:val="24"/>
          <w:szCs w:val="24"/>
        </w:rPr>
        <w:t>i sposób lepiej przyciągać nisko</w:t>
      </w:r>
      <w:r w:rsidR="00A5335D" w:rsidRPr="00A5335D">
        <w:rPr>
          <w:rFonts w:ascii="Times New Roman" w:hAnsi="Times New Roman"/>
          <w:noProof/>
          <w:sz w:val="24"/>
          <w:szCs w:val="24"/>
        </w:rPr>
        <w:t xml:space="preserve"> i śre</w:t>
      </w:r>
      <w:r w:rsidRPr="00A5335D">
        <w:rPr>
          <w:rFonts w:ascii="Times New Roman" w:hAnsi="Times New Roman"/>
          <w:noProof/>
          <w:sz w:val="24"/>
          <w:szCs w:val="24"/>
        </w:rPr>
        <w:t>dnio wykwalifikowanych pracowników potrzebnych na unijnym rynku pracy. Partnerstwa</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 będą skierowane do pracowników</w:t>
      </w:r>
      <w:r w:rsidR="00A5335D" w:rsidRPr="00A5335D">
        <w:rPr>
          <w:rFonts w:ascii="Times New Roman" w:hAnsi="Times New Roman"/>
          <w:noProof/>
          <w:sz w:val="24"/>
          <w:szCs w:val="24"/>
        </w:rPr>
        <w:t xml:space="preserve"> o wsz</w:t>
      </w:r>
      <w:r w:rsidRPr="00A5335D">
        <w:rPr>
          <w:rFonts w:ascii="Times New Roman" w:hAnsi="Times New Roman"/>
          <w:noProof/>
          <w:sz w:val="24"/>
          <w:szCs w:val="24"/>
        </w:rPr>
        <w:t>ystkich poziomach umiejętności,</w:t>
      </w:r>
      <w:r w:rsidR="00A5335D" w:rsidRPr="00A5335D">
        <w:rPr>
          <w:rFonts w:ascii="Times New Roman" w:hAnsi="Times New Roman"/>
          <w:noProof/>
          <w:sz w:val="24"/>
          <w:szCs w:val="24"/>
        </w:rPr>
        <w:t xml:space="preserve"> w tym</w:t>
      </w:r>
      <w:r w:rsidRPr="00A5335D">
        <w:rPr>
          <w:rFonts w:ascii="Times New Roman" w:hAnsi="Times New Roman"/>
          <w:noProof/>
          <w:sz w:val="24"/>
          <w:szCs w:val="24"/>
        </w:rPr>
        <w:t xml:space="preserve"> osób</w:t>
      </w:r>
      <w:r w:rsidR="00A5335D" w:rsidRPr="00A5335D">
        <w:rPr>
          <w:rFonts w:ascii="Times New Roman" w:hAnsi="Times New Roman"/>
          <w:noProof/>
          <w:sz w:val="24"/>
          <w:szCs w:val="24"/>
        </w:rPr>
        <w:t xml:space="preserve"> o nis</w:t>
      </w:r>
      <w:r w:rsidRPr="00A5335D">
        <w:rPr>
          <w:rFonts w:ascii="Times New Roman" w:hAnsi="Times New Roman"/>
          <w:noProof/>
          <w:sz w:val="24"/>
          <w:szCs w:val="24"/>
        </w:rPr>
        <w:t>kich</w:t>
      </w:r>
      <w:r w:rsidR="00A5335D" w:rsidRPr="00A5335D">
        <w:rPr>
          <w:rFonts w:ascii="Times New Roman" w:hAnsi="Times New Roman"/>
          <w:noProof/>
          <w:sz w:val="24"/>
          <w:szCs w:val="24"/>
        </w:rPr>
        <w:t xml:space="preserve"> i śre</w:t>
      </w:r>
      <w:r w:rsidRPr="00A5335D">
        <w:rPr>
          <w:rFonts w:ascii="Times New Roman" w:hAnsi="Times New Roman"/>
          <w:noProof/>
          <w:sz w:val="24"/>
          <w:szCs w:val="24"/>
        </w:rPr>
        <w:t>dnich umiejętnościach. Proponowana unijna pula talentów umożliwi także przyciągnięcie pracowników</w:t>
      </w:r>
      <w:r w:rsidR="00A5335D" w:rsidRPr="00A5335D">
        <w:rPr>
          <w:rFonts w:ascii="Times New Roman" w:hAnsi="Times New Roman"/>
          <w:noProof/>
          <w:sz w:val="24"/>
          <w:szCs w:val="24"/>
        </w:rPr>
        <w:t xml:space="preserve"> o sze</w:t>
      </w:r>
      <w:r w:rsidRPr="00A5335D">
        <w:rPr>
          <w:rFonts w:ascii="Times New Roman" w:hAnsi="Times New Roman"/>
          <w:noProof/>
          <w:sz w:val="24"/>
          <w:szCs w:val="24"/>
        </w:rPr>
        <w:t>rokim zestawie umiejętności, przynajmniej</w:t>
      </w:r>
      <w:r w:rsidR="00A5335D" w:rsidRPr="00A5335D">
        <w:rPr>
          <w:rFonts w:ascii="Times New Roman" w:hAnsi="Times New Roman"/>
          <w:noProof/>
          <w:sz w:val="24"/>
          <w:szCs w:val="24"/>
        </w:rPr>
        <w:t xml:space="preserve"> w dłu</w:t>
      </w:r>
      <w:r w:rsidRPr="00A5335D">
        <w:rPr>
          <w:rFonts w:ascii="Times New Roman" w:hAnsi="Times New Roman"/>
          <w:noProof/>
          <w:sz w:val="24"/>
          <w:szCs w:val="24"/>
        </w:rPr>
        <w:t>ższej perspektywie czasowej. Ocena adekwatności wykazała, że w UE</w:t>
      </w:r>
      <w:r w:rsidR="00606571" w:rsidRPr="00A5335D">
        <w:rPr>
          <w:rStyle w:val="FootnoteReference"/>
          <w:rFonts w:ascii="Times New Roman" w:hAnsi="Times New Roman" w:cs="Times New Roman"/>
          <w:noProof/>
          <w:sz w:val="24"/>
          <w:szCs w:val="24"/>
        </w:rPr>
        <w:footnoteReference w:id="60"/>
      </w:r>
      <w:r w:rsidRPr="00A5335D">
        <w:rPr>
          <w:rFonts w:ascii="Times New Roman" w:hAnsi="Times New Roman"/>
          <w:noProof/>
          <w:sz w:val="24"/>
          <w:szCs w:val="24"/>
        </w:rPr>
        <w:t xml:space="preserve"> istnieje zapotrzebowanie na pracowników</w:t>
      </w:r>
      <w:r w:rsidR="00A5335D" w:rsidRPr="00A5335D">
        <w:rPr>
          <w:rFonts w:ascii="Times New Roman" w:hAnsi="Times New Roman"/>
          <w:noProof/>
          <w:sz w:val="24"/>
          <w:szCs w:val="24"/>
        </w:rPr>
        <w:t xml:space="preserve"> o śre</w:t>
      </w:r>
      <w:r w:rsidRPr="00A5335D">
        <w:rPr>
          <w:rFonts w:ascii="Times New Roman" w:hAnsi="Times New Roman"/>
          <w:noProof/>
          <w:sz w:val="24"/>
          <w:szCs w:val="24"/>
        </w:rPr>
        <w:t>dnich</w:t>
      </w:r>
      <w:r w:rsidR="00A5335D" w:rsidRPr="00A5335D">
        <w:rPr>
          <w:rFonts w:ascii="Times New Roman" w:hAnsi="Times New Roman"/>
          <w:noProof/>
          <w:sz w:val="24"/>
          <w:szCs w:val="24"/>
        </w:rPr>
        <w:t xml:space="preserve"> i nis</w:t>
      </w:r>
      <w:r w:rsidRPr="00A5335D">
        <w:rPr>
          <w:rFonts w:ascii="Times New Roman" w:hAnsi="Times New Roman"/>
          <w:noProof/>
          <w:sz w:val="24"/>
          <w:szCs w:val="24"/>
        </w:rPr>
        <w:t>kich umiejętnościach, ale zawody</w:t>
      </w:r>
      <w:r w:rsidR="00A5335D" w:rsidRPr="00A5335D">
        <w:rPr>
          <w:rFonts w:ascii="Times New Roman" w:hAnsi="Times New Roman"/>
          <w:noProof/>
          <w:sz w:val="24"/>
          <w:szCs w:val="24"/>
        </w:rPr>
        <w:t xml:space="preserve"> i pot</w:t>
      </w:r>
      <w:r w:rsidRPr="00A5335D">
        <w:rPr>
          <w:rFonts w:ascii="Times New Roman" w:hAnsi="Times New Roman"/>
          <w:noProof/>
          <w:sz w:val="24"/>
          <w:szCs w:val="24"/>
        </w:rPr>
        <w:t>rzeby</w:t>
      </w:r>
      <w:r w:rsidR="00A5335D" w:rsidRPr="00A5335D">
        <w:rPr>
          <w:rFonts w:ascii="Times New Roman" w:hAnsi="Times New Roman"/>
          <w:noProof/>
          <w:sz w:val="24"/>
          <w:szCs w:val="24"/>
        </w:rPr>
        <w:t xml:space="preserve"> w tym</w:t>
      </w:r>
      <w:r w:rsidRPr="00A5335D">
        <w:rPr>
          <w:rFonts w:ascii="Times New Roman" w:hAnsi="Times New Roman"/>
          <w:noProof/>
          <w:sz w:val="24"/>
          <w:szCs w:val="24"/>
        </w:rPr>
        <w:t xml:space="preserve"> zakresie różnią się znacznie</w:t>
      </w:r>
      <w:r w:rsidR="00A5335D" w:rsidRPr="00A5335D">
        <w:rPr>
          <w:rFonts w:ascii="Times New Roman" w:hAnsi="Times New Roman"/>
          <w:noProof/>
          <w:sz w:val="24"/>
          <w:szCs w:val="24"/>
        </w:rPr>
        <w:t xml:space="preserve"> w pos</w:t>
      </w:r>
      <w:r w:rsidRPr="00A5335D">
        <w:rPr>
          <w:rFonts w:ascii="Times New Roman" w:hAnsi="Times New Roman"/>
          <w:noProof/>
          <w:sz w:val="24"/>
          <w:szCs w:val="24"/>
        </w:rPr>
        <w:t>zczególnych państwach członkowskich. Jest to duża</w:t>
      </w:r>
      <w:r w:rsidR="00A5335D" w:rsidRPr="00A5335D">
        <w:rPr>
          <w:rFonts w:ascii="Times New Roman" w:hAnsi="Times New Roman"/>
          <w:noProof/>
          <w:sz w:val="24"/>
          <w:szCs w:val="24"/>
        </w:rPr>
        <w:t xml:space="preserve"> i bar</w:t>
      </w:r>
      <w:r w:rsidRPr="00A5335D">
        <w:rPr>
          <w:rFonts w:ascii="Times New Roman" w:hAnsi="Times New Roman"/>
          <w:noProof/>
          <w:sz w:val="24"/>
          <w:szCs w:val="24"/>
        </w:rPr>
        <w:t>dzo zróżnicowana kategoria pracowników, począwszy od robotników rolnych, kierowców samochodów ciężarowych</w:t>
      </w:r>
      <w:r w:rsidR="00A5335D" w:rsidRPr="00A5335D">
        <w:rPr>
          <w:rFonts w:ascii="Times New Roman" w:hAnsi="Times New Roman"/>
          <w:noProof/>
          <w:sz w:val="24"/>
          <w:szCs w:val="24"/>
        </w:rPr>
        <w:t xml:space="preserve"> i dos</w:t>
      </w:r>
      <w:r w:rsidRPr="00A5335D">
        <w:rPr>
          <w:rFonts w:ascii="Times New Roman" w:hAnsi="Times New Roman"/>
          <w:noProof/>
          <w:sz w:val="24"/>
          <w:szCs w:val="24"/>
        </w:rPr>
        <w:t>tawczych,</w:t>
      </w:r>
      <w:r w:rsidR="00A5335D" w:rsidRPr="00A5335D">
        <w:rPr>
          <w:rFonts w:ascii="Times New Roman" w:hAnsi="Times New Roman"/>
          <w:noProof/>
          <w:sz w:val="24"/>
          <w:szCs w:val="24"/>
        </w:rPr>
        <w:t xml:space="preserve"> a sko</w:t>
      </w:r>
      <w:r w:rsidRPr="00A5335D">
        <w:rPr>
          <w:rFonts w:ascii="Times New Roman" w:hAnsi="Times New Roman"/>
          <w:noProof/>
          <w:sz w:val="24"/>
          <w:szCs w:val="24"/>
        </w:rPr>
        <w:t>ńczywszy na technikach informatycznych</w:t>
      </w:r>
      <w:r w:rsidRPr="00A5335D">
        <w:rPr>
          <w:rFonts w:ascii="Times New Roman" w:hAnsi="Times New Roman"/>
          <w:b/>
          <w:bCs/>
          <w:noProof/>
          <w:sz w:val="24"/>
          <w:szCs w:val="24"/>
        </w:rPr>
        <w:t xml:space="preserve">. </w:t>
      </w:r>
      <w:r w:rsidRPr="00A5335D">
        <w:rPr>
          <w:rFonts w:ascii="Times New Roman" w:hAnsi="Times New Roman"/>
          <w:bCs/>
          <w:noProof/>
          <w:sz w:val="24"/>
          <w:szCs w:val="24"/>
        </w:rPr>
        <w:t xml:space="preserve">Kategoria ta obejmuje różne </w:t>
      </w:r>
      <w:r w:rsidRPr="00A5335D">
        <w:rPr>
          <w:rFonts w:ascii="Times New Roman" w:hAnsi="Times New Roman"/>
          <w:noProof/>
          <w:sz w:val="24"/>
          <w:szCs w:val="24"/>
        </w:rPr>
        <w:t>poziomy umiejętności, sektory oraz ramy polityczne</w:t>
      </w:r>
      <w:r w:rsidR="00A5335D" w:rsidRPr="00A5335D">
        <w:rPr>
          <w:rFonts w:ascii="Times New Roman" w:hAnsi="Times New Roman"/>
          <w:noProof/>
          <w:sz w:val="24"/>
          <w:szCs w:val="24"/>
        </w:rPr>
        <w:t xml:space="preserve"> i pra</w:t>
      </w:r>
      <w:r w:rsidRPr="00A5335D">
        <w:rPr>
          <w:rFonts w:ascii="Times New Roman" w:hAnsi="Times New Roman"/>
          <w:noProof/>
          <w:sz w:val="24"/>
          <w:szCs w:val="24"/>
        </w:rPr>
        <w:t>wne</w:t>
      </w:r>
      <w:r w:rsidR="00A5335D" w:rsidRPr="00A5335D">
        <w:rPr>
          <w:rFonts w:ascii="Times New Roman" w:hAnsi="Times New Roman"/>
          <w:noProof/>
          <w:sz w:val="24"/>
          <w:szCs w:val="24"/>
        </w:rPr>
        <w:t xml:space="preserve"> w pań</w:t>
      </w:r>
      <w:r w:rsidRPr="00A5335D">
        <w:rPr>
          <w:rFonts w:ascii="Times New Roman" w:hAnsi="Times New Roman"/>
          <w:noProof/>
          <w:sz w:val="24"/>
          <w:szCs w:val="24"/>
        </w:rPr>
        <w:t xml:space="preserve">stwach członkowskich. </w:t>
      </w:r>
    </w:p>
    <w:p w14:paraId="27CEFCD9" w14:textId="44D2140B" w:rsidR="003767C2" w:rsidRPr="00A5335D" w:rsidRDefault="003767C2" w:rsidP="00834BBD">
      <w:pPr>
        <w:spacing w:before="120" w:after="240"/>
        <w:jc w:val="both"/>
        <w:rPr>
          <w:rFonts w:ascii="Times New Roman" w:hAnsi="Times New Roman" w:cs="Times New Roman"/>
          <w:b/>
          <w:bCs/>
          <w:noProof/>
          <w:sz w:val="24"/>
          <w:szCs w:val="24"/>
        </w:rPr>
      </w:pPr>
      <w:r w:rsidRPr="00A5335D">
        <w:rPr>
          <w:rFonts w:ascii="Times New Roman" w:hAnsi="Times New Roman"/>
          <w:noProof/>
          <w:sz w:val="24"/>
          <w:szCs w:val="24"/>
        </w:rPr>
        <w:t>Dlatego Komisja opowiada się za podejściem stopniowym</w:t>
      </w:r>
      <w:r w:rsidR="00A5335D" w:rsidRPr="00A5335D">
        <w:rPr>
          <w:rFonts w:ascii="Times New Roman" w:hAnsi="Times New Roman"/>
          <w:noProof/>
          <w:sz w:val="24"/>
          <w:szCs w:val="24"/>
        </w:rPr>
        <w:t>. W ram</w:t>
      </w:r>
      <w:r w:rsidRPr="00A5335D">
        <w:rPr>
          <w:rFonts w:ascii="Times New Roman" w:hAnsi="Times New Roman"/>
          <w:noProof/>
          <w:sz w:val="24"/>
          <w:szCs w:val="24"/>
        </w:rPr>
        <w:t>ach tego podejścia proponuje się, aby najpierw skupić się na sektorze,</w:t>
      </w:r>
      <w:r w:rsidR="00A5335D" w:rsidRPr="00A5335D">
        <w:rPr>
          <w:rFonts w:ascii="Times New Roman" w:hAnsi="Times New Roman"/>
          <w:noProof/>
          <w:sz w:val="24"/>
          <w:szCs w:val="24"/>
        </w:rPr>
        <w:t xml:space="preserve"> w któ</w:t>
      </w:r>
      <w:r w:rsidRPr="00A5335D">
        <w:rPr>
          <w:rFonts w:ascii="Times New Roman" w:hAnsi="Times New Roman"/>
          <w:noProof/>
          <w:sz w:val="24"/>
          <w:szCs w:val="24"/>
        </w:rPr>
        <w:t>rym działanie na poziomie UE przynosi wyraźne korzyści: jest nim opieka długoterminowa.</w:t>
      </w:r>
    </w:p>
    <w:p w14:paraId="27CEFCDA" w14:textId="47FF393D" w:rsidR="003767C2" w:rsidRPr="00A5335D" w:rsidRDefault="003767C2" w:rsidP="003767C2">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Struktura</w:t>
      </w:r>
      <w:r w:rsidR="00A5335D" w:rsidRPr="00A5335D">
        <w:rPr>
          <w:rFonts w:ascii="Times New Roman" w:hAnsi="Times New Roman"/>
          <w:noProof/>
          <w:sz w:val="24"/>
          <w:szCs w:val="24"/>
        </w:rPr>
        <w:t xml:space="preserve"> i doj</w:t>
      </w:r>
      <w:r w:rsidRPr="00A5335D">
        <w:rPr>
          <w:rFonts w:ascii="Times New Roman" w:hAnsi="Times New Roman"/>
          <w:noProof/>
          <w:sz w:val="24"/>
          <w:szCs w:val="24"/>
        </w:rPr>
        <w:t xml:space="preserve">rzałość systemów opieki długoterminowej w UE są bardzo zróżnicowane, ale wszystkie kraje stoją przed </w:t>
      </w:r>
      <w:r w:rsidRPr="00A5335D">
        <w:rPr>
          <w:rFonts w:ascii="Times New Roman" w:hAnsi="Times New Roman"/>
          <w:b/>
          <w:bCs/>
          <w:noProof/>
          <w:sz w:val="24"/>
          <w:szCs w:val="24"/>
        </w:rPr>
        <w:t>wspólnymi wyzwaniami</w:t>
      </w:r>
      <w:r w:rsidRPr="00A5335D">
        <w:rPr>
          <w:rFonts w:ascii="Times New Roman" w:hAnsi="Times New Roman"/>
          <w:noProof/>
          <w:sz w:val="24"/>
          <w:szCs w:val="24"/>
        </w:rPr>
        <w:t xml:space="preserve"> obejmującymi: konieczność zapewnienia dostępnej, przystępnej cenowo</w:t>
      </w:r>
      <w:r w:rsidR="00A5335D" w:rsidRPr="00A5335D">
        <w:rPr>
          <w:rFonts w:ascii="Times New Roman" w:hAnsi="Times New Roman"/>
          <w:noProof/>
          <w:sz w:val="24"/>
          <w:szCs w:val="24"/>
        </w:rPr>
        <w:t xml:space="preserve"> i wys</w:t>
      </w:r>
      <w:r w:rsidRPr="00A5335D">
        <w:rPr>
          <w:rFonts w:ascii="Times New Roman" w:hAnsi="Times New Roman"/>
          <w:noProof/>
          <w:sz w:val="24"/>
          <w:szCs w:val="24"/>
        </w:rPr>
        <w:t>okiej jakości opieki</w:t>
      </w:r>
      <w:r w:rsidR="00A5335D" w:rsidRPr="00A5335D">
        <w:rPr>
          <w:rFonts w:ascii="Times New Roman" w:hAnsi="Times New Roman"/>
          <w:noProof/>
          <w:sz w:val="24"/>
          <w:szCs w:val="24"/>
        </w:rPr>
        <w:t xml:space="preserve"> w kon</w:t>
      </w:r>
      <w:r w:rsidRPr="00A5335D">
        <w:rPr>
          <w:rFonts w:ascii="Times New Roman" w:hAnsi="Times New Roman"/>
          <w:noProof/>
          <w:sz w:val="24"/>
          <w:szCs w:val="24"/>
        </w:rPr>
        <w:t>tekście rosnącego zapotrzebowania na opiekę zdrowotną</w:t>
      </w:r>
      <w:r w:rsidR="00A5335D" w:rsidRPr="00A5335D">
        <w:rPr>
          <w:rFonts w:ascii="Times New Roman" w:hAnsi="Times New Roman"/>
          <w:noProof/>
          <w:sz w:val="24"/>
          <w:szCs w:val="24"/>
        </w:rPr>
        <w:t xml:space="preserve"> i spo</w:t>
      </w:r>
      <w:r w:rsidRPr="00A5335D">
        <w:rPr>
          <w:rFonts w:ascii="Times New Roman" w:hAnsi="Times New Roman"/>
          <w:noProof/>
          <w:sz w:val="24"/>
          <w:szCs w:val="24"/>
        </w:rPr>
        <w:t>łeczną oraz braków kadrowych</w:t>
      </w:r>
      <w:r w:rsidR="00A5335D" w:rsidRPr="00A5335D">
        <w:rPr>
          <w:rFonts w:ascii="Times New Roman" w:hAnsi="Times New Roman"/>
          <w:noProof/>
          <w:sz w:val="24"/>
          <w:szCs w:val="24"/>
        </w:rPr>
        <w:t xml:space="preserve"> w obl</w:t>
      </w:r>
      <w:r w:rsidRPr="00A5335D">
        <w:rPr>
          <w:rFonts w:ascii="Times New Roman" w:hAnsi="Times New Roman"/>
          <w:noProof/>
          <w:sz w:val="24"/>
          <w:szCs w:val="24"/>
        </w:rPr>
        <w:t>iczu starzenia się społeczeństwa. Pracownicy migrujący,</w:t>
      </w:r>
      <w:r w:rsidR="00A5335D" w:rsidRPr="00A5335D">
        <w:rPr>
          <w:rFonts w:ascii="Times New Roman" w:hAnsi="Times New Roman"/>
          <w:noProof/>
          <w:sz w:val="24"/>
          <w:szCs w:val="24"/>
        </w:rPr>
        <w:t xml:space="preserve"> a zwł</w:t>
      </w:r>
      <w:r w:rsidRPr="00A5335D">
        <w:rPr>
          <w:rFonts w:ascii="Times New Roman" w:hAnsi="Times New Roman"/>
          <w:noProof/>
          <w:sz w:val="24"/>
          <w:szCs w:val="24"/>
        </w:rPr>
        <w:t>aszcza kobiety, stanowią znaczną część pracowników świadczących opiekę długoterminową</w:t>
      </w:r>
      <w:r w:rsidRPr="00A5335D">
        <w:rPr>
          <w:rStyle w:val="FootnoteReference"/>
          <w:rFonts w:ascii="Times New Roman" w:hAnsi="Times New Roman" w:cs="Times New Roman"/>
          <w:noProof/>
          <w:sz w:val="24"/>
          <w:szCs w:val="24"/>
        </w:rPr>
        <w:footnoteReference w:id="61"/>
      </w:r>
      <w:r w:rsidR="00A5335D" w:rsidRPr="00A5335D">
        <w:rPr>
          <w:rFonts w:ascii="Times New Roman" w:hAnsi="Times New Roman"/>
          <w:noProof/>
          <w:sz w:val="24"/>
          <w:szCs w:val="24"/>
        </w:rPr>
        <w:t>. W cza</w:t>
      </w:r>
      <w:r w:rsidRPr="00A5335D">
        <w:rPr>
          <w:rFonts w:ascii="Times New Roman" w:hAnsi="Times New Roman"/>
          <w:noProof/>
          <w:sz w:val="24"/>
          <w:szCs w:val="24"/>
        </w:rPr>
        <w:t>sie kryzysu związanego z COVID-19 opieka długoterminowa okazała się niezbędną usługą świadczoną przez pracowników</w:t>
      </w:r>
      <w:r w:rsidR="00A5335D" w:rsidRPr="00A5335D">
        <w:rPr>
          <w:rFonts w:ascii="Times New Roman" w:hAnsi="Times New Roman"/>
          <w:noProof/>
          <w:sz w:val="24"/>
          <w:szCs w:val="24"/>
        </w:rPr>
        <w:t xml:space="preserve"> o kry</w:t>
      </w:r>
      <w:r w:rsidRPr="00A5335D">
        <w:rPr>
          <w:rFonts w:ascii="Times New Roman" w:hAnsi="Times New Roman"/>
          <w:noProof/>
          <w:sz w:val="24"/>
          <w:szCs w:val="24"/>
        </w:rPr>
        <w:t>tycznym znaczeniu. Jednak ograniczone inwestycje</w:t>
      </w:r>
      <w:r w:rsidR="00A5335D" w:rsidRPr="00A5335D">
        <w:rPr>
          <w:rFonts w:ascii="Times New Roman" w:hAnsi="Times New Roman"/>
          <w:noProof/>
          <w:sz w:val="24"/>
          <w:szCs w:val="24"/>
        </w:rPr>
        <w:t xml:space="preserve"> w sek</w:t>
      </w:r>
      <w:r w:rsidRPr="00A5335D">
        <w:rPr>
          <w:rFonts w:ascii="Times New Roman" w:hAnsi="Times New Roman"/>
          <w:noProof/>
          <w:sz w:val="24"/>
          <w:szCs w:val="24"/>
        </w:rPr>
        <w:t>torze, trudne warunki pracy</w:t>
      </w:r>
      <w:r w:rsidR="00A5335D" w:rsidRPr="00A5335D">
        <w:rPr>
          <w:rFonts w:ascii="Times New Roman" w:hAnsi="Times New Roman"/>
          <w:noProof/>
          <w:sz w:val="24"/>
          <w:szCs w:val="24"/>
        </w:rPr>
        <w:t xml:space="preserve"> i wyn</w:t>
      </w:r>
      <w:r w:rsidRPr="00A5335D">
        <w:rPr>
          <w:rFonts w:ascii="Times New Roman" w:hAnsi="Times New Roman"/>
          <w:noProof/>
          <w:sz w:val="24"/>
          <w:szCs w:val="24"/>
        </w:rPr>
        <w:t>ikające</w:t>
      </w:r>
      <w:r w:rsidR="00A5335D" w:rsidRPr="00A5335D">
        <w:rPr>
          <w:rFonts w:ascii="Times New Roman" w:hAnsi="Times New Roman"/>
          <w:noProof/>
          <w:sz w:val="24"/>
          <w:szCs w:val="24"/>
        </w:rPr>
        <w:t xml:space="preserve"> z nic</w:t>
      </w:r>
      <w:r w:rsidRPr="00A5335D">
        <w:rPr>
          <w:rFonts w:ascii="Times New Roman" w:hAnsi="Times New Roman"/>
          <w:noProof/>
          <w:sz w:val="24"/>
          <w:szCs w:val="24"/>
        </w:rPr>
        <w:t>h braki kadrowe przyczyniły się do powstania poważnych wyzwań związanych</w:t>
      </w:r>
      <w:r w:rsidR="00A5335D" w:rsidRPr="00A5335D">
        <w:rPr>
          <w:rFonts w:ascii="Times New Roman" w:hAnsi="Times New Roman"/>
          <w:noProof/>
          <w:sz w:val="24"/>
          <w:szCs w:val="24"/>
        </w:rPr>
        <w:t xml:space="preserve"> z zap</w:t>
      </w:r>
      <w:r w:rsidRPr="00A5335D">
        <w:rPr>
          <w:rFonts w:ascii="Times New Roman" w:hAnsi="Times New Roman"/>
          <w:noProof/>
          <w:sz w:val="24"/>
          <w:szCs w:val="24"/>
        </w:rPr>
        <w:t>ewnieniem ciągłości usług opieki</w:t>
      </w:r>
      <w:r w:rsidR="00A5335D" w:rsidRPr="00A5335D">
        <w:rPr>
          <w:rFonts w:ascii="Times New Roman" w:hAnsi="Times New Roman"/>
          <w:noProof/>
          <w:sz w:val="24"/>
          <w:szCs w:val="24"/>
        </w:rPr>
        <w:t xml:space="preserve"> i odp</w:t>
      </w:r>
      <w:r w:rsidRPr="00A5335D">
        <w:rPr>
          <w:rFonts w:ascii="Times New Roman" w:hAnsi="Times New Roman"/>
          <w:noProof/>
          <w:sz w:val="24"/>
          <w:szCs w:val="24"/>
        </w:rPr>
        <w:t>owiedniego reagowania na pandemię</w:t>
      </w:r>
      <w:r w:rsidRPr="00A5335D">
        <w:rPr>
          <w:rStyle w:val="FootnoteReference"/>
          <w:rFonts w:ascii="Times New Roman" w:hAnsi="Times New Roman" w:cs="Times New Roman"/>
          <w:noProof/>
          <w:sz w:val="24"/>
          <w:szCs w:val="24"/>
        </w:rPr>
        <w:footnoteReference w:id="62"/>
      </w:r>
      <w:r w:rsidRPr="00A5335D">
        <w:rPr>
          <w:rFonts w:ascii="Times New Roman" w:hAnsi="Times New Roman"/>
          <w:noProof/>
          <w:sz w:val="24"/>
          <w:szCs w:val="24"/>
        </w:rPr>
        <w:t>.</w:t>
      </w:r>
    </w:p>
    <w:p w14:paraId="27CEFCDB" w14:textId="49E545F5" w:rsidR="003767C2" w:rsidRPr="00A5335D" w:rsidRDefault="003767C2" w:rsidP="003767C2">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Państwa członkowskie mają problemy</w:t>
      </w:r>
      <w:r w:rsidR="00A5335D" w:rsidRPr="00A5335D">
        <w:rPr>
          <w:rFonts w:ascii="Times New Roman" w:hAnsi="Times New Roman"/>
          <w:noProof/>
          <w:sz w:val="24"/>
          <w:szCs w:val="24"/>
        </w:rPr>
        <w:t xml:space="preserve"> z prz</w:t>
      </w:r>
      <w:r w:rsidRPr="00A5335D">
        <w:rPr>
          <w:rFonts w:ascii="Times New Roman" w:hAnsi="Times New Roman"/>
          <w:noProof/>
          <w:sz w:val="24"/>
          <w:szCs w:val="24"/>
        </w:rPr>
        <w:t>yciąganiem</w:t>
      </w:r>
      <w:r w:rsidR="00A5335D" w:rsidRPr="00A5335D">
        <w:rPr>
          <w:rFonts w:ascii="Times New Roman" w:hAnsi="Times New Roman"/>
          <w:noProof/>
          <w:sz w:val="24"/>
          <w:szCs w:val="24"/>
        </w:rPr>
        <w:t xml:space="preserve"> i zat</w:t>
      </w:r>
      <w:r w:rsidRPr="00A5335D">
        <w:rPr>
          <w:rFonts w:ascii="Times New Roman" w:hAnsi="Times New Roman"/>
          <w:noProof/>
          <w:sz w:val="24"/>
          <w:szCs w:val="24"/>
        </w:rPr>
        <w:t xml:space="preserve">rzymywaniem pracowników opieki. Oczekuje się, że </w:t>
      </w:r>
      <w:r w:rsidRPr="00A5335D">
        <w:rPr>
          <w:rFonts w:ascii="Times New Roman" w:hAnsi="Times New Roman"/>
          <w:b/>
          <w:bCs/>
          <w:noProof/>
          <w:sz w:val="24"/>
          <w:szCs w:val="24"/>
        </w:rPr>
        <w:t>do</w:t>
      </w:r>
      <w:r w:rsidR="00A5335D" w:rsidRPr="00A5335D">
        <w:rPr>
          <w:rFonts w:ascii="Times New Roman" w:hAnsi="Times New Roman"/>
          <w:b/>
          <w:bCs/>
          <w:noProof/>
          <w:sz w:val="24"/>
          <w:szCs w:val="24"/>
        </w:rPr>
        <w:t> </w:t>
      </w:r>
      <w:r w:rsidRPr="00A5335D">
        <w:rPr>
          <w:rFonts w:ascii="Times New Roman" w:hAnsi="Times New Roman"/>
          <w:b/>
          <w:bCs/>
          <w:noProof/>
          <w:sz w:val="24"/>
          <w:szCs w:val="24"/>
        </w:rPr>
        <w:t>2030</w:t>
      </w:r>
      <w:r w:rsidR="00A5335D" w:rsidRPr="00A5335D">
        <w:rPr>
          <w:rFonts w:ascii="Times New Roman" w:hAnsi="Times New Roman"/>
          <w:b/>
          <w:bCs/>
          <w:noProof/>
          <w:sz w:val="24"/>
          <w:szCs w:val="24"/>
        </w:rPr>
        <w:t> </w:t>
      </w:r>
      <w:r w:rsidRPr="00A5335D">
        <w:rPr>
          <w:rFonts w:ascii="Times New Roman" w:hAnsi="Times New Roman"/>
          <w:b/>
          <w:bCs/>
          <w:noProof/>
          <w:sz w:val="24"/>
          <w:szCs w:val="24"/>
        </w:rPr>
        <w:t>r.</w:t>
      </w:r>
      <w:r w:rsidRPr="00A5335D">
        <w:rPr>
          <w:rStyle w:val="FootnoteReference"/>
          <w:rFonts w:ascii="Times New Roman" w:hAnsi="Times New Roman" w:cs="Times New Roman"/>
          <w:noProof/>
          <w:sz w:val="24"/>
          <w:szCs w:val="24"/>
        </w:rPr>
        <w:footnoteReference w:id="63"/>
      </w:r>
      <w:r w:rsidR="00A5335D" w:rsidRPr="00A5335D">
        <w:rPr>
          <w:rFonts w:ascii="Times New Roman" w:hAnsi="Times New Roman"/>
          <w:noProof/>
          <w:sz w:val="24"/>
          <w:szCs w:val="24"/>
        </w:rPr>
        <w:t xml:space="preserve"> w sek</w:t>
      </w:r>
      <w:r w:rsidRPr="00A5335D">
        <w:rPr>
          <w:rFonts w:ascii="Times New Roman" w:hAnsi="Times New Roman"/>
          <w:noProof/>
          <w:sz w:val="24"/>
          <w:szCs w:val="24"/>
        </w:rPr>
        <w:t>torze opieki długoterminowej powstanie nawet 7 mln miejsc pracy dla pracowników służby zdrowia średniego szczebla</w:t>
      </w:r>
      <w:r w:rsidR="00A5335D" w:rsidRPr="00A5335D">
        <w:rPr>
          <w:rFonts w:ascii="Times New Roman" w:hAnsi="Times New Roman"/>
          <w:noProof/>
          <w:sz w:val="24"/>
          <w:szCs w:val="24"/>
        </w:rPr>
        <w:t xml:space="preserve"> i pra</w:t>
      </w:r>
      <w:r w:rsidRPr="00A5335D">
        <w:rPr>
          <w:rFonts w:ascii="Times New Roman" w:hAnsi="Times New Roman"/>
          <w:noProof/>
          <w:sz w:val="24"/>
          <w:szCs w:val="24"/>
        </w:rPr>
        <w:t>cowników opieki osobistej</w:t>
      </w:r>
      <w:r w:rsidRPr="00A5335D">
        <w:rPr>
          <w:rStyle w:val="FootnoteReference"/>
          <w:rFonts w:ascii="Times New Roman" w:hAnsi="Times New Roman" w:cs="Times New Roman"/>
          <w:b/>
          <w:bCs/>
          <w:noProof/>
          <w:sz w:val="24"/>
          <w:szCs w:val="24"/>
        </w:rPr>
        <w:footnoteReference w:id="64"/>
      </w:r>
      <w:r w:rsidRPr="00A5335D">
        <w:rPr>
          <w:rFonts w:ascii="Times New Roman" w:hAnsi="Times New Roman"/>
          <w:noProof/>
          <w:sz w:val="24"/>
          <w:szCs w:val="24"/>
        </w:rPr>
        <w:t xml:space="preserve">, przy czym tylko częściowo będą one objęte unijnym rynkiem pracy. </w:t>
      </w:r>
    </w:p>
    <w:p w14:paraId="27CEFCDC" w14:textId="7C86BA94" w:rsidR="003767C2" w:rsidRPr="00A5335D" w:rsidRDefault="003767C2" w:rsidP="003767C2">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Ścieżki prawne dla pracowników świadczących opiekę długoterminową są regulowane na poziomie krajowym, zgodnie</w:t>
      </w:r>
      <w:r w:rsidR="00A5335D" w:rsidRPr="00A5335D">
        <w:rPr>
          <w:rFonts w:ascii="Times New Roman" w:hAnsi="Times New Roman"/>
          <w:noProof/>
          <w:sz w:val="24"/>
          <w:szCs w:val="24"/>
        </w:rPr>
        <w:t xml:space="preserve"> z róż</w:t>
      </w:r>
      <w:r w:rsidRPr="00A5335D">
        <w:rPr>
          <w:rFonts w:ascii="Times New Roman" w:hAnsi="Times New Roman"/>
          <w:noProof/>
          <w:sz w:val="24"/>
          <w:szCs w:val="24"/>
        </w:rPr>
        <w:t>nymi zasadami i na różnych warunkach</w:t>
      </w:r>
      <w:r w:rsidR="007A1309" w:rsidRPr="00A5335D">
        <w:rPr>
          <w:rStyle w:val="FootnoteReference"/>
          <w:rFonts w:ascii="Times New Roman" w:hAnsi="Times New Roman" w:cs="Times New Roman"/>
          <w:noProof/>
          <w:sz w:val="24"/>
          <w:szCs w:val="24"/>
        </w:rPr>
        <w:footnoteReference w:id="65"/>
      </w:r>
      <w:r w:rsidRPr="00A5335D">
        <w:rPr>
          <w:rFonts w:ascii="Times New Roman" w:hAnsi="Times New Roman"/>
          <w:noProof/>
          <w:sz w:val="24"/>
          <w:szCs w:val="24"/>
        </w:rPr>
        <w:t>. Należy ocenić, czy</w:t>
      </w:r>
      <w:r w:rsidR="00A5335D" w:rsidRPr="00A5335D">
        <w:rPr>
          <w:rFonts w:ascii="Times New Roman" w:hAnsi="Times New Roman"/>
          <w:noProof/>
          <w:sz w:val="24"/>
          <w:szCs w:val="24"/>
        </w:rPr>
        <w:t xml:space="preserve"> i w jak</w:t>
      </w:r>
      <w:r w:rsidRPr="00A5335D">
        <w:rPr>
          <w:rFonts w:ascii="Times New Roman" w:hAnsi="Times New Roman"/>
          <w:noProof/>
          <w:sz w:val="24"/>
          <w:szCs w:val="24"/>
        </w:rPr>
        <w:t>im stopniu można przyczynić się na szczeblu unijnym do poprawy warunków przyjmowania do UE tej kategorii pracowników</w:t>
      </w:r>
      <w:r w:rsidR="00A5335D" w:rsidRPr="00A5335D">
        <w:rPr>
          <w:rFonts w:ascii="Times New Roman" w:hAnsi="Times New Roman"/>
          <w:noProof/>
          <w:sz w:val="24"/>
          <w:szCs w:val="24"/>
        </w:rPr>
        <w:t xml:space="preserve"> o kry</w:t>
      </w:r>
      <w:r w:rsidRPr="00A5335D">
        <w:rPr>
          <w:rFonts w:ascii="Times New Roman" w:hAnsi="Times New Roman"/>
          <w:noProof/>
          <w:sz w:val="24"/>
          <w:szCs w:val="24"/>
        </w:rPr>
        <w:t>tycznym znaczeniu. Takie usprawnienie przyniosłoby korzyści zarówno państwom członkowskim, jak</w:t>
      </w:r>
      <w:r w:rsidR="00A5335D" w:rsidRPr="00A5335D">
        <w:rPr>
          <w:rFonts w:ascii="Times New Roman" w:hAnsi="Times New Roman"/>
          <w:noProof/>
          <w:sz w:val="24"/>
          <w:szCs w:val="24"/>
        </w:rPr>
        <w:t xml:space="preserve"> i kra</w:t>
      </w:r>
      <w:r w:rsidRPr="00A5335D">
        <w:rPr>
          <w:rFonts w:ascii="Times New Roman" w:hAnsi="Times New Roman"/>
          <w:noProof/>
          <w:sz w:val="24"/>
          <w:szCs w:val="24"/>
        </w:rPr>
        <w:t>jom pochodzenia, zapewniając jednocześnie etyczną rekrutację</w:t>
      </w:r>
      <w:r w:rsidR="00A5335D" w:rsidRPr="00A5335D">
        <w:rPr>
          <w:rFonts w:ascii="Times New Roman" w:hAnsi="Times New Roman"/>
          <w:noProof/>
          <w:sz w:val="24"/>
          <w:szCs w:val="24"/>
        </w:rPr>
        <w:t xml:space="preserve"> i wys</w:t>
      </w:r>
      <w:r w:rsidRPr="00A5335D">
        <w:rPr>
          <w:rFonts w:ascii="Times New Roman" w:hAnsi="Times New Roman"/>
          <w:noProof/>
          <w:sz w:val="24"/>
          <w:szCs w:val="24"/>
        </w:rPr>
        <w:t>okie standardy.</w:t>
      </w:r>
    </w:p>
    <w:p w14:paraId="27CEFCDD" w14:textId="017D8C23" w:rsidR="003767C2" w:rsidRPr="00A5335D" w:rsidRDefault="003767C2" w:rsidP="003767C2">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Partnerstwa</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talentów mogłyby wspierać ten cel poprzez promowanie szkoleń dla pracowników świadczących opiekę długoterminową</w:t>
      </w:r>
      <w:r w:rsidR="00A5335D" w:rsidRPr="00A5335D">
        <w:rPr>
          <w:rFonts w:ascii="Times New Roman" w:hAnsi="Times New Roman"/>
          <w:noProof/>
          <w:sz w:val="24"/>
          <w:szCs w:val="24"/>
        </w:rPr>
        <w:t xml:space="preserve"> w poł</w:t>
      </w:r>
      <w:r w:rsidRPr="00A5335D">
        <w:rPr>
          <w:rFonts w:ascii="Times New Roman" w:hAnsi="Times New Roman"/>
          <w:noProof/>
          <w:sz w:val="24"/>
          <w:szCs w:val="24"/>
        </w:rPr>
        <w:t>ączeniu</w:t>
      </w:r>
      <w:r w:rsidR="00A5335D" w:rsidRPr="00A5335D">
        <w:rPr>
          <w:rFonts w:ascii="Times New Roman" w:hAnsi="Times New Roman"/>
          <w:noProof/>
          <w:sz w:val="24"/>
          <w:szCs w:val="24"/>
        </w:rPr>
        <w:t xml:space="preserve"> z sze</w:t>
      </w:r>
      <w:r w:rsidRPr="00A5335D">
        <w:rPr>
          <w:rFonts w:ascii="Times New Roman" w:hAnsi="Times New Roman"/>
          <w:noProof/>
          <w:sz w:val="24"/>
          <w:szCs w:val="24"/>
        </w:rPr>
        <w:t>rszą współpracą</w:t>
      </w:r>
      <w:r w:rsidR="00A5335D" w:rsidRPr="00A5335D">
        <w:rPr>
          <w:rFonts w:ascii="Times New Roman" w:hAnsi="Times New Roman"/>
          <w:noProof/>
          <w:sz w:val="24"/>
          <w:szCs w:val="24"/>
        </w:rPr>
        <w:t xml:space="preserve"> z kra</w:t>
      </w:r>
      <w:r w:rsidRPr="00A5335D">
        <w:rPr>
          <w:rFonts w:ascii="Times New Roman" w:hAnsi="Times New Roman"/>
          <w:noProof/>
          <w:sz w:val="24"/>
          <w:szCs w:val="24"/>
        </w:rPr>
        <w:t>jami partnerskimi, m.in.</w:t>
      </w:r>
      <w:r w:rsidR="00A5335D" w:rsidRPr="00A5335D">
        <w:rPr>
          <w:rFonts w:ascii="Times New Roman" w:hAnsi="Times New Roman"/>
          <w:noProof/>
          <w:sz w:val="24"/>
          <w:szCs w:val="24"/>
        </w:rPr>
        <w:t xml:space="preserve"> w opr</w:t>
      </w:r>
      <w:r w:rsidRPr="00A5335D">
        <w:rPr>
          <w:rFonts w:ascii="Times New Roman" w:hAnsi="Times New Roman"/>
          <w:noProof/>
          <w:sz w:val="24"/>
          <w:szCs w:val="24"/>
        </w:rPr>
        <w:t>acowywaniu sposobów,</w:t>
      </w:r>
      <w:r w:rsidR="00A5335D" w:rsidRPr="00A5335D">
        <w:rPr>
          <w:rFonts w:ascii="Times New Roman" w:hAnsi="Times New Roman"/>
          <w:noProof/>
          <w:sz w:val="24"/>
          <w:szCs w:val="24"/>
        </w:rPr>
        <w:t xml:space="preserve"> w jak</w:t>
      </w:r>
      <w:r w:rsidRPr="00A5335D">
        <w:rPr>
          <w:rFonts w:ascii="Times New Roman" w:hAnsi="Times New Roman"/>
          <w:noProof/>
          <w:sz w:val="24"/>
          <w:szCs w:val="24"/>
        </w:rPr>
        <w:t>ie zagraniczni specjaliści</w:t>
      </w:r>
      <w:r w:rsidR="00A5335D" w:rsidRPr="00A5335D">
        <w:rPr>
          <w:rFonts w:ascii="Times New Roman" w:hAnsi="Times New Roman"/>
          <w:noProof/>
          <w:sz w:val="24"/>
          <w:szCs w:val="24"/>
        </w:rPr>
        <w:t xml:space="preserve"> i dia</w:t>
      </w:r>
      <w:r w:rsidRPr="00A5335D">
        <w:rPr>
          <w:rFonts w:ascii="Times New Roman" w:hAnsi="Times New Roman"/>
          <w:noProof/>
          <w:sz w:val="24"/>
          <w:szCs w:val="24"/>
        </w:rPr>
        <w:t>spora mogą przyczynić się do stwarzania możliwości</w:t>
      </w:r>
      <w:r w:rsidR="00A5335D" w:rsidRPr="00A5335D">
        <w:rPr>
          <w:rFonts w:ascii="Times New Roman" w:hAnsi="Times New Roman"/>
          <w:noProof/>
          <w:sz w:val="24"/>
          <w:szCs w:val="24"/>
        </w:rPr>
        <w:t xml:space="preserve"> w kra</w:t>
      </w:r>
      <w:r w:rsidRPr="00A5335D">
        <w:rPr>
          <w:rFonts w:ascii="Times New Roman" w:hAnsi="Times New Roman"/>
          <w:noProof/>
          <w:sz w:val="24"/>
          <w:szCs w:val="24"/>
        </w:rPr>
        <w:t>ju pochodzenia</w:t>
      </w:r>
      <w:r w:rsidR="00AF525E" w:rsidRPr="00A5335D">
        <w:rPr>
          <w:rStyle w:val="FootnoteReference"/>
          <w:rFonts w:ascii="Times New Roman" w:hAnsi="Times New Roman" w:cs="Times New Roman"/>
          <w:noProof/>
          <w:sz w:val="24"/>
          <w:szCs w:val="24"/>
        </w:rPr>
        <w:footnoteReference w:id="66"/>
      </w:r>
      <w:r w:rsidRPr="00A5335D">
        <w:rPr>
          <w:rFonts w:ascii="Times New Roman" w:hAnsi="Times New Roman"/>
          <w:noProof/>
          <w:sz w:val="24"/>
          <w:szCs w:val="24"/>
        </w:rPr>
        <w:t>. Pomogłoby to ograniczyć ryzyko drenażu mózgów</w:t>
      </w:r>
      <w:r w:rsidR="00A5335D" w:rsidRPr="00A5335D">
        <w:rPr>
          <w:rFonts w:ascii="Times New Roman" w:hAnsi="Times New Roman"/>
          <w:noProof/>
          <w:sz w:val="24"/>
          <w:szCs w:val="24"/>
        </w:rPr>
        <w:t xml:space="preserve"> w sek</w:t>
      </w:r>
      <w:r w:rsidRPr="00A5335D">
        <w:rPr>
          <w:rFonts w:ascii="Times New Roman" w:hAnsi="Times New Roman"/>
          <w:noProof/>
          <w:sz w:val="24"/>
          <w:szCs w:val="24"/>
        </w:rPr>
        <w:t>torach opieki</w:t>
      </w:r>
      <w:r w:rsidR="00A5335D" w:rsidRPr="00A5335D">
        <w:rPr>
          <w:rFonts w:ascii="Times New Roman" w:hAnsi="Times New Roman"/>
          <w:noProof/>
          <w:sz w:val="24"/>
          <w:szCs w:val="24"/>
        </w:rPr>
        <w:t xml:space="preserve"> w kra</w:t>
      </w:r>
      <w:r w:rsidRPr="00A5335D">
        <w:rPr>
          <w:rFonts w:ascii="Times New Roman" w:hAnsi="Times New Roman"/>
          <w:noProof/>
          <w:sz w:val="24"/>
          <w:szCs w:val="24"/>
        </w:rPr>
        <w:t>jach pochodzenia.</w:t>
      </w:r>
    </w:p>
    <w:p w14:paraId="27CEFCDE" w14:textId="38CBAA3B" w:rsidR="003767C2" w:rsidRPr="00A5335D" w:rsidRDefault="0052473A" w:rsidP="00834BBD">
      <w:pPr>
        <w:spacing w:before="120" w:after="240"/>
        <w:jc w:val="both"/>
        <w:rPr>
          <w:rFonts w:ascii="Times New Roman" w:hAnsi="Times New Roman" w:cs="Times New Roman"/>
          <w:b/>
          <w:bCs/>
          <w:noProof/>
          <w:sz w:val="24"/>
          <w:szCs w:val="24"/>
          <w:highlight w:val="cyan"/>
        </w:rPr>
      </w:pPr>
      <w:r w:rsidRPr="00A5335D">
        <w:rPr>
          <w:rFonts w:ascii="Times New Roman" w:hAnsi="Times New Roman"/>
          <w:noProof/>
          <w:sz w:val="24"/>
          <w:szCs w:val="24"/>
        </w:rPr>
        <w:t>Zwiększenie oferty wczesnej edukacji</w:t>
      </w:r>
      <w:r w:rsidR="00A5335D" w:rsidRPr="00A5335D">
        <w:rPr>
          <w:rFonts w:ascii="Times New Roman" w:hAnsi="Times New Roman"/>
          <w:noProof/>
          <w:sz w:val="24"/>
          <w:szCs w:val="24"/>
        </w:rPr>
        <w:t xml:space="preserve"> i opi</w:t>
      </w:r>
      <w:r w:rsidRPr="00A5335D">
        <w:rPr>
          <w:rFonts w:ascii="Times New Roman" w:hAnsi="Times New Roman"/>
          <w:noProof/>
          <w:sz w:val="24"/>
          <w:szCs w:val="24"/>
        </w:rPr>
        <w:t>eki nad dzieckiem przez planowaną zmianę celów barcelońskich sprawiłoby, że na rynku pracy znalazłoby się więcej pracowników świadczących opiekę długoterminową. Ponadto</w:t>
      </w:r>
      <w:r w:rsidR="00A5335D" w:rsidRPr="00A5335D">
        <w:rPr>
          <w:rFonts w:ascii="Times New Roman" w:hAnsi="Times New Roman"/>
          <w:noProof/>
          <w:sz w:val="24"/>
          <w:szCs w:val="24"/>
        </w:rPr>
        <w:t xml:space="preserve"> w ram</w:t>
      </w:r>
      <w:r w:rsidRPr="00A5335D">
        <w:rPr>
          <w:rFonts w:ascii="Times New Roman" w:hAnsi="Times New Roman"/>
          <w:noProof/>
          <w:sz w:val="24"/>
          <w:szCs w:val="24"/>
        </w:rPr>
        <w:t>ach planowanej europejskiej strategii</w:t>
      </w:r>
      <w:r w:rsidR="00A5335D" w:rsidRPr="00A5335D">
        <w:rPr>
          <w:rFonts w:ascii="Times New Roman" w:hAnsi="Times New Roman"/>
          <w:noProof/>
          <w:sz w:val="24"/>
          <w:szCs w:val="24"/>
        </w:rPr>
        <w:t xml:space="preserve"> w dzi</w:t>
      </w:r>
      <w:r w:rsidRPr="00A5335D">
        <w:rPr>
          <w:rFonts w:ascii="Times New Roman" w:hAnsi="Times New Roman"/>
          <w:noProof/>
          <w:sz w:val="24"/>
          <w:szCs w:val="24"/>
        </w:rPr>
        <w:t>edzinie opieki na</w:t>
      </w:r>
      <w:r w:rsidR="00A5335D" w:rsidRPr="00A5335D">
        <w:rPr>
          <w:rFonts w:ascii="Times New Roman" w:hAnsi="Times New Roman"/>
          <w:noProof/>
          <w:sz w:val="24"/>
          <w:szCs w:val="24"/>
        </w:rPr>
        <w:t> </w:t>
      </w:r>
      <w:r w:rsidRPr="00A5335D">
        <w:rPr>
          <w:rFonts w:ascii="Times New Roman" w:hAnsi="Times New Roman"/>
          <w:noProof/>
          <w:sz w:val="24"/>
          <w:szCs w:val="24"/>
        </w:rPr>
        <w:t>2022</w:t>
      </w:r>
      <w:r w:rsidR="00A5335D" w:rsidRPr="00A5335D">
        <w:rPr>
          <w:rFonts w:ascii="Times New Roman" w:hAnsi="Times New Roman"/>
          <w:noProof/>
          <w:sz w:val="24"/>
          <w:szCs w:val="24"/>
        </w:rPr>
        <w:t> </w:t>
      </w:r>
      <w:r w:rsidRPr="00A5335D">
        <w:rPr>
          <w:rFonts w:ascii="Times New Roman" w:hAnsi="Times New Roman"/>
          <w:noProof/>
          <w:sz w:val="24"/>
          <w:szCs w:val="24"/>
        </w:rPr>
        <w:t>r. oraz zgodnie</w:t>
      </w:r>
      <w:r w:rsidR="00A5335D" w:rsidRPr="00A5335D">
        <w:rPr>
          <w:rFonts w:ascii="Times New Roman" w:hAnsi="Times New Roman"/>
          <w:noProof/>
          <w:sz w:val="24"/>
          <w:szCs w:val="24"/>
        </w:rPr>
        <w:t xml:space="preserve"> z pla</w:t>
      </w:r>
      <w:r w:rsidRPr="00A5335D">
        <w:rPr>
          <w:rFonts w:ascii="Times New Roman" w:hAnsi="Times New Roman"/>
          <w:noProof/>
          <w:sz w:val="24"/>
          <w:szCs w:val="24"/>
        </w:rPr>
        <w:t>nem działania</w:t>
      </w:r>
      <w:r w:rsidR="00A5335D" w:rsidRPr="00A5335D">
        <w:rPr>
          <w:rFonts w:ascii="Times New Roman" w:hAnsi="Times New Roman"/>
          <w:noProof/>
          <w:sz w:val="24"/>
          <w:szCs w:val="24"/>
        </w:rPr>
        <w:t xml:space="preserve"> w ram</w:t>
      </w:r>
      <w:r w:rsidRPr="00A5335D">
        <w:rPr>
          <w:rFonts w:ascii="Times New Roman" w:hAnsi="Times New Roman"/>
          <w:noProof/>
          <w:sz w:val="24"/>
          <w:szCs w:val="24"/>
        </w:rPr>
        <w:t>ach Europejskiego filaru praw socjalnych</w:t>
      </w:r>
      <w:r w:rsidR="00732F2F" w:rsidRPr="00A5335D">
        <w:rPr>
          <w:rStyle w:val="FootnoteReference"/>
          <w:rFonts w:ascii="Times New Roman" w:hAnsi="Times New Roman" w:cs="Times New Roman"/>
          <w:noProof/>
          <w:sz w:val="24"/>
          <w:szCs w:val="24"/>
        </w:rPr>
        <w:footnoteReference w:id="67"/>
      </w:r>
      <w:r w:rsidR="00A5335D" w:rsidRPr="00A5335D">
        <w:rPr>
          <w:rFonts w:ascii="Times New Roman" w:hAnsi="Times New Roman"/>
          <w:noProof/>
          <w:sz w:val="24"/>
          <w:szCs w:val="24"/>
        </w:rPr>
        <w:t xml:space="preserve"> i Zie</w:t>
      </w:r>
      <w:r w:rsidRPr="00A5335D">
        <w:rPr>
          <w:rFonts w:ascii="Times New Roman" w:hAnsi="Times New Roman"/>
          <w:noProof/>
          <w:sz w:val="24"/>
          <w:szCs w:val="24"/>
        </w:rPr>
        <w:t>loną księgą</w:t>
      </w:r>
      <w:r w:rsidR="00A5335D" w:rsidRPr="00A5335D">
        <w:rPr>
          <w:rFonts w:ascii="Times New Roman" w:hAnsi="Times New Roman"/>
          <w:noProof/>
          <w:sz w:val="24"/>
          <w:szCs w:val="24"/>
        </w:rPr>
        <w:t xml:space="preserve"> w spr</w:t>
      </w:r>
      <w:r w:rsidRPr="00A5335D">
        <w:rPr>
          <w:rFonts w:ascii="Times New Roman" w:hAnsi="Times New Roman"/>
          <w:noProof/>
          <w:sz w:val="24"/>
          <w:szCs w:val="24"/>
        </w:rPr>
        <w:t>awie starzenia się</w:t>
      </w:r>
      <w:r w:rsidR="00732F2F" w:rsidRPr="00A5335D">
        <w:rPr>
          <w:rStyle w:val="FootnoteReference"/>
          <w:rFonts w:ascii="Times New Roman" w:hAnsi="Times New Roman" w:cs="Times New Roman"/>
          <w:noProof/>
          <w:sz w:val="24"/>
          <w:szCs w:val="24"/>
        </w:rPr>
        <w:footnoteReference w:id="68"/>
      </w:r>
      <w:r w:rsidRPr="00A5335D">
        <w:rPr>
          <w:rFonts w:ascii="Times New Roman" w:hAnsi="Times New Roman"/>
          <w:noProof/>
          <w:sz w:val="24"/>
          <w:szCs w:val="24"/>
        </w:rPr>
        <w:t xml:space="preserve"> </w:t>
      </w:r>
      <w:r w:rsidRPr="00A5335D">
        <w:rPr>
          <w:rFonts w:ascii="Times New Roman" w:hAnsi="Times New Roman"/>
          <w:b/>
          <w:bCs/>
          <w:noProof/>
          <w:sz w:val="24"/>
          <w:szCs w:val="24"/>
        </w:rPr>
        <w:t>Komisja rozpocznie analizę warunków przyjmowania</w:t>
      </w:r>
      <w:r w:rsidR="00A5335D" w:rsidRPr="00A5335D">
        <w:rPr>
          <w:rFonts w:ascii="Times New Roman" w:hAnsi="Times New Roman"/>
          <w:b/>
          <w:bCs/>
          <w:noProof/>
          <w:sz w:val="24"/>
          <w:szCs w:val="24"/>
        </w:rPr>
        <w:t xml:space="preserve"> i pra</w:t>
      </w:r>
      <w:r w:rsidRPr="00A5335D">
        <w:rPr>
          <w:rFonts w:ascii="Times New Roman" w:hAnsi="Times New Roman"/>
          <w:b/>
          <w:bCs/>
          <w:noProof/>
          <w:sz w:val="24"/>
          <w:szCs w:val="24"/>
        </w:rPr>
        <w:t>w pracowników świadczących opiekę długoterminową</w:t>
      </w:r>
      <w:r w:rsidR="00A5335D" w:rsidRPr="00A5335D">
        <w:rPr>
          <w:rFonts w:ascii="Times New Roman" w:hAnsi="Times New Roman"/>
          <w:b/>
          <w:bCs/>
          <w:noProof/>
          <w:sz w:val="24"/>
          <w:szCs w:val="24"/>
        </w:rPr>
        <w:t xml:space="preserve"> z pań</w:t>
      </w:r>
      <w:r w:rsidRPr="00A5335D">
        <w:rPr>
          <w:rFonts w:ascii="Times New Roman" w:hAnsi="Times New Roman"/>
          <w:b/>
          <w:bCs/>
          <w:noProof/>
          <w:sz w:val="24"/>
          <w:szCs w:val="24"/>
        </w:rPr>
        <w:t>stw trzecich</w:t>
      </w:r>
      <w:r w:rsidR="00A5335D" w:rsidRPr="00A5335D">
        <w:rPr>
          <w:rFonts w:ascii="Times New Roman" w:hAnsi="Times New Roman"/>
          <w:b/>
          <w:bCs/>
          <w:noProof/>
          <w:sz w:val="24"/>
          <w:szCs w:val="24"/>
        </w:rPr>
        <w:t xml:space="preserve"> w pań</w:t>
      </w:r>
      <w:r w:rsidRPr="00A5335D">
        <w:rPr>
          <w:rFonts w:ascii="Times New Roman" w:hAnsi="Times New Roman"/>
          <w:b/>
          <w:bCs/>
          <w:noProof/>
          <w:sz w:val="24"/>
          <w:szCs w:val="24"/>
        </w:rPr>
        <w:t>stwach członkowskich oraz potrzeb</w:t>
      </w:r>
      <w:r w:rsidR="00A5335D" w:rsidRPr="00A5335D">
        <w:rPr>
          <w:rFonts w:ascii="Times New Roman" w:hAnsi="Times New Roman"/>
          <w:b/>
          <w:bCs/>
          <w:noProof/>
          <w:sz w:val="24"/>
          <w:szCs w:val="24"/>
        </w:rPr>
        <w:t xml:space="preserve"> w tym</w:t>
      </w:r>
      <w:r w:rsidRPr="00A5335D">
        <w:rPr>
          <w:rFonts w:ascii="Times New Roman" w:hAnsi="Times New Roman"/>
          <w:b/>
          <w:bCs/>
          <w:noProof/>
          <w:sz w:val="24"/>
          <w:szCs w:val="24"/>
        </w:rPr>
        <w:t xml:space="preserve"> zakresie, aby zbadać wartość dodaną</w:t>
      </w:r>
      <w:r w:rsidR="00A5335D" w:rsidRPr="00A5335D">
        <w:rPr>
          <w:rFonts w:ascii="Times New Roman" w:hAnsi="Times New Roman"/>
          <w:b/>
          <w:bCs/>
          <w:noProof/>
          <w:sz w:val="24"/>
          <w:szCs w:val="24"/>
        </w:rPr>
        <w:t xml:space="preserve"> i wyk</w:t>
      </w:r>
      <w:r w:rsidRPr="00A5335D">
        <w:rPr>
          <w:rFonts w:ascii="Times New Roman" w:hAnsi="Times New Roman"/>
          <w:b/>
          <w:bCs/>
          <w:noProof/>
          <w:sz w:val="24"/>
          <w:szCs w:val="24"/>
        </w:rPr>
        <w:t>onalność opracowania legalnego systemu przyjmowania na poziomie UE</w:t>
      </w:r>
      <w:r w:rsidR="00A5335D" w:rsidRPr="00A5335D">
        <w:rPr>
          <w:rFonts w:ascii="Times New Roman" w:hAnsi="Times New Roman"/>
          <w:b/>
          <w:bCs/>
          <w:noProof/>
          <w:sz w:val="24"/>
          <w:szCs w:val="24"/>
        </w:rPr>
        <w:t xml:space="preserve"> w cel</w:t>
      </w:r>
      <w:r w:rsidRPr="00A5335D">
        <w:rPr>
          <w:rFonts w:ascii="Times New Roman" w:hAnsi="Times New Roman"/>
          <w:b/>
          <w:bCs/>
          <w:noProof/>
          <w:sz w:val="24"/>
          <w:szCs w:val="24"/>
        </w:rPr>
        <w:t>u przyciągnięcia takich pracowników</w:t>
      </w:r>
      <w:r w:rsidR="003767C2" w:rsidRPr="00A5335D">
        <w:rPr>
          <w:rStyle w:val="FootnoteReference"/>
          <w:rFonts w:ascii="Times New Roman" w:hAnsi="Times New Roman" w:cs="Times New Roman"/>
          <w:b/>
          <w:bCs/>
          <w:noProof/>
          <w:sz w:val="24"/>
          <w:szCs w:val="24"/>
        </w:rPr>
        <w:footnoteReference w:id="69"/>
      </w:r>
      <w:r w:rsidRPr="00A5335D">
        <w:rPr>
          <w:rFonts w:ascii="Times New Roman" w:hAnsi="Times New Roman"/>
          <w:b/>
          <w:bCs/>
          <w:noProof/>
          <w:sz w:val="24"/>
          <w:szCs w:val="24"/>
        </w:rPr>
        <w:t>.</w:t>
      </w:r>
      <w:r w:rsidRPr="00A5335D">
        <w:rPr>
          <w:rFonts w:ascii="Times New Roman" w:hAnsi="Times New Roman"/>
          <w:noProof/>
          <w:sz w:val="24"/>
          <w:szCs w:val="24"/>
        </w:rPr>
        <w:t xml:space="preserve"> </w:t>
      </w:r>
    </w:p>
    <w:p w14:paraId="27CEFCDF" w14:textId="362C9812" w:rsidR="00244348" w:rsidRPr="00A5335D" w:rsidRDefault="003767C2" w:rsidP="003767C2">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Przedmiotem tej analizy będzie szczegółowe zbadanie skutków społecznych</w:t>
      </w:r>
      <w:r w:rsidR="00A5335D" w:rsidRPr="00A5335D">
        <w:rPr>
          <w:rFonts w:ascii="Times New Roman" w:hAnsi="Times New Roman"/>
          <w:noProof/>
          <w:sz w:val="24"/>
          <w:szCs w:val="24"/>
        </w:rPr>
        <w:t xml:space="preserve"> i eko</w:t>
      </w:r>
      <w:r w:rsidRPr="00A5335D">
        <w:rPr>
          <w:rFonts w:ascii="Times New Roman" w:hAnsi="Times New Roman"/>
          <w:noProof/>
          <w:sz w:val="24"/>
          <w:szCs w:val="24"/>
        </w:rPr>
        <w:t>nomicznych, jakie wywarłyby takie systemy na poziomie UE,</w:t>
      </w:r>
      <w:r w:rsidR="00A5335D" w:rsidRPr="00A5335D">
        <w:rPr>
          <w:rFonts w:ascii="Times New Roman" w:hAnsi="Times New Roman"/>
          <w:noProof/>
          <w:sz w:val="24"/>
          <w:szCs w:val="24"/>
        </w:rPr>
        <w:t xml:space="preserve"> w szc</w:t>
      </w:r>
      <w:r w:rsidRPr="00A5335D">
        <w:rPr>
          <w:rFonts w:ascii="Times New Roman" w:hAnsi="Times New Roman"/>
          <w:noProof/>
          <w:sz w:val="24"/>
          <w:szCs w:val="24"/>
        </w:rPr>
        <w:t>zególności</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warunków pracy,</w:t>
      </w:r>
      <w:r w:rsidR="00A5335D" w:rsidRPr="00A5335D">
        <w:rPr>
          <w:rFonts w:ascii="Times New Roman" w:hAnsi="Times New Roman"/>
          <w:noProof/>
          <w:sz w:val="24"/>
          <w:szCs w:val="24"/>
        </w:rPr>
        <w:t xml:space="preserve"> w tym</w:t>
      </w:r>
      <w:r w:rsidRPr="00A5335D">
        <w:rPr>
          <w:rFonts w:ascii="Times New Roman" w:hAnsi="Times New Roman"/>
          <w:noProof/>
          <w:sz w:val="24"/>
          <w:szCs w:val="24"/>
        </w:rPr>
        <w:t xml:space="preserve"> wynagrodzeń, pracowników świadczących opiekę długoterminową w UE</w:t>
      </w:r>
      <w:r w:rsidR="00A5335D" w:rsidRPr="00A5335D">
        <w:rPr>
          <w:rFonts w:ascii="Times New Roman" w:hAnsi="Times New Roman"/>
          <w:noProof/>
          <w:sz w:val="24"/>
          <w:szCs w:val="24"/>
        </w:rPr>
        <w:t>. W ram</w:t>
      </w:r>
      <w:r w:rsidRPr="00A5335D">
        <w:rPr>
          <w:rFonts w:ascii="Times New Roman" w:hAnsi="Times New Roman"/>
          <w:noProof/>
          <w:sz w:val="24"/>
          <w:szCs w:val="24"/>
        </w:rPr>
        <w:t>ach analizy uwzględniony zostanie również wpływ na kraje pochodzenia oraz zostaną rozpatrzone potencjalne rozwiązania umożliwiające zawieranie porozumień korzystnych dla obu stron. Można również opracować programy szkoleniowe, których celem będzie także zwiększenie liczby pracowników dostępnych</w:t>
      </w:r>
      <w:r w:rsidR="00A5335D" w:rsidRPr="00A5335D">
        <w:rPr>
          <w:rFonts w:ascii="Times New Roman" w:hAnsi="Times New Roman"/>
          <w:noProof/>
          <w:sz w:val="24"/>
          <w:szCs w:val="24"/>
        </w:rPr>
        <w:t xml:space="preserve"> w pań</w:t>
      </w:r>
      <w:r w:rsidRPr="00A5335D">
        <w:rPr>
          <w:rFonts w:ascii="Times New Roman" w:hAnsi="Times New Roman"/>
          <w:noProof/>
          <w:sz w:val="24"/>
          <w:szCs w:val="24"/>
        </w:rPr>
        <w:t>stwach trzecich.</w:t>
      </w:r>
      <w:r w:rsidR="00A5335D" w:rsidRPr="00A5335D">
        <w:rPr>
          <w:rFonts w:ascii="Times New Roman" w:hAnsi="Times New Roman"/>
          <w:noProof/>
          <w:sz w:val="24"/>
          <w:szCs w:val="24"/>
        </w:rPr>
        <w:t xml:space="preserve"> </w:t>
      </w:r>
      <w:r w:rsidRPr="00A5335D">
        <w:rPr>
          <w:rFonts w:ascii="Times New Roman" w:hAnsi="Times New Roman"/>
          <w:noProof/>
          <w:sz w:val="24"/>
          <w:szCs w:val="24"/>
        </w:rPr>
        <w:t xml:space="preserve">Analiza obejmie ponadto </w:t>
      </w:r>
      <w:r w:rsidRPr="00A5335D">
        <w:rPr>
          <w:rFonts w:ascii="Times New Roman" w:hAnsi="Times New Roman"/>
          <w:b/>
          <w:bCs/>
          <w:noProof/>
          <w:sz w:val="24"/>
          <w:szCs w:val="24"/>
        </w:rPr>
        <w:t>standardy etyczne rekrutacji</w:t>
      </w:r>
      <w:r w:rsidRPr="00A5335D">
        <w:rPr>
          <w:rFonts w:ascii="Times New Roman" w:hAnsi="Times New Roman"/>
          <w:noProof/>
          <w:sz w:val="24"/>
          <w:szCs w:val="24"/>
        </w:rPr>
        <w:t xml:space="preserve"> promowane przez Światową Organizację Zdrowia</w:t>
      </w:r>
      <w:r w:rsidRPr="00A5335D">
        <w:rPr>
          <w:rStyle w:val="FootnoteReference"/>
          <w:rFonts w:ascii="Times New Roman" w:hAnsi="Times New Roman" w:cs="Times New Roman"/>
          <w:noProof/>
          <w:sz w:val="24"/>
          <w:szCs w:val="24"/>
        </w:rPr>
        <w:footnoteReference w:id="70"/>
      </w:r>
      <w:r w:rsidRPr="00A5335D">
        <w:rPr>
          <w:rFonts w:ascii="Times New Roman" w:hAnsi="Times New Roman"/>
          <w:noProof/>
          <w:sz w:val="24"/>
          <w:szCs w:val="24"/>
        </w:rPr>
        <w:t>.</w:t>
      </w:r>
    </w:p>
    <w:p w14:paraId="27CEFCE0" w14:textId="77777777" w:rsidR="003767C2" w:rsidRPr="00A5335D" w:rsidRDefault="00EA497B" w:rsidP="00834BBD">
      <w:pPr>
        <w:pStyle w:val="ListParagraph"/>
        <w:spacing w:before="240"/>
        <w:ind w:left="792"/>
        <w:jc w:val="both"/>
        <w:rPr>
          <w:rFonts w:ascii="Times New Roman" w:hAnsi="Times New Roman" w:cs="Times New Roman"/>
          <w:b/>
          <w:bCs/>
          <w:noProof/>
          <w:sz w:val="24"/>
          <w:szCs w:val="24"/>
        </w:rPr>
      </w:pPr>
      <w:r w:rsidRPr="00A5335D">
        <w:rPr>
          <w:rFonts w:ascii="Times New Roman" w:hAnsi="Times New Roman"/>
          <w:b/>
          <w:bCs/>
          <w:noProof/>
          <w:sz w:val="24"/>
          <w:szCs w:val="24"/>
        </w:rPr>
        <w:t>4.2. Promowanie mobilności młodzieży</w:t>
      </w:r>
    </w:p>
    <w:p w14:paraId="27CEFCE1" w14:textId="324770BC" w:rsidR="003767C2" w:rsidRPr="00A5335D" w:rsidRDefault="003767C2" w:rsidP="003767C2">
      <w:pPr>
        <w:spacing w:after="0"/>
        <w:jc w:val="both"/>
        <w:rPr>
          <w:rFonts w:ascii="Times New Roman" w:hAnsi="Times New Roman" w:cs="Times New Roman"/>
          <w:noProof/>
          <w:sz w:val="24"/>
          <w:szCs w:val="24"/>
        </w:rPr>
      </w:pPr>
      <w:r w:rsidRPr="00A5335D">
        <w:rPr>
          <w:rFonts w:ascii="Times New Roman" w:hAnsi="Times New Roman"/>
          <w:b/>
          <w:bCs/>
          <w:noProof/>
          <w:sz w:val="24"/>
          <w:szCs w:val="24"/>
        </w:rPr>
        <w:t>Programy mobilności młodzieży</w:t>
      </w:r>
      <w:r w:rsidRPr="00A5335D">
        <w:rPr>
          <w:rFonts w:ascii="Times New Roman" w:hAnsi="Times New Roman"/>
          <w:noProof/>
          <w:sz w:val="24"/>
          <w:szCs w:val="24"/>
        </w:rPr>
        <w:t xml:space="preserve"> mają na celu umożliwienie młodym ludziom zamieszkania, pracy</w:t>
      </w:r>
      <w:r w:rsidR="00A5335D" w:rsidRPr="00A5335D">
        <w:rPr>
          <w:rFonts w:ascii="Times New Roman" w:hAnsi="Times New Roman"/>
          <w:noProof/>
          <w:sz w:val="24"/>
          <w:szCs w:val="24"/>
        </w:rPr>
        <w:t xml:space="preserve"> i zdo</w:t>
      </w:r>
      <w:r w:rsidRPr="00A5335D">
        <w:rPr>
          <w:rFonts w:ascii="Times New Roman" w:hAnsi="Times New Roman"/>
          <w:noProof/>
          <w:sz w:val="24"/>
          <w:szCs w:val="24"/>
        </w:rPr>
        <w:t>bycia doświadczenia</w:t>
      </w:r>
      <w:r w:rsidR="00A5335D" w:rsidRPr="00A5335D">
        <w:rPr>
          <w:rFonts w:ascii="Times New Roman" w:hAnsi="Times New Roman"/>
          <w:noProof/>
          <w:sz w:val="24"/>
          <w:szCs w:val="24"/>
        </w:rPr>
        <w:t xml:space="preserve"> w inn</w:t>
      </w:r>
      <w:r w:rsidRPr="00A5335D">
        <w:rPr>
          <w:rFonts w:ascii="Times New Roman" w:hAnsi="Times New Roman"/>
          <w:noProof/>
          <w:sz w:val="24"/>
          <w:szCs w:val="24"/>
        </w:rPr>
        <w:t>ym kraju, przy jednoczesnym wspieraniu wymiany kulturalnej</w:t>
      </w:r>
      <w:r w:rsidR="00A5335D" w:rsidRPr="00A5335D">
        <w:rPr>
          <w:rFonts w:ascii="Times New Roman" w:hAnsi="Times New Roman"/>
          <w:noProof/>
          <w:sz w:val="24"/>
          <w:szCs w:val="24"/>
        </w:rPr>
        <w:t xml:space="preserve"> i wzm</w:t>
      </w:r>
      <w:r w:rsidRPr="00A5335D">
        <w:rPr>
          <w:rFonts w:ascii="Times New Roman" w:hAnsi="Times New Roman"/>
          <w:noProof/>
          <w:sz w:val="24"/>
          <w:szCs w:val="24"/>
        </w:rPr>
        <w:t>acnianiu więzi między krajami. Programy mobilności młodzieży istniejące na całym świecie są zazwyczaj skierowane do młodych obywateli państw trzecich (np.</w:t>
      </w:r>
      <w:r w:rsidR="00A5335D" w:rsidRPr="00A5335D">
        <w:rPr>
          <w:rFonts w:ascii="Times New Roman" w:hAnsi="Times New Roman"/>
          <w:noProof/>
          <w:sz w:val="24"/>
          <w:szCs w:val="24"/>
        </w:rPr>
        <w:t xml:space="preserve"> w wie</w:t>
      </w:r>
      <w:r w:rsidRPr="00A5335D">
        <w:rPr>
          <w:rFonts w:ascii="Times New Roman" w:hAnsi="Times New Roman"/>
          <w:noProof/>
          <w:sz w:val="24"/>
          <w:szCs w:val="24"/>
        </w:rPr>
        <w:t>ku od</w:t>
      </w:r>
      <w:r w:rsidR="00A5335D" w:rsidRPr="00A5335D">
        <w:rPr>
          <w:rFonts w:ascii="Times New Roman" w:hAnsi="Times New Roman"/>
          <w:noProof/>
          <w:sz w:val="24"/>
          <w:szCs w:val="24"/>
        </w:rPr>
        <w:t> </w:t>
      </w:r>
      <w:r w:rsidRPr="00A5335D">
        <w:rPr>
          <w:rFonts w:ascii="Times New Roman" w:hAnsi="Times New Roman"/>
          <w:noProof/>
          <w:sz w:val="24"/>
          <w:szCs w:val="24"/>
        </w:rPr>
        <w:t>18 do</w:t>
      </w:r>
      <w:r w:rsidR="00A5335D" w:rsidRPr="00A5335D">
        <w:rPr>
          <w:rFonts w:ascii="Times New Roman" w:hAnsi="Times New Roman"/>
          <w:noProof/>
          <w:sz w:val="24"/>
          <w:szCs w:val="24"/>
        </w:rPr>
        <w:t> </w:t>
      </w:r>
      <w:r w:rsidRPr="00A5335D">
        <w:rPr>
          <w:rFonts w:ascii="Times New Roman" w:hAnsi="Times New Roman"/>
          <w:noProof/>
          <w:sz w:val="24"/>
          <w:szCs w:val="24"/>
        </w:rPr>
        <w:t>30 lat) posiadających określony poziom wykształcenia. Przyjeżdżają oni do danego kraju, aby podróżować, pracować</w:t>
      </w:r>
      <w:r w:rsidR="00A5335D" w:rsidRPr="00A5335D">
        <w:rPr>
          <w:rFonts w:ascii="Times New Roman" w:hAnsi="Times New Roman"/>
          <w:noProof/>
          <w:sz w:val="24"/>
          <w:szCs w:val="24"/>
        </w:rPr>
        <w:t xml:space="preserve"> i mie</w:t>
      </w:r>
      <w:r w:rsidRPr="00A5335D">
        <w:rPr>
          <w:rFonts w:ascii="Times New Roman" w:hAnsi="Times New Roman"/>
          <w:noProof/>
          <w:sz w:val="24"/>
          <w:szCs w:val="24"/>
        </w:rPr>
        <w:t>szkać przez ograniczony</w:t>
      </w:r>
      <w:r w:rsidR="00A5335D" w:rsidRPr="00A5335D">
        <w:rPr>
          <w:rFonts w:ascii="Times New Roman" w:hAnsi="Times New Roman"/>
          <w:noProof/>
          <w:sz w:val="24"/>
          <w:szCs w:val="24"/>
        </w:rPr>
        <w:t xml:space="preserve"> i nie</w:t>
      </w:r>
      <w:r w:rsidRPr="00A5335D">
        <w:rPr>
          <w:rFonts w:ascii="Times New Roman" w:hAnsi="Times New Roman"/>
          <w:noProof/>
          <w:sz w:val="24"/>
          <w:szCs w:val="24"/>
        </w:rPr>
        <w:t>odnawialny okres czasu, jeśli mają wystarczające środki finansowe, ubezpieczenie zdrowotne lub podróżne</w:t>
      </w:r>
      <w:r w:rsidR="00A5335D" w:rsidRPr="00A5335D">
        <w:rPr>
          <w:rFonts w:ascii="Times New Roman" w:hAnsi="Times New Roman"/>
          <w:noProof/>
          <w:sz w:val="24"/>
          <w:szCs w:val="24"/>
        </w:rPr>
        <w:t xml:space="preserve"> i nie</w:t>
      </w:r>
      <w:r w:rsidRPr="00A5335D">
        <w:rPr>
          <w:rFonts w:ascii="Times New Roman" w:hAnsi="Times New Roman"/>
          <w:noProof/>
          <w:sz w:val="24"/>
          <w:szCs w:val="24"/>
        </w:rPr>
        <w:t xml:space="preserve"> mają żadnych osób pozostających na ich utrzymaniu. Aby ubiegać się</w:t>
      </w:r>
      <w:r w:rsidR="00A5335D" w:rsidRPr="00A5335D">
        <w:rPr>
          <w:rFonts w:ascii="Times New Roman" w:hAnsi="Times New Roman"/>
          <w:noProof/>
          <w:sz w:val="24"/>
          <w:szCs w:val="24"/>
        </w:rPr>
        <w:t xml:space="preserve"> o udz</w:t>
      </w:r>
      <w:r w:rsidRPr="00A5335D">
        <w:rPr>
          <w:rFonts w:ascii="Times New Roman" w:hAnsi="Times New Roman"/>
          <w:noProof/>
          <w:sz w:val="24"/>
          <w:szCs w:val="24"/>
        </w:rPr>
        <w:t>iał</w:t>
      </w:r>
      <w:r w:rsidR="00A5335D" w:rsidRPr="00A5335D">
        <w:rPr>
          <w:rFonts w:ascii="Times New Roman" w:hAnsi="Times New Roman"/>
          <w:noProof/>
          <w:sz w:val="24"/>
          <w:szCs w:val="24"/>
        </w:rPr>
        <w:t xml:space="preserve"> w tyc</w:t>
      </w:r>
      <w:r w:rsidRPr="00A5335D">
        <w:rPr>
          <w:rFonts w:ascii="Times New Roman" w:hAnsi="Times New Roman"/>
          <w:noProof/>
          <w:sz w:val="24"/>
          <w:szCs w:val="24"/>
        </w:rPr>
        <w:t xml:space="preserve">h programach, nie trzeba mieć oferty pracy. </w:t>
      </w:r>
    </w:p>
    <w:p w14:paraId="27CEFCE2" w14:textId="4231937D" w:rsidR="003767C2" w:rsidRPr="00A5335D" w:rsidRDefault="003767C2" w:rsidP="003767C2">
      <w:pPr>
        <w:spacing w:before="120" w:after="240"/>
        <w:jc w:val="both"/>
        <w:rPr>
          <w:rFonts w:ascii="Times New Roman" w:hAnsi="Times New Roman" w:cs="Times New Roman"/>
          <w:noProof/>
          <w:sz w:val="24"/>
          <w:szCs w:val="24"/>
        </w:rPr>
      </w:pPr>
      <w:r w:rsidRPr="00A5335D">
        <w:rPr>
          <w:rFonts w:ascii="Times New Roman" w:hAnsi="Times New Roman"/>
          <w:b/>
          <w:bCs/>
          <w:noProof/>
          <w:sz w:val="24"/>
          <w:szCs w:val="24"/>
        </w:rPr>
        <w:t>Unijny program mobilności młodzieży</w:t>
      </w:r>
      <w:r w:rsidRPr="00A5335D">
        <w:rPr>
          <w:rFonts w:ascii="Times New Roman" w:hAnsi="Times New Roman"/>
          <w:noProof/>
          <w:sz w:val="24"/>
          <w:szCs w:val="24"/>
        </w:rPr>
        <w:t xml:space="preserve"> mógłby uczynić całą UE bardziej atrakcyjnym celem podróży</w:t>
      </w:r>
      <w:r w:rsidRPr="00A5335D">
        <w:rPr>
          <w:rStyle w:val="FootnoteReference"/>
          <w:rFonts w:ascii="Times New Roman" w:hAnsi="Times New Roman" w:cs="Times New Roman"/>
          <w:noProof/>
          <w:sz w:val="24"/>
          <w:szCs w:val="24"/>
        </w:rPr>
        <w:footnoteReference w:id="71"/>
      </w:r>
      <w:r w:rsidRPr="00A5335D">
        <w:rPr>
          <w:rFonts w:ascii="Times New Roman" w:hAnsi="Times New Roman"/>
          <w:noProof/>
          <w:sz w:val="24"/>
          <w:szCs w:val="24"/>
        </w:rPr>
        <w:t>. Byłoby to możliwe dzięki zapewnieniu wykwalifikowanym osobom młodym</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trzecich przyjazdu do UE</w:t>
      </w:r>
      <w:r w:rsidR="00A5335D" w:rsidRPr="00A5335D">
        <w:rPr>
          <w:rFonts w:ascii="Times New Roman" w:hAnsi="Times New Roman"/>
          <w:noProof/>
          <w:sz w:val="24"/>
          <w:szCs w:val="24"/>
        </w:rPr>
        <w:t xml:space="preserve"> w cel</w:t>
      </w:r>
      <w:r w:rsidRPr="00A5335D">
        <w:rPr>
          <w:rFonts w:ascii="Times New Roman" w:hAnsi="Times New Roman"/>
          <w:noProof/>
          <w:sz w:val="24"/>
          <w:szCs w:val="24"/>
        </w:rPr>
        <w:t>u zamieszkania, podróżowania</w:t>
      </w:r>
      <w:r w:rsidR="00A5335D" w:rsidRPr="00A5335D">
        <w:rPr>
          <w:rFonts w:ascii="Times New Roman" w:hAnsi="Times New Roman"/>
          <w:noProof/>
          <w:sz w:val="24"/>
          <w:szCs w:val="24"/>
        </w:rPr>
        <w:t xml:space="preserve"> i pra</w:t>
      </w:r>
      <w:r w:rsidRPr="00A5335D">
        <w:rPr>
          <w:rFonts w:ascii="Times New Roman" w:hAnsi="Times New Roman"/>
          <w:noProof/>
          <w:sz w:val="24"/>
          <w:szCs w:val="24"/>
        </w:rPr>
        <w:t>cy przez określony czas (bez możliwości przedłużenia).</w:t>
      </w:r>
      <w:r w:rsidR="00A5335D" w:rsidRPr="00A5335D">
        <w:rPr>
          <w:rFonts w:ascii="Times New Roman" w:hAnsi="Times New Roman"/>
          <w:noProof/>
          <w:sz w:val="24"/>
          <w:szCs w:val="24"/>
        </w:rPr>
        <w:t xml:space="preserve"> </w:t>
      </w:r>
      <w:r w:rsidRPr="00A5335D">
        <w:rPr>
          <w:rFonts w:ascii="Times New Roman" w:hAnsi="Times New Roman"/>
          <w:noProof/>
          <w:sz w:val="24"/>
          <w:szCs w:val="24"/>
        </w:rPr>
        <w:t>Warunki (wiek, poziom wykształcenia</w:t>
      </w:r>
      <w:r w:rsidR="00A5335D" w:rsidRPr="00A5335D">
        <w:rPr>
          <w:rFonts w:ascii="Times New Roman" w:hAnsi="Times New Roman"/>
          <w:noProof/>
          <w:sz w:val="24"/>
          <w:szCs w:val="24"/>
        </w:rPr>
        <w:t xml:space="preserve"> i wys</w:t>
      </w:r>
      <w:r w:rsidRPr="00A5335D">
        <w:rPr>
          <w:rFonts w:ascii="Times New Roman" w:hAnsi="Times New Roman"/>
          <w:noProof/>
          <w:sz w:val="24"/>
          <w:szCs w:val="24"/>
        </w:rPr>
        <w:t>tarczające środki finansowe) byłyby podobne do tych, które obowiązują</w:t>
      </w:r>
      <w:r w:rsidR="00A5335D" w:rsidRPr="00A5335D">
        <w:rPr>
          <w:rFonts w:ascii="Times New Roman" w:hAnsi="Times New Roman"/>
          <w:noProof/>
          <w:sz w:val="24"/>
          <w:szCs w:val="24"/>
        </w:rPr>
        <w:t xml:space="preserve"> w pro</w:t>
      </w:r>
      <w:r w:rsidRPr="00A5335D">
        <w:rPr>
          <w:rFonts w:ascii="Times New Roman" w:hAnsi="Times New Roman"/>
          <w:noProof/>
          <w:sz w:val="24"/>
          <w:szCs w:val="24"/>
        </w:rPr>
        <w:t>gramach krajowych. Takie programy mogłyby regulować na poziomie UE warunki</w:t>
      </w:r>
      <w:r w:rsidR="00A5335D" w:rsidRPr="00A5335D">
        <w:rPr>
          <w:rFonts w:ascii="Times New Roman" w:hAnsi="Times New Roman"/>
          <w:noProof/>
          <w:sz w:val="24"/>
          <w:szCs w:val="24"/>
        </w:rPr>
        <w:t xml:space="preserve"> i pro</w:t>
      </w:r>
      <w:r w:rsidRPr="00A5335D">
        <w:rPr>
          <w:rFonts w:ascii="Times New Roman" w:hAnsi="Times New Roman"/>
          <w:noProof/>
          <w:sz w:val="24"/>
          <w:szCs w:val="24"/>
        </w:rPr>
        <w:t>cedury przyjmowania,</w:t>
      </w:r>
      <w:r w:rsidR="00A5335D" w:rsidRPr="00A5335D">
        <w:rPr>
          <w:rFonts w:ascii="Times New Roman" w:hAnsi="Times New Roman"/>
          <w:noProof/>
          <w:sz w:val="24"/>
          <w:szCs w:val="24"/>
        </w:rPr>
        <w:t xml:space="preserve"> a tak</w:t>
      </w:r>
      <w:r w:rsidRPr="00A5335D">
        <w:rPr>
          <w:rFonts w:ascii="Times New Roman" w:hAnsi="Times New Roman"/>
          <w:noProof/>
          <w:sz w:val="24"/>
          <w:szCs w:val="24"/>
        </w:rPr>
        <w:t>że prawa młodych obywateli państw trzecich uczestniczących</w:t>
      </w:r>
      <w:r w:rsidR="00A5335D" w:rsidRPr="00A5335D">
        <w:rPr>
          <w:rFonts w:ascii="Times New Roman" w:hAnsi="Times New Roman"/>
          <w:noProof/>
          <w:sz w:val="24"/>
          <w:szCs w:val="24"/>
        </w:rPr>
        <w:t xml:space="preserve"> w pro</w:t>
      </w:r>
      <w:r w:rsidRPr="00A5335D">
        <w:rPr>
          <w:rFonts w:ascii="Times New Roman" w:hAnsi="Times New Roman"/>
          <w:noProof/>
          <w:sz w:val="24"/>
          <w:szCs w:val="24"/>
        </w:rPr>
        <w:t>gramie. Aby lepiej przyciągnąć wykwalifikowane osoby młode</w:t>
      </w:r>
      <w:r w:rsidR="00A5335D" w:rsidRPr="00A5335D">
        <w:rPr>
          <w:rFonts w:ascii="Times New Roman" w:hAnsi="Times New Roman"/>
          <w:noProof/>
          <w:sz w:val="24"/>
          <w:szCs w:val="24"/>
        </w:rPr>
        <w:t xml:space="preserve"> i osi</w:t>
      </w:r>
      <w:r w:rsidRPr="00A5335D">
        <w:rPr>
          <w:rFonts w:ascii="Times New Roman" w:hAnsi="Times New Roman"/>
          <w:noProof/>
          <w:sz w:val="24"/>
          <w:szCs w:val="24"/>
        </w:rPr>
        <w:t>ągnąć efekt skali, można by także zbadać wraz</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stwami członkowskimi, czy istnieje możliwość przyznania takim osobom prawa do mobilności w UE</w:t>
      </w:r>
      <w:r w:rsidRPr="00A5335D">
        <w:rPr>
          <w:rStyle w:val="FootnoteReference"/>
          <w:rFonts w:ascii="Times New Roman" w:hAnsi="Times New Roman" w:cs="Times New Roman"/>
          <w:noProof/>
          <w:sz w:val="24"/>
          <w:szCs w:val="24"/>
        </w:rPr>
        <w:footnoteReference w:id="72"/>
      </w:r>
      <w:r w:rsidRPr="00A5335D">
        <w:rPr>
          <w:rFonts w:ascii="Times New Roman" w:hAnsi="Times New Roman"/>
          <w:noProof/>
          <w:sz w:val="24"/>
          <w:szCs w:val="24"/>
        </w:rPr>
        <w:t>.</w:t>
      </w:r>
      <w:r w:rsidR="00A5335D" w:rsidRPr="00A5335D">
        <w:rPr>
          <w:rFonts w:ascii="Times New Roman" w:hAnsi="Times New Roman"/>
          <w:noProof/>
          <w:sz w:val="24"/>
          <w:szCs w:val="24"/>
        </w:rPr>
        <w:t xml:space="preserve"> </w:t>
      </w:r>
    </w:p>
    <w:p w14:paraId="27CEFCE3" w14:textId="389E2397" w:rsidR="003767C2" w:rsidRPr="00A5335D" w:rsidRDefault="00C20E75" w:rsidP="003767C2">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Ważne jest, aby otworzyć możliwości podróżowania</w:t>
      </w:r>
      <w:r w:rsidR="00A5335D" w:rsidRPr="00A5335D">
        <w:rPr>
          <w:rFonts w:ascii="Times New Roman" w:hAnsi="Times New Roman"/>
          <w:noProof/>
          <w:sz w:val="24"/>
          <w:szCs w:val="24"/>
        </w:rPr>
        <w:t xml:space="preserve"> i pra</w:t>
      </w:r>
      <w:r w:rsidRPr="00A5335D">
        <w:rPr>
          <w:rFonts w:ascii="Times New Roman" w:hAnsi="Times New Roman"/>
          <w:noProof/>
          <w:sz w:val="24"/>
          <w:szCs w:val="24"/>
        </w:rPr>
        <w:t>cy, aby zdobywać nowe doświadczenia</w:t>
      </w:r>
      <w:r w:rsidR="00A5335D" w:rsidRPr="00A5335D">
        <w:rPr>
          <w:rFonts w:ascii="Times New Roman" w:hAnsi="Times New Roman"/>
          <w:noProof/>
          <w:sz w:val="24"/>
          <w:szCs w:val="24"/>
        </w:rPr>
        <w:t xml:space="preserve"> i roz</w:t>
      </w:r>
      <w:r w:rsidRPr="00A5335D">
        <w:rPr>
          <w:rFonts w:ascii="Times New Roman" w:hAnsi="Times New Roman"/>
          <w:noProof/>
          <w:sz w:val="24"/>
          <w:szCs w:val="24"/>
        </w:rPr>
        <w:t xml:space="preserve">wijać umiejętności za granicą. Dotyczy to nie tylko młodych obywateli państw trzecich, ale także młodych obywateli Unii. Dlatego europejski program wspierania mobilności młodzieży musiałby być uzupełniony </w:t>
      </w:r>
      <w:r w:rsidRPr="00A5335D">
        <w:rPr>
          <w:rFonts w:ascii="Times New Roman" w:hAnsi="Times New Roman"/>
          <w:b/>
          <w:bCs/>
          <w:noProof/>
          <w:sz w:val="24"/>
          <w:szCs w:val="24"/>
        </w:rPr>
        <w:t>umowami</w:t>
      </w:r>
      <w:r w:rsidR="00A5335D" w:rsidRPr="00A5335D">
        <w:rPr>
          <w:rFonts w:ascii="Times New Roman" w:hAnsi="Times New Roman"/>
          <w:b/>
          <w:bCs/>
          <w:noProof/>
          <w:sz w:val="24"/>
          <w:szCs w:val="24"/>
        </w:rPr>
        <w:t xml:space="preserve"> o wza</w:t>
      </w:r>
      <w:r w:rsidRPr="00A5335D">
        <w:rPr>
          <w:rFonts w:ascii="Times New Roman" w:hAnsi="Times New Roman"/>
          <w:b/>
          <w:bCs/>
          <w:noProof/>
          <w:sz w:val="24"/>
          <w:szCs w:val="24"/>
        </w:rPr>
        <w:t>jemności lub porozumieniami</w:t>
      </w:r>
      <w:r w:rsidR="00A5335D" w:rsidRPr="00A5335D">
        <w:rPr>
          <w:rFonts w:ascii="Times New Roman" w:hAnsi="Times New Roman"/>
          <w:b/>
          <w:bCs/>
          <w:noProof/>
          <w:sz w:val="24"/>
          <w:szCs w:val="24"/>
        </w:rPr>
        <w:t xml:space="preserve"> z pań</w:t>
      </w:r>
      <w:r w:rsidRPr="00A5335D">
        <w:rPr>
          <w:rFonts w:ascii="Times New Roman" w:hAnsi="Times New Roman"/>
          <w:b/>
          <w:bCs/>
          <w:noProof/>
          <w:sz w:val="24"/>
          <w:szCs w:val="24"/>
        </w:rPr>
        <w:t>stwami trzecimi dotyczącymi</w:t>
      </w:r>
      <w:r w:rsidRPr="00A5335D">
        <w:rPr>
          <w:rFonts w:ascii="Times New Roman" w:hAnsi="Times New Roman"/>
          <w:noProof/>
          <w:sz w:val="24"/>
          <w:szCs w:val="24"/>
        </w:rPr>
        <w:t xml:space="preserve"> warunków przyjmowania</w:t>
      </w:r>
      <w:r w:rsidR="00A5335D" w:rsidRPr="00A5335D">
        <w:rPr>
          <w:rFonts w:ascii="Times New Roman" w:hAnsi="Times New Roman"/>
          <w:noProof/>
          <w:sz w:val="24"/>
          <w:szCs w:val="24"/>
        </w:rPr>
        <w:t xml:space="preserve"> i pra</w:t>
      </w:r>
      <w:r w:rsidRPr="00A5335D">
        <w:rPr>
          <w:rFonts w:ascii="Times New Roman" w:hAnsi="Times New Roman"/>
          <w:noProof/>
          <w:sz w:val="24"/>
          <w:szCs w:val="24"/>
        </w:rPr>
        <w:t xml:space="preserve">w, przy jednoczesnym pozostawieniu państwom członkowskim możliwości ustalania limitów przyjmowanych osób młodych przybywających do UE. </w:t>
      </w:r>
    </w:p>
    <w:p w14:paraId="27CEFCE4" w14:textId="590E3795" w:rsidR="009F7A15" w:rsidRPr="00A5335D" w:rsidRDefault="003767C2" w:rsidP="003767C2">
      <w:pPr>
        <w:spacing w:before="120" w:after="240"/>
        <w:jc w:val="both"/>
        <w:rPr>
          <w:rFonts w:ascii="Times New Roman" w:hAnsi="Times New Roman" w:cs="Times New Roman"/>
          <w:noProof/>
          <w:sz w:val="24"/>
          <w:szCs w:val="24"/>
        </w:rPr>
      </w:pPr>
      <w:r w:rsidRPr="00A5335D">
        <w:rPr>
          <w:rFonts w:ascii="Times New Roman" w:hAnsi="Times New Roman"/>
          <w:b/>
          <w:bCs/>
          <w:noProof/>
          <w:sz w:val="24"/>
          <w:szCs w:val="24"/>
        </w:rPr>
        <w:t>Komisja zbada wykonalność opracowania europejskiego programu mobilności młodzieży, testując różne warianty, ze szczególnym uwzględnieniem umożliwiających wzajemność umów</w:t>
      </w:r>
      <w:r w:rsidR="00A5335D" w:rsidRPr="00A5335D">
        <w:rPr>
          <w:rFonts w:ascii="Times New Roman" w:hAnsi="Times New Roman"/>
          <w:b/>
          <w:bCs/>
          <w:noProof/>
          <w:sz w:val="24"/>
          <w:szCs w:val="24"/>
        </w:rPr>
        <w:t xml:space="preserve"> z pań</w:t>
      </w:r>
      <w:r w:rsidRPr="00A5335D">
        <w:rPr>
          <w:rFonts w:ascii="Times New Roman" w:hAnsi="Times New Roman"/>
          <w:b/>
          <w:bCs/>
          <w:noProof/>
          <w:sz w:val="24"/>
          <w:szCs w:val="24"/>
        </w:rPr>
        <w:t>stwami trzecimi</w:t>
      </w:r>
      <w:r w:rsidR="00B2481C" w:rsidRPr="00A5335D">
        <w:rPr>
          <w:rStyle w:val="FootnoteReference"/>
          <w:rFonts w:ascii="Times New Roman" w:hAnsi="Times New Roman" w:cs="Times New Roman"/>
          <w:b/>
          <w:bCs/>
          <w:noProof/>
          <w:sz w:val="24"/>
          <w:szCs w:val="24"/>
        </w:rPr>
        <w:footnoteReference w:id="73"/>
      </w:r>
      <w:r w:rsidRPr="00A5335D">
        <w:rPr>
          <w:rFonts w:ascii="Times New Roman" w:hAnsi="Times New Roman"/>
          <w:noProof/>
          <w:sz w:val="24"/>
          <w:szCs w:val="24"/>
        </w:rPr>
        <w:t>. Proces ten zostanie zapoczątkowany</w:t>
      </w:r>
      <w:r w:rsidR="00A5335D" w:rsidRPr="00A5335D">
        <w:rPr>
          <w:rFonts w:ascii="Times New Roman" w:hAnsi="Times New Roman"/>
          <w:noProof/>
          <w:sz w:val="24"/>
          <w:szCs w:val="24"/>
        </w:rPr>
        <w:t xml:space="preserve"> w trz</w:t>
      </w:r>
      <w:r w:rsidRPr="00A5335D">
        <w:rPr>
          <w:rFonts w:ascii="Times New Roman" w:hAnsi="Times New Roman"/>
          <w:noProof/>
          <w:sz w:val="24"/>
          <w:szCs w:val="24"/>
        </w:rPr>
        <w:t>ecim kwartale 2022</w:t>
      </w:r>
      <w:r w:rsidR="00A5335D" w:rsidRPr="00A5335D">
        <w:rPr>
          <w:rFonts w:ascii="Times New Roman" w:hAnsi="Times New Roman"/>
          <w:noProof/>
          <w:sz w:val="24"/>
          <w:szCs w:val="24"/>
        </w:rPr>
        <w:t> </w:t>
      </w:r>
      <w:r w:rsidRPr="00A5335D">
        <w:rPr>
          <w:rFonts w:ascii="Times New Roman" w:hAnsi="Times New Roman"/>
          <w:noProof/>
          <w:sz w:val="24"/>
          <w:szCs w:val="24"/>
        </w:rPr>
        <w:t>r. na Europejskim Forum Migracji, na którym spotkają się przedstawiciele środowisk migracyjnych,</w:t>
      </w:r>
      <w:r w:rsidR="00A5335D" w:rsidRPr="00A5335D">
        <w:rPr>
          <w:rFonts w:ascii="Times New Roman" w:hAnsi="Times New Roman"/>
          <w:noProof/>
          <w:sz w:val="24"/>
          <w:szCs w:val="24"/>
        </w:rPr>
        <w:t xml:space="preserve"> a tak</w:t>
      </w:r>
      <w:r w:rsidRPr="00A5335D">
        <w:rPr>
          <w:rFonts w:ascii="Times New Roman" w:hAnsi="Times New Roman"/>
          <w:noProof/>
          <w:sz w:val="24"/>
          <w:szCs w:val="24"/>
        </w:rPr>
        <w:t>że zaproszone zostaną zainteresowane strony reprezentujące młodzież, co przyczyni się do osiągnięcia szeroko zakrojonych celów Europejskiego Roku Młodzieży 2022.</w:t>
      </w:r>
    </w:p>
    <w:p w14:paraId="27CEFCE5" w14:textId="77777777" w:rsidR="003767C2" w:rsidRPr="00A5335D" w:rsidRDefault="00EA497B" w:rsidP="00834BBD">
      <w:pPr>
        <w:pStyle w:val="ListParagraph"/>
        <w:spacing w:before="240"/>
        <w:ind w:left="792"/>
        <w:jc w:val="both"/>
        <w:rPr>
          <w:rFonts w:ascii="Times New Roman" w:hAnsi="Times New Roman" w:cs="Times New Roman"/>
          <w:b/>
          <w:bCs/>
          <w:noProof/>
          <w:sz w:val="24"/>
          <w:szCs w:val="24"/>
        </w:rPr>
      </w:pPr>
      <w:r w:rsidRPr="00A5335D">
        <w:rPr>
          <w:rFonts w:ascii="Times New Roman" w:hAnsi="Times New Roman"/>
          <w:b/>
          <w:bCs/>
          <w:noProof/>
          <w:sz w:val="24"/>
          <w:szCs w:val="24"/>
        </w:rPr>
        <w:t>4.3. Ułatwianie przyjmowania założycieli przedsiębiorstw typu start-up na poziomie UE</w:t>
      </w:r>
    </w:p>
    <w:p w14:paraId="27CEFCE6" w14:textId="1E58BBEA" w:rsidR="008D0328" w:rsidRPr="00A5335D" w:rsidRDefault="003767C2" w:rsidP="003767C2">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 xml:space="preserve">W ostatnich latach zarówno w UE, jak i na świecie wzrosła liczba </w:t>
      </w:r>
      <w:r w:rsidRPr="00A5335D">
        <w:rPr>
          <w:rFonts w:ascii="Times New Roman" w:hAnsi="Times New Roman"/>
          <w:b/>
          <w:bCs/>
          <w:noProof/>
          <w:sz w:val="24"/>
          <w:szCs w:val="24"/>
        </w:rPr>
        <w:t>krajowych programów przyjmowania „innowacyjnych przedsiębiorców”</w:t>
      </w:r>
      <w:r w:rsidR="00A5335D" w:rsidRPr="00A5335D">
        <w:rPr>
          <w:rFonts w:ascii="Times New Roman" w:hAnsi="Times New Roman"/>
          <w:b/>
          <w:bCs/>
          <w:noProof/>
          <w:sz w:val="24"/>
          <w:szCs w:val="24"/>
        </w:rPr>
        <w:t xml:space="preserve"> i zał</w:t>
      </w:r>
      <w:r w:rsidRPr="00A5335D">
        <w:rPr>
          <w:rFonts w:ascii="Times New Roman" w:hAnsi="Times New Roman"/>
          <w:b/>
          <w:bCs/>
          <w:noProof/>
          <w:sz w:val="24"/>
          <w:szCs w:val="24"/>
        </w:rPr>
        <w:t>ożycieli przedsiębiorstw typu start-up</w:t>
      </w:r>
      <w:r w:rsidRPr="00A5335D">
        <w:rPr>
          <w:rStyle w:val="FootnoteReference"/>
          <w:rFonts w:ascii="Times New Roman" w:hAnsi="Times New Roman" w:cs="Times New Roman"/>
          <w:noProof/>
          <w:sz w:val="24"/>
          <w:szCs w:val="24"/>
        </w:rPr>
        <w:footnoteReference w:id="74"/>
      </w:r>
      <w:r w:rsidRPr="00A5335D">
        <w:rPr>
          <w:rFonts w:ascii="Times New Roman" w:hAnsi="Times New Roman"/>
          <w:noProof/>
          <w:sz w:val="24"/>
          <w:szCs w:val="24"/>
        </w:rPr>
        <w:t xml:space="preserve">. </w:t>
      </w:r>
    </w:p>
    <w:p w14:paraId="27CEFCE7" w14:textId="21CA2106" w:rsidR="003767C2" w:rsidRPr="00A5335D" w:rsidRDefault="004E47CB" w:rsidP="003767C2">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Programy te obejmują zachęty, takie jak specjalne wizy lub dokumenty pobytowe dla innowacyjnych przedsiębiorców</w:t>
      </w:r>
      <w:r w:rsidR="00A5335D" w:rsidRPr="00A5335D">
        <w:rPr>
          <w:rFonts w:ascii="Times New Roman" w:hAnsi="Times New Roman"/>
          <w:noProof/>
          <w:sz w:val="24"/>
          <w:szCs w:val="24"/>
        </w:rPr>
        <w:t xml:space="preserve"> z zag</w:t>
      </w:r>
      <w:r w:rsidRPr="00A5335D">
        <w:rPr>
          <w:rFonts w:ascii="Times New Roman" w:hAnsi="Times New Roman"/>
          <w:noProof/>
          <w:sz w:val="24"/>
          <w:szCs w:val="24"/>
        </w:rPr>
        <w:t>ranicy. Wspólną cechą wszystkich programów jest to, że są one skierowane do określonego rodzaju przedsiębiorstw, tj. tych, które są innowacyjne, skalowalne lub mają wartość dodaną dla gospodarki narodowej lub środowiska biznesowego</w:t>
      </w:r>
      <w:r w:rsidR="003767C2" w:rsidRPr="00A5335D">
        <w:rPr>
          <w:rStyle w:val="FootnoteReference"/>
          <w:rFonts w:ascii="Times New Roman" w:hAnsi="Times New Roman" w:cs="Times New Roman"/>
          <w:noProof/>
          <w:sz w:val="24"/>
          <w:szCs w:val="24"/>
        </w:rPr>
        <w:footnoteReference w:id="75"/>
      </w:r>
      <w:r w:rsidRPr="00A5335D">
        <w:rPr>
          <w:rFonts w:ascii="Times New Roman" w:hAnsi="Times New Roman"/>
          <w:noProof/>
          <w:sz w:val="24"/>
          <w:szCs w:val="24"/>
        </w:rPr>
        <w:t xml:space="preserve">. </w:t>
      </w:r>
    </w:p>
    <w:p w14:paraId="27CEFCE8" w14:textId="046A9141" w:rsidR="003767C2" w:rsidRPr="00A5335D" w:rsidRDefault="003767C2" w:rsidP="003767C2">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Przedsiębiorstwa typu start-up</w:t>
      </w:r>
      <w:r w:rsidR="00A5335D" w:rsidRPr="00A5335D">
        <w:rPr>
          <w:rFonts w:ascii="Times New Roman" w:hAnsi="Times New Roman"/>
          <w:noProof/>
          <w:sz w:val="24"/>
          <w:szCs w:val="24"/>
        </w:rPr>
        <w:t xml:space="preserve"> i prz</w:t>
      </w:r>
      <w:r w:rsidRPr="00A5335D">
        <w:rPr>
          <w:rFonts w:ascii="Times New Roman" w:hAnsi="Times New Roman"/>
          <w:noProof/>
          <w:sz w:val="24"/>
          <w:szCs w:val="24"/>
        </w:rPr>
        <w:t>edsiębiorczość ogółem wspierają rozwój gospodarczy</w:t>
      </w:r>
      <w:r w:rsidR="00A5335D" w:rsidRPr="00A5335D">
        <w:rPr>
          <w:rFonts w:ascii="Times New Roman" w:hAnsi="Times New Roman"/>
          <w:noProof/>
          <w:sz w:val="24"/>
          <w:szCs w:val="24"/>
        </w:rPr>
        <w:t xml:space="preserve"> i inn</w:t>
      </w:r>
      <w:r w:rsidRPr="00A5335D">
        <w:rPr>
          <w:rFonts w:ascii="Times New Roman" w:hAnsi="Times New Roman"/>
          <w:noProof/>
          <w:sz w:val="24"/>
          <w:szCs w:val="24"/>
        </w:rPr>
        <w:t xml:space="preserve">owacyjność w UE. Mają one również zasadnicze znaczenie dla </w:t>
      </w:r>
      <w:r w:rsidRPr="00A5335D">
        <w:rPr>
          <w:rFonts w:ascii="Times New Roman" w:hAnsi="Times New Roman"/>
          <w:b/>
          <w:bCs/>
          <w:noProof/>
          <w:sz w:val="24"/>
          <w:szCs w:val="24"/>
        </w:rPr>
        <w:t>dwojakiej transformacji UE</w:t>
      </w:r>
      <w:r w:rsidR="00A5335D" w:rsidRPr="00A5335D">
        <w:rPr>
          <w:rFonts w:ascii="Times New Roman" w:hAnsi="Times New Roman"/>
          <w:b/>
          <w:bCs/>
          <w:noProof/>
          <w:sz w:val="24"/>
          <w:szCs w:val="24"/>
        </w:rPr>
        <w:t xml:space="preserve"> w kie</w:t>
      </w:r>
      <w:r w:rsidRPr="00A5335D">
        <w:rPr>
          <w:rFonts w:ascii="Times New Roman" w:hAnsi="Times New Roman"/>
          <w:b/>
          <w:bCs/>
          <w:noProof/>
          <w:sz w:val="24"/>
          <w:szCs w:val="24"/>
        </w:rPr>
        <w:t>runku zrównoważonej</w:t>
      </w:r>
      <w:r w:rsidR="00A5335D" w:rsidRPr="00A5335D">
        <w:rPr>
          <w:rFonts w:ascii="Times New Roman" w:hAnsi="Times New Roman"/>
          <w:b/>
          <w:bCs/>
          <w:noProof/>
          <w:sz w:val="24"/>
          <w:szCs w:val="24"/>
        </w:rPr>
        <w:t xml:space="preserve"> i cyf</w:t>
      </w:r>
      <w:r w:rsidRPr="00A5335D">
        <w:rPr>
          <w:rFonts w:ascii="Times New Roman" w:hAnsi="Times New Roman"/>
          <w:b/>
          <w:bCs/>
          <w:noProof/>
          <w:sz w:val="24"/>
          <w:szCs w:val="24"/>
        </w:rPr>
        <w:t>rowej gospodarki</w:t>
      </w:r>
      <w:r w:rsidR="00A5335D" w:rsidRPr="00A5335D">
        <w:rPr>
          <w:rFonts w:ascii="Times New Roman" w:hAnsi="Times New Roman"/>
          <w:noProof/>
          <w:sz w:val="24"/>
          <w:szCs w:val="24"/>
        </w:rPr>
        <w:t>. W tym</w:t>
      </w:r>
      <w:r w:rsidRPr="00A5335D">
        <w:rPr>
          <w:rFonts w:ascii="Times New Roman" w:hAnsi="Times New Roman"/>
          <w:noProof/>
          <w:sz w:val="24"/>
          <w:szCs w:val="24"/>
        </w:rPr>
        <w:t xml:space="preserve"> kontekście</w:t>
      </w:r>
      <w:r w:rsidR="00A5335D" w:rsidRPr="00A5335D">
        <w:rPr>
          <w:rFonts w:ascii="Times New Roman" w:hAnsi="Times New Roman"/>
          <w:noProof/>
          <w:sz w:val="24"/>
          <w:szCs w:val="24"/>
        </w:rPr>
        <w:t xml:space="preserve"> w pla</w:t>
      </w:r>
      <w:r w:rsidRPr="00A5335D">
        <w:rPr>
          <w:rFonts w:ascii="Times New Roman" w:hAnsi="Times New Roman"/>
          <w:noProof/>
          <w:sz w:val="24"/>
          <w:szCs w:val="24"/>
        </w:rPr>
        <w:t>nie działania na rzecz integracji</w:t>
      </w:r>
      <w:r w:rsidR="00A5335D" w:rsidRPr="00A5335D">
        <w:rPr>
          <w:rFonts w:ascii="Times New Roman" w:hAnsi="Times New Roman"/>
          <w:noProof/>
          <w:sz w:val="24"/>
          <w:szCs w:val="24"/>
        </w:rPr>
        <w:t xml:space="preserve"> i włą</w:t>
      </w:r>
      <w:r w:rsidRPr="00A5335D">
        <w:rPr>
          <w:rFonts w:ascii="Times New Roman" w:hAnsi="Times New Roman"/>
          <w:noProof/>
          <w:sz w:val="24"/>
          <w:szCs w:val="24"/>
        </w:rPr>
        <w:t>czenia społecznego podkreślono znaczący wkład przedsiębiorców ze środowisk migracyjnych we wzrost gospodarczy</w:t>
      </w:r>
      <w:r w:rsidR="00A5335D" w:rsidRPr="00A5335D">
        <w:rPr>
          <w:rFonts w:ascii="Times New Roman" w:hAnsi="Times New Roman"/>
          <w:noProof/>
          <w:sz w:val="24"/>
          <w:szCs w:val="24"/>
        </w:rPr>
        <w:t xml:space="preserve"> i two</w:t>
      </w:r>
      <w:r w:rsidRPr="00A5335D">
        <w:rPr>
          <w:rFonts w:ascii="Times New Roman" w:hAnsi="Times New Roman"/>
          <w:noProof/>
          <w:sz w:val="24"/>
          <w:szCs w:val="24"/>
        </w:rPr>
        <w:t xml:space="preserve">rzenie miejsc pracy oraz ich rolę we wspieraniu ożywienia gospodarczego po pandemii COVID-19. </w:t>
      </w:r>
    </w:p>
    <w:p w14:paraId="27CEFCE9" w14:textId="4789FB42" w:rsidR="003767C2" w:rsidRPr="00A5335D" w:rsidRDefault="008608A3" w:rsidP="00834BBD">
      <w:pPr>
        <w:spacing w:before="120" w:after="240"/>
        <w:jc w:val="both"/>
        <w:rPr>
          <w:rFonts w:ascii="Times New Roman" w:hAnsi="Times New Roman" w:cs="Times New Roman"/>
          <w:b/>
          <w:bCs/>
          <w:noProof/>
          <w:sz w:val="24"/>
          <w:szCs w:val="24"/>
        </w:rPr>
      </w:pPr>
      <w:r w:rsidRPr="00A5335D">
        <w:rPr>
          <w:rFonts w:ascii="Times New Roman" w:hAnsi="Times New Roman"/>
          <w:b/>
          <w:bCs/>
          <w:noProof/>
          <w:sz w:val="24"/>
          <w:szCs w:val="24"/>
        </w:rPr>
        <w:t>W ramach działań UE można by</w:t>
      </w:r>
      <w:r w:rsidR="00A5335D" w:rsidRPr="00A5335D">
        <w:rPr>
          <w:rFonts w:ascii="Times New Roman" w:hAnsi="Times New Roman"/>
          <w:b/>
          <w:bCs/>
          <w:noProof/>
          <w:sz w:val="24"/>
          <w:szCs w:val="24"/>
        </w:rPr>
        <w:t xml:space="preserve"> w jes</w:t>
      </w:r>
      <w:r w:rsidRPr="00A5335D">
        <w:rPr>
          <w:rFonts w:ascii="Times New Roman" w:hAnsi="Times New Roman"/>
          <w:b/>
          <w:bCs/>
          <w:noProof/>
          <w:sz w:val="24"/>
          <w:szCs w:val="24"/>
        </w:rPr>
        <w:t>zcze większym stopniu ułatwić innowacyjnym przedsiębiorcom</w:t>
      </w:r>
      <w:r w:rsidR="00A5335D" w:rsidRPr="00A5335D">
        <w:rPr>
          <w:rFonts w:ascii="Times New Roman" w:hAnsi="Times New Roman"/>
          <w:b/>
          <w:bCs/>
          <w:noProof/>
          <w:sz w:val="24"/>
          <w:szCs w:val="24"/>
        </w:rPr>
        <w:t xml:space="preserve"> i zał</w:t>
      </w:r>
      <w:r w:rsidRPr="00A5335D">
        <w:rPr>
          <w:rFonts w:ascii="Times New Roman" w:hAnsi="Times New Roman"/>
          <w:b/>
          <w:bCs/>
          <w:noProof/>
          <w:sz w:val="24"/>
          <w:szCs w:val="24"/>
        </w:rPr>
        <w:t>ożycielom przedsiębiorstw typu start-up dostęp do całego jednolitego rynku UE przez wspieranie ich przyjmowania na rynek</w:t>
      </w:r>
      <w:r w:rsidR="00A5335D" w:rsidRPr="00A5335D">
        <w:rPr>
          <w:rFonts w:ascii="Times New Roman" w:hAnsi="Times New Roman"/>
          <w:b/>
          <w:bCs/>
          <w:noProof/>
          <w:sz w:val="24"/>
          <w:szCs w:val="24"/>
        </w:rPr>
        <w:t xml:space="preserve"> i zak</w:t>
      </w:r>
      <w:r w:rsidRPr="00A5335D">
        <w:rPr>
          <w:rFonts w:ascii="Times New Roman" w:hAnsi="Times New Roman"/>
          <w:b/>
          <w:bCs/>
          <w:noProof/>
          <w:sz w:val="24"/>
          <w:szCs w:val="24"/>
        </w:rPr>
        <w:t>ładania działalności</w:t>
      </w:r>
      <w:r w:rsidRPr="00A5335D">
        <w:rPr>
          <w:rFonts w:ascii="Times New Roman" w:hAnsi="Times New Roman"/>
          <w:noProof/>
          <w:sz w:val="24"/>
          <w:szCs w:val="24"/>
        </w:rPr>
        <w:t>. Takie działania pomogłyby przyciągnąć największe talenty,</w:t>
      </w:r>
      <w:r w:rsidR="00A5335D" w:rsidRPr="00A5335D">
        <w:rPr>
          <w:rFonts w:ascii="Times New Roman" w:hAnsi="Times New Roman"/>
          <w:noProof/>
          <w:sz w:val="24"/>
          <w:szCs w:val="24"/>
        </w:rPr>
        <w:t xml:space="preserve"> a tym</w:t>
      </w:r>
      <w:r w:rsidRPr="00A5335D">
        <w:rPr>
          <w:rFonts w:ascii="Times New Roman" w:hAnsi="Times New Roman"/>
          <w:noProof/>
          <w:sz w:val="24"/>
          <w:szCs w:val="24"/>
        </w:rPr>
        <w:t xml:space="preserve"> samym promować innowacyjność</w:t>
      </w:r>
      <w:r w:rsidR="00A5335D" w:rsidRPr="00A5335D">
        <w:rPr>
          <w:rFonts w:ascii="Times New Roman" w:hAnsi="Times New Roman"/>
          <w:noProof/>
          <w:sz w:val="24"/>
          <w:szCs w:val="24"/>
        </w:rPr>
        <w:t xml:space="preserve"> i prz</w:t>
      </w:r>
      <w:r w:rsidRPr="00A5335D">
        <w:rPr>
          <w:rFonts w:ascii="Times New Roman" w:hAnsi="Times New Roman"/>
          <w:noProof/>
          <w:sz w:val="24"/>
          <w:szCs w:val="24"/>
        </w:rPr>
        <w:t>edsiębiorczość w UE. Byłoby to zgodne</w:t>
      </w:r>
      <w:r w:rsidR="00A5335D" w:rsidRPr="00A5335D">
        <w:rPr>
          <w:rFonts w:ascii="Times New Roman" w:hAnsi="Times New Roman"/>
          <w:noProof/>
          <w:sz w:val="24"/>
          <w:szCs w:val="24"/>
        </w:rPr>
        <w:t xml:space="preserve"> z </w:t>
      </w:r>
      <w:r w:rsidR="00A5335D" w:rsidRPr="00A5335D">
        <w:rPr>
          <w:rFonts w:ascii="Times New Roman" w:hAnsi="Times New Roman"/>
          <w:b/>
          <w:bCs/>
          <w:noProof/>
          <w:sz w:val="24"/>
          <w:szCs w:val="24"/>
        </w:rPr>
        <w:t>eur</w:t>
      </w:r>
      <w:r w:rsidRPr="00A5335D">
        <w:rPr>
          <w:rFonts w:ascii="Times New Roman" w:hAnsi="Times New Roman"/>
          <w:b/>
          <w:bCs/>
          <w:noProof/>
          <w:sz w:val="24"/>
          <w:szCs w:val="24"/>
        </w:rPr>
        <w:t>opejskim planem na rzecz innowacji</w:t>
      </w:r>
      <w:r w:rsidR="00A5335D" w:rsidRPr="00A5335D">
        <w:rPr>
          <w:rFonts w:ascii="Times New Roman" w:hAnsi="Times New Roman"/>
          <w:noProof/>
          <w:sz w:val="24"/>
          <w:szCs w:val="24"/>
        </w:rPr>
        <w:t xml:space="preserve"> i ogó</w:t>
      </w:r>
      <w:r w:rsidRPr="00A5335D">
        <w:rPr>
          <w:rFonts w:ascii="Times New Roman" w:hAnsi="Times New Roman"/>
          <w:noProof/>
          <w:sz w:val="24"/>
          <w:szCs w:val="24"/>
        </w:rPr>
        <w:t>lnym wsparciem UE dla tworzenia przedsiębiorstw. To ogólne wsparcie obejmuje stworzenie środowiska przyjaznego dla biznesu, promowanie przedsiębiorczości, poprawę dostępu do nowych rynków</w:t>
      </w:r>
      <w:r w:rsidR="00A5335D" w:rsidRPr="00A5335D">
        <w:rPr>
          <w:rFonts w:ascii="Times New Roman" w:hAnsi="Times New Roman"/>
          <w:noProof/>
          <w:sz w:val="24"/>
          <w:szCs w:val="24"/>
        </w:rPr>
        <w:t xml:space="preserve"> i umi</w:t>
      </w:r>
      <w:r w:rsidRPr="00A5335D">
        <w:rPr>
          <w:rFonts w:ascii="Times New Roman" w:hAnsi="Times New Roman"/>
          <w:noProof/>
          <w:sz w:val="24"/>
          <w:szCs w:val="24"/>
        </w:rPr>
        <w:t>ędzynarodowienie, ułatwianie dostępu do finansowania oraz wspieranie konkurencyjności</w:t>
      </w:r>
      <w:r w:rsidR="00A5335D" w:rsidRPr="00A5335D">
        <w:rPr>
          <w:rFonts w:ascii="Times New Roman" w:hAnsi="Times New Roman"/>
          <w:noProof/>
          <w:sz w:val="24"/>
          <w:szCs w:val="24"/>
        </w:rPr>
        <w:t xml:space="preserve"> i inn</w:t>
      </w:r>
      <w:r w:rsidRPr="00A5335D">
        <w:rPr>
          <w:rFonts w:ascii="Times New Roman" w:hAnsi="Times New Roman"/>
          <w:noProof/>
          <w:sz w:val="24"/>
          <w:szCs w:val="24"/>
        </w:rPr>
        <w:t>owacyjności małych</w:t>
      </w:r>
      <w:r w:rsidR="00A5335D" w:rsidRPr="00A5335D">
        <w:rPr>
          <w:rFonts w:ascii="Times New Roman" w:hAnsi="Times New Roman"/>
          <w:noProof/>
          <w:sz w:val="24"/>
          <w:szCs w:val="24"/>
        </w:rPr>
        <w:t xml:space="preserve"> i śre</w:t>
      </w:r>
      <w:r w:rsidRPr="00A5335D">
        <w:rPr>
          <w:rFonts w:ascii="Times New Roman" w:hAnsi="Times New Roman"/>
          <w:noProof/>
          <w:sz w:val="24"/>
          <w:szCs w:val="24"/>
        </w:rPr>
        <w:t>dnich przedsiębiorstw</w:t>
      </w:r>
      <w:r w:rsidR="003767C2" w:rsidRPr="00A5335D">
        <w:rPr>
          <w:rStyle w:val="FootnoteReference"/>
          <w:rFonts w:ascii="Times New Roman" w:hAnsi="Times New Roman" w:cs="Times New Roman"/>
          <w:noProof/>
          <w:sz w:val="24"/>
          <w:szCs w:val="24"/>
        </w:rPr>
        <w:footnoteReference w:id="76"/>
      </w:r>
      <w:r w:rsidRPr="00A5335D">
        <w:rPr>
          <w:rFonts w:ascii="Times New Roman" w:hAnsi="Times New Roman"/>
          <w:noProof/>
          <w:sz w:val="24"/>
          <w:szCs w:val="24"/>
        </w:rPr>
        <w:t xml:space="preserve"> Komisja pracuje również nad wsparciem przedsiębiorców wśród przesiedleńców</w:t>
      </w:r>
      <w:r w:rsidR="00A5335D" w:rsidRPr="00A5335D">
        <w:rPr>
          <w:rFonts w:ascii="Times New Roman" w:hAnsi="Times New Roman"/>
          <w:noProof/>
          <w:sz w:val="24"/>
          <w:szCs w:val="24"/>
        </w:rPr>
        <w:t xml:space="preserve"> z Ukr</w:t>
      </w:r>
      <w:r w:rsidRPr="00A5335D">
        <w:rPr>
          <w:rFonts w:ascii="Times New Roman" w:hAnsi="Times New Roman"/>
          <w:noProof/>
          <w:sz w:val="24"/>
          <w:szCs w:val="24"/>
        </w:rPr>
        <w:t>ainy, analizując</w:t>
      </w:r>
      <w:r w:rsidR="00A5335D" w:rsidRPr="00A5335D">
        <w:rPr>
          <w:rFonts w:ascii="Times New Roman" w:hAnsi="Times New Roman"/>
          <w:noProof/>
          <w:sz w:val="24"/>
          <w:szCs w:val="24"/>
        </w:rPr>
        <w:t xml:space="preserve"> w szc</w:t>
      </w:r>
      <w:r w:rsidRPr="00A5335D">
        <w:rPr>
          <w:rFonts w:ascii="Times New Roman" w:hAnsi="Times New Roman"/>
          <w:noProof/>
          <w:sz w:val="24"/>
          <w:szCs w:val="24"/>
        </w:rPr>
        <w:t>zególności środki mające pomóc im</w:t>
      </w:r>
      <w:r w:rsidR="00A5335D" w:rsidRPr="00A5335D">
        <w:rPr>
          <w:rFonts w:ascii="Times New Roman" w:hAnsi="Times New Roman"/>
          <w:noProof/>
          <w:sz w:val="24"/>
          <w:szCs w:val="24"/>
        </w:rPr>
        <w:t xml:space="preserve"> w zał</w:t>
      </w:r>
      <w:r w:rsidRPr="00A5335D">
        <w:rPr>
          <w:rFonts w:ascii="Times New Roman" w:hAnsi="Times New Roman"/>
          <w:noProof/>
          <w:sz w:val="24"/>
          <w:szCs w:val="24"/>
        </w:rPr>
        <w:t>ożeniu własnej firmy w UE.</w:t>
      </w:r>
    </w:p>
    <w:p w14:paraId="27CEFCEA" w14:textId="2B5FED67" w:rsidR="003767C2" w:rsidRPr="00A5335D" w:rsidRDefault="003767C2" w:rsidP="003767C2">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Biorąc pod uwagę ostatnie inicjatywy („Scale-up Europe”</w:t>
      </w:r>
      <w:r w:rsidR="00A5335D" w:rsidRPr="00A5335D">
        <w:rPr>
          <w:rFonts w:ascii="Times New Roman" w:hAnsi="Times New Roman"/>
          <w:noProof/>
          <w:sz w:val="24"/>
          <w:szCs w:val="24"/>
        </w:rPr>
        <w:t xml:space="preserve"> w ram</w:t>
      </w:r>
      <w:r w:rsidRPr="00A5335D">
        <w:rPr>
          <w:rFonts w:ascii="Times New Roman" w:hAnsi="Times New Roman"/>
          <w:noProof/>
          <w:sz w:val="24"/>
          <w:szCs w:val="24"/>
        </w:rPr>
        <w:t>ach francuskiej prezydencji</w:t>
      </w:r>
      <w:r w:rsidR="00A5335D" w:rsidRPr="00A5335D">
        <w:rPr>
          <w:rFonts w:ascii="Times New Roman" w:hAnsi="Times New Roman"/>
          <w:noProof/>
          <w:sz w:val="24"/>
          <w:szCs w:val="24"/>
        </w:rPr>
        <w:t xml:space="preserve"> w Rad</w:t>
      </w:r>
      <w:r w:rsidRPr="00A5335D">
        <w:rPr>
          <w:rFonts w:ascii="Times New Roman" w:hAnsi="Times New Roman"/>
          <w:noProof/>
          <w:sz w:val="24"/>
          <w:szCs w:val="24"/>
        </w:rPr>
        <w:t>zie UE</w:t>
      </w:r>
      <w:r w:rsidRPr="00A5335D">
        <w:rPr>
          <w:rStyle w:val="FootnoteReference"/>
          <w:rFonts w:ascii="Times New Roman" w:hAnsi="Times New Roman" w:cs="Times New Roman"/>
          <w:noProof/>
          <w:sz w:val="24"/>
          <w:szCs w:val="24"/>
        </w:rPr>
        <w:footnoteReference w:id="77"/>
      </w:r>
      <w:r w:rsidRPr="00A5335D">
        <w:rPr>
          <w:rFonts w:ascii="Times New Roman" w:hAnsi="Times New Roman"/>
          <w:noProof/>
          <w:sz w:val="24"/>
          <w:szCs w:val="24"/>
        </w:rPr>
        <w:t>), istnieje szansa na wznowienie dyskusji</w:t>
      </w:r>
      <w:r w:rsidRPr="00A5335D">
        <w:rPr>
          <w:rStyle w:val="FootnoteReference"/>
          <w:rFonts w:ascii="Times New Roman" w:hAnsi="Times New Roman" w:cs="Times New Roman"/>
          <w:noProof/>
          <w:sz w:val="24"/>
          <w:szCs w:val="24"/>
        </w:rPr>
        <w:footnoteReference w:id="78"/>
      </w:r>
      <w:r w:rsidRPr="00A5335D">
        <w:rPr>
          <w:rFonts w:ascii="Times New Roman" w:hAnsi="Times New Roman"/>
          <w:noProof/>
          <w:sz w:val="24"/>
          <w:szCs w:val="24"/>
        </w:rPr>
        <w:t xml:space="preserve"> ze wszystkimi odpowiednimi instytucjami</w:t>
      </w:r>
      <w:r w:rsidR="00A5335D" w:rsidRPr="00A5335D">
        <w:rPr>
          <w:rFonts w:ascii="Times New Roman" w:hAnsi="Times New Roman"/>
          <w:noProof/>
          <w:sz w:val="24"/>
          <w:szCs w:val="24"/>
        </w:rPr>
        <w:t xml:space="preserve"> i zai</w:t>
      </w:r>
      <w:r w:rsidRPr="00A5335D">
        <w:rPr>
          <w:rFonts w:ascii="Times New Roman" w:hAnsi="Times New Roman"/>
          <w:noProof/>
          <w:sz w:val="24"/>
          <w:szCs w:val="24"/>
        </w:rPr>
        <w:t xml:space="preserve">nteresowanymi stronami, aby dokonać oceny zakresu dalszych konkretnych działań na szczeblu UE </w:t>
      </w:r>
      <w:r w:rsidRPr="00A5335D">
        <w:rPr>
          <w:rFonts w:ascii="Times New Roman" w:hAnsi="Times New Roman"/>
          <w:bCs/>
          <w:noProof/>
          <w:sz w:val="24"/>
          <w:szCs w:val="24"/>
        </w:rPr>
        <w:t>dotyczących</w:t>
      </w:r>
      <w:r w:rsidR="00A5335D" w:rsidRPr="00A5335D">
        <w:rPr>
          <w:rFonts w:ascii="Times New Roman" w:hAnsi="Times New Roman"/>
          <w:bCs/>
          <w:noProof/>
          <w:sz w:val="24"/>
          <w:szCs w:val="24"/>
        </w:rPr>
        <w:t xml:space="preserve"> </w:t>
      </w:r>
      <w:r w:rsidRPr="00A5335D">
        <w:rPr>
          <w:rFonts w:ascii="Times New Roman" w:hAnsi="Times New Roman"/>
          <w:noProof/>
          <w:sz w:val="24"/>
          <w:szCs w:val="24"/>
        </w:rPr>
        <w:t>przyjmowania zagranicznych innowacyjnych przedsiębiorców. Wsparcie UE mogłoby przyjąć formę pomocy dla systemów krajowych, m.in. przez ułatwianie wymiany informacji. Zbadane zostanie również znaczenie nowej wizy UE dla innowacyjnych przedsiębiorców,</w:t>
      </w:r>
      <w:r w:rsidR="00A5335D" w:rsidRPr="00A5335D">
        <w:rPr>
          <w:rFonts w:ascii="Times New Roman" w:hAnsi="Times New Roman"/>
          <w:noProof/>
          <w:sz w:val="24"/>
          <w:szCs w:val="24"/>
        </w:rPr>
        <w:t xml:space="preserve"> z wyk</w:t>
      </w:r>
      <w:r w:rsidRPr="00A5335D">
        <w:rPr>
          <w:rFonts w:ascii="Times New Roman" w:hAnsi="Times New Roman"/>
          <w:noProof/>
          <w:sz w:val="24"/>
          <w:szCs w:val="24"/>
        </w:rPr>
        <w:t>orzystaniem inspiracji</w:t>
      </w:r>
      <w:r w:rsidR="00A5335D" w:rsidRPr="00A5335D">
        <w:rPr>
          <w:rFonts w:ascii="Times New Roman" w:hAnsi="Times New Roman"/>
          <w:noProof/>
          <w:sz w:val="24"/>
          <w:szCs w:val="24"/>
        </w:rPr>
        <w:t xml:space="preserve"> z sys</w:t>
      </w:r>
      <w:r w:rsidRPr="00A5335D">
        <w:rPr>
          <w:rFonts w:ascii="Times New Roman" w:hAnsi="Times New Roman"/>
          <w:noProof/>
          <w:sz w:val="24"/>
          <w:szCs w:val="24"/>
        </w:rPr>
        <w:t>temów krajowych,</w:t>
      </w:r>
      <w:r w:rsidR="00A5335D" w:rsidRPr="00A5335D">
        <w:rPr>
          <w:rFonts w:ascii="Times New Roman" w:hAnsi="Times New Roman"/>
          <w:noProof/>
          <w:sz w:val="24"/>
          <w:szCs w:val="24"/>
        </w:rPr>
        <w:t xml:space="preserve"> w szc</w:t>
      </w:r>
      <w:r w:rsidRPr="00A5335D">
        <w:rPr>
          <w:rFonts w:ascii="Times New Roman" w:hAnsi="Times New Roman"/>
          <w:noProof/>
          <w:sz w:val="24"/>
          <w:szCs w:val="24"/>
        </w:rPr>
        <w:t>zególności</w:t>
      </w:r>
      <w:r w:rsidR="00A5335D" w:rsidRPr="00A5335D">
        <w:rPr>
          <w:rFonts w:ascii="Times New Roman" w:hAnsi="Times New Roman"/>
          <w:noProof/>
          <w:sz w:val="24"/>
          <w:szCs w:val="24"/>
        </w:rPr>
        <w:t xml:space="preserve"> w odn</w:t>
      </w:r>
      <w:r w:rsidRPr="00A5335D">
        <w:rPr>
          <w:rFonts w:ascii="Times New Roman" w:hAnsi="Times New Roman"/>
          <w:noProof/>
          <w:sz w:val="24"/>
          <w:szCs w:val="24"/>
        </w:rPr>
        <w:t>iesieniu do kryteriów wyboru najbardziej obiecujących</w:t>
      </w:r>
      <w:r w:rsidR="00A5335D" w:rsidRPr="00A5335D">
        <w:rPr>
          <w:rFonts w:ascii="Times New Roman" w:hAnsi="Times New Roman"/>
          <w:noProof/>
          <w:sz w:val="24"/>
          <w:szCs w:val="24"/>
        </w:rPr>
        <w:t xml:space="preserve"> i inn</w:t>
      </w:r>
      <w:r w:rsidRPr="00A5335D">
        <w:rPr>
          <w:rFonts w:ascii="Times New Roman" w:hAnsi="Times New Roman"/>
          <w:noProof/>
          <w:sz w:val="24"/>
          <w:szCs w:val="24"/>
        </w:rPr>
        <w:t>owacyjnych przedsiębiorców. Możliwości te będą omawiane</w:t>
      </w:r>
      <w:r w:rsidR="00A5335D" w:rsidRPr="00A5335D">
        <w:rPr>
          <w:rFonts w:ascii="Times New Roman" w:hAnsi="Times New Roman"/>
          <w:noProof/>
          <w:sz w:val="24"/>
          <w:szCs w:val="24"/>
        </w:rPr>
        <w:t xml:space="preserve"> w ści</w:t>
      </w:r>
      <w:r w:rsidRPr="00A5335D">
        <w:rPr>
          <w:rFonts w:ascii="Times New Roman" w:hAnsi="Times New Roman"/>
          <w:noProof/>
          <w:sz w:val="24"/>
          <w:szCs w:val="24"/>
        </w:rPr>
        <w:t>słej współpracy</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stwami członkowskimi</w:t>
      </w:r>
      <w:r w:rsidR="00A5335D" w:rsidRPr="00A5335D">
        <w:rPr>
          <w:rFonts w:ascii="Times New Roman" w:hAnsi="Times New Roman"/>
          <w:noProof/>
          <w:sz w:val="24"/>
          <w:szCs w:val="24"/>
        </w:rPr>
        <w:t xml:space="preserve"> i ini</w:t>
      </w:r>
      <w:r w:rsidRPr="00A5335D">
        <w:rPr>
          <w:rFonts w:ascii="Times New Roman" w:hAnsi="Times New Roman"/>
          <w:noProof/>
          <w:sz w:val="24"/>
          <w:szCs w:val="24"/>
        </w:rPr>
        <w:t>cjatywami zainteresowanych stron,</w:t>
      </w:r>
      <w:r w:rsidR="00A5335D" w:rsidRPr="00A5335D">
        <w:rPr>
          <w:rFonts w:ascii="Times New Roman" w:hAnsi="Times New Roman"/>
          <w:noProof/>
          <w:sz w:val="24"/>
          <w:szCs w:val="24"/>
        </w:rPr>
        <w:t xml:space="preserve"> w tym</w:t>
      </w:r>
      <w:r w:rsidRPr="00A5335D">
        <w:rPr>
          <w:rFonts w:ascii="Times New Roman" w:hAnsi="Times New Roman"/>
          <w:noProof/>
          <w:sz w:val="24"/>
          <w:szCs w:val="24"/>
        </w:rPr>
        <w:t xml:space="preserve"> na forum Europejskiej Rady ds. Innowacji</w:t>
      </w:r>
      <w:r w:rsidR="00A5335D" w:rsidRPr="00A5335D">
        <w:rPr>
          <w:rFonts w:ascii="Times New Roman" w:hAnsi="Times New Roman"/>
          <w:noProof/>
          <w:sz w:val="24"/>
          <w:szCs w:val="24"/>
        </w:rPr>
        <w:t xml:space="preserve"> i </w:t>
      </w:r>
      <w:r w:rsidR="00A5335D" w:rsidRPr="00A5335D">
        <w:rPr>
          <w:rFonts w:ascii="Times New Roman" w:hAnsi="Times New Roman"/>
          <w:b/>
          <w:bCs/>
          <w:noProof/>
          <w:sz w:val="24"/>
          <w:szCs w:val="24"/>
        </w:rPr>
        <w:t>soj</w:t>
      </w:r>
      <w:r w:rsidRPr="00A5335D">
        <w:rPr>
          <w:rFonts w:ascii="Times New Roman" w:hAnsi="Times New Roman"/>
          <w:b/>
          <w:bCs/>
          <w:noProof/>
          <w:sz w:val="24"/>
          <w:szCs w:val="24"/>
        </w:rPr>
        <w:t>uszu na rzecz wspierania europejskich przedsiębiorstw typu start-up</w:t>
      </w:r>
      <w:r w:rsidRPr="00A5335D">
        <w:rPr>
          <w:rFonts w:ascii="Times New Roman" w:hAnsi="Times New Roman"/>
          <w:noProof/>
          <w:sz w:val="24"/>
          <w:szCs w:val="24"/>
        </w:rPr>
        <w:t xml:space="preserve"> (ang. European Start-up Nations Alliance). Sojusz ten jest narzędziem wdrażania unijnego standardu wspierania start-upów, inicjatywy politycznej</w:t>
      </w:r>
      <w:r w:rsidR="00A5335D" w:rsidRPr="00A5335D">
        <w:rPr>
          <w:rFonts w:ascii="Times New Roman" w:hAnsi="Times New Roman"/>
          <w:noProof/>
          <w:sz w:val="24"/>
          <w:szCs w:val="24"/>
        </w:rPr>
        <w:t xml:space="preserve"> w ram</w:t>
      </w:r>
      <w:r w:rsidRPr="00A5335D">
        <w:rPr>
          <w:rFonts w:ascii="Times New Roman" w:hAnsi="Times New Roman"/>
          <w:noProof/>
          <w:sz w:val="24"/>
          <w:szCs w:val="24"/>
        </w:rPr>
        <w:t>ach opracowanej przez Komisję</w:t>
      </w:r>
      <w:r w:rsidR="00A5335D" w:rsidRPr="00A5335D">
        <w:rPr>
          <w:rFonts w:ascii="Times New Roman" w:hAnsi="Times New Roman"/>
          <w:noProof/>
          <w:sz w:val="24"/>
          <w:szCs w:val="24"/>
        </w:rPr>
        <w:t xml:space="preserve"> w 2</w:t>
      </w:r>
      <w:r w:rsidRPr="00A5335D">
        <w:rPr>
          <w:rFonts w:ascii="Times New Roman" w:hAnsi="Times New Roman"/>
          <w:noProof/>
          <w:sz w:val="24"/>
          <w:szCs w:val="24"/>
        </w:rPr>
        <w:t>020</w:t>
      </w:r>
      <w:r w:rsidR="00A5335D" w:rsidRPr="00A5335D">
        <w:rPr>
          <w:rFonts w:ascii="Times New Roman" w:hAnsi="Times New Roman"/>
          <w:noProof/>
          <w:sz w:val="24"/>
          <w:szCs w:val="24"/>
        </w:rPr>
        <w:t> </w:t>
      </w:r>
      <w:r w:rsidRPr="00A5335D">
        <w:rPr>
          <w:rFonts w:ascii="Times New Roman" w:hAnsi="Times New Roman"/>
          <w:noProof/>
          <w:sz w:val="24"/>
          <w:szCs w:val="24"/>
        </w:rPr>
        <w:t>r. strategii MŚP na rzecz zrównoważonej</w:t>
      </w:r>
      <w:r w:rsidR="00A5335D" w:rsidRPr="00A5335D">
        <w:rPr>
          <w:rFonts w:ascii="Times New Roman" w:hAnsi="Times New Roman"/>
          <w:noProof/>
          <w:sz w:val="24"/>
          <w:szCs w:val="24"/>
        </w:rPr>
        <w:t xml:space="preserve"> i cyf</w:t>
      </w:r>
      <w:r w:rsidRPr="00A5335D">
        <w:rPr>
          <w:rFonts w:ascii="Times New Roman" w:hAnsi="Times New Roman"/>
          <w:noProof/>
          <w:sz w:val="24"/>
          <w:szCs w:val="24"/>
        </w:rPr>
        <w:t>rowej Europy</w:t>
      </w:r>
      <w:r w:rsidR="00C02318" w:rsidRPr="00A5335D">
        <w:rPr>
          <w:rStyle w:val="FootnoteReference"/>
          <w:rFonts w:ascii="Times New Roman" w:hAnsi="Times New Roman" w:cs="Times New Roman"/>
          <w:noProof/>
          <w:sz w:val="24"/>
          <w:szCs w:val="24"/>
        </w:rPr>
        <w:footnoteReference w:id="79"/>
      </w:r>
      <w:r w:rsidRPr="00A5335D">
        <w:rPr>
          <w:rFonts w:ascii="Times New Roman" w:hAnsi="Times New Roman"/>
          <w:noProof/>
          <w:sz w:val="24"/>
          <w:szCs w:val="24"/>
        </w:rPr>
        <w:t>, której celem jest zmobilizowanie państw członkowskich do wymiany</w:t>
      </w:r>
      <w:r w:rsidR="00A5335D" w:rsidRPr="00A5335D">
        <w:rPr>
          <w:rFonts w:ascii="Times New Roman" w:hAnsi="Times New Roman"/>
          <w:noProof/>
          <w:sz w:val="24"/>
          <w:szCs w:val="24"/>
        </w:rPr>
        <w:t xml:space="preserve"> i prz</w:t>
      </w:r>
      <w:r w:rsidRPr="00A5335D">
        <w:rPr>
          <w:rFonts w:ascii="Times New Roman" w:hAnsi="Times New Roman"/>
          <w:noProof/>
          <w:sz w:val="24"/>
          <w:szCs w:val="24"/>
        </w:rPr>
        <w:t>yjmowania najlepszych praktyk zapewniających środowisko sprzyjające rozwojowi zaawansowanych technologicznie MŚP,</w:t>
      </w:r>
      <w:r w:rsidR="00A5335D" w:rsidRPr="00A5335D">
        <w:rPr>
          <w:rFonts w:ascii="Times New Roman" w:hAnsi="Times New Roman"/>
          <w:noProof/>
          <w:sz w:val="24"/>
          <w:szCs w:val="24"/>
        </w:rPr>
        <w:t xml:space="preserve"> w tym</w:t>
      </w:r>
      <w:r w:rsidRPr="00A5335D">
        <w:rPr>
          <w:rFonts w:ascii="Times New Roman" w:hAnsi="Times New Roman"/>
          <w:noProof/>
          <w:sz w:val="24"/>
          <w:szCs w:val="24"/>
        </w:rPr>
        <w:t xml:space="preserve"> najlepszych praktyk</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przyciągania</w:t>
      </w:r>
      <w:r w:rsidR="00A5335D" w:rsidRPr="00A5335D">
        <w:rPr>
          <w:rFonts w:ascii="Times New Roman" w:hAnsi="Times New Roman"/>
          <w:noProof/>
          <w:sz w:val="24"/>
          <w:szCs w:val="24"/>
        </w:rPr>
        <w:t xml:space="preserve"> i zat</w:t>
      </w:r>
      <w:r w:rsidRPr="00A5335D">
        <w:rPr>
          <w:rFonts w:ascii="Times New Roman" w:hAnsi="Times New Roman"/>
          <w:noProof/>
          <w:sz w:val="24"/>
          <w:szCs w:val="24"/>
        </w:rPr>
        <w:t>rzymywania talentów w UE.</w:t>
      </w:r>
    </w:p>
    <w:p w14:paraId="27CEFCEB" w14:textId="77777777" w:rsidR="00AD2844" w:rsidRPr="00A5335D" w:rsidRDefault="00AD2844" w:rsidP="003767C2">
      <w:pPr>
        <w:spacing w:before="120" w:after="240"/>
        <w:jc w:val="both"/>
        <w:rPr>
          <w:rFonts w:ascii="Times New Roman" w:hAnsi="Times New Roman" w:cs="Times New Roman"/>
          <w:noProof/>
          <w:sz w:val="24"/>
          <w:szCs w:val="24"/>
        </w:rPr>
      </w:pPr>
    </w:p>
    <w:p w14:paraId="27CEFCEC" w14:textId="77777777" w:rsidR="003767C2" w:rsidRPr="00A5335D" w:rsidRDefault="002E1F77" w:rsidP="00D81FB2">
      <w:pPr>
        <w:pStyle w:val="ListParagraph"/>
        <w:numPr>
          <w:ilvl w:val="0"/>
          <w:numId w:val="11"/>
        </w:numPr>
        <w:jc w:val="both"/>
        <w:rPr>
          <w:rFonts w:ascii="Times New Roman" w:hAnsi="Times New Roman" w:cs="Times New Roman"/>
          <w:b/>
          <w:bCs/>
          <w:noProof/>
          <w:sz w:val="24"/>
          <w:szCs w:val="24"/>
        </w:rPr>
      </w:pPr>
      <w:r w:rsidRPr="00A5335D">
        <w:rPr>
          <w:rFonts w:ascii="Times New Roman" w:hAnsi="Times New Roman"/>
          <w:b/>
          <w:bCs/>
          <w:noProof/>
          <w:sz w:val="24"/>
          <w:szCs w:val="24"/>
        </w:rPr>
        <w:t>WNIOSEK</w:t>
      </w:r>
    </w:p>
    <w:p w14:paraId="27CEFCED" w14:textId="38EE099E" w:rsidR="008A39C9" w:rsidRPr="00A5335D" w:rsidRDefault="008A39C9" w:rsidP="008A39C9">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W niniejszym komunikacie przedstawiono pragmatyczne</w:t>
      </w:r>
      <w:r w:rsidR="00A5335D" w:rsidRPr="00A5335D">
        <w:rPr>
          <w:rFonts w:ascii="Times New Roman" w:hAnsi="Times New Roman"/>
          <w:noProof/>
          <w:sz w:val="24"/>
          <w:szCs w:val="24"/>
        </w:rPr>
        <w:t xml:space="preserve"> i sto</w:t>
      </w:r>
      <w:r w:rsidRPr="00A5335D">
        <w:rPr>
          <w:rFonts w:ascii="Times New Roman" w:hAnsi="Times New Roman"/>
          <w:noProof/>
          <w:sz w:val="24"/>
          <w:szCs w:val="24"/>
        </w:rPr>
        <w:t>pniowe podejście do ambitnej</w:t>
      </w:r>
      <w:r w:rsidR="00A5335D" w:rsidRPr="00A5335D">
        <w:rPr>
          <w:rFonts w:ascii="Times New Roman" w:hAnsi="Times New Roman"/>
          <w:noProof/>
          <w:sz w:val="24"/>
          <w:szCs w:val="24"/>
        </w:rPr>
        <w:t xml:space="preserve"> i zró</w:t>
      </w:r>
      <w:r w:rsidRPr="00A5335D">
        <w:rPr>
          <w:rFonts w:ascii="Times New Roman" w:hAnsi="Times New Roman"/>
          <w:noProof/>
          <w:sz w:val="24"/>
          <w:szCs w:val="24"/>
        </w:rPr>
        <w:t>wnoważonej polityki UE</w:t>
      </w:r>
      <w:r w:rsidR="00A5335D" w:rsidRPr="00A5335D">
        <w:rPr>
          <w:rFonts w:ascii="Times New Roman" w:hAnsi="Times New Roman"/>
          <w:noProof/>
          <w:sz w:val="24"/>
          <w:szCs w:val="24"/>
        </w:rPr>
        <w:t xml:space="preserve"> w dzi</w:t>
      </w:r>
      <w:r w:rsidRPr="00A5335D">
        <w:rPr>
          <w:rFonts w:ascii="Times New Roman" w:hAnsi="Times New Roman"/>
          <w:noProof/>
          <w:sz w:val="24"/>
          <w:szCs w:val="24"/>
        </w:rPr>
        <w:t>edzinie legalnej migracji, przyciągającej umiejętności</w:t>
      </w:r>
      <w:r w:rsidR="00A5335D" w:rsidRPr="00A5335D">
        <w:rPr>
          <w:rFonts w:ascii="Times New Roman" w:hAnsi="Times New Roman"/>
          <w:noProof/>
          <w:sz w:val="24"/>
          <w:szCs w:val="24"/>
        </w:rPr>
        <w:t xml:space="preserve"> i tal</w:t>
      </w:r>
      <w:r w:rsidRPr="00A5335D">
        <w:rPr>
          <w:rFonts w:ascii="Times New Roman" w:hAnsi="Times New Roman"/>
          <w:noProof/>
          <w:sz w:val="24"/>
          <w:szCs w:val="24"/>
        </w:rPr>
        <w:t>enty</w:t>
      </w:r>
      <w:r w:rsidR="00A5335D" w:rsidRPr="00A5335D">
        <w:rPr>
          <w:rFonts w:ascii="Times New Roman" w:hAnsi="Times New Roman"/>
          <w:noProof/>
          <w:sz w:val="24"/>
          <w:szCs w:val="24"/>
        </w:rPr>
        <w:t xml:space="preserve"> w cel</w:t>
      </w:r>
      <w:r w:rsidRPr="00A5335D">
        <w:rPr>
          <w:rFonts w:ascii="Times New Roman" w:hAnsi="Times New Roman"/>
          <w:noProof/>
          <w:sz w:val="24"/>
          <w:szCs w:val="24"/>
        </w:rPr>
        <w:t>u zaradzenia niedoborom siły roboczej</w:t>
      </w:r>
      <w:r w:rsidR="00A5335D" w:rsidRPr="00A5335D">
        <w:rPr>
          <w:rFonts w:ascii="Times New Roman" w:hAnsi="Times New Roman"/>
          <w:noProof/>
          <w:sz w:val="24"/>
          <w:szCs w:val="24"/>
        </w:rPr>
        <w:t xml:space="preserve"> i rea</w:t>
      </w:r>
      <w:r w:rsidRPr="00A5335D">
        <w:rPr>
          <w:rFonts w:ascii="Times New Roman" w:hAnsi="Times New Roman"/>
          <w:noProof/>
          <w:sz w:val="24"/>
          <w:szCs w:val="24"/>
        </w:rPr>
        <w:t>gowania na zmiany demograficzne</w:t>
      </w:r>
      <w:r w:rsidR="00A5335D" w:rsidRPr="00A5335D">
        <w:rPr>
          <w:rFonts w:ascii="Times New Roman" w:hAnsi="Times New Roman"/>
          <w:noProof/>
          <w:sz w:val="24"/>
          <w:szCs w:val="24"/>
        </w:rPr>
        <w:t xml:space="preserve"> w Eur</w:t>
      </w:r>
      <w:r w:rsidRPr="00A5335D">
        <w:rPr>
          <w:rFonts w:ascii="Times New Roman" w:hAnsi="Times New Roman"/>
          <w:noProof/>
          <w:sz w:val="24"/>
          <w:szCs w:val="24"/>
        </w:rPr>
        <w:t>opie. Działania te będą wspierać odbudowę gospodarczą UE po pandemii COVID-19 oraz transformację cyfrową</w:t>
      </w:r>
      <w:r w:rsidR="00A5335D" w:rsidRPr="00A5335D">
        <w:rPr>
          <w:rFonts w:ascii="Times New Roman" w:hAnsi="Times New Roman"/>
          <w:noProof/>
          <w:sz w:val="24"/>
          <w:szCs w:val="24"/>
        </w:rPr>
        <w:t xml:space="preserve"> i eko</w:t>
      </w:r>
      <w:r w:rsidRPr="00A5335D">
        <w:rPr>
          <w:rFonts w:ascii="Times New Roman" w:hAnsi="Times New Roman"/>
          <w:noProof/>
          <w:sz w:val="24"/>
          <w:szCs w:val="24"/>
        </w:rPr>
        <w:t>logiczną. Pozwolą też stworzyć bezpieczne kanały dostępu do Europy, ograniczając jednocześnie migrację nieuregulowaną.</w:t>
      </w:r>
    </w:p>
    <w:p w14:paraId="27CEFCEE" w14:textId="2535BC52" w:rsidR="008A39C9" w:rsidRPr="00A5335D" w:rsidRDefault="008A39C9" w:rsidP="008A39C9">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Aby przyciągnąć potrzebne umiejętności</w:t>
      </w:r>
      <w:r w:rsidR="00A5335D" w:rsidRPr="00A5335D">
        <w:rPr>
          <w:rFonts w:ascii="Times New Roman" w:hAnsi="Times New Roman"/>
          <w:noProof/>
          <w:sz w:val="24"/>
          <w:szCs w:val="24"/>
        </w:rPr>
        <w:t xml:space="preserve"> i tal</w:t>
      </w:r>
      <w:r w:rsidRPr="00A5335D">
        <w:rPr>
          <w:rFonts w:ascii="Times New Roman" w:hAnsi="Times New Roman"/>
          <w:noProof/>
          <w:sz w:val="24"/>
          <w:szCs w:val="24"/>
        </w:rPr>
        <w:t>enty, UE musi stworzyć bardziej atrakcyjny</w:t>
      </w:r>
      <w:r w:rsidR="00A5335D" w:rsidRPr="00A5335D">
        <w:rPr>
          <w:rFonts w:ascii="Times New Roman" w:hAnsi="Times New Roman"/>
          <w:noProof/>
          <w:sz w:val="24"/>
          <w:szCs w:val="24"/>
        </w:rPr>
        <w:t xml:space="preserve"> i sku</w:t>
      </w:r>
      <w:r w:rsidRPr="00A5335D">
        <w:rPr>
          <w:rFonts w:ascii="Times New Roman" w:hAnsi="Times New Roman"/>
          <w:noProof/>
          <w:sz w:val="24"/>
          <w:szCs w:val="24"/>
        </w:rPr>
        <w:t>teczny system. Wymaga to zmiany ram prawnych, ściślejszej współpracy</w:t>
      </w:r>
      <w:r w:rsidR="00A5335D" w:rsidRPr="00A5335D">
        <w:rPr>
          <w:rFonts w:ascii="Times New Roman" w:hAnsi="Times New Roman"/>
          <w:noProof/>
          <w:sz w:val="24"/>
          <w:szCs w:val="24"/>
        </w:rPr>
        <w:t xml:space="preserve"> z kra</w:t>
      </w:r>
      <w:r w:rsidRPr="00A5335D">
        <w:rPr>
          <w:rFonts w:ascii="Times New Roman" w:hAnsi="Times New Roman"/>
          <w:noProof/>
          <w:sz w:val="24"/>
          <w:szCs w:val="24"/>
        </w:rPr>
        <w:t>jami partnerskimi, lepszego zarządzania migracją pracowników</w:t>
      </w:r>
      <w:r w:rsidR="00A5335D" w:rsidRPr="00A5335D">
        <w:rPr>
          <w:rFonts w:ascii="Times New Roman" w:hAnsi="Times New Roman"/>
          <w:noProof/>
          <w:sz w:val="24"/>
          <w:szCs w:val="24"/>
        </w:rPr>
        <w:t xml:space="preserve"> z udz</w:t>
      </w:r>
      <w:r w:rsidRPr="00A5335D">
        <w:rPr>
          <w:rFonts w:ascii="Times New Roman" w:hAnsi="Times New Roman"/>
          <w:noProof/>
          <w:sz w:val="24"/>
          <w:szCs w:val="24"/>
        </w:rPr>
        <w:t>iałem wszystkich kluczowych zainteresowanych stron,</w:t>
      </w:r>
      <w:r w:rsidR="00A5335D" w:rsidRPr="00A5335D">
        <w:rPr>
          <w:rFonts w:ascii="Times New Roman" w:hAnsi="Times New Roman"/>
          <w:noProof/>
          <w:sz w:val="24"/>
          <w:szCs w:val="24"/>
        </w:rPr>
        <w:t xml:space="preserve"> a tak</w:t>
      </w:r>
      <w:r w:rsidRPr="00A5335D">
        <w:rPr>
          <w:rFonts w:ascii="Times New Roman" w:hAnsi="Times New Roman"/>
          <w:noProof/>
          <w:sz w:val="24"/>
          <w:szCs w:val="24"/>
        </w:rPr>
        <w:t>że, patrząc</w:t>
      </w:r>
      <w:r w:rsidR="00A5335D" w:rsidRPr="00A5335D">
        <w:rPr>
          <w:rFonts w:ascii="Times New Roman" w:hAnsi="Times New Roman"/>
          <w:noProof/>
          <w:sz w:val="24"/>
          <w:szCs w:val="24"/>
        </w:rPr>
        <w:t xml:space="preserve"> w prz</w:t>
      </w:r>
      <w:r w:rsidRPr="00A5335D">
        <w:rPr>
          <w:rFonts w:ascii="Times New Roman" w:hAnsi="Times New Roman"/>
          <w:noProof/>
          <w:sz w:val="24"/>
          <w:szCs w:val="24"/>
        </w:rPr>
        <w:t>yszłość, nowych obszarów działania.</w:t>
      </w:r>
    </w:p>
    <w:p w14:paraId="27CEFCEF" w14:textId="1466F2E6" w:rsidR="008A39C9" w:rsidRPr="00A5335D" w:rsidRDefault="008A39C9" w:rsidP="008A39C9">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Komisja</w:t>
      </w:r>
      <w:r w:rsidR="00A5335D" w:rsidRPr="00A5335D">
        <w:rPr>
          <w:rFonts w:ascii="Times New Roman" w:hAnsi="Times New Roman"/>
          <w:noProof/>
          <w:sz w:val="24"/>
          <w:szCs w:val="24"/>
        </w:rPr>
        <w:t xml:space="preserve"> w peł</w:t>
      </w:r>
      <w:r w:rsidRPr="00A5335D">
        <w:rPr>
          <w:rFonts w:ascii="Times New Roman" w:hAnsi="Times New Roman"/>
          <w:noProof/>
          <w:sz w:val="24"/>
          <w:szCs w:val="24"/>
        </w:rPr>
        <w:t>ni odegra swoją rolę</w:t>
      </w:r>
      <w:r w:rsidR="00A5335D" w:rsidRPr="00A5335D">
        <w:rPr>
          <w:rFonts w:ascii="Times New Roman" w:hAnsi="Times New Roman"/>
          <w:noProof/>
          <w:sz w:val="24"/>
          <w:szCs w:val="24"/>
        </w:rPr>
        <w:t xml:space="preserve"> w two</w:t>
      </w:r>
      <w:r w:rsidRPr="00A5335D">
        <w:rPr>
          <w:rFonts w:ascii="Times New Roman" w:hAnsi="Times New Roman"/>
          <w:noProof/>
          <w:sz w:val="24"/>
          <w:szCs w:val="24"/>
        </w:rPr>
        <w:t>rzeniu</w:t>
      </w:r>
      <w:r w:rsidR="00A5335D" w:rsidRPr="00A5335D">
        <w:rPr>
          <w:rFonts w:ascii="Times New Roman" w:hAnsi="Times New Roman"/>
          <w:noProof/>
          <w:sz w:val="24"/>
          <w:szCs w:val="24"/>
        </w:rPr>
        <w:t xml:space="preserve"> i wdr</w:t>
      </w:r>
      <w:r w:rsidRPr="00A5335D">
        <w:rPr>
          <w:rFonts w:ascii="Times New Roman" w:hAnsi="Times New Roman"/>
          <w:noProof/>
          <w:sz w:val="24"/>
          <w:szCs w:val="24"/>
        </w:rPr>
        <w:t>ażaniu tego nowego podejścia</w:t>
      </w:r>
      <w:r w:rsidR="00A5335D" w:rsidRPr="00A5335D">
        <w:rPr>
          <w:rFonts w:ascii="Times New Roman" w:hAnsi="Times New Roman"/>
          <w:noProof/>
          <w:sz w:val="24"/>
          <w:szCs w:val="24"/>
        </w:rPr>
        <w:t xml:space="preserve"> i wzy</w:t>
      </w:r>
      <w:r w:rsidRPr="00A5335D">
        <w:rPr>
          <w:rFonts w:ascii="Times New Roman" w:hAnsi="Times New Roman"/>
          <w:noProof/>
          <w:sz w:val="24"/>
          <w:szCs w:val="24"/>
        </w:rPr>
        <w:t>wa wszystkich do silnego zaangażowania</w:t>
      </w:r>
      <w:r w:rsidR="00A5335D" w:rsidRPr="00A5335D">
        <w:rPr>
          <w:rFonts w:ascii="Times New Roman" w:hAnsi="Times New Roman"/>
          <w:noProof/>
          <w:sz w:val="24"/>
          <w:szCs w:val="24"/>
        </w:rPr>
        <w:t xml:space="preserve"> i odd</w:t>
      </w:r>
      <w:r w:rsidRPr="00A5335D">
        <w:rPr>
          <w:rFonts w:ascii="Times New Roman" w:hAnsi="Times New Roman"/>
          <w:noProof/>
          <w:sz w:val="24"/>
          <w:szCs w:val="24"/>
        </w:rPr>
        <w:t>ania sprawie: Parlament Europejski, Radę</w:t>
      </w:r>
      <w:r w:rsidR="00A5335D" w:rsidRPr="00A5335D">
        <w:rPr>
          <w:rFonts w:ascii="Times New Roman" w:hAnsi="Times New Roman"/>
          <w:noProof/>
          <w:sz w:val="24"/>
          <w:szCs w:val="24"/>
        </w:rPr>
        <w:t xml:space="preserve"> i pań</w:t>
      </w:r>
      <w:r w:rsidRPr="00A5335D">
        <w:rPr>
          <w:rFonts w:ascii="Times New Roman" w:hAnsi="Times New Roman"/>
          <w:noProof/>
          <w:sz w:val="24"/>
          <w:szCs w:val="24"/>
        </w:rPr>
        <w:t>stwa członkowskie, podmioty gospodarcze</w:t>
      </w:r>
      <w:r w:rsidR="00A5335D" w:rsidRPr="00A5335D">
        <w:rPr>
          <w:rFonts w:ascii="Times New Roman" w:hAnsi="Times New Roman"/>
          <w:noProof/>
          <w:sz w:val="24"/>
          <w:szCs w:val="24"/>
        </w:rPr>
        <w:t xml:space="preserve"> i spo</w:t>
      </w:r>
      <w:r w:rsidRPr="00A5335D">
        <w:rPr>
          <w:rFonts w:ascii="Times New Roman" w:hAnsi="Times New Roman"/>
          <w:noProof/>
          <w:sz w:val="24"/>
          <w:szCs w:val="24"/>
        </w:rPr>
        <w:t>łeczne, inne zainteresowane strony</w:t>
      </w:r>
      <w:r w:rsidR="00A5335D" w:rsidRPr="00A5335D">
        <w:rPr>
          <w:rFonts w:ascii="Times New Roman" w:hAnsi="Times New Roman"/>
          <w:noProof/>
          <w:sz w:val="24"/>
          <w:szCs w:val="24"/>
        </w:rPr>
        <w:t xml:space="preserve"> i odp</w:t>
      </w:r>
      <w:r w:rsidRPr="00A5335D">
        <w:rPr>
          <w:rFonts w:ascii="Times New Roman" w:hAnsi="Times New Roman"/>
          <w:noProof/>
          <w:sz w:val="24"/>
          <w:szCs w:val="24"/>
        </w:rPr>
        <w:t xml:space="preserve">owiednie kraje partnerskie. </w:t>
      </w:r>
    </w:p>
    <w:p w14:paraId="27CEFCF0" w14:textId="68D15348" w:rsidR="008A39C9" w:rsidRPr="00A5335D" w:rsidRDefault="008A39C9" w:rsidP="008A39C9">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W tym celu Komisja zorganizuje</w:t>
      </w:r>
      <w:r w:rsidR="00A5335D" w:rsidRPr="00A5335D">
        <w:rPr>
          <w:rFonts w:ascii="Times New Roman" w:hAnsi="Times New Roman"/>
          <w:noProof/>
          <w:sz w:val="24"/>
          <w:szCs w:val="24"/>
        </w:rPr>
        <w:t xml:space="preserve"> w trz</w:t>
      </w:r>
      <w:r w:rsidRPr="00A5335D">
        <w:rPr>
          <w:rFonts w:ascii="Times New Roman" w:hAnsi="Times New Roman"/>
          <w:noProof/>
          <w:sz w:val="24"/>
          <w:szCs w:val="24"/>
        </w:rPr>
        <w:t>ecim kwartale 2022</w:t>
      </w:r>
      <w:r w:rsidR="00A5335D" w:rsidRPr="00A5335D">
        <w:rPr>
          <w:rFonts w:ascii="Times New Roman" w:hAnsi="Times New Roman"/>
          <w:noProof/>
          <w:sz w:val="24"/>
          <w:szCs w:val="24"/>
        </w:rPr>
        <w:t> </w:t>
      </w:r>
      <w:r w:rsidRPr="00A5335D">
        <w:rPr>
          <w:rFonts w:ascii="Times New Roman" w:hAnsi="Times New Roman"/>
          <w:noProof/>
          <w:sz w:val="24"/>
          <w:szCs w:val="24"/>
        </w:rPr>
        <w:t>r. konferencję na wysokim szczeblu. Konferencja ta zainauguruje działalność nowej platformy UE poświęconej migracji pracowników</w:t>
      </w:r>
      <w:r w:rsidR="00A5335D" w:rsidRPr="00A5335D">
        <w:rPr>
          <w:rFonts w:ascii="Times New Roman" w:hAnsi="Times New Roman"/>
          <w:noProof/>
          <w:sz w:val="24"/>
          <w:szCs w:val="24"/>
        </w:rPr>
        <w:t xml:space="preserve"> i uto</w:t>
      </w:r>
      <w:r w:rsidRPr="00A5335D">
        <w:rPr>
          <w:rFonts w:ascii="Times New Roman" w:hAnsi="Times New Roman"/>
          <w:noProof/>
          <w:sz w:val="24"/>
          <w:szCs w:val="24"/>
        </w:rPr>
        <w:t>ruje drogę do zrównoważonej unijnej polityki</w:t>
      </w:r>
      <w:r w:rsidR="00A5335D" w:rsidRPr="00A5335D">
        <w:rPr>
          <w:rFonts w:ascii="Times New Roman" w:hAnsi="Times New Roman"/>
          <w:noProof/>
          <w:sz w:val="24"/>
          <w:szCs w:val="24"/>
        </w:rPr>
        <w:t xml:space="preserve"> w dzi</w:t>
      </w:r>
      <w:r w:rsidRPr="00A5335D">
        <w:rPr>
          <w:rFonts w:ascii="Times New Roman" w:hAnsi="Times New Roman"/>
          <w:noProof/>
          <w:sz w:val="24"/>
          <w:szCs w:val="24"/>
        </w:rPr>
        <w:t>edzinie legalnej migracji.</w:t>
      </w:r>
    </w:p>
    <w:p w14:paraId="27CEFCF1" w14:textId="77777777" w:rsidR="003767C2" w:rsidRPr="00A5335D" w:rsidRDefault="003767C2" w:rsidP="003767C2">
      <w:pPr>
        <w:spacing w:before="120" w:after="240"/>
        <w:rPr>
          <w:rFonts w:ascii="Times New Roman" w:hAnsi="Times New Roman" w:cs="Times New Roman"/>
          <w:b/>
          <w:noProof/>
          <w:sz w:val="24"/>
          <w:szCs w:val="24"/>
          <w:u w:val="single"/>
        </w:rPr>
        <w:sectPr w:rsidR="003767C2" w:rsidRPr="00A5335D" w:rsidSect="003767C2">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20"/>
          <w:docGrid w:linePitch="360"/>
        </w:sectPr>
      </w:pPr>
    </w:p>
    <w:p w14:paraId="27CEFCF2" w14:textId="77777777" w:rsidR="003767C2" w:rsidRPr="00A5335D" w:rsidRDefault="002E1F77" w:rsidP="00834BBD">
      <w:pPr>
        <w:spacing w:before="120" w:after="240"/>
        <w:jc w:val="center"/>
        <w:rPr>
          <w:rFonts w:ascii="Times New Roman" w:hAnsi="Times New Roman" w:cs="Times New Roman"/>
          <w:b/>
          <w:bCs/>
          <w:noProof/>
          <w:sz w:val="24"/>
          <w:szCs w:val="24"/>
        </w:rPr>
      </w:pPr>
      <w:r w:rsidRPr="00A5335D">
        <w:rPr>
          <w:rFonts w:ascii="Times New Roman" w:hAnsi="Times New Roman"/>
          <w:b/>
          <w:bCs/>
          <w:noProof/>
          <w:sz w:val="24"/>
          <w:szCs w:val="24"/>
        </w:rPr>
        <w:t>ZAŁĄCZNIK</w:t>
      </w:r>
    </w:p>
    <w:p w14:paraId="27CEFCF3" w14:textId="77777777" w:rsidR="003767C2" w:rsidRPr="00A5335D" w:rsidRDefault="008B7F0B" w:rsidP="00834BBD">
      <w:pPr>
        <w:spacing w:before="120" w:after="240"/>
        <w:jc w:val="center"/>
        <w:rPr>
          <w:rFonts w:ascii="Times New Roman" w:hAnsi="Times New Roman" w:cs="Times New Roman"/>
          <w:b/>
          <w:bCs/>
          <w:noProof/>
          <w:sz w:val="24"/>
          <w:szCs w:val="24"/>
        </w:rPr>
      </w:pPr>
      <w:r w:rsidRPr="00A5335D">
        <w:rPr>
          <w:rFonts w:ascii="Times New Roman" w:hAnsi="Times New Roman"/>
          <w:b/>
          <w:bCs/>
          <w:noProof/>
          <w:sz w:val="24"/>
          <w:szCs w:val="24"/>
        </w:rPr>
        <w:t>Praktyczne ustalenia dotyczące unijnej puli talentów</w:t>
      </w:r>
    </w:p>
    <w:p w14:paraId="27CEFCF4" w14:textId="681B4412" w:rsidR="00B06DB0" w:rsidRPr="00A5335D" w:rsidRDefault="00B06DB0" w:rsidP="003767C2">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W załączniku poniżej przedstawiono zarys możliwych sposobów działania unijnej puli talentów. Opiera się on na analizie</w:t>
      </w:r>
      <w:r w:rsidR="00A5335D" w:rsidRPr="00A5335D">
        <w:rPr>
          <w:rFonts w:ascii="Times New Roman" w:hAnsi="Times New Roman"/>
          <w:noProof/>
          <w:sz w:val="24"/>
          <w:szCs w:val="24"/>
        </w:rPr>
        <w:t xml:space="preserve"> i zal</w:t>
      </w:r>
      <w:r w:rsidRPr="00A5335D">
        <w:rPr>
          <w:rFonts w:ascii="Times New Roman" w:hAnsi="Times New Roman"/>
          <w:noProof/>
          <w:sz w:val="24"/>
          <w:szCs w:val="24"/>
        </w:rPr>
        <w:t>eceniach przedstawionych</w:t>
      </w:r>
      <w:r w:rsidR="00A5335D" w:rsidRPr="00A5335D">
        <w:rPr>
          <w:rFonts w:ascii="Times New Roman" w:hAnsi="Times New Roman"/>
          <w:noProof/>
          <w:sz w:val="24"/>
          <w:szCs w:val="24"/>
        </w:rPr>
        <w:t xml:space="preserve"> w stu</w:t>
      </w:r>
      <w:r w:rsidRPr="00A5335D">
        <w:rPr>
          <w:rFonts w:ascii="Times New Roman" w:hAnsi="Times New Roman"/>
          <w:noProof/>
          <w:sz w:val="24"/>
          <w:szCs w:val="24"/>
        </w:rPr>
        <w:t>dium wykonalności OECD,</w:t>
      </w:r>
      <w:r w:rsidR="00A5335D" w:rsidRPr="00A5335D">
        <w:rPr>
          <w:rFonts w:ascii="Times New Roman" w:hAnsi="Times New Roman"/>
          <w:noProof/>
          <w:sz w:val="24"/>
          <w:szCs w:val="24"/>
        </w:rPr>
        <w:t xml:space="preserve"> a tak</w:t>
      </w:r>
      <w:r w:rsidRPr="00A5335D">
        <w:rPr>
          <w:rFonts w:ascii="Times New Roman" w:hAnsi="Times New Roman"/>
          <w:noProof/>
          <w:sz w:val="24"/>
          <w:szCs w:val="24"/>
        </w:rPr>
        <w:t>że na wstępnych dyskusjach</w:t>
      </w:r>
      <w:r w:rsidR="00A5335D" w:rsidRPr="00A5335D">
        <w:rPr>
          <w:rFonts w:ascii="Times New Roman" w:hAnsi="Times New Roman"/>
          <w:noProof/>
          <w:sz w:val="24"/>
          <w:szCs w:val="24"/>
        </w:rPr>
        <w:t xml:space="preserve"> z odp</w:t>
      </w:r>
      <w:r w:rsidRPr="00A5335D">
        <w:rPr>
          <w:rFonts w:ascii="Times New Roman" w:hAnsi="Times New Roman"/>
          <w:noProof/>
          <w:sz w:val="24"/>
          <w:szCs w:val="24"/>
        </w:rPr>
        <w:t>owiednimi służbami Komisji.</w:t>
      </w:r>
    </w:p>
    <w:p w14:paraId="27CEFCF5" w14:textId="7E4C88C2" w:rsidR="003767C2" w:rsidRPr="00A5335D" w:rsidRDefault="003767C2" w:rsidP="003767C2">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 xml:space="preserve">Podstawą unijnej puli talentów mógłby być </w:t>
      </w:r>
      <w:r w:rsidRPr="00A5335D">
        <w:rPr>
          <w:rFonts w:ascii="Times New Roman" w:hAnsi="Times New Roman"/>
          <w:b/>
          <w:bCs/>
          <w:noProof/>
          <w:sz w:val="24"/>
          <w:szCs w:val="24"/>
        </w:rPr>
        <w:t>portal internetowy</w:t>
      </w:r>
      <w:r w:rsidRPr="00A5335D">
        <w:rPr>
          <w:rFonts w:ascii="Times New Roman" w:hAnsi="Times New Roman"/>
          <w:noProof/>
          <w:sz w:val="24"/>
          <w:szCs w:val="24"/>
        </w:rPr>
        <w:t xml:space="preserve"> umożliwiający kandydatom</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trzecich wyrażenie zainteresowania pracą w UE. Kandydaci będą musieli utworzyć profil online</w:t>
      </w:r>
      <w:r w:rsidR="00A5335D" w:rsidRPr="00A5335D">
        <w:rPr>
          <w:rFonts w:ascii="Times New Roman" w:hAnsi="Times New Roman"/>
          <w:noProof/>
          <w:sz w:val="24"/>
          <w:szCs w:val="24"/>
        </w:rPr>
        <w:t xml:space="preserve"> i prz</w:t>
      </w:r>
      <w:r w:rsidRPr="00A5335D">
        <w:rPr>
          <w:rFonts w:ascii="Times New Roman" w:hAnsi="Times New Roman"/>
          <w:noProof/>
          <w:sz w:val="24"/>
          <w:szCs w:val="24"/>
        </w:rPr>
        <w:t>edstawić niezbędne dokumenty potwierdzające poziom umiejętności, wykształcenie</w:t>
      </w:r>
      <w:r w:rsidR="00A5335D" w:rsidRPr="00A5335D">
        <w:rPr>
          <w:rFonts w:ascii="Times New Roman" w:hAnsi="Times New Roman"/>
          <w:noProof/>
          <w:sz w:val="24"/>
          <w:szCs w:val="24"/>
        </w:rPr>
        <w:t xml:space="preserve"> i doś</w:t>
      </w:r>
      <w:r w:rsidRPr="00A5335D">
        <w:rPr>
          <w:rFonts w:ascii="Times New Roman" w:hAnsi="Times New Roman"/>
          <w:noProof/>
          <w:sz w:val="24"/>
          <w:szCs w:val="24"/>
        </w:rPr>
        <w:t>wiadczenie zawodowe</w:t>
      </w:r>
      <w:r w:rsidR="00AE2C32" w:rsidRPr="00A5335D">
        <w:rPr>
          <w:rStyle w:val="FootnoteReference"/>
          <w:rFonts w:ascii="Times New Roman" w:hAnsi="Times New Roman" w:cs="Times New Roman"/>
          <w:noProof/>
          <w:sz w:val="24"/>
          <w:szCs w:val="24"/>
        </w:rPr>
        <w:footnoteReference w:id="80"/>
      </w:r>
      <w:r w:rsidRPr="00A5335D">
        <w:rPr>
          <w:rFonts w:ascii="Times New Roman" w:hAnsi="Times New Roman"/>
          <w:noProof/>
          <w:sz w:val="24"/>
          <w:szCs w:val="24"/>
        </w:rPr>
        <w:t>. Nie wiadomo jeszcze, czy kandydaci będą zobowiązani do przesyłania dokumentów potwierdzających ich kwalifikacje podczas tworzenia profilu. Alternatywnym rozwiązaniem mogłoby być tworzenie profilu bez dołączonych dokumentów bazowych, przynajmniej na pierwszych etapach</w:t>
      </w:r>
      <w:r w:rsidR="00A5335D" w:rsidRPr="00A5335D">
        <w:rPr>
          <w:rFonts w:ascii="Times New Roman" w:hAnsi="Times New Roman"/>
          <w:noProof/>
          <w:sz w:val="24"/>
          <w:szCs w:val="24"/>
        </w:rPr>
        <w:t>. W tym</w:t>
      </w:r>
      <w:r w:rsidRPr="00A5335D">
        <w:rPr>
          <w:rFonts w:ascii="Times New Roman" w:hAnsi="Times New Roman"/>
          <w:noProof/>
          <w:sz w:val="24"/>
          <w:szCs w:val="24"/>
        </w:rPr>
        <w:t xml:space="preserve"> alternatywnym wariancie użytkownicy nadal mogliby odsyłać do profili</w:t>
      </w:r>
      <w:r w:rsidR="00A5335D" w:rsidRPr="00A5335D">
        <w:rPr>
          <w:rFonts w:ascii="Times New Roman" w:hAnsi="Times New Roman"/>
          <w:noProof/>
          <w:sz w:val="24"/>
          <w:szCs w:val="24"/>
        </w:rPr>
        <w:t xml:space="preserve"> w baz</w:t>
      </w:r>
      <w:r w:rsidRPr="00A5335D">
        <w:rPr>
          <w:rFonts w:ascii="Times New Roman" w:hAnsi="Times New Roman"/>
          <w:noProof/>
          <w:sz w:val="24"/>
          <w:szCs w:val="24"/>
        </w:rPr>
        <w:t>ach danych stron trzecich zawierających bardziej szczegółowe informacje lub przesyłać dokumenty uzupełniające na potrzeby procesu dopasowania</w:t>
      </w:r>
      <w:r w:rsidR="00A5335D" w:rsidRPr="00A5335D">
        <w:rPr>
          <w:rFonts w:ascii="Times New Roman" w:hAnsi="Times New Roman"/>
          <w:noProof/>
          <w:sz w:val="24"/>
          <w:szCs w:val="24"/>
        </w:rPr>
        <w:t xml:space="preserve"> i sel</w:t>
      </w:r>
      <w:r w:rsidRPr="00A5335D">
        <w:rPr>
          <w:rFonts w:ascii="Times New Roman" w:hAnsi="Times New Roman"/>
          <w:noProof/>
          <w:sz w:val="24"/>
          <w:szCs w:val="24"/>
        </w:rPr>
        <w:t>ekcji. Rozważa się również możliwość stworzenia powiązań</w:t>
      </w:r>
      <w:r w:rsidR="00A5335D" w:rsidRPr="00A5335D">
        <w:rPr>
          <w:rFonts w:ascii="Times New Roman" w:hAnsi="Times New Roman"/>
          <w:noProof/>
          <w:sz w:val="24"/>
          <w:szCs w:val="24"/>
        </w:rPr>
        <w:t xml:space="preserve"> z pla</w:t>
      </w:r>
      <w:r w:rsidRPr="00A5335D">
        <w:rPr>
          <w:rFonts w:ascii="Times New Roman" w:hAnsi="Times New Roman"/>
          <w:noProof/>
          <w:sz w:val="24"/>
          <w:szCs w:val="24"/>
        </w:rPr>
        <w:t>tformą Europass.</w:t>
      </w:r>
    </w:p>
    <w:p w14:paraId="27CEFCF6" w14:textId="36BA19D8" w:rsidR="003767C2" w:rsidRPr="00A5335D" w:rsidRDefault="008E1E85" w:rsidP="003767C2">
      <w:pPr>
        <w:spacing w:before="120" w:after="240"/>
        <w:jc w:val="both"/>
        <w:rPr>
          <w:rFonts w:ascii="Times New Roman" w:hAnsi="Times New Roman" w:cs="Times New Roman"/>
          <w:noProof/>
          <w:sz w:val="24"/>
          <w:szCs w:val="24"/>
        </w:rPr>
      </w:pPr>
      <w:bookmarkStart w:id="5" w:name="_Ref95827822"/>
      <w:bookmarkStart w:id="6" w:name="_Ref95821868"/>
      <w:r w:rsidRPr="00A5335D">
        <w:rPr>
          <w:rFonts w:ascii="Times New Roman" w:hAnsi="Times New Roman"/>
          <w:noProof/>
          <w:sz w:val="24"/>
          <w:szCs w:val="24"/>
        </w:rPr>
        <w:t xml:space="preserve">Profile kandydatów mogłyby być poddawane </w:t>
      </w:r>
      <w:r w:rsidRPr="00A5335D">
        <w:rPr>
          <w:rFonts w:ascii="Times New Roman" w:hAnsi="Times New Roman"/>
          <w:b/>
          <w:bCs/>
          <w:noProof/>
          <w:sz w:val="24"/>
          <w:szCs w:val="24"/>
        </w:rPr>
        <w:t>wstępnej weryfikacji na podstawie jasnych kryteriów przyjęcia uzgodnionych przez organy krajowe</w:t>
      </w:r>
      <w:r w:rsidRPr="00A5335D">
        <w:rPr>
          <w:rFonts w:ascii="Times New Roman" w:hAnsi="Times New Roman"/>
          <w:noProof/>
          <w:sz w:val="24"/>
          <w:szCs w:val="24"/>
        </w:rPr>
        <w:t xml:space="preserve"> uczestniczące</w:t>
      </w:r>
      <w:r w:rsidR="00A5335D" w:rsidRPr="00A5335D">
        <w:rPr>
          <w:rFonts w:ascii="Times New Roman" w:hAnsi="Times New Roman"/>
          <w:noProof/>
          <w:sz w:val="24"/>
          <w:szCs w:val="24"/>
        </w:rPr>
        <w:t xml:space="preserve"> w uni</w:t>
      </w:r>
      <w:r w:rsidRPr="00A5335D">
        <w:rPr>
          <w:rFonts w:ascii="Times New Roman" w:hAnsi="Times New Roman"/>
          <w:noProof/>
          <w:sz w:val="24"/>
          <w:szCs w:val="24"/>
        </w:rPr>
        <w:t>jnej puli talentów. Kryteria te, które zostaną określone wspólnie</w:t>
      </w:r>
      <w:r w:rsidR="00A5335D" w:rsidRPr="00A5335D">
        <w:rPr>
          <w:rFonts w:ascii="Times New Roman" w:hAnsi="Times New Roman"/>
          <w:noProof/>
          <w:sz w:val="24"/>
          <w:szCs w:val="24"/>
        </w:rPr>
        <w:t xml:space="preserve"> z ucz</w:t>
      </w:r>
      <w:r w:rsidRPr="00A5335D">
        <w:rPr>
          <w:rFonts w:ascii="Times New Roman" w:hAnsi="Times New Roman"/>
          <w:noProof/>
          <w:sz w:val="24"/>
          <w:szCs w:val="24"/>
        </w:rPr>
        <w:t>estniczącymi państwami członkowskimi, mogą odnosić się do określonego poziomu wykształcenia, znajomości języków, umiejętności zawodowych lub doświadczenia</w:t>
      </w:r>
      <w:r w:rsidR="00A5335D" w:rsidRPr="00A5335D">
        <w:rPr>
          <w:rFonts w:ascii="Times New Roman" w:hAnsi="Times New Roman"/>
          <w:noProof/>
          <w:sz w:val="24"/>
          <w:szCs w:val="24"/>
        </w:rPr>
        <w:t>. W cel</w:t>
      </w:r>
      <w:r w:rsidRPr="00A5335D">
        <w:rPr>
          <w:rFonts w:ascii="Times New Roman" w:hAnsi="Times New Roman"/>
          <w:noProof/>
          <w:sz w:val="24"/>
          <w:szCs w:val="24"/>
        </w:rPr>
        <w:t>u zaspokojenia specyficznych potrzeb unijnego rynku pracy kryteria te można również powiązać ze stwierdzonym zapotrzebowaniem</w:t>
      </w:r>
      <w:r w:rsidR="00A5335D" w:rsidRPr="00A5335D">
        <w:rPr>
          <w:rFonts w:ascii="Times New Roman" w:hAnsi="Times New Roman"/>
          <w:noProof/>
          <w:sz w:val="24"/>
          <w:szCs w:val="24"/>
        </w:rPr>
        <w:t xml:space="preserve"> i nie</w:t>
      </w:r>
      <w:r w:rsidRPr="00A5335D">
        <w:rPr>
          <w:rFonts w:ascii="Times New Roman" w:hAnsi="Times New Roman"/>
          <w:noProof/>
          <w:sz w:val="24"/>
          <w:szCs w:val="24"/>
        </w:rPr>
        <w:t>doborami na krajowych lub regionalnych rynkach pracy lub</w:t>
      </w:r>
      <w:r w:rsidR="00A5335D" w:rsidRPr="00A5335D">
        <w:rPr>
          <w:rFonts w:ascii="Times New Roman" w:hAnsi="Times New Roman"/>
          <w:noProof/>
          <w:sz w:val="24"/>
          <w:szCs w:val="24"/>
        </w:rPr>
        <w:t xml:space="preserve"> w okr</w:t>
      </w:r>
      <w:r w:rsidRPr="00A5335D">
        <w:rPr>
          <w:rFonts w:ascii="Times New Roman" w:hAnsi="Times New Roman"/>
          <w:noProof/>
          <w:sz w:val="24"/>
          <w:szCs w:val="24"/>
        </w:rPr>
        <w:t>eślonych sektorach,</w:t>
      </w:r>
      <w:r w:rsidR="00A5335D" w:rsidRPr="00A5335D">
        <w:rPr>
          <w:rFonts w:ascii="Times New Roman" w:hAnsi="Times New Roman"/>
          <w:noProof/>
          <w:sz w:val="24"/>
          <w:szCs w:val="24"/>
        </w:rPr>
        <w:t xml:space="preserve"> w któ</w:t>
      </w:r>
      <w:r w:rsidRPr="00A5335D">
        <w:rPr>
          <w:rFonts w:ascii="Times New Roman" w:hAnsi="Times New Roman"/>
          <w:noProof/>
          <w:sz w:val="24"/>
          <w:szCs w:val="24"/>
        </w:rPr>
        <w:t>rych występuje deficyt siły roboczej. Ta wstępna weryfikacja będzie wymagała ścisłej koordynacji między uczestniczącymi organami krajowymi, przy wsparciu Komisji Europejskiej. Do ustalenia pozostaje, czy weryfikacja ta będzie się odbywać</w:t>
      </w:r>
      <w:r w:rsidR="00A5335D" w:rsidRPr="00A5335D">
        <w:rPr>
          <w:rFonts w:ascii="Times New Roman" w:hAnsi="Times New Roman"/>
          <w:noProof/>
          <w:sz w:val="24"/>
          <w:szCs w:val="24"/>
        </w:rPr>
        <w:t xml:space="preserve"> w spo</w:t>
      </w:r>
      <w:r w:rsidRPr="00A5335D">
        <w:rPr>
          <w:rFonts w:ascii="Times New Roman" w:hAnsi="Times New Roman"/>
          <w:noProof/>
          <w:sz w:val="24"/>
          <w:szCs w:val="24"/>
        </w:rPr>
        <w:t>sób zautomatyzowany</w:t>
      </w:r>
      <w:r w:rsidR="00A5335D" w:rsidRPr="00A5335D">
        <w:rPr>
          <w:rFonts w:ascii="Times New Roman" w:hAnsi="Times New Roman"/>
          <w:noProof/>
          <w:sz w:val="24"/>
          <w:szCs w:val="24"/>
        </w:rPr>
        <w:t xml:space="preserve"> i każ</w:t>
      </w:r>
      <w:r w:rsidRPr="00A5335D">
        <w:rPr>
          <w:rFonts w:ascii="Times New Roman" w:hAnsi="Times New Roman"/>
          <w:noProof/>
          <w:sz w:val="24"/>
          <w:szCs w:val="24"/>
        </w:rPr>
        <w:t>dy, kto spełni kryteria kwalifikacji na podstawie swojego profilu, wejdzie do unijnej puli talentów bez dalszej oceny, czy też powinna mieć ona formę indywidualnej weryfikacji dokumentów przez krajowe punkty kontaktowe. Wariant pierwszy wiąże się</w:t>
      </w:r>
      <w:r w:rsidR="00A5335D" w:rsidRPr="00A5335D">
        <w:rPr>
          <w:rFonts w:ascii="Times New Roman" w:hAnsi="Times New Roman"/>
          <w:noProof/>
          <w:sz w:val="24"/>
          <w:szCs w:val="24"/>
        </w:rPr>
        <w:t xml:space="preserve"> z ryz</w:t>
      </w:r>
      <w:r w:rsidRPr="00A5335D">
        <w:rPr>
          <w:rFonts w:ascii="Times New Roman" w:hAnsi="Times New Roman"/>
          <w:noProof/>
          <w:sz w:val="24"/>
          <w:szCs w:val="24"/>
        </w:rPr>
        <w:t>ykiem zapełnienia puli pustymi, fałszywymi profilami</w:t>
      </w:r>
      <w:r w:rsidR="00A5335D" w:rsidRPr="00A5335D">
        <w:rPr>
          <w:rFonts w:ascii="Times New Roman" w:hAnsi="Times New Roman"/>
          <w:noProof/>
          <w:sz w:val="24"/>
          <w:szCs w:val="24"/>
        </w:rPr>
        <w:t>. Z dru</w:t>
      </w:r>
      <w:r w:rsidRPr="00A5335D">
        <w:rPr>
          <w:rFonts w:ascii="Times New Roman" w:hAnsi="Times New Roman"/>
          <w:noProof/>
          <w:sz w:val="24"/>
          <w:szCs w:val="24"/>
        </w:rPr>
        <w:t>giej strony, wariant alternatywny stwarza ryzyko zniechęcenia potencjalnych kandydatów do rejestracji</w:t>
      </w:r>
      <w:r w:rsidR="00A5335D" w:rsidRPr="00A5335D">
        <w:rPr>
          <w:rFonts w:ascii="Times New Roman" w:hAnsi="Times New Roman"/>
          <w:noProof/>
          <w:sz w:val="24"/>
          <w:szCs w:val="24"/>
        </w:rPr>
        <w:t xml:space="preserve"> i pod</w:t>
      </w:r>
      <w:r w:rsidRPr="00A5335D">
        <w:rPr>
          <w:rFonts w:ascii="Times New Roman" w:hAnsi="Times New Roman"/>
          <w:noProof/>
          <w:sz w:val="24"/>
          <w:szCs w:val="24"/>
        </w:rPr>
        <w:t>awania obszernych danych osobowych bez gwarancji wyników, zwłaszcza na początkowych etapach rozwoju.</w:t>
      </w:r>
    </w:p>
    <w:p w14:paraId="27CEFCF7" w14:textId="18E4FAF3" w:rsidR="003767C2" w:rsidRPr="00A5335D" w:rsidRDefault="003767C2" w:rsidP="003767C2">
      <w:pPr>
        <w:spacing w:before="120" w:after="240"/>
        <w:jc w:val="both"/>
        <w:rPr>
          <w:rFonts w:ascii="Times New Roman" w:hAnsi="Times New Roman" w:cs="Times New Roman"/>
          <w:noProof/>
          <w:sz w:val="24"/>
          <w:szCs w:val="24"/>
        </w:rPr>
      </w:pPr>
      <w:r w:rsidRPr="00A5335D">
        <w:rPr>
          <w:rFonts w:ascii="Times New Roman" w:hAnsi="Times New Roman"/>
          <w:noProof/>
          <w:sz w:val="24"/>
          <w:szCs w:val="24"/>
        </w:rPr>
        <w:t>Unijna pula talentów mogłaby także obejmować istniejące</w:t>
      </w:r>
      <w:r w:rsidR="00A5335D" w:rsidRPr="00A5335D">
        <w:rPr>
          <w:rFonts w:ascii="Times New Roman" w:hAnsi="Times New Roman"/>
          <w:noProof/>
          <w:sz w:val="24"/>
          <w:szCs w:val="24"/>
        </w:rPr>
        <w:t xml:space="preserve"> i pla</w:t>
      </w:r>
      <w:r w:rsidRPr="00A5335D">
        <w:rPr>
          <w:rFonts w:ascii="Times New Roman" w:hAnsi="Times New Roman"/>
          <w:noProof/>
          <w:sz w:val="24"/>
          <w:szCs w:val="24"/>
        </w:rPr>
        <w:t>nowane na poziomie UE platformy do samodzielnego sprawdzania umiejętności</w:t>
      </w:r>
      <w:r w:rsidR="00A5335D" w:rsidRPr="00A5335D">
        <w:rPr>
          <w:rFonts w:ascii="Times New Roman" w:hAnsi="Times New Roman"/>
          <w:noProof/>
          <w:sz w:val="24"/>
          <w:szCs w:val="24"/>
        </w:rPr>
        <w:t xml:space="preserve"> i wie</w:t>
      </w:r>
      <w:r w:rsidRPr="00A5335D">
        <w:rPr>
          <w:rFonts w:ascii="Times New Roman" w:hAnsi="Times New Roman"/>
          <w:noProof/>
          <w:sz w:val="24"/>
          <w:szCs w:val="24"/>
        </w:rPr>
        <w:t>dzy (takich jak znajomość języków, obsługa komputera, inne umiejętności miękkie itp.).</w:t>
      </w:r>
      <w:bookmarkEnd w:id="5"/>
      <w:bookmarkEnd w:id="6"/>
      <w:r w:rsidRPr="00A5335D">
        <w:rPr>
          <w:rFonts w:ascii="Times New Roman" w:hAnsi="Times New Roman"/>
          <w:noProof/>
          <w:sz w:val="24"/>
          <w:szCs w:val="24"/>
        </w:rPr>
        <w:t xml:space="preserve"> </w:t>
      </w:r>
    </w:p>
    <w:p w14:paraId="27CEFCF8" w14:textId="40A07140" w:rsidR="003767C2" w:rsidRPr="00A5335D" w:rsidRDefault="003767C2" w:rsidP="009F7A15">
      <w:pPr>
        <w:jc w:val="both"/>
        <w:rPr>
          <w:rFonts w:ascii="Times New Roman" w:hAnsi="Times New Roman" w:cs="Times New Roman"/>
          <w:noProof/>
          <w:sz w:val="24"/>
          <w:szCs w:val="24"/>
        </w:rPr>
      </w:pPr>
      <w:r w:rsidRPr="00A5335D">
        <w:rPr>
          <w:rFonts w:ascii="Times New Roman" w:hAnsi="Times New Roman"/>
          <w:noProof/>
          <w:sz w:val="24"/>
          <w:szCs w:val="24"/>
        </w:rPr>
        <w:t xml:space="preserve">Kandydaci, którzy spełnią określony próg kwalifikowalności, zostaną przyjęci do unijnej puli talentów. Od tego momentu </w:t>
      </w:r>
      <w:r w:rsidRPr="00A5335D">
        <w:rPr>
          <w:rFonts w:ascii="Times New Roman" w:hAnsi="Times New Roman"/>
          <w:b/>
          <w:bCs/>
          <w:noProof/>
          <w:sz w:val="24"/>
          <w:szCs w:val="24"/>
        </w:rPr>
        <w:t>ich profile byłyby dostępne do wglądu dla właściwych organów</w:t>
      </w:r>
      <w:r w:rsidR="00A5335D" w:rsidRPr="00A5335D">
        <w:rPr>
          <w:rFonts w:ascii="Times New Roman" w:hAnsi="Times New Roman"/>
          <w:b/>
          <w:bCs/>
          <w:noProof/>
          <w:sz w:val="24"/>
          <w:szCs w:val="24"/>
        </w:rPr>
        <w:t xml:space="preserve"> i pot</w:t>
      </w:r>
      <w:r w:rsidRPr="00A5335D">
        <w:rPr>
          <w:rFonts w:ascii="Times New Roman" w:hAnsi="Times New Roman"/>
          <w:b/>
          <w:bCs/>
          <w:noProof/>
          <w:sz w:val="24"/>
          <w:szCs w:val="24"/>
        </w:rPr>
        <w:t>encjalnych pracodawców</w:t>
      </w:r>
      <w:r w:rsidRPr="00A5335D">
        <w:rPr>
          <w:rFonts w:ascii="Times New Roman" w:hAnsi="Times New Roman"/>
          <w:noProof/>
          <w:sz w:val="24"/>
          <w:szCs w:val="24"/>
        </w:rPr>
        <w:t>. Proces rekrutacji będzie się odbywał poza unijną pulą talentów. Po otrzymaniu oferty pracy</w:t>
      </w:r>
      <w:r w:rsidR="00A5335D" w:rsidRPr="00A5335D">
        <w:rPr>
          <w:rFonts w:ascii="Times New Roman" w:hAnsi="Times New Roman"/>
          <w:noProof/>
          <w:sz w:val="24"/>
          <w:szCs w:val="24"/>
        </w:rPr>
        <w:t xml:space="preserve"> w jed</w:t>
      </w:r>
      <w:r w:rsidRPr="00A5335D">
        <w:rPr>
          <w:rFonts w:ascii="Times New Roman" w:hAnsi="Times New Roman"/>
          <w:noProof/>
          <w:sz w:val="24"/>
          <w:szCs w:val="24"/>
        </w:rPr>
        <w:t>nym</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członkowskich kandydaci będą mogli ubiegać się</w:t>
      </w:r>
      <w:r w:rsidR="00A5335D" w:rsidRPr="00A5335D">
        <w:rPr>
          <w:rFonts w:ascii="Times New Roman" w:hAnsi="Times New Roman"/>
          <w:noProof/>
          <w:sz w:val="24"/>
          <w:szCs w:val="24"/>
        </w:rPr>
        <w:t xml:space="preserve"> o zez</w:t>
      </w:r>
      <w:r w:rsidRPr="00A5335D">
        <w:rPr>
          <w:rFonts w:ascii="Times New Roman" w:hAnsi="Times New Roman"/>
          <w:noProof/>
          <w:sz w:val="24"/>
          <w:szCs w:val="24"/>
        </w:rPr>
        <w:t>wolenie na pobyt na podstawie odpowiednich unijnych lub krajowych programów migracji. Przyjęcie do unijnej puli talentów nie stanowiłoby nowej ścieżki legalnej migracji</w:t>
      </w:r>
      <w:r w:rsidR="00A5335D" w:rsidRPr="00A5335D">
        <w:rPr>
          <w:rFonts w:ascii="Times New Roman" w:hAnsi="Times New Roman"/>
          <w:noProof/>
          <w:sz w:val="24"/>
          <w:szCs w:val="24"/>
        </w:rPr>
        <w:t xml:space="preserve"> i nie</w:t>
      </w:r>
      <w:r w:rsidRPr="00A5335D">
        <w:rPr>
          <w:rFonts w:ascii="Times New Roman" w:hAnsi="Times New Roman"/>
          <w:noProof/>
          <w:sz w:val="24"/>
          <w:szCs w:val="24"/>
        </w:rPr>
        <w:t xml:space="preserve"> dawałoby prawa do wjazdu do UE. Kandydaci przyjęci do puli nadal musieliby uzyskać dokument pobytowy, aby móc pracować</w:t>
      </w:r>
      <w:r w:rsidR="00A5335D" w:rsidRPr="00A5335D">
        <w:rPr>
          <w:rFonts w:ascii="Times New Roman" w:hAnsi="Times New Roman"/>
          <w:noProof/>
          <w:sz w:val="24"/>
          <w:szCs w:val="24"/>
        </w:rPr>
        <w:t xml:space="preserve"> w pań</w:t>
      </w:r>
      <w:r w:rsidRPr="00A5335D">
        <w:rPr>
          <w:rFonts w:ascii="Times New Roman" w:hAnsi="Times New Roman"/>
          <w:noProof/>
          <w:sz w:val="24"/>
          <w:szCs w:val="24"/>
        </w:rPr>
        <w:t>stwie członkowskim na podstawie oferty pracy. Unijna pula talentów zostanie jednak zaprojektowana jako narzędzie wspomagające państwa członkowskie</w:t>
      </w:r>
      <w:r w:rsidR="00A5335D" w:rsidRPr="00A5335D">
        <w:rPr>
          <w:rFonts w:ascii="Times New Roman" w:hAnsi="Times New Roman"/>
          <w:noProof/>
          <w:sz w:val="24"/>
          <w:szCs w:val="24"/>
        </w:rPr>
        <w:t xml:space="preserve"> i pra</w:t>
      </w:r>
      <w:r w:rsidRPr="00A5335D">
        <w:rPr>
          <w:rFonts w:ascii="Times New Roman" w:hAnsi="Times New Roman"/>
          <w:noProof/>
          <w:sz w:val="24"/>
          <w:szCs w:val="24"/>
        </w:rPr>
        <w:t>codawców</w:t>
      </w:r>
      <w:r w:rsidR="00A5335D" w:rsidRPr="00A5335D">
        <w:rPr>
          <w:rFonts w:ascii="Times New Roman" w:hAnsi="Times New Roman"/>
          <w:noProof/>
          <w:sz w:val="24"/>
          <w:szCs w:val="24"/>
        </w:rPr>
        <w:t xml:space="preserve"> w zas</w:t>
      </w:r>
      <w:r w:rsidRPr="00A5335D">
        <w:rPr>
          <w:rFonts w:ascii="Times New Roman" w:hAnsi="Times New Roman"/>
          <w:noProof/>
          <w:sz w:val="24"/>
          <w:szCs w:val="24"/>
        </w:rPr>
        <w:t>pokajaniu potrzeb rynków pracy państw członkowskich, których nie może zaspokoić krajowa siła robocza. Państwa członkowskie będą mogły korzystać</w:t>
      </w:r>
      <w:r w:rsidR="00A5335D" w:rsidRPr="00A5335D">
        <w:rPr>
          <w:rFonts w:ascii="Times New Roman" w:hAnsi="Times New Roman"/>
          <w:noProof/>
          <w:sz w:val="24"/>
          <w:szCs w:val="24"/>
        </w:rPr>
        <w:t xml:space="preserve"> z teg</w:t>
      </w:r>
      <w:r w:rsidRPr="00A5335D">
        <w:rPr>
          <w:rFonts w:ascii="Times New Roman" w:hAnsi="Times New Roman"/>
          <w:noProof/>
          <w:sz w:val="24"/>
          <w:szCs w:val="24"/>
        </w:rPr>
        <w:t>o narzędzia stosownie do swoich potrzeb.</w:t>
      </w:r>
    </w:p>
    <w:p w14:paraId="27CEFCF9" w14:textId="6747BAAC" w:rsidR="003767C2" w:rsidRPr="00A5335D" w:rsidRDefault="003767C2" w:rsidP="003767C2">
      <w:pPr>
        <w:jc w:val="both"/>
        <w:rPr>
          <w:rFonts w:ascii="Times New Roman" w:hAnsi="Times New Roman" w:cs="Times New Roman"/>
          <w:noProof/>
          <w:sz w:val="24"/>
          <w:szCs w:val="24"/>
        </w:rPr>
      </w:pPr>
      <w:r w:rsidRPr="00A5335D">
        <w:rPr>
          <w:rFonts w:ascii="Times New Roman" w:hAnsi="Times New Roman"/>
          <w:noProof/>
          <w:sz w:val="24"/>
          <w:szCs w:val="24"/>
        </w:rPr>
        <w:t xml:space="preserve">Unijna pula talentów będzie opierała się na </w:t>
      </w:r>
      <w:r w:rsidRPr="00A5335D">
        <w:rPr>
          <w:rFonts w:ascii="Times New Roman" w:hAnsi="Times New Roman"/>
          <w:b/>
          <w:bCs/>
          <w:noProof/>
          <w:sz w:val="24"/>
          <w:szCs w:val="24"/>
        </w:rPr>
        <w:t>krajowych punktach kontaktowych</w:t>
      </w:r>
      <w:r w:rsidRPr="00A5335D">
        <w:rPr>
          <w:rFonts w:ascii="Times New Roman" w:hAnsi="Times New Roman"/>
          <w:noProof/>
          <w:sz w:val="24"/>
          <w:szCs w:val="24"/>
        </w:rPr>
        <w:t xml:space="preserve"> we wszystkich uczestniczących państwach członkowskich. Rolę tę mogą pełnić przedstawiciele władz imigracyjnych, organ publiczny wyznaczony przez uczestniczące państwa członkowskie, najlepiej np. publiczne służby zatrudnienia, agencje inwestycyjne, podmioty zajmujące się przyciąganiem talentów (w tym,</w:t>
      </w:r>
      <w:r w:rsidR="00A5335D" w:rsidRPr="00A5335D">
        <w:rPr>
          <w:rFonts w:ascii="Times New Roman" w:hAnsi="Times New Roman"/>
          <w:noProof/>
          <w:sz w:val="24"/>
          <w:szCs w:val="24"/>
        </w:rPr>
        <w:t xml:space="preserve"> w sto</w:t>
      </w:r>
      <w:r w:rsidRPr="00A5335D">
        <w:rPr>
          <w:rFonts w:ascii="Times New Roman" w:hAnsi="Times New Roman"/>
          <w:noProof/>
          <w:sz w:val="24"/>
          <w:szCs w:val="24"/>
        </w:rPr>
        <w:t>sownych przypadkach, ośrodki szkolenia zawodowego zarówno</w:t>
      </w:r>
      <w:r w:rsidR="00A5335D" w:rsidRPr="00A5335D">
        <w:rPr>
          <w:rFonts w:ascii="Times New Roman" w:hAnsi="Times New Roman"/>
          <w:noProof/>
          <w:sz w:val="24"/>
          <w:szCs w:val="24"/>
        </w:rPr>
        <w:t xml:space="preserve"> w pań</w:t>
      </w:r>
      <w:r w:rsidRPr="00A5335D">
        <w:rPr>
          <w:rFonts w:ascii="Times New Roman" w:hAnsi="Times New Roman"/>
          <w:noProof/>
          <w:sz w:val="24"/>
          <w:szCs w:val="24"/>
        </w:rPr>
        <w:t>stwach członkowskich, jak</w:t>
      </w:r>
      <w:r w:rsidR="00A5335D" w:rsidRPr="00A5335D">
        <w:rPr>
          <w:rFonts w:ascii="Times New Roman" w:hAnsi="Times New Roman"/>
          <w:noProof/>
          <w:sz w:val="24"/>
          <w:szCs w:val="24"/>
        </w:rPr>
        <w:t xml:space="preserve"> i w kra</w:t>
      </w:r>
      <w:r w:rsidRPr="00A5335D">
        <w:rPr>
          <w:rFonts w:ascii="Times New Roman" w:hAnsi="Times New Roman"/>
          <w:noProof/>
          <w:sz w:val="24"/>
          <w:szCs w:val="24"/>
        </w:rPr>
        <w:t>jach partnerskich), urzędy pracy itp. Mogłoby to umożliwić tworzenie synergii</w:t>
      </w:r>
      <w:r w:rsidR="00A5335D" w:rsidRPr="00A5335D">
        <w:rPr>
          <w:rFonts w:ascii="Times New Roman" w:hAnsi="Times New Roman"/>
          <w:noProof/>
          <w:sz w:val="24"/>
          <w:szCs w:val="24"/>
        </w:rPr>
        <w:t xml:space="preserve"> i wsp</w:t>
      </w:r>
      <w:r w:rsidRPr="00A5335D">
        <w:rPr>
          <w:rFonts w:ascii="Times New Roman" w:hAnsi="Times New Roman"/>
          <w:noProof/>
          <w:sz w:val="24"/>
          <w:szCs w:val="24"/>
        </w:rPr>
        <w:t>ieranie koordynacji między procedurami pośrednictwa pracy</w:t>
      </w:r>
      <w:r w:rsidR="00A5335D" w:rsidRPr="00A5335D">
        <w:rPr>
          <w:rFonts w:ascii="Times New Roman" w:hAnsi="Times New Roman"/>
          <w:noProof/>
          <w:sz w:val="24"/>
          <w:szCs w:val="24"/>
        </w:rPr>
        <w:t xml:space="preserve"> i imi</w:t>
      </w:r>
      <w:r w:rsidRPr="00A5335D">
        <w:rPr>
          <w:rFonts w:ascii="Times New Roman" w:hAnsi="Times New Roman"/>
          <w:noProof/>
          <w:sz w:val="24"/>
          <w:szCs w:val="24"/>
        </w:rPr>
        <w:t>gracji. Krajowe punkty kontaktowe mogłyby przeszukiwać zarejestrowane zestawy umiejętności</w:t>
      </w:r>
      <w:r w:rsidR="00A5335D" w:rsidRPr="00A5335D">
        <w:rPr>
          <w:rFonts w:ascii="Times New Roman" w:hAnsi="Times New Roman"/>
          <w:noProof/>
          <w:sz w:val="24"/>
          <w:szCs w:val="24"/>
        </w:rPr>
        <w:t xml:space="preserve"> i łąc</w:t>
      </w:r>
      <w:r w:rsidRPr="00A5335D">
        <w:rPr>
          <w:rFonts w:ascii="Times New Roman" w:hAnsi="Times New Roman"/>
          <w:noProof/>
          <w:sz w:val="24"/>
          <w:szCs w:val="24"/>
        </w:rPr>
        <w:t>zyć osoby przyjęte do programu</w:t>
      </w:r>
      <w:r w:rsidR="00A5335D" w:rsidRPr="00A5335D">
        <w:rPr>
          <w:rFonts w:ascii="Times New Roman" w:hAnsi="Times New Roman"/>
          <w:noProof/>
          <w:sz w:val="24"/>
          <w:szCs w:val="24"/>
        </w:rPr>
        <w:t xml:space="preserve"> z zai</w:t>
      </w:r>
      <w:r w:rsidRPr="00A5335D">
        <w:rPr>
          <w:rFonts w:ascii="Times New Roman" w:hAnsi="Times New Roman"/>
          <w:noProof/>
          <w:sz w:val="24"/>
          <w:szCs w:val="24"/>
        </w:rPr>
        <w:t>nteresowanymi pracodawcami</w:t>
      </w:r>
      <w:r w:rsidR="00A5335D" w:rsidRPr="00A5335D">
        <w:rPr>
          <w:rFonts w:ascii="Times New Roman" w:hAnsi="Times New Roman"/>
          <w:noProof/>
          <w:sz w:val="24"/>
          <w:szCs w:val="24"/>
        </w:rPr>
        <w:t xml:space="preserve"> w dan</w:t>
      </w:r>
      <w:r w:rsidRPr="00A5335D">
        <w:rPr>
          <w:rFonts w:ascii="Times New Roman" w:hAnsi="Times New Roman"/>
          <w:noProof/>
          <w:sz w:val="24"/>
          <w:szCs w:val="24"/>
        </w:rPr>
        <w:t>ym państwie członkowskim lub</w:t>
      </w:r>
      <w:r w:rsidR="00A5335D" w:rsidRPr="00A5335D">
        <w:rPr>
          <w:rFonts w:ascii="Times New Roman" w:hAnsi="Times New Roman"/>
          <w:noProof/>
          <w:sz w:val="24"/>
          <w:szCs w:val="24"/>
        </w:rPr>
        <w:t xml:space="preserve"> z odp</w:t>
      </w:r>
      <w:r w:rsidRPr="00A5335D">
        <w:rPr>
          <w:rFonts w:ascii="Times New Roman" w:hAnsi="Times New Roman"/>
          <w:noProof/>
          <w:sz w:val="24"/>
          <w:szCs w:val="24"/>
        </w:rPr>
        <w:t>owiadającymi im ofertami pracy. Jednocześnie można by publicznie udostępniać zanonimizowany przegląd szeregu profili odpowiadających danemu zestawowi umiejętności, aby umożliwić ich przeszukiwanie przez potencjalnych pracodawców. Pracodawcy ci mogliby wówczas docierać do odpowiednich osób za pośrednictwem właściwego krajowego punktu kontaktowego.</w:t>
      </w:r>
    </w:p>
    <w:p w14:paraId="27CEFCFA" w14:textId="203DB746" w:rsidR="0036607C" w:rsidRPr="00A5335D" w:rsidRDefault="003767C2" w:rsidP="003767C2">
      <w:pPr>
        <w:jc w:val="both"/>
        <w:rPr>
          <w:rFonts w:ascii="Times New Roman" w:hAnsi="Times New Roman" w:cs="Times New Roman"/>
          <w:noProof/>
          <w:sz w:val="24"/>
          <w:szCs w:val="24"/>
        </w:rPr>
      </w:pPr>
      <w:r w:rsidRPr="00A5335D">
        <w:rPr>
          <w:rFonts w:ascii="Times New Roman" w:hAnsi="Times New Roman"/>
          <w:noProof/>
          <w:sz w:val="24"/>
          <w:szCs w:val="24"/>
        </w:rPr>
        <w:t xml:space="preserve">W miarę rozwoju unijnej puli talentów można stopniowo dodawać </w:t>
      </w:r>
      <w:r w:rsidRPr="00A5335D">
        <w:rPr>
          <w:rFonts w:ascii="Times New Roman" w:hAnsi="Times New Roman"/>
          <w:b/>
          <w:bCs/>
          <w:noProof/>
          <w:sz w:val="24"/>
          <w:szCs w:val="24"/>
        </w:rPr>
        <w:t>dodatkowe elementy lub funkcje</w:t>
      </w:r>
      <w:r w:rsidRPr="00A5335D">
        <w:rPr>
          <w:rFonts w:ascii="Times New Roman" w:hAnsi="Times New Roman"/>
          <w:noProof/>
          <w:sz w:val="24"/>
          <w:szCs w:val="24"/>
        </w:rPr>
        <w:t>. Mogą one obejmować portal przyciągający talenty, zapewniający ukierunkowane informacje</w:t>
      </w:r>
      <w:r w:rsidR="00A5335D" w:rsidRPr="00A5335D">
        <w:rPr>
          <w:rFonts w:ascii="Times New Roman" w:hAnsi="Times New Roman"/>
          <w:noProof/>
          <w:sz w:val="24"/>
          <w:szCs w:val="24"/>
        </w:rPr>
        <w:t xml:space="preserve"> i wsk</w:t>
      </w:r>
      <w:r w:rsidRPr="00A5335D">
        <w:rPr>
          <w:rFonts w:ascii="Times New Roman" w:hAnsi="Times New Roman"/>
          <w:noProof/>
          <w:sz w:val="24"/>
          <w:szCs w:val="24"/>
        </w:rPr>
        <w:t>azówki dla osób ubiegających się</w:t>
      </w:r>
      <w:r w:rsidR="00A5335D" w:rsidRPr="00A5335D">
        <w:rPr>
          <w:rFonts w:ascii="Times New Roman" w:hAnsi="Times New Roman"/>
          <w:noProof/>
          <w:sz w:val="24"/>
          <w:szCs w:val="24"/>
        </w:rPr>
        <w:t xml:space="preserve"> o pra</w:t>
      </w:r>
      <w:r w:rsidRPr="00A5335D">
        <w:rPr>
          <w:rFonts w:ascii="Times New Roman" w:hAnsi="Times New Roman"/>
          <w:noProof/>
          <w:sz w:val="24"/>
          <w:szCs w:val="24"/>
        </w:rPr>
        <w:t>cę, bazę danych odpowiednich, kwalifikujących się wakatów lub komponent służący do wyszukiwania lub dopasowywania ofert pracy. System dopasowywania ofert pracy łączyłby profile kandydatów</w:t>
      </w:r>
      <w:r w:rsidR="00A5335D" w:rsidRPr="00A5335D">
        <w:rPr>
          <w:rFonts w:ascii="Times New Roman" w:hAnsi="Times New Roman"/>
          <w:noProof/>
          <w:sz w:val="24"/>
          <w:szCs w:val="24"/>
        </w:rPr>
        <w:t xml:space="preserve"> z naj</w:t>
      </w:r>
      <w:r w:rsidRPr="00A5335D">
        <w:rPr>
          <w:rFonts w:ascii="Times New Roman" w:hAnsi="Times New Roman"/>
          <w:noProof/>
          <w:sz w:val="24"/>
          <w:szCs w:val="24"/>
        </w:rPr>
        <w:t>bardziej odpowiednimi ofertami pracy,</w:t>
      </w:r>
      <w:r w:rsidR="00A5335D" w:rsidRPr="00A5335D">
        <w:rPr>
          <w:rFonts w:ascii="Times New Roman" w:hAnsi="Times New Roman"/>
          <w:noProof/>
          <w:sz w:val="24"/>
          <w:szCs w:val="24"/>
        </w:rPr>
        <w:t xml:space="preserve"> w opa</w:t>
      </w:r>
      <w:r w:rsidRPr="00A5335D">
        <w:rPr>
          <w:rFonts w:ascii="Times New Roman" w:hAnsi="Times New Roman"/>
          <w:noProof/>
          <w:sz w:val="24"/>
          <w:szCs w:val="24"/>
        </w:rPr>
        <w:t>rciu</w:t>
      </w:r>
      <w:r w:rsidR="00A5335D" w:rsidRPr="00A5335D">
        <w:rPr>
          <w:rFonts w:ascii="Times New Roman" w:hAnsi="Times New Roman"/>
          <w:noProof/>
          <w:sz w:val="24"/>
          <w:szCs w:val="24"/>
        </w:rPr>
        <w:t xml:space="preserve"> o inf</w:t>
      </w:r>
      <w:r w:rsidRPr="00A5335D">
        <w:rPr>
          <w:rFonts w:ascii="Times New Roman" w:hAnsi="Times New Roman"/>
          <w:noProof/>
          <w:sz w:val="24"/>
          <w:szCs w:val="24"/>
        </w:rPr>
        <w:t>ormacje dostarczone przez obie strony. Kontakt między potencjalnymi migrantami</w:t>
      </w:r>
      <w:r w:rsidR="00A5335D" w:rsidRPr="00A5335D">
        <w:rPr>
          <w:rFonts w:ascii="Times New Roman" w:hAnsi="Times New Roman"/>
          <w:noProof/>
          <w:sz w:val="24"/>
          <w:szCs w:val="24"/>
        </w:rPr>
        <w:t xml:space="preserve"> a pra</w:t>
      </w:r>
      <w:r w:rsidRPr="00A5335D">
        <w:rPr>
          <w:rFonts w:ascii="Times New Roman" w:hAnsi="Times New Roman"/>
          <w:noProof/>
          <w:sz w:val="24"/>
          <w:szCs w:val="24"/>
        </w:rPr>
        <w:t>codawcami odbywałby się za pośrednictwem unijnej puli talentów, natomiast rekrutacja miałaby miejsce poza unijną pulą talentów.</w:t>
      </w:r>
    </w:p>
    <w:p w14:paraId="27CEFCFB" w14:textId="2E7551DA" w:rsidR="00AE287B" w:rsidRPr="00A5335D" w:rsidRDefault="003767C2" w:rsidP="00710221">
      <w:pPr>
        <w:jc w:val="both"/>
        <w:rPr>
          <w:rFonts w:ascii="Times New Roman" w:hAnsi="Times New Roman" w:cs="Times New Roman"/>
          <w:noProof/>
          <w:sz w:val="24"/>
          <w:szCs w:val="24"/>
        </w:rPr>
      </w:pPr>
      <w:r w:rsidRPr="00A5335D">
        <w:rPr>
          <w:rFonts w:ascii="Times New Roman" w:hAnsi="Times New Roman"/>
          <w:noProof/>
          <w:sz w:val="24"/>
          <w:szCs w:val="24"/>
        </w:rPr>
        <w:t xml:space="preserve">Komisja bada również możliwości rozwoju </w:t>
      </w:r>
      <w:r w:rsidRPr="00A5335D">
        <w:rPr>
          <w:rFonts w:ascii="Times New Roman" w:hAnsi="Times New Roman"/>
          <w:b/>
          <w:bCs/>
          <w:noProof/>
          <w:sz w:val="24"/>
          <w:szCs w:val="24"/>
        </w:rPr>
        <w:t>synergii</w:t>
      </w:r>
      <w:r w:rsidR="00A5335D" w:rsidRPr="00A5335D">
        <w:rPr>
          <w:rFonts w:ascii="Times New Roman" w:hAnsi="Times New Roman"/>
          <w:noProof/>
          <w:sz w:val="24"/>
          <w:szCs w:val="24"/>
        </w:rPr>
        <w:t xml:space="preserve"> z inn</w:t>
      </w:r>
      <w:r w:rsidRPr="00A5335D">
        <w:rPr>
          <w:rFonts w:ascii="Times New Roman" w:hAnsi="Times New Roman"/>
          <w:noProof/>
          <w:sz w:val="24"/>
          <w:szCs w:val="24"/>
        </w:rPr>
        <w:t>ymi dostępnymi obecnie narzędziami, takimi jak nowa platforma Europass, która wspiera ludzi</w:t>
      </w:r>
      <w:r w:rsidR="00A5335D" w:rsidRPr="00A5335D">
        <w:rPr>
          <w:rFonts w:ascii="Times New Roman" w:hAnsi="Times New Roman"/>
          <w:noProof/>
          <w:sz w:val="24"/>
          <w:szCs w:val="24"/>
        </w:rPr>
        <w:t xml:space="preserve"> w zar</w:t>
      </w:r>
      <w:r w:rsidRPr="00A5335D">
        <w:rPr>
          <w:rFonts w:ascii="Times New Roman" w:hAnsi="Times New Roman"/>
          <w:noProof/>
          <w:sz w:val="24"/>
          <w:szCs w:val="24"/>
        </w:rPr>
        <w:t>ządzaniu karierą na szybko zmieniającym się rynku pracy, unijne narzędzie do tworzenia profilu umiejętności obywateli państw trzecich lub platforma talentów EPB bazująca na sieci EURAXESS, działającej</w:t>
      </w:r>
      <w:r w:rsidR="00A5335D" w:rsidRPr="00A5335D">
        <w:rPr>
          <w:rFonts w:ascii="Times New Roman" w:hAnsi="Times New Roman"/>
          <w:noProof/>
          <w:sz w:val="24"/>
          <w:szCs w:val="24"/>
        </w:rPr>
        <w:t xml:space="preserve"> w 4</w:t>
      </w:r>
      <w:r w:rsidRPr="00A5335D">
        <w:rPr>
          <w:rFonts w:ascii="Times New Roman" w:hAnsi="Times New Roman"/>
          <w:noProof/>
          <w:sz w:val="24"/>
          <w:szCs w:val="24"/>
        </w:rPr>
        <w:t>3 krajach</w:t>
      </w:r>
      <w:r w:rsidR="00A5335D" w:rsidRPr="00A5335D">
        <w:rPr>
          <w:rFonts w:ascii="Times New Roman" w:hAnsi="Times New Roman"/>
          <w:noProof/>
          <w:sz w:val="24"/>
          <w:szCs w:val="24"/>
        </w:rPr>
        <w:t xml:space="preserve"> i 8</w:t>
      </w:r>
      <w:r w:rsidRPr="00A5335D">
        <w:rPr>
          <w:rFonts w:ascii="Times New Roman" w:hAnsi="Times New Roman"/>
          <w:noProof/>
          <w:sz w:val="24"/>
          <w:szCs w:val="24"/>
        </w:rPr>
        <w:t xml:space="preserve"> międzynarodowych centrach oferujących usługi naukowcom na całym świecie. Można także rozwijać synergię</w:t>
      </w:r>
      <w:r w:rsidR="00A5335D" w:rsidRPr="00A5335D">
        <w:rPr>
          <w:rFonts w:ascii="Times New Roman" w:hAnsi="Times New Roman"/>
          <w:noProof/>
          <w:sz w:val="24"/>
          <w:szCs w:val="24"/>
        </w:rPr>
        <w:t xml:space="preserve"> z ins</w:t>
      </w:r>
      <w:r w:rsidRPr="00A5335D">
        <w:rPr>
          <w:rFonts w:ascii="Times New Roman" w:hAnsi="Times New Roman"/>
          <w:noProof/>
          <w:sz w:val="24"/>
          <w:szCs w:val="24"/>
        </w:rPr>
        <w:t>trumentami dostarczającymi informacji</w:t>
      </w:r>
      <w:r w:rsidR="00A5335D" w:rsidRPr="00A5335D">
        <w:rPr>
          <w:rFonts w:ascii="Times New Roman" w:hAnsi="Times New Roman"/>
          <w:noProof/>
          <w:sz w:val="24"/>
          <w:szCs w:val="24"/>
        </w:rPr>
        <w:t xml:space="preserve"> o umi</w:t>
      </w:r>
      <w:r w:rsidRPr="00A5335D">
        <w:rPr>
          <w:rFonts w:ascii="Times New Roman" w:hAnsi="Times New Roman"/>
          <w:noProof/>
          <w:sz w:val="24"/>
          <w:szCs w:val="24"/>
        </w:rPr>
        <w:t xml:space="preserve">ejętnościach, takimi jak narzędzie Skills-OVATE Europejskiego Centrum Rozwoju Kształcenia Zawodowego. </w:t>
      </w:r>
    </w:p>
    <w:p w14:paraId="27CEFCFC" w14:textId="77777777" w:rsidR="00AE287B" w:rsidRPr="00A5335D" w:rsidRDefault="00AE287B">
      <w:pPr>
        <w:spacing w:after="160" w:line="259" w:lineRule="auto"/>
        <w:rPr>
          <w:rFonts w:ascii="Times New Roman" w:hAnsi="Times New Roman" w:cs="Times New Roman"/>
          <w:noProof/>
          <w:sz w:val="24"/>
          <w:szCs w:val="24"/>
        </w:rPr>
      </w:pPr>
      <w:r w:rsidRPr="00A5335D">
        <w:rPr>
          <w:noProof/>
        </w:rPr>
        <w:br w:type="page"/>
      </w:r>
    </w:p>
    <w:p w14:paraId="27CEFCFD" w14:textId="107F3CF2" w:rsidR="00710221" w:rsidRPr="00A5335D" w:rsidRDefault="00710221" w:rsidP="00710221">
      <w:pPr>
        <w:jc w:val="both"/>
        <w:rPr>
          <w:rFonts w:ascii="Times New Roman" w:hAnsi="Times New Roman" w:cs="Times New Roman"/>
          <w:noProof/>
          <w:sz w:val="24"/>
          <w:szCs w:val="24"/>
        </w:rPr>
      </w:pPr>
      <w:r w:rsidRPr="00A5335D">
        <w:rPr>
          <w:rFonts w:ascii="Times New Roman" w:hAnsi="Times New Roman"/>
          <w:noProof/>
          <w:sz w:val="24"/>
          <w:szCs w:val="24"/>
        </w:rPr>
        <w:t>Narzędzie to dostarcza aktualnych informacji</w:t>
      </w:r>
      <w:r w:rsidR="00A5335D" w:rsidRPr="00A5335D">
        <w:rPr>
          <w:rFonts w:ascii="Times New Roman" w:hAnsi="Times New Roman"/>
          <w:noProof/>
          <w:sz w:val="24"/>
          <w:szCs w:val="24"/>
        </w:rPr>
        <w:t xml:space="preserve"> o umi</w:t>
      </w:r>
      <w:r w:rsidRPr="00A5335D">
        <w:rPr>
          <w:rFonts w:ascii="Times New Roman" w:hAnsi="Times New Roman"/>
          <w:noProof/>
          <w:sz w:val="24"/>
          <w:szCs w:val="24"/>
        </w:rPr>
        <w:t>ejętnościach najbardziej poszukiwanych przez pracodawców oraz</w:t>
      </w:r>
      <w:r w:rsidR="00A5335D" w:rsidRPr="00A5335D">
        <w:rPr>
          <w:rFonts w:ascii="Times New Roman" w:hAnsi="Times New Roman"/>
          <w:noProof/>
          <w:sz w:val="24"/>
          <w:szCs w:val="24"/>
        </w:rPr>
        <w:t xml:space="preserve"> o ten</w:t>
      </w:r>
      <w:r w:rsidRPr="00A5335D">
        <w:rPr>
          <w:rFonts w:ascii="Times New Roman" w:hAnsi="Times New Roman"/>
          <w:noProof/>
          <w:sz w:val="24"/>
          <w:szCs w:val="24"/>
        </w:rPr>
        <w:t>dencjach</w:t>
      </w:r>
      <w:r w:rsidR="00A5335D" w:rsidRPr="00A5335D">
        <w:rPr>
          <w:rFonts w:ascii="Times New Roman" w:hAnsi="Times New Roman"/>
          <w:noProof/>
          <w:sz w:val="24"/>
          <w:szCs w:val="24"/>
        </w:rPr>
        <w:t xml:space="preserve"> w zak</w:t>
      </w:r>
      <w:r w:rsidRPr="00A5335D">
        <w:rPr>
          <w:rFonts w:ascii="Times New Roman" w:hAnsi="Times New Roman"/>
          <w:noProof/>
          <w:sz w:val="24"/>
          <w:szCs w:val="24"/>
        </w:rPr>
        <w:t>resie zapotrzebowania na te umiejętności.</w:t>
      </w:r>
    </w:p>
    <w:p w14:paraId="27CEFCFE" w14:textId="4FB6BD77" w:rsidR="00647056" w:rsidRPr="00A5335D" w:rsidRDefault="00F10325" w:rsidP="0036607C">
      <w:pPr>
        <w:jc w:val="both"/>
        <w:rPr>
          <w:noProof/>
        </w:rPr>
      </w:pPr>
      <w:r w:rsidRPr="00A5335D">
        <w:rPr>
          <w:rFonts w:ascii="Times New Roman" w:hAnsi="Times New Roman"/>
          <w:noProof/>
          <w:sz w:val="24"/>
          <w:szCs w:val="24"/>
        </w:rPr>
        <w:t>Biorąc pod uwagę doświadczenia zdobyte podczas realizacji inicjatywy pilotażowej unijnej puli talentów</w:t>
      </w:r>
      <w:r w:rsidR="00A5335D" w:rsidRPr="00A5335D">
        <w:rPr>
          <w:rFonts w:ascii="Times New Roman" w:hAnsi="Times New Roman"/>
          <w:noProof/>
          <w:sz w:val="24"/>
          <w:szCs w:val="24"/>
        </w:rPr>
        <w:t xml:space="preserve"> w prz</w:t>
      </w:r>
      <w:r w:rsidRPr="00A5335D">
        <w:rPr>
          <w:rFonts w:ascii="Times New Roman" w:hAnsi="Times New Roman"/>
          <w:noProof/>
          <w:sz w:val="24"/>
          <w:szCs w:val="24"/>
        </w:rPr>
        <w:t xml:space="preserve">ypadku osób uciekających przed rosyjską wojną napastniczą przeciwko Ukrainie, unijna pula talentów mogłaby pozostać otwarta dla </w:t>
      </w:r>
      <w:r w:rsidRPr="00A5335D">
        <w:rPr>
          <w:rFonts w:ascii="Times New Roman" w:hAnsi="Times New Roman"/>
          <w:b/>
          <w:bCs/>
          <w:noProof/>
          <w:sz w:val="24"/>
          <w:szCs w:val="24"/>
        </w:rPr>
        <w:t>osób potrzebujących ochrony</w:t>
      </w:r>
      <w:r w:rsidRPr="00A5335D">
        <w:rPr>
          <w:rFonts w:ascii="Times New Roman" w:hAnsi="Times New Roman"/>
          <w:noProof/>
          <w:sz w:val="24"/>
          <w:szCs w:val="24"/>
        </w:rPr>
        <w:t>, które posiadają odpowiednie kwalifikacje</w:t>
      </w:r>
      <w:r w:rsidR="00A5335D" w:rsidRPr="00A5335D">
        <w:rPr>
          <w:rFonts w:ascii="Times New Roman" w:hAnsi="Times New Roman"/>
          <w:noProof/>
          <w:sz w:val="24"/>
          <w:szCs w:val="24"/>
        </w:rPr>
        <w:t xml:space="preserve"> i umi</w:t>
      </w:r>
      <w:r w:rsidRPr="00A5335D">
        <w:rPr>
          <w:rFonts w:ascii="Times New Roman" w:hAnsi="Times New Roman"/>
          <w:noProof/>
          <w:sz w:val="24"/>
          <w:szCs w:val="24"/>
        </w:rPr>
        <w:t>ejętności, by się zarejestrować. Narzędzie to ma na celu przede wszystkim przyciągnięcie utalentowanych osób</w:t>
      </w:r>
      <w:r w:rsidR="00A5335D" w:rsidRPr="00A5335D">
        <w:rPr>
          <w:rFonts w:ascii="Times New Roman" w:hAnsi="Times New Roman"/>
          <w:noProof/>
          <w:sz w:val="24"/>
          <w:szCs w:val="24"/>
        </w:rPr>
        <w:t xml:space="preserve"> z pań</w:t>
      </w:r>
      <w:r w:rsidRPr="00A5335D">
        <w:rPr>
          <w:rFonts w:ascii="Times New Roman" w:hAnsi="Times New Roman"/>
          <w:noProof/>
          <w:sz w:val="24"/>
          <w:szCs w:val="24"/>
        </w:rPr>
        <w:t>stw trzecich, ale można je rozszerzyć, aby pomóc uchodźcom przebywającym już w UE</w:t>
      </w:r>
      <w:r w:rsidR="00A5335D" w:rsidRPr="00A5335D">
        <w:rPr>
          <w:rFonts w:ascii="Times New Roman" w:hAnsi="Times New Roman"/>
          <w:noProof/>
          <w:sz w:val="24"/>
          <w:szCs w:val="24"/>
        </w:rPr>
        <w:t xml:space="preserve"> w int</w:t>
      </w:r>
      <w:r w:rsidRPr="00A5335D">
        <w:rPr>
          <w:rFonts w:ascii="Times New Roman" w:hAnsi="Times New Roman"/>
          <w:noProof/>
          <w:sz w:val="24"/>
          <w:szCs w:val="24"/>
        </w:rPr>
        <w:t>egracji na unijnym rynku pracy. Alternatywnie można również rozszerzyć kryteria przyjmowania do unijnej puli talentów osób już przebywających w UE, aby umożliwić ustalenie, jakie umiejętności na poszczególnych poziomach są już dostępne w UE. Biorąc pod uwagę elastyczny charakter narzędzia</w:t>
      </w:r>
      <w:r w:rsidR="00A5335D" w:rsidRPr="00A5335D">
        <w:rPr>
          <w:rFonts w:ascii="Times New Roman" w:hAnsi="Times New Roman"/>
          <w:noProof/>
          <w:sz w:val="24"/>
          <w:szCs w:val="24"/>
        </w:rPr>
        <w:t xml:space="preserve"> i jeg</w:t>
      </w:r>
      <w:r w:rsidRPr="00A5335D">
        <w:rPr>
          <w:rFonts w:ascii="Times New Roman" w:hAnsi="Times New Roman"/>
          <w:noProof/>
          <w:sz w:val="24"/>
          <w:szCs w:val="24"/>
        </w:rPr>
        <w:t>o strukturę organizacyjną, takie dostosowania można wprowadzać dość elastycznie</w:t>
      </w:r>
      <w:r w:rsidR="00A5335D" w:rsidRPr="00A5335D">
        <w:rPr>
          <w:rFonts w:ascii="Times New Roman" w:hAnsi="Times New Roman"/>
          <w:noProof/>
          <w:sz w:val="24"/>
          <w:szCs w:val="24"/>
        </w:rPr>
        <w:t xml:space="preserve"> w mia</w:t>
      </w:r>
      <w:r w:rsidRPr="00A5335D">
        <w:rPr>
          <w:rFonts w:ascii="Times New Roman" w:hAnsi="Times New Roman"/>
          <w:noProof/>
          <w:sz w:val="24"/>
          <w:szCs w:val="24"/>
        </w:rPr>
        <w:t>rę potrzeb, także tymczasowo. Można także przewidzieć aktywne promowanie unijnej puli talentów wśród społeczności uchodźców, także</w:t>
      </w:r>
      <w:r w:rsidR="00A5335D" w:rsidRPr="00A5335D">
        <w:rPr>
          <w:rFonts w:ascii="Times New Roman" w:hAnsi="Times New Roman"/>
          <w:noProof/>
          <w:sz w:val="24"/>
          <w:szCs w:val="24"/>
        </w:rPr>
        <w:t xml:space="preserve"> w pań</w:t>
      </w:r>
      <w:r w:rsidRPr="00A5335D">
        <w:rPr>
          <w:rFonts w:ascii="Times New Roman" w:hAnsi="Times New Roman"/>
          <w:noProof/>
          <w:sz w:val="24"/>
          <w:szCs w:val="24"/>
        </w:rPr>
        <w:t>stwach trzecich. Dzięki temu unijna pula talentów stałaby się użytecznym narzędziem wspierającym uzupełniające ścieżki związane</w:t>
      </w:r>
      <w:r w:rsidR="00A5335D" w:rsidRPr="00A5335D">
        <w:rPr>
          <w:rFonts w:ascii="Times New Roman" w:hAnsi="Times New Roman"/>
          <w:noProof/>
          <w:sz w:val="24"/>
          <w:szCs w:val="24"/>
        </w:rPr>
        <w:t xml:space="preserve"> z pra</w:t>
      </w:r>
      <w:r w:rsidRPr="00A5335D">
        <w:rPr>
          <w:rFonts w:ascii="Times New Roman" w:hAnsi="Times New Roman"/>
          <w:noProof/>
          <w:sz w:val="24"/>
          <w:szCs w:val="24"/>
        </w:rPr>
        <w:t>cą</w:t>
      </w:r>
      <w:r w:rsidR="00A5335D" w:rsidRPr="00A5335D">
        <w:rPr>
          <w:rFonts w:ascii="Times New Roman" w:hAnsi="Times New Roman"/>
          <w:noProof/>
          <w:sz w:val="24"/>
          <w:szCs w:val="24"/>
        </w:rPr>
        <w:t xml:space="preserve"> w pań</w:t>
      </w:r>
      <w:r w:rsidRPr="00A5335D">
        <w:rPr>
          <w:rFonts w:ascii="Times New Roman" w:hAnsi="Times New Roman"/>
          <w:noProof/>
          <w:sz w:val="24"/>
          <w:szCs w:val="24"/>
        </w:rPr>
        <w:t>stwach członkowskich</w:t>
      </w:r>
      <w:r w:rsidR="003767C2" w:rsidRPr="00A5335D">
        <w:rPr>
          <w:rStyle w:val="FootnoteReference"/>
          <w:rFonts w:ascii="Times New Roman" w:hAnsi="Times New Roman" w:cs="Times New Roman"/>
          <w:noProof/>
          <w:sz w:val="24"/>
          <w:szCs w:val="24"/>
        </w:rPr>
        <w:footnoteReference w:id="81"/>
      </w:r>
      <w:r w:rsidRPr="00A5335D">
        <w:rPr>
          <w:rFonts w:ascii="Times New Roman" w:hAnsi="Times New Roman"/>
          <w:noProof/>
          <w:sz w:val="24"/>
          <w:szCs w:val="24"/>
        </w:rPr>
        <w:t>.</w:t>
      </w:r>
    </w:p>
    <w:sectPr w:rsidR="00647056" w:rsidRPr="00A5335D" w:rsidSect="00762865">
      <w:headerReference w:type="even" r:id="rId28"/>
      <w:headerReference w:type="default" r:id="rId29"/>
      <w:footerReference w:type="even" r:id="rId30"/>
      <w:footerReference w:type="default" r:id="rId31"/>
      <w:headerReference w:type="first" r:id="rId32"/>
      <w:footerReference w:type="first" r:id="rId3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D298F" w14:textId="77777777" w:rsidR="00844C78" w:rsidRPr="00A5335D" w:rsidRDefault="00844C78" w:rsidP="003767C2">
      <w:pPr>
        <w:spacing w:after="0" w:line="240" w:lineRule="auto"/>
      </w:pPr>
      <w:r w:rsidRPr="00A5335D">
        <w:separator/>
      </w:r>
    </w:p>
  </w:endnote>
  <w:endnote w:type="continuationSeparator" w:id="0">
    <w:p w14:paraId="51809682" w14:textId="77777777" w:rsidR="00844C78" w:rsidRPr="00A5335D" w:rsidRDefault="00844C78" w:rsidP="003767C2">
      <w:pPr>
        <w:spacing w:after="0" w:line="240" w:lineRule="auto"/>
      </w:pPr>
      <w:r w:rsidRPr="00A5335D">
        <w:continuationSeparator/>
      </w:r>
    </w:p>
  </w:endnote>
  <w:endnote w:type="continuationNotice" w:id="1">
    <w:p w14:paraId="1884CBD5" w14:textId="77777777" w:rsidR="00844C78" w:rsidRPr="00A5335D" w:rsidRDefault="00844C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2438A" w14:textId="77777777" w:rsidR="00084382" w:rsidRPr="00084382" w:rsidRDefault="00084382" w:rsidP="000843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EE9F5" w14:textId="389873BB" w:rsidR="002F12DA" w:rsidRPr="00084382" w:rsidRDefault="00084382" w:rsidP="00084382">
    <w:pPr>
      <w:pStyle w:val="FooterCoverPage"/>
      <w:rPr>
        <w:rFonts w:ascii="Arial" w:hAnsi="Arial" w:cs="Arial"/>
        <w:b/>
        <w:sz w:val="48"/>
      </w:rPr>
    </w:pPr>
    <w:r w:rsidRPr="00084382">
      <w:rPr>
        <w:rFonts w:ascii="Arial" w:hAnsi="Arial" w:cs="Arial"/>
        <w:b/>
        <w:sz w:val="48"/>
      </w:rPr>
      <w:t>PL</w:t>
    </w:r>
    <w:r w:rsidRPr="00084382">
      <w:rPr>
        <w:rFonts w:ascii="Arial" w:hAnsi="Arial" w:cs="Arial"/>
        <w:b/>
        <w:sz w:val="48"/>
      </w:rPr>
      <w:tab/>
    </w:r>
    <w:r w:rsidRPr="00084382">
      <w:rPr>
        <w:rFonts w:ascii="Arial" w:hAnsi="Arial" w:cs="Arial"/>
        <w:b/>
        <w:sz w:val="48"/>
      </w:rPr>
      <w:tab/>
    </w:r>
    <w:r w:rsidRPr="00084382">
      <w:tab/>
    </w:r>
    <w:r w:rsidRPr="00084382">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59135" w14:textId="77777777" w:rsidR="00084382" w:rsidRPr="00084382" w:rsidRDefault="00084382" w:rsidP="0008438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4" w14:textId="77777777" w:rsidR="00492DA7" w:rsidRDefault="00492DA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762490"/>
      <w:docPartObj>
        <w:docPartGallery w:val="Page Numbers (Bottom of Page)"/>
        <w:docPartUnique/>
      </w:docPartObj>
    </w:sdtPr>
    <w:sdtEndPr>
      <w:rPr>
        <w:noProof/>
      </w:rPr>
    </w:sdtEndPr>
    <w:sdtContent>
      <w:p w14:paraId="27CEFD15" w14:textId="7E34F8DA" w:rsidR="00492DA7" w:rsidRDefault="00492DA7" w:rsidP="00B8712C">
        <w:pPr>
          <w:pStyle w:val="Footer"/>
          <w:jc w:val="center"/>
        </w:pPr>
        <w:r>
          <w:fldChar w:fldCharType="begin"/>
        </w:r>
        <w:r>
          <w:instrText xml:space="preserve"> PAGE   \* MERGEFORMAT </w:instrText>
        </w:r>
        <w:r>
          <w:fldChar w:fldCharType="separate"/>
        </w:r>
        <w:r w:rsidR="00084382">
          <w:rPr>
            <w:noProof/>
          </w:rPr>
          <w:t>1</w:t>
        </w:r>
        <w:r>
          <w:fldChar w:fldCharType="end"/>
        </w:r>
      </w:p>
    </w:sdtContent>
  </w:sdt>
  <w:p w14:paraId="27CEFD16" w14:textId="77777777" w:rsidR="00492DA7" w:rsidRPr="00F33E30" w:rsidRDefault="00492DA7" w:rsidP="00A07AE7">
    <w:pPr>
      <w:pStyle w:val="Footer"/>
      <w:rPr>
        <w:rFonts w:ascii="Arial" w:hAnsi="Arial" w:cs="Arial"/>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8" w14:textId="77777777" w:rsidR="00492DA7" w:rsidRDefault="00492DA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B" w14:textId="77777777" w:rsidR="00492DA7" w:rsidRDefault="00492DA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079699"/>
      <w:docPartObj>
        <w:docPartGallery w:val="Page Numbers (Bottom of Page)"/>
        <w:docPartUnique/>
      </w:docPartObj>
    </w:sdtPr>
    <w:sdtEndPr>
      <w:rPr>
        <w:noProof/>
      </w:rPr>
    </w:sdtEndPr>
    <w:sdtContent>
      <w:p w14:paraId="27CEFD1C" w14:textId="36FEC8F7" w:rsidR="00492DA7" w:rsidRDefault="00492DA7">
        <w:pPr>
          <w:pStyle w:val="Footer"/>
          <w:jc w:val="center"/>
        </w:pPr>
        <w:r>
          <w:fldChar w:fldCharType="begin"/>
        </w:r>
        <w:r>
          <w:instrText xml:space="preserve"> PAGE   \* MERGEFORMAT </w:instrText>
        </w:r>
        <w:r>
          <w:fldChar w:fldCharType="separate"/>
        </w:r>
        <w:r w:rsidR="00084382">
          <w:rPr>
            <w:noProof/>
          </w:rPr>
          <w:t>3</w:t>
        </w:r>
        <w:r>
          <w:fldChar w:fldCharType="end"/>
        </w:r>
      </w:p>
    </w:sdtContent>
  </w:sdt>
  <w:p w14:paraId="27CEFD1D" w14:textId="77777777" w:rsidR="00492DA7" w:rsidRPr="00F33E30" w:rsidRDefault="00492DA7" w:rsidP="00A07AE7">
    <w:pPr>
      <w:pStyle w:val="Footer"/>
      <w:rPr>
        <w:rFonts w:ascii="Arial" w:hAnsi="Arial" w:cs="Arial"/>
        <w:sz w:val="48"/>
      </w:rPr>
    </w:pPr>
    <w:r>
      <w:rPr>
        <w:rFonts w:ascii="Arial" w:hAnsi="Arial"/>
        <w:sz w:val="48"/>
      </w:rPr>
      <w:tab/>
    </w:r>
    <w:r>
      <w:rPr>
        <w:rFonts w:ascii="Arial" w:hAnsi="Arial"/>
        <w:sz w:val="48"/>
      </w:rPr>
      <w:tab/>
    </w:r>
    <w:r>
      <w:rPr>
        <w:rFonts w:ascii="Arial" w:hAnsi="Arial"/>
        <w:sz w:val="48"/>
      </w:rP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F" w14:textId="77777777" w:rsidR="00492DA7" w:rsidRDefault="00492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B02BC" w14:textId="77777777" w:rsidR="00844C78" w:rsidRPr="00A5335D" w:rsidRDefault="00844C78" w:rsidP="003767C2">
      <w:pPr>
        <w:spacing w:after="0" w:line="240" w:lineRule="auto"/>
      </w:pPr>
      <w:r w:rsidRPr="00A5335D">
        <w:separator/>
      </w:r>
    </w:p>
  </w:footnote>
  <w:footnote w:type="continuationSeparator" w:id="0">
    <w:p w14:paraId="5A6DB780" w14:textId="77777777" w:rsidR="00844C78" w:rsidRPr="00A5335D" w:rsidRDefault="00844C78" w:rsidP="003767C2">
      <w:pPr>
        <w:spacing w:after="0" w:line="240" w:lineRule="auto"/>
      </w:pPr>
      <w:r w:rsidRPr="00A5335D">
        <w:continuationSeparator/>
      </w:r>
    </w:p>
  </w:footnote>
  <w:footnote w:type="continuationNotice" w:id="1">
    <w:p w14:paraId="3F941922" w14:textId="77777777" w:rsidR="00844C78" w:rsidRPr="00A5335D" w:rsidRDefault="00844C78">
      <w:pPr>
        <w:spacing w:after="0" w:line="240" w:lineRule="auto"/>
      </w:pPr>
    </w:p>
  </w:footnote>
  <w:footnote w:id="2">
    <w:p w14:paraId="27CEFD20" w14:textId="5CA61195" w:rsidR="00492DA7" w:rsidRPr="00A5335D" w:rsidRDefault="00492DA7" w:rsidP="00834BBD">
      <w:pPr>
        <w:pStyle w:val="FootnoteText"/>
        <w:ind w:left="708" w:hanging="708"/>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Eurostat</w:t>
      </w:r>
      <w:r w:rsidR="002D5B0A" w:rsidRPr="00A5335D">
        <w:rPr>
          <w:rFonts w:ascii="Times New Roman" w:hAnsi="Times New Roman"/>
        </w:rPr>
        <w:t>,</w:t>
      </w:r>
      <w:r w:rsidRPr="00A5335D">
        <w:rPr>
          <w:rFonts w:ascii="Times New Roman" w:hAnsi="Times New Roman"/>
        </w:rPr>
        <w:t xml:space="preserve"> </w:t>
      </w:r>
      <w:hyperlink r:id="rId1" w:history="1">
        <w:r w:rsidR="002D5B0A" w:rsidRPr="00A5335D">
          <w:rPr>
            <w:rStyle w:val="Hyperlink"/>
            <w:rFonts w:ascii="Times New Roman" w:hAnsi="Times New Roman"/>
          </w:rPr>
          <w:t>d</w:t>
        </w:r>
        <w:r w:rsidRPr="00A5335D">
          <w:rPr>
            <w:rStyle w:val="Hyperlink"/>
            <w:rFonts w:ascii="Times New Roman" w:hAnsi="Times New Roman"/>
          </w:rPr>
          <w:t>ane statystyczne dotyczące migracji</w:t>
        </w:r>
        <w:r w:rsidR="00A5335D" w:rsidRPr="00A5335D">
          <w:rPr>
            <w:rStyle w:val="Hyperlink"/>
            <w:rFonts w:ascii="Times New Roman" w:hAnsi="Times New Roman"/>
          </w:rPr>
          <w:t xml:space="preserve"> i pop</w:t>
        </w:r>
        <w:r w:rsidRPr="00A5335D">
          <w:rPr>
            <w:rStyle w:val="Hyperlink"/>
            <w:rFonts w:ascii="Times New Roman" w:hAnsi="Times New Roman"/>
          </w:rPr>
          <w:t>ulacji migrantów</w:t>
        </w:r>
      </w:hyperlink>
    </w:p>
  </w:footnote>
  <w:footnote w:id="3">
    <w:p w14:paraId="27CEFD21" w14:textId="0170FF7A" w:rsidR="00492DA7" w:rsidRPr="00A5335D" w:rsidRDefault="00492DA7" w:rsidP="00834BBD">
      <w:pPr>
        <w:pStyle w:val="FootnoteText"/>
        <w:ind w:left="708" w:hanging="708"/>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Dane statystyczne Eurostatu dotyczące pierwszego dokumentu pobytowego (</w:t>
      </w:r>
      <w:hyperlink r:id="rId2" w:history="1">
        <w:r w:rsidRPr="00A5335D">
          <w:rPr>
            <w:rStyle w:val="Hyperlink"/>
            <w:rFonts w:ascii="Times New Roman" w:hAnsi="Times New Roman"/>
          </w:rPr>
          <w:t>migr_resfirst</w:t>
        </w:r>
      </w:hyperlink>
      <w:r w:rsidRPr="00A5335D">
        <w:rPr>
          <w:rFonts w:ascii="Times New Roman" w:hAnsi="Times New Roman"/>
          <w:color w:val="000000"/>
          <w:shd w:val="clear" w:color="auto" w:fill="FCFCFC"/>
        </w:rPr>
        <w:t>)</w:t>
      </w:r>
      <w:r w:rsidRPr="00A5335D">
        <w:rPr>
          <w:rFonts w:ascii="Times New Roman" w:hAnsi="Times New Roman"/>
        </w:rPr>
        <w:t xml:space="preserve"> oraz dane Europejskiej Agencji Straży Granicznej</w:t>
      </w:r>
      <w:r w:rsidR="00A5335D" w:rsidRPr="00A5335D">
        <w:rPr>
          <w:rFonts w:ascii="Times New Roman" w:hAnsi="Times New Roman"/>
        </w:rPr>
        <w:t xml:space="preserve"> i Prz</w:t>
      </w:r>
      <w:r w:rsidRPr="00A5335D">
        <w:rPr>
          <w:rFonts w:ascii="Times New Roman" w:hAnsi="Times New Roman"/>
        </w:rPr>
        <w:t>ybrzeżnej.</w:t>
      </w:r>
    </w:p>
  </w:footnote>
  <w:footnote w:id="4">
    <w:p w14:paraId="27CEFD22" w14:textId="77777777" w:rsidR="00492DA7" w:rsidRPr="00A5335D" w:rsidRDefault="00492DA7" w:rsidP="00D7386D">
      <w:pPr>
        <w:pStyle w:val="FootnoteText"/>
        <w:ind w:left="708" w:hanging="708"/>
        <w:rPr>
          <w:rFonts w:ascii="Times New Roman" w:hAnsi="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COM(2020) 609 final.</w:t>
      </w:r>
    </w:p>
  </w:footnote>
  <w:footnote w:id="5">
    <w:p w14:paraId="27CEFD23" w14:textId="77777777" w:rsidR="00492DA7" w:rsidRPr="00A5335D" w:rsidRDefault="00492DA7" w:rsidP="009B2900">
      <w:pPr>
        <w:pStyle w:val="FootnoteText"/>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 xml:space="preserve">Biuro UNHCR, zob. </w:t>
      </w:r>
      <w:hyperlink r:id="rId3" w:history="1">
        <w:r w:rsidRPr="00A5335D">
          <w:rPr>
            <w:rStyle w:val="Hyperlink"/>
            <w:rFonts w:ascii="Times New Roman" w:hAnsi="Times New Roman"/>
          </w:rPr>
          <w:t>https://data2.unhcr.org/en/situations/ukraine</w:t>
        </w:r>
      </w:hyperlink>
      <w:r w:rsidRPr="00A5335D">
        <w:rPr>
          <w:rFonts w:ascii="Times New Roman" w:hAnsi="Times New Roman"/>
        </w:rPr>
        <w:t xml:space="preserve"> </w:t>
      </w:r>
    </w:p>
  </w:footnote>
  <w:footnote w:id="6">
    <w:p w14:paraId="27CEFD24" w14:textId="4770FA78" w:rsidR="00492DA7" w:rsidRPr="00A5335D" w:rsidRDefault="00492DA7">
      <w:pPr>
        <w:pStyle w:val="FootnoteText"/>
        <w:ind w:left="708" w:hanging="708"/>
        <w:jc w:val="both"/>
        <w:rPr>
          <w:rFonts w:ascii="Times New Roman" w:hAnsi="Times New Roman" w:cs="Times New Roman"/>
          <w:i/>
          <w:iCs/>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W dniu 1 stycznia 2021</w:t>
      </w:r>
      <w:r w:rsidR="00A5335D" w:rsidRPr="00A5335D">
        <w:rPr>
          <w:rFonts w:ascii="Times New Roman" w:hAnsi="Times New Roman"/>
        </w:rPr>
        <w:t> </w:t>
      </w:r>
      <w:r w:rsidRPr="00A5335D">
        <w:rPr>
          <w:rFonts w:ascii="Times New Roman" w:hAnsi="Times New Roman"/>
        </w:rPr>
        <w:t>r. obywatele państw trzecich przebywający</w:t>
      </w:r>
      <w:r w:rsidR="00A5335D" w:rsidRPr="00A5335D">
        <w:rPr>
          <w:rFonts w:ascii="Times New Roman" w:hAnsi="Times New Roman"/>
        </w:rPr>
        <w:t xml:space="preserve"> w pań</w:t>
      </w:r>
      <w:r w:rsidRPr="00A5335D">
        <w:rPr>
          <w:rFonts w:ascii="Times New Roman" w:hAnsi="Times New Roman"/>
        </w:rPr>
        <w:t>stwach członkowskich UE-27 stanowili 5,3</w:t>
      </w:r>
      <w:r w:rsidR="00A5335D" w:rsidRPr="00A5335D">
        <w:rPr>
          <w:rFonts w:ascii="Times New Roman" w:hAnsi="Times New Roman"/>
        </w:rPr>
        <w:t> </w:t>
      </w:r>
      <w:r w:rsidRPr="00A5335D">
        <w:rPr>
          <w:rFonts w:ascii="Times New Roman" w:hAnsi="Times New Roman"/>
        </w:rPr>
        <w:t>% ogółu ludności. Według Eurostatu (korzystającego</w:t>
      </w:r>
      <w:r w:rsidR="00A5335D" w:rsidRPr="00A5335D">
        <w:rPr>
          <w:rFonts w:ascii="Times New Roman" w:hAnsi="Times New Roman"/>
        </w:rPr>
        <w:t xml:space="preserve"> z dan</w:t>
      </w:r>
      <w:r w:rsidRPr="00A5335D">
        <w:rPr>
          <w:rFonts w:ascii="Times New Roman" w:hAnsi="Times New Roman"/>
        </w:rPr>
        <w:t>ych BAEL</w:t>
      </w:r>
      <w:r w:rsidR="00A5335D" w:rsidRPr="00A5335D">
        <w:rPr>
          <w:rFonts w:ascii="Times New Roman" w:hAnsi="Times New Roman"/>
        </w:rPr>
        <w:t xml:space="preserve"> i kla</w:t>
      </w:r>
      <w:r w:rsidRPr="00A5335D">
        <w:rPr>
          <w:rFonts w:ascii="Times New Roman" w:hAnsi="Times New Roman"/>
        </w:rPr>
        <w:t>syfikacji ISCO-08)</w:t>
      </w:r>
      <w:r w:rsidR="00A5335D" w:rsidRPr="00A5335D">
        <w:rPr>
          <w:rFonts w:ascii="Times New Roman" w:hAnsi="Times New Roman"/>
        </w:rPr>
        <w:t xml:space="preserve"> w 2</w:t>
      </w:r>
      <w:r w:rsidRPr="00A5335D">
        <w:rPr>
          <w:rFonts w:ascii="Times New Roman" w:hAnsi="Times New Roman"/>
        </w:rPr>
        <w:t>020</w:t>
      </w:r>
      <w:r w:rsidR="00A5335D" w:rsidRPr="00A5335D">
        <w:rPr>
          <w:rFonts w:ascii="Times New Roman" w:hAnsi="Times New Roman"/>
        </w:rPr>
        <w:t> </w:t>
      </w:r>
      <w:r w:rsidRPr="00A5335D">
        <w:rPr>
          <w:rFonts w:ascii="Times New Roman" w:hAnsi="Times New Roman"/>
        </w:rPr>
        <w:t>r. stanowili oni jednak 8,7</w:t>
      </w:r>
      <w:r w:rsidR="00A5335D" w:rsidRPr="00A5335D">
        <w:rPr>
          <w:rFonts w:ascii="Times New Roman" w:hAnsi="Times New Roman"/>
        </w:rPr>
        <w:t> </w:t>
      </w:r>
      <w:r w:rsidRPr="00A5335D">
        <w:rPr>
          <w:rFonts w:ascii="Times New Roman" w:hAnsi="Times New Roman"/>
        </w:rPr>
        <w:t>% osób sprzątających</w:t>
      </w:r>
      <w:r w:rsidR="00A5335D" w:rsidRPr="00A5335D">
        <w:rPr>
          <w:rFonts w:ascii="Times New Roman" w:hAnsi="Times New Roman"/>
        </w:rPr>
        <w:t xml:space="preserve"> i pom</w:t>
      </w:r>
      <w:r w:rsidRPr="00A5335D">
        <w:rPr>
          <w:rFonts w:ascii="Times New Roman" w:hAnsi="Times New Roman"/>
        </w:rPr>
        <w:t>ocy sprzątającej, 7,2</w:t>
      </w:r>
      <w:r w:rsidR="00A5335D" w:rsidRPr="00A5335D">
        <w:rPr>
          <w:rFonts w:ascii="Times New Roman" w:hAnsi="Times New Roman"/>
        </w:rPr>
        <w:t> </w:t>
      </w:r>
      <w:r w:rsidRPr="00A5335D">
        <w:rPr>
          <w:rFonts w:ascii="Times New Roman" w:hAnsi="Times New Roman"/>
        </w:rPr>
        <w:t>% pomocników przygotowujących posiłki, 6,9</w:t>
      </w:r>
      <w:r w:rsidR="00A5335D" w:rsidRPr="00A5335D">
        <w:rPr>
          <w:rFonts w:ascii="Times New Roman" w:hAnsi="Times New Roman"/>
        </w:rPr>
        <w:t> </w:t>
      </w:r>
      <w:r w:rsidRPr="00A5335D">
        <w:rPr>
          <w:rFonts w:ascii="Times New Roman" w:hAnsi="Times New Roman"/>
        </w:rPr>
        <w:t>% robotników</w:t>
      </w:r>
      <w:r w:rsidR="00A5335D" w:rsidRPr="00A5335D">
        <w:rPr>
          <w:rFonts w:ascii="Times New Roman" w:hAnsi="Times New Roman"/>
        </w:rPr>
        <w:t xml:space="preserve"> w rol</w:t>
      </w:r>
      <w:r w:rsidRPr="00A5335D">
        <w:rPr>
          <w:rFonts w:ascii="Times New Roman" w:hAnsi="Times New Roman"/>
        </w:rPr>
        <w:t>nictwie, leśnictwie</w:t>
      </w:r>
      <w:r w:rsidR="00A5335D" w:rsidRPr="00A5335D">
        <w:rPr>
          <w:rFonts w:ascii="Times New Roman" w:hAnsi="Times New Roman"/>
        </w:rPr>
        <w:t xml:space="preserve"> i ryb</w:t>
      </w:r>
      <w:r w:rsidRPr="00A5335D">
        <w:rPr>
          <w:rFonts w:ascii="Times New Roman" w:hAnsi="Times New Roman"/>
        </w:rPr>
        <w:t>ołówstwie, 6,1</w:t>
      </w:r>
      <w:r w:rsidR="00A5335D" w:rsidRPr="00A5335D">
        <w:rPr>
          <w:rFonts w:ascii="Times New Roman" w:hAnsi="Times New Roman"/>
        </w:rPr>
        <w:t> </w:t>
      </w:r>
      <w:r w:rsidRPr="00A5335D">
        <w:rPr>
          <w:rFonts w:ascii="Times New Roman" w:hAnsi="Times New Roman"/>
        </w:rPr>
        <w:t>% robotników budowlanych oraz 6,0</w:t>
      </w:r>
      <w:r w:rsidR="00A5335D" w:rsidRPr="00A5335D">
        <w:rPr>
          <w:rFonts w:ascii="Times New Roman" w:hAnsi="Times New Roman"/>
        </w:rPr>
        <w:t> </w:t>
      </w:r>
      <w:r w:rsidRPr="00A5335D">
        <w:rPr>
          <w:rFonts w:ascii="Times New Roman" w:hAnsi="Times New Roman"/>
        </w:rPr>
        <w:t>% osób zatrudnionych</w:t>
      </w:r>
      <w:r w:rsidR="00A5335D" w:rsidRPr="00A5335D">
        <w:rPr>
          <w:rFonts w:ascii="Times New Roman" w:hAnsi="Times New Roman"/>
        </w:rPr>
        <w:t xml:space="preserve"> w gór</w:t>
      </w:r>
      <w:r w:rsidRPr="00A5335D">
        <w:rPr>
          <w:rFonts w:ascii="Times New Roman" w:hAnsi="Times New Roman"/>
        </w:rPr>
        <w:t>nictwie, budownictwie, przemyśle</w:t>
      </w:r>
      <w:r w:rsidR="00A5335D" w:rsidRPr="00A5335D">
        <w:rPr>
          <w:rFonts w:ascii="Times New Roman" w:hAnsi="Times New Roman"/>
        </w:rPr>
        <w:t xml:space="preserve"> i tra</w:t>
      </w:r>
      <w:r w:rsidRPr="00A5335D">
        <w:rPr>
          <w:rFonts w:ascii="Times New Roman" w:hAnsi="Times New Roman"/>
        </w:rPr>
        <w:t xml:space="preserve">nsporcie. </w:t>
      </w:r>
    </w:p>
  </w:footnote>
  <w:footnote w:id="7">
    <w:p w14:paraId="27CEFD25" w14:textId="17FAA8A2" w:rsidR="00492DA7" w:rsidRPr="00A5335D" w:rsidRDefault="00492DA7" w:rsidP="008A015B">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Inne możliwe interwencje ze strony pracodawców lub decydentów to podniesienie płac, poprawa warunków pracy, aktywizacja na rynku pracy obecnych mieszkańców pochodzenia rodzimego</w:t>
      </w:r>
      <w:r w:rsidR="00A5335D" w:rsidRPr="00A5335D">
        <w:rPr>
          <w:rFonts w:ascii="Times New Roman" w:hAnsi="Times New Roman"/>
        </w:rPr>
        <w:t xml:space="preserve"> i zag</w:t>
      </w:r>
      <w:r w:rsidRPr="00A5335D">
        <w:rPr>
          <w:rFonts w:ascii="Times New Roman" w:hAnsi="Times New Roman"/>
        </w:rPr>
        <w:t>ranicznego,</w:t>
      </w:r>
      <w:r w:rsidR="00A5335D" w:rsidRPr="00A5335D">
        <w:rPr>
          <w:rFonts w:ascii="Times New Roman" w:hAnsi="Times New Roman"/>
        </w:rPr>
        <w:t xml:space="preserve"> w szc</w:t>
      </w:r>
      <w:r w:rsidRPr="00A5335D">
        <w:rPr>
          <w:rFonts w:ascii="Times New Roman" w:hAnsi="Times New Roman"/>
        </w:rPr>
        <w:t>zególności kobiet, inwestowanie</w:t>
      </w:r>
      <w:r w:rsidR="00A5335D" w:rsidRPr="00A5335D">
        <w:rPr>
          <w:rFonts w:ascii="Times New Roman" w:hAnsi="Times New Roman"/>
        </w:rPr>
        <w:t xml:space="preserve"> w pla</w:t>
      </w:r>
      <w:r w:rsidRPr="00A5335D">
        <w:rPr>
          <w:rFonts w:ascii="Times New Roman" w:hAnsi="Times New Roman"/>
        </w:rPr>
        <w:t>cówki edukacyjne</w:t>
      </w:r>
      <w:r w:rsidR="00A5335D" w:rsidRPr="00A5335D">
        <w:rPr>
          <w:rFonts w:ascii="Times New Roman" w:hAnsi="Times New Roman"/>
        </w:rPr>
        <w:t xml:space="preserve"> i szk</w:t>
      </w:r>
      <w:r w:rsidRPr="00A5335D">
        <w:rPr>
          <w:rFonts w:ascii="Times New Roman" w:hAnsi="Times New Roman"/>
        </w:rPr>
        <w:t xml:space="preserve">oleniowe lub ich reformowanie, zmiana procesów produkcji czy też zwiększenie importu. Zob. na przykład </w:t>
      </w:r>
      <w:r w:rsidRPr="00A5335D">
        <w:rPr>
          <w:rFonts w:ascii="Times New Roman" w:hAnsi="Times New Roman"/>
          <w:i/>
        </w:rPr>
        <w:t>Labour shortages and migration policy</w:t>
      </w:r>
      <w:r w:rsidRPr="00A5335D">
        <w:rPr>
          <w:rFonts w:ascii="Times New Roman" w:hAnsi="Times New Roman"/>
        </w:rPr>
        <w:t>, [„Niedobór siły roboczej</w:t>
      </w:r>
      <w:r w:rsidR="00A5335D" w:rsidRPr="00A5335D">
        <w:rPr>
          <w:rFonts w:ascii="Times New Roman" w:hAnsi="Times New Roman"/>
        </w:rPr>
        <w:t xml:space="preserve"> i pol</w:t>
      </w:r>
      <w:r w:rsidRPr="00A5335D">
        <w:rPr>
          <w:rFonts w:ascii="Times New Roman" w:hAnsi="Times New Roman"/>
        </w:rPr>
        <w:t>ityka migracyjna”], IOM 2012.</w:t>
      </w:r>
    </w:p>
  </w:footnote>
  <w:footnote w:id="8">
    <w:p w14:paraId="27CEFD26" w14:textId="77777777" w:rsidR="00492DA7" w:rsidRPr="00A5335D" w:rsidRDefault="00492DA7" w:rsidP="00D7386D">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r>
      <w:hyperlink r:id="rId4" w:history="1">
        <w:r w:rsidRPr="00A5335D">
          <w:rPr>
            <w:rStyle w:val="Hyperlink"/>
            <w:rFonts w:ascii="Times New Roman" w:hAnsi="Times New Roman"/>
          </w:rPr>
          <w:t>https://ec.europa.eu/jrc/en/news/crucial-contribution-migrant-workers-europes-coronavirus-response</w:t>
        </w:r>
      </w:hyperlink>
    </w:p>
  </w:footnote>
  <w:footnote w:id="9">
    <w:p w14:paraId="27CEFD27" w14:textId="6A5F9D27" w:rsidR="00492DA7" w:rsidRPr="00A5335D" w:rsidRDefault="00492DA7" w:rsidP="00942FC0">
      <w:pPr>
        <w:pStyle w:val="FootnoteText"/>
        <w:ind w:left="709" w:hanging="709"/>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Decyzja wykonawcza Rady (UE) 2022/382 stwierdzająca istnienie masowego napływu wysiedleńców</w:t>
      </w:r>
      <w:r w:rsidR="00A5335D" w:rsidRPr="00A5335D">
        <w:rPr>
          <w:rFonts w:ascii="Times New Roman" w:hAnsi="Times New Roman"/>
        </w:rPr>
        <w:t xml:space="preserve"> z Ukr</w:t>
      </w:r>
      <w:r w:rsidRPr="00A5335D">
        <w:rPr>
          <w:rFonts w:ascii="Times New Roman" w:hAnsi="Times New Roman"/>
        </w:rPr>
        <w:t>ainy.</w:t>
      </w:r>
    </w:p>
  </w:footnote>
  <w:footnote w:id="10">
    <w:p w14:paraId="27CEFD28" w14:textId="77777777" w:rsidR="00492DA7" w:rsidRPr="00A5335D" w:rsidRDefault="00492DA7" w:rsidP="298C0DE2">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r>
      <w:hyperlink r:id="rId5" w:history="1">
        <w:r w:rsidRPr="00A5335D">
          <w:rPr>
            <w:rStyle w:val="Hyperlink"/>
            <w:rFonts w:ascii="Times New Roman" w:hAnsi="Times New Roman"/>
          </w:rPr>
          <w:t>https://www.pesnetwork.eu/2022/04/04/european-labour-market-barometer-17/</w:t>
        </w:r>
      </w:hyperlink>
    </w:p>
  </w:footnote>
  <w:footnote w:id="11">
    <w:p w14:paraId="27CEFD29" w14:textId="7C507B63" w:rsidR="00492DA7" w:rsidRPr="00A5335D" w:rsidRDefault="00492DA7" w:rsidP="002D5B0A">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 xml:space="preserve">Międzynarodowy Fundusz Walutowy, </w:t>
      </w:r>
      <w:r w:rsidRPr="00A5335D">
        <w:rPr>
          <w:rFonts w:ascii="Times New Roman" w:hAnsi="Times New Roman"/>
          <w:i/>
        </w:rPr>
        <w:t>Labor market tightness in advanced economies</w:t>
      </w:r>
      <w:r w:rsidRPr="00A5335D">
        <w:rPr>
          <w:rFonts w:ascii="Times New Roman" w:hAnsi="Times New Roman"/>
        </w:rPr>
        <w:t xml:space="preserve"> [„Kurczące się zasoby pracy</w:t>
      </w:r>
      <w:r w:rsidR="00A5335D" w:rsidRPr="00A5335D">
        <w:rPr>
          <w:rFonts w:ascii="Times New Roman" w:hAnsi="Times New Roman"/>
        </w:rPr>
        <w:t xml:space="preserve"> w zaa</w:t>
      </w:r>
      <w:r w:rsidRPr="00A5335D">
        <w:rPr>
          <w:rFonts w:ascii="Times New Roman" w:hAnsi="Times New Roman"/>
        </w:rPr>
        <w:t>wansowanych gospodarkach”], marzec 2022.</w:t>
      </w:r>
    </w:p>
  </w:footnote>
  <w:footnote w:id="12">
    <w:p w14:paraId="27CEFD2A" w14:textId="4385F7D9" w:rsidR="00492DA7" w:rsidRPr="00A5335D" w:rsidRDefault="00492DA7" w:rsidP="008A015B">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 xml:space="preserve">Eurofound, </w:t>
      </w:r>
      <w:r w:rsidRPr="00A5335D">
        <w:rPr>
          <w:rFonts w:ascii="Times New Roman" w:hAnsi="Times New Roman"/>
          <w:i/>
        </w:rPr>
        <w:t>Tackling labour shortages in EU Member States</w:t>
      </w:r>
      <w:r w:rsidRPr="00A5335D">
        <w:rPr>
          <w:rFonts w:ascii="Times New Roman" w:hAnsi="Times New Roman"/>
        </w:rPr>
        <w:t xml:space="preserve"> [„Przeciwdziałanie niedoborom pracowników</w:t>
      </w:r>
      <w:r w:rsidR="00A5335D" w:rsidRPr="00A5335D">
        <w:rPr>
          <w:rFonts w:ascii="Times New Roman" w:hAnsi="Times New Roman"/>
        </w:rPr>
        <w:t xml:space="preserve"> w pań</w:t>
      </w:r>
      <w:r w:rsidRPr="00A5335D">
        <w:rPr>
          <w:rFonts w:ascii="Times New Roman" w:hAnsi="Times New Roman"/>
        </w:rPr>
        <w:t>stwach członkowskich UE”], lipiec 2021,</w:t>
      </w:r>
      <w:r w:rsidR="002D5B0A" w:rsidRPr="00A5335D">
        <w:rPr>
          <w:rFonts w:ascii="Times New Roman" w:hAnsi="Times New Roman"/>
        </w:rPr>
        <w:tab/>
      </w:r>
      <w:r w:rsidR="002D5B0A" w:rsidRPr="00A5335D">
        <w:rPr>
          <w:rFonts w:ascii="Times New Roman" w:hAnsi="Times New Roman"/>
        </w:rPr>
        <w:br/>
      </w:r>
      <w:hyperlink r:id="rId6" w:history="1">
        <w:r w:rsidRPr="00A5335D">
          <w:rPr>
            <w:rStyle w:val="Hyperlink"/>
            <w:rFonts w:ascii="Times New Roman" w:hAnsi="Times New Roman"/>
          </w:rPr>
          <w:t>https://www.eurofound.europa.eu/publications/report/2021/tackling-labour-shortages-in-eu-member-states</w:t>
        </w:r>
      </w:hyperlink>
    </w:p>
  </w:footnote>
  <w:footnote w:id="13">
    <w:p w14:paraId="27CEFD2B" w14:textId="1B9973FA" w:rsidR="00492DA7" w:rsidRPr="00A5335D" w:rsidRDefault="00492DA7" w:rsidP="00A25958">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Population on</w:t>
      </w:r>
      <w:r w:rsidR="00A5335D" w:rsidRPr="00A5335D">
        <w:rPr>
          <w:rFonts w:ascii="Times New Roman" w:hAnsi="Times New Roman"/>
        </w:rPr>
        <w:t> </w:t>
      </w:r>
      <w:r w:rsidRPr="00A5335D">
        <w:rPr>
          <w:rFonts w:ascii="Times New Roman" w:hAnsi="Times New Roman"/>
        </w:rPr>
        <w:t>1st January by age, sex and type of projection (proj_19np), [Ludność na dzień 1 stycznia</w:t>
      </w:r>
      <w:r w:rsidR="00A5335D" w:rsidRPr="00A5335D">
        <w:rPr>
          <w:rFonts w:ascii="Times New Roman" w:hAnsi="Times New Roman"/>
        </w:rPr>
        <w:t xml:space="preserve"> w pod</w:t>
      </w:r>
      <w:r w:rsidRPr="00A5335D">
        <w:rPr>
          <w:rFonts w:ascii="Times New Roman" w:hAnsi="Times New Roman"/>
        </w:rPr>
        <w:t>ziale według wieku, płci</w:t>
      </w:r>
      <w:r w:rsidR="00A5335D" w:rsidRPr="00A5335D">
        <w:rPr>
          <w:rFonts w:ascii="Times New Roman" w:hAnsi="Times New Roman"/>
        </w:rPr>
        <w:t xml:space="preserve"> i rod</w:t>
      </w:r>
      <w:r w:rsidRPr="00A5335D">
        <w:rPr>
          <w:rFonts w:ascii="Times New Roman" w:hAnsi="Times New Roman"/>
        </w:rPr>
        <w:t>zaju prognozy (proj_19np)], (</w:t>
      </w:r>
      <w:hyperlink r:id="rId7" w:history="1">
        <w:r w:rsidRPr="00A5335D">
          <w:rPr>
            <w:rStyle w:val="Hyperlink"/>
            <w:rFonts w:ascii="Times New Roman" w:hAnsi="Times New Roman"/>
          </w:rPr>
          <w:t>dane statystyczne |</w:t>
        </w:r>
      </w:hyperlink>
      <w:hyperlink r:id="rId8" w:history="1">
        <w:r w:rsidRPr="00A5335D">
          <w:rPr>
            <w:rStyle w:val="Hyperlink"/>
            <w:rFonts w:ascii="Times New Roman" w:hAnsi="Times New Roman"/>
          </w:rPr>
          <w:t xml:space="preserve"> Eurostat (europa.eu)</w:t>
        </w:r>
      </w:hyperlink>
      <w:r w:rsidRPr="00A5335D">
        <w:rPr>
          <w:rFonts w:ascii="Times New Roman" w:hAnsi="Times New Roman"/>
        </w:rPr>
        <w:t>)</w:t>
      </w:r>
    </w:p>
  </w:footnote>
  <w:footnote w:id="14">
    <w:p w14:paraId="27CEFD2C" w14:textId="28BCB7EB" w:rsidR="00492DA7" w:rsidRPr="00A5335D" w:rsidRDefault="00492DA7" w:rsidP="00954092">
      <w:pPr>
        <w:pStyle w:val="FootnoteText"/>
        <w:ind w:left="708" w:hanging="708"/>
        <w:jc w:val="both"/>
        <w:rPr>
          <w:rStyle w:val="FootnoteReference"/>
          <w:rFonts w:ascii="Times New Roman" w:hAnsi="Times New Roman" w:cs="Times New Roman"/>
          <w:sz w:val="18"/>
          <w:szCs w:val="18"/>
        </w:rPr>
      </w:pPr>
      <w:r w:rsidRPr="00A5335D">
        <w:rPr>
          <w:rStyle w:val="FootnoteReference"/>
          <w:rFonts w:ascii="Times New Roman" w:hAnsi="Times New Roman" w:cs="Times New Roman"/>
          <w:sz w:val="18"/>
          <w:szCs w:val="18"/>
        </w:rPr>
        <w:footnoteRef/>
      </w:r>
      <w:r w:rsidR="002D5B0A" w:rsidRPr="00A5335D">
        <w:rPr>
          <w:rStyle w:val="FootnoteReference"/>
          <w:rFonts w:ascii="Times New Roman" w:hAnsi="Times New Roman"/>
          <w:sz w:val="18"/>
          <w:szCs w:val="18"/>
        </w:rPr>
        <w:t xml:space="preserve"> </w:t>
      </w:r>
      <w:r w:rsidRPr="00A5335D">
        <w:rPr>
          <w:rFonts w:ascii="Times New Roman" w:hAnsi="Times New Roman"/>
          <w:sz w:val="18"/>
          <w:szCs w:val="18"/>
        </w:rPr>
        <w:tab/>
      </w:r>
      <w:r w:rsidRPr="00A5335D">
        <w:rPr>
          <w:rFonts w:ascii="Times New Roman" w:hAnsi="Times New Roman"/>
        </w:rPr>
        <w:t xml:space="preserve">Eurostat, </w:t>
      </w:r>
      <w:hyperlink r:id="rId9" w:history="1">
        <w:r w:rsidR="002D5B0A" w:rsidRPr="00A5335D">
          <w:rPr>
            <w:rStyle w:val="Hyperlink"/>
            <w:rFonts w:ascii="Times New Roman" w:hAnsi="Times New Roman"/>
          </w:rPr>
          <w:t>S</w:t>
        </w:r>
        <w:r w:rsidRPr="00A5335D">
          <w:rPr>
            <w:rStyle w:val="Hyperlink"/>
            <w:rFonts w:ascii="Times New Roman" w:hAnsi="Times New Roman"/>
          </w:rPr>
          <w:t>truktura</w:t>
        </w:r>
        <w:r w:rsidR="00A5335D" w:rsidRPr="00A5335D">
          <w:rPr>
            <w:rStyle w:val="Hyperlink"/>
            <w:rFonts w:ascii="Times New Roman" w:hAnsi="Times New Roman"/>
          </w:rPr>
          <w:t xml:space="preserve"> i sta</w:t>
        </w:r>
        <w:r w:rsidRPr="00A5335D">
          <w:rPr>
            <w:rStyle w:val="Hyperlink"/>
            <w:rFonts w:ascii="Times New Roman" w:hAnsi="Times New Roman"/>
          </w:rPr>
          <w:t>rzenie się ludności</w:t>
        </w:r>
      </w:hyperlink>
      <w:r w:rsidRPr="00A5335D">
        <w:rPr>
          <w:rFonts w:ascii="Times New Roman" w:hAnsi="Times New Roman"/>
        </w:rPr>
        <w:t xml:space="preserve">; Komisja Europejska, </w:t>
      </w:r>
      <w:r w:rsidRPr="00A5335D">
        <w:rPr>
          <w:rFonts w:ascii="Times New Roman" w:hAnsi="Times New Roman"/>
          <w:i/>
        </w:rPr>
        <w:t>Atlas Demografii, Wpływ migracji na ludność</w:t>
      </w:r>
      <w:r w:rsidR="00A5335D" w:rsidRPr="00A5335D">
        <w:rPr>
          <w:rFonts w:ascii="Times New Roman" w:hAnsi="Times New Roman"/>
          <w:i/>
        </w:rPr>
        <w:t xml:space="preserve"> w wie</w:t>
      </w:r>
      <w:r w:rsidRPr="00A5335D">
        <w:rPr>
          <w:rFonts w:ascii="Times New Roman" w:hAnsi="Times New Roman"/>
          <w:i/>
        </w:rPr>
        <w:t>ku produkcyjnym,</w:t>
      </w:r>
      <w:r w:rsidRPr="00A5335D">
        <w:rPr>
          <w:rFonts w:ascii="Times New Roman" w:hAnsi="Times New Roman"/>
        </w:rPr>
        <w:t xml:space="preserve"> </w:t>
      </w:r>
      <w:hyperlink r:id="rId10" w:history="1">
        <w:r w:rsidRPr="00A5335D">
          <w:rPr>
            <w:rStyle w:val="Hyperlink"/>
            <w:rFonts w:ascii="Times New Roman" w:hAnsi="Times New Roman"/>
          </w:rPr>
          <w:t>https://migration-demography-tools.jrc.ec.europa.eu/atlas-demography/stories/AoD/2/migration/S4</w:t>
        </w:r>
      </w:hyperlink>
      <w:r w:rsidRPr="00A5335D">
        <w:rPr>
          <w:rFonts w:ascii="Times New Roman" w:hAnsi="Times New Roman"/>
        </w:rPr>
        <w:t xml:space="preserve"> </w:t>
      </w:r>
    </w:p>
  </w:footnote>
  <w:footnote w:id="15">
    <w:p w14:paraId="27CEFD2D" w14:textId="0FF83FA9" w:rsidR="00492DA7" w:rsidRPr="00A5335D" w:rsidRDefault="00492DA7" w:rsidP="007C0A65">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Kwartalny wskaźnik wolnych miejsc pracy w UE-27 osiągnął poziom 2,4</w:t>
      </w:r>
      <w:r w:rsidR="00A5335D" w:rsidRPr="00A5335D">
        <w:rPr>
          <w:rFonts w:ascii="Times New Roman" w:hAnsi="Times New Roman"/>
        </w:rPr>
        <w:t> </w:t>
      </w:r>
      <w:r w:rsidRPr="00A5335D">
        <w:rPr>
          <w:rFonts w:ascii="Times New Roman" w:hAnsi="Times New Roman"/>
        </w:rPr>
        <w:t>% w III kw.</w:t>
      </w:r>
      <w:r w:rsidR="00A5335D" w:rsidRPr="00A5335D">
        <w:rPr>
          <w:rFonts w:ascii="Times New Roman" w:hAnsi="Times New Roman"/>
        </w:rPr>
        <w:t> </w:t>
      </w:r>
      <w:r w:rsidRPr="00A5335D">
        <w:rPr>
          <w:rFonts w:ascii="Times New Roman" w:hAnsi="Times New Roman"/>
        </w:rPr>
        <w:t>2021</w:t>
      </w:r>
      <w:r w:rsidR="00A5335D" w:rsidRPr="00A5335D">
        <w:rPr>
          <w:rFonts w:ascii="Times New Roman" w:hAnsi="Times New Roman"/>
        </w:rPr>
        <w:t> </w:t>
      </w:r>
      <w:r w:rsidRPr="00A5335D">
        <w:rPr>
          <w:rFonts w:ascii="Times New Roman" w:hAnsi="Times New Roman"/>
        </w:rPr>
        <w:t>r.</w:t>
      </w:r>
      <w:r w:rsidR="00A5335D" w:rsidRPr="00A5335D">
        <w:rPr>
          <w:rFonts w:ascii="Times New Roman" w:hAnsi="Times New Roman"/>
        </w:rPr>
        <w:t xml:space="preserve"> i jes</w:t>
      </w:r>
      <w:r w:rsidRPr="00A5335D">
        <w:rPr>
          <w:rFonts w:ascii="Times New Roman" w:hAnsi="Times New Roman"/>
        </w:rPr>
        <w:t>t najwyższy od II kw.</w:t>
      </w:r>
      <w:r w:rsidR="00A5335D" w:rsidRPr="00A5335D">
        <w:rPr>
          <w:rFonts w:ascii="Times New Roman" w:hAnsi="Times New Roman"/>
        </w:rPr>
        <w:t> </w:t>
      </w:r>
      <w:r w:rsidRPr="00A5335D">
        <w:rPr>
          <w:rFonts w:ascii="Times New Roman" w:hAnsi="Times New Roman"/>
        </w:rPr>
        <w:t>2019</w:t>
      </w:r>
      <w:r w:rsidR="00A5335D" w:rsidRPr="00A5335D">
        <w:rPr>
          <w:rFonts w:ascii="Times New Roman" w:hAnsi="Times New Roman"/>
        </w:rPr>
        <w:t> </w:t>
      </w:r>
      <w:r w:rsidRPr="00A5335D">
        <w:rPr>
          <w:rFonts w:ascii="Times New Roman" w:hAnsi="Times New Roman"/>
        </w:rPr>
        <w:t>r. (przed pandemią COVID-19). W IV kw.</w:t>
      </w:r>
      <w:r w:rsidR="00A5335D" w:rsidRPr="00A5335D">
        <w:rPr>
          <w:rFonts w:ascii="Times New Roman" w:hAnsi="Times New Roman"/>
        </w:rPr>
        <w:t> </w:t>
      </w:r>
      <w:r w:rsidRPr="00A5335D">
        <w:rPr>
          <w:rFonts w:ascii="Times New Roman" w:hAnsi="Times New Roman"/>
        </w:rPr>
        <w:t>2021</w:t>
      </w:r>
      <w:r w:rsidR="00A5335D" w:rsidRPr="00A5335D">
        <w:rPr>
          <w:rFonts w:ascii="Times New Roman" w:hAnsi="Times New Roman"/>
        </w:rPr>
        <w:t> </w:t>
      </w:r>
      <w:r w:rsidRPr="00A5335D">
        <w:rPr>
          <w:rFonts w:ascii="Times New Roman" w:hAnsi="Times New Roman"/>
        </w:rPr>
        <w:t>r. wynosił on</w:t>
      </w:r>
      <w:r w:rsidR="00A5335D" w:rsidRPr="00A5335D">
        <w:rPr>
          <w:rFonts w:ascii="Times New Roman" w:hAnsi="Times New Roman"/>
        </w:rPr>
        <w:t> </w:t>
      </w:r>
      <w:r w:rsidRPr="00A5335D">
        <w:rPr>
          <w:rFonts w:ascii="Times New Roman" w:hAnsi="Times New Roman"/>
        </w:rPr>
        <w:t>2,6</w:t>
      </w:r>
      <w:r w:rsidR="00A5335D" w:rsidRPr="00A5335D">
        <w:rPr>
          <w:rFonts w:ascii="Times New Roman" w:hAnsi="Times New Roman"/>
        </w:rPr>
        <w:t> </w:t>
      </w:r>
      <w:r w:rsidRPr="00A5335D">
        <w:rPr>
          <w:rFonts w:ascii="Times New Roman" w:hAnsi="Times New Roman"/>
        </w:rPr>
        <w:t xml:space="preserve">%. </w:t>
      </w:r>
      <w:hyperlink r:id="rId11" w:history="1">
        <w:r w:rsidRPr="00A5335D">
          <w:rPr>
            <w:rStyle w:val="Hyperlink"/>
            <w:rFonts w:ascii="Times New Roman" w:hAnsi="Times New Roman"/>
          </w:rPr>
          <w:t>https://ec.europa.eu/eurostat/documents/2995521/14358242/3-17032022-BP-EN.pdf/3e6f6746-aa8d-b25c-7696-3912bf7ebd2c?t=1647445976514</w:t>
        </w:r>
      </w:hyperlink>
    </w:p>
  </w:footnote>
  <w:footnote w:id="16">
    <w:p w14:paraId="27CEFD2E" w14:textId="4A605752" w:rsidR="00492DA7" w:rsidRPr="00A5335D" w:rsidRDefault="00492DA7">
      <w:pPr>
        <w:pStyle w:val="FootnoteText"/>
        <w:ind w:left="708" w:hanging="708"/>
        <w:jc w:val="both"/>
        <w:rPr>
          <w:rFonts w:ascii="Times New Roman" w:hAnsi="Times New Roman" w:cs="Times New Roman"/>
          <w:i/>
          <w:iCs/>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Były to najczęściej zgłaszane zawody deficytowe</w:t>
      </w:r>
      <w:r w:rsidR="00A5335D" w:rsidRPr="00A5335D">
        <w:rPr>
          <w:rFonts w:ascii="Times New Roman" w:hAnsi="Times New Roman"/>
        </w:rPr>
        <w:t xml:space="preserve"> w 2</w:t>
      </w:r>
      <w:r w:rsidRPr="00A5335D">
        <w:rPr>
          <w:rFonts w:ascii="Times New Roman" w:hAnsi="Times New Roman"/>
        </w:rPr>
        <w:t>021</w:t>
      </w:r>
      <w:r w:rsidR="00A5335D" w:rsidRPr="00A5335D">
        <w:rPr>
          <w:rFonts w:ascii="Times New Roman" w:hAnsi="Times New Roman"/>
        </w:rPr>
        <w:t> </w:t>
      </w:r>
      <w:r w:rsidRPr="00A5335D">
        <w:rPr>
          <w:rFonts w:ascii="Times New Roman" w:hAnsi="Times New Roman"/>
        </w:rPr>
        <w:t xml:space="preserve">r. w UE. Zob. Europejski Urząd ds. Pracy, </w:t>
      </w:r>
      <w:r w:rsidRPr="00A5335D">
        <w:rPr>
          <w:rFonts w:ascii="Times New Roman" w:hAnsi="Times New Roman"/>
          <w:i/>
          <w:iCs/>
        </w:rPr>
        <w:t>Analysis of shortage and surplus occupations</w:t>
      </w:r>
      <w:r w:rsidRPr="00A5335D">
        <w:rPr>
          <w:rFonts w:ascii="Times New Roman" w:hAnsi="Times New Roman"/>
        </w:rPr>
        <w:t xml:space="preserve"> [„Analiza zawodów deficytowych</w:t>
      </w:r>
      <w:r w:rsidR="00A5335D" w:rsidRPr="00A5335D">
        <w:rPr>
          <w:rFonts w:ascii="Times New Roman" w:hAnsi="Times New Roman"/>
        </w:rPr>
        <w:t xml:space="preserve"> i nad</w:t>
      </w:r>
      <w:r w:rsidRPr="00A5335D">
        <w:rPr>
          <w:rFonts w:ascii="Times New Roman" w:hAnsi="Times New Roman"/>
        </w:rPr>
        <w:t>wyżkowych”], 2021</w:t>
      </w:r>
      <w:r w:rsidR="00A5335D" w:rsidRPr="00A5335D">
        <w:rPr>
          <w:rFonts w:ascii="Times New Roman" w:hAnsi="Times New Roman"/>
        </w:rPr>
        <w:t> </w:t>
      </w:r>
      <w:r w:rsidRPr="00A5335D">
        <w:rPr>
          <w:rFonts w:ascii="Times New Roman" w:hAnsi="Times New Roman"/>
        </w:rPr>
        <w:t xml:space="preserve">r. </w:t>
      </w:r>
      <w:hyperlink r:id="rId12" w:history="1">
        <w:r w:rsidRPr="00A5335D">
          <w:rPr>
            <w:rStyle w:val="Hyperlink"/>
            <w:rFonts w:ascii="Times New Roman" w:hAnsi="Times New Roman"/>
          </w:rPr>
          <w:t>https://www.ela.europa.eu/en/news/analysis-shortage-and-surplus-occupations-2021</w:t>
        </w:r>
      </w:hyperlink>
    </w:p>
  </w:footnote>
  <w:footnote w:id="17">
    <w:p w14:paraId="27CEFD2F" w14:textId="6DF22B41" w:rsidR="00492DA7" w:rsidRPr="00A5335D" w:rsidRDefault="00492DA7" w:rsidP="00834BBD">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Wzorce starzenia się</w:t>
      </w:r>
      <w:r w:rsidR="00A5335D" w:rsidRPr="00A5335D">
        <w:rPr>
          <w:rFonts w:ascii="Times New Roman" w:hAnsi="Times New Roman"/>
        </w:rPr>
        <w:t xml:space="preserve"> i wyl</w:t>
      </w:r>
      <w:r w:rsidRPr="00A5335D">
        <w:rPr>
          <w:rFonts w:ascii="Times New Roman" w:hAnsi="Times New Roman"/>
        </w:rPr>
        <w:t>udniania na terytoriach UE omówiono obszernie w:</w:t>
      </w:r>
      <w:r w:rsidR="002D5B0A" w:rsidRPr="00A5335D">
        <w:rPr>
          <w:rFonts w:ascii="Times New Roman" w:hAnsi="Times New Roman"/>
        </w:rPr>
        <w:t xml:space="preserve"> </w:t>
      </w:r>
      <w:r w:rsidRPr="00A5335D">
        <w:rPr>
          <w:rFonts w:ascii="Times New Roman" w:hAnsi="Times New Roman"/>
        </w:rPr>
        <w:t>Aurambout, J.P., Batista E Silva, F., Bosco, C., Conte, A., Ghio, D., Kalantaryan, S., Kompil, M., Perpiña Castillo, C., Proietti, P., Scipioni, M., Sulis, P.</w:t>
      </w:r>
      <w:r w:rsidR="00A5335D" w:rsidRPr="00A5335D">
        <w:rPr>
          <w:rFonts w:ascii="Times New Roman" w:hAnsi="Times New Roman"/>
        </w:rPr>
        <w:t xml:space="preserve"> i Tin</w:t>
      </w:r>
      <w:r w:rsidRPr="00A5335D">
        <w:rPr>
          <w:rFonts w:ascii="Times New Roman" w:hAnsi="Times New Roman"/>
        </w:rPr>
        <w:t>tori, G., „The Demographic Landscape of EU Territories”, pod red. Goujon, A., Jacobs, C., Natale, F.</w:t>
      </w:r>
      <w:r w:rsidR="00A5335D" w:rsidRPr="00A5335D">
        <w:rPr>
          <w:rFonts w:ascii="Times New Roman" w:hAnsi="Times New Roman"/>
        </w:rPr>
        <w:t xml:space="preserve"> i Lav</w:t>
      </w:r>
      <w:r w:rsidRPr="00A5335D">
        <w:rPr>
          <w:rFonts w:ascii="Times New Roman" w:hAnsi="Times New Roman"/>
        </w:rPr>
        <w:t>alle, C., EUR 30498 EN, Urząd Publikacji Unii Europejskiej, Luksemburg, 2021, ISBN 978-92-76-27239-7 (online), 978-92-76-27238-0 (druk), doi:10.2760/658945 (online), 10.2760/49621 (druk), JRC123046.</w:t>
      </w:r>
    </w:p>
  </w:footnote>
  <w:footnote w:id="18">
    <w:p w14:paraId="27CEFD30" w14:textId="3CA2F55A" w:rsidR="00492DA7" w:rsidRPr="00A5335D" w:rsidRDefault="00492DA7" w:rsidP="001228C7">
      <w:pPr>
        <w:pStyle w:val="FootnoteText"/>
        <w:rPr>
          <w:rFonts w:ascii="Times New Roman" w:hAnsi="Times New Roman" w:cs="Times New Roman"/>
        </w:rPr>
      </w:pPr>
      <w:r w:rsidRPr="00A5335D">
        <w:rPr>
          <w:rStyle w:val="FootnoteReference"/>
          <w:rFonts w:ascii="Times New Roman" w:hAnsi="Times New Roman" w:cs="Times New Roman"/>
        </w:rPr>
        <w:footnoteRef/>
      </w:r>
      <w:r w:rsidR="002D5B0A" w:rsidRPr="00A5335D">
        <w:rPr>
          <w:rFonts w:ascii="Times New Roman" w:hAnsi="Times New Roman"/>
        </w:rPr>
        <w:tab/>
      </w:r>
      <w:r w:rsidRPr="00A5335D">
        <w:rPr>
          <w:rFonts w:ascii="Times New Roman" w:hAnsi="Times New Roman"/>
        </w:rPr>
        <w:t>COM(2020) 274 final.</w:t>
      </w:r>
    </w:p>
  </w:footnote>
  <w:footnote w:id="19">
    <w:p w14:paraId="43CAA257" w14:textId="5725A7E1" w:rsidR="00492DA7" w:rsidRPr="00A5335D" w:rsidRDefault="00492DA7" w:rsidP="00A03727">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Komisja pracuje obecnie nad inicjatywą mającą na celu złagodzenie wyzwań związanych</w:t>
      </w:r>
      <w:r w:rsidR="00A5335D" w:rsidRPr="00A5335D">
        <w:rPr>
          <w:rFonts w:ascii="Times New Roman" w:hAnsi="Times New Roman"/>
        </w:rPr>
        <w:t xml:space="preserve"> z dre</w:t>
      </w:r>
      <w:r w:rsidRPr="00A5335D">
        <w:rPr>
          <w:rFonts w:ascii="Times New Roman" w:hAnsi="Times New Roman"/>
        </w:rPr>
        <w:t>nażem mózgów</w:t>
      </w:r>
      <w:r w:rsidR="00A5335D" w:rsidRPr="00A5335D">
        <w:rPr>
          <w:rFonts w:ascii="Times New Roman" w:hAnsi="Times New Roman"/>
        </w:rPr>
        <w:t xml:space="preserve"> i spa</w:t>
      </w:r>
      <w:r w:rsidRPr="00A5335D">
        <w:rPr>
          <w:rFonts w:ascii="Times New Roman" w:hAnsi="Times New Roman"/>
        </w:rPr>
        <w:t>dkiem liczby ludności w UE oraz określenie potencjalnych rozwiązań, które pozwolą odwrócić gospodarczą</w:t>
      </w:r>
      <w:r w:rsidR="00A5335D" w:rsidRPr="00A5335D">
        <w:rPr>
          <w:rFonts w:ascii="Times New Roman" w:hAnsi="Times New Roman"/>
        </w:rPr>
        <w:t xml:space="preserve"> i spo</w:t>
      </w:r>
      <w:r w:rsidRPr="00A5335D">
        <w:rPr>
          <w:rFonts w:ascii="Times New Roman" w:hAnsi="Times New Roman"/>
        </w:rPr>
        <w:t>łeczną tendencję spadkową</w:t>
      </w:r>
      <w:r w:rsidR="00A5335D" w:rsidRPr="00A5335D">
        <w:rPr>
          <w:rFonts w:ascii="Times New Roman" w:hAnsi="Times New Roman"/>
        </w:rPr>
        <w:t xml:space="preserve"> w dot</w:t>
      </w:r>
      <w:r w:rsidRPr="00A5335D">
        <w:rPr>
          <w:rFonts w:ascii="Times New Roman" w:hAnsi="Times New Roman"/>
        </w:rPr>
        <w:t>kniętych regionach. Konsultacje publiczne rozpoczęły się</w:t>
      </w:r>
      <w:r w:rsidR="00A5335D" w:rsidRPr="00A5335D">
        <w:rPr>
          <w:rFonts w:ascii="Times New Roman" w:hAnsi="Times New Roman"/>
        </w:rPr>
        <w:t xml:space="preserve"> w mar</w:t>
      </w:r>
      <w:r w:rsidRPr="00A5335D">
        <w:rPr>
          <w:rFonts w:ascii="Times New Roman" w:hAnsi="Times New Roman"/>
        </w:rPr>
        <w:t>cu 2022</w:t>
      </w:r>
      <w:r w:rsidR="00A5335D" w:rsidRPr="00A5335D">
        <w:rPr>
          <w:rFonts w:ascii="Times New Roman" w:hAnsi="Times New Roman"/>
        </w:rPr>
        <w:t> </w:t>
      </w:r>
      <w:r w:rsidRPr="00A5335D">
        <w:rPr>
          <w:rFonts w:ascii="Times New Roman" w:hAnsi="Times New Roman"/>
        </w:rPr>
        <w:t xml:space="preserve">r. </w:t>
      </w:r>
    </w:p>
  </w:footnote>
  <w:footnote w:id="20">
    <w:p w14:paraId="27CEFD31" w14:textId="398B9725" w:rsidR="00492DA7" w:rsidRPr="00A5335D" w:rsidRDefault="00492DA7" w:rsidP="002D5B0A">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 xml:space="preserve">Eurofound (2021), </w:t>
      </w:r>
      <w:r w:rsidRPr="00A5335D">
        <w:rPr>
          <w:rFonts w:ascii="Times New Roman" w:hAnsi="Times New Roman"/>
          <w:i/>
        </w:rPr>
        <w:t>Tackling labour shortages in EU Member States</w:t>
      </w:r>
      <w:r w:rsidRPr="00A5335D">
        <w:rPr>
          <w:rFonts w:ascii="Times New Roman" w:hAnsi="Times New Roman"/>
        </w:rPr>
        <w:t xml:space="preserve"> [„Przeciwdziałanie niedoborom pracowników</w:t>
      </w:r>
      <w:r w:rsidR="00A5335D" w:rsidRPr="00A5335D">
        <w:rPr>
          <w:rFonts w:ascii="Times New Roman" w:hAnsi="Times New Roman"/>
        </w:rPr>
        <w:t xml:space="preserve"> w pań</w:t>
      </w:r>
      <w:r w:rsidRPr="00A5335D">
        <w:rPr>
          <w:rFonts w:ascii="Times New Roman" w:hAnsi="Times New Roman"/>
        </w:rPr>
        <w:t>stwach członkowskich UE”].</w:t>
      </w:r>
    </w:p>
  </w:footnote>
  <w:footnote w:id="21">
    <w:p w14:paraId="27CEFD32" w14:textId="0F1EAC84" w:rsidR="00492DA7" w:rsidRPr="00A5335D" w:rsidRDefault="00492DA7" w:rsidP="00C14962">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Według bazy danych</w:t>
      </w:r>
      <w:r w:rsidR="00A5335D" w:rsidRPr="00A5335D">
        <w:rPr>
          <w:rFonts w:ascii="Times New Roman" w:hAnsi="Times New Roman"/>
        </w:rPr>
        <w:t xml:space="preserve"> o imi</w:t>
      </w:r>
      <w:r w:rsidRPr="00A5335D">
        <w:rPr>
          <w:rFonts w:ascii="Times New Roman" w:hAnsi="Times New Roman"/>
        </w:rPr>
        <w:t>grantach</w:t>
      </w:r>
      <w:r w:rsidR="00A5335D" w:rsidRPr="00A5335D">
        <w:rPr>
          <w:rFonts w:ascii="Times New Roman" w:hAnsi="Times New Roman"/>
        </w:rPr>
        <w:t xml:space="preserve"> w kra</w:t>
      </w:r>
      <w:r w:rsidRPr="00A5335D">
        <w:rPr>
          <w:rFonts w:ascii="Times New Roman" w:hAnsi="Times New Roman"/>
        </w:rPr>
        <w:t>jach Organizacji Współpracy Gospodarczej</w:t>
      </w:r>
      <w:r w:rsidR="00A5335D" w:rsidRPr="00A5335D">
        <w:rPr>
          <w:rFonts w:ascii="Times New Roman" w:hAnsi="Times New Roman"/>
        </w:rPr>
        <w:t xml:space="preserve"> i Roz</w:t>
      </w:r>
      <w:r w:rsidRPr="00A5335D">
        <w:rPr>
          <w:rFonts w:ascii="Times New Roman" w:hAnsi="Times New Roman"/>
        </w:rPr>
        <w:t>woju (OECD) tylko jeden na czterech wysoko wykształconych migrantów mieszkających</w:t>
      </w:r>
      <w:r w:rsidR="00A5335D" w:rsidRPr="00A5335D">
        <w:rPr>
          <w:rFonts w:ascii="Times New Roman" w:hAnsi="Times New Roman"/>
        </w:rPr>
        <w:t xml:space="preserve"> w pań</w:t>
      </w:r>
      <w:r w:rsidRPr="00A5335D">
        <w:rPr>
          <w:rFonts w:ascii="Times New Roman" w:hAnsi="Times New Roman"/>
        </w:rPr>
        <w:t>stwach OECD</w:t>
      </w:r>
      <w:r w:rsidR="00A5335D" w:rsidRPr="00A5335D">
        <w:rPr>
          <w:rFonts w:ascii="Times New Roman" w:hAnsi="Times New Roman"/>
        </w:rPr>
        <w:t xml:space="preserve"> w lat</w:t>
      </w:r>
      <w:r w:rsidRPr="00A5335D">
        <w:rPr>
          <w:rFonts w:ascii="Times New Roman" w:hAnsi="Times New Roman"/>
        </w:rPr>
        <w:t>ach 2015–2016 wybrał UE, podczas gdy prawie dwóch na trzech zdecydowało się na osiedlenie</w:t>
      </w:r>
      <w:r w:rsidR="00A5335D" w:rsidRPr="00A5335D">
        <w:rPr>
          <w:rFonts w:ascii="Times New Roman" w:hAnsi="Times New Roman"/>
        </w:rPr>
        <w:t xml:space="preserve"> w Ame</w:t>
      </w:r>
      <w:r w:rsidRPr="00A5335D">
        <w:rPr>
          <w:rFonts w:ascii="Times New Roman" w:hAnsi="Times New Roman"/>
        </w:rPr>
        <w:t>ryce Północnej lub Oceanii.</w:t>
      </w:r>
    </w:p>
  </w:footnote>
  <w:footnote w:id="22">
    <w:p w14:paraId="27CEFD33" w14:textId="6461A22F" w:rsidR="00492DA7" w:rsidRPr="00A5335D" w:rsidRDefault="00492DA7" w:rsidP="00C14962">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Dyrektywa Parlamentu Europejskiego</w:t>
      </w:r>
      <w:r w:rsidR="00A5335D" w:rsidRPr="00A5335D">
        <w:rPr>
          <w:rFonts w:ascii="Times New Roman" w:hAnsi="Times New Roman"/>
        </w:rPr>
        <w:t xml:space="preserve"> i Rad</w:t>
      </w:r>
      <w:r w:rsidRPr="00A5335D">
        <w:rPr>
          <w:rFonts w:ascii="Times New Roman" w:hAnsi="Times New Roman"/>
        </w:rPr>
        <w:t>y (UE) 2021/1883</w:t>
      </w:r>
      <w:r w:rsidR="00A5335D" w:rsidRPr="00A5335D">
        <w:rPr>
          <w:rFonts w:ascii="Times New Roman" w:hAnsi="Times New Roman"/>
        </w:rPr>
        <w:t xml:space="preserve"> z dni</w:t>
      </w:r>
      <w:r w:rsidRPr="00A5335D">
        <w:rPr>
          <w:rFonts w:ascii="Times New Roman" w:hAnsi="Times New Roman"/>
        </w:rPr>
        <w:t>a 20 października 2021</w:t>
      </w:r>
      <w:r w:rsidR="00A5335D" w:rsidRPr="00A5335D">
        <w:rPr>
          <w:rFonts w:ascii="Times New Roman" w:hAnsi="Times New Roman"/>
        </w:rPr>
        <w:t> </w:t>
      </w:r>
      <w:r w:rsidRPr="00A5335D">
        <w:rPr>
          <w:rFonts w:ascii="Times New Roman" w:hAnsi="Times New Roman"/>
        </w:rPr>
        <w:t>r.</w:t>
      </w:r>
      <w:r w:rsidR="00A5335D" w:rsidRPr="00A5335D">
        <w:rPr>
          <w:rFonts w:ascii="Times New Roman" w:hAnsi="Times New Roman"/>
        </w:rPr>
        <w:t xml:space="preserve"> w spr</w:t>
      </w:r>
      <w:r w:rsidRPr="00A5335D">
        <w:rPr>
          <w:rFonts w:ascii="Times New Roman" w:hAnsi="Times New Roman"/>
        </w:rPr>
        <w:t>awie warunków wjazdu</w:t>
      </w:r>
      <w:r w:rsidR="00A5335D" w:rsidRPr="00A5335D">
        <w:rPr>
          <w:rFonts w:ascii="Times New Roman" w:hAnsi="Times New Roman"/>
        </w:rPr>
        <w:t xml:space="preserve"> i pob</w:t>
      </w:r>
      <w:r w:rsidRPr="00A5335D">
        <w:rPr>
          <w:rFonts w:ascii="Times New Roman" w:hAnsi="Times New Roman"/>
        </w:rPr>
        <w:t>ytu obywateli państw trzecich</w:t>
      </w:r>
      <w:r w:rsidR="00A5335D" w:rsidRPr="00A5335D">
        <w:rPr>
          <w:rFonts w:ascii="Times New Roman" w:hAnsi="Times New Roman"/>
        </w:rPr>
        <w:t xml:space="preserve"> w cel</w:t>
      </w:r>
      <w:r w:rsidRPr="00A5335D">
        <w:rPr>
          <w:rFonts w:ascii="Times New Roman" w:hAnsi="Times New Roman"/>
        </w:rPr>
        <w:t>u zatrudnienia</w:t>
      </w:r>
      <w:r w:rsidR="00A5335D" w:rsidRPr="00A5335D">
        <w:rPr>
          <w:rFonts w:ascii="Times New Roman" w:hAnsi="Times New Roman"/>
        </w:rPr>
        <w:t xml:space="preserve"> w zaw</w:t>
      </w:r>
      <w:r w:rsidRPr="00A5335D">
        <w:rPr>
          <w:rFonts w:ascii="Times New Roman" w:hAnsi="Times New Roman"/>
        </w:rPr>
        <w:t>odzie wymagającym wysokich kwalifikacji oraz uchylenia dyrektywy Rady 2009/50/WE.</w:t>
      </w:r>
    </w:p>
  </w:footnote>
  <w:footnote w:id="23">
    <w:p w14:paraId="27CEFD34" w14:textId="32F685B8" w:rsidR="00492DA7" w:rsidRPr="00A5335D" w:rsidRDefault="00492DA7" w:rsidP="00C14962">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Jeśli chodzi</w:t>
      </w:r>
      <w:r w:rsidR="00A5335D" w:rsidRPr="00A5335D">
        <w:rPr>
          <w:rFonts w:ascii="Times New Roman" w:hAnsi="Times New Roman"/>
        </w:rPr>
        <w:t xml:space="preserve"> o wal</w:t>
      </w:r>
      <w:r w:rsidRPr="00A5335D">
        <w:rPr>
          <w:rFonts w:ascii="Times New Roman" w:hAnsi="Times New Roman"/>
        </w:rPr>
        <w:t>kę</w:t>
      </w:r>
      <w:r w:rsidR="00A5335D" w:rsidRPr="00A5335D">
        <w:rPr>
          <w:rFonts w:ascii="Times New Roman" w:hAnsi="Times New Roman"/>
        </w:rPr>
        <w:t xml:space="preserve"> z wyz</w:t>
      </w:r>
      <w:r w:rsidRPr="00A5335D">
        <w:rPr>
          <w:rFonts w:ascii="Times New Roman" w:hAnsi="Times New Roman"/>
        </w:rPr>
        <w:t>yskiem pracowników będących migrantami</w:t>
      </w:r>
      <w:r w:rsidR="00A5335D" w:rsidRPr="00A5335D">
        <w:rPr>
          <w:rFonts w:ascii="Times New Roman" w:hAnsi="Times New Roman"/>
        </w:rPr>
        <w:t xml:space="preserve"> o nie</w:t>
      </w:r>
      <w:r w:rsidRPr="00A5335D">
        <w:rPr>
          <w:rFonts w:ascii="Times New Roman" w:hAnsi="Times New Roman"/>
        </w:rPr>
        <w:t>uregulowanym statusie, we wrześniu 2021</w:t>
      </w:r>
      <w:r w:rsidR="00A5335D" w:rsidRPr="00A5335D">
        <w:rPr>
          <w:rFonts w:ascii="Times New Roman" w:hAnsi="Times New Roman"/>
        </w:rPr>
        <w:t> </w:t>
      </w:r>
      <w:r w:rsidRPr="00A5335D">
        <w:rPr>
          <w:rFonts w:ascii="Times New Roman" w:hAnsi="Times New Roman"/>
        </w:rPr>
        <w:t>r. Komisja przyjęła komunikat (COM(2021) 592 final) dotyczący dyrektywy 2009/52/WE</w:t>
      </w:r>
      <w:r w:rsidR="00A5335D" w:rsidRPr="00A5335D">
        <w:rPr>
          <w:rFonts w:ascii="Times New Roman" w:hAnsi="Times New Roman"/>
        </w:rPr>
        <w:t xml:space="preserve"> w spr</w:t>
      </w:r>
      <w:r w:rsidRPr="00A5335D">
        <w:rPr>
          <w:rFonts w:ascii="Times New Roman" w:hAnsi="Times New Roman"/>
        </w:rPr>
        <w:t>awie kar wobec pracodawców,</w:t>
      </w:r>
      <w:r w:rsidR="00A5335D" w:rsidRPr="00A5335D">
        <w:rPr>
          <w:rFonts w:ascii="Times New Roman" w:hAnsi="Times New Roman"/>
        </w:rPr>
        <w:t xml:space="preserve"> w któ</w:t>
      </w:r>
      <w:r w:rsidRPr="00A5335D">
        <w:rPr>
          <w:rFonts w:ascii="Times New Roman" w:hAnsi="Times New Roman"/>
        </w:rPr>
        <w:t>rym określono szereg działań niezbędnych do poprawy wdrożenia</w:t>
      </w:r>
      <w:r w:rsidR="00A5335D" w:rsidRPr="00A5335D">
        <w:rPr>
          <w:rFonts w:ascii="Times New Roman" w:hAnsi="Times New Roman"/>
        </w:rPr>
        <w:t xml:space="preserve"> i sku</w:t>
      </w:r>
      <w:r w:rsidRPr="00A5335D">
        <w:rPr>
          <w:rFonts w:ascii="Times New Roman" w:hAnsi="Times New Roman"/>
        </w:rPr>
        <w:t>teczności tej dyrektywy.</w:t>
      </w:r>
    </w:p>
  </w:footnote>
  <w:footnote w:id="24">
    <w:p w14:paraId="27CEFD35" w14:textId="770ECB2D" w:rsidR="00492DA7" w:rsidRPr="00A5335D" w:rsidRDefault="00492DA7" w:rsidP="00177493">
      <w:pPr>
        <w:pStyle w:val="FootnoteText"/>
        <w:ind w:left="709" w:hanging="709"/>
        <w:jc w:val="both"/>
      </w:pPr>
      <w:r w:rsidRPr="00A5335D">
        <w:rPr>
          <w:rStyle w:val="FootnoteReference"/>
          <w:rFonts w:ascii="Times New Roman" w:hAnsi="Times New Roman" w:cs="Times New Roman"/>
        </w:rPr>
        <w:footnoteRef/>
      </w:r>
      <w:r w:rsidRPr="00A5335D">
        <w:rPr>
          <w:rFonts w:ascii="Times New Roman" w:hAnsi="Times New Roman"/>
        </w:rPr>
        <w:tab/>
        <w:t>Przygotowano zestaw narzędzi dotyczących wykorzystania funduszy unijnych do integracji osób ze środowisk migracyjnych</w:t>
      </w:r>
      <w:r w:rsidR="00A5335D" w:rsidRPr="00A5335D">
        <w:rPr>
          <w:rFonts w:ascii="Times New Roman" w:hAnsi="Times New Roman"/>
        </w:rPr>
        <w:t xml:space="preserve"> w okr</w:t>
      </w:r>
      <w:r w:rsidRPr="00A5335D">
        <w:rPr>
          <w:rFonts w:ascii="Times New Roman" w:hAnsi="Times New Roman"/>
        </w:rPr>
        <w:t>esie programowania 2021–2027. Istotny jest także unijny plan działania przeciwko rasizmowi na lata 2020–2025:</w:t>
      </w:r>
      <w:hyperlink r:id="rId13" w:history="1">
        <w:r w:rsidRPr="00A5335D">
          <w:rPr>
            <w:rStyle w:val="Hyperlink"/>
            <w:rFonts w:ascii="Times New Roman" w:hAnsi="Times New Roman"/>
          </w:rPr>
          <w:t>https://ec.europa.eu/info/policies/justice-and-fundamental-rights/combatting-discrimination/racism-and-xenophobia/eu-anti-racism-action-plan-2020-2025_en</w:t>
        </w:r>
      </w:hyperlink>
      <w:r w:rsidRPr="00A5335D">
        <w:rPr>
          <w:rFonts w:ascii="Times New Roman" w:hAnsi="Times New Roman"/>
        </w:rPr>
        <w:t xml:space="preserve"> </w:t>
      </w:r>
    </w:p>
  </w:footnote>
  <w:footnote w:id="25">
    <w:p w14:paraId="27CEFD36" w14:textId="77777777" w:rsidR="00492DA7" w:rsidRPr="00A5335D" w:rsidRDefault="00492DA7" w:rsidP="00507095">
      <w:pPr>
        <w:pStyle w:val="FootnoteText"/>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COM(2022) 131 final.</w:t>
      </w:r>
    </w:p>
  </w:footnote>
  <w:footnote w:id="26">
    <w:p w14:paraId="27CEFD37" w14:textId="753B1EC0" w:rsidR="00492DA7" w:rsidRPr="00A5335D" w:rsidRDefault="00492DA7" w:rsidP="00977F8D">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Zob. sekcja 3.2. Rozwijanie unijnej puli talentów</w:t>
      </w:r>
      <w:r w:rsidR="00A5335D" w:rsidRPr="00A5335D">
        <w:rPr>
          <w:rFonts w:ascii="Times New Roman" w:hAnsi="Times New Roman"/>
        </w:rPr>
        <w:t xml:space="preserve"> w cel</w:t>
      </w:r>
      <w:r w:rsidRPr="00A5335D">
        <w:rPr>
          <w:rFonts w:ascii="Times New Roman" w:hAnsi="Times New Roman"/>
        </w:rPr>
        <w:t>u lepszego kojarzenia potrzeb pracodawców z UE</w:t>
      </w:r>
      <w:r w:rsidR="00A5335D" w:rsidRPr="00A5335D">
        <w:rPr>
          <w:rFonts w:ascii="Times New Roman" w:hAnsi="Times New Roman"/>
        </w:rPr>
        <w:t xml:space="preserve"> i dos</w:t>
      </w:r>
      <w:r w:rsidRPr="00A5335D">
        <w:rPr>
          <w:rFonts w:ascii="Times New Roman" w:hAnsi="Times New Roman"/>
        </w:rPr>
        <w:t>tępnych talentów.</w:t>
      </w:r>
    </w:p>
  </w:footnote>
  <w:footnote w:id="27">
    <w:p w14:paraId="27CEFD38" w14:textId="75CA3A01" w:rsidR="00492DA7" w:rsidRPr="00A5335D" w:rsidRDefault="00492DA7" w:rsidP="003B36F7">
      <w:pPr>
        <w:pStyle w:val="FootnoteText"/>
        <w:ind w:left="709" w:hanging="709"/>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Dyrektywa Rady 2009/50/WE</w:t>
      </w:r>
      <w:r w:rsidR="00A5335D" w:rsidRPr="00A5335D">
        <w:rPr>
          <w:rFonts w:ascii="Times New Roman" w:hAnsi="Times New Roman"/>
        </w:rPr>
        <w:t xml:space="preserve"> z dni</w:t>
      </w:r>
      <w:r w:rsidRPr="00A5335D">
        <w:rPr>
          <w:rFonts w:ascii="Times New Roman" w:hAnsi="Times New Roman"/>
        </w:rPr>
        <w:t>a 25 maja 2009</w:t>
      </w:r>
      <w:r w:rsidR="00A5335D" w:rsidRPr="00A5335D">
        <w:rPr>
          <w:rFonts w:ascii="Times New Roman" w:hAnsi="Times New Roman"/>
        </w:rPr>
        <w:t> </w:t>
      </w:r>
      <w:r w:rsidRPr="00A5335D">
        <w:rPr>
          <w:rFonts w:ascii="Times New Roman" w:hAnsi="Times New Roman"/>
        </w:rPr>
        <w:t>r.</w:t>
      </w:r>
      <w:r w:rsidR="00A5335D" w:rsidRPr="00A5335D">
        <w:rPr>
          <w:rFonts w:ascii="Times New Roman" w:hAnsi="Times New Roman"/>
        </w:rPr>
        <w:t xml:space="preserve"> w spr</w:t>
      </w:r>
      <w:r w:rsidRPr="00A5335D">
        <w:rPr>
          <w:rFonts w:ascii="Times New Roman" w:hAnsi="Times New Roman"/>
        </w:rPr>
        <w:t>awie warunków wjazdu</w:t>
      </w:r>
      <w:r w:rsidR="00A5335D" w:rsidRPr="00A5335D">
        <w:rPr>
          <w:rFonts w:ascii="Times New Roman" w:hAnsi="Times New Roman"/>
        </w:rPr>
        <w:t xml:space="preserve"> i pob</w:t>
      </w:r>
      <w:r w:rsidRPr="00A5335D">
        <w:rPr>
          <w:rFonts w:ascii="Times New Roman" w:hAnsi="Times New Roman"/>
        </w:rPr>
        <w:t>ytu obywateli państw trzecich</w:t>
      </w:r>
      <w:r w:rsidR="00A5335D" w:rsidRPr="00A5335D">
        <w:rPr>
          <w:rFonts w:ascii="Times New Roman" w:hAnsi="Times New Roman"/>
        </w:rPr>
        <w:t xml:space="preserve"> w cel</w:t>
      </w:r>
      <w:r w:rsidRPr="00A5335D">
        <w:rPr>
          <w:rFonts w:ascii="Times New Roman" w:hAnsi="Times New Roman"/>
        </w:rPr>
        <w:t>u podjęcia pracy</w:t>
      </w:r>
      <w:r w:rsidR="00A5335D" w:rsidRPr="00A5335D">
        <w:rPr>
          <w:rFonts w:ascii="Times New Roman" w:hAnsi="Times New Roman"/>
        </w:rPr>
        <w:t xml:space="preserve"> w zaw</w:t>
      </w:r>
      <w:r w:rsidRPr="00A5335D">
        <w:rPr>
          <w:rFonts w:ascii="Times New Roman" w:hAnsi="Times New Roman"/>
        </w:rPr>
        <w:t>odzie wymagającym wysokich kwalifikacji, Dz.U. L 155</w:t>
      </w:r>
      <w:r w:rsidR="00A5335D" w:rsidRPr="00A5335D">
        <w:rPr>
          <w:rFonts w:ascii="Times New Roman" w:hAnsi="Times New Roman"/>
        </w:rPr>
        <w:t xml:space="preserve"> z 1</w:t>
      </w:r>
      <w:r w:rsidRPr="00A5335D">
        <w:rPr>
          <w:rFonts w:ascii="Times New Roman" w:hAnsi="Times New Roman"/>
        </w:rPr>
        <w:t>8.6.2009, s. 17</w:t>
      </w:r>
      <w:r w:rsidRPr="00A5335D">
        <w:t>.</w:t>
      </w:r>
    </w:p>
  </w:footnote>
  <w:footnote w:id="28">
    <w:p w14:paraId="27CEFD39" w14:textId="71DCFE9E" w:rsidR="00492DA7" w:rsidRPr="00A5335D" w:rsidRDefault="00492DA7" w:rsidP="00834BBD">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Dyrektywa Parlamentu Europejskiego</w:t>
      </w:r>
      <w:r w:rsidR="00A5335D" w:rsidRPr="00A5335D">
        <w:rPr>
          <w:rFonts w:ascii="Times New Roman" w:hAnsi="Times New Roman"/>
        </w:rPr>
        <w:t xml:space="preserve"> i Rad</w:t>
      </w:r>
      <w:r w:rsidRPr="00A5335D">
        <w:rPr>
          <w:rFonts w:ascii="Times New Roman" w:hAnsi="Times New Roman"/>
        </w:rPr>
        <w:t>y 2014/36/UE</w:t>
      </w:r>
      <w:r w:rsidR="00A5335D" w:rsidRPr="00A5335D">
        <w:rPr>
          <w:rFonts w:ascii="Times New Roman" w:hAnsi="Times New Roman"/>
        </w:rPr>
        <w:t xml:space="preserve"> z dni</w:t>
      </w:r>
      <w:r w:rsidRPr="00A5335D">
        <w:rPr>
          <w:rFonts w:ascii="Times New Roman" w:hAnsi="Times New Roman"/>
        </w:rPr>
        <w:t>a 26 lutego 2014</w:t>
      </w:r>
      <w:r w:rsidR="00A5335D" w:rsidRPr="00A5335D">
        <w:rPr>
          <w:rFonts w:ascii="Times New Roman" w:hAnsi="Times New Roman"/>
        </w:rPr>
        <w:t> </w:t>
      </w:r>
      <w:r w:rsidRPr="00A5335D">
        <w:rPr>
          <w:rFonts w:ascii="Times New Roman" w:hAnsi="Times New Roman"/>
        </w:rPr>
        <w:t>r.</w:t>
      </w:r>
      <w:r w:rsidR="00A5335D" w:rsidRPr="00A5335D">
        <w:rPr>
          <w:rFonts w:ascii="Times New Roman" w:hAnsi="Times New Roman"/>
        </w:rPr>
        <w:t xml:space="preserve"> w spr</w:t>
      </w:r>
      <w:r w:rsidRPr="00A5335D">
        <w:rPr>
          <w:rFonts w:ascii="Times New Roman" w:hAnsi="Times New Roman"/>
        </w:rPr>
        <w:t>awie warunków wjazdu</w:t>
      </w:r>
      <w:r w:rsidR="00A5335D" w:rsidRPr="00A5335D">
        <w:rPr>
          <w:rFonts w:ascii="Times New Roman" w:hAnsi="Times New Roman"/>
        </w:rPr>
        <w:t xml:space="preserve"> i pob</w:t>
      </w:r>
      <w:r w:rsidRPr="00A5335D">
        <w:rPr>
          <w:rFonts w:ascii="Times New Roman" w:hAnsi="Times New Roman"/>
        </w:rPr>
        <w:t>ytu obywateli państw trzecich</w:t>
      </w:r>
      <w:r w:rsidR="00A5335D" w:rsidRPr="00A5335D">
        <w:rPr>
          <w:rFonts w:ascii="Times New Roman" w:hAnsi="Times New Roman"/>
        </w:rPr>
        <w:t xml:space="preserve"> w cel</w:t>
      </w:r>
      <w:r w:rsidRPr="00A5335D">
        <w:rPr>
          <w:rFonts w:ascii="Times New Roman" w:hAnsi="Times New Roman"/>
        </w:rPr>
        <w:t>u zatrudnienia</w:t>
      </w:r>
      <w:r w:rsidR="00A5335D" w:rsidRPr="00A5335D">
        <w:rPr>
          <w:rFonts w:ascii="Times New Roman" w:hAnsi="Times New Roman"/>
        </w:rPr>
        <w:t xml:space="preserve"> w cha</w:t>
      </w:r>
      <w:r w:rsidRPr="00A5335D">
        <w:rPr>
          <w:rFonts w:ascii="Times New Roman" w:hAnsi="Times New Roman"/>
        </w:rPr>
        <w:t>rakterze pracownika sezonowego, Dz.U. L 94</w:t>
      </w:r>
      <w:r w:rsidR="00A5335D" w:rsidRPr="00A5335D">
        <w:rPr>
          <w:rFonts w:ascii="Times New Roman" w:hAnsi="Times New Roman"/>
        </w:rPr>
        <w:t xml:space="preserve"> z 2</w:t>
      </w:r>
      <w:r w:rsidRPr="00A5335D">
        <w:rPr>
          <w:rFonts w:ascii="Times New Roman" w:hAnsi="Times New Roman"/>
        </w:rPr>
        <w:t>8.3.2014, s. 375.</w:t>
      </w:r>
    </w:p>
  </w:footnote>
  <w:footnote w:id="29">
    <w:p w14:paraId="27CEFD3A" w14:textId="6F3D5863" w:rsidR="00492DA7" w:rsidRPr="00A5335D" w:rsidRDefault="00492DA7" w:rsidP="00834BBD">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Dyrektywa Parlamentu Europejskiego</w:t>
      </w:r>
      <w:r w:rsidR="00A5335D" w:rsidRPr="00A5335D">
        <w:rPr>
          <w:rFonts w:ascii="Times New Roman" w:hAnsi="Times New Roman"/>
        </w:rPr>
        <w:t xml:space="preserve"> i Rad</w:t>
      </w:r>
      <w:r w:rsidRPr="00A5335D">
        <w:rPr>
          <w:rFonts w:ascii="Times New Roman" w:hAnsi="Times New Roman"/>
        </w:rPr>
        <w:t>y 2014/66/UE</w:t>
      </w:r>
      <w:r w:rsidR="00A5335D" w:rsidRPr="00A5335D">
        <w:rPr>
          <w:rFonts w:ascii="Times New Roman" w:hAnsi="Times New Roman"/>
        </w:rPr>
        <w:t xml:space="preserve"> z dni</w:t>
      </w:r>
      <w:r w:rsidRPr="00A5335D">
        <w:rPr>
          <w:rFonts w:ascii="Times New Roman" w:hAnsi="Times New Roman"/>
        </w:rPr>
        <w:t>a 15 maja 2014</w:t>
      </w:r>
      <w:r w:rsidR="00A5335D" w:rsidRPr="00A5335D">
        <w:rPr>
          <w:rFonts w:ascii="Times New Roman" w:hAnsi="Times New Roman"/>
        </w:rPr>
        <w:t> </w:t>
      </w:r>
      <w:r w:rsidRPr="00A5335D">
        <w:rPr>
          <w:rFonts w:ascii="Times New Roman" w:hAnsi="Times New Roman"/>
        </w:rPr>
        <w:t>r.</w:t>
      </w:r>
      <w:r w:rsidR="00A5335D" w:rsidRPr="00A5335D">
        <w:rPr>
          <w:rFonts w:ascii="Times New Roman" w:hAnsi="Times New Roman"/>
        </w:rPr>
        <w:t xml:space="preserve"> w spr</w:t>
      </w:r>
      <w:r w:rsidRPr="00A5335D">
        <w:rPr>
          <w:rFonts w:ascii="Times New Roman" w:hAnsi="Times New Roman"/>
        </w:rPr>
        <w:t>awie warunków wjazdu</w:t>
      </w:r>
      <w:r w:rsidR="00A5335D" w:rsidRPr="00A5335D">
        <w:rPr>
          <w:rFonts w:ascii="Times New Roman" w:hAnsi="Times New Roman"/>
        </w:rPr>
        <w:t xml:space="preserve"> i pob</w:t>
      </w:r>
      <w:r w:rsidRPr="00A5335D">
        <w:rPr>
          <w:rFonts w:ascii="Times New Roman" w:hAnsi="Times New Roman"/>
        </w:rPr>
        <w:t>ytu obywateli państw trzecich</w:t>
      </w:r>
      <w:r w:rsidR="00A5335D" w:rsidRPr="00A5335D">
        <w:rPr>
          <w:rFonts w:ascii="Times New Roman" w:hAnsi="Times New Roman"/>
        </w:rPr>
        <w:t xml:space="preserve"> w ram</w:t>
      </w:r>
      <w:r w:rsidRPr="00A5335D">
        <w:rPr>
          <w:rFonts w:ascii="Times New Roman" w:hAnsi="Times New Roman"/>
        </w:rPr>
        <w:t>ach przeniesienia wewnątrz przedsiębiorstwa, Dz.U. L 157</w:t>
      </w:r>
      <w:r w:rsidR="00A5335D" w:rsidRPr="00A5335D">
        <w:rPr>
          <w:rFonts w:ascii="Times New Roman" w:hAnsi="Times New Roman"/>
        </w:rPr>
        <w:t xml:space="preserve"> z 2</w:t>
      </w:r>
      <w:r w:rsidRPr="00A5335D">
        <w:rPr>
          <w:rFonts w:ascii="Times New Roman" w:hAnsi="Times New Roman"/>
        </w:rPr>
        <w:t>7.5.2014, s. 1.</w:t>
      </w:r>
    </w:p>
  </w:footnote>
  <w:footnote w:id="30">
    <w:p w14:paraId="27CEFD3B" w14:textId="3243C1AC" w:rsidR="00492DA7" w:rsidRPr="00A5335D" w:rsidRDefault="00492DA7" w:rsidP="00834BBD">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ab/>
        <w:t>Dyrektywa Parlamentu Europejskiego</w:t>
      </w:r>
      <w:r w:rsidR="00A5335D" w:rsidRPr="00A5335D">
        <w:rPr>
          <w:rFonts w:ascii="Times New Roman" w:hAnsi="Times New Roman"/>
        </w:rPr>
        <w:t xml:space="preserve"> i Rad</w:t>
      </w:r>
      <w:r w:rsidRPr="00A5335D">
        <w:rPr>
          <w:rFonts w:ascii="Times New Roman" w:hAnsi="Times New Roman"/>
        </w:rPr>
        <w:t>y (UE) 2016/801</w:t>
      </w:r>
      <w:r w:rsidR="00A5335D" w:rsidRPr="00A5335D">
        <w:rPr>
          <w:rFonts w:ascii="Times New Roman" w:hAnsi="Times New Roman"/>
        </w:rPr>
        <w:t xml:space="preserve"> z dni</w:t>
      </w:r>
      <w:r w:rsidRPr="00A5335D">
        <w:rPr>
          <w:rFonts w:ascii="Times New Roman" w:hAnsi="Times New Roman"/>
        </w:rPr>
        <w:t>a 11 maja 2016</w:t>
      </w:r>
      <w:r w:rsidR="00A5335D" w:rsidRPr="00A5335D">
        <w:rPr>
          <w:rFonts w:ascii="Times New Roman" w:hAnsi="Times New Roman"/>
        </w:rPr>
        <w:t> </w:t>
      </w:r>
      <w:r w:rsidRPr="00A5335D">
        <w:rPr>
          <w:rFonts w:ascii="Times New Roman" w:hAnsi="Times New Roman"/>
        </w:rPr>
        <w:t>r.</w:t>
      </w:r>
      <w:r w:rsidR="00A5335D" w:rsidRPr="00A5335D">
        <w:rPr>
          <w:rFonts w:ascii="Times New Roman" w:hAnsi="Times New Roman"/>
        </w:rPr>
        <w:t xml:space="preserve"> w spr</w:t>
      </w:r>
      <w:r w:rsidRPr="00A5335D">
        <w:rPr>
          <w:rFonts w:ascii="Times New Roman" w:hAnsi="Times New Roman"/>
        </w:rPr>
        <w:t>awie warunków wjazdu</w:t>
      </w:r>
      <w:r w:rsidR="00A5335D" w:rsidRPr="00A5335D">
        <w:rPr>
          <w:rFonts w:ascii="Times New Roman" w:hAnsi="Times New Roman"/>
        </w:rPr>
        <w:t xml:space="preserve"> i pob</w:t>
      </w:r>
      <w:r w:rsidRPr="00A5335D">
        <w:rPr>
          <w:rFonts w:ascii="Times New Roman" w:hAnsi="Times New Roman"/>
        </w:rPr>
        <w:t>ytu obywateli państw trzecich</w:t>
      </w:r>
      <w:r w:rsidR="00A5335D" w:rsidRPr="00A5335D">
        <w:rPr>
          <w:rFonts w:ascii="Times New Roman" w:hAnsi="Times New Roman"/>
        </w:rPr>
        <w:t xml:space="preserve"> w cel</w:t>
      </w:r>
      <w:r w:rsidRPr="00A5335D">
        <w:rPr>
          <w:rFonts w:ascii="Times New Roman" w:hAnsi="Times New Roman"/>
        </w:rPr>
        <w:t>u prowadzenia badań naukowych, odbycia studiów, szkoleń, udziału</w:t>
      </w:r>
      <w:r w:rsidR="00A5335D" w:rsidRPr="00A5335D">
        <w:rPr>
          <w:rFonts w:ascii="Times New Roman" w:hAnsi="Times New Roman"/>
        </w:rPr>
        <w:t xml:space="preserve"> w wol</w:t>
      </w:r>
      <w:r w:rsidRPr="00A5335D">
        <w:rPr>
          <w:rFonts w:ascii="Times New Roman" w:hAnsi="Times New Roman"/>
        </w:rPr>
        <w:t>ontariacie, programach wymiany młodzieży szkolnej lub projektach edukacyjnych oraz podjęcia pracy</w:t>
      </w:r>
      <w:r w:rsidR="00A5335D" w:rsidRPr="00A5335D">
        <w:rPr>
          <w:rFonts w:ascii="Times New Roman" w:hAnsi="Times New Roman"/>
        </w:rPr>
        <w:t xml:space="preserve"> w cha</w:t>
      </w:r>
      <w:r w:rsidRPr="00A5335D">
        <w:rPr>
          <w:rFonts w:ascii="Times New Roman" w:hAnsi="Times New Roman"/>
        </w:rPr>
        <w:t>rakterze au pair, Dz.U. L 132</w:t>
      </w:r>
      <w:r w:rsidR="00A5335D" w:rsidRPr="00A5335D">
        <w:rPr>
          <w:rFonts w:ascii="Times New Roman" w:hAnsi="Times New Roman"/>
        </w:rPr>
        <w:t xml:space="preserve"> z 2</w:t>
      </w:r>
      <w:r w:rsidRPr="00A5335D">
        <w:rPr>
          <w:rFonts w:ascii="Times New Roman" w:hAnsi="Times New Roman"/>
        </w:rPr>
        <w:t>1.5.2016, s. 21.</w:t>
      </w:r>
    </w:p>
  </w:footnote>
  <w:footnote w:id="31">
    <w:p w14:paraId="27CEFD3C" w14:textId="6845B0DD" w:rsidR="00492DA7" w:rsidRPr="00A5335D" w:rsidRDefault="00492DA7" w:rsidP="00834BBD">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Dyrektywa Rady 2003/86/WE</w:t>
      </w:r>
      <w:r w:rsidR="00A5335D" w:rsidRPr="00A5335D">
        <w:rPr>
          <w:rFonts w:ascii="Times New Roman" w:hAnsi="Times New Roman"/>
        </w:rPr>
        <w:t xml:space="preserve"> z dni</w:t>
      </w:r>
      <w:r w:rsidRPr="00A5335D">
        <w:rPr>
          <w:rFonts w:ascii="Times New Roman" w:hAnsi="Times New Roman"/>
        </w:rPr>
        <w:t>a 22 września 2003 r.</w:t>
      </w:r>
      <w:r w:rsidR="00A5335D" w:rsidRPr="00A5335D">
        <w:rPr>
          <w:rFonts w:ascii="Times New Roman" w:hAnsi="Times New Roman"/>
        </w:rPr>
        <w:t xml:space="preserve"> w spr</w:t>
      </w:r>
      <w:r w:rsidRPr="00A5335D">
        <w:rPr>
          <w:rFonts w:ascii="Times New Roman" w:hAnsi="Times New Roman"/>
        </w:rPr>
        <w:t>awie prawa do łączenia rodzin, Dz.U. L 251</w:t>
      </w:r>
      <w:r w:rsidR="00A5335D" w:rsidRPr="00A5335D">
        <w:rPr>
          <w:rFonts w:ascii="Times New Roman" w:hAnsi="Times New Roman"/>
        </w:rPr>
        <w:t xml:space="preserve"> z 3</w:t>
      </w:r>
      <w:r w:rsidRPr="00A5335D">
        <w:rPr>
          <w:rFonts w:ascii="Times New Roman" w:hAnsi="Times New Roman"/>
        </w:rPr>
        <w:t>.10.2003, s. 12.</w:t>
      </w:r>
    </w:p>
  </w:footnote>
  <w:footnote w:id="32">
    <w:p w14:paraId="27CEFD3D" w14:textId="7D409B3E" w:rsidR="00492DA7" w:rsidRPr="00A5335D" w:rsidRDefault="00492DA7" w:rsidP="00834BBD">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ab/>
        <w:t>Dyrektywa Rady 2003/109/WE</w:t>
      </w:r>
      <w:r w:rsidR="00A5335D" w:rsidRPr="00A5335D">
        <w:rPr>
          <w:rFonts w:ascii="Times New Roman" w:hAnsi="Times New Roman"/>
        </w:rPr>
        <w:t xml:space="preserve"> z dni</w:t>
      </w:r>
      <w:r w:rsidRPr="00A5335D">
        <w:rPr>
          <w:rFonts w:ascii="Times New Roman" w:hAnsi="Times New Roman"/>
        </w:rPr>
        <w:t>a 25 listopada 2003</w:t>
      </w:r>
      <w:r w:rsidR="00A5335D" w:rsidRPr="00A5335D">
        <w:rPr>
          <w:rFonts w:ascii="Times New Roman" w:hAnsi="Times New Roman"/>
        </w:rPr>
        <w:t> </w:t>
      </w:r>
      <w:r w:rsidRPr="00A5335D">
        <w:rPr>
          <w:rFonts w:ascii="Times New Roman" w:hAnsi="Times New Roman"/>
        </w:rPr>
        <w:t>r. dotycząca statusu obywateli państw trzecich będących rezydentami długoterminowymi, Dz.U. L 16</w:t>
      </w:r>
      <w:r w:rsidR="00A5335D" w:rsidRPr="00A5335D">
        <w:rPr>
          <w:rFonts w:ascii="Times New Roman" w:hAnsi="Times New Roman"/>
        </w:rPr>
        <w:t xml:space="preserve"> z 2</w:t>
      </w:r>
      <w:r w:rsidRPr="00A5335D">
        <w:rPr>
          <w:rFonts w:ascii="Times New Roman" w:hAnsi="Times New Roman"/>
        </w:rPr>
        <w:t>3.1.2004, s. 44.</w:t>
      </w:r>
    </w:p>
  </w:footnote>
  <w:footnote w:id="33">
    <w:p w14:paraId="27CEFD3E" w14:textId="6C9F68E9" w:rsidR="00492DA7" w:rsidRPr="00A5335D" w:rsidRDefault="00492DA7" w:rsidP="00834BBD">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ab/>
        <w:t>Dyrektywa Parlamentu Europejskiego</w:t>
      </w:r>
      <w:r w:rsidR="00A5335D" w:rsidRPr="00A5335D">
        <w:rPr>
          <w:rFonts w:ascii="Times New Roman" w:hAnsi="Times New Roman"/>
        </w:rPr>
        <w:t xml:space="preserve"> i Rad</w:t>
      </w:r>
      <w:r w:rsidRPr="00A5335D">
        <w:rPr>
          <w:rFonts w:ascii="Times New Roman" w:hAnsi="Times New Roman"/>
        </w:rPr>
        <w:t>y 2011/98/UE</w:t>
      </w:r>
      <w:r w:rsidR="00A5335D" w:rsidRPr="00A5335D">
        <w:rPr>
          <w:rFonts w:ascii="Times New Roman" w:hAnsi="Times New Roman"/>
        </w:rPr>
        <w:t xml:space="preserve"> z dni</w:t>
      </w:r>
      <w:r w:rsidRPr="00A5335D">
        <w:rPr>
          <w:rFonts w:ascii="Times New Roman" w:hAnsi="Times New Roman"/>
        </w:rPr>
        <w:t>a 13 grudnia 2011</w:t>
      </w:r>
      <w:r w:rsidR="00A5335D" w:rsidRPr="00A5335D">
        <w:rPr>
          <w:rFonts w:ascii="Times New Roman" w:hAnsi="Times New Roman"/>
        </w:rPr>
        <w:t> </w:t>
      </w:r>
      <w:r w:rsidRPr="00A5335D">
        <w:rPr>
          <w:rFonts w:ascii="Times New Roman" w:hAnsi="Times New Roman"/>
        </w:rPr>
        <w:t>r.</w:t>
      </w:r>
      <w:r w:rsidR="00A5335D" w:rsidRPr="00A5335D">
        <w:rPr>
          <w:rFonts w:ascii="Times New Roman" w:hAnsi="Times New Roman"/>
        </w:rPr>
        <w:t xml:space="preserve"> w spr</w:t>
      </w:r>
      <w:r w:rsidRPr="00A5335D">
        <w:rPr>
          <w:rFonts w:ascii="Times New Roman" w:hAnsi="Times New Roman"/>
        </w:rPr>
        <w:t>awie procedury jednego wniosku</w:t>
      </w:r>
      <w:r w:rsidR="00A5335D" w:rsidRPr="00A5335D">
        <w:rPr>
          <w:rFonts w:ascii="Times New Roman" w:hAnsi="Times New Roman"/>
        </w:rPr>
        <w:t xml:space="preserve"> o jed</w:t>
      </w:r>
      <w:r w:rsidRPr="00A5335D">
        <w:rPr>
          <w:rFonts w:ascii="Times New Roman" w:hAnsi="Times New Roman"/>
        </w:rPr>
        <w:t>no zezwolenie dla obywateli państw trzecich na pobyt</w:t>
      </w:r>
      <w:r w:rsidR="00A5335D" w:rsidRPr="00A5335D">
        <w:rPr>
          <w:rFonts w:ascii="Times New Roman" w:hAnsi="Times New Roman"/>
        </w:rPr>
        <w:t xml:space="preserve"> i pra</w:t>
      </w:r>
      <w:r w:rsidRPr="00A5335D">
        <w:rPr>
          <w:rFonts w:ascii="Times New Roman" w:hAnsi="Times New Roman"/>
        </w:rPr>
        <w:t>cę na terytorium państwa członkowskiego oraz</w:t>
      </w:r>
      <w:r w:rsidR="00A5335D" w:rsidRPr="00A5335D">
        <w:rPr>
          <w:rFonts w:ascii="Times New Roman" w:hAnsi="Times New Roman"/>
        </w:rPr>
        <w:t xml:space="preserve"> w spr</w:t>
      </w:r>
      <w:r w:rsidRPr="00A5335D">
        <w:rPr>
          <w:rFonts w:ascii="Times New Roman" w:hAnsi="Times New Roman"/>
        </w:rPr>
        <w:t>awie wspólnego zbioru praw dla pracowników</w:t>
      </w:r>
      <w:r w:rsidR="00A5335D" w:rsidRPr="00A5335D">
        <w:rPr>
          <w:rFonts w:ascii="Times New Roman" w:hAnsi="Times New Roman"/>
        </w:rPr>
        <w:t xml:space="preserve"> z pań</w:t>
      </w:r>
      <w:r w:rsidRPr="00A5335D">
        <w:rPr>
          <w:rFonts w:ascii="Times New Roman" w:hAnsi="Times New Roman"/>
        </w:rPr>
        <w:t>stw trzecich przebywających legalnie</w:t>
      </w:r>
      <w:r w:rsidR="00A5335D" w:rsidRPr="00A5335D">
        <w:rPr>
          <w:rFonts w:ascii="Times New Roman" w:hAnsi="Times New Roman"/>
        </w:rPr>
        <w:t xml:space="preserve"> w pań</w:t>
      </w:r>
      <w:r w:rsidRPr="00A5335D">
        <w:rPr>
          <w:rFonts w:ascii="Times New Roman" w:hAnsi="Times New Roman"/>
        </w:rPr>
        <w:t>stwie członkowskim</w:t>
      </w:r>
      <w:r w:rsidR="002D5B0A" w:rsidRPr="00A5335D">
        <w:rPr>
          <w:rFonts w:ascii="Times New Roman" w:hAnsi="Times New Roman"/>
        </w:rPr>
        <w:t>,</w:t>
      </w:r>
      <w:r w:rsidRPr="00A5335D">
        <w:rPr>
          <w:rFonts w:ascii="Times New Roman" w:hAnsi="Times New Roman"/>
        </w:rPr>
        <w:t xml:space="preserve"> Dz.U. L 343</w:t>
      </w:r>
      <w:r w:rsidR="00A5335D" w:rsidRPr="00A5335D">
        <w:rPr>
          <w:rFonts w:ascii="Times New Roman" w:hAnsi="Times New Roman"/>
        </w:rPr>
        <w:t xml:space="preserve"> z 2</w:t>
      </w:r>
      <w:r w:rsidRPr="00A5335D">
        <w:rPr>
          <w:rFonts w:ascii="Times New Roman" w:hAnsi="Times New Roman"/>
        </w:rPr>
        <w:t>3.12.2011, s. 1.</w:t>
      </w:r>
    </w:p>
  </w:footnote>
  <w:footnote w:id="34">
    <w:p w14:paraId="27CEFD3F" w14:textId="77777777" w:rsidR="00492DA7" w:rsidRPr="00A5335D" w:rsidRDefault="00492DA7" w:rsidP="001D406D">
      <w:pPr>
        <w:pStyle w:val="FootnoteText"/>
        <w:tabs>
          <w:tab w:val="left" w:pos="720"/>
        </w:tabs>
        <w:ind w:left="720" w:hanging="708"/>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r>
      <w:hyperlink r:id="rId14" w:history="1">
        <w:r w:rsidRPr="00A5335D">
          <w:rPr>
            <w:rStyle w:val="Hyperlink"/>
            <w:rFonts w:ascii="Times New Roman" w:hAnsi="Times New Roman"/>
          </w:rPr>
          <w:t>https://ec.europa.eu/home-affairs/policies/migration-and-asylum/legal-migration-and-integration/legal-migration-fitness-check_en</w:t>
        </w:r>
      </w:hyperlink>
    </w:p>
  </w:footnote>
  <w:footnote w:id="35">
    <w:p w14:paraId="27CEFD40" w14:textId="755E8CA9" w:rsidR="00492DA7" w:rsidRPr="00A5335D" w:rsidRDefault="00492DA7" w:rsidP="001D406D">
      <w:pPr>
        <w:pStyle w:val="FootnoteText"/>
        <w:ind w:left="708" w:hanging="708"/>
        <w:jc w:val="both"/>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Osiem państw członkowskich uczestniczyło lub uczestniczy obecnie</w:t>
      </w:r>
      <w:r w:rsidR="00A5335D" w:rsidRPr="00A5335D">
        <w:rPr>
          <w:rFonts w:ascii="Times New Roman" w:hAnsi="Times New Roman"/>
        </w:rPr>
        <w:t xml:space="preserve"> w sze</w:t>
      </w:r>
      <w:r w:rsidRPr="00A5335D">
        <w:rPr>
          <w:rFonts w:ascii="Times New Roman" w:hAnsi="Times New Roman"/>
        </w:rPr>
        <w:t>ściu takich projektach</w:t>
      </w:r>
      <w:r w:rsidR="00A5335D" w:rsidRPr="00A5335D">
        <w:rPr>
          <w:rFonts w:ascii="Times New Roman" w:hAnsi="Times New Roman"/>
        </w:rPr>
        <w:t xml:space="preserve"> z Egi</w:t>
      </w:r>
      <w:r w:rsidRPr="00A5335D">
        <w:rPr>
          <w:rFonts w:ascii="Times New Roman" w:hAnsi="Times New Roman"/>
        </w:rPr>
        <w:t>ptem, Mołdawią, Maroko, Nigerią, Senegalem</w:t>
      </w:r>
      <w:r w:rsidR="00A5335D" w:rsidRPr="00A5335D">
        <w:rPr>
          <w:rFonts w:ascii="Times New Roman" w:hAnsi="Times New Roman"/>
        </w:rPr>
        <w:t xml:space="preserve"> i Tun</w:t>
      </w:r>
      <w:r w:rsidRPr="00A5335D">
        <w:rPr>
          <w:rFonts w:ascii="Times New Roman" w:hAnsi="Times New Roman"/>
        </w:rPr>
        <w:t>ezją. Kluczowe tematy obejmują mobilność cyrkulacyjną ekspertów</w:t>
      </w:r>
      <w:r w:rsidR="00A5335D" w:rsidRPr="00A5335D">
        <w:rPr>
          <w:rFonts w:ascii="Times New Roman" w:hAnsi="Times New Roman"/>
        </w:rPr>
        <w:t xml:space="preserve"> w dzi</w:t>
      </w:r>
      <w:r w:rsidRPr="00A5335D">
        <w:rPr>
          <w:rFonts w:ascii="Times New Roman" w:hAnsi="Times New Roman"/>
        </w:rPr>
        <w:t>edzinie ICT, możliwości dla przedsiębiorców</w:t>
      </w:r>
      <w:r w:rsidR="00A5335D" w:rsidRPr="00A5335D">
        <w:rPr>
          <w:rFonts w:ascii="Times New Roman" w:hAnsi="Times New Roman"/>
        </w:rPr>
        <w:t xml:space="preserve"> i stu</w:t>
      </w:r>
      <w:r w:rsidRPr="00A5335D">
        <w:rPr>
          <w:rFonts w:ascii="Times New Roman" w:hAnsi="Times New Roman"/>
        </w:rPr>
        <w:t>dentów oraz staże.</w:t>
      </w:r>
    </w:p>
  </w:footnote>
  <w:footnote w:id="36">
    <w:p w14:paraId="27CEFD41" w14:textId="17DB992A" w:rsidR="00492DA7" w:rsidRPr="00A5335D" w:rsidRDefault="00492DA7" w:rsidP="001D406D">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Komisja Europejska, Dyrekcja Generalna ds. Migracji</w:t>
      </w:r>
      <w:r w:rsidR="00A5335D" w:rsidRPr="00A5335D">
        <w:rPr>
          <w:rFonts w:ascii="Times New Roman" w:hAnsi="Times New Roman"/>
        </w:rPr>
        <w:t xml:space="preserve"> i Spr</w:t>
      </w:r>
      <w:r w:rsidRPr="00A5335D">
        <w:rPr>
          <w:rFonts w:ascii="Times New Roman" w:hAnsi="Times New Roman"/>
        </w:rPr>
        <w:t>aw Wewnętrznych, Analiza odpowiedzi na konsultacje publiczne</w:t>
      </w:r>
      <w:r w:rsidR="00A5335D" w:rsidRPr="00A5335D">
        <w:rPr>
          <w:rFonts w:ascii="Times New Roman" w:hAnsi="Times New Roman"/>
        </w:rPr>
        <w:t xml:space="preserve"> w spr</w:t>
      </w:r>
      <w:r w:rsidRPr="00A5335D">
        <w:rPr>
          <w:rFonts w:ascii="Times New Roman" w:hAnsi="Times New Roman"/>
        </w:rPr>
        <w:t>awie przyszłości legalnej migracji – sprawozdanie podsumowujące, Urząd Publikacji, 2021,</w:t>
      </w:r>
      <w:r w:rsidRPr="00A5335D">
        <w:rPr>
          <w:rFonts w:ascii="Times New Roman" w:hAnsi="Times New Roman"/>
          <w:color w:val="666666"/>
          <w:shd w:val="clear" w:color="auto" w:fill="FFFFFF"/>
        </w:rPr>
        <w:t> </w:t>
      </w:r>
      <w:hyperlink r:id="rId15" w:tgtFrame="_blank" w:history="1">
        <w:r w:rsidRPr="00A5335D">
          <w:rPr>
            <w:rStyle w:val="Hyperlink"/>
            <w:rFonts w:ascii="Times New Roman" w:hAnsi="Times New Roman"/>
            <w:shd w:val="clear" w:color="auto" w:fill="FFFFFF"/>
          </w:rPr>
          <w:t>https://data.europa.eu/doi/10.2837/92995</w:t>
        </w:r>
      </w:hyperlink>
    </w:p>
  </w:footnote>
  <w:footnote w:id="37">
    <w:p w14:paraId="27CEFD42" w14:textId="06D4C2F1" w:rsidR="00492DA7" w:rsidRPr="00A5335D" w:rsidRDefault="00492DA7" w:rsidP="00834BBD">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Spotkania zorganizowane podczas opracowywania ocen skutków obu dyrektyw oraz spotkanie</w:t>
      </w:r>
      <w:r w:rsidR="00A5335D" w:rsidRPr="00A5335D">
        <w:rPr>
          <w:rFonts w:ascii="Times New Roman" w:hAnsi="Times New Roman"/>
        </w:rPr>
        <w:t xml:space="preserve"> w dni</w:t>
      </w:r>
      <w:r w:rsidRPr="00A5335D">
        <w:rPr>
          <w:rFonts w:ascii="Times New Roman" w:hAnsi="Times New Roman"/>
        </w:rPr>
        <w:t>u 17 marca 2022</w:t>
      </w:r>
      <w:r w:rsidR="00A5335D" w:rsidRPr="00A5335D">
        <w:rPr>
          <w:rFonts w:ascii="Times New Roman" w:hAnsi="Times New Roman"/>
        </w:rPr>
        <w:t> </w:t>
      </w:r>
      <w:r w:rsidRPr="00A5335D">
        <w:rPr>
          <w:rFonts w:ascii="Times New Roman" w:hAnsi="Times New Roman"/>
        </w:rPr>
        <w:t>r., zob. oceny skutków dyrektywy</w:t>
      </w:r>
      <w:r w:rsidR="00A5335D" w:rsidRPr="00A5335D">
        <w:rPr>
          <w:rFonts w:ascii="Times New Roman" w:hAnsi="Times New Roman"/>
        </w:rPr>
        <w:t xml:space="preserve"> w spr</w:t>
      </w:r>
      <w:r w:rsidRPr="00A5335D">
        <w:rPr>
          <w:rFonts w:ascii="Times New Roman" w:hAnsi="Times New Roman"/>
        </w:rPr>
        <w:t>awie rezydentów długoterminowych</w:t>
      </w:r>
      <w:r w:rsidR="00A5335D" w:rsidRPr="00A5335D">
        <w:rPr>
          <w:rFonts w:ascii="Times New Roman" w:hAnsi="Times New Roman"/>
        </w:rPr>
        <w:t xml:space="preserve"> i dyr</w:t>
      </w:r>
      <w:r w:rsidRPr="00A5335D">
        <w:rPr>
          <w:rFonts w:ascii="Times New Roman" w:hAnsi="Times New Roman"/>
        </w:rPr>
        <w:t>ektywy</w:t>
      </w:r>
      <w:r w:rsidR="00A5335D" w:rsidRPr="00A5335D">
        <w:rPr>
          <w:rFonts w:ascii="Times New Roman" w:hAnsi="Times New Roman"/>
        </w:rPr>
        <w:t xml:space="preserve"> w spr</w:t>
      </w:r>
      <w:r w:rsidRPr="00A5335D">
        <w:rPr>
          <w:rFonts w:ascii="Times New Roman" w:hAnsi="Times New Roman"/>
        </w:rPr>
        <w:t>awie jednego zezwolenia, SWD(2022) 651 i SWD(2022) 656.</w:t>
      </w:r>
    </w:p>
  </w:footnote>
  <w:footnote w:id="38">
    <w:p w14:paraId="27CEFD43" w14:textId="7340DCAA" w:rsidR="00492DA7" w:rsidRPr="00A5335D" w:rsidRDefault="00492DA7" w:rsidP="00834BBD">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r>
      <w:r w:rsidRPr="00A5335D">
        <w:rPr>
          <w:rFonts w:ascii="Times New Roman" w:hAnsi="Times New Roman"/>
          <w:i/>
        </w:rPr>
        <w:t>Ibid</w:t>
      </w:r>
      <w:r w:rsidRPr="00A5335D">
        <w:rPr>
          <w:rFonts w:ascii="Times New Roman" w:hAnsi="Times New Roman"/>
        </w:rPr>
        <w:t>.</w:t>
      </w:r>
    </w:p>
  </w:footnote>
  <w:footnote w:id="39">
    <w:p w14:paraId="27CEFD44" w14:textId="53AF616F" w:rsidR="00492DA7" w:rsidRPr="00A5335D" w:rsidRDefault="00492DA7" w:rsidP="001D406D">
      <w:pPr>
        <w:pStyle w:val="FootnoteText"/>
        <w:ind w:left="708" w:hanging="708"/>
        <w:jc w:val="both"/>
        <w:rPr>
          <w:rFonts w:ascii="Times New Roman" w:hAnsi="Times New Roman" w:cs="Times New Roman"/>
          <w:highlight w:val="lightGray"/>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Rezolucja Parlamentu Europejskiego</w:t>
      </w:r>
      <w:r w:rsidR="00A5335D" w:rsidRPr="00A5335D">
        <w:rPr>
          <w:rFonts w:ascii="Times New Roman" w:hAnsi="Times New Roman"/>
        </w:rPr>
        <w:t xml:space="preserve"> z dni</w:t>
      </w:r>
      <w:r w:rsidRPr="00A5335D">
        <w:rPr>
          <w:rFonts w:ascii="Times New Roman" w:hAnsi="Times New Roman"/>
        </w:rPr>
        <w:t>a 20 maja 2021</w:t>
      </w:r>
      <w:r w:rsidR="00A5335D" w:rsidRPr="00A5335D">
        <w:rPr>
          <w:rFonts w:ascii="Times New Roman" w:hAnsi="Times New Roman"/>
        </w:rPr>
        <w:t> </w:t>
      </w:r>
      <w:r w:rsidRPr="00A5335D">
        <w:rPr>
          <w:rFonts w:ascii="Times New Roman" w:hAnsi="Times New Roman"/>
        </w:rPr>
        <w:t>r.</w:t>
      </w:r>
      <w:r w:rsidR="00A5335D" w:rsidRPr="00A5335D">
        <w:rPr>
          <w:rFonts w:ascii="Times New Roman" w:hAnsi="Times New Roman"/>
        </w:rPr>
        <w:t xml:space="preserve"> w spr</w:t>
      </w:r>
      <w:r w:rsidRPr="00A5335D">
        <w:rPr>
          <w:rFonts w:ascii="Times New Roman" w:hAnsi="Times New Roman"/>
        </w:rPr>
        <w:t xml:space="preserve">awie nowych sposobów legalnej migracji zarobkowej </w:t>
      </w:r>
      <w:hyperlink r:id="rId16" w:history="1">
        <w:r w:rsidRPr="00A5335D">
          <w:rPr>
            <w:rStyle w:val="Hyperlink"/>
            <w:rFonts w:ascii="Times New Roman" w:hAnsi="Times New Roman"/>
          </w:rPr>
          <w:t>(2020/2010(INI))</w:t>
        </w:r>
      </w:hyperlink>
      <w:r w:rsidRPr="00A5335D">
        <w:rPr>
          <w:rFonts w:ascii="Times New Roman" w:hAnsi="Times New Roman"/>
        </w:rPr>
        <w:t>; Rezolucja Parlamentu Europejskiego</w:t>
      </w:r>
      <w:r w:rsidR="00A5335D" w:rsidRPr="00A5335D">
        <w:rPr>
          <w:rFonts w:ascii="Times New Roman" w:hAnsi="Times New Roman"/>
        </w:rPr>
        <w:t xml:space="preserve"> z dni</w:t>
      </w:r>
      <w:r w:rsidRPr="00A5335D">
        <w:rPr>
          <w:rFonts w:ascii="Times New Roman" w:hAnsi="Times New Roman"/>
        </w:rPr>
        <w:t>a 25 listopada 2021</w:t>
      </w:r>
      <w:r w:rsidR="00A5335D" w:rsidRPr="00A5335D">
        <w:rPr>
          <w:rFonts w:ascii="Times New Roman" w:hAnsi="Times New Roman"/>
        </w:rPr>
        <w:t> </w:t>
      </w:r>
      <w:r w:rsidRPr="00A5335D">
        <w:rPr>
          <w:rFonts w:ascii="Times New Roman" w:hAnsi="Times New Roman"/>
        </w:rPr>
        <w:t>r. zawierająca zalecenia dla Komisji</w:t>
      </w:r>
      <w:r w:rsidR="00A5335D" w:rsidRPr="00A5335D">
        <w:rPr>
          <w:rFonts w:ascii="Times New Roman" w:hAnsi="Times New Roman"/>
        </w:rPr>
        <w:t xml:space="preserve"> w spr</w:t>
      </w:r>
      <w:r w:rsidRPr="00A5335D">
        <w:rPr>
          <w:rFonts w:ascii="Times New Roman" w:hAnsi="Times New Roman"/>
        </w:rPr>
        <w:t>awie polityki</w:t>
      </w:r>
      <w:r w:rsidR="00A5335D" w:rsidRPr="00A5335D">
        <w:rPr>
          <w:rFonts w:ascii="Times New Roman" w:hAnsi="Times New Roman"/>
        </w:rPr>
        <w:t xml:space="preserve"> i ust</w:t>
      </w:r>
      <w:r w:rsidRPr="00A5335D">
        <w:rPr>
          <w:rFonts w:ascii="Times New Roman" w:hAnsi="Times New Roman"/>
        </w:rPr>
        <w:t>awodawstwa</w:t>
      </w:r>
      <w:r w:rsidR="00A5335D" w:rsidRPr="00A5335D">
        <w:rPr>
          <w:rFonts w:ascii="Times New Roman" w:hAnsi="Times New Roman"/>
        </w:rPr>
        <w:t xml:space="preserve"> w dzi</w:t>
      </w:r>
      <w:r w:rsidRPr="00A5335D">
        <w:rPr>
          <w:rFonts w:ascii="Times New Roman" w:hAnsi="Times New Roman"/>
        </w:rPr>
        <w:t xml:space="preserve">edzinie legalnej migracji </w:t>
      </w:r>
      <w:hyperlink r:id="rId17" w:history="1">
        <w:r w:rsidRPr="00A5335D">
          <w:rPr>
            <w:rStyle w:val="Hyperlink"/>
            <w:rFonts w:ascii="Times New Roman" w:hAnsi="Times New Roman"/>
            <w:b/>
            <w:bCs/>
            <w:u w:val="none"/>
          </w:rPr>
          <w:t>(</w:t>
        </w:r>
        <w:r w:rsidRPr="00A5335D">
          <w:rPr>
            <w:rStyle w:val="Hyperlink"/>
            <w:rFonts w:ascii="Times New Roman" w:hAnsi="Times New Roman"/>
          </w:rPr>
          <w:t>2020/2255(INL))</w:t>
        </w:r>
      </w:hyperlink>
      <w:r w:rsidRPr="00A5335D">
        <w:rPr>
          <w:rFonts w:ascii="Times New Roman" w:hAnsi="Times New Roman"/>
        </w:rPr>
        <w:t>.</w:t>
      </w:r>
    </w:p>
  </w:footnote>
  <w:footnote w:id="40">
    <w:p w14:paraId="27CEFD45" w14:textId="4AEC38E7" w:rsidR="00492DA7" w:rsidRPr="00A5335D" w:rsidDel="004A5E34" w:rsidRDefault="00492DA7" w:rsidP="005671DC">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Dyrektywa Rady 2003/109/WE</w:t>
      </w:r>
      <w:r w:rsidR="00A5335D" w:rsidRPr="00A5335D">
        <w:rPr>
          <w:rFonts w:ascii="Times New Roman" w:hAnsi="Times New Roman"/>
        </w:rPr>
        <w:t xml:space="preserve"> z dni</w:t>
      </w:r>
      <w:r w:rsidRPr="00A5335D">
        <w:rPr>
          <w:rFonts w:ascii="Times New Roman" w:hAnsi="Times New Roman"/>
        </w:rPr>
        <w:t>a 25 listopada 2003</w:t>
      </w:r>
      <w:r w:rsidR="00A5335D" w:rsidRPr="00A5335D">
        <w:rPr>
          <w:rFonts w:ascii="Times New Roman" w:hAnsi="Times New Roman"/>
        </w:rPr>
        <w:t> </w:t>
      </w:r>
      <w:r w:rsidRPr="00A5335D">
        <w:rPr>
          <w:rFonts w:ascii="Times New Roman" w:hAnsi="Times New Roman"/>
        </w:rPr>
        <w:t>r. dotycząca statusu obywateli państw trzecich będących rezydentami długoterminowymi, Dz.U. L 16</w:t>
      </w:r>
      <w:r w:rsidR="00A5335D" w:rsidRPr="00A5335D">
        <w:rPr>
          <w:rFonts w:ascii="Times New Roman" w:hAnsi="Times New Roman"/>
        </w:rPr>
        <w:t xml:space="preserve"> z 2</w:t>
      </w:r>
      <w:r w:rsidRPr="00A5335D">
        <w:rPr>
          <w:rFonts w:ascii="Times New Roman" w:hAnsi="Times New Roman"/>
        </w:rPr>
        <w:t>3.1.2004, s. 44.</w:t>
      </w:r>
    </w:p>
  </w:footnote>
  <w:footnote w:id="41">
    <w:p w14:paraId="27CEFD46" w14:textId="3F7094DF" w:rsidR="00492DA7" w:rsidRPr="00A5335D" w:rsidRDefault="00492DA7" w:rsidP="005671DC">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r>
      <w:r w:rsidRPr="00A5335D">
        <w:rPr>
          <w:rFonts w:ascii="Times New Roman" w:hAnsi="Times New Roman"/>
          <w:shd w:val="clear" w:color="auto" w:fill="FFFFFF"/>
        </w:rPr>
        <w:t>Dyrektywa Parlamentu Europejskiego</w:t>
      </w:r>
      <w:r w:rsidR="00A5335D" w:rsidRPr="00A5335D">
        <w:rPr>
          <w:rFonts w:ascii="Times New Roman" w:hAnsi="Times New Roman"/>
          <w:shd w:val="clear" w:color="auto" w:fill="FFFFFF"/>
        </w:rPr>
        <w:t xml:space="preserve"> i Rad</w:t>
      </w:r>
      <w:r w:rsidRPr="00A5335D">
        <w:rPr>
          <w:rFonts w:ascii="Times New Roman" w:hAnsi="Times New Roman"/>
          <w:shd w:val="clear" w:color="auto" w:fill="FFFFFF"/>
        </w:rPr>
        <w:t>y 2011/98/UE</w:t>
      </w:r>
      <w:r w:rsidR="00A5335D" w:rsidRPr="00A5335D">
        <w:rPr>
          <w:rFonts w:ascii="Times New Roman" w:hAnsi="Times New Roman"/>
          <w:shd w:val="clear" w:color="auto" w:fill="FFFFFF"/>
        </w:rPr>
        <w:t xml:space="preserve"> z dni</w:t>
      </w:r>
      <w:r w:rsidRPr="00A5335D">
        <w:rPr>
          <w:rFonts w:ascii="Times New Roman" w:hAnsi="Times New Roman"/>
          <w:shd w:val="clear" w:color="auto" w:fill="FFFFFF"/>
        </w:rPr>
        <w:t>a 13 grudnia 2011</w:t>
      </w:r>
      <w:r w:rsidR="00A5335D" w:rsidRPr="00A5335D">
        <w:rPr>
          <w:rFonts w:ascii="Times New Roman" w:hAnsi="Times New Roman"/>
          <w:shd w:val="clear" w:color="auto" w:fill="FFFFFF"/>
        </w:rPr>
        <w:t> </w:t>
      </w:r>
      <w:r w:rsidRPr="00A5335D">
        <w:rPr>
          <w:rFonts w:ascii="Times New Roman" w:hAnsi="Times New Roman"/>
          <w:shd w:val="clear" w:color="auto" w:fill="FFFFFF"/>
        </w:rPr>
        <w:t>r.</w:t>
      </w:r>
      <w:r w:rsidR="00A5335D" w:rsidRPr="00A5335D">
        <w:rPr>
          <w:rFonts w:ascii="Times New Roman" w:hAnsi="Times New Roman"/>
          <w:shd w:val="clear" w:color="auto" w:fill="FFFFFF"/>
        </w:rPr>
        <w:t xml:space="preserve"> w spr</w:t>
      </w:r>
      <w:r w:rsidRPr="00A5335D">
        <w:rPr>
          <w:rFonts w:ascii="Times New Roman" w:hAnsi="Times New Roman"/>
          <w:shd w:val="clear" w:color="auto" w:fill="FFFFFF"/>
        </w:rPr>
        <w:t>awie procedury jednego wniosku</w:t>
      </w:r>
      <w:r w:rsidR="00A5335D" w:rsidRPr="00A5335D">
        <w:rPr>
          <w:rFonts w:ascii="Times New Roman" w:hAnsi="Times New Roman"/>
          <w:shd w:val="clear" w:color="auto" w:fill="FFFFFF"/>
        </w:rPr>
        <w:t xml:space="preserve"> o jed</w:t>
      </w:r>
      <w:r w:rsidRPr="00A5335D">
        <w:rPr>
          <w:rFonts w:ascii="Times New Roman" w:hAnsi="Times New Roman"/>
          <w:shd w:val="clear" w:color="auto" w:fill="FFFFFF"/>
        </w:rPr>
        <w:t>no zezwolenie dla obywateli państw trzecich na pobyt</w:t>
      </w:r>
      <w:r w:rsidR="00A5335D" w:rsidRPr="00A5335D">
        <w:rPr>
          <w:rFonts w:ascii="Times New Roman" w:hAnsi="Times New Roman"/>
          <w:shd w:val="clear" w:color="auto" w:fill="FFFFFF"/>
        </w:rPr>
        <w:t xml:space="preserve"> i pra</w:t>
      </w:r>
      <w:r w:rsidRPr="00A5335D">
        <w:rPr>
          <w:rFonts w:ascii="Times New Roman" w:hAnsi="Times New Roman"/>
          <w:shd w:val="clear" w:color="auto" w:fill="FFFFFF"/>
        </w:rPr>
        <w:t>cę na terytorium państwa członkowskiego oraz</w:t>
      </w:r>
      <w:r w:rsidR="00A5335D" w:rsidRPr="00A5335D">
        <w:rPr>
          <w:rFonts w:ascii="Times New Roman" w:hAnsi="Times New Roman"/>
          <w:shd w:val="clear" w:color="auto" w:fill="FFFFFF"/>
        </w:rPr>
        <w:t xml:space="preserve"> w spr</w:t>
      </w:r>
      <w:r w:rsidRPr="00A5335D">
        <w:rPr>
          <w:rFonts w:ascii="Times New Roman" w:hAnsi="Times New Roman"/>
          <w:shd w:val="clear" w:color="auto" w:fill="FFFFFF"/>
        </w:rPr>
        <w:t>awie wspólnego zbioru praw dla pracowników</w:t>
      </w:r>
      <w:r w:rsidR="00A5335D" w:rsidRPr="00A5335D">
        <w:rPr>
          <w:rFonts w:ascii="Times New Roman" w:hAnsi="Times New Roman"/>
          <w:shd w:val="clear" w:color="auto" w:fill="FFFFFF"/>
        </w:rPr>
        <w:t xml:space="preserve"> z pań</w:t>
      </w:r>
      <w:r w:rsidRPr="00A5335D">
        <w:rPr>
          <w:rFonts w:ascii="Times New Roman" w:hAnsi="Times New Roman"/>
          <w:shd w:val="clear" w:color="auto" w:fill="FFFFFF"/>
        </w:rPr>
        <w:t>stw trzecich przebywających legalnie</w:t>
      </w:r>
      <w:r w:rsidR="00A5335D" w:rsidRPr="00A5335D">
        <w:rPr>
          <w:rFonts w:ascii="Times New Roman" w:hAnsi="Times New Roman"/>
          <w:shd w:val="clear" w:color="auto" w:fill="FFFFFF"/>
        </w:rPr>
        <w:t xml:space="preserve"> w pań</w:t>
      </w:r>
      <w:r w:rsidRPr="00A5335D">
        <w:rPr>
          <w:rFonts w:ascii="Times New Roman" w:hAnsi="Times New Roman"/>
          <w:shd w:val="clear" w:color="auto" w:fill="FFFFFF"/>
        </w:rPr>
        <w:t>stwie członkowskim, Dz.U. L 343</w:t>
      </w:r>
      <w:r w:rsidR="00A5335D" w:rsidRPr="00A5335D">
        <w:rPr>
          <w:rFonts w:ascii="Times New Roman" w:hAnsi="Times New Roman"/>
          <w:shd w:val="clear" w:color="auto" w:fill="FFFFFF"/>
        </w:rPr>
        <w:t xml:space="preserve"> z 2</w:t>
      </w:r>
      <w:r w:rsidRPr="00A5335D">
        <w:rPr>
          <w:rFonts w:ascii="Times New Roman" w:hAnsi="Times New Roman"/>
          <w:shd w:val="clear" w:color="auto" w:fill="FFFFFF"/>
        </w:rPr>
        <w:t xml:space="preserve">3.12.2011, s. </w:t>
      </w:r>
      <w:r w:rsidRPr="00A5335D">
        <w:rPr>
          <w:rFonts w:ascii="Times New Roman" w:hAnsi="Times New Roman" w:cs="Times New Roman"/>
          <w:shd w:val="clear" w:color="auto" w:fill="FFFFFF"/>
        </w:rPr>
        <w:t>1.</w:t>
      </w:r>
    </w:p>
  </w:footnote>
  <w:footnote w:id="42">
    <w:p w14:paraId="27CEFD47" w14:textId="3C9D3E00" w:rsidR="00492DA7" w:rsidRPr="00A5335D" w:rsidRDefault="00492DA7" w:rsidP="001728E6">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cs="Times New Roman"/>
        </w:rPr>
        <w:t xml:space="preserve"> </w:t>
      </w:r>
      <w:r w:rsidRPr="00A5335D">
        <w:rPr>
          <w:rFonts w:ascii="Times New Roman" w:hAnsi="Times New Roman" w:cs="Times New Roman"/>
        </w:rPr>
        <w:tab/>
        <w:t>Na podstawie badania OECD</w:t>
      </w:r>
      <w:r w:rsidR="00A5335D" w:rsidRPr="00A5335D">
        <w:rPr>
          <w:rFonts w:ascii="Times New Roman" w:hAnsi="Times New Roman" w:cs="Times New Roman"/>
        </w:rPr>
        <w:t xml:space="preserve"> z 2</w:t>
      </w:r>
      <w:r w:rsidRPr="00A5335D">
        <w:rPr>
          <w:rFonts w:ascii="Times New Roman" w:hAnsi="Times New Roman" w:cs="Times New Roman"/>
        </w:rPr>
        <w:t>019</w:t>
      </w:r>
      <w:r w:rsidR="00A5335D" w:rsidRPr="00A5335D">
        <w:rPr>
          <w:rFonts w:ascii="Times New Roman" w:hAnsi="Times New Roman" w:cs="Times New Roman"/>
        </w:rPr>
        <w:t> </w:t>
      </w:r>
      <w:r w:rsidRPr="00A5335D">
        <w:rPr>
          <w:rFonts w:ascii="Times New Roman" w:hAnsi="Times New Roman" w:cs="Times New Roman"/>
        </w:rPr>
        <w:t xml:space="preserve">r. </w:t>
      </w:r>
      <w:r w:rsidRPr="00A5335D">
        <w:rPr>
          <w:rFonts w:ascii="Times New Roman" w:hAnsi="Times New Roman" w:cs="Times New Roman"/>
          <w:i/>
          <w:iCs/>
        </w:rPr>
        <w:t>Building an EU Talent Pool, A new approach for migration management for Europe</w:t>
      </w:r>
      <w:r w:rsidRPr="00A5335D">
        <w:rPr>
          <w:rFonts w:ascii="Times New Roman" w:hAnsi="Times New Roman" w:cs="Times New Roman"/>
        </w:rPr>
        <w:t xml:space="preserve"> [„Tworzenie unijnej puli talentów – nowe podejście do zarządzania migracjami</w:t>
      </w:r>
      <w:r w:rsidR="00A5335D" w:rsidRPr="00A5335D">
        <w:rPr>
          <w:rFonts w:ascii="Times New Roman" w:hAnsi="Times New Roman" w:cs="Times New Roman"/>
        </w:rPr>
        <w:t xml:space="preserve"> w Eur</w:t>
      </w:r>
      <w:r w:rsidRPr="00A5335D">
        <w:rPr>
          <w:rFonts w:ascii="Times New Roman" w:hAnsi="Times New Roman" w:cs="Times New Roman"/>
        </w:rPr>
        <w:t>opie”]</w:t>
      </w:r>
      <w:r w:rsidR="003C3F6F" w:rsidRPr="00A5335D">
        <w:rPr>
          <w:rFonts w:ascii="Times New Roman" w:hAnsi="Times New Roman" w:cs="Times New Roman"/>
        </w:rPr>
        <w:t>,</w:t>
      </w:r>
      <w:r w:rsidRPr="00A5335D">
        <w:rPr>
          <w:rFonts w:ascii="Times New Roman" w:hAnsi="Times New Roman" w:cs="Times New Roman"/>
        </w:rPr>
        <w:t xml:space="preserve"> </w:t>
      </w:r>
      <w:hyperlink r:id="rId18" w:history="1">
        <w:r w:rsidRPr="00A5335D">
          <w:rPr>
            <w:rStyle w:val="Hyperlink"/>
            <w:rFonts w:ascii="Times New Roman" w:hAnsi="Times New Roman" w:cs="Times New Roman"/>
          </w:rPr>
          <w:t>https://www.oecd.org/publications/building-an-eu-talent-pool-6ea982a0-en.htm</w:t>
        </w:r>
      </w:hyperlink>
      <w:r w:rsidR="003C3F6F" w:rsidRPr="00A5335D">
        <w:rPr>
          <w:rFonts w:ascii="Times New Roman" w:hAnsi="Times New Roman" w:cs="Times New Roman"/>
        </w:rPr>
        <w:t>, o</w:t>
      </w:r>
      <w:r w:rsidRPr="00A5335D">
        <w:rPr>
          <w:rFonts w:ascii="Times New Roman" w:hAnsi="Times New Roman" w:cs="Times New Roman"/>
        </w:rPr>
        <w:t>raz opracowanego przez OECD</w:t>
      </w:r>
      <w:r w:rsidR="00A5335D" w:rsidRPr="00A5335D">
        <w:rPr>
          <w:rFonts w:ascii="Times New Roman" w:hAnsi="Times New Roman" w:cs="Times New Roman"/>
        </w:rPr>
        <w:t xml:space="preserve"> w 2</w:t>
      </w:r>
      <w:r w:rsidRPr="00A5335D">
        <w:rPr>
          <w:rFonts w:ascii="Times New Roman" w:hAnsi="Times New Roman" w:cs="Times New Roman"/>
        </w:rPr>
        <w:t>022</w:t>
      </w:r>
      <w:r w:rsidR="00A5335D" w:rsidRPr="00A5335D">
        <w:rPr>
          <w:rFonts w:ascii="Times New Roman" w:hAnsi="Times New Roman" w:cs="Times New Roman"/>
        </w:rPr>
        <w:t> </w:t>
      </w:r>
      <w:r w:rsidRPr="00A5335D">
        <w:rPr>
          <w:rFonts w:ascii="Times New Roman" w:hAnsi="Times New Roman" w:cs="Times New Roman"/>
        </w:rPr>
        <w:t xml:space="preserve">r. </w:t>
      </w:r>
      <w:r w:rsidRPr="00A5335D">
        <w:rPr>
          <w:rFonts w:ascii="Times New Roman" w:hAnsi="Times New Roman" w:cs="Times New Roman"/>
          <w:i/>
        </w:rPr>
        <w:t xml:space="preserve">Feasibility Study on the Development of an EU Talent Pool </w:t>
      </w:r>
      <w:r w:rsidRPr="00A5335D">
        <w:rPr>
          <w:rFonts w:ascii="Times New Roman" w:hAnsi="Times New Roman" w:cs="Times New Roman"/>
        </w:rPr>
        <w:t>[„Studium wykonalności dotyczące rozwoju unijnej puli talentów”] .</w:t>
      </w:r>
    </w:p>
  </w:footnote>
  <w:footnote w:id="43">
    <w:p w14:paraId="27CEFD48" w14:textId="77777777" w:rsidR="00492DA7" w:rsidRPr="00A5335D" w:rsidRDefault="00492DA7">
      <w:pPr>
        <w:pStyle w:val="FootnoteText"/>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COM(2022) 650 i COM(2022) 655.</w:t>
      </w:r>
    </w:p>
  </w:footnote>
  <w:footnote w:id="44">
    <w:p w14:paraId="27CEFD49" w14:textId="0ED3158B" w:rsidR="00492DA7" w:rsidRPr="00A5335D" w:rsidRDefault="00492DA7" w:rsidP="001D406D">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W takich dziedzinach, jak warunki pracy, kształcenie</w:t>
      </w:r>
      <w:r w:rsidR="00A5335D" w:rsidRPr="00A5335D">
        <w:rPr>
          <w:rFonts w:ascii="Times New Roman" w:hAnsi="Times New Roman"/>
        </w:rPr>
        <w:t xml:space="preserve"> i szk</w:t>
      </w:r>
      <w:r w:rsidRPr="00A5335D">
        <w:rPr>
          <w:rFonts w:ascii="Times New Roman" w:hAnsi="Times New Roman"/>
        </w:rPr>
        <w:t>olenie, dostęp do towarów</w:t>
      </w:r>
      <w:r w:rsidR="00A5335D" w:rsidRPr="00A5335D">
        <w:rPr>
          <w:rFonts w:ascii="Times New Roman" w:hAnsi="Times New Roman"/>
        </w:rPr>
        <w:t xml:space="preserve"> i usł</w:t>
      </w:r>
      <w:r w:rsidRPr="00A5335D">
        <w:rPr>
          <w:rFonts w:ascii="Times New Roman" w:hAnsi="Times New Roman"/>
        </w:rPr>
        <w:t>ug oraz zabezpieczenie społeczne.</w:t>
      </w:r>
    </w:p>
  </w:footnote>
  <w:footnote w:id="45">
    <w:p w14:paraId="27CEFD4A" w14:textId="5E8CF98E" w:rsidR="00492DA7" w:rsidRPr="00A5335D" w:rsidRDefault="00492DA7" w:rsidP="008C71D6">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Z analizy praktycznego zastosowania oceny adekwatności wynika, że czas potrzebny na złożenie wniosku</w:t>
      </w:r>
      <w:r w:rsidR="00A5335D" w:rsidRPr="00A5335D">
        <w:rPr>
          <w:rFonts w:ascii="Times New Roman" w:hAnsi="Times New Roman"/>
        </w:rPr>
        <w:t xml:space="preserve"> o wiz</w:t>
      </w:r>
      <w:r w:rsidRPr="00A5335D">
        <w:rPr>
          <w:rFonts w:ascii="Times New Roman" w:hAnsi="Times New Roman"/>
        </w:rPr>
        <w:t>ę czasami znacznie wydłuża całą procedurę,</w:t>
      </w:r>
      <w:r w:rsidR="00A5335D" w:rsidRPr="00A5335D">
        <w:rPr>
          <w:rFonts w:ascii="Times New Roman" w:hAnsi="Times New Roman"/>
        </w:rPr>
        <w:t xml:space="preserve"> w nie</w:t>
      </w:r>
      <w:r w:rsidRPr="00A5335D">
        <w:rPr>
          <w:rFonts w:ascii="Times New Roman" w:hAnsi="Times New Roman"/>
        </w:rPr>
        <w:t>których przypadkach nawet</w:t>
      </w:r>
      <w:r w:rsidR="00A5335D" w:rsidRPr="00A5335D">
        <w:rPr>
          <w:rFonts w:ascii="Times New Roman" w:hAnsi="Times New Roman"/>
        </w:rPr>
        <w:t xml:space="preserve"> o 3</w:t>
      </w:r>
      <w:r w:rsidRPr="00A5335D">
        <w:rPr>
          <w:rFonts w:ascii="Times New Roman" w:hAnsi="Times New Roman"/>
        </w:rPr>
        <w:t xml:space="preserve"> miesiące.</w:t>
      </w:r>
    </w:p>
  </w:footnote>
  <w:footnote w:id="46">
    <w:p w14:paraId="27CEFD4B" w14:textId="0B626F99" w:rsidR="00492DA7" w:rsidRPr="00A5335D" w:rsidRDefault="00492DA7" w:rsidP="00736792">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Komisja Wolności Obywatelskich, Sprawiedliwości</w:t>
      </w:r>
      <w:r w:rsidR="00A5335D" w:rsidRPr="00A5335D">
        <w:rPr>
          <w:rFonts w:ascii="Times New Roman" w:hAnsi="Times New Roman"/>
        </w:rPr>
        <w:t xml:space="preserve"> i Spr</w:t>
      </w:r>
      <w:r w:rsidRPr="00A5335D">
        <w:rPr>
          <w:rFonts w:ascii="Times New Roman" w:hAnsi="Times New Roman"/>
        </w:rPr>
        <w:t>aw Wewnętrznych Parlamentu Europejskiego,</w:t>
      </w:r>
      <w:r w:rsidR="000A12A6" w:rsidRPr="00A5335D">
        <w:rPr>
          <w:rFonts w:ascii="Times New Roman" w:hAnsi="Times New Roman"/>
        </w:rPr>
        <w:t xml:space="preserve"> </w:t>
      </w:r>
      <w:r w:rsidRPr="00A5335D">
        <w:rPr>
          <w:rFonts w:ascii="Times New Roman" w:hAnsi="Times New Roman"/>
        </w:rPr>
        <w:t>Nowe sposoby legalnej migracji zarobkowej (2020/2010((INI)) (sprawozdawca: Sylvie Guillaume).</w:t>
      </w:r>
    </w:p>
  </w:footnote>
  <w:footnote w:id="47">
    <w:p w14:paraId="27CEFD4C" w14:textId="77777777" w:rsidR="00492DA7" w:rsidRPr="00A5335D" w:rsidRDefault="00492DA7" w:rsidP="00736792">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r>
      <w:hyperlink r:id="rId19" w:history="1">
        <w:r w:rsidRPr="00A5335D">
          <w:rPr>
            <w:rStyle w:val="Hyperlink"/>
            <w:rFonts w:ascii="Times New Roman" w:hAnsi="Times New Roman"/>
          </w:rPr>
          <w:t>https://ec.europa.eu/info/law/better-regulation/have-your-say/initiatives/12594-Public-consultation-on-legal-migration/public-consultation_pl</w:t>
        </w:r>
      </w:hyperlink>
    </w:p>
  </w:footnote>
  <w:footnote w:id="48">
    <w:p w14:paraId="27CEFD4D" w14:textId="2659A5AF" w:rsidR="00492DA7" w:rsidRPr="00A5335D" w:rsidRDefault="00492DA7" w:rsidP="00A60137">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Programy te będą musiały uwzględniać zobowiązania międzynarodowe wynikające</w:t>
      </w:r>
      <w:r w:rsidR="00A5335D" w:rsidRPr="00A5335D">
        <w:rPr>
          <w:rFonts w:ascii="Times New Roman" w:hAnsi="Times New Roman"/>
        </w:rPr>
        <w:t xml:space="preserve"> z umó</w:t>
      </w:r>
      <w:r w:rsidRPr="00A5335D">
        <w:rPr>
          <w:rFonts w:ascii="Times New Roman" w:hAnsi="Times New Roman"/>
        </w:rPr>
        <w:t>w handlowych UE.</w:t>
      </w:r>
    </w:p>
  </w:footnote>
  <w:footnote w:id="49">
    <w:p w14:paraId="27CEFD4E" w14:textId="78600FEB" w:rsidR="00492DA7" w:rsidRPr="00A5335D" w:rsidRDefault="00492DA7" w:rsidP="00A60137">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Możliwe są przypadki partnerstw</w:t>
      </w:r>
      <w:r w:rsidR="00A5335D" w:rsidRPr="00A5335D">
        <w:rPr>
          <w:rFonts w:ascii="Times New Roman" w:hAnsi="Times New Roman"/>
        </w:rPr>
        <w:t xml:space="preserve"> w zak</w:t>
      </w:r>
      <w:r w:rsidRPr="00A5335D">
        <w:rPr>
          <w:rFonts w:ascii="Times New Roman" w:hAnsi="Times New Roman"/>
        </w:rPr>
        <w:t>resie talentów bez elementu mobilności lub odwrotnie – tylko</w:t>
      </w:r>
      <w:r w:rsidR="00A5335D" w:rsidRPr="00A5335D">
        <w:rPr>
          <w:rFonts w:ascii="Times New Roman" w:hAnsi="Times New Roman"/>
        </w:rPr>
        <w:t xml:space="preserve"> z ele</w:t>
      </w:r>
      <w:r w:rsidRPr="00A5335D">
        <w:rPr>
          <w:rFonts w:ascii="Times New Roman" w:hAnsi="Times New Roman"/>
        </w:rPr>
        <w:t>mentem mobilności, jeśli tak uzgodnią UE</w:t>
      </w:r>
      <w:r w:rsidR="00A5335D" w:rsidRPr="00A5335D">
        <w:rPr>
          <w:rFonts w:ascii="Times New Roman" w:hAnsi="Times New Roman"/>
        </w:rPr>
        <w:t xml:space="preserve"> i kra</w:t>
      </w:r>
      <w:r w:rsidRPr="00A5335D">
        <w:rPr>
          <w:rFonts w:ascii="Times New Roman" w:hAnsi="Times New Roman"/>
        </w:rPr>
        <w:t>j partnerski.</w:t>
      </w:r>
    </w:p>
  </w:footnote>
  <w:footnote w:id="50">
    <w:p w14:paraId="6FA4927B" w14:textId="5CA478A8" w:rsidR="00492DA7" w:rsidRPr="00A5335D" w:rsidRDefault="00492DA7" w:rsidP="00A65FD2">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W pełnej zgodności</w:t>
      </w:r>
      <w:r w:rsidR="00A5335D" w:rsidRPr="00A5335D">
        <w:rPr>
          <w:rFonts w:ascii="Times New Roman" w:hAnsi="Times New Roman"/>
        </w:rPr>
        <w:t xml:space="preserve"> z art</w:t>
      </w:r>
      <w:r w:rsidRPr="00A5335D">
        <w:rPr>
          <w:rFonts w:ascii="Times New Roman" w:hAnsi="Times New Roman"/>
        </w:rPr>
        <w:t>.</w:t>
      </w:r>
      <w:r w:rsidR="00A5335D" w:rsidRPr="00A5335D">
        <w:rPr>
          <w:rFonts w:ascii="Times New Roman" w:hAnsi="Times New Roman"/>
        </w:rPr>
        <w:t> </w:t>
      </w:r>
      <w:r w:rsidRPr="00A5335D">
        <w:rPr>
          <w:rFonts w:ascii="Times New Roman" w:hAnsi="Times New Roman"/>
        </w:rPr>
        <w:t>5.1 kodeks postępowania WHO</w:t>
      </w:r>
      <w:r w:rsidR="00A5335D" w:rsidRPr="00A5335D">
        <w:rPr>
          <w:rFonts w:ascii="Times New Roman" w:hAnsi="Times New Roman"/>
        </w:rPr>
        <w:t xml:space="preserve"> w spr</w:t>
      </w:r>
      <w:r w:rsidRPr="00A5335D">
        <w:rPr>
          <w:rFonts w:ascii="Times New Roman" w:hAnsi="Times New Roman"/>
        </w:rPr>
        <w:t>awie międzynarodowej rekrutacji personelu medycznego, https://cdn.who.int/media/docs/default-source/health-workforce/migration-code/code_en.pdf?sfvrsn=367f7d35_5&amp;download=true</w:t>
      </w:r>
    </w:p>
  </w:footnote>
  <w:footnote w:id="51">
    <w:p w14:paraId="27CEFD4F" w14:textId="5CD43774" w:rsidR="00492DA7" w:rsidRPr="00A5335D" w:rsidRDefault="00492DA7" w:rsidP="00A60137">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Legalna migracja jest elementem inicjatyw Drużyny Europy dotyczących szlaków migracyjnych</w:t>
      </w:r>
      <w:r w:rsidR="00A5335D" w:rsidRPr="00A5335D">
        <w:rPr>
          <w:rFonts w:ascii="Times New Roman" w:hAnsi="Times New Roman"/>
        </w:rPr>
        <w:t xml:space="preserve"> w śro</w:t>
      </w:r>
      <w:r w:rsidRPr="00A5335D">
        <w:rPr>
          <w:rFonts w:ascii="Times New Roman" w:hAnsi="Times New Roman"/>
        </w:rPr>
        <w:t>dkowej części Morza Śródziemnego</w:t>
      </w:r>
      <w:r w:rsidR="00A5335D" w:rsidRPr="00A5335D">
        <w:rPr>
          <w:rFonts w:ascii="Times New Roman" w:hAnsi="Times New Roman"/>
        </w:rPr>
        <w:t xml:space="preserve"> i zac</w:t>
      </w:r>
      <w:r w:rsidRPr="00A5335D">
        <w:rPr>
          <w:rFonts w:ascii="Times New Roman" w:hAnsi="Times New Roman"/>
        </w:rPr>
        <w:t xml:space="preserve">hodniej części Morza Śródziemnego/Atlantyku. </w:t>
      </w:r>
    </w:p>
  </w:footnote>
  <w:footnote w:id="52">
    <w:p w14:paraId="4530DB6F" w14:textId="604D51F7" w:rsidR="00492DA7" w:rsidRPr="00A5335D" w:rsidRDefault="00492DA7" w:rsidP="003849B8">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W zależności od działań poszczególnych partnerstw</w:t>
      </w:r>
      <w:r w:rsidR="00A5335D" w:rsidRPr="00A5335D">
        <w:rPr>
          <w:rFonts w:ascii="Times New Roman" w:hAnsi="Times New Roman"/>
        </w:rPr>
        <w:t xml:space="preserve"> w zak</w:t>
      </w:r>
      <w:r w:rsidRPr="00A5335D">
        <w:rPr>
          <w:rFonts w:ascii="Times New Roman" w:hAnsi="Times New Roman"/>
        </w:rPr>
        <w:t>resie talentów inwestycje sektora publicznego mogą uzupełniać fundusze sektora prywatnego,</w:t>
      </w:r>
      <w:r w:rsidR="00A5335D" w:rsidRPr="00A5335D">
        <w:rPr>
          <w:rFonts w:ascii="Times New Roman" w:hAnsi="Times New Roman"/>
        </w:rPr>
        <w:t xml:space="preserve"> w szc</w:t>
      </w:r>
      <w:r w:rsidRPr="00A5335D">
        <w:rPr>
          <w:rFonts w:ascii="Times New Roman" w:hAnsi="Times New Roman"/>
        </w:rPr>
        <w:t>zególności pochodzące od tych przedsiębiorstw, które odniosą korzyści dzięki wykwalifikowanym pracownikom</w:t>
      </w:r>
      <w:r w:rsidR="00A5335D" w:rsidRPr="00A5335D">
        <w:rPr>
          <w:rFonts w:ascii="Times New Roman" w:hAnsi="Times New Roman"/>
        </w:rPr>
        <w:t xml:space="preserve"> i zap</w:t>
      </w:r>
      <w:r w:rsidRPr="00A5335D">
        <w:rPr>
          <w:rFonts w:ascii="Times New Roman" w:hAnsi="Times New Roman"/>
        </w:rPr>
        <w:t>ewnią długoterminową stabilność takich działań.</w:t>
      </w:r>
    </w:p>
  </w:footnote>
  <w:footnote w:id="53">
    <w:p w14:paraId="27CEFD51" w14:textId="1A59C44C" w:rsidR="00492DA7" w:rsidRPr="00A5335D" w:rsidRDefault="00492DA7" w:rsidP="00A60137">
      <w:pPr>
        <w:pStyle w:val="FootnoteText"/>
        <w:ind w:left="708" w:hanging="708"/>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r>
      <w:hyperlink r:id="rId20" w:history="1">
        <w:r w:rsidRPr="00A5335D">
          <w:rPr>
            <w:rStyle w:val="Hyperlink"/>
            <w:rFonts w:ascii="Times New Roman" w:hAnsi="Times New Roman"/>
          </w:rPr>
          <w:t>Partnerstwa</w:t>
        </w:r>
        <w:r w:rsidR="00A5335D" w:rsidRPr="00A5335D">
          <w:rPr>
            <w:rStyle w:val="Hyperlink"/>
            <w:rFonts w:ascii="Times New Roman" w:hAnsi="Times New Roman"/>
          </w:rPr>
          <w:t xml:space="preserve"> w zak</w:t>
        </w:r>
        <w:r w:rsidRPr="00A5335D">
          <w:rPr>
            <w:rStyle w:val="Hyperlink"/>
            <w:rFonts w:ascii="Times New Roman" w:hAnsi="Times New Roman"/>
          </w:rPr>
          <w:t>resie talentów (europa.eu)</w:t>
        </w:r>
      </w:hyperlink>
    </w:p>
  </w:footnote>
  <w:footnote w:id="54">
    <w:p w14:paraId="27CEFD52" w14:textId="3EE0ACAD" w:rsidR="00492DA7" w:rsidRPr="00A5335D" w:rsidRDefault="00492DA7" w:rsidP="00A60137">
      <w:pPr>
        <w:spacing w:after="0" w:line="240" w:lineRule="auto"/>
        <w:ind w:left="708" w:hanging="708"/>
        <w:jc w:val="both"/>
        <w:rPr>
          <w:rFonts w:ascii="Times New Roman" w:hAnsi="Times New Roman" w:cs="Times New Roman"/>
          <w:sz w:val="18"/>
          <w:szCs w:val="18"/>
        </w:rPr>
      </w:pPr>
      <w:r w:rsidRPr="00A5335D">
        <w:rPr>
          <w:rStyle w:val="FootnoteReference"/>
          <w:rFonts w:ascii="Times New Roman" w:hAnsi="Times New Roman" w:cs="Times New Roman"/>
          <w:sz w:val="20"/>
          <w:szCs w:val="20"/>
        </w:rPr>
        <w:footnoteRef/>
      </w:r>
      <w:r w:rsidRPr="00A5335D">
        <w:rPr>
          <w:rFonts w:ascii="Times New Roman" w:hAnsi="Times New Roman"/>
          <w:sz w:val="20"/>
          <w:szCs w:val="20"/>
        </w:rPr>
        <w:t xml:space="preserve"> </w:t>
      </w:r>
      <w:r w:rsidRPr="00A5335D">
        <w:rPr>
          <w:rFonts w:ascii="Times New Roman" w:hAnsi="Times New Roman"/>
          <w:sz w:val="20"/>
          <w:szCs w:val="20"/>
        </w:rPr>
        <w:tab/>
        <w:t>Np. projekty pilotażowe THAMM realizowane przez Niemcy, Belgię</w:t>
      </w:r>
      <w:r w:rsidR="00A5335D" w:rsidRPr="00A5335D">
        <w:rPr>
          <w:rFonts w:ascii="Times New Roman" w:hAnsi="Times New Roman"/>
          <w:sz w:val="20"/>
          <w:szCs w:val="20"/>
        </w:rPr>
        <w:t xml:space="preserve"> i Fra</w:t>
      </w:r>
      <w:r w:rsidRPr="00A5335D">
        <w:rPr>
          <w:rFonts w:ascii="Times New Roman" w:hAnsi="Times New Roman"/>
          <w:sz w:val="20"/>
          <w:szCs w:val="20"/>
        </w:rPr>
        <w:t>ncję</w:t>
      </w:r>
      <w:r w:rsidR="00A5335D" w:rsidRPr="00A5335D">
        <w:rPr>
          <w:rFonts w:ascii="Times New Roman" w:hAnsi="Times New Roman"/>
          <w:sz w:val="20"/>
          <w:szCs w:val="20"/>
        </w:rPr>
        <w:t xml:space="preserve"> z Mar</w:t>
      </w:r>
      <w:r w:rsidRPr="00A5335D">
        <w:rPr>
          <w:rFonts w:ascii="Times New Roman" w:hAnsi="Times New Roman"/>
          <w:sz w:val="20"/>
          <w:szCs w:val="20"/>
        </w:rPr>
        <w:t>okiem, Tunezją</w:t>
      </w:r>
      <w:r w:rsidR="00A5335D" w:rsidRPr="00A5335D">
        <w:rPr>
          <w:rFonts w:ascii="Times New Roman" w:hAnsi="Times New Roman"/>
          <w:sz w:val="20"/>
          <w:szCs w:val="20"/>
        </w:rPr>
        <w:t xml:space="preserve"> i Egi</w:t>
      </w:r>
      <w:r w:rsidRPr="00A5335D">
        <w:rPr>
          <w:rFonts w:ascii="Times New Roman" w:hAnsi="Times New Roman"/>
          <w:sz w:val="20"/>
          <w:szCs w:val="20"/>
        </w:rPr>
        <w:t>ptem); PALIM między Belgią</w:t>
      </w:r>
      <w:r w:rsidR="00A5335D" w:rsidRPr="00A5335D">
        <w:rPr>
          <w:rFonts w:ascii="Times New Roman" w:hAnsi="Times New Roman"/>
          <w:sz w:val="20"/>
          <w:szCs w:val="20"/>
        </w:rPr>
        <w:t xml:space="preserve"> a Mar</w:t>
      </w:r>
      <w:r w:rsidRPr="00A5335D">
        <w:rPr>
          <w:rFonts w:ascii="Times New Roman" w:hAnsi="Times New Roman"/>
          <w:sz w:val="20"/>
          <w:szCs w:val="20"/>
        </w:rPr>
        <w:t>okiem; HOMERe między Francją, Marokiem, Egiptem</w:t>
      </w:r>
      <w:r w:rsidR="00A5335D" w:rsidRPr="00A5335D">
        <w:rPr>
          <w:rFonts w:ascii="Times New Roman" w:hAnsi="Times New Roman"/>
          <w:sz w:val="20"/>
          <w:szCs w:val="20"/>
        </w:rPr>
        <w:t xml:space="preserve"> i Tun</w:t>
      </w:r>
      <w:r w:rsidRPr="00A5335D">
        <w:rPr>
          <w:rFonts w:ascii="Times New Roman" w:hAnsi="Times New Roman"/>
          <w:sz w:val="20"/>
          <w:szCs w:val="20"/>
        </w:rPr>
        <w:t>ezją; YGCA między Hiszpanią</w:t>
      </w:r>
      <w:r w:rsidR="00A5335D" w:rsidRPr="00A5335D">
        <w:rPr>
          <w:rFonts w:ascii="Times New Roman" w:hAnsi="Times New Roman"/>
          <w:sz w:val="20"/>
          <w:szCs w:val="20"/>
        </w:rPr>
        <w:t xml:space="preserve"> a Mar</w:t>
      </w:r>
      <w:r w:rsidRPr="00A5335D">
        <w:rPr>
          <w:rFonts w:ascii="Times New Roman" w:hAnsi="Times New Roman"/>
          <w:sz w:val="20"/>
          <w:szCs w:val="20"/>
        </w:rPr>
        <w:t>okiem; MENTOR 2 między Włochami, Marokiem</w:t>
      </w:r>
      <w:r w:rsidR="00A5335D" w:rsidRPr="00A5335D">
        <w:rPr>
          <w:rFonts w:ascii="Times New Roman" w:hAnsi="Times New Roman"/>
          <w:sz w:val="20"/>
          <w:szCs w:val="20"/>
        </w:rPr>
        <w:t xml:space="preserve"> i Tun</w:t>
      </w:r>
      <w:r w:rsidRPr="00A5335D">
        <w:rPr>
          <w:rFonts w:ascii="Times New Roman" w:hAnsi="Times New Roman"/>
          <w:sz w:val="20"/>
          <w:szCs w:val="20"/>
        </w:rPr>
        <w:t>ezją; MOVE_GREEN między Hiszpanią</w:t>
      </w:r>
      <w:r w:rsidR="00A5335D" w:rsidRPr="00A5335D">
        <w:rPr>
          <w:rFonts w:ascii="Times New Roman" w:hAnsi="Times New Roman"/>
          <w:sz w:val="20"/>
          <w:szCs w:val="20"/>
        </w:rPr>
        <w:t xml:space="preserve"> a Mar</w:t>
      </w:r>
      <w:r w:rsidRPr="00A5335D">
        <w:rPr>
          <w:rFonts w:ascii="Times New Roman" w:hAnsi="Times New Roman"/>
          <w:sz w:val="20"/>
          <w:szCs w:val="20"/>
        </w:rPr>
        <w:t>okiem i WAFIRA między Hiszpanią</w:t>
      </w:r>
      <w:r w:rsidR="00A5335D" w:rsidRPr="00A5335D">
        <w:rPr>
          <w:rFonts w:ascii="Times New Roman" w:hAnsi="Times New Roman"/>
          <w:sz w:val="20"/>
          <w:szCs w:val="20"/>
        </w:rPr>
        <w:t xml:space="preserve"> a Mar</w:t>
      </w:r>
      <w:r w:rsidRPr="00A5335D">
        <w:rPr>
          <w:rFonts w:ascii="Times New Roman" w:hAnsi="Times New Roman"/>
          <w:sz w:val="20"/>
          <w:szCs w:val="20"/>
        </w:rPr>
        <w:t>okiem.</w:t>
      </w:r>
    </w:p>
  </w:footnote>
  <w:footnote w:id="55">
    <w:p w14:paraId="27CEFD53" w14:textId="2DFCC9D2" w:rsidR="00492DA7" w:rsidRPr="00A5335D" w:rsidRDefault="00492DA7" w:rsidP="0067714E">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 xml:space="preserve">OECD 2022, </w:t>
      </w:r>
      <w:r w:rsidRPr="00A5335D">
        <w:rPr>
          <w:rFonts w:ascii="Times New Roman" w:hAnsi="Times New Roman"/>
          <w:iCs/>
        </w:rPr>
        <w:t>Studium wykonalności dotyczące unijnej puli talentów</w:t>
      </w:r>
      <w:r w:rsidRPr="00A5335D">
        <w:rPr>
          <w:rFonts w:ascii="Times New Roman" w:hAnsi="Times New Roman"/>
        </w:rPr>
        <w:t>.</w:t>
      </w:r>
    </w:p>
  </w:footnote>
  <w:footnote w:id="56">
    <w:p w14:paraId="27CEFD54" w14:textId="735B0220" w:rsidR="00492DA7" w:rsidRPr="00A5335D" w:rsidRDefault="00492DA7" w:rsidP="00834BBD">
      <w:pPr>
        <w:pStyle w:val="FootnoteText"/>
        <w:ind w:left="709" w:hanging="709"/>
        <w:jc w:val="both"/>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Unijna pula talentów</w:t>
      </w:r>
      <w:r w:rsidR="00A5335D" w:rsidRPr="00A5335D">
        <w:rPr>
          <w:rFonts w:ascii="Times New Roman" w:hAnsi="Times New Roman"/>
        </w:rPr>
        <w:t xml:space="preserve"> i zwi</w:t>
      </w:r>
      <w:r w:rsidRPr="00A5335D">
        <w:rPr>
          <w:rFonts w:ascii="Times New Roman" w:hAnsi="Times New Roman"/>
        </w:rPr>
        <w:t>ązana</w:t>
      </w:r>
      <w:r w:rsidR="00A5335D" w:rsidRPr="00A5335D">
        <w:rPr>
          <w:rFonts w:ascii="Times New Roman" w:hAnsi="Times New Roman"/>
        </w:rPr>
        <w:t xml:space="preserve"> z nią</w:t>
      </w:r>
      <w:r w:rsidRPr="00A5335D">
        <w:rPr>
          <w:rFonts w:ascii="Times New Roman" w:hAnsi="Times New Roman"/>
        </w:rPr>
        <w:t xml:space="preserve"> inicjatywa pilotażowa</w:t>
      </w:r>
      <w:r w:rsidR="002D5B0A" w:rsidRPr="00A5335D">
        <w:rPr>
          <w:rFonts w:ascii="Times New Roman" w:hAnsi="Times New Roman"/>
        </w:rPr>
        <w:t xml:space="preserve"> </w:t>
      </w:r>
      <w:r w:rsidRPr="00A5335D">
        <w:rPr>
          <w:rFonts w:ascii="Times New Roman" w:hAnsi="Times New Roman"/>
        </w:rPr>
        <w:t>będą wdrażane zgodnie</w:t>
      </w:r>
      <w:r w:rsidR="00A5335D" w:rsidRPr="00A5335D">
        <w:rPr>
          <w:rFonts w:ascii="Times New Roman" w:hAnsi="Times New Roman"/>
        </w:rPr>
        <w:t xml:space="preserve"> z roz</w:t>
      </w:r>
      <w:r w:rsidRPr="00A5335D">
        <w:rPr>
          <w:rFonts w:ascii="Times New Roman" w:hAnsi="Times New Roman"/>
        </w:rPr>
        <w:t>porządzeniem Parlamentu Europejskiego</w:t>
      </w:r>
      <w:r w:rsidR="00A5335D" w:rsidRPr="00A5335D">
        <w:rPr>
          <w:rFonts w:ascii="Times New Roman" w:hAnsi="Times New Roman"/>
        </w:rPr>
        <w:t xml:space="preserve"> i Rad</w:t>
      </w:r>
      <w:r w:rsidRPr="00A5335D">
        <w:rPr>
          <w:rFonts w:ascii="Times New Roman" w:hAnsi="Times New Roman"/>
        </w:rPr>
        <w:t>y (UE) 2016/679</w:t>
      </w:r>
      <w:r w:rsidR="00A5335D" w:rsidRPr="00A5335D">
        <w:rPr>
          <w:rFonts w:ascii="Times New Roman" w:hAnsi="Times New Roman"/>
        </w:rPr>
        <w:t xml:space="preserve"> z dni</w:t>
      </w:r>
      <w:r w:rsidRPr="00A5335D">
        <w:rPr>
          <w:rFonts w:ascii="Times New Roman" w:hAnsi="Times New Roman"/>
        </w:rPr>
        <w:t>a 27 kwietnia 2016</w:t>
      </w:r>
      <w:r w:rsidR="00A5335D" w:rsidRPr="00A5335D">
        <w:rPr>
          <w:rFonts w:ascii="Times New Roman" w:hAnsi="Times New Roman"/>
        </w:rPr>
        <w:t> </w:t>
      </w:r>
      <w:r w:rsidRPr="00A5335D">
        <w:rPr>
          <w:rFonts w:ascii="Times New Roman" w:hAnsi="Times New Roman"/>
        </w:rPr>
        <w:t>r.</w:t>
      </w:r>
      <w:r w:rsidR="00A5335D" w:rsidRPr="00A5335D">
        <w:rPr>
          <w:rFonts w:ascii="Times New Roman" w:hAnsi="Times New Roman"/>
        </w:rPr>
        <w:t xml:space="preserve"> w spr</w:t>
      </w:r>
      <w:r w:rsidRPr="00A5335D">
        <w:rPr>
          <w:rFonts w:ascii="Times New Roman" w:hAnsi="Times New Roman"/>
        </w:rPr>
        <w:t>awie ochrony osób fizycznych</w:t>
      </w:r>
      <w:r w:rsidR="00A5335D" w:rsidRPr="00A5335D">
        <w:rPr>
          <w:rFonts w:ascii="Times New Roman" w:hAnsi="Times New Roman"/>
        </w:rPr>
        <w:t xml:space="preserve"> w zwi</w:t>
      </w:r>
      <w:r w:rsidRPr="00A5335D">
        <w:rPr>
          <w:rFonts w:ascii="Times New Roman" w:hAnsi="Times New Roman"/>
        </w:rPr>
        <w:t>ązku</w:t>
      </w:r>
      <w:r w:rsidR="00A5335D" w:rsidRPr="00A5335D">
        <w:rPr>
          <w:rFonts w:ascii="Times New Roman" w:hAnsi="Times New Roman"/>
        </w:rPr>
        <w:t xml:space="preserve"> z prz</w:t>
      </w:r>
      <w:r w:rsidRPr="00A5335D">
        <w:rPr>
          <w:rFonts w:ascii="Times New Roman" w:hAnsi="Times New Roman"/>
        </w:rPr>
        <w:t>etwarzaniem danych osobowych</w:t>
      </w:r>
      <w:r w:rsidR="00A5335D" w:rsidRPr="00A5335D">
        <w:rPr>
          <w:rFonts w:ascii="Times New Roman" w:hAnsi="Times New Roman"/>
        </w:rPr>
        <w:t xml:space="preserve"> i w spr</w:t>
      </w:r>
      <w:r w:rsidRPr="00A5335D">
        <w:rPr>
          <w:rFonts w:ascii="Times New Roman" w:hAnsi="Times New Roman"/>
        </w:rPr>
        <w:t>awie swobodnego przepływu takich danych oraz uchylenia dyrektywy 95/46/WE (Dz.U. L 119</w:t>
      </w:r>
      <w:r w:rsidR="00A5335D" w:rsidRPr="00A5335D">
        <w:rPr>
          <w:rFonts w:ascii="Times New Roman" w:hAnsi="Times New Roman"/>
        </w:rPr>
        <w:t xml:space="preserve"> z 4</w:t>
      </w:r>
      <w:r w:rsidRPr="00A5335D">
        <w:rPr>
          <w:rFonts w:ascii="Times New Roman" w:hAnsi="Times New Roman"/>
        </w:rPr>
        <w:t>.5.2016, s. 1) oraz rozporządzeniem Parlamentu Europejskiego</w:t>
      </w:r>
      <w:r w:rsidR="00A5335D" w:rsidRPr="00A5335D">
        <w:rPr>
          <w:rFonts w:ascii="Times New Roman" w:hAnsi="Times New Roman"/>
        </w:rPr>
        <w:t xml:space="preserve"> i Rad</w:t>
      </w:r>
      <w:r w:rsidRPr="00A5335D">
        <w:rPr>
          <w:rFonts w:ascii="Times New Roman" w:hAnsi="Times New Roman"/>
        </w:rPr>
        <w:t>y (UE) 2018/1725</w:t>
      </w:r>
      <w:r w:rsidR="00A5335D" w:rsidRPr="00A5335D">
        <w:rPr>
          <w:rFonts w:ascii="Times New Roman" w:hAnsi="Times New Roman"/>
        </w:rPr>
        <w:t xml:space="preserve"> z dni</w:t>
      </w:r>
      <w:r w:rsidRPr="00A5335D">
        <w:rPr>
          <w:rFonts w:ascii="Times New Roman" w:hAnsi="Times New Roman"/>
        </w:rPr>
        <w:t>a 23 października 2018</w:t>
      </w:r>
      <w:r w:rsidR="00A5335D" w:rsidRPr="00A5335D">
        <w:rPr>
          <w:rFonts w:ascii="Times New Roman" w:hAnsi="Times New Roman"/>
        </w:rPr>
        <w:t> </w:t>
      </w:r>
      <w:r w:rsidRPr="00A5335D">
        <w:rPr>
          <w:rFonts w:ascii="Times New Roman" w:hAnsi="Times New Roman"/>
        </w:rPr>
        <w:t>r.</w:t>
      </w:r>
      <w:r w:rsidR="00A5335D" w:rsidRPr="00A5335D">
        <w:rPr>
          <w:rFonts w:ascii="Times New Roman" w:hAnsi="Times New Roman"/>
        </w:rPr>
        <w:t xml:space="preserve"> w spr</w:t>
      </w:r>
      <w:r w:rsidRPr="00A5335D">
        <w:rPr>
          <w:rFonts w:ascii="Times New Roman" w:hAnsi="Times New Roman"/>
        </w:rPr>
        <w:t>awie ochrony osób fizycznych</w:t>
      </w:r>
      <w:r w:rsidR="00A5335D" w:rsidRPr="00A5335D">
        <w:rPr>
          <w:rFonts w:ascii="Times New Roman" w:hAnsi="Times New Roman"/>
        </w:rPr>
        <w:t xml:space="preserve"> w zwi</w:t>
      </w:r>
      <w:r w:rsidRPr="00A5335D">
        <w:rPr>
          <w:rFonts w:ascii="Times New Roman" w:hAnsi="Times New Roman"/>
        </w:rPr>
        <w:t>ązku</w:t>
      </w:r>
      <w:r w:rsidR="00A5335D" w:rsidRPr="00A5335D">
        <w:rPr>
          <w:rFonts w:ascii="Times New Roman" w:hAnsi="Times New Roman"/>
        </w:rPr>
        <w:t xml:space="preserve"> z prz</w:t>
      </w:r>
      <w:r w:rsidRPr="00A5335D">
        <w:rPr>
          <w:rFonts w:ascii="Times New Roman" w:hAnsi="Times New Roman"/>
        </w:rPr>
        <w:t>etwarzaniem danych osobowych przez instytucje, organy</w:t>
      </w:r>
      <w:r w:rsidR="00A5335D" w:rsidRPr="00A5335D">
        <w:rPr>
          <w:rFonts w:ascii="Times New Roman" w:hAnsi="Times New Roman"/>
        </w:rPr>
        <w:t xml:space="preserve"> i jed</w:t>
      </w:r>
      <w:r w:rsidRPr="00A5335D">
        <w:rPr>
          <w:rFonts w:ascii="Times New Roman" w:hAnsi="Times New Roman"/>
        </w:rPr>
        <w:t>nostki organizacyjne Unii</w:t>
      </w:r>
      <w:r w:rsidR="00A5335D" w:rsidRPr="00A5335D">
        <w:rPr>
          <w:rFonts w:ascii="Times New Roman" w:hAnsi="Times New Roman"/>
        </w:rPr>
        <w:t xml:space="preserve"> i swo</w:t>
      </w:r>
      <w:r w:rsidRPr="00A5335D">
        <w:rPr>
          <w:rFonts w:ascii="Times New Roman" w:hAnsi="Times New Roman"/>
        </w:rPr>
        <w:t>bodnego przepływu takich danych oraz uchylenia rozporządzenia (WE) nr</w:t>
      </w:r>
      <w:r w:rsidR="00A5335D" w:rsidRPr="00A5335D">
        <w:rPr>
          <w:rFonts w:ascii="Times New Roman" w:hAnsi="Times New Roman"/>
        </w:rPr>
        <w:t> </w:t>
      </w:r>
      <w:r w:rsidRPr="00A5335D">
        <w:rPr>
          <w:rFonts w:ascii="Times New Roman" w:hAnsi="Times New Roman"/>
        </w:rPr>
        <w:t>45/2001</w:t>
      </w:r>
      <w:r w:rsidR="00A5335D" w:rsidRPr="00A5335D">
        <w:rPr>
          <w:rFonts w:ascii="Times New Roman" w:hAnsi="Times New Roman"/>
        </w:rPr>
        <w:t xml:space="preserve"> i dec</w:t>
      </w:r>
      <w:r w:rsidRPr="00A5335D">
        <w:rPr>
          <w:rFonts w:ascii="Times New Roman" w:hAnsi="Times New Roman"/>
        </w:rPr>
        <w:t>yzji nr</w:t>
      </w:r>
      <w:r w:rsidR="00A5335D" w:rsidRPr="00A5335D">
        <w:rPr>
          <w:rFonts w:ascii="Times New Roman" w:hAnsi="Times New Roman"/>
        </w:rPr>
        <w:t> </w:t>
      </w:r>
      <w:r w:rsidRPr="00A5335D">
        <w:rPr>
          <w:rFonts w:ascii="Times New Roman" w:hAnsi="Times New Roman"/>
        </w:rPr>
        <w:t>1247/2002/WE (Dz.U. L 295</w:t>
      </w:r>
      <w:r w:rsidR="00A5335D" w:rsidRPr="00A5335D">
        <w:rPr>
          <w:rFonts w:ascii="Times New Roman" w:hAnsi="Times New Roman"/>
        </w:rPr>
        <w:t xml:space="preserve"> z 2</w:t>
      </w:r>
      <w:r w:rsidRPr="00A5335D">
        <w:rPr>
          <w:rFonts w:ascii="Times New Roman" w:hAnsi="Times New Roman"/>
        </w:rPr>
        <w:t>1.11.2018, s. 39).</w:t>
      </w:r>
    </w:p>
  </w:footnote>
  <w:footnote w:id="57">
    <w:p w14:paraId="27CEFD55" w14:textId="6727BAE9" w:rsidR="00492DA7" w:rsidRPr="00A5335D" w:rsidRDefault="00492DA7" w:rsidP="00341E3E">
      <w:pPr>
        <w:pStyle w:val="FootnoteText"/>
        <w:ind w:left="709" w:hanging="709"/>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Zalecenie Komisji (UE) 2022/554</w:t>
      </w:r>
      <w:r w:rsidR="00A5335D" w:rsidRPr="00A5335D">
        <w:rPr>
          <w:rFonts w:ascii="Times New Roman" w:hAnsi="Times New Roman"/>
        </w:rPr>
        <w:t xml:space="preserve"> z dni</w:t>
      </w:r>
      <w:r w:rsidRPr="00A5335D">
        <w:rPr>
          <w:rFonts w:ascii="Times New Roman" w:hAnsi="Times New Roman"/>
        </w:rPr>
        <w:t>a 5 kwietnia 2022</w:t>
      </w:r>
      <w:r w:rsidR="00A5335D" w:rsidRPr="00A5335D">
        <w:rPr>
          <w:rFonts w:ascii="Times New Roman" w:hAnsi="Times New Roman"/>
        </w:rPr>
        <w:t> </w:t>
      </w:r>
      <w:r w:rsidRPr="00A5335D">
        <w:rPr>
          <w:rFonts w:ascii="Times New Roman" w:hAnsi="Times New Roman"/>
        </w:rPr>
        <w:t>r.</w:t>
      </w:r>
      <w:r w:rsidR="00A5335D" w:rsidRPr="00A5335D">
        <w:rPr>
          <w:rFonts w:ascii="Times New Roman" w:hAnsi="Times New Roman"/>
        </w:rPr>
        <w:t xml:space="preserve"> w spr</w:t>
      </w:r>
      <w:r w:rsidRPr="00A5335D">
        <w:rPr>
          <w:rFonts w:ascii="Times New Roman" w:hAnsi="Times New Roman"/>
        </w:rPr>
        <w:t>awie uznawania kwalifikacji osób uciekających</w:t>
      </w:r>
      <w:r w:rsidR="00A5335D" w:rsidRPr="00A5335D">
        <w:rPr>
          <w:rFonts w:ascii="Times New Roman" w:hAnsi="Times New Roman"/>
        </w:rPr>
        <w:t xml:space="preserve"> z Ukr</w:t>
      </w:r>
      <w:r w:rsidRPr="00A5335D">
        <w:rPr>
          <w:rFonts w:ascii="Times New Roman" w:hAnsi="Times New Roman"/>
        </w:rPr>
        <w:t>ainy przed rosyjską inwazją, C/2022/2319.</w:t>
      </w:r>
    </w:p>
  </w:footnote>
  <w:footnote w:id="58">
    <w:p w14:paraId="27CEFD56" w14:textId="1F41D78B" w:rsidR="00492DA7" w:rsidRPr="00A5335D" w:rsidRDefault="00492DA7" w:rsidP="001D406D">
      <w:pPr>
        <w:pStyle w:val="FootnoteText"/>
        <w:ind w:left="708" w:hanging="708"/>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Więcej informacji na temat ewentualnego utworzenia unijnej puli talentów przedstawiono</w:t>
      </w:r>
      <w:r w:rsidR="00A5335D" w:rsidRPr="00A5335D">
        <w:rPr>
          <w:rFonts w:ascii="Times New Roman" w:hAnsi="Times New Roman"/>
        </w:rPr>
        <w:t xml:space="preserve"> w zał</w:t>
      </w:r>
      <w:r w:rsidRPr="00A5335D">
        <w:rPr>
          <w:rFonts w:ascii="Times New Roman" w:hAnsi="Times New Roman"/>
        </w:rPr>
        <w:t>ączniku.</w:t>
      </w:r>
    </w:p>
  </w:footnote>
  <w:footnote w:id="59">
    <w:p w14:paraId="27CEFD57" w14:textId="77777777" w:rsidR="00492DA7" w:rsidRPr="00A5335D" w:rsidRDefault="00492DA7" w:rsidP="298C0DE2">
      <w:pPr>
        <w:pStyle w:val="FootnoteText"/>
        <w:ind w:left="708" w:hanging="708"/>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2020/2255(INL).</w:t>
      </w:r>
    </w:p>
  </w:footnote>
  <w:footnote w:id="60">
    <w:p w14:paraId="27CEFD58" w14:textId="0930A7A1" w:rsidR="00492DA7" w:rsidRPr="00A5335D" w:rsidRDefault="00492DA7" w:rsidP="00834BBD">
      <w:pPr>
        <w:pStyle w:val="FootnoteText"/>
        <w:ind w:left="708" w:hanging="708"/>
        <w:jc w:val="both"/>
        <w:rPr>
          <w:rFonts w:ascii="Times New Roman" w:hAnsi="Times New Roman" w:cs="Times New Roman"/>
          <w:i/>
          <w:iCs/>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 xml:space="preserve">W przypadku tych poziomów umiejętności ogólne zasoby pracy się kurczą, zob. również Międzynarodowy Fundusz Walutowy, </w:t>
      </w:r>
      <w:r w:rsidRPr="00A5335D">
        <w:rPr>
          <w:rFonts w:ascii="Times New Roman" w:hAnsi="Times New Roman"/>
          <w:i/>
          <w:iCs/>
        </w:rPr>
        <w:t>Labor market tightness in advanced economies</w:t>
      </w:r>
      <w:r w:rsidRPr="00A5335D">
        <w:rPr>
          <w:rFonts w:ascii="Times New Roman" w:hAnsi="Times New Roman"/>
        </w:rPr>
        <w:t xml:space="preserve"> [„Kurczące się zasoby pracy</w:t>
      </w:r>
      <w:r w:rsidR="00A5335D" w:rsidRPr="00A5335D">
        <w:rPr>
          <w:rFonts w:ascii="Times New Roman" w:hAnsi="Times New Roman"/>
        </w:rPr>
        <w:t xml:space="preserve"> w zaa</w:t>
      </w:r>
      <w:r w:rsidRPr="00A5335D">
        <w:rPr>
          <w:rFonts w:ascii="Times New Roman" w:hAnsi="Times New Roman"/>
        </w:rPr>
        <w:t>wansowanych gospodarkach”], marzec 2022</w:t>
      </w:r>
      <w:r w:rsidR="00A5335D" w:rsidRPr="00A5335D">
        <w:rPr>
          <w:rFonts w:ascii="Times New Roman" w:hAnsi="Times New Roman"/>
        </w:rPr>
        <w:t> </w:t>
      </w:r>
      <w:r w:rsidRPr="00A5335D">
        <w:rPr>
          <w:rFonts w:ascii="Times New Roman" w:hAnsi="Times New Roman"/>
        </w:rPr>
        <w:t>r. Zob. też najczęściej zgłaszane zawody deficytowe</w:t>
      </w:r>
      <w:r w:rsidR="00A5335D" w:rsidRPr="00A5335D">
        <w:rPr>
          <w:rFonts w:ascii="Times New Roman" w:hAnsi="Times New Roman"/>
        </w:rPr>
        <w:t xml:space="preserve"> w 2</w:t>
      </w:r>
      <w:r w:rsidRPr="00A5335D">
        <w:rPr>
          <w:rFonts w:ascii="Times New Roman" w:hAnsi="Times New Roman"/>
        </w:rPr>
        <w:t>021</w:t>
      </w:r>
      <w:r w:rsidR="00A5335D" w:rsidRPr="00A5335D">
        <w:rPr>
          <w:rFonts w:ascii="Times New Roman" w:hAnsi="Times New Roman"/>
        </w:rPr>
        <w:t> </w:t>
      </w:r>
      <w:r w:rsidRPr="00A5335D">
        <w:rPr>
          <w:rFonts w:ascii="Times New Roman" w:hAnsi="Times New Roman"/>
        </w:rPr>
        <w:t xml:space="preserve">r. w UE: Europejski Urząd ds. Pracy, </w:t>
      </w:r>
      <w:r w:rsidRPr="00A5335D">
        <w:rPr>
          <w:rFonts w:ascii="Times New Roman" w:hAnsi="Times New Roman"/>
          <w:i/>
          <w:iCs/>
        </w:rPr>
        <w:t>Analysis of shortage and surplus occupations</w:t>
      </w:r>
      <w:r w:rsidRPr="00A5335D">
        <w:rPr>
          <w:rFonts w:ascii="Times New Roman" w:hAnsi="Times New Roman"/>
        </w:rPr>
        <w:t>[„Analiza zawodów deficytowych</w:t>
      </w:r>
      <w:r w:rsidR="00A5335D" w:rsidRPr="00A5335D">
        <w:rPr>
          <w:rFonts w:ascii="Times New Roman" w:hAnsi="Times New Roman"/>
        </w:rPr>
        <w:t xml:space="preserve"> i nad</w:t>
      </w:r>
      <w:r w:rsidRPr="00A5335D">
        <w:rPr>
          <w:rFonts w:ascii="Times New Roman" w:hAnsi="Times New Roman"/>
        </w:rPr>
        <w:t>wyżkowych”]; 2021</w:t>
      </w:r>
      <w:r w:rsidR="00A5335D" w:rsidRPr="00A5335D">
        <w:rPr>
          <w:rFonts w:ascii="Times New Roman" w:hAnsi="Times New Roman"/>
        </w:rPr>
        <w:t> </w:t>
      </w:r>
      <w:r w:rsidRPr="00A5335D">
        <w:rPr>
          <w:rFonts w:ascii="Times New Roman" w:hAnsi="Times New Roman"/>
        </w:rPr>
        <w:t xml:space="preserve">r. </w:t>
      </w:r>
      <w:hyperlink r:id="rId21" w:history="1">
        <w:r w:rsidRPr="00A5335D">
          <w:rPr>
            <w:rStyle w:val="Hyperlink"/>
            <w:rFonts w:ascii="Times New Roman" w:hAnsi="Times New Roman"/>
          </w:rPr>
          <w:t>https://www.ela.europa.eu/en/news/analysis-shortage-and-surplus-occupations-2021</w:t>
        </w:r>
      </w:hyperlink>
    </w:p>
  </w:footnote>
  <w:footnote w:id="61">
    <w:p w14:paraId="27CEFD59" w14:textId="399396B0" w:rsidR="00492DA7" w:rsidRPr="00A5335D" w:rsidRDefault="00492DA7" w:rsidP="00253FE8">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 xml:space="preserve">4,5 % pracowników to osoby spoza UE: Eurofound 2020, </w:t>
      </w:r>
      <w:r w:rsidRPr="00A5335D">
        <w:rPr>
          <w:rFonts w:ascii="Times New Roman" w:hAnsi="Times New Roman"/>
          <w:i/>
          <w:iCs/>
        </w:rPr>
        <w:t>Long-term care workforce: employment and working conditions</w:t>
      </w:r>
      <w:r w:rsidRPr="00A5335D">
        <w:rPr>
          <w:rFonts w:ascii="Times New Roman" w:hAnsi="Times New Roman"/>
        </w:rPr>
        <w:t xml:space="preserve"> [„Pracownicy świadczący opiekę długoterminową: zatrudnienie</w:t>
      </w:r>
      <w:r w:rsidR="00A5335D" w:rsidRPr="00A5335D">
        <w:rPr>
          <w:rFonts w:ascii="Times New Roman" w:hAnsi="Times New Roman"/>
        </w:rPr>
        <w:t xml:space="preserve"> i war</w:t>
      </w:r>
      <w:r w:rsidRPr="00A5335D">
        <w:rPr>
          <w:rFonts w:ascii="Times New Roman" w:hAnsi="Times New Roman"/>
        </w:rPr>
        <w:t xml:space="preserve">unki pracy”], </w:t>
      </w:r>
      <w:hyperlink r:id="rId22" w:history="1">
        <w:r w:rsidRPr="00A5335D">
          <w:rPr>
            <w:rStyle w:val="Hyperlink"/>
            <w:rFonts w:ascii="Times New Roman" w:hAnsi="Times New Roman"/>
          </w:rPr>
          <w:t>https://www.eurofound.europa.eu/publications/customised-report/2020/long-term-care-workforce-employment-and-working-conditions</w:t>
        </w:r>
      </w:hyperlink>
      <w:r w:rsidRPr="00A5335D">
        <w:rPr>
          <w:rFonts w:ascii="Times New Roman" w:hAnsi="Times New Roman"/>
        </w:rPr>
        <w:t xml:space="preserve">; </w:t>
      </w:r>
      <w:r w:rsidRPr="00A5335D">
        <w:rPr>
          <w:rFonts w:ascii="Times New Roman" w:hAnsi="Times New Roman"/>
          <w:i/>
          <w:iCs/>
        </w:rPr>
        <w:t>Immigrant Key Workers: Their Contribution to Europe’s COVID-19 Response</w:t>
      </w:r>
      <w:r w:rsidRPr="00A5335D">
        <w:rPr>
          <w:rFonts w:ascii="Times New Roman" w:hAnsi="Times New Roman"/>
        </w:rPr>
        <w:t xml:space="preserve"> [„Pracownicy imigranci</w:t>
      </w:r>
      <w:r w:rsidR="00A5335D" w:rsidRPr="00A5335D">
        <w:rPr>
          <w:rFonts w:ascii="Times New Roman" w:hAnsi="Times New Roman"/>
        </w:rPr>
        <w:t xml:space="preserve"> o kry</w:t>
      </w:r>
      <w:r w:rsidRPr="00A5335D">
        <w:rPr>
          <w:rFonts w:ascii="Times New Roman" w:hAnsi="Times New Roman"/>
        </w:rPr>
        <w:t>tycznym znaczeniu: ich wkład</w:t>
      </w:r>
      <w:r w:rsidR="00A5335D" w:rsidRPr="00A5335D">
        <w:rPr>
          <w:rFonts w:ascii="Times New Roman" w:hAnsi="Times New Roman"/>
        </w:rPr>
        <w:t xml:space="preserve"> w wal</w:t>
      </w:r>
      <w:r w:rsidRPr="00A5335D">
        <w:rPr>
          <w:rFonts w:ascii="Times New Roman" w:hAnsi="Times New Roman"/>
        </w:rPr>
        <w:t xml:space="preserve">kę z COVID-19”], JRC 2020: </w:t>
      </w:r>
      <w:hyperlink r:id="rId23" w:history="1">
        <w:r w:rsidRPr="00A5335D">
          <w:rPr>
            <w:rStyle w:val="Hyperlink"/>
            <w:rFonts w:ascii="Times New Roman" w:hAnsi="Times New Roman"/>
          </w:rPr>
          <w:t>https://ec.europa.eu/jrc/en/news/crucial-contribution-migrant-workers-europes-coronavirus-response</w:t>
        </w:r>
      </w:hyperlink>
      <w:r w:rsidRPr="00A5335D">
        <w:rPr>
          <w:rFonts w:ascii="Times New Roman" w:hAnsi="Times New Roman"/>
          <w:color w:val="000000"/>
        </w:rPr>
        <w:t>: migranci stanowili 10,3</w:t>
      </w:r>
      <w:r w:rsidR="00A5335D" w:rsidRPr="00A5335D">
        <w:rPr>
          <w:rFonts w:ascii="Times New Roman" w:hAnsi="Times New Roman"/>
          <w:color w:val="000000"/>
        </w:rPr>
        <w:t> </w:t>
      </w:r>
      <w:r w:rsidRPr="00A5335D">
        <w:rPr>
          <w:rFonts w:ascii="Times New Roman" w:hAnsi="Times New Roman"/>
          <w:color w:val="000000"/>
        </w:rPr>
        <w:t>% pracowników świadczących opiekę osobistą. Aby zapoznać się ze szczegółowym badaniem dotyczącym pracowników imigrantów</w:t>
      </w:r>
      <w:r w:rsidR="00A5335D" w:rsidRPr="00A5335D">
        <w:rPr>
          <w:rFonts w:ascii="Times New Roman" w:hAnsi="Times New Roman"/>
          <w:color w:val="000000"/>
        </w:rPr>
        <w:t xml:space="preserve"> w sek</w:t>
      </w:r>
      <w:r w:rsidRPr="00A5335D">
        <w:rPr>
          <w:rFonts w:ascii="Times New Roman" w:hAnsi="Times New Roman"/>
          <w:color w:val="000000"/>
        </w:rPr>
        <w:t>torze opieki zdrowotnej, zob. Grubanov-Boskovic, S., Ghio, D., Goujon, A., Kalantaryan, S., Belmonte, M., Scipioni, M., Conte, A., Gómez-González, E., Gomez Gutierrez, E., Tolan, S., Martinez Plumed, F., Pesole, A., Fernandez Macias, E.</w:t>
      </w:r>
      <w:r w:rsidR="00A5335D" w:rsidRPr="00A5335D">
        <w:rPr>
          <w:rFonts w:ascii="Times New Roman" w:hAnsi="Times New Roman"/>
          <w:color w:val="000000"/>
        </w:rPr>
        <w:t xml:space="preserve"> i Her</w:t>
      </w:r>
      <w:r w:rsidRPr="00A5335D">
        <w:rPr>
          <w:rFonts w:ascii="Times New Roman" w:hAnsi="Times New Roman"/>
          <w:color w:val="000000"/>
        </w:rPr>
        <w:t>nandez-Orallo, J., „Healthcare and long-term care workforce: demographic challenges and potential contribution of migration and digital technology” [„Pracownicy służby zdrowia</w:t>
      </w:r>
      <w:r w:rsidR="00A5335D" w:rsidRPr="00A5335D">
        <w:rPr>
          <w:rFonts w:ascii="Times New Roman" w:hAnsi="Times New Roman"/>
          <w:color w:val="000000"/>
        </w:rPr>
        <w:t xml:space="preserve"> i świ</w:t>
      </w:r>
      <w:r w:rsidRPr="00A5335D">
        <w:rPr>
          <w:rFonts w:ascii="Times New Roman" w:hAnsi="Times New Roman"/>
          <w:color w:val="000000"/>
        </w:rPr>
        <w:t>adczący opiekę długoterminową: wyzwania demograficzne oraz potencjalny wkład migracji</w:t>
      </w:r>
      <w:r w:rsidR="00A5335D" w:rsidRPr="00A5335D">
        <w:rPr>
          <w:rFonts w:ascii="Times New Roman" w:hAnsi="Times New Roman"/>
          <w:color w:val="000000"/>
        </w:rPr>
        <w:t xml:space="preserve"> i tec</w:t>
      </w:r>
      <w:r w:rsidRPr="00A5335D">
        <w:rPr>
          <w:rFonts w:ascii="Times New Roman" w:hAnsi="Times New Roman"/>
          <w:color w:val="000000"/>
        </w:rPr>
        <w:t>hnologii cyfrowych”], EUR 30593 EN, Urząd Publikacji Unii Europejskiej, Luksemburg, 2021, ISBN 978-92-76-30233-9 (online), 978-92-76-30232-2 (druk), doi:10.2760/33427 (online),10.2760/234530 (druk), JRC121698.</w:t>
      </w:r>
    </w:p>
  </w:footnote>
  <w:footnote w:id="62">
    <w:p w14:paraId="27CEFD5A" w14:textId="3044073B" w:rsidR="00492DA7" w:rsidRPr="00A5335D" w:rsidRDefault="00492DA7" w:rsidP="001D406D">
      <w:pPr>
        <w:pStyle w:val="FootnoteText"/>
        <w:ind w:left="708" w:hanging="708"/>
        <w:rPr>
          <w:rFonts w:ascii="Times New Roman" w:hAnsi="Times New Roman" w:cs="Times New Roman"/>
        </w:rPr>
      </w:pPr>
      <w:r w:rsidRPr="00A5335D">
        <w:rPr>
          <w:rStyle w:val="FootnoteReference"/>
          <w:rFonts w:ascii="Times New Roman" w:hAnsi="Times New Roman" w:cs="Times New Roman"/>
        </w:rPr>
        <w:footnoteRef/>
      </w:r>
      <w:r w:rsidR="003C3F6F" w:rsidRPr="00A5335D">
        <w:rPr>
          <w:rFonts w:ascii="Times New Roman" w:hAnsi="Times New Roman"/>
        </w:rPr>
        <w:tab/>
      </w:r>
      <w:r w:rsidRPr="00A5335D">
        <w:rPr>
          <w:rFonts w:ascii="Times New Roman" w:hAnsi="Times New Roman"/>
        </w:rPr>
        <w:t xml:space="preserve">Eurofound 2020, </w:t>
      </w:r>
      <w:r w:rsidRPr="00A5335D">
        <w:rPr>
          <w:rFonts w:ascii="Times New Roman" w:hAnsi="Times New Roman"/>
          <w:i/>
          <w:iCs/>
        </w:rPr>
        <w:t>Long-term care workforce:</w:t>
      </w:r>
      <w:r w:rsidR="000A12A6" w:rsidRPr="00A5335D">
        <w:rPr>
          <w:rFonts w:ascii="Times New Roman" w:hAnsi="Times New Roman"/>
          <w:i/>
          <w:iCs/>
        </w:rPr>
        <w:t xml:space="preserve"> </w:t>
      </w:r>
      <w:r w:rsidRPr="00A5335D">
        <w:rPr>
          <w:rFonts w:ascii="Times New Roman" w:hAnsi="Times New Roman"/>
          <w:i/>
          <w:iCs/>
        </w:rPr>
        <w:t>employment and working conditions</w:t>
      </w:r>
      <w:r w:rsidRPr="00A5335D">
        <w:rPr>
          <w:rFonts w:ascii="Times New Roman" w:hAnsi="Times New Roman"/>
        </w:rPr>
        <w:t xml:space="preserve"> [„Pracownicy świadczący opiekę długoterminową: zatrudnienie</w:t>
      </w:r>
      <w:r w:rsidR="00A5335D" w:rsidRPr="00A5335D">
        <w:rPr>
          <w:rFonts w:ascii="Times New Roman" w:hAnsi="Times New Roman"/>
        </w:rPr>
        <w:t xml:space="preserve"> i war</w:t>
      </w:r>
      <w:r w:rsidRPr="00A5335D">
        <w:rPr>
          <w:rFonts w:ascii="Times New Roman" w:hAnsi="Times New Roman"/>
        </w:rPr>
        <w:t>unki pracy”],</w:t>
      </w:r>
    </w:p>
  </w:footnote>
  <w:footnote w:id="63">
    <w:p w14:paraId="27CEFD5C" w14:textId="4E7DEE99" w:rsidR="00492DA7" w:rsidRPr="00A5335D" w:rsidRDefault="00492DA7" w:rsidP="001D406D">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Sprawozdanie Komisji Europejskiej</w:t>
      </w:r>
      <w:r w:rsidR="00A5335D" w:rsidRPr="00A5335D">
        <w:rPr>
          <w:rFonts w:ascii="Times New Roman" w:hAnsi="Times New Roman"/>
        </w:rPr>
        <w:t xml:space="preserve"> z 2</w:t>
      </w:r>
      <w:r w:rsidRPr="00A5335D">
        <w:rPr>
          <w:rFonts w:ascii="Times New Roman" w:hAnsi="Times New Roman"/>
        </w:rPr>
        <w:t>021</w:t>
      </w:r>
      <w:r w:rsidR="00A5335D" w:rsidRPr="00A5335D">
        <w:rPr>
          <w:rFonts w:ascii="Times New Roman" w:hAnsi="Times New Roman"/>
        </w:rPr>
        <w:t> </w:t>
      </w:r>
      <w:r w:rsidRPr="00A5335D">
        <w:rPr>
          <w:rFonts w:ascii="Times New Roman" w:hAnsi="Times New Roman"/>
        </w:rPr>
        <w:t>r. dotyczące opieki długoterminowej pt.</w:t>
      </w:r>
      <w:r w:rsidR="002D5B0A" w:rsidRPr="00A5335D">
        <w:rPr>
          <w:rFonts w:ascii="Times New Roman" w:hAnsi="Times New Roman"/>
        </w:rPr>
        <w:t xml:space="preserve"> </w:t>
      </w:r>
      <w:r w:rsidRPr="00A5335D">
        <w:rPr>
          <w:rFonts w:ascii="Times New Roman" w:hAnsi="Times New Roman"/>
        </w:rPr>
        <w:t>„Tendencje, wyzwania</w:t>
      </w:r>
      <w:r w:rsidR="00A5335D" w:rsidRPr="00A5335D">
        <w:rPr>
          <w:rFonts w:ascii="Times New Roman" w:hAnsi="Times New Roman"/>
        </w:rPr>
        <w:t xml:space="preserve"> i sza</w:t>
      </w:r>
      <w:r w:rsidRPr="00A5335D">
        <w:rPr>
          <w:rFonts w:ascii="Times New Roman" w:hAnsi="Times New Roman"/>
        </w:rPr>
        <w:t>nse</w:t>
      </w:r>
      <w:r w:rsidR="00A5335D" w:rsidRPr="00A5335D">
        <w:rPr>
          <w:rFonts w:ascii="Times New Roman" w:hAnsi="Times New Roman"/>
        </w:rPr>
        <w:t xml:space="preserve"> w sta</w:t>
      </w:r>
      <w:r w:rsidRPr="00A5335D">
        <w:rPr>
          <w:rFonts w:ascii="Times New Roman" w:hAnsi="Times New Roman"/>
        </w:rPr>
        <w:t xml:space="preserve">rzejącym się społeczeństwie”. </w:t>
      </w:r>
    </w:p>
  </w:footnote>
  <w:footnote w:id="64">
    <w:p w14:paraId="27CEFD5B" w14:textId="633622C8" w:rsidR="00492DA7" w:rsidRPr="00A5335D" w:rsidRDefault="00492DA7" w:rsidP="001D406D">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W poszczególnych państwach członkowskich odsetek osób korzystających</w:t>
      </w:r>
      <w:r w:rsidR="00A5335D" w:rsidRPr="00A5335D">
        <w:rPr>
          <w:rFonts w:ascii="Times New Roman" w:hAnsi="Times New Roman"/>
        </w:rPr>
        <w:t xml:space="preserve"> z opi</w:t>
      </w:r>
      <w:r w:rsidRPr="00A5335D">
        <w:rPr>
          <w:rFonts w:ascii="Times New Roman" w:hAnsi="Times New Roman"/>
        </w:rPr>
        <w:t>eki nieformalnej waha się od około 30</w:t>
      </w:r>
      <w:r w:rsidR="00A5335D" w:rsidRPr="00A5335D">
        <w:rPr>
          <w:rFonts w:ascii="Times New Roman" w:hAnsi="Times New Roman"/>
        </w:rPr>
        <w:t> </w:t>
      </w:r>
      <w:r w:rsidRPr="00A5335D">
        <w:rPr>
          <w:rFonts w:ascii="Times New Roman" w:hAnsi="Times New Roman"/>
        </w:rPr>
        <w:t>% do około 85</w:t>
      </w:r>
      <w:r w:rsidR="00A5335D" w:rsidRPr="00A5335D">
        <w:rPr>
          <w:rFonts w:ascii="Times New Roman" w:hAnsi="Times New Roman"/>
        </w:rPr>
        <w:t> </w:t>
      </w:r>
      <w:r w:rsidRPr="00A5335D">
        <w:rPr>
          <w:rFonts w:ascii="Times New Roman" w:hAnsi="Times New Roman"/>
        </w:rPr>
        <w:t>%. Zazwyczaj formalną opiekę długoterminową świadczą wykwalifikowani pracownicy</w:t>
      </w:r>
      <w:r w:rsidR="00A5335D" w:rsidRPr="00A5335D">
        <w:rPr>
          <w:rFonts w:ascii="Times New Roman" w:hAnsi="Times New Roman"/>
        </w:rPr>
        <w:t xml:space="preserve"> i moż</w:t>
      </w:r>
      <w:r w:rsidRPr="00A5335D">
        <w:rPr>
          <w:rFonts w:ascii="Times New Roman" w:hAnsi="Times New Roman"/>
        </w:rPr>
        <w:t>e się to odbywać</w:t>
      </w:r>
      <w:r w:rsidR="00A5335D" w:rsidRPr="00A5335D">
        <w:rPr>
          <w:rFonts w:ascii="Times New Roman" w:hAnsi="Times New Roman"/>
        </w:rPr>
        <w:t xml:space="preserve"> w róż</w:t>
      </w:r>
      <w:r w:rsidRPr="00A5335D">
        <w:rPr>
          <w:rFonts w:ascii="Times New Roman" w:hAnsi="Times New Roman"/>
        </w:rPr>
        <w:t>nych warunkach (opieka rezydencjalna, formalna opieka domowa lub opieka półrezydencjalna). Pracownicy świadczący formalną opiekę długoterminową obejmują pracowników opieki społecznej (takich jak pracownicy opieki osobistej lub doradcy) oraz pracowników opieki zdrowotnej (takich jak pielęgniarki geriatryczne lub inne pielęgniarki),</w:t>
      </w:r>
      <w:r w:rsidR="00A5335D" w:rsidRPr="00A5335D">
        <w:rPr>
          <w:rFonts w:ascii="Times New Roman" w:hAnsi="Times New Roman"/>
        </w:rPr>
        <w:t xml:space="preserve"> a tak</w:t>
      </w:r>
      <w:r w:rsidRPr="00A5335D">
        <w:rPr>
          <w:rFonts w:ascii="Times New Roman" w:hAnsi="Times New Roman"/>
        </w:rPr>
        <w:t>że szczególne grupy, takie jak opiekunowie mieszkający</w:t>
      </w:r>
      <w:r w:rsidR="00A5335D" w:rsidRPr="00A5335D">
        <w:rPr>
          <w:rFonts w:ascii="Times New Roman" w:hAnsi="Times New Roman"/>
        </w:rPr>
        <w:t xml:space="preserve"> w dom</w:t>
      </w:r>
      <w:r w:rsidRPr="00A5335D">
        <w:rPr>
          <w:rFonts w:ascii="Times New Roman" w:hAnsi="Times New Roman"/>
        </w:rPr>
        <w:t>u osoby korzystającej</w:t>
      </w:r>
      <w:r w:rsidR="00A5335D" w:rsidRPr="00A5335D">
        <w:rPr>
          <w:rFonts w:ascii="Times New Roman" w:hAnsi="Times New Roman"/>
        </w:rPr>
        <w:t xml:space="preserve"> z opi</w:t>
      </w:r>
      <w:r w:rsidRPr="00A5335D">
        <w:rPr>
          <w:rFonts w:ascii="Times New Roman" w:hAnsi="Times New Roman"/>
        </w:rPr>
        <w:t>eki</w:t>
      </w:r>
      <w:r w:rsidR="00A5335D" w:rsidRPr="00A5335D">
        <w:rPr>
          <w:rFonts w:ascii="Times New Roman" w:hAnsi="Times New Roman"/>
        </w:rPr>
        <w:t xml:space="preserve"> i zap</w:t>
      </w:r>
      <w:r w:rsidRPr="00A5335D">
        <w:rPr>
          <w:rFonts w:ascii="Times New Roman" w:hAnsi="Times New Roman"/>
        </w:rPr>
        <w:t>ewniający jej wsparcie. Znaczna większość pracowników świadczących formalną opiekę długoterminową to opiekunowie osobiści, przy czym większość</w:t>
      </w:r>
      <w:r w:rsidR="00A5335D" w:rsidRPr="00A5335D">
        <w:rPr>
          <w:rFonts w:ascii="Times New Roman" w:hAnsi="Times New Roman"/>
        </w:rPr>
        <w:t xml:space="preserve"> z tyc</w:t>
      </w:r>
      <w:r w:rsidRPr="00A5335D">
        <w:rPr>
          <w:rFonts w:ascii="Times New Roman" w:hAnsi="Times New Roman"/>
        </w:rPr>
        <w:t>h pracowników świadczy</w:t>
      </w:r>
      <w:r w:rsidR="002D5B0A" w:rsidRPr="00A5335D">
        <w:rPr>
          <w:rFonts w:ascii="Times New Roman" w:hAnsi="Times New Roman"/>
        </w:rPr>
        <w:t xml:space="preserve"> </w:t>
      </w:r>
      <w:r w:rsidRPr="00A5335D">
        <w:rPr>
          <w:rFonts w:ascii="Times New Roman" w:hAnsi="Times New Roman"/>
        </w:rPr>
        <w:t>opiekę rezydencjalną. Większość pracowników świadczących opiekę długoterminową ma średni poziom wykształcenia. Zob. sprawozdanie Komisji Europejskiej</w:t>
      </w:r>
      <w:r w:rsidR="00A5335D" w:rsidRPr="00A5335D">
        <w:rPr>
          <w:rFonts w:ascii="Times New Roman" w:hAnsi="Times New Roman"/>
        </w:rPr>
        <w:t xml:space="preserve"> z 2</w:t>
      </w:r>
      <w:r w:rsidRPr="00A5335D">
        <w:rPr>
          <w:rFonts w:ascii="Times New Roman" w:hAnsi="Times New Roman"/>
        </w:rPr>
        <w:t>021</w:t>
      </w:r>
      <w:r w:rsidR="00A5335D" w:rsidRPr="00A5335D">
        <w:rPr>
          <w:rFonts w:ascii="Times New Roman" w:hAnsi="Times New Roman"/>
        </w:rPr>
        <w:t> </w:t>
      </w:r>
      <w:r w:rsidRPr="00A5335D">
        <w:rPr>
          <w:rFonts w:ascii="Times New Roman" w:hAnsi="Times New Roman"/>
        </w:rPr>
        <w:t>r.</w:t>
      </w:r>
      <w:r w:rsidR="00A5335D" w:rsidRPr="00A5335D">
        <w:rPr>
          <w:rFonts w:ascii="Times New Roman" w:hAnsi="Times New Roman"/>
        </w:rPr>
        <w:t xml:space="preserve"> w spr</w:t>
      </w:r>
      <w:r w:rsidRPr="00A5335D">
        <w:rPr>
          <w:rFonts w:ascii="Times New Roman" w:hAnsi="Times New Roman"/>
        </w:rPr>
        <w:t>awie opieki długoterminowej</w:t>
      </w:r>
      <w:r w:rsidRPr="00A5335D">
        <w:rPr>
          <w:rFonts w:ascii="Times New Roman" w:hAnsi="Times New Roman"/>
          <w:i/>
          <w:iCs/>
        </w:rPr>
        <w:t xml:space="preserve"> Trends, challenges and opportunities in an ageing society</w:t>
      </w:r>
      <w:r w:rsidR="002D5B0A" w:rsidRPr="00A5335D">
        <w:t xml:space="preserve"> </w:t>
      </w:r>
      <w:r w:rsidR="00A5335D" w:rsidRPr="00A5335D">
        <w:rPr>
          <w:rFonts w:ascii="Times New Roman" w:hAnsi="Times New Roman"/>
        </w:rPr>
        <w:t>[„</w:t>
      </w:r>
      <w:r w:rsidRPr="00A5335D">
        <w:rPr>
          <w:rFonts w:ascii="Times New Roman" w:hAnsi="Times New Roman"/>
        </w:rPr>
        <w:t>Tendencje, wyzwania</w:t>
      </w:r>
      <w:r w:rsidR="00A5335D" w:rsidRPr="00A5335D">
        <w:rPr>
          <w:rFonts w:ascii="Times New Roman" w:hAnsi="Times New Roman"/>
        </w:rPr>
        <w:t xml:space="preserve"> i sza</w:t>
      </w:r>
      <w:r w:rsidRPr="00A5335D">
        <w:rPr>
          <w:rFonts w:ascii="Times New Roman" w:hAnsi="Times New Roman"/>
        </w:rPr>
        <w:t>nse</w:t>
      </w:r>
      <w:r w:rsidR="00A5335D" w:rsidRPr="00A5335D">
        <w:rPr>
          <w:rFonts w:ascii="Times New Roman" w:hAnsi="Times New Roman"/>
        </w:rPr>
        <w:t xml:space="preserve"> w sta</w:t>
      </w:r>
      <w:r w:rsidRPr="00A5335D">
        <w:rPr>
          <w:rFonts w:ascii="Times New Roman" w:hAnsi="Times New Roman"/>
        </w:rPr>
        <w:t>rzejącym się społeczeństwie”].</w:t>
      </w:r>
    </w:p>
  </w:footnote>
  <w:footnote w:id="65">
    <w:p w14:paraId="27CEFD5D" w14:textId="4684297E" w:rsidR="00492DA7" w:rsidRPr="00A5335D" w:rsidRDefault="00492DA7" w:rsidP="00834BBD">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 xml:space="preserve">JRC, </w:t>
      </w:r>
      <w:r w:rsidRPr="00A5335D">
        <w:rPr>
          <w:rFonts w:ascii="Times New Roman" w:hAnsi="Times New Roman"/>
          <w:i/>
          <w:iCs/>
        </w:rPr>
        <w:t>Healthcare and long-term care workforce:</w:t>
      </w:r>
      <w:r w:rsidRPr="00A5335D">
        <w:rPr>
          <w:rFonts w:ascii="Times New Roman" w:hAnsi="Times New Roman"/>
        </w:rPr>
        <w:t xml:space="preserve"> </w:t>
      </w:r>
      <w:r w:rsidRPr="00A5335D">
        <w:rPr>
          <w:rFonts w:ascii="Times New Roman" w:hAnsi="Times New Roman"/>
          <w:i/>
          <w:iCs/>
        </w:rPr>
        <w:t>demo graphic challenges and potential contribution of migration and digital technology</w:t>
      </w:r>
      <w:r w:rsidRPr="00A5335D">
        <w:rPr>
          <w:rFonts w:ascii="Times New Roman" w:hAnsi="Times New Roman"/>
        </w:rPr>
        <w:t xml:space="preserve"> [„Pracownicy służby zdrowia</w:t>
      </w:r>
      <w:r w:rsidR="00A5335D" w:rsidRPr="00A5335D">
        <w:rPr>
          <w:rFonts w:ascii="Times New Roman" w:hAnsi="Times New Roman"/>
        </w:rPr>
        <w:t xml:space="preserve"> i świ</w:t>
      </w:r>
      <w:r w:rsidRPr="00A5335D">
        <w:rPr>
          <w:rFonts w:ascii="Times New Roman" w:hAnsi="Times New Roman"/>
        </w:rPr>
        <w:t>adczący opiekę długoterminową: wyzwania demograficzne oraz potencjalny wkład migracji</w:t>
      </w:r>
      <w:r w:rsidR="00A5335D" w:rsidRPr="00A5335D">
        <w:rPr>
          <w:rFonts w:ascii="Times New Roman" w:hAnsi="Times New Roman"/>
        </w:rPr>
        <w:t xml:space="preserve"> i tec</w:t>
      </w:r>
      <w:r w:rsidRPr="00A5335D">
        <w:rPr>
          <w:rFonts w:ascii="Times New Roman" w:hAnsi="Times New Roman"/>
        </w:rPr>
        <w:t>hnologii cyfrowych”].</w:t>
      </w:r>
    </w:p>
  </w:footnote>
  <w:footnote w:id="66">
    <w:p w14:paraId="27CEFD5E" w14:textId="6BEF4344" w:rsidR="00492DA7" w:rsidRPr="00A5335D" w:rsidRDefault="00492DA7" w:rsidP="00834BBD">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W każdym programie działań następczych konieczne będzie uwzględnienie zobowiązań międzynarodowych wynikających</w:t>
      </w:r>
      <w:r w:rsidR="00A5335D" w:rsidRPr="00A5335D">
        <w:rPr>
          <w:rFonts w:ascii="Times New Roman" w:hAnsi="Times New Roman"/>
        </w:rPr>
        <w:t xml:space="preserve"> z umó</w:t>
      </w:r>
      <w:r w:rsidRPr="00A5335D">
        <w:rPr>
          <w:rFonts w:ascii="Times New Roman" w:hAnsi="Times New Roman"/>
        </w:rPr>
        <w:t>w handlowych UE.</w:t>
      </w:r>
    </w:p>
  </w:footnote>
  <w:footnote w:id="67">
    <w:p w14:paraId="27CEFD5F" w14:textId="77777777" w:rsidR="00492DA7" w:rsidRPr="00A5335D" w:rsidRDefault="00492DA7" w:rsidP="00116D21">
      <w:pPr>
        <w:pStyle w:val="FootnoteText"/>
        <w:ind w:left="709" w:hanging="709"/>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r>
      <w:hyperlink r:id="rId24" w:history="1">
        <w:r w:rsidRPr="00A5335D">
          <w:rPr>
            <w:rStyle w:val="Hyperlink"/>
            <w:rFonts w:ascii="Times New Roman" w:hAnsi="Times New Roman"/>
          </w:rPr>
          <w:t>https://op.europa.eu/webpub/empl/european-pillar-of-social-rights/pl/</w:t>
        </w:r>
      </w:hyperlink>
      <w:r w:rsidRPr="00A5335D">
        <w:rPr>
          <w:rFonts w:ascii="Times New Roman" w:hAnsi="Times New Roman"/>
        </w:rPr>
        <w:t xml:space="preserve"> </w:t>
      </w:r>
      <w:r w:rsidRPr="00A5335D">
        <w:rPr>
          <w:rStyle w:val="Hyperlink"/>
          <w:rFonts w:ascii="Times New Roman" w:hAnsi="Times New Roman"/>
        </w:rPr>
        <w:t>https://op.europa.eu/webpub/empl/european-pillar-of-social-rights/pl/</w:t>
      </w:r>
      <w:r w:rsidRPr="00A5335D">
        <w:rPr>
          <w:rFonts w:ascii="Times New Roman" w:hAnsi="Times New Roman"/>
        </w:rPr>
        <w:t xml:space="preserve"> </w:t>
      </w:r>
    </w:p>
  </w:footnote>
  <w:footnote w:id="68">
    <w:p w14:paraId="27CEFD60" w14:textId="77777777" w:rsidR="00492DA7" w:rsidRPr="00A5335D" w:rsidRDefault="00492DA7" w:rsidP="00732F2F">
      <w:pPr>
        <w:pStyle w:val="FootnoteText"/>
        <w:ind w:left="709" w:hanging="709"/>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r>
      <w:hyperlink r:id="rId25" w:history="1">
        <w:r w:rsidRPr="00A5335D">
          <w:rPr>
            <w:rStyle w:val="Hyperlink"/>
            <w:rFonts w:ascii="Times New Roman" w:hAnsi="Times New Roman"/>
          </w:rPr>
          <w:t>https://ec.europa.eu/info/law/better-regulation/have-your-say/initiatives/12722-Zmiany-demograficzne-w-Europie-zielona-ksiega-w-sprawie-starzenia-sie-spo%C5%82eczenstwa_pl</w:t>
        </w:r>
      </w:hyperlink>
      <w:r w:rsidRPr="00A5335D">
        <w:rPr>
          <w:rFonts w:ascii="Times New Roman" w:hAnsi="Times New Roman"/>
        </w:rPr>
        <w:t xml:space="preserve"> </w:t>
      </w:r>
      <w:r w:rsidRPr="00A5335D">
        <w:rPr>
          <w:rStyle w:val="Hyperlink"/>
          <w:rFonts w:ascii="Times New Roman" w:hAnsi="Times New Roman"/>
        </w:rPr>
        <w:t>https://ec.europa.eu/info/law/better-regulation/have-your-say/initiatives/12722-Zmiany-demograficzne-w-Europie-zielona-ksiega-w-sprawie-starzenia-sie-spo%C5%82eczenstwa_pl</w:t>
      </w:r>
      <w:r w:rsidRPr="00A5335D">
        <w:rPr>
          <w:rFonts w:ascii="Times New Roman" w:hAnsi="Times New Roman"/>
        </w:rPr>
        <w:t xml:space="preserve"> </w:t>
      </w:r>
    </w:p>
  </w:footnote>
  <w:footnote w:id="69">
    <w:p w14:paraId="27CEFD61" w14:textId="77777777" w:rsidR="00492DA7" w:rsidRPr="00A5335D" w:rsidRDefault="00492DA7" w:rsidP="001D406D">
      <w:pPr>
        <w:pStyle w:val="FootnoteText"/>
        <w:ind w:left="708" w:hanging="708"/>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Z wyjątkiem pracowników wysoko wykwalifikowanych, którzy są już objęci systemem niebieskiej karty UE.</w:t>
      </w:r>
    </w:p>
  </w:footnote>
  <w:footnote w:id="70">
    <w:p w14:paraId="27CEFD62" w14:textId="24359916" w:rsidR="00492DA7" w:rsidRPr="00A5335D" w:rsidRDefault="00492DA7" w:rsidP="001D406D">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r>
      <w:r w:rsidRPr="00A5335D">
        <w:rPr>
          <w:rFonts w:ascii="Times New Roman" w:hAnsi="Times New Roman"/>
          <w:i/>
          <w:iCs/>
        </w:rPr>
        <w:t>Globalny kodeks postępowania WHO</w:t>
      </w:r>
      <w:r w:rsidR="00A5335D" w:rsidRPr="00A5335D">
        <w:rPr>
          <w:rFonts w:ascii="Times New Roman" w:hAnsi="Times New Roman"/>
          <w:i/>
          <w:iCs/>
        </w:rPr>
        <w:t xml:space="preserve"> w spr</w:t>
      </w:r>
      <w:r w:rsidRPr="00A5335D">
        <w:rPr>
          <w:rFonts w:ascii="Times New Roman" w:hAnsi="Times New Roman"/>
          <w:i/>
          <w:iCs/>
        </w:rPr>
        <w:t>awie międzynarodowej rekrutacji personelu medycznego</w:t>
      </w:r>
      <w:r w:rsidR="00A5335D" w:rsidRPr="00A5335D">
        <w:rPr>
          <w:rFonts w:ascii="Times New Roman" w:hAnsi="Times New Roman"/>
          <w:i/>
          <w:iCs/>
        </w:rPr>
        <w:t xml:space="preserve"> z 2</w:t>
      </w:r>
      <w:r w:rsidRPr="00A5335D">
        <w:rPr>
          <w:rFonts w:ascii="Times New Roman" w:hAnsi="Times New Roman"/>
          <w:i/>
          <w:iCs/>
        </w:rPr>
        <w:t>010</w:t>
      </w:r>
      <w:r w:rsidR="00A5335D" w:rsidRPr="00A5335D">
        <w:rPr>
          <w:rFonts w:ascii="Times New Roman" w:hAnsi="Times New Roman"/>
          <w:i/>
          <w:iCs/>
        </w:rPr>
        <w:t> </w:t>
      </w:r>
      <w:r w:rsidRPr="00A5335D">
        <w:rPr>
          <w:rFonts w:ascii="Times New Roman" w:hAnsi="Times New Roman"/>
          <w:i/>
          <w:iCs/>
        </w:rPr>
        <w:t>r.</w:t>
      </w:r>
      <w:r w:rsidRPr="00A5335D">
        <w:rPr>
          <w:rFonts w:ascii="Times New Roman" w:hAnsi="Times New Roman"/>
        </w:rPr>
        <w:t xml:space="preserve"> </w:t>
      </w:r>
      <w:hyperlink r:id="rId26" w:history="1">
        <w:r w:rsidRPr="00A5335D">
          <w:rPr>
            <w:rStyle w:val="Hyperlink"/>
            <w:rFonts w:ascii="Times New Roman" w:hAnsi="Times New Roman"/>
          </w:rPr>
          <w:t>Microsoft Word - WHO_global_code_of_practice_EN.doc</w:t>
        </w:r>
      </w:hyperlink>
    </w:p>
  </w:footnote>
  <w:footnote w:id="71">
    <w:p w14:paraId="27CEFD63" w14:textId="77777777" w:rsidR="00492DA7" w:rsidRPr="00A5335D" w:rsidRDefault="00492DA7" w:rsidP="001D406D">
      <w:pPr>
        <w:pStyle w:val="FootnoteText"/>
        <w:ind w:left="708" w:hanging="708"/>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r>
      <w:r w:rsidRPr="00A5335D">
        <w:rPr>
          <w:rFonts w:ascii="Times New Roman" w:hAnsi="Times New Roman"/>
          <w:i/>
          <w:iCs/>
        </w:rPr>
        <w:t>OECD, Recruiting Immigrant Workers – Europe 2016</w:t>
      </w:r>
      <w:r w:rsidRPr="00A5335D">
        <w:rPr>
          <w:rFonts w:ascii="Times New Roman" w:hAnsi="Times New Roman"/>
        </w:rPr>
        <w:t xml:space="preserve"> [„Rekrutacja pracowników imigrantów – Europa 2016”].</w:t>
      </w:r>
    </w:p>
  </w:footnote>
  <w:footnote w:id="72">
    <w:p w14:paraId="27CEFD64" w14:textId="4C41073C" w:rsidR="00492DA7" w:rsidRPr="00A5335D" w:rsidRDefault="00492DA7" w:rsidP="001D406D">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Bez konieczności ubiegania się</w:t>
      </w:r>
      <w:r w:rsidR="00A5335D" w:rsidRPr="00A5335D">
        <w:rPr>
          <w:rFonts w:ascii="Times New Roman" w:hAnsi="Times New Roman"/>
        </w:rPr>
        <w:t xml:space="preserve"> o wiz</w:t>
      </w:r>
      <w:r w:rsidRPr="00A5335D">
        <w:rPr>
          <w:rFonts w:ascii="Times New Roman" w:hAnsi="Times New Roman"/>
        </w:rPr>
        <w:t>ę do każdego kraju,</w:t>
      </w:r>
      <w:r w:rsidR="00A5335D" w:rsidRPr="00A5335D">
        <w:rPr>
          <w:rFonts w:ascii="Times New Roman" w:hAnsi="Times New Roman"/>
        </w:rPr>
        <w:t xml:space="preserve"> w któ</w:t>
      </w:r>
      <w:r w:rsidRPr="00A5335D">
        <w:rPr>
          <w:rFonts w:ascii="Times New Roman" w:hAnsi="Times New Roman"/>
        </w:rPr>
        <w:t>rym chcą pracować.</w:t>
      </w:r>
    </w:p>
  </w:footnote>
  <w:footnote w:id="73">
    <w:p w14:paraId="27CEFD65" w14:textId="4ED9F1BB" w:rsidR="00492DA7" w:rsidRPr="00A5335D" w:rsidRDefault="00492DA7" w:rsidP="00834BBD">
      <w:pPr>
        <w:pStyle w:val="FootnoteText"/>
        <w:ind w:left="709" w:hanging="709"/>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W każdym programie działań następczych konieczne będzie uwzględnienie zobowiązań międzynarodowych wynikających</w:t>
      </w:r>
      <w:r w:rsidR="00A5335D" w:rsidRPr="00A5335D">
        <w:rPr>
          <w:rFonts w:ascii="Times New Roman" w:hAnsi="Times New Roman"/>
        </w:rPr>
        <w:t xml:space="preserve"> z umó</w:t>
      </w:r>
      <w:r w:rsidRPr="00A5335D">
        <w:rPr>
          <w:rFonts w:ascii="Times New Roman" w:hAnsi="Times New Roman"/>
        </w:rPr>
        <w:t>w handlowych UE.</w:t>
      </w:r>
    </w:p>
  </w:footnote>
  <w:footnote w:id="74">
    <w:p w14:paraId="27CEFD66" w14:textId="4A743290" w:rsidR="00492DA7" w:rsidRPr="00A5335D" w:rsidRDefault="00492DA7" w:rsidP="00866321">
      <w:pPr>
        <w:autoSpaceDE w:val="0"/>
        <w:autoSpaceDN w:val="0"/>
        <w:spacing w:after="0" w:line="240" w:lineRule="auto"/>
        <w:ind w:left="708" w:hanging="708"/>
        <w:jc w:val="both"/>
        <w:rPr>
          <w:rFonts w:ascii="Times New Roman" w:hAnsi="Times New Roman" w:cs="Times New Roman"/>
          <w:sz w:val="20"/>
          <w:szCs w:val="20"/>
        </w:rPr>
      </w:pPr>
      <w:r w:rsidRPr="00A5335D">
        <w:rPr>
          <w:rStyle w:val="FootnoteReference"/>
          <w:rFonts w:ascii="Times New Roman" w:hAnsi="Times New Roman" w:cs="Times New Roman"/>
          <w:sz w:val="20"/>
          <w:szCs w:val="20"/>
        </w:rPr>
        <w:footnoteRef/>
      </w:r>
      <w:r w:rsidRPr="00A5335D">
        <w:rPr>
          <w:rFonts w:ascii="Times New Roman" w:hAnsi="Times New Roman"/>
          <w:sz w:val="20"/>
          <w:szCs w:val="20"/>
        </w:rPr>
        <w:t xml:space="preserve"> </w:t>
      </w:r>
      <w:r w:rsidRPr="00A5335D">
        <w:rPr>
          <w:rFonts w:ascii="Times New Roman" w:hAnsi="Times New Roman"/>
          <w:sz w:val="20"/>
          <w:szCs w:val="20"/>
        </w:rPr>
        <w:tab/>
        <w:t>Ocena skutków, na podstawie której dokonano przeglądu dyrektywy</w:t>
      </w:r>
      <w:r w:rsidR="00A5335D" w:rsidRPr="00A5335D">
        <w:rPr>
          <w:rFonts w:ascii="Times New Roman" w:hAnsi="Times New Roman"/>
          <w:sz w:val="20"/>
          <w:szCs w:val="20"/>
        </w:rPr>
        <w:t xml:space="preserve"> w spr</w:t>
      </w:r>
      <w:r w:rsidRPr="00A5335D">
        <w:rPr>
          <w:rFonts w:ascii="Times New Roman" w:hAnsi="Times New Roman"/>
          <w:sz w:val="20"/>
          <w:szCs w:val="20"/>
        </w:rPr>
        <w:t>awie niebieskiej karty, obejmowała zestawienie programów skierowanych do założycieli przedsiębiorstw typu start-up</w:t>
      </w:r>
      <w:r w:rsidR="00A5335D" w:rsidRPr="00A5335D">
        <w:rPr>
          <w:rFonts w:ascii="Times New Roman" w:hAnsi="Times New Roman"/>
          <w:sz w:val="20"/>
          <w:szCs w:val="20"/>
        </w:rPr>
        <w:t xml:space="preserve"> i prz</w:t>
      </w:r>
      <w:r w:rsidRPr="00A5335D">
        <w:rPr>
          <w:rFonts w:ascii="Times New Roman" w:hAnsi="Times New Roman"/>
          <w:sz w:val="20"/>
          <w:szCs w:val="20"/>
        </w:rPr>
        <w:t>edsiębiorców</w:t>
      </w:r>
      <w:r w:rsidR="00866321" w:rsidRPr="00A5335D">
        <w:rPr>
          <w:rFonts w:ascii="Times New Roman" w:hAnsi="Times New Roman"/>
          <w:sz w:val="20"/>
          <w:szCs w:val="20"/>
        </w:rPr>
        <w:br/>
      </w:r>
      <w:r w:rsidRPr="00A5335D">
        <w:rPr>
          <w:rFonts w:ascii="Times New Roman" w:hAnsi="Times New Roman"/>
          <w:sz w:val="20"/>
          <w:szCs w:val="20"/>
        </w:rPr>
        <w:t>(</w:t>
      </w:r>
      <w:hyperlink r:id="rId27" w:history="1">
        <w:r w:rsidRPr="00A5335D">
          <w:rPr>
            <w:rStyle w:val="Hyperlink"/>
            <w:rFonts w:ascii="Times New Roman" w:hAnsi="Times New Roman"/>
            <w:sz w:val="20"/>
            <w:szCs w:val="20"/>
          </w:rPr>
          <w:t>https://ec.europa.eu/home-affairs/what-is-new/work-in-progress/initiatives/avzbt_intro_en</w:t>
        </w:r>
      </w:hyperlink>
      <w:r w:rsidRPr="00A5335D">
        <w:rPr>
          <w:rFonts w:ascii="Times New Roman" w:hAnsi="Times New Roman"/>
          <w:sz w:val="20"/>
          <w:szCs w:val="20"/>
        </w:rPr>
        <w:t>).</w:t>
      </w:r>
      <w:r w:rsidR="00866321" w:rsidRPr="00A5335D">
        <w:rPr>
          <w:rFonts w:ascii="Times New Roman" w:hAnsi="Times New Roman"/>
          <w:sz w:val="20"/>
          <w:szCs w:val="20"/>
        </w:rPr>
        <w:br/>
      </w:r>
      <w:r w:rsidRPr="00A5335D">
        <w:rPr>
          <w:rFonts w:ascii="Times New Roman" w:hAnsi="Times New Roman"/>
          <w:sz w:val="20"/>
          <w:szCs w:val="20"/>
        </w:rPr>
        <w:t>Pod koniec 2019</w:t>
      </w:r>
      <w:r w:rsidR="00A5335D" w:rsidRPr="00A5335D">
        <w:rPr>
          <w:rFonts w:ascii="Times New Roman" w:hAnsi="Times New Roman"/>
          <w:sz w:val="20"/>
          <w:szCs w:val="20"/>
        </w:rPr>
        <w:t> </w:t>
      </w:r>
      <w:r w:rsidRPr="00A5335D">
        <w:rPr>
          <w:rFonts w:ascii="Times New Roman" w:hAnsi="Times New Roman"/>
          <w:sz w:val="20"/>
          <w:szCs w:val="20"/>
        </w:rPr>
        <w:t>r. dokonano uaktualnienia tego zestawienia na podstawie badania przeprowadzonego przez ESM</w:t>
      </w:r>
      <w:r w:rsidR="004C2F26" w:rsidRPr="00A5335D">
        <w:rPr>
          <w:rFonts w:ascii="Times New Roman" w:hAnsi="Times New Roman"/>
          <w:sz w:val="20"/>
          <w:szCs w:val="20"/>
        </w:rPr>
        <w:tab/>
      </w:r>
      <w:r w:rsidR="004C2F26" w:rsidRPr="00A5335D">
        <w:rPr>
          <w:rFonts w:ascii="Times New Roman" w:hAnsi="Times New Roman"/>
          <w:sz w:val="20"/>
          <w:szCs w:val="20"/>
        </w:rPr>
        <w:br/>
      </w:r>
      <w:hyperlink r:id="rId28" w:history="1">
        <w:r w:rsidRPr="00A5335D">
          <w:rPr>
            <w:rStyle w:val="Hyperlink"/>
            <w:rFonts w:ascii="Times New Roman" w:hAnsi="Times New Roman"/>
            <w:sz w:val="20"/>
            <w:szCs w:val="20"/>
          </w:rPr>
          <w:t>https://emnbelgium.be/sites/default/files/publications/Migratory%20Pathways%20for%20Start-Ups%20and%20Innovative%20Entrepreneurs%20in%20the%20European%20Union.pdf</w:t>
        </w:r>
      </w:hyperlink>
      <w:r w:rsidRPr="00A5335D">
        <w:rPr>
          <w:rFonts w:ascii="Times New Roman" w:hAnsi="Times New Roman"/>
          <w:sz w:val="20"/>
          <w:szCs w:val="20"/>
        </w:rPr>
        <w:t>).</w:t>
      </w:r>
    </w:p>
  </w:footnote>
  <w:footnote w:id="75">
    <w:p w14:paraId="27CEFD67" w14:textId="3C47E9D6" w:rsidR="00492DA7" w:rsidRPr="00A5335D" w:rsidRDefault="00492DA7" w:rsidP="004C2F26">
      <w:pPr>
        <w:autoSpaceDE w:val="0"/>
        <w:autoSpaceDN w:val="0"/>
        <w:spacing w:after="0" w:line="240" w:lineRule="auto"/>
        <w:ind w:left="708" w:hanging="708"/>
        <w:jc w:val="both"/>
        <w:rPr>
          <w:rFonts w:ascii="Times New Roman" w:hAnsi="Times New Roman" w:cs="Times New Roman"/>
          <w:sz w:val="20"/>
          <w:szCs w:val="20"/>
        </w:rPr>
      </w:pPr>
      <w:r w:rsidRPr="00A5335D">
        <w:rPr>
          <w:rStyle w:val="FootnoteReference"/>
          <w:rFonts w:ascii="Times New Roman" w:hAnsi="Times New Roman" w:cs="Times New Roman"/>
          <w:sz w:val="20"/>
          <w:szCs w:val="20"/>
        </w:rPr>
        <w:footnoteRef/>
      </w:r>
      <w:r w:rsidRPr="00A5335D">
        <w:rPr>
          <w:rFonts w:ascii="Times New Roman" w:hAnsi="Times New Roman"/>
          <w:sz w:val="20"/>
          <w:szCs w:val="20"/>
        </w:rPr>
        <w:t xml:space="preserve"> </w:t>
      </w:r>
      <w:r w:rsidRPr="00A5335D">
        <w:rPr>
          <w:rFonts w:ascii="Times New Roman" w:hAnsi="Times New Roman"/>
          <w:sz w:val="20"/>
          <w:szCs w:val="20"/>
        </w:rPr>
        <w:tab/>
        <w:t>11 państw członkowskich wymaga przedłożenia biznesplanu. Inne warunki przyjmowania obejmują minimalny poziom kapitału, udział</w:t>
      </w:r>
      <w:r w:rsidR="00A5335D" w:rsidRPr="00A5335D">
        <w:rPr>
          <w:rFonts w:ascii="Times New Roman" w:hAnsi="Times New Roman"/>
          <w:sz w:val="20"/>
          <w:szCs w:val="20"/>
        </w:rPr>
        <w:t xml:space="preserve"> w sys</w:t>
      </w:r>
      <w:r w:rsidRPr="00A5335D">
        <w:rPr>
          <w:rFonts w:ascii="Times New Roman" w:hAnsi="Times New Roman"/>
          <w:sz w:val="20"/>
          <w:szCs w:val="20"/>
        </w:rPr>
        <w:t>temie sponsorowania lub wsparcia, dowód posiadania wystarczających środków, ubezpieczenie, określony poziom kwalifikacji lub znajomości języka.</w:t>
      </w:r>
    </w:p>
  </w:footnote>
  <w:footnote w:id="76">
    <w:p w14:paraId="27CEFD68" w14:textId="1F5A35E5" w:rsidR="00492DA7" w:rsidRPr="00A5335D" w:rsidRDefault="00492DA7" w:rsidP="001D406D">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 xml:space="preserve">Zob. na przykład: </w:t>
      </w:r>
      <w:hyperlink r:id="rId29" w:history="1">
        <w:r w:rsidRPr="00A5335D">
          <w:rPr>
            <w:rStyle w:val="Hyperlink"/>
            <w:rFonts w:ascii="Times New Roman" w:hAnsi="Times New Roman"/>
          </w:rPr>
          <w:t>Program na rzecz jednolitego rynku</w:t>
        </w:r>
      </w:hyperlink>
      <w:r w:rsidRPr="00A5335D">
        <w:rPr>
          <w:rFonts w:ascii="Times New Roman" w:hAnsi="Times New Roman"/>
        </w:rPr>
        <w:t xml:space="preserve">, </w:t>
      </w:r>
      <w:hyperlink r:id="rId30" w:history="1">
        <w:r w:rsidRPr="00A5335D">
          <w:rPr>
            <w:rStyle w:val="Hyperlink"/>
            <w:rFonts w:ascii="Times New Roman" w:hAnsi="Times New Roman"/>
          </w:rPr>
          <w:t>strategia MŚP na rzecz zrównoważonej</w:t>
        </w:r>
        <w:r w:rsidR="00A5335D" w:rsidRPr="00A5335D">
          <w:rPr>
            <w:rStyle w:val="Hyperlink"/>
            <w:rFonts w:ascii="Times New Roman" w:hAnsi="Times New Roman"/>
          </w:rPr>
          <w:t xml:space="preserve"> i cyf</w:t>
        </w:r>
        <w:r w:rsidRPr="00A5335D">
          <w:rPr>
            <w:rStyle w:val="Hyperlink"/>
            <w:rFonts w:ascii="Times New Roman" w:hAnsi="Times New Roman"/>
          </w:rPr>
          <w:t>rowej Europy</w:t>
        </w:r>
      </w:hyperlink>
      <w:r w:rsidRPr="00A5335D">
        <w:rPr>
          <w:rFonts w:ascii="Times New Roman" w:hAnsi="Times New Roman"/>
        </w:rPr>
        <w:t xml:space="preserve"> oraz wsparcie na rzecz innowacji</w:t>
      </w:r>
      <w:r w:rsidR="00A5335D" w:rsidRPr="00A5335D">
        <w:rPr>
          <w:rFonts w:ascii="Times New Roman" w:hAnsi="Times New Roman"/>
        </w:rPr>
        <w:t xml:space="preserve"> w ram</w:t>
      </w:r>
      <w:r w:rsidRPr="00A5335D">
        <w:rPr>
          <w:rFonts w:ascii="Times New Roman" w:hAnsi="Times New Roman"/>
        </w:rPr>
        <w:t>ach programu</w:t>
      </w:r>
      <w:r w:rsidR="000A12A6" w:rsidRPr="00A5335D">
        <w:rPr>
          <w:rFonts w:ascii="Times New Roman" w:hAnsi="Times New Roman"/>
        </w:rPr>
        <w:t xml:space="preserve"> </w:t>
      </w:r>
      <w:hyperlink r:id="rId31" w:history="1">
        <w:r w:rsidRPr="00A5335D">
          <w:rPr>
            <w:rStyle w:val="Hyperlink"/>
            <w:rFonts w:ascii="Times New Roman" w:hAnsi="Times New Roman"/>
          </w:rPr>
          <w:t>„Horyzont Europa”</w:t>
        </w:r>
      </w:hyperlink>
      <w:r w:rsidRPr="00A5335D">
        <w:rPr>
          <w:rFonts w:ascii="Times New Roman" w:hAnsi="Times New Roman"/>
        </w:rPr>
        <w:t>,</w:t>
      </w:r>
      <w:r w:rsidR="000A12A6" w:rsidRPr="00A5335D">
        <w:rPr>
          <w:rFonts w:ascii="Times New Roman" w:hAnsi="Times New Roman"/>
        </w:rPr>
        <w:t xml:space="preserve"> </w:t>
      </w:r>
      <w:hyperlink r:id="rId32" w:history="1">
        <w:r w:rsidRPr="00A5335D">
          <w:rPr>
            <w:rStyle w:val="Hyperlink"/>
            <w:rFonts w:ascii="Times New Roman" w:hAnsi="Times New Roman"/>
          </w:rPr>
          <w:t>Europejska Sieć Przedsiębiorczości</w:t>
        </w:r>
      </w:hyperlink>
      <w:r w:rsidRPr="00A5335D">
        <w:rPr>
          <w:rFonts w:ascii="Times New Roman" w:hAnsi="Times New Roman"/>
        </w:rPr>
        <w:t xml:space="preserve">, </w:t>
      </w:r>
      <w:hyperlink r:id="rId33" w:history="1">
        <w:r w:rsidRPr="00A5335D">
          <w:rPr>
            <w:rStyle w:val="Hyperlink"/>
            <w:rFonts w:ascii="Times New Roman" w:hAnsi="Times New Roman"/>
          </w:rPr>
          <w:t>program „Erasmus” dla młodych przedsiębiorców</w:t>
        </w:r>
      </w:hyperlink>
      <w:r w:rsidRPr="00A5335D">
        <w:rPr>
          <w:rFonts w:ascii="Times New Roman" w:hAnsi="Times New Roman"/>
        </w:rPr>
        <w:t xml:space="preserve">, </w:t>
      </w:r>
      <w:hyperlink r:id="rId34" w:history="1">
        <w:r w:rsidRPr="00A5335D">
          <w:rPr>
            <w:rStyle w:val="Hyperlink"/>
            <w:rFonts w:ascii="Times New Roman" w:hAnsi="Times New Roman"/>
          </w:rPr>
          <w:t>polityka klastrowa UE</w:t>
        </w:r>
      </w:hyperlink>
      <w:r w:rsidRPr="00A5335D">
        <w:rPr>
          <w:rFonts w:ascii="Times New Roman" w:hAnsi="Times New Roman"/>
        </w:rPr>
        <w:t xml:space="preserve">, </w:t>
      </w:r>
      <w:hyperlink r:id="rId35" w:history="1">
        <w:r w:rsidRPr="00A5335D">
          <w:rPr>
            <w:rStyle w:val="Hyperlink"/>
            <w:rFonts w:ascii="Times New Roman" w:hAnsi="Times New Roman"/>
          </w:rPr>
          <w:t>europejskie centra innowacji cyfrowych</w:t>
        </w:r>
      </w:hyperlink>
      <w:r w:rsidRPr="00A5335D">
        <w:rPr>
          <w:rFonts w:ascii="Times New Roman" w:hAnsi="Times New Roman"/>
        </w:rPr>
        <w:t xml:space="preserve">, </w:t>
      </w:r>
      <w:hyperlink r:id="rId36" w:history="1">
        <w:r w:rsidRPr="00A5335D">
          <w:rPr>
            <w:rStyle w:val="Hyperlink"/>
            <w:rFonts w:ascii="Times New Roman" w:hAnsi="Times New Roman"/>
          </w:rPr>
          <w:t>inicjatywa Startup Europe</w:t>
        </w:r>
      </w:hyperlink>
      <w:r w:rsidRPr="00A5335D">
        <w:rPr>
          <w:rFonts w:ascii="Times New Roman" w:hAnsi="Times New Roman"/>
        </w:rPr>
        <w:t xml:space="preserve">, </w:t>
      </w:r>
      <w:hyperlink r:id="rId37" w:history="1">
        <w:r w:rsidRPr="00A5335D">
          <w:rPr>
            <w:rStyle w:val="Hyperlink"/>
            <w:rFonts w:ascii="Times New Roman" w:hAnsi="Times New Roman"/>
          </w:rPr>
          <w:t>sojusz na rzecz wspierania europejskich przedsiębiorstw typu start-up (ang. European Start-up Nations Alliance)</w:t>
        </w:r>
      </w:hyperlink>
      <w:r w:rsidRPr="00A5335D">
        <w:rPr>
          <w:rFonts w:ascii="Times New Roman" w:hAnsi="Times New Roman"/>
        </w:rPr>
        <w:t xml:space="preserve"> itp. </w:t>
      </w:r>
    </w:p>
  </w:footnote>
  <w:footnote w:id="77">
    <w:p w14:paraId="27CEFD69" w14:textId="53839582" w:rsidR="00492DA7" w:rsidRPr="00A5335D" w:rsidRDefault="00492DA7" w:rsidP="001D406D">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Declaration of Intent – Making Europe the Land of Tech Talent [Deklaracja intencji – Europa krainą talentów technologicznych] (08/02/22),</w:t>
      </w:r>
      <w:r w:rsidR="000A12A6" w:rsidRPr="00A5335D">
        <w:rPr>
          <w:rFonts w:ascii="Times New Roman" w:hAnsi="Times New Roman"/>
        </w:rPr>
        <w:t xml:space="preserve"> </w:t>
      </w:r>
      <w:r w:rsidR="000A12A6" w:rsidRPr="00A5335D">
        <w:rPr>
          <w:rFonts w:ascii="Times New Roman" w:hAnsi="Times New Roman"/>
        </w:rPr>
        <w:tab/>
      </w:r>
      <w:r w:rsidR="000A12A6" w:rsidRPr="00A5335D">
        <w:rPr>
          <w:rFonts w:ascii="Times New Roman" w:hAnsi="Times New Roman"/>
        </w:rPr>
        <w:br/>
      </w:r>
      <w:r w:rsidRPr="00A5335D">
        <w:rPr>
          <w:rFonts w:ascii="Times New Roman" w:hAnsi="Times New Roman"/>
          <w:color w:val="254061"/>
        </w:rPr>
        <w:t>(</w:t>
      </w:r>
      <w:hyperlink r:id="rId38" w:history="1">
        <w:r w:rsidRPr="00A5335D">
          <w:rPr>
            <w:rStyle w:val="Hyperlink"/>
            <w:rFonts w:ascii="Times New Roman" w:hAnsi="Times New Roman"/>
            <w:color w:val="201BF1"/>
          </w:rPr>
          <w:t>https://presidence-francaise.consilium.europa.eu/en/news/press-release-scale-up-europe-spurs-collective-action-to-accelerate-european-tech/</w:t>
        </w:r>
      </w:hyperlink>
    </w:p>
  </w:footnote>
  <w:footnote w:id="78">
    <w:p w14:paraId="27CEFD6A" w14:textId="77777777" w:rsidR="00492DA7" w:rsidRPr="00A5335D" w:rsidRDefault="00492DA7" w:rsidP="001D406D">
      <w:pPr>
        <w:pStyle w:val="FootnoteText"/>
        <w:ind w:left="708" w:hanging="708"/>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Zob. konkluzje Rady 9510/16.</w:t>
      </w:r>
    </w:p>
  </w:footnote>
  <w:footnote w:id="79">
    <w:p w14:paraId="27CEFD6B" w14:textId="77777777" w:rsidR="00492DA7" w:rsidRPr="00A5335D" w:rsidRDefault="00492DA7" w:rsidP="298C0DE2">
      <w:pPr>
        <w:pStyle w:val="FootnoteText"/>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r>
      <w:hyperlink r:id="rId39" w:history="1">
        <w:r w:rsidRPr="00A5335D">
          <w:rPr>
            <w:rStyle w:val="Hyperlink"/>
            <w:rFonts w:ascii="Times New Roman" w:hAnsi="Times New Roman"/>
          </w:rPr>
          <w:t>https://digital-strategy.ec.europa.eu/en/news/sme-strategy-launched-european-commission</w:t>
        </w:r>
      </w:hyperlink>
      <w:r w:rsidRPr="00A5335D">
        <w:t xml:space="preserve"> </w:t>
      </w:r>
    </w:p>
  </w:footnote>
  <w:footnote w:id="80">
    <w:p w14:paraId="27CEFD6C" w14:textId="378FA20C" w:rsidR="00492DA7" w:rsidRPr="00A5335D" w:rsidRDefault="00492DA7" w:rsidP="00B72BD5">
      <w:pPr>
        <w:pStyle w:val="FootnoteText"/>
        <w:ind w:left="708" w:hanging="708"/>
        <w:jc w:val="both"/>
      </w:pPr>
      <w:r w:rsidRPr="00A5335D">
        <w:rPr>
          <w:rStyle w:val="FootnoteReference"/>
        </w:rPr>
        <w:footnoteRef/>
      </w:r>
      <w:r w:rsidRPr="00A5335D">
        <w:t xml:space="preserve"> </w:t>
      </w:r>
      <w:r w:rsidR="00B72BD5" w:rsidRPr="00A5335D">
        <w:tab/>
      </w:r>
      <w:r w:rsidRPr="00A5335D">
        <w:rPr>
          <w:rFonts w:ascii="Times New Roman" w:hAnsi="Times New Roman"/>
        </w:rPr>
        <w:t>Wybory dotyczące strategii rozwoju technologii informacyjnych</w:t>
      </w:r>
      <w:r w:rsidR="00A5335D" w:rsidRPr="00A5335D">
        <w:rPr>
          <w:rFonts w:ascii="Times New Roman" w:hAnsi="Times New Roman"/>
        </w:rPr>
        <w:t xml:space="preserve"> i zam</w:t>
      </w:r>
      <w:r w:rsidRPr="00A5335D">
        <w:rPr>
          <w:rFonts w:ascii="Times New Roman" w:hAnsi="Times New Roman"/>
        </w:rPr>
        <w:t>ówień publicznych będą podlegały wstępnemu zatwierdzeniu przez</w:t>
      </w:r>
      <w:r w:rsidR="00B72BD5" w:rsidRPr="00A5335D">
        <w:rPr>
          <w:rFonts w:ascii="Times New Roman" w:hAnsi="Times New Roman"/>
        </w:rPr>
        <w:t xml:space="preserve"> </w:t>
      </w:r>
      <w:r w:rsidRPr="00A5335D">
        <w:rPr>
          <w:rFonts w:ascii="Times New Roman" w:hAnsi="Times New Roman"/>
        </w:rPr>
        <w:t>Radę ds. Technologii Informacyjnej</w:t>
      </w:r>
      <w:r w:rsidR="00A5335D" w:rsidRPr="00A5335D">
        <w:rPr>
          <w:rFonts w:ascii="Times New Roman" w:hAnsi="Times New Roman"/>
        </w:rPr>
        <w:t xml:space="preserve"> i Cyb</w:t>
      </w:r>
      <w:r w:rsidRPr="00A5335D">
        <w:rPr>
          <w:rFonts w:ascii="Times New Roman" w:hAnsi="Times New Roman"/>
        </w:rPr>
        <w:t>erbezpieczeństwa Komisji Europejskiej.</w:t>
      </w:r>
    </w:p>
  </w:footnote>
  <w:footnote w:id="81">
    <w:p w14:paraId="27CEFD6D" w14:textId="2DD6F050" w:rsidR="00492DA7" w:rsidRPr="00A5335D" w:rsidRDefault="00492DA7" w:rsidP="001D406D">
      <w:pPr>
        <w:pStyle w:val="FootnoteText"/>
        <w:ind w:left="708" w:hanging="708"/>
        <w:jc w:val="both"/>
        <w:rPr>
          <w:rFonts w:ascii="Times New Roman" w:hAnsi="Times New Roman" w:cs="Times New Roman"/>
        </w:rPr>
      </w:pPr>
      <w:r w:rsidRPr="00A5335D">
        <w:rPr>
          <w:rStyle w:val="FootnoteReference"/>
          <w:rFonts w:ascii="Times New Roman" w:hAnsi="Times New Roman" w:cs="Times New Roman"/>
        </w:rPr>
        <w:footnoteRef/>
      </w:r>
      <w:r w:rsidRPr="00A5335D">
        <w:rPr>
          <w:rFonts w:ascii="Times New Roman" w:hAnsi="Times New Roman"/>
        </w:rPr>
        <w:t xml:space="preserve"> </w:t>
      </w:r>
      <w:r w:rsidRPr="00A5335D">
        <w:rPr>
          <w:rFonts w:ascii="Times New Roman" w:hAnsi="Times New Roman"/>
        </w:rPr>
        <w:tab/>
        <w:t>W zaleceniu Komisji (UE) 2020/1364</w:t>
      </w:r>
      <w:r w:rsidR="00A5335D" w:rsidRPr="00A5335D">
        <w:rPr>
          <w:rFonts w:ascii="Times New Roman" w:hAnsi="Times New Roman"/>
        </w:rPr>
        <w:t xml:space="preserve"> z dni</w:t>
      </w:r>
      <w:r w:rsidRPr="00A5335D">
        <w:rPr>
          <w:rFonts w:ascii="Times New Roman" w:hAnsi="Times New Roman"/>
        </w:rPr>
        <w:t>a 23 września 2020</w:t>
      </w:r>
      <w:r w:rsidR="00A5335D" w:rsidRPr="00A5335D">
        <w:rPr>
          <w:rFonts w:ascii="Times New Roman" w:hAnsi="Times New Roman"/>
        </w:rPr>
        <w:t> </w:t>
      </w:r>
      <w:r w:rsidRPr="00A5335D">
        <w:rPr>
          <w:rFonts w:ascii="Times New Roman" w:hAnsi="Times New Roman"/>
        </w:rPr>
        <w:t>r.</w:t>
      </w:r>
      <w:r w:rsidR="00A5335D" w:rsidRPr="00A5335D">
        <w:rPr>
          <w:rFonts w:ascii="Times New Roman" w:hAnsi="Times New Roman"/>
        </w:rPr>
        <w:t xml:space="preserve"> w spr</w:t>
      </w:r>
      <w:r w:rsidRPr="00A5335D">
        <w:rPr>
          <w:rFonts w:ascii="Times New Roman" w:hAnsi="Times New Roman"/>
        </w:rPr>
        <w:t>awie legalnych dróg uzyskania ochrony w UE wzywa się państwa członkowskie do promowania takich ścieżek</w:t>
      </w:r>
      <w:r w:rsidR="00A5335D" w:rsidRPr="00A5335D">
        <w:rPr>
          <w:rFonts w:ascii="Times New Roman" w:hAnsi="Times New Roman"/>
        </w:rPr>
        <w:t xml:space="preserve"> w cel</w:t>
      </w:r>
      <w:r w:rsidRPr="00A5335D">
        <w:rPr>
          <w:rFonts w:ascii="Times New Roman" w:hAnsi="Times New Roman"/>
        </w:rPr>
        <w:t>u zapewnienia większej liczby miejsc legalnego przyjmowania uchodźców oraz wykorzystania umiejętności</w:t>
      </w:r>
      <w:r w:rsidR="00A5335D" w:rsidRPr="00A5335D">
        <w:rPr>
          <w:rFonts w:ascii="Times New Roman" w:hAnsi="Times New Roman"/>
        </w:rPr>
        <w:t xml:space="preserve"> i kwa</w:t>
      </w:r>
      <w:r w:rsidRPr="00A5335D">
        <w:rPr>
          <w:rFonts w:ascii="Times New Roman" w:hAnsi="Times New Roman"/>
        </w:rPr>
        <w:t>lifikacji ogromnej populacji uchodźców na świecie.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BA6DD" w14:textId="77777777" w:rsidR="00084382" w:rsidRPr="00084382" w:rsidRDefault="00084382" w:rsidP="00084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92F90" w14:textId="77777777" w:rsidR="00084382" w:rsidRPr="00084382" w:rsidRDefault="00084382" w:rsidP="0008438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6C0B7" w14:textId="77777777" w:rsidR="00084382" w:rsidRPr="00084382" w:rsidRDefault="00084382" w:rsidP="0008438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2" w14:textId="77777777" w:rsidR="00492DA7" w:rsidRDefault="00492D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3" w14:textId="77777777" w:rsidR="00492DA7" w:rsidRDefault="00492D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7" w14:textId="77777777" w:rsidR="00492DA7" w:rsidRDefault="00492DA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9" w14:textId="77777777" w:rsidR="00492DA7" w:rsidRDefault="00492D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A" w14:textId="77777777" w:rsidR="00492DA7" w:rsidRDefault="00492D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FD1E" w14:textId="77777777" w:rsidR="00492DA7" w:rsidRDefault="00492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D3B"/>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CD3760"/>
    <w:multiLevelType w:val="hybridMultilevel"/>
    <w:tmpl w:val="26226494"/>
    <w:lvl w:ilvl="0" w:tplc="7006320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2EC37C7"/>
    <w:multiLevelType w:val="multilevel"/>
    <w:tmpl w:val="AB6E3CBE"/>
    <w:lvl w:ilvl="0">
      <w:start w:val="1"/>
      <w:numFmt w:val="decimal"/>
      <w:lvlText w:val="%1."/>
      <w:lvlJc w:val="left"/>
      <w:pPr>
        <w:ind w:left="720" w:hanging="360"/>
      </w:pPr>
      <w:rPr>
        <w:rFonts w:hint="default"/>
      </w:rPr>
    </w:lvl>
    <w:lvl w:ilvl="1">
      <w:start w:val="1"/>
      <w:numFmt w:val="decimal"/>
      <w:isLgl/>
      <w:lvlText w:val="%1.%2."/>
      <w:lvlJc w:val="left"/>
      <w:pPr>
        <w:ind w:left="2088" w:hanging="360"/>
      </w:pPr>
      <w:rPr>
        <w:rFonts w:hint="default"/>
      </w:rPr>
    </w:lvl>
    <w:lvl w:ilvl="2">
      <w:start w:val="1"/>
      <w:numFmt w:val="decimal"/>
      <w:isLgl/>
      <w:lvlText w:val="%1.%2.%3."/>
      <w:lvlJc w:val="left"/>
      <w:pPr>
        <w:ind w:left="3816" w:hanging="720"/>
      </w:pPr>
      <w:rPr>
        <w:rFonts w:hint="default"/>
      </w:rPr>
    </w:lvl>
    <w:lvl w:ilvl="3">
      <w:start w:val="1"/>
      <w:numFmt w:val="decimal"/>
      <w:isLgl/>
      <w:lvlText w:val="%1.%2.%3.%4."/>
      <w:lvlJc w:val="left"/>
      <w:pPr>
        <w:ind w:left="5184" w:hanging="720"/>
      </w:pPr>
      <w:rPr>
        <w:rFonts w:hint="default"/>
      </w:rPr>
    </w:lvl>
    <w:lvl w:ilvl="4">
      <w:start w:val="1"/>
      <w:numFmt w:val="decimal"/>
      <w:isLgl/>
      <w:lvlText w:val="%1.%2.%3.%4.%5."/>
      <w:lvlJc w:val="left"/>
      <w:pPr>
        <w:ind w:left="6912"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08" w:hanging="1440"/>
      </w:pPr>
      <w:rPr>
        <w:rFonts w:hint="default"/>
      </w:rPr>
    </w:lvl>
    <w:lvl w:ilvl="7">
      <w:start w:val="1"/>
      <w:numFmt w:val="decimal"/>
      <w:isLgl/>
      <w:lvlText w:val="%1.%2.%3.%4.%5.%6.%7.%8."/>
      <w:lvlJc w:val="left"/>
      <w:pPr>
        <w:ind w:left="11376" w:hanging="1440"/>
      </w:pPr>
      <w:rPr>
        <w:rFonts w:hint="default"/>
      </w:rPr>
    </w:lvl>
    <w:lvl w:ilvl="8">
      <w:start w:val="1"/>
      <w:numFmt w:val="decimal"/>
      <w:isLgl/>
      <w:lvlText w:val="%1.%2.%3.%4.%5.%6.%7.%8.%9."/>
      <w:lvlJc w:val="left"/>
      <w:pPr>
        <w:ind w:left="13104" w:hanging="1800"/>
      </w:pPr>
      <w:rPr>
        <w:rFonts w:hint="default"/>
      </w:rPr>
    </w:lvl>
  </w:abstractNum>
  <w:abstractNum w:abstractNumId="3" w15:restartNumberingAfterBreak="0">
    <w:nsid w:val="13460A61"/>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9C1175"/>
    <w:multiLevelType w:val="hybridMultilevel"/>
    <w:tmpl w:val="D92CF080"/>
    <w:lvl w:ilvl="0" w:tplc="4CA85010">
      <w:start w:val="1"/>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2A622FD3"/>
    <w:multiLevelType w:val="hybridMultilevel"/>
    <w:tmpl w:val="F7B8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A4A0D"/>
    <w:multiLevelType w:val="multilevel"/>
    <w:tmpl w:val="AB6E3CBE"/>
    <w:lvl w:ilvl="0">
      <w:start w:val="1"/>
      <w:numFmt w:val="decimal"/>
      <w:lvlText w:val="%1."/>
      <w:lvlJc w:val="left"/>
      <w:pPr>
        <w:ind w:left="720" w:hanging="360"/>
      </w:pPr>
      <w:rPr>
        <w:rFonts w:hint="default"/>
      </w:rPr>
    </w:lvl>
    <w:lvl w:ilvl="1">
      <w:start w:val="1"/>
      <w:numFmt w:val="decimal"/>
      <w:isLgl/>
      <w:lvlText w:val="%1.%2."/>
      <w:lvlJc w:val="left"/>
      <w:pPr>
        <w:ind w:left="2088" w:hanging="360"/>
      </w:pPr>
      <w:rPr>
        <w:rFonts w:hint="default"/>
      </w:rPr>
    </w:lvl>
    <w:lvl w:ilvl="2">
      <w:start w:val="1"/>
      <w:numFmt w:val="decimal"/>
      <w:isLgl/>
      <w:lvlText w:val="%1.%2.%3."/>
      <w:lvlJc w:val="left"/>
      <w:pPr>
        <w:ind w:left="3816" w:hanging="720"/>
      </w:pPr>
      <w:rPr>
        <w:rFonts w:hint="default"/>
      </w:rPr>
    </w:lvl>
    <w:lvl w:ilvl="3">
      <w:start w:val="1"/>
      <w:numFmt w:val="decimal"/>
      <w:isLgl/>
      <w:lvlText w:val="%1.%2.%3.%4."/>
      <w:lvlJc w:val="left"/>
      <w:pPr>
        <w:ind w:left="5184" w:hanging="720"/>
      </w:pPr>
      <w:rPr>
        <w:rFonts w:hint="default"/>
      </w:rPr>
    </w:lvl>
    <w:lvl w:ilvl="4">
      <w:start w:val="1"/>
      <w:numFmt w:val="decimal"/>
      <w:isLgl/>
      <w:lvlText w:val="%1.%2.%3.%4.%5."/>
      <w:lvlJc w:val="left"/>
      <w:pPr>
        <w:ind w:left="6912"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08" w:hanging="1440"/>
      </w:pPr>
      <w:rPr>
        <w:rFonts w:hint="default"/>
      </w:rPr>
    </w:lvl>
    <w:lvl w:ilvl="7">
      <w:start w:val="1"/>
      <w:numFmt w:val="decimal"/>
      <w:isLgl/>
      <w:lvlText w:val="%1.%2.%3.%4.%5.%6.%7.%8."/>
      <w:lvlJc w:val="left"/>
      <w:pPr>
        <w:ind w:left="11376" w:hanging="1440"/>
      </w:pPr>
      <w:rPr>
        <w:rFonts w:hint="default"/>
      </w:rPr>
    </w:lvl>
    <w:lvl w:ilvl="8">
      <w:start w:val="1"/>
      <w:numFmt w:val="decimal"/>
      <w:isLgl/>
      <w:lvlText w:val="%1.%2.%3.%4.%5.%6.%7.%8.%9."/>
      <w:lvlJc w:val="left"/>
      <w:pPr>
        <w:ind w:left="13104" w:hanging="1800"/>
      </w:pPr>
      <w:rPr>
        <w:rFonts w:hint="default"/>
      </w:rPr>
    </w:lvl>
  </w:abstractNum>
  <w:abstractNum w:abstractNumId="7" w15:restartNumberingAfterBreak="0">
    <w:nsid w:val="30085ABD"/>
    <w:multiLevelType w:val="hybridMultilevel"/>
    <w:tmpl w:val="7C5AF2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21D360B"/>
    <w:multiLevelType w:val="multilevel"/>
    <w:tmpl w:val="298642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8322749"/>
    <w:multiLevelType w:val="hybridMultilevel"/>
    <w:tmpl w:val="47A056C2"/>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1C77F2A"/>
    <w:multiLevelType w:val="hybridMultilevel"/>
    <w:tmpl w:val="17683C80"/>
    <w:lvl w:ilvl="0" w:tplc="FF14660A">
      <w:numFmt w:val="bullet"/>
      <w:lvlText w:val=""/>
      <w:lvlJc w:val="left"/>
      <w:pPr>
        <w:ind w:left="720" w:hanging="360"/>
      </w:pPr>
      <w:rPr>
        <w:rFonts w:ascii="Wingdings" w:eastAsia="Calibri" w:hAnsi="Wingding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520C56E0"/>
    <w:multiLevelType w:val="hybridMultilevel"/>
    <w:tmpl w:val="E7924B40"/>
    <w:lvl w:ilvl="0" w:tplc="A32C6E8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6F61E8"/>
    <w:multiLevelType w:val="hybridMultilevel"/>
    <w:tmpl w:val="7CB245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0"/>
  </w:num>
  <w:num w:numId="5">
    <w:abstractNumId w:val="1"/>
  </w:num>
  <w:num w:numId="6">
    <w:abstractNumId w:val="6"/>
  </w:num>
  <w:num w:numId="7">
    <w:abstractNumId w:val="10"/>
  </w:num>
  <w:num w:numId="8">
    <w:abstractNumId w:val="8"/>
  </w:num>
  <w:num w:numId="9">
    <w:abstractNumId w:val="4"/>
  </w:num>
  <w:num w:numId="10">
    <w:abstractNumId w:val="12"/>
  </w:num>
  <w:num w:numId="11">
    <w:abstractNumId w:val="11"/>
  </w:num>
  <w:num w:numId="12">
    <w:abstractNumId w:val="5"/>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pt-PT" w:vendorID="64" w:dllVersion="6"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pt-PT"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revisionView w:markup="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7FA84631-7ADB-480F-82EE-B57162AC589E"/>
    <w:docVar w:name="LW_COVERPAGE_TYPE" w:val="1"/>
    <w:docVar w:name="LW_CROSSREFERENCE" w:val="&lt;UNUSED&gt;"/>
    <w:docVar w:name="LW_DocType" w:val="NORMAL"/>
    <w:docVar w:name="LW_EMISSION" w:val="27.4.2022"/>
    <w:docVar w:name="LW_EMISSION_ISODATE" w:val="2022-04-27"/>
    <w:docVar w:name="LW_EMISSION_LOCATION" w:val="BRX"/>
    <w:docVar w:name="LW_EMISSION_PREFIX" w:val="Bruksela, dnia "/>
    <w:docVar w:name="LW_EMISSION_SUFFIX" w:val=" r."/>
    <w:docVar w:name="LW_ID_DOCTYPE_NONLW" w:val="CP-014"/>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2) 65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Przyciąganie umiejętności i talentów do UE&lt;/FMT&gt;"/>
    <w:docVar w:name="LW_TYPE.DOC.CP" w:val="KOMUNIKAT KOMISJI DO PARLAMENTU EUROPEJSKIEGO, RADY, EUROPEJSKIEGO KOMITETU EKONOMICZNO-SPOŁECZNEGO I KOMITETU REGIONÓW"/>
    <w:docVar w:name="LW_TYPE.DOC.CP.USERTEXT" w:val="&lt;EMPTY&gt;"/>
    <w:docVar w:name="LwApiVersions" w:val="LW4CoDe 1.23.2.0; LW 8.0, Build 20211117"/>
  </w:docVars>
  <w:rsids>
    <w:rsidRoot w:val="003767C2"/>
    <w:rsid w:val="00002B7D"/>
    <w:rsid w:val="00005A93"/>
    <w:rsid w:val="0000796A"/>
    <w:rsid w:val="000112CC"/>
    <w:rsid w:val="000150CB"/>
    <w:rsid w:val="00016EA9"/>
    <w:rsid w:val="00017B34"/>
    <w:rsid w:val="00021AE5"/>
    <w:rsid w:val="00023B00"/>
    <w:rsid w:val="00024BFA"/>
    <w:rsid w:val="000303D6"/>
    <w:rsid w:val="00031117"/>
    <w:rsid w:val="00032C01"/>
    <w:rsid w:val="00032DAF"/>
    <w:rsid w:val="00033ABF"/>
    <w:rsid w:val="00034239"/>
    <w:rsid w:val="000348A1"/>
    <w:rsid w:val="00035C61"/>
    <w:rsid w:val="00036022"/>
    <w:rsid w:val="00036AEB"/>
    <w:rsid w:val="00036B47"/>
    <w:rsid w:val="00037CAC"/>
    <w:rsid w:val="00042ACE"/>
    <w:rsid w:val="0004330E"/>
    <w:rsid w:val="00045531"/>
    <w:rsid w:val="000472B2"/>
    <w:rsid w:val="000510CE"/>
    <w:rsid w:val="0005336A"/>
    <w:rsid w:val="00053C34"/>
    <w:rsid w:val="000540A7"/>
    <w:rsid w:val="00054807"/>
    <w:rsid w:val="00057619"/>
    <w:rsid w:val="000611EE"/>
    <w:rsid w:val="00063231"/>
    <w:rsid w:val="0006348A"/>
    <w:rsid w:val="00065383"/>
    <w:rsid w:val="00066C61"/>
    <w:rsid w:val="00067743"/>
    <w:rsid w:val="00067CDB"/>
    <w:rsid w:val="0007363C"/>
    <w:rsid w:val="00073A42"/>
    <w:rsid w:val="00075B05"/>
    <w:rsid w:val="00077387"/>
    <w:rsid w:val="00082C4E"/>
    <w:rsid w:val="00083977"/>
    <w:rsid w:val="00084382"/>
    <w:rsid w:val="000847E3"/>
    <w:rsid w:val="00085003"/>
    <w:rsid w:val="000852BA"/>
    <w:rsid w:val="00085AB9"/>
    <w:rsid w:val="00086739"/>
    <w:rsid w:val="00087AAF"/>
    <w:rsid w:val="00087D7D"/>
    <w:rsid w:val="0009172D"/>
    <w:rsid w:val="000919BD"/>
    <w:rsid w:val="00091B64"/>
    <w:rsid w:val="000963F5"/>
    <w:rsid w:val="00096E4F"/>
    <w:rsid w:val="000A0409"/>
    <w:rsid w:val="000A0583"/>
    <w:rsid w:val="000A12A6"/>
    <w:rsid w:val="000A2EE7"/>
    <w:rsid w:val="000B01A2"/>
    <w:rsid w:val="000B0210"/>
    <w:rsid w:val="000B1C0C"/>
    <w:rsid w:val="000B24EB"/>
    <w:rsid w:val="000B40A1"/>
    <w:rsid w:val="000B41F8"/>
    <w:rsid w:val="000B466F"/>
    <w:rsid w:val="000C2A2D"/>
    <w:rsid w:val="000C2BA0"/>
    <w:rsid w:val="000C76AF"/>
    <w:rsid w:val="000D2AC8"/>
    <w:rsid w:val="000D4582"/>
    <w:rsid w:val="000D4842"/>
    <w:rsid w:val="000D6273"/>
    <w:rsid w:val="000E069E"/>
    <w:rsid w:val="000E190A"/>
    <w:rsid w:val="000E1D61"/>
    <w:rsid w:val="000E220E"/>
    <w:rsid w:val="000E4485"/>
    <w:rsid w:val="000E62A4"/>
    <w:rsid w:val="000F289F"/>
    <w:rsid w:val="000F2F2F"/>
    <w:rsid w:val="000F4D01"/>
    <w:rsid w:val="000F4FEA"/>
    <w:rsid w:val="000F69D0"/>
    <w:rsid w:val="000F6E8C"/>
    <w:rsid w:val="00101DF4"/>
    <w:rsid w:val="00101E27"/>
    <w:rsid w:val="00103AD5"/>
    <w:rsid w:val="001045AF"/>
    <w:rsid w:val="00104DA7"/>
    <w:rsid w:val="00106253"/>
    <w:rsid w:val="00110012"/>
    <w:rsid w:val="0011024C"/>
    <w:rsid w:val="0011031A"/>
    <w:rsid w:val="00110489"/>
    <w:rsid w:val="0011114B"/>
    <w:rsid w:val="0011117B"/>
    <w:rsid w:val="00114A77"/>
    <w:rsid w:val="00116D21"/>
    <w:rsid w:val="0011782F"/>
    <w:rsid w:val="00120F31"/>
    <w:rsid w:val="001228C7"/>
    <w:rsid w:val="0012356F"/>
    <w:rsid w:val="00123CAC"/>
    <w:rsid w:val="00125435"/>
    <w:rsid w:val="001259DA"/>
    <w:rsid w:val="00125E55"/>
    <w:rsid w:val="00127E24"/>
    <w:rsid w:val="00132200"/>
    <w:rsid w:val="001332E3"/>
    <w:rsid w:val="001339A6"/>
    <w:rsid w:val="00134A69"/>
    <w:rsid w:val="00140207"/>
    <w:rsid w:val="00140C52"/>
    <w:rsid w:val="001440BA"/>
    <w:rsid w:val="00144FC6"/>
    <w:rsid w:val="001452C5"/>
    <w:rsid w:val="00145CE9"/>
    <w:rsid w:val="00146A90"/>
    <w:rsid w:val="00146F63"/>
    <w:rsid w:val="0015142B"/>
    <w:rsid w:val="00151EC0"/>
    <w:rsid w:val="001550EF"/>
    <w:rsid w:val="00160C0A"/>
    <w:rsid w:val="00161ED1"/>
    <w:rsid w:val="001724CC"/>
    <w:rsid w:val="001728E6"/>
    <w:rsid w:val="00173A52"/>
    <w:rsid w:val="00173C6C"/>
    <w:rsid w:val="00174223"/>
    <w:rsid w:val="0017603D"/>
    <w:rsid w:val="001761DC"/>
    <w:rsid w:val="001766DB"/>
    <w:rsid w:val="00177493"/>
    <w:rsid w:val="0018125B"/>
    <w:rsid w:val="00181D8B"/>
    <w:rsid w:val="00182301"/>
    <w:rsid w:val="001824AD"/>
    <w:rsid w:val="00182CE2"/>
    <w:rsid w:val="001852F8"/>
    <w:rsid w:val="001909F1"/>
    <w:rsid w:val="0019127D"/>
    <w:rsid w:val="001920D8"/>
    <w:rsid w:val="001955E7"/>
    <w:rsid w:val="001A0843"/>
    <w:rsid w:val="001A0A25"/>
    <w:rsid w:val="001A0FBB"/>
    <w:rsid w:val="001A1C2B"/>
    <w:rsid w:val="001A22F1"/>
    <w:rsid w:val="001A3744"/>
    <w:rsid w:val="001A428F"/>
    <w:rsid w:val="001A4822"/>
    <w:rsid w:val="001A48F2"/>
    <w:rsid w:val="001A6981"/>
    <w:rsid w:val="001B0CDD"/>
    <w:rsid w:val="001B0E33"/>
    <w:rsid w:val="001B4972"/>
    <w:rsid w:val="001B4D5D"/>
    <w:rsid w:val="001B535B"/>
    <w:rsid w:val="001B6005"/>
    <w:rsid w:val="001B6B2B"/>
    <w:rsid w:val="001C0948"/>
    <w:rsid w:val="001C0ED6"/>
    <w:rsid w:val="001C1113"/>
    <w:rsid w:val="001C3BFF"/>
    <w:rsid w:val="001C53B7"/>
    <w:rsid w:val="001C63F9"/>
    <w:rsid w:val="001C75BF"/>
    <w:rsid w:val="001D0F16"/>
    <w:rsid w:val="001D406D"/>
    <w:rsid w:val="001D42B9"/>
    <w:rsid w:val="001D471E"/>
    <w:rsid w:val="001D49BA"/>
    <w:rsid w:val="001D50DC"/>
    <w:rsid w:val="001D5F88"/>
    <w:rsid w:val="001D7355"/>
    <w:rsid w:val="001D7831"/>
    <w:rsid w:val="001E2820"/>
    <w:rsid w:val="001E3DBE"/>
    <w:rsid w:val="001F05E5"/>
    <w:rsid w:val="001F2268"/>
    <w:rsid w:val="001F5F3A"/>
    <w:rsid w:val="001F73C0"/>
    <w:rsid w:val="001F7621"/>
    <w:rsid w:val="002004B8"/>
    <w:rsid w:val="00201008"/>
    <w:rsid w:val="0020106E"/>
    <w:rsid w:val="002031BE"/>
    <w:rsid w:val="00203F57"/>
    <w:rsid w:val="00205A25"/>
    <w:rsid w:val="00207AA8"/>
    <w:rsid w:val="00210310"/>
    <w:rsid w:val="00211F29"/>
    <w:rsid w:val="00213FA1"/>
    <w:rsid w:val="002140F6"/>
    <w:rsid w:val="0021468C"/>
    <w:rsid w:val="00217D6A"/>
    <w:rsid w:val="0022057F"/>
    <w:rsid w:val="00221248"/>
    <w:rsid w:val="00222473"/>
    <w:rsid w:val="00222CFA"/>
    <w:rsid w:val="00224010"/>
    <w:rsid w:val="00225246"/>
    <w:rsid w:val="002252C6"/>
    <w:rsid w:val="00227194"/>
    <w:rsid w:val="00233783"/>
    <w:rsid w:val="0023595B"/>
    <w:rsid w:val="00237774"/>
    <w:rsid w:val="00237B7E"/>
    <w:rsid w:val="00241724"/>
    <w:rsid w:val="00244348"/>
    <w:rsid w:val="00246EE3"/>
    <w:rsid w:val="00251379"/>
    <w:rsid w:val="002526FA"/>
    <w:rsid w:val="002529F8"/>
    <w:rsid w:val="00252EE7"/>
    <w:rsid w:val="00253FE8"/>
    <w:rsid w:val="00254099"/>
    <w:rsid w:val="002602A2"/>
    <w:rsid w:val="00260FBA"/>
    <w:rsid w:val="00266761"/>
    <w:rsid w:val="0027109F"/>
    <w:rsid w:val="002718B4"/>
    <w:rsid w:val="00275625"/>
    <w:rsid w:val="00277A47"/>
    <w:rsid w:val="00277EDB"/>
    <w:rsid w:val="002811A3"/>
    <w:rsid w:val="00282BFD"/>
    <w:rsid w:val="00282E93"/>
    <w:rsid w:val="00282F98"/>
    <w:rsid w:val="002854AB"/>
    <w:rsid w:val="00290025"/>
    <w:rsid w:val="0029034F"/>
    <w:rsid w:val="00293AF8"/>
    <w:rsid w:val="00294394"/>
    <w:rsid w:val="00294981"/>
    <w:rsid w:val="00295DC4"/>
    <w:rsid w:val="002975E9"/>
    <w:rsid w:val="00297723"/>
    <w:rsid w:val="002A0E35"/>
    <w:rsid w:val="002A35EB"/>
    <w:rsid w:val="002A46DC"/>
    <w:rsid w:val="002A611B"/>
    <w:rsid w:val="002B0633"/>
    <w:rsid w:val="002B20BB"/>
    <w:rsid w:val="002B51AD"/>
    <w:rsid w:val="002B5400"/>
    <w:rsid w:val="002B5BBA"/>
    <w:rsid w:val="002B6CA4"/>
    <w:rsid w:val="002B7BD2"/>
    <w:rsid w:val="002C269E"/>
    <w:rsid w:val="002C60BC"/>
    <w:rsid w:val="002D274D"/>
    <w:rsid w:val="002D2D1D"/>
    <w:rsid w:val="002D5B0A"/>
    <w:rsid w:val="002D5F3E"/>
    <w:rsid w:val="002D7B5B"/>
    <w:rsid w:val="002E0BE1"/>
    <w:rsid w:val="002E1F0D"/>
    <w:rsid w:val="002E1F77"/>
    <w:rsid w:val="002E6470"/>
    <w:rsid w:val="002E6563"/>
    <w:rsid w:val="002E6AD1"/>
    <w:rsid w:val="002F0BBB"/>
    <w:rsid w:val="002F12DA"/>
    <w:rsid w:val="002F61DA"/>
    <w:rsid w:val="00300499"/>
    <w:rsid w:val="00300F5E"/>
    <w:rsid w:val="003023AD"/>
    <w:rsid w:val="00304348"/>
    <w:rsid w:val="0030472F"/>
    <w:rsid w:val="00304968"/>
    <w:rsid w:val="0030564B"/>
    <w:rsid w:val="00305810"/>
    <w:rsid w:val="0030711C"/>
    <w:rsid w:val="00313819"/>
    <w:rsid w:val="00313F92"/>
    <w:rsid w:val="0032061D"/>
    <w:rsid w:val="0032677A"/>
    <w:rsid w:val="00326889"/>
    <w:rsid w:val="0032701B"/>
    <w:rsid w:val="00327093"/>
    <w:rsid w:val="00327451"/>
    <w:rsid w:val="00331D43"/>
    <w:rsid w:val="00332482"/>
    <w:rsid w:val="00332854"/>
    <w:rsid w:val="00335479"/>
    <w:rsid w:val="00336A8F"/>
    <w:rsid w:val="003413B4"/>
    <w:rsid w:val="00341740"/>
    <w:rsid w:val="00341E3E"/>
    <w:rsid w:val="00344E9C"/>
    <w:rsid w:val="00346381"/>
    <w:rsid w:val="00346822"/>
    <w:rsid w:val="00352B7D"/>
    <w:rsid w:val="003533B9"/>
    <w:rsid w:val="00355702"/>
    <w:rsid w:val="00355E20"/>
    <w:rsid w:val="0035772A"/>
    <w:rsid w:val="00357AE2"/>
    <w:rsid w:val="00361B6F"/>
    <w:rsid w:val="003656D3"/>
    <w:rsid w:val="0036607C"/>
    <w:rsid w:val="00366ADB"/>
    <w:rsid w:val="0036760B"/>
    <w:rsid w:val="00367E30"/>
    <w:rsid w:val="003704E0"/>
    <w:rsid w:val="00370D84"/>
    <w:rsid w:val="00373B05"/>
    <w:rsid w:val="00374ABA"/>
    <w:rsid w:val="00375BB0"/>
    <w:rsid w:val="003767A6"/>
    <w:rsid w:val="003767C2"/>
    <w:rsid w:val="00376AA5"/>
    <w:rsid w:val="00377584"/>
    <w:rsid w:val="00377B09"/>
    <w:rsid w:val="00382CB1"/>
    <w:rsid w:val="00383E45"/>
    <w:rsid w:val="003849B8"/>
    <w:rsid w:val="003869A3"/>
    <w:rsid w:val="00386E68"/>
    <w:rsid w:val="00392426"/>
    <w:rsid w:val="0039288E"/>
    <w:rsid w:val="00392E9D"/>
    <w:rsid w:val="00395F67"/>
    <w:rsid w:val="003963F4"/>
    <w:rsid w:val="003966E8"/>
    <w:rsid w:val="003974DA"/>
    <w:rsid w:val="003A0351"/>
    <w:rsid w:val="003A0EA6"/>
    <w:rsid w:val="003A3399"/>
    <w:rsid w:val="003A37DC"/>
    <w:rsid w:val="003A79B9"/>
    <w:rsid w:val="003B2106"/>
    <w:rsid w:val="003B36F7"/>
    <w:rsid w:val="003B3AE3"/>
    <w:rsid w:val="003B623D"/>
    <w:rsid w:val="003C293C"/>
    <w:rsid w:val="003C3F6F"/>
    <w:rsid w:val="003C44CF"/>
    <w:rsid w:val="003C4A71"/>
    <w:rsid w:val="003C6112"/>
    <w:rsid w:val="003C73C0"/>
    <w:rsid w:val="003C7D34"/>
    <w:rsid w:val="003D4549"/>
    <w:rsid w:val="003D501F"/>
    <w:rsid w:val="003D5057"/>
    <w:rsid w:val="003D594B"/>
    <w:rsid w:val="003D7BA1"/>
    <w:rsid w:val="003E2115"/>
    <w:rsid w:val="003E4FBE"/>
    <w:rsid w:val="003E679F"/>
    <w:rsid w:val="003E69A6"/>
    <w:rsid w:val="003E7059"/>
    <w:rsid w:val="003F10D6"/>
    <w:rsid w:val="003F2597"/>
    <w:rsid w:val="003F2B45"/>
    <w:rsid w:val="003F30A5"/>
    <w:rsid w:val="003F43AB"/>
    <w:rsid w:val="003F7399"/>
    <w:rsid w:val="0040316E"/>
    <w:rsid w:val="00403F92"/>
    <w:rsid w:val="0040491D"/>
    <w:rsid w:val="00411E5A"/>
    <w:rsid w:val="00412751"/>
    <w:rsid w:val="00412754"/>
    <w:rsid w:val="0041458F"/>
    <w:rsid w:val="00414EDA"/>
    <w:rsid w:val="00417EEC"/>
    <w:rsid w:val="00420239"/>
    <w:rsid w:val="0042028C"/>
    <w:rsid w:val="004206ED"/>
    <w:rsid w:val="00420ED8"/>
    <w:rsid w:val="00422340"/>
    <w:rsid w:val="00424774"/>
    <w:rsid w:val="004317B5"/>
    <w:rsid w:val="00432088"/>
    <w:rsid w:val="004338B1"/>
    <w:rsid w:val="004348ED"/>
    <w:rsid w:val="00436150"/>
    <w:rsid w:val="00437BDC"/>
    <w:rsid w:val="00437EBF"/>
    <w:rsid w:val="00440576"/>
    <w:rsid w:val="0044062A"/>
    <w:rsid w:val="00441BB8"/>
    <w:rsid w:val="004425E6"/>
    <w:rsid w:val="004429FC"/>
    <w:rsid w:val="00446933"/>
    <w:rsid w:val="004471D4"/>
    <w:rsid w:val="00451B17"/>
    <w:rsid w:val="00451EE7"/>
    <w:rsid w:val="0045304E"/>
    <w:rsid w:val="004540AB"/>
    <w:rsid w:val="00454A31"/>
    <w:rsid w:val="00454DB5"/>
    <w:rsid w:val="00457934"/>
    <w:rsid w:val="00457D84"/>
    <w:rsid w:val="00460E6B"/>
    <w:rsid w:val="004663E8"/>
    <w:rsid w:val="00466A10"/>
    <w:rsid w:val="00470C08"/>
    <w:rsid w:val="0047138F"/>
    <w:rsid w:val="0047217F"/>
    <w:rsid w:val="00472FEF"/>
    <w:rsid w:val="0047358B"/>
    <w:rsid w:val="00475627"/>
    <w:rsid w:val="00476AD7"/>
    <w:rsid w:val="00477236"/>
    <w:rsid w:val="00477ED7"/>
    <w:rsid w:val="00481891"/>
    <w:rsid w:val="00483024"/>
    <w:rsid w:val="00483889"/>
    <w:rsid w:val="004858EC"/>
    <w:rsid w:val="00487527"/>
    <w:rsid w:val="00491166"/>
    <w:rsid w:val="00492DA7"/>
    <w:rsid w:val="00496348"/>
    <w:rsid w:val="004A0FF9"/>
    <w:rsid w:val="004A10E5"/>
    <w:rsid w:val="004A2474"/>
    <w:rsid w:val="004A2AF5"/>
    <w:rsid w:val="004A2E8B"/>
    <w:rsid w:val="004A4639"/>
    <w:rsid w:val="004A47FB"/>
    <w:rsid w:val="004A4D23"/>
    <w:rsid w:val="004A4D6A"/>
    <w:rsid w:val="004A4F51"/>
    <w:rsid w:val="004B5512"/>
    <w:rsid w:val="004B579E"/>
    <w:rsid w:val="004B5CBA"/>
    <w:rsid w:val="004C0DBC"/>
    <w:rsid w:val="004C12E1"/>
    <w:rsid w:val="004C162C"/>
    <w:rsid w:val="004C2383"/>
    <w:rsid w:val="004C2F26"/>
    <w:rsid w:val="004C46AF"/>
    <w:rsid w:val="004C4B77"/>
    <w:rsid w:val="004C5FB2"/>
    <w:rsid w:val="004C6220"/>
    <w:rsid w:val="004C64FB"/>
    <w:rsid w:val="004C7BDD"/>
    <w:rsid w:val="004D338A"/>
    <w:rsid w:val="004D3EB8"/>
    <w:rsid w:val="004D3F64"/>
    <w:rsid w:val="004D7796"/>
    <w:rsid w:val="004D7A95"/>
    <w:rsid w:val="004D7CD2"/>
    <w:rsid w:val="004D7E1A"/>
    <w:rsid w:val="004E2CF9"/>
    <w:rsid w:val="004E3F05"/>
    <w:rsid w:val="004E41BC"/>
    <w:rsid w:val="004E4404"/>
    <w:rsid w:val="004E47CB"/>
    <w:rsid w:val="004E4EF7"/>
    <w:rsid w:val="004E500C"/>
    <w:rsid w:val="004F04B3"/>
    <w:rsid w:val="004F1136"/>
    <w:rsid w:val="004F1B6D"/>
    <w:rsid w:val="004F5440"/>
    <w:rsid w:val="004F59B0"/>
    <w:rsid w:val="004F601F"/>
    <w:rsid w:val="004F7EF0"/>
    <w:rsid w:val="00502B3E"/>
    <w:rsid w:val="00502C50"/>
    <w:rsid w:val="00503760"/>
    <w:rsid w:val="00503FB3"/>
    <w:rsid w:val="00506167"/>
    <w:rsid w:val="00506A18"/>
    <w:rsid w:val="00507095"/>
    <w:rsid w:val="00507ABC"/>
    <w:rsid w:val="00507C3C"/>
    <w:rsid w:val="00511F95"/>
    <w:rsid w:val="005150EF"/>
    <w:rsid w:val="00515C0C"/>
    <w:rsid w:val="00515CE9"/>
    <w:rsid w:val="00515D50"/>
    <w:rsid w:val="0051792B"/>
    <w:rsid w:val="00517A9E"/>
    <w:rsid w:val="00523584"/>
    <w:rsid w:val="00524281"/>
    <w:rsid w:val="0052449F"/>
    <w:rsid w:val="0052473A"/>
    <w:rsid w:val="0052562E"/>
    <w:rsid w:val="005268D3"/>
    <w:rsid w:val="00527F4C"/>
    <w:rsid w:val="00531F5D"/>
    <w:rsid w:val="00531FBE"/>
    <w:rsid w:val="005324AA"/>
    <w:rsid w:val="00533ADD"/>
    <w:rsid w:val="00533EF5"/>
    <w:rsid w:val="005349E4"/>
    <w:rsid w:val="0053559B"/>
    <w:rsid w:val="00535830"/>
    <w:rsid w:val="005363F7"/>
    <w:rsid w:val="0054721F"/>
    <w:rsid w:val="00551E30"/>
    <w:rsid w:val="00553A48"/>
    <w:rsid w:val="00553A69"/>
    <w:rsid w:val="005555EE"/>
    <w:rsid w:val="005574D5"/>
    <w:rsid w:val="00560646"/>
    <w:rsid w:val="00565AC2"/>
    <w:rsid w:val="005666AC"/>
    <w:rsid w:val="005671DC"/>
    <w:rsid w:val="005717DE"/>
    <w:rsid w:val="0057227B"/>
    <w:rsid w:val="00573AAD"/>
    <w:rsid w:val="00575118"/>
    <w:rsid w:val="00575A4F"/>
    <w:rsid w:val="00576454"/>
    <w:rsid w:val="00576821"/>
    <w:rsid w:val="00576E60"/>
    <w:rsid w:val="00580C3B"/>
    <w:rsid w:val="00582ACB"/>
    <w:rsid w:val="00584ED2"/>
    <w:rsid w:val="00587B93"/>
    <w:rsid w:val="005900EC"/>
    <w:rsid w:val="005921E9"/>
    <w:rsid w:val="00594A60"/>
    <w:rsid w:val="005950A8"/>
    <w:rsid w:val="00596F86"/>
    <w:rsid w:val="005A19CC"/>
    <w:rsid w:val="005A26F0"/>
    <w:rsid w:val="005A3F33"/>
    <w:rsid w:val="005A3F82"/>
    <w:rsid w:val="005A4085"/>
    <w:rsid w:val="005A5DE5"/>
    <w:rsid w:val="005A66D9"/>
    <w:rsid w:val="005A73BD"/>
    <w:rsid w:val="005B12AC"/>
    <w:rsid w:val="005B1D2B"/>
    <w:rsid w:val="005B2CF8"/>
    <w:rsid w:val="005B5386"/>
    <w:rsid w:val="005B6B99"/>
    <w:rsid w:val="005C085F"/>
    <w:rsid w:val="005C4A06"/>
    <w:rsid w:val="005C4A2A"/>
    <w:rsid w:val="005C6197"/>
    <w:rsid w:val="005D0385"/>
    <w:rsid w:val="005D0A97"/>
    <w:rsid w:val="005D11F5"/>
    <w:rsid w:val="005D17CA"/>
    <w:rsid w:val="005D2709"/>
    <w:rsid w:val="005D4653"/>
    <w:rsid w:val="005D4723"/>
    <w:rsid w:val="005D4AF0"/>
    <w:rsid w:val="005D5C86"/>
    <w:rsid w:val="005D735D"/>
    <w:rsid w:val="005E0C14"/>
    <w:rsid w:val="005E157B"/>
    <w:rsid w:val="005E21DF"/>
    <w:rsid w:val="005E58F2"/>
    <w:rsid w:val="005F0C70"/>
    <w:rsid w:val="005F1867"/>
    <w:rsid w:val="005F35AB"/>
    <w:rsid w:val="005F380E"/>
    <w:rsid w:val="005F3979"/>
    <w:rsid w:val="005F3A4D"/>
    <w:rsid w:val="005F46FD"/>
    <w:rsid w:val="005F5531"/>
    <w:rsid w:val="005F7F59"/>
    <w:rsid w:val="005F7FD2"/>
    <w:rsid w:val="00603387"/>
    <w:rsid w:val="0060439A"/>
    <w:rsid w:val="006043C3"/>
    <w:rsid w:val="00604C83"/>
    <w:rsid w:val="00604DAF"/>
    <w:rsid w:val="00606571"/>
    <w:rsid w:val="00606649"/>
    <w:rsid w:val="006111C8"/>
    <w:rsid w:val="0061157A"/>
    <w:rsid w:val="006118A2"/>
    <w:rsid w:val="006133ED"/>
    <w:rsid w:val="0061392B"/>
    <w:rsid w:val="00613A51"/>
    <w:rsid w:val="0061437F"/>
    <w:rsid w:val="00614A81"/>
    <w:rsid w:val="0061542E"/>
    <w:rsid w:val="006175E2"/>
    <w:rsid w:val="00620399"/>
    <w:rsid w:val="00621500"/>
    <w:rsid w:val="0062157A"/>
    <w:rsid w:val="0062322A"/>
    <w:rsid w:val="00623ACC"/>
    <w:rsid w:val="0062644E"/>
    <w:rsid w:val="00627F8B"/>
    <w:rsid w:val="006309A4"/>
    <w:rsid w:val="00633112"/>
    <w:rsid w:val="00636167"/>
    <w:rsid w:val="0064121C"/>
    <w:rsid w:val="00642919"/>
    <w:rsid w:val="00642F74"/>
    <w:rsid w:val="006435FA"/>
    <w:rsid w:val="00643C3B"/>
    <w:rsid w:val="00644A87"/>
    <w:rsid w:val="00644F63"/>
    <w:rsid w:val="0064561E"/>
    <w:rsid w:val="00645C0E"/>
    <w:rsid w:val="00647056"/>
    <w:rsid w:val="0065030C"/>
    <w:rsid w:val="0065193D"/>
    <w:rsid w:val="00653948"/>
    <w:rsid w:val="00653952"/>
    <w:rsid w:val="00653DC5"/>
    <w:rsid w:val="00656A1F"/>
    <w:rsid w:val="006642C6"/>
    <w:rsid w:val="00666E2B"/>
    <w:rsid w:val="006713B7"/>
    <w:rsid w:val="006758E7"/>
    <w:rsid w:val="0067714E"/>
    <w:rsid w:val="00680353"/>
    <w:rsid w:val="00680360"/>
    <w:rsid w:val="0068304D"/>
    <w:rsid w:val="0068428D"/>
    <w:rsid w:val="00685038"/>
    <w:rsid w:val="0069034D"/>
    <w:rsid w:val="00694C0E"/>
    <w:rsid w:val="006963FB"/>
    <w:rsid w:val="006A0363"/>
    <w:rsid w:val="006A04DE"/>
    <w:rsid w:val="006A23B4"/>
    <w:rsid w:val="006A2FC1"/>
    <w:rsid w:val="006A346D"/>
    <w:rsid w:val="006A42D6"/>
    <w:rsid w:val="006B115A"/>
    <w:rsid w:val="006B19F4"/>
    <w:rsid w:val="006B3061"/>
    <w:rsid w:val="006B52DD"/>
    <w:rsid w:val="006B562C"/>
    <w:rsid w:val="006B6731"/>
    <w:rsid w:val="006B6FF7"/>
    <w:rsid w:val="006B78C9"/>
    <w:rsid w:val="006C25EF"/>
    <w:rsid w:val="006C5D30"/>
    <w:rsid w:val="006C63DA"/>
    <w:rsid w:val="006D0E3B"/>
    <w:rsid w:val="006D151C"/>
    <w:rsid w:val="006D2BD4"/>
    <w:rsid w:val="006D2CB1"/>
    <w:rsid w:val="006D4C1E"/>
    <w:rsid w:val="006D78A4"/>
    <w:rsid w:val="006D7A7A"/>
    <w:rsid w:val="006E0154"/>
    <w:rsid w:val="006E0DDE"/>
    <w:rsid w:val="006E2C18"/>
    <w:rsid w:val="006E3CEE"/>
    <w:rsid w:val="006E46EB"/>
    <w:rsid w:val="006E54D2"/>
    <w:rsid w:val="006E58CE"/>
    <w:rsid w:val="006E70BE"/>
    <w:rsid w:val="006F0443"/>
    <w:rsid w:val="006F0CC6"/>
    <w:rsid w:val="006F114F"/>
    <w:rsid w:val="006F1AAF"/>
    <w:rsid w:val="006F4223"/>
    <w:rsid w:val="006F4DBE"/>
    <w:rsid w:val="006F6E6A"/>
    <w:rsid w:val="006F7425"/>
    <w:rsid w:val="0070130B"/>
    <w:rsid w:val="00703A0C"/>
    <w:rsid w:val="007063F3"/>
    <w:rsid w:val="00707BFB"/>
    <w:rsid w:val="00707F6B"/>
    <w:rsid w:val="00710221"/>
    <w:rsid w:val="00711EFE"/>
    <w:rsid w:val="00712210"/>
    <w:rsid w:val="007139BE"/>
    <w:rsid w:val="007159AC"/>
    <w:rsid w:val="007159F3"/>
    <w:rsid w:val="00717334"/>
    <w:rsid w:val="00720CCF"/>
    <w:rsid w:val="00722705"/>
    <w:rsid w:val="00724F4D"/>
    <w:rsid w:val="0072775A"/>
    <w:rsid w:val="00730568"/>
    <w:rsid w:val="007316AE"/>
    <w:rsid w:val="007319E8"/>
    <w:rsid w:val="00732F2F"/>
    <w:rsid w:val="00733797"/>
    <w:rsid w:val="00733AC5"/>
    <w:rsid w:val="00734B2C"/>
    <w:rsid w:val="00736792"/>
    <w:rsid w:val="00740329"/>
    <w:rsid w:val="00741A50"/>
    <w:rsid w:val="007425A2"/>
    <w:rsid w:val="007432DE"/>
    <w:rsid w:val="0074377A"/>
    <w:rsid w:val="00744998"/>
    <w:rsid w:val="00745C07"/>
    <w:rsid w:val="00750624"/>
    <w:rsid w:val="007516F4"/>
    <w:rsid w:val="00752FB2"/>
    <w:rsid w:val="007549BC"/>
    <w:rsid w:val="00755275"/>
    <w:rsid w:val="0075659D"/>
    <w:rsid w:val="007606A8"/>
    <w:rsid w:val="007619E4"/>
    <w:rsid w:val="00761B61"/>
    <w:rsid w:val="00762865"/>
    <w:rsid w:val="00763CA8"/>
    <w:rsid w:val="00763DB8"/>
    <w:rsid w:val="00763FC4"/>
    <w:rsid w:val="00764910"/>
    <w:rsid w:val="007706B0"/>
    <w:rsid w:val="00772CA0"/>
    <w:rsid w:val="007731CE"/>
    <w:rsid w:val="00773C20"/>
    <w:rsid w:val="00775ED5"/>
    <w:rsid w:val="00780E08"/>
    <w:rsid w:val="00784819"/>
    <w:rsid w:val="007861F7"/>
    <w:rsid w:val="00786D7B"/>
    <w:rsid w:val="00793420"/>
    <w:rsid w:val="00795474"/>
    <w:rsid w:val="007A1309"/>
    <w:rsid w:val="007A6881"/>
    <w:rsid w:val="007A70CE"/>
    <w:rsid w:val="007A7519"/>
    <w:rsid w:val="007B2114"/>
    <w:rsid w:val="007B5CB9"/>
    <w:rsid w:val="007B5D71"/>
    <w:rsid w:val="007B61ED"/>
    <w:rsid w:val="007B791E"/>
    <w:rsid w:val="007C0A65"/>
    <w:rsid w:val="007C0CF5"/>
    <w:rsid w:val="007C151A"/>
    <w:rsid w:val="007C63F4"/>
    <w:rsid w:val="007C7CE6"/>
    <w:rsid w:val="007D0EBA"/>
    <w:rsid w:val="007D1A6B"/>
    <w:rsid w:val="007D2C5F"/>
    <w:rsid w:val="007D3A1E"/>
    <w:rsid w:val="007D4999"/>
    <w:rsid w:val="007D544D"/>
    <w:rsid w:val="007D5A2C"/>
    <w:rsid w:val="007D6FEE"/>
    <w:rsid w:val="007D7084"/>
    <w:rsid w:val="007D7627"/>
    <w:rsid w:val="007D7ADB"/>
    <w:rsid w:val="007E1E13"/>
    <w:rsid w:val="007E344C"/>
    <w:rsid w:val="007E427F"/>
    <w:rsid w:val="007E57BD"/>
    <w:rsid w:val="007E59C5"/>
    <w:rsid w:val="007E5D6C"/>
    <w:rsid w:val="007E7CF0"/>
    <w:rsid w:val="007F2972"/>
    <w:rsid w:val="007F354C"/>
    <w:rsid w:val="00802560"/>
    <w:rsid w:val="00802EED"/>
    <w:rsid w:val="00806B60"/>
    <w:rsid w:val="008107BF"/>
    <w:rsid w:val="008113C7"/>
    <w:rsid w:val="00817977"/>
    <w:rsid w:val="00820A36"/>
    <w:rsid w:val="008231BE"/>
    <w:rsid w:val="00824214"/>
    <w:rsid w:val="00824798"/>
    <w:rsid w:val="00825A4F"/>
    <w:rsid w:val="00826A34"/>
    <w:rsid w:val="00827ADC"/>
    <w:rsid w:val="00831452"/>
    <w:rsid w:val="00832615"/>
    <w:rsid w:val="00832E2E"/>
    <w:rsid w:val="00834B91"/>
    <w:rsid w:val="00834BBD"/>
    <w:rsid w:val="00834FBA"/>
    <w:rsid w:val="00834FDD"/>
    <w:rsid w:val="008351F0"/>
    <w:rsid w:val="00835B6E"/>
    <w:rsid w:val="0083725C"/>
    <w:rsid w:val="00837658"/>
    <w:rsid w:val="008377FE"/>
    <w:rsid w:val="0084030C"/>
    <w:rsid w:val="008418B1"/>
    <w:rsid w:val="008442D2"/>
    <w:rsid w:val="00844AB2"/>
    <w:rsid w:val="00844C78"/>
    <w:rsid w:val="0084534C"/>
    <w:rsid w:val="008472FA"/>
    <w:rsid w:val="0085110D"/>
    <w:rsid w:val="00853220"/>
    <w:rsid w:val="0085490F"/>
    <w:rsid w:val="00854DCD"/>
    <w:rsid w:val="008608A3"/>
    <w:rsid w:val="00862495"/>
    <w:rsid w:val="00862F9A"/>
    <w:rsid w:val="008639AA"/>
    <w:rsid w:val="00864F8E"/>
    <w:rsid w:val="00866321"/>
    <w:rsid w:val="00866E88"/>
    <w:rsid w:val="00871561"/>
    <w:rsid w:val="008716E7"/>
    <w:rsid w:val="00876C99"/>
    <w:rsid w:val="00876DC1"/>
    <w:rsid w:val="008804C4"/>
    <w:rsid w:val="00882674"/>
    <w:rsid w:val="00884F02"/>
    <w:rsid w:val="00885FD8"/>
    <w:rsid w:val="008878DC"/>
    <w:rsid w:val="00892329"/>
    <w:rsid w:val="00893932"/>
    <w:rsid w:val="00896E98"/>
    <w:rsid w:val="00896EDA"/>
    <w:rsid w:val="00897F9E"/>
    <w:rsid w:val="008A015B"/>
    <w:rsid w:val="008A147B"/>
    <w:rsid w:val="008A1A48"/>
    <w:rsid w:val="008A39C9"/>
    <w:rsid w:val="008A45BE"/>
    <w:rsid w:val="008A52D6"/>
    <w:rsid w:val="008A54BA"/>
    <w:rsid w:val="008A6239"/>
    <w:rsid w:val="008A689F"/>
    <w:rsid w:val="008A70D0"/>
    <w:rsid w:val="008B1B7C"/>
    <w:rsid w:val="008B375E"/>
    <w:rsid w:val="008B7240"/>
    <w:rsid w:val="008B77A1"/>
    <w:rsid w:val="008B7F0B"/>
    <w:rsid w:val="008C043A"/>
    <w:rsid w:val="008C0597"/>
    <w:rsid w:val="008C25D4"/>
    <w:rsid w:val="008C40E0"/>
    <w:rsid w:val="008C599F"/>
    <w:rsid w:val="008C6E00"/>
    <w:rsid w:val="008C6FED"/>
    <w:rsid w:val="008C71D6"/>
    <w:rsid w:val="008D0328"/>
    <w:rsid w:val="008D2D49"/>
    <w:rsid w:val="008D36A5"/>
    <w:rsid w:val="008D5706"/>
    <w:rsid w:val="008D7E7D"/>
    <w:rsid w:val="008E0640"/>
    <w:rsid w:val="008E1E85"/>
    <w:rsid w:val="008E2E3F"/>
    <w:rsid w:val="008E5E9D"/>
    <w:rsid w:val="008F029E"/>
    <w:rsid w:val="008F3305"/>
    <w:rsid w:val="008F3C52"/>
    <w:rsid w:val="008F3D7C"/>
    <w:rsid w:val="008F456C"/>
    <w:rsid w:val="008F4FEE"/>
    <w:rsid w:val="008F630C"/>
    <w:rsid w:val="008F64B7"/>
    <w:rsid w:val="009025DB"/>
    <w:rsid w:val="009025F1"/>
    <w:rsid w:val="00904333"/>
    <w:rsid w:val="00906749"/>
    <w:rsid w:val="0091086C"/>
    <w:rsid w:val="00911BE5"/>
    <w:rsid w:val="00912017"/>
    <w:rsid w:val="009165D9"/>
    <w:rsid w:val="0091790B"/>
    <w:rsid w:val="00921FA4"/>
    <w:rsid w:val="00923A40"/>
    <w:rsid w:val="00925F84"/>
    <w:rsid w:val="009308C8"/>
    <w:rsid w:val="0093432F"/>
    <w:rsid w:val="00937AEF"/>
    <w:rsid w:val="0094025E"/>
    <w:rsid w:val="00941366"/>
    <w:rsid w:val="00941674"/>
    <w:rsid w:val="00942609"/>
    <w:rsid w:val="00942FC0"/>
    <w:rsid w:val="009434E1"/>
    <w:rsid w:val="00946B78"/>
    <w:rsid w:val="00951250"/>
    <w:rsid w:val="00952B8F"/>
    <w:rsid w:val="00954092"/>
    <w:rsid w:val="00954554"/>
    <w:rsid w:val="009612C1"/>
    <w:rsid w:val="00963BE5"/>
    <w:rsid w:val="0096450E"/>
    <w:rsid w:val="00965419"/>
    <w:rsid w:val="00967215"/>
    <w:rsid w:val="00967841"/>
    <w:rsid w:val="00973C5B"/>
    <w:rsid w:val="00977F8D"/>
    <w:rsid w:val="00983885"/>
    <w:rsid w:val="009838D1"/>
    <w:rsid w:val="00984C27"/>
    <w:rsid w:val="0098587A"/>
    <w:rsid w:val="009868C9"/>
    <w:rsid w:val="0099096C"/>
    <w:rsid w:val="0099283F"/>
    <w:rsid w:val="00993F2C"/>
    <w:rsid w:val="009979D0"/>
    <w:rsid w:val="009A1FC0"/>
    <w:rsid w:val="009B210C"/>
    <w:rsid w:val="009B21C0"/>
    <w:rsid w:val="009B2900"/>
    <w:rsid w:val="009B2918"/>
    <w:rsid w:val="009B4809"/>
    <w:rsid w:val="009C1451"/>
    <w:rsid w:val="009C48FA"/>
    <w:rsid w:val="009C64F4"/>
    <w:rsid w:val="009C7562"/>
    <w:rsid w:val="009C7C21"/>
    <w:rsid w:val="009D247F"/>
    <w:rsid w:val="009D4054"/>
    <w:rsid w:val="009D490B"/>
    <w:rsid w:val="009D4E94"/>
    <w:rsid w:val="009D5882"/>
    <w:rsid w:val="009D73CD"/>
    <w:rsid w:val="009E1BD5"/>
    <w:rsid w:val="009E4A54"/>
    <w:rsid w:val="009E58D4"/>
    <w:rsid w:val="009E617B"/>
    <w:rsid w:val="009E7AA4"/>
    <w:rsid w:val="009F0E74"/>
    <w:rsid w:val="009F2AC2"/>
    <w:rsid w:val="009F2BA4"/>
    <w:rsid w:val="009F543E"/>
    <w:rsid w:val="009F7A15"/>
    <w:rsid w:val="009F7AC4"/>
    <w:rsid w:val="00A02016"/>
    <w:rsid w:val="00A031B1"/>
    <w:rsid w:val="00A034CE"/>
    <w:rsid w:val="00A03727"/>
    <w:rsid w:val="00A0415A"/>
    <w:rsid w:val="00A0698C"/>
    <w:rsid w:val="00A0753F"/>
    <w:rsid w:val="00A07AE7"/>
    <w:rsid w:val="00A10166"/>
    <w:rsid w:val="00A10DE1"/>
    <w:rsid w:val="00A13C25"/>
    <w:rsid w:val="00A15C15"/>
    <w:rsid w:val="00A15D44"/>
    <w:rsid w:val="00A211BC"/>
    <w:rsid w:val="00A21259"/>
    <w:rsid w:val="00A2158B"/>
    <w:rsid w:val="00A22A19"/>
    <w:rsid w:val="00A22D3C"/>
    <w:rsid w:val="00A241A2"/>
    <w:rsid w:val="00A2476C"/>
    <w:rsid w:val="00A25958"/>
    <w:rsid w:val="00A2626B"/>
    <w:rsid w:val="00A2756D"/>
    <w:rsid w:val="00A34840"/>
    <w:rsid w:val="00A40A57"/>
    <w:rsid w:val="00A423C8"/>
    <w:rsid w:val="00A42ADC"/>
    <w:rsid w:val="00A434A1"/>
    <w:rsid w:val="00A45464"/>
    <w:rsid w:val="00A45485"/>
    <w:rsid w:val="00A45C6D"/>
    <w:rsid w:val="00A47F82"/>
    <w:rsid w:val="00A50696"/>
    <w:rsid w:val="00A51EE6"/>
    <w:rsid w:val="00A51FA3"/>
    <w:rsid w:val="00A5335D"/>
    <w:rsid w:val="00A53B5F"/>
    <w:rsid w:val="00A53D40"/>
    <w:rsid w:val="00A5462E"/>
    <w:rsid w:val="00A55678"/>
    <w:rsid w:val="00A56CE7"/>
    <w:rsid w:val="00A60137"/>
    <w:rsid w:val="00A61914"/>
    <w:rsid w:val="00A61DC7"/>
    <w:rsid w:val="00A624DA"/>
    <w:rsid w:val="00A65FD2"/>
    <w:rsid w:val="00A665F5"/>
    <w:rsid w:val="00A734C2"/>
    <w:rsid w:val="00A74A25"/>
    <w:rsid w:val="00A75430"/>
    <w:rsid w:val="00A82588"/>
    <w:rsid w:val="00A842DB"/>
    <w:rsid w:val="00A84534"/>
    <w:rsid w:val="00A84596"/>
    <w:rsid w:val="00A90C8A"/>
    <w:rsid w:val="00A95E5D"/>
    <w:rsid w:val="00AA0BD8"/>
    <w:rsid w:val="00AA1753"/>
    <w:rsid w:val="00AA1AB9"/>
    <w:rsid w:val="00AA6A27"/>
    <w:rsid w:val="00AB32B6"/>
    <w:rsid w:val="00AC00AF"/>
    <w:rsid w:val="00AC29FB"/>
    <w:rsid w:val="00AC333F"/>
    <w:rsid w:val="00AC338B"/>
    <w:rsid w:val="00AC3DBE"/>
    <w:rsid w:val="00AC42A1"/>
    <w:rsid w:val="00AC4F95"/>
    <w:rsid w:val="00AC510F"/>
    <w:rsid w:val="00AC5C94"/>
    <w:rsid w:val="00AC7AAF"/>
    <w:rsid w:val="00AD2844"/>
    <w:rsid w:val="00AD3E45"/>
    <w:rsid w:val="00AD465E"/>
    <w:rsid w:val="00AD66E7"/>
    <w:rsid w:val="00AE0995"/>
    <w:rsid w:val="00AE0B3D"/>
    <w:rsid w:val="00AE287B"/>
    <w:rsid w:val="00AE2C32"/>
    <w:rsid w:val="00AE32E4"/>
    <w:rsid w:val="00AE3BD8"/>
    <w:rsid w:val="00AE46DC"/>
    <w:rsid w:val="00AE5665"/>
    <w:rsid w:val="00AE6D1D"/>
    <w:rsid w:val="00AE7CB5"/>
    <w:rsid w:val="00AF3AFA"/>
    <w:rsid w:val="00AF483F"/>
    <w:rsid w:val="00AF525E"/>
    <w:rsid w:val="00AF582E"/>
    <w:rsid w:val="00AF5CA3"/>
    <w:rsid w:val="00AF632A"/>
    <w:rsid w:val="00AF7205"/>
    <w:rsid w:val="00AF7CFE"/>
    <w:rsid w:val="00B0043B"/>
    <w:rsid w:val="00B02E4F"/>
    <w:rsid w:val="00B045A9"/>
    <w:rsid w:val="00B06D4E"/>
    <w:rsid w:val="00B06DB0"/>
    <w:rsid w:val="00B10E49"/>
    <w:rsid w:val="00B10F64"/>
    <w:rsid w:val="00B11352"/>
    <w:rsid w:val="00B121E8"/>
    <w:rsid w:val="00B13778"/>
    <w:rsid w:val="00B14870"/>
    <w:rsid w:val="00B15031"/>
    <w:rsid w:val="00B16155"/>
    <w:rsid w:val="00B229A5"/>
    <w:rsid w:val="00B2481C"/>
    <w:rsid w:val="00B25E0F"/>
    <w:rsid w:val="00B3135E"/>
    <w:rsid w:val="00B33141"/>
    <w:rsid w:val="00B34EF7"/>
    <w:rsid w:val="00B354B7"/>
    <w:rsid w:val="00B35C7A"/>
    <w:rsid w:val="00B36D2B"/>
    <w:rsid w:val="00B40410"/>
    <w:rsid w:val="00B41023"/>
    <w:rsid w:val="00B42208"/>
    <w:rsid w:val="00B43667"/>
    <w:rsid w:val="00B43A76"/>
    <w:rsid w:val="00B472FB"/>
    <w:rsid w:val="00B4778B"/>
    <w:rsid w:val="00B500B1"/>
    <w:rsid w:val="00B50B64"/>
    <w:rsid w:val="00B516EE"/>
    <w:rsid w:val="00B51745"/>
    <w:rsid w:val="00B6147D"/>
    <w:rsid w:val="00B61482"/>
    <w:rsid w:val="00B61B49"/>
    <w:rsid w:val="00B6318D"/>
    <w:rsid w:val="00B6467F"/>
    <w:rsid w:val="00B64835"/>
    <w:rsid w:val="00B66BE6"/>
    <w:rsid w:val="00B71123"/>
    <w:rsid w:val="00B717C0"/>
    <w:rsid w:val="00B72878"/>
    <w:rsid w:val="00B72BD5"/>
    <w:rsid w:val="00B73D83"/>
    <w:rsid w:val="00B77295"/>
    <w:rsid w:val="00B80E80"/>
    <w:rsid w:val="00B81408"/>
    <w:rsid w:val="00B81C43"/>
    <w:rsid w:val="00B8373F"/>
    <w:rsid w:val="00B8712C"/>
    <w:rsid w:val="00B93BFC"/>
    <w:rsid w:val="00B94EF6"/>
    <w:rsid w:val="00B969C4"/>
    <w:rsid w:val="00BA09C4"/>
    <w:rsid w:val="00BA155F"/>
    <w:rsid w:val="00BA37E5"/>
    <w:rsid w:val="00BA4D7C"/>
    <w:rsid w:val="00BA5D0D"/>
    <w:rsid w:val="00BA5F06"/>
    <w:rsid w:val="00BB05FC"/>
    <w:rsid w:val="00BB0CEE"/>
    <w:rsid w:val="00BB10F5"/>
    <w:rsid w:val="00BB32ED"/>
    <w:rsid w:val="00BB574F"/>
    <w:rsid w:val="00BB719B"/>
    <w:rsid w:val="00BC0FC8"/>
    <w:rsid w:val="00BC188B"/>
    <w:rsid w:val="00BC43B1"/>
    <w:rsid w:val="00BD3371"/>
    <w:rsid w:val="00BD606B"/>
    <w:rsid w:val="00BD7991"/>
    <w:rsid w:val="00BD7CCD"/>
    <w:rsid w:val="00BD7D54"/>
    <w:rsid w:val="00BE31E1"/>
    <w:rsid w:val="00BE4502"/>
    <w:rsid w:val="00BE781C"/>
    <w:rsid w:val="00BF053E"/>
    <w:rsid w:val="00BF22A1"/>
    <w:rsid w:val="00BF3B16"/>
    <w:rsid w:val="00BF73D5"/>
    <w:rsid w:val="00C00F3C"/>
    <w:rsid w:val="00C01F70"/>
    <w:rsid w:val="00C02318"/>
    <w:rsid w:val="00C03FD2"/>
    <w:rsid w:val="00C055E2"/>
    <w:rsid w:val="00C07435"/>
    <w:rsid w:val="00C14962"/>
    <w:rsid w:val="00C16946"/>
    <w:rsid w:val="00C20897"/>
    <w:rsid w:val="00C20E75"/>
    <w:rsid w:val="00C2151E"/>
    <w:rsid w:val="00C22572"/>
    <w:rsid w:val="00C23B07"/>
    <w:rsid w:val="00C24690"/>
    <w:rsid w:val="00C247DF"/>
    <w:rsid w:val="00C24D5C"/>
    <w:rsid w:val="00C26335"/>
    <w:rsid w:val="00C275C3"/>
    <w:rsid w:val="00C27DF8"/>
    <w:rsid w:val="00C316D4"/>
    <w:rsid w:val="00C34468"/>
    <w:rsid w:val="00C35F00"/>
    <w:rsid w:val="00C366F5"/>
    <w:rsid w:val="00C36B20"/>
    <w:rsid w:val="00C40F26"/>
    <w:rsid w:val="00C43DB3"/>
    <w:rsid w:val="00C46DBC"/>
    <w:rsid w:val="00C46EAC"/>
    <w:rsid w:val="00C47B63"/>
    <w:rsid w:val="00C50110"/>
    <w:rsid w:val="00C51F6B"/>
    <w:rsid w:val="00C53E5C"/>
    <w:rsid w:val="00C54128"/>
    <w:rsid w:val="00C55B15"/>
    <w:rsid w:val="00C57013"/>
    <w:rsid w:val="00C615F1"/>
    <w:rsid w:val="00C66831"/>
    <w:rsid w:val="00C703A4"/>
    <w:rsid w:val="00C70E62"/>
    <w:rsid w:val="00C71418"/>
    <w:rsid w:val="00C7409E"/>
    <w:rsid w:val="00C77063"/>
    <w:rsid w:val="00C77DDE"/>
    <w:rsid w:val="00C809A5"/>
    <w:rsid w:val="00C82EF8"/>
    <w:rsid w:val="00C833CB"/>
    <w:rsid w:val="00C8375E"/>
    <w:rsid w:val="00C8595C"/>
    <w:rsid w:val="00C85FC2"/>
    <w:rsid w:val="00C86A6E"/>
    <w:rsid w:val="00C8733F"/>
    <w:rsid w:val="00C876DE"/>
    <w:rsid w:val="00C90623"/>
    <w:rsid w:val="00C91912"/>
    <w:rsid w:val="00C94AC9"/>
    <w:rsid w:val="00C95E29"/>
    <w:rsid w:val="00CA0556"/>
    <w:rsid w:val="00CA10E8"/>
    <w:rsid w:val="00CA151B"/>
    <w:rsid w:val="00CA256B"/>
    <w:rsid w:val="00CA2999"/>
    <w:rsid w:val="00CA4CA5"/>
    <w:rsid w:val="00CA5A24"/>
    <w:rsid w:val="00CA61A8"/>
    <w:rsid w:val="00CA78B5"/>
    <w:rsid w:val="00CA7EE8"/>
    <w:rsid w:val="00CB5686"/>
    <w:rsid w:val="00CC1717"/>
    <w:rsid w:val="00CC1975"/>
    <w:rsid w:val="00CC1D7E"/>
    <w:rsid w:val="00CC3A83"/>
    <w:rsid w:val="00CC4C4B"/>
    <w:rsid w:val="00CC58C5"/>
    <w:rsid w:val="00CC75EE"/>
    <w:rsid w:val="00CC768C"/>
    <w:rsid w:val="00CD01AF"/>
    <w:rsid w:val="00CD04A6"/>
    <w:rsid w:val="00CD2892"/>
    <w:rsid w:val="00CD7D89"/>
    <w:rsid w:val="00CE02FF"/>
    <w:rsid w:val="00CE10B2"/>
    <w:rsid w:val="00CE15E7"/>
    <w:rsid w:val="00CE372F"/>
    <w:rsid w:val="00CE3C30"/>
    <w:rsid w:val="00CE4E74"/>
    <w:rsid w:val="00CE61E8"/>
    <w:rsid w:val="00CE7795"/>
    <w:rsid w:val="00CF09D3"/>
    <w:rsid w:val="00CF137A"/>
    <w:rsid w:val="00CF1BE2"/>
    <w:rsid w:val="00CF2997"/>
    <w:rsid w:val="00CF4348"/>
    <w:rsid w:val="00D00D90"/>
    <w:rsid w:val="00D011B7"/>
    <w:rsid w:val="00D033D7"/>
    <w:rsid w:val="00D0390F"/>
    <w:rsid w:val="00D03B6C"/>
    <w:rsid w:val="00D058F3"/>
    <w:rsid w:val="00D06B61"/>
    <w:rsid w:val="00D07995"/>
    <w:rsid w:val="00D11826"/>
    <w:rsid w:val="00D131C1"/>
    <w:rsid w:val="00D13318"/>
    <w:rsid w:val="00D16906"/>
    <w:rsid w:val="00D204A7"/>
    <w:rsid w:val="00D205B7"/>
    <w:rsid w:val="00D20A94"/>
    <w:rsid w:val="00D227E4"/>
    <w:rsid w:val="00D22C70"/>
    <w:rsid w:val="00D2384F"/>
    <w:rsid w:val="00D24AE0"/>
    <w:rsid w:val="00D251EB"/>
    <w:rsid w:val="00D266C3"/>
    <w:rsid w:val="00D2778A"/>
    <w:rsid w:val="00D3010B"/>
    <w:rsid w:val="00D32789"/>
    <w:rsid w:val="00D4015E"/>
    <w:rsid w:val="00D42E95"/>
    <w:rsid w:val="00D434E9"/>
    <w:rsid w:val="00D43D96"/>
    <w:rsid w:val="00D444A3"/>
    <w:rsid w:val="00D47D3F"/>
    <w:rsid w:val="00D509F9"/>
    <w:rsid w:val="00D519A3"/>
    <w:rsid w:val="00D57389"/>
    <w:rsid w:val="00D60100"/>
    <w:rsid w:val="00D60191"/>
    <w:rsid w:val="00D61D22"/>
    <w:rsid w:val="00D63428"/>
    <w:rsid w:val="00D6350B"/>
    <w:rsid w:val="00D64C29"/>
    <w:rsid w:val="00D64FAE"/>
    <w:rsid w:val="00D677CA"/>
    <w:rsid w:val="00D67E8B"/>
    <w:rsid w:val="00D67F5C"/>
    <w:rsid w:val="00D72DB3"/>
    <w:rsid w:val="00D7386D"/>
    <w:rsid w:val="00D7428A"/>
    <w:rsid w:val="00D766B5"/>
    <w:rsid w:val="00D800BE"/>
    <w:rsid w:val="00D80729"/>
    <w:rsid w:val="00D80C3D"/>
    <w:rsid w:val="00D810E3"/>
    <w:rsid w:val="00D81FB2"/>
    <w:rsid w:val="00D83519"/>
    <w:rsid w:val="00D83596"/>
    <w:rsid w:val="00D84DC3"/>
    <w:rsid w:val="00D87255"/>
    <w:rsid w:val="00D87CC5"/>
    <w:rsid w:val="00D90BCF"/>
    <w:rsid w:val="00D93CA1"/>
    <w:rsid w:val="00D93DF9"/>
    <w:rsid w:val="00D9503C"/>
    <w:rsid w:val="00DA1CE6"/>
    <w:rsid w:val="00DA204B"/>
    <w:rsid w:val="00DA2F64"/>
    <w:rsid w:val="00DA4B20"/>
    <w:rsid w:val="00DA5369"/>
    <w:rsid w:val="00DA556C"/>
    <w:rsid w:val="00DA668B"/>
    <w:rsid w:val="00DA710E"/>
    <w:rsid w:val="00DA7F32"/>
    <w:rsid w:val="00DB1F2E"/>
    <w:rsid w:val="00DB2684"/>
    <w:rsid w:val="00DB2A11"/>
    <w:rsid w:val="00DC1CE2"/>
    <w:rsid w:val="00DC3939"/>
    <w:rsid w:val="00DC4C41"/>
    <w:rsid w:val="00DC5139"/>
    <w:rsid w:val="00DC6B87"/>
    <w:rsid w:val="00DC6D26"/>
    <w:rsid w:val="00DC744C"/>
    <w:rsid w:val="00DD092F"/>
    <w:rsid w:val="00DD3124"/>
    <w:rsid w:val="00DD6456"/>
    <w:rsid w:val="00DD653F"/>
    <w:rsid w:val="00DD694C"/>
    <w:rsid w:val="00DD69AB"/>
    <w:rsid w:val="00DD6BBE"/>
    <w:rsid w:val="00DD7B36"/>
    <w:rsid w:val="00DE04FC"/>
    <w:rsid w:val="00DE09EA"/>
    <w:rsid w:val="00DE5E91"/>
    <w:rsid w:val="00DE6956"/>
    <w:rsid w:val="00DF0075"/>
    <w:rsid w:val="00DF1194"/>
    <w:rsid w:val="00DF23D2"/>
    <w:rsid w:val="00DF3CEA"/>
    <w:rsid w:val="00DF4458"/>
    <w:rsid w:val="00DF4B95"/>
    <w:rsid w:val="00DF6510"/>
    <w:rsid w:val="00DF742F"/>
    <w:rsid w:val="00E00F65"/>
    <w:rsid w:val="00E04C2F"/>
    <w:rsid w:val="00E10D3C"/>
    <w:rsid w:val="00E15283"/>
    <w:rsid w:val="00E15603"/>
    <w:rsid w:val="00E16EFF"/>
    <w:rsid w:val="00E16F41"/>
    <w:rsid w:val="00E20634"/>
    <w:rsid w:val="00E21577"/>
    <w:rsid w:val="00E2209C"/>
    <w:rsid w:val="00E22372"/>
    <w:rsid w:val="00E24FE7"/>
    <w:rsid w:val="00E265EF"/>
    <w:rsid w:val="00E26D7C"/>
    <w:rsid w:val="00E31067"/>
    <w:rsid w:val="00E33E7D"/>
    <w:rsid w:val="00E35800"/>
    <w:rsid w:val="00E35A60"/>
    <w:rsid w:val="00E35CE4"/>
    <w:rsid w:val="00E36C11"/>
    <w:rsid w:val="00E36CD2"/>
    <w:rsid w:val="00E37507"/>
    <w:rsid w:val="00E40A49"/>
    <w:rsid w:val="00E40FC4"/>
    <w:rsid w:val="00E44BE1"/>
    <w:rsid w:val="00E47184"/>
    <w:rsid w:val="00E47497"/>
    <w:rsid w:val="00E52614"/>
    <w:rsid w:val="00E53EE6"/>
    <w:rsid w:val="00E55674"/>
    <w:rsid w:val="00E55D63"/>
    <w:rsid w:val="00E55FC8"/>
    <w:rsid w:val="00E57165"/>
    <w:rsid w:val="00E576F4"/>
    <w:rsid w:val="00E57A50"/>
    <w:rsid w:val="00E57D4E"/>
    <w:rsid w:val="00E60525"/>
    <w:rsid w:val="00E63329"/>
    <w:rsid w:val="00E71E0C"/>
    <w:rsid w:val="00E73F27"/>
    <w:rsid w:val="00E7677B"/>
    <w:rsid w:val="00E772C3"/>
    <w:rsid w:val="00E80239"/>
    <w:rsid w:val="00E814B2"/>
    <w:rsid w:val="00E81715"/>
    <w:rsid w:val="00E83682"/>
    <w:rsid w:val="00E84E44"/>
    <w:rsid w:val="00E90714"/>
    <w:rsid w:val="00E90FC9"/>
    <w:rsid w:val="00E9154B"/>
    <w:rsid w:val="00E91BD9"/>
    <w:rsid w:val="00E931B1"/>
    <w:rsid w:val="00E940EE"/>
    <w:rsid w:val="00EA1635"/>
    <w:rsid w:val="00EA1A95"/>
    <w:rsid w:val="00EA37B8"/>
    <w:rsid w:val="00EA48D2"/>
    <w:rsid w:val="00EA497B"/>
    <w:rsid w:val="00EA6172"/>
    <w:rsid w:val="00EB15DB"/>
    <w:rsid w:val="00EB1BE3"/>
    <w:rsid w:val="00EB22AE"/>
    <w:rsid w:val="00EB2980"/>
    <w:rsid w:val="00EB41A1"/>
    <w:rsid w:val="00EB794A"/>
    <w:rsid w:val="00EC05E2"/>
    <w:rsid w:val="00EC0B66"/>
    <w:rsid w:val="00EC234C"/>
    <w:rsid w:val="00EC3C68"/>
    <w:rsid w:val="00EC46D7"/>
    <w:rsid w:val="00EC59A5"/>
    <w:rsid w:val="00EC5CBE"/>
    <w:rsid w:val="00EC6F24"/>
    <w:rsid w:val="00EC77CC"/>
    <w:rsid w:val="00ED08D5"/>
    <w:rsid w:val="00ED09CD"/>
    <w:rsid w:val="00ED1CFC"/>
    <w:rsid w:val="00ED38D4"/>
    <w:rsid w:val="00ED4102"/>
    <w:rsid w:val="00EE11DA"/>
    <w:rsid w:val="00EE5847"/>
    <w:rsid w:val="00EE6FD4"/>
    <w:rsid w:val="00EE7473"/>
    <w:rsid w:val="00EF13C4"/>
    <w:rsid w:val="00EF2BD3"/>
    <w:rsid w:val="00EF32CD"/>
    <w:rsid w:val="00EF527A"/>
    <w:rsid w:val="00EF53D1"/>
    <w:rsid w:val="00EF58B8"/>
    <w:rsid w:val="00EF6778"/>
    <w:rsid w:val="00F00D9B"/>
    <w:rsid w:val="00F02766"/>
    <w:rsid w:val="00F02B81"/>
    <w:rsid w:val="00F0314A"/>
    <w:rsid w:val="00F045F4"/>
    <w:rsid w:val="00F072F8"/>
    <w:rsid w:val="00F07BF0"/>
    <w:rsid w:val="00F07C11"/>
    <w:rsid w:val="00F10325"/>
    <w:rsid w:val="00F1077E"/>
    <w:rsid w:val="00F12143"/>
    <w:rsid w:val="00F1381D"/>
    <w:rsid w:val="00F13C69"/>
    <w:rsid w:val="00F14E8C"/>
    <w:rsid w:val="00F15B34"/>
    <w:rsid w:val="00F16E3E"/>
    <w:rsid w:val="00F17E10"/>
    <w:rsid w:val="00F20353"/>
    <w:rsid w:val="00F20E55"/>
    <w:rsid w:val="00F22203"/>
    <w:rsid w:val="00F231F6"/>
    <w:rsid w:val="00F23AC3"/>
    <w:rsid w:val="00F24128"/>
    <w:rsid w:val="00F25DFA"/>
    <w:rsid w:val="00F27714"/>
    <w:rsid w:val="00F27836"/>
    <w:rsid w:val="00F30669"/>
    <w:rsid w:val="00F3187C"/>
    <w:rsid w:val="00F3358D"/>
    <w:rsid w:val="00F34412"/>
    <w:rsid w:val="00F358E3"/>
    <w:rsid w:val="00F37D59"/>
    <w:rsid w:val="00F40E58"/>
    <w:rsid w:val="00F416F3"/>
    <w:rsid w:val="00F4297A"/>
    <w:rsid w:val="00F44997"/>
    <w:rsid w:val="00F46158"/>
    <w:rsid w:val="00F47371"/>
    <w:rsid w:val="00F47755"/>
    <w:rsid w:val="00F52128"/>
    <w:rsid w:val="00F523B0"/>
    <w:rsid w:val="00F53193"/>
    <w:rsid w:val="00F5340D"/>
    <w:rsid w:val="00F563BA"/>
    <w:rsid w:val="00F57248"/>
    <w:rsid w:val="00F57AA6"/>
    <w:rsid w:val="00F639BF"/>
    <w:rsid w:val="00F64128"/>
    <w:rsid w:val="00F668E5"/>
    <w:rsid w:val="00F66AB4"/>
    <w:rsid w:val="00F671BE"/>
    <w:rsid w:val="00F706AC"/>
    <w:rsid w:val="00F71E1B"/>
    <w:rsid w:val="00F74465"/>
    <w:rsid w:val="00F74E29"/>
    <w:rsid w:val="00F76D17"/>
    <w:rsid w:val="00F81EF9"/>
    <w:rsid w:val="00F840E0"/>
    <w:rsid w:val="00F86273"/>
    <w:rsid w:val="00F87A6A"/>
    <w:rsid w:val="00F92BB8"/>
    <w:rsid w:val="00F933BD"/>
    <w:rsid w:val="00F94F72"/>
    <w:rsid w:val="00F9501C"/>
    <w:rsid w:val="00F961DF"/>
    <w:rsid w:val="00F96B1C"/>
    <w:rsid w:val="00F97146"/>
    <w:rsid w:val="00F97E2E"/>
    <w:rsid w:val="00FA0CAC"/>
    <w:rsid w:val="00FA125B"/>
    <w:rsid w:val="00FA2911"/>
    <w:rsid w:val="00FA5347"/>
    <w:rsid w:val="00FA645A"/>
    <w:rsid w:val="00FA75BE"/>
    <w:rsid w:val="00FA7E5A"/>
    <w:rsid w:val="00FA7F80"/>
    <w:rsid w:val="00FB0A55"/>
    <w:rsid w:val="00FB1627"/>
    <w:rsid w:val="00FB19A2"/>
    <w:rsid w:val="00FB1BB8"/>
    <w:rsid w:val="00FB3960"/>
    <w:rsid w:val="00FB5465"/>
    <w:rsid w:val="00FB5C6E"/>
    <w:rsid w:val="00FB5FB6"/>
    <w:rsid w:val="00FB7C68"/>
    <w:rsid w:val="00FC0DE1"/>
    <w:rsid w:val="00FC23DC"/>
    <w:rsid w:val="00FC4891"/>
    <w:rsid w:val="00FC4F83"/>
    <w:rsid w:val="00FD3AD3"/>
    <w:rsid w:val="00FD7ECE"/>
    <w:rsid w:val="00FE08D3"/>
    <w:rsid w:val="00FE3785"/>
    <w:rsid w:val="00FE3F56"/>
    <w:rsid w:val="00FE50D6"/>
    <w:rsid w:val="00FE7793"/>
    <w:rsid w:val="00FE7F8A"/>
    <w:rsid w:val="00FF0361"/>
    <w:rsid w:val="00FF0AC1"/>
    <w:rsid w:val="00FF127F"/>
    <w:rsid w:val="00FF2A24"/>
    <w:rsid w:val="00FF40C3"/>
    <w:rsid w:val="00FF420E"/>
    <w:rsid w:val="00FF5C50"/>
    <w:rsid w:val="00FF5E54"/>
    <w:rsid w:val="298C0D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CEFC84"/>
  <w15:chartTrackingRefBased/>
  <w15:docId w15:val="{A309AF30-3BE1-48AE-A18B-E1A03012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7C2"/>
    <w:pPr>
      <w:spacing w:after="200" w:line="276" w:lineRule="auto"/>
    </w:pPr>
  </w:style>
  <w:style w:type="paragraph" w:styleId="Heading1">
    <w:name w:val="heading 1"/>
    <w:basedOn w:val="Normal"/>
    <w:next w:val="Normal"/>
    <w:link w:val="Heading1Char"/>
    <w:uiPriority w:val="9"/>
    <w:qFormat/>
    <w:rsid w:val="003767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767C2"/>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Heading3">
    <w:name w:val="heading 3"/>
    <w:basedOn w:val="Normal"/>
    <w:next w:val="Normal"/>
    <w:link w:val="Heading3Char"/>
    <w:uiPriority w:val="9"/>
    <w:semiHidden/>
    <w:unhideWhenUsed/>
    <w:qFormat/>
    <w:rsid w:val="008A01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767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67C2"/>
    <w:rPr>
      <w:rFonts w:asciiTheme="majorHAnsi" w:eastAsiaTheme="majorEastAsia" w:hAnsiTheme="majorHAnsi" w:cstheme="majorBidi"/>
      <w:color w:val="2E74B5" w:themeColor="accent1" w:themeShade="BF"/>
      <w:sz w:val="32"/>
      <w:szCs w:val="32"/>
      <w:lang w:val="pl-PL"/>
    </w:rPr>
  </w:style>
  <w:style w:type="character" w:customStyle="1" w:styleId="Heading2Char">
    <w:name w:val="Heading 2 Char"/>
    <w:basedOn w:val="DefaultParagraphFont"/>
    <w:link w:val="Heading2"/>
    <w:uiPriority w:val="9"/>
    <w:rsid w:val="003767C2"/>
    <w:rPr>
      <w:rFonts w:ascii="Times New Roman" w:eastAsia="Times New Roman" w:hAnsi="Times New Roman" w:cs="Times New Roman"/>
      <w:b/>
      <w:bCs/>
      <w:sz w:val="36"/>
      <w:szCs w:val="36"/>
      <w:lang w:val="pl-PL" w:eastAsia="fr-BE"/>
    </w:rPr>
  </w:style>
  <w:style w:type="character" w:customStyle="1" w:styleId="Heading4Char">
    <w:name w:val="Heading 4 Char"/>
    <w:basedOn w:val="DefaultParagraphFont"/>
    <w:link w:val="Heading4"/>
    <w:uiPriority w:val="9"/>
    <w:semiHidden/>
    <w:rsid w:val="003767C2"/>
    <w:rPr>
      <w:rFonts w:asciiTheme="majorHAnsi" w:eastAsiaTheme="majorEastAsia" w:hAnsiTheme="majorHAnsi" w:cstheme="majorBidi"/>
      <w:i/>
      <w:iCs/>
      <w:color w:val="2E74B5" w:themeColor="accent1" w:themeShade="BF"/>
      <w:lang w:val="pl-PL"/>
    </w:rPr>
  </w:style>
  <w:style w:type="paragraph" w:styleId="ListParagraph">
    <w:name w:val="List Paragraph"/>
    <w:aliases w:val="List,List1,List11,List111,1st level - Bullet List Paragraph,List Paragraph1,Lettre d'introduction,Paragrafo elenco,Normal bullet 2,Medium Grid 1 - Accent 21,List Paragraph11,FooterText,Paragraphe de liste1,Bullet list,List1111,Bullets,L"/>
    <w:basedOn w:val="Normal"/>
    <w:link w:val="ListParagraphChar"/>
    <w:uiPriority w:val="34"/>
    <w:qFormat/>
    <w:rsid w:val="003767C2"/>
    <w:pPr>
      <w:ind w:left="720"/>
      <w:contextualSpacing/>
    </w:p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003767C2"/>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sid w:val="003767C2"/>
    <w:rPr>
      <w:sz w:val="20"/>
      <w:szCs w:val="20"/>
      <w:lang w:val="pl-PL"/>
    </w:rPr>
  </w:style>
  <w:style w:type="character" w:styleId="FootnoteReference">
    <w:name w:val="footnote reference"/>
    <w:aliases w:val="Footnote Reference Superscript,Footnote symbol,BVI fnr, BVI fnr,Footnote reference number,note TESI,Appel note de bas de p,Nota,SUPERS,Footnote number,EN Footnote Reference,-E Fußnotenzeichen,number Char Char,number,Ref,styl,styli,R,F"/>
    <w:basedOn w:val="DefaultParagraphFont"/>
    <w:link w:val="FootnoteReferenceLVL6"/>
    <w:uiPriority w:val="99"/>
    <w:unhideWhenUsed/>
    <w:qFormat/>
    <w:rsid w:val="003767C2"/>
    <w:rPr>
      <w:vertAlign w:val="superscript"/>
    </w:rPr>
  </w:style>
  <w:style w:type="paragraph" w:styleId="Header">
    <w:name w:val="header"/>
    <w:basedOn w:val="Normal"/>
    <w:link w:val="HeaderChar"/>
    <w:uiPriority w:val="99"/>
    <w:unhideWhenUsed/>
    <w:rsid w:val="003767C2"/>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sid w:val="003767C2"/>
    <w:rPr>
      <w:rFonts w:ascii="Times New Roman" w:hAnsi="Times New Roman" w:cs="Times New Roman"/>
      <w:sz w:val="24"/>
      <w:lang w:val="pl-PL"/>
    </w:rPr>
  </w:style>
  <w:style w:type="paragraph" w:styleId="Footer">
    <w:name w:val="footer"/>
    <w:basedOn w:val="Normal"/>
    <w:link w:val="FooterChar"/>
    <w:uiPriority w:val="99"/>
    <w:unhideWhenUsed/>
    <w:rsid w:val="003767C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sid w:val="003767C2"/>
    <w:rPr>
      <w:rFonts w:ascii="Times New Roman" w:hAnsi="Times New Roman" w:cs="Times New Roman"/>
      <w:sz w:val="24"/>
      <w:lang w:val="pl-PL"/>
    </w:rPr>
  </w:style>
  <w:style w:type="character" w:styleId="Hyperlink">
    <w:name w:val="Hyperlink"/>
    <w:basedOn w:val="DefaultParagraphFont"/>
    <w:uiPriority w:val="99"/>
    <w:unhideWhenUsed/>
    <w:qFormat/>
    <w:rsid w:val="003767C2"/>
    <w:rPr>
      <w:color w:val="0563C1" w:themeColor="hyperlink"/>
      <w:u w:val="single"/>
    </w:rPr>
  </w:style>
  <w:style w:type="character" w:customStyle="1" w:styleId="ListParagraphChar">
    <w:name w:val="List Paragraph Char"/>
    <w:aliases w:val="List Char,List1 Char,List11 Char,List111 Char,1st level - Bullet List Paragraph Char,List Paragraph1 Char,Lettre d'introduction Char,Paragrafo elenco Char,Normal bullet 2 Char,Medium Grid 1 - Accent 21 Char,List Paragraph11 Char"/>
    <w:basedOn w:val="DefaultParagraphFont"/>
    <w:link w:val="ListParagraph"/>
    <w:uiPriority w:val="34"/>
    <w:qFormat/>
    <w:rsid w:val="003767C2"/>
    <w:rPr>
      <w:lang w:val="pl-PL"/>
    </w:rPr>
  </w:style>
  <w:style w:type="paragraph" w:customStyle="1" w:styleId="Text2">
    <w:name w:val="Text 2"/>
    <w:basedOn w:val="Normal"/>
    <w:uiPriority w:val="99"/>
    <w:rsid w:val="003767C2"/>
    <w:pPr>
      <w:tabs>
        <w:tab w:val="left" w:pos="2302"/>
      </w:tabs>
      <w:spacing w:after="240" w:line="240" w:lineRule="auto"/>
      <w:ind w:left="1202"/>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767C2"/>
    <w:rPr>
      <w:sz w:val="16"/>
      <w:szCs w:val="16"/>
    </w:rPr>
  </w:style>
  <w:style w:type="paragraph" w:styleId="CommentText">
    <w:name w:val="annotation text"/>
    <w:basedOn w:val="Normal"/>
    <w:link w:val="CommentTextChar"/>
    <w:uiPriority w:val="99"/>
    <w:unhideWhenUsed/>
    <w:rsid w:val="003767C2"/>
    <w:pPr>
      <w:spacing w:line="240" w:lineRule="auto"/>
    </w:pPr>
    <w:rPr>
      <w:sz w:val="20"/>
      <w:szCs w:val="20"/>
    </w:rPr>
  </w:style>
  <w:style w:type="character" w:customStyle="1" w:styleId="CommentTextChar">
    <w:name w:val="Comment Text Char"/>
    <w:basedOn w:val="DefaultParagraphFont"/>
    <w:link w:val="CommentText"/>
    <w:uiPriority w:val="99"/>
    <w:rsid w:val="003767C2"/>
    <w:rPr>
      <w:sz w:val="20"/>
      <w:szCs w:val="20"/>
      <w:lang w:val="pl-PL"/>
    </w:rPr>
  </w:style>
  <w:style w:type="paragraph" w:styleId="CommentSubject">
    <w:name w:val="annotation subject"/>
    <w:basedOn w:val="CommentText"/>
    <w:next w:val="CommentText"/>
    <w:link w:val="CommentSubjectChar"/>
    <w:uiPriority w:val="99"/>
    <w:semiHidden/>
    <w:unhideWhenUsed/>
    <w:rsid w:val="003767C2"/>
    <w:rPr>
      <w:b/>
      <w:bCs/>
    </w:rPr>
  </w:style>
  <w:style w:type="character" w:customStyle="1" w:styleId="CommentSubjectChar">
    <w:name w:val="Comment Subject Char"/>
    <w:basedOn w:val="CommentTextChar"/>
    <w:link w:val="CommentSubject"/>
    <w:uiPriority w:val="99"/>
    <w:semiHidden/>
    <w:rsid w:val="003767C2"/>
    <w:rPr>
      <w:b/>
      <w:bCs/>
      <w:sz w:val="20"/>
      <w:szCs w:val="20"/>
      <w:lang w:val="pl-PL"/>
    </w:rPr>
  </w:style>
  <w:style w:type="paragraph" w:styleId="BalloonText">
    <w:name w:val="Balloon Text"/>
    <w:basedOn w:val="Normal"/>
    <w:link w:val="BalloonTextChar"/>
    <w:uiPriority w:val="99"/>
    <w:semiHidden/>
    <w:unhideWhenUsed/>
    <w:rsid w:val="00376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7C2"/>
    <w:rPr>
      <w:rFonts w:ascii="Segoe UI" w:hAnsi="Segoe UI" w:cs="Segoe UI"/>
      <w:sz w:val="18"/>
      <w:szCs w:val="18"/>
      <w:lang w:val="pl-PL"/>
    </w:rPr>
  </w:style>
  <w:style w:type="paragraph" w:styleId="Revision">
    <w:name w:val="Revision"/>
    <w:hidden/>
    <w:uiPriority w:val="99"/>
    <w:semiHidden/>
    <w:rsid w:val="003767C2"/>
    <w:pPr>
      <w:spacing w:after="0" w:line="240" w:lineRule="auto"/>
    </w:pPr>
  </w:style>
  <w:style w:type="paragraph" w:customStyle="1" w:styleId="FootnoteReferenceLVL6">
    <w:name w:val="Footnote Reference_LVL6"/>
    <w:aliases w:val="Footnote Reference_LVL61,Footnote Reference_LVL62,Footnote Reference_LVL63,Footnote Reference_LVL64,fr,Odwo&lt;0142&gt;anie przypisu,SUPER,BVI fnr Char1 Char"/>
    <w:basedOn w:val="Normal"/>
    <w:next w:val="Normal"/>
    <w:link w:val="FootnoteReference"/>
    <w:uiPriority w:val="99"/>
    <w:rsid w:val="003767C2"/>
    <w:pPr>
      <w:spacing w:after="160" w:line="240" w:lineRule="exact"/>
      <w:jc w:val="both"/>
    </w:pPr>
    <w:rPr>
      <w:vertAlign w:val="superscript"/>
    </w:rPr>
  </w:style>
  <w:style w:type="character" w:styleId="FollowedHyperlink">
    <w:name w:val="FollowedHyperlink"/>
    <w:basedOn w:val="DefaultParagraphFont"/>
    <w:uiPriority w:val="99"/>
    <w:semiHidden/>
    <w:unhideWhenUsed/>
    <w:rsid w:val="003767C2"/>
    <w:rPr>
      <w:color w:val="954F72" w:themeColor="followedHyperlink"/>
      <w:u w:val="single"/>
    </w:rPr>
  </w:style>
  <w:style w:type="paragraph" w:customStyle="1" w:styleId="Default">
    <w:name w:val="Default"/>
    <w:rsid w:val="003767C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767C2"/>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ext1">
    <w:name w:val="Text 1"/>
    <w:basedOn w:val="Normal"/>
    <w:uiPriority w:val="90"/>
    <w:qFormat/>
    <w:rsid w:val="003767C2"/>
    <w:pPr>
      <w:spacing w:after="240" w:line="240" w:lineRule="auto"/>
      <w:ind w:left="482"/>
      <w:jc w:val="both"/>
    </w:pPr>
    <w:rPr>
      <w:rFonts w:ascii="Times New Roman" w:eastAsia="Times New Roman" w:hAnsi="Times New Roman" w:cs="Times New Roman"/>
      <w:sz w:val="24"/>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uiPriority w:val="99"/>
    <w:rsid w:val="003767C2"/>
    <w:pPr>
      <w:spacing w:after="160" w:line="240" w:lineRule="exact"/>
    </w:pPr>
    <w:rPr>
      <w:rFonts w:ascii="Times New Roman" w:eastAsia="Times New Roman" w:hAnsi="Times New Roman" w:cs="Times New Roman"/>
      <w:sz w:val="24"/>
      <w:szCs w:val="20"/>
      <w:vertAlign w:val="superscript"/>
      <w:lang w:eastAsia="en-GB"/>
    </w:rPr>
  </w:style>
  <w:style w:type="table" w:styleId="TableGrid">
    <w:name w:val="Table Grid"/>
    <w:basedOn w:val="TableNormal"/>
    <w:uiPriority w:val="59"/>
    <w:rsid w:val="00376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Hanging12a">
    <w:name w:val="NormalHanging12a"/>
    <w:basedOn w:val="Normal"/>
    <w:link w:val="NormalHanging12aChar"/>
    <w:rsid w:val="003767C2"/>
    <w:pPr>
      <w:widowControl w:val="0"/>
      <w:spacing w:after="240" w:line="240" w:lineRule="auto"/>
      <w:ind w:left="567" w:hanging="567"/>
    </w:pPr>
    <w:rPr>
      <w:rFonts w:ascii="Times New Roman" w:eastAsia="Times New Roman" w:hAnsi="Times New Roman" w:cs="Times New Roman"/>
      <w:sz w:val="24"/>
      <w:szCs w:val="20"/>
      <w:lang w:eastAsia="en-GB"/>
    </w:rPr>
  </w:style>
  <w:style w:type="character" w:customStyle="1" w:styleId="NormalHanging12aChar">
    <w:name w:val="NormalHanging12a Char"/>
    <w:basedOn w:val="DefaultParagraphFont"/>
    <w:link w:val="NormalHanging12a"/>
    <w:locked/>
    <w:rsid w:val="003767C2"/>
    <w:rPr>
      <w:rFonts w:ascii="Times New Roman" w:eastAsia="Times New Roman" w:hAnsi="Times New Roman" w:cs="Times New Roman"/>
      <w:sz w:val="24"/>
      <w:szCs w:val="20"/>
      <w:lang w:val="pl-PL" w:eastAsia="en-GB"/>
    </w:rPr>
  </w:style>
  <w:style w:type="paragraph" w:styleId="NoSpacing">
    <w:name w:val="No Spacing"/>
    <w:uiPriority w:val="1"/>
    <w:qFormat/>
    <w:rsid w:val="003767C2"/>
    <w:pPr>
      <w:spacing w:after="0" w:line="240" w:lineRule="auto"/>
    </w:pPr>
  </w:style>
  <w:style w:type="character" w:styleId="Strong">
    <w:name w:val="Strong"/>
    <w:basedOn w:val="DefaultParagraphFont"/>
    <w:uiPriority w:val="22"/>
    <w:qFormat/>
    <w:rsid w:val="003767C2"/>
    <w:rPr>
      <w:b/>
      <w:bCs/>
    </w:rPr>
  </w:style>
  <w:style w:type="table" w:styleId="GridTable1Light-Accent1">
    <w:name w:val="Grid Table 1 Light Accent 1"/>
    <w:basedOn w:val="TableNormal"/>
    <w:uiPriority w:val="46"/>
    <w:rsid w:val="003767C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Marker">
    <w:name w:val="Marker"/>
    <w:basedOn w:val="DefaultParagraphFont"/>
    <w:rsid w:val="003767C2"/>
    <w:rPr>
      <w:color w:val="0000FF"/>
      <w:shd w:val="clear" w:color="auto" w:fill="auto"/>
    </w:rPr>
  </w:style>
  <w:style w:type="paragraph" w:customStyle="1" w:styleId="FooterLandscape">
    <w:name w:val="FooterLandscape"/>
    <w:basedOn w:val="Normal"/>
    <w:rsid w:val="003767C2"/>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rsid w:val="003767C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HeaderLandscape">
    <w:name w:val="HeaderLandscape"/>
    <w:basedOn w:val="Normal"/>
    <w:rsid w:val="003767C2"/>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rsid w:val="003767C2"/>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rsid w:val="003767C2"/>
    <w:pPr>
      <w:spacing w:after="120" w:line="240" w:lineRule="auto"/>
      <w:jc w:val="right"/>
    </w:pPr>
    <w:rPr>
      <w:rFonts w:ascii="Times New Roman" w:hAnsi="Times New Roman" w:cs="Times New Roman"/>
      <w:sz w:val="28"/>
    </w:rPr>
  </w:style>
  <w:style w:type="paragraph" w:customStyle="1" w:styleId="Pagedecouverture">
    <w:name w:val="Page de couverture"/>
    <w:basedOn w:val="Normal"/>
    <w:next w:val="Normal"/>
    <w:rsid w:val="003767C2"/>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3767C2"/>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3767C2"/>
    <w:rPr>
      <w:rFonts w:ascii="Times New Roman" w:hAnsi="Times New Roman" w:cs="Times New Roman"/>
      <w:sz w:val="24"/>
    </w:rPr>
  </w:style>
  <w:style w:type="paragraph" w:customStyle="1" w:styleId="HeaderCoverPage">
    <w:name w:val="Header Cover Page"/>
    <w:basedOn w:val="Normal"/>
    <w:link w:val="HeaderCoverPageChar"/>
    <w:rsid w:val="003767C2"/>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3767C2"/>
    <w:rPr>
      <w:rFonts w:ascii="Times New Roman" w:hAnsi="Times New Roman" w:cs="Times New Roman"/>
      <w:sz w:val="24"/>
    </w:rPr>
  </w:style>
  <w:style w:type="paragraph" w:customStyle="1" w:styleId="CommentText1">
    <w:name w:val="Comment Text1"/>
    <w:basedOn w:val="Normal"/>
    <w:next w:val="CommentText"/>
    <w:uiPriority w:val="99"/>
    <w:unhideWhenUsed/>
    <w:rsid w:val="0084534C"/>
    <w:pPr>
      <w:spacing w:line="240" w:lineRule="auto"/>
    </w:pPr>
    <w:rPr>
      <w:sz w:val="20"/>
      <w:szCs w:val="20"/>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
    <w:basedOn w:val="Normal"/>
    <w:uiPriority w:val="99"/>
    <w:rsid w:val="00C8375E"/>
    <w:pPr>
      <w:spacing w:after="160" w:line="240" w:lineRule="exact"/>
    </w:pPr>
    <w:rPr>
      <w:vertAlign w:val="superscript"/>
    </w:rPr>
  </w:style>
  <w:style w:type="paragraph" w:styleId="EndnoteText">
    <w:name w:val="endnote text"/>
    <w:basedOn w:val="Normal"/>
    <w:link w:val="EndnoteTextChar"/>
    <w:uiPriority w:val="99"/>
    <w:semiHidden/>
    <w:unhideWhenUsed/>
    <w:rsid w:val="007E5D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5D6C"/>
    <w:rPr>
      <w:sz w:val="20"/>
      <w:szCs w:val="20"/>
      <w:lang w:val="pl-PL"/>
    </w:rPr>
  </w:style>
  <w:style w:type="character" w:styleId="EndnoteReference">
    <w:name w:val="endnote reference"/>
    <w:basedOn w:val="DefaultParagraphFont"/>
    <w:uiPriority w:val="99"/>
    <w:semiHidden/>
    <w:unhideWhenUsed/>
    <w:rsid w:val="007E5D6C"/>
    <w:rPr>
      <w:vertAlign w:val="superscript"/>
    </w:rPr>
  </w:style>
  <w:style w:type="character" w:customStyle="1" w:styleId="Heading3Char">
    <w:name w:val="Heading 3 Char"/>
    <w:basedOn w:val="DefaultParagraphFont"/>
    <w:link w:val="Heading3"/>
    <w:uiPriority w:val="9"/>
    <w:semiHidden/>
    <w:rsid w:val="008A015B"/>
    <w:rPr>
      <w:rFonts w:asciiTheme="majorHAnsi" w:eastAsiaTheme="majorEastAsia" w:hAnsiTheme="majorHAnsi" w:cstheme="majorBidi"/>
      <w:color w:val="1F4D78" w:themeColor="accent1" w:themeShade="7F"/>
      <w:sz w:val="24"/>
      <w:szCs w:val="24"/>
      <w:lang w:val="pl-PL"/>
    </w:rPr>
  </w:style>
  <w:style w:type="character" w:styleId="HTMLCite">
    <w:name w:val="HTML Cite"/>
    <w:basedOn w:val="DefaultParagraphFont"/>
    <w:uiPriority w:val="99"/>
    <w:semiHidden/>
    <w:unhideWhenUsed/>
    <w:rsid w:val="008A015B"/>
    <w:rPr>
      <w:i/>
      <w:iCs/>
    </w:rPr>
  </w:style>
  <w:style w:type="character" w:customStyle="1" w:styleId="dyjrff">
    <w:name w:val="dyjrff"/>
    <w:basedOn w:val="DefaultParagraphFont"/>
    <w:rsid w:val="008A015B"/>
  </w:style>
  <w:style w:type="character" w:customStyle="1" w:styleId="UnresolvedMention">
    <w:name w:val="Unresolved Mention"/>
    <w:basedOn w:val="DefaultParagraphFont"/>
    <w:uiPriority w:val="99"/>
    <w:semiHidden/>
    <w:unhideWhenUsed/>
    <w:rsid w:val="00177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40155">
      <w:bodyDiv w:val="1"/>
      <w:marLeft w:val="0"/>
      <w:marRight w:val="0"/>
      <w:marTop w:val="0"/>
      <w:marBottom w:val="0"/>
      <w:divBdr>
        <w:top w:val="none" w:sz="0" w:space="0" w:color="auto"/>
        <w:left w:val="none" w:sz="0" w:space="0" w:color="auto"/>
        <w:bottom w:val="none" w:sz="0" w:space="0" w:color="auto"/>
        <w:right w:val="none" w:sz="0" w:space="0" w:color="auto"/>
      </w:divBdr>
    </w:div>
    <w:div w:id="226114038">
      <w:bodyDiv w:val="1"/>
      <w:marLeft w:val="0"/>
      <w:marRight w:val="0"/>
      <w:marTop w:val="0"/>
      <w:marBottom w:val="0"/>
      <w:divBdr>
        <w:top w:val="none" w:sz="0" w:space="0" w:color="auto"/>
        <w:left w:val="none" w:sz="0" w:space="0" w:color="auto"/>
        <w:bottom w:val="none" w:sz="0" w:space="0" w:color="auto"/>
        <w:right w:val="none" w:sz="0" w:space="0" w:color="auto"/>
      </w:divBdr>
    </w:div>
    <w:div w:id="340396726">
      <w:bodyDiv w:val="1"/>
      <w:marLeft w:val="0"/>
      <w:marRight w:val="0"/>
      <w:marTop w:val="0"/>
      <w:marBottom w:val="0"/>
      <w:divBdr>
        <w:top w:val="none" w:sz="0" w:space="0" w:color="auto"/>
        <w:left w:val="none" w:sz="0" w:space="0" w:color="auto"/>
        <w:bottom w:val="none" w:sz="0" w:space="0" w:color="auto"/>
        <w:right w:val="none" w:sz="0" w:space="0" w:color="auto"/>
      </w:divBdr>
    </w:div>
    <w:div w:id="443498344">
      <w:bodyDiv w:val="1"/>
      <w:marLeft w:val="0"/>
      <w:marRight w:val="0"/>
      <w:marTop w:val="0"/>
      <w:marBottom w:val="0"/>
      <w:divBdr>
        <w:top w:val="none" w:sz="0" w:space="0" w:color="auto"/>
        <w:left w:val="none" w:sz="0" w:space="0" w:color="auto"/>
        <w:bottom w:val="none" w:sz="0" w:space="0" w:color="auto"/>
        <w:right w:val="none" w:sz="0" w:space="0" w:color="auto"/>
      </w:divBdr>
    </w:div>
    <w:div w:id="523710171">
      <w:bodyDiv w:val="1"/>
      <w:marLeft w:val="0"/>
      <w:marRight w:val="0"/>
      <w:marTop w:val="0"/>
      <w:marBottom w:val="0"/>
      <w:divBdr>
        <w:top w:val="none" w:sz="0" w:space="0" w:color="auto"/>
        <w:left w:val="none" w:sz="0" w:space="0" w:color="auto"/>
        <w:bottom w:val="none" w:sz="0" w:space="0" w:color="auto"/>
        <w:right w:val="none" w:sz="0" w:space="0" w:color="auto"/>
      </w:divBdr>
    </w:div>
    <w:div w:id="563763659">
      <w:bodyDiv w:val="1"/>
      <w:marLeft w:val="0"/>
      <w:marRight w:val="0"/>
      <w:marTop w:val="0"/>
      <w:marBottom w:val="0"/>
      <w:divBdr>
        <w:top w:val="none" w:sz="0" w:space="0" w:color="auto"/>
        <w:left w:val="none" w:sz="0" w:space="0" w:color="auto"/>
        <w:bottom w:val="none" w:sz="0" w:space="0" w:color="auto"/>
        <w:right w:val="none" w:sz="0" w:space="0" w:color="auto"/>
      </w:divBdr>
    </w:div>
    <w:div w:id="564528549">
      <w:bodyDiv w:val="1"/>
      <w:marLeft w:val="0"/>
      <w:marRight w:val="0"/>
      <w:marTop w:val="0"/>
      <w:marBottom w:val="0"/>
      <w:divBdr>
        <w:top w:val="none" w:sz="0" w:space="0" w:color="auto"/>
        <w:left w:val="none" w:sz="0" w:space="0" w:color="auto"/>
        <w:bottom w:val="none" w:sz="0" w:space="0" w:color="auto"/>
        <w:right w:val="none" w:sz="0" w:space="0" w:color="auto"/>
      </w:divBdr>
    </w:div>
    <w:div w:id="619843280">
      <w:bodyDiv w:val="1"/>
      <w:marLeft w:val="0"/>
      <w:marRight w:val="0"/>
      <w:marTop w:val="0"/>
      <w:marBottom w:val="0"/>
      <w:divBdr>
        <w:top w:val="none" w:sz="0" w:space="0" w:color="auto"/>
        <w:left w:val="none" w:sz="0" w:space="0" w:color="auto"/>
        <w:bottom w:val="none" w:sz="0" w:space="0" w:color="auto"/>
        <w:right w:val="none" w:sz="0" w:space="0" w:color="auto"/>
      </w:divBdr>
    </w:div>
    <w:div w:id="678583226">
      <w:bodyDiv w:val="1"/>
      <w:marLeft w:val="0"/>
      <w:marRight w:val="0"/>
      <w:marTop w:val="0"/>
      <w:marBottom w:val="0"/>
      <w:divBdr>
        <w:top w:val="none" w:sz="0" w:space="0" w:color="auto"/>
        <w:left w:val="none" w:sz="0" w:space="0" w:color="auto"/>
        <w:bottom w:val="none" w:sz="0" w:space="0" w:color="auto"/>
        <w:right w:val="none" w:sz="0" w:space="0" w:color="auto"/>
      </w:divBdr>
    </w:div>
    <w:div w:id="722296263">
      <w:bodyDiv w:val="1"/>
      <w:marLeft w:val="0"/>
      <w:marRight w:val="0"/>
      <w:marTop w:val="0"/>
      <w:marBottom w:val="0"/>
      <w:divBdr>
        <w:top w:val="none" w:sz="0" w:space="0" w:color="auto"/>
        <w:left w:val="none" w:sz="0" w:space="0" w:color="auto"/>
        <w:bottom w:val="none" w:sz="0" w:space="0" w:color="auto"/>
        <w:right w:val="none" w:sz="0" w:space="0" w:color="auto"/>
      </w:divBdr>
      <w:divsChild>
        <w:div w:id="2009015873">
          <w:marLeft w:val="150"/>
          <w:marRight w:val="0"/>
          <w:marTop w:val="0"/>
          <w:marBottom w:val="0"/>
          <w:divBdr>
            <w:top w:val="none" w:sz="0" w:space="0" w:color="auto"/>
            <w:left w:val="none" w:sz="0" w:space="0" w:color="auto"/>
            <w:bottom w:val="none" w:sz="0" w:space="0" w:color="auto"/>
            <w:right w:val="none" w:sz="0" w:space="0" w:color="auto"/>
          </w:divBdr>
        </w:div>
      </w:divsChild>
    </w:div>
    <w:div w:id="744835447">
      <w:bodyDiv w:val="1"/>
      <w:marLeft w:val="0"/>
      <w:marRight w:val="0"/>
      <w:marTop w:val="0"/>
      <w:marBottom w:val="0"/>
      <w:divBdr>
        <w:top w:val="none" w:sz="0" w:space="0" w:color="auto"/>
        <w:left w:val="none" w:sz="0" w:space="0" w:color="auto"/>
        <w:bottom w:val="none" w:sz="0" w:space="0" w:color="auto"/>
        <w:right w:val="none" w:sz="0" w:space="0" w:color="auto"/>
      </w:divBdr>
    </w:div>
    <w:div w:id="762578316">
      <w:bodyDiv w:val="1"/>
      <w:marLeft w:val="0"/>
      <w:marRight w:val="0"/>
      <w:marTop w:val="0"/>
      <w:marBottom w:val="0"/>
      <w:divBdr>
        <w:top w:val="none" w:sz="0" w:space="0" w:color="auto"/>
        <w:left w:val="none" w:sz="0" w:space="0" w:color="auto"/>
        <w:bottom w:val="none" w:sz="0" w:space="0" w:color="auto"/>
        <w:right w:val="none" w:sz="0" w:space="0" w:color="auto"/>
      </w:divBdr>
    </w:div>
    <w:div w:id="794446690">
      <w:bodyDiv w:val="1"/>
      <w:marLeft w:val="0"/>
      <w:marRight w:val="0"/>
      <w:marTop w:val="0"/>
      <w:marBottom w:val="0"/>
      <w:divBdr>
        <w:top w:val="none" w:sz="0" w:space="0" w:color="auto"/>
        <w:left w:val="none" w:sz="0" w:space="0" w:color="auto"/>
        <w:bottom w:val="none" w:sz="0" w:space="0" w:color="auto"/>
        <w:right w:val="none" w:sz="0" w:space="0" w:color="auto"/>
      </w:divBdr>
    </w:div>
    <w:div w:id="850099044">
      <w:bodyDiv w:val="1"/>
      <w:marLeft w:val="0"/>
      <w:marRight w:val="0"/>
      <w:marTop w:val="0"/>
      <w:marBottom w:val="0"/>
      <w:divBdr>
        <w:top w:val="none" w:sz="0" w:space="0" w:color="auto"/>
        <w:left w:val="none" w:sz="0" w:space="0" w:color="auto"/>
        <w:bottom w:val="none" w:sz="0" w:space="0" w:color="auto"/>
        <w:right w:val="none" w:sz="0" w:space="0" w:color="auto"/>
      </w:divBdr>
    </w:div>
    <w:div w:id="875777025">
      <w:bodyDiv w:val="1"/>
      <w:marLeft w:val="0"/>
      <w:marRight w:val="0"/>
      <w:marTop w:val="0"/>
      <w:marBottom w:val="0"/>
      <w:divBdr>
        <w:top w:val="none" w:sz="0" w:space="0" w:color="auto"/>
        <w:left w:val="none" w:sz="0" w:space="0" w:color="auto"/>
        <w:bottom w:val="none" w:sz="0" w:space="0" w:color="auto"/>
        <w:right w:val="none" w:sz="0" w:space="0" w:color="auto"/>
      </w:divBdr>
    </w:div>
    <w:div w:id="905266408">
      <w:bodyDiv w:val="1"/>
      <w:marLeft w:val="0"/>
      <w:marRight w:val="0"/>
      <w:marTop w:val="0"/>
      <w:marBottom w:val="0"/>
      <w:divBdr>
        <w:top w:val="none" w:sz="0" w:space="0" w:color="auto"/>
        <w:left w:val="none" w:sz="0" w:space="0" w:color="auto"/>
        <w:bottom w:val="none" w:sz="0" w:space="0" w:color="auto"/>
        <w:right w:val="none" w:sz="0" w:space="0" w:color="auto"/>
      </w:divBdr>
    </w:div>
    <w:div w:id="1001663580">
      <w:bodyDiv w:val="1"/>
      <w:marLeft w:val="0"/>
      <w:marRight w:val="0"/>
      <w:marTop w:val="0"/>
      <w:marBottom w:val="0"/>
      <w:divBdr>
        <w:top w:val="none" w:sz="0" w:space="0" w:color="auto"/>
        <w:left w:val="none" w:sz="0" w:space="0" w:color="auto"/>
        <w:bottom w:val="none" w:sz="0" w:space="0" w:color="auto"/>
        <w:right w:val="none" w:sz="0" w:space="0" w:color="auto"/>
      </w:divBdr>
    </w:div>
    <w:div w:id="1127504044">
      <w:bodyDiv w:val="1"/>
      <w:marLeft w:val="0"/>
      <w:marRight w:val="0"/>
      <w:marTop w:val="0"/>
      <w:marBottom w:val="0"/>
      <w:divBdr>
        <w:top w:val="none" w:sz="0" w:space="0" w:color="auto"/>
        <w:left w:val="none" w:sz="0" w:space="0" w:color="auto"/>
        <w:bottom w:val="none" w:sz="0" w:space="0" w:color="auto"/>
        <w:right w:val="none" w:sz="0" w:space="0" w:color="auto"/>
      </w:divBdr>
    </w:div>
    <w:div w:id="1260870000">
      <w:bodyDiv w:val="1"/>
      <w:marLeft w:val="0"/>
      <w:marRight w:val="0"/>
      <w:marTop w:val="0"/>
      <w:marBottom w:val="0"/>
      <w:divBdr>
        <w:top w:val="none" w:sz="0" w:space="0" w:color="auto"/>
        <w:left w:val="none" w:sz="0" w:space="0" w:color="auto"/>
        <w:bottom w:val="none" w:sz="0" w:space="0" w:color="auto"/>
        <w:right w:val="none" w:sz="0" w:space="0" w:color="auto"/>
      </w:divBdr>
    </w:div>
    <w:div w:id="1303342214">
      <w:bodyDiv w:val="1"/>
      <w:marLeft w:val="0"/>
      <w:marRight w:val="0"/>
      <w:marTop w:val="0"/>
      <w:marBottom w:val="0"/>
      <w:divBdr>
        <w:top w:val="none" w:sz="0" w:space="0" w:color="auto"/>
        <w:left w:val="none" w:sz="0" w:space="0" w:color="auto"/>
        <w:bottom w:val="none" w:sz="0" w:space="0" w:color="auto"/>
        <w:right w:val="none" w:sz="0" w:space="0" w:color="auto"/>
      </w:divBdr>
    </w:div>
    <w:div w:id="1449858399">
      <w:bodyDiv w:val="1"/>
      <w:marLeft w:val="0"/>
      <w:marRight w:val="0"/>
      <w:marTop w:val="0"/>
      <w:marBottom w:val="0"/>
      <w:divBdr>
        <w:top w:val="none" w:sz="0" w:space="0" w:color="auto"/>
        <w:left w:val="none" w:sz="0" w:space="0" w:color="auto"/>
        <w:bottom w:val="none" w:sz="0" w:space="0" w:color="auto"/>
        <w:right w:val="none" w:sz="0" w:space="0" w:color="auto"/>
      </w:divBdr>
    </w:div>
    <w:div w:id="1451626761">
      <w:bodyDiv w:val="1"/>
      <w:marLeft w:val="0"/>
      <w:marRight w:val="0"/>
      <w:marTop w:val="0"/>
      <w:marBottom w:val="0"/>
      <w:divBdr>
        <w:top w:val="none" w:sz="0" w:space="0" w:color="auto"/>
        <w:left w:val="none" w:sz="0" w:space="0" w:color="auto"/>
        <w:bottom w:val="none" w:sz="0" w:space="0" w:color="auto"/>
        <w:right w:val="none" w:sz="0" w:space="0" w:color="auto"/>
      </w:divBdr>
    </w:div>
    <w:div w:id="1467160811">
      <w:bodyDiv w:val="1"/>
      <w:marLeft w:val="0"/>
      <w:marRight w:val="0"/>
      <w:marTop w:val="0"/>
      <w:marBottom w:val="0"/>
      <w:divBdr>
        <w:top w:val="none" w:sz="0" w:space="0" w:color="auto"/>
        <w:left w:val="none" w:sz="0" w:space="0" w:color="auto"/>
        <w:bottom w:val="none" w:sz="0" w:space="0" w:color="auto"/>
        <w:right w:val="none" w:sz="0" w:space="0" w:color="auto"/>
      </w:divBdr>
    </w:div>
    <w:div w:id="1531337093">
      <w:bodyDiv w:val="1"/>
      <w:marLeft w:val="0"/>
      <w:marRight w:val="0"/>
      <w:marTop w:val="0"/>
      <w:marBottom w:val="0"/>
      <w:divBdr>
        <w:top w:val="none" w:sz="0" w:space="0" w:color="auto"/>
        <w:left w:val="none" w:sz="0" w:space="0" w:color="auto"/>
        <w:bottom w:val="none" w:sz="0" w:space="0" w:color="auto"/>
        <w:right w:val="none" w:sz="0" w:space="0" w:color="auto"/>
      </w:divBdr>
    </w:div>
    <w:div w:id="1542866385">
      <w:bodyDiv w:val="1"/>
      <w:marLeft w:val="0"/>
      <w:marRight w:val="0"/>
      <w:marTop w:val="0"/>
      <w:marBottom w:val="0"/>
      <w:divBdr>
        <w:top w:val="none" w:sz="0" w:space="0" w:color="auto"/>
        <w:left w:val="none" w:sz="0" w:space="0" w:color="auto"/>
        <w:bottom w:val="none" w:sz="0" w:space="0" w:color="auto"/>
        <w:right w:val="none" w:sz="0" w:space="0" w:color="auto"/>
      </w:divBdr>
    </w:div>
    <w:div w:id="1584753512">
      <w:bodyDiv w:val="1"/>
      <w:marLeft w:val="0"/>
      <w:marRight w:val="0"/>
      <w:marTop w:val="0"/>
      <w:marBottom w:val="0"/>
      <w:divBdr>
        <w:top w:val="none" w:sz="0" w:space="0" w:color="auto"/>
        <w:left w:val="none" w:sz="0" w:space="0" w:color="auto"/>
        <w:bottom w:val="none" w:sz="0" w:space="0" w:color="auto"/>
        <w:right w:val="none" w:sz="0" w:space="0" w:color="auto"/>
      </w:divBdr>
      <w:divsChild>
        <w:div w:id="412968584">
          <w:marLeft w:val="0"/>
          <w:marRight w:val="0"/>
          <w:marTop w:val="0"/>
          <w:marBottom w:val="0"/>
          <w:divBdr>
            <w:top w:val="none" w:sz="0" w:space="0" w:color="auto"/>
            <w:left w:val="none" w:sz="0" w:space="0" w:color="auto"/>
            <w:bottom w:val="none" w:sz="0" w:space="0" w:color="auto"/>
            <w:right w:val="none" w:sz="0" w:space="0" w:color="auto"/>
          </w:divBdr>
        </w:div>
      </w:divsChild>
    </w:div>
    <w:div w:id="1644889254">
      <w:bodyDiv w:val="1"/>
      <w:marLeft w:val="0"/>
      <w:marRight w:val="0"/>
      <w:marTop w:val="0"/>
      <w:marBottom w:val="0"/>
      <w:divBdr>
        <w:top w:val="none" w:sz="0" w:space="0" w:color="auto"/>
        <w:left w:val="none" w:sz="0" w:space="0" w:color="auto"/>
        <w:bottom w:val="none" w:sz="0" w:space="0" w:color="auto"/>
        <w:right w:val="none" w:sz="0" w:space="0" w:color="auto"/>
      </w:divBdr>
    </w:div>
    <w:div w:id="1841195091">
      <w:bodyDiv w:val="1"/>
      <w:marLeft w:val="0"/>
      <w:marRight w:val="0"/>
      <w:marTop w:val="0"/>
      <w:marBottom w:val="0"/>
      <w:divBdr>
        <w:top w:val="none" w:sz="0" w:space="0" w:color="auto"/>
        <w:left w:val="none" w:sz="0" w:space="0" w:color="auto"/>
        <w:bottom w:val="none" w:sz="0" w:space="0" w:color="auto"/>
        <w:right w:val="none" w:sz="0" w:space="0" w:color="auto"/>
      </w:divBdr>
    </w:div>
    <w:div w:id="1886864129">
      <w:bodyDiv w:val="1"/>
      <w:marLeft w:val="0"/>
      <w:marRight w:val="0"/>
      <w:marTop w:val="0"/>
      <w:marBottom w:val="0"/>
      <w:divBdr>
        <w:top w:val="none" w:sz="0" w:space="0" w:color="auto"/>
        <w:left w:val="none" w:sz="0" w:space="0" w:color="auto"/>
        <w:bottom w:val="none" w:sz="0" w:space="0" w:color="auto"/>
        <w:right w:val="none" w:sz="0" w:space="0" w:color="auto"/>
      </w:divBdr>
    </w:div>
    <w:div w:id="2064324439">
      <w:bodyDiv w:val="1"/>
      <w:marLeft w:val="0"/>
      <w:marRight w:val="0"/>
      <w:marTop w:val="0"/>
      <w:marBottom w:val="0"/>
      <w:divBdr>
        <w:top w:val="none" w:sz="0" w:space="0" w:color="auto"/>
        <w:left w:val="none" w:sz="0" w:space="0" w:color="auto"/>
        <w:bottom w:val="none" w:sz="0" w:space="0" w:color="auto"/>
        <w:right w:val="none" w:sz="0" w:space="0" w:color="auto"/>
      </w:divBdr>
    </w:div>
    <w:div w:id="2065131299">
      <w:bodyDiv w:val="1"/>
      <w:marLeft w:val="0"/>
      <w:marRight w:val="0"/>
      <w:marTop w:val="0"/>
      <w:marBottom w:val="0"/>
      <w:divBdr>
        <w:top w:val="none" w:sz="0" w:space="0" w:color="auto"/>
        <w:left w:val="none" w:sz="0" w:space="0" w:color="auto"/>
        <w:bottom w:val="none" w:sz="0" w:space="0" w:color="auto"/>
        <w:right w:val="none" w:sz="0" w:space="0" w:color="auto"/>
      </w:divBdr>
    </w:div>
    <w:div w:id="214211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home-affairs/what-we-do/policies/legal-migration/fitness-check_en"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eurostat/databrowser/view/proj_19np/default/table?lang=en" TargetMode="External"/><Relationship Id="rId13" Type="http://schemas.openxmlformats.org/officeDocument/2006/relationships/hyperlink" Target="https://ec.europa.eu/info/policies/justice-and-fundamental-rights/combatting-discrimination/racism-and-xenophobia/eu-anti-racism-action-plan-2020-2025_en" TargetMode="External"/><Relationship Id="rId18" Type="http://schemas.openxmlformats.org/officeDocument/2006/relationships/hyperlink" Target="https://www.oecd.org/publications/building-an-eu-talent-pool-6ea982a0-en.htm" TargetMode="External"/><Relationship Id="rId26" Type="http://schemas.openxmlformats.org/officeDocument/2006/relationships/hyperlink" Target="https://www.who.int/hrh/migration/code/WHO_global_code_of_practice_EN.pdf" TargetMode="External"/><Relationship Id="rId39" Type="http://schemas.openxmlformats.org/officeDocument/2006/relationships/hyperlink" Target="https://digital-strategy.ec.europa.eu/en/news/sme-strategy-launched-european-commission" TargetMode="External"/><Relationship Id="rId3" Type="http://schemas.openxmlformats.org/officeDocument/2006/relationships/hyperlink" Target="https://data2.unhcr.org/en/situations/ukraine" TargetMode="External"/><Relationship Id="rId21" Type="http://schemas.openxmlformats.org/officeDocument/2006/relationships/hyperlink" Target="https://www.ela.europa.eu/en/news/analysis-shortage-and-surplus-occupations-2021" TargetMode="External"/><Relationship Id="rId34" Type="http://schemas.openxmlformats.org/officeDocument/2006/relationships/hyperlink" Target="https://ec.europa.eu/growth/industry/strategy/cluster-policy_en" TargetMode="External"/><Relationship Id="rId7" Type="http://schemas.openxmlformats.org/officeDocument/2006/relationships/hyperlink" Target="https://ec.europa.eu/eurostat/databrowser/view/proj_19np/default/table?lang=en" TargetMode="External"/><Relationship Id="rId12" Type="http://schemas.openxmlformats.org/officeDocument/2006/relationships/hyperlink" Target="https://www.ela.europa.eu/en/news/analysis-shortage-and-surplus-occupations-2021" TargetMode="External"/><Relationship Id="rId17" Type="http://schemas.openxmlformats.org/officeDocument/2006/relationships/hyperlink" Target="https://www.europarl.europa.eu/doceo/document/TA-9-2021-0472_PL.html" TargetMode="External"/><Relationship Id="rId25" Type="http://schemas.openxmlformats.org/officeDocument/2006/relationships/hyperlink" Target="https://ec.europa.eu/info/law/better-regulation/have-your-say/initiatives/12722-Zmiany-demograficzne-w-Europie-zielona-ksiega-w-sprawie-starzenia-sie-spo%C5%82eczenstwa_pl" TargetMode="External"/><Relationship Id="rId33" Type="http://schemas.openxmlformats.org/officeDocument/2006/relationships/hyperlink" Target="https://ec.europa.eu/growth/smes/supporting-entrepreneurship/erasmus-young-entrepreneurs_en" TargetMode="External"/><Relationship Id="rId38" Type="http://schemas.openxmlformats.org/officeDocument/2006/relationships/hyperlink" Target="https://presidence-francaise.consilium.europa.eu/en/news/press-release-scale-up-europe-spurs-collective-action-to-accelerate-european-tech/" TargetMode="External"/><Relationship Id="rId2" Type="http://schemas.openxmlformats.org/officeDocument/2006/relationships/hyperlink" Target="https://ec.europa.eu/eurostat/databrowser/bookmark/e47ab63f-628b-4963-b6f9-108ca09a1e20?lang=en" TargetMode="External"/><Relationship Id="rId16" Type="http://schemas.openxmlformats.org/officeDocument/2006/relationships/hyperlink" Target="https://www.europarl.europa.eu/doceo/document/TA-9-2021-0260_PL.html" TargetMode="External"/><Relationship Id="rId20" Type="http://schemas.openxmlformats.org/officeDocument/2006/relationships/hyperlink" Target="https://ec.europa.eu/commission/presscorner/detail/en/ip_21_2921" TargetMode="External"/><Relationship Id="rId29" Type="http://schemas.openxmlformats.org/officeDocument/2006/relationships/hyperlink" Target="https://ec.europa.eu/info/funding-tenders/find-funding/eu-funding-programmes/single-market-programme/overview_pl" TargetMode="External"/><Relationship Id="rId1" Type="http://schemas.openxmlformats.org/officeDocument/2006/relationships/hyperlink" Target="https://ec.europa.eu/eurostat/statistics-explained/index.php?title=Migration_and_migrant_population_statistics" TargetMode="External"/><Relationship Id="rId6" Type="http://schemas.openxmlformats.org/officeDocument/2006/relationships/hyperlink" Target="https://www.eurofound.europa.eu/publications/report/2021/tackling-labour-shortages-in-eu-member-states" TargetMode="External"/><Relationship Id="rId11" Type="http://schemas.openxmlformats.org/officeDocument/2006/relationships/hyperlink" Target="https://ec.europa.eu/eurostat/documents/2995521/14358242/3-17032022-BP-EN.pdf/3e6f6746-aa8d-b25c-7696-3912bf7ebd2c?t=1647445976514" TargetMode="External"/><Relationship Id="rId24" Type="http://schemas.openxmlformats.org/officeDocument/2006/relationships/hyperlink" Target="https://op.europa.eu/webpub/empl/european-pillar-of-social-rights/pl/" TargetMode="External"/><Relationship Id="rId32" Type="http://schemas.openxmlformats.org/officeDocument/2006/relationships/hyperlink" Target="https://een.ec.europa.eu/" TargetMode="External"/><Relationship Id="rId37" Type="http://schemas.openxmlformats.org/officeDocument/2006/relationships/hyperlink" Target="https://digital-strategy.ec.europa.eu/en/news/new-european-alliance-accelerate-startups-growth" TargetMode="External"/><Relationship Id="rId5" Type="http://schemas.openxmlformats.org/officeDocument/2006/relationships/hyperlink" Target="https://www.pesnetwork.eu/2022/04/04/european-labour-market-barometer-17/" TargetMode="External"/><Relationship Id="rId15" Type="http://schemas.openxmlformats.org/officeDocument/2006/relationships/hyperlink" Target="https://data.europa.eu/doi/10.2837/92995" TargetMode="External"/><Relationship Id="rId23" Type="http://schemas.openxmlformats.org/officeDocument/2006/relationships/hyperlink" Target="https://ec.europa.eu/jrc/en/news/crucial-contribution-migrant-workers-europes-coronavirus-response" TargetMode="External"/><Relationship Id="rId28" Type="http://schemas.openxmlformats.org/officeDocument/2006/relationships/hyperlink" Target="https://emnbelgium.be/sites/default/files/publications/Migratory%20Pathways%20for%20Start-Ups%20and%20Innovative%20Entrepreneurs%20in%20the%20European%20Union.pdf" TargetMode="External"/><Relationship Id="rId36" Type="http://schemas.openxmlformats.org/officeDocument/2006/relationships/hyperlink" Target="https://digital-strategy.ec.europa.eu/en/policies/startup-europe" TargetMode="External"/><Relationship Id="rId10" Type="http://schemas.openxmlformats.org/officeDocument/2006/relationships/hyperlink" Target="https://migration-demography-tools.jrc.ec.europa.eu/atlas-demography/stories/AoD/2/migration/S4" TargetMode="External"/><Relationship Id="rId19" Type="http://schemas.openxmlformats.org/officeDocument/2006/relationships/hyperlink" Target="https://ec.europa.eu/info/law/better-regulation/have-your-say/initiatives/12594-Public-consultation-on-legal-migration/public-consultation_pl" TargetMode="External"/><Relationship Id="rId31" Type="http://schemas.openxmlformats.org/officeDocument/2006/relationships/hyperlink" Target="https://ec.europa.eu/info/research-and-innovation/funding/funding-opportunities/funding-programmes-and-open-calls/horizon-europe_en" TargetMode="External"/><Relationship Id="rId4" Type="http://schemas.openxmlformats.org/officeDocument/2006/relationships/hyperlink" Target="https://ec.europa.eu/jrc/en/news/crucial-contribution-migrant-workers-europes-coronavirus-response" TargetMode="External"/><Relationship Id="rId9" Type="http://schemas.openxmlformats.org/officeDocument/2006/relationships/hyperlink" Target="https://ec.europa.eu/eurostat/statistics-explained/index.php?title=Population_structure_and_ageing" TargetMode="External"/><Relationship Id="rId14" Type="http://schemas.openxmlformats.org/officeDocument/2006/relationships/hyperlink" Target="https://ec.europa.eu/home-affairs/policies/migration-and-asylum/legal-migration-and-integration/legal-migration-fitness-check_en" TargetMode="External"/><Relationship Id="rId22" Type="http://schemas.openxmlformats.org/officeDocument/2006/relationships/hyperlink" Target="https://www.eurofound.europa.eu/publications/customised-report/2020/long-term-care-workforce-employment-and-working-conditions" TargetMode="External"/><Relationship Id="rId27" Type="http://schemas.openxmlformats.org/officeDocument/2006/relationships/hyperlink" Target="https://ec.europa.eu/home-affairs/what-is-new/work-in-progress/initiatives/avzbt_intro_en" TargetMode="External"/><Relationship Id="rId30" Type="http://schemas.openxmlformats.org/officeDocument/2006/relationships/hyperlink" Target="https://ec.europa.eu/growth/smes/sme-strategy_en" TargetMode="External"/><Relationship Id="rId35" Type="http://schemas.openxmlformats.org/officeDocument/2006/relationships/hyperlink" Target="https://digital-strategy.ec.europa.eu/en/activities/edi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95CC14C9465E774BBBE2601C15F8E1FF" ma:contentTypeVersion="2" ma:contentTypeDescription="Create a new document in this library." ma:contentTypeScope="" ma:versionID="be319c5b61c3db12d63e7e8f5780d1df">
  <xsd:schema xmlns:xsd="http://www.w3.org/2001/XMLSchema" xmlns:xs="http://www.w3.org/2001/XMLSchema" xmlns:p="http://schemas.microsoft.com/office/2006/metadata/properties" xmlns:ns2="http://schemas.microsoft.com/sharepoint/v3/fields" xmlns:ns3="fb514971-0099-45a7-9a33-aa93971eadb1" xmlns:ns4="177e5a8e-0604-4ae6-b781-37a277bfe62e" targetNamespace="http://schemas.microsoft.com/office/2006/metadata/properties" ma:root="true" ma:fieldsID="83dd6856adac3e59a627d0e7210b5141" ns2:_="" ns3:_="" ns4:_="">
    <xsd:import namespace="http://schemas.microsoft.com/sharepoint/v3/fields"/>
    <xsd:import namespace="fb514971-0099-45a7-9a33-aa93971eadb1"/>
    <xsd:import namespace="177e5a8e-0604-4ae6-b781-37a277bfe62e"/>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b514971-0099-45a7-9a33-aa93971eadb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177e5a8e-0604-4ae6-b781-37a277bfe6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fb514971-0099-45a7-9a33-aa93971eadb1" xsi:nil="true"/>
    <EC_Collab_Status xmlns="fb514971-0099-45a7-9a33-aa93971eadb1">Not Started</EC_Collab_Status>
    <EC_Collab_DocumentLanguage xmlns="fb514971-0099-45a7-9a33-aa93971eadb1">EN</EC_Collab_DocumentLanguage>
    <_Status xmlns="http://schemas.microsoft.com/sharepoint/v3/fields">Not Started</_St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268B9-3032-48ED-8D83-F35DA6DDC4DF}">
  <ds:schemaRefs>
    <ds:schemaRef ds:uri="http://schemas.microsoft.com/sharepoint/v3/contenttype/forms"/>
  </ds:schemaRefs>
</ds:datastoreItem>
</file>

<file path=customXml/itemProps2.xml><?xml version="1.0" encoding="utf-8"?>
<ds:datastoreItem xmlns:ds="http://schemas.openxmlformats.org/officeDocument/2006/customXml" ds:itemID="{A9052A20-4166-456E-B0F3-94D221FAC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b514971-0099-45a7-9a33-aa93971eadb1"/>
    <ds:schemaRef ds:uri="177e5a8e-0604-4ae6-b781-37a277bfe6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3D7DF7-302B-44DF-824A-82164180A184}">
  <ds:schemaRefs>
    <ds:schemaRef ds:uri="http://schemas.microsoft.com/office/2006/metadata/properties"/>
    <ds:schemaRef ds:uri="http://schemas.microsoft.com/office/infopath/2007/PartnerControls"/>
    <ds:schemaRef ds:uri="fb514971-0099-45a7-9a33-aa93971eadb1"/>
    <ds:schemaRef ds:uri="http://schemas.microsoft.com/sharepoint/v3/fields"/>
  </ds:schemaRefs>
</ds:datastoreItem>
</file>

<file path=customXml/itemProps4.xml><?xml version="1.0" encoding="utf-8"?>
<ds:datastoreItem xmlns:ds="http://schemas.openxmlformats.org/officeDocument/2006/customXml" ds:itemID="{E10B38A3-7257-455A-A9D8-0D226C8C6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31</Pages>
  <Words>7327</Words>
  <Characters>49971</Characters>
  <Application>Microsoft Office Word</Application>
  <DocSecurity>0</DocSecurity>
  <Lines>757</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35</cp:revision>
  <cp:lastPrinted>2022-04-12T13:45:00Z</cp:lastPrinted>
  <dcterms:created xsi:type="dcterms:W3CDTF">2022-05-30T11:04:00Z</dcterms:created>
  <dcterms:modified xsi:type="dcterms:W3CDTF">2022-05-31T05:53:00Z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8.0, Build 20220128</vt:lpwstr>
  </property>
  <property fmtid="{D5CDD505-2E9C-101B-9397-08002B2CF9AE}" pid="8" name="Created using">
    <vt:lpwstr>LW 8.0, Build 20220128</vt:lpwstr>
  </property>
  <property fmtid="{D5CDD505-2E9C-101B-9397-08002B2CF9AE}" pid="9" name="ContentTypeId">
    <vt:lpwstr>0x010100258AA79CEB83498886A3A086811232500095CC14C9465E774BBBE2601C15F8E1FF</vt:lpwstr>
  </property>
  <property fmtid="{D5CDD505-2E9C-101B-9397-08002B2CF9AE}" pid="10" name="MSIP_Label_6bd9ddd1-4d20-43f6-abfa-fc3c07406f94_Enabled">
    <vt:lpwstr>true</vt:lpwstr>
  </property>
  <property fmtid="{D5CDD505-2E9C-101B-9397-08002B2CF9AE}" pid="11" name="MSIP_Label_6bd9ddd1-4d20-43f6-abfa-fc3c07406f94_SetDate">
    <vt:lpwstr>2022-03-25T09:21:10Z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61693d42-f596-44da-86ce-3770a6cab4a9</vt:lpwstr>
  </property>
  <property fmtid="{D5CDD505-2E9C-101B-9397-08002B2CF9AE}" pid="16" name="MSIP_Label_6bd9ddd1-4d20-43f6-abfa-fc3c07406f94_ContentBits">
    <vt:lpwstr>0</vt:lpwstr>
  </property>
</Properties>
</file>