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A7401" w14:textId="2E9F37DB" w:rsidR="00A577DD" w:rsidRPr="00DE267C" w:rsidRDefault="0015385D" w:rsidP="0015385D">
      <w:pPr>
        <w:pStyle w:val="Pagedecouverture"/>
        <w:rPr>
          <w:noProof/>
        </w:rPr>
      </w:pPr>
      <w:r>
        <w:rPr>
          <w:noProof/>
        </w:rPr>
        <w:pict w14:anchorId="25B17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2D85BFE-C43B-469E-A1ED-FB87D9527BED" style="width:455.25pt;height:479.25pt">
            <v:imagedata r:id="rId8" o:title=""/>
          </v:shape>
        </w:pict>
      </w:r>
    </w:p>
    <w:p w14:paraId="044132BE" w14:textId="77777777" w:rsidR="00A577DD" w:rsidRPr="00DE267C" w:rsidRDefault="00A577DD" w:rsidP="00A577DD">
      <w:pPr>
        <w:rPr>
          <w:noProof/>
        </w:rPr>
        <w:sectPr w:rsidR="00A577DD" w:rsidRPr="00DE267C" w:rsidSect="0015385D">
          <w:footerReference w:type="default" r:id="rId9"/>
          <w:pgSz w:w="11907" w:h="16839"/>
          <w:pgMar w:top="1134" w:right="1417" w:bottom="1134" w:left="1417" w:header="709" w:footer="709" w:gutter="0"/>
          <w:pgNumType w:start="0"/>
          <w:cols w:space="720"/>
          <w:docGrid w:linePitch="360"/>
        </w:sectPr>
      </w:pPr>
    </w:p>
    <w:p w14:paraId="54445779" w14:textId="77777777" w:rsidR="00B86C65" w:rsidRPr="00DE267C" w:rsidRDefault="00B86C65" w:rsidP="00B86C65">
      <w:pPr>
        <w:pStyle w:val="Exposdesmotifstitre"/>
        <w:rPr>
          <w:noProof/>
        </w:rPr>
      </w:pPr>
      <w:bookmarkStart w:id="0" w:name="_GoBack"/>
      <w:bookmarkEnd w:id="0"/>
      <w:r w:rsidRPr="00DE267C">
        <w:rPr>
          <w:noProof/>
        </w:rPr>
        <w:lastRenderedPageBreak/>
        <w:t>INDOKOLÁS</w:t>
      </w:r>
    </w:p>
    <w:p w14:paraId="5CDC9C7D" w14:textId="77777777" w:rsidR="00A577DD" w:rsidRPr="00DE267C" w:rsidRDefault="00A577DD" w:rsidP="00A577DD">
      <w:pPr>
        <w:pStyle w:val="ManualHeading1"/>
        <w:rPr>
          <w:noProof/>
        </w:rPr>
      </w:pPr>
      <w:r w:rsidRPr="00DE267C">
        <w:rPr>
          <w:noProof/>
        </w:rPr>
        <w:t>1.</w:t>
      </w:r>
      <w:r w:rsidRPr="00DE267C">
        <w:rPr>
          <w:noProof/>
        </w:rPr>
        <w:tab/>
        <w:t>A JAVASLAT TÁRGYA</w:t>
      </w:r>
    </w:p>
    <w:p w14:paraId="166C57F5" w14:textId="77777777" w:rsidR="00A577DD" w:rsidRPr="00DE267C" w:rsidRDefault="00A577DD" w:rsidP="009908A6">
      <w:pPr>
        <w:rPr>
          <w:b/>
          <w:smallCaps/>
          <w:noProof/>
        </w:rPr>
      </w:pPr>
      <w:r w:rsidRPr="00DE267C">
        <w:rPr>
          <w:noProof/>
        </w:rPr>
        <w:t>E javaslat tárgya az ENSZ Európai Gazdasági Bizottsága (ENSZ EGB) által működtetett Járműelőírások Harmonizálása Világfórumon (29. munkacsoport)  az ENSZ meglévő előírásai és meglévő globális műszaki előírásai módosításainak elfogadásával kapcsolatban képviselendő uniós álláspont meghatározásáról szóló határozat.</w:t>
      </w:r>
    </w:p>
    <w:p w14:paraId="5576FEBC" w14:textId="77777777" w:rsidR="00A577DD" w:rsidRPr="00DE267C" w:rsidRDefault="00A577DD" w:rsidP="00A577DD">
      <w:pPr>
        <w:pStyle w:val="ManualHeading1"/>
        <w:rPr>
          <w:noProof/>
        </w:rPr>
      </w:pPr>
      <w:r w:rsidRPr="00DE267C">
        <w:rPr>
          <w:noProof/>
        </w:rPr>
        <w:t>2.</w:t>
      </w:r>
      <w:r w:rsidRPr="00DE267C">
        <w:rPr>
          <w:noProof/>
        </w:rPr>
        <w:tab/>
        <w:t>A JAVASLAT HÁTTERE</w:t>
      </w:r>
    </w:p>
    <w:p w14:paraId="51175CFE" w14:textId="77777777" w:rsidR="00A577DD" w:rsidRPr="00DE267C" w:rsidRDefault="00A577DD" w:rsidP="00E573C2">
      <w:pPr>
        <w:pStyle w:val="ManualHeading2"/>
        <w:rPr>
          <w:noProof/>
        </w:rPr>
      </w:pPr>
      <w:r w:rsidRPr="00DE267C">
        <w:rPr>
          <w:noProof/>
        </w:rPr>
        <w:t>2.1.</w:t>
      </w:r>
      <w:r w:rsidRPr="00DE267C">
        <w:rPr>
          <w:noProof/>
        </w:rPr>
        <w:tab/>
        <w:t>Az 1958. évi felülvizsgált megállapodás és a párhuzamos megállapodás</w:t>
      </w:r>
    </w:p>
    <w:p w14:paraId="08576F4B" w14:textId="77777777" w:rsidR="00BD4A91" w:rsidRPr="00DE267C" w:rsidRDefault="00A577DD" w:rsidP="00A577DD">
      <w:pPr>
        <w:rPr>
          <w:noProof/>
        </w:rPr>
      </w:pPr>
      <w:r w:rsidRPr="00DE267C">
        <w:rPr>
          <w:noProof/>
        </w:rPr>
        <w:t xml:space="preserve">Az ENSZ Európai Gazdasági Bizottságának (ENSZ EGB) a kerekes járművekre és az azokba szerelhető, illetve az azokon használható berendezésekre és tartozékokra vonatkozó egységes műszaki előírások elfogadásáról, valamint az ezen előírások alapján kibocsátott jóváhagyások kölcsönös elismerésének feltételeiről szóló megállapodása (1958. évi felülvizsgált megállapodás) továbbá a kerekes járművekről, valamint a kerekes járművekre felszerelhető és/vagy azokon használható berendezésekről és felszerelésekről szóló globális műszaki előírások kidolgozására irányuló megállapodás (párhuzamos megállapodás) olyan harmonizált követelmények kidolgozására irányul, amelyek célja, hogy felszámolják az ENSZ EGB szerződő felei közötti gépjármű-kereskedelem technikai akadályait. Céljuk továbbá annak biztosítása, hogy a gépjárművek jó biztonsági és környezetvédelmi teljesítménnyel rendelkezzenek. </w:t>
      </w:r>
    </w:p>
    <w:p w14:paraId="1D553CC2" w14:textId="77777777" w:rsidR="00A577DD" w:rsidRPr="00DE267C" w:rsidRDefault="00A577DD" w:rsidP="00A577DD">
      <w:pPr>
        <w:rPr>
          <w:noProof/>
        </w:rPr>
      </w:pPr>
      <w:r w:rsidRPr="00DE267C">
        <w:rPr>
          <w:noProof/>
        </w:rPr>
        <w:t>A megállapodások az EU vonatkozásában 1998. március 24-én, illetve 2000. február 15-én léptek hatályba. A 29. munkacsoport kezeli mindkettőt.</w:t>
      </w:r>
    </w:p>
    <w:p w14:paraId="6A088DE7" w14:textId="77777777" w:rsidR="00A577DD" w:rsidRPr="00DE267C" w:rsidRDefault="00A577DD" w:rsidP="00E573C2">
      <w:pPr>
        <w:pStyle w:val="ManualHeading2"/>
        <w:rPr>
          <w:noProof/>
        </w:rPr>
      </w:pPr>
      <w:r w:rsidRPr="00DE267C">
        <w:rPr>
          <w:noProof/>
        </w:rPr>
        <w:t xml:space="preserve">2.2. </w:t>
      </w:r>
      <w:r w:rsidRPr="00DE267C">
        <w:rPr>
          <w:noProof/>
        </w:rPr>
        <w:tab/>
        <w:t>Az ENSZ EGB keretében működő Járműelőírások Harmonizálása Világfórum</w:t>
      </w:r>
    </w:p>
    <w:p w14:paraId="6538D64B" w14:textId="0086F3F2" w:rsidR="00A577DD" w:rsidRPr="00DE267C" w:rsidRDefault="00A577DD" w:rsidP="00A577DD">
      <w:pPr>
        <w:rPr>
          <w:noProof/>
        </w:rPr>
      </w:pPr>
      <w:r w:rsidRPr="00DE267C">
        <w:rPr>
          <w:noProof/>
        </w:rPr>
        <w:t>A 29. munkacsoport egyedülálló keretet kínál a gépjárművekkel kapcsolatos előírások globális összehangolásához. A 29. munkacsoport az ENSZ intézményi keretében működő állandó munkacsoport, amelynek külön megbízatása és eljárási szabályzata van. Globális fórumként működik, ahol az érdekeltek megvitathatják a gépjárművekre vonatkozó előírásokat, valamint az 1958. évi felülvizsgált megállapodás és a párhuzamos megállapodás végrehajtását. Az ENSZ bármely tagállama, illetve az ENSZ tagállamai által létrehozott bármely regionális gazdasági integrációs szervezet teljeskörűen részt vehet a 29</w:t>
      </w:r>
      <w:r w:rsidR="00DE267C">
        <w:rPr>
          <w:noProof/>
        </w:rPr>
        <w:t> </w:t>
      </w:r>
      <w:r w:rsidRPr="00DE267C">
        <w:rPr>
          <w:noProof/>
        </w:rPr>
        <w:t xml:space="preserve"> munkacsoport tevékenységében és a 29. munkacsoport által kezelt, gépjárművekről szóló megállapodások szerződő felévé válhat. Az EU e megállapodásoknak részes fele</w:t>
      </w:r>
      <w:r w:rsidRPr="00DE267C">
        <w:rPr>
          <w:rStyle w:val="FootnoteReference"/>
          <w:noProof/>
        </w:rPr>
        <w:footnoteReference w:id="1"/>
      </w:r>
      <w:r w:rsidRPr="00DE267C">
        <w:rPr>
          <w:noProof/>
        </w:rPr>
        <w:t xml:space="preserve">. </w:t>
      </w:r>
    </w:p>
    <w:p w14:paraId="5081F35B" w14:textId="158167EB" w:rsidR="00BD4A91" w:rsidRPr="00DE267C" w:rsidRDefault="00A577DD" w:rsidP="00A577DD">
      <w:pPr>
        <w:rPr>
          <w:noProof/>
        </w:rPr>
      </w:pPr>
      <w:r w:rsidRPr="00DE267C">
        <w:rPr>
          <w:noProof/>
        </w:rPr>
        <w:t>A 29.</w:t>
      </w:r>
      <w:r w:rsidR="00DE267C">
        <w:rPr>
          <w:noProof/>
        </w:rPr>
        <w:t> </w:t>
      </w:r>
      <w:r w:rsidRPr="00DE267C">
        <w:rPr>
          <w:noProof/>
        </w:rPr>
        <w:t>munkacsoport minden naptári évben háromszor – márciusban, júniusban és novemberben – tart ülést. A technikai fejlődés figyelembevétele érdekében a 29.</w:t>
      </w:r>
      <w:r w:rsidR="00DE267C">
        <w:rPr>
          <w:noProof/>
        </w:rPr>
        <w:t> </w:t>
      </w:r>
      <w:r w:rsidRPr="00DE267C">
        <w:rPr>
          <w:noProof/>
        </w:rPr>
        <w:t>munkacsoport minden ülésen elfogadhatja a következőket:</w:t>
      </w:r>
    </w:p>
    <w:p w14:paraId="2461CA6B" w14:textId="77777777" w:rsidR="00BD4A91" w:rsidRPr="00DE267C" w:rsidRDefault="00A577DD" w:rsidP="008C391C">
      <w:pPr>
        <w:rPr>
          <w:noProof/>
        </w:rPr>
      </w:pPr>
      <w:r w:rsidRPr="00DE267C">
        <w:rPr>
          <w:noProof/>
        </w:rPr>
        <w:t>új ENSZ-előírások;</w:t>
      </w:r>
    </w:p>
    <w:p w14:paraId="569F34F9" w14:textId="77777777" w:rsidR="00BD4A91" w:rsidRPr="00DE267C" w:rsidRDefault="00EB543D" w:rsidP="008C391C">
      <w:pPr>
        <w:rPr>
          <w:noProof/>
        </w:rPr>
      </w:pPr>
      <w:r w:rsidRPr="00DE267C">
        <w:rPr>
          <w:noProof/>
        </w:rPr>
        <w:t>új ENSZ-határozatok;</w:t>
      </w:r>
    </w:p>
    <w:p w14:paraId="34C026F3" w14:textId="77777777" w:rsidR="00BD4A91" w:rsidRPr="00DE267C" w:rsidRDefault="00A577DD" w:rsidP="008C391C">
      <w:pPr>
        <w:rPr>
          <w:noProof/>
        </w:rPr>
      </w:pPr>
      <w:r w:rsidRPr="00DE267C">
        <w:rPr>
          <w:noProof/>
        </w:rPr>
        <w:t>új ENSZ-GTR-ek;</w:t>
      </w:r>
    </w:p>
    <w:p w14:paraId="4AA300BC" w14:textId="77777777" w:rsidR="00BD4A91" w:rsidRPr="00DE267C" w:rsidRDefault="00A577DD" w:rsidP="008C391C">
      <w:pPr>
        <w:rPr>
          <w:noProof/>
        </w:rPr>
      </w:pPr>
      <w:r w:rsidRPr="00DE267C">
        <w:rPr>
          <w:noProof/>
        </w:rPr>
        <w:t>az 1958. évi felülvizsgált megállapodás szerinti ENSZ-előírások és -határozatok módosításai; valamint</w:t>
      </w:r>
    </w:p>
    <w:p w14:paraId="6A5FF892" w14:textId="77777777" w:rsidR="00BD4A91" w:rsidRPr="00DE267C" w:rsidRDefault="00A577DD" w:rsidP="008C391C">
      <w:pPr>
        <w:rPr>
          <w:noProof/>
        </w:rPr>
      </w:pPr>
      <w:r w:rsidRPr="00DE267C">
        <w:rPr>
          <w:noProof/>
        </w:rPr>
        <w:t>az ENSZ-GTR-ek és a párhuzamos megállapodás szerinti határozatok módosításai.</w:t>
      </w:r>
    </w:p>
    <w:p w14:paraId="7ECFF5CB" w14:textId="77777777" w:rsidR="00A577DD" w:rsidRPr="00DE267C" w:rsidRDefault="00B93651" w:rsidP="00A577DD">
      <w:pPr>
        <w:rPr>
          <w:noProof/>
        </w:rPr>
      </w:pPr>
      <w:r w:rsidRPr="00DE267C">
        <w:rPr>
          <w:noProof/>
        </w:rPr>
        <w:t>A 29. munkacsoport ülései előtt ezeket a módosításokat a 29. munkacsoport szakosodott kisegítő testületei szakmai szempontból megvitatják.</w:t>
      </w:r>
    </w:p>
    <w:p w14:paraId="0B155726" w14:textId="77777777" w:rsidR="00B93651" w:rsidRPr="00DE267C" w:rsidRDefault="00A577DD" w:rsidP="00A577DD">
      <w:pPr>
        <w:rPr>
          <w:noProof/>
        </w:rPr>
      </w:pPr>
      <w:r w:rsidRPr="00DE267C">
        <w:rPr>
          <w:noProof/>
        </w:rPr>
        <w:t>Ezt követően a WP.29 javaslatokat fogadhat el:</w:t>
      </w:r>
    </w:p>
    <w:p w14:paraId="4CBCFD95" w14:textId="77777777" w:rsidR="00B93651" w:rsidRPr="00DE267C" w:rsidRDefault="00A577DD" w:rsidP="008C391C">
      <w:pPr>
        <w:rPr>
          <w:noProof/>
        </w:rPr>
      </w:pPr>
      <w:r w:rsidRPr="00DE267C">
        <w:rPr>
          <w:noProof/>
        </w:rPr>
        <w:t>a jelen lévő és az 1958. évi felülvizsgált megállapodás szerinti javaslatokra szavazó szerződő felek minősített többségével; vagy</w:t>
      </w:r>
    </w:p>
    <w:p w14:paraId="0959207D" w14:textId="77777777" w:rsidR="00A577DD" w:rsidRPr="00DE267C" w:rsidRDefault="00A577DD" w:rsidP="008C391C">
      <w:pPr>
        <w:rPr>
          <w:noProof/>
        </w:rPr>
      </w:pPr>
      <w:r w:rsidRPr="00DE267C">
        <w:rPr>
          <w:noProof/>
        </w:rPr>
        <w:t xml:space="preserve">a jelen lévő és a párhuzamos megállapodás szerinti javaslatokra szavazó részes felek egyhangú szavazatával. </w:t>
      </w:r>
    </w:p>
    <w:p w14:paraId="3B400958" w14:textId="77777777" w:rsidR="00B93651" w:rsidRPr="00DE267C" w:rsidRDefault="00B93651" w:rsidP="00A577DD">
      <w:pPr>
        <w:rPr>
          <w:noProof/>
        </w:rPr>
      </w:pPr>
      <w:r w:rsidRPr="00DE267C">
        <w:rPr>
          <w:noProof/>
        </w:rPr>
        <w:t>A 29. munkacsoport minden ülése előtt az Európai Unió működéséről szóló szerződés (EUMSZ) 218. cikkének (9) bekezdése szerinti tanácsi határozat kerül elfogadásra, amely meghatározza a következőkkel kapcsolatban az Unió által képviselendő álláspontot:</w:t>
      </w:r>
    </w:p>
    <w:p w14:paraId="22B335B5" w14:textId="77777777" w:rsidR="00244237" w:rsidRPr="00DE267C" w:rsidRDefault="00A577DD" w:rsidP="008C391C">
      <w:pPr>
        <w:rPr>
          <w:noProof/>
        </w:rPr>
      </w:pPr>
      <w:r w:rsidRPr="00DE267C">
        <w:rPr>
          <w:noProof/>
        </w:rPr>
        <w:t>új ENSZ-előírások, ENSZ-GTR-ek és ENSZ-határozatok; és</w:t>
      </w:r>
    </w:p>
    <w:p w14:paraId="50203832" w14:textId="77777777" w:rsidR="00A577DD" w:rsidRPr="00DE267C" w:rsidRDefault="00A577DD" w:rsidP="008C391C">
      <w:pPr>
        <w:rPr>
          <w:noProof/>
        </w:rPr>
      </w:pPr>
      <w:r w:rsidRPr="00DE267C">
        <w:rPr>
          <w:noProof/>
        </w:rPr>
        <w:t xml:space="preserve">az ENSZ-előírások, az ENSZ-GTR-ek és az ENSZ-határozatok módosításai, kiegészítései és helyesbítései. </w:t>
      </w:r>
    </w:p>
    <w:p w14:paraId="7F18AF07" w14:textId="77777777" w:rsidR="00A577DD" w:rsidRPr="00DE267C" w:rsidRDefault="00A577DD" w:rsidP="00E573C2">
      <w:pPr>
        <w:pStyle w:val="ManualHeading2"/>
        <w:rPr>
          <w:noProof/>
        </w:rPr>
      </w:pPr>
      <w:r w:rsidRPr="00DE267C">
        <w:rPr>
          <w:noProof/>
        </w:rPr>
        <w:t xml:space="preserve">2.3. </w:t>
      </w:r>
      <w:r w:rsidRPr="00DE267C">
        <w:rPr>
          <w:noProof/>
        </w:rPr>
        <w:tab/>
        <w:t>A 29. munkacsoport tervezett jogi aktusa</w:t>
      </w:r>
    </w:p>
    <w:p w14:paraId="70FF89B7" w14:textId="77777777" w:rsidR="00972922" w:rsidRPr="00DE267C" w:rsidRDefault="00972922" w:rsidP="00A577DD">
      <w:pPr>
        <w:rPr>
          <w:noProof/>
        </w:rPr>
      </w:pPr>
      <w:r w:rsidRPr="00DE267C">
        <w:rPr>
          <w:noProof/>
        </w:rPr>
        <w:t>2022. június 21. és 24. között a 29. munkacsoport a 187. ülésén elfogadhatja a következőket:</w:t>
      </w:r>
    </w:p>
    <w:p w14:paraId="16531A28" w14:textId="42D50031" w:rsidR="00972922" w:rsidRPr="00DE267C" w:rsidRDefault="00A577DD" w:rsidP="008C391C">
      <w:pPr>
        <w:rPr>
          <w:noProof/>
        </w:rPr>
      </w:pPr>
      <w:r w:rsidRPr="00DE267C">
        <w:rPr>
          <w:noProof/>
        </w:rPr>
        <w:t>az ENSZ 12., 13., 13-H., 22., 24., 48., 49., 51., 53., 54., 74., 79., 85., 86., 90., 100., 106., 109., 117., 127., 129., 131., 135., 136., 137., 141., 145., 148., 149., 150., 157. és 162. számú előírásának módosítására irányuló javaslatok;</w:t>
      </w:r>
    </w:p>
    <w:p w14:paraId="0D1F40EF" w14:textId="77777777" w:rsidR="0041740D" w:rsidRPr="00DE267C" w:rsidRDefault="0041740D" w:rsidP="008C391C">
      <w:pPr>
        <w:rPr>
          <w:noProof/>
        </w:rPr>
      </w:pPr>
      <w:r w:rsidRPr="00DE267C">
        <w:rPr>
          <w:noProof/>
        </w:rPr>
        <w:t xml:space="preserve">az ENSZ 2. számú globális műszaki előírásának (GTR) módosítására irányuló javaslat; </w:t>
      </w:r>
    </w:p>
    <w:p w14:paraId="030AC07C" w14:textId="77777777" w:rsidR="00100B9A" w:rsidRPr="00DE267C" w:rsidRDefault="0041740D" w:rsidP="008C391C">
      <w:pPr>
        <w:rPr>
          <w:noProof/>
        </w:rPr>
      </w:pPr>
      <w:r w:rsidRPr="00DE267C">
        <w:rPr>
          <w:noProof/>
        </w:rPr>
        <w:t xml:space="preserve">a tolatási figyelmeztetésről szóló új ENSZ-előírásra irányuló javaslat; </w:t>
      </w:r>
    </w:p>
    <w:p w14:paraId="4E86F63D" w14:textId="77777777" w:rsidR="00100B9A" w:rsidRPr="00DE267C" w:rsidRDefault="0041740D" w:rsidP="008C391C">
      <w:pPr>
        <w:rPr>
          <w:noProof/>
        </w:rPr>
      </w:pPr>
      <w:r w:rsidRPr="00DE267C">
        <w:rPr>
          <w:noProof/>
        </w:rPr>
        <w:t>a két- és háromkerekű járművek kibocsátáscsökkentő berendezéseinek tartósságára vonatkozó új ENSZ-GTR-re irányuló javaslat;</w:t>
      </w:r>
    </w:p>
    <w:p w14:paraId="2AA16DE9" w14:textId="77777777" w:rsidR="00100B9A" w:rsidRPr="00DE267C" w:rsidRDefault="0041740D" w:rsidP="008C391C">
      <w:pPr>
        <w:rPr>
          <w:noProof/>
        </w:rPr>
      </w:pPr>
      <w:r w:rsidRPr="00DE267C">
        <w:rPr>
          <w:noProof/>
        </w:rPr>
        <w:t xml:space="preserve">a nehézgépjárművek kipufogógáza ultrafinomrészecske-számának mérésére vonatkozó új, konszolidált határozatra irányuló javaslat; és </w:t>
      </w:r>
    </w:p>
    <w:p w14:paraId="0E0255C5" w14:textId="77777777" w:rsidR="0041740D" w:rsidRPr="00DE267C" w:rsidRDefault="0041740D" w:rsidP="008C391C">
      <w:pPr>
        <w:rPr>
          <w:noProof/>
        </w:rPr>
      </w:pPr>
      <w:r w:rsidRPr="00DE267C">
        <w:rPr>
          <w:noProof/>
        </w:rPr>
        <w:t>a 3. számú ENSZ-GTR 4. módosítása kidolgozásának engedélyezésére irányuló javaslat.</w:t>
      </w:r>
    </w:p>
    <w:p w14:paraId="0AA11D0B" w14:textId="77777777" w:rsidR="00A577DD" w:rsidRPr="00DE267C" w:rsidRDefault="00A577DD" w:rsidP="00A577DD">
      <w:pPr>
        <w:pStyle w:val="ManualHeading1"/>
        <w:rPr>
          <w:noProof/>
        </w:rPr>
      </w:pPr>
      <w:r w:rsidRPr="00DE267C">
        <w:rPr>
          <w:noProof/>
        </w:rPr>
        <w:t xml:space="preserve">3. </w:t>
      </w:r>
      <w:r w:rsidRPr="00DE267C">
        <w:rPr>
          <w:noProof/>
        </w:rPr>
        <w:tab/>
        <w:t>AZ UNIÓ ÁLTAL KÉPVISELENDŐ ÁLLÁSPONT</w:t>
      </w:r>
    </w:p>
    <w:p w14:paraId="61E3E47E" w14:textId="77777777" w:rsidR="00A95DB4" w:rsidRPr="00DE267C" w:rsidRDefault="00A577DD" w:rsidP="00A577DD">
      <w:pPr>
        <w:rPr>
          <w:noProof/>
        </w:rPr>
      </w:pPr>
      <w:r w:rsidRPr="00DE267C">
        <w:rPr>
          <w:noProof/>
        </w:rPr>
        <w:t>A 29. munkacsoport működése elősegíti a járművekre vonatkozó szabványok nemzetközi összehangolását. Az 1958. évi felülvizsgált megállapodás kulcsszerepet játszik e célkitűzés elérésében. Az uniós gyártók annak tudatában alkalmazhatnak egy sor közös típusjóváhagyási előírást, hogy az általuk gyártott termékeket a szerződő felek a nemzeti jogszabályaiknak megfelelőként fogják elismerni.</w:t>
      </w:r>
    </w:p>
    <w:p w14:paraId="7EC1AA22" w14:textId="77777777" w:rsidR="00A577DD" w:rsidRPr="00DE267C" w:rsidRDefault="00A577DD" w:rsidP="00A577DD">
      <w:pPr>
        <w:rPr>
          <w:noProof/>
        </w:rPr>
      </w:pPr>
      <w:r w:rsidRPr="00DE267C">
        <w:rPr>
          <w:noProof/>
        </w:rPr>
        <w:t>Ez tette lehetővé, hogy a gépjárművek általános biztonságáról szóló 661/2009/EK rendelet több mint 50 uniós irányelvet hatályon kívül helyezzen, és azok helyébe az 1958. évi felülvizsgált megállapodás keretében elfogadott vonatkozó előírásokat léptesse.</w:t>
      </w:r>
    </w:p>
    <w:p w14:paraId="66A8DDEC" w14:textId="77777777" w:rsidR="00A577DD" w:rsidRPr="00DE267C" w:rsidRDefault="00A577DD" w:rsidP="00A577DD">
      <w:pPr>
        <w:rPr>
          <w:noProof/>
        </w:rPr>
      </w:pPr>
      <w:r w:rsidRPr="00DE267C">
        <w:rPr>
          <w:noProof/>
        </w:rPr>
        <w:t>Az (EU) 2018/858 európai parlamenti és tanácsi rendelet</w:t>
      </w:r>
      <w:r w:rsidRPr="00DE267C">
        <w:rPr>
          <w:rStyle w:val="FootnoteReference"/>
          <w:noProof/>
        </w:rPr>
        <w:footnoteReference w:id="2"/>
      </w:r>
      <w:r w:rsidRPr="00DE267C">
        <w:rPr>
          <w:noProof/>
        </w:rPr>
        <w:t xml:space="preserve"> hasonló megközelítést követ. Közigazgatási rendelkezéseket és műszaki követelményeket állapít meg minden új jármű, rendszer, alkotóelem és önálló műszaki egység típusjóváhagyására és forgalomba hozatalára vonatkozóan. Az említett rendelet vagy típusjóváhagyási követelmények formájában, vagy az uniós jogszabályok alternatíváiként beépíti az 1958. évi felülvizsgált megállapodás alapján elfogadott előírásokat az EU típusjóváhagyási rendszerébe. </w:t>
      </w:r>
    </w:p>
    <w:p w14:paraId="7756A56F" w14:textId="77777777" w:rsidR="00A577DD" w:rsidRPr="00DE267C" w:rsidRDefault="00A577DD" w:rsidP="00A577DD">
      <w:pPr>
        <w:rPr>
          <w:noProof/>
        </w:rPr>
      </w:pPr>
      <w:r w:rsidRPr="00DE267C">
        <w:rPr>
          <w:noProof/>
        </w:rPr>
        <w:t xml:space="preserve">Amint a 29. munkacsoport új ENSZ-előírásra vagy ENSZ-előírás módosítására irányuló javaslatot fogad el, az ENSZ EGB ügyvezető titkára értesíti a szerződő feleket a vonatkozó jogi aktusról. A jogi aktus hatályba lép, kivéve, ha a szerződő felek blokkoló kisebbsége hat hónapon belül kifogást emel. Ezt követően minden szerződő fél átültetheti a jogi aktust nemzeti jogrendjébe. Az Európai Unióban az átültetés azt követően válik befejezetté, hogy a jogi aktust kihirdették az </w:t>
      </w:r>
      <w:r w:rsidRPr="00DE267C">
        <w:rPr>
          <w:i/>
          <w:noProof/>
        </w:rPr>
        <w:t>Európai Unió Hivatalos Lapjában</w:t>
      </w:r>
      <w:r w:rsidRPr="00DE267C">
        <w:rPr>
          <w:noProof/>
        </w:rPr>
        <w:t xml:space="preserve">. </w:t>
      </w:r>
    </w:p>
    <w:p w14:paraId="52159972" w14:textId="77777777" w:rsidR="00A577DD" w:rsidRPr="00DE267C" w:rsidRDefault="007A1839" w:rsidP="00E573C2">
      <w:pPr>
        <w:rPr>
          <w:b/>
          <w:smallCaps/>
          <w:noProof/>
        </w:rPr>
      </w:pPr>
      <w:r w:rsidRPr="00DE267C">
        <w:rPr>
          <w:noProof/>
        </w:rPr>
        <w:t>A következő jogi aktusokkal kapcsolatban kell uniós álláspontot kialakítani:</w:t>
      </w:r>
    </w:p>
    <w:p w14:paraId="21AC89A6" w14:textId="758C6F86" w:rsidR="003579BE" w:rsidRPr="00DE267C" w:rsidRDefault="00A577DD" w:rsidP="00A069A4">
      <w:pPr>
        <w:pStyle w:val="Tiret0"/>
        <w:numPr>
          <w:ilvl w:val="0"/>
          <w:numId w:val="11"/>
        </w:numPr>
        <w:spacing w:after="0"/>
        <w:ind w:right="141"/>
        <w:rPr>
          <w:noProof/>
        </w:rPr>
      </w:pPr>
      <w:r w:rsidRPr="00DE267C">
        <w:rPr>
          <w:noProof/>
        </w:rPr>
        <w:t>az ENSZ 12., 13., 13-H., 22., 24., 48., 49., 51., 53., 54., 74., 79., 85., 86., 90., 100., 106., 109., 117., 127., 129., 131., 135., 136., 137., 141., 145., 148., 149., 150., 157. és 162. számú előírásának módosítására irányuló javaslatok az alábbiakra vonatkozó rendelkezések naprakésszé tétele érdekében:</w:t>
      </w:r>
    </w:p>
    <w:p w14:paraId="732979F9" w14:textId="77777777" w:rsidR="0019225F" w:rsidRPr="00DE267C" w:rsidRDefault="0019225F" w:rsidP="002F7C84">
      <w:pPr>
        <w:pStyle w:val="Tiret0"/>
        <w:numPr>
          <w:ilvl w:val="0"/>
          <w:numId w:val="11"/>
        </w:numPr>
        <w:tabs>
          <w:tab w:val="clear" w:pos="850"/>
          <w:tab w:val="num" w:pos="1570"/>
        </w:tabs>
        <w:spacing w:after="0"/>
        <w:ind w:left="1570" w:right="141"/>
        <w:rPr>
          <w:noProof/>
        </w:rPr>
      </w:pPr>
      <w:r w:rsidRPr="00DE267C">
        <w:rPr>
          <w:noProof/>
        </w:rPr>
        <w:t>kormányberendezés;</w:t>
      </w:r>
    </w:p>
    <w:p w14:paraId="1939290A" w14:textId="77777777" w:rsidR="00635EE0" w:rsidRPr="00DE267C" w:rsidRDefault="00C338EC" w:rsidP="002F7C84">
      <w:pPr>
        <w:pStyle w:val="Tiret0"/>
        <w:numPr>
          <w:ilvl w:val="0"/>
          <w:numId w:val="11"/>
        </w:numPr>
        <w:tabs>
          <w:tab w:val="clear" w:pos="850"/>
          <w:tab w:val="num" w:pos="1570"/>
        </w:tabs>
        <w:spacing w:after="0"/>
        <w:ind w:left="1570" w:right="141"/>
        <w:rPr>
          <w:noProof/>
        </w:rPr>
      </w:pPr>
      <w:r w:rsidRPr="00DE267C">
        <w:rPr>
          <w:noProof/>
        </w:rPr>
        <w:t>nehéz tehergépjárművek féke;</w:t>
      </w:r>
    </w:p>
    <w:p w14:paraId="40E8278B" w14:textId="77777777" w:rsidR="0019225F" w:rsidRPr="00DE267C" w:rsidRDefault="0019225F" w:rsidP="002F7C84">
      <w:pPr>
        <w:pStyle w:val="Tiret0"/>
        <w:numPr>
          <w:ilvl w:val="0"/>
          <w:numId w:val="11"/>
        </w:numPr>
        <w:tabs>
          <w:tab w:val="clear" w:pos="850"/>
          <w:tab w:val="num" w:pos="1570"/>
        </w:tabs>
        <w:spacing w:after="0"/>
        <w:ind w:left="1570" w:right="141"/>
        <w:rPr>
          <w:noProof/>
        </w:rPr>
      </w:pPr>
      <w:r w:rsidRPr="00DE267C">
        <w:rPr>
          <w:noProof/>
        </w:rPr>
        <w:t>személygépkocsik fékezése;</w:t>
      </w:r>
    </w:p>
    <w:p w14:paraId="2541E134" w14:textId="77777777" w:rsidR="0019225F" w:rsidRPr="00DE267C" w:rsidRDefault="0019225F" w:rsidP="002F7C84">
      <w:pPr>
        <w:pStyle w:val="Tiret0"/>
        <w:numPr>
          <w:ilvl w:val="0"/>
          <w:numId w:val="11"/>
        </w:numPr>
        <w:tabs>
          <w:tab w:val="clear" w:pos="850"/>
          <w:tab w:val="num" w:pos="1570"/>
        </w:tabs>
        <w:spacing w:after="0"/>
        <w:ind w:left="1570" w:right="141"/>
        <w:rPr>
          <w:noProof/>
        </w:rPr>
      </w:pPr>
      <w:r w:rsidRPr="00DE267C">
        <w:rPr>
          <w:noProof/>
        </w:rPr>
        <w:t>bukósisakok;</w:t>
      </w:r>
    </w:p>
    <w:p w14:paraId="6B695C55" w14:textId="77777777" w:rsidR="0019225F" w:rsidRPr="00DE267C" w:rsidRDefault="0019225F" w:rsidP="002F7C84">
      <w:pPr>
        <w:pStyle w:val="Tiret0"/>
        <w:numPr>
          <w:ilvl w:val="0"/>
          <w:numId w:val="11"/>
        </w:numPr>
        <w:tabs>
          <w:tab w:val="clear" w:pos="850"/>
          <w:tab w:val="num" w:pos="1570"/>
        </w:tabs>
        <w:spacing w:after="0"/>
        <w:ind w:left="1570" w:right="141"/>
        <w:rPr>
          <w:noProof/>
        </w:rPr>
      </w:pPr>
      <w:r w:rsidRPr="00DE267C">
        <w:rPr>
          <w:noProof/>
        </w:rPr>
        <w:t>látható szennyező anyagok, kompressziós gyújtású motorok teljesítményének mérése (dízelfüst);</w:t>
      </w:r>
    </w:p>
    <w:p w14:paraId="44081DEB" w14:textId="77777777" w:rsidR="0019225F" w:rsidRPr="00DE267C" w:rsidRDefault="0019225F" w:rsidP="002F7C84">
      <w:pPr>
        <w:pStyle w:val="Tiret0"/>
        <w:numPr>
          <w:ilvl w:val="0"/>
          <w:numId w:val="11"/>
        </w:numPr>
        <w:tabs>
          <w:tab w:val="clear" w:pos="850"/>
          <w:tab w:val="num" w:pos="1570"/>
        </w:tabs>
        <w:spacing w:after="0"/>
        <w:ind w:left="1570" w:right="141"/>
        <w:rPr>
          <w:noProof/>
        </w:rPr>
      </w:pPr>
      <w:r w:rsidRPr="00DE267C">
        <w:rPr>
          <w:noProof/>
        </w:rPr>
        <w:t>világító és fényjelző eszközök beszerelése;</w:t>
      </w:r>
    </w:p>
    <w:p w14:paraId="06708FB9" w14:textId="77777777" w:rsidR="0019225F" w:rsidRPr="00DE267C" w:rsidRDefault="0019225F" w:rsidP="002F7C84">
      <w:pPr>
        <w:pStyle w:val="Tiret0"/>
        <w:numPr>
          <w:ilvl w:val="0"/>
          <w:numId w:val="11"/>
        </w:numPr>
        <w:tabs>
          <w:tab w:val="clear" w:pos="850"/>
          <w:tab w:val="num" w:pos="1570"/>
        </w:tabs>
        <w:spacing w:after="0"/>
        <w:ind w:left="1570" w:right="141"/>
        <w:rPr>
          <w:noProof/>
        </w:rPr>
      </w:pPr>
      <w:r w:rsidRPr="00DE267C">
        <w:rPr>
          <w:noProof/>
        </w:rPr>
        <w:t>kompressziós gyújtású motorok és szikragyújtású motorok [LPG- és CNG-üzemű motorok] kibocsátása;</w:t>
      </w:r>
    </w:p>
    <w:p w14:paraId="27466D65" w14:textId="77777777" w:rsidR="0019225F" w:rsidRPr="00DE267C" w:rsidRDefault="0019225F" w:rsidP="002F7C84">
      <w:pPr>
        <w:pStyle w:val="Tiret0"/>
        <w:numPr>
          <w:ilvl w:val="0"/>
          <w:numId w:val="11"/>
        </w:numPr>
        <w:tabs>
          <w:tab w:val="clear" w:pos="850"/>
          <w:tab w:val="num" w:pos="1570"/>
        </w:tabs>
        <w:spacing w:after="0"/>
        <w:ind w:left="1570" w:right="141"/>
        <w:rPr>
          <w:noProof/>
        </w:rPr>
      </w:pPr>
      <w:r w:rsidRPr="00DE267C">
        <w:rPr>
          <w:noProof/>
        </w:rPr>
        <w:t>M és N kategóriájú járművek zajszintje;</w:t>
      </w:r>
    </w:p>
    <w:p w14:paraId="53DF9694" w14:textId="77777777" w:rsidR="00635EE0" w:rsidRPr="00DE267C" w:rsidRDefault="00C338EC" w:rsidP="002F7C84">
      <w:pPr>
        <w:pStyle w:val="Tiret0"/>
        <w:numPr>
          <w:ilvl w:val="0"/>
          <w:numId w:val="11"/>
        </w:numPr>
        <w:tabs>
          <w:tab w:val="clear" w:pos="850"/>
          <w:tab w:val="num" w:pos="1570"/>
        </w:tabs>
        <w:spacing w:after="0"/>
        <w:ind w:left="1570" w:right="141"/>
        <w:rPr>
          <w:noProof/>
        </w:rPr>
      </w:pPr>
      <w:r w:rsidRPr="00DE267C">
        <w:rPr>
          <w:noProof/>
        </w:rPr>
        <w:t>világító- és fényjelző berendezések beépítése L3 kategóriájú járművekbe;</w:t>
      </w:r>
    </w:p>
    <w:p w14:paraId="43A09245" w14:textId="77777777" w:rsidR="0019225F" w:rsidRPr="00DE267C" w:rsidRDefault="0019225F" w:rsidP="002F7C84">
      <w:pPr>
        <w:pStyle w:val="Tiret0"/>
        <w:numPr>
          <w:ilvl w:val="0"/>
          <w:numId w:val="11"/>
        </w:numPr>
        <w:tabs>
          <w:tab w:val="clear" w:pos="850"/>
          <w:tab w:val="num" w:pos="1570"/>
        </w:tabs>
        <w:spacing w:after="0"/>
        <w:ind w:left="1570" w:right="141"/>
        <w:rPr>
          <w:noProof/>
        </w:rPr>
      </w:pPr>
      <w:r w:rsidRPr="00DE267C">
        <w:rPr>
          <w:noProof/>
        </w:rPr>
        <w:t>haszongépjárművek és pótkocsijaik abroncsai;</w:t>
      </w:r>
    </w:p>
    <w:p w14:paraId="02182721" w14:textId="77777777" w:rsidR="0095781F" w:rsidRPr="00DE267C" w:rsidRDefault="0095781F" w:rsidP="002F7C84">
      <w:pPr>
        <w:pStyle w:val="Tiret0"/>
        <w:numPr>
          <w:ilvl w:val="0"/>
          <w:numId w:val="11"/>
        </w:numPr>
        <w:tabs>
          <w:tab w:val="clear" w:pos="850"/>
          <w:tab w:val="num" w:pos="1570"/>
        </w:tabs>
        <w:spacing w:after="0"/>
        <w:ind w:left="1570" w:right="141"/>
        <w:rPr>
          <w:noProof/>
        </w:rPr>
      </w:pPr>
      <w:r w:rsidRPr="00DE267C">
        <w:rPr>
          <w:noProof/>
        </w:rPr>
        <w:t>világító és fényjelző eszközök beszerelése (segédmotoros kerékpár);</w:t>
      </w:r>
    </w:p>
    <w:p w14:paraId="73A1CA18" w14:textId="77777777" w:rsidR="00635EE0" w:rsidRPr="00DE267C" w:rsidRDefault="00F928CC" w:rsidP="002F7C84">
      <w:pPr>
        <w:pStyle w:val="Tiret0"/>
        <w:numPr>
          <w:ilvl w:val="0"/>
          <w:numId w:val="11"/>
        </w:numPr>
        <w:tabs>
          <w:tab w:val="clear" w:pos="850"/>
          <w:tab w:val="num" w:pos="1570"/>
        </w:tabs>
        <w:spacing w:after="0"/>
        <w:ind w:left="1570" w:right="141"/>
        <w:rPr>
          <w:noProof/>
        </w:rPr>
      </w:pPr>
      <w:r w:rsidRPr="00DE267C">
        <w:rPr>
          <w:noProof/>
        </w:rPr>
        <w:t>kormányberendezés;</w:t>
      </w:r>
    </w:p>
    <w:p w14:paraId="20D2E1E6" w14:textId="77777777" w:rsidR="0095781F" w:rsidRPr="00DE267C" w:rsidRDefault="0095781F" w:rsidP="002F7C84">
      <w:pPr>
        <w:pStyle w:val="Tiret0"/>
        <w:numPr>
          <w:ilvl w:val="0"/>
          <w:numId w:val="11"/>
        </w:numPr>
        <w:tabs>
          <w:tab w:val="clear" w:pos="850"/>
          <w:tab w:val="num" w:pos="1570"/>
        </w:tabs>
        <w:spacing w:after="0"/>
        <w:ind w:left="1570" w:right="141"/>
        <w:rPr>
          <w:noProof/>
        </w:rPr>
      </w:pPr>
      <w:r w:rsidRPr="00DE267C">
        <w:rPr>
          <w:noProof/>
        </w:rPr>
        <w:t>a hasznos teljesítmény és a 30 perces teljesítmény mérése;</w:t>
      </w:r>
    </w:p>
    <w:p w14:paraId="5531039A" w14:textId="77777777" w:rsidR="0095781F" w:rsidRPr="00DE267C" w:rsidRDefault="0095781F" w:rsidP="002F7C84">
      <w:pPr>
        <w:pStyle w:val="Tiret0"/>
        <w:numPr>
          <w:ilvl w:val="0"/>
          <w:numId w:val="11"/>
        </w:numPr>
        <w:tabs>
          <w:tab w:val="clear" w:pos="850"/>
          <w:tab w:val="num" w:pos="1570"/>
        </w:tabs>
        <w:spacing w:after="0"/>
        <w:ind w:left="1570" w:right="141"/>
        <w:rPr>
          <w:noProof/>
        </w:rPr>
      </w:pPr>
      <w:r w:rsidRPr="00DE267C">
        <w:rPr>
          <w:noProof/>
        </w:rPr>
        <w:t>mezőgazdasági vontatók világító és fényjelző eszközeinek beszerelése;</w:t>
      </w:r>
    </w:p>
    <w:p w14:paraId="54641CFC" w14:textId="77777777" w:rsidR="00635EE0" w:rsidRPr="00DE267C" w:rsidRDefault="00F928CC" w:rsidP="002F7C84">
      <w:pPr>
        <w:pStyle w:val="Tiret0"/>
        <w:numPr>
          <w:ilvl w:val="0"/>
          <w:numId w:val="11"/>
        </w:numPr>
        <w:tabs>
          <w:tab w:val="clear" w:pos="850"/>
          <w:tab w:val="num" w:pos="1570"/>
        </w:tabs>
        <w:spacing w:after="0"/>
        <w:ind w:left="1570" w:right="141"/>
        <w:rPr>
          <w:noProof/>
        </w:rPr>
      </w:pPr>
      <w:r w:rsidRPr="00DE267C">
        <w:rPr>
          <w:noProof/>
        </w:rPr>
        <w:t>a fékek cserealkatrészei;</w:t>
      </w:r>
    </w:p>
    <w:p w14:paraId="1FB8DAEC" w14:textId="77777777" w:rsidR="0095781F" w:rsidRPr="00DE267C" w:rsidRDefault="0095781F" w:rsidP="002F7C84">
      <w:pPr>
        <w:pStyle w:val="Tiret0"/>
        <w:numPr>
          <w:ilvl w:val="0"/>
          <w:numId w:val="11"/>
        </w:numPr>
        <w:tabs>
          <w:tab w:val="clear" w:pos="850"/>
          <w:tab w:val="num" w:pos="1570"/>
        </w:tabs>
        <w:spacing w:after="0"/>
        <w:ind w:left="1570" w:right="141"/>
        <w:rPr>
          <w:noProof/>
        </w:rPr>
      </w:pPr>
      <w:r w:rsidRPr="00DE267C">
        <w:rPr>
          <w:noProof/>
        </w:rPr>
        <w:t>elektromos hajtásláncú járművek;</w:t>
      </w:r>
    </w:p>
    <w:p w14:paraId="11B34E61" w14:textId="09B5B06E" w:rsidR="0095781F" w:rsidRPr="00DE267C" w:rsidRDefault="0095781F" w:rsidP="002F7C84">
      <w:pPr>
        <w:pStyle w:val="Tiret0"/>
        <w:numPr>
          <w:ilvl w:val="0"/>
          <w:numId w:val="11"/>
        </w:numPr>
        <w:tabs>
          <w:tab w:val="clear" w:pos="850"/>
          <w:tab w:val="num" w:pos="1570"/>
        </w:tabs>
        <w:spacing w:after="0"/>
        <w:ind w:left="1570" w:right="141"/>
        <w:rPr>
          <w:noProof/>
        </w:rPr>
      </w:pPr>
      <w:r w:rsidRPr="00DE267C">
        <w:rPr>
          <w:noProof/>
        </w:rPr>
        <w:t>mezőgazdasági járművek gumiabroncsai;</w:t>
      </w:r>
    </w:p>
    <w:p w14:paraId="1A3E200A" w14:textId="1D04D124" w:rsidR="001945E5" w:rsidRPr="00DE267C" w:rsidRDefault="001945E5" w:rsidP="002F7C84">
      <w:pPr>
        <w:pStyle w:val="Tiret0"/>
        <w:numPr>
          <w:ilvl w:val="0"/>
          <w:numId w:val="11"/>
        </w:numPr>
        <w:tabs>
          <w:tab w:val="clear" w:pos="850"/>
          <w:tab w:val="num" w:pos="1570"/>
        </w:tabs>
        <w:spacing w:after="0"/>
        <w:ind w:left="1570" w:right="141"/>
        <w:rPr>
          <w:noProof/>
        </w:rPr>
      </w:pPr>
      <w:r w:rsidRPr="00DE267C">
        <w:rPr>
          <w:noProof/>
        </w:rPr>
        <w:t>haszongépjárművekre és pótkocsijaikra szánt újrafutózott gumiabroncsok;</w:t>
      </w:r>
    </w:p>
    <w:p w14:paraId="26D28D05" w14:textId="77777777" w:rsidR="0095781F" w:rsidRPr="00DE267C" w:rsidRDefault="0095781F" w:rsidP="002F7C84">
      <w:pPr>
        <w:pStyle w:val="Tiret0"/>
        <w:numPr>
          <w:ilvl w:val="0"/>
          <w:numId w:val="11"/>
        </w:numPr>
        <w:tabs>
          <w:tab w:val="clear" w:pos="850"/>
          <w:tab w:val="num" w:pos="1570"/>
        </w:tabs>
        <w:spacing w:after="0"/>
        <w:ind w:left="1570" w:right="141"/>
        <w:rPr>
          <w:noProof/>
        </w:rPr>
      </w:pPr>
      <w:r w:rsidRPr="00DE267C">
        <w:rPr>
          <w:noProof/>
        </w:rPr>
        <w:t>gumiabroncs gördülési ellenállása, gördülési zaj és nedves tapadás;</w:t>
      </w:r>
    </w:p>
    <w:p w14:paraId="7678D1FA" w14:textId="77777777" w:rsidR="0095781F" w:rsidRPr="00DE267C" w:rsidRDefault="0095781F" w:rsidP="002F7C84">
      <w:pPr>
        <w:pStyle w:val="Tiret0"/>
        <w:numPr>
          <w:ilvl w:val="0"/>
          <w:numId w:val="11"/>
        </w:numPr>
        <w:tabs>
          <w:tab w:val="clear" w:pos="850"/>
          <w:tab w:val="num" w:pos="1570"/>
        </w:tabs>
        <w:spacing w:after="0"/>
        <w:ind w:left="1570" w:right="141"/>
        <w:rPr>
          <w:noProof/>
        </w:rPr>
      </w:pPr>
      <w:r w:rsidRPr="00DE267C">
        <w:rPr>
          <w:noProof/>
        </w:rPr>
        <w:t>gyalogosbiztonság;</w:t>
      </w:r>
    </w:p>
    <w:p w14:paraId="141C69DF" w14:textId="77777777" w:rsidR="0095781F" w:rsidRPr="00DE267C" w:rsidRDefault="0095781F" w:rsidP="0095781F">
      <w:pPr>
        <w:pStyle w:val="Tiret0"/>
        <w:numPr>
          <w:ilvl w:val="0"/>
          <w:numId w:val="11"/>
        </w:numPr>
        <w:tabs>
          <w:tab w:val="clear" w:pos="850"/>
          <w:tab w:val="num" w:pos="1570"/>
        </w:tabs>
        <w:spacing w:after="0"/>
        <w:ind w:left="1570" w:right="141"/>
        <w:rPr>
          <w:noProof/>
        </w:rPr>
      </w:pPr>
      <w:r w:rsidRPr="00DE267C">
        <w:rPr>
          <w:noProof/>
        </w:rPr>
        <w:t>megerősített gyermekbiztonsági rendszerek;</w:t>
      </w:r>
    </w:p>
    <w:p w14:paraId="211641D7" w14:textId="77777777" w:rsidR="0095781F" w:rsidRPr="00DE267C" w:rsidRDefault="0095781F" w:rsidP="0095781F">
      <w:pPr>
        <w:pStyle w:val="Tiret0"/>
        <w:numPr>
          <w:ilvl w:val="0"/>
          <w:numId w:val="11"/>
        </w:numPr>
        <w:tabs>
          <w:tab w:val="clear" w:pos="850"/>
          <w:tab w:val="num" w:pos="1570"/>
        </w:tabs>
        <w:spacing w:after="0"/>
        <w:ind w:left="1570" w:right="141"/>
        <w:rPr>
          <w:noProof/>
        </w:rPr>
      </w:pPr>
      <w:r w:rsidRPr="00DE267C">
        <w:rPr>
          <w:noProof/>
        </w:rPr>
        <w:t>fejlett vészfékező rendszerek;</w:t>
      </w:r>
    </w:p>
    <w:p w14:paraId="6DE8A6ED" w14:textId="77777777" w:rsidR="0095781F" w:rsidRPr="00DE267C" w:rsidRDefault="0095781F" w:rsidP="0095781F">
      <w:pPr>
        <w:pStyle w:val="Tiret0"/>
        <w:numPr>
          <w:ilvl w:val="0"/>
          <w:numId w:val="11"/>
        </w:numPr>
        <w:tabs>
          <w:tab w:val="clear" w:pos="850"/>
          <w:tab w:val="num" w:pos="1570"/>
        </w:tabs>
        <w:spacing w:after="0"/>
        <w:ind w:left="1570" w:right="141"/>
        <w:rPr>
          <w:noProof/>
        </w:rPr>
      </w:pPr>
      <w:r w:rsidRPr="00DE267C">
        <w:rPr>
          <w:noProof/>
        </w:rPr>
        <w:t>oszloppal való oldalirányú ütközés;</w:t>
      </w:r>
    </w:p>
    <w:p w14:paraId="1158B96D" w14:textId="77777777" w:rsidR="0095781F" w:rsidRPr="00DE267C" w:rsidRDefault="0095781F" w:rsidP="0095781F">
      <w:pPr>
        <w:pStyle w:val="Tiret0"/>
        <w:numPr>
          <w:ilvl w:val="0"/>
          <w:numId w:val="11"/>
        </w:numPr>
        <w:tabs>
          <w:tab w:val="clear" w:pos="850"/>
          <w:tab w:val="num" w:pos="1570"/>
        </w:tabs>
        <w:spacing w:after="0"/>
        <w:ind w:left="1570" w:right="141"/>
        <w:rPr>
          <w:noProof/>
        </w:rPr>
      </w:pPr>
      <w:r w:rsidRPr="00DE267C">
        <w:rPr>
          <w:noProof/>
        </w:rPr>
        <w:t>L kategóriájú elektromos járművek;</w:t>
      </w:r>
    </w:p>
    <w:p w14:paraId="13CE50A9" w14:textId="77777777" w:rsidR="0095781F" w:rsidRPr="00DE267C" w:rsidRDefault="0095781F" w:rsidP="0095781F">
      <w:pPr>
        <w:pStyle w:val="Tiret0"/>
        <w:numPr>
          <w:ilvl w:val="0"/>
          <w:numId w:val="11"/>
        </w:numPr>
        <w:tabs>
          <w:tab w:val="clear" w:pos="850"/>
          <w:tab w:val="num" w:pos="1570"/>
        </w:tabs>
        <w:spacing w:after="0"/>
        <w:ind w:left="1570" w:right="141"/>
        <w:rPr>
          <w:noProof/>
        </w:rPr>
      </w:pPr>
      <w:r w:rsidRPr="00DE267C">
        <w:rPr>
          <w:noProof/>
        </w:rPr>
        <w:t>frontális ütközés, középpontban az utasbiztonsági rendszerekkel;</w:t>
      </w:r>
    </w:p>
    <w:p w14:paraId="6CF91080" w14:textId="77777777" w:rsidR="0095781F" w:rsidRPr="00DE267C" w:rsidRDefault="0095781F" w:rsidP="0095781F">
      <w:pPr>
        <w:pStyle w:val="Tiret0"/>
        <w:numPr>
          <w:ilvl w:val="0"/>
          <w:numId w:val="11"/>
        </w:numPr>
        <w:tabs>
          <w:tab w:val="clear" w:pos="850"/>
          <w:tab w:val="num" w:pos="1570"/>
        </w:tabs>
        <w:spacing w:after="0"/>
        <w:ind w:left="1570" w:right="141"/>
        <w:rPr>
          <w:noProof/>
        </w:rPr>
      </w:pPr>
      <w:r w:rsidRPr="00DE267C">
        <w:rPr>
          <w:noProof/>
        </w:rPr>
        <w:t>abroncsnyomás-ellenőrző rendszerek;</w:t>
      </w:r>
    </w:p>
    <w:p w14:paraId="29FAE5AE" w14:textId="77777777" w:rsidR="0095781F" w:rsidRPr="00DE267C" w:rsidRDefault="0095781F" w:rsidP="0095781F">
      <w:pPr>
        <w:pStyle w:val="Tiret0"/>
        <w:numPr>
          <w:ilvl w:val="0"/>
          <w:numId w:val="11"/>
        </w:numPr>
        <w:tabs>
          <w:tab w:val="clear" w:pos="850"/>
          <w:tab w:val="num" w:pos="1570"/>
        </w:tabs>
        <w:spacing w:after="0"/>
        <w:ind w:left="1570" w:right="141"/>
        <w:rPr>
          <w:noProof/>
        </w:rPr>
      </w:pPr>
      <w:r w:rsidRPr="00DE267C">
        <w:rPr>
          <w:noProof/>
        </w:rPr>
        <w:t>ISOFIX rögzítési rendszerek, ISOFIX felső hevederrögzítési pontok és i-Size ülőhelyek;</w:t>
      </w:r>
    </w:p>
    <w:p w14:paraId="1949FC56" w14:textId="77777777" w:rsidR="00635EE0" w:rsidRPr="00DE267C" w:rsidRDefault="00F928CC" w:rsidP="002F7C84">
      <w:pPr>
        <w:pStyle w:val="Tiret0"/>
        <w:numPr>
          <w:ilvl w:val="0"/>
          <w:numId w:val="11"/>
        </w:numPr>
        <w:tabs>
          <w:tab w:val="clear" w:pos="850"/>
          <w:tab w:val="num" w:pos="1570"/>
        </w:tabs>
        <w:spacing w:after="0"/>
        <w:ind w:left="1570" w:right="141"/>
        <w:rPr>
          <w:noProof/>
        </w:rPr>
      </w:pPr>
      <w:r w:rsidRPr="00DE267C">
        <w:rPr>
          <w:noProof/>
        </w:rPr>
        <w:t>fényjelző berendezések;</w:t>
      </w:r>
    </w:p>
    <w:p w14:paraId="46622497" w14:textId="77777777" w:rsidR="00635EE0" w:rsidRPr="00DE267C" w:rsidRDefault="00F928CC" w:rsidP="002F7C84">
      <w:pPr>
        <w:pStyle w:val="Tiret0"/>
        <w:numPr>
          <w:ilvl w:val="0"/>
          <w:numId w:val="11"/>
        </w:numPr>
        <w:tabs>
          <w:tab w:val="clear" w:pos="850"/>
          <w:tab w:val="num" w:pos="1570"/>
        </w:tabs>
        <w:spacing w:after="0"/>
        <w:ind w:left="1570" w:right="141"/>
        <w:rPr>
          <w:noProof/>
        </w:rPr>
      </w:pPr>
      <w:r w:rsidRPr="00DE267C">
        <w:rPr>
          <w:noProof/>
        </w:rPr>
        <w:t>útmegvilágítási eszközök;</w:t>
      </w:r>
    </w:p>
    <w:p w14:paraId="3E229B48" w14:textId="77777777" w:rsidR="00CD070E" w:rsidRPr="00DE267C" w:rsidRDefault="00CD070E" w:rsidP="002F7C84">
      <w:pPr>
        <w:pStyle w:val="Tiret0"/>
        <w:numPr>
          <w:ilvl w:val="0"/>
          <w:numId w:val="11"/>
        </w:numPr>
        <w:tabs>
          <w:tab w:val="clear" w:pos="850"/>
          <w:tab w:val="num" w:pos="1570"/>
        </w:tabs>
        <w:spacing w:after="0"/>
        <w:ind w:left="1570" w:right="141"/>
        <w:rPr>
          <w:noProof/>
        </w:rPr>
      </w:pPr>
      <w:r w:rsidRPr="00DE267C">
        <w:rPr>
          <w:noProof/>
        </w:rPr>
        <w:t>fényvisszaverő eszközök;</w:t>
      </w:r>
    </w:p>
    <w:p w14:paraId="50ABFE9C" w14:textId="77777777" w:rsidR="00CD070E" w:rsidRPr="00DE267C" w:rsidRDefault="00CD070E" w:rsidP="002F7C84">
      <w:pPr>
        <w:pStyle w:val="Tiret0"/>
        <w:numPr>
          <w:ilvl w:val="0"/>
          <w:numId w:val="11"/>
        </w:numPr>
        <w:tabs>
          <w:tab w:val="clear" w:pos="850"/>
          <w:tab w:val="num" w:pos="1570"/>
        </w:tabs>
        <w:spacing w:after="0"/>
        <w:ind w:left="1570" w:right="141"/>
        <w:rPr>
          <w:noProof/>
        </w:rPr>
      </w:pPr>
      <w:r w:rsidRPr="00DE267C">
        <w:rPr>
          <w:noProof/>
        </w:rPr>
        <w:t>automatizált sávtartó rendszerek; valamint</w:t>
      </w:r>
    </w:p>
    <w:p w14:paraId="71537E43" w14:textId="77777777" w:rsidR="002F7C84" w:rsidRPr="00DE267C" w:rsidRDefault="00711814" w:rsidP="002F7C84">
      <w:pPr>
        <w:pStyle w:val="Tiret0"/>
        <w:numPr>
          <w:ilvl w:val="0"/>
          <w:numId w:val="11"/>
        </w:numPr>
        <w:tabs>
          <w:tab w:val="clear" w:pos="850"/>
          <w:tab w:val="num" w:pos="1570"/>
        </w:tabs>
        <w:spacing w:after="0"/>
        <w:ind w:left="1570" w:right="141"/>
        <w:rPr>
          <w:noProof/>
        </w:rPr>
      </w:pPr>
      <w:r w:rsidRPr="00DE267C">
        <w:rPr>
          <w:noProof/>
        </w:rPr>
        <w:t>indításgátlók;</w:t>
      </w:r>
    </w:p>
    <w:p w14:paraId="2B1FB725" w14:textId="77777777" w:rsidR="00CD070E" w:rsidRPr="00DE267C" w:rsidRDefault="00CD070E" w:rsidP="0095112C">
      <w:pPr>
        <w:pStyle w:val="Tiret0"/>
        <w:numPr>
          <w:ilvl w:val="0"/>
          <w:numId w:val="11"/>
        </w:numPr>
        <w:spacing w:after="0"/>
        <w:ind w:right="141"/>
        <w:rPr>
          <w:noProof/>
        </w:rPr>
      </w:pPr>
      <w:r w:rsidRPr="00DE267C">
        <w:rPr>
          <w:noProof/>
        </w:rPr>
        <w:t xml:space="preserve">javaslat a 2. számú ENSZ-GTR módosítására a motorkerékpárok világszinten harmonizált kibocsátásvizsgálati ciklusára vonatkozó rendelkezések naprakésszé tétele érdekében; </w:t>
      </w:r>
    </w:p>
    <w:p w14:paraId="7AC1C202" w14:textId="77777777" w:rsidR="00CD070E" w:rsidRPr="00DE267C" w:rsidRDefault="00CD070E" w:rsidP="00CD070E">
      <w:pPr>
        <w:pStyle w:val="Tiret0"/>
        <w:numPr>
          <w:ilvl w:val="0"/>
          <w:numId w:val="11"/>
        </w:numPr>
        <w:rPr>
          <w:noProof/>
        </w:rPr>
      </w:pPr>
      <w:r w:rsidRPr="00DE267C">
        <w:rPr>
          <w:noProof/>
        </w:rPr>
        <w:t xml:space="preserve">a tolatási figyelmeztetésről szóló új ENSZ-előírásra irányuló javaslat; </w:t>
      </w:r>
    </w:p>
    <w:p w14:paraId="763CB013" w14:textId="77777777" w:rsidR="00CD070E" w:rsidRPr="00DE267C" w:rsidRDefault="00CD070E" w:rsidP="00CD070E">
      <w:pPr>
        <w:pStyle w:val="Tiret0"/>
        <w:numPr>
          <w:ilvl w:val="0"/>
          <w:numId w:val="11"/>
        </w:numPr>
        <w:rPr>
          <w:noProof/>
        </w:rPr>
      </w:pPr>
      <w:r w:rsidRPr="00DE267C">
        <w:rPr>
          <w:noProof/>
        </w:rPr>
        <w:t>a két- és háromkerekű járművek kibocsátáscsökkentő berendezéseinek tartósságára vonatkozó új ENSZ-GTR-re irányuló javaslat; és</w:t>
      </w:r>
    </w:p>
    <w:p w14:paraId="113BB1BB" w14:textId="77777777" w:rsidR="00CD070E" w:rsidRPr="00DE267C" w:rsidRDefault="00CD070E" w:rsidP="00CD070E">
      <w:pPr>
        <w:pStyle w:val="Tiret0"/>
        <w:numPr>
          <w:ilvl w:val="0"/>
          <w:numId w:val="11"/>
        </w:numPr>
        <w:rPr>
          <w:noProof/>
        </w:rPr>
      </w:pPr>
      <w:r w:rsidRPr="00DE267C">
        <w:rPr>
          <w:noProof/>
        </w:rPr>
        <w:t>a nehézgépjárművek kipufogógáza ultrafinomrészecske-számának mérésére vonatkozó új, konszolidált határozatra irányuló javaslat.</w:t>
      </w:r>
    </w:p>
    <w:p w14:paraId="3A1E0AE8" w14:textId="77777777" w:rsidR="00733E7A" w:rsidRPr="00DE267C" w:rsidRDefault="00A577DD" w:rsidP="00A577DD">
      <w:pPr>
        <w:rPr>
          <w:noProof/>
        </w:rPr>
      </w:pPr>
      <w:r w:rsidRPr="00DE267C">
        <w:rPr>
          <w:noProof/>
        </w:rPr>
        <w:t>A 29. munkacsoport a tervek szerint 2022. június 21. és 24. közötti ülésén szavaz ezekről a javaslatokról.</w:t>
      </w:r>
    </w:p>
    <w:p w14:paraId="2D95340F" w14:textId="77777777" w:rsidR="00A577DD" w:rsidRPr="00DE267C" w:rsidRDefault="00A577DD" w:rsidP="00A577DD">
      <w:pPr>
        <w:rPr>
          <w:noProof/>
        </w:rPr>
      </w:pPr>
      <w:r w:rsidRPr="00DE267C">
        <w:rPr>
          <w:noProof/>
        </w:rPr>
        <w:t>Ezen túlmenően meg kell határozni az Unió álláspontját a következőkkel kapcsolatban:</w:t>
      </w:r>
    </w:p>
    <w:p w14:paraId="4FFAEBC1" w14:textId="77777777" w:rsidR="00CD070E" w:rsidRPr="00DE267C" w:rsidRDefault="00733E7A" w:rsidP="00C338EC">
      <w:pPr>
        <w:pStyle w:val="Tiret0"/>
        <w:numPr>
          <w:ilvl w:val="0"/>
          <w:numId w:val="2"/>
        </w:numPr>
        <w:spacing w:after="0"/>
        <w:ind w:right="141"/>
        <w:rPr>
          <w:noProof/>
        </w:rPr>
      </w:pPr>
      <w:r w:rsidRPr="00DE267C">
        <w:rPr>
          <w:noProof/>
        </w:rPr>
        <w:t>a motorkerékpárok fékeiről szóló 3. számú ENSZ-GTR 4. módosítása kidolgozásának engedélyezésére irányuló javaslat;</w:t>
      </w:r>
    </w:p>
    <w:p w14:paraId="68332FD1" w14:textId="77777777" w:rsidR="00CD070E" w:rsidRPr="00DE267C" w:rsidRDefault="00CD070E" w:rsidP="00C338EC">
      <w:pPr>
        <w:pStyle w:val="Tiret0"/>
        <w:numPr>
          <w:ilvl w:val="0"/>
          <w:numId w:val="2"/>
        </w:numPr>
        <w:spacing w:after="0"/>
        <w:ind w:right="141"/>
        <w:rPr>
          <w:noProof/>
        </w:rPr>
      </w:pPr>
      <w:r w:rsidRPr="00DE267C">
        <w:rPr>
          <w:noProof/>
        </w:rPr>
        <w:t>javaslatok az automatizált vezetési rendszerekre vonatkozó iránymutatásokra, ajánlásokra és új vizsgálati módszerekre;</w:t>
      </w:r>
    </w:p>
    <w:p w14:paraId="0EBE4390" w14:textId="77777777" w:rsidR="00F500C4" w:rsidRPr="00DE267C" w:rsidRDefault="00CD070E" w:rsidP="00C338EC">
      <w:pPr>
        <w:pStyle w:val="Tiret0"/>
        <w:numPr>
          <w:ilvl w:val="0"/>
          <w:numId w:val="2"/>
        </w:numPr>
        <w:spacing w:after="0"/>
        <w:ind w:right="141"/>
        <w:rPr>
          <w:noProof/>
        </w:rPr>
      </w:pPr>
      <w:r w:rsidRPr="00DE267C">
        <w:rPr>
          <w:noProof/>
        </w:rPr>
        <w:t>a kiberbiztonságra és a szoftverfrissítésekre vonatkozó rendelkezésekre irányuló javaslatok;</w:t>
      </w:r>
    </w:p>
    <w:p w14:paraId="3432AE99" w14:textId="77777777" w:rsidR="00F500C4" w:rsidRPr="00DE267C" w:rsidRDefault="00F500C4" w:rsidP="00C338EC">
      <w:pPr>
        <w:pStyle w:val="Tiret0"/>
        <w:numPr>
          <w:ilvl w:val="0"/>
          <w:numId w:val="2"/>
        </w:numPr>
        <w:spacing w:after="0"/>
        <w:ind w:right="141"/>
        <w:rPr>
          <w:noProof/>
        </w:rPr>
      </w:pPr>
      <w:r w:rsidRPr="00DE267C">
        <w:rPr>
          <w:noProof/>
        </w:rPr>
        <w:t>a kiberbiztonságról szóló értelmezési dokumentum módosítására irányuló javaslat; és</w:t>
      </w:r>
    </w:p>
    <w:p w14:paraId="176101C5" w14:textId="77777777" w:rsidR="00EF5800" w:rsidRPr="00DE267C" w:rsidRDefault="00F500C4" w:rsidP="00C338EC">
      <w:pPr>
        <w:pStyle w:val="Tiret0"/>
        <w:numPr>
          <w:ilvl w:val="0"/>
          <w:numId w:val="2"/>
        </w:numPr>
        <w:spacing w:after="0"/>
        <w:ind w:right="141"/>
        <w:rPr>
          <w:noProof/>
        </w:rPr>
      </w:pPr>
      <w:r w:rsidRPr="00DE267C">
        <w:rPr>
          <w:noProof/>
        </w:rPr>
        <w:t>„az egyedi azonosító modulra vonatkozó előírások és alkalmazási iránymutatások” módosítására irányuló javaslat.</w:t>
      </w:r>
    </w:p>
    <w:p w14:paraId="7F8DA267" w14:textId="77777777" w:rsidR="00216DFC" w:rsidRPr="00DE267C" w:rsidRDefault="00A577DD" w:rsidP="002F7C84">
      <w:pPr>
        <w:rPr>
          <w:noProof/>
          <w:szCs w:val="24"/>
        </w:rPr>
      </w:pPr>
      <w:r w:rsidRPr="00DE267C">
        <w:rPr>
          <w:noProof/>
        </w:rPr>
        <w:t xml:space="preserve">Az Európai Uniónak indokolt támogatnia a fent említett jogi aktusokat, mert azok összhangban vannak az Unió belső piaci politikájával a gépjárműipart illetően, és összeegyeztethetők az Unió közlekedés-, éghajlat- és energiapolitikájával. </w:t>
      </w:r>
    </w:p>
    <w:p w14:paraId="779C4053" w14:textId="77777777" w:rsidR="00E50BF3" w:rsidRPr="00DE267C" w:rsidRDefault="00216DFC" w:rsidP="002F7C84">
      <w:pPr>
        <w:rPr>
          <w:noProof/>
        </w:rPr>
      </w:pPr>
      <w:r w:rsidRPr="00DE267C">
        <w:rPr>
          <w:noProof/>
        </w:rPr>
        <w:t xml:space="preserve">Mindezek a jogi aktusok nagyon kedvező hatással vannak az uniós gépjárműipar versenyképességére és az EU nemzetközi kereskedelmére. A szóban forgó jogi aktusok megszavazása elősegíti a technológiai fejlődést, előnyöket kínál a méretgazdaságosság tekintetében, megakadályozza a belső piac széttagolódását, és biztosítja, hogy az Unió egész területén egységes gépjárműipari szabványok érvényesüljenek. </w:t>
      </w:r>
    </w:p>
    <w:p w14:paraId="405CBA8C" w14:textId="77777777" w:rsidR="00A577DD" w:rsidRPr="00DE267C" w:rsidRDefault="00A577DD" w:rsidP="00733E7A">
      <w:pPr>
        <w:rPr>
          <w:noProof/>
        </w:rPr>
      </w:pPr>
      <w:r w:rsidRPr="00DE267C">
        <w:rPr>
          <w:noProof/>
        </w:rPr>
        <w:t>E javaslat esetében nincs szükség külső szakértői véleményre. A gépjárművekkel foglalkozó műszaki bizottság azonban felül fogja vizsgálni ezt a javaslatot.</w:t>
      </w:r>
    </w:p>
    <w:p w14:paraId="406D5338" w14:textId="77777777" w:rsidR="00A577DD" w:rsidRPr="00DE267C" w:rsidRDefault="00A577DD" w:rsidP="00A577DD">
      <w:pPr>
        <w:pStyle w:val="ManualHeading1"/>
        <w:rPr>
          <w:noProof/>
        </w:rPr>
      </w:pPr>
      <w:r w:rsidRPr="00DE267C">
        <w:rPr>
          <w:noProof/>
        </w:rPr>
        <w:t>4.</w:t>
      </w:r>
      <w:r w:rsidRPr="00DE267C">
        <w:rPr>
          <w:noProof/>
        </w:rPr>
        <w:tab/>
        <w:t>JOGALAP</w:t>
      </w:r>
    </w:p>
    <w:p w14:paraId="3D1E5453" w14:textId="77777777" w:rsidR="00A577DD" w:rsidRPr="00DE267C" w:rsidRDefault="00A577DD" w:rsidP="00E573C2">
      <w:pPr>
        <w:pStyle w:val="ManualHeading2"/>
        <w:rPr>
          <w:noProof/>
        </w:rPr>
      </w:pPr>
      <w:r w:rsidRPr="00DE267C">
        <w:rPr>
          <w:noProof/>
        </w:rPr>
        <w:t xml:space="preserve">4.1. </w:t>
      </w:r>
      <w:r w:rsidRPr="00DE267C">
        <w:rPr>
          <w:noProof/>
        </w:rPr>
        <w:tab/>
        <w:t xml:space="preserve">Eljárási jogalap </w:t>
      </w:r>
    </w:p>
    <w:p w14:paraId="4F95CAD8" w14:textId="77777777" w:rsidR="00A577DD" w:rsidRPr="00DE267C" w:rsidRDefault="00A577DD" w:rsidP="00E573C2">
      <w:pPr>
        <w:pStyle w:val="ManualHeading3"/>
        <w:rPr>
          <w:noProof/>
        </w:rPr>
      </w:pPr>
      <w:r w:rsidRPr="00DE267C">
        <w:rPr>
          <w:noProof/>
        </w:rPr>
        <w:t xml:space="preserve">4.1.1. </w:t>
      </w:r>
      <w:r w:rsidRPr="00DE267C">
        <w:rPr>
          <w:noProof/>
        </w:rPr>
        <w:tab/>
        <w:t xml:space="preserve">Alapelvek </w:t>
      </w:r>
    </w:p>
    <w:p w14:paraId="4093A061" w14:textId="77777777" w:rsidR="00A577DD" w:rsidRPr="00DE267C" w:rsidRDefault="00A577DD" w:rsidP="00E573C2">
      <w:pPr>
        <w:rPr>
          <w:noProof/>
        </w:rPr>
      </w:pPr>
      <w:r w:rsidRPr="00DE267C">
        <w:rPr>
          <w:noProof/>
        </w:rPr>
        <w:t xml:space="preserve">Az Európai Unió működéséről szóló szerződés (EUMSZ) 218. cikkének (9) bekezdése tanácsi határozatok elfogadásáról rendelkezik „a megállapodásokkal létrehozott szervekben az Unió által képviselendő álláspontok kialakítására vonatkozóan, amennyiben az ilyen szervnek joghatással bíró jogi aktust kell elfogadnia, kivéve a megállapodás intézményi kereteit kiegészítő vagy módosító jogi aktusokat”. </w:t>
      </w:r>
    </w:p>
    <w:p w14:paraId="7A7C6FE4" w14:textId="77777777" w:rsidR="00A577DD" w:rsidRPr="00DE267C" w:rsidRDefault="00A577DD" w:rsidP="00E573C2">
      <w:pPr>
        <w:rPr>
          <w:noProof/>
        </w:rPr>
      </w:pPr>
      <w:r w:rsidRPr="00DE267C">
        <w:rPr>
          <w:noProof/>
        </w:rPr>
        <w:t>A „joghatással bíró jogi aktus” fogalmába beletartoznak a nemzetközi jognak a kérdéses szervet szabályozó szabályai szerint joghatással bíró jogi aktusok. A „joghatással bíró jogi aktusok” fogalma ezenfelül magában foglalja azokat az eszközöket is, melyek a nemzetközi jog szerint nem bírnak kötelező erővel, de „meghatározó módon befolyásolják az uniós jogalkotó által [...] elfogadott szabályozás tartalmát”</w:t>
      </w:r>
      <w:r w:rsidRPr="00DE267C">
        <w:rPr>
          <w:rStyle w:val="FootnoteReference"/>
          <w:noProof/>
        </w:rPr>
        <w:footnoteReference w:id="3"/>
      </w:r>
      <w:r w:rsidRPr="00DE267C">
        <w:rPr>
          <w:noProof/>
        </w:rPr>
        <w:t>.</w:t>
      </w:r>
    </w:p>
    <w:p w14:paraId="12DD890C" w14:textId="77777777" w:rsidR="00A577DD" w:rsidRPr="00DE267C" w:rsidRDefault="00A577DD" w:rsidP="00E573C2">
      <w:pPr>
        <w:pStyle w:val="ManualHeading3"/>
        <w:rPr>
          <w:noProof/>
        </w:rPr>
      </w:pPr>
      <w:r w:rsidRPr="00DE267C">
        <w:rPr>
          <w:noProof/>
        </w:rPr>
        <w:t xml:space="preserve">4.1.2. </w:t>
      </w:r>
      <w:r w:rsidRPr="00DE267C">
        <w:rPr>
          <w:noProof/>
        </w:rPr>
        <w:tab/>
        <w:t xml:space="preserve">A jelen esetre történő alkalmazás </w:t>
      </w:r>
    </w:p>
    <w:p w14:paraId="57DF57B7" w14:textId="77777777" w:rsidR="00A577DD" w:rsidRPr="00DE267C" w:rsidRDefault="00A577DD" w:rsidP="00E573C2">
      <w:pPr>
        <w:rPr>
          <w:noProof/>
        </w:rPr>
      </w:pPr>
      <w:r w:rsidRPr="00DE267C">
        <w:rPr>
          <w:noProof/>
        </w:rPr>
        <w:t xml:space="preserve">A 29. munkacsoport olyan szerv, amelynek keretében az ENSZ EGB szerződő felei megvitatják az 1958. évi felülvizsgált megállapodás és a párhuzamos megállapodás végrehajtását.  </w:t>
      </w:r>
    </w:p>
    <w:p w14:paraId="2E34F6D3" w14:textId="77777777" w:rsidR="00A577DD" w:rsidRPr="00DE267C" w:rsidRDefault="00A577DD" w:rsidP="00E573C2">
      <w:pPr>
        <w:rPr>
          <w:noProof/>
        </w:rPr>
      </w:pPr>
      <w:r w:rsidRPr="00DE267C">
        <w:rPr>
          <w:noProof/>
        </w:rPr>
        <w:t xml:space="preserve">A 29. munkacsoport által elfogadandó jogi aktusok joghatással bíró jogi aktusok. </w:t>
      </w:r>
    </w:p>
    <w:p w14:paraId="40EDD358" w14:textId="77777777" w:rsidR="00A577DD" w:rsidRPr="00DE267C" w:rsidRDefault="00A577DD" w:rsidP="00E573C2">
      <w:pPr>
        <w:rPr>
          <w:noProof/>
        </w:rPr>
      </w:pPr>
      <w:r w:rsidRPr="00DE267C">
        <w:rPr>
          <w:noProof/>
        </w:rPr>
        <w:t xml:space="preserve">A tervezett jogi aktusban szereplő ENSZ-előírások kötelező érvényűek lesznek az Unióra nézve. Az ENSZ-GTR-ekkel és ENSZ-határozatokkal együtt alkalmasak lesznek arra, hogy meghatározó módon befolyásolják a járművek típusjóváhagyására vonatkozó uniós jogszabályok tartalmát. </w:t>
      </w:r>
    </w:p>
    <w:p w14:paraId="7ED1B6E0" w14:textId="77777777" w:rsidR="00A577DD" w:rsidRPr="00DE267C" w:rsidRDefault="00A577DD" w:rsidP="00E573C2">
      <w:pPr>
        <w:rPr>
          <w:noProof/>
        </w:rPr>
      </w:pPr>
      <w:r w:rsidRPr="00DE267C">
        <w:rPr>
          <w:noProof/>
        </w:rPr>
        <w:t xml:space="preserve">A tervezett jogi aktusok nem egészítik ki és nem módosítják a megállapodás intézményi keretét. </w:t>
      </w:r>
    </w:p>
    <w:p w14:paraId="4E619C65" w14:textId="77777777" w:rsidR="00A577DD" w:rsidRPr="00DE267C" w:rsidRDefault="00A577DD" w:rsidP="00E573C2">
      <w:pPr>
        <w:rPr>
          <w:noProof/>
        </w:rPr>
      </w:pPr>
      <w:r w:rsidRPr="00DE267C">
        <w:rPr>
          <w:noProof/>
        </w:rPr>
        <w:t>Ezért a javasolt határozat eljárási jogalapja az EUMSZ 218. cikkének (9) bekezdése.</w:t>
      </w:r>
    </w:p>
    <w:p w14:paraId="11B9B39F" w14:textId="77777777" w:rsidR="00A577DD" w:rsidRPr="00DE267C" w:rsidRDefault="00A577DD" w:rsidP="00E573C2">
      <w:pPr>
        <w:pStyle w:val="ManualHeading2"/>
        <w:rPr>
          <w:noProof/>
        </w:rPr>
      </w:pPr>
      <w:r w:rsidRPr="00DE267C">
        <w:rPr>
          <w:noProof/>
        </w:rPr>
        <w:t xml:space="preserve">4.2. </w:t>
      </w:r>
      <w:r w:rsidRPr="00DE267C">
        <w:rPr>
          <w:noProof/>
        </w:rPr>
        <w:tab/>
        <w:t xml:space="preserve">Anyagi jogalap </w:t>
      </w:r>
    </w:p>
    <w:p w14:paraId="1C2CA7F1" w14:textId="77777777" w:rsidR="00A577DD" w:rsidRPr="00DE267C" w:rsidRDefault="00A577DD" w:rsidP="00E573C2">
      <w:pPr>
        <w:pStyle w:val="Manuealheading3"/>
        <w:rPr>
          <w:noProof/>
        </w:rPr>
      </w:pPr>
      <w:r w:rsidRPr="00DE267C">
        <w:rPr>
          <w:noProof/>
        </w:rPr>
        <w:t xml:space="preserve">4.2.1. </w:t>
      </w:r>
      <w:r w:rsidRPr="00DE267C">
        <w:rPr>
          <w:noProof/>
        </w:rPr>
        <w:tab/>
        <w:t xml:space="preserve">Alapelvek </w:t>
      </w:r>
    </w:p>
    <w:p w14:paraId="78337F78" w14:textId="77777777" w:rsidR="003F48BA" w:rsidRPr="00DE267C" w:rsidRDefault="00A577DD" w:rsidP="00E573C2">
      <w:pPr>
        <w:rPr>
          <w:noProof/>
        </w:rPr>
      </w:pPr>
      <w:r w:rsidRPr="00DE267C">
        <w:rPr>
          <w:noProof/>
        </w:rPr>
        <w:t>Az EUMSZ 218. cikkének (9) bekezdése szerinti határozat anyagi jogalapja elsősorban azon tervezett jogi aktus célkitűzésétől és tartalmától függ, amellyel kapcsolatban az Unió által képviselendő álláspont meghatározásra kerül.</w:t>
      </w:r>
    </w:p>
    <w:p w14:paraId="6AAE2443" w14:textId="77777777" w:rsidR="00A577DD" w:rsidRPr="00DE267C" w:rsidRDefault="003F48BA" w:rsidP="00E573C2">
      <w:pPr>
        <w:rPr>
          <w:noProof/>
        </w:rPr>
      </w:pPr>
      <w:r w:rsidRPr="00DE267C">
        <w:rPr>
          <w:noProof/>
        </w:rPr>
        <w:t xml:space="preserve">A tervezett jogi aktus kettős célkitűzést is követhet, vagy két összetevőből is állhat, és ezek egyike elsődlegesként, míg a másik pusztán járulékosként azonosítható. Ez esetben az EUMSZ 218. cikkének (9) bekezdése szerinti határozatot egyetlen jogalapra, azaz az elsődleges, illetve döntő jellegű célkitűzés által megkövetelt jogalapra kell alapítani. </w:t>
      </w:r>
    </w:p>
    <w:p w14:paraId="35B22057" w14:textId="77777777" w:rsidR="00A577DD" w:rsidRPr="00DE267C" w:rsidRDefault="00A577DD" w:rsidP="00E573C2">
      <w:pPr>
        <w:pStyle w:val="Manuealheading3"/>
        <w:rPr>
          <w:noProof/>
        </w:rPr>
      </w:pPr>
      <w:r w:rsidRPr="00DE267C">
        <w:rPr>
          <w:noProof/>
        </w:rPr>
        <w:t xml:space="preserve">4.2.2. A jelen esetre történő alkalmazás </w:t>
      </w:r>
    </w:p>
    <w:p w14:paraId="0D8F8911" w14:textId="77777777" w:rsidR="00A577DD" w:rsidRPr="00DE267C" w:rsidRDefault="00A577DD" w:rsidP="00E573C2">
      <w:pPr>
        <w:rPr>
          <w:noProof/>
        </w:rPr>
      </w:pPr>
      <w:r w:rsidRPr="00DE267C">
        <w:rPr>
          <w:noProof/>
        </w:rPr>
        <w:t xml:space="preserve">A tervezett jogi aktus elsődleges célkitűzése és tartalma a jogszabályok közelítése. Ezért a javasolt határozat anyagi jogalapja az EUMSZ 114. cikke. </w:t>
      </w:r>
    </w:p>
    <w:p w14:paraId="568A1463" w14:textId="77777777" w:rsidR="00A577DD" w:rsidRPr="00DE267C" w:rsidRDefault="00A577DD" w:rsidP="00E573C2">
      <w:pPr>
        <w:pStyle w:val="ManualHeading2"/>
        <w:rPr>
          <w:noProof/>
        </w:rPr>
      </w:pPr>
      <w:r w:rsidRPr="00DE267C">
        <w:rPr>
          <w:noProof/>
        </w:rPr>
        <w:t xml:space="preserve">4.3. </w:t>
      </w:r>
      <w:r w:rsidRPr="00DE267C">
        <w:rPr>
          <w:noProof/>
        </w:rPr>
        <w:tab/>
        <w:t xml:space="preserve">Következtetés </w:t>
      </w:r>
    </w:p>
    <w:p w14:paraId="0A3CF12F" w14:textId="77777777" w:rsidR="00A577DD" w:rsidRPr="00DE267C" w:rsidRDefault="00A577DD" w:rsidP="00E573C2">
      <w:pPr>
        <w:rPr>
          <w:noProof/>
        </w:rPr>
      </w:pPr>
      <w:r w:rsidRPr="00DE267C">
        <w:rPr>
          <w:noProof/>
        </w:rPr>
        <w:t>A javasolt határozat jogalapja az EUMSZ 114. cikke, összefüggésben az EUMSZ 218. cikkének (9) bekezdésével.</w:t>
      </w:r>
    </w:p>
    <w:p w14:paraId="5EFD5C08" w14:textId="77777777" w:rsidR="00A577DD" w:rsidRPr="00DE267C" w:rsidRDefault="00A577DD" w:rsidP="00A577DD">
      <w:pPr>
        <w:spacing w:before="0" w:after="200" w:line="276" w:lineRule="auto"/>
        <w:jc w:val="center"/>
        <w:rPr>
          <w:noProof/>
        </w:rPr>
        <w:sectPr w:rsidR="00A577DD" w:rsidRPr="00DE267C" w:rsidSect="0015385D">
          <w:footerReference w:type="default" r:id="rId10"/>
          <w:footerReference w:type="first" r:id="rId11"/>
          <w:pgSz w:w="11907" w:h="16839"/>
          <w:pgMar w:top="1134" w:right="1417" w:bottom="1134" w:left="1417" w:header="709" w:footer="709" w:gutter="0"/>
          <w:pgNumType w:start="1"/>
          <w:cols w:space="708"/>
          <w:docGrid w:linePitch="360"/>
        </w:sectPr>
      </w:pPr>
    </w:p>
    <w:p w14:paraId="5B7E3405" w14:textId="1E96DD3B" w:rsidR="000B73B4" w:rsidRDefault="000B73B4" w:rsidP="000B73B4">
      <w:pPr>
        <w:pStyle w:val="Rfrenceinterinstitutionnelle"/>
        <w:rPr>
          <w:noProof/>
        </w:rPr>
      </w:pPr>
      <w:r w:rsidRPr="000B73B4">
        <w:t>2022/0168 (NLE)</w:t>
      </w:r>
    </w:p>
    <w:p w14:paraId="38C09572" w14:textId="2F6BF40C" w:rsidR="00A577DD" w:rsidRPr="00DE267C" w:rsidRDefault="00DE267C" w:rsidP="00DE267C">
      <w:pPr>
        <w:pStyle w:val="Statut"/>
        <w:rPr>
          <w:noProof/>
        </w:rPr>
      </w:pPr>
      <w:r w:rsidRPr="00DE267C">
        <w:rPr>
          <w:noProof/>
        </w:rPr>
        <w:t>Javaslat</w:t>
      </w:r>
    </w:p>
    <w:p w14:paraId="4F31F787" w14:textId="75ECAC44" w:rsidR="00A577DD" w:rsidRPr="00DE267C" w:rsidRDefault="00DE267C" w:rsidP="00DE267C">
      <w:pPr>
        <w:pStyle w:val="Typedudocument"/>
        <w:rPr>
          <w:noProof/>
        </w:rPr>
      </w:pPr>
      <w:r w:rsidRPr="00DE267C">
        <w:rPr>
          <w:noProof/>
        </w:rPr>
        <w:t>A TANÁCS HATÁROZATA</w:t>
      </w:r>
    </w:p>
    <w:p w14:paraId="4AF1C9F6" w14:textId="6024C97F" w:rsidR="00DB0857" w:rsidRPr="00DE267C" w:rsidRDefault="00DE267C" w:rsidP="00DE267C">
      <w:pPr>
        <w:pStyle w:val="Titreobjet"/>
        <w:rPr>
          <w:noProof/>
        </w:rPr>
      </w:pPr>
      <w:r w:rsidRPr="00DE267C">
        <w:rPr>
          <w:noProof/>
        </w:rPr>
        <w:t>az ENSZ Európai Gazdasági Bizottságának Járműelőírások Harmonizálása Világfórumán az ENSZ 12., 13., 13-H., 22., 24., 48., 49., 51., 53., 54., 74., 79., 85., 86., 90., 100., 106., 109., 117., 127., 129., 131., 135., 136., 137., 141., 145., 148., 149., 150., 157. és 162. számú előírásának módosítására irányuló javaslatok, az ENSZ 2. számú globális műszaki előírásának módosítására irányuló javaslat, a tolatási figyelmeztetésről szóló új ENSZ-előírásra irányuló javaslat, a két- és háromkerekű járművek kibocsátáscsökkentő berendezéseinek tartósságára vonatkozó új ENSZ-GTR-re irányuló javaslat, a nehézgépjárművek kipufogógáza ultrafinomrészecske-számának mérésére vonatkozó új, konszolidált határozatra irányuló javaslat, valamint a 3. számú ENSZ-GTR 4. módosítása kidolgozásának engedélyezésére irányuló javaslat tekintetében az Európai Unió által képviselendő álláspontról</w:t>
      </w:r>
    </w:p>
    <w:p w14:paraId="38DDCCFE" w14:textId="77777777" w:rsidR="00A577DD" w:rsidRPr="00DE267C" w:rsidRDefault="00A577DD" w:rsidP="00A577DD">
      <w:pPr>
        <w:pStyle w:val="Institutionquiagit"/>
        <w:rPr>
          <w:noProof/>
        </w:rPr>
      </w:pPr>
      <w:r w:rsidRPr="00DE267C">
        <w:rPr>
          <w:noProof/>
        </w:rPr>
        <w:t>AZ EURÓPAI UNIÓ TANÁCSA,</w:t>
      </w:r>
    </w:p>
    <w:p w14:paraId="300DF1F5" w14:textId="77777777" w:rsidR="00A577DD" w:rsidRPr="00DE267C" w:rsidRDefault="00A577DD" w:rsidP="00A577DD">
      <w:pPr>
        <w:rPr>
          <w:noProof/>
        </w:rPr>
      </w:pPr>
      <w:r w:rsidRPr="00DE267C">
        <w:rPr>
          <w:noProof/>
        </w:rPr>
        <w:t>tekintettel az Európai Unió működéséről szóló szerződésre és különösen annak 114. cikkére, összefüggésben 218. cikke (9) bekezdésével,</w:t>
      </w:r>
    </w:p>
    <w:p w14:paraId="22081AFF" w14:textId="77777777" w:rsidR="00A577DD" w:rsidRPr="00DE267C" w:rsidRDefault="00A577DD" w:rsidP="00A577DD">
      <w:pPr>
        <w:rPr>
          <w:noProof/>
        </w:rPr>
      </w:pPr>
      <w:r w:rsidRPr="00DE267C">
        <w:rPr>
          <w:noProof/>
        </w:rPr>
        <w:t>tekintettel az Európai Bizottság javaslatára,</w:t>
      </w:r>
    </w:p>
    <w:p w14:paraId="2C007E0E" w14:textId="77777777" w:rsidR="00A577DD" w:rsidRPr="00DE267C" w:rsidRDefault="00A577DD" w:rsidP="00A577DD">
      <w:pPr>
        <w:rPr>
          <w:noProof/>
        </w:rPr>
      </w:pPr>
      <w:r w:rsidRPr="00DE267C">
        <w:rPr>
          <w:noProof/>
        </w:rPr>
        <w:t>mivel:</w:t>
      </w:r>
    </w:p>
    <w:p w14:paraId="29F0BBA0" w14:textId="7773E12D" w:rsidR="00A577DD" w:rsidRPr="00DE267C" w:rsidRDefault="005E3CBE" w:rsidP="005E3CBE">
      <w:pPr>
        <w:pStyle w:val="ManualConsidrant"/>
        <w:rPr>
          <w:noProof/>
        </w:rPr>
      </w:pPr>
      <w:r w:rsidRPr="005E3CBE">
        <w:t>(1)</w:t>
      </w:r>
      <w:r w:rsidRPr="005E3CBE">
        <w:tab/>
      </w:r>
      <w:r w:rsidR="00A577DD" w:rsidRPr="00DE267C">
        <w:rPr>
          <w:noProof/>
        </w:rPr>
        <w:t>Az Unió a 97/836/EK tanácsi határozattal</w:t>
      </w:r>
      <w:r w:rsidR="00A577DD" w:rsidRPr="00DE267C">
        <w:rPr>
          <w:rStyle w:val="FootnoteReference"/>
          <w:noProof/>
        </w:rPr>
        <w:footnoteReference w:id="4"/>
      </w:r>
      <w:r w:rsidR="00A577DD" w:rsidRPr="00DE267C">
        <w:rPr>
          <w:noProof/>
        </w:rPr>
        <w:t xml:space="preserve"> csatlakozott az ENSZ Európai Gazdasági Bizottságának (a továbbiakban: ENSZ EGB) a kerekes járművekre és az azokba szerelhető, illetve az azokon használható berendezésekre és tartozékokra vonatkozó egységes műszaki előírások elfogadásáról, valamint az ezen előírások alapján kibocsátott jóváhagyások kölcsönös elismerésének feltételeiről szóló megállapodásához (a továbbiakban: az 1958. évi felülvizsgált megállapodás). Az 1958. évi felülvizsgált megállapodás 1998. március 24-én lépett hatályba.</w:t>
      </w:r>
    </w:p>
    <w:p w14:paraId="135AA91E" w14:textId="314321C9" w:rsidR="00A577DD" w:rsidRPr="00DE267C" w:rsidRDefault="005E3CBE" w:rsidP="005E3CBE">
      <w:pPr>
        <w:pStyle w:val="ManualConsidrant"/>
        <w:rPr>
          <w:noProof/>
        </w:rPr>
      </w:pPr>
      <w:r w:rsidRPr="005E3CBE">
        <w:t>(2)</w:t>
      </w:r>
      <w:r w:rsidRPr="005E3CBE">
        <w:tab/>
      </w:r>
      <w:r w:rsidR="00A577DD" w:rsidRPr="00DE267C">
        <w:rPr>
          <w:noProof/>
        </w:rPr>
        <w:t>A 2000/125/EK tanácsi határozattal</w:t>
      </w:r>
      <w:r w:rsidR="00A577DD" w:rsidRPr="00DE267C">
        <w:rPr>
          <w:rStyle w:val="FootnoteReference"/>
          <w:noProof/>
        </w:rPr>
        <w:footnoteReference w:id="5"/>
      </w:r>
      <w:r w:rsidR="00A577DD" w:rsidRPr="00DE267C">
        <w:rPr>
          <w:noProof/>
        </w:rPr>
        <w:t xml:space="preserve"> az Unió csatlakozott a kerekes járművekről, valamint a kerekes járművekre felszerelhető és/vagy azokon használható berendezésekre és felszerelésekre vonatkozó globális műszaki előírások kidolgozásáról szóló megállapodáshoz (a továbbiakban: a párhuzamos megállapodás). A párhuzamos megállapodás 2000. február 15-én lépett hatályba.</w:t>
      </w:r>
    </w:p>
    <w:p w14:paraId="18169C06" w14:textId="5F6498B4" w:rsidR="00A577DD" w:rsidRPr="00DE267C" w:rsidRDefault="005E3CBE" w:rsidP="005E3CBE">
      <w:pPr>
        <w:pStyle w:val="ManualConsidrant"/>
        <w:rPr>
          <w:noProof/>
        </w:rPr>
      </w:pPr>
      <w:r w:rsidRPr="005E3CBE">
        <w:t>(3)</w:t>
      </w:r>
      <w:r w:rsidRPr="005E3CBE">
        <w:tab/>
      </w:r>
      <w:r w:rsidR="00A577DD" w:rsidRPr="00DE267C">
        <w:rPr>
          <w:noProof/>
        </w:rPr>
        <w:t>Az (EU) 2018/858 európai parlamenti és tanácsi rendelet</w:t>
      </w:r>
      <w:r w:rsidR="00A577DD" w:rsidRPr="00DE267C">
        <w:rPr>
          <w:rStyle w:val="FootnoteReference"/>
          <w:noProof/>
        </w:rPr>
        <w:footnoteReference w:id="6"/>
      </w:r>
      <w:r w:rsidR="00A577DD" w:rsidRPr="00DE267C">
        <w:rPr>
          <w:noProof/>
        </w:rPr>
        <w:t xml:space="preserve"> közigazgatási rendelkezéseket és műszaki követelményeket állapít meg minden új jármű, rendszer, alkotóelem és önálló műszaki egység típusjóváhagyására és forgalomba hozatalára vonatkozóan. Az említett rendelet vagy típusjóváhagyási követelmények formájában, vagy az uniós jogszabályok alternatíváiként beépíti az 1958. évi felülvizsgált megállapodás alapján elfogadott előírásokat (a továbbiakban: ENSZ-előírások) az EU típusjóváhagyási rendszerébe.  </w:t>
      </w:r>
    </w:p>
    <w:p w14:paraId="366C4788" w14:textId="6027513E" w:rsidR="00A577DD" w:rsidRPr="00DE267C" w:rsidRDefault="005E3CBE" w:rsidP="005E3CBE">
      <w:pPr>
        <w:pStyle w:val="ManualConsidrant"/>
        <w:rPr>
          <w:noProof/>
        </w:rPr>
      </w:pPr>
      <w:r w:rsidRPr="005E3CBE">
        <w:t>(4)</w:t>
      </w:r>
      <w:r w:rsidRPr="005E3CBE">
        <w:tab/>
      </w:r>
      <w:r w:rsidR="00A577DD" w:rsidRPr="00DE267C">
        <w:rPr>
          <w:noProof/>
        </w:rPr>
        <w:t>Az 1958. évi felülvizsgált megállapodás 1. cikke és a párhuzamos megállapodás 6. cikke értelmében az ENSZ EGB keretében működő Járműelőírások Harmonizálása Világfórum (a továbbiakban: 29. munkacsoport) elfogadhat ENSZ-előírások, ENSZ globális műszaki előírások (a továbbiakban: ENSZ-GTR-ek) és ENSZ-határozatok módosításaira irányuló javaslatokat, valamint új ENSZ-előírásokra, ENSZ-GTR-ekre és ENSZ-határozatokra irányuló javaslatokat a járműjóváhagyások területén. Ezen túlmenően az említett rendelkezések értelmében a 29. munkacsoport elfogadhat az ENSZ-GTR-ek módosításai kidolgozásának engedélyezésére irányuló javaslatokat, új ENSZ-előírások kidolgozásának engedélyezésére irányuló javaslatokat, valamint az ENSZ-GTR-ek érvényességének meghosszabbítására irányuló javaslatokat.</w:t>
      </w:r>
    </w:p>
    <w:p w14:paraId="057C9D0D" w14:textId="40D901D0" w:rsidR="00F01317" w:rsidRPr="00DE267C" w:rsidRDefault="005E3CBE" w:rsidP="005E3CBE">
      <w:pPr>
        <w:pStyle w:val="ManualConsidrant"/>
        <w:rPr>
          <w:noProof/>
        </w:rPr>
      </w:pPr>
      <w:r w:rsidRPr="005E3CBE">
        <w:t>(5)</w:t>
      </w:r>
      <w:r w:rsidRPr="005E3CBE">
        <w:tab/>
      </w:r>
      <w:r w:rsidR="00126EB4" w:rsidRPr="00DE267C">
        <w:rPr>
          <w:noProof/>
        </w:rPr>
        <w:t>2022. június 21. és 24. között az ENSZ EGB Járműelőírások Harmonizálása Világfórumának 187. ülésszakán a 29. munkacsoport elfogadhatja a következőket: az ENSZ 12., 13., 13-H., 22., 24., 48., 49., 51., 53., 54., 74., 79., 85., 86., 90., 100., 106., 109., 117., 127., 129., 131., 135., 136., 137., 141., 145., 148., 149., 150., 157. és 162. számú előírásának módosítására irányuló javaslatok; az ENSZ 2. számú globális műszaki előírásának (GTR) módosítására irányuló javaslat; a tolatási figyelmeztetésről szóló új ENSZ-előírásra irányuló javaslat; a két- és háromkerekű járművek kibocsátáscsökkentő berendezéseinek tartósságára vonatkozó új ENSZ-GTR-re irányuló javaslat; valamint a nehézgépjárművek kipufogógáza ultrafinomrészecske-számának mérésére vonatkozó új, konszolidált határozatra irányuló javaslat. Ezen túlmenően az ENSZ-EGB 29. munkacsoportjának el kell fogadnia a motorkerékpárok fékeiről szóló 3. számú ENSZ-GTR 4. módosítása kidolgozásának engedélyezésére irányuló javaslatot.</w:t>
      </w:r>
    </w:p>
    <w:p w14:paraId="18A1AD1A" w14:textId="48034774" w:rsidR="00A577DD" w:rsidRPr="00DE267C" w:rsidRDefault="005E3CBE" w:rsidP="005E3CBE">
      <w:pPr>
        <w:pStyle w:val="ManualConsidrant"/>
        <w:rPr>
          <w:noProof/>
        </w:rPr>
      </w:pPr>
      <w:r w:rsidRPr="005E3CBE">
        <w:t>(6)</w:t>
      </w:r>
      <w:r w:rsidRPr="005E3CBE">
        <w:tab/>
      </w:r>
      <w:r w:rsidR="00816F0B" w:rsidRPr="00DE267C">
        <w:rPr>
          <w:noProof/>
        </w:rPr>
        <w:t>Az ENSZ-előírások az Unióra nézve kötelező érvényűek lesznek. Az ENSZ-GTR-ekkel és ENSZ-határozatokkal együtt meghatározó módon befolyásolják a járművek típusjóváhagyására vonatkozó uniós jogszabályok tartalmát. Ezért helyénvaló meghatározni az Unió által a 29. munkacsoportban az említett javaslatok elfogadásával kapcsolatban képviselendő álláspontot.</w:t>
      </w:r>
    </w:p>
    <w:p w14:paraId="0D7A8CD3" w14:textId="01021599" w:rsidR="00D112C7" w:rsidRPr="00DE267C" w:rsidRDefault="005E3CBE" w:rsidP="005E3CBE">
      <w:pPr>
        <w:pStyle w:val="ManualConsidrant"/>
        <w:rPr>
          <w:noProof/>
        </w:rPr>
      </w:pPr>
      <w:r w:rsidRPr="005E3CBE">
        <w:t>(7)</w:t>
      </w:r>
      <w:r w:rsidRPr="005E3CBE">
        <w:tab/>
      </w:r>
      <w:r w:rsidR="00816F0B" w:rsidRPr="00DE267C">
        <w:rPr>
          <w:noProof/>
        </w:rPr>
        <w:t xml:space="preserve">A tapasztalatok és a műszaki fejlődés fényében az ENSZ 12., 13., 13-H., 22., 24., 48., 49., 51., 53., 54., 74., 79., 85., 86., 90., 100., 106., 109., 117., 127., 129., 131., 135., 136., 137., 141., 145., 148., 149., 150., 157. és 162. számú előírása, valamint a 2. számú ENSZ globális műszaki előírás (GTR) hatálya alá tartozó egyes szempontokra vagy jellemzőkre vonatkozó követelményeket módosítani kell vagy ki kell egészíteni. </w:t>
      </w:r>
    </w:p>
    <w:p w14:paraId="31792DFB" w14:textId="763C43CD" w:rsidR="009B0652" w:rsidRPr="00DE267C" w:rsidRDefault="005E3CBE" w:rsidP="005E3CBE">
      <w:pPr>
        <w:pStyle w:val="ManualConsidrant"/>
        <w:rPr>
          <w:noProof/>
        </w:rPr>
      </w:pPr>
      <w:r w:rsidRPr="005E3CBE">
        <w:t>(8)</w:t>
      </w:r>
      <w:r w:rsidRPr="005E3CBE">
        <w:tab/>
      </w:r>
      <w:r w:rsidR="00816F0B" w:rsidRPr="00DE267C">
        <w:rPr>
          <w:noProof/>
        </w:rPr>
        <w:t>A műszaki fejlődés tükrözése, valamint a járműbiztonság javítása és a környezeti lábnyom csökkentése érdekében el kell fogadni a tolatási figyelmeztetésről szóló új ENSZ-előírást, a két- és háromkerekű járművek kibocsátáscsökkentő berendezéseinek tartósságára vonatkozó új ENSZ-GTR-t, valamint a nehézgépjárművek kipufogógáza ultrafinomrészecske-számának mérésére vonatkozó új, konszolidált határozatot.</w:t>
      </w:r>
    </w:p>
    <w:p w14:paraId="10E5B9EC" w14:textId="77777777" w:rsidR="00A577DD" w:rsidRPr="00DE267C" w:rsidRDefault="00A577DD" w:rsidP="00A577DD">
      <w:pPr>
        <w:pStyle w:val="Formuledadoption"/>
        <w:rPr>
          <w:noProof/>
        </w:rPr>
      </w:pPr>
      <w:r w:rsidRPr="00DE267C">
        <w:rPr>
          <w:noProof/>
        </w:rPr>
        <w:t>ELFOGADTA EZT A HATÁROZATOT:</w:t>
      </w:r>
    </w:p>
    <w:p w14:paraId="581A4E00" w14:textId="77777777" w:rsidR="00A577DD" w:rsidRPr="00DE267C" w:rsidRDefault="00A577DD" w:rsidP="00A577DD">
      <w:pPr>
        <w:pStyle w:val="Titrearticle"/>
        <w:rPr>
          <w:noProof/>
        </w:rPr>
      </w:pPr>
      <w:r w:rsidRPr="00DE267C">
        <w:rPr>
          <w:noProof/>
        </w:rPr>
        <w:t>1. cikk</w:t>
      </w:r>
    </w:p>
    <w:p w14:paraId="042F49D8" w14:textId="77777777" w:rsidR="00A577DD" w:rsidRPr="00DE267C" w:rsidRDefault="00A577DD" w:rsidP="00A577DD">
      <w:pPr>
        <w:rPr>
          <w:noProof/>
        </w:rPr>
      </w:pPr>
      <w:r w:rsidRPr="00DE267C">
        <w:rPr>
          <w:noProof/>
        </w:rPr>
        <w:t>Az ENSZ EGB keretében működő Járműelőírások Harmonizálása Világfórum 2022. június 21. és 24. között tartandó 187. ülésszakán az Unió által képviselendő álláspont az, hogy az e határozat mellékletében felsorolt javaslatok mellett kell szavazni.</w:t>
      </w:r>
    </w:p>
    <w:p w14:paraId="25308FE7" w14:textId="77777777" w:rsidR="00A577DD" w:rsidRPr="00DE267C" w:rsidRDefault="00A577DD" w:rsidP="000143DC">
      <w:pPr>
        <w:pStyle w:val="Titrearticle"/>
        <w:rPr>
          <w:noProof/>
        </w:rPr>
      </w:pPr>
      <w:r w:rsidRPr="00DE267C">
        <w:rPr>
          <w:noProof/>
        </w:rPr>
        <w:t>2. cikk</w:t>
      </w:r>
    </w:p>
    <w:p w14:paraId="530D5FBE" w14:textId="77777777" w:rsidR="00A577DD" w:rsidRPr="00DE267C" w:rsidRDefault="00A577DD" w:rsidP="00A577DD">
      <w:pPr>
        <w:rPr>
          <w:noProof/>
        </w:rPr>
      </w:pPr>
      <w:r w:rsidRPr="00DE267C">
        <w:rPr>
          <w:noProof/>
        </w:rPr>
        <w:t>Ennek a határozatnak a Bizottság a címzettje.</w:t>
      </w:r>
    </w:p>
    <w:p w14:paraId="431ED929" w14:textId="24DB63F5" w:rsidR="00A577DD" w:rsidRPr="00DE267C" w:rsidRDefault="00EA3E5F" w:rsidP="000143DC">
      <w:pPr>
        <w:pStyle w:val="Fait"/>
        <w:rPr>
          <w:noProof/>
        </w:rPr>
      </w:pPr>
      <w:r w:rsidRPr="00EA3E5F">
        <w:t>Kelt Brüsszelben, -án/-én.</w:t>
      </w:r>
    </w:p>
    <w:p w14:paraId="117DCB45" w14:textId="77777777" w:rsidR="00A577DD" w:rsidRPr="00DE267C" w:rsidRDefault="00A577DD" w:rsidP="000143DC">
      <w:pPr>
        <w:pStyle w:val="Institutionquisigne"/>
        <w:rPr>
          <w:noProof/>
        </w:rPr>
      </w:pPr>
    </w:p>
    <w:p w14:paraId="21EBD396" w14:textId="77777777" w:rsidR="00A577DD" w:rsidRPr="00DE267C" w:rsidRDefault="00A577DD" w:rsidP="000143DC">
      <w:pPr>
        <w:pStyle w:val="Institutionquisigne"/>
        <w:spacing w:before="120"/>
        <w:rPr>
          <w:noProof/>
        </w:rPr>
      </w:pPr>
      <w:r w:rsidRPr="00DE267C">
        <w:rPr>
          <w:noProof/>
        </w:rPr>
        <w:tab/>
        <w:t>a Tanács részéről</w:t>
      </w:r>
    </w:p>
    <w:p w14:paraId="6F20D9D6" w14:textId="77777777" w:rsidR="00A577DD" w:rsidRPr="00DE267C" w:rsidRDefault="00A577DD" w:rsidP="00A577DD">
      <w:pPr>
        <w:pStyle w:val="Personnequisigne"/>
        <w:rPr>
          <w:noProof/>
        </w:rPr>
      </w:pPr>
      <w:r w:rsidRPr="00DE267C">
        <w:rPr>
          <w:noProof/>
        </w:rPr>
        <w:tab/>
        <w:t>az elnök</w:t>
      </w:r>
    </w:p>
    <w:sectPr w:rsidR="00A577DD" w:rsidRPr="00DE267C" w:rsidSect="0015385D">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70CAA" w14:textId="77777777" w:rsidR="00733E7A" w:rsidRDefault="00733E7A" w:rsidP="00A577DD">
      <w:pPr>
        <w:spacing w:before="0" w:after="0"/>
      </w:pPr>
      <w:r>
        <w:separator/>
      </w:r>
    </w:p>
  </w:endnote>
  <w:endnote w:type="continuationSeparator" w:id="0">
    <w:p w14:paraId="158D2176" w14:textId="77777777" w:rsidR="00733E7A" w:rsidRDefault="00733E7A" w:rsidP="00A577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17B51" w14:textId="5306E1B2" w:rsidR="00DE267C" w:rsidRPr="0015385D" w:rsidRDefault="0015385D" w:rsidP="0015385D">
    <w:pPr>
      <w:pStyle w:val="Footer"/>
      <w:rPr>
        <w:rFonts w:ascii="Arial" w:hAnsi="Arial" w:cs="Arial"/>
        <w:b/>
        <w:sz w:val="48"/>
      </w:rPr>
    </w:pPr>
    <w:r w:rsidRPr="0015385D">
      <w:rPr>
        <w:rFonts w:ascii="Arial" w:hAnsi="Arial" w:cs="Arial"/>
        <w:b/>
        <w:sz w:val="48"/>
      </w:rPr>
      <w:t>HU</w:t>
    </w:r>
    <w:r w:rsidRPr="0015385D">
      <w:rPr>
        <w:rFonts w:ascii="Arial" w:hAnsi="Arial" w:cs="Arial"/>
        <w:b/>
        <w:sz w:val="48"/>
      </w:rPr>
      <w:tab/>
    </w:r>
    <w:r w:rsidRPr="0015385D">
      <w:rPr>
        <w:rFonts w:ascii="Arial" w:hAnsi="Arial" w:cs="Arial"/>
        <w:b/>
        <w:sz w:val="48"/>
      </w:rPr>
      <w:tab/>
    </w:r>
    <w:r w:rsidRPr="0015385D">
      <w:tab/>
    </w:r>
    <w:r w:rsidRPr="0015385D">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F989F" w14:textId="4E94D8CB" w:rsidR="0015385D" w:rsidRPr="0015385D" w:rsidRDefault="0015385D" w:rsidP="0015385D">
    <w:pPr>
      <w:pStyle w:val="Footer"/>
      <w:rPr>
        <w:rFonts w:ascii="Arial" w:hAnsi="Arial" w:cs="Arial"/>
        <w:b/>
        <w:sz w:val="48"/>
      </w:rPr>
    </w:pPr>
    <w:r w:rsidRPr="0015385D">
      <w:rPr>
        <w:rFonts w:ascii="Arial" w:hAnsi="Arial" w:cs="Arial"/>
        <w:b/>
        <w:sz w:val="48"/>
      </w:rPr>
      <w:t>HU</w:t>
    </w:r>
    <w:r w:rsidRPr="0015385D">
      <w:rPr>
        <w:rFonts w:ascii="Arial" w:hAnsi="Arial" w:cs="Arial"/>
        <w:b/>
        <w:sz w:val="48"/>
      </w:rPr>
      <w:tab/>
    </w:r>
    <w:r>
      <w:fldChar w:fldCharType="begin"/>
    </w:r>
    <w:r>
      <w:instrText xml:space="preserve"> PAGE  \* MERGEFORMAT </w:instrText>
    </w:r>
    <w:r>
      <w:fldChar w:fldCharType="separate"/>
    </w:r>
    <w:r w:rsidR="000143DC">
      <w:rPr>
        <w:noProof/>
      </w:rPr>
      <w:t>9</w:t>
    </w:r>
    <w:r>
      <w:fldChar w:fldCharType="end"/>
    </w:r>
    <w:r>
      <w:tab/>
    </w:r>
    <w:r w:rsidRPr="0015385D">
      <w:tab/>
    </w:r>
    <w:r w:rsidRPr="0015385D">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0FD4B" w14:textId="77777777" w:rsidR="0015385D" w:rsidRPr="0015385D" w:rsidRDefault="0015385D" w:rsidP="0015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B58BC" w14:textId="77777777" w:rsidR="00733E7A" w:rsidRDefault="00733E7A" w:rsidP="00A577DD">
      <w:pPr>
        <w:spacing w:before="0" w:after="0"/>
      </w:pPr>
      <w:r>
        <w:separator/>
      </w:r>
    </w:p>
  </w:footnote>
  <w:footnote w:type="continuationSeparator" w:id="0">
    <w:p w14:paraId="5C66937C" w14:textId="77777777" w:rsidR="00733E7A" w:rsidRDefault="00733E7A" w:rsidP="00A577DD">
      <w:pPr>
        <w:spacing w:before="0" w:after="0"/>
      </w:pPr>
      <w:r>
        <w:continuationSeparator/>
      </w:r>
    </w:p>
  </w:footnote>
  <w:footnote w:id="1">
    <w:p w14:paraId="515ECBA0" w14:textId="77777777" w:rsidR="00733E7A" w:rsidRDefault="00733E7A" w:rsidP="00A577DD">
      <w:pPr>
        <w:pStyle w:val="FootnoteText"/>
      </w:pPr>
      <w:r>
        <w:rPr>
          <w:rStyle w:val="FootnoteReference"/>
        </w:rPr>
        <w:footnoteRef/>
      </w:r>
      <w:r>
        <w:tab/>
        <w:t>A Tanács 97/836/EK határozata (1997. november 27.) az Európai Közösségnek az ENSZ Európai Gazdasági Bizottságának a kerekes járművekre és az azokba szerelhető, illetve az azokon használható berendezésekre és tartozékokra vonatkozó egységes műszaki előírások elfogadásáról, valamint az ezen előírások alapján kibocsátott jóváhagyások kölcsönös elismerésének feltételeiről szóló megállapodásához (1958. évi felülvizsgált megállapodás) való csatlakozásáról (HL L 346., 1997.12.17., 78. o.).</w:t>
      </w:r>
    </w:p>
    <w:p w14:paraId="3CB6A03A" w14:textId="77777777" w:rsidR="00733E7A" w:rsidRPr="008A260A" w:rsidRDefault="00733E7A" w:rsidP="00A577DD">
      <w:pPr>
        <w:pStyle w:val="FootnoteText"/>
        <w:ind w:firstLine="0"/>
      </w:pPr>
      <w:r>
        <w:t>A Tanács 2000/125/EK határozata (2000. január 31.) a kerekes járművekről, valamint a kerekes járművekre felszerelhető és/vagy azokon használható berendezésekről és felszerelésekről szóló globális műszaki előírások kidolgozására irányuló megállapodás megkötéséről („párhuzamos megállapodás”) (HL L 35., 2000.2.10., 12. o.).</w:t>
      </w:r>
    </w:p>
  </w:footnote>
  <w:footnote w:id="2">
    <w:p w14:paraId="452DA883" w14:textId="77777777" w:rsidR="00733E7A" w:rsidRPr="007E7968" w:rsidRDefault="00733E7A" w:rsidP="00A577DD">
      <w:pPr>
        <w:pStyle w:val="FootnoteText"/>
      </w:pPr>
      <w:r>
        <w:rPr>
          <w:rStyle w:val="FootnoteReference"/>
        </w:rPr>
        <w:footnoteRef/>
      </w:r>
      <w:r>
        <w:tab/>
        <w:t>Az Európai Parlament és a Tanács (EU) 2018/858 rendelete (2018. május 30.) a gépjárművek és pótkocsijaik, valamint az ilyen járművek rendszereinek, alkotóelemeinek és önálló műszaki egységeinek jóváhagyásáról és piacfelügyeletéről, a 715/2007/EK és az 595/2009/EK rendelet módosításáról, valamint a 2007/46/EK irányelv hatályon kívül helyezéséről (HL L 151., 2018.6.14., 1. o.).</w:t>
      </w:r>
    </w:p>
  </w:footnote>
  <w:footnote w:id="3">
    <w:p w14:paraId="03A68275" w14:textId="77777777" w:rsidR="00733E7A" w:rsidRPr="00E72EC4" w:rsidRDefault="00733E7A" w:rsidP="00A577DD">
      <w:pPr>
        <w:pStyle w:val="FootnoteText"/>
      </w:pPr>
      <w:r>
        <w:rPr>
          <w:rStyle w:val="FootnoteReference"/>
        </w:rPr>
        <w:footnoteRef/>
      </w:r>
      <w:r>
        <w:tab/>
        <w:t xml:space="preserve">A Bíróság 2014. október 7-i ítélete, Németország kontra Tanács, C-399/12, ECLI:EU:C:2014:2258, 61–64. pont.  </w:t>
      </w:r>
    </w:p>
  </w:footnote>
  <w:footnote w:id="4">
    <w:p w14:paraId="25E78651" w14:textId="77777777" w:rsidR="00733E7A" w:rsidRPr="007E7968" w:rsidRDefault="00733E7A" w:rsidP="00A577DD">
      <w:pPr>
        <w:pStyle w:val="FootnoteText"/>
      </w:pPr>
      <w:r>
        <w:rPr>
          <w:rStyle w:val="FootnoteReference"/>
        </w:rPr>
        <w:footnoteRef/>
      </w:r>
      <w:r>
        <w:tab/>
        <w:t>A Tanács 97/836/EK határozata (1997. november 27.) az Európai Közösségnek az ENSZ Európai Gazdasági Bizottságának a kerekes járművekre és az azokba szerelhető, illetve az azokon használható berendezésekre és tartozékokra vonatkozó egységes műszaki előírások elfogadásáról, valamint az ezen előírások alapján kibocsátott jóváhagyások kölcsönös elismerésének feltételeiről szóló megállapodásához (1958. évi felülvizsgált megállapodás) való csatlakozásáról (HL L 346., 1997.12.17., 78. o.).</w:t>
      </w:r>
    </w:p>
  </w:footnote>
  <w:footnote w:id="5">
    <w:p w14:paraId="3E1893AA" w14:textId="77777777" w:rsidR="00733E7A" w:rsidRPr="007E7968" w:rsidRDefault="00733E7A" w:rsidP="00A577DD">
      <w:pPr>
        <w:pStyle w:val="FootnoteText"/>
      </w:pPr>
      <w:r>
        <w:rPr>
          <w:rStyle w:val="FootnoteReference"/>
        </w:rPr>
        <w:footnoteRef/>
      </w:r>
      <w:r>
        <w:tab/>
        <w:t>A Tanács 2000/125/EK határozata (2000. január 31.) a kerekes járművekről, valamint a kerekes járművekre felszerelhető és/vagy azokon használható berendezésekről és felszerelésekről szóló globális műszaki előírások kidolgozására irányuló megállapodás megkötéséről („párhuzamos megállapodás”) (HL L 35., 2000.2.10., 12. o.).</w:t>
      </w:r>
    </w:p>
  </w:footnote>
  <w:footnote w:id="6">
    <w:p w14:paraId="4FE5AA1D" w14:textId="77777777" w:rsidR="00733E7A" w:rsidRPr="00DA4C1A" w:rsidRDefault="00733E7A" w:rsidP="00A577DD">
      <w:pPr>
        <w:pStyle w:val="FootnoteText"/>
      </w:pPr>
      <w:r>
        <w:rPr>
          <w:rStyle w:val="FootnoteReference"/>
        </w:rPr>
        <w:footnoteRef/>
      </w:r>
      <w:r>
        <w:tab/>
        <w:t>Az Európai Parlament és a Tanács (EU) 2018/858 rendelete (2018. május 30.) a gépjárművek és pótkocsijaik, valamint az ilyen járművek rendszereinek, alkotóelemeinek és önálló műszaki egységeinek jóváhagyásáról és piacfelügyeletéről, a 715/2007/EK és az 595/2009/EK rendelet módosításáról, valamint a 2007/46/EK irányelv hatályon kívül helyezéséről (HL L 151., 2018.6.14., 1. o.).</w:t>
      </w:r>
    </w:p>
    <w:p w14:paraId="38BBEDB5" w14:textId="77777777" w:rsidR="00733E7A" w:rsidRPr="00C805AC" w:rsidRDefault="00733E7A" w:rsidP="00A577D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ED64DF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EBAF30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E08591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40680F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0EE7C9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9EE45C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9E0D21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2A6B17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19"/>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lvlOverride w:ilvl="0">
      <w:startOverride w:val="1"/>
    </w:lvlOverride>
  </w:num>
  <w:num w:numId="12">
    <w:abstractNumId w:val="19"/>
  </w:num>
  <w:num w:numId="13">
    <w:abstractNumId w:val="12"/>
  </w:num>
  <w:num w:numId="14">
    <w:abstractNumId w:val="21"/>
  </w:num>
  <w:num w:numId="15">
    <w:abstractNumId w:val="11"/>
  </w:num>
  <w:num w:numId="16">
    <w:abstractNumId w:val="13"/>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 w:numId="27">
    <w:abstractNumId w:val="19"/>
  </w:num>
  <w:num w:numId="28">
    <w:abstractNumId w:val="12"/>
  </w:num>
  <w:num w:numId="29">
    <w:abstractNumId w:val="21"/>
  </w:num>
  <w:num w:numId="30">
    <w:abstractNumId w:val="11"/>
  </w:num>
  <w:num w:numId="31">
    <w:abstractNumId w:val="13"/>
  </w:num>
  <w:num w:numId="32">
    <w:abstractNumId w:val="14"/>
  </w:num>
  <w:num w:numId="33">
    <w:abstractNumId w:val="9"/>
  </w:num>
  <w:num w:numId="34">
    <w:abstractNumId w:val="20"/>
  </w:num>
  <w:num w:numId="35">
    <w:abstractNumId w:val="8"/>
  </w:num>
  <w:num w:numId="36">
    <w:abstractNumId w:val="15"/>
  </w:num>
  <w:num w:numId="37">
    <w:abstractNumId w:val="17"/>
  </w:num>
  <w:num w:numId="38">
    <w:abstractNumId w:val="18"/>
  </w:num>
  <w:num w:numId="39">
    <w:abstractNumId w:val="10"/>
  </w:num>
  <w:num w:numId="40">
    <w:abstractNumId w:val="16"/>
  </w:num>
  <w:num w:numId="41">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5-31 10:07:10"/>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32D85BFE-C43B-469E-A1ED-FB87D9527BED"/>
    <w:docVar w:name="LW_COVERPAGE_TYPE" w:val="1"/>
    <w:docVar w:name="LW_CROSSREFERENCE" w:val="&lt;UNUSED&gt;"/>
    <w:docVar w:name="LW_DocType" w:val="COM"/>
    <w:docVar w:name="LW_EMISSION" w:val="2022.5.31."/>
    <w:docVar w:name="LW_EMISSION_ISODATE" w:val="2022-05-31"/>
    <w:docVar w:name="LW_EMISSION_LOCATION" w:val="BRX"/>
    <w:docVar w:name="LW_EMISSION_PREFIX" w:val="Brüsszel,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NLE"/>
    <w:docVar w:name="LW_REF.II.NEW.CP_NUMBER" w:val="0168"/>
    <w:docVar w:name="LW_REF.II.NEW.CP_YEAR" w:val="2022"/>
    <w:docVar w:name="LW_REF.INST.NEW" w:val="COM"/>
    <w:docVar w:name="LW_REF.INST.NEW_ADOPTED" w:val="final"/>
    <w:docVar w:name="LW_REF.INST.NEW_TEXT" w:val="(2022) 2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z ENSZ Európai Gazdasági Bizottságának Járműelőírások Harmonizálása Világfórumán az ENSZ 12., 13., 13-H., 22., 24., 48., 49., 51., 53., 54., 74., 79., 85., 86., 90., 100., 106., 109., 117., 127., 129., 131., 135., 136., 137., 141., 145., 148., 149., 150., 157. és 162. számú előírásának módosítására irányuló javaslatok, az ENSZ 2. számú globális műszaki előírásának módosítására irányuló javaslat, a tolatási figyelmeztetésről szóló új ENSZ-előírásra irányuló javaslat, a két- és háromkerekű járművek kibocsátáscsökkentő berendezéseinek tartósságára vonatkozó új ENSZ-GTR-re irányuló javaslat, a nehézgépjárművek kipufogógáza ultrafinomrészecske-számának mérésére vonatkozó új, konszolidált határozatra irányuló javaslat, valamint a 3. számú ENSZ-GTR 4. módosítása kidolgozásának engedélyezésére irányuló javaslat tekintetében az Európai Unió által képviselendő álláspontról"/>
    <w:docVar w:name="LW_TYPE.DOC.CP" w:val="A TANÁCS HATÁROZATA"/>
    <w:docVar w:name="LwApiVersions" w:val="LW4CoDe 1.23.2.0; LW 8.0, Build 20211117"/>
  </w:docVars>
  <w:rsids>
    <w:rsidRoot w:val="00A577DD"/>
    <w:rsid w:val="000143DC"/>
    <w:rsid w:val="00017D06"/>
    <w:rsid w:val="000237B0"/>
    <w:rsid w:val="0003072F"/>
    <w:rsid w:val="000438F4"/>
    <w:rsid w:val="00045F38"/>
    <w:rsid w:val="000531D6"/>
    <w:rsid w:val="00060104"/>
    <w:rsid w:val="00060984"/>
    <w:rsid w:val="00075CC4"/>
    <w:rsid w:val="00097A35"/>
    <w:rsid w:val="000A7517"/>
    <w:rsid w:val="000B5932"/>
    <w:rsid w:val="000B73B4"/>
    <w:rsid w:val="000E198E"/>
    <w:rsid w:val="00100B9A"/>
    <w:rsid w:val="00110D1A"/>
    <w:rsid w:val="001116C6"/>
    <w:rsid w:val="00126EB4"/>
    <w:rsid w:val="00142711"/>
    <w:rsid w:val="00143253"/>
    <w:rsid w:val="0015385D"/>
    <w:rsid w:val="00167C97"/>
    <w:rsid w:val="00186AB8"/>
    <w:rsid w:val="0019225F"/>
    <w:rsid w:val="00193176"/>
    <w:rsid w:val="001945E5"/>
    <w:rsid w:val="001A4BE9"/>
    <w:rsid w:val="001C2816"/>
    <w:rsid w:val="001C33A8"/>
    <w:rsid w:val="001D51DB"/>
    <w:rsid w:val="001F6568"/>
    <w:rsid w:val="00216DFC"/>
    <w:rsid w:val="00226C50"/>
    <w:rsid w:val="00232E98"/>
    <w:rsid w:val="00244237"/>
    <w:rsid w:val="00251E2C"/>
    <w:rsid w:val="00261C90"/>
    <w:rsid w:val="002650C1"/>
    <w:rsid w:val="00270400"/>
    <w:rsid w:val="0027271C"/>
    <w:rsid w:val="00274E23"/>
    <w:rsid w:val="0028114F"/>
    <w:rsid w:val="002B51BF"/>
    <w:rsid w:val="002C01C9"/>
    <w:rsid w:val="002C38C0"/>
    <w:rsid w:val="002D0816"/>
    <w:rsid w:val="002D5CCB"/>
    <w:rsid w:val="002E6FCA"/>
    <w:rsid w:val="002F6D15"/>
    <w:rsid w:val="002F7C84"/>
    <w:rsid w:val="00300630"/>
    <w:rsid w:val="00303BF3"/>
    <w:rsid w:val="00310F4F"/>
    <w:rsid w:val="0034307A"/>
    <w:rsid w:val="00343EDF"/>
    <w:rsid w:val="00350765"/>
    <w:rsid w:val="0035157B"/>
    <w:rsid w:val="003579BE"/>
    <w:rsid w:val="003774ED"/>
    <w:rsid w:val="0038140D"/>
    <w:rsid w:val="00384A9A"/>
    <w:rsid w:val="003925A3"/>
    <w:rsid w:val="003C34A7"/>
    <w:rsid w:val="003D27EB"/>
    <w:rsid w:val="003E0B80"/>
    <w:rsid w:val="003F48BA"/>
    <w:rsid w:val="00402D74"/>
    <w:rsid w:val="00407898"/>
    <w:rsid w:val="0041740D"/>
    <w:rsid w:val="00422FC8"/>
    <w:rsid w:val="00433B4F"/>
    <w:rsid w:val="0043545A"/>
    <w:rsid w:val="00440752"/>
    <w:rsid w:val="00441F53"/>
    <w:rsid w:val="00445B3D"/>
    <w:rsid w:val="00461AA1"/>
    <w:rsid w:val="004745E4"/>
    <w:rsid w:val="004A31F7"/>
    <w:rsid w:val="004A6699"/>
    <w:rsid w:val="004B1884"/>
    <w:rsid w:val="004B1B0F"/>
    <w:rsid w:val="004B2389"/>
    <w:rsid w:val="004B7E57"/>
    <w:rsid w:val="004C13C6"/>
    <w:rsid w:val="004C4776"/>
    <w:rsid w:val="004D174F"/>
    <w:rsid w:val="004D32BC"/>
    <w:rsid w:val="004D3E4F"/>
    <w:rsid w:val="004E05BA"/>
    <w:rsid w:val="004E7A3D"/>
    <w:rsid w:val="00502953"/>
    <w:rsid w:val="00516C16"/>
    <w:rsid w:val="00525D8A"/>
    <w:rsid w:val="00534162"/>
    <w:rsid w:val="00584BC2"/>
    <w:rsid w:val="00592A7F"/>
    <w:rsid w:val="005A5B13"/>
    <w:rsid w:val="005B03A4"/>
    <w:rsid w:val="005B38E2"/>
    <w:rsid w:val="005B5878"/>
    <w:rsid w:val="005E0AF4"/>
    <w:rsid w:val="005E3CBE"/>
    <w:rsid w:val="005F6D59"/>
    <w:rsid w:val="00606497"/>
    <w:rsid w:val="006200AA"/>
    <w:rsid w:val="00627CE6"/>
    <w:rsid w:val="00635EE0"/>
    <w:rsid w:val="00646D7F"/>
    <w:rsid w:val="00661D4C"/>
    <w:rsid w:val="00671E3E"/>
    <w:rsid w:val="0067646D"/>
    <w:rsid w:val="006D3C06"/>
    <w:rsid w:val="006E304E"/>
    <w:rsid w:val="006E419B"/>
    <w:rsid w:val="006E75C5"/>
    <w:rsid w:val="0070128F"/>
    <w:rsid w:val="007056BE"/>
    <w:rsid w:val="00707754"/>
    <w:rsid w:val="00711814"/>
    <w:rsid w:val="007165A4"/>
    <w:rsid w:val="00733E7A"/>
    <w:rsid w:val="00770546"/>
    <w:rsid w:val="00784301"/>
    <w:rsid w:val="00792525"/>
    <w:rsid w:val="00793C55"/>
    <w:rsid w:val="0079413C"/>
    <w:rsid w:val="00797BEC"/>
    <w:rsid w:val="007A0D53"/>
    <w:rsid w:val="007A1839"/>
    <w:rsid w:val="007A1B2D"/>
    <w:rsid w:val="007B5CEE"/>
    <w:rsid w:val="007B5FC9"/>
    <w:rsid w:val="007C06F6"/>
    <w:rsid w:val="007C2024"/>
    <w:rsid w:val="007D48C1"/>
    <w:rsid w:val="007D714E"/>
    <w:rsid w:val="007E3ABE"/>
    <w:rsid w:val="007E67A2"/>
    <w:rsid w:val="007F0415"/>
    <w:rsid w:val="0080682F"/>
    <w:rsid w:val="00816F0B"/>
    <w:rsid w:val="00817C95"/>
    <w:rsid w:val="00825954"/>
    <w:rsid w:val="00844C06"/>
    <w:rsid w:val="00847E92"/>
    <w:rsid w:val="00853CD0"/>
    <w:rsid w:val="0085763A"/>
    <w:rsid w:val="00866F95"/>
    <w:rsid w:val="00886501"/>
    <w:rsid w:val="008952D8"/>
    <w:rsid w:val="008A018D"/>
    <w:rsid w:val="008B0A57"/>
    <w:rsid w:val="008B3B8B"/>
    <w:rsid w:val="008C2BBC"/>
    <w:rsid w:val="008C391C"/>
    <w:rsid w:val="008D2524"/>
    <w:rsid w:val="008D53AF"/>
    <w:rsid w:val="008E136E"/>
    <w:rsid w:val="008F6986"/>
    <w:rsid w:val="008F7309"/>
    <w:rsid w:val="0093529B"/>
    <w:rsid w:val="00940F7F"/>
    <w:rsid w:val="0094252C"/>
    <w:rsid w:val="00946DB3"/>
    <w:rsid w:val="009510CD"/>
    <w:rsid w:val="00954BB8"/>
    <w:rsid w:val="00955E18"/>
    <w:rsid w:val="0095781F"/>
    <w:rsid w:val="0096715F"/>
    <w:rsid w:val="00972922"/>
    <w:rsid w:val="009833AB"/>
    <w:rsid w:val="00986B33"/>
    <w:rsid w:val="009874CC"/>
    <w:rsid w:val="00987AD5"/>
    <w:rsid w:val="009908A6"/>
    <w:rsid w:val="009A5D1D"/>
    <w:rsid w:val="009B0652"/>
    <w:rsid w:val="009B7138"/>
    <w:rsid w:val="009C12D6"/>
    <w:rsid w:val="009C6CEF"/>
    <w:rsid w:val="009D14FF"/>
    <w:rsid w:val="009D7058"/>
    <w:rsid w:val="00A026A5"/>
    <w:rsid w:val="00A069A4"/>
    <w:rsid w:val="00A25B50"/>
    <w:rsid w:val="00A34165"/>
    <w:rsid w:val="00A435DC"/>
    <w:rsid w:val="00A575BE"/>
    <w:rsid w:val="00A577DD"/>
    <w:rsid w:val="00A62C22"/>
    <w:rsid w:val="00A72057"/>
    <w:rsid w:val="00A74B8A"/>
    <w:rsid w:val="00A75AA0"/>
    <w:rsid w:val="00A77C6A"/>
    <w:rsid w:val="00A95DB4"/>
    <w:rsid w:val="00AA7948"/>
    <w:rsid w:val="00AC5896"/>
    <w:rsid w:val="00AC7108"/>
    <w:rsid w:val="00AE4010"/>
    <w:rsid w:val="00AE7950"/>
    <w:rsid w:val="00B24C9F"/>
    <w:rsid w:val="00B35C31"/>
    <w:rsid w:val="00B36607"/>
    <w:rsid w:val="00B40450"/>
    <w:rsid w:val="00B42344"/>
    <w:rsid w:val="00B4439E"/>
    <w:rsid w:val="00B73C11"/>
    <w:rsid w:val="00B740A8"/>
    <w:rsid w:val="00B818C7"/>
    <w:rsid w:val="00B86C65"/>
    <w:rsid w:val="00B87357"/>
    <w:rsid w:val="00B93651"/>
    <w:rsid w:val="00BA6626"/>
    <w:rsid w:val="00BA79ED"/>
    <w:rsid w:val="00BB79DC"/>
    <w:rsid w:val="00BC0086"/>
    <w:rsid w:val="00BD4A91"/>
    <w:rsid w:val="00BE246D"/>
    <w:rsid w:val="00BF0641"/>
    <w:rsid w:val="00BF17AA"/>
    <w:rsid w:val="00BF2215"/>
    <w:rsid w:val="00C02A39"/>
    <w:rsid w:val="00C03773"/>
    <w:rsid w:val="00C0395F"/>
    <w:rsid w:val="00C1320C"/>
    <w:rsid w:val="00C211B6"/>
    <w:rsid w:val="00C24556"/>
    <w:rsid w:val="00C2489B"/>
    <w:rsid w:val="00C338EC"/>
    <w:rsid w:val="00C356BD"/>
    <w:rsid w:val="00C45735"/>
    <w:rsid w:val="00C60BCB"/>
    <w:rsid w:val="00C6466F"/>
    <w:rsid w:val="00C73605"/>
    <w:rsid w:val="00C746B2"/>
    <w:rsid w:val="00C74F99"/>
    <w:rsid w:val="00C82820"/>
    <w:rsid w:val="00C9318C"/>
    <w:rsid w:val="00C96B89"/>
    <w:rsid w:val="00CB7295"/>
    <w:rsid w:val="00CD070E"/>
    <w:rsid w:val="00CE6982"/>
    <w:rsid w:val="00CE7BAA"/>
    <w:rsid w:val="00CF0227"/>
    <w:rsid w:val="00CF5DB8"/>
    <w:rsid w:val="00D040D2"/>
    <w:rsid w:val="00D07866"/>
    <w:rsid w:val="00D112C7"/>
    <w:rsid w:val="00D129B1"/>
    <w:rsid w:val="00D17FBF"/>
    <w:rsid w:val="00D238C8"/>
    <w:rsid w:val="00D446A2"/>
    <w:rsid w:val="00D47F69"/>
    <w:rsid w:val="00D61007"/>
    <w:rsid w:val="00D62731"/>
    <w:rsid w:val="00D71B22"/>
    <w:rsid w:val="00D80E25"/>
    <w:rsid w:val="00D82813"/>
    <w:rsid w:val="00DA0AFA"/>
    <w:rsid w:val="00DA1B28"/>
    <w:rsid w:val="00DA64B2"/>
    <w:rsid w:val="00DB0857"/>
    <w:rsid w:val="00DB41C0"/>
    <w:rsid w:val="00DD0674"/>
    <w:rsid w:val="00DD1199"/>
    <w:rsid w:val="00DE267C"/>
    <w:rsid w:val="00E022F8"/>
    <w:rsid w:val="00E0359B"/>
    <w:rsid w:val="00E0597A"/>
    <w:rsid w:val="00E17790"/>
    <w:rsid w:val="00E50BF3"/>
    <w:rsid w:val="00E5354B"/>
    <w:rsid w:val="00E573C2"/>
    <w:rsid w:val="00E630F9"/>
    <w:rsid w:val="00E72204"/>
    <w:rsid w:val="00E7434F"/>
    <w:rsid w:val="00E87E12"/>
    <w:rsid w:val="00E91074"/>
    <w:rsid w:val="00E977B5"/>
    <w:rsid w:val="00EA3E5F"/>
    <w:rsid w:val="00EB543D"/>
    <w:rsid w:val="00ED4598"/>
    <w:rsid w:val="00EF5800"/>
    <w:rsid w:val="00F01317"/>
    <w:rsid w:val="00F01D07"/>
    <w:rsid w:val="00F105FD"/>
    <w:rsid w:val="00F11D5C"/>
    <w:rsid w:val="00F12570"/>
    <w:rsid w:val="00F140DC"/>
    <w:rsid w:val="00F153A2"/>
    <w:rsid w:val="00F17A92"/>
    <w:rsid w:val="00F20062"/>
    <w:rsid w:val="00F262E5"/>
    <w:rsid w:val="00F4164B"/>
    <w:rsid w:val="00F500C4"/>
    <w:rsid w:val="00F52DFE"/>
    <w:rsid w:val="00F70E1F"/>
    <w:rsid w:val="00F747B1"/>
    <w:rsid w:val="00F76E1F"/>
    <w:rsid w:val="00F928CC"/>
    <w:rsid w:val="00F965B3"/>
    <w:rsid w:val="00FA12B8"/>
    <w:rsid w:val="00FA1ED4"/>
    <w:rsid w:val="00FA2360"/>
    <w:rsid w:val="00FD6838"/>
    <w:rsid w:val="00FF5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E5C1F6F"/>
  <w15:docId w15:val="{044AB1DF-F28A-450E-8552-6A220BAE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rsid w:val="00517205"/>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A7948"/>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AA7948"/>
    <w:pPr>
      <w:spacing w:after="0"/>
    </w:pPr>
  </w:style>
  <w:style w:type="paragraph" w:styleId="ListBullet">
    <w:name w:val="List Bullet"/>
    <w:basedOn w:val="Normal"/>
    <w:uiPriority w:val="99"/>
    <w:semiHidden/>
    <w:unhideWhenUsed/>
    <w:rsid w:val="00AA7948"/>
    <w:pPr>
      <w:numPr>
        <w:numId w:val="3"/>
      </w:numPr>
      <w:contextualSpacing/>
    </w:pPr>
  </w:style>
  <w:style w:type="paragraph" w:styleId="ListBullet2">
    <w:name w:val="List Bullet 2"/>
    <w:basedOn w:val="Normal"/>
    <w:uiPriority w:val="99"/>
    <w:semiHidden/>
    <w:unhideWhenUsed/>
    <w:rsid w:val="00AA7948"/>
    <w:pPr>
      <w:numPr>
        <w:numId w:val="4"/>
      </w:numPr>
      <w:contextualSpacing/>
    </w:pPr>
  </w:style>
  <w:style w:type="paragraph" w:styleId="ListBullet3">
    <w:name w:val="List Bullet 3"/>
    <w:basedOn w:val="Normal"/>
    <w:uiPriority w:val="99"/>
    <w:semiHidden/>
    <w:unhideWhenUsed/>
    <w:rsid w:val="00AA7948"/>
    <w:pPr>
      <w:numPr>
        <w:numId w:val="5"/>
      </w:numPr>
      <w:contextualSpacing/>
    </w:pPr>
  </w:style>
  <w:style w:type="paragraph" w:styleId="ListBullet4">
    <w:name w:val="List Bullet 4"/>
    <w:basedOn w:val="Normal"/>
    <w:uiPriority w:val="99"/>
    <w:semiHidden/>
    <w:unhideWhenUsed/>
    <w:rsid w:val="00AA7948"/>
    <w:pPr>
      <w:numPr>
        <w:numId w:val="6"/>
      </w:numPr>
      <w:contextualSpacing/>
    </w:pPr>
  </w:style>
  <w:style w:type="paragraph" w:styleId="ListNumber">
    <w:name w:val="List Number"/>
    <w:basedOn w:val="Normal"/>
    <w:uiPriority w:val="99"/>
    <w:semiHidden/>
    <w:unhideWhenUsed/>
    <w:rsid w:val="00AA7948"/>
    <w:pPr>
      <w:numPr>
        <w:numId w:val="7"/>
      </w:numPr>
      <w:contextualSpacing/>
    </w:pPr>
  </w:style>
  <w:style w:type="paragraph" w:styleId="ListNumber2">
    <w:name w:val="List Number 2"/>
    <w:basedOn w:val="Normal"/>
    <w:semiHidden/>
    <w:unhideWhenUsed/>
    <w:rsid w:val="00AA7948"/>
    <w:pPr>
      <w:numPr>
        <w:numId w:val="8"/>
      </w:numPr>
      <w:contextualSpacing/>
    </w:pPr>
  </w:style>
  <w:style w:type="paragraph" w:styleId="ListNumber3">
    <w:name w:val="List Number 3"/>
    <w:basedOn w:val="Normal"/>
    <w:uiPriority w:val="99"/>
    <w:semiHidden/>
    <w:unhideWhenUsed/>
    <w:rsid w:val="00AA7948"/>
    <w:pPr>
      <w:numPr>
        <w:numId w:val="9"/>
      </w:numPr>
      <w:contextualSpacing/>
    </w:pPr>
  </w:style>
  <w:style w:type="paragraph" w:styleId="ListNumber4">
    <w:name w:val="List Number 4"/>
    <w:basedOn w:val="Normal"/>
    <w:uiPriority w:val="99"/>
    <w:semiHidden/>
    <w:unhideWhenUsed/>
    <w:rsid w:val="00AA7948"/>
    <w:pPr>
      <w:numPr>
        <w:numId w:val="10"/>
      </w:numPr>
      <w:contextualSpacing/>
    </w:pPr>
  </w:style>
  <w:style w:type="character" w:styleId="CommentReference">
    <w:name w:val="annotation reference"/>
    <w:basedOn w:val="DefaultParagraphFont"/>
    <w:uiPriority w:val="99"/>
    <w:semiHidden/>
    <w:unhideWhenUsed/>
    <w:rsid w:val="00627CE6"/>
    <w:rPr>
      <w:sz w:val="16"/>
      <w:szCs w:val="16"/>
    </w:rPr>
  </w:style>
  <w:style w:type="paragraph" w:styleId="CommentText">
    <w:name w:val="annotation text"/>
    <w:basedOn w:val="Normal"/>
    <w:link w:val="CommentTextChar"/>
    <w:uiPriority w:val="99"/>
    <w:semiHidden/>
    <w:unhideWhenUsed/>
    <w:rsid w:val="00627CE6"/>
    <w:rPr>
      <w:sz w:val="20"/>
      <w:szCs w:val="20"/>
    </w:rPr>
  </w:style>
  <w:style w:type="character" w:customStyle="1" w:styleId="CommentTextChar">
    <w:name w:val="Comment Text Char"/>
    <w:basedOn w:val="DefaultParagraphFont"/>
    <w:link w:val="CommentText"/>
    <w:uiPriority w:val="99"/>
    <w:semiHidden/>
    <w:rsid w:val="00627CE6"/>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sid w:val="00627CE6"/>
    <w:rPr>
      <w:b/>
      <w:bCs/>
    </w:rPr>
  </w:style>
  <w:style w:type="character" w:customStyle="1" w:styleId="CommentSubjectChar">
    <w:name w:val="Comment Subject Char"/>
    <w:basedOn w:val="CommentTextChar"/>
    <w:link w:val="CommentSubject"/>
    <w:uiPriority w:val="99"/>
    <w:semiHidden/>
    <w:rsid w:val="00627CE6"/>
    <w:rPr>
      <w:rFonts w:ascii="Times New Roman" w:hAnsi="Times New Roman" w:cs="Times New Roman"/>
      <w:b/>
      <w:bCs/>
      <w:sz w:val="20"/>
      <w:szCs w:val="20"/>
      <w:lang w:val="hu-HU"/>
    </w:rPr>
  </w:style>
  <w:style w:type="character" w:styleId="Hyperlink">
    <w:name w:val="Hyperlink"/>
    <w:basedOn w:val="DefaultParagraphFont"/>
    <w:uiPriority w:val="99"/>
    <w:unhideWhenUsed/>
    <w:rsid w:val="00627CE6"/>
    <w:rPr>
      <w:color w:val="0000FF" w:themeColor="hyperlink"/>
      <w:u w:val="single"/>
    </w:rPr>
  </w:style>
  <w:style w:type="paragraph" w:styleId="BalloonText">
    <w:name w:val="Balloon Text"/>
    <w:basedOn w:val="Normal"/>
    <w:link w:val="BalloonTextChar"/>
    <w:uiPriority w:val="99"/>
    <w:semiHidden/>
    <w:unhideWhenUsed/>
    <w:rsid w:val="00627CE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CE6"/>
    <w:rPr>
      <w:rFonts w:ascii="Segoe UI" w:hAnsi="Segoe UI" w:cs="Segoe UI"/>
      <w:sz w:val="18"/>
      <w:szCs w:val="18"/>
      <w:lang w:val="hu-HU"/>
    </w:rPr>
  </w:style>
  <w:style w:type="paragraph" w:customStyle="1" w:styleId="Default">
    <w:name w:val="Default"/>
    <w:rsid w:val="00853CD0"/>
    <w:pPr>
      <w:autoSpaceDE w:val="0"/>
      <w:autoSpaceDN w:val="0"/>
      <w:adjustRightInd w:val="0"/>
      <w:spacing w:after="0" w:line="240" w:lineRule="auto"/>
    </w:pPr>
    <w:rPr>
      <w:rFonts w:ascii="EUAlbertina" w:hAnsi="EUAlbertina" w:cs="EUAlbertina"/>
      <w:color w:val="000000"/>
      <w:sz w:val="24"/>
      <w:szCs w:val="24"/>
    </w:rPr>
  </w:style>
  <w:style w:type="paragraph" w:styleId="Revision">
    <w:name w:val="Revision"/>
    <w:hidden/>
    <w:uiPriority w:val="99"/>
    <w:semiHidden/>
    <w:rsid w:val="009874CC"/>
    <w:pPr>
      <w:spacing w:after="0" w:line="240" w:lineRule="auto"/>
    </w:pPr>
    <w:rPr>
      <w:rFonts w:ascii="Times New Roman" w:hAnsi="Times New Roman" w:cs="Times New Roman"/>
      <w:sz w:val="24"/>
    </w:rPr>
  </w:style>
  <w:style w:type="character" w:customStyle="1" w:styleId="SingleTxtGChar">
    <w:name w:val="_ Single Txt_G Char"/>
    <w:link w:val="SingleTxtG"/>
    <w:rsid w:val="008952D8"/>
    <w:rPr>
      <w:lang w:val="hu-HU"/>
    </w:rPr>
  </w:style>
  <w:style w:type="paragraph" w:customStyle="1" w:styleId="SingleTxtG">
    <w:name w:val="_ Single Txt_G"/>
    <w:basedOn w:val="Normal"/>
    <w:link w:val="SingleTxtGChar"/>
    <w:qFormat/>
    <w:rsid w:val="008952D8"/>
    <w:pPr>
      <w:suppressAutoHyphens/>
      <w:spacing w:before="0" w:line="240" w:lineRule="atLeast"/>
      <w:ind w:left="1134" w:right="1134"/>
    </w:pPr>
    <w:rPr>
      <w:rFonts w:asciiTheme="minorHAnsi" w:hAnsiTheme="minorHAnsi" w:cstheme="minorBidi"/>
      <w:sz w:val="22"/>
    </w:rPr>
  </w:style>
  <w:style w:type="paragraph" w:styleId="ListParagraph">
    <w:name w:val="List Paragraph"/>
    <w:basedOn w:val="Normal"/>
    <w:uiPriority w:val="34"/>
    <w:qFormat/>
    <w:rsid w:val="00BD4A91"/>
    <w:pPr>
      <w:ind w:left="720"/>
      <w:contextualSpacing/>
    </w:pPr>
  </w:style>
  <w:style w:type="paragraph" w:customStyle="1" w:styleId="Manuealheading3">
    <w:name w:val="Manueal heading 3"/>
    <w:basedOn w:val="Text1"/>
    <w:rsid w:val="00E573C2"/>
    <w:pPr>
      <w:ind w:left="0"/>
    </w:pPr>
    <w:rPr>
      <w:i/>
    </w:rPr>
  </w:style>
  <w:style w:type="paragraph" w:styleId="Header">
    <w:name w:val="header"/>
    <w:basedOn w:val="Normal"/>
    <w:link w:val="HeaderChar"/>
    <w:uiPriority w:val="99"/>
    <w:unhideWhenUsed/>
    <w:rsid w:val="0015385D"/>
    <w:pPr>
      <w:tabs>
        <w:tab w:val="center" w:pos="4535"/>
        <w:tab w:val="right" w:pos="9071"/>
      </w:tabs>
      <w:spacing w:before="0"/>
    </w:pPr>
  </w:style>
  <w:style w:type="character" w:customStyle="1" w:styleId="HeaderChar">
    <w:name w:val="Header Char"/>
    <w:basedOn w:val="DefaultParagraphFont"/>
    <w:link w:val="Header"/>
    <w:uiPriority w:val="99"/>
    <w:rsid w:val="0015385D"/>
    <w:rPr>
      <w:rFonts w:ascii="Times New Roman" w:hAnsi="Times New Roman" w:cs="Times New Roman"/>
      <w:sz w:val="24"/>
      <w:lang w:val="hu-HU"/>
    </w:rPr>
  </w:style>
  <w:style w:type="paragraph" w:styleId="Footer">
    <w:name w:val="footer"/>
    <w:basedOn w:val="Normal"/>
    <w:link w:val="FooterChar"/>
    <w:uiPriority w:val="99"/>
    <w:unhideWhenUsed/>
    <w:rsid w:val="0015385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5385D"/>
    <w:rPr>
      <w:rFonts w:ascii="Times New Roman" w:hAnsi="Times New Roman" w:cs="Times New Roman"/>
      <w:sz w:val="24"/>
      <w:lang w:val="hu-HU"/>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15385D"/>
    <w:pPr>
      <w:tabs>
        <w:tab w:val="center" w:pos="7285"/>
        <w:tab w:val="right" w:pos="14003"/>
      </w:tabs>
      <w:spacing w:before="0"/>
    </w:pPr>
  </w:style>
  <w:style w:type="paragraph" w:customStyle="1" w:styleId="FooterLandscape">
    <w:name w:val="FooterLandscape"/>
    <w:basedOn w:val="Normal"/>
    <w:rsid w:val="0015385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15385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5385D"/>
    <w:pPr>
      <w:spacing w:before="0"/>
      <w:jc w:val="right"/>
    </w:pPr>
    <w:rPr>
      <w:sz w:val="28"/>
    </w:rPr>
  </w:style>
  <w:style w:type="paragraph" w:customStyle="1" w:styleId="FooterSensitivity">
    <w:name w:val="Footer Sensitivity"/>
    <w:basedOn w:val="Normal"/>
    <w:rsid w:val="0015385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7"/>
      </w:numPr>
    </w:pPr>
  </w:style>
  <w:style w:type="paragraph" w:customStyle="1" w:styleId="Tiret1">
    <w:name w:val="Tiret 1"/>
    <w:basedOn w:val="Point1"/>
    <w:rsid w:val="00517205"/>
    <w:pPr>
      <w:numPr>
        <w:numId w:val="28"/>
      </w:numPr>
    </w:pPr>
  </w:style>
  <w:style w:type="paragraph" w:customStyle="1" w:styleId="Tiret2">
    <w:name w:val="Tiret 2"/>
    <w:basedOn w:val="Point2"/>
    <w:rsid w:val="00517205"/>
    <w:pPr>
      <w:numPr>
        <w:numId w:val="29"/>
      </w:numPr>
    </w:pPr>
  </w:style>
  <w:style w:type="paragraph" w:customStyle="1" w:styleId="Tiret3">
    <w:name w:val="Tiret 3"/>
    <w:basedOn w:val="Point3"/>
    <w:rsid w:val="00517205"/>
    <w:pPr>
      <w:numPr>
        <w:numId w:val="30"/>
      </w:numPr>
    </w:pPr>
  </w:style>
  <w:style w:type="paragraph" w:customStyle="1" w:styleId="Tiret4">
    <w:name w:val="Tiret 4"/>
    <w:basedOn w:val="Point4"/>
    <w:rsid w:val="00517205"/>
    <w:pPr>
      <w:numPr>
        <w:numId w:val="31"/>
      </w:numPr>
    </w:pPr>
  </w:style>
  <w:style w:type="paragraph" w:customStyle="1" w:styleId="Tiret5">
    <w:name w:val="Tiret 5"/>
    <w:basedOn w:val="Point5"/>
    <w:rsid w:val="00517205"/>
    <w:pPr>
      <w:numPr>
        <w:numId w:val="32"/>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3"/>
      </w:numPr>
    </w:pPr>
  </w:style>
  <w:style w:type="paragraph" w:customStyle="1" w:styleId="NumPar2">
    <w:name w:val="NumPar 2"/>
    <w:basedOn w:val="Normal"/>
    <w:next w:val="Text1"/>
    <w:rsid w:val="00517205"/>
    <w:pPr>
      <w:numPr>
        <w:ilvl w:val="1"/>
        <w:numId w:val="33"/>
      </w:numPr>
    </w:pPr>
  </w:style>
  <w:style w:type="paragraph" w:customStyle="1" w:styleId="NumPar3">
    <w:name w:val="NumPar 3"/>
    <w:basedOn w:val="Normal"/>
    <w:next w:val="Text1"/>
    <w:rsid w:val="00517205"/>
    <w:pPr>
      <w:numPr>
        <w:ilvl w:val="2"/>
        <w:numId w:val="33"/>
      </w:numPr>
    </w:pPr>
  </w:style>
  <w:style w:type="paragraph" w:customStyle="1" w:styleId="NumPar4">
    <w:name w:val="NumPar 4"/>
    <w:basedOn w:val="Normal"/>
    <w:next w:val="Text1"/>
    <w:rsid w:val="00517205"/>
    <w:pPr>
      <w:numPr>
        <w:ilvl w:val="3"/>
        <w:numId w:val="33"/>
      </w:numPr>
    </w:pPr>
  </w:style>
  <w:style w:type="paragraph" w:customStyle="1" w:styleId="NumPar5">
    <w:name w:val="NumPar 5"/>
    <w:basedOn w:val="Normal"/>
    <w:next w:val="Text2"/>
    <w:rsid w:val="00517205"/>
    <w:pPr>
      <w:numPr>
        <w:ilvl w:val="4"/>
        <w:numId w:val="33"/>
      </w:numPr>
    </w:pPr>
  </w:style>
  <w:style w:type="paragraph" w:customStyle="1" w:styleId="NumPar6">
    <w:name w:val="NumPar 6"/>
    <w:basedOn w:val="Normal"/>
    <w:next w:val="Text2"/>
    <w:rsid w:val="00517205"/>
    <w:pPr>
      <w:numPr>
        <w:ilvl w:val="5"/>
        <w:numId w:val="33"/>
      </w:numPr>
    </w:pPr>
  </w:style>
  <w:style w:type="paragraph" w:customStyle="1" w:styleId="NumPar7">
    <w:name w:val="NumPar 7"/>
    <w:basedOn w:val="Normal"/>
    <w:next w:val="Text2"/>
    <w:rsid w:val="00517205"/>
    <w:pPr>
      <w:numPr>
        <w:ilvl w:val="6"/>
        <w:numId w:val="33"/>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5"/>
      </w:numPr>
    </w:pPr>
  </w:style>
  <w:style w:type="paragraph" w:customStyle="1" w:styleId="Point1number">
    <w:name w:val="Point 1 (number)"/>
    <w:basedOn w:val="Normal"/>
    <w:rsid w:val="00517205"/>
    <w:pPr>
      <w:numPr>
        <w:ilvl w:val="2"/>
        <w:numId w:val="35"/>
      </w:numPr>
    </w:pPr>
  </w:style>
  <w:style w:type="paragraph" w:customStyle="1" w:styleId="Point2number">
    <w:name w:val="Point 2 (number)"/>
    <w:basedOn w:val="Normal"/>
    <w:rsid w:val="00517205"/>
    <w:pPr>
      <w:numPr>
        <w:ilvl w:val="4"/>
        <w:numId w:val="35"/>
      </w:numPr>
    </w:pPr>
  </w:style>
  <w:style w:type="paragraph" w:customStyle="1" w:styleId="Point3number">
    <w:name w:val="Point 3 (number)"/>
    <w:basedOn w:val="Normal"/>
    <w:rsid w:val="00517205"/>
    <w:pPr>
      <w:numPr>
        <w:ilvl w:val="6"/>
        <w:numId w:val="35"/>
      </w:numPr>
    </w:pPr>
  </w:style>
  <w:style w:type="paragraph" w:customStyle="1" w:styleId="Point0letter">
    <w:name w:val="Point 0 (letter)"/>
    <w:basedOn w:val="Normal"/>
    <w:rsid w:val="00517205"/>
    <w:pPr>
      <w:numPr>
        <w:ilvl w:val="1"/>
        <w:numId w:val="35"/>
      </w:numPr>
    </w:pPr>
  </w:style>
  <w:style w:type="paragraph" w:customStyle="1" w:styleId="Point1letter">
    <w:name w:val="Point 1 (letter)"/>
    <w:basedOn w:val="Normal"/>
    <w:rsid w:val="00517205"/>
    <w:pPr>
      <w:numPr>
        <w:ilvl w:val="3"/>
        <w:numId w:val="35"/>
      </w:numPr>
    </w:pPr>
  </w:style>
  <w:style w:type="paragraph" w:customStyle="1" w:styleId="Point2letter">
    <w:name w:val="Point 2 (letter)"/>
    <w:basedOn w:val="Normal"/>
    <w:rsid w:val="00517205"/>
    <w:pPr>
      <w:numPr>
        <w:ilvl w:val="5"/>
        <w:numId w:val="35"/>
      </w:numPr>
    </w:pPr>
  </w:style>
  <w:style w:type="paragraph" w:customStyle="1" w:styleId="Point3letter">
    <w:name w:val="Point 3 (letter)"/>
    <w:basedOn w:val="Normal"/>
    <w:rsid w:val="00517205"/>
    <w:pPr>
      <w:numPr>
        <w:ilvl w:val="7"/>
        <w:numId w:val="35"/>
      </w:numPr>
    </w:pPr>
  </w:style>
  <w:style w:type="paragraph" w:customStyle="1" w:styleId="Point4letter">
    <w:name w:val="Point 4 (letter)"/>
    <w:basedOn w:val="Normal"/>
    <w:rsid w:val="00517205"/>
    <w:pPr>
      <w:numPr>
        <w:ilvl w:val="8"/>
        <w:numId w:val="35"/>
      </w:numPr>
    </w:pPr>
  </w:style>
  <w:style w:type="paragraph" w:customStyle="1" w:styleId="Bullet0">
    <w:name w:val="Bullet 0"/>
    <w:basedOn w:val="Normal"/>
    <w:rsid w:val="00517205"/>
    <w:pPr>
      <w:numPr>
        <w:numId w:val="36"/>
      </w:numPr>
    </w:pPr>
  </w:style>
  <w:style w:type="paragraph" w:customStyle="1" w:styleId="Bullet1">
    <w:name w:val="Bullet 1"/>
    <w:basedOn w:val="Normal"/>
    <w:rsid w:val="00517205"/>
    <w:pPr>
      <w:numPr>
        <w:numId w:val="37"/>
      </w:numPr>
    </w:pPr>
  </w:style>
  <w:style w:type="paragraph" w:customStyle="1" w:styleId="Bullet2">
    <w:name w:val="Bullet 2"/>
    <w:basedOn w:val="Normal"/>
    <w:rsid w:val="00517205"/>
    <w:pPr>
      <w:numPr>
        <w:numId w:val="38"/>
      </w:numPr>
    </w:pPr>
  </w:style>
  <w:style w:type="paragraph" w:customStyle="1" w:styleId="Bullet3">
    <w:name w:val="Bullet 3"/>
    <w:basedOn w:val="Normal"/>
    <w:rsid w:val="00517205"/>
    <w:pPr>
      <w:numPr>
        <w:numId w:val="39"/>
      </w:numPr>
    </w:pPr>
  </w:style>
  <w:style w:type="paragraph" w:customStyle="1" w:styleId="Bullet4">
    <w:name w:val="Bullet 4"/>
    <w:basedOn w:val="Normal"/>
    <w:rsid w:val="00517205"/>
    <w:pPr>
      <w:numPr>
        <w:numId w:val="40"/>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1"/>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6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CEEA8D7-F1E6-41FB-AF7F-9B28F105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15</TotalTime>
  <Pages>10</Pages>
  <Words>2239</Words>
  <Characters>16240</Characters>
  <Application>Microsoft Office Word</Application>
  <DocSecurity>0</DocSecurity>
  <Lines>290</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51</cp:revision>
  <dcterms:created xsi:type="dcterms:W3CDTF">2022-05-12T10:03:00Z</dcterms:created>
  <dcterms:modified xsi:type="dcterms:W3CDTF">2022-05-31T08:07:00Z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