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1D367" w14:textId="309F5EA6" w:rsidR="00CA53FB" w:rsidRDefault="006A7AC3" w:rsidP="006A7AC3">
      <w:pPr>
        <w:pStyle w:val="Pagedecouverture"/>
        <w:rPr>
          <w:noProof/>
        </w:rPr>
      </w:pPr>
      <w:bookmarkStart w:id="0" w:name="LW_BM_COVERPAGE"/>
      <w:r>
        <w:rPr>
          <w:noProof/>
        </w:rPr>
        <w:pict w14:anchorId="66DE5E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B7ECA2D-7D25-427B-8DA1-5FED7967C9A0" style="width:455.25pt;height:336.75pt">
            <v:imagedata r:id="rId11" o:title=""/>
          </v:shape>
        </w:pict>
      </w:r>
    </w:p>
    <w:bookmarkEnd w:id="0"/>
    <w:p w14:paraId="1F67EF5C" w14:textId="77777777" w:rsidR="004E0D97" w:rsidRPr="004E0D97" w:rsidRDefault="004E0D97" w:rsidP="004E0D97">
      <w:pPr>
        <w:pStyle w:val="Pagedecouverture"/>
        <w:rPr>
          <w:noProof/>
        </w:rPr>
        <w:sectPr w:rsidR="004E0D97" w:rsidRPr="004E0D97" w:rsidSect="006A7AC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1566733" w14:textId="77777777" w:rsidR="007E1E4D" w:rsidRPr="00E46615" w:rsidRDefault="00B15F99" w:rsidP="00AA5D14">
      <w:pPr>
        <w:pStyle w:val="Heading1"/>
        <w:numPr>
          <w:ilvl w:val="0"/>
          <w:numId w:val="1"/>
        </w:numPr>
        <w:spacing w:after="240"/>
        <w:rPr>
          <w:rFonts w:ascii="Times New Roman" w:eastAsia="Times New Roman" w:hAnsi="Times New Roman" w:cs="Times New Roman"/>
          <w:b/>
          <w:noProof/>
          <w:color w:val="auto"/>
          <w:sz w:val="24"/>
          <w:szCs w:val="24"/>
        </w:rPr>
      </w:pPr>
      <w:bookmarkStart w:id="1" w:name="_Toc99964840"/>
      <w:bookmarkStart w:id="2" w:name="_GoBack"/>
      <w:bookmarkEnd w:id="2"/>
      <w:r>
        <w:rPr>
          <w:rFonts w:ascii="Times New Roman" w:hAnsi="Times New Roman"/>
          <w:b/>
          <w:noProof/>
          <w:color w:val="auto"/>
          <w:sz w:val="24"/>
          <w:szCs w:val="24"/>
        </w:rPr>
        <w:lastRenderedPageBreak/>
        <w:t>Johdanto</w:t>
      </w:r>
      <w:bookmarkEnd w:id="1"/>
    </w:p>
    <w:p w14:paraId="1F4067A4" w14:textId="2C2A0F21" w:rsidR="00FF76D5" w:rsidRDefault="00AB52E1" w:rsidP="00FF76D5">
      <w:pPr>
        <w:jc w:val="both"/>
        <w:rPr>
          <w:rFonts w:ascii="Times New Roman" w:hAnsi="Times New Roman" w:cs="Times New Roman"/>
          <w:noProof/>
          <w:sz w:val="24"/>
          <w:szCs w:val="24"/>
        </w:rPr>
      </w:pPr>
      <w:bookmarkStart w:id="3" w:name="_Hlk103348741"/>
      <w:r>
        <w:rPr>
          <w:rFonts w:ascii="Times New Roman" w:hAnsi="Times New Roman"/>
          <w:noProof/>
          <w:sz w:val="24"/>
          <w:szCs w:val="24"/>
        </w:rPr>
        <w:t xml:space="preserve">Euroopan unioni ja maailma joutuvat vastakkain </w:t>
      </w:r>
      <w:r>
        <w:rPr>
          <w:rFonts w:ascii="Times New Roman" w:hAnsi="Times New Roman"/>
          <w:b/>
          <w:bCs/>
          <w:noProof/>
          <w:sz w:val="24"/>
          <w:szCs w:val="24"/>
        </w:rPr>
        <w:t>ilmastonmuutoksen aiheuttaman, niiden olemassaoloon kohdistuvan uhkan ja nopeasti kehittyvän energiakriisin kanssa</w:t>
      </w:r>
      <w:r>
        <w:rPr>
          <w:rFonts w:ascii="Times New Roman" w:hAnsi="Times New Roman"/>
          <w:noProof/>
          <w:sz w:val="24"/>
          <w:szCs w:val="24"/>
        </w:rPr>
        <w:t xml:space="preserve">. </w:t>
      </w:r>
      <w:bookmarkEnd w:id="3"/>
      <w:r>
        <w:rPr>
          <w:rFonts w:ascii="Times New Roman" w:hAnsi="Times New Roman"/>
          <w:noProof/>
          <w:sz w:val="24"/>
          <w:szCs w:val="24"/>
        </w:rPr>
        <w:t xml:space="preserve">Jos emme nopeuta ilmastonmuutoksen torjuntaa ja torju biodiversiteetin vähenemistä, Pariisissa sovitut tavoitteet jäävät saavuttamatta. Sen myötä menetetään mahdollisuus välttää laajamittainen ilmastokriisi, jolla on tuhoisia seurauksia ihmisille ja ympäristölle kaikkialla maailmassa. </w:t>
      </w:r>
    </w:p>
    <w:p w14:paraId="04D4C816" w14:textId="64933D41" w:rsidR="00FF76D5" w:rsidRPr="00131448"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Hallitustenvälisen ilmastonmuutospaneelin kuudennessa arviointiraportissa todetaan, että maailman kasvihuonekaasupäästöjä on vähennettävä 43 prosenttia vuoteen 2030 mennessä, jotta tavoitteessa </w:t>
      </w:r>
      <w:r>
        <w:rPr>
          <w:rFonts w:ascii="Times New Roman" w:hAnsi="Times New Roman"/>
          <w:b/>
          <w:bCs/>
          <w:noProof/>
          <w:sz w:val="24"/>
          <w:szCs w:val="24"/>
        </w:rPr>
        <w:t>ilmaston lämpenemisen rajoittamisesta 1,5 celsiusasteeseen</w:t>
      </w:r>
      <w:r>
        <w:rPr>
          <w:rFonts w:ascii="Times New Roman" w:hAnsi="Times New Roman"/>
          <w:noProof/>
          <w:sz w:val="24"/>
          <w:szCs w:val="24"/>
        </w:rPr>
        <w:t xml:space="preserve"> pysytään aikataulussa. Koska energia-alalla on keskeinen rooli kasvihuonekaasupäästövähennysten toteuttamisessa, ala on tämän siirtymän keskiössä. </w:t>
      </w:r>
    </w:p>
    <w:p w14:paraId="720CAEBC" w14:textId="7B9631B1" w:rsidR="00FF76D5" w:rsidRPr="00131448"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Samaan aikaan </w:t>
      </w:r>
      <w:r>
        <w:rPr>
          <w:rFonts w:ascii="Times New Roman" w:hAnsi="Times New Roman"/>
          <w:b/>
          <w:bCs/>
          <w:noProof/>
          <w:sz w:val="24"/>
          <w:szCs w:val="24"/>
        </w:rPr>
        <w:t>Venäjä on rikkonut kansainvälisiä sääntöjä provosoimattomalla ja perusteettomalla hyökkäyssodalla Ukrainaa vastaan</w:t>
      </w:r>
      <w:r>
        <w:rPr>
          <w:rFonts w:ascii="Times New Roman" w:hAnsi="Times New Roman"/>
          <w:noProof/>
          <w:sz w:val="24"/>
          <w:szCs w:val="24"/>
        </w:rPr>
        <w:t xml:space="preserve">. Venäjän toiminta on kääntänyt energia- ja elintarvikemarkkinat ylösalaisin, mikä on lisännyt hintojen epävakautta ja energiaturvattomuutta tavalla, joka vaikuttaa paitsi Venäjän välittömään naapurustoon, myös koko maailmaan. Tämä edellyttää toimia, joilla reagoidaan EU:n ja sen kumppaneiden lyhyen aikavälin tarpeisiin ja pitkän aikavälin vaikutuksiin. EU osoittaa laajasti solidaarisuutta Ukrainalle ja jatkaa sen energiajärjestelmän tukemista. </w:t>
      </w:r>
    </w:p>
    <w:p w14:paraId="6B984BB8" w14:textId="0DE8BA13" w:rsidR="00FF76D5" w:rsidRDefault="00FF76D5" w:rsidP="00FF76D5">
      <w:pPr>
        <w:jc w:val="both"/>
        <w:rPr>
          <w:rFonts w:ascii="Times New Roman" w:hAnsi="Times New Roman" w:cs="Times New Roman"/>
          <w:noProof/>
          <w:sz w:val="24"/>
          <w:szCs w:val="24"/>
        </w:rPr>
      </w:pPr>
      <w:r>
        <w:rPr>
          <w:rFonts w:ascii="Times New Roman" w:hAnsi="Times New Roman"/>
          <w:b/>
          <w:bCs/>
          <w:noProof/>
          <w:sz w:val="24"/>
          <w:szCs w:val="24"/>
        </w:rPr>
        <w:t>Vihreä energiasiirtymä on ainoa keino varmistaa samanaikaisesti kestävä, varma ja kohtuuhintainen energia koko maailmalle.</w:t>
      </w:r>
      <w:r>
        <w:rPr>
          <w:rFonts w:ascii="Times New Roman" w:hAnsi="Times New Roman"/>
          <w:noProof/>
          <w:sz w:val="24"/>
          <w:szCs w:val="24"/>
        </w:rPr>
        <w:t xml:space="preserve"> EU jatkaa näin ollen päättäväisesti tällä tiellä ja tekee yhteistyötä eri puolilla maailmaa sijaitsevien kumppaneiden kanssa, jotta se voi kannustaa kumppanimaita lisäämään ilmastotavoitteidensa kunnianhimoisuutta ja määrittelemään ilmastoneutraaliuden saavuttamista koskevat kehityspolkunsa. Samalla yhteistyön tavoitteena on luoda pitkäkestoisia, molempia osapuolia hyödyttäviä suhteita erityisesti energian alalla. </w:t>
      </w:r>
    </w:p>
    <w:p w14:paraId="4C9DC190" w14:textId="5313DD83" w:rsidR="00FF76D5"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EU jatkaa ja </w:t>
      </w:r>
      <w:r>
        <w:rPr>
          <w:rFonts w:ascii="Times New Roman" w:hAnsi="Times New Roman"/>
          <w:b/>
          <w:bCs/>
          <w:noProof/>
          <w:sz w:val="24"/>
          <w:szCs w:val="24"/>
        </w:rPr>
        <w:t>tehostaa toimintaansa kaikkialla maailmassa erityisillä kumppanuuksilla</w:t>
      </w:r>
      <w:r>
        <w:rPr>
          <w:rFonts w:ascii="Times New Roman" w:hAnsi="Times New Roman"/>
          <w:noProof/>
          <w:sz w:val="24"/>
          <w:szCs w:val="24"/>
        </w:rPr>
        <w:t xml:space="preserve">. Tämä voi tarkoittaa taloudellista tukea, avustusta, teknologian siirtoja ja/tai kauppasuhteiden tiivistämistä. </w:t>
      </w:r>
    </w:p>
    <w:p w14:paraId="5B17848E" w14:textId="14B0E248" w:rsidR="00FF76D5"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Näille toimille on tarve myös Euroopan kannalta. Vaikka vuoden 2009 kaasukriisin jälkeen on toteutettu toimenpiteitä energiansaannin monipuolistamiseksi ja sisäisen energiaturvallisuuden varmistamiseksi, Eurooppa on yhä liian riippuvainen toimittajasta, joka on valmis käyttämään energiaa aseena. Tämän haavoittuvuuden poistamiseksi Euroopan komissio antoi </w:t>
      </w:r>
      <w:r>
        <w:rPr>
          <w:rFonts w:ascii="Times New Roman" w:hAnsi="Times New Roman"/>
          <w:b/>
          <w:bCs/>
          <w:noProof/>
          <w:sz w:val="24"/>
          <w:szCs w:val="24"/>
        </w:rPr>
        <w:t>8. maaliskuuta 2022 REPowerEU-tiedonannon</w:t>
      </w:r>
      <w:r>
        <w:rPr>
          <w:rFonts w:ascii="Times New Roman" w:hAnsi="Times New Roman"/>
          <w:noProof/>
          <w:sz w:val="24"/>
          <w:szCs w:val="24"/>
        </w:rPr>
        <w:t xml:space="preserve">, jossa esitetään suunnitelma </w:t>
      </w:r>
      <w:r>
        <w:rPr>
          <w:rFonts w:ascii="Times New Roman" w:hAnsi="Times New Roman"/>
          <w:b/>
          <w:bCs/>
          <w:noProof/>
          <w:sz w:val="24"/>
          <w:szCs w:val="24"/>
        </w:rPr>
        <w:t>fossiilisen energian tuonnin lopettamiseksi Venäjältä</w:t>
      </w:r>
      <w:r>
        <w:rPr>
          <w:rFonts w:ascii="Times New Roman" w:hAnsi="Times New Roman"/>
          <w:noProof/>
          <w:sz w:val="24"/>
          <w:szCs w:val="24"/>
        </w:rPr>
        <w:t xml:space="preserve"> hyvissä ajoin ennen vuotta 2030. Tämä edellyttää EU:n energian toimituslähteiden monipuolistamista, energiansäästöjen ja energiatehokkuuden lisäämistä sekä vihreän energiasiirtymän nopeuttamista. </w:t>
      </w:r>
    </w:p>
    <w:p w14:paraId="30453439" w14:textId="54AC4021" w:rsidR="00FF76D5" w:rsidRPr="00EC6429" w:rsidRDefault="00865035" w:rsidP="00FF76D5">
      <w:pPr>
        <w:jc w:val="both"/>
        <w:rPr>
          <w:rFonts w:ascii="Times New Roman" w:hAnsi="Times New Roman" w:cs="Times New Roman"/>
          <w:noProof/>
          <w:sz w:val="24"/>
          <w:szCs w:val="24"/>
        </w:rPr>
      </w:pPr>
      <w:r>
        <w:rPr>
          <w:rFonts w:ascii="Times New Roman" w:hAnsi="Times New Roman"/>
          <w:noProof/>
          <w:sz w:val="24"/>
          <w:szCs w:val="24"/>
        </w:rPr>
        <w:t xml:space="preserve">Kaikella tällä vastataan </w:t>
      </w:r>
      <w:r>
        <w:rPr>
          <w:rFonts w:ascii="Times New Roman" w:hAnsi="Times New Roman"/>
          <w:b/>
          <w:bCs/>
          <w:noProof/>
          <w:sz w:val="24"/>
          <w:szCs w:val="24"/>
        </w:rPr>
        <w:t>nopeasti muuttuvan maailman ja energia-alan toimintaympäristön</w:t>
      </w:r>
      <w:r>
        <w:rPr>
          <w:rFonts w:ascii="Times New Roman" w:hAnsi="Times New Roman"/>
          <w:noProof/>
          <w:sz w:val="24"/>
          <w:szCs w:val="24"/>
        </w:rPr>
        <w:t xml:space="preserve"> haasteisiin. Tulevina vuosina ja vuosikymmeninä tarjoutuu uusia mahdollisuuksia energian tuottamiseen samaan aikaan, kun muodostuu uusia kaupan rakenteita ja kuljetustarpeita. Samalla kun perinteisten energiatuotteiden kauppa asteittain vähenee, aletaan käydä kansainvälistä kauppaa uusilla tuotteilla, kuten vedyllä ja ammoniakilla, ja vähäpäästöisten teknologioiden kysyntä kasvaa. Tarvitaan uusia standardeja ja hallintojärjestelyjä, jotta voidaan luoda luotettavampia ja kaikkia osapuolia hyödyttäviä kumppanuuksia sääntöpohjaisen lähestymistavan perusteella.</w:t>
      </w:r>
    </w:p>
    <w:p w14:paraId="69F1331D" w14:textId="77777777" w:rsidR="00FF76D5"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Euroopan unionin on oltava valmis toimimaan tässä uudessa, muuttuvassa ympäristössä ja muovaamaan sitä. </w:t>
      </w:r>
      <w:r>
        <w:rPr>
          <w:rFonts w:ascii="Times New Roman" w:hAnsi="Times New Roman"/>
          <w:b/>
          <w:bCs/>
          <w:noProof/>
          <w:sz w:val="24"/>
          <w:szCs w:val="24"/>
        </w:rPr>
        <w:t>Euroopalle</w:t>
      </w:r>
      <w:r>
        <w:rPr>
          <w:rFonts w:ascii="Times New Roman" w:hAnsi="Times New Roman"/>
          <w:noProof/>
          <w:sz w:val="24"/>
          <w:szCs w:val="24"/>
        </w:rPr>
        <w:t xml:space="preserve"> tarjoutuu uusia </w:t>
      </w:r>
      <w:r>
        <w:rPr>
          <w:rFonts w:ascii="Times New Roman" w:hAnsi="Times New Roman"/>
          <w:b/>
          <w:bCs/>
          <w:noProof/>
          <w:sz w:val="24"/>
          <w:szCs w:val="24"/>
        </w:rPr>
        <w:t>mahdollisuuksia</w:t>
      </w:r>
      <w:r>
        <w:rPr>
          <w:rFonts w:ascii="Times New Roman" w:hAnsi="Times New Roman"/>
          <w:noProof/>
          <w:sz w:val="24"/>
          <w:szCs w:val="24"/>
        </w:rPr>
        <w:t xml:space="preserve"> hyödyntää sen vihreää teknologista johtajuutta sekä edistää oikeudenmukaisempaa ja kestävämpää kehitystä eri puolilla maailmaa. Samalla eteen tulee kuitenkin myös uusia haasteita, jotka liittyvät EU:n energiaturvallisuuteen ja toimitusketjujen kestävyyteen, erityisesti energiasiirtymän kannalta keskeisten kriittisten raaka-aineiden osalta. </w:t>
      </w:r>
    </w:p>
    <w:p w14:paraId="6542D984" w14:textId="213C1639" w:rsidR="00FF76D5" w:rsidRPr="00EC6429"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Vastaavasti kriisi tarjoaa useille maille tilaisuuden hypätä hiili-intensiivisen kehityksen yli ja hyötyä vihreämmästä, tasapuolisemmasta taloudesta, joka turvaa miljoonien ihmisten energian saannin. </w:t>
      </w:r>
      <w:r>
        <w:rPr>
          <w:rFonts w:ascii="Times New Roman" w:hAnsi="Times New Roman"/>
          <w:b/>
          <w:bCs/>
          <w:noProof/>
          <w:sz w:val="24"/>
          <w:szCs w:val="24"/>
        </w:rPr>
        <w:t xml:space="preserve">EU pyrkii seitsemännen kestävän kehityksen tavoitteen mukaisesti varmistamaan oikeudenmukaisen ja osallistavan energiasiirtymän. </w:t>
      </w:r>
      <w:r>
        <w:rPr>
          <w:rFonts w:ascii="Times New Roman" w:hAnsi="Times New Roman"/>
          <w:noProof/>
          <w:sz w:val="24"/>
          <w:szCs w:val="24"/>
        </w:rPr>
        <w:t>Euroopan komissio ja korkea edustaja toimivat kumppaneina ja tukevat vihreää siirtymää toteuttavia maita edistämällä kestäviä pitkän aikavälin investointeja muun muassa Global Gateway -strategian kautta. Global Gateway on EU:n suunnitelma ja arvopohjainen ehdotus merkittävistä investoinneista infrastruktuurin kehittämiseen eri puolilla maailmaa.</w:t>
      </w:r>
    </w:p>
    <w:p w14:paraId="509F9211" w14:textId="2B8E3FAA" w:rsidR="00FF76D5" w:rsidRPr="00EC6429" w:rsidRDefault="00FF76D5" w:rsidP="00FF76D5">
      <w:pPr>
        <w:jc w:val="both"/>
        <w:rPr>
          <w:rFonts w:ascii="Times New Roman" w:hAnsi="Times New Roman" w:cs="Times New Roman"/>
          <w:noProof/>
          <w:sz w:val="24"/>
          <w:szCs w:val="24"/>
        </w:rPr>
      </w:pPr>
      <w:r>
        <w:rPr>
          <w:rFonts w:ascii="Times New Roman" w:hAnsi="Times New Roman"/>
          <w:noProof/>
          <w:sz w:val="24"/>
          <w:szCs w:val="24"/>
        </w:rPr>
        <w:t xml:space="preserve">Kaikki nämä näkökohdat edellyttävät, että EU päivittää ulkoista energiastrategiaansa yli kymmenen vuotta edellisen strategian hyväksymisen jälkeen siten, että se tiivistää yhteistyötään kumppaneidensa kanssa ja vahvistaa ilmasto- ja energiadiplomatiaansa 25. tammikuuta 2021 annettujen ulkoasiainneuvoston päätelmien mukaisesti. </w:t>
      </w:r>
    </w:p>
    <w:p w14:paraId="14B36C59" w14:textId="21BBE8A6" w:rsidR="00FF76D5" w:rsidRPr="004A1D96" w:rsidRDefault="00FF76D5" w:rsidP="00CC199B">
      <w:pPr>
        <w:jc w:val="both"/>
        <w:rPr>
          <w:rFonts w:ascii="Times New Roman" w:hAnsi="Times New Roman" w:cs="Times New Roman"/>
          <w:b/>
          <w:bCs/>
          <w:noProof/>
          <w:sz w:val="24"/>
          <w:szCs w:val="24"/>
        </w:rPr>
      </w:pPr>
      <w:r>
        <w:rPr>
          <w:rFonts w:ascii="Times New Roman" w:hAnsi="Times New Roman"/>
          <w:b/>
          <w:bCs/>
          <w:noProof/>
          <w:sz w:val="24"/>
          <w:szCs w:val="24"/>
        </w:rPr>
        <w:t>Tämän aikaansaamiseksi EU:n ulkoisen energiapolitiikan</w:t>
      </w:r>
      <w:r>
        <w:rPr>
          <w:rFonts w:ascii="Times New Roman" w:hAnsi="Times New Roman"/>
          <w:noProof/>
          <w:sz w:val="24"/>
          <w:szCs w:val="24"/>
        </w:rPr>
        <w:t xml:space="preserve"> tavoitteena on</w:t>
      </w:r>
    </w:p>
    <w:p w14:paraId="42504176" w14:textId="18BCE7BE" w:rsidR="00FF76D5" w:rsidRDefault="00FB5058" w:rsidP="00FF76D5">
      <w:pPr>
        <w:pStyle w:val="ListParagraph"/>
        <w:numPr>
          <w:ilvl w:val="0"/>
          <w:numId w:val="20"/>
        </w:numPr>
        <w:jc w:val="both"/>
        <w:rPr>
          <w:rFonts w:ascii="Times New Roman" w:hAnsi="Times New Roman" w:cs="Times New Roman"/>
          <w:b/>
          <w:bCs/>
          <w:noProof/>
          <w:sz w:val="24"/>
          <w:szCs w:val="24"/>
        </w:rPr>
      </w:pPr>
      <w:r>
        <w:rPr>
          <w:rFonts w:ascii="Times New Roman" w:hAnsi="Times New Roman"/>
          <w:b/>
          <w:bCs/>
          <w:noProof/>
          <w:sz w:val="24"/>
          <w:szCs w:val="24"/>
        </w:rPr>
        <w:t>lisätä EU:n energiaturvallisuutta, häiriönsietokykyä ja avointa strategista riippumattomuutta monipuolistamalla EU:n energian toimituslähteitä ja vahvistamalla energiansäästöjä ja energiatehokkuutta</w:t>
      </w:r>
    </w:p>
    <w:p w14:paraId="1BEC2F60" w14:textId="5E83750C" w:rsidR="00FF76D5" w:rsidRPr="003B5592" w:rsidRDefault="00FB5058" w:rsidP="00FF76D5">
      <w:pPr>
        <w:pStyle w:val="ListParagraph"/>
        <w:numPr>
          <w:ilvl w:val="0"/>
          <w:numId w:val="20"/>
        </w:numPr>
        <w:jc w:val="both"/>
        <w:rPr>
          <w:rFonts w:ascii="Times New Roman" w:hAnsi="Times New Roman" w:cs="Times New Roman"/>
          <w:b/>
          <w:bCs/>
          <w:noProof/>
          <w:sz w:val="24"/>
          <w:szCs w:val="24"/>
        </w:rPr>
      </w:pPr>
      <w:r>
        <w:rPr>
          <w:rFonts w:ascii="Times New Roman" w:hAnsi="Times New Roman"/>
          <w:b/>
          <w:bCs/>
          <w:noProof/>
          <w:sz w:val="24"/>
          <w:szCs w:val="24"/>
        </w:rPr>
        <w:t>nopeuttaa maailmanlaajuista vihreää ja oikeudenmukaista energiasiirtymää, jotta varmistetaan kestävä, varma ja kohtuuhintainen energia EU:lle ja maailmalle</w:t>
      </w:r>
    </w:p>
    <w:p w14:paraId="4EE231BE" w14:textId="2DF82F48" w:rsidR="00FF76D5" w:rsidRDefault="00FB5058" w:rsidP="00FF76D5">
      <w:pPr>
        <w:pStyle w:val="ListParagraph"/>
        <w:numPr>
          <w:ilvl w:val="0"/>
          <w:numId w:val="20"/>
        </w:numPr>
        <w:jc w:val="both"/>
        <w:rPr>
          <w:rFonts w:ascii="Times New Roman" w:hAnsi="Times New Roman" w:cs="Times New Roman"/>
          <w:b/>
          <w:bCs/>
          <w:noProof/>
          <w:sz w:val="24"/>
          <w:szCs w:val="24"/>
        </w:rPr>
      </w:pPr>
      <w:r>
        <w:rPr>
          <w:rFonts w:ascii="Times New Roman" w:hAnsi="Times New Roman"/>
          <w:b/>
          <w:bCs/>
          <w:noProof/>
          <w:sz w:val="24"/>
          <w:szCs w:val="24"/>
        </w:rPr>
        <w:t>tukea Ukrainaa ja muita maita, joihin Venäjän hyökkäys vaikuttaa suoraan tai välillisesti</w:t>
      </w:r>
    </w:p>
    <w:p w14:paraId="569B24E2" w14:textId="75A6955C" w:rsidR="00FF76D5" w:rsidRDefault="00FB5058" w:rsidP="00FF76D5">
      <w:pPr>
        <w:pStyle w:val="ListParagraph"/>
        <w:numPr>
          <w:ilvl w:val="0"/>
          <w:numId w:val="20"/>
        </w:numPr>
        <w:jc w:val="both"/>
        <w:rPr>
          <w:rFonts w:ascii="Times New Roman" w:hAnsi="Times New Roman" w:cs="Times New Roman"/>
          <w:b/>
          <w:bCs/>
          <w:noProof/>
          <w:sz w:val="24"/>
          <w:szCs w:val="24"/>
        </w:rPr>
      </w:pPr>
      <w:r>
        <w:rPr>
          <w:rFonts w:ascii="Times New Roman" w:hAnsi="Times New Roman"/>
          <w:b/>
          <w:bCs/>
          <w:noProof/>
          <w:sz w:val="24"/>
          <w:szCs w:val="24"/>
        </w:rPr>
        <w:t>luoda pitkäkestoisia kansainvälisiä kumppanuuksia ja edistää EU:n puhtaan energian toimialoja eri puolilla maailmaa.</w:t>
      </w:r>
    </w:p>
    <w:p w14:paraId="7A222EA6" w14:textId="0D315144" w:rsidR="00C33F66" w:rsidRPr="00FA793B" w:rsidRDefault="00C33F66" w:rsidP="00C33F66">
      <w:pPr>
        <w:pStyle w:val="Heading1"/>
        <w:numPr>
          <w:ilvl w:val="0"/>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EU:n ulkoinen energiapolitiikka REPowerEU-suunnitelman toteuttamiseksi</w:t>
      </w:r>
    </w:p>
    <w:p w14:paraId="0C64971C" w14:textId="0DA58A76" w:rsidR="008F2D2C" w:rsidRPr="008F2D2C" w:rsidRDefault="00987E46" w:rsidP="00E14DFB">
      <w:pPr>
        <w:jc w:val="both"/>
        <w:rPr>
          <w:rFonts w:ascii="Times New Roman" w:hAnsi="Times New Roman" w:cs="Times New Roman"/>
          <w:noProof/>
          <w:sz w:val="24"/>
          <w:szCs w:val="24"/>
        </w:rPr>
      </w:pPr>
      <w:r>
        <w:rPr>
          <w:rFonts w:ascii="Times New Roman" w:hAnsi="Times New Roman"/>
          <w:noProof/>
          <w:sz w:val="24"/>
          <w:szCs w:val="24"/>
        </w:rPr>
        <w:t xml:space="preserve">Kuten yhtä aikaa tämän strategian kanssa </w:t>
      </w:r>
      <w:r>
        <w:rPr>
          <w:rFonts w:ascii="Times New Roman" w:hAnsi="Times New Roman"/>
          <w:b/>
          <w:bCs/>
          <w:noProof/>
          <w:sz w:val="24"/>
          <w:szCs w:val="24"/>
        </w:rPr>
        <w:t>18. toukokuuta 2022</w:t>
      </w:r>
      <w:r>
        <w:rPr>
          <w:rFonts w:ascii="Times New Roman" w:hAnsi="Times New Roman"/>
          <w:noProof/>
          <w:sz w:val="24"/>
          <w:szCs w:val="24"/>
        </w:rPr>
        <w:t xml:space="preserve"> julkaistussa </w:t>
      </w:r>
      <w:r>
        <w:rPr>
          <w:rFonts w:ascii="Times New Roman" w:hAnsi="Times New Roman"/>
          <w:b/>
          <w:bCs/>
          <w:noProof/>
          <w:sz w:val="24"/>
          <w:szCs w:val="24"/>
        </w:rPr>
        <w:t>REPowerEU-suunnitelmassa</w:t>
      </w:r>
      <w:r>
        <w:rPr>
          <w:rFonts w:ascii="Times New Roman" w:hAnsi="Times New Roman"/>
          <w:noProof/>
          <w:sz w:val="24"/>
          <w:szCs w:val="24"/>
        </w:rPr>
        <w:t xml:space="preserve"> todetaan</w:t>
      </w:r>
      <w:r>
        <w:rPr>
          <w:noProof/>
        </w:rPr>
        <w:t>,</w:t>
      </w:r>
      <w:r>
        <w:rPr>
          <w:rFonts w:ascii="Times New Roman" w:hAnsi="Times New Roman"/>
          <w:noProof/>
          <w:sz w:val="24"/>
          <w:szCs w:val="24"/>
        </w:rPr>
        <w:t xml:space="preserve"> Euroopan energiajärjestelmän tehokkuutta lisätään ja siirtymä vihreisiin energialähteisiin toteutetaan nopeammin kuin ennen Venäjän hyökkäystä Ukrainaan odotettiin. Vaikka </w:t>
      </w:r>
      <w:r>
        <w:rPr>
          <w:rFonts w:ascii="Times New Roman" w:hAnsi="Times New Roman"/>
          <w:b/>
          <w:bCs/>
          <w:noProof/>
          <w:sz w:val="24"/>
          <w:szCs w:val="24"/>
        </w:rPr>
        <w:t>vihreä energiasiirtymä on EU:n energiaomavaraisuutta koskevien toimien keskiössä</w:t>
      </w:r>
      <w:r>
        <w:rPr>
          <w:rFonts w:ascii="Times New Roman" w:hAnsi="Times New Roman"/>
          <w:noProof/>
          <w:sz w:val="24"/>
          <w:szCs w:val="24"/>
        </w:rPr>
        <w:t xml:space="preserve">, Venäjän fossiilisten polttoaineiden käytön lopettaminen edellyttää, että osa niistä korvataan muiden kansainvälisten toimittajien fossiilisilla polttoaineilla. Tähän vaikuttaa se, että EU:n oma öljyn ja kaasun tuotanto ovat vähentyneet merkittävästi: EU tuo 90 prosenttia kuluttamastaan kaasusta, 97 prosenttia öljystään ja 70 prosenttia tarvitsemastaan hiilestä. EU:n kaasuntarpeen odotettua nopeamman vähenemisen vuoksi ja hukkainvestointien riskin minimoimiseksi EU suosii monipuolistamisstrategioita, jotka kattavat sekä kaasuun </w:t>
      </w:r>
      <w:bookmarkStart w:id="4" w:name="_Hlk102912053"/>
      <w:r>
        <w:rPr>
          <w:rFonts w:ascii="Times New Roman" w:hAnsi="Times New Roman"/>
          <w:noProof/>
          <w:sz w:val="24"/>
          <w:szCs w:val="24"/>
        </w:rPr>
        <w:t>että uusiutuvaan vetyyn tehtävät investoinnit.</w:t>
      </w:r>
    </w:p>
    <w:p w14:paraId="0A05C9F1" w14:textId="571120A7" w:rsidR="008825E3" w:rsidRPr="00E46615" w:rsidRDefault="0066231E" w:rsidP="00C33F66">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EU:n kaasun toimituslähteiden monipuolistaminen</w:t>
      </w:r>
    </w:p>
    <w:p w14:paraId="1B20E1F1" w14:textId="440CEEB8" w:rsidR="009E3594" w:rsidRDefault="007565FF" w:rsidP="007E0EE2">
      <w:pPr>
        <w:jc w:val="both"/>
        <w:rPr>
          <w:rFonts w:ascii="Times New Roman" w:hAnsi="Times New Roman" w:cs="Times New Roman"/>
          <w:noProof/>
          <w:sz w:val="24"/>
          <w:szCs w:val="24"/>
        </w:rPr>
      </w:pPr>
      <w:r>
        <w:rPr>
          <w:rFonts w:ascii="Times New Roman" w:hAnsi="Times New Roman"/>
          <w:noProof/>
          <w:sz w:val="24"/>
          <w:szCs w:val="24"/>
        </w:rPr>
        <w:t>Venäjä on tällä hetkellä Euroopan suurin kaasun toimittaja.</w:t>
      </w:r>
      <w:r w:rsidR="002F4C50">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w:t>
      </w:r>
      <w:r>
        <w:rPr>
          <w:rFonts w:ascii="Times New Roman" w:hAnsi="Times New Roman"/>
          <w:b/>
          <w:noProof/>
          <w:sz w:val="24"/>
        </w:rPr>
        <w:t>R</w:t>
      </w:r>
      <w:r>
        <w:rPr>
          <w:rFonts w:ascii="Times New Roman" w:hAnsi="Times New Roman"/>
          <w:b/>
          <w:bCs/>
          <w:noProof/>
          <w:sz w:val="24"/>
          <w:szCs w:val="24"/>
        </w:rPr>
        <w:t xml:space="preserve">EPowerEU-suunnitelman tavoitteena on lopettaa EU:n riippuvuus venäläisestä kaasusta mahdollisimman pian. </w:t>
      </w:r>
      <w:r>
        <w:rPr>
          <w:rFonts w:ascii="Times New Roman" w:hAnsi="Times New Roman"/>
          <w:noProof/>
          <w:sz w:val="24"/>
          <w:szCs w:val="24"/>
        </w:rPr>
        <w:t xml:space="preserve">Suurin osa tästä kaasuntarpeesta korvataan uusiutuvien energialähteiden, vähähiilisten energialähteiden ja energiansäästöjen avulla sekä lisäämällä energiatehokkuutta. Jäljelle jäävä maakaasun tarve katetaan monipuolistamalla toimittajia. </w:t>
      </w:r>
    </w:p>
    <w:p w14:paraId="5788A7A7" w14:textId="1BCC12D6" w:rsidR="002276AB" w:rsidRDefault="00EC0BF1" w:rsidP="00A72A23">
      <w:pPr>
        <w:jc w:val="both"/>
        <w:rPr>
          <w:rFonts w:ascii="Times New Roman" w:hAnsi="Times New Roman" w:cs="Times New Roman"/>
          <w:noProof/>
          <w:sz w:val="24"/>
          <w:szCs w:val="24"/>
        </w:rPr>
      </w:pPr>
      <w:r>
        <w:rPr>
          <w:rFonts w:ascii="Times New Roman" w:hAnsi="Times New Roman"/>
          <w:noProof/>
          <w:sz w:val="24"/>
          <w:szCs w:val="24"/>
        </w:rPr>
        <w:t xml:space="preserve">Varmistaakseen tulevina vuosina tarvittavat kaasutoimitukset </w:t>
      </w:r>
      <w:r>
        <w:rPr>
          <w:rFonts w:ascii="Times New Roman" w:hAnsi="Times New Roman"/>
          <w:b/>
          <w:bCs/>
          <w:noProof/>
          <w:sz w:val="24"/>
          <w:szCs w:val="24"/>
        </w:rPr>
        <w:t>EU:n on lisättävä kaasun tuontia muista kuin venäläisistä lähteistä</w:t>
      </w:r>
      <w:r>
        <w:rPr>
          <w:rFonts w:ascii="Times New Roman" w:hAnsi="Times New Roman"/>
          <w:noProof/>
          <w:sz w:val="24"/>
          <w:szCs w:val="24"/>
        </w:rPr>
        <w:t>: tämä koskee pääosin nesteytettyä maakaasua (LNG) (+50 miljardia kuutiometriä), mutta myös putkikaasua (+10 miljardia kuutiometriä). Tätä varten EU on perustanut EU:n energiafoorumin, jonka tarkoituksena on keskittää kysyntää, koordinoida infrastruktuurin käyttöä ja neuvotella kansainvälisten kumppaneiden kanssa kaasun ja vedyn yhteishankintojen helpottamiseksi, kuten REPowerEU-kehystiedonannossa määritetään.</w:t>
      </w:r>
    </w:p>
    <w:p w14:paraId="309487FD" w14:textId="552BCADA" w:rsidR="00CF7533" w:rsidRDefault="002A119A" w:rsidP="00CF7533">
      <w:pPr>
        <w:jc w:val="both"/>
        <w:rPr>
          <w:rFonts w:ascii="Times New Roman" w:hAnsi="Times New Roman" w:cs="Times New Roman"/>
          <w:noProof/>
          <w:sz w:val="24"/>
          <w:szCs w:val="24"/>
        </w:rPr>
      </w:pPr>
      <w:r>
        <w:rPr>
          <w:rFonts w:ascii="Times New Roman" w:hAnsi="Times New Roman"/>
          <w:noProof/>
          <w:sz w:val="24"/>
          <w:szCs w:val="24"/>
        </w:rPr>
        <w:t xml:space="preserve">Tässä hyödynnetään työtä, jota Euroopan komissio on tehnyt viime syksystä saakka </w:t>
      </w:r>
      <w:r>
        <w:rPr>
          <w:rFonts w:ascii="Times New Roman" w:hAnsi="Times New Roman"/>
          <w:b/>
          <w:bCs/>
          <w:noProof/>
          <w:sz w:val="24"/>
          <w:szCs w:val="24"/>
        </w:rPr>
        <w:t>tärkeimpien LNG:n ja putkikaasun toimittajien</w:t>
      </w:r>
      <w:r>
        <w:rPr>
          <w:rFonts w:ascii="Times New Roman" w:hAnsi="Times New Roman"/>
          <w:noProof/>
          <w:sz w:val="24"/>
          <w:szCs w:val="24"/>
        </w:rPr>
        <w:t xml:space="preserve"> kanssa. Näiden toimien seurauksena LNG:tä toimitettiin 12,5 miljardia kuutiometriä kuukaudessa huhtikuussa 2022 ja 42 miljardia kuutiometriä tammikuun ja huhtikuun 2022 välisenä aikana. </w:t>
      </w:r>
      <w:bookmarkStart w:id="5" w:name="_Hlk103323438"/>
      <w:r>
        <w:rPr>
          <w:rFonts w:ascii="Times New Roman" w:hAnsi="Times New Roman"/>
          <w:noProof/>
          <w:sz w:val="24"/>
          <w:szCs w:val="24"/>
        </w:rPr>
        <w:t xml:space="preserve">Foorumiin yhdistetään EU:n jäsenvaltioiden käynnissä olevat monipuolistamistoimet, ja se on avoinna Ukrainalle, Moldovalle ja Georgialle sekä Länsi-Balkanin kumppaneille. </w:t>
      </w:r>
      <w:bookmarkEnd w:id="5"/>
    </w:p>
    <w:p w14:paraId="4D31B1FA" w14:textId="4A8702E9" w:rsidR="00A72A23" w:rsidRPr="00A72A23" w:rsidRDefault="00A5339B" w:rsidP="00A72A23">
      <w:pPr>
        <w:jc w:val="both"/>
        <w:rPr>
          <w:rFonts w:ascii="Times New Roman" w:hAnsi="Times New Roman" w:cs="Times New Roman"/>
          <w:noProof/>
          <w:sz w:val="24"/>
          <w:szCs w:val="24"/>
        </w:rPr>
      </w:pPr>
      <w:r>
        <w:rPr>
          <w:rFonts w:ascii="Times New Roman" w:hAnsi="Times New Roman"/>
          <w:noProof/>
          <w:sz w:val="24"/>
          <w:szCs w:val="24"/>
        </w:rPr>
        <w:t xml:space="preserve">Monipuolistamistoimien helpottamiseksi </w:t>
      </w:r>
      <w:r>
        <w:rPr>
          <w:rFonts w:ascii="Times New Roman" w:hAnsi="Times New Roman"/>
          <w:b/>
          <w:bCs/>
          <w:noProof/>
          <w:sz w:val="24"/>
          <w:szCs w:val="24"/>
        </w:rPr>
        <w:t>Euroopan komissio ja Yhdysvallat ovat sopineet</w:t>
      </w:r>
      <w:r w:rsidR="00705665" w:rsidRPr="00A2279F">
        <w:rPr>
          <w:rStyle w:val="FootnoteReference"/>
          <w:rFonts w:ascii="Times New Roman" w:hAnsi="Times New Roman" w:cs="Times New Roman"/>
          <w:bCs/>
          <w:noProof/>
          <w:sz w:val="24"/>
          <w:szCs w:val="24"/>
        </w:rPr>
        <w:footnoteReference w:id="3"/>
      </w:r>
      <w:r>
        <w:rPr>
          <w:rFonts w:ascii="Times New Roman" w:hAnsi="Times New Roman"/>
          <w:noProof/>
          <w:sz w:val="24"/>
          <w:szCs w:val="24"/>
        </w:rPr>
        <w:t>, että ne pyrkivät saamaan aikaan</w:t>
      </w:r>
      <w:r>
        <w:rPr>
          <w:rFonts w:ascii="Times New Roman" w:hAnsi="Times New Roman"/>
          <w:b/>
          <w:noProof/>
          <w:sz w:val="24"/>
          <w:szCs w:val="24"/>
        </w:rPr>
        <w:t xml:space="preserve"> </w:t>
      </w:r>
      <w:r>
        <w:rPr>
          <w:rFonts w:ascii="Times New Roman" w:hAnsi="Times New Roman"/>
          <w:noProof/>
          <w:sz w:val="24"/>
          <w:szCs w:val="24"/>
        </w:rPr>
        <w:t>ylimääräisiä LNG-toimituksia EU:hun (vähintään 15 miljardia kuutiometriä vuonna 2022 ja noin 50 miljardia kuutiometriä vuosittain vähintään vuoteen 2030 saakka) Yhdysvaltojen viennin avulla ja yhteistyössä muiden kansainvälisten kumppaneiden kanssa</w:t>
      </w:r>
      <w:r>
        <w:rPr>
          <w:rFonts w:ascii="Times New Roman" w:hAnsi="Times New Roman"/>
          <w:bCs/>
          <w:noProof/>
          <w:sz w:val="24"/>
          <w:szCs w:val="24"/>
        </w:rPr>
        <w:t>.</w:t>
      </w:r>
      <w:r>
        <w:rPr>
          <w:rFonts w:ascii="Times New Roman" w:hAnsi="Times New Roman"/>
          <w:b/>
          <w:noProof/>
          <w:sz w:val="24"/>
          <w:szCs w:val="24"/>
        </w:rPr>
        <w:t xml:space="preserve"> </w:t>
      </w:r>
      <w:r>
        <w:rPr>
          <w:rFonts w:ascii="Times New Roman" w:hAnsi="Times New Roman"/>
          <w:bCs/>
          <w:noProof/>
          <w:sz w:val="24"/>
          <w:szCs w:val="24"/>
        </w:rPr>
        <w:t>Komissio on myös perustanut</w:t>
      </w:r>
      <w:r>
        <w:rPr>
          <w:rFonts w:ascii="Times New Roman" w:hAnsi="Times New Roman"/>
          <w:b/>
          <w:noProof/>
          <w:sz w:val="24"/>
          <w:szCs w:val="24"/>
        </w:rPr>
        <w:t xml:space="preserve"> Kanadan</w:t>
      </w:r>
      <w:r>
        <w:rPr>
          <w:rFonts w:ascii="Times New Roman" w:hAnsi="Times New Roman"/>
          <w:noProof/>
          <w:sz w:val="24"/>
          <w:szCs w:val="24"/>
        </w:rPr>
        <w:t xml:space="preserve"> kanssa erillisen </w:t>
      </w:r>
      <w:r>
        <w:rPr>
          <w:rFonts w:ascii="Times New Roman" w:hAnsi="Times New Roman"/>
          <w:b/>
          <w:bCs/>
          <w:noProof/>
          <w:sz w:val="24"/>
          <w:szCs w:val="24"/>
        </w:rPr>
        <w:t>työryhmän</w:t>
      </w:r>
      <w:r>
        <w:rPr>
          <w:rFonts w:ascii="Times New Roman" w:hAnsi="Times New Roman"/>
          <w:noProof/>
          <w:sz w:val="24"/>
          <w:szCs w:val="24"/>
        </w:rPr>
        <w:t>, jossa selvitetään mahdollisia LNG- ja vetytoimituksia tulevina vuosina.</w:t>
      </w:r>
      <w:r w:rsidR="007D37E8" w:rsidRPr="00FF76D5">
        <w:rPr>
          <w:rStyle w:val="FootnoteReference"/>
          <w:rFonts w:ascii="Times New Roman" w:hAnsi="Times New Roman" w:cs="Times New Roman"/>
          <w:noProof/>
          <w:sz w:val="24"/>
          <w:szCs w:val="24"/>
        </w:rPr>
        <w:footnoteReference w:id="4"/>
      </w:r>
    </w:p>
    <w:p w14:paraId="4F34CB9C" w14:textId="61FB5062" w:rsidR="00267382" w:rsidRDefault="00FF76D5" w:rsidP="00CA014D">
      <w:pPr>
        <w:jc w:val="both"/>
        <w:rPr>
          <w:rFonts w:ascii="Times New Roman" w:hAnsi="Times New Roman" w:cs="Times New Roman"/>
          <w:noProof/>
          <w:sz w:val="24"/>
          <w:szCs w:val="24"/>
        </w:rPr>
      </w:pPr>
      <w:r>
        <w:rPr>
          <w:rFonts w:ascii="Times New Roman" w:hAnsi="Times New Roman"/>
          <w:noProof/>
          <w:sz w:val="24"/>
          <w:szCs w:val="24"/>
        </w:rPr>
        <w:t xml:space="preserve">EU:n tavoitteena on tehdä ennen tätä kesää </w:t>
      </w:r>
      <w:r>
        <w:rPr>
          <w:rFonts w:ascii="Times New Roman" w:hAnsi="Times New Roman"/>
          <w:b/>
          <w:bCs/>
          <w:noProof/>
          <w:sz w:val="24"/>
          <w:szCs w:val="24"/>
        </w:rPr>
        <w:t>Egyptin ja Israelin kanssa kolmenvälinen sopimus</w:t>
      </w:r>
      <w:r>
        <w:rPr>
          <w:rFonts w:ascii="Times New Roman" w:hAnsi="Times New Roman"/>
          <w:noProof/>
          <w:sz w:val="24"/>
          <w:szCs w:val="24"/>
        </w:rPr>
        <w:t xml:space="preserve"> LNG-toimituksista Eurooppaan. Japani ja Korea ovat jo ohjanneet joitakin LNG-lasteja Eurooppaan, ja työtä tämän vaihtoehdon käyttämiseksi tulevaisuudessa jatketaan. Qatar on valmis helpottamaan vaihtoja Aasian maiden kanssa. Norja on jo lisännyt putkikaasutoimituksia Eurooppaan, ja </w:t>
      </w:r>
      <w:r>
        <w:rPr>
          <w:rFonts w:ascii="Times New Roman" w:hAnsi="Times New Roman"/>
          <w:b/>
          <w:bCs/>
          <w:noProof/>
          <w:sz w:val="24"/>
          <w:szCs w:val="24"/>
        </w:rPr>
        <w:t>Algeria ja Azerbaidžan</w:t>
      </w:r>
      <w:r>
        <w:rPr>
          <w:rFonts w:ascii="Times New Roman" w:hAnsi="Times New Roman"/>
          <w:noProof/>
          <w:sz w:val="24"/>
          <w:szCs w:val="24"/>
        </w:rPr>
        <w:t xml:space="preserve"> ovat molemmat ilmaisseet halukkuutensa toimia samoin. EU aikoo käynnistää uudelleen energiavuoropuhelun Algerian kanssa sekä tehostaa yhteistyötään Azerbaidžanin kanssa eteläisen kaasukäytävän strategisen merkityksen vuoksi. Adrianmeren kaasuputken (TAP) kapasiteetin lisääminen lisäisi kaasun saantia EU:ssa ja Länsi-Balkanin maissa.</w:t>
      </w:r>
    </w:p>
    <w:p w14:paraId="3773F77D" w14:textId="28AD755A" w:rsidR="00A72A23" w:rsidRDefault="00A72A23" w:rsidP="00A72A23">
      <w:pPr>
        <w:spacing w:after="120"/>
        <w:jc w:val="both"/>
        <w:rPr>
          <w:rFonts w:ascii="Times New Roman" w:hAnsi="Times New Roman" w:cs="Times New Roman"/>
          <w:noProof/>
          <w:sz w:val="24"/>
          <w:szCs w:val="24"/>
        </w:rPr>
      </w:pPr>
      <w:r>
        <w:rPr>
          <w:rFonts w:ascii="Times New Roman" w:hAnsi="Times New Roman"/>
          <w:noProof/>
          <w:sz w:val="24"/>
          <w:szCs w:val="24"/>
        </w:rPr>
        <w:t>Saharan eteläpuolisen Afrikan ja erityisesti Länsi-Afrikan maiden, kuten Nigerian (joka toimitti jo 15 % EU:n tuonnista vuonna 2021), Senegalin ja Angolan, LNG-potentiaalia ei ole myöskään hyödynnetty kokonaan. Yhteisen kattavan toimintasuunnitelman täysimääräinen ja tehokas täytäntöönpano</w:t>
      </w:r>
      <w:r>
        <w:rPr>
          <w:rFonts w:ascii="Arial" w:hAnsi="Arial"/>
          <w:noProof/>
          <w:color w:val="4D5156"/>
          <w:sz w:val="21"/>
          <w:szCs w:val="21"/>
          <w:shd w:val="clear" w:color="auto" w:fill="FFFFFF"/>
        </w:rPr>
        <w:t xml:space="preserve"> </w:t>
      </w:r>
      <w:r>
        <w:rPr>
          <w:rFonts w:ascii="Times New Roman" w:hAnsi="Times New Roman"/>
          <w:noProof/>
          <w:sz w:val="24"/>
          <w:szCs w:val="24"/>
        </w:rPr>
        <w:t xml:space="preserve">helpottaisi erillistä pohdintaa Iranin mahdollisuuksista toimia jatkossa luotettavana kaasun toimittajana Euroopalle. </w:t>
      </w:r>
    </w:p>
    <w:p w14:paraId="3BFC5682" w14:textId="33C395A3" w:rsidR="00776973" w:rsidRPr="00005711" w:rsidRDefault="00F82F0D" w:rsidP="00CA014D">
      <w:pPr>
        <w:spacing w:after="120"/>
        <w:jc w:val="both"/>
        <w:rPr>
          <w:rFonts w:ascii="Times New Roman" w:hAnsi="Times New Roman" w:cs="Times New Roman"/>
          <w:noProof/>
          <w:sz w:val="24"/>
          <w:szCs w:val="24"/>
        </w:rPr>
      </w:pPr>
      <w:r>
        <w:rPr>
          <w:rFonts w:ascii="Times New Roman" w:hAnsi="Times New Roman"/>
          <w:noProof/>
          <w:sz w:val="24"/>
          <w:szCs w:val="24"/>
        </w:rPr>
        <w:t xml:space="preserve">EU pyrkii varmistamaan, että nykyisten ja uusien kaasun toimittajien ylimääräiset kaasutoimitukset yhdistetään </w:t>
      </w:r>
      <w:r>
        <w:rPr>
          <w:rFonts w:ascii="Times New Roman" w:hAnsi="Times New Roman"/>
          <w:b/>
          <w:bCs/>
          <w:noProof/>
          <w:sz w:val="24"/>
          <w:szCs w:val="24"/>
        </w:rPr>
        <w:t>kohdennettuihin toimiin, joilla torjutaan metaanivuotoja ja puututaan kaasunpoistoon ja soihdutukseen</w:t>
      </w:r>
      <w:r>
        <w:rPr>
          <w:rFonts w:ascii="Times New Roman" w:hAnsi="Times New Roman"/>
          <w:noProof/>
          <w:sz w:val="24"/>
          <w:szCs w:val="24"/>
        </w:rPr>
        <w:t xml:space="preserve">. Näin voidaan lisätä maailmanmarkkinoiden likviditeettiä ja saada samalla aikaan merkittäviä ilmastohyötyjä. Tätä varten EU tekee yhteistyötä fossiilisten polttoaineiden toimituskumppaneidensa kanssa metaanipäästöjen vähentämiseksi. </w:t>
      </w:r>
      <w:r>
        <w:rPr>
          <w:rFonts w:ascii="Times New Roman" w:hAnsi="Times New Roman"/>
          <w:b/>
          <w:bCs/>
          <w:noProof/>
          <w:sz w:val="24"/>
          <w:szCs w:val="24"/>
        </w:rPr>
        <w:t>Maakaasua häviää</w:t>
      </w:r>
      <w:r>
        <w:rPr>
          <w:rFonts w:ascii="Times New Roman" w:hAnsi="Times New Roman"/>
          <w:noProof/>
          <w:sz w:val="24"/>
          <w:szCs w:val="24"/>
        </w:rPr>
        <w:t xml:space="preserve"> kaasunpoiston ja soihdutuksen vuoksi vähintään </w:t>
      </w:r>
      <w:r>
        <w:rPr>
          <w:rFonts w:ascii="Times New Roman" w:hAnsi="Times New Roman"/>
          <w:b/>
          <w:bCs/>
          <w:noProof/>
          <w:sz w:val="24"/>
          <w:szCs w:val="24"/>
        </w:rPr>
        <w:t>46 miljardia kuutiometriä</w:t>
      </w:r>
      <w:r w:rsidR="00776973" w:rsidRPr="00D14229">
        <w:rPr>
          <w:rStyle w:val="FootnoteReference"/>
          <w:rFonts w:ascii="Times New Roman" w:hAnsi="Times New Roman" w:cs="Times New Roman"/>
          <w:b/>
          <w:bCs/>
          <w:noProof/>
          <w:sz w:val="24"/>
          <w:szCs w:val="24"/>
          <w:lang w:val="en-IE"/>
        </w:rPr>
        <w:footnoteReference w:id="5"/>
      </w:r>
      <w:r>
        <w:rPr>
          <w:rFonts w:ascii="Times New Roman" w:hAnsi="Times New Roman"/>
          <w:b/>
          <w:bCs/>
          <w:noProof/>
          <w:sz w:val="24"/>
          <w:szCs w:val="24"/>
        </w:rPr>
        <w:t xml:space="preserve"> vuodessa</w:t>
      </w:r>
      <w:r>
        <w:rPr>
          <w:rFonts w:ascii="Times New Roman" w:hAnsi="Times New Roman"/>
          <w:noProof/>
          <w:sz w:val="24"/>
          <w:szCs w:val="24"/>
        </w:rPr>
        <w:t xml:space="preserve"> maissa, jotka voisivat toimittaa tämän määrän EU:lle. Saatavilla on teknologiaa, jolla suurin osa tästä metaanista (joka on maakaasun pääkomponentti) voidaan ottaa talteen kestävästi ja taloudellisesti. EU on valmis antamaan teknistä apua kumppaneille tällaisten </w:t>
      </w:r>
      <w:r>
        <w:rPr>
          <w:rFonts w:ascii="Times New Roman" w:hAnsi="Times New Roman"/>
          <w:b/>
          <w:bCs/>
          <w:noProof/>
          <w:sz w:val="24"/>
          <w:szCs w:val="24"/>
        </w:rPr>
        <w:t>molempia osapuolia hyödyttävien You collect/we buy -järjestelyjen</w:t>
      </w:r>
      <w:r>
        <w:rPr>
          <w:rFonts w:ascii="Times New Roman" w:hAnsi="Times New Roman"/>
          <w:noProof/>
          <w:sz w:val="24"/>
          <w:szCs w:val="24"/>
        </w:rPr>
        <w:t xml:space="preserve"> käyttöönottamiseksi.</w:t>
      </w:r>
    </w:p>
    <w:p w14:paraId="1623F04B" w14:textId="77777777" w:rsidR="00CA014D" w:rsidRDefault="00776973" w:rsidP="007565FF">
      <w:pPr>
        <w:jc w:val="both"/>
        <w:rPr>
          <w:rFonts w:ascii="Times New Roman" w:hAnsi="Times New Roman" w:cs="Times New Roman"/>
          <w:noProof/>
          <w:sz w:val="24"/>
          <w:szCs w:val="24"/>
        </w:rPr>
      </w:pPr>
      <w:r>
        <w:rPr>
          <w:rFonts w:ascii="Times New Roman" w:hAnsi="Times New Roman"/>
          <w:noProof/>
          <w:sz w:val="24"/>
          <w:szCs w:val="24"/>
        </w:rPr>
        <w:t xml:space="preserve">EU kutsuu myös koolle kumppaneita, kuten Euroopan investointipankin (EIP), Euroopan jälleenrakennus- ja kehityspankin (EBRD) ja Maailmanpankin, jotta voidaan luoda kannustimia hävikiksi päätyvien fossiilisten kaasujen, myös metaanin, nopealle talteenotolle. Siinä kyseinen hävikki kootaan mielekkäiksi tuotteiksi, jotka voidaan myydä kansainvälisille ostajille. </w:t>
      </w:r>
    </w:p>
    <w:p w14:paraId="76EA4BC0" w14:textId="3C49CC7F" w:rsidR="002276AB" w:rsidRDefault="00267382" w:rsidP="007565FF">
      <w:pPr>
        <w:jc w:val="both"/>
        <w:rPr>
          <w:rFonts w:ascii="Times New Roman" w:hAnsi="Times New Roman" w:cs="Times New Roman"/>
          <w:noProof/>
          <w:sz w:val="24"/>
          <w:szCs w:val="24"/>
        </w:rPr>
      </w:pPr>
      <w:r>
        <w:rPr>
          <w:rFonts w:ascii="Times New Roman" w:hAnsi="Times New Roman"/>
          <w:noProof/>
          <w:sz w:val="24"/>
          <w:szCs w:val="24"/>
        </w:rPr>
        <w:t xml:space="preserve">EU:n monipuolistamistoimet ajoittuvat tilanteeseen, jossa LNG:n maailmanlaajuinen kysyntä kasvaa ja sen hinnat ovat korkeita. Näissä toimissa on otettava huomioon kansainvälisten kumppaneiden edut. </w:t>
      </w:r>
    </w:p>
    <w:p w14:paraId="156900AF" w14:textId="7636FE33" w:rsidR="007565FF" w:rsidRDefault="00F82F0D" w:rsidP="007565FF">
      <w:pPr>
        <w:jc w:val="both"/>
        <w:rPr>
          <w:rFonts w:ascii="Times New Roman" w:hAnsi="Times New Roman" w:cs="Times New Roman"/>
          <w:noProof/>
          <w:sz w:val="24"/>
          <w:szCs w:val="24"/>
        </w:rPr>
      </w:pPr>
      <w:r>
        <w:rPr>
          <w:rFonts w:ascii="Times New Roman" w:hAnsi="Times New Roman"/>
          <w:noProof/>
          <w:sz w:val="24"/>
          <w:szCs w:val="24"/>
        </w:rPr>
        <w:t xml:space="preserve">EU:n ja sen kumppanimaiden energialähteiden yhdistelmän keskipitkän aikavälin kehitystä silmällä pitäen </w:t>
      </w:r>
      <w:r>
        <w:rPr>
          <w:rFonts w:ascii="Times New Roman" w:hAnsi="Times New Roman"/>
          <w:b/>
          <w:bCs/>
          <w:noProof/>
          <w:sz w:val="24"/>
          <w:szCs w:val="24"/>
        </w:rPr>
        <w:t>EU edistää laajoja energiakumppanuuksia</w:t>
      </w:r>
      <w:r>
        <w:rPr>
          <w:rFonts w:ascii="Times New Roman" w:hAnsi="Times New Roman"/>
          <w:noProof/>
          <w:sz w:val="24"/>
          <w:szCs w:val="24"/>
        </w:rPr>
        <w:t xml:space="preserve">, joissa yhdistetään kaasualan yhteistyö pitkän aikavälin energiayhteistyöhön, joka koskee vetyä, uusiutuvia kaasuja (mukaan lukien biometaani) ja muita vihreitä energialähteitä. Näin vältetään hukkainvestoinnit ja varmistetaan vihreä siirtymä. </w:t>
      </w:r>
    </w:p>
    <w:p w14:paraId="345FC8EB" w14:textId="268FB9E0" w:rsidR="00CC199B" w:rsidRDefault="00776973" w:rsidP="007565FF">
      <w:pPr>
        <w:jc w:val="both"/>
        <w:rPr>
          <w:rFonts w:ascii="Times New Roman" w:hAnsi="Times New Roman" w:cs="Times New Roman"/>
          <w:noProof/>
          <w:sz w:val="24"/>
          <w:szCs w:val="24"/>
        </w:rPr>
      </w:pPr>
      <w:r>
        <w:rPr>
          <w:rFonts w:ascii="Times New Roman" w:hAnsi="Times New Roman"/>
          <w:noProof/>
          <w:sz w:val="24"/>
          <w:szCs w:val="24"/>
        </w:rPr>
        <w:t>EU:n energiapolitiikan tavoitteena on myös varmistaa avoimet, joustavat, likvidit ja toimivat maailmanlaajuiset LNG-markkinat tekemällä yhteistyötä tärkeimpien tuottajamaiden (Yhdysvallat, Australia, Qatar, Nigeria, Egypti jne.) ja kuluttajamaiden (Kiina, Japani, Korea) kanssa. G7-ryhmä, G20-ryhmä, Kansainvälinen energiajärjestö (IEA) ja muut kansainväliset foorumit tarjoavat mahdollisuuksia tähän yhteistyöhön.</w:t>
      </w:r>
    </w:p>
    <w:p w14:paraId="1655C06E" w14:textId="76EA20D4" w:rsidR="009A1F0B" w:rsidRDefault="009A1F0B" w:rsidP="00F23281">
      <w:pPr>
        <w:spacing w:before="100" w:beforeAutospacing="1" w:after="100" w:afterAutospacing="1" w:line="240" w:lineRule="auto"/>
        <w:jc w:val="both"/>
        <w:rPr>
          <w:rFonts w:ascii="Times New Roman" w:hAnsi="Times New Roman" w:cs="Times New Roman"/>
          <w:b/>
          <w:bCs/>
          <w:noProof/>
          <w:sz w:val="24"/>
          <w:szCs w:val="24"/>
        </w:rPr>
      </w:pPr>
      <w:r>
        <w:rPr>
          <w:rFonts w:ascii="Times New Roman" w:hAnsi="Times New Roman"/>
          <w:b/>
          <w:bCs/>
          <w:noProof/>
          <w:sz w:val="24"/>
          <w:szCs w:val="24"/>
        </w:rPr>
        <w:t>Keskeiset toimet:</w:t>
      </w:r>
    </w:p>
    <w:p w14:paraId="615DF203" w14:textId="615CB1EB" w:rsidR="00240112" w:rsidRDefault="00AB4758" w:rsidP="00AA5D14">
      <w:pPr>
        <w:pStyle w:val="ListParagraph"/>
        <w:numPr>
          <w:ilvl w:val="0"/>
          <w:numId w:val="2"/>
        </w:numPr>
        <w:spacing w:after="240"/>
        <w:jc w:val="both"/>
        <w:rPr>
          <w:rFonts w:ascii="Times New Roman" w:hAnsi="Times New Roman" w:cs="Times New Roman"/>
          <w:b/>
          <w:noProof/>
          <w:sz w:val="24"/>
          <w:szCs w:val="24"/>
        </w:rPr>
      </w:pPr>
      <w:r>
        <w:rPr>
          <w:rFonts w:ascii="Times New Roman" w:hAnsi="Times New Roman"/>
          <w:b/>
          <w:noProof/>
          <w:sz w:val="24"/>
          <w:szCs w:val="24"/>
        </w:rPr>
        <w:t>varmistetaan EU:n energiafoorumin ja sen alueellisten foorumien nopea käyttöönotto</w:t>
      </w:r>
    </w:p>
    <w:p w14:paraId="49AAE13B" w14:textId="0E6DE4D1" w:rsidR="005868B0" w:rsidRDefault="00AB4758" w:rsidP="004D38F8">
      <w:pPr>
        <w:pStyle w:val="ListParagraph"/>
        <w:numPr>
          <w:ilvl w:val="0"/>
          <w:numId w:val="2"/>
        </w:numPr>
        <w:spacing w:after="240"/>
        <w:jc w:val="both"/>
        <w:rPr>
          <w:rFonts w:ascii="Times New Roman" w:hAnsi="Times New Roman" w:cs="Times New Roman"/>
          <w:b/>
          <w:noProof/>
          <w:sz w:val="24"/>
          <w:szCs w:val="24"/>
        </w:rPr>
      </w:pPr>
      <w:r>
        <w:rPr>
          <w:rFonts w:ascii="Times New Roman" w:hAnsi="Times New Roman"/>
          <w:b/>
          <w:noProof/>
          <w:sz w:val="24"/>
          <w:szCs w:val="24"/>
        </w:rPr>
        <w:t xml:space="preserve">pannaan kattavasti täytäntöön Yhdysvaltojen ja Kanadan kanssa annetut yhteiset julkilausumat </w:t>
      </w:r>
    </w:p>
    <w:p w14:paraId="3B8F63C9" w14:textId="16EF17AD" w:rsidR="007565FF" w:rsidRDefault="00AB4758" w:rsidP="00AA5D14">
      <w:pPr>
        <w:pStyle w:val="ListParagraph"/>
        <w:numPr>
          <w:ilvl w:val="0"/>
          <w:numId w:val="2"/>
        </w:numPr>
        <w:spacing w:after="240"/>
        <w:jc w:val="both"/>
        <w:rPr>
          <w:rFonts w:ascii="Times New Roman" w:hAnsi="Times New Roman" w:cs="Times New Roman"/>
          <w:b/>
          <w:noProof/>
          <w:sz w:val="24"/>
          <w:szCs w:val="24"/>
        </w:rPr>
      </w:pPr>
      <w:r>
        <w:rPr>
          <w:rFonts w:ascii="Times New Roman" w:hAnsi="Times New Roman"/>
          <w:b/>
          <w:noProof/>
          <w:sz w:val="24"/>
          <w:szCs w:val="24"/>
        </w:rPr>
        <w:t>neuvotellaan poliittisia sitoumuksia nykyisten tai uusien kaasun toimittajien kanssa Eurooppaan suuntautuvien kaasutoimitusten lisäämiseksi</w:t>
      </w:r>
    </w:p>
    <w:p w14:paraId="0BF05884" w14:textId="4BD86175" w:rsidR="00FE0DBE" w:rsidRDefault="00AB4758" w:rsidP="00AA5D14">
      <w:pPr>
        <w:pStyle w:val="ListParagraph"/>
        <w:numPr>
          <w:ilvl w:val="0"/>
          <w:numId w:val="2"/>
        </w:numPr>
        <w:spacing w:after="240"/>
        <w:jc w:val="both"/>
        <w:rPr>
          <w:rFonts w:ascii="Times New Roman" w:hAnsi="Times New Roman" w:cs="Times New Roman"/>
          <w:b/>
          <w:noProof/>
          <w:sz w:val="24"/>
          <w:szCs w:val="24"/>
        </w:rPr>
      </w:pPr>
      <w:r>
        <w:rPr>
          <w:rFonts w:ascii="Times New Roman" w:hAnsi="Times New Roman"/>
          <w:b/>
          <w:noProof/>
          <w:sz w:val="24"/>
          <w:szCs w:val="24"/>
        </w:rPr>
        <w:t>perustetaan maakaasun ja metaanin talteenottoa ja kauppaa koskevia You collect/we buy -järjestelyjä.</w:t>
      </w:r>
    </w:p>
    <w:bookmarkEnd w:id="4"/>
    <w:p w14:paraId="5195B830" w14:textId="7BA3D481" w:rsidR="0098638B" w:rsidRPr="00FA793B" w:rsidRDefault="009A1F0B" w:rsidP="00C33F66">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EU:n valmistautuminen uusiutuvan vedyn kauppaan</w:t>
      </w:r>
    </w:p>
    <w:p w14:paraId="77C7DCFB" w14:textId="556072ED" w:rsidR="00407F5E" w:rsidRDefault="00994A71" w:rsidP="007E0EE2">
      <w:pPr>
        <w:jc w:val="both"/>
        <w:rPr>
          <w:rFonts w:ascii="Times New Roman" w:hAnsi="Times New Roman" w:cs="Times New Roman"/>
          <w:noProof/>
          <w:sz w:val="24"/>
          <w:szCs w:val="24"/>
        </w:rPr>
      </w:pPr>
      <w:r>
        <w:rPr>
          <w:rFonts w:ascii="Times New Roman" w:hAnsi="Times New Roman"/>
          <w:noProof/>
          <w:sz w:val="24"/>
          <w:szCs w:val="24"/>
        </w:rPr>
        <w:t xml:space="preserve">REPowerEU-suunnitelman mukaan venäläisestä tuontikaasusta voidaan </w:t>
      </w:r>
      <w:r>
        <w:rPr>
          <w:rFonts w:ascii="Times New Roman" w:hAnsi="Times New Roman"/>
          <w:i/>
          <w:noProof/>
          <w:sz w:val="24"/>
        </w:rPr>
        <w:t>55-valmiuspaketissa</w:t>
      </w:r>
      <w:r>
        <w:rPr>
          <w:rFonts w:ascii="Times New Roman" w:hAnsi="Times New Roman"/>
          <w:noProof/>
          <w:sz w:val="24"/>
          <w:szCs w:val="24"/>
        </w:rPr>
        <w:t xml:space="preserve"> jo säädetyn 5,6 miljoonan tonnin lisäksi korvata noin 27 miljardia kuutiometriä 15 miljoonalla tonnilla uusiutuvaa vetyä vuoteen 2030 mennessä. Tähän sisältyisi </w:t>
      </w:r>
      <w:r>
        <w:rPr>
          <w:rFonts w:ascii="Times New Roman" w:hAnsi="Times New Roman"/>
          <w:b/>
          <w:bCs/>
          <w:noProof/>
          <w:sz w:val="24"/>
          <w:szCs w:val="24"/>
        </w:rPr>
        <w:t>10 miljoonaa tonnia tuontivetyä</w:t>
      </w:r>
      <w:r>
        <w:rPr>
          <w:rFonts w:ascii="Times New Roman" w:hAnsi="Times New Roman"/>
          <w:noProof/>
          <w:sz w:val="24"/>
          <w:szCs w:val="24"/>
        </w:rPr>
        <w:t>.</w:t>
      </w:r>
    </w:p>
    <w:p w14:paraId="49757754" w14:textId="39D4FB1C" w:rsidR="00A35A5E" w:rsidRDefault="001B4019" w:rsidP="0095340D">
      <w:pPr>
        <w:jc w:val="both"/>
        <w:rPr>
          <w:rFonts w:ascii="Times New Roman" w:hAnsi="Times New Roman" w:cs="Times New Roman"/>
          <w:noProof/>
          <w:sz w:val="24"/>
          <w:szCs w:val="24"/>
        </w:rPr>
      </w:pPr>
      <w:r>
        <w:rPr>
          <w:rFonts w:ascii="Times New Roman" w:hAnsi="Times New Roman"/>
          <w:noProof/>
          <w:sz w:val="24"/>
          <w:szCs w:val="24"/>
        </w:rPr>
        <w:t>Uusiutuvan vedyn tuotantokapasiteetti jakautuu maailmassa paljon tasaisemmin kuin öljy- ja kaasuvarannot, koska tuulivoima- ja aurinkoenergiaresursseja on kaikkialla maailmassa. Niiden markkinoita on kuitenkin vielä kehitettävä ja tämä edellyttää, että maailmanlaajuisesti lisätään merkittävästi uusiutuvan energian tuotantoa ja että vettä on saatavilla.</w:t>
      </w:r>
    </w:p>
    <w:p w14:paraId="3A6FABF4" w14:textId="1E1DF931" w:rsidR="0095340D" w:rsidRDefault="00CC3AB4" w:rsidP="0095340D">
      <w:pPr>
        <w:jc w:val="both"/>
        <w:rPr>
          <w:rFonts w:ascii="Times New Roman" w:hAnsi="Times New Roman" w:cs="Times New Roman"/>
          <w:noProof/>
          <w:sz w:val="24"/>
          <w:szCs w:val="24"/>
        </w:rPr>
      </w:pPr>
      <w:r>
        <w:rPr>
          <w:rFonts w:ascii="Times New Roman" w:hAnsi="Times New Roman"/>
          <w:noProof/>
          <w:sz w:val="24"/>
          <w:szCs w:val="24"/>
        </w:rPr>
        <w:t xml:space="preserve">Euroopan komissio aikoo edistää 10 miljoonan vetytonnin tuontia EU:hun toteuttamalla vetykumppanuuksia luotettavien kumppanimaiden kanssa. Tämän tarkoituksena on varmistaa avoimet ja vääristymättömät kauppa- ja investointisuhteet uusiutuvien ja vähähiilisten polttoaineiden alalla. Komissio suunnittelee kolmea pääasiallista vedyn </w:t>
      </w:r>
      <w:r>
        <w:rPr>
          <w:rFonts w:ascii="Times New Roman" w:hAnsi="Times New Roman"/>
          <w:b/>
          <w:bCs/>
          <w:noProof/>
          <w:sz w:val="24"/>
          <w:szCs w:val="24"/>
        </w:rPr>
        <w:t>tuontikäytävää Pohjanmeren alueelta (Norja ja Yhdistynyt kuningaskunta), eteläiseltä Välimereltä ja Ukrainasta</w:t>
      </w:r>
      <w:r>
        <w:rPr>
          <w:rFonts w:ascii="Times New Roman" w:hAnsi="Times New Roman"/>
          <w:noProof/>
          <w:sz w:val="24"/>
          <w:szCs w:val="24"/>
        </w:rPr>
        <w:t xml:space="preserve"> heti kun se on olosuhteiden puolesta mahdollista.</w:t>
      </w:r>
    </w:p>
    <w:p w14:paraId="692492B2" w14:textId="569275B5" w:rsidR="001E6E74" w:rsidRDefault="00EA7C3E" w:rsidP="007E0EE2">
      <w:pPr>
        <w:jc w:val="both"/>
        <w:rPr>
          <w:rFonts w:ascii="Times New Roman" w:hAnsi="Times New Roman" w:cs="Times New Roman"/>
          <w:noProof/>
          <w:sz w:val="24"/>
          <w:szCs w:val="24"/>
        </w:rPr>
      </w:pPr>
      <w:r>
        <w:rPr>
          <w:noProof/>
          <w:lang w:val="en-GB" w:eastAsia="en-GB"/>
        </w:rPr>
        <w:drawing>
          <wp:inline distT="0" distB="0" distL="0" distR="0" wp14:anchorId="4BBA8BFA" wp14:editId="5597F224">
            <wp:extent cx="5645889" cy="32000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11822" cy="3237455"/>
                    </a:xfrm>
                    <a:prstGeom prst="rect">
                      <a:avLst/>
                    </a:prstGeom>
                  </pic:spPr>
                </pic:pic>
              </a:graphicData>
            </a:graphic>
          </wp:inline>
        </w:drawing>
      </w:r>
    </w:p>
    <w:p w14:paraId="3B1C9573" w14:textId="77777777" w:rsidR="001E6E74" w:rsidRPr="002172E3" w:rsidRDefault="00A61F35" w:rsidP="001E6E74">
      <w:pPr>
        <w:jc w:val="both"/>
        <w:rPr>
          <w:rFonts w:ascii="Times New Roman" w:hAnsi="Times New Roman" w:cs="Times New Roman"/>
          <w:noProof/>
          <w:sz w:val="18"/>
          <w:szCs w:val="24"/>
        </w:rPr>
      </w:pPr>
      <w:r>
        <w:rPr>
          <w:rFonts w:ascii="Times New Roman" w:hAnsi="Times New Roman"/>
          <w:noProof/>
          <w:sz w:val="18"/>
          <w:szCs w:val="24"/>
        </w:rPr>
        <w:t>Kansainvälinen uusiutuvan energian virasto (IRENA): Tekninen potentiaali uusiutuvan vedyn tuottamiseen alle 1,5:llä Yhdysvaltain dollarilla kilogrammaa kohden vuoteen 2050 mennessä eksajouleissa (EJ)</w:t>
      </w:r>
    </w:p>
    <w:p w14:paraId="529E2E00" w14:textId="6CAAABE8" w:rsidR="00827413" w:rsidRPr="004A1D96" w:rsidRDefault="00CD7D26" w:rsidP="00CD7D26">
      <w:pPr>
        <w:jc w:val="both"/>
        <w:rPr>
          <w:rFonts w:ascii="Times New Roman" w:hAnsi="Times New Roman" w:cs="Times New Roman"/>
          <w:noProof/>
          <w:sz w:val="24"/>
          <w:szCs w:val="24"/>
        </w:rPr>
      </w:pPr>
      <w:r>
        <w:rPr>
          <w:rFonts w:ascii="Times New Roman" w:hAnsi="Times New Roman"/>
          <w:noProof/>
          <w:sz w:val="24"/>
          <w:szCs w:val="24"/>
        </w:rPr>
        <w:t xml:space="preserve">Yksi alueista, joilla on erityisen suuri potentiaali uusiutuvan vedyn tuottamiseen, on eteläinen Välimeri. Euroopan komissio valmistelee EU:n ja eteläisen Välimeren maiden välistä Välimeren alueen vihreän vedyn kumppanuutta, jotta voidaan luoda kaikkia osapuolia hyödyttäviä mahdollisuuksia alueelle ja EU:lle. Tämä toiminta perustuu olemassa olevaan uuteen Välimeren alueen toimintaohjelmaan ja sen talous- ja investointisuunnitelmaan ja alkaa EU:n ja Egyptin välisellä vetykumppanuudella. Se olisi ensimmäinen osa Euroopan, Afrikan ja Persianlahden välistä laajempaa uusiutuvaa vetyä koskevaa yhteistyötä. Persianlahti on toinen alue, jolla on runsaasti vedyn tuotantoon soveltuvia resursseja. </w:t>
      </w:r>
    </w:p>
    <w:p w14:paraId="19578BF2" w14:textId="4E7A1451" w:rsidR="008608B5" w:rsidRPr="00554DD0" w:rsidRDefault="008608B5" w:rsidP="00CD7D26">
      <w:pPr>
        <w:jc w:val="both"/>
        <w:rPr>
          <w:rFonts w:ascii="Times New Roman" w:hAnsi="Times New Roman" w:cs="Times New Roman"/>
          <w:noProof/>
          <w:sz w:val="24"/>
          <w:szCs w:val="24"/>
        </w:rPr>
      </w:pPr>
      <w:r>
        <w:rPr>
          <w:rFonts w:ascii="Times New Roman" w:hAnsi="Times New Roman"/>
          <w:noProof/>
          <w:sz w:val="24"/>
          <w:szCs w:val="24"/>
        </w:rPr>
        <w:t>Kun tämän alan yhteistyössä otetaan huomioon paikalliset sosiaaliset, taloudelliset ja ympäristöön liittyvät tarpeet, se voisi edistää paikallista uusiutuvan sähkön ja vedyn tuotantoa ja kulutusta sekä vihreän teollisuuden toimitusketjujen kehittämistä kumppanimaissa. Vetyä koskevan EU:n sääntelykehyksen olisi varmistettava tasapuoliset toimintaedellytykset tuodulle ja paikallisesti tuotetulle vedylle.</w:t>
      </w:r>
    </w:p>
    <w:p w14:paraId="4EA08380" w14:textId="77777777" w:rsidR="00462543" w:rsidRDefault="00DF6A64" w:rsidP="00CD7D26">
      <w:pPr>
        <w:jc w:val="both"/>
        <w:rPr>
          <w:rFonts w:ascii="Times New Roman" w:hAnsi="Times New Roman" w:cs="Times New Roman"/>
          <w:noProof/>
          <w:sz w:val="24"/>
          <w:szCs w:val="24"/>
        </w:rPr>
      </w:pPr>
      <w:r>
        <w:rPr>
          <w:rFonts w:ascii="Times New Roman" w:hAnsi="Times New Roman"/>
          <w:noProof/>
          <w:sz w:val="24"/>
          <w:szCs w:val="24"/>
        </w:rPr>
        <w:t>Saharan eteläpuolisen Afrikan maista Etelä-Afrikka ja Namibia ovat jo edistyneet uusiutuvan vedyn alan kehittämisessä ja herättäneet EU:n energia-alan kiinnostuksen. Uusiutuvan vedyn alalla tehtävän yhteistyön tiivistäminen on myös osa EU:n kahdenvälistä toimintaa esimerkiksi Egyptin ja Marokon kanssa, ja Euroopan komissio on aloittanut työn EU:n ja Marokon vihreän kumppanuuden toteuttamiseksi.</w:t>
      </w:r>
    </w:p>
    <w:p w14:paraId="7EE1B55D" w14:textId="3CE301BA" w:rsidR="00BA057B" w:rsidRDefault="00BA057B" w:rsidP="00CD7D26">
      <w:pPr>
        <w:jc w:val="both"/>
        <w:rPr>
          <w:rFonts w:ascii="Times New Roman" w:hAnsi="Times New Roman" w:cs="Times New Roman"/>
          <w:noProof/>
          <w:sz w:val="24"/>
          <w:szCs w:val="24"/>
        </w:rPr>
      </w:pPr>
      <w:r>
        <w:rPr>
          <w:rFonts w:ascii="Times New Roman" w:hAnsi="Times New Roman"/>
          <w:noProof/>
          <w:sz w:val="24"/>
          <w:szCs w:val="24"/>
        </w:rPr>
        <w:t xml:space="preserve">Parhaillaan valmistellaan myös </w:t>
      </w:r>
      <w:r>
        <w:rPr>
          <w:rFonts w:ascii="Times New Roman" w:hAnsi="Times New Roman"/>
          <w:b/>
          <w:bCs/>
          <w:noProof/>
          <w:sz w:val="24"/>
          <w:szCs w:val="24"/>
        </w:rPr>
        <w:t>uusiutuvia kaasuja koskevaa strategista kumppanuutta Ukrainan kanssa</w:t>
      </w:r>
      <w:r>
        <w:rPr>
          <w:rFonts w:ascii="Times New Roman" w:hAnsi="Times New Roman"/>
          <w:noProof/>
          <w:sz w:val="24"/>
          <w:szCs w:val="24"/>
        </w:rPr>
        <w:t>. Kumppanuus sisältäisi vedyn ja biometaanin, ja sitä on tarkoitus laajentaa merkittävästi, kun olosuhteet sen sallivat.</w:t>
      </w:r>
    </w:p>
    <w:p w14:paraId="33F7B842" w14:textId="52003034" w:rsidR="0098638B" w:rsidRDefault="0098638B" w:rsidP="0098638B">
      <w:pPr>
        <w:spacing w:after="240"/>
        <w:jc w:val="both"/>
        <w:rPr>
          <w:rFonts w:ascii="Times New Roman" w:hAnsi="Times New Roman" w:cs="Times New Roman"/>
          <w:noProof/>
          <w:sz w:val="24"/>
          <w:szCs w:val="24"/>
        </w:rPr>
      </w:pPr>
      <w:r>
        <w:rPr>
          <w:rFonts w:ascii="Times New Roman" w:hAnsi="Times New Roman"/>
          <w:noProof/>
          <w:sz w:val="24"/>
          <w:szCs w:val="24"/>
        </w:rPr>
        <w:t>EU on valmis tukemaan verkkojen kehittämistä naapurustossaan tarkistetun Euroopan laajuisia energiaverkkoja (TEN-E) koskevan asetuksen</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avulla. Muiden kuin EU-maiden kanssa toteutettavat hankkeet, jotka edistävät merkittävästi TEN-E-tavoitteiden saavuttamista, voivat saada keskinäistä etua koskevien hankkeiden aseman. Merkinnällä viitataan sähkön siirron, vedyn kuljetuksen sekä hiilidioksidiverkkojen ja -varastojen alalla toteutettaviin yhteishankkeisiin, jotka täyttävät tiukat EU:n turvallisuusvaatimukset. Samanaikaisesti tarvitaan investointeja, jotta varmistetaan näiden tuotteiden kuljettamiseen tarvittava kuljetuskapasiteetti ja logistiikka.</w:t>
      </w:r>
    </w:p>
    <w:p w14:paraId="538E2D59" w14:textId="5098380C" w:rsidR="00CC199B" w:rsidRDefault="00E64012" w:rsidP="005F55E8">
      <w:pPr>
        <w:spacing w:after="240"/>
        <w:jc w:val="both"/>
        <w:rPr>
          <w:rFonts w:ascii="Times New Roman" w:hAnsi="Times New Roman" w:cs="Times New Roman"/>
          <w:noProof/>
          <w:sz w:val="24"/>
          <w:szCs w:val="24"/>
        </w:rPr>
      </w:pPr>
      <w:r>
        <w:rPr>
          <w:rFonts w:ascii="Times New Roman" w:hAnsi="Times New Roman"/>
          <w:noProof/>
          <w:sz w:val="24"/>
          <w:szCs w:val="24"/>
        </w:rPr>
        <w:t xml:space="preserve">Kehittyvien </w:t>
      </w:r>
      <w:r>
        <w:rPr>
          <w:rFonts w:ascii="Times New Roman" w:hAnsi="Times New Roman"/>
          <w:b/>
          <w:bCs/>
          <w:noProof/>
          <w:sz w:val="24"/>
          <w:szCs w:val="24"/>
        </w:rPr>
        <w:t>maailmanlaajuisten vetymarkkinoiden on perustuttava yhteisiin sääntöihin</w:t>
      </w:r>
      <w:r>
        <w:rPr>
          <w:rFonts w:ascii="Times New Roman" w:hAnsi="Times New Roman"/>
          <w:noProof/>
          <w:sz w:val="24"/>
          <w:szCs w:val="24"/>
        </w:rPr>
        <w:t xml:space="preserve">, jotka koskevat erityisesti standardeja, sertifiointia ja hyviä sääntelykäytäntöjä ja kattavat infrastruktuurin käyttöoikeudet ja kaupan. Vetyä koskeva EU:n sääntelykehys on maailman edistynein. Tämän kokemuksen perusteella EU:n olisi johdettava toimia, joiden tarkoituksena on laatia perusteellinen kehys sääntöpohjaisille ja avoimille maailmanlaajuisille vetymarkkinoille. Prosessissa olisi otettava huomioon kaasu- ja öljymarkkinoilta saadut kokemukset, jotta nämä uudet energiatuotteet voivat liikkua vapaasti rajojen yli. Tämä vahvistaisi EU:n energiaturvallisuutta fossiilisista polttoaineista luovuttaessa. EU harkitsee REPowerEU-kehystiedonannossa ehdotetun </w:t>
      </w:r>
      <w:r>
        <w:rPr>
          <w:rFonts w:ascii="Times New Roman" w:hAnsi="Times New Roman"/>
          <w:b/>
          <w:bCs/>
          <w:noProof/>
          <w:sz w:val="24"/>
          <w:szCs w:val="24"/>
        </w:rPr>
        <w:t>eurooppalaisen globaalin vetyä koskevan välineen</w:t>
      </w:r>
      <w:r>
        <w:rPr>
          <w:rFonts w:ascii="Times New Roman" w:hAnsi="Times New Roman"/>
          <w:noProof/>
          <w:sz w:val="24"/>
          <w:szCs w:val="24"/>
        </w:rPr>
        <w:t xml:space="preserve"> kehittämistä maailmanlaajuisten uusiutuvan vedyn markkinoiden käynnistämiseksi.</w:t>
      </w:r>
    </w:p>
    <w:p w14:paraId="476A6BEA" w14:textId="6D8988F7" w:rsidR="00F43515" w:rsidRPr="00F43515" w:rsidRDefault="00F43515" w:rsidP="0098638B">
      <w:pPr>
        <w:spacing w:after="240"/>
        <w:jc w:val="both"/>
        <w:rPr>
          <w:rFonts w:ascii="Times New Roman" w:hAnsi="Times New Roman" w:cs="Times New Roman"/>
          <w:b/>
          <w:bCs/>
          <w:noProof/>
          <w:sz w:val="24"/>
          <w:szCs w:val="24"/>
        </w:rPr>
      </w:pPr>
      <w:r>
        <w:rPr>
          <w:rFonts w:ascii="Times New Roman" w:hAnsi="Times New Roman"/>
          <w:b/>
          <w:bCs/>
          <w:noProof/>
          <w:sz w:val="24"/>
          <w:szCs w:val="24"/>
        </w:rPr>
        <w:t>Keskeiset toimet:</w:t>
      </w:r>
    </w:p>
    <w:p w14:paraId="58BABC35" w14:textId="3E1029A4" w:rsidR="0050044A" w:rsidRDefault="00AB4758" w:rsidP="00AA5D14">
      <w:pPr>
        <w:pStyle w:val="ListParagraph"/>
        <w:numPr>
          <w:ilvl w:val="0"/>
          <w:numId w:val="3"/>
        </w:numPr>
        <w:spacing w:after="240"/>
        <w:jc w:val="both"/>
        <w:rPr>
          <w:rFonts w:ascii="Times New Roman" w:hAnsi="Times New Roman" w:cs="Times New Roman"/>
          <w:b/>
          <w:bCs/>
          <w:noProof/>
          <w:sz w:val="24"/>
          <w:szCs w:val="24"/>
        </w:rPr>
      </w:pPr>
      <w:r>
        <w:rPr>
          <w:rFonts w:ascii="Times New Roman" w:hAnsi="Times New Roman"/>
          <w:b/>
          <w:bCs/>
          <w:noProof/>
          <w:sz w:val="24"/>
          <w:szCs w:val="24"/>
        </w:rPr>
        <w:t>toteutetaan vetykumppanuuksia erityisesti EU:n naapurustossa ja Afrikassa, jotta voidaan edistää 10 miljoonan vetytonnin tuontia vuoteen 2030 mennessä ja auttaa kehittämään paikallisia vetymarkkinoita</w:t>
      </w:r>
    </w:p>
    <w:p w14:paraId="5759F527" w14:textId="7C92C517" w:rsidR="007E0EE2" w:rsidRPr="002172E3" w:rsidRDefault="00AB4758" w:rsidP="002172E3">
      <w:pPr>
        <w:pStyle w:val="ListParagraph"/>
        <w:numPr>
          <w:ilvl w:val="0"/>
          <w:numId w:val="3"/>
        </w:numPr>
        <w:jc w:val="both"/>
        <w:rPr>
          <w:rFonts w:ascii="Times New Roman" w:hAnsi="Times New Roman" w:cs="Times New Roman"/>
          <w:b/>
          <w:bCs/>
          <w:noProof/>
          <w:sz w:val="24"/>
          <w:szCs w:val="24"/>
        </w:rPr>
      </w:pPr>
      <w:r>
        <w:rPr>
          <w:rFonts w:ascii="Times New Roman" w:hAnsi="Times New Roman"/>
          <w:b/>
          <w:noProof/>
          <w:sz w:val="24"/>
          <w:szCs w:val="24"/>
        </w:rPr>
        <w:t>allekirjoitetaan vetyä koskeva yhteistyöpöytäkirja Japanin kanssa vuoden 2022 loppuun mennessä</w:t>
      </w:r>
    </w:p>
    <w:p w14:paraId="311EAFF0" w14:textId="0356FD7F" w:rsidR="009A1F0B" w:rsidRPr="005F55E8" w:rsidRDefault="00AB4758" w:rsidP="00AA5D14">
      <w:pPr>
        <w:pStyle w:val="ListParagraph"/>
        <w:numPr>
          <w:ilvl w:val="0"/>
          <w:numId w:val="3"/>
        </w:numPr>
        <w:jc w:val="both"/>
        <w:rPr>
          <w:rFonts w:ascii="Times New Roman" w:hAnsi="Times New Roman"/>
          <w:b/>
          <w:bCs/>
          <w:noProof/>
          <w:sz w:val="24"/>
        </w:rPr>
      </w:pPr>
      <w:r>
        <w:rPr>
          <w:rFonts w:ascii="Times New Roman" w:hAnsi="Times New Roman"/>
          <w:b/>
          <w:bCs/>
          <w:noProof/>
          <w:sz w:val="24"/>
          <w:szCs w:val="24"/>
        </w:rPr>
        <w:t>edistetään sääntöpohjaisia ja avoimia maailmanlaajuisia vetymarkkinoita EU:n kokemuksen perusteella</w:t>
      </w:r>
      <w:r>
        <w:rPr>
          <w:rFonts w:ascii="Times New Roman" w:hAnsi="Times New Roman"/>
          <w:b/>
          <w:bCs/>
          <w:noProof/>
          <w:sz w:val="24"/>
        </w:rPr>
        <w:t xml:space="preserve"> </w:t>
      </w:r>
    </w:p>
    <w:p w14:paraId="01504AB4" w14:textId="34B7A5C8" w:rsidR="009A1F0B" w:rsidRDefault="00AB4758" w:rsidP="00AA5D14">
      <w:pPr>
        <w:pStyle w:val="ListParagraph"/>
        <w:numPr>
          <w:ilvl w:val="0"/>
          <w:numId w:val="3"/>
        </w:numPr>
        <w:jc w:val="both"/>
        <w:rPr>
          <w:rFonts w:ascii="Times New Roman" w:hAnsi="Times New Roman" w:cs="Times New Roman"/>
          <w:b/>
          <w:noProof/>
          <w:sz w:val="24"/>
          <w:szCs w:val="24"/>
        </w:rPr>
      </w:pPr>
      <w:bookmarkStart w:id="6" w:name="_Hlk103321705"/>
      <w:r>
        <w:rPr>
          <w:rFonts w:ascii="Times New Roman" w:hAnsi="Times New Roman"/>
          <w:b/>
          <w:noProof/>
          <w:sz w:val="24"/>
          <w:szCs w:val="24"/>
        </w:rPr>
        <w:t>otetaan käyttöön ensimmäiset kaupankäynnin keskukset uusiutuvalle vedylle Euroopassa ja määritetään ne euromääräisten vetyyn liittyvien liiketoimien vertailukohdiksi</w:t>
      </w:r>
    </w:p>
    <w:bookmarkEnd w:id="6"/>
    <w:p w14:paraId="0C4BE0CB" w14:textId="78055194" w:rsidR="007F12DD" w:rsidRPr="004600C1" w:rsidRDefault="00AB4758" w:rsidP="004600C1">
      <w:pPr>
        <w:pStyle w:val="ListParagraph"/>
        <w:numPr>
          <w:ilvl w:val="0"/>
          <w:numId w:val="3"/>
        </w:num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perustetaan uusiutuvia kaasuja koskeva strateginen kumppanuus Ukrainan kanssa vuonna 2022 </w:t>
      </w:r>
    </w:p>
    <w:p w14:paraId="004E9DEE" w14:textId="45BE0391" w:rsidR="005F55E8" w:rsidRPr="002172E3" w:rsidRDefault="00AB4758" w:rsidP="00AA5D14">
      <w:pPr>
        <w:pStyle w:val="ListParagraph"/>
        <w:numPr>
          <w:ilvl w:val="0"/>
          <w:numId w:val="3"/>
        </w:numPr>
        <w:jc w:val="both"/>
        <w:rPr>
          <w:rFonts w:ascii="Times New Roman" w:hAnsi="Times New Roman" w:cs="Times New Roman"/>
          <w:b/>
          <w:bCs/>
          <w:noProof/>
          <w:sz w:val="24"/>
          <w:szCs w:val="24"/>
        </w:rPr>
      </w:pPr>
      <w:r>
        <w:rPr>
          <w:rFonts w:ascii="Times New Roman" w:hAnsi="Times New Roman"/>
          <w:b/>
          <w:bCs/>
          <w:noProof/>
          <w:sz w:val="24"/>
          <w:szCs w:val="24"/>
        </w:rPr>
        <w:t>kehitetään eurooppalainen globaali vetyä koskeva väline.</w:t>
      </w:r>
    </w:p>
    <w:p w14:paraId="630D7253" w14:textId="6151AA24" w:rsidR="00417C5C" w:rsidRPr="00B262CB" w:rsidRDefault="00F15352" w:rsidP="00C33F66">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Riippuvuuden vähentäminen muusta Venäjän tuontienergiasta kuin kaasusta</w:t>
      </w:r>
    </w:p>
    <w:p w14:paraId="15E7CEB4" w14:textId="14F8FF46" w:rsidR="00143816" w:rsidRDefault="00B6177F" w:rsidP="00287AE4">
      <w:pPr>
        <w:spacing w:after="240"/>
        <w:jc w:val="both"/>
        <w:rPr>
          <w:rFonts w:ascii="Times New Roman" w:hAnsi="Times New Roman" w:cs="Times New Roman"/>
          <w:noProof/>
          <w:sz w:val="24"/>
          <w:szCs w:val="24"/>
        </w:rPr>
      </w:pPr>
      <w:r>
        <w:rPr>
          <w:rFonts w:ascii="Times New Roman" w:hAnsi="Times New Roman"/>
          <w:noProof/>
          <w:sz w:val="24"/>
          <w:szCs w:val="24"/>
        </w:rPr>
        <w:t xml:space="preserve">Venäjä on maailman suurin öljyn viejä 8 miljoonalla barrelilla päivässä. Siksi sen hyökkäys Ukrainaan on aiheuttanut myllerrystä ja epävarmuutta maailmanlaajuisilla öljymarkkinoilla, ja hinnat ovat ajoittain hiponeet kaikkien aikojen ennätystä, joka on 150 Yhdysvaltain dollaria barrelilta. </w:t>
      </w:r>
    </w:p>
    <w:p w14:paraId="67300E0C" w14:textId="44E3F3BB" w:rsidR="007C35F7" w:rsidRDefault="00B6177F" w:rsidP="00B6177F">
      <w:pPr>
        <w:spacing w:after="240"/>
        <w:jc w:val="both"/>
        <w:rPr>
          <w:rFonts w:ascii="Times New Roman" w:hAnsi="Times New Roman" w:cs="Times New Roman"/>
          <w:noProof/>
          <w:sz w:val="24"/>
          <w:szCs w:val="24"/>
        </w:rPr>
      </w:pPr>
      <w:r>
        <w:rPr>
          <w:rFonts w:ascii="Times New Roman" w:hAnsi="Times New Roman"/>
          <w:noProof/>
          <w:sz w:val="24"/>
          <w:szCs w:val="24"/>
        </w:rPr>
        <w:t xml:space="preserve">Venäjän Ukrainaan tekemän hyökkäyksen seurauksena markkinoiden heilahtelu ja kireys todennäköisesti jatkuvat, mikä vaikuttaa paitsi EU:hun, myös kaikkiin, erityisesti kaikkein haavoittuvimmassa asemassa oleviin öljyn kuluttajiin eri puolilla maailmaa. </w:t>
      </w:r>
      <w:r>
        <w:rPr>
          <w:rFonts w:ascii="Times New Roman" w:hAnsi="Times New Roman"/>
          <w:b/>
          <w:bCs/>
          <w:noProof/>
          <w:sz w:val="24"/>
          <w:szCs w:val="24"/>
        </w:rPr>
        <w:t>EU tekee yhteistyötä kansainvälisten kumppaneidensa kanssa varmistaakseen öljyn riittävän maailmanlaajuisen saatavuuden ja kohtuulliset hinnat.</w:t>
      </w:r>
      <w:r>
        <w:rPr>
          <w:rFonts w:ascii="Times New Roman" w:hAnsi="Times New Roman"/>
          <w:noProof/>
          <w:sz w:val="24"/>
          <w:szCs w:val="24"/>
        </w:rPr>
        <w:t xml:space="preserve"> EU kehottaa yhdessä G7-ryhmän energiaministerien kanssa öljyntuottajamaita selvittämään mahdollisuuksia lisätä toimituksia maailmanlaajuisille markkinoille siten, että käytetään </w:t>
      </w:r>
      <w:r>
        <w:rPr>
          <w:rFonts w:ascii="Times New Roman" w:hAnsi="Times New Roman"/>
          <w:noProof/>
          <w:sz w:val="24"/>
        </w:rPr>
        <w:t>koko</w:t>
      </w:r>
      <w:r>
        <w:rPr>
          <w:rFonts w:ascii="Times New Roman" w:hAnsi="Times New Roman"/>
          <w:noProof/>
          <w:sz w:val="24"/>
          <w:szCs w:val="24"/>
        </w:rPr>
        <w:t xml:space="preserve"> saatavilla oleva käyttämätön kapasiteetti. </w:t>
      </w:r>
    </w:p>
    <w:p w14:paraId="2E761FE3" w14:textId="4B39D9DE" w:rsidR="00D13904" w:rsidRPr="00FF76D5" w:rsidRDefault="00FF76D5" w:rsidP="00FF76D5">
      <w:pPr>
        <w:spacing w:before="100" w:beforeAutospacing="1" w:after="100" w:afterAutospacing="1"/>
        <w:jc w:val="both"/>
        <w:rPr>
          <w:noProof/>
        </w:rPr>
      </w:pPr>
      <w:r>
        <w:rPr>
          <w:rFonts w:ascii="Times New Roman" w:hAnsi="Times New Roman"/>
          <w:noProof/>
          <w:sz w:val="24"/>
          <w:szCs w:val="24"/>
        </w:rPr>
        <w:t xml:space="preserve">Tässä yhteydessä </w:t>
      </w:r>
      <w:r>
        <w:rPr>
          <w:rFonts w:ascii="Times New Roman" w:hAnsi="Times New Roman"/>
          <w:noProof/>
          <w:sz w:val="24"/>
        </w:rPr>
        <w:t>yhteisen</w:t>
      </w:r>
      <w:r>
        <w:rPr>
          <w:rFonts w:ascii="Times New Roman" w:hAnsi="Times New Roman"/>
          <w:noProof/>
          <w:sz w:val="24"/>
          <w:szCs w:val="24"/>
        </w:rPr>
        <w:t xml:space="preserve"> kattavan toimintasuunnitelman täysimittainen ja tehokas täytäntöönpano</w:t>
      </w:r>
      <w:r>
        <w:rPr>
          <w:rFonts w:ascii="Arial" w:hAnsi="Arial"/>
          <w:noProof/>
          <w:color w:val="4D5156"/>
          <w:sz w:val="21"/>
          <w:szCs w:val="21"/>
          <w:shd w:val="clear" w:color="auto" w:fill="FFFFFF"/>
        </w:rPr>
        <w:t> </w:t>
      </w:r>
      <w:r>
        <w:rPr>
          <w:rFonts w:ascii="Times New Roman" w:hAnsi="Times New Roman"/>
          <w:noProof/>
          <w:sz w:val="24"/>
          <w:szCs w:val="24"/>
        </w:rPr>
        <w:t>helpottaisi saatavilla olevien Iranin öljyvarantojen saattamista markkinoille, mikä vähentäisi tarjontaan kohdistuvaa painetta ja hintojen epävakautta.</w:t>
      </w:r>
      <w:r>
        <w:rPr>
          <w:noProof/>
        </w:rPr>
        <w:t xml:space="preserve"> </w:t>
      </w:r>
      <w:r>
        <w:rPr>
          <w:rFonts w:ascii="Times New Roman" w:hAnsi="Times New Roman"/>
          <w:noProof/>
          <w:sz w:val="24"/>
          <w:szCs w:val="24"/>
        </w:rPr>
        <w:t>Yhtä aikaa tämän strategian kanssa julkaistavassa, strategista kumppanuutta Persianlahden kanssa koskevassa tiedonannossa määritetään EU:n lähestymistapa suhteiden vahvistamiseen öljyresursseiltaan rikkaiden Persianlahden yhteistyöneuvoston (GCC) maiden kanssa.</w:t>
      </w:r>
    </w:p>
    <w:p w14:paraId="3997D048" w14:textId="63C218FE" w:rsidR="004F5A0B" w:rsidRPr="00143816" w:rsidRDefault="007C35F7" w:rsidP="00B6177F">
      <w:pPr>
        <w:spacing w:after="240"/>
        <w:jc w:val="both"/>
        <w:rPr>
          <w:rFonts w:ascii="Times New Roman" w:hAnsi="Times New Roman" w:cs="Times New Roman"/>
          <w:noProof/>
          <w:sz w:val="24"/>
          <w:szCs w:val="24"/>
        </w:rPr>
      </w:pPr>
      <w:r>
        <w:rPr>
          <w:rFonts w:ascii="Times New Roman" w:hAnsi="Times New Roman"/>
          <w:noProof/>
          <w:sz w:val="24"/>
          <w:szCs w:val="24"/>
        </w:rPr>
        <w:t xml:space="preserve">IEA:n jäsenet ovat samaan aikaan sopineet yksimielisesti </w:t>
      </w:r>
      <w:r>
        <w:rPr>
          <w:rFonts w:ascii="Times New Roman" w:hAnsi="Times New Roman"/>
          <w:b/>
          <w:bCs/>
          <w:noProof/>
          <w:sz w:val="24"/>
          <w:szCs w:val="24"/>
        </w:rPr>
        <w:t>varmuusvarastojen</w:t>
      </w:r>
      <w:r>
        <w:rPr>
          <w:rFonts w:ascii="Times New Roman" w:hAnsi="Times New Roman"/>
          <w:noProof/>
          <w:sz w:val="24"/>
          <w:szCs w:val="24"/>
        </w:rPr>
        <w:t xml:space="preserve"> käyttämisestä siihen, että markkinoille vapautetaan 120 miljoonaa barrelia, joka on suurin varastojen vapautus IEA:n historiassa. Tämä on osoittanut varmuusvarastojen merkityksen häiriöiden vaimentamisessa. Vaikka varastojen vapauttamista koskevat päätökset kuuluvat jäsenvaltioiden toimivaltaan, IEA:n yhteinen prosessi on osoitus hyödyistä, joita EU:n koordinointiroolilla voitaisiin saavuttaa, jos lisävapautuksia tarvitaan. </w:t>
      </w:r>
    </w:p>
    <w:p w14:paraId="101E1F8B" w14:textId="43FA5F74" w:rsidR="00CD794A" w:rsidRDefault="004B41FD" w:rsidP="002815EA">
      <w:pPr>
        <w:pStyle w:val="paragraph"/>
        <w:spacing w:before="0" w:beforeAutospacing="0" w:after="0" w:afterAutospacing="0" w:line="276" w:lineRule="auto"/>
        <w:jc w:val="both"/>
        <w:textAlignment w:val="baseline"/>
        <w:rPr>
          <w:rFonts w:eastAsiaTheme="minorHAnsi"/>
          <w:noProof/>
        </w:rPr>
      </w:pPr>
      <w:r>
        <w:rPr>
          <w:noProof/>
        </w:rPr>
        <w:t xml:space="preserve">EU päätti lopettaa kaiken hiilen tuonnin Venäjältä osana huhtikuussa 2022 asetettua viidettä pakotepakettiaan. Jotta tästä kriisistä selvitään lyhyellä aikavälillä, 44–56 miljoonaa hiilitonnia on korvattava vuosittain pääosin tuonnilla. Pitkällä aikavälillä hiili poistetaan asteittain käytöstä EU:ssa, useimmissa maissa vuoteen 2030 mennessä. </w:t>
      </w:r>
      <w:r>
        <w:rPr>
          <w:b/>
          <w:bCs/>
          <w:noProof/>
        </w:rPr>
        <w:t>EU:n Venäjän hiilelle asettaman tuontikiellon</w:t>
      </w:r>
      <w:r>
        <w:rPr>
          <w:noProof/>
        </w:rPr>
        <w:t xml:space="preserve"> hyväksymisen jälkeen hinnat nousivat EU:ssa noin 15 prosenttia 325 euroon tonnilta, mutta hiilen saatavuudessa ei odoteta olevan merkittäviä vaikeuksia ja hinnat palasivat huhtikuun lopussa tuontikieltoa edeltäneelle tasolle.</w:t>
      </w:r>
    </w:p>
    <w:p w14:paraId="6EACD29D" w14:textId="77777777" w:rsidR="0059403F" w:rsidRPr="004D57D2" w:rsidRDefault="0059403F" w:rsidP="002815EA">
      <w:pPr>
        <w:pStyle w:val="paragraph"/>
        <w:spacing w:before="0" w:beforeAutospacing="0" w:after="0" w:afterAutospacing="0" w:line="276" w:lineRule="auto"/>
        <w:jc w:val="both"/>
        <w:textAlignment w:val="baseline"/>
        <w:rPr>
          <w:rFonts w:eastAsiaTheme="minorHAnsi"/>
          <w:noProof/>
          <w:lang w:eastAsia="en-US"/>
        </w:rPr>
      </w:pPr>
    </w:p>
    <w:p w14:paraId="7718B6EF" w14:textId="18816B76" w:rsidR="004F5A0B" w:rsidRDefault="008968A4" w:rsidP="0059403F">
      <w:pPr>
        <w:pStyle w:val="paragraph"/>
        <w:spacing w:before="0" w:beforeAutospacing="0" w:after="0" w:afterAutospacing="0" w:line="276" w:lineRule="auto"/>
        <w:jc w:val="both"/>
        <w:textAlignment w:val="baseline"/>
        <w:rPr>
          <w:noProof/>
        </w:rPr>
      </w:pPr>
      <w:r>
        <w:rPr>
          <w:b/>
          <w:bCs/>
          <w:noProof/>
        </w:rPr>
        <w:t>Ydinvoimalaitosten polttoaineen toimituslähteiden monipuolistaminen</w:t>
      </w:r>
      <w:r>
        <w:rPr>
          <w:noProof/>
        </w:rPr>
        <w:t xml:space="preserve"> on tärkeä toiminta-ala, sillä osa EU:n jäsenvaltioista on yhä täysin riippuvainen venäläisestä ydinpolttoaineesta. EU auttaa ydinlaitoksia vauhdittamaan venäläisten VVER-reaktorien</w:t>
      </w:r>
      <w:r w:rsidR="00A61F35">
        <w:rPr>
          <w:rStyle w:val="FootnoteReference"/>
          <w:noProof/>
        </w:rPr>
        <w:footnoteReference w:id="7"/>
      </w:r>
      <w:r>
        <w:rPr>
          <w:noProof/>
        </w:rPr>
        <w:t xml:space="preserve"> vaihtoehtoisen polttoaineen lisensointiprosessia ja tekee yhteistyötä kansainvälisten ydinalan organisaatioiden, kuten Kansainvälisen atomienergiajärjestön (IAEA) ja ydinenergiajärjestön (NEA), kanssa Taloudellisen yhteistyön ja kehityksen järjestön (OECD) alaisuudessa toimitusvarmuutta koskevan yhteistyön tehostamiseksi. Yhteistyö esimerkiksi Kanadan ja muiden kumppaneiden kanssa on jo käynnissä. </w:t>
      </w:r>
    </w:p>
    <w:p w14:paraId="0D80416C" w14:textId="77777777" w:rsidR="00D13904" w:rsidRPr="004D57D2" w:rsidRDefault="00D13904" w:rsidP="0059403F">
      <w:pPr>
        <w:pStyle w:val="paragraph"/>
        <w:spacing w:before="0" w:beforeAutospacing="0" w:after="0" w:afterAutospacing="0" w:line="276" w:lineRule="auto"/>
        <w:jc w:val="both"/>
        <w:textAlignment w:val="baseline"/>
        <w:rPr>
          <w:noProof/>
        </w:rPr>
      </w:pPr>
    </w:p>
    <w:p w14:paraId="0A2EF03B" w14:textId="34144041" w:rsidR="00B343AD" w:rsidRPr="00B343AD" w:rsidRDefault="00B343AD" w:rsidP="00143816">
      <w:p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Keskeiset toimet: </w:t>
      </w:r>
    </w:p>
    <w:p w14:paraId="45C2AF38" w14:textId="701E077D" w:rsidR="00417C5C" w:rsidRPr="00143816" w:rsidRDefault="00AB4758" w:rsidP="00AA5D14">
      <w:pPr>
        <w:pStyle w:val="ListParagraph"/>
        <w:numPr>
          <w:ilvl w:val="0"/>
          <w:numId w:val="5"/>
        </w:numPr>
        <w:spacing w:after="240"/>
        <w:jc w:val="both"/>
        <w:rPr>
          <w:rFonts w:ascii="Times New Roman" w:hAnsi="Times New Roman" w:cs="Times New Roman"/>
          <w:b/>
          <w:bCs/>
          <w:noProof/>
          <w:sz w:val="24"/>
          <w:szCs w:val="24"/>
        </w:rPr>
      </w:pPr>
      <w:r>
        <w:rPr>
          <w:rFonts w:ascii="Times New Roman" w:hAnsi="Times New Roman"/>
          <w:b/>
          <w:bCs/>
          <w:noProof/>
          <w:sz w:val="24"/>
          <w:szCs w:val="24"/>
        </w:rPr>
        <w:t>tehdään työtä G7-ryhmässä, G20-ryhmässä ja muilla kansainvälisillä foorumeilla sekä kahdenvälisesti asiaan liittyvien maiden kanssa öljymarkkinoiden tarjonnan ja toimivuuden varmistamiseksi</w:t>
      </w:r>
    </w:p>
    <w:p w14:paraId="58C8E27D" w14:textId="031CBCC8" w:rsidR="00B32A7C" w:rsidRPr="00143816" w:rsidRDefault="00AB4758" w:rsidP="00EC39ED">
      <w:pPr>
        <w:pStyle w:val="ListParagraph"/>
        <w:numPr>
          <w:ilvl w:val="0"/>
          <w:numId w:val="5"/>
        </w:numPr>
        <w:spacing w:after="240"/>
        <w:jc w:val="both"/>
        <w:rPr>
          <w:rFonts w:ascii="Times New Roman" w:hAnsi="Times New Roman" w:cs="Times New Roman"/>
          <w:b/>
          <w:bCs/>
          <w:noProof/>
          <w:sz w:val="24"/>
          <w:szCs w:val="24"/>
        </w:rPr>
      </w:pPr>
      <w:r>
        <w:rPr>
          <w:rFonts w:ascii="Times New Roman" w:hAnsi="Times New Roman"/>
          <w:b/>
          <w:bCs/>
          <w:noProof/>
          <w:sz w:val="24"/>
          <w:szCs w:val="24"/>
        </w:rPr>
        <w:t>jatketaan vuoropuhelua öljynvientimaiden järjestön (Opec) kanssa öljymarkkinoiden vakauden ja kohtuuhintaisuuden varmistamiseksi</w:t>
      </w:r>
    </w:p>
    <w:p w14:paraId="2DA5CBE0" w14:textId="53539BCA" w:rsidR="00B343AD" w:rsidRDefault="00AB4758" w:rsidP="00B343AD">
      <w:pPr>
        <w:pStyle w:val="ListParagraph"/>
        <w:numPr>
          <w:ilvl w:val="0"/>
          <w:numId w:val="5"/>
        </w:numPr>
        <w:spacing w:after="240"/>
        <w:jc w:val="both"/>
        <w:rPr>
          <w:rFonts w:ascii="Times New Roman" w:hAnsi="Times New Roman" w:cs="Times New Roman"/>
          <w:b/>
          <w:bCs/>
          <w:noProof/>
          <w:sz w:val="24"/>
          <w:szCs w:val="24"/>
        </w:rPr>
      </w:pPr>
      <w:r>
        <w:rPr>
          <w:rFonts w:ascii="Times New Roman" w:hAnsi="Times New Roman"/>
          <w:b/>
          <w:bCs/>
          <w:noProof/>
          <w:sz w:val="24"/>
          <w:szCs w:val="24"/>
        </w:rPr>
        <w:t>koordinoidaan EU:n toimia, joilla reagoidaan öljymarkkinoihin kohdistuvaan paineeseen, myös mahdollisia öljyvarastojen vapautuksia osana IEA:n yhteistä toimintaa tai EU:n vastausta toimitushäiriöihin</w:t>
      </w:r>
    </w:p>
    <w:p w14:paraId="4C8B0A85" w14:textId="66072B43" w:rsidR="00CD794A" w:rsidRPr="00C042EE" w:rsidRDefault="00AB4758" w:rsidP="006A4CD9">
      <w:pPr>
        <w:pStyle w:val="ListParagraph"/>
        <w:numPr>
          <w:ilvl w:val="0"/>
          <w:numId w:val="5"/>
        </w:numPr>
        <w:spacing w:after="240"/>
        <w:jc w:val="both"/>
        <w:rPr>
          <w:rFonts w:ascii="Times New Roman" w:hAnsi="Times New Roman" w:cs="Times New Roman"/>
          <w:b/>
          <w:bCs/>
          <w:noProof/>
          <w:sz w:val="24"/>
          <w:szCs w:val="24"/>
        </w:rPr>
      </w:pPr>
      <w:r>
        <w:rPr>
          <w:rFonts w:ascii="Times New Roman" w:hAnsi="Times New Roman"/>
          <w:b/>
          <w:bCs/>
          <w:noProof/>
          <w:sz w:val="24"/>
          <w:szCs w:val="24"/>
        </w:rPr>
        <w:t>nopeutetaan ydinvoimalaitosten polttoaineen toimituslähteiden monipuolistamista muun muassa yhteistyössä Euroopan atomienergiayhteisön (Euratom)</w:t>
      </w:r>
      <w:r w:rsidR="00DB12C3">
        <w:rPr>
          <w:rStyle w:val="FootnoteReference"/>
          <w:rFonts w:ascii="Times New Roman" w:hAnsi="Times New Roman" w:cs="Times New Roman"/>
          <w:b/>
          <w:bCs/>
          <w:noProof/>
          <w:sz w:val="24"/>
          <w:szCs w:val="24"/>
        </w:rPr>
        <w:footnoteReference w:id="8"/>
      </w:r>
      <w:r>
        <w:rPr>
          <w:rFonts w:ascii="Times New Roman" w:hAnsi="Times New Roman"/>
          <w:b/>
          <w:bCs/>
          <w:noProof/>
          <w:sz w:val="24"/>
          <w:szCs w:val="24"/>
        </w:rPr>
        <w:t xml:space="preserve"> kanssa. </w:t>
      </w:r>
    </w:p>
    <w:p w14:paraId="0D1F685C" w14:textId="77777777" w:rsidR="00CD794A" w:rsidRPr="00B262CB" w:rsidRDefault="00096E58" w:rsidP="00CD794A">
      <w:pPr>
        <w:pStyle w:val="Heading1"/>
        <w:numPr>
          <w:ilvl w:val="1"/>
          <w:numId w:val="1"/>
        </w:numPr>
        <w:spacing w:after="240"/>
        <w:rPr>
          <w:rFonts w:ascii="Times New Roman" w:eastAsia="Times New Roman" w:hAnsi="Times New Roman" w:cs="Times New Roman"/>
          <w:b/>
          <w:noProof/>
          <w:color w:val="auto"/>
          <w:sz w:val="24"/>
          <w:szCs w:val="24"/>
        </w:rPr>
      </w:pPr>
      <w:bookmarkStart w:id="7" w:name="_Hlk102919389"/>
      <w:r>
        <w:rPr>
          <w:rFonts w:ascii="Times New Roman" w:hAnsi="Times New Roman"/>
          <w:b/>
          <w:noProof/>
          <w:color w:val="auto"/>
          <w:sz w:val="24"/>
          <w:szCs w:val="24"/>
        </w:rPr>
        <w:t xml:space="preserve">Energiansäästöt ja energiatehokkuus etusijalle </w:t>
      </w:r>
    </w:p>
    <w:p w14:paraId="08F35550" w14:textId="564B4E79" w:rsidR="00FF6638" w:rsidRDefault="00BE72B2" w:rsidP="00DB3A3C">
      <w:pPr>
        <w:spacing w:after="240"/>
        <w:jc w:val="both"/>
        <w:rPr>
          <w:rFonts w:ascii="Times New Roman" w:hAnsi="Times New Roman" w:cs="Times New Roman"/>
          <w:noProof/>
          <w:sz w:val="24"/>
          <w:szCs w:val="24"/>
        </w:rPr>
      </w:pPr>
      <w:r>
        <w:rPr>
          <w:rFonts w:ascii="Times New Roman" w:hAnsi="Times New Roman"/>
          <w:noProof/>
          <w:sz w:val="24"/>
          <w:szCs w:val="24"/>
        </w:rPr>
        <w:t xml:space="preserve">Samalla kun EU vähentää asteittain Venäjän energiatoimituksia, se </w:t>
      </w:r>
      <w:r>
        <w:rPr>
          <w:rFonts w:ascii="Times New Roman" w:hAnsi="Times New Roman"/>
          <w:b/>
          <w:bCs/>
          <w:noProof/>
          <w:sz w:val="24"/>
          <w:szCs w:val="24"/>
        </w:rPr>
        <w:t>asettaa etusijalle energiansäästöt ja energiatehokkuuden</w:t>
      </w:r>
      <w:r>
        <w:rPr>
          <w:rFonts w:ascii="Times New Roman" w:hAnsi="Times New Roman"/>
          <w:noProof/>
          <w:sz w:val="24"/>
          <w:szCs w:val="24"/>
        </w:rPr>
        <w:t xml:space="preserve">. Tavoitteena on vähentää öljyn ja kaasun kysyntää 5 prosenttia lyhyellä aikavälillä, mikä puolestaan vähentää maailmanlaajuisten markkinoiden hinta- ja kysyntäpainetta. EU tekee myös yhteistyötä kansainvälisten kumppaneiden kanssa, jotta </w:t>
      </w:r>
      <w:r>
        <w:rPr>
          <w:rFonts w:ascii="Times New Roman" w:hAnsi="Times New Roman"/>
          <w:b/>
          <w:bCs/>
          <w:noProof/>
          <w:sz w:val="24"/>
          <w:szCs w:val="24"/>
        </w:rPr>
        <w:t>energiansäästöt ja energiatehokkuus asetetaan ensisijaiseksi tavoitteeksi maailmanlaajuisesti.</w:t>
      </w:r>
      <w:r>
        <w:rPr>
          <w:rFonts w:ascii="Times New Roman" w:hAnsi="Times New Roman"/>
          <w:noProof/>
          <w:sz w:val="24"/>
          <w:szCs w:val="24"/>
        </w:rPr>
        <w:t xml:space="preserve"> EU keskittyy yhdessä muiden kehittyneiden talouksien kanssa erityisesti energiankulutuksen vähentämiseen muun muassa IEA:n Playing My Part -kampanjan pohjalta. </w:t>
      </w:r>
    </w:p>
    <w:p w14:paraId="7A1C80E7" w14:textId="220E5DDD" w:rsidR="000D3D89" w:rsidRPr="00E0580D" w:rsidRDefault="00BE72B2" w:rsidP="00E0580D">
      <w:pPr>
        <w:spacing w:after="240"/>
        <w:jc w:val="both"/>
        <w:rPr>
          <w:noProof/>
        </w:rPr>
      </w:pPr>
      <w:r>
        <w:rPr>
          <w:rFonts w:ascii="Times New Roman" w:hAnsi="Times New Roman"/>
          <w:noProof/>
          <w:sz w:val="24"/>
          <w:szCs w:val="24"/>
        </w:rPr>
        <w:t xml:space="preserve">Energiatehokkuudella on lukuisia ympäristöön liittyviä, yhteiskunnallisia ja taloudellisia hyötyjä. IEA:n nollanettoskenaariossa maailmantalous kasvaa 40 prosenttia vuoteen 2030 mennessä mutta käyttää 7 prosenttia vähemmän primäärienergiaa. Tähän tarvittavat ratkaisut ovat jo tänä päivänä teknisesti valmiita, kustannustehokkaita ja kaikkien alojen saatavilla. Suurimmat säästöt voidaan saavuttaa julkisten ja yksityisten rakennusten lämmityksessä ja jäähdytyksessä. Muita merkittäviä energiansäästöjä voidaan saada aikaan tehokkaammilla prosesseilla, kiertotalouteen siirtymisellä ja liikenteen alalla sekä tehokkaammilla laitteilla sekä kodeissa (esimerkiksi lämpöpumput) että teollisuudessa. </w:t>
      </w:r>
    </w:p>
    <w:p w14:paraId="328A0984" w14:textId="7A1C0391" w:rsidR="009C4510" w:rsidRPr="006D5C36" w:rsidRDefault="00782FF8" w:rsidP="008D443E">
      <w:pPr>
        <w:pStyle w:val="ListParagraph"/>
        <w:spacing w:after="240"/>
        <w:ind w:left="142"/>
        <w:rPr>
          <w:noProof/>
          <w:sz w:val="18"/>
        </w:rPr>
      </w:pPr>
      <w:r>
        <w:rPr>
          <w:noProof/>
        </w:rPr>
        <w:t xml:space="preserve"> </w:t>
      </w:r>
      <w:r w:rsidR="00894C4C">
        <w:rPr>
          <w:noProof/>
          <w:lang w:val="en-GB" w:eastAsia="en-GB"/>
        </w:rPr>
        <w:drawing>
          <wp:inline distT="0" distB="0" distL="0" distR="0" wp14:anchorId="1FC1B868" wp14:editId="03507523">
            <wp:extent cx="5760720" cy="3952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3952875"/>
                    </a:xfrm>
                    <a:prstGeom prst="rect">
                      <a:avLst/>
                    </a:prstGeom>
                  </pic:spPr>
                </pic:pic>
              </a:graphicData>
            </a:graphic>
          </wp:inline>
        </w:drawing>
      </w:r>
      <w:r>
        <w:rPr>
          <w:rFonts w:asciiTheme="majorBidi" w:hAnsiTheme="majorBidi"/>
          <w:noProof/>
          <w:sz w:val="20"/>
          <w:szCs w:val="24"/>
        </w:rPr>
        <w:t xml:space="preserve">IEA: </w:t>
      </w:r>
      <w:r>
        <w:rPr>
          <w:rFonts w:asciiTheme="majorBidi" w:hAnsiTheme="majorBidi"/>
          <w:noProof/>
          <w:sz w:val="18"/>
        </w:rPr>
        <w:t>Energiaintensiteetin parannusten määrän kaksinkertaistaminen seuraavan vuosikymmenen aikana auttaa vähentämään energian tarvetta 95 eksajoulea (EJ)</w:t>
      </w:r>
    </w:p>
    <w:p w14:paraId="749BE07F" w14:textId="34923DD4" w:rsidR="00E0580D" w:rsidRDefault="00E0580D" w:rsidP="00CD794A">
      <w:pPr>
        <w:spacing w:after="240"/>
        <w:jc w:val="both"/>
        <w:rPr>
          <w:rFonts w:ascii="Times New Roman" w:hAnsi="Times New Roman" w:cs="Times New Roman"/>
          <w:noProof/>
          <w:sz w:val="24"/>
          <w:szCs w:val="24"/>
        </w:rPr>
      </w:pPr>
      <w:r>
        <w:rPr>
          <w:rFonts w:ascii="Times New Roman" w:hAnsi="Times New Roman"/>
          <w:noProof/>
          <w:sz w:val="24"/>
          <w:szCs w:val="24"/>
        </w:rPr>
        <w:t xml:space="preserve">EU:lla on </w:t>
      </w:r>
      <w:r>
        <w:rPr>
          <w:rFonts w:ascii="Times New Roman" w:hAnsi="Times New Roman"/>
          <w:b/>
          <w:bCs/>
          <w:noProof/>
          <w:sz w:val="24"/>
          <w:szCs w:val="24"/>
        </w:rPr>
        <w:t>sääntelyyn, lainsäädäntöön, standardien asettamiseen ja merkintöihin liittyvää kokemusta</w:t>
      </w:r>
      <w:r>
        <w:rPr>
          <w:rFonts w:ascii="Times New Roman" w:hAnsi="Times New Roman"/>
          <w:noProof/>
          <w:sz w:val="24"/>
          <w:szCs w:val="24"/>
        </w:rPr>
        <w:t xml:space="preserve">, joka voi toimia innoittajana monille maille. EU edistää näitä standardeja ja käytäntöjä kansainvälisesti, mutta ottaa samalla huomioon kumppaneidensa erityisolosuhteet. On myös tärkeää saada liikkeelle suuria julkisen ja yksityisen sektorin </w:t>
      </w:r>
      <w:r>
        <w:rPr>
          <w:rFonts w:ascii="Times New Roman" w:hAnsi="Times New Roman"/>
          <w:b/>
          <w:bCs/>
          <w:noProof/>
          <w:sz w:val="24"/>
          <w:szCs w:val="24"/>
        </w:rPr>
        <w:t>pääomainvestointeja</w:t>
      </w:r>
      <w:r>
        <w:rPr>
          <w:rFonts w:ascii="Times New Roman" w:hAnsi="Times New Roman"/>
          <w:noProof/>
          <w:sz w:val="24"/>
          <w:szCs w:val="24"/>
        </w:rPr>
        <w:t>. Energiatehokkuuden rahoittamista koskevat EU:n parhaat käytännöt voidaan jakaa ja niitä voidaan skaalata ylöspäin tiiviissä yhteistyössä rahoituslaitosten ja kansainvälisten kumppaneiden kanssa.</w:t>
      </w:r>
    </w:p>
    <w:p w14:paraId="1B005649" w14:textId="234D14F5" w:rsidR="00CD794A" w:rsidRPr="001F172F" w:rsidRDefault="000D3D89" w:rsidP="00CD794A">
      <w:pPr>
        <w:spacing w:after="240"/>
        <w:jc w:val="both"/>
        <w:rPr>
          <w:rFonts w:ascii="Times New Roman" w:hAnsi="Times New Roman" w:cs="Times New Roman"/>
          <w:noProof/>
          <w:sz w:val="24"/>
          <w:szCs w:val="24"/>
        </w:rPr>
      </w:pPr>
      <w:r>
        <w:rPr>
          <w:rFonts w:ascii="Times New Roman" w:hAnsi="Times New Roman"/>
          <w:noProof/>
          <w:sz w:val="24"/>
          <w:szCs w:val="24"/>
        </w:rPr>
        <w:t>Metaanivuotojen lopettamista koskeva tapaus osoittaa, että energiansäästötoimenpiteisiin liittyvät päästövähennyskustannukset voivat olla negatiivisia: jopa 70 prosenttia öljy-, kaasu- ja hiilialojen metaanipäästöistä voidaan lopettaa nykyisellä teknologialla ja lähes puolet niistä ilman kustannuksia tai voitolla.</w:t>
      </w:r>
      <w:r w:rsidR="00CD794A" w:rsidRPr="00045D9A">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w:t>
      </w:r>
    </w:p>
    <w:p w14:paraId="4309E7FA" w14:textId="122AAB75" w:rsidR="00BF5EA4" w:rsidRDefault="00CD794A" w:rsidP="00F156DE">
      <w:pPr>
        <w:jc w:val="both"/>
        <w:rPr>
          <w:rFonts w:ascii="Times New Roman" w:hAnsi="Times New Roman" w:cs="Times New Roman"/>
          <w:b/>
          <w:bCs/>
          <w:noProof/>
          <w:sz w:val="24"/>
          <w:szCs w:val="24"/>
        </w:rPr>
      </w:pPr>
      <w:r>
        <w:rPr>
          <w:rFonts w:ascii="Times New Roman" w:hAnsi="Times New Roman"/>
          <w:noProof/>
          <w:sz w:val="24"/>
          <w:szCs w:val="24"/>
        </w:rPr>
        <w:t xml:space="preserve">Euroopan komissio on jo hyväksynyt </w:t>
      </w:r>
      <w:r>
        <w:rPr>
          <w:rFonts w:ascii="Times New Roman" w:hAnsi="Times New Roman"/>
          <w:b/>
          <w:bCs/>
          <w:noProof/>
          <w:sz w:val="24"/>
          <w:szCs w:val="24"/>
        </w:rPr>
        <w:t>EU:n metaanistrategian</w:t>
      </w:r>
      <w:r w:rsidR="00035E17">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ja lainsäädäntöehdotuksen sellaisten metaanipäästöjen torjumiseksi, joihin liittyy selkeä kansainvälinen ulottuvuus. Kansainvälisellä tasolla EU on perustanut yhdessä Yhdysvaltojen kanssa </w:t>
      </w:r>
      <w:r>
        <w:rPr>
          <w:rFonts w:ascii="Times New Roman" w:hAnsi="Times New Roman"/>
          <w:b/>
          <w:bCs/>
          <w:noProof/>
          <w:sz w:val="24"/>
          <w:szCs w:val="24"/>
        </w:rPr>
        <w:t>maailmanlaajuisen metaanisitoumuksen</w:t>
      </w:r>
      <w:r w:rsidR="00035E17">
        <w:rPr>
          <w:rStyle w:val="FootnoteReference"/>
          <w:rFonts w:ascii="Times New Roman" w:hAnsi="Times New Roman" w:cs="Times New Roman"/>
          <w:noProof/>
          <w:sz w:val="24"/>
          <w:szCs w:val="24"/>
        </w:rPr>
        <w:footnoteReference w:id="11"/>
      </w:r>
      <w:r>
        <w:rPr>
          <w:rFonts w:ascii="Times New Roman" w:hAnsi="Times New Roman"/>
          <w:noProof/>
          <w:sz w:val="24"/>
          <w:szCs w:val="24"/>
        </w:rPr>
        <w:t>. Osallistujamaat sitoutuvat vähentämään metaanipäästöjensä kokonaismäärää vuoteen 2030 mennessä vähintään 30 prosentilla vuoden 2020 tasosta. Sitoumukseen on jo liittynyt yli 110 maata, joiden osuus maailmanlaajuisista ihmisen aiheuttamista metaanipäästöistä on noin puolet.</w:t>
      </w:r>
    </w:p>
    <w:p w14:paraId="6D07F79D" w14:textId="55A7A9CE" w:rsidR="00096E58" w:rsidRDefault="00CD794A" w:rsidP="00DF6A64">
      <w:pPr>
        <w:pStyle w:val="ListParagraph"/>
        <w:numPr>
          <w:ilvl w:val="0"/>
          <w:numId w:val="4"/>
        </w:num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Keskeiset toimet: tehdään yhteistyötä kumppaneiden kanssa, jotta energiatehokkuus ja energiansäästöt asetetaan ensisijaiseksi tavoitteeksi maailmanlaajuisesti </w:t>
      </w:r>
    </w:p>
    <w:p w14:paraId="65B329CF" w14:textId="15A79432" w:rsidR="00DA653C" w:rsidRPr="00527911" w:rsidRDefault="0089147C" w:rsidP="00DA653C">
      <w:pPr>
        <w:pStyle w:val="ListParagraph"/>
        <w:numPr>
          <w:ilvl w:val="0"/>
          <w:numId w:val="4"/>
        </w:numPr>
        <w:spacing w:after="240"/>
        <w:jc w:val="both"/>
        <w:rPr>
          <w:rFonts w:ascii="Times New Roman" w:hAnsi="Times New Roman" w:cs="Times New Roman"/>
          <w:b/>
          <w:bCs/>
          <w:noProof/>
          <w:sz w:val="24"/>
          <w:szCs w:val="24"/>
        </w:rPr>
      </w:pPr>
      <w:r>
        <w:rPr>
          <w:rFonts w:ascii="Times New Roman" w:hAnsi="Times New Roman"/>
          <w:b/>
          <w:bCs/>
          <w:noProof/>
          <w:sz w:val="24"/>
          <w:szCs w:val="24"/>
        </w:rPr>
        <w:t>tuetaan maailmanlaajuista siirtymistä kiertotalouteen energiankulutuksen vähentämiseksi</w:t>
      </w:r>
    </w:p>
    <w:p w14:paraId="36559F49" w14:textId="188F441C" w:rsidR="00BE0B37" w:rsidRPr="000D3D89" w:rsidRDefault="00AB4758" w:rsidP="006A4A8A">
      <w:pPr>
        <w:pStyle w:val="ListParagraph"/>
        <w:numPr>
          <w:ilvl w:val="0"/>
          <w:numId w:val="4"/>
        </w:numPr>
        <w:jc w:val="both"/>
        <w:rPr>
          <w:rFonts w:ascii="Times New Roman" w:hAnsi="Times New Roman" w:cs="Times New Roman"/>
          <w:b/>
          <w:bCs/>
          <w:noProof/>
          <w:sz w:val="24"/>
          <w:szCs w:val="24"/>
        </w:rPr>
      </w:pPr>
      <w:r>
        <w:rPr>
          <w:rFonts w:ascii="Times New Roman" w:hAnsi="Times New Roman"/>
          <w:b/>
          <w:bCs/>
          <w:noProof/>
          <w:sz w:val="24"/>
          <w:szCs w:val="24"/>
        </w:rPr>
        <w:t>helpotetaan rahoituksen saatavuutta ja saantia energiatehokkuus- ja energiansäästöinvestointeihin</w:t>
      </w:r>
    </w:p>
    <w:p w14:paraId="0DCC7695" w14:textId="4CFBEF01" w:rsidR="000D3D89" w:rsidRDefault="0089147C" w:rsidP="000D3D89">
      <w:pPr>
        <w:pStyle w:val="ListParagraph"/>
        <w:numPr>
          <w:ilvl w:val="0"/>
          <w:numId w:val="4"/>
        </w:numPr>
        <w:jc w:val="both"/>
        <w:rPr>
          <w:rFonts w:ascii="Times New Roman" w:hAnsi="Times New Roman" w:cs="Times New Roman"/>
          <w:b/>
          <w:bCs/>
          <w:noProof/>
          <w:sz w:val="24"/>
          <w:szCs w:val="24"/>
        </w:rPr>
      </w:pPr>
      <w:r>
        <w:rPr>
          <w:rFonts w:ascii="Times New Roman" w:hAnsi="Times New Roman"/>
          <w:b/>
          <w:bCs/>
          <w:noProof/>
          <w:sz w:val="24"/>
          <w:szCs w:val="24"/>
        </w:rPr>
        <w:t>pannaan täytäntöön maailmanlaajuinen metaanisitoumus ja EU:n metaanistrategian ulkoinen ulottuvuus.</w:t>
      </w:r>
    </w:p>
    <w:bookmarkEnd w:id="7"/>
    <w:p w14:paraId="7FD2B758" w14:textId="4475126E" w:rsidR="005A1A2C" w:rsidRPr="00B262CB" w:rsidRDefault="002815EA" w:rsidP="005A1A2C">
      <w:pPr>
        <w:pStyle w:val="Heading1"/>
        <w:numPr>
          <w:ilvl w:val="0"/>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Tuki kumppaneille, joihin Venäjän hyökkäys Ukrainaan on vaikuttanut</w:t>
      </w:r>
    </w:p>
    <w:p w14:paraId="51D0A0D5" w14:textId="407570DD" w:rsidR="00DD11D8" w:rsidRPr="00451FC7" w:rsidRDefault="00DD11D8" w:rsidP="0009606D">
      <w:pPr>
        <w:pStyle w:val="Heading1"/>
        <w:tabs>
          <w:tab w:val="left" w:pos="1950"/>
        </w:tabs>
        <w:spacing w:after="240"/>
        <w:jc w:val="both"/>
        <w:rPr>
          <w:rFonts w:ascii="Times New Roman" w:eastAsiaTheme="minorHAnsi" w:hAnsi="Times New Roman" w:cs="Times New Roman"/>
          <w:noProof/>
          <w:color w:val="auto"/>
          <w:sz w:val="24"/>
          <w:szCs w:val="24"/>
        </w:rPr>
      </w:pPr>
      <w:r>
        <w:rPr>
          <w:rFonts w:ascii="Times New Roman" w:hAnsi="Times New Roman"/>
          <w:noProof/>
          <w:color w:val="auto"/>
          <w:sz w:val="24"/>
          <w:szCs w:val="24"/>
        </w:rPr>
        <w:t xml:space="preserve">Venäjän sotilaallinen hyökkäys kaikkine ulottuvuuksineen aiheuttaa huolestuttavia systeemisiä seurannaisvaikutuksia maailmantalouteen, jota covid-19-pandemia ja ilmastonmuutos ovat jo horjuttaneet. Tällä on erityisen dramaattisia vaikutuksia kehittyviin maihin. </w:t>
      </w:r>
    </w:p>
    <w:p w14:paraId="4BB6DA94" w14:textId="52B6CEA5" w:rsidR="00DD11D8" w:rsidRDefault="004B41FD" w:rsidP="00DD11D8">
      <w:pPr>
        <w:jc w:val="both"/>
        <w:rPr>
          <w:rFonts w:ascii="Times New Roman" w:hAnsi="Times New Roman" w:cs="Times New Roman"/>
          <w:noProof/>
          <w:sz w:val="24"/>
          <w:szCs w:val="24"/>
        </w:rPr>
      </w:pPr>
      <w:r>
        <w:rPr>
          <w:rFonts w:ascii="Times New Roman" w:hAnsi="Times New Roman"/>
          <w:noProof/>
          <w:sz w:val="24"/>
          <w:szCs w:val="24"/>
        </w:rPr>
        <w:t>YK:n kauppa- ja kehityskonferenssin (UNCTAD) tuoreissa ennusteissa</w:t>
      </w:r>
      <w:r w:rsidR="00DD11D8">
        <w:rPr>
          <w:rStyle w:val="FootnoteReference"/>
          <w:rFonts w:ascii="Times New Roman" w:hAnsi="Times New Roman" w:cs="Times New Roman"/>
          <w:noProof/>
          <w:sz w:val="24"/>
          <w:szCs w:val="24"/>
          <w:lang w:val="en-IE"/>
        </w:rPr>
        <w:footnoteReference w:id="12"/>
      </w:r>
      <w:r>
        <w:rPr>
          <w:rFonts w:ascii="Times New Roman" w:hAnsi="Times New Roman"/>
          <w:noProof/>
          <w:sz w:val="24"/>
          <w:szCs w:val="24"/>
        </w:rPr>
        <w:t xml:space="preserve"> arvioidaan, että maailmantalouden BKT:n kasvu jää kokonaisen prosenttiyksikön odotettua alhaisemmaksi Venäjän Ukrainaan toteuttaman hyökkäyksen vuoksi, mikä aiheuttaa vakavia häiriöitä jo valmiiksi kireille elintarvike-, energia- ja rahoitusmarkkinoille.</w:t>
      </w:r>
      <w:r w:rsidR="00DD11D8">
        <w:rPr>
          <w:rStyle w:val="FootnoteReference"/>
          <w:rFonts w:ascii="Times New Roman" w:hAnsi="Times New Roman" w:cs="Times New Roman"/>
          <w:noProof/>
          <w:sz w:val="24"/>
          <w:szCs w:val="24"/>
          <w:lang w:val="en-IE"/>
        </w:rPr>
        <w:footnoteReference w:id="13"/>
      </w:r>
      <w:r>
        <w:rPr>
          <w:rFonts w:ascii="Times New Roman" w:hAnsi="Times New Roman"/>
          <w:noProof/>
          <w:sz w:val="24"/>
          <w:szCs w:val="24"/>
        </w:rPr>
        <w:t xml:space="preserve"> Tuotteiden hinnat ovat nousseet ennätyskorkeiksi: raakaöljyn hinnat ovat nousseet noin 60 prosenttia, kaasun ja lannoitteiden hinnat ovat yli kaksinkertaistuneet ja elintarvikkeiden hinnat ovat 34 prosenttia korkeampia kuin samaan aikaan viime vuonna.</w:t>
      </w:r>
    </w:p>
    <w:p w14:paraId="40EC3961" w14:textId="23098532" w:rsidR="00DD11D8" w:rsidRPr="00EC6429" w:rsidRDefault="00482599" w:rsidP="00DD11D8">
      <w:pPr>
        <w:jc w:val="both"/>
        <w:rPr>
          <w:rFonts w:ascii="Times New Roman" w:hAnsi="Times New Roman" w:cs="Times New Roman"/>
          <w:noProof/>
          <w:sz w:val="24"/>
          <w:szCs w:val="24"/>
        </w:rPr>
      </w:pPr>
      <w:r>
        <w:rPr>
          <w:rFonts w:ascii="Times New Roman" w:hAnsi="Times New Roman"/>
          <w:noProof/>
          <w:sz w:val="24"/>
          <w:szCs w:val="24"/>
        </w:rPr>
        <w:t>YK:n hiljattain tekemien arvioiden mukaan kolmannes 1,7 miljardista ihmisestä, jotka elävät jo köyhyydessä, altistuu elintarvike-, energia- ja rahoitusjärjestelmien häiriöille.</w:t>
      </w:r>
      <w:r w:rsidR="005A74E7">
        <w:rPr>
          <w:rStyle w:val="FootnoteReference"/>
          <w:rFonts w:ascii="Times New Roman" w:hAnsi="Times New Roman" w:cs="Times New Roman"/>
          <w:noProof/>
          <w:sz w:val="24"/>
          <w:szCs w:val="24"/>
        </w:rPr>
        <w:footnoteReference w:id="14"/>
      </w:r>
      <w:r>
        <w:rPr>
          <w:rFonts w:ascii="Times New Roman" w:hAnsi="Times New Roman"/>
          <w:noProof/>
          <w:sz w:val="24"/>
          <w:szCs w:val="24"/>
        </w:rPr>
        <w:t xml:space="preserve"> Tämän seurauksena monien kehittyvien maiden taloudellinen asema heikkenee entisestään, samalla kun lisääntyvät geopoliittiset jännitteet ja taloudellinen epävarmuus lisäävät niiden haavoittuvuutta. </w:t>
      </w:r>
    </w:p>
    <w:p w14:paraId="4162215E" w14:textId="4A226F1A" w:rsidR="00FB1B84" w:rsidRDefault="00DD11D8" w:rsidP="00FB1B84">
      <w:pPr>
        <w:spacing w:after="160"/>
        <w:jc w:val="both"/>
        <w:rPr>
          <w:rFonts w:ascii="Times New Roman" w:hAnsi="Times New Roman" w:cs="Times New Roman"/>
          <w:bCs/>
          <w:noProof/>
          <w:sz w:val="24"/>
          <w:szCs w:val="24"/>
        </w:rPr>
      </w:pPr>
      <w:r>
        <w:rPr>
          <w:rFonts w:ascii="Times New Roman" w:hAnsi="Times New Roman"/>
          <w:bCs/>
          <w:noProof/>
          <w:sz w:val="24"/>
          <w:szCs w:val="24"/>
        </w:rPr>
        <w:t xml:space="preserve">Tämän vaikutuksen huomioon ottaen </w:t>
      </w:r>
      <w:r>
        <w:rPr>
          <w:rFonts w:ascii="Times New Roman" w:hAnsi="Times New Roman"/>
          <w:b/>
          <w:noProof/>
          <w:sz w:val="24"/>
          <w:szCs w:val="24"/>
        </w:rPr>
        <w:t>Euroopan unioni tukee edelleen kaikilla käytössä olevilla välineillä kehittyviä talouksia</w:t>
      </w:r>
      <w:r>
        <w:rPr>
          <w:rFonts w:ascii="Times New Roman" w:hAnsi="Times New Roman"/>
          <w:bCs/>
          <w:noProof/>
          <w:sz w:val="24"/>
          <w:szCs w:val="24"/>
        </w:rPr>
        <w:t xml:space="preserve"> erityisesti Afrikassa ja EU:n naapurimaissa siinä, että ne toipuvat covid-19-pandemiasta ja saavat aikaan osallistavaa ja kestävää kasvua, sekä auttaa luomaan taloudellista häiriönsietokykyä, jota tarvitaan näihin häiriöihin ja ilmastonmuutoskriisiin reagoimiseksi. Kohdassa 4 kuvatut EU:n toimet maailmanlaajuisen oikeudenmukaisen ja vihreän energiasiirtymän tukemiseksi ovat keskeinen osa tätä työtä. EU seuraa ja käsittelee Venäjän hyökkäyksen vaikutusta kumppaneihin kahden- ja monenvälisellä toiminnalla ja tekee töitä yhtenäisen maailmanlaajuisen reaktion aikaansaamiseksi. </w:t>
      </w:r>
    </w:p>
    <w:p w14:paraId="6CA6F8E6" w14:textId="28775548" w:rsidR="00417C5C" w:rsidRPr="00FA793B" w:rsidRDefault="00584DFE" w:rsidP="00AA5D14">
      <w:pPr>
        <w:pStyle w:val="Heading1"/>
        <w:numPr>
          <w:ilvl w:val="1"/>
          <w:numId w:val="1"/>
        </w:numPr>
        <w:spacing w:after="240"/>
        <w:rPr>
          <w:rFonts w:ascii="Times New Roman" w:eastAsia="Times New Roman" w:hAnsi="Times New Roman" w:cs="Times New Roman"/>
          <w:b/>
          <w:noProof/>
          <w:color w:val="auto"/>
          <w:sz w:val="24"/>
          <w:szCs w:val="24"/>
        </w:rPr>
      </w:pPr>
      <w:bookmarkStart w:id="8" w:name="_Hlk103156533"/>
      <w:bookmarkStart w:id="9" w:name="_Hlk102921273"/>
      <w:r>
        <w:rPr>
          <w:rFonts w:ascii="Times New Roman" w:hAnsi="Times New Roman"/>
          <w:b/>
          <w:noProof/>
          <w:color w:val="auto"/>
          <w:sz w:val="24"/>
          <w:szCs w:val="24"/>
        </w:rPr>
        <w:t xml:space="preserve">Ukrainan energiajärjestelmän uusiminen ja yhteistyö läheisten naapurimaiden kanssa </w:t>
      </w:r>
    </w:p>
    <w:p w14:paraId="5CA78305" w14:textId="32AC761E" w:rsidR="00DC37CE" w:rsidRPr="00DC37CE" w:rsidRDefault="00DC37CE" w:rsidP="00DC37CE">
      <w:pPr>
        <w:spacing w:after="240"/>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Venäjän sotilaallisen hyökkäyksen alusta lähtien Ukrainan ja muiden sodan välittömien vaikutusten kohteeksi joutuneiden maiden auttaminen on ollut keskeinen osa EU:n energiapolitiikkaa. EU:n toiminnan painopisteenä on ollut varmistaa Ukrainan keskeytymätön energian saanti ja ydinturvallisuus. </w:t>
      </w:r>
      <w:r>
        <w:rPr>
          <w:rFonts w:ascii="Times New Roman" w:hAnsi="Times New Roman"/>
          <w:b/>
          <w:bCs/>
          <w:noProof/>
          <w:color w:val="000000"/>
          <w:sz w:val="24"/>
          <w:szCs w:val="24"/>
        </w:rPr>
        <w:t>Sähköverkon nopea synkronointi</w:t>
      </w:r>
      <w:r>
        <w:rPr>
          <w:rFonts w:ascii="Times New Roman" w:hAnsi="Times New Roman"/>
          <w:noProof/>
          <w:color w:val="000000"/>
          <w:sz w:val="24"/>
          <w:szCs w:val="24"/>
        </w:rPr>
        <w:t xml:space="preserve"> Ukrainan ja Moldovan kanssa on merkittävä vaihe toimitusvarmuuden varmistamisessa. Seuraava ensisijainen poliittinen tavoite on mahdollistaa sähkökauppa EU:n kanssa lisäämällä asteittain kaupankäyntikapasiteettia.</w:t>
      </w:r>
    </w:p>
    <w:p w14:paraId="215A2D36" w14:textId="76921B2C" w:rsidR="00DC37CE" w:rsidRDefault="00DC37CE" w:rsidP="00DC37CE">
      <w:pPr>
        <w:spacing w:after="240"/>
        <w:jc w:val="both"/>
        <w:rPr>
          <w:rFonts w:ascii="Times New Roman" w:hAnsi="Times New Roman" w:cs="Times New Roman"/>
          <w:noProof/>
          <w:color w:val="000000"/>
          <w:sz w:val="24"/>
          <w:szCs w:val="24"/>
        </w:rPr>
      </w:pPr>
      <w:r>
        <w:rPr>
          <w:rFonts w:ascii="Times New Roman" w:hAnsi="Times New Roman"/>
          <w:b/>
          <w:bCs/>
          <w:noProof/>
          <w:color w:val="000000"/>
          <w:sz w:val="24"/>
          <w:szCs w:val="24"/>
        </w:rPr>
        <w:t>Vastakkaisvirtaukset</w:t>
      </w:r>
      <w:r>
        <w:rPr>
          <w:rFonts w:ascii="Times New Roman" w:hAnsi="Times New Roman"/>
          <w:noProof/>
          <w:color w:val="000000"/>
          <w:sz w:val="24"/>
          <w:szCs w:val="24"/>
        </w:rPr>
        <w:t xml:space="preserve"> mahdollistavat jo nyt kaasun toimittamisen Slovakiasta ja Unkarista Ukrainaan. Kaasun, LNG:n ja vedyn </w:t>
      </w:r>
      <w:r>
        <w:rPr>
          <w:rFonts w:ascii="Times New Roman" w:hAnsi="Times New Roman"/>
          <w:b/>
          <w:bCs/>
          <w:noProof/>
          <w:color w:val="000000"/>
          <w:sz w:val="24"/>
          <w:szCs w:val="24"/>
        </w:rPr>
        <w:t>yhteishankintoja koskevan EU:n foorumin</w:t>
      </w:r>
      <w:r>
        <w:rPr>
          <w:rFonts w:ascii="Times New Roman" w:hAnsi="Times New Roman"/>
          <w:noProof/>
          <w:color w:val="000000"/>
          <w:sz w:val="24"/>
          <w:szCs w:val="24"/>
        </w:rPr>
        <w:t xml:space="preserve"> avaaminen Ukrainalle, Moldovalle, Georgialle ja Länsi-Balkanin kumppaneille on myös selkeä osoitus tuesta. Ukrainan vaurioituneita energialaitteita korjataan ohjaamalla erikoistuneita energialaitteita jäsenvaltioista Ukrainaan EU:n pelastuspalvelumekanismin kautta. Tarvikkeet, joita jäsenvaltiot eivät kykene toimittamaan, hankitaan energiayhteisön perustaman Energy Support Fund for Ukraine -tukirahaston kautta. </w:t>
      </w:r>
    </w:p>
    <w:p w14:paraId="1B8534A8" w14:textId="4AC0885A" w:rsidR="00DC37CE" w:rsidRPr="00DC37CE" w:rsidRDefault="00DC37CE" w:rsidP="00DC37CE">
      <w:pPr>
        <w:spacing w:after="240"/>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Jotta Ukrainan energiamarkkinat voitaisiin tulevaisuudessa integroida kokonaan, EU tarjoaa teknistä tukea markkinauudistusten varmistamiseksi. Uudistukset parantavat myös uusiutuvan energian integroimista ja auttavat EU:n ilmastotavoitteisiin mukautumisessa. Tätä työtä tehdään </w:t>
      </w:r>
      <w:r>
        <w:rPr>
          <w:rFonts w:ascii="Times New Roman" w:hAnsi="Times New Roman"/>
          <w:b/>
          <w:bCs/>
          <w:noProof/>
          <w:color w:val="000000"/>
          <w:sz w:val="24"/>
          <w:szCs w:val="24"/>
        </w:rPr>
        <w:t xml:space="preserve">assosiaatiosopimuksen </w:t>
      </w:r>
      <w:r>
        <w:rPr>
          <w:rFonts w:ascii="Times New Roman" w:hAnsi="Times New Roman"/>
          <w:b/>
          <w:bCs/>
          <w:noProof/>
          <w:color w:val="000000" w:themeColor="text1"/>
          <w:sz w:val="24"/>
          <w:szCs w:val="24"/>
        </w:rPr>
        <w:t>ja EU:n ja Ukrainan välisen strategisen kumppanuuden puitteissa</w:t>
      </w:r>
      <w:r>
        <w:rPr>
          <w:rFonts w:ascii="Times New Roman" w:hAnsi="Times New Roman"/>
          <w:noProof/>
          <w:color w:val="000000" w:themeColor="text1"/>
          <w:sz w:val="24"/>
          <w:szCs w:val="24"/>
        </w:rPr>
        <w:t xml:space="preserve">. Energiayhteisöllä ja hiljattain perustetulla </w:t>
      </w:r>
      <w:r>
        <w:rPr>
          <w:rFonts w:ascii="Times New Roman" w:hAnsi="Times New Roman"/>
          <w:noProof/>
          <w:color w:val="000000"/>
          <w:sz w:val="24"/>
          <w:szCs w:val="24"/>
        </w:rPr>
        <w:t xml:space="preserve">Ukrainaa käsittelevällä energiatyöryhmällä (Ukraine Energy Task Force) on tärkeä rooli tässä työssä. </w:t>
      </w:r>
    </w:p>
    <w:p w14:paraId="6041C1CF" w14:textId="77777777" w:rsidR="00DC37CE" w:rsidRPr="00DC37CE" w:rsidRDefault="00DC37CE" w:rsidP="00DC37CE">
      <w:pPr>
        <w:spacing w:after="240"/>
        <w:jc w:val="both"/>
        <w:rPr>
          <w:rFonts w:ascii="Times New Roman" w:hAnsi="Times New Roman" w:cs="Times New Roman"/>
          <w:noProof/>
          <w:color w:val="000000"/>
          <w:sz w:val="24"/>
          <w:szCs w:val="24"/>
        </w:rPr>
      </w:pPr>
      <w:r>
        <w:rPr>
          <w:rFonts w:ascii="Times New Roman" w:hAnsi="Times New Roman"/>
          <w:b/>
          <w:noProof/>
          <w:color w:val="000000"/>
          <w:sz w:val="24"/>
          <w:szCs w:val="24"/>
        </w:rPr>
        <w:t>Ydinturvallisuus on edelleen tärkeä painopiste</w:t>
      </w:r>
      <w:r>
        <w:rPr>
          <w:rFonts w:ascii="Times New Roman" w:hAnsi="Times New Roman"/>
          <w:noProof/>
          <w:color w:val="000000"/>
          <w:sz w:val="24"/>
        </w:rPr>
        <w:t xml:space="preserve"> </w:t>
      </w:r>
      <w:r>
        <w:rPr>
          <w:rFonts w:ascii="Times New Roman" w:hAnsi="Times New Roman"/>
          <w:noProof/>
          <w:color w:val="000000"/>
          <w:sz w:val="24"/>
          <w:szCs w:val="24"/>
        </w:rPr>
        <w:t>erityisesti Venäjän Ukrainan ydinvoimalaitoksissa harjoittaman vastuuttoman toiminnan seurauksena. EU tukee täysin Kansainvälisen atomienergiajärjestön (IAEA) toimia Ukrainan ydinvoimalaitosten turvallisuuden varmistamiseksi kaikkina aikoina. EU ottaa käyttöön kansainvälisen ydinturvallisuusyhteistyön eurooppalaisen välineen, jotta voidaan vastata kiireellisiin tarpeisiin ja palauttaa ydinturvallisuus kansainvälisen oikeudellisen kehyksen mukaiseksi. Lisäksi EU antaa pitkäaikaista tukea Ukrainan sääntelyviranomaiselle. EU on valmis auttamaan tarvittavien ydinturvallisuuteen liittyvien valmiuksien jälleenrakentamisessa.</w:t>
      </w:r>
    </w:p>
    <w:p w14:paraId="55B5058E" w14:textId="5B5A5587" w:rsidR="00DC37CE" w:rsidRPr="00EE4C6B" w:rsidRDefault="00DC37CE" w:rsidP="00DC37CE">
      <w:pPr>
        <w:spacing w:after="240"/>
        <w:jc w:val="both"/>
        <w:rPr>
          <w:rFonts w:ascii="Times New Roman" w:hAnsi="Times New Roman" w:cs="Times New Roman"/>
          <w:noProof/>
          <w:sz w:val="24"/>
          <w:szCs w:val="24"/>
        </w:rPr>
      </w:pPr>
      <w:r>
        <w:rPr>
          <w:rFonts w:ascii="Times New Roman" w:hAnsi="Times New Roman"/>
          <w:noProof/>
          <w:color w:val="000000"/>
          <w:sz w:val="24"/>
          <w:szCs w:val="24"/>
        </w:rPr>
        <w:t xml:space="preserve">Jatkoa ajatellen EU on määrittänyt lähestymistapansa </w:t>
      </w:r>
      <w:r>
        <w:rPr>
          <w:rFonts w:ascii="Times New Roman" w:hAnsi="Times New Roman"/>
          <w:noProof/>
          <w:sz w:val="24"/>
          <w:szCs w:val="24"/>
        </w:rPr>
        <w:t xml:space="preserve">pidemmän aikavälin jälleenrakentamiseen tiedonannossa </w:t>
      </w:r>
      <w:r>
        <w:rPr>
          <w:rFonts w:ascii="Times New Roman" w:hAnsi="Times New Roman"/>
          <w:i/>
          <w:iCs/>
          <w:noProof/>
          <w:sz w:val="24"/>
          <w:szCs w:val="24"/>
        </w:rPr>
        <w:t>Ukrainan hätäapu ja jälleenrakennus</w:t>
      </w:r>
      <w:r w:rsidR="00B86A78">
        <w:rPr>
          <w:rStyle w:val="FootnoteReference"/>
          <w:rFonts w:ascii="Times New Roman" w:hAnsi="Times New Roman" w:cs="Times New Roman"/>
          <w:noProof/>
          <w:sz w:val="24"/>
          <w:szCs w:val="24"/>
        </w:rPr>
        <w:footnoteReference w:id="15"/>
      </w:r>
      <w:r>
        <w:rPr>
          <w:rFonts w:ascii="Times New Roman" w:hAnsi="Times New Roman"/>
          <w:noProof/>
          <w:sz w:val="24"/>
          <w:szCs w:val="24"/>
        </w:rPr>
        <w:t>. EU</w:t>
      </w:r>
      <w:r>
        <w:rPr>
          <w:rFonts w:ascii="Times New Roman" w:hAnsi="Times New Roman"/>
          <w:noProof/>
          <w:color w:val="000000"/>
          <w:sz w:val="24"/>
          <w:szCs w:val="24"/>
        </w:rPr>
        <w:t xml:space="preserve"> tekee yhteistyötä Ukrainan kanssa </w:t>
      </w:r>
      <w:r>
        <w:rPr>
          <w:rFonts w:ascii="Times New Roman" w:hAnsi="Times New Roman"/>
          <w:b/>
          <w:bCs/>
          <w:noProof/>
          <w:color w:val="000000"/>
          <w:sz w:val="24"/>
          <w:szCs w:val="24"/>
        </w:rPr>
        <w:t>REPowerUkraine-aloitteen</w:t>
      </w:r>
      <w:r>
        <w:rPr>
          <w:rFonts w:ascii="Times New Roman" w:hAnsi="Times New Roman"/>
          <w:noProof/>
          <w:color w:val="000000"/>
          <w:sz w:val="24"/>
          <w:szCs w:val="24"/>
        </w:rPr>
        <w:t xml:space="preserve"> valmistelemiseksi, jotta voidaan rakentaa Ukrainan energiajärjestelmä uudelleen entistä paremmaksi. Aloitteen tavoitteena on mahdollistaa</w:t>
      </w:r>
      <w:r>
        <w:rPr>
          <w:rFonts w:ascii="Times New Roman" w:hAnsi="Times New Roman"/>
          <w:noProof/>
          <w:sz w:val="24"/>
          <w:szCs w:val="24"/>
        </w:rPr>
        <w:t xml:space="preserve"> Ukrainan energia-alan irtautuminen hiilestä ja varmistaa siten Ukrainan energiaomavaraisuus. Aloitteen painopisteenä olisi oltava energiatehokkuus, uusiutuvat energialähteet, uusiutuva vety, biometaani ja tulevaisuuden vaatimukset huomioon ottava infrastruktuuri. EU tukee tätä prosessia sekä taloudellisesti että teknisesti. </w:t>
      </w:r>
    </w:p>
    <w:p w14:paraId="05B4AF3D" w14:textId="356CE705" w:rsidR="00ED4CAE" w:rsidRDefault="00ED4CAE" w:rsidP="00EE4C6B">
      <w:pPr>
        <w:spacing w:after="240"/>
        <w:jc w:val="both"/>
        <w:rPr>
          <w:rFonts w:ascii="Times New Roman" w:hAnsi="Times New Roman" w:cs="Times New Roman"/>
          <w:noProof/>
          <w:sz w:val="24"/>
          <w:szCs w:val="24"/>
        </w:rPr>
      </w:pPr>
      <w:bookmarkStart w:id="10" w:name="_Hlk103112470"/>
      <w:r>
        <w:rPr>
          <w:rFonts w:ascii="Times New Roman" w:hAnsi="Times New Roman"/>
          <w:noProof/>
          <w:sz w:val="24"/>
          <w:szCs w:val="24"/>
        </w:rPr>
        <w:t xml:space="preserve">EU jatkaa </w:t>
      </w:r>
      <w:r>
        <w:rPr>
          <w:rFonts w:ascii="Times New Roman" w:hAnsi="Times New Roman"/>
          <w:b/>
          <w:bCs/>
          <w:noProof/>
          <w:sz w:val="24"/>
          <w:szCs w:val="24"/>
        </w:rPr>
        <w:t>Länsi-Balkanin</w:t>
      </w:r>
      <w:r>
        <w:rPr>
          <w:rFonts w:ascii="Times New Roman" w:hAnsi="Times New Roman"/>
          <w:noProof/>
          <w:sz w:val="24"/>
          <w:szCs w:val="24"/>
        </w:rPr>
        <w:t xml:space="preserve"> kanssa </w:t>
      </w:r>
      <w:r>
        <w:rPr>
          <w:rFonts w:ascii="Times New Roman" w:hAnsi="Times New Roman"/>
          <w:b/>
          <w:bCs/>
          <w:noProof/>
          <w:sz w:val="24"/>
          <w:szCs w:val="24"/>
        </w:rPr>
        <w:t>alueen vihreän toimintaohjelman ja energiaomavaraisuuden tukemista ja edistää uudistuksia</w:t>
      </w:r>
      <w:r>
        <w:rPr>
          <w:rFonts w:ascii="Times New Roman" w:hAnsi="Times New Roman"/>
          <w:noProof/>
          <w:sz w:val="24"/>
          <w:szCs w:val="24"/>
        </w:rPr>
        <w:t xml:space="preserve">, jotka tukevat alueen lähentymistä EU:hun. Energiayhteisö tekee Euroopan komission tuella töitä energia- ja ilmastotavoitteiden määrittämiseksi vuodelle 2030. Näin voidaan antaa oikeat investointisignaalit ja varmistaa poliittinen sitoutuminen hiilen käytön asteittaiseen lopettamiseen ja energiasiirtymään yleisellä tasolla. Energiayhteisön marraskuussa 2021 antamien keskeisten säädösten täytäntöönpano mahdollistaa uusiutuvien energialähteiden paremman integroinnin, varastoinnin ja kulutusjouston. </w:t>
      </w:r>
    </w:p>
    <w:p w14:paraId="3E6964B3" w14:textId="3F33C782" w:rsidR="00CC199B" w:rsidRPr="00EE4C6B" w:rsidRDefault="007D7A5C" w:rsidP="00664D60">
      <w:pPr>
        <w:spacing w:after="240"/>
        <w:jc w:val="both"/>
        <w:rPr>
          <w:rFonts w:ascii="Times New Roman" w:hAnsi="Times New Roman" w:cs="Times New Roman"/>
          <w:noProof/>
          <w:sz w:val="24"/>
          <w:szCs w:val="24"/>
        </w:rPr>
      </w:pPr>
      <w:r>
        <w:rPr>
          <w:rFonts w:ascii="Times New Roman" w:hAnsi="Times New Roman"/>
          <w:noProof/>
          <w:sz w:val="24"/>
          <w:szCs w:val="24"/>
        </w:rPr>
        <w:t xml:space="preserve">EU ehdottaa </w:t>
      </w:r>
      <w:r>
        <w:rPr>
          <w:rFonts w:ascii="Times New Roman" w:hAnsi="Times New Roman"/>
          <w:b/>
          <w:bCs/>
          <w:noProof/>
          <w:sz w:val="24"/>
          <w:szCs w:val="24"/>
        </w:rPr>
        <w:t>Länsi-Balkanin kattavaa integroimista EU:n sisäisiin sähkömarkkinoihin</w:t>
      </w:r>
      <w:r>
        <w:rPr>
          <w:rFonts w:ascii="Times New Roman" w:hAnsi="Times New Roman"/>
          <w:noProof/>
          <w:sz w:val="24"/>
          <w:szCs w:val="24"/>
        </w:rPr>
        <w:t xml:space="preserve">, jotta voidaan mahdollistaa siirtyminen uusiutuvan energian tuotantoon ja energian hiilestä irtautuminen Kaakkois-Euroopassa. Hiilen hinnoittelun asteittainen käyttöönotto voisi lisätä yhdenmukaisuutta EU:n kanssa. </w:t>
      </w:r>
    </w:p>
    <w:bookmarkEnd w:id="10"/>
    <w:p w14:paraId="31665AD7" w14:textId="136D452D" w:rsidR="00B343AD" w:rsidRPr="00B343AD" w:rsidRDefault="00B343AD" w:rsidP="00B343AD">
      <w:pPr>
        <w:spacing w:after="240"/>
        <w:jc w:val="both"/>
        <w:rPr>
          <w:rFonts w:ascii="Times New Roman" w:hAnsi="Times New Roman" w:cs="Times New Roman"/>
          <w:b/>
          <w:bCs/>
          <w:noProof/>
          <w:color w:val="000000"/>
          <w:sz w:val="24"/>
          <w:szCs w:val="24"/>
        </w:rPr>
      </w:pPr>
      <w:r>
        <w:rPr>
          <w:rFonts w:ascii="Times New Roman" w:hAnsi="Times New Roman"/>
          <w:b/>
          <w:bCs/>
          <w:noProof/>
          <w:color w:val="000000"/>
          <w:sz w:val="24"/>
          <w:szCs w:val="24"/>
        </w:rPr>
        <w:t xml:space="preserve">Keskeiset toimet: </w:t>
      </w:r>
    </w:p>
    <w:p w14:paraId="3EB7C18C" w14:textId="3267669B" w:rsidR="00F15352" w:rsidRPr="00B343AD" w:rsidRDefault="00AB4758" w:rsidP="00AA5D14">
      <w:pPr>
        <w:pStyle w:val="ListParagraph"/>
        <w:numPr>
          <w:ilvl w:val="0"/>
          <w:numId w:val="4"/>
        </w:numPr>
        <w:spacing w:after="0"/>
        <w:jc w:val="both"/>
        <w:rPr>
          <w:rFonts w:ascii="Times New Roman" w:hAnsi="Times New Roman" w:cs="Times New Roman"/>
          <w:b/>
          <w:bCs/>
          <w:noProof/>
          <w:sz w:val="24"/>
          <w:szCs w:val="24"/>
        </w:rPr>
      </w:pPr>
      <w:r>
        <w:rPr>
          <w:rFonts w:ascii="Times New Roman" w:hAnsi="Times New Roman"/>
          <w:b/>
          <w:bCs/>
          <w:noProof/>
          <w:sz w:val="24"/>
          <w:szCs w:val="24"/>
        </w:rPr>
        <w:t xml:space="preserve">tuetaan Ukrainan energiainfrastruktuurin korjaamista ja jälleenrakentamista </w:t>
      </w:r>
    </w:p>
    <w:p w14:paraId="2A88F0BA" w14:textId="510AAC39" w:rsidR="00F15352" w:rsidRPr="00B343AD" w:rsidRDefault="00AB4758" w:rsidP="00AA5D14">
      <w:pPr>
        <w:pStyle w:val="ListParagraph"/>
        <w:numPr>
          <w:ilvl w:val="0"/>
          <w:numId w:val="4"/>
        </w:numPr>
        <w:spacing w:after="0"/>
        <w:jc w:val="both"/>
        <w:rPr>
          <w:rFonts w:ascii="Times New Roman" w:hAnsi="Times New Roman" w:cs="Times New Roman"/>
          <w:b/>
          <w:bCs/>
          <w:noProof/>
          <w:sz w:val="24"/>
          <w:szCs w:val="24"/>
        </w:rPr>
      </w:pPr>
      <w:r>
        <w:rPr>
          <w:rFonts w:ascii="Times New Roman" w:hAnsi="Times New Roman"/>
          <w:b/>
          <w:bCs/>
          <w:noProof/>
          <w:sz w:val="24"/>
          <w:szCs w:val="24"/>
        </w:rPr>
        <w:t>lisätään rajat ylittävää kapasiteettiä sähkökaupan mahdollistamiseksi</w:t>
      </w:r>
    </w:p>
    <w:p w14:paraId="6287D361" w14:textId="318A1634" w:rsidR="00F15352" w:rsidRPr="00B343AD" w:rsidRDefault="00A77DFB" w:rsidP="00AA5D14">
      <w:pPr>
        <w:pStyle w:val="ListParagraph"/>
        <w:numPr>
          <w:ilvl w:val="0"/>
          <w:numId w:val="4"/>
        </w:numPr>
        <w:spacing w:after="160"/>
        <w:jc w:val="both"/>
        <w:rPr>
          <w:rFonts w:ascii="Times New Roman" w:hAnsi="Times New Roman" w:cs="Times New Roman"/>
          <w:b/>
          <w:bCs/>
          <w:noProof/>
          <w:sz w:val="24"/>
          <w:szCs w:val="24"/>
        </w:rPr>
      </w:pPr>
      <w:r>
        <w:rPr>
          <w:rFonts w:ascii="Times New Roman" w:hAnsi="Times New Roman"/>
          <w:b/>
          <w:bCs/>
          <w:noProof/>
          <w:sz w:val="24"/>
          <w:szCs w:val="24"/>
        </w:rPr>
        <w:t>helpotetaan kaasun vastakkaisvirtausta Ukrainaan Slovakian, Unkarin ja Puolan kautta sekä Moldovaan ja Ukrainaan Romanian kautta (Balkanin kaasuputki)</w:t>
      </w:r>
    </w:p>
    <w:p w14:paraId="447B315B" w14:textId="170E2A2D" w:rsidR="004600C1" w:rsidRPr="00ED4CAE" w:rsidRDefault="00A77DFB" w:rsidP="004600C1">
      <w:pPr>
        <w:pStyle w:val="ListParagraph"/>
        <w:numPr>
          <w:ilvl w:val="0"/>
          <w:numId w:val="4"/>
        </w:numPr>
        <w:spacing w:after="160"/>
        <w:jc w:val="both"/>
        <w:rPr>
          <w:rFonts w:ascii="Calibri" w:hAnsi="Calibri" w:cs="Calibri"/>
          <w:noProof/>
          <w:color w:val="1F497D"/>
        </w:rPr>
      </w:pPr>
      <w:r>
        <w:rPr>
          <w:rFonts w:ascii="Times New Roman" w:hAnsi="Times New Roman"/>
          <w:b/>
          <w:bCs/>
          <w:noProof/>
          <w:sz w:val="24"/>
          <w:szCs w:val="24"/>
        </w:rPr>
        <w:t xml:space="preserve">kutsutaan Ukraina, Moldova, Georgia ja Länsi-Balkanin maat osallistumaan EU:n vapaaehtoiseen kaasun hankintajärjestelyyn </w:t>
      </w:r>
    </w:p>
    <w:p w14:paraId="1756B977" w14:textId="064F70AD" w:rsidR="00666566" w:rsidRPr="00ED4CAE" w:rsidRDefault="00A77DFB" w:rsidP="00EE4C6B">
      <w:pPr>
        <w:pStyle w:val="ListParagraph"/>
        <w:numPr>
          <w:ilvl w:val="0"/>
          <w:numId w:val="4"/>
        </w:numPr>
        <w:spacing w:after="160"/>
        <w:jc w:val="both"/>
        <w:rPr>
          <w:rFonts w:ascii="Times New Roman" w:hAnsi="Times New Roman" w:cs="Times New Roman"/>
          <w:b/>
          <w:bCs/>
          <w:noProof/>
          <w:sz w:val="24"/>
          <w:szCs w:val="24"/>
        </w:rPr>
      </w:pPr>
      <w:r>
        <w:rPr>
          <w:rFonts w:ascii="Times New Roman" w:hAnsi="Times New Roman"/>
          <w:b/>
          <w:bCs/>
          <w:noProof/>
          <w:sz w:val="24"/>
          <w:szCs w:val="24"/>
        </w:rPr>
        <w:t xml:space="preserve">nopeutetaan Länsi-Balkanin ja itäisen kumppanuuden maiden talous- ja investointisuunnitelmien mukaisia kansallisia uudistuksia ja energiaa koskevia lippulaivahankkeita, jotka on mukautettu nykytilanteeseen, jotta voidaan vauhdittaa uusiutuvien energialähteiden käyttöönottoa, varmistaa vihreä energiasiirtymä ja auttaa vähentämään riippuvuutta venäläisestä kaasusta </w:t>
      </w:r>
    </w:p>
    <w:p w14:paraId="7515B709" w14:textId="5D4C7932" w:rsidR="00584DFE" w:rsidRPr="00584DFE" w:rsidRDefault="00A77DFB" w:rsidP="004733FC">
      <w:pPr>
        <w:pStyle w:val="ListParagraph"/>
        <w:numPr>
          <w:ilvl w:val="0"/>
          <w:numId w:val="4"/>
        </w:numPr>
        <w:spacing w:after="160"/>
        <w:jc w:val="both"/>
        <w:rPr>
          <w:rFonts w:ascii="Times New Roman" w:hAnsi="Times New Roman" w:cs="Times New Roman"/>
          <w:b/>
          <w:bCs/>
          <w:noProof/>
          <w:sz w:val="24"/>
          <w:szCs w:val="24"/>
        </w:rPr>
      </w:pPr>
      <w:r>
        <w:rPr>
          <w:rFonts w:ascii="Times New Roman" w:hAnsi="Times New Roman"/>
          <w:b/>
          <w:bCs/>
          <w:noProof/>
          <w:sz w:val="24"/>
          <w:szCs w:val="24"/>
        </w:rPr>
        <w:t>hyödynnetään energiayhteisön toimintakehystä, jotta voidaan kannustaa asettamaan kunnianhimoisia energia- ja ilmastotavoitteita ja tekemään kunnianhimoisia markkinauudistuksia sekä edistää uusiutuvia energialähteitä ja energiatehokkuutta</w:t>
      </w:r>
    </w:p>
    <w:p w14:paraId="5D1BC5EF" w14:textId="0BA6E7A3" w:rsidR="005241EE" w:rsidRDefault="00A77DFB" w:rsidP="005241EE">
      <w:pPr>
        <w:pStyle w:val="ListParagraph"/>
        <w:numPr>
          <w:ilvl w:val="0"/>
          <w:numId w:val="4"/>
        </w:numPr>
        <w:spacing w:after="160"/>
        <w:jc w:val="both"/>
        <w:rPr>
          <w:rFonts w:ascii="Times New Roman" w:hAnsi="Times New Roman" w:cs="Times New Roman"/>
          <w:b/>
          <w:bCs/>
          <w:noProof/>
          <w:sz w:val="24"/>
          <w:szCs w:val="24"/>
        </w:rPr>
      </w:pPr>
      <w:r>
        <w:rPr>
          <w:rFonts w:ascii="Times New Roman" w:hAnsi="Times New Roman"/>
          <w:b/>
          <w:bCs/>
          <w:noProof/>
          <w:sz w:val="24"/>
          <w:szCs w:val="24"/>
        </w:rPr>
        <w:t xml:space="preserve">käynnistetään REPowerUkraine-aloite energiahuollon ja Ukrainan energia-alan jälleenraktamisen varmistamiseksi sodan jälkeen. </w:t>
      </w:r>
    </w:p>
    <w:p w14:paraId="4E7955F6" w14:textId="7836C47D" w:rsidR="006B0D1C" w:rsidRPr="00C571AB" w:rsidRDefault="00FC6D45" w:rsidP="00B343AD">
      <w:pPr>
        <w:pStyle w:val="Heading1"/>
        <w:numPr>
          <w:ilvl w:val="0"/>
          <w:numId w:val="1"/>
        </w:numPr>
        <w:spacing w:after="240"/>
        <w:rPr>
          <w:rFonts w:ascii="Times New Roman" w:eastAsia="Times New Roman" w:hAnsi="Times New Roman" w:cs="Times New Roman"/>
          <w:b/>
          <w:noProof/>
          <w:color w:val="auto"/>
          <w:sz w:val="24"/>
          <w:szCs w:val="24"/>
        </w:rPr>
      </w:pPr>
      <w:bookmarkStart w:id="11" w:name="_Toc99964845"/>
      <w:bookmarkEnd w:id="8"/>
      <w:bookmarkEnd w:id="9"/>
      <w:r>
        <w:rPr>
          <w:rFonts w:ascii="Times New Roman" w:hAnsi="Times New Roman"/>
          <w:b/>
          <w:noProof/>
          <w:color w:val="auto"/>
          <w:sz w:val="24"/>
          <w:szCs w:val="24"/>
        </w:rPr>
        <w:t>Maailmanlaajuisen vihreän ja oikeudenmukaisen energiasiirtymän johtaminen ja nopeuttaminen</w:t>
      </w:r>
      <w:bookmarkEnd w:id="11"/>
    </w:p>
    <w:p w14:paraId="1FE38C85" w14:textId="4F67148D" w:rsidR="00AF3BC5" w:rsidRDefault="00705BCF" w:rsidP="007E0EE2">
      <w:pPr>
        <w:jc w:val="both"/>
        <w:rPr>
          <w:rFonts w:ascii="Times New Roman" w:hAnsi="Times New Roman" w:cs="Times New Roman"/>
          <w:noProof/>
          <w:sz w:val="24"/>
          <w:szCs w:val="24"/>
        </w:rPr>
      </w:pPr>
      <w:r>
        <w:rPr>
          <w:rFonts w:ascii="Times New Roman" w:hAnsi="Times New Roman"/>
          <w:noProof/>
          <w:sz w:val="24"/>
          <w:szCs w:val="24"/>
        </w:rPr>
        <w:t xml:space="preserve">Vihreä energiasiirtymä on ratkaisevan tärkeässä asemassa, jotta ilmaston lämpeneminen saadaan rajoitettua 1,5 asteeseen ja jotta voidaan edistää kasvua, tarjota mahdollisuuksia ja parantaa elinoloja kaikkialla maailmassa sekä vähentää hintoihin ja energiaturvallisuuteen liittyviä riskejä. Asetettua 1,5 asteen skenaariota noudattaen </w:t>
      </w:r>
      <w:r>
        <w:rPr>
          <w:rFonts w:ascii="Times New Roman" w:hAnsi="Times New Roman"/>
          <w:b/>
          <w:bCs/>
          <w:noProof/>
          <w:sz w:val="24"/>
          <w:szCs w:val="24"/>
        </w:rPr>
        <w:t>BKT:n kasvu olisi 2,3 prosenttia suurempaa</w:t>
      </w:r>
      <w:r>
        <w:rPr>
          <w:rFonts w:ascii="Times New Roman" w:hAnsi="Times New Roman"/>
          <w:noProof/>
          <w:sz w:val="24"/>
          <w:szCs w:val="24"/>
        </w:rPr>
        <w:t xml:space="preserve"> kuin ilman sen mukaisia toimenpiteitä vuoteen 2030 saakka ja syntyisi </w:t>
      </w:r>
      <w:r>
        <w:rPr>
          <w:rFonts w:ascii="Times New Roman" w:hAnsi="Times New Roman"/>
          <w:b/>
          <w:bCs/>
          <w:noProof/>
          <w:sz w:val="24"/>
          <w:szCs w:val="24"/>
        </w:rPr>
        <w:t>85 miljoonaa uutta energiasiirtymään liittyvää työpaikkaa.</w:t>
      </w:r>
      <w:r w:rsidR="00C46307" w:rsidRPr="006D34A5">
        <w:rPr>
          <w:rStyle w:val="FootnoteReference"/>
          <w:rFonts w:ascii="Times New Roman" w:hAnsi="Times New Roman" w:cs="Times New Roman"/>
          <w:b/>
          <w:bCs/>
          <w:noProof/>
          <w:sz w:val="24"/>
          <w:szCs w:val="24"/>
        </w:rPr>
        <w:footnoteReference w:id="16"/>
      </w:r>
      <w:r>
        <w:rPr>
          <w:rFonts w:ascii="Times New Roman" w:hAnsi="Times New Roman"/>
          <w:b/>
          <w:bCs/>
          <w:noProof/>
          <w:sz w:val="24"/>
          <w:szCs w:val="24"/>
        </w:rPr>
        <w:t xml:space="preserve"> </w:t>
      </w:r>
    </w:p>
    <w:p w14:paraId="77928F19" w14:textId="51C8637E" w:rsidR="007E0EE2" w:rsidRPr="00562B81" w:rsidRDefault="007E0EE2" w:rsidP="007E0EE2">
      <w:pPr>
        <w:jc w:val="both"/>
        <w:rPr>
          <w:rFonts w:ascii="Times New Roman" w:hAnsi="Times New Roman" w:cs="Times New Roman"/>
          <w:noProof/>
          <w:sz w:val="24"/>
          <w:szCs w:val="24"/>
        </w:rPr>
      </w:pPr>
      <w:r>
        <w:rPr>
          <w:rFonts w:ascii="Times New Roman" w:hAnsi="Times New Roman"/>
          <w:noProof/>
          <w:sz w:val="24"/>
          <w:szCs w:val="24"/>
        </w:rPr>
        <w:t xml:space="preserve">EU on sitoutunut </w:t>
      </w:r>
      <w:r>
        <w:rPr>
          <w:rFonts w:ascii="Times New Roman" w:hAnsi="Times New Roman"/>
          <w:b/>
          <w:bCs/>
          <w:noProof/>
          <w:sz w:val="24"/>
          <w:szCs w:val="24"/>
        </w:rPr>
        <w:t>johtamaan ja nopeuttamaan maailmanlaajuista vihreää siirtymää</w:t>
      </w:r>
      <w:r>
        <w:rPr>
          <w:rFonts w:ascii="Times New Roman" w:hAnsi="Times New Roman"/>
          <w:noProof/>
          <w:sz w:val="24"/>
          <w:szCs w:val="24"/>
        </w:rPr>
        <w:t xml:space="preserve"> ja tukemaan kansainvälisiä kumppaneitaan tässä prosessissa. Tähän sisältyy yhteistyö uusiutuvan energian, energiatehokkuuden ja energiansäästöjen, kiertotalouden, vihreän kasvun, luonnonvarojen suojelun, kriittisten raaka-aineiden, puhtaan teknologian ja tulevaisuuden vaatimukset huomioon ottavan infrastruktuurin alalla. </w:t>
      </w:r>
    </w:p>
    <w:p w14:paraId="4C88A88B" w14:textId="3F279C16" w:rsidR="00393CC7" w:rsidRDefault="007E0EE2" w:rsidP="004D771A">
      <w:pPr>
        <w:jc w:val="both"/>
        <w:rPr>
          <w:rFonts w:ascii="Times New Roman" w:hAnsi="Times New Roman" w:cs="Times New Roman"/>
          <w:noProof/>
          <w:sz w:val="24"/>
          <w:szCs w:val="24"/>
        </w:rPr>
      </w:pPr>
      <w:r>
        <w:rPr>
          <w:rFonts w:ascii="Times New Roman" w:hAnsi="Times New Roman"/>
          <w:noProof/>
          <w:sz w:val="24"/>
          <w:szCs w:val="24"/>
        </w:rPr>
        <w:t xml:space="preserve">Euroopan komissio ja korkea edustaja ovat käynnistäneet uuden eurooppalaisen </w:t>
      </w:r>
      <w:r>
        <w:rPr>
          <w:rFonts w:ascii="Times New Roman" w:hAnsi="Times New Roman"/>
          <w:b/>
          <w:noProof/>
          <w:sz w:val="24"/>
          <w:szCs w:val="24"/>
        </w:rPr>
        <w:t>Global Gateway -strategian</w:t>
      </w:r>
      <w:r>
        <w:rPr>
          <w:rFonts w:ascii="Times New Roman" w:hAnsi="Times New Roman"/>
          <w:noProof/>
          <w:sz w:val="24"/>
          <w:szCs w:val="24"/>
        </w:rPr>
        <w:t xml:space="preserve">, jonka tarkoituksena on edistää älykkäitä, puhtaita ja turvallisia yhteyksiä digitaali-, energia- ja liikennealoilla ja vahvistaa terveys-, koulutus- ja tutkimusjärjestelmiä kaikkialla maailmassa YK:n Agenda 2030 -toimintaohjelman ja Pariisin sopimuksen mukaisesti. Global Gateway ja siihen sisältyvät voimakkaat toimet vihreän energiasiirtymän puolesta toteutetaan noudattamalla </w:t>
      </w:r>
      <w:r>
        <w:rPr>
          <w:rFonts w:ascii="Times New Roman" w:hAnsi="Times New Roman"/>
          <w:b/>
          <w:noProof/>
          <w:sz w:val="24"/>
          <w:szCs w:val="24"/>
        </w:rPr>
        <w:t>Team Europe</w:t>
      </w:r>
      <w:r>
        <w:rPr>
          <w:rFonts w:ascii="Times New Roman" w:hAnsi="Times New Roman"/>
          <w:noProof/>
          <w:sz w:val="24"/>
          <w:szCs w:val="24"/>
        </w:rPr>
        <w:t xml:space="preserve"> -lähestymistapaa, joka kokoaa yhteen EU:n ja sen jäsenvaltiot sekä niiden rahoitus- ja kehitysrahoituslaitokset, myös EIP:n ja EBRD:n, jotta voidaan vivuttaa investointeja jopa 300 miljardin euron arvosta vuosina 2021–2027.</w:t>
      </w:r>
    </w:p>
    <w:p w14:paraId="6A4ACC23" w14:textId="6D9BD114" w:rsidR="00C05765" w:rsidRDefault="00C05765" w:rsidP="0066231E">
      <w:pPr>
        <w:jc w:val="both"/>
        <w:rPr>
          <w:rFonts w:ascii="Times New Roman" w:hAnsi="Times New Roman" w:cs="Times New Roman"/>
          <w:noProof/>
          <w:sz w:val="24"/>
          <w:szCs w:val="24"/>
        </w:rPr>
      </w:pPr>
      <w:r>
        <w:rPr>
          <w:rFonts w:ascii="Times New Roman" w:hAnsi="Times New Roman"/>
          <w:noProof/>
          <w:sz w:val="24"/>
          <w:szCs w:val="24"/>
        </w:rPr>
        <w:t>EU tukee maailmanlaajuista vihreää siirtymää myös ilmastorahoituksellaan. EU:n kehitysavun määrärahoista 30 prosenttia kohdennetaan ilmastonmuutoksen torjuntaan, myös energia-alalla. EU osallistuu suurimmalla panoksella kehittyneimpien maiden maailmanlaajuiseen sitoumukseen, jonka mukaan ilmastorahoitukseen osoitetaan vuosittain 100 miljardia Yhdysvaltain dollaria, ja pyrkii jatkossakin houkuttelemaan muita kumppaneita noudattamaan esimerkkiään.</w:t>
      </w:r>
    </w:p>
    <w:p w14:paraId="31B6BD14" w14:textId="3F63B77D" w:rsidR="002F3B4B" w:rsidRPr="0012081A" w:rsidRDefault="00AD552B" w:rsidP="00527911">
      <w:pPr>
        <w:spacing w:after="240"/>
        <w:jc w:val="both"/>
        <w:rPr>
          <w:rFonts w:ascii="Times New Roman" w:hAnsi="Times New Roman" w:cs="Times New Roman"/>
          <w:noProof/>
          <w:sz w:val="24"/>
          <w:szCs w:val="24"/>
        </w:rPr>
      </w:pPr>
      <w:r>
        <w:rPr>
          <w:rFonts w:ascii="Times New Roman" w:hAnsi="Times New Roman"/>
          <w:b/>
          <w:bCs/>
          <w:noProof/>
          <w:sz w:val="24"/>
          <w:szCs w:val="24"/>
        </w:rPr>
        <w:t>Jotta vihreä siirtymä onnistuisi, sen on oltava oikeudenmukainen ja sosiaalisesti reilu.</w:t>
      </w:r>
      <w:r>
        <w:rPr>
          <w:rFonts w:ascii="Times New Roman" w:hAnsi="Times New Roman"/>
          <w:noProof/>
          <w:sz w:val="24"/>
          <w:szCs w:val="24"/>
        </w:rPr>
        <w:t xml:space="preserve"> Erityisesti tilanteessa, jossa elpyminen on hidasta, talous on myllerryksessä ja Venäjän hyökkäys Ukrainaan aiheuttaa maailmanlaajuisia seurauksia, energiajärjestelmien muokkaamisen sosiaalisten näkökohtien on oltava keskeinen osa siirtymää. Tämä on EU:n ensisijainen tavoite ja olennainen osa EU:n ulkoista energiapolitiikkaa. Tämä tarkoittaa sitä, että pyritään toisaalta vähentämään fossiilisista polttoaineista (erityisesti hiilestä) luopumisesta aiheutuvaa sosiaalista ja taloudellista vaikutusta ja toisaalta tarjoamaan uusia mahdollisuuksia vihreiden teknologioiden avulla (kohta 4.1), samalla kun ratkotaan muun muassa energian saatavuuteen, fossiilisten polttoaineiden tukiin, taitojen kehittämiseen ja siirtymän vaikutusten jakautumiseen liittyviä kysymyksiä. </w:t>
      </w:r>
    </w:p>
    <w:p w14:paraId="4A808746" w14:textId="77777777" w:rsidR="008A6570" w:rsidRPr="00527911" w:rsidRDefault="008A6570" w:rsidP="00527911">
      <w:pPr>
        <w:spacing w:after="240"/>
        <w:jc w:val="both"/>
        <w:rPr>
          <w:rFonts w:ascii="Times New Roman" w:hAnsi="Times New Roman" w:cs="Times New Roman"/>
          <w:noProof/>
          <w:color w:val="000000"/>
          <w:sz w:val="24"/>
          <w:szCs w:val="24"/>
        </w:rPr>
      </w:pPr>
      <w:r>
        <w:rPr>
          <w:rFonts w:ascii="Times New Roman" w:hAnsi="Times New Roman"/>
          <w:noProof/>
          <w:sz w:val="24"/>
          <w:szCs w:val="24"/>
        </w:rPr>
        <w:t xml:space="preserve">Vaikka hiili ei olekaan ainoa fossiilinen polttoaine, se on niistä saastuttavin ja aiheuttaa 40 prosenttia maailman kasvihuonekaasupäästöistä. Siksi hiili on keskiössä EU:n oikeudenmukaista siirtymää koskevissa toimissa, jotka kohdistuvat erityisesti suurimpiin hiilenkuluttajamaihin. </w:t>
      </w:r>
    </w:p>
    <w:p w14:paraId="3FD26E8F" w14:textId="3814B487" w:rsidR="008A6570" w:rsidRDefault="008A6570" w:rsidP="00A02CC1">
      <w:pPr>
        <w:spacing w:after="240"/>
        <w:jc w:val="both"/>
        <w:rPr>
          <w:rFonts w:ascii="Times New Roman" w:hAnsi="Times New Roman" w:cs="Times New Roman"/>
          <w:noProof/>
          <w:sz w:val="24"/>
          <w:szCs w:val="24"/>
        </w:rPr>
      </w:pPr>
      <w:r>
        <w:rPr>
          <w:rFonts w:ascii="Times New Roman" w:hAnsi="Times New Roman"/>
          <w:noProof/>
          <w:sz w:val="24"/>
          <w:szCs w:val="24"/>
        </w:rPr>
        <w:t xml:space="preserve">COP26-kokouksen jatkotoimena EU ja sen jäsenvaltiot Ranska ja Saksa sekä EU:n kansainväliset kumppanit Yhdysvallat ja Yhdistynyt kuningaskunta toteuttavat </w:t>
      </w:r>
      <w:r>
        <w:rPr>
          <w:rFonts w:ascii="Times New Roman" w:hAnsi="Times New Roman"/>
          <w:b/>
          <w:noProof/>
          <w:sz w:val="24"/>
          <w:szCs w:val="24"/>
        </w:rPr>
        <w:t>oikeudenmukaista siirtymää koskevan kumppanuuden Etelä-Afrikan kanssa</w:t>
      </w:r>
      <w:r>
        <w:rPr>
          <w:rFonts w:ascii="Times New Roman" w:hAnsi="Times New Roman"/>
          <w:noProof/>
          <w:sz w:val="24"/>
          <w:szCs w:val="24"/>
        </w:rPr>
        <w:t>. Kumppanuuteen osoitetuilla 8,5 miljardin Yhdysvaltain dollarin määrärahoilla on tarkoitus vauhdittaa talouden irtautumista hiilestä siten, että kiinnitetään erityistä huomiota hiilen käytön asteittaiseen lopettamiseen ja maan sosiaalisen sopeutumisen kustannusten minimointiin. EU selvittää mahdollisuutta toteuttaa oikeudenmukaista siirtymää koskevia kumppanuuksia muiden kumppaneiden, kuten Vietnamin, Indonesian ja Intian, kanssa.</w:t>
      </w:r>
    </w:p>
    <w:p w14:paraId="06E82D88" w14:textId="26DFD317" w:rsidR="008A6570" w:rsidRPr="004E49C5" w:rsidRDefault="008A6570" w:rsidP="008A6570">
      <w:pPr>
        <w:spacing w:after="240"/>
        <w:jc w:val="both"/>
        <w:rPr>
          <w:rFonts w:ascii="Times New Roman" w:hAnsi="Times New Roman" w:cs="Times New Roman"/>
          <w:noProof/>
          <w:sz w:val="24"/>
          <w:szCs w:val="24"/>
        </w:rPr>
      </w:pPr>
      <w:r>
        <w:rPr>
          <w:rFonts w:ascii="Times New Roman" w:hAnsi="Times New Roman"/>
          <w:noProof/>
          <w:sz w:val="24"/>
          <w:szCs w:val="24"/>
        </w:rPr>
        <w:t xml:space="preserve">Kiina on ilmoittanut, että sen päämääränä on vähentää riippuvuutta hiilestä ja edetä hiilineutraaliuden saavuttamista vuoteen 2060 mennessä koskevassa tavoitteessa. Näiden tavoitteiden mukaisesti EU:n ja Kiinan energiayhteistyöfoorumissa (ECECP) sekä EU:n ja Kiinan vuotuisessa korkean tason energiavuoropuhelussa käsitellään hiilimarkkinoita, energiajärjestelmiä, uusiutuvaa energiaa, energiatehokkuutta ja yritysten yhteistyötä. EU on myös käynnistänyt työhön ja sosiaalipolitiikkaan liittyviä vuoropuheluja Intian, Kiinan ja eteläisen naapuruston kanssa Välimeren unionin alueellisessa työllisyysfoorumissa. </w:t>
      </w:r>
      <w:r>
        <w:rPr>
          <w:rFonts w:ascii="Times New Roman" w:hAnsi="Times New Roman"/>
          <w:noProof/>
          <w:color w:val="000000"/>
          <w:sz w:val="24"/>
          <w:szCs w:val="24"/>
        </w:rPr>
        <w:t>Lisäksi EU tukee hiilen käytön lopettamista Länsi-Balkanilla ja Ukrainassa</w:t>
      </w:r>
      <w:r>
        <w:rPr>
          <w:rFonts w:ascii="Times New Roman" w:hAnsi="Times New Roman"/>
          <w:i/>
          <w:noProof/>
          <w:color w:val="000000"/>
          <w:sz w:val="24"/>
          <w:szCs w:val="24"/>
        </w:rPr>
        <w:t xml:space="preserve"> </w:t>
      </w:r>
      <w:r>
        <w:rPr>
          <w:rFonts w:ascii="Times New Roman" w:hAnsi="Times New Roman"/>
          <w:noProof/>
          <w:color w:val="000000"/>
          <w:sz w:val="24"/>
          <w:szCs w:val="24"/>
        </w:rPr>
        <w:t>siirtymävaiheessa olevia kivihiilialueita koskevasta aloitteestaan.</w:t>
      </w:r>
    </w:p>
    <w:p w14:paraId="0EE550FB" w14:textId="186E7909" w:rsidR="00CC199B" w:rsidRPr="003C49E5" w:rsidRDefault="008A6570" w:rsidP="00F156DE">
      <w:pPr>
        <w:rPr>
          <w:rFonts w:ascii="Times New Roman" w:hAnsi="Times New Roman" w:cs="Times New Roman"/>
          <w:b/>
          <w:bCs/>
          <w:noProof/>
          <w:sz w:val="24"/>
          <w:szCs w:val="24"/>
        </w:rPr>
      </w:pPr>
      <w:r>
        <w:rPr>
          <w:rFonts w:ascii="Times New Roman" w:hAnsi="Times New Roman"/>
          <w:b/>
          <w:bCs/>
          <w:noProof/>
          <w:sz w:val="24"/>
          <w:szCs w:val="24"/>
        </w:rPr>
        <w:t>Keskeiset toimet:</w:t>
      </w:r>
    </w:p>
    <w:p w14:paraId="0642AA37" w14:textId="3E0140D5" w:rsidR="000A4291" w:rsidRDefault="000A4291" w:rsidP="000A4291">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nopeutetaan maailmanlaajuista vihreää energiasiirtymää edistämällä kestäviä investointeja ja yhteyksiä Global Gateway -strategialla</w:t>
      </w:r>
    </w:p>
    <w:p w14:paraId="49D17034" w14:textId="40AA18F7" w:rsidR="00F2457F" w:rsidRPr="003C49E5" w:rsidRDefault="00205C0B" w:rsidP="005655C1">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tehdään yhteistyötä oikeudenmukaisen siirtymän toteuttamiseksi ja hiilen käytön lopettamiseksi EU:n kumppanimaiden kanssa, myös EU:n naapurimaissa</w:t>
      </w:r>
    </w:p>
    <w:p w14:paraId="07047FB7" w14:textId="1845E0C3" w:rsidR="00C05765" w:rsidRPr="00705BCF" w:rsidRDefault="00205C0B" w:rsidP="00205C0B">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pyritään varmistamaan maailmanlaajuinen sitoutuminen 100 miljardin </w:t>
      </w:r>
      <w:r>
        <w:rPr>
          <w:rFonts w:ascii="Times New Roman" w:hAnsi="Times New Roman"/>
          <w:noProof/>
          <w:sz w:val="24"/>
          <w:szCs w:val="24"/>
        </w:rPr>
        <w:t>Yhdysvaltain dollarin</w:t>
      </w:r>
      <w:r>
        <w:rPr>
          <w:rFonts w:ascii="Times New Roman" w:hAnsi="Times New Roman"/>
          <w:b/>
          <w:bCs/>
          <w:noProof/>
          <w:sz w:val="24"/>
          <w:szCs w:val="24"/>
        </w:rPr>
        <w:t xml:space="preserve"> vuotuisiin määrärahoihin ilmastorahoitusta varten ja tuetaan EU:n rahoitusosuudella vihreää ja oikeudenmukaista siirtymää</w:t>
      </w:r>
    </w:p>
    <w:p w14:paraId="02CA448D" w14:textId="14BC2422" w:rsidR="00F2457F" w:rsidRDefault="00205C0B" w:rsidP="00F2457F">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toteutetaan yhteinen energiasiirtymää koskeva kumppanuus Etelä-Afrikan kanssa ja selvitetään mahdollisuuksia luoda muita kansainvälisiä kumppanuuksia tämän mallin mukaisesti</w:t>
      </w:r>
    </w:p>
    <w:p w14:paraId="24B4778B" w14:textId="2082F912" w:rsidR="00113F12" w:rsidRPr="00F2457F" w:rsidRDefault="00205C0B" w:rsidP="00F2457F">
      <w:pPr>
        <w:pStyle w:val="ListParagraph"/>
        <w:numPr>
          <w:ilvl w:val="0"/>
          <w:numId w:val="11"/>
        </w:numPr>
        <w:spacing w:after="240"/>
        <w:jc w:val="both"/>
        <w:rPr>
          <w:rFonts w:ascii="Times New Roman" w:hAnsi="Times New Roman" w:cs="Times New Roman"/>
          <w:b/>
          <w:bCs/>
          <w:noProof/>
          <w:sz w:val="24"/>
          <w:szCs w:val="24"/>
        </w:rPr>
      </w:pPr>
      <w:r>
        <w:rPr>
          <w:rFonts w:ascii="Times New Roman" w:hAnsi="Times New Roman"/>
          <w:b/>
          <w:bCs/>
          <w:noProof/>
          <w:sz w:val="24"/>
          <w:szCs w:val="24"/>
        </w:rPr>
        <w:t>pannaan täytäntöön siirtymävaiheessa olevia hiilialueita koskeva aloite Ukrainassa ja Länsi-Balkanilla</w:t>
      </w:r>
    </w:p>
    <w:p w14:paraId="3A5ACA51" w14:textId="4B92E1AF" w:rsidR="006E58B7" w:rsidRDefault="00205C0B" w:rsidP="00205C0B">
      <w:pPr>
        <w:pStyle w:val="ListParagraph"/>
        <w:numPr>
          <w:ilvl w:val="0"/>
          <w:numId w:val="10"/>
        </w:num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yhdenmukaistetaan ja toteutetaan globaaleja aloitteita fossiilisten polttoaineiden tukien lopettamiseksi ja tehdään yhteistyötä hiilivoimasta riippuvaisten maiden kanssa tämän aikaansaamiseksi </w:t>
      </w:r>
    </w:p>
    <w:p w14:paraId="383778F6" w14:textId="6D614AFE" w:rsidR="008A6570" w:rsidRPr="006E58B7" w:rsidRDefault="000B13E1" w:rsidP="007C0283">
      <w:pPr>
        <w:pStyle w:val="ListParagraph"/>
        <w:numPr>
          <w:ilvl w:val="0"/>
          <w:numId w:val="10"/>
        </w:numPr>
        <w:spacing w:after="240"/>
        <w:jc w:val="both"/>
        <w:rPr>
          <w:rFonts w:ascii="Times New Roman" w:hAnsi="Times New Roman" w:cs="Times New Roman"/>
          <w:b/>
          <w:bCs/>
          <w:noProof/>
          <w:sz w:val="24"/>
          <w:szCs w:val="24"/>
        </w:rPr>
      </w:pPr>
      <w:r>
        <w:rPr>
          <w:rFonts w:ascii="Times New Roman" w:hAnsi="Times New Roman"/>
          <w:b/>
          <w:bCs/>
          <w:noProof/>
          <w:sz w:val="24"/>
          <w:szCs w:val="24"/>
        </w:rPr>
        <w:t xml:space="preserve">edistetään oikeudenmukaista ja osallistavaa siirtymää maailmanlaajuisesti yhteistyössä IEA:n, IRENAn ja ILO:n kanssa. </w:t>
      </w:r>
    </w:p>
    <w:p w14:paraId="432842C5" w14:textId="77777777" w:rsidR="0066231E" w:rsidRPr="00C571AB" w:rsidRDefault="00F350E7" w:rsidP="00AA5D14">
      <w:pPr>
        <w:pStyle w:val="Heading1"/>
        <w:numPr>
          <w:ilvl w:val="1"/>
          <w:numId w:val="1"/>
        </w:numPr>
        <w:spacing w:after="240"/>
        <w:jc w:val="both"/>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Uusiutuvien teknologioiden ja energiatehokkuuden edistäminen kumppanimaissa</w:t>
      </w:r>
    </w:p>
    <w:p w14:paraId="7A964B64" w14:textId="77777777" w:rsidR="00F350E7" w:rsidRDefault="00642B5B" w:rsidP="00A733FD">
      <w:pPr>
        <w:jc w:val="both"/>
        <w:rPr>
          <w:rFonts w:ascii="Times New Roman" w:hAnsi="Times New Roman" w:cs="Times New Roman"/>
          <w:noProof/>
          <w:sz w:val="24"/>
          <w:szCs w:val="24"/>
        </w:rPr>
      </w:pPr>
      <w:r>
        <w:rPr>
          <w:rFonts w:ascii="Times New Roman" w:hAnsi="Times New Roman"/>
          <w:noProof/>
          <w:sz w:val="24"/>
          <w:szCs w:val="24"/>
        </w:rPr>
        <w:t>Tuulivoimaan ja aurinkoenergiaan perustuva sähkö on tätä nykyä halvin energiavaihtoehto useimmilla maailman alueilla. Maailmassa, jossa ilmaston lämpeneminen rajoittuu 1,5 asteeseen, uusiutuvien energialähteiden osuus koko maailman energiantuotannosta voisi olla 90 prosenttia vuoteen 2050 mennessä. Uusiutuvan energian maailmanmarkkinoiden arvon arvioidaan olevan 24 biljoonaa euroa ja energiatehokkuutta koskevien maailmanmarkkinoiden 33 biljoonaa euroa vuoteen 2050 mennessä.</w:t>
      </w:r>
      <w:r w:rsidR="00F350E7">
        <w:rPr>
          <w:rStyle w:val="FootnoteReference"/>
          <w:rFonts w:ascii="Times New Roman" w:hAnsi="Times New Roman" w:cs="Times New Roman"/>
          <w:noProof/>
          <w:sz w:val="24"/>
          <w:szCs w:val="24"/>
        </w:rPr>
        <w:footnoteReference w:id="17"/>
      </w:r>
      <w:r>
        <w:rPr>
          <w:rFonts w:ascii="Times New Roman" w:hAnsi="Times New Roman"/>
          <w:noProof/>
          <w:sz w:val="24"/>
          <w:szCs w:val="24"/>
        </w:rPr>
        <w:t xml:space="preserve"> Tämä muodostaa merkittävän mahdollisuuden maailman taloudelle. </w:t>
      </w:r>
    </w:p>
    <w:p w14:paraId="72D734A2" w14:textId="06E04000" w:rsidR="00003F9A" w:rsidRDefault="00003F9A" w:rsidP="00BB2A59">
      <w:pPr>
        <w:spacing w:after="240"/>
        <w:jc w:val="both"/>
        <w:rPr>
          <w:rFonts w:ascii="Times New Roman" w:hAnsi="Times New Roman" w:cs="Times New Roman"/>
          <w:noProof/>
          <w:sz w:val="24"/>
          <w:szCs w:val="24"/>
        </w:rPr>
      </w:pPr>
      <w:r>
        <w:rPr>
          <w:rFonts w:ascii="Times New Roman" w:hAnsi="Times New Roman"/>
          <w:b/>
          <w:bCs/>
          <w:noProof/>
          <w:sz w:val="24"/>
          <w:szCs w:val="24"/>
        </w:rPr>
        <w:t>Uusiutuvan energian kasvu muuttaa globaalin energiajärjestelmän dynamiikkaa.</w:t>
      </w:r>
      <w:r>
        <w:rPr>
          <w:rFonts w:ascii="Times New Roman" w:hAnsi="Times New Roman"/>
          <w:noProof/>
          <w:sz w:val="24"/>
          <w:szCs w:val="24"/>
        </w:rPr>
        <w:t xml:space="preserve"> Siinä missä hiilivetyvarannot keskittyivät harvoihin maihin, kaikki maat voivat kehittää uusiutuvia energialähteitä ja osallistua energiakauppaan. Tällä hetkellä noin 80 prosenttia maailman väestöstä elää maissa, jotka ovat energian nettotuojia. Tämä tilanne on muuttumassa.</w:t>
      </w:r>
    </w:p>
    <w:p w14:paraId="450B2E0D" w14:textId="3BB4C18F" w:rsidR="00003F9A" w:rsidRDefault="00003F9A" w:rsidP="00F350E7">
      <w:pPr>
        <w:spacing w:after="240"/>
        <w:jc w:val="both"/>
        <w:rPr>
          <w:rFonts w:ascii="Times New Roman" w:hAnsi="Times New Roman" w:cs="Times New Roman"/>
          <w:noProof/>
          <w:sz w:val="24"/>
          <w:szCs w:val="24"/>
        </w:rPr>
      </w:pPr>
      <w:r>
        <w:rPr>
          <w:rFonts w:ascii="Times New Roman" w:hAnsi="Times New Roman"/>
          <w:noProof/>
          <w:sz w:val="24"/>
          <w:szCs w:val="24"/>
        </w:rPr>
        <w:t xml:space="preserve">EU:lle, jonka osuus maailman päästöistä on 9 prosenttia, on </w:t>
      </w:r>
      <w:r>
        <w:rPr>
          <w:rFonts w:ascii="Times New Roman" w:hAnsi="Times New Roman"/>
          <w:b/>
          <w:bCs/>
          <w:noProof/>
          <w:sz w:val="24"/>
          <w:szCs w:val="24"/>
        </w:rPr>
        <w:t>hyvin tärkeää edistää uusiutuvan energian käyttöönottoa ja parantaa energiatehokkuutta kaikkialla maailmassa</w:t>
      </w:r>
      <w:r>
        <w:rPr>
          <w:rFonts w:ascii="Times New Roman" w:hAnsi="Times New Roman"/>
          <w:noProof/>
          <w:sz w:val="24"/>
          <w:szCs w:val="24"/>
        </w:rPr>
        <w:t xml:space="preserve">. Euroopan komissio julkaisee yhdessä tämän strategian kanssa </w:t>
      </w:r>
      <w:r>
        <w:rPr>
          <w:rFonts w:ascii="Times New Roman" w:hAnsi="Times New Roman"/>
          <w:b/>
          <w:bCs/>
          <w:noProof/>
          <w:sz w:val="24"/>
          <w:szCs w:val="24"/>
        </w:rPr>
        <w:t>EU:n aurinkoenergiastrategian</w:t>
      </w:r>
      <w:r w:rsidR="003D74A2">
        <w:rPr>
          <w:rStyle w:val="FootnoteReference"/>
          <w:rFonts w:ascii="Times New Roman" w:hAnsi="Times New Roman" w:cs="Times New Roman"/>
          <w:b/>
          <w:bCs/>
          <w:noProof/>
          <w:sz w:val="24"/>
          <w:szCs w:val="24"/>
        </w:rPr>
        <w:footnoteReference w:id="18"/>
      </w:r>
      <w:r>
        <w:rPr>
          <w:rFonts w:ascii="Times New Roman" w:hAnsi="Times New Roman"/>
          <w:noProof/>
          <w:sz w:val="24"/>
          <w:szCs w:val="24"/>
        </w:rPr>
        <w:t xml:space="preserve"> aurinkosähkön käyttöönoton nopeuttamiseksi.</w:t>
      </w:r>
    </w:p>
    <w:p w14:paraId="58F284A9" w14:textId="5241E36C" w:rsidR="00E84972" w:rsidRDefault="00E84972" w:rsidP="00E84972">
      <w:pPr>
        <w:spacing w:after="240"/>
        <w:jc w:val="both"/>
        <w:rPr>
          <w:rFonts w:ascii="Times New Roman" w:hAnsi="Times New Roman" w:cs="Times New Roman"/>
          <w:noProof/>
          <w:sz w:val="24"/>
          <w:szCs w:val="24"/>
        </w:rPr>
      </w:pPr>
      <w:r>
        <w:rPr>
          <w:rFonts w:ascii="Times New Roman" w:hAnsi="Times New Roman"/>
          <w:noProof/>
          <w:sz w:val="24"/>
          <w:szCs w:val="24"/>
        </w:rPr>
        <w:t xml:space="preserve">Uusiutuvien energialähteiden tehokas käyttöönotto ja energiatehokkuuden lisääminen edellyttävät </w:t>
      </w:r>
      <w:r>
        <w:rPr>
          <w:rFonts w:ascii="Times New Roman" w:hAnsi="Times New Roman"/>
          <w:b/>
          <w:bCs/>
          <w:noProof/>
          <w:sz w:val="24"/>
          <w:szCs w:val="24"/>
        </w:rPr>
        <w:t>laajempaa järjestelmälähestymistapaa</w:t>
      </w:r>
      <w:r>
        <w:rPr>
          <w:rFonts w:ascii="Times New Roman" w:hAnsi="Times New Roman"/>
          <w:noProof/>
          <w:sz w:val="24"/>
          <w:szCs w:val="24"/>
        </w:rPr>
        <w:t>, jossa otetaan huomioon koko sähköntuotanto, -siirto ja -kulutus. Uusiutuvan energian kapasiteetin asentaminen on tehokkainta, kun se integroidaan avoimille ja joustaville alueellisille markkinoille. EU on ollut ensimmäinen toimija suurten yhdennettyjen energiamarkkinoiden luomisessa, ja kokemuksemme voivat auttaa kansainvälisiä kumppaneita nopeuttamaan siirtymäänsä.</w:t>
      </w:r>
    </w:p>
    <w:p w14:paraId="6AD81C5C" w14:textId="77777777" w:rsidR="00E84972" w:rsidRDefault="00621140" w:rsidP="00E84972">
      <w:pPr>
        <w:spacing w:after="240"/>
        <w:jc w:val="both"/>
        <w:rPr>
          <w:rFonts w:ascii="Times New Roman" w:hAnsi="Times New Roman" w:cs="Times New Roman"/>
          <w:noProof/>
          <w:sz w:val="24"/>
          <w:szCs w:val="24"/>
        </w:rPr>
      </w:pPr>
      <w:r>
        <w:rPr>
          <w:rFonts w:ascii="Times New Roman" w:hAnsi="Times New Roman"/>
          <w:noProof/>
          <w:sz w:val="24"/>
          <w:szCs w:val="24"/>
        </w:rPr>
        <w:t xml:space="preserve">Monet Länsi-Balkanin, itäisen kumppanuuden ja eteläisen naapuruston maat lisäävät vähitellen uusiutuvan energian käyttöä alueellaan. Esimerkiksi Intia ja Marokko ovat jo asettaneet itselleen kunnianhimoisia uusiutuvien energialähteiden käyttöönottotavoitteita, jotka toteutetaan ja joita vahvistetaan puhdasta energiaa ja ilmastoa koskevan EU:n ja Intian kumppanuuden ja EU:n ja Marokon vihreän kumppanuuden puitteissa. Vastaavaa työtä tehdään Kiinan kanssa toteutettavan kumppanuuden puitteissa (mukaan lukien EU:n järjestelmään perustuva päästökauppajärjestelmä). </w:t>
      </w:r>
    </w:p>
    <w:p w14:paraId="7FC4F4DF" w14:textId="77777777" w:rsidR="0007456F" w:rsidRDefault="00AE4B4D" w:rsidP="00B3704A">
      <w:pPr>
        <w:spacing w:after="240"/>
        <w:jc w:val="both"/>
        <w:rPr>
          <w:rFonts w:ascii="Times New Roman" w:hAnsi="Times New Roman" w:cs="Times New Roman"/>
          <w:noProof/>
          <w:sz w:val="24"/>
          <w:szCs w:val="24"/>
        </w:rPr>
      </w:pPr>
      <w:r>
        <w:rPr>
          <w:rFonts w:ascii="Times New Roman" w:hAnsi="Times New Roman"/>
          <w:noProof/>
          <w:sz w:val="24"/>
          <w:szCs w:val="24"/>
        </w:rPr>
        <w:t xml:space="preserve">Reilu ja vastavuoroinen energiayhteistyö Afrikan kanssa on tärkeä painopistealue, jotta voidaan paitsi varmistaa, että Saharan eteläpuolisessa Afrikassa ilman sähköä tällä hetkellä olevat 570 miljoonaa ihmistä saavat energiaa, myös tukea kestäviin energiajärjestelmiin ja uusiutuvan vedyn kauppaan liittyviä investointeja sen jälkeen, kun paikalliset tarpeet on täytetty. </w:t>
      </w:r>
      <w:r>
        <w:rPr>
          <w:rFonts w:ascii="Times New Roman" w:hAnsi="Times New Roman"/>
          <w:b/>
          <w:bCs/>
          <w:noProof/>
          <w:sz w:val="24"/>
          <w:szCs w:val="24"/>
        </w:rPr>
        <w:t>Afrikan ja Euroopan vihreän energian aloitteen</w:t>
      </w:r>
      <w:r>
        <w:rPr>
          <w:rFonts w:ascii="Times New Roman" w:hAnsi="Times New Roman"/>
          <w:noProof/>
          <w:sz w:val="24"/>
          <w:szCs w:val="24"/>
        </w:rPr>
        <w:t xml:space="preserve"> tavoitteena on vuoteen 2030 mennessä tukea sitä, että uusiutuvista energialähteistä tuotettua sähköä otetaan käyttöön vähintään 50 GW. Tämä mahdollistaisi ainakin </w:t>
      </w:r>
      <w:r>
        <w:rPr>
          <w:rFonts w:ascii="Times New Roman" w:hAnsi="Times New Roman"/>
          <w:b/>
          <w:bCs/>
          <w:noProof/>
          <w:sz w:val="24"/>
          <w:szCs w:val="24"/>
        </w:rPr>
        <w:t>100 miljoonan ihmisen</w:t>
      </w:r>
      <w:r>
        <w:rPr>
          <w:rFonts w:ascii="Times New Roman" w:hAnsi="Times New Roman"/>
          <w:noProof/>
          <w:sz w:val="24"/>
          <w:szCs w:val="24"/>
        </w:rPr>
        <w:t xml:space="preserve"> sähkön saannin. Tavoitteen saavuttamiseksi on keskeistä vivuttaa yksityisen sektorin investointeja. </w:t>
      </w:r>
    </w:p>
    <w:p w14:paraId="41F30E2A" w14:textId="5D3E13D0" w:rsidR="00B3704A" w:rsidRPr="00985092" w:rsidRDefault="00B3704A" w:rsidP="002F7BCF">
      <w:pPr>
        <w:spacing w:after="240"/>
        <w:jc w:val="both"/>
        <w:rPr>
          <w:rFonts w:ascii="Times New Roman" w:hAnsi="Times New Roman" w:cs="Times New Roman"/>
          <w:noProof/>
          <w:sz w:val="24"/>
          <w:szCs w:val="24"/>
        </w:rPr>
      </w:pPr>
      <w:r>
        <w:rPr>
          <w:rFonts w:ascii="Times New Roman" w:hAnsi="Times New Roman"/>
          <w:b/>
          <w:bCs/>
          <w:noProof/>
          <w:sz w:val="24"/>
          <w:szCs w:val="24"/>
        </w:rPr>
        <w:t>EU osoittaa Global Gateway -aloitteesta 2,4 miljardia euroa avustuksina Saharan eteläpuoliseen Afrikkaan ja 1,08 miljardia euroa Pohjois-Afrikkaan</w:t>
      </w:r>
      <w:r>
        <w:rPr>
          <w:rFonts w:ascii="Times New Roman" w:hAnsi="Times New Roman"/>
          <w:noProof/>
          <w:sz w:val="24"/>
          <w:szCs w:val="24"/>
        </w:rPr>
        <w:t>. Näillä varoilla on tarkoitus tukea uusiutuvaa energiaa, energiatehokkuutta, oikeudenmukaista siirtymää ja paikallisten arvoketjujen viherryttämistä. Tämä tukee myös vihreää elpymistä koskevaa Afrikan unionin toimintasuunnitelmaa, jonka tavoitteena on lisätä uusiutuvan energian tuotantokapasiteettia vähintään 300 GW vuoteen 2030 mennessä.</w:t>
      </w:r>
    </w:p>
    <w:p w14:paraId="2473448A" w14:textId="1A973672" w:rsidR="00B71AA2" w:rsidRDefault="00003F9A" w:rsidP="00B71AA2">
      <w:pPr>
        <w:spacing w:after="240"/>
        <w:jc w:val="both"/>
        <w:rPr>
          <w:rFonts w:ascii="Times New Roman" w:hAnsi="Times New Roman" w:cs="Times New Roman"/>
          <w:noProof/>
          <w:color w:val="000000"/>
          <w:sz w:val="24"/>
          <w:szCs w:val="24"/>
        </w:rPr>
      </w:pPr>
      <w:r>
        <w:rPr>
          <w:rFonts w:ascii="Times New Roman" w:hAnsi="Times New Roman"/>
          <w:noProof/>
          <w:sz w:val="24"/>
          <w:szCs w:val="24"/>
        </w:rPr>
        <w:t xml:space="preserve">Uusiutuvien energialähteiden käyttöönoton nopeuttaminen maailmanlaajuisesti tarjoaa myös </w:t>
      </w:r>
      <w:r>
        <w:rPr>
          <w:rFonts w:ascii="Times New Roman" w:hAnsi="Times New Roman"/>
          <w:b/>
          <w:bCs/>
          <w:noProof/>
          <w:sz w:val="24"/>
          <w:szCs w:val="24"/>
        </w:rPr>
        <w:t>mahdollisuuden vahvistaa kauppasuhteita</w:t>
      </w:r>
      <w:r>
        <w:rPr>
          <w:rFonts w:ascii="Times New Roman" w:hAnsi="Times New Roman"/>
          <w:noProof/>
          <w:sz w:val="24"/>
          <w:szCs w:val="24"/>
        </w:rPr>
        <w:t xml:space="preserve">. Useimmat maat maailmassa tarvitsevat kotimaisen uusiutuvan energian potentiaalin kehittämiseksi innovatiivisia teknologioita, tietoa ja pääomaa, ja EU:n vihreän teknologian toimialalla on hyvät mahdollisuudet toimia kumppanina näissä toimissa. Euroopassa valmistetut turbiinit tuottavat puolet maailman tuulivoimasta. </w:t>
      </w:r>
      <w:r>
        <w:rPr>
          <w:rFonts w:ascii="Times New Roman" w:hAnsi="Times New Roman"/>
          <w:noProof/>
          <w:color w:val="000000"/>
          <w:sz w:val="24"/>
          <w:szCs w:val="24"/>
        </w:rPr>
        <w:t xml:space="preserve">EU:n yritykset ovat johtajia aurinkovoima-, vety- ja lämpöpumppualojen tärkeissä segmenteissä, ja ne ovat saamassa </w:t>
      </w:r>
      <w:r>
        <w:rPr>
          <w:rFonts w:ascii="Times New Roman" w:hAnsi="Times New Roman"/>
          <w:noProof/>
          <w:sz w:val="24"/>
          <w:szCs w:val="24"/>
        </w:rPr>
        <w:t>Aasian kiinni</w:t>
      </w:r>
      <w:r>
        <w:rPr>
          <w:rFonts w:ascii="Times New Roman" w:hAnsi="Times New Roman"/>
          <w:noProof/>
          <w:color w:val="000000"/>
          <w:sz w:val="24"/>
          <w:szCs w:val="24"/>
        </w:rPr>
        <w:t xml:space="preserve"> akkuteknologioiden </w:t>
      </w:r>
      <w:r>
        <w:rPr>
          <w:rFonts w:ascii="Times New Roman" w:hAnsi="Times New Roman"/>
          <w:noProof/>
          <w:sz w:val="24"/>
          <w:szCs w:val="24"/>
        </w:rPr>
        <w:t>alalla</w:t>
      </w:r>
      <w:r>
        <w:rPr>
          <w:rFonts w:ascii="Times New Roman" w:hAnsi="Times New Roman"/>
          <w:noProof/>
          <w:color w:val="000000"/>
          <w:sz w:val="24"/>
          <w:szCs w:val="24"/>
        </w:rPr>
        <w:t xml:space="preserve"> EU:n akkualan yhteenliittymän ansiosta.</w:t>
      </w:r>
    </w:p>
    <w:p w14:paraId="75192F75" w14:textId="318AEF8D" w:rsidR="00003F9A" w:rsidRDefault="00F350E7" w:rsidP="00B71AA2">
      <w:pPr>
        <w:spacing w:after="240"/>
        <w:jc w:val="both"/>
        <w:rPr>
          <w:rFonts w:ascii="Times New Roman" w:hAnsi="Times New Roman" w:cs="Times New Roman"/>
          <w:noProof/>
          <w:sz w:val="24"/>
          <w:szCs w:val="24"/>
        </w:rPr>
      </w:pPr>
      <w:r>
        <w:rPr>
          <w:rFonts w:ascii="Times New Roman" w:hAnsi="Times New Roman"/>
          <w:noProof/>
          <w:sz w:val="24"/>
          <w:szCs w:val="24"/>
        </w:rPr>
        <w:t xml:space="preserve">Jotta vihreän teknologian toimiala menestyisi ja kasvaisi entisestään, se tarvitsee </w:t>
      </w:r>
      <w:r>
        <w:rPr>
          <w:rFonts w:ascii="Times New Roman" w:hAnsi="Times New Roman"/>
          <w:b/>
          <w:bCs/>
          <w:noProof/>
          <w:sz w:val="24"/>
          <w:szCs w:val="24"/>
        </w:rPr>
        <w:t>vakaan sääntelykehyksen, tasapuoliset kilpailumahdollisuudet, riittävästi investointeja sekä verotuksen kannalta tasapuoliset toimintaedellytykset</w:t>
      </w:r>
      <w:r>
        <w:rPr>
          <w:rFonts w:ascii="Times New Roman" w:hAnsi="Times New Roman"/>
          <w:noProof/>
          <w:sz w:val="24"/>
          <w:szCs w:val="24"/>
        </w:rPr>
        <w:t>. Tämä on yhtä tärkeää ja hyödyllistä sekä EU:n toimijoille että paikallisille toimijoille. Ulkoisen energiapolitiikan on toimittava yhdessä EU:n teollisuus- ja kauppapolitiikan kanssa, jotta voidaan varmistaa EU:n teollisuuden markkinoille pääsy ja vastata haasteisiin vapaakauppasopimusten ja täytäntöönpanotoimien avulla.</w:t>
      </w:r>
    </w:p>
    <w:p w14:paraId="623E86B9" w14:textId="77777777" w:rsidR="00003F9A" w:rsidRDefault="00E46615" w:rsidP="00F350E7">
      <w:pPr>
        <w:jc w:val="both"/>
        <w:rPr>
          <w:rFonts w:ascii="Times New Roman" w:hAnsi="Times New Roman" w:cs="Times New Roman"/>
          <w:noProof/>
          <w:sz w:val="24"/>
          <w:szCs w:val="24"/>
        </w:rPr>
      </w:pPr>
      <w:r>
        <w:rPr>
          <w:rFonts w:ascii="Times New Roman" w:hAnsi="Times New Roman"/>
          <w:b/>
          <w:bCs/>
          <w:noProof/>
          <w:color w:val="141414"/>
          <w:sz w:val="24"/>
          <w:szCs w:val="24"/>
        </w:rPr>
        <w:t>Yritysten välisten suhteiden</w:t>
      </w:r>
      <w:r>
        <w:rPr>
          <w:rFonts w:ascii="Times New Roman" w:hAnsi="Times New Roman"/>
          <w:noProof/>
          <w:color w:val="141414"/>
          <w:sz w:val="24"/>
          <w:szCs w:val="24"/>
        </w:rPr>
        <w:t xml:space="preserve"> kehittäminen edellyttää jatkuvaa huomiota: EU–USA-energianeuvoston alaisuudessa järjestetyt yritysten verkostoitumistapahtumat, joista uusin käsitteli merituulivoimaa, on malli, jota kannattaa hyödyntää. Eri puolilla Aasiaa (esimerkiksi Etelä-Koreassa ja Taiwanissa) </w:t>
      </w:r>
      <w:r>
        <w:rPr>
          <w:rFonts w:ascii="Times New Roman" w:hAnsi="Times New Roman"/>
          <w:noProof/>
          <w:sz w:val="24"/>
          <w:szCs w:val="24"/>
        </w:rPr>
        <w:t xml:space="preserve">on järjestetty toimintaa uusien liiketoimintamahdollisuuksien tarjoamiseksi EU:n vihreän teknologian yrityksille. </w:t>
      </w:r>
    </w:p>
    <w:p w14:paraId="160D804E" w14:textId="3FB46663" w:rsidR="0009606D" w:rsidRDefault="00E84972" w:rsidP="002F7BCF">
      <w:pPr>
        <w:jc w:val="both"/>
        <w:rPr>
          <w:rFonts w:ascii="Times New Roman" w:hAnsi="Times New Roman" w:cs="Times New Roman"/>
          <w:noProof/>
          <w:sz w:val="24"/>
          <w:szCs w:val="24"/>
        </w:rPr>
      </w:pPr>
      <w:r>
        <w:rPr>
          <w:rFonts w:ascii="Times New Roman" w:hAnsi="Times New Roman"/>
          <w:noProof/>
          <w:sz w:val="24"/>
          <w:szCs w:val="24"/>
        </w:rPr>
        <w:t xml:space="preserve">Riskien vähentämistä koskevat ja vientiluottovälineet ovat myös keskeisiä uusille markkinoille pääsyn välineitä. EU:n puhtaan teknologian yritykset kilpailevat yhä useammin sellaisten ulkomaisten yritysten kanssa, jotka saavat suoraa taloudellista tukea valtiolta. Komissio aikoo laatia vihreän teknologian yritysten tueksi </w:t>
      </w:r>
      <w:r>
        <w:rPr>
          <w:rFonts w:ascii="Times New Roman" w:hAnsi="Times New Roman"/>
          <w:b/>
          <w:bCs/>
          <w:noProof/>
          <w:sz w:val="24"/>
          <w:szCs w:val="24"/>
        </w:rPr>
        <w:t>EU vientiluottostrategian</w:t>
      </w:r>
      <w:r>
        <w:rPr>
          <w:rFonts w:ascii="Times New Roman" w:hAnsi="Times New Roman"/>
          <w:noProof/>
          <w:sz w:val="24"/>
          <w:szCs w:val="24"/>
        </w:rPr>
        <w:t>, jotta</w:t>
      </w:r>
      <w:r>
        <w:rPr>
          <w:rFonts w:ascii="Times New Roman" w:hAnsi="Times New Roman"/>
          <w:b/>
          <w:bCs/>
          <w:noProof/>
          <w:sz w:val="24"/>
          <w:szCs w:val="24"/>
        </w:rPr>
        <w:t xml:space="preserve"> </w:t>
      </w:r>
      <w:r>
        <w:rPr>
          <w:rFonts w:ascii="Times New Roman" w:hAnsi="Times New Roman"/>
          <w:noProof/>
          <w:sz w:val="24"/>
          <w:szCs w:val="24"/>
        </w:rPr>
        <w:t>voidaan parantaa EU:n yritysten toimintaedellytysten tasapuolisuutta EU:n ulkopuolisten maiden markkinoilla. Komissio pyrkii myös muuttamaan OECD:n sääntöjä, jotta voidaan tarjota lisäkannustimia vientiluottotuen antamiselle ilmastoystävällisille teknologioille.</w:t>
      </w:r>
    </w:p>
    <w:p w14:paraId="49FB7D79" w14:textId="5193C005" w:rsidR="00B343AD" w:rsidRPr="00B343AD" w:rsidRDefault="00B343AD" w:rsidP="00B343AD">
      <w:pPr>
        <w:jc w:val="both"/>
        <w:rPr>
          <w:rFonts w:ascii="Times New Roman" w:hAnsi="Times New Roman" w:cs="Times New Roman"/>
          <w:b/>
          <w:bCs/>
          <w:noProof/>
          <w:sz w:val="24"/>
          <w:szCs w:val="24"/>
        </w:rPr>
      </w:pPr>
      <w:r>
        <w:rPr>
          <w:rFonts w:ascii="Times New Roman" w:hAnsi="Times New Roman"/>
          <w:b/>
          <w:bCs/>
          <w:noProof/>
          <w:sz w:val="24"/>
          <w:szCs w:val="24"/>
        </w:rPr>
        <w:t xml:space="preserve">Keskeiset toimet: </w:t>
      </w:r>
    </w:p>
    <w:p w14:paraId="50095F40" w14:textId="609B031A" w:rsidR="00E46615" w:rsidRPr="00E46615" w:rsidRDefault="002F7BCF" w:rsidP="00E46615">
      <w:pPr>
        <w:pStyle w:val="ListParagraph"/>
        <w:numPr>
          <w:ilvl w:val="0"/>
          <w:numId w:val="7"/>
        </w:numPr>
        <w:jc w:val="both"/>
        <w:rPr>
          <w:rFonts w:ascii="Times New Roman" w:hAnsi="Times New Roman" w:cs="Times New Roman"/>
          <w:b/>
          <w:bCs/>
          <w:noProof/>
          <w:sz w:val="24"/>
          <w:szCs w:val="24"/>
        </w:rPr>
      </w:pPr>
      <w:r>
        <w:rPr>
          <w:rFonts w:ascii="Times New Roman" w:hAnsi="Times New Roman"/>
          <w:b/>
          <w:bCs/>
          <w:noProof/>
          <w:sz w:val="24"/>
          <w:szCs w:val="24"/>
        </w:rPr>
        <w:t>nopeutetaan uusiutuvien energialähteiden käyttöönottoa ja energiatehokkuuden parantamista kaikkialla maailmassa, myös Länsi-Balkanilla, Afrikassa, Välimerellä ja Indo-Tyynenmeren alueella</w:t>
      </w:r>
    </w:p>
    <w:p w14:paraId="1298015B" w14:textId="07D0D930" w:rsidR="004A7FC4" w:rsidRPr="00740A0B" w:rsidRDefault="002F7BCF" w:rsidP="00E46615">
      <w:pPr>
        <w:pStyle w:val="ListParagraph"/>
        <w:numPr>
          <w:ilvl w:val="0"/>
          <w:numId w:val="7"/>
        </w:numPr>
        <w:jc w:val="both"/>
        <w:rPr>
          <w:rFonts w:ascii="Times New Roman" w:hAnsi="Times New Roman" w:cs="Times New Roman"/>
          <w:b/>
          <w:bCs/>
          <w:noProof/>
          <w:sz w:val="24"/>
          <w:szCs w:val="24"/>
        </w:rPr>
      </w:pPr>
      <w:r>
        <w:rPr>
          <w:rFonts w:ascii="Times New Roman" w:hAnsi="Times New Roman"/>
          <w:b/>
          <w:bCs/>
          <w:noProof/>
          <w:sz w:val="24"/>
          <w:szCs w:val="24"/>
        </w:rPr>
        <w:t>pannaan täytäntöön molempia osapuolia hyödyttävä EU:n ja Afrikan vihreän energian aloite</w:t>
      </w:r>
    </w:p>
    <w:p w14:paraId="6C78B122" w14:textId="1FCD138B" w:rsidR="006B39EC" w:rsidRPr="008F228B" w:rsidRDefault="002F7BCF" w:rsidP="00E46615">
      <w:pPr>
        <w:pStyle w:val="ListParagraph"/>
        <w:numPr>
          <w:ilvl w:val="0"/>
          <w:numId w:val="22"/>
        </w:numPr>
        <w:spacing w:before="100" w:beforeAutospacing="1" w:after="100" w:afterAutospacing="1" w:line="240" w:lineRule="auto"/>
        <w:jc w:val="both"/>
        <w:rPr>
          <w:rFonts w:ascii="Times New Roman" w:hAnsi="Times New Roman" w:cs="Times New Roman"/>
          <w:b/>
          <w:noProof/>
          <w:sz w:val="24"/>
          <w:szCs w:val="24"/>
        </w:rPr>
      </w:pPr>
      <w:r>
        <w:rPr>
          <w:rFonts w:ascii="Times New Roman" w:hAnsi="Times New Roman"/>
          <w:b/>
          <w:bCs/>
          <w:noProof/>
          <w:sz w:val="24"/>
          <w:szCs w:val="24"/>
        </w:rPr>
        <w:t>tuetaan K</w:t>
      </w:r>
      <w:r>
        <w:rPr>
          <w:rFonts w:ascii="Times New Roman" w:hAnsi="Times New Roman"/>
          <w:b/>
          <w:noProof/>
          <w:sz w:val="24"/>
          <w:szCs w:val="24"/>
        </w:rPr>
        <w:t>eski-Aasian vihreää siirtymää ympäristöä, energiaa ja vettä koskevalla alueellisella Team Europe -aloitteella</w:t>
      </w:r>
    </w:p>
    <w:p w14:paraId="748F6C16" w14:textId="4C4F2E23" w:rsidR="006726EF" w:rsidRDefault="002F7BCF" w:rsidP="00E46615">
      <w:pPr>
        <w:pStyle w:val="ListParagraph"/>
        <w:numPr>
          <w:ilvl w:val="0"/>
          <w:numId w:val="7"/>
        </w:numPr>
        <w:jc w:val="both"/>
        <w:rPr>
          <w:rFonts w:ascii="Times New Roman" w:hAnsi="Times New Roman" w:cs="Times New Roman"/>
          <w:b/>
          <w:bCs/>
          <w:noProof/>
          <w:sz w:val="24"/>
          <w:szCs w:val="24"/>
        </w:rPr>
      </w:pPr>
      <w:r>
        <w:rPr>
          <w:rFonts w:ascii="Times New Roman" w:hAnsi="Times New Roman"/>
          <w:b/>
          <w:bCs/>
          <w:noProof/>
          <w:sz w:val="24"/>
          <w:szCs w:val="24"/>
        </w:rPr>
        <w:t>lisätään uusiutuvan energian käyttöönottoa kaupungeissa ja maaseutukunnissa esimerkiksi ”Mission Innovation” -aloitteen kaupunkisiirtymää koskevan mission avulla</w:t>
      </w:r>
    </w:p>
    <w:p w14:paraId="552FC877" w14:textId="52B08062" w:rsidR="00B71AA2" w:rsidRPr="00E46615" w:rsidRDefault="002F7BCF" w:rsidP="00E46615">
      <w:pPr>
        <w:pStyle w:val="ListParagraph"/>
        <w:numPr>
          <w:ilvl w:val="0"/>
          <w:numId w:val="7"/>
        </w:numPr>
        <w:spacing w:after="240"/>
        <w:jc w:val="both"/>
        <w:rPr>
          <w:rFonts w:ascii="Times New Roman" w:hAnsi="Times New Roman" w:cs="Times New Roman"/>
          <w:b/>
          <w:bCs/>
          <w:noProof/>
          <w:sz w:val="24"/>
          <w:szCs w:val="24"/>
        </w:rPr>
      </w:pPr>
      <w:r>
        <w:rPr>
          <w:rFonts w:ascii="Times New Roman" w:hAnsi="Times New Roman"/>
          <w:b/>
          <w:bCs/>
          <w:noProof/>
          <w:sz w:val="24"/>
          <w:szCs w:val="24"/>
        </w:rPr>
        <w:t>edistetään puhtaita teknologioita EU:n ja Yhdysvaltojen kauppa- ja teknologianeuvoston (TTC) yhteydessä</w:t>
      </w:r>
    </w:p>
    <w:p w14:paraId="252A5400" w14:textId="492F3BB1" w:rsidR="00505331" w:rsidRPr="00527911" w:rsidRDefault="002F7BCF" w:rsidP="00E46615">
      <w:pPr>
        <w:pStyle w:val="ListParagraph"/>
        <w:numPr>
          <w:ilvl w:val="0"/>
          <w:numId w:val="7"/>
        </w:numPr>
        <w:spacing w:after="240"/>
        <w:jc w:val="both"/>
        <w:rPr>
          <w:rFonts w:ascii="Times New Roman" w:hAnsi="Times New Roman" w:cs="Times New Roman"/>
          <w:b/>
          <w:bCs/>
          <w:noProof/>
          <w:sz w:val="24"/>
          <w:szCs w:val="24"/>
        </w:rPr>
      </w:pPr>
      <w:r>
        <w:rPr>
          <w:rFonts w:ascii="Times New Roman" w:hAnsi="Times New Roman"/>
          <w:b/>
          <w:bCs/>
          <w:noProof/>
          <w:sz w:val="24"/>
          <w:szCs w:val="24"/>
        </w:rPr>
        <w:t>laaditaan EU:n vientiluottostrategia.</w:t>
      </w:r>
    </w:p>
    <w:p w14:paraId="63E54483" w14:textId="6A53E5E0" w:rsidR="00914241" w:rsidRPr="00E46615" w:rsidRDefault="00E61CF2" w:rsidP="00AA5D14">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 xml:space="preserve">Tutkimus- ja teknologiayhteistyö </w:t>
      </w:r>
    </w:p>
    <w:p w14:paraId="6D823E7D" w14:textId="182E368D" w:rsidR="00914241" w:rsidRPr="00562B81" w:rsidRDefault="00E61CF2" w:rsidP="00914241">
      <w:pPr>
        <w:jc w:val="both"/>
        <w:rPr>
          <w:rFonts w:ascii="Times New Roman" w:hAnsi="Times New Roman" w:cs="Times New Roman"/>
          <w:noProof/>
          <w:sz w:val="24"/>
          <w:szCs w:val="24"/>
        </w:rPr>
      </w:pPr>
      <w:r>
        <w:rPr>
          <w:rFonts w:ascii="Times New Roman" w:hAnsi="Times New Roman"/>
          <w:noProof/>
          <w:sz w:val="24"/>
          <w:szCs w:val="24"/>
        </w:rPr>
        <w:t xml:space="preserve">Monet teknologiat, joita tarvitaan maailmantalouden hiilestä irtautumiseen, eivät ole vielä kehittyneitä tai kilpailukykyisiä fossiilisiin polttoaineisiin perustuvan lämmön ja sähkön kanssa. Kansainvälinen yhteistyö on olennaisen tärkeää, jotta voidaan nopeuttaa vihreän energian innovointia ja käyttöönottoa ja vähentää samalla niiden kustannuksia erityisesti </w:t>
      </w:r>
      <w:r>
        <w:rPr>
          <w:rFonts w:ascii="Times New Roman" w:hAnsi="Times New Roman"/>
          <w:b/>
          <w:bCs/>
          <w:noProof/>
          <w:sz w:val="24"/>
          <w:szCs w:val="24"/>
        </w:rPr>
        <w:t>uusiutuvan energian ja vedyn osalta.</w:t>
      </w:r>
      <w:r>
        <w:rPr>
          <w:rFonts w:ascii="Times New Roman" w:hAnsi="Times New Roman"/>
          <w:noProof/>
          <w:sz w:val="24"/>
          <w:szCs w:val="24"/>
        </w:rPr>
        <w:t xml:space="preserve"> Muita innovaatiovetoisen siirtymän keskeisiä tutkimusalueita ovat </w:t>
      </w:r>
      <w:r>
        <w:rPr>
          <w:rFonts w:ascii="Times New Roman" w:hAnsi="Times New Roman"/>
          <w:b/>
          <w:bCs/>
          <w:noProof/>
          <w:sz w:val="24"/>
          <w:szCs w:val="24"/>
        </w:rPr>
        <w:t>älykkäiden, kyberturvallisten ja joustavien sähköverkkojen kehittäminen, pitkäaikainen energian varastointi, kestävät raaka-aineet, pienet modulaariset ydinreaktorit sekä teollisuuden ja liikenteen kestävät polttoaineet</w:t>
      </w:r>
      <w:r>
        <w:rPr>
          <w:rFonts w:ascii="Times New Roman" w:hAnsi="Times New Roman"/>
          <w:noProof/>
          <w:sz w:val="24"/>
          <w:szCs w:val="24"/>
        </w:rPr>
        <w:t xml:space="preserve">. </w:t>
      </w:r>
    </w:p>
    <w:p w14:paraId="38A426A4" w14:textId="30360A11" w:rsidR="008571D4" w:rsidRDefault="00914241" w:rsidP="00914241">
      <w:pPr>
        <w:spacing w:after="240"/>
        <w:jc w:val="both"/>
        <w:rPr>
          <w:rFonts w:ascii="Times New Roman" w:hAnsi="Times New Roman" w:cs="Times New Roman"/>
          <w:noProof/>
          <w:sz w:val="24"/>
          <w:szCs w:val="24"/>
        </w:rPr>
      </w:pPr>
      <w:r>
        <w:rPr>
          <w:rFonts w:ascii="Times New Roman" w:hAnsi="Times New Roman"/>
          <w:noProof/>
          <w:sz w:val="24"/>
          <w:szCs w:val="24"/>
        </w:rPr>
        <w:t>Uusiutuvalla energialla ja vedyllä ei kyetä korvaamaan kaikkia energialähteiden yhdistelmään kuuluvia fossiilisia polttoaineita, joten tarvitaan myös hiilen poistamista, erityisesti teollisuudenaloilla, joilla sähköistäminen tai vetypohjaiset vaihtoehdot eivät ole kustannustehokkaita. EU tekee yhteistyötä naapureidensa ja muiden maiden kanssa, jotta maailmanlaajuisille markkinoille saataisiin innovatiivisia nollakulutukseen perustuvia energiatehokkuusratkaisuja sekä hiilidioksidin erotusta, käyttöä ja varastointia (CCUS) koskevia ja muita vastaavia teknologioita.</w:t>
      </w:r>
    </w:p>
    <w:p w14:paraId="0C6B2458" w14:textId="7CAC43A2" w:rsidR="008571D4" w:rsidRDefault="008571D4" w:rsidP="00C0670B">
      <w:pPr>
        <w:spacing w:after="240"/>
        <w:jc w:val="both"/>
        <w:rPr>
          <w:rFonts w:ascii="Times New Roman" w:hAnsi="Times New Roman" w:cs="Times New Roman"/>
          <w:noProof/>
          <w:sz w:val="24"/>
          <w:szCs w:val="24"/>
        </w:rPr>
      </w:pPr>
      <w:r>
        <w:rPr>
          <w:rFonts w:ascii="Times New Roman" w:hAnsi="Times New Roman"/>
          <w:noProof/>
          <w:sz w:val="24"/>
          <w:szCs w:val="24"/>
        </w:rPr>
        <w:t>EU jatkaa kansainvälisen yhteistyön ja monenvälisten aloitteiden tukemista tutkimusta ja innovointia koskevan globaalin lähestymistavan</w:t>
      </w:r>
      <w:r>
        <w:rPr>
          <w:rStyle w:val="FootnoteReference"/>
          <w:rFonts w:ascii="Times New Roman" w:hAnsi="Times New Roman" w:cs="Times New Roman"/>
          <w:noProof/>
          <w:sz w:val="24"/>
          <w:szCs w:val="24"/>
        </w:rPr>
        <w:footnoteReference w:id="19"/>
      </w:r>
      <w:r>
        <w:rPr>
          <w:rFonts w:ascii="Times New Roman" w:hAnsi="Times New Roman"/>
          <w:noProof/>
          <w:sz w:val="24"/>
          <w:szCs w:val="24"/>
        </w:rPr>
        <w:t xml:space="preserve"> mukaisesti. Komissio tarjoaa resursseja kansainväliseen yhteistyöhön Horisontti Eurooppa -puiteohjelmasta, joka on EU:n julkisen rahoituksen ohjelma tutkimusta ja innovointia varten. EU tehostaa toimintaansa myös merkittävillä kansainvälisillä aloitteilla, kuten ”Mission Innovation” -aloitteella ja puhtaan energian ministerikokouksella, tulevaisuuden vihreän energian ratkaisujen kehittämiseksi yhdessä. </w:t>
      </w:r>
    </w:p>
    <w:p w14:paraId="2125C0A4" w14:textId="29400BF0" w:rsidR="00CC199B" w:rsidRPr="003C49E5" w:rsidRDefault="00B343AD" w:rsidP="003C49E5">
      <w:pPr>
        <w:spacing w:after="240"/>
        <w:jc w:val="both"/>
        <w:rPr>
          <w:rFonts w:ascii="Times New Roman" w:hAnsi="Times New Roman" w:cs="Times New Roman"/>
          <w:b/>
          <w:bCs/>
          <w:noProof/>
          <w:sz w:val="24"/>
          <w:szCs w:val="24"/>
        </w:rPr>
      </w:pPr>
      <w:r>
        <w:rPr>
          <w:rFonts w:ascii="Times New Roman" w:hAnsi="Times New Roman"/>
          <w:b/>
          <w:bCs/>
          <w:noProof/>
          <w:sz w:val="24"/>
          <w:szCs w:val="24"/>
        </w:rPr>
        <w:t>Keskeiset toimet:</w:t>
      </w:r>
    </w:p>
    <w:p w14:paraId="0001CC91" w14:textId="1F6BF028" w:rsidR="00AE4B4D" w:rsidRPr="003C49E5" w:rsidRDefault="00C0670B" w:rsidP="003C49E5">
      <w:pPr>
        <w:pStyle w:val="ListParagraph"/>
        <w:numPr>
          <w:ilvl w:val="0"/>
          <w:numId w:val="8"/>
        </w:numPr>
        <w:jc w:val="both"/>
        <w:rPr>
          <w:rFonts w:ascii="Times New Roman" w:hAnsi="Times New Roman" w:cs="Times New Roman"/>
          <w:b/>
          <w:bCs/>
          <w:noProof/>
          <w:sz w:val="24"/>
          <w:szCs w:val="24"/>
        </w:rPr>
      </w:pPr>
      <w:r>
        <w:rPr>
          <w:rFonts w:ascii="Times New Roman" w:hAnsi="Times New Roman"/>
          <w:b/>
          <w:bCs/>
          <w:noProof/>
          <w:sz w:val="24"/>
          <w:szCs w:val="24"/>
        </w:rPr>
        <w:t>kehitetään hiilidioksidin talteenottoa ja varastointia koskevia tekniikkoja markkinakypsiksi muun muassa yhteistyössä Norjan kanssa</w:t>
      </w:r>
    </w:p>
    <w:p w14:paraId="0EF619BF" w14:textId="26B4100D" w:rsidR="008571D4" w:rsidRPr="00C403A4" w:rsidRDefault="00C0670B" w:rsidP="007C0283">
      <w:pPr>
        <w:pStyle w:val="ListParagraph"/>
        <w:numPr>
          <w:ilvl w:val="0"/>
          <w:numId w:val="8"/>
        </w:numPr>
        <w:jc w:val="both"/>
        <w:rPr>
          <w:rFonts w:ascii="Times New Roman" w:hAnsi="Times New Roman" w:cs="Times New Roman"/>
          <w:b/>
          <w:bCs/>
          <w:noProof/>
          <w:sz w:val="24"/>
          <w:szCs w:val="24"/>
        </w:rPr>
      </w:pPr>
      <w:r>
        <w:rPr>
          <w:rFonts w:ascii="Times New Roman" w:hAnsi="Times New Roman"/>
          <w:b/>
          <w:bCs/>
          <w:noProof/>
          <w:sz w:val="24"/>
          <w:szCs w:val="24"/>
        </w:rPr>
        <w:t>jatketaan EU:n ja Afrikan Unionin yhteistä uusiutuvan energian pitkän aikavälin tutkimus- ja innovaatiokumppanuutta ja laajennetaan se kattamaan uusiutuva vety.</w:t>
      </w:r>
    </w:p>
    <w:p w14:paraId="12465E33" w14:textId="77777777" w:rsidR="00EE359C" w:rsidRDefault="003778D1" w:rsidP="003C49E5">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Kriittisten raaka-aineiden saatavuuden varmistaminen</w:t>
      </w:r>
    </w:p>
    <w:p w14:paraId="30988BA4" w14:textId="64D88854" w:rsidR="007E0EE2" w:rsidRDefault="007F57C4" w:rsidP="007E0EE2">
      <w:pPr>
        <w:spacing w:after="240"/>
        <w:jc w:val="both"/>
        <w:rPr>
          <w:rFonts w:ascii="Times New Roman" w:hAnsi="Times New Roman" w:cs="Times New Roman"/>
          <w:noProof/>
          <w:sz w:val="24"/>
          <w:szCs w:val="24"/>
        </w:rPr>
      </w:pPr>
      <w:r>
        <w:rPr>
          <w:rFonts w:ascii="Times New Roman" w:hAnsi="Times New Roman"/>
          <w:noProof/>
          <w:sz w:val="24"/>
          <w:szCs w:val="24"/>
        </w:rPr>
        <w:t xml:space="preserve">Vaikka EU on päättänyt lopettaa riippuvuutensa Venäjän energiasta, se suhtautuu yhtä määrätietoisesti siihen, että </w:t>
      </w:r>
      <w:r>
        <w:rPr>
          <w:rFonts w:ascii="Times New Roman" w:hAnsi="Times New Roman"/>
          <w:b/>
          <w:bCs/>
          <w:noProof/>
          <w:sz w:val="24"/>
          <w:szCs w:val="24"/>
        </w:rPr>
        <w:t>tulevaisuudessa ei synny uusia riippuvuuksia.</w:t>
      </w:r>
      <w:r>
        <w:rPr>
          <w:rFonts w:ascii="Times New Roman" w:hAnsi="Times New Roman"/>
          <w:noProof/>
          <w:sz w:val="24"/>
          <w:szCs w:val="24"/>
        </w:rPr>
        <w:t xml:space="preserve"> Kun fossiilisten polttoaineiden kysyntä vähenee, raaka-aineiden, myös harvinaisten maametallien, kysynnän kasvu voi aiheuttaa uusia toimitushaasteita energiasiirtymän aikana. Strategisten teknologioiden ja alojen tarvitsemista kriittisistä raaka-aineista toteutetun ennakointitutkimuksen mukaan vähähiilisellä energia-alalla tarvittavien kriittisten raaka-aineiden kysyntä ja kustannukset kasvavat merkittävästi vuoteen 2050 mennessä. EU on tällä alalla riippuvainen pääosin harvinaisista maametalleista, litiumista, magnesiumista, niobiumista, germaniumista, boraateista ja skandiumista, joista kaikkia ei voida tuottaa EU:ssa.</w:t>
      </w:r>
      <w:r w:rsidR="007E0EE2" w:rsidRPr="00EE359C">
        <w:rPr>
          <w:rStyle w:val="FootnoteReference"/>
          <w:rFonts w:ascii="Times New Roman" w:hAnsi="Times New Roman" w:cs="Times New Roman"/>
          <w:noProof/>
          <w:sz w:val="24"/>
          <w:szCs w:val="24"/>
        </w:rPr>
        <w:footnoteReference w:id="20"/>
      </w:r>
      <w:r>
        <w:rPr>
          <w:rFonts w:ascii="Times New Roman" w:hAnsi="Times New Roman"/>
          <w:noProof/>
          <w:sz w:val="24"/>
          <w:szCs w:val="24"/>
        </w:rPr>
        <w:t xml:space="preserve"> </w:t>
      </w:r>
    </w:p>
    <w:p w14:paraId="6731E67F" w14:textId="7886EAA1" w:rsidR="007E0EE2" w:rsidRDefault="007E0EE2" w:rsidP="007E0EE2">
      <w:pPr>
        <w:spacing w:after="240"/>
        <w:jc w:val="both"/>
        <w:rPr>
          <w:rFonts w:ascii="Times New Roman" w:hAnsi="Times New Roman" w:cs="Times New Roman"/>
          <w:noProof/>
          <w:sz w:val="24"/>
          <w:szCs w:val="24"/>
        </w:rPr>
      </w:pPr>
      <w:r>
        <w:rPr>
          <w:rFonts w:ascii="Times New Roman" w:hAnsi="Times New Roman"/>
          <w:noProof/>
          <w:sz w:val="24"/>
          <w:szCs w:val="24"/>
        </w:rPr>
        <w:t xml:space="preserve">Jotta EU:n yritykset voivat jatkaa energiasiirtymäänsä, niiden on hankittava näitä materiaaleja kireiltä raaka-ainemarkkinoilta tai pitkällä aikavälillä korvattava ne uusilla teollisilla prosesseilla. EU:n tulevaa riippuvuutta tällä strategisella osa-alueella voidaan torjua muun muassa jatkamalla maailmanlaajuisten toimitusketjujen monipuolistamista, asettamalla energiatehokkuustoimenpiteet etusijalle, tarjoamalla kannustimia pitkän aikavälin investointeihin, joita tehdään uuteen kaivos- ja jalostustoimintaan EU:n sisällä, sekä tehostamalla kiertotalouteen liittyviä toimia sen varmistamiseksi, että raaka-aineet pysyvät taloudessa mahdollisimman pitkään ja että jätteet kierrätetään. </w:t>
      </w:r>
    </w:p>
    <w:p w14:paraId="25F9205C" w14:textId="0DFE2953" w:rsidR="00005711" w:rsidRDefault="00F17346" w:rsidP="007E0EE2">
      <w:pPr>
        <w:spacing w:after="240"/>
        <w:jc w:val="both"/>
        <w:rPr>
          <w:rFonts w:ascii="Times New Roman" w:hAnsi="Times New Roman" w:cs="Times New Roman"/>
          <w:noProof/>
          <w:sz w:val="24"/>
          <w:szCs w:val="24"/>
        </w:rPr>
      </w:pPr>
      <w:r>
        <w:rPr>
          <w:rFonts w:ascii="Times New Roman" w:hAnsi="Times New Roman"/>
          <w:noProof/>
          <w:sz w:val="24"/>
          <w:szCs w:val="24"/>
        </w:rPr>
        <w:t>Komissio aikoo tehostaa kriittisten raaka-aineiden hankintoja koskevaa työtä ja laatia asiasta lainsäädäntöehdotuksen. Aloitteen tavoitteena on vahvistaa eurooppalaista arvoketjua määrittämällä Euroopalle strategisesti tärkeitä mineraalivaroja ja raaka-aineita koskevia hankkeita ja varmistaa samalla ympäristönsuojelun korkea taso.</w:t>
      </w:r>
      <w:bookmarkStart w:id="12" w:name="_Hlk103328299"/>
      <w:r w:rsidR="00B86A78">
        <w:rPr>
          <w:rStyle w:val="FootnoteReference"/>
          <w:rFonts w:ascii="Times New Roman" w:hAnsi="Times New Roman" w:cs="Times New Roman"/>
          <w:noProof/>
          <w:sz w:val="24"/>
          <w:szCs w:val="24"/>
        </w:rPr>
        <w:footnoteReference w:id="21"/>
      </w:r>
    </w:p>
    <w:p w14:paraId="006480C4" w14:textId="1C23D6EE" w:rsidR="00EE359C" w:rsidRDefault="00EE359C" w:rsidP="007E0EE2">
      <w:pPr>
        <w:spacing w:after="240"/>
        <w:jc w:val="both"/>
        <w:rPr>
          <w:rFonts w:ascii="Times New Roman" w:hAnsi="Times New Roman" w:cs="Times New Roman"/>
          <w:noProof/>
          <w:sz w:val="24"/>
          <w:szCs w:val="24"/>
        </w:rPr>
      </w:pPr>
      <w:r>
        <w:rPr>
          <w:rFonts w:ascii="Times New Roman" w:hAnsi="Times New Roman"/>
          <w:noProof/>
          <w:sz w:val="24"/>
          <w:szCs w:val="24"/>
        </w:rPr>
        <w:t xml:space="preserve">EU on jo perustanut </w:t>
      </w:r>
      <w:r>
        <w:rPr>
          <w:rFonts w:ascii="Times New Roman" w:hAnsi="Times New Roman"/>
          <w:b/>
          <w:noProof/>
          <w:sz w:val="24"/>
          <w:szCs w:val="24"/>
        </w:rPr>
        <w:t>kestävien raaka-aineiden arvoketjua koskevat kumppanuudet</w:t>
      </w:r>
      <w:r>
        <w:rPr>
          <w:rFonts w:ascii="Times New Roman" w:hAnsi="Times New Roman"/>
          <w:noProof/>
          <w:sz w:val="24"/>
          <w:szCs w:val="24"/>
        </w:rPr>
        <w:t xml:space="preserve"> Kanadan ja Ukrainan kanssa. Komissio pyrkii monipuolistamaan toimitusketjuja toteuttamalla uusia,</w:t>
      </w:r>
      <w:r>
        <w:rPr>
          <w:rFonts w:ascii="Times New Roman" w:hAnsi="Times New Roman"/>
          <w:b/>
          <w:noProof/>
          <w:sz w:val="24"/>
          <w:szCs w:val="24"/>
        </w:rPr>
        <w:t xml:space="preserve"> molempia osapuolia hyödyttäviä </w:t>
      </w:r>
      <w:r>
        <w:rPr>
          <w:rFonts w:ascii="Times New Roman" w:hAnsi="Times New Roman"/>
          <w:noProof/>
          <w:sz w:val="24"/>
          <w:szCs w:val="24"/>
        </w:rPr>
        <w:t>raaka-aineiden arvoketjua koskevia</w:t>
      </w:r>
      <w:r>
        <w:rPr>
          <w:rFonts w:ascii="Times New Roman" w:hAnsi="Times New Roman"/>
          <w:b/>
          <w:noProof/>
          <w:sz w:val="24"/>
          <w:szCs w:val="24"/>
        </w:rPr>
        <w:t xml:space="preserve"> </w:t>
      </w:r>
      <w:r>
        <w:rPr>
          <w:rFonts w:ascii="Times New Roman" w:hAnsi="Times New Roman"/>
          <w:noProof/>
          <w:sz w:val="24"/>
          <w:szCs w:val="24"/>
        </w:rPr>
        <w:t>kumppanuuksia</w:t>
      </w:r>
      <w:r>
        <w:rPr>
          <w:rFonts w:ascii="Times New Roman" w:hAnsi="Times New Roman"/>
          <w:b/>
          <w:noProof/>
          <w:sz w:val="24"/>
          <w:szCs w:val="24"/>
        </w:rPr>
        <w:t xml:space="preserve"> Afrikassa (esimerkiksi Namibia), Latinalaisessa Amerikassa ja Länsi-Balkanilla </w:t>
      </w:r>
      <w:r>
        <w:rPr>
          <w:rFonts w:ascii="Times New Roman" w:hAnsi="Times New Roman"/>
          <w:noProof/>
          <w:sz w:val="24"/>
          <w:szCs w:val="24"/>
        </w:rPr>
        <w:t>sekä</w:t>
      </w:r>
      <w:r>
        <w:rPr>
          <w:rFonts w:ascii="Times New Roman" w:hAnsi="Times New Roman"/>
          <w:b/>
          <w:noProof/>
          <w:sz w:val="24"/>
          <w:szCs w:val="24"/>
        </w:rPr>
        <w:t xml:space="preserve"> Australian</w:t>
      </w:r>
      <w:r>
        <w:rPr>
          <w:rFonts w:ascii="Times New Roman" w:hAnsi="Times New Roman"/>
          <w:noProof/>
          <w:sz w:val="24"/>
          <w:szCs w:val="24"/>
        </w:rPr>
        <w:t xml:space="preserve"> kanssa kauppasopimusten tai yhteisymmärryspöytäkirjojen avulla. </w:t>
      </w:r>
    </w:p>
    <w:bookmarkEnd w:id="12"/>
    <w:p w14:paraId="76CF3921" w14:textId="38D934BC" w:rsidR="00CC199B" w:rsidRDefault="001D22B6" w:rsidP="007E0EE2">
      <w:pPr>
        <w:spacing w:after="240"/>
        <w:jc w:val="both"/>
        <w:rPr>
          <w:rFonts w:ascii="Times New Roman" w:hAnsi="Times New Roman" w:cs="Times New Roman"/>
          <w:noProof/>
          <w:sz w:val="24"/>
          <w:szCs w:val="24"/>
        </w:rPr>
      </w:pPr>
      <w:r>
        <w:rPr>
          <w:rFonts w:ascii="Times New Roman" w:hAnsi="Times New Roman"/>
          <w:noProof/>
          <w:sz w:val="24"/>
          <w:szCs w:val="24"/>
        </w:rPr>
        <w:t>Häiriönsietokyvyn varmistamiseksi on ainakin keskipitkällä aikavälillä keskeistä turvata monipuoliset toimitukset kansainvälisiltä markkinoilta. EU:n kauppapolitiikalla on tässä tärkeä rooli, sillä sen avulla varmistetaan avoin pääsy toimituslähteisiin ja vältetään markkinoiden vääristyminen laatimalla ja panemalla täytäntöön kauppasopimuksia. EU:n vapaakauppasopimuksiin sisältyvillä energiaa ja raaka-aineita koskevilla luvuilla on tässä keskeinen rooli.</w:t>
      </w:r>
    </w:p>
    <w:p w14:paraId="367EB1AC" w14:textId="7795AC23" w:rsidR="00B343AD" w:rsidRPr="00B343AD" w:rsidRDefault="00B343AD" w:rsidP="003C49E5">
      <w:pPr>
        <w:spacing w:after="240"/>
        <w:jc w:val="both"/>
        <w:rPr>
          <w:rFonts w:ascii="Times New Roman" w:hAnsi="Times New Roman" w:cs="Times New Roman"/>
          <w:b/>
          <w:bCs/>
          <w:noProof/>
          <w:sz w:val="24"/>
          <w:szCs w:val="24"/>
        </w:rPr>
      </w:pPr>
      <w:r>
        <w:rPr>
          <w:rFonts w:ascii="Times New Roman" w:hAnsi="Times New Roman"/>
          <w:b/>
          <w:bCs/>
          <w:noProof/>
          <w:sz w:val="24"/>
          <w:szCs w:val="24"/>
        </w:rPr>
        <w:t>Keskeiset toimet:</w:t>
      </w:r>
    </w:p>
    <w:p w14:paraId="3572F74A" w14:textId="58556333" w:rsidR="00342F17" w:rsidRPr="00342F17" w:rsidRDefault="00E80417" w:rsidP="00291D43">
      <w:pPr>
        <w:numPr>
          <w:ilvl w:val="0"/>
          <w:numId w:val="9"/>
        </w:numPr>
        <w:contextualSpacing/>
        <w:jc w:val="both"/>
        <w:rPr>
          <w:rFonts w:ascii="Times New Roman" w:hAnsi="Times New Roman" w:cs="Times New Roman"/>
          <w:b/>
          <w:bCs/>
          <w:noProof/>
          <w:sz w:val="24"/>
          <w:szCs w:val="24"/>
        </w:rPr>
      </w:pPr>
      <w:r>
        <w:rPr>
          <w:rFonts w:ascii="Times New Roman" w:hAnsi="Times New Roman"/>
          <w:b/>
          <w:bCs/>
          <w:noProof/>
          <w:sz w:val="24"/>
          <w:szCs w:val="24"/>
        </w:rPr>
        <w:t>toteutetaan molempia osapuolia hyödyttäviä raaka-aineiden arvoketjua koskevia kumppanuuksia muidenkin kuin Ukrainan ja Kanadan kanssa</w:t>
      </w:r>
    </w:p>
    <w:p w14:paraId="1685A9A0" w14:textId="09C22C4E" w:rsidR="00342F17" w:rsidRPr="00342F17" w:rsidRDefault="00E80417" w:rsidP="00342F17">
      <w:pPr>
        <w:numPr>
          <w:ilvl w:val="0"/>
          <w:numId w:val="9"/>
        </w:numPr>
        <w:contextualSpacing/>
        <w:jc w:val="both"/>
        <w:rPr>
          <w:rFonts w:ascii="Times New Roman" w:hAnsi="Times New Roman" w:cs="Times New Roman"/>
          <w:b/>
          <w:bCs/>
          <w:noProof/>
          <w:sz w:val="24"/>
          <w:szCs w:val="24"/>
        </w:rPr>
      </w:pPr>
      <w:r>
        <w:rPr>
          <w:rFonts w:ascii="Times New Roman" w:hAnsi="Times New Roman"/>
          <w:b/>
          <w:bCs/>
          <w:noProof/>
          <w:sz w:val="24"/>
          <w:szCs w:val="24"/>
        </w:rPr>
        <w:t>vahvistetaan raaka-aineiden arvoketjuja koskevaa yhteistyötä Norjan kanssa EU:n ja Norjan vihreän allianssin puitteissa</w:t>
      </w:r>
    </w:p>
    <w:p w14:paraId="20C92D81" w14:textId="64365F59" w:rsidR="00342F17" w:rsidRDefault="00E80417" w:rsidP="00342F17">
      <w:pPr>
        <w:numPr>
          <w:ilvl w:val="0"/>
          <w:numId w:val="9"/>
        </w:numPr>
        <w:contextualSpacing/>
        <w:jc w:val="both"/>
        <w:rPr>
          <w:rFonts w:ascii="Times New Roman" w:hAnsi="Times New Roman" w:cs="Times New Roman"/>
          <w:b/>
          <w:bCs/>
          <w:noProof/>
          <w:sz w:val="24"/>
          <w:szCs w:val="24"/>
        </w:rPr>
      </w:pPr>
      <w:r>
        <w:rPr>
          <w:rFonts w:ascii="Times New Roman" w:hAnsi="Times New Roman"/>
          <w:b/>
          <w:bCs/>
          <w:noProof/>
          <w:sz w:val="24"/>
          <w:szCs w:val="24"/>
        </w:rPr>
        <w:t>tehostetaan EU:n talous- ja kauppapolitiikan välineiden käyttöä, jotta varmistetaan häiriötön pääsy kansainvälisille markkinoille</w:t>
      </w:r>
    </w:p>
    <w:p w14:paraId="60E36130" w14:textId="0BA9E3BA" w:rsidR="00342F17" w:rsidRDefault="00E80417" w:rsidP="00342F17">
      <w:pPr>
        <w:numPr>
          <w:ilvl w:val="0"/>
          <w:numId w:val="9"/>
        </w:numPr>
        <w:contextualSpacing/>
        <w:jc w:val="both"/>
        <w:rPr>
          <w:rFonts w:ascii="Times New Roman" w:hAnsi="Times New Roman" w:cs="Times New Roman"/>
          <w:b/>
          <w:bCs/>
          <w:noProof/>
          <w:sz w:val="24"/>
          <w:szCs w:val="24"/>
        </w:rPr>
      </w:pPr>
      <w:r>
        <w:rPr>
          <w:rFonts w:ascii="Times New Roman" w:hAnsi="Times New Roman"/>
          <w:b/>
          <w:bCs/>
          <w:noProof/>
          <w:sz w:val="24"/>
          <w:szCs w:val="24"/>
        </w:rPr>
        <w:t>edistetään maailmanlaajuista resurssitehokkuutta ja kiertotaloutta erityisesti tuotesuunnittelua koskevilla toimenpiteillä</w:t>
      </w:r>
      <w:r w:rsidR="00700D06" w:rsidRPr="00342F17">
        <w:rPr>
          <w:rStyle w:val="FootnoteReference"/>
          <w:rFonts w:ascii="Times New Roman" w:hAnsi="Times New Roman" w:cs="Times New Roman"/>
          <w:b/>
          <w:bCs/>
          <w:noProof/>
          <w:sz w:val="24"/>
          <w:szCs w:val="24"/>
        </w:rPr>
        <w:footnoteReference w:id="22"/>
      </w:r>
    </w:p>
    <w:p w14:paraId="2B83A3B8" w14:textId="434636DC" w:rsidR="00CC199B" w:rsidRPr="003C49E5" w:rsidRDefault="00E80417" w:rsidP="0008780D">
      <w:pPr>
        <w:numPr>
          <w:ilvl w:val="0"/>
          <w:numId w:val="9"/>
        </w:numPr>
        <w:contextualSpacing/>
        <w:jc w:val="both"/>
        <w:rPr>
          <w:rFonts w:ascii="Times New Roman" w:eastAsia="Times New Roman" w:hAnsi="Times New Roman" w:cs="Times New Roman"/>
          <w:b/>
          <w:noProof/>
          <w:sz w:val="24"/>
          <w:szCs w:val="24"/>
        </w:rPr>
      </w:pPr>
      <w:r>
        <w:rPr>
          <w:rFonts w:ascii="Times New Roman" w:hAnsi="Times New Roman"/>
          <w:b/>
          <w:bCs/>
          <w:noProof/>
          <w:sz w:val="24"/>
          <w:szCs w:val="24"/>
        </w:rPr>
        <w:t>tehdään yhteistyötä kansainvälisten järjestöjen, kuten OECD:n, IEA:n ja IRENAn, kanssa energiasiirtymässä käytettävien kriittisten raaka-aineiden toimitusketjujen osalta.</w:t>
      </w:r>
    </w:p>
    <w:p w14:paraId="3D956167" w14:textId="05C6825B" w:rsidR="00A36BB5" w:rsidRPr="00C571AB" w:rsidRDefault="00F71CE0" w:rsidP="00180972">
      <w:pPr>
        <w:pStyle w:val="Heading1"/>
        <w:numPr>
          <w:ilvl w:val="0"/>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 xml:space="preserve">Perustukset uudelle globaalille energiajärjestelmälle </w:t>
      </w:r>
    </w:p>
    <w:p w14:paraId="26C679E5" w14:textId="77777777" w:rsidR="00F71CE0" w:rsidRPr="008F2D2C" w:rsidRDefault="00F71CE0" w:rsidP="00AA5D14">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Vakiintuneiden liittoutumien vahvistaminen, uusien kumppanuuksien luominen</w:t>
      </w:r>
    </w:p>
    <w:p w14:paraId="273F18FD" w14:textId="77777777" w:rsidR="00F71CE0" w:rsidRDefault="00A2279F" w:rsidP="00F23281">
      <w:pPr>
        <w:jc w:val="both"/>
        <w:rPr>
          <w:rFonts w:ascii="Times New Roman" w:hAnsi="Times New Roman" w:cs="Times New Roman"/>
          <w:noProof/>
          <w:sz w:val="24"/>
          <w:szCs w:val="24"/>
        </w:rPr>
      </w:pPr>
      <w:r>
        <w:rPr>
          <w:rFonts w:ascii="Times New Roman" w:hAnsi="Times New Roman"/>
          <w:noProof/>
          <w:sz w:val="24"/>
          <w:szCs w:val="24"/>
        </w:rPr>
        <w:t>Uusi globaali energiajärjestelmä ei tarkoita pelkästään fossiilisten polttoaineiden korvaamista uusiutuvilla energialähteillä, vaan se eroaa olennaisesti ja rakenteeltaan nykyisestä. Yhteistyö ja kumppanuudet ovat avainasemassa sen toiminnassa. Samalla kun EU pyrkii tekemään maailmanlaajuisesta vihreästä siirtymästä todellisuutta, se on yhteydessä koko maailmaan, kuuntelee sitä ja tekee yhteistyötä sen kanssa.</w:t>
      </w:r>
    </w:p>
    <w:p w14:paraId="3AAE70BC" w14:textId="7404D4E9" w:rsidR="001E6E74" w:rsidRDefault="00271C94" w:rsidP="00F23281">
      <w:pPr>
        <w:jc w:val="both"/>
        <w:rPr>
          <w:rFonts w:ascii="Times New Roman" w:hAnsi="Times New Roman" w:cs="Times New Roman"/>
          <w:noProof/>
          <w:sz w:val="24"/>
          <w:szCs w:val="24"/>
        </w:rPr>
      </w:pPr>
      <w:r>
        <w:rPr>
          <w:noProof/>
          <w:lang w:val="en-GB" w:eastAsia="en-GB"/>
        </w:rPr>
        <w:drawing>
          <wp:inline distT="0" distB="0" distL="0" distR="0" wp14:anchorId="7868DC56" wp14:editId="796539AB">
            <wp:extent cx="5773480" cy="28791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854377" cy="2919445"/>
                    </a:xfrm>
                    <a:prstGeom prst="rect">
                      <a:avLst/>
                    </a:prstGeom>
                  </pic:spPr>
                </pic:pic>
              </a:graphicData>
            </a:graphic>
          </wp:inline>
        </w:drawing>
      </w:r>
    </w:p>
    <w:p w14:paraId="5127B96F" w14:textId="77777777" w:rsidR="001E6E74" w:rsidRPr="00E46615" w:rsidRDefault="001E6E74" w:rsidP="001E6E74">
      <w:pPr>
        <w:jc w:val="both"/>
        <w:rPr>
          <w:rFonts w:ascii="Times New Roman" w:hAnsi="Times New Roman" w:cs="Times New Roman"/>
          <w:noProof/>
          <w:sz w:val="18"/>
          <w:szCs w:val="24"/>
        </w:rPr>
      </w:pPr>
      <w:r>
        <w:rPr>
          <w:rFonts w:ascii="Times New Roman" w:hAnsi="Times New Roman"/>
          <w:noProof/>
          <w:sz w:val="18"/>
          <w:szCs w:val="24"/>
        </w:rPr>
        <w:t>IRENA: Muutokset energiatuotteiden kaupan arvossa vuodesta 2020 vuoteen 2050</w:t>
      </w:r>
    </w:p>
    <w:p w14:paraId="21F0D469" w14:textId="1E75B8F6" w:rsidR="007D7A5C" w:rsidRDefault="009F393D" w:rsidP="00136687">
      <w:pPr>
        <w:spacing w:after="240"/>
        <w:jc w:val="both"/>
        <w:rPr>
          <w:rFonts w:ascii="Times New Roman" w:hAnsi="Times New Roman" w:cs="Times New Roman"/>
          <w:noProof/>
          <w:sz w:val="24"/>
          <w:szCs w:val="24"/>
        </w:rPr>
      </w:pPr>
      <w:r>
        <w:rPr>
          <w:rFonts w:ascii="Times New Roman" w:hAnsi="Times New Roman"/>
          <w:b/>
          <w:bCs/>
          <w:noProof/>
          <w:sz w:val="24"/>
          <w:szCs w:val="24"/>
        </w:rPr>
        <w:t>EU jatkaa työskentelyä rinta rinnan Yhdysvaltojen kanssa</w:t>
      </w:r>
      <w:r>
        <w:rPr>
          <w:rFonts w:ascii="Times New Roman" w:hAnsi="Times New Roman"/>
          <w:noProof/>
          <w:sz w:val="24"/>
          <w:szCs w:val="24"/>
        </w:rPr>
        <w:t xml:space="preserve">, sillä EU:n ja Yhdysvaltojen painopisteet ovat energiapolitiikan alalla kaikkineen hyvin yhteensopivat. EU pyrkii saamaan EU–USA-energianeuvoston ja kansainvälisten foorumeiden kautta aikaan myönteisen muutoksen globaalissa energia-alan toimintaympäristössä. Energiasuhteet </w:t>
      </w:r>
      <w:r>
        <w:rPr>
          <w:rFonts w:ascii="Times New Roman" w:hAnsi="Times New Roman"/>
          <w:b/>
          <w:bCs/>
          <w:noProof/>
          <w:sz w:val="24"/>
          <w:szCs w:val="24"/>
        </w:rPr>
        <w:t>Kanadan</w:t>
      </w:r>
      <w:r>
        <w:rPr>
          <w:rFonts w:ascii="Times New Roman" w:hAnsi="Times New Roman"/>
          <w:noProof/>
          <w:sz w:val="24"/>
          <w:szCs w:val="24"/>
        </w:rPr>
        <w:t xml:space="preserve"> kanssa ovat saaneet merkittävästi pontta korkean tason energiavuoropuhelun pohjalta.</w:t>
      </w:r>
    </w:p>
    <w:p w14:paraId="7C01A8B1" w14:textId="38FEA715" w:rsidR="00136687" w:rsidRPr="00EE4C6B" w:rsidRDefault="00136687" w:rsidP="00136687">
      <w:pPr>
        <w:spacing w:after="240"/>
        <w:jc w:val="both"/>
        <w:rPr>
          <w:rFonts w:ascii="Times New Roman" w:hAnsi="Times New Roman" w:cs="Times New Roman"/>
          <w:noProof/>
          <w:sz w:val="24"/>
          <w:szCs w:val="24"/>
        </w:rPr>
      </w:pPr>
      <w:r>
        <w:rPr>
          <w:rFonts w:ascii="Times New Roman" w:hAnsi="Times New Roman"/>
          <w:b/>
          <w:bCs/>
          <w:noProof/>
          <w:sz w:val="24"/>
          <w:szCs w:val="24"/>
        </w:rPr>
        <w:t>Itäinen ja eteläinen naapurusto</w:t>
      </w:r>
      <w:r>
        <w:rPr>
          <w:rFonts w:ascii="Times New Roman" w:hAnsi="Times New Roman"/>
          <w:noProof/>
          <w:sz w:val="24"/>
          <w:szCs w:val="24"/>
        </w:rPr>
        <w:t xml:space="preserve"> ovat jatkossakin ratkaisevan tärkeitä EU:lle. Energiasuhteita itäisten naapurimaiden kanssa on vahvistettava ja tarkasteltava uudelleen siten, että painopiste pidetään edelleen kestävässä energiaturvallisuudessa ja vihreässä energiasiirtymässä joulukuussa 2021 pidetyn itäisen kumppanuuden kuudennen huippukokouksen sitoumusten mukaisesti. </w:t>
      </w:r>
      <w:r>
        <w:rPr>
          <w:rFonts w:ascii="Times New Roman" w:hAnsi="Times New Roman"/>
          <w:b/>
          <w:bCs/>
          <w:noProof/>
          <w:sz w:val="24"/>
          <w:szCs w:val="24"/>
        </w:rPr>
        <w:t>Ukrainan, Moldovan ja Länsi-Balkanin</w:t>
      </w:r>
      <w:r>
        <w:rPr>
          <w:rFonts w:ascii="Times New Roman" w:hAnsi="Times New Roman"/>
          <w:noProof/>
          <w:sz w:val="24"/>
          <w:szCs w:val="24"/>
        </w:rPr>
        <w:t xml:space="preserve"> häiriönsietokyky, energiaturvallisuus ja vihreä siirtymä ovat yhteydessä EU:n häiriönsietokykyyn, energiaturvallisuuteen ja vihreään siirtymään, ja ne ovat siksi keskeinen painopiste. Hiilestä irtautumista koskevaa yhteistyötä </w:t>
      </w:r>
      <w:r>
        <w:rPr>
          <w:rFonts w:ascii="Times New Roman" w:hAnsi="Times New Roman"/>
          <w:b/>
          <w:bCs/>
          <w:noProof/>
          <w:sz w:val="24"/>
          <w:szCs w:val="24"/>
        </w:rPr>
        <w:t xml:space="preserve">Turkin </w:t>
      </w:r>
      <w:r>
        <w:rPr>
          <w:rFonts w:ascii="Times New Roman" w:hAnsi="Times New Roman"/>
          <w:noProof/>
          <w:sz w:val="24"/>
          <w:szCs w:val="24"/>
        </w:rPr>
        <w:t xml:space="preserve">kanssa olisi jatkettava, muun muassa Turkin investointialustan kautta, jotta varmistetaan Turkin oikeudellisen kehyksen yhteensopivuus EU:n säännöstön kanssa. </w:t>
      </w:r>
    </w:p>
    <w:p w14:paraId="66B1988B" w14:textId="00884976" w:rsidR="00E73030" w:rsidRDefault="007D7A5C" w:rsidP="006B4FD0">
      <w:pPr>
        <w:jc w:val="both"/>
        <w:rPr>
          <w:rFonts w:ascii="Times New Roman" w:hAnsi="Times New Roman" w:cs="Times New Roman"/>
          <w:noProof/>
          <w:sz w:val="24"/>
          <w:szCs w:val="24"/>
        </w:rPr>
      </w:pPr>
      <w:r>
        <w:rPr>
          <w:rFonts w:ascii="Times New Roman" w:hAnsi="Times New Roman"/>
          <w:bCs/>
          <w:noProof/>
          <w:sz w:val="24"/>
          <w:szCs w:val="24"/>
        </w:rPr>
        <w:t xml:space="preserve">Eteläisessä naapurustossa olisi laadittava yhteinen Välimeren energiapolitiikka, joka perustuu kesäkuussa 2021 annettuun Välimeren unionin ministeritason julkilausumaan. </w:t>
      </w:r>
      <w:r>
        <w:rPr>
          <w:rFonts w:ascii="Times New Roman" w:hAnsi="Times New Roman"/>
          <w:noProof/>
          <w:sz w:val="24"/>
          <w:szCs w:val="24"/>
        </w:rPr>
        <w:t xml:space="preserve">EU tukee itäisen ja eteläisen Välimeren alueen alueellista yhteistyötä energiasiirtymän alalla ja uusiutuvan energian potentiaalin käyttöönottamiseksi. EU jatkaa hiilestä irtautumista koskevaa yhteistyötä muun muassa metaanipäästöjen osalta kaikkien alueella toimivien fossiilisten polttoaineiden toimittajien, kuten </w:t>
      </w:r>
      <w:r>
        <w:rPr>
          <w:rFonts w:ascii="Times New Roman" w:hAnsi="Times New Roman"/>
          <w:b/>
          <w:bCs/>
          <w:noProof/>
          <w:sz w:val="24"/>
          <w:szCs w:val="24"/>
        </w:rPr>
        <w:t>Egyptin, Israelin ja Algerian</w:t>
      </w:r>
      <w:r>
        <w:rPr>
          <w:rFonts w:ascii="Times New Roman" w:hAnsi="Times New Roman"/>
          <w:noProof/>
          <w:sz w:val="24"/>
          <w:szCs w:val="24"/>
        </w:rPr>
        <w:t>, kanssa.</w:t>
      </w:r>
    </w:p>
    <w:p w14:paraId="1D8FFA62" w14:textId="77777777" w:rsidR="00136687" w:rsidRDefault="00136687" w:rsidP="00136687">
      <w:pPr>
        <w:jc w:val="both"/>
        <w:rPr>
          <w:rFonts w:ascii="Times New Roman" w:hAnsi="Times New Roman" w:cs="Times New Roman"/>
          <w:noProof/>
          <w:sz w:val="24"/>
          <w:szCs w:val="24"/>
        </w:rPr>
      </w:pPr>
      <w:r>
        <w:rPr>
          <w:rFonts w:ascii="Times New Roman" w:hAnsi="Times New Roman"/>
          <w:b/>
          <w:bCs/>
          <w:noProof/>
          <w:sz w:val="24"/>
          <w:szCs w:val="24"/>
        </w:rPr>
        <w:t>Afrikka on EU:n keskeinen kumppani.</w:t>
      </w:r>
      <w:r>
        <w:rPr>
          <w:rFonts w:ascii="Times New Roman" w:hAnsi="Times New Roman"/>
          <w:noProof/>
          <w:sz w:val="24"/>
          <w:szCs w:val="24"/>
        </w:rPr>
        <w:t xml:space="preserve"> Kehitysyhteistyöpolitiikan tavoitteiden lisäksi odotetaan, että kauppa- ja investointiyhteistyö Afrikan maiden kanssa voimistuu, sillä niistä on tulossa nopeasti kasvavia vihreän energian teknologioiden markkinoita. Afrikan maat voivat myös edistää EU:n energiaturvallisuutta toimittamalla tällä hetkellä öljyä ja LNG:tä ja tulevaisuudessa uusiutuvaa vetyä ja uusiutuvia polttoaineita sekä vihreän energiasiirtymän kannalta kriittisiä raaka-aineita. </w:t>
      </w:r>
    </w:p>
    <w:p w14:paraId="3785312F" w14:textId="751D8917" w:rsidR="001F5E34" w:rsidRDefault="001F5E34" w:rsidP="00D74238">
      <w:pPr>
        <w:jc w:val="both"/>
        <w:rPr>
          <w:rFonts w:ascii="Times New Roman" w:hAnsi="Times New Roman" w:cs="Times New Roman"/>
          <w:noProof/>
          <w:sz w:val="24"/>
          <w:szCs w:val="24"/>
        </w:rPr>
      </w:pPr>
      <w:r>
        <w:rPr>
          <w:rFonts w:ascii="Times New Roman" w:hAnsi="Times New Roman"/>
          <w:noProof/>
          <w:sz w:val="24"/>
          <w:szCs w:val="24"/>
        </w:rPr>
        <w:t xml:space="preserve">EU jatkaa yhteistyötä </w:t>
      </w:r>
      <w:r>
        <w:rPr>
          <w:rFonts w:ascii="Times New Roman" w:hAnsi="Times New Roman"/>
          <w:b/>
          <w:bCs/>
          <w:noProof/>
          <w:sz w:val="24"/>
          <w:szCs w:val="24"/>
        </w:rPr>
        <w:t xml:space="preserve">Norjan, Japanin, Australian, Chilen, Yhdistyneen kuningaskunnan </w:t>
      </w:r>
      <w:r>
        <w:rPr>
          <w:rFonts w:ascii="Times New Roman" w:hAnsi="Times New Roman"/>
          <w:noProof/>
          <w:sz w:val="24"/>
          <w:szCs w:val="24"/>
        </w:rPr>
        <w:t xml:space="preserve">ja muiden kumppaneiden kanssa energiasiirtymän ja molemmille osapuolille merkityksellisten painopisteiden osalta. EU neuvottelee parhaillaan vapaakauppasopimuksesta </w:t>
      </w:r>
      <w:r>
        <w:rPr>
          <w:rFonts w:ascii="Times New Roman" w:hAnsi="Times New Roman"/>
          <w:b/>
          <w:bCs/>
          <w:noProof/>
          <w:sz w:val="24"/>
          <w:szCs w:val="24"/>
        </w:rPr>
        <w:t>Australian</w:t>
      </w:r>
      <w:r>
        <w:rPr>
          <w:rFonts w:ascii="Times New Roman" w:hAnsi="Times New Roman"/>
          <w:noProof/>
          <w:sz w:val="24"/>
          <w:szCs w:val="24"/>
        </w:rPr>
        <w:t xml:space="preserve"> kanssa. Australia tulee jatkossa olemaan merkittävä uusiutuvan vedyn tuottaja, joten energiayhteyksien parantamisen olisi oltava ensisijainen tavoite. Myös Chilen odotetaan olevan tulevaisuudessa suuri uusiutuvan vedyn tuottaja ja kriittisten raaka-aineiden, kuten litiumin, toimittaja.</w:t>
      </w:r>
    </w:p>
    <w:p w14:paraId="0BBC98AA" w14:textId="4F344D99" w:rsidR="00136687" w:rsidRDefault="00136687" w:rsidP="00136687">
      <w:pPr>
        <w:spacing w:after="240"/>
        <w:jc w:val="both"/>
        <w:rPr>
          <w:rFonts w:ascii="Times New Roman" w:hAnsi="Times New Roman" w:cs="Times New Roman"/>
          <w:noProof/>
          <w:sz w:val="24"/>
          <w:szCs w:val="24"/>
        </w:rPr>
      </w:pPr>
      <w:r>
        <w:rPr>
          <w:rFonts w:ascii="Times New Roman" w:hAnsi="Times New Roman"/>
          <w:noProof/>
          <w:sz w:val="24"/>
          <w:szCs w:val="24"/>
        </w:rPr>
        <w:t xml:space="preserve">EU tiivistää energiayhteistyötään Intian kanssa osana </w:t>
      </w:r>
      <w:r>
        <w:rPr>
          <w:rFonts w:ascii="Times New Roman" w:hAnsi="Times New Roman"/>
          <w:b/>
          <w:bCs/>
          <w:noProof/>
          <w:sz w:val="24"/>
          <w:szCs w:val="24"/>
        </w:rPr>
        <w:t>puhdasta energiaa ja ilmastoa koskevaa EU:n ja Intian kumppanuutta</w:t>
      </w:r>
      <w:r>
        <w:rPr>
          <w:rFonts w:ascii="Times New Roman" w:hAnsi="Times New Roman"/>
          <w:noProof/>
          <w:sz w:val="24"/>
          <w:szCs w:val="24"/>
        </w:rPr>
        <w:t xml:space="preserve">, jotta se voi tukea uusiutuvien energialähteiden paikallisen käyttöönoton nopeuttamista ja Intian teollisuuden nopeaa hiilestä irtautumista. EU tukee merituulivoimaa ja aurinkoenergiaa koskevia yhteisiä toimia ja näiden energiamuotojen integrointia älykkäiden verkkojen kautta. </w:t>
      </w:r>
    </w:p>
    <w:p w14:paraId="5D397B43" w14:textId="537F4E62" w:rsidR="00136687" w:rsidRDefault="00136687" w:rsidP="00136687">
      <w:pPr>
        <w:spacing w:after="240"/>
        <w:jc w:val="both"/>
        <w:rPr>
          <w:rFonts w:ascii="Times New Roman" w:hAnsi="Times New Roman" w:cs="Times New Roman"/>
          <w:noProof/>
          <w:sz w:val="24"/>
          <w:szCs w:val="24"/>
        </w:rPr>
      </w:pPr>
      <w:r>
        <w:rPr>
          <w:rFonts w:ascii="Times New Roman" w:hAnsi="Times New Roman"/>
          <w:noProof/>
          <w:sz w:val="24"/>
          <w:szCs w:val="24"/>
        </w:rPr>
        <w:t xml:space="preserve">EU jatkaa hiilestä irtautumista ja sähkömarkkinoiden uudistamista koskevan työn edistämistä </w:t>
      </w:r>
      <w:r>
        <w:rPr>
          <w:rFonts w:ascii="Times New Roman" w:hAnsi="Times New Roman"/>
          <w:b/>
          <w:bCs/>
          <w:noProof/>
          <w:sz w:val="24"/>
          <w:szCs w:val="24"/>
        </w:rPr>
        <w:t xml:space="preserve">Kiinan </w:t>
      </w:r>
      <w:r>
        <w:rPr>
          <w:rFonts w:ascii="Times New Roman" w:hAnsi="Times New Roman"/>
          <w:noProof/>
          <w:sz w:val="24"/>
          <w:szCs w:val="24"/>
        </w:rPr>
        <w:t xml:space="preserve">kanssa sekä energiajärjestelmän tehokkuuden ja toimivuuden parantamista. Yhteistyössä keskitytään päästökauppajärjestelmiin, sähköjärjestelmiin, verkkojen mallinnukseen, energiatehokkuuden rahoittamiseen ja yritysten väliseen yhteistyöhön. </w:t>
      </w:r>
    </w:p>
    <w:p w14:paraId="013A9A73" w14:textId="55EEF804" w:rsidR="00136687" w:rsidRPr="00CD775B" w:rsidRDefault="00136687" w:rsidP="00CD775B">
      <w:pPr>
        <w:spacing w:before="120" w:after="120"/>
        <w:jc w:val="both"/>
        <w:rPr>
          <w:rFonts w:ascii="Times New Roman" w:hAnsi="Times New Roman" w:cs="Times New Roman"/>
          <w:b/>
          <w:bCs/>
          <w:noProof/>
          <w:color w:val="1F497D"/>
          <w:sz w:val="24"/>
          <w:szCs w:val="24"/>
          <w:highlight w:val="yellow"/>
          <w:u w:val="single"/>
        </w:rPr>
      </w:pPr>
      <w:r>
        <w:rPr>
          <w:rFonts w:ascii="Times New Roman" w:hAnsi="Times New Roman"/>
          <w:noProof/>
          <w:sz w:val="24"/>
          <w:szCs w:val="24"/>
        </w:rPr>
        <w:t xml:space="preserve">Kuten </w:t>
      </w:r>
      <w:r>
        <w:rPr>
          <w:rFonts w:ascii="Times New Roman" w:hAnsi="Times New Roman"/>
          <w:b/>
          <w:bCs/>
          <w:noProof/>
          <w:sz w:val="24"/>
          <w:szCs w:val="24"/>
        </w:rPr>
        <w:t>Persianlahtea koskevassa yhteisessä tiedonannossa</w:t>
      </w:r>
      <w:r w:rsidRPr="00831FCC">
        <w:rPr>
          <w:rStyle w:val="FootnoteReference"/>
          <w:rFonts w:ascii="Times New Roman" w:hAnsi="Times New Roman" w:cs="Times New Roman"/>
          <w:b/>
          <w:bCs/>
          <w:noProof/>
          <w:sz w:val="24"/>
          <w:szCs w:val="24"/>
        </w:rPr>
        <w:footnoteReference w:id="23"/>
      </w:r>
      <w:r>
        <w:rPr>
          <w:rFonts w:ascii="Times New Roman" w:hAnsi="Times New Roman"/>
          <w:noProof/>
          <w:sz w:val="24"/>
          <w:szCs w:val="24"/>
        </w:rPr>
        <w:t xml:space="preserve"> todetaan, EU tekee tiivistä yhteistyötä Persianlahden maiden kanssa edistääkseen vihreää energiasiirtymää, myös investointeja eteläiseen naapurustoon. Komissio ehdotti vuotuisten ministerikokousten järjestämistä vihreästä siirtymästä Persianlahden maiden kanssa ja niiden täydentämistä asiaan liittyvillä yksityisen sektorin aloitteilla, jotta komissio voisi jäsentää paremmin yhteistyötä Persianlahden maiden kanssa.</w:t>
      </w:r>
    </w:p>
    <w:p w14:paraId="4043F0D7" w14:textId="5DDF15BC" w:rsidR="00136687" w:rsidRDefault="00136687" w:rsidP="007F7437">
      <w:pPr>
        <w:jc w:val="both"/>
        <w:rPr>
          <w:rFonts w:ascii="Times New Roman" w:hAnsi="Times New Roman" w:cs="Times New Roman"/>
          <w:noProof/>
          <w:sz w:val="24"/>
          <w:szCs w:val="24"/>
        </w:rPr>
      </w:pPr>
      <w:r>
        <w:rPr>
          <w:rFonts w:ascii="Times New Roman" w:hAnsi="Times New Roman"/>
          <w:b/>
          <w:bCs/>
          <w:noProof/>
          <w:sz w:val="24"/>
          <w:szCs w:val="24"/>
        </w:rPr>
        <w:t>Keski-Aasia</w:t>
      </w:r>
      <w:r>
        <w:rPr>
          <w:rFonts w:ascii="Times New Roman" w:hAnsi="Times New Roman"/>
          <w:noProof/>
          <w:sz w:val="24"/>
          <w:szCs w:val="24"/>
        </w:rPr>
        <w:t xml:space="preserve"> on keskeinen, luonnonvaroiltaan rikas alue. EU kannustaa Keski-Aasiaa toteuttamaan energia-alan uudistuksia ja siirtymään vähähiiliseen talouteen alueen aurinko-, tuuli- ja vesivoimapotentiaalia hyödyntäen sekä tekee yhteistyötä kriittisten raaka-aineiden osalta muun muassa </w:t>
      </w:r>
      <w:r>
        <w:rPr>
          <w:rFonts w:ascii="Times New Roman" w:hAnsi="Times New Roman"/>
          <w:b/>
          <w:bCs/>
          <w:noProof/>
          <w:sz w:val="24"/>
          <w:szCs w:val="24"/>
        </w:rPr>
        <w:t>Kazakstanin</w:t>
      </w:r>
      <w:r>
        <w:rPr>
          <w:rFonts w:ascii="Times New Roman" w:hAnsi="Times New Roman"/>
          <w:noProof/>
          <w:sz w:val="24"/>
          <w:szCs w:val="24"/>
        </w:rPr>
        <w:t xml:space="preserve"> kanssa. </w:t>
      </w:r>
    </w:p>
    <w:p w14:paraId="097B3164" w14:textId="79FDDCF0" w:rsidR="00F71CE0" w:rsidRPr="00E46615" w:rsidRDefault="00F71CE0" w:rsidP="00AA5D14">
      <w:pPr>
        <w:pStyle w:val="Heading1"/>
        <w:numPr>
          <w:ilvl w:val="1"/>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Geopolitiikka ja globaali energia-arkkitehtuuri</w:t>
      </w:r>
    </w:p>
    <w:p w14:paraId="56227AA1" w14:textId="77777777" w:rsidR="009938BC" w:rsidRDefault="009938BC" w:rsidP="009938BC">
      <w:pPr>
        <w:spacing w:after="240"/>
        <w:jc w:val="both"/>
        <w:rPr>
          <w:rFonts w:ascii="Times New Roman" w:hAnsi="Times New Roman" w:cs="Times New Roman"/>
          <w:noProof/>
          <w:sz w:val="24"/>
          <w:szCs w:val="24"/>
        </w:rPr>
      </w:pPr>
      <w:r>
        <w:rPr>
          <w:rFonts w:ascii="Times New Roman" w:hAnsi="Times New Roman"/>
          <w:noProof/>
          <w:sz w:val="24"/>
          <w:szCs w:val="24"/>
        </w:rPr>
        <w:t>Venäjän hyökkäys Ukrainaan on ankara muistutus siitä, että maailmassa käydään suuria geopoliittisia ja taloudellisia valtataisteluja. Jos niitä ei tasapainoteta, suurvaltasuhteissa voi olla jatkossa yhä enemmän vastakkainasetteluja ja yksipuolisuutta, mikä johtaa kilpaileviin näkemyksiin ja päämääriin.</w:t>
      </w:r>
    </w:p>
    <w:p w14:paraId="03C76043" w14:textId="77777777" w:rsidR="009938BC" w:rsidRPr="00CF1324" w:rsidRDefault="009938BC" w:rsidP="009938BC">
      <w:pPr>
        <w:spacing w:after="240"/>
        <w:jc w:val="both"/>
        <w:rPr>
          <w:rFonts w:ascii="Times New Roman" w:hAnsi="Times New Roman" w:cs="Times New Roman"/>
          <w:noProof/>
          <w:sz w:val="24"/>
          <w:szCs w:val="24"/>
        </w:rPr>
      </w:pPr>
      <w:r>
        <w:rPr>
          <w:rFonts w:ascii="Times New Roman" w:hAnsi="Times New Roman"/>
          <w:b/>
          <w:bCs/>
          <w:noProof/>
          <w:sz w:val="24"/>
          <w:szCs w:val="24"/>
        </w:rPr>
        <w:t>Maailmanlaajuinen vihreä energiasiirtymä voi auttaa EU:ta saavuttamaan sen laajemmat geopoliittiset tavoitteet häiriönsietokyvyn ja avoimen strategisen riippumattomuuden vahvistamiseksi.</w:t>
      </w:r>
      <w:r>
        <w:rPr>
          <w:rFonts w:ascii="Times New Roman" w:hAnsi="Times New Roman"/>
          <w:noProof/>
          <w:sz w:val="24"/>
          <w:szCs w:val="24"/>
        </w:rPr>
        <w:t xml:space="preserve"> Euroopan komissio ja korkea edustaja edistävät EU:n energiatavoitteita vahvistamalla energiadiplomatian roolia ulko- ja turvallisuuspolitiikassa. Tämä edellyttää seurantamekanismien vahvistamista, ennakointia ja sen arviointia, mitä strategisia vaikutuksia maailmanlaajuisella energiasiirtymällä on kumppanimaille.</w:t>
      </w:r>
    </w:p>
    <w:p w14:paraId="12C4A1CA" w14:textId="3CF4EEA1" w:rsidR="009938BC" w:rsidRPr="00562B81" w:rsidRDefault="00701F5F" w:rsidP="009938BC">
      <w:pPr>
        <w:spacing w:after="240"/>
        <w:jc w:val="both"/>
        <w:rPr>
          <w:rFonts w:ascii="Times New Roman" w:hAnsi="Times New Roman" w:cs="Times New Roman"/>
          <w:noProof/>
          <w:sz w:val="24"/>
          <w:szCs w:val="24"/>
        </w:rPr>
      </w:pPr>
      <w:r>
        <w:rPr>
          <w:rFonts w:ascii="Times New Roman" w:hAnsi="Times New Roman"/>
          <w:noProof/>
          <w:sz w:val="24"/>
          <w:szCs w:val="24"/>
        </w:rPr>
        <w:t xml:space="preserve">Tehokas maailmanlaajuisen energiasiirtymän haasteisiin vastaaminen edellyttää kansainvälisen yhteisön keskinäistä luottamusta ja yhteistyötä. EU tehostaa monenvälistä toimintaansa tukeakseen EU:n tavoitteita ja maailmanlaajuisia sitoumuksia vuonna 2021 annetussa yhteisessä tiedonannossa </w:t>
      </w:r>
      <w:r>
        <w:rPr>
          <w:rFonts w:ascii="Times New Roman" w:hAnsi="Times New Roman"/>
          <w:i/>
          <w:iCs/>
          <w:noProof/>
          <w:sz w:val="24"/>
          <w:szCs w:val="24"/>
        </w:rPr>
        <w:t>EU:n vahvemmasta panostuksesta sääntöihin perustuvaan monenvälisyyteen</w:t>
      </w:r>
      <w:r w:rsidR="008669E4">
        <w:rPr>
          <w:rStyle w:val="FootnoteReference"/>
          <w:rFonts w:ascii="Times New Roman" w:hAnsi="Times New Roman" w:cs="Times New Roman"/>
          <w:noProof/>
          <w:sz w:val="24"/>
          <w:szCs w:val="24"/>
        </w:rPr>
        <w:footnoteReference w:id="24"/>
      </w:r>
      <w:r>
        <w:rPr>
          <w:rFonts w:ascii="Times New Roman" w:hAnsi="Times New Roman"/>
          <w:noProof/>
          <w:sz w:val="24"/>
          <w:szCs w:val="24"/>
        </w:rPr>
        <w:t xml:space="preserve"> vahvistettujen sääntöihin perustuvan ja tehokkaan monenvälisyyden periaatteiden perusteella. On tehostettava kumppanuuksia YK:n, G20-ryhmän ja G7-ryhmän sisällä ja tiivistettävä yhteistyötä kansainvälisten rahoituslaitosten kanssa. </w:t>
      </w:r>
    </w:p>
    <w:p w14:paraId="1C7F85BF" w14:textId="2D2160D9" w:rsidR="009938BC" w:rsidRDefault="009938BC" w:rsidP="009938BC">
      <w:pPr>
        <w:spacing w:after="240"/>
        <w:jc w:val="both"/>
        <w:rPr>
          <w:rFonts w:ascii="Times New Roman" w:hAnsi="Times New Roman" w:cs="Times New Roman"/>
          <w:noProof/>
          <w:sz w:val="24"/>
          <w:szCs w:val="24"/>
        </w:rPr>
      </w:pPr>
      <w:r>
        <w:rPr>
          <w:rFonts w:ascii="Times New Roman" w:hAnsi="Times New Roman"/>
          <w:noProof/>
          <w:sz w:val="24"/>
          <w:szCs w:val="24"/>
        </w:rPr>
        <w:t xml:space="preserve">Monenvälisillä energia-alan järjestöillä ja foorumeilla, kuten IRENAlla, IEA:lla, energiayhteisöllä, International Solar Alliance -yhteenliittymällä, puhtaan energian ministerikokouksella, ”Mission Innovation” </w:t>
      </w:r>
      <w:r>
        <w:rPr>
          <w:rFonts w:ascii="Times New Roman" w:hAnsi="Times New Roman"/>
          <w:noProof/>
          <w:sz w:val="24"/>
          <w:szCs w:val="24"/>
        </w:rPr>
        <w:noBreakHyphen/>
        <w:t>aloitteella ja kaupunginjohtajien energia- ja ilmastosopimuksella, on kaikilla tärkeä vastuu maailmanlaajuisen energiasiirtymän edistämisessä. Joitakin organisaatioita, kuten energiaperuskirjaa, olisi nykyaikaistettava perusteellisesti ja kiireellisesti, jotta ne vastaisivat vuoden 2050 tavoitteita, ja EU toimii aktiivisesti tämän puolesta. Jos energiaperuskirjaa koskevan sopimuksen riittävää uudistusta ei saada aikaan, EU harkitsee sopimuksesta eroamista.</w:t>
      </w:r>
    </w:p>
    <w:p w14:paraId="633AAF2D" w14:textId="145455E2" w:rsidR="009938BC" w:rsidRDefault="009938BC" w:rsidP="0041742C">
      <w:pPr>
        <w:spacing w:after="240"/>
        <w:jc w:val="both"/>
        <w:rPr>
          <w:rFonts w:ascii="Times New Roman" w:hAnsi="Times New Roman" w:cs="Times New Roman"/>
          <w:noProof/>
          <w:sz w:val="24"/>
          <w:szCs w:val="24"/>
        </w:rPr>
      </w:pPr>
      <w:r>
        <w:rPr>
          <w:rFonts w:ascii="Times New Roman" w:hAnsi="Times New Roman"/>
          <w:noProof/>
          <w:sz w:val="24"/>
          <w:szCs w:val="24"/>
        </w:rPr>
        <w:t>EU tukee edelleen nousevien ja kehittyvien talouksien osallistavampaa edustusta kansainvälisissä elimissä. EU ja sen jäsenvaltiot edistävät Team Europe -lähestymistavan puitteissa johtajuutta ja osallistavaa päätösten valmistelua lisäämällä osallistumista asiaankuuluvien organisaatioiden hallintoelimiin. EU:n olisi myös punnittava hyötyjä, joita se saisi laajentamalla yhteistä toimintaansa täydeksi jäsenyydeksi energiafoorumeissa, joita pidetään Euroopan vihreän kehityksen ohjelman ja tämän strategian edistämisen kannalta keskeisinä ja strategisina.</w:t>
      </w:r>
    </w:p>
    <w:p w14:paraId="146C37D0" w14:textId="55F081DB" w:rsidR="00CC199B" w:rsidRDefault="009938BC" w:rsidP="009938BC">
      <w:pPr>
        <w:spacing w:after="240"/>
        <w:jc w:val="both"/>
        <w:rPr>
          <w:rFonts w:ascii="Times New Roman" w:hAnsi="Times New Roman" w:cs="Times New Roman"/>
          <w:noProof/>
          <w:sz w:val="24"/>
          <w:szCs w:val="24"/>
        </w:rPr>
      </w:pPr>
      <w:r>
        <w:rPr>
          <w:rFonts w:ascii="Times New Roman" w:hAnsi="Times New Roman"/>
          <w:noProof/>
          <w:sz w:val="24"/>
          <w:szCs w:val="24"/>
        </w:rPr>
        <w:t>Lisäksi EU vahvistaa yhteistyötä monenvälisten ja alueellisten organisaatioiden kanssa ja pyrkii tekemään tiiviimpää yhteistyötä Välimeren unionin, Afrikan unionin ja sen virastojen, Latinalaisen Amerikan energiajärjestön (OLADE) tai Kaakkois-Aasian maiden liiton (ASEAN) kanssa yhteisten haasteiden ratkaisemiseksi ja yhteistyön tekemiseksi kansainvälisellä tasolla.</w:t>
      </w:r>
    </w:p>
    <w:p w14:paraId="2844D3E3" w14:textId="65CF7B40" w:rsidR="008669E4" w:rsidRPr="00B343AD" w:rsidRDefault="008669E4" w:rsidP="00CC199B">
      <w:pPr>
        <w:spacing w:after="240"/>
        <w:jc w:val="both"/>
        <w:rPr>
          <w:rFonts w:ascii="Times New Roman" w:hAnsi="Times New Roman" w:cs="Times New Roman"/>
          <w:b/>
          <w:bCs/>
          <w:noProof/>
          <w:sz w:val="24"/>
          <w:szCs w:val="24"/>
        </w:rPr>
      </w:pPr>
      <w:r>
        <w:rPr>
          <w:rFonts w:ascii="Times New Roman" w:hAnsi="Times New Roman"/>
          <w:b/>
          <w:bCs/>
          <w:noProof/>
          <w:sz w:val="24"/>
          <w:szCs w:val="24"/>
        </w:rPr>
        <w:t>Keskeiset toimet:</w:t>
      </w:r>
    </w:p>
    <w:p w14:paraId="73816588" w14:textId="771F676A" w:rsidR="008669E4" w:rsidRDefault="008669E4" w:rsidP="008669E4">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seurataan säännöllisesti vihreän siirtymän geopoliittisia vaikutuksia</w:t>
      </w:r>
    </w:p>
    <w:p w14:paraId="462109D8" w14:textId="09B14DFE" w:rsidR="008669E4" w:rsidRDefault="0041742C" w:rsidP="0041742C">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tarkastellaan uudelleen EU:n osallistumista maailmanlaajuisen energiasiirtymän kannalta olennaisiin kansainvälisiin energiafoorumeihin</w:t>
      </w:r>
    </w:p>
    <w:p w14:paraId="7C836B9F" w14:textId="1BAD20EC" w:rsidR="008669E4" w:rsidRPr="006D5C36" w:rsidRDefault="0041742C" w:rsidP="006D5C36">
      <w:pPr>
        <w:pStyle w:val="ListParagraph"/>
        <w:numPr>
          <w:ilvl w:val="0"/>
          <w:numId w:val="9"/>
        </w:numPr>
        <w:jc w:val="both"/>
        <w:rPr>
          <w:rFonts w:ascii="Times New Roman" w:hAnsi="Times New Roman" w:cs="Times New Roman"/>
          <w:b/>
          <w:bCs/>
          <w:noProof/>
          <w:sz w:val="24"/>
          <w:szCs w:val="24"/>
        </w:rPr>
      </w:pPr>
      <w:r>
        <w:rPr>
          <w:rFonts w:ascii="Times New Roman" w:hAnsi="Times New Roman"/>
          <w:b/>
          <w:bCs/>
          <w:noProof/>
          <w:sz w:val="24"/>
          <w:szCs w:val="24"/>
        </w:rPr>
        <w:t>lisätään energiadiplomatiaa EU:n ja sen jäsenvaltioiden ulkopolitiikassa.</w:t>
      </w:r>
    </w:p>
    <w:p w14:paraId="7841C725" w14:textId="66C4591D" w:rsidR="00CC199B" w:rsidRDefault="00CC199B">
      <w:pPr>
        <w:rPr>
          <w:rFonts w:ascii="Times New Roman" w:eastAsia="Times New Roman" w:hAnsi="Times New Roman" w:cs="Times New Roman"/>
          <w:b/>
          <w:noProof/>
          <w:sz w:val="24"/>
          <w:szCs w:val="24"/>
        </w:rPr>
      </w:pPr>
    </w:p>
    <w:p w14:paraId="58C4AFE4" w14:textId="09EA300B" w:rsidR="00C33F66" w:rsidRPr="00C571AB" w:rsidRDefault="00C33F66" w:rsidP="00C33F66">
      <w:pPr>
        <w:pStyle w:val="Heading1"/>
        <w:numPr>
          <w:ilvl w:val="0"/>
          <w:numId w:val="1"/>
        </w:numPr>
        <w:spacing w:after="240"/>
        <w:rPr>
          <w:rFonts w:ascii="Times New Roman" w:eastAsia="Times New Roman" w:hAnsi="Times New Roman" w:cs="Times New Roman"/>
          <w:b/>
          <w:noProof/>
          <w:color w:val="auto"/>
          <w:sz w:val="24"/>
          <w:szCs w:val="24"/>
        </w:rPr>
      </w:pPr>
      <w:r>
        <w:rPr>
          <w:rFonts w:ascii="Times New Roman" w:hAnsi="Times New Roman"/>
          <w:b/>
          <w:noProof/>
          <w:color w:val="auto"/>
          <w:sz w:val="24"/>
          <w:szCs w:val="24"/>
        </w:rPr>
        <w:t>Päätelmät</w:t>
      </w:r>
    </w:p>
    <w:p w14:paraId="00624A0E" w14:textId="49246AF6" w:rsidR="009D38E8" w:rsidRDefault="00180972" w:rsidP="009D38E8">
      <w:pPr>
        <w:jc w:val="both"/>
        <w:rPr>
          <w:rFonts w:ascii="Times New Roman" w:hAnsi="Times New Roman" w:cs="Times New Roman"/>
          <w:noProof/>
          <w:sz w:val="24"/>
          <w:szCs w:val="24"/>
        </w:rPr>
      </w:pPr>
      <w:r>
        <w:rPr>
          <w:rFonts w:ascii="Times New Roman" w:hAnsi="Times New Roman"/>
          <w:noProof/>
          <w:sz w:val="24"/>
          <w:szCs w:val="24"/>
        </w:rPr>
        <w:t xml:space="preserve">Käsillä on maailmanlaajuisen energiapolitiikan kannalta kriittinen hetki. Ilmastonmuutos, geopoliittiset muutokset, teknologian kehitys ja energian maailmanlaajuisen kysynnän kasvu luovat haastavan ja nopeasti muuttuvan ympäristön, joka edellyttää energiajärjestelmiemme ja -suhteidemme mukauttamista. </w:t>
      </w:r>
    </w:p>
    <w:p w14:paraId="706D3607" w14:textId="5C4DDF58" w:rsidR="008315CF" w:rsidRDefault="009D38E8" w:rsidP="009D38E8">
      <w:pPr>
        <w:jc w:val="both"/>
        <w:rPr>
          <w:rFonts w:ascii="Times New Roman" w:hAnsi="Times New Roman" w:cs="Times New Roman"/>
          <w:noProof/>
          <w:sz w:val="24"/>
          <w:szCs w:val="24"/>
        </w:rPr>
      </w:pPr>
      <w:r>
        <w:rPr>
          <w:rFonts w:ascii="Times New Roman" w:hAnsi="Times New Roman"/>
          <w:noProof/>
          <w:sz w:val="24"/>
          <w:szCs w:val="24"/>
        </w:rPr>
        <w:t xml:space="preserve">Lisäksi </w:t>
      </w:r>
      <w:r>
        <w:rPr>
          <w:rFonts w:ascii="Times New Roman" w:hAnsi="Times New Roman"/>
          <w:b/>
          <w:bCs/>
          <w:noProof/>
          <w:sz w:val="24"/>
          <w:szCs w:val="24"/>
        </w:rPr>
        <w:t>Venäjän hyökkäyksellä Ukrainaan on kauaskantoisia seurauksia energiaturvallisuuteen</w:t>
      </w:r>
      <w:r>
        <w:rPr>
          <w:rFonts w:ascii="Times New Roman" w:hAnsi="Times New Roman"/>
          <w:noProof/>
          <w:sz w:val="24"/>
          <w:szCs w:val="24"/>
        </w:rPr>
        <w:t xml:space="preserve"> paitsi EU:ssa, myös koko maailmassa. Venäjän toimet ovat johtaneet ennennäkemättömään hintojen epävakauteen energiamarkkinoilla ja korostaneet tarvetta kumppanuuksille, jotka perustuvat luottamukseen ja yhteisiin pitkän aikavälin tavoitteisiin.</w:t>
      </w:r>
    </w:p>
    <w:p w14:paraId="28BEADE5" w14:textId="41C65792" w:rsidR="008315CF" w:rsidRDefault="008315CF" w:rsidP="008315CF">
      <w:pPr>
        <w:jc w:val="both"/>
        <w:rPr>
          <w:rFonts w:ascii="Times New Roman" w:hAnsi="Times New Roman" w:cs="Times New Roman"/>
          <w:noProof/>
          <w:sz w:val="24"/>
          <w:szCs w:val="24"/>
        </w:rPr>
      </w:pPr>
      <w:r>
        <w:rPr>
          <w:rFonts w:ascii="Times New Roman" w:hAnsi="Times New Roman"/>
          <w:b/>
          <w:bCs/>
          <w:noProof/>
          <w:sz w:val="24"/>
          <w:szCs w:val="24"/>
        </w:rPr>
        <w:t>Vihreä energiasiirtymä on ainoa keino varmistaa samanaikaisesti kestävä, varma ja kohtuuhintainen energia koko maailmalle.</w:t>
      </w:r>
      <w:r>
        <w:rPr>
          <w:rFonts w:ascii="Times New Roman" w:hAnsi="Times New Roman"/>
          <w:noProof/>
          <w:sz w:val="24"/>
          <w:szCs w:val="24"/>
        </w:rPr>
        <w:t xml:space="preserve"> Jotta siirtymä onnistuisi, sen on oltava sosiaalisesti oikeudenmukainen ja reilu niin, ettei ketään jätetä jälkeen. Se tarkoittaa paitsi asteittaista luopumista fossiilisista polttoaineista ja vanhentuneista käytännöistä, myös vihreän energian, innovatiivisen teknologian, parempien markkinoiden ja kiertotalouden asteittaista käyttöönottamista. Se edellyttää, että torjutaan jo nyt mahdollisia tulevia riskejä ja riippuvuuksia. </w:t>
      </w:r>
    </w:p>
    <w:p w14:paraId="3621EDB4" w14:textId="39243CE7" w:rsidR="00365200" w:rsidRDefault="008315CF" w:rsidP="000028B6">
      <w:pPr>
        <w:jc w:val="both"/>
        <w:rPr>
          <w:rFonts w:ascii="Times New Roman" w:hAnsi="Times New Roman" w:cs="Times New Roman"/>
          <w:noProof/>
          <w:sz w:val="24"/>
          <w:szCs w:val="24"/>
        </w:rPr>
      </w:pPr>
      <w:r>
        <w:rPr>
          <w:rFonts w:ascii="Times New Roman" w:hAnsi="Times New Roman"/>
          <w:noProof/>
          <w:sz w:val="24"/>
          <w:szCs w:val="24"/>
        </w:rPr>
        <w:t xml:space="preserve">Siirtymä tarjoaa EU:lle ja sen kumppaneille mahdollisuuden rakentaa yhdessä </w:t>
      </w:r>
      <w:r>
        <w:rPr>
          <w:rFonts w:ascii="Times New Roman" w:hAnsi="Times New Roman"/>
          <w:b/>
          <w:bCs/>
          <w:noProof/>
          <w:sz w:val="24"/>
          <w:szCs w:val="24"/>
        </w:rPr>
        <w:t>uusi energiajärjestelmä, joka on nykyistä kestävämpi, tasa-arvoisempi ja yhteistoiminnallisempi</w:t>
      </w:r>
      <w:r>
        <w:rPr>
          <w:rFonts w:ascii="Times New Roman" w:hAnsi="Times New Roman"/>
          <w:noProof/>
          <w:sz w:val="24"/>
          <w:szCs w:val="24"/>
        </w:rPr>
        <w:t xml:space="preserve">. Tässä tiedonannossa esitetään EU:n strategia tämän tavoitteen saavuttamiseksi. </w:t>
      </w:r>
    </w:p>
    <w:sectPr w:rsidR="00365200" w:rsidSect="00CA53F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46CEA" w14:textId="77777777" w:rsidR="00982440" w:rsidRDefault="00982440" w:rsidP="00CA53FB">
      <w:pPr>
        <w:spacing w:after="0" w:line="240" w:lineRule="auto"/>
      </w:pPr>
      <w:r>
        <w:separator/>
      </w:r>
    </w:p>
  </w:endnote>
  <w:endnote w:type="continuationSeparator" w:id="0">
    <w:p w14:paraId="66272369" w14:textId="77777777" w:rsidR="00982440" w:rsidRDefault="00982440" w:rsidP="00CA53FB">
      <w:pPr>
        <w:spacing w:after="0" w:line="240" w:lineRule="auto"/>
      </w:pPr>
      <w:r>
        <w:continuationSeparator/>
      </w:r>
    </w:p>
  </w:endnote>
  <w:endnote w:type="continuationNotice" w:id="1">
    <w:p w14:paraId="6D12A560" w14:textId="77777777" w:rsidR="00982440" w:rsidRDefault="00982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4105" w14:textId="77777777" w:rsidR="006A7AC3" w:rsidRPr="006A7AC3" w:rsidRDefault="006A7AC3" w:rsidP="006A7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A7D0" w14:textId="1BABCA09" w:rsidR="00D70B20" w:rsidRPr="006A7AC3" w:rsidRDefault="006A7AC3" w:rsidP="006A7AC3">
    <w:pPr>
      <w:pStyle w:val="FooterCoverPage"/>
      <w:rPr>
        <w:rFonts w:ascii="Arial" w:hAnsi="Arial" w:cs="Arial"/>
        <w:b/>
        <w:sz w:val="48"/>
      </w:rPr>
    </w:pPr>
    <w:r w:rsidRPr="006A7AC3">
      <w:rPr>
        <w:rFonts w:ascii="Arial" w:hAnsi="Arial" w:cs="Arial"/>
        <w:b/>
        <w:sz w:val="48"/>
      </w:rPr>
      <w:t>FI</w:t>
    </w:r>
    <w:r w:rsidRPr="006A7AC3">
      <w:rPr>
        <w:rFonts w:ascii="Arial" w:hAnsi="Arial" w:cs="Arial"/>
        <w:b/>
        <w:sz w:val="48"/>
      </w:rPr>
      <w:tab/>
    </w:r>
    <w:r w:rsidRPr="006A7AC3">
      <w:rPr>
        <w:rFonts w:ascii="Arial" w:hAnsi="Arial" w:cs="Arial"/>
        <w:b/>
        <w:sz w:val="48"/>
      </w:rPr>
      <w:tab/>
    </w:r>
    <w:r w:rsidRPr="006A7AC3">
      <w:tab/>
    </w:r>
    <w:r w:rsidRPr="006A7AC3">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DE11" w14:textId="77777777" w:rsidR="006A7AC3" w:rsidRPr="006A7AC3" w:rsidRDefault="006A7AC3" w:rsidP="006A7AC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6A37" w14:textId="77777777" w:rsidR="00CC199B" w:rsidRDefault="00CC19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704085"/>
      <w:docPartObj>
        <w:docPartGallery w:val="Page Numbers (Bottom of Page)"/>
        <w:docPartUnique/>
      </w:docPartObj>
    </w:sdtPr>
    <w:sdtEndPr>
      <w:rPr>
        <w:noProof/>
      </w:rPr>
    </w:sdtEndPr>
    <w:sdtContent>
      <w:p w14:paraId="63055207" w14:textId="5C74ED1F" w:rsidR="00CC199B" w:rsidRDefault="00CC199B">
        <w:pPr>
          <w:pStyle w:val="Footer"/>
          <w:jc w:val="right"/>
        </w:pPr>
        <w:r>
          <w:fldChar w:fldCharType="begin"/>
        </w:r>
        <w:r>
          <w:instrText xml:space="preserve"> PAGE   \* MERGEFORMAT </w:instrText>
        </w:r>
        <w:r>
          <w:fldChar w:fldCharType="separate"/>
        </w:r>
        <w:r w:rsidR="006A7AC3">
          <w:rPr>
            <w:noProof/>
          </w:rPr>
          <w:t>1</w:t>
        </w:r>
        <w:r>
          <w:fldChar w:fldCharType="end"/>
        </w:r>
      </w:p>
    </w:sdtContent>
  </w:sdt>
  <w:p w14:paraId="5E28B9D2" w14:textId="77777777" w:rsidR="00CC199B" w:rsidRDefault="00CC199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BD34" w14:textId="77777777" w:rsidR="00CC199B" w:rsidRDefault="00CC1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963A0" w14:textId="77777777" w:rsidR="00982440" w:rsidRDefault="00982440" w:rsidP="00CA53FB">
      <w:pPr>
        <w:spacing w:after="0" w:line="240" w:lineRule="auto"/>
      </w:pPr>
      <w:r>
        <w:separator/>
      </w:r>
    </w:p>
  </w:footnote>
  <w:footnote w:type="continuationSeparator" w:id="0">
    <w:p w14:paraId="7C4AF418" w14:textId="77777777" w:rsidR="00982440" w:rsidRDefault="00982440" w:rsidP="00CA53FB">
      <w:pPr>
        <w:spacing w:after="0" w:line="240" w:lineRule="auto"/>
      </w:pPr>
      <w:r>
        <w:continuationSeparator/>
      </w:r>
    </w:p>
  </w:footnote>
  <w:footnote w:type="continuationNotice" w:id="1">
    <w:p w14:paraId="5DD3B1EE" w14:textId="77777777" w:rsidR="00982440" w:rsidRDefault="00982440">
      <w:pPr>
        <w:spacing w:after="0" w:line="240" w:lineRule="auto"/>
      </w:pPr>
    </w:p>
  </w:footnote>
  <w:footnote w:id="2">
    <w:p w14:paraId="283F7C96" w14:textId="77777777" w:rsidR="00CC199B" w:rsidRPr="003A3B03" w:rsidRDefault="00CC199B">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Vuonna 2021 yli 40 prosenttia EU:n kaasun kokonaiskulutuksesta oli peräisin Venäjältä: tämä tarkoittaa noin 155:tä miljardia kuutiometriä (bcm), josta 15 miljardia kuutiometriä oli nesteytettyä maakaasua (LNG).</w:t>
      </w:r>
    </w:p>
  </w:footnote>
  <w:footnote w:id="3">
    <w:p w14:paraId="269B4882" w14:textId="77777777" w:rsidR="00CC199B" w:rsidRPr="003A3B03" w:rsidRDefault="00CC199B" w:rsidP="00705665">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1" w:history="1">
        <w:r>
          <w:rPr>
            <w:rStyle w:val="Hyperlink"/>
            <w:rFonts w:asciiTheme="majorBidi" w:hAnsiTheme="majorBidi"/>
            <w:color w:val="auto"/>
            <w:sz w:val="18"/>
            <w:szCs w:val="18"/>
          </w:rPr>
          <w:t>Euroopan komission ja Yhdysvaltojen yhteinen julkilausuma Euroopan energiaturvallisuudesta.</w:t>
        </w:r>
      </w:hyperlink>
    </w:p>
  </w:footnote>
  <w:footnote w:id="4">
    <w:p w14:paraId="2E3957AE" w14:textId="77777777" w:rsidR="00CC199B" w:rsidRPr="00CA014D" w:rsidRDefault="00CC199B">
      <w:pPr>
        <w:pStyle w:val="FootnoteText"/>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2" w:history="1">
        <w:r>
          <w:rPr>
            <w:rStyle w:val="Hyperlink"/>
            <w:rFonts w:asciiTheme="majorBidi" w:hAnsiTheme="majorBidi"/>
            <w:color w:val="auto"/>
            <w:sz w:val="18"/>
            <w:szCs w:val="18"/>
          </w:rPr>
          <w:t>Puheenjohtaja von der Leyenin ja pääministeri Trudeaun yhteinen julkilausuma.</w:t>
        </w:r>
      </w:hyperlink>
    </w:p>
  </w:footnote>
  <w:footnote w:id="5">
    <w:p w14:paraId="7366F4F7" w14:textId="5E9C07DE" w:rsidR="00CC199B" w:rsidRPr="006939C2" w:rsidRDefault="00CC199B" w:rsidP="00776973">
      <w:pPr>
        <w:pStyle w:val="FootnoteText"/>
      </w:pPr>
      <w:r>
        <w:rPr>
          <w:rStyle w:val="FootnoteReference"/>
        </w:rPr>
        <w:footnoteRef/>
      </w:r>
      <w:r>
        <w:t xml:space="preserve"> </w:t>
      </w:r>
      <w:r>
        <w:rPr>
          <w:rFonts w:asciiTheme="majorBidi" w:hAnsiTheme="majorBidi"/>
          <w:sz w:val="18"/>
        </w:rPr>
        <w:t>46 miljardia kuutiometriä vuodessa on Kansainvälisen energiajärjestön arvioima perustaso, joka perustuu parhaita käytäntöjä koskeviin olettamuksiin.</w:t>
      </w:r>
    </w:p>
  </w:footnote>
  <w:footnote w:id="6">
    <w:p w14:paraId="1A449FC1" w14:textId="77777777" w:rsidR="00CC199B" w:rsidRPr="006939C2" w:rsidRDefault="00CC199B" w:rsidP="0098638B">
      <w:pPr>
        <w:pStyle w:val="FootnoteText"/>
        <w:rPr>
          <w:rFonts w:asciiTheme="majorBidi" w:hAnsiTheme="majorBidi"/>
        </w:rPr>
      </w:pPr>
      <w:r>
        <w:rPr>
          <w:rStyle w:val="FootnoteReference"/>
        </w:rPr>
        <w:footnoteRef/>
      </w:r>
      <w:r>
        <w:t xml:space="preserve"> </w:t>
      </w:r>
      <w:hyperlink r:id="rId3" w:history="1">
        <w:r>
          <w:rPr>
            <w:rStyle w:val="Hyperlink"/>
            <w:rFonts w:asciiTheme="majorBidi" w:hAnsiTheme="majorBidi"/>
            <w:color w:val="auto"/>
            <w:sz w:val="18"/>
          </w:rPr>
          <w:t>Euroopan laajuisia energiaverkkoja koskeva asetus.</w:t>
        </w:r>
      </w:hyperlink>
    </w:p>
  </w:footnote>
  <w:footnote w:id="7">
    <w:p w14:paraId="55B17372" w14:textId="475AA2B6" w:rsidR="00CC199B" w:rsidRPr="00044538" w:rsidRDefault="00CC199B">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t xml:space="preserve"> </w:t>
      </w:r>
      <w:r>
        <w:rPr>
          <w:rFonts w:asciiTheme="majorBidi" w:hAnsiTheme="majorBidi"/>
          <w:sz w:val="18"/>
          <w:szCs w:val="18"/>
        </w:rPr>
        <w:t>Venäjänkielinen lyhenne ”VVER” tarkoittaa vesi-vesi-energiareaktoria.</w:t>
      </w:r>
    </w:p>
  </w:footnote>
  <w:footnote w:id="8">
    <w:p w14:paraId="13A6CF6F" w14:textId="7B2101AC" w:rsidR="00CC199B" w:rsidRPr="00CA75AD" w:rsidRDefault="00CC199B" w:rsidP="00DB12C3">
      <w:pPr>
        <w:pStyle w:val="FootnoteText"/>
      </w:pPr>
      <w:r>
        <w:rPr>
          <w:rStyle w:val="FootnoteReference"/>
          <w:rFonts w:asciiTheme="majorBidi" w:hAnsiTheme="majorBidi" w:cstheme="majorBidi"/>
          <w:sz w:val="18"/>
          <w:szCs w:val="18"/>
        </w:rPr>
        <w:footnoteRef/>
      </w:r>
      <w:r>
        <w:rPr>
          <w:rFonts w:asciiTheme="majorBidi" w:hAnsiTheme="majorBidi"/>
          <w:sz w:val="18"/>
          <w:szCs w:val="18"/>
        </w:rPr>
        <w:t xml:space="preserve"> Euratomin työohjelmaan 2021–2022 tehtyyn muutokseen sisältyy uusi toimi, jolla lisätään EU:n toimitusvarmuutta tutkimalla vaihtoehtoista, Venäjän ulkopuolelta hankittavaa polttoainetta venäläisvalmisteisiin reaktoreihin EU:ssa ja Ukrainassa.</w:t>
      </w:r>
    </w:p>
  </w:footnote>
  <w:footnote w:id="9">
    <w:p w14:paraId="017081D6" w14:textId="77777777" w:rsidR="00CC199B" w:rsidRPr="008D443E" w:rsidRDefault="00CC199B" w:rsidP="00CD794A">
      <w:pPr>
        <w:pStyle w:val="FootnoteText"/>
      </w:pPr>
      <w:r>
        <w:rPr>
          <w:rStyle w:val="FootnoteReference"/>
        </w:rPr>
        <w:footnoteRef/>
      </w:r>
      <w:r>
        <w:rPr>
          <w:rFonts w:ascii="Times New Roman" w:hAnsi="Times New Roman"/>
          <w:sz w:val="18"/>
          <w:szCs w:val="18"/>
        </w:rPr>
        <w:t xml:space="preserve"> </w:t>
      </w:r>
      <w:hyperlink r:id="rId4" w:history="1">
        <w:r>
          <w:rPr>
            <w:rStyle w:val="Hyperlink"/>
            <w:rFonts w:ascii="Times New Roman" w:hAnsi="Times New Roman"/>
            <w:color w:val="auto"/>
            <w:sz w:val="18"/>
            <w:szCs w:val="18"/>
          </w:rPr>
          <w:t>IEA arvioi</w:t>
        </w:r>
      </w:hyperlink>
      <w:r>
        <w:rPr>
          <w:rFonts w:ascii="Times New Roman" w:hAnsi="Times New Roman"/>
          <w:sz w:val="18"/>
          <w:szCs w:val="18"/>
        </w:rPr>
        <w:t>, että on teknisesti mahdollista välttää noin kolme neljännestä maailmanlaajuisen öljy- ja kaasutoiminnan nykyisistä metaanipäästöistä</w:t>
      </w:r>
      <w:r>
        <w:t>,</w:t>
      </w:r>
      <w:r>
        <w:rPr>
          <w:rFonts w:ascii="Times New Roman" w:hAnsi="Times New Roman"/>
          <w:sz w:val="18"/>
          <w:szCs w:val="18"/>
        </w:rPr>
        <w:t xml:space="preserve"> ja mikä merkittävämpää, noin 40 prosenttia nykyisistä metaanipäästöistä voitaisiin välttää ilman, että siitä aiheutuu nettokustannuksia.</w:t>
      </w:r>
    </w:p>
  </w:footnote>
  <w:footnote w:id="10">
    <w:p w14:paraId="54319E2C" w14:textId="77777777" w:rsidR="006A4CD9" w:rsidRPr="008D443E" w:rsidRDefault="006A4CD9">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5" w:history="1">
        <w:r>
          <w:rPr>
            <w:rStyle w:val="Hyperlink"/>
            <w:rFonts w:asciiTheme="majorBidi" w:hAnsiTheme="majorBidi"/>
            <w:i/>
            <w:iCs/>
            <w:color w:val="auto"/>
            <w:sz w:val="18"/>
            <w:szCs w:val="18"/>
          </w:rPr>
          <w:t>EU:n strategia metaanipäästöjen vähentämiseksi</w:t>
        </w:r>
        <w:r>
          <w:rPr>
            <w:rStyle w:val="Hyperlink"/>
            <w:rFonts w:asciiTheme="majorBidi" w:hAnsiTheme="majorBidi"/>
            <w:color w:val="auto"/>
            <w:sz w:val="18"/>
            <w:szCs w:val="18"/>
          </w:rPr>
          <w:t>, COM(2020) 663 final.</w:t>
        </w:r>
      </w:hyperlink>
    </w:p>
  </w:footnote>
  <w:footnote w:id="11">
    <w:p w14:paraId="0E8DD701" w14:textId="77777777" w:rsidR="006A4CD9" w:rsidRPr="005F0A3E" w:rsidRDefault="006A4CD9">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6" w:history="1">
        <w:r>
          <w:rPr>
            <w:rStyle w:val="Hyperlink"/>
            <w:rFonts w:asciiTheme="majorBidi" w:hAnsiTheme="majorBidi"/>
            <w:color w:val="auto"/>
            <w:sz w:val="18"/>
            <w:szCs w:val="18"/>
          </w:rPr>
          <w:t>Maailmanlaajuinen metaanisitoumus.</w:t>
        </w:r>
      </w:hyperlink>
    </w:p>
  </w:footnote>
  <w:footnote w:id="12">
    <w:p w14:paraId="7A4621D5" w14:textId="77777777" w:rsidR="006A4CD9" w:rsidRPr="008D443E" w:rsidRDefault="006A4CD9" w:rsidP="00DD11D8">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7" w:history="1">
        <w:r>
          <w:rPr>
            <w:rStyle w:val="Hyperlink"/>
            <w:rFonts w:asciiTheme="majorBidi" w:hAnsiTheme="majorBidi"/>
            <w:color w:val="auto"/>
            <w:sz w:val="18"/>
            <w:szCs w:val="18"/>
          </w:rPr>
          <w:t>YK:n kauppa- ja kehityskonferenssi (2022) Trade and Development Report 2021, maaliskuun päivitys.</w:t>
        </w:r>
      </w:hyperlink>
    </w:p>
  </w:footnote>
  <w:footnote w:id="13">
    <w:p w14:paraId="6F8CF4CB" w14:textId="77777777" w:rsidR="006A4CD9" w:rsidRPr="004D57D2" w:rsidRDefault="006A4CD9" w:rsidP="00DD11D8">
      <w:pPr>
        <w:pStyle w:val="FootnoteText"/>
        <w:rPr>
          <w:rFonts w:asciiTheme="majorBidi" w:hAnsiTheme="majorBidi" w:cstheme="majorBidi"/>
          <w:sz w:val="18"/>
          <w:szCs w:val="18"/>
          <w:lang w:val="en-US"/>
        </w:rPr>
      </w:pPr>
      <w:r>
        <w:rPr>
          <w:rStyle w:val="FootnoteReference"/>
          <w:rFonts w:asciiTheme="majorBidi" w:hAnsiTheme="majorBidi" w:cstheme="majorBidi"/>
          <w:sz w:val="18"/>
          <w:szCs w:val="18"/>
        </w:rPr>
        <w:footnoteRef/>
      </w:r>
      <w:r w:rsidRPr="004D57D2">
        <w:rPr>
          <w:rFonts w:asciiTheme="majorBidi" w:hAnsiTheme="majorBidi"/>
          <w:sz w:val="18"/>
          <w:szCs w:val="18"/>
          <w:lang w:val="en-US"/>
        </w:rPr>
        <w:t xml:space="preserve"> </w:t>
      </w:r>
      <w:hyperlink r:id="rId8" w:history="1">
        <w:r w:rsidRPr="004D57D2">
          <w:rPr>
            <w:rStyle w:val="Hyperlink"/>
            <w:rFonts w:asciiTheme="majorBidi" w:hAnsiTheme="majorBidi"/>
            <w:color w:val="auto"/>
            <w:sz w:val="18"/>
            <w:szCs w:val="18"/>
            <w:lang w:val="en-US"/>
          </w:rPr>
          <w:t>YK:n katsaus ”Global impact of war in Ukraine on food, energy and finance systems”</w:t>
        </w:r>
      </w:hyperlink>
      <w:r w:rsidRPr="004D57D2">
        <w:rPr>
          <w:rFonts w:asciiTheme="majorBidi" w:hAnsiTheme="majorBidi"/>
          <w:sz w:val="18"/>
          <w:szCs w:val="18"/>
          <w:lang w:val="en-US"/>
        </w:rPr>
        <w:t>, huhtikuu 2022.</w:t>
      </w:r>
    </w:p>
  </w:footnote>
  <w:footnote w:id="14">
    <w:p w14:paraId="0D97F8E0" w14:textId="77777777" w:rsidR="00CC199B" w:rsidRPr="004D57D2" w:rsidRDefault="006A4CD9">
      <w:pPr>
        <w:pStyle w:val="FootnoteText"/>
        <w:rPr>
          <w:lang w:val="en-US"/>
        </w:rPr>
      </w:pPr>
      <w:r>
        <w:rPr>
          <w:rStyle w:val="FootnoteReference"/>
          <w:rFonts w:asciiTheme="majorBidi" w:hAnsiTheme="majorBidi" w:cstheme="majorBidi"/>
          <w:sz w:val="18"/>
          <w:szCs w:val="18"/>
        </w:rPr>
        <w:footnoteRef/>
      </w:r>
      <w:r w:rsidRPr="004D57D2">
        <w:rPr>
          <w:rFonts w:asciiTheme="majorBidi" w:hAnsiTheme="majorBidi"/>
          <w:sz w:val="18"/>
          <w:szCs w:val="18"/>
          <w:lang w:val="en-US"/>
        </w:rPr>
        <w:t xml:space="preserve"> </w:t>
      </w:r>
      <w:hyperlink r:id="rId9" w:history="1">
        <w:r w:rsidRPr="004D57D2">
          <w:rPr>
            <w:rStyle w:val="Hyperlink"/>
            <w:rFonts w:asciiTheme="majorBidi" w:hAnsiTheme="majorBidi"/>
            <w:color w:val="auto"/>
            <w:sz w:val="18"/>
            <w:szCs w:val="18"/>
            <w:lang w:val="en-US"/>
          </w:rPr>
          <w:t>YK – Global Crisis Response Group.</w:t>
        </w:r>
      </w:hyperlink>
    </w:p>
  </w:footnote>
  <w:footnote w:id="15">
    <w:p w14:paraId="338FFFEC" w14:textId="1A3416F2" w:rsidR="00B86A78" w:rsidRPr="00B86A78" w:rsidRDefault="00B86A78">
      <w:pPr>
        <w:pStyle w:val="FootnoteText"/>
      </w:pPr>
      <w:r>
        <w:rPr>
          <w:rStyle w:val="FootnoteReference"/>
        </w:rPr>
        <w:footnoteRef/>
      </w:r>
      <w:r>
        <w:rPr>
          <w:rFonts w:ascii="Times New Roman" w:hAnsi="Times New Roman"/>
          <w:sz w:val="18"/>
          <w:szCs w:val="18"/>
        </w:rPr>
        <w:t xml:space="preserve">Komission tiedonanto Euroopan parlamentille, Eurooppa-neuvostolle, neuvostolle, Euroopan talous- ja sosiaalikomitealle ja alueiden komitealle: </w:t>
      </w:r>
      <w:r>
        <w:rPr>
          <w:rFonts w:ascii="Times New Roman" w:hAnsi="Times New Roman"/>
          <w:i/>
          <w:iCs/>
          <w:sz w:val="18"/>
          <w:szCs w:val="18"/>
        </w:rPr>
        <w:t>Ukrainan hätäapu ja jälleenrakennus</w:t>
      </w:r>
      <w:r>
        <w:rPr>
          <w:rFonts w:ascii="Times New Roman" w:hAnsi="Times New Roman"/>
          <w:sz w:val="18"/>
          <w:szCs w:val="18"/>
        </w:rPr>
        <w:t>, COM(2022) 233 final.</w:t>
      </w:r>
    </w:p>
  </w:footnote>
  <w:footnote w:id="16">
    <w:p w14:paraId="3E97F337" w14:textId="77777777" w:rsidR="00CC199B" w:rsidRPr="004D57D2" w:rsidRDefault="00CC199B">
      <w:pPr>
        <w:pStyle w:val="FootnoteText"/>
        <w:rPr>
          <w:rFonts w:asciiTheme="majorBidi" w:hAnsiTheme="majorBidi" w:cstheme="majorBidi"/>
          <w:sz w:val="18"/>
          <w:szCs w:val="18"/>
          <w:lang w:val="en-US"/>
        </w:rPr>
      </w:pPr>
      <w:r>
        <w:rPr>
          <w:rStyle w:val="FootnoteReference"/>
          <w:rFonts w:asciiTheme="majorBidi" w:hAnsiTheme="majorBidi" w:cstheme="majorBidi"/>
          <w:sz w:val="18"/>
          <w:szCs w:val="18"/>
        </w:rPr>
        <w:footnoteRef/>
      </w:r>
      <w:r w:rsidRPr="004D57D2">
        <w:rPr>
          <w:rFonts w:asciiTheme="majorBidi" w:hAnsiTheme="majorBidi"/>
          <w:sz w:val="18"/>
          <w:szCs w:val="18"/>
          <w:lang w:val="en-US"/>
        </w:rPr>
        <w:t xml:space="preserve"> </w:t>
      </w:r>
      <w:hyperlink r:id="rId10" w:history="1">
        <w:r w:rsidRPr="004D57D2">
          <w:rPr>
            <w:rStyle w:val="Hyperlink"/>
            <w:rFonts w:asciiTheme="majorBidi" w:hAnsiTheme="majorBidi"/>
            <w:color w:val="auto"/>
            <w:sz w:val="18"/>
            <w:szCs w:val="18"/>
            <w:lang w:val="en-US"/>
          </w:rPr>
          <w:t>World Energy Transitions Outlook:</w:t>
        </w:r>
      </w:hyperlink>
      <w:hyperlink r:id="rId11" w:history="1">
        <w:r w:rsidRPr="004D57D2">
          <w:rPr>
            <w:rStyle w:val="Hyperlink"/>
            <w:rFonts w:asciiTheme="majorBidi" w:hAnsiTheme="majorBidi"/>
            <w:color w:val="auto"/>
            <w:sz w:val="18"/>
            <w:szCs w:val="18"/>
            <w:lang w:val="en-US"/>
          </w:rPr>
          <w:t xml:space="preserve"> 1.5°C Pathway.</w:t>
        </w:r>
      </w:hyperlink>
    </w:p>
  </w:footnote>
  <w:footnote w:id="17">
    <w:p w14:paraId="665A4EC8" w14:textId="77777777" w:rsidR="00CC199B" w:rsidRPr="004D57D2" w:rsidRDefault="00CC199B" w:rsidP="00F350E7">
      <w:pPr>
        <w:pStyle w:val="FootnoteText"/>
        <w:rPr>
          <w:rFonts w:asciiTheme="majorBidi" w:hAnsiTheme="majorBidi" w:cstheme="majorBidi"/>
          <w:sz w:val="18"/>
          <w:szCs w:val="18"/>
          <w:lang w:val="en-US"/>
        </w:rPr>
      </w:pPr>
      <w:r>
        <w:rPr>
          <w:rStyle w:val="FootnoteReference"/>
          <w:rFonts w:asciiTheme="majorBidi" w:hAnsiTheme="majorBidi" w:cstheme="majorBidi"/>
          <w:sz w:val="18"/>
          <w:szCs w:val="18"/>
        </w:rPr>
        <w:footnoteRef/>
      </w:r>
      <w:r w:rsidRPr="004D57D2">
        <w:rPr>
          <w:rFonts w:asciiTheme="majorBidi" w:hAnsiTheme="majorBidi"/>
          <w:sz w:val="18"/>
          <w:szCs w:val="18"/>
          <w:lang w:val="en-US"/>
        </w:rPr>
        <w:t xml:space="preserve"> </w:t>
      </w:r>
      <w:hyperlink r:id="rId12" w:history="1">
        <w:r w:rsidRPr="004D57D2">
          <w:rPr>
            <w:rStyle w:val="Hyperlink"/>
            <w:rFonts w:asciiTheme="majorBidi" w:hAnsiTheme="majorBidi"/>
            <w:color w:val="0070C0"/>
            <w:sz w:val="18"/>
            <w:szCs w:val="18"/>
            <w:lang w:val="en-US"/>
          </w:rPr>
          <w:t>IRENA (2019) Global energy transformation:</w:t>
        </w:r>
      </w:hyperlink>
      <w:hyperlink r:id="rId13" w:history="1">
        <w:r w:rsidRPr="004D57D2">
          <w:rPr>
            <w:rStyle w:val="Hyperlink"/>
            <w:rFonts w:asciiTheme="majorBidi" w:hAnsiTheme="majorBidi"/>
            <w:color w:val="0070C0"/>
            <w:sz w:val="18"/>
            <w:szCs w:val="18"/>
            <w:lang w:val="en-US"/>
          </w:rPr>
          <w:t xml:space="preserve"> a roadmap to 2050.</w:t>
        </w:r>
      </w:hyperlink>
    </w:p>
  </w:footnote>
  <w:footnote w:id="18">
    <w:p w14:paraId="20724FA9" w14:textId="17E127FA" w:rsidR="003D74A2" w:rsidRPr="004D57D2" w:rsidRDefault="003D74A2">
      <w:pPr>
        <w:pStyle w:val="FootnoteText"/>
        <w:rPr>
          <w:lang w:val="en-US"/>
        </w:rPr>
      </w:pPr>
      <w:r>
        <w:rPr>
          <w:rStyle w:val="FootnoteReference"/>
        </w:rPr>
        <w:footnoteRef/>
      </w:r>
      <w:r w:rsidRPr="004D57D2">
        <w:rPr>
          <w:rFonts w:ascii="Times New Roman" w:hAnsi="Times New Roman"/>
          <w:sz w:val="18"/>
          <w:szCs w:val="18"/>
          <w:lang w:val="en-US"/>
        </w:rPr>
        <w:t xml:space="preserve"> </w:t>
      </w:r>
      <w:r w:rsidRPr="004D57D2">
        <w:rPr>
          <w:rFonts w:ascii="Times New Roman" w:hAnsi="Times New Roman"/>
          <w:i/>
          <w:iCs/>
          <w:sz w:val="18"/>
          <w:szCs w:val="18"/>
          <w:lang w:val="en-US"/>
        </w:rPr>
        <w:t>EU Solar Energy Strategy</w:t>
      </w:r>
      <w:r w:rsidRPr="004D57D2">
        <w:rPr>
          <w:rFonts w:ascii="Times New Roman" w:hAnsi="Times New Roman"/>
          <w:sz w:val="18"/>
          <w:szCs w:val="18"/>
          <w:lang w:val="en-US"/>
        </w:rPr>
        <w:t>, COM(2022) 221 final.</w:t>
      </w:r>
    </w:p>
  </w:footnote>
  <w:footnote w:id="19">
    <w:p w14:paraId="318D4BA3" w14:textId="77777777" w:rsidR="00CC199B" w:rsidRPr="003C49E5" w:rsidRDefault="00CC199B" w:rsidP="008571D4">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14" w:history="1">
        <w:r>
          <w:rPr>
            <w:rStyle w:val="Hyperlink"/>
            <w:rFonts w:asciiTheme="majorBidi" w:hAnsiTheme="majorBidi"/>
            <w:color w:val="auto"/>
            <w:sz w:val="18"/>
            <w:szCs w:val="18"/>
          </w:rPr>
          <w:t xml:space="preserve">Tiedonanto </w:t>
        </w:r>
        <w:r>
          <w:rPr>
            <w:rStyle w:val="Hyperlink"/>
            <w:rFonts w:asciiTheme="majorBidi" w:hAnsiTheme="majorBidi"/>
            <w:i/>
            <w:iCs/>
            <w:color w:val="auto"/>
            <w:sz w:val="18"/>
            <w:szCs w:val="18"/>
          </w:rPr>
          <w:t>Tutkimusta ja innovointia koskeva globaali lähestymistapa</w:t>
        </w:r>
        <w:r>
          <w:rPr>
            <w:rStyle w:val="Hyperlink"/>
            <w:rFonts w:asciiTheme="majorBidi" w:hAnsiTheme="majorBidi"/>
            <w:color w:val="auto"/>
            <w:sz w:val="18"/>
            <w:szCs w:val="18"/>
          </w:rPr>
          <w:t>, COM(2021) 252 final.</w:t>
        </w:r>
      </w:hyperlink>
    </w:p>
  </w:footnote>
  <w:footnote w:id="20">
    <w:p w14:paraId="149B8528" w14:textId="77777777" w:rsidR="00CC199B" w:rsidRPr="004D57D2" w:rsidRDefault="00CC199B" w:rsidP="007E0EE2">
      <w:pPr>
        <w:pStyle w:val="FootnoteText"/>
        <w:rPr>
          <w:lang w:val="en-US"/>
        </w:rPr>
      </w:pPr>
      <w:r>
        <w:rPr>
          <w:rStyle w:val="FootnoteReference"/>
          <w:rFonts w:asciiTheme="majorBidi" w:hAnsiTheme="majorBidi" w:cstheme="majorBidi"/>
          <w:sz w:val="18"/>
          <w:szCs w:val="18"/>
        </w:rPr>
        <w:footnoteRef/>
      </w:r>
      <w:r w:rsidRPr="004D57D2">
        <w:rPr>
          <w:rFonts w:asciiTheme="majorBidi" w:hAnsiTheme="majorBidi"/>
          <w:sz w:val="18"/>
          <w:szCs w:val="18"/>
          <w:lang w:val="en-US"/>
        </w:rPr>
        <w:t xml:space="preserve"> </w:t>
      </w:r>
      <w:hyperlink r:id="rId15" w:history="1">
        <w:r w:rsidRPr="004D57D2">
          <w:rPr>
            <w:rStyle w:val="Hyperlink"/>
            <w:rFonts w:asciiTheme="majorBidi" w:hAnsiTheme="majorBidi"/>
            <w:color w:val="auto"/>
            <w:sz w:val="18"/>
            <w:szCs w:val="18"/>
            <w:lang w:val="en-US"/>
          </w:rPr>
          <w:t>Critical Raw Materials for Strategic Technologies and Sectors in the EU – A Foresight Study, 2020.</w:t>
        </w:r>
      </w:hyperlink>
    </w:p>
  </w:footnote>
  <w:footnote w:id="21">
    <w:p w14:paraId="6A83FBF7" w14:textId="27587AFA" w:rsidR="00B86A78" w:rsidRPr="00B86A78" w:rsidRDefault="00B86A78">
      <w:pPr>
        <w:pStyle w:val="FootnoteText"/>
      </w:pPr>
      <w:r>
        <w:rPr>
          <w:rStyle w:val="FootnoteReference"/>
        </w:rPr>
        <w:footnoteRef/>
      </w:r>
      <w:r>
        <w:t xml:space="preserve"> </w:t>
      </w:r>
      <w:r>
        <w:rPr>
          <w:rFonts w:ascii="Times New Roman" w:hAnsi="Times New Roman"/>
          <w:sz w:val="18"/>
          <w:szCs w:val="18"/>
        </w:rPr>
        <w:t xml:space="preserve">Komission tiedonanto Euroopan parlamentille, Eurooppa-neuvostolle, neuvostolle, Euroopan talous- ja sosiaalikomitealle ja alueiden komitealle: </w:t>
      </w:r>
      <w:r>
        <w:rPr>
          <w:rFonts w:ascii="Times New Roman" w:hAnsi="Times New Roman"/>
          <w:i/>
          <w:iCs/>
          <w:sz w:val="18"/>
          <w:szCs w:val="18"/>
        </w:rPr>
        <w:t>REPowerEU-suunnitelma</w:t>
      </w:r>
      <w:r>
        <w:rPr>
          <w:rFonts w:ascii="Times New Roman" w:hAnsi="Times New Roman"/>
          <w:sz w:val="18"/>
          <w:szCs w:val="18"/>
        </w:rPr>
        <w:t>, COM(2022) 230 final.</w:t>
      </w:r>
    </w:p>
  </w:footnote>
  <w:footnote w:id="22">
    <w:p w14:paraId="2D501A50" w14:textId="77777777" w:rsidR="00CC199B" w:rsidRPr="0008780D" w:rsidRDefault="00CC199B" w:rsidP="00700D06">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16" w:history="1">
        <w:r>
          <w:rPr>
            <w:rStyle w:val="Hyperlink"/>
            <w:rFonts w:asciiTheme="majorBidi" w:hAnsiTheme="majorBidi"/>
            <w:color w:val="auto"/>
            <w:sz w:val="18"/>
            <w:szCs w:val="18"/>
          </w:rPr>
          <w:t>EU:n toimenpiteet, joilla kestävistä tuotteista tehdään normi EU:ssa.</w:t>
        </w:r>
      </w:hyperlink>
    </w:p>
    <w:p w14:paraId="750E2D2D" w14:textId="6DCAFD6E" w:rsidR="00CC199B" w:rsidRPr="0008700E" w:rsidRDefault="00CC199B" w:rsidP="00700D06">
      <w:pPr>
        <w:pStyle w:val="FootnoteText"/>
      </w:pPr>
    </w:p>
  </w:footnote>
  <w:footnote w:id="23">
    <w:p w14:paraId="3BE80771" w14:textId="1D564AB2" w:rsidR="00CC199B" w:rsidRPr="0008780D" w:rsidRDefault="00CC199B" w:rsidP="00136687">
      <w:pPr>
        <w:pStyle w:val="FootnoteText"/>
        <w:rPr>
          <w:rFonts w:asciiTheme="majorBidi" w:hAnsiTheme="majorBidi" w:cstheme="majorBidi"/>
          <w:sz w:val="18"/>
          <w:szCs w:val="18"/>
        </w:rPr>
      </w:pPr>
      <w:r>
        <w:rPr>
          <w:rStyle w:val="FootnoteReference"/>
          <w:rFonts w:asciiTheme="majorBidi" w:hAnsiTheme="majorBidi" w:cstheme="majorBidi"/>
          <w:sz w:val="18"/>
          <w:szCs w:val="18"/>
        </w:rPr>
        <w:footnoteRef/>
      </w:r>
      <w:r>
        <w:rPr>
          <w:rFonts w:asciiTheme="majorBidi" w:hAnsiTheme="majorBidi"/>
          <w:sz w:val="18"/>
          <w:szCs w:val="18"/>
        </w:rPr>
        <w:t xml:space="preserve"> Yhteinen tiedonanto Euroopan parlamentille ja neuvostolle: </w:t>
      </w:r>
      <w:r>
        <w:rPr>
          <w:rFonts w:asciiTheme="majorBidi" w:hAnsiTheme="majorBidi"/>
          <w:i/>
          <w:iCs/>
          <w:sz w:val="18"/>
          <w:szCs w:val="18"/>
        </w:rPr>
        <w:t>A Strategic Partnership with the Gulf</w:t>
      </w:r>
      <w:r>
        <w:rPr>
          <w:rFonts w:asciiTheme="majorBidi" w:hAnsiTheme="majorBidi"/>
          <w:sz w:val="18"/>
          <w:szCs w:val="18"/>
        </w:rPr>
        <w:t>, JOIN(2022) 13/2.</w:t>
      </w:r>
    </w:p>
  </w:footnote>
  <w:footnote w:id="24">
    <w:p w14:paraId="4F7249B3" w14:textId="77777777" w:rsidR="00CC199B" w:rsidRPr="00831FCC" w:rsidRDefault="00CC199B">
      <w:pPr>
        <w:pStyle w:val="FootnoteText"/>
        <w:rPr>
          <w:rFonts w:cstheme="minorHAnsi"/>
        </w:rPr>
      </w:pPr>
      <w:r>
        <w:rPr>
          <w:rStyle w:val="FootnoteReference"/>
          <w:rFonts w:asciiTheme="majorBidi" w:hAnsiTheme="majorBidi" w:cstheme="majorBidi"/>
          <w:sz w:val="18"/>
          <w:szCs w:val="18"/>
        </w:rPr>
        <w:footnoteRef/>
      </w:r>
      <w:r>
        <w:rPr>
          <w:rFonts w:asciiTheme="majorBidi" w:hAnsiTheme="majorBidi"/>
          <w:sz w:val="18"/>
          <w:szCs w:val="18"/>
        </w:rPr>
        <w:t xml:space="preserve"> </w:t>
      </w:r>
      <w:hyperlink r:id="rId17" w:history="1">
        <w:r>
          <w:rPr>
            <w:rStyle w:val="Hyperlink"/>
            <w:rFonts w:asciiTheme="majorBidi" w:hAnsiTheme="majorBidi"/>
            <w:color w:val="auto"/>
            <w:sz w:val="18"/>
            <w:szCs w:val="18"/>
          </w:rPr>
          <w:t xml:space="preserve">Yhteinen tiedonanto Euroopan parlamentille ja neuvostolle </w:t>
        </w:r>
        <w:r>
          <w:rPr>
            <w:rStyle w:val="Hyperlink"/>
            <w:rFonts w:asciiTheme="majorBidi" w:hAnsiTheme="majorBidi"/>
            <w:i/>
            <w:iCs/>
            <w:color w:val="auto"/>
            <w:sz w:val="18"/>
            <w:szCs w:val="18"/>
          </w:rPr>
          <w:t>EU:n vahvemmasta panostuksesta sääntöihin perustuvaan monenvälisyyteen</w:t>
        </w:r>
      </w:hyperlink>
      <w:r>
        <w:rPr>
          <w:rFonts w:asciiTheme="majorBidi" w:hAnsiTheme="majorBidi"/>
          <w:sz w:val="18"/>
          <w:szCs w:val="18"/>
        </w:rPr>
        <w:t>, JOIN(2021) 3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F9DF7" w14:textId="77777777" w:rsidR="006A7AC3" w:rsidRPr="006A7AC3" w:rsidRDefault="006A7AC3" w:rsidP="006A7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BF0D2" w14:textId="77777777" w:rsidR="006A7AC3" w:rsidRPr="006A7AC3" w:rsidRDefault="006A7AC3" w:rsidP="006A7AC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68F8" w14:textId="77777777" w:rsidR="006A7AC3" w:rsidRPr="006A7AC3" w:rsidRDefault="006A7AC3" w:rsidP="006A7AC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83A83" w14:textId="77777777" w:rsidR="00CC199B" w:rsidRDefault="00CC1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52D6E" w14:textId="77777777" w:rsidR="00CC199B" w:rsidRDefault="00CC199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820C" w14:textId="77777777" w:rsidR="00CC199B" w:rsidRDefault="00CC1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54971"/>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F6E"/>
    <w:multiLevelType w:val="hybridMultilevel"/>
    <w:tmpl w:val="E14A8CC0"/>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B7624B"/>
    <w:multiLevelType w:val="hybridMultilevel"/>
    <w:tmpl w:val="AD04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4D7842"/>
    <w:multiLevelType w:val="multilevel"/>
    <w:tmpl w:val="A2BE0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B0C16"/>
    <w:multiLevelType w:val="hybridMultilevel"/>
    <w:tmpl w:val="A3486C18"/>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C073D9"/>
    <w:multiLevelType w:val="hybridMultilevel"/>
    <w:tmpl w:val="17347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C405E5"/>
    <w:multiLevelType w:val="hybridMultilevel"/>
    <w:tmpl w:val="92CAC1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E22DEC"/>
    <w:multiLevelType w:val="hybridMultilevel"/>
    <w:tmpl w:val="16FABCCC"/>
    <w:lvl w:ilvl="0" w:tplc="E45A126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B7D068E"/>
    <w:multiLevelType w:val="hybridMultilevel"/>
    <w:tmpl w:val="F126F4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73A95"/>
    <w:multiLevelType w:val="hybridMultilevel"/>
    <w:tmpl w:val="2E6A0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0D7195"/>
    <w:multiLevelType w:val="hybridMultilevel"/>
    <w:tmpl w:val="535C73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5E4D67"/>
    <w:multiLevelType w:val="hybridMultilevel"/>
    <w:tmpl w:val="390E4A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E90CFC"/>
    <w:multiLevelType w:val="hybridMultilevel"/>
    <w:tmpl w:val="A0AC64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822417"/>
    <w:multiLevelType w:val="hybridMultilevel"/>
    <w:tmpl w:val="4E78C4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68A38C6"/>
    <w:multiLevelType w:val="hybridMultilevel"/>
    <w:tmpl w:val="2264A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2D21D2"/>
    <w:multiLevelType w:val="hybridMultilevel"/>
    <w:tmpl w:val="7A2C9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1A84850"/>
    <w:multiLevelType w:val="hybridMultilevel"/>
    <w:tmpl w:val="DC3A24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5C16CC9"/>
    <w:multiLevelType w:val="hybridMultilevel"/>
    <w:tmpl w:val="F5F8DF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A0167E"/>
    <w:multiLevelType w:val="hybridMultilevel"/>
    <w:tmpl w:val="25FA62EC"/>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0A528F3"/>
    <w:multiLevelType w:val="hybridMultilevel"/>
    <w:tmpl w:val="3DC8A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56C007B"/>
    <w:multiLevelType w:val="hybridMultilevel"/>
    <w:tmpl w:val="1D5E24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7B4F6B87"/>
    <w:multiLevelType w:val="hybridMultilevel"/>
    <w:tmpl w:val="BE38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F435F"/>
    <w:multiLevelType w:val="multilevel"/>
    <w:tmpl w:val="BF8CDDBC"/>
    <w:lvl w:ilvl="0">
      <w:start w:val="2"/>
      <w:numFmt w:val="decimal"/>
      <w:lvlText w:val="%1"/>
      <w:lvlJc w:val="left"/>
      <w:pPr>
        <w:ind w:left="360" w:hanging="360"/>
      </w:pPr>
      <w:rPr>
        <w:rFonts w:asciiTheme="minorHAnsi" w:eastAsiaTheme="minorHAnsi" w:hAnsiTheme="minorHAnsi" w:cstheme="minorBidi" w:hint="default"/>
        <w:color w:val="auto"/>
      </w:rPr>
    </w:lvl>
    <w:lvl w:ilvl="1">
      <w:start w:val="4"/>
      <w:numFmt w:val="decimal"/>
      <w:lvlText w:val="%1.%2"/>
      <w:lvlJc w:val="left"/>
      <w:pPr>
        <w:ind w:left="360" w:hanging="360"/>
      </w:pPr>
      <w:rPr>
        <w:rFonts w:asciiTheme="minorHAnsi" w:eastAsiaTheme="minorHAnsi" w:hAnsiTheme="minorHAnsi" w:cstheme="minorBidi" w:hint="default"/>
        <w:color w:val="auto"/>
      </w:rPr>
    </w:lvl>
    <w:lvl w:ilvl="2">
      <w:start w:val="1"/>
      <w:numFmt w:val="decimal"/>
      <w:lvlText w:val="%1.%2.%3"/>
      <w:lvlJc w:val="left"/>
      <w:pPr>
        <w:ind w:left="720" w:hanging="720"/>
      </w:pPr>
      <w:rPr>
        <w:rFonts w:asciiTheme="minorHAnsi" w:eastAsiaTheme="minorHAnsi" w:hAnsiTheme="minorHAnsi" w:cstheme="minorBidi" w:hint="default"/>
        <w:color w:val="auto"/>
      </w:rPr>
    </w:lvl>
    <w:lvl w:ilvl="3">
      <w:start w:val="1"/>
      <w:numFmt w:val="decimal"/>
      <w:lvlText w:val="%1.%2.%3.%4"/>
      <w:lvlJc w:val="left"/>
      <w:pPr>
        <w:ind w:left="720" w:hanging="720"/>
      </w:pPr>
      <w:rPr>
        <w:rFonts w:asciiTheme="minorHAnsi" w:eastAsiaTheme="minorHAnsi" w:hAnsiTheme="minorHAnsi" w:cstheme="minorBidi" w:hint="default"/>
        <w:color w:val="auto"/>
      </w:rPr>
    </w:lvl>
    <w:lvl w:ilvl="4">
      <w:start w:val="1"/>
      <w:numFmt w:val="decimal"/>
      <w:lvlText w:val="%1.%2.%3.%4.%5"/>
      <w:lvlJc w:val="left"/>
      <w:pPr>
        <w:ind w:left="1080" w:hanging="1080"/>
      </w:pPr>
      <w:rPr>
        <w:rFonts w:asciiTheme="minorHAnsi" w:eastAsiaTheme="minorHAnsi" w:hAnsiTheme="minorHAnsi" w:cstheme="minorBidi" w:hint="default"/>
        <w:color w:val="auto"/>
      </w:rPr>
    </w:lvl>
    <w:lvl w:ilvl="5">
      <w:start w:val="1"/>
      <w:numFmt w:val="decimal"/>
      <w:lvlText w:val="%1.%2.%3.%4.%5.%6"/>
      <w:lvlJc w:val="left"/>
      <w:pPr>
        <w:ind w:left="1080" w:hanging="1080"/>
      </w:pPr>
      <w:rPr>
        <w:rFonts w:asciiTheme="minorHAnsi" w:eastAsiaTheme="minorHAnsi" w:hAnsiTheme="minorHAnsi" w:cstheme="minorBidi" w:hint="default"/>
        <w:color w:val="auto"/>
      </w:rPr>
    </w:lvl>
    <w:lvl w:ilvl="6">
      <w:start w:val="1"/>
      <w:numFmt w:val="decimal"/>
      <w:lvlText w:val="%1.%2.%3.%4.%5.%6.%7"/>
      <w:lvlJc w:val="left"/>
      <w:pPr>
        <w:ind w:left="1440" w:hanging="1440"/>
      </w:pPr>
      <w:rPr>
        <w:rFonts w:asciiTheme="minorHAnsi" w:eastAsiaTheme="minorHAnsi" w:hAnsiTheme="minorHAnsi" w:cstheme="minorBidi" w:hint="default"/>
        <w:color w:val="auto"/>
      </w:rPr>
    </w:lvl>
    <w:lvl w:ilvl="7">
      <w:start w:val="1"/>
      <w:numFmt w:val="decimal"/>
      <w:lvlText w:val="%1.%2.%3.%4.%5.%6.%7.%8"/>
      <w:lvlJc w:val="left"/>
      <w:pPr>
        <w:ind w:left="1440" w:hanging="1440"/>
      </w:pPr>
      <w:rPr>
        <w:rFonts w:asciiTheme="minorHAnsi" w:eastAsiaTheme="minorHAnsi" w:hAnsiTheme="minorHAnsi" w:cstheme="minorBidi" w:hint="default"/>
        <w:color w:val="auto"/>
      </w:rPr>
    </w:lvl>
    <w:lvl w:ilvl="8">
      <w:start w:val="1"/>
      <w:numFmt w:val="decimal"/>
      <w:lvlText w:val="%1.%2.%3.%4.%5.%6.%7.%8.%9"/>
      <w:lvlJc w:val="left"/>
      <w:pPr>
        <w:ind w:left="1800" w:hanging="1800"/>
      </w:pPr>
      <w:rPr>
        <w:rFonts w:asciiTheme="minorHAnsi" w:eastAsiaTheme="minorHAnsi" w:hAnsiTheme="minorHAnsi" w:cstheme="minorBidi" w:hint="default"/>
        <w:color w:val="auto"/>
      </w:rPr>
    </w:lvl>
  </w:abstractNum>
  <w:num w:numId="1">
    <w:abstractNumId w:val="0"/>
  </w:num>
  <w:num w:numId="2">
    <w:abstractNumId w:val="3"/>
  </w:num>
  <w:num w:numId="3">
    <w:abstractNumId w:val="17"/>
  </w:num>
  <w:num w:numId="4">
    <w:abstractNumId w:val="13"/>
  </w:num>
  <w:num w:numId="5">
    <w:abstractNumId w:val="15"/>
  </w:num>
  <w:num w:numId="6">
    <w:abstractNumId w:val="9"/>
  </w:num>
  <w:num w:numId="7">
    <w:abstractNumId w:val="10"/>
  </w:num>
  <w:num w:numId="8">
    <w:abstractNumId w:val="6"/>
  </w:num>
  <w:num w:numId="9">
    <w:abstractNumId w:val="20"/>
  </w:num>
  <w:num w:numId="10">
    <w:abstractNumId w:val="16"/>
  </w:num>
  <w:num w:numId="11">
    <w:abstractNumId w:val="11"/>
  </w:num>
  <w:num w:numId="12">
    <w:abstractNumId w:val="4"/>
  </w:num>
  <w:num w:numId="13">
    <w:abstractNumId w:val="21"/>
  </w:num>
  <w:num w:numId="14">
    <w:abstractNumId w:val="22"/>
  </w:num>
  <w:num w:numId="15">
    <w:abstractNumId w:val="5"/>
  </w:num>
  <w:num w:numId="16">
    <w:abstractNumId w:val="8"/>
  </w:num>
  <w:num w:numId="17">
    <w:abstractNumId w:val="2"/>
  </w:num>
  <w:num w:numId="18">
    <w:abstractNumId w:val="18"/>
  </w:num>
  <w:num w:numId="19">
    <w:abstractNumId w:val="1"/>
  </w:num>
  <w:num w:numId="20">
    <w:abstractNumId w:val="12"/>
  </w:num>
  <w:num w:numId="21">
    <w:abstractNumId w:val="7"/>
  </w:num>
  <w:num w:numId="22">
    <w:abstractNumId w:val="14"/>
  </w:num>
  <w:num w:numId="23">
    <w:abstractNumId w:val="13"/>
  </w:num>
  <w:num w:numId="2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de-DE" w:vendorID="64" w:dllVersion="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de-AT" w:vendorID="64" w:dllVersion="6" w:nlCheck="1" w:checkStyle="0"/>
  <w:activeWritingStyle w:appName="MSWord" w:lang="de-DE"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i-FI" w:vendorID="64" w:dllVersion="131078" w:nlCheck="1" w:checkStyle="0"/>
  <w:revisionView w:markup="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B7ECA2D-7D25-427B-8DA1-5FED7967C9A0"/>
    <w:docVar w:name="LW_COVERPAGE_TYPE" w:val="1"/>
    <w:docVar w:name="LW_CROSSREFERENCE" w:val="{SWD(2022) 152 final}"/>
    <w:docVar w:name="LW_DocType" w:val="NORMAL"/>
    <w:docVar w:name="LW_EMISSION" w:val="18.5.2022"/>
    <w:docVar w:name="LW_EMISSION_ISODATE" w:val="2022-05-18"/>
    <w:docVar w:name="LW_EMISSION_LOCATION" w:val="BRX"/>
    <w:docVar w:name="LW_EMISSION_PREFIX" w:val="Bryssel "/>
    <w:docVar w:name="LW_EMISSION_SUFFIX" w:val=" "/>
    <w:docVar w:name="LW_ID_DOCTYPE_NONLW" w:val="CP-016"/>
    <w:docVar w:name="LW_LANGUE" w:val="FI"/>
    <w:docVar w:name="LW_LEVEL_OF_SENSITIVITY" w:val="Standard treatment"/>
    <w:docVar w:name="LW_NOM.INST" w:val="EUROOPAN KOMISSIO"/>
    <w:docVar w:name="LW_NOM.INST_JOINTDOC" w:val="UNIONIN ULKOASIOIDEN_x000b_JA TURVALLISUUSPOLITIIKAN_x000b_KORKEA EDUSTAJA"/>
    <w:docVar w:name="LW_PART_NBR" w:val="1"/>
    <w:docVar w:name="LW_PART_NBR_TOTAL" w:val="1"/>
    <w:docVar w:name="LW_REF.INST.NEW" w:val="JOIN"/>
    <w:docVar w:name="LW_REF.INST.NEW_ADOPTED" w:val="final"/>
    <w:docVar w:name="LW_REF.INST.NEW_TEXT" w:val="(2022) 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n ulkoinen energiastrategia"/>
    <w:docVar w:name="LW_TYPE.DOC.CP" w:val="YHTEINEN TIEDONANTO EUROOPAN PARLAMENTILLE, NEUVOSTOLLE, EUROOPAN TALOUS- JA SOSIAALIKOMITEALLE JA ALUEIDEN KOMITEALLE"/>
    <w:docVar w:name="LW_TYPE.DOC.CP.USERTEXT" w:val="&lt;EMPTY&gt;"/>
    <w:docVar w:name="LwApiVersions" w:val="LW4CoDe 1.23.2.0; LW 8.0, Build 20211117"/>
  </w:docVars>
  <w:rsids>
    <w:rsidRoot w:val="00CA53FB"/>
    <w:rsid w:val="000028B6"/>
    <w:rsid w:val="00002C9A"/>
    <w:rsid w:val="00003F9A"/>
    <w:rsid w:val="0000485D"/>
    <w:rsid w:val="00005711"/>
    <w:rsid w:val="00005747"/>
    <w:rsid w:val="000057F0"/>
    <w:rsid w:val="000065FD"/>
    <w:rsid w:val="00006D6E"/>
    <w:rsid w:val="00006E69"/>
    <w:rsid w:val="00007CBB"/>
    <w:rsid w:val="00012005"/>
    <w:rsid w:val="000130C5"/>
    <w:rsid w:val="0001420F"/>
    <w:rsid w:val="000151D8"/>
    <w:rsid w:val="00015B9E"/>
    <w:rsid w:val="00016855"/>
    <w:rsid w:val="00021D51"/>
    <w:rsid w:val="00021EBE"/>
    <w:rsid w:val="0002414F"/>
    <w:rsid w:val="00024618"/>
    <w:rsid w:val="0002574F"/>
    <w:rsid w:val="00026460"/>
    <w:rsid w:val="00027B3A"/>
    <w:rsid w:val="00030742"/>
    <w:rsid w:val="0003136C"/>
    <w:rsid w:val="00031DCC"/>
    <w:rsid w:val="000327CC"/>
    <w:rsid w:val="00032FBE"/>
    <w:rsid w:val="000337BD"/>
    <w:rsid w:val="00034144"/>
    <w:rsid w:val="00034E06"/>
    <w:rsid w:val="00035AC5"/>
    <w:rsid w:val="00035BD5"/>
    <w:rsid w:val="00035E17"/>
    <w:rsid w:val="00037475"/>
    <w:rsid w:val="00040695"/>
    <w:rsid w:val="00044538"/>
    <w:rsid w:val="000447F5"/>
    <w:rsid w:val="00044ACB"/>
    <w:rsid w:val="0004535C"/>
    <w:rsid w:val="00047CEE"/>
    <w:rsid w:val="00050ECC"/>
    <w:rsid w:val="00051D28"/>
    <w:rsid w:val="00054CEE"/>
    <w:rsid w:val="00055287"/>
    <w:rsid w:val="00055C48"/>
    <w:rsid w:val="00055DE7"/>
    <w:rsid w:val="0005670C"/>
    <w:rsid w:val="000571E2"/>
    <w:rsid w:val="00057DC4"/>
    <w:rsid w:val="000618C8"/>
    <w:rsid w:val="00062DE9"/>
    <w:rsid w:val="00062EBF"/>
    <w:rsid w:val="00067B19"/>
    <w:rsid w:val="0007226A"/>
    <w:rsid w:val="000730AD"/>
    <w:rsid w:val="0007456F"/>
    <w:rsid w:val="00074992"/>
    <w:rsid w:val="000751F9"/>
    <w:rsid w:val="00075F77"/>
    <w:rsid w:val="00076541"/>
    <w:rsid w:val="000769B3"/>
    <w:rsid w:val="00076B1E"/>
    <w:rsid w:val="00077249"/>
    <w:rsid w:val="0007724C"/>
    <w:rsid w:val="000775F9"/>
    <w:rsid w:val="00080747"/>
    <w:rsid w:val="00080A98"/>
    <w:rsid w:val="0008238E"/>
    <w:rsid w:val="00083157"/>
    <w:rsid w:val="00083245"/>
    <w:rsid w:val="000845A0"/>
    <w:rsid w:val="00084F4B"/>
    <w:rsid w:val="000853DA"/>
    <w:rsid w:val="00085622"/>
    <w:rsid w:val="00086225"/>
    <w:rsid w:val="0008780D"/>
    <w:rsid w:val="00090100"/>
    <w:rsid w:val="00091160"/>
    <w:rsid w:val="00092DF5"/>
    <w:rsid w:val="00094D1E"/>
    <w:rsid w:val="0009606D"/>
    <w:rsid w:val="00096E58"/>
    <w:rsid w:val="0009765F"/>
    <w:rsid w:val="000A201C"/>
    <w:rsid w:val="000A4291"/>
    <w:rsid w:val="000A4F4D"/>
    <w:rsid w:val="000A5863"/>
    <w:rsid w:val="000A5EE6"/>
    <w:rsid w:val="000B13E1"/>
    <w:rsid w:val="000B2E86"/>
    <w:rsid w:val="000B2FC8"/>
    <w:rsid w:val="000B34E2"/>
    <w:rsid w:val="000B66F0"/>
    <w:rsid w:val="000B71D3"/>
    <w:rsid w:val="000B7687"/>
    <w:rsid w:val="000B7C63"/>
    <w:rsid w:val="000C2B91"/>
    <w:rsid w:val="000C4ACC"/>
    <w:rsid w:val="000C4DB9"/>
    <w:rsid w:val="000C517D"/>
    <w:rsid w:val="000C5519"/>
    <w:rsid w:val="000C72F4"/>
    <w:rsid w:val="000C7B4F"/>
    <w:rsid w:val="000C7BDF"/>
    <w:rsid w:val="000C7CC0"/>
    <w:rsid w:val="000C7F4F"/>
    <w:rsid w:val="000D0082"/>
    <w:rsid w:val="000D27E7"/>
    <w:rsid w:val="000D2B91"/>
    <w:rsid w:val="000D3002"/>
    <w:rsid w:val="000D3D89"/>
    <w:rsid w:val="000D4F71"/>
    <w:rsid w:val="000D5781"/>
    <w:rsid w:val="000D5D09"/>
    <w:rsid w:val="000D7D5F"/>
    <w:rsid w:val="000D7F90"/>
    <w:rsid w:val="000E1272"/>
    <w:rsid w:val="000E2BD1"/>
    <w:rsid w:val="000E2C79"/>
    <w:rsid w:val="000E2D0D"/>
    <w:rsid w:val="000E2D53"/>
    <w:rsid w:val="000E2EA3"/>
    <w:rsid w:val="000E3069"/>
    <w:rsid w:val="000E30D7"/>
    <w:rsid w:val="000E3354"/>
    <w:rsid w:val="000E49EA"/>
    <w:rsid w:val="000E57AA"/>
    <w:rsid w:val="000F092A"/>
    <w:rsid w:val="000F102C"/>
    <w:rsid w:val="000F448C"/>
    <w:rsid w:val="000F512C"/>
    <w:rsid w:val="000F512D"/>
    <w:rsid w:val="000F6BF6"/>
    <w:rsid w:val="000F6CD1"/>
    <w:rsid w:val="000F7327"/>
    <w:rsid w:val="000F7C26"/>
    <w:rsid w:val="00100BDD"/>
    <w:rsid w:val="001011B9"/>
    <w:rsid w:val="0010162E"/>
    <w:rsid w:val="0010269E"/>
    <w:rsid w:val="00103D1C"/>
    <w:rsid w:val="001065F7"/>
    <w:rsid w:val="0010774B"/>
    <w:rsid w:val="001102F9"/>
    <w:rsid w:val="001124F1"/>
    <w:rsid w:val="00113898"/>
    <w:rsid w:val="00113CB1"/>
    <w:rsid w:val="00113F12"/>
    <w:rsid w:val="00114A28"/>
    <w:rsid w:val="00114A9B"/>
    <w:rsid w:val="00115EDC"/>
    <w:rsid w:val="00115F63"/>
    <w:rsid w:val="0011640D"/>
    <w:rsid w:val="0011667E"/>
    <w:rsid w:val="00116AA1"/>
    <w:rsid w:val="001175D8"/>
    <w:rsid w:val="0012081A"/>
    <w:rsid w:val="00121BD3"/>
    <w:rsid w:val="00122E0A"/>
    <w:rsid w:val="001235D7"/>
    <w:rsid w:val="00123885"/>
    <w:rsid w:val="00123BB4"/>
    <w:rsid w:val="0012439B"/>
    <w:rsid w:val="001257AE"/>
    <w:rsid w:val="001257D7"/>
    <w:rsid w:val="00127637"/>
    <w:rsid w:val="00130240"/>
    <w:rsid w:val="00130DC6"/>
    <w:rsid w:val="00131694"/>
    <w:rsid w:val="00131A7D"/>
    <w:rsid w:val="00132089"/>
    <w:rsid w:val="001335EA"/>
    <w:rsid w:val="00133B91"/>
    <w:rsid w:val="00135382"/>
    <w:rsid w:val="0013624D"/>
    <w:rsid w:val="00136687"/>
    <w:rsid w:val="0014032C"/>
    <w:rsid w:val="001408F2"/>
    <w:rsid w:val="0014190A"/>
    <w:rsid w:val="0014302F"/>
    <w:rsid w:val="001434BC"/>
    <w:rsid w:val="00143816"/>
    <w:rsid w:val="00143B51"/>
    <w:rsid w:val="00143D8C"/>
    <w:rsid w:val="00145D3A"/>
    <w:rsid w:val="0014650B"/>
    <w:rsid w:val="001466FD"/>
    <w:rsid w:val="00146BDD"/>
    <w:rsid w:val="00147BA5"/>
    <w:rsid w:val="001500AF"/>
    <w:rsid w:val="0015258A"/>
    <w:rsid w:val="00152725"/>
    <w:rsid w:val="00152795"/>
    <w:rsid w:val="001527CC"/>
    <w:rsid w:val="001536F0"/>
    <w:rsid w:val="001538CB"/>
    <w:rsid w:val="00153947"/>
    <w:rsid w:val="001539AA"/>
    <w:rsid w:val="00153C48"/>
    <w:rsid w:val="00154C87"/>
    <w:rsid w:val="00154EA1"/>
    <w:rsid w:val="0015605C"/>
    <w:rsid w:val="00156353"/>
    <w:rsid w:val="00156418"/>
    <w:rsid w:val="00156C36"/>
    <w:rsid w:val="00156E16"/>
    <w:rsid w:val="0015704C"/>
    <w:rsid w:val="0016237E"/>
    <w:rsid w:val="00162D20"/>
    <w:rsid w:val="00162E0D"/>
    <w:rsid w:val="00163C3C"/>
    <w:rsid w:val="00163D99"/>
    <w:rsid w:val="001645B4"/>
    <w:rsid w:val="00165489"/>
    <w:rsid w:val="00165F82"/>
    <w:rsid w:val="00165FD2"/>
    <w:rsid w:val="00166BF2"/>
    <w:rsid w:val="00166CC0"/>
    <w:rsid w:val="00170453"/>
    <w:rsid w:val="00171233"/>
    <w:rsid w:val="00173000"/>
    <w:rsid w:val="001730ED"/>
    <w:rsid w:val="001743D7"/>
    <w:rsid w:val="0017478E"/>
    <w:rsid w:val="001749F7"/>
    <w:rsid w:val="001751A4"/>
    <w:rsid w:val="00175C4F"/>
    <w:rsid w:val="00175D17"/>
    <w:rsid w:val="00175F5B"/>
    <w:rsid w:val="001760D2"/>
    <w:rsid w:val="001766C1"/>
    <w:rsid w:val="00180018"/>
    <w:rsid w:val="00180972"/>
    <w:rsid w:val="00180C4A"/>
    <w:rsid w:val="00181028"/>
    <w:rsid w:val="00182057"/>
    <w:rsid w:val="00182B99"/>
    <w:rsid w:val="00183110"/>
    <w:rsid w:val="00183765"/>
    <w:rsid w:val="00183927"/>
    <w:rsid w:val="001844FC"/>
    <w:rsid w:val="0018495B"/>
    <w:rsid w:val="001851CB"/>
    <w:rsid w:val="00185D1E"/>
    <w:rsid w:val="0018767E"/>
    <w:rsid w:val="00190BE8"/>
    <w:rsid w:val="001928B9"/>
    <w:rsid w:val="001929A4"/>
    <w:rsid w:val="00193A5D"/>
    <w:rsid w:val="001962E9"/>
    <w:rsid w:val="00197297"/>
    <w:rsid w:val="00197B9A"/>
    <w:rsid w:val="001A1EE6"/>
    <w:rsid w:val="001A2CB2"/>
    <w:rsid w:val="001A4B89"/>
    <w:rsid w:val="001A5056"/>
    <w:rsid w:val="001A57C3"/>
    <w:rsid w:val="001A5EB9"/>
    <w:rsid w:val="001A643C"/>
    <w:rsid w:val="001A64B9"/>
    <w:rsid w:val="001B0E45"/>
    <w:rsid w:val="001B3101"/>
    <w:rsid w:val="001B377A"/>
    <w:rsid w:val="001B3E49"/>
    <w:rsid w:val="001B4019"/>
    <w:rsid w:val="001B4C62"/>
    <w:rsid w:val="001B55DB"/>
    <w:rsid w:val="001B57AB"/>
    <w:rsid w:val="001B75D4"/>
    <w:rsid w:val="001B79FA"/>
    <w:rsid w:val="001C1F3F"/>
    <w:rsid w:val="001C22BD"/>
    <w:rsid w:val="001C2422"/>
    <w:rsid w:val="001C3CFB"/>
    <w:rsid w:val="001C5BD7"/>
    <w:rsid w:val="001C5F85"/>
    <w:rsid w:val="001C76B7"/>
    <w:rsid w:val="001D0169"/>
    <w:rsid w:val="001D104A"/>
    <w:rsid w:val="001D1B89"/>
    <w:rsid w:val="001D1F58"/>
    <w:rsid w:val="001D22B6"/>
    <w:rsid w:val="001D3915"/>
    <w:rsid w:val="001D4491"/>
    <w:rsid w:val="001D54AD"/>
    <w:rsid w:val="001D556B"/>
    <w:rsid w:val="001D59B1"/>
    <w:rsid w:val="001D5A46"/>
    <w:rsid w:val="001D5EB4"/>
    <w:rsid w:val="001D6D8D"/>
    <w:rsid w:val="001D73E6"/>
    <w:rsid w:val="001D7EC1"/>
    <w:rsid w:val="001E026B"/>
    <w:rsid w:val="001E0676"/>
    <w:rsid w:val="001E1280"/>
    <w:rsid w:val="001E2174"/>
    <w:rsid w:val="001E23E8"/>
    <w:rsid w:val="001E4CEC"/>
    <w:rsid w:val="001E5A85"/>
    <w:rsid w:val="001E6E74"/>
    <w:rsid w:val="001E7A2E"/>
    <w:rsid w:val="001F0A8C"/>
    <w:rsid w:val="001F0AD4"/>
    <w:rsid w:val="001F0CDD"/>
    <w:rsid w:val="001F172F"/>
    <w:rsid w:val="001F262C"/>
    <w:rsid w:val="001F33BF"/>
    <w:rsid w:val="001F5821"/>
    <w:rsid w:val="001F5C6C"/>
    <w:rsid w:val="001F5E34"/>
    <w:rsid w:val="001F7C53"/>
    <w:rsid w:val="001F7E9F"/>
    <w:rsid w:val="0020089C"/>
    <w:rsid w:val="00201E9E"/>
    <w:rsid w:val="0020472A"/>
    <w:rsid w:val="00204D2A"/>
    <w:rsid w:val="00205C0B"/>
    <w:rsid w:val="00206BF9"/>
    <w:rsid w:val="00212D3F"/>
    <w:rsid w:val="002152F9"/>
    <w:rsid w:val="00215D48"/>
    <w:rsid w:val="0021700A"/>
    <w:rsid w:val="002170E7"/>
    <w:rsid w:val="002172E3"/>
    <w:rsid w:val="002205C9"/>
    <w:rsid w:val="002209F4"/>
    <w:rsid w:val="00220A54"/>
    <w:rsid w:val="00220D26"/>
    <w:rsid w:val="00220D99"/>
    <w:rsid w:val="00221E7E"/>
    <w:rsid w:val="0022207E"/>
    <w:rsid w:val="00222541"/>
    <w:rsid w:val="00223480"/>
    <w:rsid w:val="00224264"/>
    <w:rsid w:val="00224A45"/>
    <w:rsid w:val="00224E6A"/>
    <w:rsid w:val="0022740C"/>
    <w:rsid w:val="002276AB"/>
    <w:rsid w:val="002302A1"/>
    <w:rsid w:val="002306E8"/>
    <w:rsid w:val="00231672"/>
    <w:rsid w:val="002318D2"/>
    <w:rsid w:val="00232018"/>
    <w:rsid w:val="00233438"/>
    <w:rsid w:val="002336B1"/>
    <w:rsid w:val="00233DAB"/>
    <w:rsid w:val="0023590E"/>
    <w:rsid w:val="00236F51"/>
    <w:rsid w:val="00240112"/>
    <w:rsid w:val="00240AE6"/>
    <w:rsid w:val="00240F03"/>
    <w:rsid w:val="002416D2"/>
    <w:rsid w:val="002419D4"/>
    <w:rsid w:val="00241DC3"/>
    <w:rsid w:val="002425BA"/>
    <w:rsid w:val="00246057"/>
    <w:rsid w:val="00246265"/>
    <w:rsid w:val="0024650C"/>
    <w:rsid w:val="0024791A"/>
    <w:rsid w:val="002505FB"/>
    <w:rsid w:val="00250E59"/>
    <w:rsid w:val="00251CED"/>
    <w:rsid w:val="00251EBF"/>
    <w:rsid w:val="002529F3"/>
    <w:rsid w:val="00252EED"/>
    <w:rsid w:val="00253B78"/>
    <w:rsid w:val="00253FD1"/>
    <w:rsid w:val="00255677"/>
    <w:rsid w:val="00255CEB"/>
    <w:rsid w:val="002567E9"/>
    <w:rsid w:val="00257974"/>
    <w:rsid w:val="00260333"/>
    <w:rsid w:val="002604C2"/>
    <w:rsid w:val="00261471"/>
    <w:rsid w:val="002617B6"/>
    <w:rsid w:val="00261DD6"/>
    <w:rsid w:val="002629DC"/>
    <w:rsid w:val="0026480C"/>
    <w:rsid w:val="0026500B"/>
    <w:rsid w:val="00266C1D"/>
    <w:rsid w:val="00267382"/>
    <w:rsid w:val="002679FA"/>
    <w:rsid w:val="002718EC"/>
    <w:rsid w:val="00271B69"/>
    <w:rsid w:val="00271C94"/>
    <w:rsid w:val="00272368"/>
    <w:rsid w:val="00273391"/>
    <w:rsid w:val="002744CF"/>
    <w:rsid w:val="0027461F"/>
    <w:rsid w:val="00275973"/>
    <w:rsid w:val="002759C0"/>
    <w:rsid w:val="0027607C"/>
    <w:rsid w:val="00276D33"/>
    <w:rsid w:val="00277033"/>
    <w:rsid w:val="00277490"/>
    <w:rsid w:val="00280503"/>
    <w:rsid w:val="002815EA"/>
    <w:rsid w:val="002816E8"/>
    <w:rsid w:val="002838E8"/>
    <w:rsid w:val="00287370"/>
    <w:rsid w:val="0028770D"/>
    <w:rsid w:val="00287AE4"/>
    <w:rsid w:val="00291054"/>
    <w:rsid w:val="00291D43"/>
    <w:rsid w:val="00291FFB"/>
    <w:rsid w:val="002924CD"/>
    <w:rsid w:val="00292A29"/>
    <w:rsid w:val="00292C56"/>
    <w:rsid w:val="0029406D"/>
    <w:rsid w:val="0029458D"/>
    <w:rsid w:val="00294F39"/>
    <w:rsid w:val="002953B8"/>
    <w:rsid w:val="00296279"/>
    <w:rsid w:val="00296BD9"/>
    <w:rsid w:val="00297472"/>
    <w:rsid w:val="002A0855"/>
    <w:rsid w:val="002A0F75"/>
    <w:rsid w:val="002A119A"/>
    <w:rsid w:val="002A51C4"/>
    <w:rsid w:val="002A5743"/>
    <w:rsid w:val="002A626D"/>
    <w:rsid w:val="002B1F42"/>
    <w:rsid w:val="002B3814"/>
    <w:rsid w:val="002B4D6F"/>
    <w:rsid w:val="002B5CE4"/>
    <w:rsid w:val="002C04C4"/>
    <w:rsid w:val="002C0649"/>
    <w:rsid w:val="002C1A6C"/>
    <w:rsid w:val="002C2D3E"/>
    <w:rsid w:val="002C5C39"/>
    <w:rsid w:val="002C6231"/>
    <w:rsid w:val="002C6CB3"/>
    <w:rsid w:val="002C734D"/>
    <w:rsid w:val="002D04E6"/>
    <w:rsid w:val="002D1964"/>
    <w:rsid w:val="002D2BB6"/>
    <w:rsid w:val="002D30B3"/>
    <w:rsid w:val="002D40C4"/>
    <w:rsid w:val="002D481D"/>
    <w:rsid w:val="002D5AA4"/>
    <w:rsid w:val="002D6094"/>
    <w:rsid w:val="002D6146"/>
    <w:rsid w:val="002E1548"/>
    <w:rsid w:val="002E188F"/>
    <w:rsid w:val="002E3232"/>
    <w:rsid w:val="002E3397"/>
    <w:rsid w:val="002E6CAD"/>
    <w:rsid w:val="002E778B"/>
    <w:rsid w:val="002E7924"/>
    <w:rsid w:val="002E7E34"/>
    <w:rsid w:val="002F043D"/>
    <w:rsid w:val="002F12BE"/>
    <w:rsid w:val="002F271F"/>
    <w:rsid w:val="002F3B4B"/>
    <w:rsid w:val="002F412E"/>
    <w:rsid w:val="002F4955"/>
    <w:rsid w:val="002F4B5C"/>
    <w:rsid w:val="002F4C50"/>
    <w:rsid w:val="002F5FC8"/>
    <w:rsid w:val="002F6299"/>
    <w:rsid w:val="002F7436"/>
    <w:rsid w:val="002F7BCF"/>
    <w:rsid w:val="00300E14"/>
    <w:rsid w:val="003011E7"/>
    <w:rsid w:val="00303280"/>
    <w:rsid w:val="00303FF2"/>
    <w:rsid w:val="00304050"/>
    <w:rsid w:val="003045FD"/>
    <w:rsid w:val="00304DB4"/>
    <w:rsid w:val="00311404"/>
    <w:rsid w:val="00312422"/>
    <w:rsid w:val="003124D0"/>
    <w:rsid w:val="0031358A"/>
    <w:rsid w:val="0031366D"/>
    <w:rsid w:val="00314A27"/>
    <w:rsid w:val="00316087"/>
    <w:rsid w:val="00316B49"/>
    <w:rsid w:val="003176D5"/>
    <w:rsid w:val="0031790C"/>
    <w:rsid w:val="00320CBD"/>
    <w:rsid w:val="00320F22"/>
    <w:rsid w:val="00321461"/>
    <w:rsid w:val="00321553"/>
    <w:rsid w:val="003229AB"/>
    <w:rsid w:val="00323847"/>
    <w:rsid w:val="00323BC6"/>
    <w:rsid w:val="00326A2D"/>
    <w:rsid w:val="00327CE0"/>
    <w:rsid w:val="00330C19"/>
    <w:rsid w:val="0033240A"/>
    <w:rsid w:val="00335995"/>
    <w:rsid w:val="00335EA4"/>
    <w:rsid w:val="00336713"/>
    <w:rsid w:val="003379F4"/>
    <w:rsid w:val="00341287"/>
    <w:rsid w:val="00341ECC"/>
    <w:rsid w:val="003422CF"/>
    <w:rsid w:val="00342DD7"/>
    <w:rsid w:val="00342F17"/>
    <w:rsid w:val="00343351"/>
    <w:rsid w:val="0034480C"/>
    <w:rsid w:val="003449C0"/>
    <w:rsid w:val="0034529D"/>
    <w:rsid w:val="003455F4"/>
    <w:rsid w:val="003461D0"/>
    <w:rsid w:val="00346419"/>
    <w:rsid w:val="00346E6E"/>
    <w:rsid w:val="003478B7"/>
    <w:rsid w:val="00347A42"/>
    <w:rsid w:val="00350972"/>
    <w:rsid w:val="00351C76"/>
    <w:rsid w:val="0035277B"/>
    <w:rsid w:val="00353068"/>
    <w:rsid w:val="00353E17"/>
    <w:rsid w:val="003540BE"/>
    <w:rsid w:val="0035455D"/>
    <w:rsid w:val="003546B2"/>
    <w:rsid w:val="00355D00"/>
    <w:rsid w:val="0035623C"/>
    <w:rsid w:val="003563ED"/>
    <w:rsid w:val="00357BA9"/>
    <w:rsid w:val="00357DAB"/>
    <w:rsid w:val="003607F0"/>
    <w:rsid w:val="00361A7C"/>
    <w:rsid w:val="00363187"/>
    <w:rsid w:val="0036371D"/>
    <w:rsid w:val="00364D7A"/>
    <w:rsid w:val="00365200"/>
    <w:rsid w:val="003664EA"/>
    <w:rsid w:val="0037088F"/>
    <w:rsid w:val="0037245B"/>
    <w:rsid w:val="003728A3"/>
    <w:rsid w:val="00373395"/>
    <w:rsid w:val="00374CB3"/>
    <w:rsid w:val="00375800"/>
    <w:rsid w:val="0037606C"/>
    <w:rsid w:val="00376AD5"/>
    <w:rsid w:val="003778D1"/>
    <w:rsid w:val="00381FFC"/>
    <w:rsid w:val="003838A6"/>
    <w:rsid w:val="00383C35"/>
    <w:rsid w:val="0038460B"/>
    <w:rsid w:val="003851A4"/>
    <w:rsid w:val="003854A3"/>
    <w:rsid w:val="00385B45"/>
    <w:rsid w:val="00385F4A"/>
    <w:rsid w:val="00390348"/>
    <w:rsid w:val="003905DC"/>
    <w:rsid w:val="0039126C"/>
    <w:rsid w:val="0039151E"/>
    <w:rsid w:val="00391B9E"/>
    <w:rsid w:val="00391EFA"/>
    <w:rsid w:val="003935FB"/>
    <w:rsid w:val="00393CC7"/>
    <w:rsid w:val="003947EF"/>
    <w:rsid w:val="0039569B"/>
    <w:rsid w:val="003A020F"/>
    <w:rsid w:val="003A09C7"/>
    <w:rsid w:val="003A1C06"/>
    <w:rsid w:val="003A3B03"/>
    <w:rsid w:val="003A3BDD"/>
    <w:rsid w:val="003A3D51"/>
    <w:rsid w:val="003A3EE3"/>
    <w:rsid w:val="003A6F4F"/>
    <w:rsid w:val="003A73DA"/>
    <w:rsid w:val="003A7969"/>
    <w:rsid w:val="003B05A6"/>
    <w:rsid w:val="003B1434"/>
    <w:rsid w:val="003B4733"/>
    <w:rsid w:val="003B6644"/>
    <w:rsid w:val="003C1152"/>
    <w:rsid w:val="003C1422"/>
    <w:rsid w:val="003C26B3"/>
    <w:rsid w:val="003C2C86"/>
    <w:rsid w:val="003C376D"/>
    <w:rsid w:val="003C3A81"/>
    <w:rsid w:val="003C4113"/>
    <w:rsid w:val="003C49E5"/>
    <w:rsid w:val="003C4D05"/>
    <w:rsid w:val="003C5B9A"/>
    <w:rsid w:val="003D4CC3"/>
    <w:rsid w:val="003D4E4F"/>
    <w:rsid w:val="003D59B1"/>
    <w:rsid w:val="003D59C7"/>
    <w:rsid w:val="003D5E45"/>
    <w:rsid w:val="003D6025"/>
    <w:rsid w:val="003D74A2"/>
    <w:rsid w:val="003D77F9"/>
    <w:rsid w:val="003D7FCC"/>
    <w:rsid w:val="003E10A3"/>
    <w:rsid w:val="003E18B9"/>
    <w:rsid w:val="003E45B5"/>
    <w:rsid w:val="003E6624"/>
    <w:rsid w:val="003E76A4"/>
    <w:rsid w:val="003F023D"/>
    <w:rsid w:val="003F043C"/>
    <w:rsid w:val="003F108B"/>
    <w:rsid w:val="003F190E"/>
    <w:rsid w:val="003F1E7A"/>
    <w:rsid w:val="003F21B4"/>
    <w:rsid w:val="003F276A"/>
    <w:rsid w:val="003F3E68"/>
    <w:rsid w:val="003F4111"/>
    <w:rsid w:val="003F42F5"/>
    <w:rsid w:val="003F431F"/>
    <w:rsid w:val="003F4855"/>
    <w:rsid w:val="003F539D"/>
    <w:rsid w:val="003F54C8"/>
    <w:rsid w:val="003F5D99"/>
    <w:rsid w:val="004005B0"/>
    <w:rsid w:val="00402655"/>
    <w:rsid w:val="00402667"/>
    <w:rsid w:val="0040509F"/>
    <w:rsid w:val="004051BB"/>
    <w:rsid w:val="00405454"/>
    <w:rsid w:val="00405CCC"/>
    <w:rsid w:val="00405E38"/>
    <w:rsid w:val="004065BA"/>
    <w:rsid w:val="004076F9"/>
    <w:rsid w:val="00407BB0"/>
    <w:rsid w:val="00407F5E"/>
    <w:rsid w:val="00412076"/>
    <w:rsid w:val="00412670"/>
    <w:rsid w:val="004144E5"/>
    <w:rsid w:val="00416C1F"/>
    <w:rsid w:val="0041742C"/>
    <w:rsid w:val="00417736"/>
    <w:rsid w:val="00417C5C"/>
    <w:rsid w:val="004241DF"/>
    <w:rsid w:val="00424B56"/>
    <w:rsid w:val="00424DDF"/>
    <w:rsid w:val="0042579C"/>
    <w:rsid w:val="0042624B"/>
    <w:rsid w:val="004269B4"/>
    <w:rsid w:val="00427E99"/>
    <w:rsid w:val="00430AD7"/>
    <w:rsid w:val="00430EF0"/>
    <w:rsid w:val="004311E6"/>
    <w:rsid w:val="00431AC4"/>
    <w:rsid w:val="0043242F"/>
    <w:rsid w:val="00432E06"/>
    <w:rsid w:val="00432E83"/>
    <w:rsid w:val="0043346E"/>
    <w:rsid w:val="00435B23"/>
    <w:rsid w:val="004404B8"/>
    <w:rsid w:val="004405FD"/>
    <w:rsid w:val="00441B52"/>
    <w:rsid w:val="004434CD"/>
    <w:rsid w:val="00443EF9"/>
    <w:rsid w:val="0044697D"/>
    <w:rsid w:val="00447BBA"/>
    <w:rsid w:val="00447D94"/>
    <w:rsid w:val="00450111"/>
    <w:rsid w:val="00450673"/>
    <w:rsid w:val="00450FEC"/>
    <w:rsid w:val="00451FC7"/>
    <w:rsid w:val="00452184"/>
    <w:rsid w:val="004522ED"/>
    <w:rsid w:val="00452655"/>
    <w:rsid w:val="00452F6B"/>
    <w:rsid w:val="004534BE"/>
    <w:rsid w:val="00453985"/>
    <w:rsid w:val="004546E8"/>
    <w:rsid w:val="004576C8"/>
    <w:rsid w:val="004600C1"/>
    <w:rsid w:val="004602C4"/>
    <w:rsid w:val="00460890"/>
    <w:rsid w:val="004608A0"/>
    <w:rsid w:val="00460A99"/>
    <w:rsid w:val="00461E8D"/>
    <w:rsid w:val="00462543"/>
    <w:rsid w:val="00464F38"/>
    <w:rsid w:val="00465418"/>
    <w:rsid w:val="004661C8"/>
    <w:rsid w:val="00467ECC"/>
    <w:rsid w:val="004700F8"/>
    <w:rsid w:val="0047052F"/>
    <w:rsid w:val="00470749"/>
    <w:rsid w:val="00470B7E"/>
    <w:rsid w:val="004710E0"/>
    <w:rsid w:val="00471324"/>
    <w:rsid w:val="004718A7"/>
    <w:rsid w:val="00471ECE"/>
    <w:rsid w:val="0047336D"/>
    <w:rsid w:val="004733FC"/>
    <w:rsid w:val="00474AA7"/>
    <w:rsid w:val="00475017"/>
    <w:rsid w:val="00475D9B"/>
    <w:rsid w:val="00475E1A"/>
    <w:rsid w:val="004804E9"/>
    <w:rsid w:val="004809CF"/>
    <w:rsid w:val="00480F9E"/>
    <w:rsid w:val="00481996"/>
    <w:rsid w:val="00482599"/>
    <w:rsid w:val="0048268E"/>
    <w:rsid w:val="004830DF"/>
    <w:rsid w:val="00483520"/>
    <w:rsid w:val="00484FDA"/>
    <w:rsid w:val="00485997"/>
    <w:rsid w:val="00490633"/>
    <w:rsid w:val="004909E7"/>
    <w:rsid w:val="00491007"/>
    <w:rsid w:val="0049145B"/>
    <w:rsid w:val="004943EC"/>
    <w:rsid w:val="00495463"/>
    <w:rsid w:val="004971E6"/>
    <w:rsid w:val="00497767"/>
    <w:rsid w:val="004A1746"/>
    <w:rsid w:val="004A181F"/>
    <w:rsid w:val="004A1D96"/>
    <w:rsid w:val="004A2C62"/>
    <w:rsid w:val="004A301E"/>
    <w:rsid w:val="004A3278"/>
    <w:rsid w:val="004A380F"/>
    <w:rsid w:val="004A474B"/>
    <w:rsid w:val="004A5B4A"/>
    <w:rsid w:val="004A62BE"/>
    <w:rsid w:val="004A7213"/>
    <w:rsid w:val="004A7AFF"/>
    <w:rsid w:val="004A7FC4"/>
    <w:rsid w:val="004B0623"/>
    <w:rsid w:val="004B0EB3"/>
    <w:rsid w:val="004B2082"/>
    <w:rsid w:val="004B2763"/>
    <w:rsid w:val="004B2EEA"/>
    <w:rsid w:val="004B35EE"/>
    <w:rsid w:val="004B3646"/>
    <w:rsid w:val="004B41FD"/>
    <w:rsid w:val="004B56B1"/>
    <w:rsid w:val="004B780D"/>
    <w:rsid w:val="004B7FF0"/>
    <w:rsid w:val="004C0255"/>
    <w:rsid w:val="004C167D"/>
    <w:rsid w:val="004C2034"/>
    <w:rsid w:val="004C26FD"/>
    <w:rsid w:val="004C3624"/>
    <w:rsid w:val="004C39DC"/>
    <w:rsid w:val="004C44F5"/>
    <w:rsid w:val="004C4E84"/>
    <w:rsid w:val="004C5377"/>
    <w:rsid w:val="004C549D"/>
    <w:rsid w:val="004C55B4"/>
    <w:rsid w:val="004C594C"/>
    <w:rsid w:val="004C6095"/>
    <w:rsid w:val="004C67C4"/>
    <w:rsid w:val="004C6C06"/>
    <w:rsid w:val="004C6DA6"/>
    <w:rsid w:val="004C7D04"/>
    <w:rsid w:val="004D018B"/>
    <w:rsid w:val="004D0633"/>
    <w:rsid w:val="004D0A86"/>
    <w:rsid w:val="004D0C5D"/>
    <w:rsid w:val="004D1FD2"/>
    <w:rsid w:val="004D20E0"/>
    <w:rsid w:val="004D28AE"/>
    <w:rsid w:val="004D2D27"/>
    <w:rsid w:val="004D38F8"/>
    <w:rsid w:val="004D496C"/>
    <w:rsid w:val="004D4983"/>
    <w:rsid w:val="004D4D4E"/>
    <w:rsid w:val="004D517C"/>
    <w:rsid w:val="004D5288"/>
    <w:rsid w:val="004D57D2"/>
    <w:rsid w:val="004D5B18"/>
    <w:rsid w:val="004D5EB4"/>
    <w:rsid w:val="004D5F91"/>
    <w:rsid w:val="004D718C"/>
    <w:rsid w:val="004D771A"/>
    <w:rsid w:val="004D7D54"/>
    <w:rsid w:val="004E0301"/>
    <w:rsid w:val="004E0D97"/>
    <w:rsid w:val="004E1205"/>
    <w:rsid w:val="004E2A21"/>
    <w:rsid w:val="004E2AC1"/>
    <w:rsid w:val="004E3288"/>
    <w:rsid w:val="004E3B17"/>
    <w:rsid w:val="004E49C5"/>
    <w:rsid w:val="004E4C27"/>
    <w:rsid w:val="004E7117"/>
    <w:rsid w:val="004F0B05"/>
    <w:rsid w:val="004F10C7"/>
    <w:rsid w:val="004F17AA"/>
    <w:rsid w:val="004F1ADF"/>
    <w:rsid w:val="004F210C"/>
    <w:rsid w:val="004F2469"/>
    <w:rsid w:val="004F26D5"/>
    <w:rsid w:val="004F2812"/>
    <w:rsid w:val="004F3514"/>
    <w:rsid w:val="004F3790"/>
    <w:rsid w:val="004F4AA2"/>
    <w:rsid w:val="004F4C8A"/>
    <w:rsid w:val="004F51FA"/>
    <w:rsid w:val="004F5A0B"/>
    <w:rsid w:val="004F7166"/>
    <w:rsid w:val="004F7E4F"/>
    <w:rsid w:val="005000D4"/>
    <w:rsid w:val="0050044A"/>
    <w:rsid w:val="005019C9"/>
    <w:rsid w:val="00502CD4"/>
    <w:rsid w:val="00503CDD"/>
    <w:rsid w:val="00505331"/>
    <w:rsid w:val="00505BA2"/>
    <w:rsid w:val="005061CA"/>
    <w:rsid w:val="0050658E"/>
    <w:rsid w:val="00506BE0"/>
    <w:rsid w:val="00506C49"/>
    <w:rsid w:val="005076B6"/>
    <w:rsid w:val="00511158"/>
    <w:rsid w:val="00511403"/>
    <w:rsid w:val="00511C2A"/>
    <w:rsid w:val="00512112"/>
    <w:rsid w:val="0051443B"/>
    <w:rsid w:val="0051469F"/>
    <w:rsid w:val="00514929"/>
    <w:rsid w:val="0051609B"/>
    <w:rsid w:val="00516558"/>
    <w:rsid w:val="0051695C"/>
    <w:rsid w:val="00520929"/>
    <w:rsid w:val="00521B65"/>
    <w:rsid w:val="005241EE"/>
    <w:rsid w:val="00524864"/>
    <w:rsid w:val="00524ECC"/>
    <w:rsid w:val="005276B8"/>
    <w:rsid w:val="00527911"/>
    <w:rsid w:val="0052799F"/>
    <w:rsid w:val="005325AF"/>
    <w:rsid w:val="0053323F"/>
    <w:rsid w:val="00533A79"/>
    <w:rsid w:val="00534505"/>
    <w:rsid w:val="00534E18"/>
    <w:rsid w:val="00535311"/>
    <w:rsid w:val="005358F8"/>
    <w:rsid w:val="00536761"/>
    <w:rsid w:val="00536E9C"/>
    <w:rsid w:val="00537EB2"/>
    <w:rsid w:val="00537FFD"/>
    <w:rsid w:val="00540E62"/>
    <w:rsid w:val="0054233D"/>
    <w:rsid w:val="0054280A"/>
    <w:rsid w:val="0054371A"/>
    <w:rsid w:val="00546592"/>
    <w:rsid w:val="00547973"/>
    <w:rsid w:val="00550BE9"/>
    <w:rsid w:val="00550E54"/>
    <w:rsid w:val="0055311D"/>
    <w:rsid w:val="00553CE3"/>
    <w:rsid w:val="0055467E"/>
    <w:rsid w:val="00554DD0"/>
    <w:rsid w:val="005550D3"/>
    <w:rsid w:val="005554FD"/>
    <w:rsid w:val="00555EF4"/>
    <w:rsid w:val="0055600B"/>
    <w:rsid w:val="005570A9"/>
    <w:rsid w:val="005578E5"/>
    <w:rsid w:val="00561DBA"/>
    <w:rsid w:val="00562B81"/>
    <w:rsid w:val="005635AD"/>
    <w:rsid w:val="005655C1"/>
    <w:rsid w:val="00566A8A"/>
    <w:rsid w:val="00567776"/>
    <w:rsid w:val="005677B7"/>
    <w:rsid w:val="005703B5"/>
    <w:rsid w:val="00571C99"/>
    <w:rsid w:val="0057479B"/>
    <w:rsid w:val="00574846"/>
    <w:rsid w:val="00574AFE"/>
    <w:rsid w:val="00575070"/>
    <w:rsid w:val="005756E3"/>
    <w:rsid w:val="00575936"/>
    <w:rsid w:val="00576CB2"/>
    <w:rsid w:val="00577199"/>
    <w:rsid w:val="005802AD"/>
    <w:rsid w:val="00584DFE"/>
    <w:rsid w:val="00584EA3"/>
    <w:rsid w:val="005868B0"/>
    <w:rsid w:val="00586D27"/>
    <w:rsid w:val="00587326"/>
    <w:rsid w:val="0058752F"/>
    <w:rsid w:val="00587BD6"/>
    <w:rsid w:val="005900A3"/>
    <w:rsid w:val="005917BC"/>
    <w:rsid w:val="00591CAE"/>
    <w:rsid w:val="00593891"/>
    <w:rsid w:val="0059403F"/>
    <w:rsid w:val="0059463E"/>
    <w:rsid w:val="00594750"/>
    <w:rsid w:val="0059515B"/>
    <w:rsid w:val="00595A9D"/>
    <w:rsid w:val="00595B58"/>
    <w:rsid w:val="005A1A2C"/>
    <w:rsid w:val="005A2209"/>
    <w:rsid w:val="005A2820"/>
    <w:rsid w:val="005A3C2E"/>
    <w:rsid w:val="005A3D7D"/>
    <w:rsid w:val="005A3FC4"/>
    <w:rsid w:val="005A4761"/>
    <w:rsid w:val="005A4FD0"/>
    <w:rsid w:val="005A60A1"/>
    <w:rsid w:val="005A6DA5"/>
    <w:rsid w:val="005A74D8"/>
    <w:rsid w:val="005A74E7"/>
    <w:rsid w:val="005B20D2"/>
    <w:rsid w:val="005B23D3"/>
    <w:rsid w:val="005B30D7"/>
    <w:rsid w:val="005B318A"/>
    <w:rsid w:val="005B43A3"/>
    <w:rsid w:val="005B464E"/>
    <w:rsid w:val="005B542F"/>
    <w:rsid w:val="005B5A39"/>
    <w:rsid w:val="005B6A03"/>
    <w:rsid w:val="005B6BB1"/>
    <w:rsid w:val="005B746B"/>
    <w:rsid w:val="005B7733"/>
    <w:rsid w:val="005B7A09"/>
    <w:rsid w:val="005C01D3"/>
    <w:rsid w:val="005C0690"/>
    <w:rsid w:val="005C06D8"/>
    <w:rsid w:val="005C0C5F"/>
    <w:rsid w:val="005C19D0"/>
    <w:rsid w:val="005C2C32"/>
    <w:rsid w:val="005C2EC8"/>
    <w:rsid w:val="005C3FDB"/>
    <w:rsid w:val="005C4136"/>
    <w:rsid w:val="005C43A9"/>
    <w:rsid w:val="005C4C24"/>
    <w:rsid w:val="005C545F"/>
    <w:rsid w:val="005C7E2E"/>
    <w:rsid w:val="005D078D"/>
    <w:rsid w:val="005D362E"/>
    <w:rsid w:val="005D3DFC"/>
    <w:rsid w:val="005D6200"/>
    <w:rsid w:val="005D73D9"/>
    <w:rsid w:val="005E16AF"/>
    <w:rsid w:val="005E5144"/>
    <w:rsid w:val="005E5352"/>
    <w:rsid w:val="005E62FA"/>
    <w:rsid w:val="005E7EDC"/>
    <w:rsid w:val="005F0A3E"/>
    <w:rsid w:val="005F3802"/>
    <w:rsid w:val="005F4F08"/>
    <w:rsid w:val="005F55E8"/>
    <w:rsid w:val="005F63BA"/>
    <w:rsid w:val="00600C4A"/>
    <w:rsid w:val="00601DF6"/>
    <w:rsid w:val="00603BE1"/>
    <w:rsid w:val="00603DDB"/>
    <w:rsid w:val="006040D1"/>
    <w:rsid w:val="00604DCD"/>
    <w:rsid w:val="00605A0E"/>
    <w:rsid w:val="00605E7B"/>
    <w:rsid w:val="006071B3"/>
    <w:rsid w:val="0061005E"/>
    <w:rsid w:val="00611C8D"/>
    <w:rsid w:val="00613D9F"/>
    <w:rsid w:val="00613E86"/>
    <w:rsid w:val="00615089"/>
    <w:rsid w:val="00615191"/>
    <w:rsid w:val="00615AFF"/>
    <w:rsid w:val="00616C5E"/>
    <w:rsid w:val="00621140"/>
    <w:rsid w:val="00621D92"/>
    <w:rsid w:val="00623D7C"/>
    <w:rsid w:val="006245C5"/>
    <w:rsid w:val="00624888"/>
    <w:rsid w:val="00625646"/>
    <w:rsid w:val="006266A9"/>
    <w:rsid w:val="00626F37"/>
    <w:rsid w:val="00627235"/>
    <w:rsid w:val="00627E6E"/>
    <w:rsid w:val="00631AD3"/>
    <w:rsid w:val="00631BF6"/>
    <w:rsid w:val="00635BEB"/>
    <w:rsid w:val="00636A5D"/>
    <w:rsid w:val="006375CD"/>
    <w:rsid w:val="006378D5"/>
    <w:rsid w:val="006378FA"/>
    <w:rsid w:val="00640425"/>
    <w:rsid w:val="00640A27"/>
    <w:rsid w:val="00641194"/>
    <w:rsid w:val="00642362"/>
    <w:rsid w:val="00642B5B"/>
    <w:rsid w:val="006438CD"/>
    <w:rsid w:val="00643DE1"/>
    <w:rsid w:val="00643FCB"/>
    <w:rsid w:val="00646A7A"/>
    <w:rsid w:val="0064738C"/>
    <w:rsid w:val="00647722"/>
    <w:rsid w:val="00647944"/>
    <w:rsid w:val="00647C5D"/>
    <w:rsid w:val="006507D0"/>
    <w:rsid w:val="0065105B"/>
    <w:rsid w:val="006523AF"/>
    <w:rsid w:val="006526A9"/>
    <w:rsid w:val="006527C2"/>
    <w:rsid w:val="006533C0"/>
    <w:rsid w:val="00653711"/>
    <w:rsid w:val="00654980"/>
    <w:rsid w:val="00654EB4"/>
    <w:rsid w:val="00655241"/>
    <w:rsid w:val="00657038"/>
    <w:rsid w:val="00661D13"/>
    <w:rsid w:val="006620F9"/>
    <w:rsid w:val="0066231E"/>
    <w:rsid w:val="00662430"/>
    <w:rsid w:val="006636D1"/>
    <w:rsid w:val="0066445D"/>
    <w:rsid w:val="00664D60"/>
    <w:rsid w:val="006663ED"/>
    <w:rsid w:val="00666566"/>
    <w:rsid w:val="006701CB"/>
    <w:rsid w:val="006704AF"/>
    <w:rsid w:val="0067171E"/>
    <w:rsid w:val="006726EF"/>
    <w:rsid w:val="006729A8"/>
    <w:rsid w:val="00672D52"/>
    <w:rsid w:val="00675D94"/>
    <w:rsid w:val="006770F8"/>
    <w:rsid w:val="00677469"/>
    <w:rsid w:val="00680F1E"/>
    <w:rsid w:val="0068312A"/>
    <w:rsid w:val="0068454A"/>
    <w:rsid w:val="00684FC5"/>
    <w:rsid w:val="006855D7"/>
    <w:rsid w:val="00686ACA"/>
    <w:rsid w:val="00690184"/>
    <w:rsid w:val="00690223"/>
    <w:rsid w:val="00690FD4"/>
    <w:rsid w:val="006939C2"/>
    <w:rsid w:val="00693E30"/>
    <w:rsid w:val="00694D98"/>
    <w:rsid w:val="00697E20"/>
    <w:rsid w:val="006A04D6"/>
    <w:rsid w:val="006A05BB"/>
    <w:rsid w:val="006A1BBD"/>
    <w:rsid w:val="006A1FBD"/>
    <w:rsid w:val="006A30F2"/>
    <w:rsid w:val="006A4A8A"/>
    <w:rsid w:val="006A4CD9"/>
    <w:rsid w:val="006A4EF1"/>
    <w:rsid w:val="006A67A0"/>
    <w:rsid w:val="006A6C39"/>
    <w:rsid w:val="006A7AC3"/>
    <w:rsid w:val="006A7AD6"/>
    <w:rsid w:val="006A7CEA"/>
    <w:rsid w:val="006A7E4A"/>
    <w:rsid w:val="006B0D1C"/>
    <w:rsid w:val="006B2AF3"/>
    <w:rsid w:val="006B39EC"/>
    <w:rsid w:val="006B3A08"/>
    <w:rsid w:val="006B4770"/>
    <w:rsid w:val="006B4FD0"/>
    <w:rsid w:val="006B50B2"/>
    <w:rsid w:val="006B6F48"/>
    <w:rsid w:val="006B7263"/>
    <w:rsid w:val="006B7E00"/>
    <w:rsid w:val="006C0CF3"/>
    <w:rsid w:val="006C23E9"/>
    <w:rsid w:val="006C28DF"/>
    <w:rsid w:val="006C3321"/>
    <w:rsid w:val="006C3584"/>
    <w:rsid w:val="006C3746"/>
    <w:rsid w:val="006C4D66"/>
    <w:rsid w:val="006C567B"/>
    <w:rsid w:val="006C5FDA"/>
    <w:rsid w:val="006D01F4"/>
    <w:rsid w:val="006D03FD"/>
    <w:rsid w:val="006D0AFA"/>
    <w:rsid w:val="006D2039"/>
    <w:rsid w:val="006D34A5"/>
    <w:rsid w:val="006D34AA"/>
    <w:rsid w:val="006D4182"/>
    <w:rsid w:val="006D4EAF"/>
    <w:rsid w:val="006D4FE5"/>
    <w:rsid w:val="006D5C36"/>
    <w:rsid w:val="006D5DFB"/>
    <w:rsid w:val="006D72CE"/>
    <w:rsid w:val="006E13FB"/>
    <w:rsid w:val="006E196E"/>
    <w:rsid w:val="006E1A68"/>
    <w:rsid w:val="006E3D3B"/>
    <w:rsid w:val="006E3DCA"/>
    <w:rsid w:val="006E4298"/>
    <w:rsid w:val="006E4F88"/>
    <w:rsid w:val="006E58B7"/>
    <w:rsid w:val="006E683E"/>
    <w:rsid w:val="006E6B5E"/>
    <w:rsid w:val="006E6BA5"/>
    <w:rsid w:val="006F1549"/>
    <w:rsid w:val="006F1588"/>
    <w:rsid w:val="006F2116"/>
    <w:rsid w:val="006F2763"/>
    <w:rsid w:val="006F2A3E"/>
    <w:rsid w:val="006F351D"/>
    <w:rsid w:val="006F3713"/>
    <w:rsid w:val="006F3A8F"/>
    <w:rsid w:val="006F4347"/>
    <w:rsid w:val="006F7746"/>
    <w:rsid w:val="00700D06"/>
    <w:rsid w:val="00700DFF"/>
    <w:rsid w:val="00700F10"/>
    <w:rsid w:val="00701923"/>
    <w:rsid w:val="00701F5F"/>
    <w:rsid w:val="00702F49"/>
    <w:rsid w:val="00703F8D"/>
    <w:rsid w:val="00704153"/>
    <w:rsid w:val="00704EF6"/>
    <w:rsid w:val="0070508D"/>
    <w:rsid w:val="00705665"/>
    <w:rsid w:val="00705BCF"/>
    <w:rsid w:val="007065E9"/>
    <w:rsid w:val="00706612"/>
    <w:rsid w:val="007108AF"/>
    <w:rsid w:val="00710BA9"/>
    <w:rsid w:val="00710D8F"/>
    <w:rsid w:val="00713CA2"/>
    <w:rsid w:val="007140C8"/>
    <w:rsid w:val="0071457C"/>
    <w:rsid w:val="00717B33"/>
    <w:rsid w:val="00717FA7"/>
    <w:rsid w:val="00720942"/>
    <w:rsid w:val="007219AF"/>
    <w:rsid w:val="00722F52"/>
    <w:rsid w:val="00723047"/>
    <w:rsid w:val="00724280"/>
    <w:rsid w:val="007248D3"/>
    <w:rsid w:val="007260F4"/>
    <w:rsid w:val="0072641A"/>
    <w:rsid w:val="007264E6"/>
    <w:rsid w:val="00726CD4"/>
    <w:rsid w:val="00730680"/>
    <w:rsid w:val="0073098D"/>
    <w:rsid w:val="007311B1"/>
    <w:rsid w:val="007315B3"/>
    <w:rsid w:val="00732778"/>
    <w:rsid w:val="00734396"/>
    <w:rsid w:val="007344D0"/>
    <w:rsid w:val="00734708"/>
    <w:rsid w:val="00735172"/>
    <w:rsid w:val="007369BB"/>
    <w:rsid w:val="007409DC"/>
    <w:rsid w:val="00740A0B"/>
    <w:rsid w:val="00742064"/>
    <w:rsid w:val="00742730"/>
    <w:rsid w:val="00744273"/>
    <w:rsid w:val="00744286"/>
    <w:rsid w:val="0074596C"/>
    <w:rsid w:val="0074686C"/>
    <w:rsid w:val="007476C9"/>
    <w:rsid w:val="007479BA"/>
    <w:rsid w:val="0075058E"/>
    <w:rsid w:val="00751045"/>
    <w:rsid w:val="00751FE3"/>
    <w:rsid w:val="00754975"/>
    <w:rsid w:val="00754A63"/>
    <w:rsid w:val="00754B30"/>
    <w:rsid w:val="007565FF"/>
    <w:rsid w:val="00757A8B"/>
    <w:rsid w:val="00760DFA"/>
    <w:rsid w:val="00761873"/>
    <w:rsid w:val="00761BFC"/>
    <w:rsid w:val="00762495"/>
    <w:rsid w:val="00762CFF"/>
    <w:rsid w:val="00763876"/>
    <w:rsid w:val="00764066"/>
    <w:rsid w:val="00764521"/>
    <w:rsid w:val="007668DA"/>
    <w:rsid w:val="00766A1B"/>
    <w:rsid w:val="00767DFF"/>
    <w:rsid w:val="00772D85"/>
    <w:rsid w:val="00773037"/>
    <w:rsid w:val="00774D65"/>
    <w:rsid w:val="00775203"/>
    <w:rsid w:val="0077582A"/>
    <w:rsid w:val="00776973"/>
    <w:rsid w:val="00776AEE"/>
    <w:rsid w:val="00780ACD"/>
    <w:rsid w:val="00780C23"/>
    <w:rsid w:val="00782FF8"/>
    <w:rsid w:val="007832AA"/>
    <w:rsid w:val="00784A06"/>
    <w:rsid w:val="00784C0B"/>
    <w:rsid w:val="007852D4"/>
    <w:rsid w:val="00786822"/>
    <w:rsid w:val="00787444"/>
    <w:rsid w:val="0078757F"/>
    <w:rsid w:val="007877B3"/>
    <w:rsid w:val="00790A9D"/>
    <w:rsid w:val="00792AE9"/>
    <w:rsid w:val="00794884"/>
    <w:rsid w:val="0079512E"/>
    <w:rsid w:val="0079574E"/>
    <w:rsid w:val="00795798"/>
    <w:rsid w:val="00797EC3"/>
    <w:rsid w:val="007A4345"/>
    <w:rsid w:val="007A470F"/>
    <w:rsid w:val="007A4CFC"/>
    <w:rsid w:val="007A763D"/>
    <w:rsid w:val="007B23CE"/>
    <w:rsid w:val="007B2A5C"/>
    <w:rsid w:val="007B2C6A"/>
    <w:rsid w:val="007B3009"/>
    <w:rsid w:val="007B418E"/>
    <w:rsid w:val="007B54C9"/>
    <w:rsid w:val="007B5AFD"/>
    <w:rsid w:val="007B6253"/>
    <w:rsid w:val="007B62B2"/>
    <w:rsid w:val="007B701D"/>
    <w:rsid w:val="007C0283"/>
    <w:rsid w:val="007C07CC"/>
    <w:rsid w:val="007C0AE6"/>
    <w:rsid w:val="007C26C2"/>
    <w:rsid w:val="007C2D6D"/>
    <w:rsid w:val="007C3411"/>
    <w:rsid w:val="007C35F7"/>
    <w:rsid w:val="007C41E6"/>
    <w:rsid w:val="007C5CC4"/>
    <w:rsid w:val="007C7489"/>
    <w:rsid w:val="007D0D58"/>
    <w:rsid w:val="007D2B48"/>
    <w:rsid w:val="007D30C7"/>
    <w:rsid w:val="007D34B6"/>
    <w:rsid w:val="007D37E8"/>
    <w:rsid w:val="007D4761"/>
    <w:rsid w:val="007D594C"/>
    <w:rsid w:val="007D5BBF"/>
    <w:rsid w:val="007D7A5C"/>
    <w:rsid w:val="007D7E26"/>
    <w:rsid w:val="007E01AE"/>
    <w:rsid w:val="007E0EE2"/>
    <w:rsid w:val="007E1E4D"/>
    <w:rsid w:val="007E2327"/>
    <w:rsid w:val="007E251B"/>
    <w:rsid w:val="007E29EC"/>
    <w:rsid w:val="007E32F5"/>
    <w:rsid w:val="007E39DB"/>
    <w:rsid w:val="007E4D54"/>
    <w:rsid w:val="007E4F3B"/>
    <w:rsid w:val="007E523B"/>
    <w:rsid w:val="007E610A"/>
    <w:rsid w:val="007E6F8E"/>
    <w:rsid w:val="007F020C"/>
    <w:rsid w:val="007F0243"/>
    <w:rsid w:val="007F12DD"/>
    <w:rsid w:val="007F1985"/>
    <w:rsid w:val="007F1B54"/>
    <w:rsid w:val="007F245A"/>
    <w:rsid w:val="007F2BA4"/>
    <w:rsid w:val="007F2D0B"/>
    <w:rsid w:val="007F3501"/>
    <w:rsid w:val="007F35D9"/>
    <w:rsid w:val="007F4863"/>
    <w:rsid w:val="007F4F41"/>
    <w:rsid w:val="007F57C4"/>
    <w:rsid w:val="007F6166"/>
    <w:rsid w:val="007F7437"/>
    <w:rsid w:val="00801339"/>
    <w:rsid w:val="00801A14"/>
    <w:rsid w:val="00801A59"/>
    <w:rsid w:val="00802426"/>
    <w:rsid w:val="008028EF"/>
    <w:rsid w:val="00803432"/>
    <w:rsid w:val="00803E8B"/>
    <w:rsid w:val="0080493B"/>
    <w:rsid w:val="0080494B"/>
    <w:rsid w:val="00805233"/>
    <w:rsid w:val="008059F5"/>
    <w:rsid w:val="00805D0C"/>
    <w:rsid w:val="00806B46"/>
    <w:rsid w:val="00806BC4"/>
    <w:rsid w:val="00810F98"/>
    <w:rsid w:val="008116A8"/>
    <w:rsid w:val="00812E56"/>
    <w:rsid w:val="008139B3"/>
    <w:rsid w:val="00815895"/>
    <w:rsid w:val="008158B6"/>
    <w:rsid w:val="00815DDD"/>
    <w:rsid w:val="00816D30"/>
    <w:rsid w:val="00817373"/>
    <w:rsid w:val="00817522"/>
    <w:rsid w:val="00820EBF"/>
    <w:rsid w:val="00821C07"/>
    <w:rsid w:val="0082290C"/>
    <w:rsid w:val="008234C9"/>
    <w:rsid w:val="008239A1"/>
    <w:rsid w:val="00823D39"/>
    <w:rsid w:val="00824389"/>
    <w:rsid w:val="0082570C"/>
    <w:rsid w:val="00825FCD"/>
    <w:rsid w:val="008273E8"/>
    <w:rsid w:val="00827413"/>
    <w:rsid w:val="008315CF"/>
    <w:rsid w:val="008319A8"/>
    <w:rsid w:val="00831FCC"/>
    <w:rsid w:val="0083447D"/>
    <w:rsid w:val="008355C7"/>
    <w:rsid w:val="00841946"/>
    <w:rsid w:val="00841CB5"/>
    <w:rsid w:val="0084452F"/>
    <w:rsid w:val="00844917"/>
    <w:rsid w:val="00844950"/>
    <w:rsid w:val="00846493"/>
    <w:rsid w:val="00847842"/>
    <w:rsid w:val="008509D7"/>
    <w:rsid w:val="00850CEE"/>
    <w:rsid w:val="00850FC0"/>
    <w:rsid w:val="00851FE9"/>
    <w:rsid w:val="00852811"/>
    <w:rsid w:val="00852E85"/>
    <w:rsid w:val="00853542"/>
    <w:rsid w:val="00853DB2"/>
    <w:rsid w:val="00855FF6"/>
    <w:rsid w:val="00856F34"/>
    <w:rsid w:val="008571D4"/>
    <w:rsid w:val="00857986"/>
    <w:rsid w:val="00857B4F"/>
    <w:rsid w:val="008608B5"/>
    <w:rsid w:val="00860E64"/>
    <w:rsid w:val="00862C74"/>
    <w:rsid w:val="008635DF"/>
    <w:rsid w:val="00863CAC"/>
    <w:rsid w:val="00864CAC"/>
    <w:rsid w:val="00865035"/>
    <w:rsid w:val="008656BB"/>
    <w:rsid w:val="00865A72"/>
    <w:rsid w:val="00866490"/>
    <w:rsid w:val="008669E4"/>
    <w:rsid w:val="00866E2C"/>
    <w:rsid w:val="0086756A"/>
    <w:rsid w:val="00867C39"/>
    <w:rsid w:val="00870864"/>
    <w:rsid w:val="00874BED"/>
    <w:rsid w:val="0087546C"/>
    <w:rsid w:val="00875B20"/>
    <w:rsid w:val="008771DF"/>
    <w:rsid w:val="00877949"/>
    <w:rsid w:val="008825E3"/>
    <w:rsid w:val="00882FD2"/>
    <w:rsid w:val="008833FF"/>
    <w:rsid w:val="00883A2B"/>
    <w:rsid w:val="0088540F"/>
    <w:rsid w:val="008867FF"/>
    <w:rsid w:val="00887EF4"/>
    <w:rsid w:val="0089147C"/>
    <w:rsid w:val="00891950"/>
    <w:rsid w:val="00892C9E"/>
    <w:rsid w:val="00893CA7"/>
    <w:rsid w:val="008947CC"/>
    <w:rsid w:val="00894C4C"/>
    <w:rsid w:val="008954A3"/>
    <w:rsid w:val="008964F2"/>
    <w:rsid w:val="008968A4"/>
    <w:rsid w:val="0089746D"/>
    <w:rsid w:val="00897E8C"/>
    <w:rsid w:val="008A04BE"/>
    <w:rsid w:val="008A06EA"/>
    <w:rsid w:val="008A204F"/>
    <w:rsid w:val="008A2357"/>
    <w:rsid w:val="008A3FBE"/>
    <w:rsid w:val="008A48DA"/>
    <w:rsid w:val="008A50F3"/>
    <w:rsid w:val="008A6355"/>
    <w:rsid w:val="008A6570"/>
    <w:rsid w:val="008A76BE"/>
    <w:rsid w:val="008A7942"/>
    <w:rsid w:val="008A7AA0"/>
    <w:rsid w:val="008A7B43"/>
    <w:rsid w:val="008B2134"/>
    <w:rsid w:val="008B363D"/>
    <w:rsid w:val="008B3CF7"/>
    <w:rsid w:val="008B3E04"/>
    <w:rsid w:val="008B4714"/>
    <w:rsid w:val="008B55E9"/>
    <w:rsid w:val="008B56C5"/>
    <w:rsid w:val="008B59BF"/>
    <w:rsid w:val="008B5A4C"/>
    <w:rsid w:val="008B5C1C"/>
    <w:rsid w:val="008B6F6B"/>
    <w:rsid w:val="008B7C08"/>
    <w:rsid w:val="008C06CF"/>
    <w:rsid w:val="008C24CA"/>
    <w:rsid w:val="008C3DFD"/>
    <w:rsid w:val="008C422F"/>
    <w:rsid w:val="008C4D88"/>
    <w:rsid w:val="008C5910"/>
    <w:rsid w:val="008C5A04"/>
    <w:rsid w:val="008C67F0"/>
    <w:rsid w:val="008C767F"/>
    <w:rsid w:val="008D0CE5"/>
    <w:rsid w:val="008D1C74"/>
    <w:rsid w:val="008D283A"/>
    <w:rsid w:val="008D29D3"/>
    <w:rsid w:val="008D3848"/>
    <w:rsid w:val="008D4430"/>
    <w:rsid w:val="008D443E"/>
    <w:rsid w:val="008D5104"/>
    <w:rsid w:val="008D7BAB"/>
    <w:rsid w:val="008E01F2"/>
    <w:rsid w:val="008E0482"/>
    <w:rsid w:val="008E04B9"/>
    <w:rsid w:val="008E04E6"/>
    <w:rsid w:val="008E07C8"/>
    <w:rsid w:val="008E0A42"/>
    <w:rsid w:val="008E1A9F"/>
    <w:rsid w:val="008E1B19"/>
    <w:rsid w:val="008E2E3E"/>
    <w:rsid w:val="008E4A82"/>
    <w:rsid w:val="008E5388"/>
    <w:rsid w:val="008E6E3B"/>
    <w:rsid w:val="008E75AB"/>
    <w:rsid w:val="008E7EE2"/>
    <w:rsid w:val="008E7EE5"/>
    <w:rsid w:val="008F0ABF"/>
    <w:rsid w:val="008F1F11"/>
    <w:rsid w:val="008F2D2C"/>
    <w:rsid w:val="008F47B1"/>
    <w:rsid w:val="008F4C8D"/>
    <w:rsid w:val="008F51A5"/>
    <w:rsid w:val="008F5768"/>
    <w:rsid w:val="008F67BD"/>
    <w:rsid w:val="009007B1"/>
    <w:rsid w:val="00900FAE"/>
    <w:rsid w:val="00901384"/>
    <w:rsid w:val="009019B0"/>
    <w:rsid w:val="00902363"/>
    <w:rsid w:val="00903816"/>
    <w:rsid w:val="00903A71"/>
    <w:rsid w:val="009043CB"/>
    <w:rsid w:val="0090503C"/>
    <w:rsid w:val="00905578"/>
    <w:rsid w:val="009062EC"/>
    <w:rsid w:val="009067CC"/>
    <w:rsid w:val="00906A79"/>
    <w:rsid w:val="0090738A"/>
    <w:rsid w:val="009075E4"/>
    <w:rsid w:val="00911054"/>
    <w:rsid w:val="009112B2"/>
    <w:rsid w:val="00911AF9"/>
    <w:rsid w:val="00911E65"/>
    <w:rsid w:val="00912332"/>
    <w:rsid w:val="009127C1"/>
    <w:rsid w:val="00914163"/>
    <w:rsid w:val="00914241"/>
    <w:rsid w:val="00917579"/>
    <w:rsid w:val="009200E7"/>
    <w:rsid w:val="00920BCD"/>
    <w:rsid w:val="00920CB7"/>
    <w:rsid w:val="00920FD7"/>
    <w:rsid w:val="009217A9"/>
    <w:rsid w:val="009218F9"/>
    <w:rsid w:val="00922002"/>
    <w:rsid w:val="009229B1"/>
    <w:rsid w:val="00923166"/>
    <w:rsid w:val="0092463C"/>
    <w:rsid w:val="00925166"/>
    <w:rsid w:val="00927AAD"/>
    <w:rsid w:val="009301DF"/>
    <w:rsid w:val="0093179C"/>
    <w:rsid w:val="00931850"/>
    <w:rsid w:val="009318CA"/>
    <w:rsid w:val="0093261A"/>
    <w:rsid w:val="009353DB"/>
    <w:rsid w:val="00935CCA"/>
    <w:rsid w:val="00940EF1"/>
    <w:rsid w:val="0094116D"/>
    <w:rsid w:val="00941DE2"/>
    <w:rsid w:val="00941EFC"/>
    <w:rsid w:val="009426CC"/>
    <w:rsid w:val="009459E8"/>
    <w:rsid w:val="009474F3"/>
    <w:rsid w:val="0094775F"/>
    <w:rsid w:val="00947812"/>
    <w:rsid w:val="00953135"/>
    <w:rsid w:val="0095340D"/>
    <w:rsid w:val="00954701"/>
    <w:rsid w:val="00954B39"/>
    <w:rsid w:val="00954E8B"/>
    <w:rsid w:val="00955CF7"/>
    <w:rsid w:val="0095656C"/>
    <w:rsid w:val="009579E6"/>
    <w:rsid w:val="00960975"/>
    <w:rsid w:val="00960E24"/>
    <w:rsid w:val="00960E5A"/>
    <w:rsid w:val="00961128"/>
    <w:rsid w:val="009614EB"/>
    <w:rsid w:val="00963BE5"/>
    <w:rsid w:val="00964ACC"/>
    <w:rsid w:val="0096595B"/>
    <w:rsid w:val="00966A51"/>
    <w:rsid w:val="00966B94"/>
    <w:rsid w:val="0097178C"/>
    <w:rsid w:val="00971841"/>
    <w:rsid w:val="0097221D"/>
    <w:rsid w:val="009739EE"/>
    <w:rsid w:val="00974279"/>
    <w:rsid w:val="009744EC"/>
    <w:rsid w:val="00974830"/>
    <w:rsid w:val="00974A8A"/>
    <w:rsid w:val="009759D7"/>
    <w:rsid w:val="00975DFD"/>
    <w:rsid w:val="0097748C"/>
    <w:rsid w:val="00981BFD"/>
    <w:rsid w:val="00982440"/>
    <w:rsid w:val="00983CCC"/>
    <w:rsid w:val="00983DF9"/>
    <w:rsid w:val="0098638B"/>
    <w:rsid w:val="00987C34"/>
    <w:rsid w:val="00987E46"/>
    <w:rsid w:val="009903E4"/>
    <w:rsid w:val="00990F2B"/>
    <w:rsid w:val="0099138B"/>
    <w:rsid w:val="009922EF"/>
    <w:rsid w:val="00993284"/>
    <w:rsid w:val="009938BC"/>
    <w:rsid w:val="00994A71"/>
    <w:rsid w:val="0099546C"/>
    <w:rsid w:val="00995731"/>
    <w:rsid w:val="00995AC4"/>
    <w:rsid w:val="00997B65"/>
    <w:rsid w:val="009A10AF"/>
    <w:rsid w:val="009A1A16"/>
    <w:rsid w:val="009A1F0B"/>
    <w:rsid w:val="009A363A"/>
    <w:rsid w:val="009A41A3"/>
    <w:rsid w:val="009A4306"/>
    <w:rsid w:val="009A4775"/>
    <w:rsid w:val="009A591F"/>
    <w:rsid w:val="009A7850"/>
    <w:rsid w:val="009B0A38"/>
    <w:rsid w:val="009B2F95"/>
    <w:rsid w:val="009B47E4"/>
    <w:rsid w:val="009B4D6C"/>
    <w:rsid w:val="009B5DD2"/>
    <w:rsid w:val="009B75FE"/>
    <w:rsid w:val="009C011E"/>
    <w:rsid w:val="009C0B49"/>
    <w:rsid w:val="009C0CC3"/>
    <w:rsid w:val="009C1F85"/>
    <w:rsid w:val="009C38F2"/>
    <w:rsid w:val="009C4510"/>
    <w:rsid w:val="009C4630"/>
    <w:rsid w:val="009C60D8"/>
    <w:rsid w:val="009D0D1B"/>
    <w:rsid w:val="009D1A6C"/>
    <w:rsid w:val="009D38E8"/>
    <w:rsid w:val="009D49B5"/>
    <w:rsid w:val="009D4B0E"/>
    <w:rsid w:val="009D5A56"/>
    <w:rsid w:val="009D5E25"/>
    <w:rsid w:val="009D6F2D"/>
    <w:rsid w:val="009D7CA1"/>
    <w:rsid w:val="009E1A00"/>
    <w:rsid w:val="009E2169"/>
    <w:rsid w:val="009E282C"/>
    <w:rsid w:val="009E2D02"/>
    <w:rsid w:val="009E3594"/>
    <w:rsid w:val="009E4320"/>
    <w:rsid w:val="009E7B06"/>
    <w:rsid w:val="009E7D47"/>
    <w:rsid w:val="009F0070"/>
    <w:rsid w:val="009F0556"/>
    <w:rsid w:val="009F32CA"/>
    <w:rsid w:val="009F3864"/>
    <w:rsid w:val="009F393D"/>
    <w:rsid w:val="009F4511"/>
    <w:rsid w:val="009F46C7"/>
    <w:rsid w:val="009F56F7"/>
    <w:rsid w:val="009F59B4"/>
    <w:rsid w:val="009F5F35"/>
    <w:rsid w:val="009F6BCD"/>
    <w:rsid w:val="00A00D9F"/>
    <w:rsid w:val="00A012C6"/>
    <w:rsid w:val="00A02CC1"/>
    <w:rsid w:val="00A02D07"/>
    <w:rsid w:val="00A02DC7"/>
    <w:rsid w:val="00A035D5"/>
    <w:rsid w:val="00A04107"/>
    <w:rsid w:val="00A04B51"/>
    <w:rsid w:val="00A05950"/>
    <w:rsid w:val="00A05978"/>
    <w:rsid w:val="00A0641B"/>
    <w:rsid w:val="00A10C92"/>
    <w:rsid w:val="00A1114B"/>
    <w:rsid w:val="00A11DF8"/>
    <w:rsid w:val="00A12AF8"/>
    <w:rsid w:val="00A13256"/>
    <w:rsid w:val="00A14199"/>
    <w:rsid w:val="00A14A0C"/>
    <w:rsid w:val="00A1531F"/>
    <w:rsid w:val="00A15395"/>
    <w:rsid w:val="00A15BF1"/>
    <w:rsid w:val="00A16099"/>
    <w:rsid w:val="00A16265"/>
    <w:rsid w:val="00A16537"/>
    <w:rsid w:val="00A16B23"/>
    <w:rsid w:val="00A21B2C"/>
    <w:rsid w:val="00A2217B"/>
    <w:rsid w:val="00A2279F"/>
    <w:rsid w:val="00A23041"/>
    <w:rsid w:val="00A23A1E"/>
    <w:rsid w:val="00A2620F"/>
    <w:rsid w:val="00A26583"/>
    <w:rsid w:val="00A265EB"/>
    <w:rsid w:val="00A270B2"/>
    <w:rsid w:val="00A27916"/>
    <w:rsid w:val="00A27B50"/>
    <w:rsid w:val="00A27C39"/>
    <w:rsid w:val="00A307F5"/>
    <w:rsid w:val="00A3121E"/>
    <w:rsid w:val="00A32864"/>
    <w:rsid w:val="00A32A38"/>
    <w:rsid w:val="00A32C71"/>
    <w:rsid w:val="00A32E56"/>
    <w:rsid w:val="00A34478"/>
    <w:rsid w:val="00A35A5E"/>
    <w:rsid w:val="00A36154"/>
    <w:rsid w:val="00A3621D"/>
    <w:rsid w:val="00A36BB5"/>
    <w:rsid w:val="00A379FE"/>
    <w:rsid w:val="00A42E58"/>
    <w:rsid w:val="00A4300E"/>
    <w:rsid w:val="00A43BD4"/>
    <w:rsid w:val="00A45F2E"/>
    <w:rsid w:val="00A466BE"/>
    <w:rsid w:val="00A47B75"/>
    <w:rsid w:val="00A502D0"/>
    <w:rsid w:val="00A513D5"/>
    <w:rsid w:val="00A51C0A"/>
    <w:rsid w:val="00A5339B"/>
    <w:rsid w:val="00A534B4"/>
    <w:rsid w:val="00A53C6D"/>
    <w:rsid w:val="00A55961"/>
    <w:rsid w:val="00A562F2"/>
    <w:rsid w:val="00A568AC"/>
    <w:rsid w:val="00A600F5"/>
    <w:rsid w:val="00A601D3"/>
    <w:rsid w:val="00A606FA"/>
    <w:rsid w:val="00A61718"/>
    <w:rsid w:val="00A61F35"/>
    <w:rsid w:val="00A63320"/>
    <w:rsid w:val="00A6342A"/>
    <w:rsid w:val="00A6430A"/>
    <w:rsid w:val="00A674C4"/>
    <w:rsid w:val="00A70DEB"/>
    <w:rsid w:val="00A71467"/>
    <w:rsid w:val="00A7213B"/>
    <w:rsid w:val="00A72A23"/>
    <w:rsid w:val="00A733FD"/>
    <w:rsid w:val="00A742B8"/>
    <w:rsid w:val="00A753E0"/>
    <w:rsid w:val="00A75596"/>
    <w:rsid w:val="00A75A77"/>
    <w:rsid w:val="00A7613F"/>
    <w:rsid w:val="00A7722C"/>
    <w:rsid w:val="00A77DFB"/>
    <w:rsid w:val="00A77F0C"/>
    <w:rsid w:val="00A77FE2"/>
    <w:rsid w:val="00A81F91"/>
    <w:rsid w:val="00A824AB"/>
    <w:rsid w:val="00A83CF3"/>
    <w:rsid w:val="00A83EC9"/>
    <w:rsid w:val="00A83F9C"/>
    <w:rsid w:val="00A845FD"/>
    <w:rsid w:val="00A85DCF"/>
    <w:rsid w:val="00A86233"/>
    <w:rsid w:val="00A866B1"/>
    <w:rsid w:val="00A8692F"/>
    <w:rsid w:val="00A86D77"/>
    <w:rsid w:val="00A878B1"/>
    <w:rsid w:val="00A90548"/>
    <w:rsid w:val="00A92D9D"/>
    <w:rsid w:val="00A93B4C"/>
    <w:rsid w:val="00A93EF1"/>
    <w:rsid w:val="00A9485E"/>
    <w:rsid w:val="00A956E6"/>
    <w:rsid w:val="00A95E9D"/>
    <w:rsid w:val="00A96C0D"/>
    <w:rsid w:val="00A9720D"/>
    <w:rsid w:val="00AA05D9"/>
    <w:rsid w:val="00AA0844"/>
    <w:rsid w:val="00AA0FFD"/>
    <w:rsid w:val="00AA256A"/>
    <w:rsid w:val="00AA2B1C"/>
    <w:rsid w:val="00AA4509"/>
    <w:rsid w:val="00AA49BF"/>
    <w:rsid w:val="00AA4D0A"/>
    <w:rsid w:val="00AA5D14"/>
    <w:rsid w:val="00AA727C"/>
    <w:rsid w:val="00AB1ADA"/>
    <w:rsid w:val="00AB1E63"/>
    <w:rsid w:val="00AB20E8"/>
    <w:rsid w:val="00AB3B3C"/>
    <w:rsid w:val="00AB4758"/>
    <w:rsid w:val="00AB5237"/>
    <w:rsid w:val="00AB52E1"/>
    <w:rsid w:val="00AB5DA2"/>
    <w:rsid w:val="00AB6631"/>
    <w:rsid w:val="00AB6F90"/>
    <w:rsid w:val="00AB6FBE"/>
    <w:rsid w:val="00AB73FB"/>
    <w:rsid w:val="00AC04AC"/>
    <w:rsid w:val="00AC0520"/>
    <w:rsid w:val="00AC06BA"/>
    <w:rsid w:val="00AC28E3"/>
    <w:rsid w:val="00AC3A5D"/>
    <w:rsid w:val="00AC3C45"/>
    <w:rsid w:val="00AC54A6"/>
    <w:rsid w:val="00AC5AA5"/>
    <w:rsid w:val="00AC612D"/>
    <w:rsid w:val="00AC61C3"/>
    <w:rsid w:val="00AC6696"/>
    <w:rsid w:val="00AC691A"/>
    <w:rsid w:val="00AC787B"/>
    <w:rsid w:val="00AD0E77"/>
    <w:rsid w:val="00AD334F"/>
    <w:rsid w:val="00AD3716"/>
    <w:rsid w:val="00AD4ECC"/>
    <w:rsid w:val="00AD552B"/>
    <w:rsid w:val="00AD61C9"/>
    <w:rsid w:val="00AD646F"/>
    <w:rsid w:val="00AD6FB6"/>
    <w:rsid w:val="00AE0D8D"/>
    <w:rsid w:val="00AE14EA"/>
    <w:rsid w:val="00AE175D"/>
    <w:rsid w:val="00AE1E26"/>
    <w:rsid w:val="00AE2133"/>
    <w:rsid w:val="00AE4B4D"/>
    <w:rsid w:val="00AE613C"/>
    <w:rsid w:val="00AE6649"/>
    <w:rsid w:val="00AE709B"/>
    <w:rsid w:val="00AE7CF9"/>
    <w:rsid w:val="00AE7F44"/>
    <w:rsid w:val="00AF01E4"/>
    <w:rsid w:val="00AF031F"/>
    <w:rsid w:val="00AF11A8"/>
    <w:rsid w:val="00AF3BC5"/>
    <w:rsid w:val="00AF4005"/>
    <w:rsid w:val="00AF6F09"/>
    <w:rsid w:val="00B002FB"/>
    <w:rsid w:val="00B00374"/>
    <w:rsid w:val="00B00912"/>
    <w:rsid w:val="00B014D9"/>
    <w:rsid w:val="00B016BA"/>
    <w:rsid w:val="00B02594"/>
    <w:rsid w:val="00B02B40"/>
    <w:rsid w:val="00B04BA8"/>
    <w:rsid w:val="00B07AB8"/>
    <w:rsid w:val="00B07F1F"/>
    <w:rsid w:val="00B105D2"/>
    <w:rsid w:val="00B11889"/>
    <w:rsid w:val="00B1192D"/>
    <w:rsid w:val="00B137FC"/>
    <w:rsid w:val="00B13ED2"/>
    <w:rsid w:val="00B14CDA"/>
    <w:rsid w:val="00B151A4"/>
    <w:rsid w:val="00B1532C"/>
    <w:rsid w:val="00B15F99"/>
    <w:rsid w:val="00B16785"/>
    <w:rsid w:val="00B201BB"/>
    <w:rsid w:val="00B20F3B"/>
    <w:rsid w:val="00B211EB"/>
    <w:rsid w:val="00B21D8E"/>
    <w:rsid w:val="00B23A42"/>
    <w:rsid w:val="00B262CB"/>
    <w:rsid w:val="00B269C9"/>
    <w:rsid w:val="00B269F0"/>
    <w:rsid w:val="00B27825"/>
    <w:rsid w:val="00B329DC"/>
    <w:rsid w:val="00B32A7C"/>
    <w:rsid w:val="00B33B6A"/>
    <w:rsid w:val="00B343AD"/>
    <w:rsid w:val="00B34A6D"/>
    <w:rsid w:val="00B34CAA"/>
    <w:rsid w:val="00B34DE6"/>
    <w:rsid w:val="00B34F07"/>
    <w:rsid w:val="00B3515B"/>
    <w:rsid w:val="00B35551"/>
    <w:rsid w:val="00B35B32"/>
    <w:rsid w:val="00B368DC"/>
    <w:rsid w:val="00B3704A"/>
    <w:rsid w:val="00B377DA"/>
    <w:rsid w:val="00B378EB"/>
    <w:rsid w:val="00B40D47"/>
    <w:rsid w:val="00B40DB4"/>
    <w:rsid w:val="00B42193"/>
    <w:rsid w:val="00B4226C"/>
    <w:rsid w:val="00B4258C"/>
    <w:rsid w:val="00B42B22"/>
    <w:rsid w:val="00B43505"/>
    <w:rsid w:val="00B43876"/>
    <w:rsid w:val="00B44771"/>
    <w:rsid w:val="00B46C06"/>
    <w:rsid w:val="00B50122"/>
    <w:rsid w:val="00B50691"/>
    <w:rsid w:val="00B50AF9"/>
    <w:rsid w:val="00B50C96"/>
    <w:rsid w:val="00B5190E"/>
    <w:rsid w:val="00B5604D"/>
    <w:rsid w:val="00B57C94"/>
    <w:rsid w:val="00B60B03"/>
    <w:rsid w:val="00B6137E"/>
    <w:rsid w:val="00B61527"/>
    <w:rsid w:val="00B6177F"/>
    <w:rsid w:val="00B61C11"/>
    <w:rsid w:val="00B61DC9"/>
    <w:rsid w:val="00B638E3"/>
    <w:rsid w:val="00B6390A"/>
    <w:rsid w:val="00B6431E"/>
    <w:rsid w:val="00B656BD"/>
    <w:rsid w:val="00B656E1"/>
    <w:rsid w:val="00B6792E"/>
    <w:rsid w:val="00B67CAC"/>
    <w:rsid w:val="00B707E7"/>
    <w:rsid w:val="00B71AA2"/>
    <w:rsid w:val="00B75980"/>
    <w:rsid w:val="00B75BAC"/>
    <w:rsid w:val="00B75D4A"/>
    <w:rsid w:val="00B76D91"/>
    <w:rsid w:val="00B7748E"/>
    <w:rsid w:val="00B8038A"/>
    <w:rsid w:val="00B80DFA"/>
    <w:rsid w:val="00B81572"/>
    <w:rsid w:val="00B816C2"/>
    <w:rsid w:val="00B81B57"/>
    <w:rsid w:val="00B8282F"/>
    <w:rsid w:val="00B83836"/>
    <w:rsid w:val="00B84510"/>
    <w:rsid w:val="00B851A5"/>
    <w:rsid w:val="00B86A78"/>
    <w:rsid w:val="00B86ADA"/>
    <w:rsid w:val="00B86F5F"/>
    <w:rsid w:val="00B87734"/>
    <w:rsid w:val="00B8791B"/>
    <w:rsid w:val="00B9026C"/>
    <w:rsid w:val="00B90E6D"/>
    <w:rsid w:val="00B91E80"/>
    <w:rsid w:val="00B9217D"/>
    <w:rsid w:val="00B92812"/>
    <w:rsid w:val="00B9333E"/>
    <w:rsid w:val="00B93E53"/>
    <w:rsid w:val="00B94693"/>
    <w:rsid w:val="00B955AD"/>
    <w:rsid w:val="00B95A6E"/>
    <w:rsid w:val="00B9660F"/>
    <w:rsid w:val="00B9766E"/>
    <w:rsid w:val="00BA00D6"/>
    <w:rsid w:val="00BA057B"/>
    <w:rsid w:val="00BA165B"/>
    <w:rsid w:val="00BA33E7"/>
    <w:rsid w:val="00BA3925"/>
    <w:rsid w:val="00BA66FC"/>
    <w:rsid w:val="00BA70FC"/>
    <w:rsid w:val="00BB0726"/>
    <w:rsid w:val="00BB0817"/>
    <w:rsid w:val="00BB0B84"/>
    <w:rsid w:val="00BB0EE6"/>
    <w:rsid w:val="00BB1FF4"/>
    <w:rsid w:val="00BB1FFB"/>
    <w:rsid w:val="00BB2713"/>
    <w:rsid w:val="00BB2A40"/>
    <w:rsid w:val="00BB2A59"/>
    <w:rsid w:val="00BB308C"/>
    <w:rsid w:val="00BB59EA"/>
    <w:rsid w:val="00BB6F9D"/>
    <w:rsid w:val="00BB72E1"/>
    <w:rsid w:val="00BC0536"/>
    <w:rsid w:val="00BC06F5"/>
    <w:rsid w:val="00BC1F6C"/>
    <w:rsid w:val="00BC5B98"/>
    <w:rsid w:val="00BC75CC"/>
    <w:rsid w:val="00BD3158"/>
    <w:rsid w:val="00BD31FE"/>
    <w:rsid w:val="00BD3318"/>
    <w:rsid w:val="00BD3A3C"/>
    <w:rsid w:val="00BD4CD8"/>
    <w:rsid w:val="00BD5FA9"/>
    <w:rsid w:val="00BD686B"/>
    <w:rsid w:val="00BD691D"/>
    <w:rsid w:val="00BD736B"/>
    <w:rsid w:val="00BE014A"/>
    <w:rsid w:val="00BE02FE"/>
    <w:rsid w:val="00BE0B37"/>
    <w:rsid w:val="00BE0DEB"/>
    <w:rsid w:val="00BE15DB"/>
    <w:rsid w:val="00BE2F9D"/>
    <w:rsid w:val="00BE3130"/>
    <w:rsid w:val="00BE41E3"/>
    <w:rsid w:val="00BE4BA6"/>
    <w:rsid w:val="00BE6A23"/>
    <w:rsid w:val="00BE6A90"/>
    <w:rsid w:val="00BE6C54"/>
    <w:rsid w:val="00BE72B2"/>
    <w:rsid w:val="00BE73E3"/>
    <w:rsid w:val="00BE7478"/>
    <w:rsid w:val="00BE797F"/>
    <w:rsid w:val="00BF064A"/>
    <w:rsid w:val="00BF2EC3"/>
    <w:rsid w:val="00BF3C70"/>
    <w:rsid w:val="00BF5EA4"/>
    <w:rsid w:val="00BF66B7"/>
    <w:rsid w:val="00BF6799"/>
    <w:rsid w:val="00BF6ED1"/>
    <w:rsid w:val="00BF7773"/>
    <w:rsid w:val="00C01354"/>
    <w:rsid w:val="00C01B6A"/>
    <w:rsid w:val="00C026C6"/>
    <w:rsid w:val="00C02B19"/>
    <w:rsid w:val="00C038E3"/>
    <w:rsid w:val="00C03E86"/>
    <w:rsid w:val="00C042EE"/>
    <w:rsid w:val="00C04661"/>
    <w:rsid w:val="00C04BE0"/>
    <w:rsid w:val="00C052E9"/>
    <w:rsid w:val="00C05765"/>
    <w:rsid w:val="00C05D26"/>
    <w:rsid w:val="00C06576"/>
    <w:rsid w:val="00C065BF"/>
    <w:rsid w:val="00C0670B"/>
    <w:rsid w:val="00C076FC"/>
    <w:rsid w:val="00C113FE"/>
    <w:rsid w:val="00C1208C"/>
    <w:rsid w:val="00C1446F"/>
    <w:rsid w:val="00C1449C"/>
    <w:rsid w:val="00C1452C"/>
    <w:rsid w:val="00C150B4"/>
    <w:rsid w:val="00C1596D"/>
    <w:rsid w:val="00C15C9B"/>
    <w:rsid w:val="00C16037"/>
    <w:rsid w:val="00C17173"/>
    <w:rsid w:val="00C204D6"/>
    <w:rsid w:val="00C20851"/>
    <w:rsid w:val="00C21734"/>
    <w:rsid w:val="00C247C3"/>
    <w:rsid w:val="00C25399"/>
    <w:rsid w:val="00C25485"/>
    <w:rsid w:val="00C26235"/>
    <w:rsid w:val="00C274BB"/>
    <w:rsid w:val="00C27FBE"/>
    <w:rsid w:val="00C308CD"/>
    <w:rsid w:val="00C3097C"/>
    <w:rsid w:val="00C30AED"/>
    <w:rsid w:val="00C32E71"/>
    <w:rsid w:val="00C33C0F"/>
    <w:rsid w:val="00C33F66"/>
    <w:rsid w:val="00C34EF6"/>
    <w:rsid w:val="00C3518A"/>
    <w:rsid w:val="00C362FC"/>
    <w:rsid w:val="00C3634D"/>
    <w:rsid w:val="00C369D2"/>
    <w:rsid w:val="00C37AFA"/>
    <w:rsid w:val="00C40530"/>
    <w:rsid w:val="00C42015"/>
    <w:rsid w:val="00C42E10"/>
    <w:rsid w:val="00C43BEE"/>
    <w:rsid w:val="00C447E3"/>
    <w:rsid w:val="00C451AC"/>
    <w:rsid w:val="00C457E7"/>
    <w:rsid w:val="00C45C81"/>
    <w:rsid w:val="00C46307"/>
    <w:rsid w:val="00C46CD7"/>
    <w:rsid w:val="00C505F5"/>
    <w:rsid w:val="00C51234"/>
    <w:rsid w:val="00C51AE2"/>
    <w:rsid w:val="00C53029"/>
    <w:rsid w:val="00C53CCB"/>
    <w:rsid w:val="00C54587"/>
    <w:rsid w:val="00C54598"/>
    <w:rsid w:val="00C54DEA"/>
    <w:rsid w:val="00C55002"/>
    <w:rsid w:val="00C55CB0"/>
    <w:rsid w:val="00C55CCD"/>
    <w:rsid w:val="00C571AB"/>
    <w:rsid w:val="00C642AB"/>
    <w:rsid w:val="00C65BAB"/>
    <w:rsid w:val="00C65ECD"/>
    <w:rsid w:val="00C664F1"/>
    <w:rsid w:val="00C66B57"/>
    <w:rsid w:val="00C673F0"/>
    <w:rsid w:val="00C71C51"/>
    <w:rsid w:val="00C727BE"/>
    <w:rsid w:val="00C73F63"/>
    <w:rsid w:val="00C74AE7"/>
    <w:rsid w:val="00C74DBD"/>
    <w:rsid w:val="00C778B1"/>
    <w:rsid w:val="00C81BB5"/>
    <w:rsid w:val="00C8221F"/>
    <w:rsid w:val="00C825E8"/>
    <w:rsid w:val="00C83652"/>
    <w:rsid w:val="00C836E6"/>
    <w:rsid w:val="00C8450A"/>
    <w:rsid w:val="00C84685"/>
    <w:rsid w:val="00C846C1"/>
    <w:rsid w:val="00C84FC0"/>
    <w:rsid w:val="00C8546B"/>
    <w:rsid w:val="00C85C1B"/>
    <w:rsid w:val="00C90826"/>
    <w:rsid w:val="00C9085C"/>
    <w:rsid w:val="00C91867"/>
    <w:rsid w:val="00C91959"/>
    <w:rsid w:val="00C92B43"/>
    <w:rsid w:val="00C92C25"/>
    <w:rsid w:val="00C92C68"/>
    <w:rsid w:val="00C93512"/>
    <w:rsid w:val="00C947B1"/>
    <w:rsid w:val="00C94A94"/>
    <w:rsid w:val="00C9517D"/>
    <w:rsid w:val="00C968DD"/>
    <w:rsid w:val="00CA014D"/>
    <w:rsid w:val="00CA0215"/>
    <w:rsid w:val="00CA256A"/>
    <w:rsid w:val="00CA25C9"/>
    <w:rsid w:val="00CA2C3A"/>
    <w:rsid w:val="00CA3F1A"/>
    <w:rsid w:val="00CA4607"/>
    <w:rsid w:val="00CA51FF"/>
    <w:rsid w:val="00CA53FB"/>
    <w:rsid w:val="00CA5CB2"/>
    <w:rsid w:val="00CA6892"/>
    <w:rsid w:val="00CB2554"/>
    <w:rsid w:val="00CB2BDA"/>
    <w:rsid w:val="00CB30F1"/>
    <w:rsid w:val="00CB3637"/>
    <w:rsid w:val="00CB3A05"/>
    <w:rsid w:val="00CB4AE6"/>
    <w:rsid w:val="00CB515E"/>
    <w:rsid w:val="00CB5F8C"/>
    <w:rsid w:val="00CB64EB"/>
    <w:rsid w:val="00CB68D5"/>
    <w:rsid w:val="00CB6C47"/>
    <w:rsid w:val="00CB7154"/>
    <w:rsid w:val="00CC0BA0"/>
    <w:rsid w:val="00CC199B"/>
    <w:rsid w:val="00CC1CD2"/>
    <w:rsid w:val="00CC2828"/>
    <w:rsid w:val="00CC29DE"/>
    <w:rsid w:val="00CC346C"/>
    <w:rsid w:val="00CC37D4"/>
    <w:rsid w:val="00CC3AB4"/>
    <w:rsid w:val="00CC5C44"/>
    <w:rsid w:val="00CC5D38"/>
    <w:rsid w:val="00CC5F5B"/>
    <w:rsid w:val="00CC72A1"/>
    <w:rsid w:val="00CD01B0"/>
    <w:rsid w:val="00CD0E38"/>
    <w:rsid w:val="00CD11E3"/>
    <w:rsid w:val="00CD233C"/>
    <w:rsid w:val="00CD3820"/>
    <w:rsid w:val="00CD3E1B"/>
    <w:rsid w:val="00CD55B1"/>
    <w:rsid w:val="00CD6376"/>
    <w:rsid w:val="00CD775B"/>
    <w:rsid w:val="00CD794A"/>
    <w:rsid w:val="00CD7D26"/>
    <w:rsid w:val="00CD7EC4"/>
    <w:rsid w:val="00CE0890"/>
    <w:rsid w:val="00CE121B"/>
    <w:rsid w:val="00CE25C0"/>
    <w:rsid w:val="00CE3037"/>
    <w:rsid w:val="00CE3477"/>
    <w:rsid w:val="00CE4085"/>
    <w:rsid w:val="00CE5DE5"/>
    <w:rsid w:val="00CE6293"/>
    <w:rsid w:val="00CE6A1A"/>
    <w:rsid w:val="00CE6C6B"/>
    <w:rsid w:val="00CE6F2F"/>
    <w:rsid w:val="00CE71A3"/>
    <w:rsid w:val="00CE7994"/>
    <w:rsid w:val="00CF06DE"/>
    <w:rsid w:val="00CF1125"/>
    <w:rsid w:val="00CF1324"/>
    <w:rsid w:val="00CF14EC"/>
    <w:rsid w:val="00CF1CFE"/>
    <w:rsid w:val="00CF4093"/>
    <w:rsid w:val="00CF4973"/>
    <w:rsid w:val="00CF5232"/>
    <w:rsid w:val="00CF6A61"/>
    <w:rsid w:val="00CF6B86"/>
    <w:rsid w:val="00CF7478"/>
    <w:rsid w:val="00CF7533"/>
    <w:rsid w:val="00D00242"/>
    <w:rsid w:val="00D0034F"/>
    <w:rsid w:val="00D0232E"/>
    <w:rsid w:val="00D02443"/>
    <w:rsid w:val="00D02A8D"/>
    <w:rsid w:val="00D02C32"/>
    <w:rsid w:val="00D02CE8"/>
    <w:rsid w:val="00D04154"/>
    <w:rsid w:val="00D05529"/>
    <w:rsid w:val="00D05731"/>
    <w:rsid w:val="00D05981"/>
    <w:rsid w:val="00D05ADA"/>
    <w:rsid w:val="00D0648C"/>
    <w:rsid w:val="00D12156"/>
    <w:rsid w:val="00D126A3"/>
    <w:rsid w:val="00D13904"/>
    <w:rsid w:val="00D14229"/>
    <w:rsid w:val="00D1425A"/>
    <w:rsid w:val="00D147AB"/>
    <w:rsid w:val="00D15533"/>
    <w:rsid w:val="00D15A5D"/>
    <w:rsid w:val="00D15BDF"/>
    <w:rsid w:val="00D164E6"/>
    <w:rsid w:val="00D16736"/>
    <w:rsid w:val="00D167C7"/>
    <w:rsid w:val="00D17002"/>
    <w:rsid w:val="00D17288"/>
    <w:rsid w:val="00D173B8"/>
    <w:rsid w:val="00D23408"/>
    <w:rsid w:val="00D237E8"/>
    <w:rsid w:val="00D23B0D"/>
    <w:rsid w:val="00D23F1C"/>
    <w:rsid w:val="00D24889"/>
    <w:rsid w:val="00D25137"/>
    <w:rsid w:val="00D252BC"/>
    <w:rsid w:val="00D25415"/>
    <w:rsid w:val="00D25713"/>
    <w:rsid w:val="00D25A8A"/>
    <w:rsid w:val="00D2622D"/>
    <w:rsid w:val="00D2667F"/>
    <w:rsid w:val="00D277B5"/>
    <w:rsid w:val="00D30496"/>
    <w:rsid w:val="00D31EB7"/>
    <w:rsid w:val="00D31F73"/>
    <w:rsid w:val="00D32B1C"/>
    <w:rsid w:val="00D3312E"/>
    <w:rsid w:val="00D3332E"/>
    <w:rsid w:val="00D33A6D"/>
    <w:rsid w:val="00D343D2"/>
    <w:rsid w:val="00D3532C"/>
    <w:rsid w:val="00D35962"/>
    <w:rsid w:val="00D378CA"/>
    <w:rsid w:val="00D40262"/>
    <w:rsid w:val="00D4076A"/>
    <w:rsid w:val="00D40AF6"/>
    <w:rsid w:val="00D41B0C"/>
    <w:rsid w:val="00D4321A"/>
    <w:rsid w:val="00D43387"/>
    <w:rsid w:val="00D43C07"/>
    <w:rsid w:val="00D4537B"/>
    <w:rsid w:val="00D45784"/>
    <w:rsid w:val="00D4593D"/>
    <w:rsid w:val="00D459D0"/>
    <w:rsid w:val="00D45E9B"/>
    <w:rsid w:val="00D46F67"/>
    <w:rsid w:val="00D475E3"/>
    <w:rsid w:val="00D47D36"/>
    <w:rsid w:val="00D50A2A"/>
    <w:rsid w:val="00D50D6B"/>
    <w:rsid w:val="00D51BC5"/>
    <w:rsid w:val="00D52D0F"/>
    <w:rsid w:val="00D559FF"/>
    <w:rsid w:val="00D5648F"/>
    <w:rsid w:val="00D56C91"/>
    <w:rsid w:val="00D572D9"/>
    <w:rsid w:val="00D57EC5"/>
    <w:rsid w:val="00D616A3"/>
    <w:rsid w:val="00D62852"/>
    <w:rsid w:val="00D6611B"/>
    <w:rsid w:val="00D6621B"/>
    <w:rsid w:val="00D66901"/>
    <w:rsid w:val="00D66C28"/>
    <w:rsid w:val="00D70B20"/>
    <w:rsid w:val="00D728A9"/>
    <w:rsid w:val="00D730F3"/>
    <w:rsid w:val="00D73B7E"/>
    <w:rsid w:val="00D74236"/>
    <w:rsid w:val="00D74238"/>
    <w:rsid w:val="00D7477B"/>
    <w:rsid w:val="00D75B4E"/>
    <w:rsid w:val="00D7605C"/>
    <w:rsid w:val="00D77DCE"/>
    <w:rsid w:val="00D81905"/>
    <w:rsid w:val="00D8244F"/>
    <w:rsid w:val="00D8319A"/>
    <w:rsid w:val="00D84C62"/>
    <w:rsid w:val="00D85BC5"/>
    <w:rsid w:val="00D86EBE"/>
    <w:rsid w:val="00D90160"/>
    <w:rsid w:val="00D902EA"/>
    <w:rsid w:val="00D9190D"/>
    <w:rsid w:val="00D91DA3"/>
    <w:rsid w:val="00D92E56"/>
    <w:rsid w:val="00D9386F"/>
    <w:rsid w:val="00D96E4C"/>
    <w:rsid w:val="00D97A82"/>
    <w:rsid w:val="00DA0371"/>
    <w:rsid w:val="00DA0AC2"/>
    <w:rsid w:val="00DA2958"/>
    <w:rsid w:val="00DA2BA7"/>
    <w:rsid w:val="00DA3A97"/>
    <w:rsid w:val="00DA3B78"/>
    <w:rsid w:val="00DA49F1"/>
    <w:rsid w:val="00DA5072"/>
    <w:rsid w:val="00DA56E3"/>
    <w:rsid w:val="00DA578C"/>
    <w:rsid w:val="00DA5BE3"/>
    <w:rsid w:val="00DA653C"/>
    <w:rsid w:val="00DA7AAD"/>
    <w:rsid w:val="00DA7DEB"/>
    <w:rsid w:val="00DB015C"/>
    <w:rsid w:val="00DB0FE1"/>
    <w:rsid w:val="00DB12C3"/>
    <w:rsid w:val="00DB1601"/>
    <w:rsid w:val="00DB1BB4"/>
    <w:rsid w:val="00DB1CD9"/>
    <w:rsid w:val="00DB26BF"/>
    <w:rsid w:val="00DB2DC6"/>
    <w:rsid w:val="00DB34F5"/>
    <w:rsid w:val="00DB3A3C"/>
    <w:rsid w:val="00DB435F"/>
    <w:rsid w:val="00DB4D31"/>
    <w:rsid w:val="00DB5E47"/>
    <w:rsid w:val="00DB6696"/>
    <w:rsid w:val="00DC00C3"/>
    <w:rsid w:val="00DC038E"/>
    <w:rsid w:val="00DC2BB3"/>
    <w:rsid w:val="00DC36FC"/>
    <w:rsid w:val="00DC370B"/>
    <w:rsid w:val="00DC37CE"/>
    <w:rsid w:val="00DC637B"/>
    <w:rsid w:val="00DC7D5B"/>
    <w:rsid w:val="00DD0A6B"/>
    <w:rsid w:val="00DD1060"/>
    <w:rsid w:val="00DD1182"/>
    <w:rsid w:val="00DD11D8"/>
    <w:rsid w:val="00DD1AAF"/>
    <w:rsid w:val="00DD2DDE"/>
    <w:rsid w:val="00DD4A77"/>
    <w:rsid w:val="00DD506B"/>
    <w:rsid w:val="00DD79BE"/>
    <w:rsid w:val="00DD7D7E"/>
    <w:rsid w:val="00DE04EE"/>
    <w:rsid w:val="00DE1198"/>
    <w:rsid w:val="00DE2325"/>
    <w:rsid w:val="00DE33B1"/>
    <w:rsid w:val="00DE4328"/>
    <w:rsid w:val="00DE44C3"/>
    <w:rsid w:val="00DE4948"/>
    <w:rsid w:val="00DE59BD"/>
    <w:rsid w:val="00DE6018"/>
    <w:rsid w:val="00DE6A8E"/>
    <w:rsid w:val="00DF1A19"/>
    <w:rsid w:val="00DF20A9"/>
    <w:rsid w:val="00DF229E"/>
    <w:rsid w:val="00DF2ED4"/>
    <w:rsid w:val="00DF3B8D"/>
    <w:rsid w:val="00DF5F76"/>
    <w:rsid w:val="00DF6A64"/>
    <w:rsid w:val="00DF6C79"/>
    <w:rsid w:val="00E00E38"/>
    <w:rsid w:val="00E010D9"/>
    <w:rsid w:val="00E024A0"/>
    <w:rsid w:val="00E025C1"/>
    <w:rsid w:val="00E0356C"/>
    <w:rsid w:val="00E0462F"/>
    <w:rsid w:val="00E04839"/>
    <w:rsid w:val="00E05740"/>
    <w:rsid w:val="00E0580D"/>
    <w:rsid w:val="00E059ED"/>
    <w:rsid w:val="00E05C0C"/>
    <w:rsid w:val="00E0654A"/>
    <w:rsid w:val="00E065F1"/>
    <w:rsid w:val="00E07214"/>
    <w:rsid w:val="00E07D8C"/>
    <w:rsid w:val="00E10792"/>
    <w:rsid w:val="00E11F75"/>
    <w:rsid w:val="00E123FD"/>
    <w:rsid w:val="00E1444C"/>
    <w:rsid w:val="00E14DFB"/>
    <w:rsid w:val="00E15876"/>
    <w:rsid w:val="00E15B81"/>
    <w:rsid w:val="00E15E7A"/>
    <w:rsid w:val="00E16B1B"/>
    <w:rsid w:val="00E2032F"/>
    <w:rsid w:val="00E2110B"/>
    <w:rsid w:val="00E23B27"/>
    <w:rsid w:val="00E25AAD"/>
    <w:rsid w:val="00E26D83"/>
    <w:rsid w:val="00E27295"/>
    <w:rsid w:val="00E30685"/>
    <w:rsid w:val="00E3137C"/>
    <w:rsid w:val="00E3153F"/>
    <w:rsid w:val="00E31802"/>
    <w:rsid w:val="00E3252A"/>
    <w:rsid w:val="00E32822"/>
    <w:rsid w:val="00E32B80"/>
    <w:rsid w:val="00E33009"/>
    <w:rsid w:val="00E33665"/>
    <w:rsid w:val="00E34684"/>
    <w:rsid w:val="00E34CC2"/>
    <w:rsid w:val="00E34D5B"/>
    <w:rsid w:val="00E35B91"/>
    <w:rsid w:val="00E365BA"/>
    <w:rsid w:val="00E36E0A"/>
    <w:rsid w:val="00E37065"/>
    <w:rsid w:val="00E3768A"/>
    <w:rsid w:val="00E4081E"/>
    <w:rsid w:val="00E412BB"/>
    <w:rsid w:val="00E41F94"/>
    <w:rsid w:val="00E42D8C"/>
    <w:rsid w:val="00E42EEA"/>
    <w:rsid w:val="00E42F6F"/>
    <w:rsid w:val="00E43313"/>
    <w:rsid w:val="00E43335"/>
    <w:rsid w:val="00E44027"/>
    <w:rsid w:val="00E458CC"/>
    <w:rsid w:val="00E45BBA"/>
    <w:rsid w:val="00E45ED3"/>
    <w:rsid w:val="00E464CF"/>
    <w:rsid w:val="00E46615"/>
    <w:rsid w:val="00E46810"/>
    <w:rsid w:val="00E47186"/>
    <w:rsid w:val="00E500D2"/>
    <w:rsid w:val="00E52E03"/>
    <w:rsid w:val="00E53774"/>
    <w:rsid w:val="00E54FA9"/>
    <w:rsid w:val="00E55D21"/>
    <w:rsid w:val="00E56112"/>
    <w:rsid w:val="00E56839"/>
    <w:rsid w:val="00E568DA"/>
    <w:rsid w:val="00E5777A"/>
    <w:rsid w:val="00E60B03"/>
    <w:rsid w:val="00E60B18"/>
    <w:rsid w:val="00E61023"/>
    <w:rsid w:val="00E61CF2"/>
    <w:rsid w:val="00E63469"/>
    <w:rsid w:val="00E64012"/>
    <w:rsid w:val="00E66884"/>
    <w:rsid w:val="00E67350"/>
    <w:rsid w:val="00E71712"/>
    <w:rsid w:val="00E73030"/>
    <w:rsid w:val="00E746A8"/>
    <w:rsid w:val="00E7481D"/>
    <w:rsid w:val="00E75EB1"/>
    <w:rsid w:val="00E80417"/>
    <w:rsid w:val="00E819DB"/>
    <w:rsid w:val="00E82966"/>
    <w:rsid w:val="00E82CDE"/>
    <w:rsid w:val="00E84972"/>
    <w:rsid w:val="00E84BF9"/>
    <w:rsid w:val="00E87A9F"/>
    <w:rsid w:val="00E905E3"/>
    <w:rsid w:val="00E913FD"/>
    <w:rsid w:val="00E91928"/>
    <w:rsid w:val="00E9235D"/>
    <w:rsid w:val="00E9260D"/>
    <w:rsid w:val="00E93C48"/>
    <w:rsid w:val="00E9437B"/>
    <w:rsid w:val="00E94BC9"/>
    <w:rsid w:val="00E9517C"/>
    <w:rsid w:val="00E95525"/>
    <w:rsid w:val="00E95B1D"/>
    <w:rsid w:val="00E9699A"/>
    <w:rsid w:val="00E97346"/>
    <w:rsid w:val="00EA094F"/>
    <w:rsid w:val="00EA72E7"/>
    <w:rsid w:val="00EA7C3E"/>
    <w:rsid w:val="00EA7CF4"/>
    <w:rsid w:val="00EB2DF1"/>
    <w:rsid w:val="00EB2E56"/>
    <w:rsid w:val="00EB2FF6"/>
    <w:rsid w:val="00EB30B6"/>
    <w:rsid w:val="00EB42E5"/>
    <w:rsid w:val="00EB6DD8"/>
    <w:rsid w:val="00EB7FA0"/>
    <w:rsid w:val="00EC0BF1"/>
    <w:rsid w:val="00EC163D"/>
    <w:rsid w:val="00EC39ED"/>
    <w:rsid w:val="00EC3B1A"/>
    <w:rsid w:val="00EC49F1"/>
    <w:rsid w:val="00EC4A01"/>
    <w:rsid w:val="00EC5E12"/>
    <w:rsid w:val="00EC6429"/>
    <w:rsid w:val="00EC65F0"/>
    <w:rsid w:val="00EC6EAD"/>
    <w:rsid w:val="00EC7D1C"/>
    <w:rsid w:val="00ED1583"/>
    <w:rsid w:val="00ED256B"/>
    <w:rsid w:val="00ED2A7F"/>
    <w:rsid w:val="00ED2B1F"/>
    <w:rsid w:val="00ED3550"/>
    <w:rsid w:val="00ED3662"/>
    <w:rsid w:val="00ED3DEC"/>
    <w:rsid w:val="00ED4CAE"/>
    <w:rsid w:val="00ED5C09"/>
    <w:rsid w:val="00ED6513"/>
    <w:rsid w:val="00ED74CE"/>
    <w:rsid w:val="00EE0064"/>
    <w:rsid w:val="00EE0832"/>
    <w:rsid w:val="00EE0A32"/>
    <w:rsid w:val="00EE10B3"/>
    <w:rsid w:val="00EE1E56"/>
    <w:rsid w:val="00EE359C"/>
    <w:rsid w:val="00EE35BB"/>
    <w:rsid w:val="00EE389D"/>
    <w:rsid w:val="00EE4C6B"/>
    <w:rsid w:val="00EE5163"/>
    <w:rsid w:val="00EE54A1"/>
    <w:rsid w:val="00EE5741"/>
    <w:rsid w:val="00EE6650"/>
    <w:rsid w:val="00EF044A"/>
    <w:rsid w:val="00EF1122"/>
    <w:rsid w:val="00EF1E73"/>
    <w:rsid w:val="00EF20CF"/>
    <w:rsid w:val="00EF22C7"/>
    <w:rsid w:val="00EF23B4"/>
    <w:rsid w:val="00EF2D1E"/>
    <w:rsid w:val="00EF3336"/>
    <w:rsid w:val="00EF64E3"/>
    <w:rsid w:val="00EF7305"/>
    <w:rsid w:val="00F00698"/>
    <w:rsid w:val="00F01E3C"/>
    <w:rsid w:val="00F02CEA"/>
    <w:rsid w:val="00F0397F"/>
    <w:rsid w:val="00F05455"/>
    <w:rsid w:val="00F054F5"/>
    <w:rsid w:val="00F057E4"/>
    <w:rsid w:val="00F06196"/>
    <w:rsid w:val="00F11928"/>
    <w:rsid w:val="00F1197C"/>
    <w:rsid w:val="00F11AAA"/>
    <w:rsid w:val="00F137D1"/>
    <w:rsid w:val="00F13E9A"/>
    <w:rsid w:val="00F13F26"/>
    <w:rsid w:val="00F15352"/>
    <w:rsid w:val="00F156DE"/>
    <w:rsid w:val="00F15B4C"/>
    <w:rsid w:val="00F16017"/>
    <w:rsid w:val="00F16B60"/>
    <w:rsid w:val="00F17346"/>
    <w:rsid w:val="00F202A7"/>
    <w:rsid w:val="00F21601"/>
    <w:rsid w:val="00F23281"/>
    <w:rsid w:val="00F2457F"/>
    <w:rsid w:val="00F24640"/>
    <w:rsid w:val="00F2650F"/>
    <w:rsid w:val="00F30175"/>
    <w:rsid w:val="00F3030B"/>
    <w:rsid w:val="00F309EB"/>
    <w:rsid w:val="00F31E58"/>
    <w:rsid w:val="00F32EE7"/>
    <w:rsid w:val="00F350E7"/>
    <w:rsid w:val="00F35541"/>
    <w:rsid w:val="00F35F38"/>
    <w:rsid w:val="00F400D4"/>
    <w:rsid w:val="00F40D5E"/>
    <w:rsid w:val="00F4262F"/>
    <w:rsid w:val="00F42B20"/>
    <w:rsid w:val="00F43494"/>
    <w:rsid w:val="00F43515"/>
    <w:rsid w:val="00F446AB"/>
    <w:rsid w:val="00F45910"/>
    <w:rsid w:val="00F463FB"/>
    <w:rsid w:val="00F47B40"/>
    <w:rsid w:val="00F5037F"/>
    <w:rsid w:val="00F51DA1"/>
    <w:rsid w:val="00F525C9"/>
    <w:rsid w:val="00F528D6"/>
    <w:rsid w:val="00F52980"/>
    <w:rsid w:val="00F53E8F"/>
    <w:rsid w:val="00F56D06"/>
    <w:rsid w:val="00F56FD1"/>
    <w:rsid w:val="00F5771E"/>
    <w:rsid w:val="00F600A5"/>
    <w:rsid w:val="00F6049F"/>
    <w:rsid w:val="00F605E0"/>
    <w:rsid w:val="00F60CDA"/>
    <w:rsid w:val="00F60DBB"/>
    <w:rsid w:val="00F61504"/>
    <w:rsid w:val="00F62D01"/>
    <w:rsid w:val="00F674B3"/>
    <w:rsid w:val="00F67A7E"/>
    <w:rsid w:val="00F67D24"/>
    <w:rsid w:val="00F71B6A"/>
    <w:rsid w:val="00F71CE0"/>
    <w:rsid w:val="00F73F8C"/>
    <w:rsid w:val="00F7409F"/>
    <w:rsid w:val="00F75020"/>
    <w:rsid w:val="00F7576D"/>
    <w:rsid w:val="00F7581D"/>
    <w:rsid w:val="00F75948"/>
    <w:rsid w:val="00F76B69"/>
    <w:rsid w:val="00F76C89"/>
    <w:rsid w:val="00F77119"/>
    <w:rsid w:val="00F77336"/>
    <w:rsid w:val="00F81628"/>
    <w:rsid w:val="00F82DE1"/>
    <w:rsid w:val="00F82F0D"/>
    <w:rsid w:val="00F83677"/>
    <w:rsid w:val="00F8596A"/>
    <w:rsid w:val="00F85A0C"/>
    <w:rsid w:val="00F85EC8"/>
    <w:rsid w:val="00F870CE"/>
    <w:rsid w:val="00F8763C"/>
    <w:rsid w:val="00F9034B"/>
    <w:rsid w:val="00F905D8"/>
    <w:rsid w:val="00F90DFF"/>
    <w:rsid w:val="00F911EC"/>
    <w:rsid w:val="00F91D21"/>
    <w:rsid w:val="00F92626"/>
    <w:rsid w:val="00F930D8"/>
    <w:rsid w:val="00F93822"/>
    <w:rsid w:val="00F94E9C"/>
    <w:rsid w:val="00F95E7E"/>
    <w:rsid w:val="00F9736D"/>
    <w:rsid w:val="00F97A22"/>
    <w:rsid w:val="00FA00BF"/>
    <w:rsid w:val="00FA1FCE"/>
    <w:rsid w:val="00FA410F"/>
    <w:rsid w:val="00FA4291"/>
    <w:rsid w:val="00FA51C5"/>
    <w:rsid w:val="00FA77F2"/>
    <w:rsid w:val="00FA791C"/>
    <w:rsid w:val="00FA793B"/>
    <w:rsid w:val="00FB045D"/>
    <w:rsid w:val="00FB1B84"/>
    <w:rsid w:val="00FB1CA2"/>
    <w:rsid w:val="00FB2BCE"/>
    <w:rsid w:val="00FB3120"/>
    <w:rsid w:val="00FB42F1"/>
    <w:rsid w:val="00FB4350"/>
    <w:rsid w:val="00FB46FF"/>
    <w:rsid w:val="00FB4ADB"/>
    <w:rsid w:val="00FB5058"/>
    <w:rsid w:val="00FB5A3E"/>
    <w:rsid w:val="00FB6C0D"/>
    <w:rsid w:val="00FC04B1"/>
    <w:rsid w:val="00FC1282"/>
    <w:rsid w:val="00FC20E0"/>
    <w:rsid w:val="00FC324A"/>
    <w:rsid w:val="00FC505B"/>
    <w:rsid w:val="00FC513D"/>
    <w:rsid w:val="00FC6CCF"/>
    <w:rsid w:val="00FC6D45"/>
    <w:rsid w:val="00FC6E58"/>
    <w:rsid w:val="00FD094A"/>
    <w:rsid w:val="00FD15E8"/>
    <w:rsid w:val="00FD1619"/>
    <w:rsid w:val="00FD16E2"/>
    <w:rsid w:val="00FD2A99"/>
    <w:rsid w:val="00FD2D8C"/>
    <w:rsid w:val="00FD4F17"/>
    <w:rsid w:val="00FD52BE"/>
    <w:rsid w:val="00FD543C"/>
    <w:rsid w:val="00FD553B"/>
    <w:rsid w:val="00FD5ADF"/>
    <w:rsid w:val="00FE0D5B"/>
    <w:rsid w:val="00FE0DBE"/>
    <w:rsid w:val="00FE0EE9"/>
    <w:rsid w:val="00FE166F"/>
    <w:rsid w:val="00FE252D"/>
    <w:rsid w:val="00FE375F"/>
    <w:rsid w:val="00FE4AFF"/>
    <w:rsid w:val="00FE4D8C"/>
    <w:rsid w:val="00FE4FC1"/>
    <w:rsid w:val="00FE5DD5"/>
    <w:rsid w:val="00FE69FF"/>
    <w:rsid w:val="00FE6F81"/>
    <w:rsid w:val="00FE75B4"/>
    <w:rsid w:val="00FE7DE6"/>
    <w:rsid w:val="00FF1783"/>
    <w:rsid w:val="00FF30E7"/>
    <w:rsid w:val="00FF4C20"/>
    <w:rsid w:val="00FF4F8B"/>
    <w:rsid w:val="00FF6638"/>
    <w:rsid w:val="00FF76D5"/>
    <w:rsid w:val="00FF782A"/>
    <w:rsid w:val="00FF7F4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54638D"/>
  <w15:chartTrackingRefBased/>
  <w15:docId w15:val="{A17C3EA3-6032-4A0B-9768-EE149906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EB4"/>
  </w:style>
  <w:style w:type="paragraph" w:styleId="Heading1">
    <w:name w:val="heading 1"/>
    <w:basedOn w:val="Normal"/>
    <w:next w:val="Normal"/>
    <w:link w:val="Heading1Char"/>
    <w:uiPriority w:val="9"/>
    <w:qFormat/>
    <w:rsid w:val="00A16B23"/>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Heading2">
    <w:name w:val="heading 2"/>
    <w:basedOn w:val="Normal"/>
    <w:next w:val="Normal"/>
    <w:link w:val="Heading2Char"/>
    <w:uiPriority w:val="9"/>
    <w:unhideWhenUsed/>
    <w:qFormat/>
    <w:rsid w:val="00A16B23"/>
    <w:pPr>
      <w:keepNext/>
      <w:keepLines/>
      <w:spacing w:before="40" w:after="0"/>
      <w:outlineLvl w:val="1"/>
    </w:pPr>
    <w:rPr>
      <w:rFonts w:asciiTheme="majorHAnsi" w:eastAsiaTheme="majorEastAsia" w:hAnsiTheme="majorHAnsi" w:cstheme="majorBidi"/>
      <w:color w:val="1481AB" w:themeColor="accent1" w:themeShade="BF"/>
      <w:sz w:val="26"/>
      <w:szCs w:val="26"/>
    </w:rPr>
  </w:style>
  <w:style w:type="paragraph" w:styleId="Heading3">
    <w:name w:val="heading 3"/>
    <w:basedOn w:val="Normal"/>
    <w:next w:val="Normal"/>
    <w:link w:val="Heading3Char"/>
    <w:uiPriority w:val="9"/>
    <w:semiHidden/>
    <w:unhideWhenUsed/>
    <w:qFormat/>
    <w:rsid w:val="00A16B23"/>
    <w:pPr>
      <w:keepNext/>
      <w:keepLines/>
      <w:spacing w:before="40" w:after="0"/>
      <w:outlineLvl w:val="2"/>
    </w:pPr>
    <w:rPr>
      <w:rFonts w:asciiTheme="majorHAnsi" w:eastAsiaTheme="majorEastAsia" w:hAnsiTheme="majorHAnsi" w:cstheme="majorBidi"/>
      <w:color w:val="0D5571" w:themeColor="accent1" w:themeShade="7F"/>
      <w:sz w:val="24"/>
      <w:szCs w:val="24"/>
    </w:rPr>
  </w:style>
  <w:style w:type="paragraph" w:styleId="Heading4">
    <w:name w:val="heading 4"/>
    <w:basedOn w:val="Normal"/>
    <w:next w:val="Normal"/>
    <w:link w:val="Heading4Char"/>
    <w:uiPriority w:val="9"/>
    <w:semiHidden/>
    <w:unhideWhenUsed/>
    <w:qFormat/>
    <w:rsid w:val="00A16B23"/>
    <w:pPr>
      <w:keepNext/>
      <w:keepLines/>
      <w:spacing w:before="40" w:after="0"/>
      <w:outlineLvl w:val="3"/>
    </w:pPr>
    <w:rPr>
      <w:rFonts w:asciiTheme="majorHAnsi" w:eastAsiaTheme="majorEastAsia" w:hAnsiTheme="majorHAnsi" w:cstheme="majorBidi"/>
      <w:i/>
      <w:iCs/>
      <w:color w:val="1481A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CA53FB"/>
    <w:rPr>
      <w:color w:val="0000FF"/>
      <w:shd w:val="clear" w:color="auto" w:fill="auto"/>
    </w:rPr>
  </w:style>
  <w:style w:type="paragraph" w:customStyle="1" w:styleId="Pagedecouverture">
    <w:name w:val="Page de couverture"/>
    <w:basedOn w:val="Normal"/>
    <w:next w:val="Normal"/>
    <w:rsid w:val="00CA53FB"/>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CA5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FB"/>
  </w:style>
  <w:style w:type="paragraph" w:styleId="Footer">
    <w:name w:val="footer"/>
    <w:basedOn w:val="Normal"/>
    <w:link w:val="FooterChar"/>
    <w:uiPriority w:val="99"/>
    <w:unhideWhenUsed/>
    <w:rsid w:val="00CA5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FB"/>
  </w:style>
  <w:style w:type="paragraph" w:customStyle="1" w:styleId="Typedudocument">
    <w:name w:val="Type du document"/>
    <w:basedOn w:val="Normal"/>
    <w:next w:val="Normal"/>
    <w:link w:val="TypedudocumentChar"/>
    <w:rsid w:val="00CA53FB"/>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CA53FB"/>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rsid w:val="00CA53F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sid w:val="00CA53FB"/>
    <w:rPr>
      <w:rFonts w:ascii="Times New Roman" w:hAnsi="Times New Roman" w:cs="Times New Roman"/>
      <w:b/>
      <w:sz w:val="24"/>
    </w:rPr>
  </w:style>
  <w:style w:type="character" w:customStyle="1" w:styleId="FooterCoverPageChar">
    <w:name w:val="Footer Cover Page Char"/>
    <w:basedOn w:val="TypedudocumentChar"/>
    <w:link w:val="FooterCoverPage"/>
    <w:rsid w:val="00CA53FB"/>
    <w:rPr>
      <w:rFonts w:ascii="Times New Roman" w:hAnsi="Times New Roman" w:cs="Times New Roman"/>
      <w:b w:val="0"/>
      <w:sz w:val="24"/>
    </w:rPr>
  </w:style>
  <w:style w:type="paragraph" w:customStyle="1" w:styleId="FooterSensitivity">
    <w:name w:val="Footer Sensitivity"/>
    <w:basedOn w:val="Normal"/>
    <w:link w:val="FooterSensitivityChar"/>
    <w:rsid w:val="00CA53F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sid w:val="00CA53FB"/>
    <w:rPr>
      <w:rFonts w:ascii="Times New Roman" w:hAnsi="Times New Roman" w:cs="Times New Roman"/>
      <w:b/>
      <w:sz w:val="32"/>
    </w:rPr>
  </w:style>
  <w:style w:type="paragraph" w:customStyle="1" w:styleId="HeaderCoverPage">
    <w:name w:val="Header Cover Page"/>
    <w:basedOn w:val="Normal"/>
    <w:link w:val="HeaderCoverPageChar"/>
    <w:rsid w:val="00CA53F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sid w:val="00CA53FB"/>
    <w:rPr>
      <w:rFonts w:ascii="Times New Roman" w:hAnsi="Times New Roman" w:cs="Times New Roman"/>
      <w:b w:val="0"/>
      <w:sz w:val="24"/>
    </w:rPr>
  </w:style>
  <w:style w:type="paragraph" w:customStyle="1" w:styleId="HeaderSensitivity">
    <w:name w:val="Header Sensitivity"/>
    <w:basedOn w:val="Normal"/>
    <w:link w:val="HeaderSensitivityChar"/>
    <w:rsid w:val="00CA53F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sid w:val="00CA53FB"/>
    <w:rPr>
      <w:rFonts w:ascii="Times New Roman" w:hAnsi="Times New Roman" w:cs="Times New Roman"/>
      <w:b/>
      <w:sz w:val="32"/>
    </w:rPr>
  </w:style>
  <w:style w:type="paragraph" w:customStyle="1" w:styleId="HeaderSensitivityRight">
    <w:name w:val="Header Sensitivity Right"/>
    <w:basedOn w:val="Normal"/>
    <w:link w:val="HeaderSensitivityRightChar"/>
    <w:rsid w:val="00CA53F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sid w:val="00CA53FB"/>
    <w:rPr>
      <w:rFonts w:ascii="Times New Roman" w:hAnsi="Times New Roman" w:cs="Times New Roman"/>
      <w:b w:val="0"/>
      <w:sz w:val="28"/>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
    <w:link w:val="ListParagraphChar"/>
    <w:uiPriority w:val="34"/>
    <w:qFormat/>
    <w:rsid w:val="00CA53FB"/>
    <w:pPr>
      <w:ind w:left="720"/>
      <w:contextualSpacing/>
    </w:pPr>
  </w:style>
  <w:style w:type="table" w:styleId="TableGrid">
    <w:name w:val="Table Grid"/>
    <w:basedOn w:val="TableNormal"/>
    <w:uiPriority w:val="59"/>
    <w:rsid w:val="001A5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6B23"/>
    <w:rPr>
      <w:rFonts w:asciiTheme="majorHAnsi" w:eastAsiaTheme="majorEastAsia" w:hAnsiTheme="majorHAnsi" w:cstheme="majorBidi"/>
      <w:color w:val="1481AB" w:themeColor="accent1" w:themeShade="BF"/>
      <w:sz w:val="32"/>
      <w:szCs w:val="32"/>
    </w:rPr>
  </w:style>
  <w:style w:type="character" w:customStyle="1" w:styleId="Heading2Char">
    <w:name w:val="Heading 2 Char"/>
    <w:basedOn w:val="DefaultParagraphFont"/>
    <w:link w:val="Heading2"/>
    <w:uiPriority w:val="9"/>
    <w:rsid w:val="00A16B23"/>
    <w:rPr>
      <w:rFonts w:asciiTheme="majorHAnsi" w:eastAsiaTheme="majorEastAsia" w:hAnsiTheme="majorHAnsi" w:cstheme="majorBidi"/>
      <w:color w:val="1481AB" w:themeColor="accent1" w:themeShade="BF"/>
      <w:sz w:val="26"/>
      <w:szCs w:val="26"/>
    </w:rPr>
  </w:style>
  <w:style w:type="character" w:customStyle="1" w:styleId="Heading3Char">
    <w:name w:val="Heading 3 Char"/>
    <w:basedOn w:val="DefaultParagraphFont"/>
    <w:link w:val="Heading3"/>
    <w:uiPriority w:val="9"/>
    <w:semiHidden/>
    <w:rsid w:val="00A16B23"/>
    <w:rPr>
      <w:rFonts w:asciiTheme="majorHAnsi" w:eastAsiaTheme="majorEastAsia" w:hAnsiTheme="majorHAnsi" w:cstheme="majorBidi"/>
      <w:color w:val="0D5571" w:themeColor="accent1" w:themeShade="7F"/>
      <w:sz w:val="24"/>
      <w:szCs w:val="24"/>
    </w:rPr>
  </w:style>
  <w:style w:type="character" w:customStyle="1" w:styleId="Heading4Char">
    <w:name w:val="Heading 4 Char"/>
    <w:basedOn w:val="DefaultParagraphFont"/>
    <w:link w:val="Heading4"/>
    <w:uiPriority w:val="9"/>
    <w:semiHidden/>
    <w:rsid w:val="00A16B23"/>
    <w:rPr>
      <w:rFonts w:asciiTheme="majorHAnsi" w:eastAsiaTheme="majorEastAsia" w:hAnsiTheme="majorHAnsi" w:cstheme="majorBidi"/>
      <w:i/>
      <w:iCs/>
      <w:color w:val="1481AB" w:themeColor="accent1" w:themeShade="BF"/>
    </w:rPr>
  </w:style>
  <w:style w:type="paragraph" w:styleId="BalloonText">
    <w:name w:val="Balloon Text"/>
    <w:basedOn w:val="Normal"/>
    <w:link w:val="BalloonTextChar"/>
    <w:uiPriority w:val="99"/>
    <w:semiHidden/>
    <w:unhideWhenUsed/>
    <w:rsid w:val="00F67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A7E"/>
    <w:rPr>
      <w:rFonts w:ascii="Segoe UI" w:hAnsi="Segoe UI" w:cs="Segoe UI"/>
      <w:sz w:val="18"/>
      <w:szCs w:val="18"/>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sid w:val="007F3501"/>
  </w:style>
  <w:style w:type="paragraph" w:styleId="NormalWeb">
    <w:name w:val="Normal (Web)"/>
    <w:basedOn w:val="Normal"/>
    <w:uiPriority w:val="99"/>
    <w:unhideWhenUsed/>
    <w:rsid w:val="00993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55002"/>
    <w:rPr>
      <w:sz w:val="16"/>
      <w:szCs w:val="16"/>
    </w:rPr>
  </w:style>
  <w:style w:type="paragraph" w:styleId="CommentText">
    <w:name w:val="annotation text"/>
    <w:basedOn w:val="Normal"/>
    <w:link w:val="CommentTextChar"/>
    <w:uiPriority w:val="99"/>
    <w:unhideWhenUsed/>
    <w:rsid w:val="00F13E9A"/>
    <w:pPr>
      <w:spacing w:line="240" w:lineRule="auto"/>
    </w:pPr>
    <w:rPr>
      <w:sz w:val="20"/>
      <w:szCs w:val="20"/>
    </w:rPr>
  </w:style>
  <w:style w:type="character" w:customStyle="1" w:styleId="CommentTextChar">
    <w:name w:val="Comment Text Char"/>
    <w:basedOn w:val="DefaultParagraphFont"/>
    <w:link w:val="CommentText"/>
    <w:uiPriority w:val="99"/>
    <w:rsid w:val="00C55002"/>
    <w:rPr>
      <w:sz w:val="20"/>
      <w:szCs w:val="20"/>
    </w:rPr>
  </w:style>
  <w:style w:type="paragraph" w:styleId="CommentSubject">
    <w:name w:val="annotation subject"/>
    <w:basedOn w:val="CommentText"/>
    <w:next w:val="CommentText"/>
    <w:link w:val="CommentSubjectChar"/>
    <w:uiPriority w:val="99"/>
    <w:semiHidden/>
    <w:unhideWhenUsed/>
    <w:rsid w:val="007140C8"/>
    <w:rPr>
      <w:b/>
      <w:bCs/>
    </w:rPr>
  </w:style>
  <w:style w:type="character" w:customStyle="1" w:styleId="CommentSubjectChar">
    <w:name w:val="Comment Subject Char"/>
    <w:basedOn w:val="CommentTextChar"/>
    <w:link w:val="CommentSubject"/>
    <w:uiPriority w:val="99"/>
    <w:semiHidden/>
    <w:rsid w:val="007140C8"/>
    <w:rPr>
      <w:b/>
      <w:bCs/>
      <w:sz w:val="20"/>
      <w:szCs w:val="20"/>
    </w:rPr>
  </w:style>
  <w:style w:type="character" w:styleId="Strong">
    <w:name w:val="Strong"/>
    <w:basedOn w:val="DefaultParagraphFont"/>
    <w:uiPriority w:val="22"/>
    <w:qFormat/>
    <w:rsid w:val="00A466BE"/>
    <w:rPr>
      <w:b/>
      <w:bCs/>
    </w:rPr>
  </w:style>
  <w:style w:type="paragraph" w:styleId="FootnoteText">
    <w:name w:val="footnote text"/>
    <w:basedOn w:val="Normal"/>
    <w:link w:val="FootnoteTextChar"/>
    <w:uiPriority w:val="99"/>
    <w:semiHidden/>
    <w:unhideWhenUsed/>
    <w:rsid w:val="00553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11D"/>
    <w:rPr>
      <w:sz w:val="20"/>
      <w:szCs w:val="20"/>
    </w:rPr>
  </w:style>
  <w:style w:type="character" w:styleId="FootnoteReference">
    <w:name w:val="footnote reference"/>
    <w:aliases w:val="Footnote Reference Superscript,BVI fnr,(Footnote Reference),Footnote symbol,SUPERS,Odwolanie przypisu,Odwołanie przypisu,Footnote,Voetnootverwijzing,Times 10 Point,Exposant 3 Point,Footnote reference number,note TESI,BVI fn,fr,Ref"/>
    <w:basedOn w:val="DefaultParagraphFont"/>
    <w:uiPriority w:val="99"/>
    <w:semiHidden/>
    <w:unhideWhenUsed/>
    <w:qFormat/>
    <w:rsid w:val="0055311D"/>
    <w:rPr>
      <w:vertAlign w:val="superscript"/>
    </w:rPr>
  </w:style>
  <w:style w:type="character" w:customStyle="1" w:styleId="normaltextrun">
    <w:name w:val="normaltextrun"/>
    <w:basedOn w:val="DefaultParagraphFont"/>
    <w:rsid w:val="00774D65"/>
  </w:style>
  <w:style w:type="paragraph" w:customStyle="1" w:styleId="Default">
    <w:name w:val="Default"/>
    <w:basedOn w:val="Normal"/>
    <w:rsid w:val="0065105B"/>
    <w:pPr>
      <w:autoSpaceDE w:val="0"/>
      <w:autoSpaceDN w:val="0"/>
      <w:spacing w:after="0" w:line="240" w:lineRule="auto"/>
    </w:pPr>
    <w:rPr>
      <w:rFonts w:ascii="Calibri" w:hAnsi="Calibri" w:cs="Calibri"/>
      <w:color w:val="000000"/>
      <w:sz w:val="24"/>
      <w:szCs w:val="24"/>
      <w:lang w:eastAsia="en-GB"/>
    </w:rPr>
  </w:style>
  <w:style w:type="paragraph" w:styleId="TOCHeading">
    <w:name w:val="TOC Heading"/>
    <w:basedOn w:val="Heading1"/>
    <w:next w:val="Normal"/>
    <w:uiPriority w:val="39"/>
    <w:unhideWhenUsed/>
    <w:qFormat/>
    <w:rsid w:val="001536F0"/>
    <w:pPr>
      <w:spacing w:line="259" w:lineRule="auto"/>
      <w:outlineLvl w:val="9"/>
    </w:pPr>
  </w:style>
  <w:style w:type="paragraph" w:styleId="TOC1">
    <w:name w:val="toc 1"/>
    <w:basedOn w:val="Normal"/>
    <w:next w:val="Normal"/>
    <w:autoRedefine/>
    <w:uiPriority w:val="39"/>
    <w:unhideWhenUsed/>
    <w:rsid w:val="001536F0"/>
    <w:pPr>
      <w:spacing w:after="100"/>
    </w:pPr>
  </w:style>
  <w:style w:type="character" w:styleId="Hyperlink">
    <w:name w:val="Hyperlink"/>
    <w:basedOn w:val="DefaultParagraphFont"/>
    <w:uiPriority w:val="99"/>
    <w:unhideWhenUsed/>
    <w:rsid w:val="001536F0"/>
    <w:rPr>
      <w:color w:val="6EAC1C" w:themeColor="hyperlink"/>
      <w:u w:val="single"/>
    </w:rPr>
  </w:style>
  <w:style w:type="character" w:styleId="FollowedHyperlink">
    <w:name w:val="FollowedHyperlink"/>
    <w:basedOn w:val="DefaultParagraphFont"/>
    <w:uiPriority w:val="99"/>
    <w:semiHidden/>
    <w:unhideWhenUsed/>
    <w:rsid w:val="004F210C"/>
    <w:rPr>
      <w:color w:val="B26B02" w:themeColor="followedHyperlink"/>
      <w:u w:val="single"/>
    </w:rPr>
  </w:style>
  <w:style w:type="character" w:customStyle="1" w:styleId="hgkelc">
    <w:name w:val="hgkelc"/>
    <w:basedOn w:val="DefaultParagraphFont"/>
    <w:rsid w:val="008B5C1C"/>
  </w:style>
  <w:style w:type="character" w:customStyle="1" w:styleId="Briefinglist1Char">
    <w:name w:val="Briefing list 1 Char"/>
    <w:link w:val="Briefinglist1"/>
    <w:qFormat/>
    <w:locked/>
    <w:rsid w:val="00166BF2"/>
    <w:rPr>
      <w:rFonts w:ascii="Arial" w:hAnsi="Arial" w:cs="Arial"/>
      <w:szCs w:val="24"/>
    </w:rPr>
  </w:style>
  <w:style w:type="paragraph" w:customStyle="1" w:styleId="Briefinglist1">
    <w:name w:val="Briefing list 1"/>
    <w:basedOn w:val="Normal"/>
    <w:link w:val="Briefinglist1Char"/>
    <w:qFormat/>
    <w:rsid w:val="00166BF2"/>
    <w:pPr>
      <w:keepLines/>
      <w:spacing w:after="120" w:line="240" w:lineRule="auto"/>
      <w:jc w:val="both"/>
    </w:pPr>
    <w:rPr>
      <w:rFonts w:ascii="Arial" w:hAnsi="Arial" w:cs="Arial"/>
      <w:szCs w:val="24"/>
    </w:rPr>
  </w:style>
  <w:style w:type="paragraph" w:customStyle="1" w:styleId="title-bold">
    <w:name w:val="title-bold"/>
    <w:basedOn w:val="Normal"/>
    <w:rsid w:val="00027B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reference0">
    <w:name w:val="footnotereference"/>
    <w:basedOn w:val="DefaultParagraphFont"/>
    <w:rsid w:val="00407F5E"/>
  </w:style>
  <w:style w:type="character" w:styleId="Emphasis">
    <w:name w:val="Emphasis"/>
    <w:basedOn w:val="DefaultParagraphFont"/>
    <w:uiPriority w:val="20"/>
    <w:qFormat/>
    <w:rsid w:val="00417C5C"/>
    <w:rPr>
      <w:i/>
      <w:iCs/>
    </w:rPr>
  </w:style>
  <w:style w:type="paragraph" w:customStyle="1" w:styleId="paragraph">
    <w:name w:val="paragraph"/>
    <w:basedOn w:val="Normal"/>
    <w:rsid w:val="00D167C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DefaultParagraphFont"/>
    <w:rsid w:val="00D167C7"/>
  </w:style>
  <w:style w:type="paragraph" w:styleId="Revision">
    <w:name w:val="Revision"/>
    <w:hidden/>
    <w:uiPriority w:val="99"/>
    <w:semiHidden/>
    <w:rsid w:val="00F13E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6822">
      <w:bodyDiv w:val="1"/>
      <w:marLeft w:val="0"/>
      <w:marRight w:val="0"/>
      <w:marTop w:val="0"/>
      <w:marBottom w:val="0"/>
      <w:divBdr>
        <w:top w:val="none" w:sz="0" w:space="0" w:color="auto"/>
        <w:left w:val="none" w:sz="0" w:space="0" w:color="auto"/>
        <w:bottom w:val="none" w:sz="0" w:space="0" w:color="auto"/>
        <w:right w:val="none" w:sz="0" w:space="0" w:color="auto"/>
      </w:divBdr>
      <w:divsChild>
        <w:div w:id="8801446">
          <w:marLeft w:val="360"/>
          <w:marRight w:val="0"/>
          <w:marTop w:val="0"/>
          <w:marBottom w:val="240"/>
          <w:divBdr>
            <w:top w:val="none" w:sz="0" w:space="0" w:color="auto"/>
            <w:left w:val="none" w:sz="0" w:space="0" w:color="auto"/>
            <w:bottom w:val="none" w:sz="0" w:space="0" w:color="auto"/>
            <w:right w:val="none" w:sz="0" w:space="0" w:color="auto"/>
          </w:divBdr>
        </w:div>
        <w:div w:id="934942709">
          <w:marLeft w:val="1080"/>
          <w:marRight w:val="0"/>
          <w:marTop w:val="100"/>
          <w:marBottom w:val="240"/>
          <w:divBdr>
            <w:top w:val="none" w:sz="0" w:space="0" w:color="auto"/>
            <w:left w:val="none" w:sz="0" w:space="0" w:color="auto"/>
            <w:bottom w:val="none" w:sz="0" w:space="0" w:color="auto"/>
            <w:right w:val="none" w:sz="0" w:space="0" w:color="auto"/>
          </w:divBdr>
        </w:div>
        <w:div w:id="1021935356">
          <w:marLeft w:val="360"/>
          <w:marRight w:val="0"/>
          <w:marTop w:val="0"/>
          <w:marBottom w:val="0"/>
          <w:divBdr>
            <w:top w:val="none" w:sz="0" w:space="0" w:color="auto"/>
            <w:left w:val="none" w:sz="0" w:space="0" w:color="auto"/>
            <w:bottom w:val="none" w:sz="0" w:space="0" w:color="auto"/>
            <w:right w:val="none" w:sz="0" w:space="0" w:color="auto"/>
          </w:divBdr>
        </w:div>
        <w:div w:id="1130392571">
          <w:marLeft w:val="1080"/>
          <w:marRight w:val="0"/>
          <w:marTop w:val="0"/>
          <w:marBottom w:val="0"/>
          <w:divBdr>
            <w:top w:val="none" w:sz="0" w:space="0" w:color="auto"/>
            <w:left w:val="none" w:sz="0" w:space="0" w:color="auto"/>
            <w:bottom w:val="none" w:sz="0" w:space="0" w:color="auto"/>
            <w:right w:val="none" w:sz="0" w:space="0" w:color="auto"/>
          </w:divBdr>
        </w:div>
        <w:div w:id="1153373883">
          <w:marLeft w:val="1080"/>
          <w:marRight w:val="0"/>
          <w:marTop w:val="100"/>
          <w:marBottom w:val="0"/>
          <w:divBdr>
            <w:top w:val="none" w:sz="0" w:space="0" w:color="auto"/>
            <w:left w:val="none" w:sz="0" w:space="0" w:color="auto"/>
            <w:bottom w:val="none" w:sz="0" w:space="0" w:color="auto"/>
            <w:right w:val="none" w:sz="0" w:space="0" w:color="auto"/>
          </w:divBdr>
        </w:div>
        <w:div w:id="1179582619">
          <w:marLeft w:val="360"/>
          <w:marRight w:val="0"/>
          <w:marTop w:val="0"/>
          <w:marBottom w:val="240"/>
          <w:divBdr>
            <w:top w:val="none" w:sz="0" w:space="0" w:color="auto"/>
            <w:left w:val="none" w:sz="0" w:space="0" w:color="auto"/>
            <w:bottom w:val="none" w:sz="0" w:space="0" w:color="auto"/>
            <w:right w:val="none" w:sz="0" w:space="0" w:color="auto"/>
          </w:divBdr>
        </w:div>
        <w:div w:id="1496527560">
          <w:marLeft w:val="1080"/>
          <w:marRight w:val="0"/>
          <w:marTop w:val="0"/>
          <w:marBottom w:val="240"/>
          <w:divBdr>
            <w:top w:val="none" w:sz="0" w:space="0" w:color="auto"/>
            <w:left w:val="none" w:sz="0" w:space="0" w:color="auto"/>
            <w:bottom w:val="none" w:sz="0" w:space="0" w:color="auto"/>
            <w:right w:val="none" w:sz="0" w:space="0" w:color="auto"/>
          </w:divBdr>
        </w:div>
        <w:div w:id="2073768806">
          <w:marLeft w:val="360"/>
          <w:marRight w:val="0"/>
          <w:marTop w:val="0"/>
          <w:marBottom w:val="0"/>
          <w:divBdr>
            <w:top w:val="none" w:sz="0" w:space="0" w:color="auto"/>
            <w:left w:val="none" w:sz="0" w:space="0" w:color="auto"/>
            <w:bottom w:val="none" w:sz="0" w:space="0" w:color="auto"/>
            <w:right w:val="none" w:sz="0" w:space="0" w:color="auto"/>
          </w:divBdr>
        </w:div>
        <w:div w:id="2140538099">
          <w:marLeft w:val="360"/>
          <w:marRight w:val="0"/>
          <w:marTop w:val="0"/>
          <w:marBottom w:val="0"/>
          <w:divBdr>
            <w:top w:val="none" w:sz="0" w:space="0" w:color="auto"/>
            <w:left w:val="none" w:sz="0" w:space="0" w:color="auto"/>
            <w:bottom w:val="none" w:sz="0" w:space="0" w:color="auto"/>
            <w:right w:val="none" w:sz="0" w:space="0" w:color="auto"/>
          </w:divBdr>
        </w:div>
      </w:divsChild>
    </w:div>
    <w:div w:id="54395657">
      <w:bodyDiv w:val="1"/>
      <w:marLeft w:val="0"/>
      <w:marRight w:val="0"/>
      <w:marTop w:val="0"/>
      <w:marBottom w:val="0"/>
      <w:divBdr>
        <w:top w:val="none" w:sz="0" w:space="0" w:color="auto"/>
        <w:left w:val="none" w:sz="0" w:space="0" w:color="auto"/>
        <w:bottom w:val="none" w:sz="0" w:space="0" w:color="auto"/>
        <w:right w:val="none" w:sz="0" w:space="0" w:color="auto"/>
      </w:divBdr>
    </w:div>
    <w:div w:id="55712209">
      <w:bodyDiv w:val="1"/>
      <w:marLeft w:val="0"/>
      <w:marRight w:val="0"/>
      <w:marTop w:val="0"/>
      <w:marBottom w:val="0"/>
      <w:divBdr>
        <w:top w:val="none" w:sz="0" w:space="0" w:color="auto"/>
        <w:left w:val="none" w:sz="0" w:space="0" w:color="auto"/>
        <w:bottom w:val="none" w:sz="0" w:space="0" w:color="auto"/>
        <w:right w:val="none" w:sz="0" w:space="0" w:color="auto"/>
      </w:divBdr>
    </w:div>
    <w:div w:id="154222947">
      <w:bodyDiv w:val="1"/>
      <w:marLeft w:val="0"/>
      <w:marRight w:val="0"/>
      <w:marTop w:val="0"/>
      <w:marBottom w:val="0"/>
      <w:divBdr>
        <w:top w:val="none" w:sz="0" w:space="0" w:color="auto"/>
        <w:left w:val="none" w:sz="0" w:space="0" w:color="auto"/>
        <w:bottom w:val="none" w:sz="0" w:space="0" w:color="auto"/>
        <w:right w:val="none" w:sz="0" w:space="0" w:color="auto"/>
      </w:divBdr>
    </w:div>
    <w:div w:id="172574190">
      <w:bodyDiv w:val="1"/>
      <w:marLeft w:val="0"/>
      <w:marRight w:val="0"/>
      <w:marTop w:val="0"/>
      <w:marBottom w:val="0"/>
      <w:divBdr>
        <w:top w:val="none" w:sz="0" w:space="0" w:color="auto"/>
        <w:left w:val="none" w:sz="0" w:space="0" w:color="auto"/>
        <w:bottom w:val="none" w:sz="0" w:space="0" w:color="auto"/>
        <w:right w:val="none" w:sz="0" w:space="0" w:color="auto"/>
      </w:divBdr>
    </w:div>
    <w:div w:id="203102469">
      <w:bodyDiv w:val="1"/>
      <w:marLeft w:val="0"/>
      <w:marRight w:val="0"/>
      <w:marTop w:val="0"/>
      <w:marBottom w:val="0"/>
      <w:divBdr>
        <w:top w:val="none" w:sz="0" w:space="0" w:color="auto"/>
        <w:left w:val="none" w:sz="0" w:space="0" w:color="auto"/>
        <w:bottom w:val="none" w:sz="0" w:space="0" w:color="auto"/>
        <w:right w:val="none" w:sz="0" w:space="0" w:color="auto"/>
      </w:divBdr>
    </w:div>
    <w:div w:id="206575202">
      <w:bodyDiv w:val="1"/>
      <w:marLeft w:val="0"/>
      <w:marRight w:val="0"/>
      <w:marTop w:val="0"/>
      <w:marBottom w:val="0"/>
      <w:divBdr>
        <w:top w:val="none" w:sz="0" w:space="0" w:color="auto"/>
        <w:left w:val="none" w:sz="0" w:space="0" w:color="auto"/>
        <w:bottom w:val="none" w:sz="0" w:space="0" w:color="auto"/>
        <w:right w:val="none" w:sz="0" w:space="0" w:color="auto"/>
      </w:divBdr>
      <w:divsChild>
        <w:div w:id="319039991">
          <w:marLeft w:val="360"/>
          <w:marRight w:val="0"/>
          <w:marTop w:val="0"/>
          <w:marBottom w:val="0"/>
          <w:divBdr>
            <w:top w:val="none" w:sz="0" w:space="0" w:color="auto"/>
            <w:left w:val="none" w:sz="0" w:space="0" w:color="auto"/>
            <w:bottom w:val="none" w:sz="0" w:space="0" w:color="auto"/>
            <w:right w:val="none" w:sz="0" w:space="0" w:color="auto"/>
          </w:divBdr>
        </w:div>
        <w:div w:id="397898819">
          <w:marLeft w:val="360"/>
          <w:marRight w:val="0"/>
          <w:marTop w:val="0"/>
          <w:marBottom w:val="240"/>
          <w:divBdr>
            <w:top w:val="none" w:sz="0" w:space="0" w:color="auto"/>
            <w:left w:val="none" w:sz="0" w:space="0" w:color="auto"/>
            <w:bottom w:val="none" w:sz="0" w:space="0" w:color="auto"/>
            <w:right w:val="none" w:sz="0" w:space="0" w:color="auto"/>
          </w:divBdr>
        </w:div>
        <w:div w:id="400294017">
          <w:marLeft w:val="1080"/>
          <w:marRight w:val="0"/>
          <w:marTop w:val="100"/>
          <w:marBottom w:val="240"/>
          <w:divBdr>
            <w:top w:val="none" w:sz="0" w:space="0" w:color="auto"/>
            <w:left w:val="none" w:sz="0" w:space="0" w:color="auto"/>
            <w:bottom w:val="none" w:sz="0" w:space="0" w:color="auto"/>
            <w:right w:val="none" w:sz="0" w:space="0" w:color="auto"/>
          </w:divBdr>
        </w:div>
        <w:div w:id="401409642">
          <w:marLeft w:val="1080"/>
          <w:marRight w:val="0"/>
          <w:marTop w:val="100"/>
          <w:marBottom w:val="0"/>
          <w:divBdr>
            <w:top w:val="none" w:sz="0" w:space="0" w:color="auto"/>
            <w:left w:val="none" w:sz="0" w:space="0" w:color="auto"/>
            <w:bottom w:val="none" w:sz="0" w:space="0" w:color="auto"/>
            <w:right w:val="none" w:sz="0" w:space="0" w:color="auto"/>
          </w:divBdr>
        </w:div>
        <w:div w:id="407578331">
          <w:marLeft w:val="1080"/>
          <w:marRight w:val="0"/>
          <w:marTop w:val="0"/>
          <w:marBottom w:val="0"/>
          <w:divBdr>
            <w:top w:val="none" w:sz="0" w:space="0" w:color="auto"/>
            <w:left w:val="none" w:sz="0" w:space="0" w:color="auto"/>
            <w:bottom w:val="none" w:sz="0" w:space="0" w:color="auto"/>
            <w:right w:val="none" w:sz="0" w:space="0" w:color="auto"/>
          </w:divBdr>
        </w:div>
        <w:div w:id="624969550">
          <w:marLeft w:val="360"/>
          <w:marRight w:val="0"/>
          <w:marTop w:val="0"/>
          <w:marBottom w:val="0"/>
          <w:divBdr>
            <w:top w:val="none" w:sz="0" w:space="0" w:color="auto"/>
            <w:left w:val="none" w:sz="0" w:space="0" w:color="auto"/>
            <w:bottom w:val="none" w:sz="0" w:space="0" w:color="auto"/>
            <w:right w:val="none" w:sz="0" w:space="0" w:color="auto"/>
          </w:divBdr>
        </w:div>
        <w:div w:id="787356159">
          <w:marLeft w:val="1080"/>
          <w:marRight w:val="0"/>
          <w:marTop w:val="0"/>
          <w:marBottom w:val="240"/>
          <w:divBdr>
            <w:top w:val="none" w:sz="0" w:space="0" w:color="auto"/>
            <w:left w:val="none" w:sz="0" w:space="0" w:color="auto"/>
            <w:bottom w:val="none" w:sz="0" w:space="0" w:color="auto"/>
            <w:right w:val="none" w:sz="0" w:space="0" w:color="auto"/>
          </w:divBdr>
        </w:div>
        <w:div w:id="1245525899">
          <w:marLeft w:val="360"/>
          <w:marRight w:val="0"/>
          <w:marTop w:val="0"/>
          <w:marBottom w:val="240"/>
          <w:divBdr>
            <w:top w:val="none" w:sz="0" w:space="0" w:color="auto"/>
            <w:left w:val="none" w:sz="0" w:space="0" w:color="auto"/>
            <w:bottom w:val="none" w:sz="0" w:space="0" w:color="auto"/>
            <w:right w:val="none" w:sz="0" w:space="0" w:color="auto"/>
          </w:divBdr>
        </w:div>
        <w:div w:id="1589000220">
          <w:marLeft w:val="360"/>
          <w:marRight w:val="0"/>
          <w:marTop w:val="0"/>
          <w:marBottom w:val="0"/>
          <w:divBdr>
            <w:top w:val="none" w:sz="0" w:space="0" w:color="auto"/>
            <w:left w:val="none" w:sz="0" w:space="0" w:color="auto"/>
            <w:bottom w:val="none" w:sz="0" w:space="0" w:color="auto"/>
            <w:right w:val="none" w:sz="0" w:space="0" w:color="auto"/>
          </w:divBdr>
        </w:div>
      </w:divsChild>
    </w:div>
    <w:div w:id="221798417">
      <w:bodyDiv w:val="1"/>
      <w:marLeft w:val="0"/>
      <w:marRight w:val="0"/>
      <w:marTop w:val="0"/>
      <w:marBottom w:val="0"/>
      <w:divBdr>
        <w:top w:val="none" w:sz="0" w:space="0" w:color="auto"/>
        <w:left w:val="none" w:sz="0" w:space="0" w:color="auto"/>
        <w:bottom w:val="none" w:sz="0" w:space="0" w:color="auto"/>
        <w:right w:val="none" w:sz="0" w:space="0" w:color="auto"/>
      </w:divBdr>
    </w:div>
    <w:div w:id="258217677">
      <w:bodyDiv w:val="1"/>
      <w:marLeft w:val="0"/>
      <w:marRight w:val="0"/>
      <w:marTop w:val="0"/>
      <w:marBottom w:val="0"/>
      <w:divBdr>
        <w:top w:val="none" w:sz="0" w:space="0" w:color="auto"/>
        <w:left w:val="none" w:sz="0" w:space="0" w:color="auto"/>
        <w:bottom w:val="none" w:sz="0" w:space="0" w:color="auto"/>
        <w:right w:val="none" w:sz="0" w:space="0" w:color="auto"/>
      </w:divBdr>
    </w:div>
    <w:div w:id="270011280">
      <w:bodyDiv w:val="1"/>
      <w:marLeft w:val="0"/>
      <w:marRight w:val="0"/>
      <w:marTop w:val="0"/>
      <w:marBottom w:val="0"/>
      <w:divBdr>
        <w:top w:val="none" w:sz="0" w:space="0" w:color="auto"/>
        <w:left w:val="none" w:sz="0" w:space="0" w:color="auto"/>
        <w:bottom w:val="none" w:sz="0" w:space="0" w:color="auto"/>
        <w:right w:val="none" w:sz="0" w:space="0" w:color="auto"/>
      </w:divBdr>
    </w:div>
    <w:div w:id="295183825">
      <w:bodyDiv w:val="1"/>
      <w:marLeft w:val="0"/>
      <w:marRight w:val="0"/>
      <w:marTop w:val="0"/>
      <w:marBottom w:val="0"/>
      <w:divBdr>
        <w:top w:val="none" w:sz="0" w:space="0" w:color="auto"/>
        <w:left w:val="none" w:sz="0" w:space="0" w:color="auto"/>
        <w:bottom w:val="none" w:sz="0" w:space="0" w:color="auto"/>
        <w:right w:val="none" w:sz="0" w:space="0" w:color="auto"/>
      </w:divBdr>
    </w:div>
    <w:div w:id="346248123">
      <w:bodyDiv w:val="1"/>
      <w:marLeft w:val="0"/>
      <w:marRight w:val="0"/>
      <w:marTop w:val="0"/>
      <w:marBottom w:val="0"/>
      <w:divBdr>
        <w:top w:val="none" w:sz="0" w:space="0" w:color="auto"/>
        <w:left w:val="none" w:sz="0" w:space="0" w:color="auto"/>
        <w:bottom w:val="none" w:sz="0" w:space="0" w:color="auto"/>
        <w:right w:val="none" w:sz="0" w:space="0" w:color="auto"/>
      </w:divBdr>
    </w:div>
    <w:div w:id="383716548">
      <w:bodyDiv w:val="1"/>
      <w:marLeft w:val="0"/>
      <w:marRight w:val="0"/>
      <w:marTop w:val="0"/>
      <w:marBottom w:val="0"/>
      <w:divBdr>
        <w:top w:val="none" w:sz="0" w:space="0" w:color="auto"/>
        <w:left w:val="none" w:sz="0" w:space="0" w:color="auto"/>
        <w:bottom w:val="none" w:sz="0" w:space="0" w:color="auto"/>
        <w:right w:val="none" w:sz="0" w:space="0" w:color="auto"/>
      </w:divBdr>
    </w:div>
    <w:div w:id="386344725">
      <w:bodyDiv w:val="1"/>
      <w:marLeft w:val="0"/>
      <w:marRight w:val="0"/>
      <w:marTop w:val="0"/>
      <w:marBottom w:val="0"/>
      <w:divBdr>
        <w:top w:val="none" w:sz="0" w:space="0" w:color="auto"/>
        <w:left w:val="none" w:sz="0" w:space="0" w:color="auto"/>
        <w:bottom w:val="none" w:sz="0" w:space="0" w:color="auto"/>
        <w:right w:val="none" w:sz="0" w:space="0" w:color="auto"/>
      </w:divBdr>
    </w:div>
    <w:div w:id="391928206">
      <w:bodyDiv w:val="1"/>
      <w:marLeft w:val="0"/>
      <w:marRight w:val="0"/>
      <w:marTop w:val="0"/>
      <w:marBottom w:val="0"/>
      <w:divBdr>
        <w:top w:val="none" w:sz="0" w:space="0" w:color="auto"/>
        <w:left w:val="none" w:sz="0" w:space="0" w:color="auto"/>
        <w:bottom w:val="none" w:sz="0" w:space="0" w:color="auto"/>
        <w:right w:val="none" w:sz="0" w:space="0" w:color="auto"/>
      </w:divBdr>
    </w:div>
    <w:div w:id="409933175">
      <w:bodyDiv w:val="1"/>
      <w:marLeft w:val="0"/>
      <w:marRight w:val="0"/>
      <w:marTop w:val="0"/>
      <w:marBottom w:val="0"/>
      <w:divBdr>
        <w:top w:val="none" w:sz="0" w:space="0" w:color="auto"/>
        <w:left w:val="none" w:sz="0" w:space="0" w:color="auto"/>
        <w:bottom w:val="none" w:sz="0" w:space="0" w:color="auto"/>
        <w:right w:val="none" w:sz="0" w:space="0" w:color="auto"/>
      </w:divBdr>
    </w:div>
    <w:div w:id="458911902">
      <w:bodyDiv w:val="1"/>
      <w:marLeft w:val="0"/>
      <w:marRight w:val="0"/>
      <w:marTop w:val="0"/>
      <w:marBottom w:val="0"/>
      <w:divBdr>
        <w:top w:val="none" w:sz="0" w:space="0" w:color="auto"/>
        <w:left w:val="none" w:sz="0" w:space="0" w:color="auto"/>
        <w:bottom w:val="none" w:sz="0" w:space="0" w:color="auto"/>
        <w:right w:val="none" w:sz="0" w:space="0" w:color="auto"/>
      </w:divBdr>
    </w:div>
    <w:div w:id="482739188">
      <w:bodyDiv w:val="1"/>
      <w:marLeft w:val="0"/>
      <w:marRight w:val="0"/>
      <w:marTop w:val="0"/>
      <w:marBottom w:val="0"/>
      <w:divBdr>
        <w:top w:val="none" w:sz="0" w:space="0" w:color="auto"/>
        <w:left w:val="none" w:sz="0" w:space="0" w:color="auto"/>
        <w:bottom w:val="none" w:sz="0" w:space="0" w:color="auto"/>
        <w:right w:val="none" w:sz="0" w:space="0" w:color="auto"/>
      </w:divBdr>
    </w:div>
    <w:div w:id="511992720">
      <w:bodyDiv w:val="1"/>
      <w:marLeft w:val="0"/>
      <w:marRight w:val="0"/>
      <w:marTop w:val="0"/>
      <w:marBottom w:val="0"/>
      <w:divBdr>
        <w:top w:val="none" w:sz="0" w:space="0" w:color="auto"/>
        <w:left w:val="none" w:sz="0" w:space="0" w:color="auto"/>
        <w:bottom w:val="none" w:sz="0" w:space="0" w:color="auto"/>
        <w:right w:val="none" w:sz="0" w:space="0" w:color="auto"/>
      </w:divBdr>
    </w:div>
    <w:div w:id="550728071">
      <w:bodyDiv w:val="1"/>
      <w:marLeft w:val="0"/>
      <w:marRight w:val="0"/>
      <w:marTop w:val="0"/>
      <w:marBottom w:val="0"/>
      <w:divBdr>
        <w:top w:val="none" w:sz="0" w:space="0" w:color="auto"/>
        <w:left w:val="none" w:sz="0" w:space="0" w:color="auto"/>
        <w:bottom w:val="none" w:sz="0" w:space="0" w:color="auto"/>
        <w:right w:val="none" w:sz="0" w:space="0" w:color="auto"/>
      </w:divBdr>
    </w:div>
    <w:div w:id="551501814">
      <w:bodyDiv w:val="1"/>
      <w:marLeft w:val="0"/>
      <w:marRight w:val="0"/>
      <w:marTop w:val="0"/>
      <w:marBottom w:val="0"/>
      <w:divBdr>
        <w:top w:val="none" w:sz="0" w:space="0" w:color="auto"/>
        <w:left w:val="none" w:sz="0" w:space="0" w:color="auto"/>
        <w:bottom w:val="none" w:sz="0" w:space="0" w:color="auto"/>
        <w:right w:val="none" w:sz="0" w:space="0" w:color="auto"/>
      </w:divBdr>
    </w:div>
    <w:div w:id="565919718">
      <w:bodyDiv w:val="1"/>
      <w:marLeft w:val="0"/>
      <w:marRight w:val="0"/>
      <w:marTop w:val="0"/>
      <w:marBottom w:val="0"/>
      <w:divBdr>
        <w:top w:val="none" w:sz="0" w:space="0" w:color="auto"/>
        <w:left w:val="none" w:sz="0" w:space="0" w:color="auto"/>
        <w:bottom w:val="none" w:sz="0" w:space="0" w:color="auto"/>
        <w:right w:val="none" w:sz="0" w:space="0" w:color="auto"/>
      </w:divBdr>
    </w:div>
    <w:div w:id="570311549">
      <w:bodyDiv w:val="1"/>
      <w:marLeft w:val="0"/>
      <w:marRight w:val="0"/>
      <w:marTop w:val="0"/>
      <w:marBottom w:val="0"/>
      <w:divBdr>
        <w:top w:val="none" w:sz="0" w:space="0" w:color="auto"/>
        <w:left w:val="none" w:sz="0" w:space="0" w:color="auto"/>
        <w:bottom w:val="none" w:sz="0" w:space="0" w:color="auto"/>
        <w:right w:val="none" w:sz="0" w:space="0" w:color="auto"/>
      </w:divBdr>
      <w:divsChild>
        <w:div w:id="7877623">
          <w:marLeft w:val="360"/>
          <w:marRight w:val="0"/>
          <w:marTop w:val="0"/>
          <w:marBottom w:val="0"/>
          <w:divBdr>
            <w:top w:val="none" w:sz="0" w:space="0" w:color="auto"/>
            <w:left w:val="none" w:sz="0" w:space="0" w:color="auto"/>
            <w:bottom w:val="none" w:sz="0" w:space="0" w:color="auto"/>
            <w:right w:val="none" w:sz="0" w:space="0" w:color="auto"/>
          </w:divBdr>
        </w:div>
        <w:div w:id="116797358">
          <w:marLeft w:val="1080"/>
          <w:marRight w:val="0"/>
          <w:marTop w:val="0"/>
          <w:marBottom w:val="0"/>
          <w:divBdr>
            <w:top w:val="none" w:sz="0" w:space="0" w:color="auto"/>
            <w:left w:val="none" w:sz="0" w:space="0" w:color="auto"/>
            <w:bottom w:val="none" w:sz="0" w:space="0" w:color="auto"/>
            <w:right w:val="none" w:sz="0" w:space="0" w:color="auto"/>
          </w:divBdr>
        </w:div>
        <w:div w:id="353851656">
          <w:marLeft w:val="360"/>
          <w:marRight w:val="0"/>
          <w:marTop w:val="0"/>
          <w:marBottom w:val="0"/>
          <w:divBdr>
            <w:top w:val="none" w:sz="0" w:space="0" w:color="auto"/>
            <w:left w:val="none" w:sz="0" w:space="0" w:color="auto"/>
            <w:bottom w:val="none" w:sz="0" w:space="0" w:color="auto"/>
            <w:right w:val="none" w:sz="0" w:space="0" w:color="auto"/>
          </w:divBdr>
        </w:div>
        <w:div w:id="553394597">
          <w:marLeft w:val="1080"/>
          <w:marRight w:val="0"/>
          <w:marTop w:val="0"/>
          <w:marBottom w:val="240"/>
          <w:divBdr>
            <w:top w:val="none" w:sz="0" w:space="0" w:color="auto"/>
            <w:left w:val="none" w:sz="0" w:space="0" w:color="auto"/>
            <w:bottom w:val="none" w:sz="0" w:space="0" w:color="auto"/>
            <w:right w:val="none" w:sz="0" w:space="0" w:color="auto"/>
          </w:divBdr>
        </w:div>
        <w:div w:id="1192501448">
          <w:marLeft w:val="1080"/>
          <w:marRight w:val="0"/>
          <w:marTop w:val="100"/>
          <w:marBottom w:val="0"/>
          <w:divBdr>
            <w:top w:val="none" w:sz="0" w:space="0" w:color="auto"/>
            <w:left w:val="none" w:sz="0" w:space="0" w:color="auto"/>
            <w:bottom w:val="none" w:sz="0" w:space="0" w:color="auto"/>
            <w:right w:val="none" w:sz="0" w:space="0" w:color="auto"/>
          </w:divBdr>
        </w:div>
        <w:div w:id="1467317018">
          <w:marLeft w:val="360"/>
          <w:marRight w:val="0"/>
          <w:marTop w:val="0"/>
          <w:marBottom w:val="0"/>
          <w:divBdr>
            <w:top w:val="none" w:sz="0" w:space="0" w:color="auto"/>
            <w:left w:val="none" w:sz="0" w:space="0" w:color="auto"/>
            <w:bottom w:val="none" w:sz="0" w:space="0" w:color="auto"/>
            <w:right w:val="none" w:sz="0" w:space="0" w:color="auto"/>
          </w:divBdr>
        </w:div>
        <w:div w:id="1578318324">
          <w:marLeft w:val="1080"/>
          <w:marRight w:val="0"/>
          <w:marTop w:val="100"/>
          <w:marBottom w:val="240"/>
          <w:divBdr>
            <w:top w:val="none" w:sz="0" w:space="0" w:color="auto"/>
            <w:left w:val="none" w:sz="0" w:space="0" w:color="auto"/>
            <w:bottom w:val="none" w:sz="0" w:space="0" w:color="auto"/>
            <w:right w:val="none" w:sz="0" w:space="0" w:color="auto"/>
          </w:divBdr>
        </w:div>
        <w:div w:id="1910384288">
          <w:marLeft w:val="360"/>
          <w:marRight w:val="0"/>
          <w:marTop w:val="0"/>
          <w:marBottom w:val="240"/>
          <w:divBdr>
            <w:top w:val="none" w:sz="0" w:space="0" w:color="auto"/>
            <w:left w:val="none" w:sz="0" w:space="0" w:color="auto"/>
            <w:bottom w:val="none" w:sz="0" w:space="0" w:color="auto"/>
            <w:right w:val="none" w:sz="0" w:space="0" w:color="auto"/>
          </w:divBdr>
        </w:div>
        <w:div w:id="1937789343">
          <w:marLeft w:val="360"/>
          <w:marRight w:val="0"/>
          <w:marTop w:val="0"/>
          <w:marBottom w:val="240"/>
          <w:divBdr>
            <w:top w:val="none" w:sz="0" w:space="0" w:color="auto"/>
            <w:left w:val="none" w:sz="0" w:space="0" w:color="auto"/>
            <w:bottom w:val="none" w:sz="0" w:space="0" w:color="auto"/>
            <w:right w:val="none" w:sz="0" w:space="0" w:color="auto"/>
          </w:divBdr>
        </w:div>
      </w:divsChild>
    </w:div>
    <w:div w:id="599412547">
      <w:bodyDiv w:val="1"/>
      <w:marLeft w:val="0"/>
      <w:marRight w:val="0"/>
      <w:marTop w:val="0"/>
      <w:marBottom w:val="0"/>
      <w:divBdr>
        <w:top w:val="none" w:sz="0" w:space="0" w:color="auto"/>
        <w:left w:val="none" w:sz="0" w:space="0" w:color="auto"/>
        <w:bottom w:val="none" w:sz="0" w:space="0" w:color="auto"/>
        <w:right w:val="none" w:sz="0" w:space="0" w:color="auto"/>
      </w:divBdr>
    </w:div>
    <w:div w:id="612590761">
      <w:bodyDiv w:val="1"/>
      <w:marLeft w:val="0"/>
      <w:marRight w:val="0"/>
      <w:marTop w:val="0"/>
      <w:marBottom w:val="0"/>
      <w:divBdr>
        <w:top w:val="none" w:sz="0" w:space="0" w:color="auto"/>
        <w:left w:val="none" w:sz="0" w:space="0" w:color="auto"/>
        <w:bottom w:val="none" w:sz="0" w:space="0" w:color="auto"/>
        <w:right w:val="none" w:sz="0" w:space="0" w:color="auto"/>
      </w:divBdr>
    </w:div>
    <w:div w:id="642008048">
      <w:bodyDiv w:val="1"/>
      <w:marLeft w:val="0"/>
      <w:marRight w:val="0"/>
      <w:marTop w:val="0"/>
      <w:marBottom w:val="0"/>
      <w:divBdr>
        <w:top w:val="none" w:sz="0" w:space="0" w:color="auto"/>
        <w:left w:val="none" w:sz="0" w:space="0" w:color="auto"/>
        <w:bottom w:val="none" w:sz="0" w:space="0" w:color="auto"/>
        <w:right w:val="none" w:sz="0" w:space="0" w:color="auto"/>
      </w:divBdr>
    </w:div>
    <w:div w:id="651324998">
      <w:bodyDiv w:val="1"/>
      <w:marLeft w:val="0"/>
      <w:marRight w:val="0"/>
      <w:marTop w:val="0"/>
      <w:marBottom w:val="0"/>
      <w:divBdr>
        <w:top w:val="none" w:sz="0" w:space="0" w:color="auto"/>
        <w:left w:val="none" w:sz="0" w:space="0" w:color="auto"/>
        <w:bottom w:val="none" w:sz="0" w:space="0" w:color="auto"/>
        <w:right w:val="none" w:sz="0" w:space="0" w:color="auto"/>
      </w:divBdr>
    </w:div>
    <w:div w:id="681400740">
      <w:bodyDiv w:val="1"/>
      <w:marLeft w:val="0"/>
      <w:marRight w:val="0"/>
      <w:marTop w:val="0"/>
      <w:marBottom w:val="0"/>
      <w:divBdr>
        <w:top w:val="none" w:sz="0" w:space="0" w:color="auto"/>
        <w:left w:val="none" w:sz="0" w:space="0" w:color="auto"/>
        <w:bottom w:val="none" w:sz="0" w:space="0" w:color="auto"/>
        <w:right w:val="none" w:sz="0" w:space="0" w:color="auto"/>
      </w:divBdr>
    </w:div>
    <w:div w:id="710154863">
      <w:bodyDiv w:val="1"/>
      <w:marLeft w:val="0"/>
      <w:marRight w:val="0"/>
      <w:marTop w:val="0"/>
      <w:marBottom w:val="0"/>
      <w:divBdr>
        <w:top w:val="none" w:sz="0" w:space="0" w:color="auto"/>
        <w:left w:val="none" w:sz="0" w:space="0" w:color="auto"/>
        <w:bottom w:val="none" w:sz="0" w:space="0" w:color="auto"/>
        <w:right w:val="none" w:sz="0" w:space="0" w:color="auto"/>
      </w:divBdr>
    </w:div>
    <w:div w:id="772282920">
      <w:bodyDiv w:val="1"/>
      <w:marLeft w:val="0"/>
      <w:marRight w:val="0"/>
      <w:marTop w:val="0"/>
      <w:marBottom w:val="0"/>
      <w:divBdr>
        <w:top w:val="none" w:sz="0" w:space="0" w:color="auto"/>
        <w:left w:val="none" w:sz="0" w:space="0" w:color="auto"/>
        <w:bottom w:val="none" w:sz="0" w:space="0" w:color="auto"/>
        <w:right w:val="none" w:sz="0" w:space="0" w:color="auto"/>
      </w:divBdr>
    </w:div>
    <w:div w:id="777337294">
      <w:bodyDiv w:val="1"/>
      <w:marLeft w:val="0"/>
      <w:marRight w:val="0"/>
      <w:marTop w:val="0"/>
      <w:marBottom w:val="0"/>
      <w:divBdr>
        <w:top w:val="none" w:sz="0" w:space="0" w:color="auto"/>
        <w:left w:val="none" w:sz="0" w:space="0" w:color="auto"/>
        <w:bottom w:val="none" w:sz="0" w:space="0" w:color="auto"/>
        <w:right w:val="none" w:sz="0" w:space="0" w:color="auto"/>
      </w:divBdr>
    </w:div>
    <w:div w:id="805976184">
      <w:bodyDiv w:val="1"/>
      <w:marLeft w:val="0"/>
      <w:marRight w:val="0"/>
      <w:marTop w:val="0"/>
      <w:marBottom w:val="0"/>
      <w:divBdr>
        <w:top w:val="none" w:sz="0" w:space="0" w:color="auto"/>
        <w:left w:val="none" w:sz="0" w:space="0" w:color="auto"/>
        <w:bottom w:val="none" w:sz="0" w:space="0" w:color="auto"/>
        <w:right w:val="none" w:sz="0" w:space="0" w:color="auto"/>
      </w:divBdr>
    </w:div>
    <w:div w:id="845094467">
      <w:bodyDiv w:val="1"/>
      <w:marLeft w:val="0"/>
      <w:marRight w:val="0"/>
      <w:marTop w:val="0"/>
      <w:marBottom w:val="0"/>
      <w:divBdr>
        <w:top w:val="none" w:sz="0" w:space="0" w:color="auto"/>
        <w:left w:val="none" w:sz="0" w:space="0" w:color="auto"/>
        <w:bottom w:val="none" w:sz="0" w:space="0" w:color="auto"/>
        <w:right w:val="none" w:sz="0" w:space="0" w:color="auto"/>
      </w:divBdr>
    </w:div>
    <w:div w:id="891425848">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74142359">
      <w:bodyDiv w:val="1"/>
      <w:marLeft w:val="0"/>
      <w:marRight w:val="0"/>
      <w:marTop w:val="0"/>
      <w:marBottom w:val="0"/>
      <w:divBdr>
        <w:top w:val="none" w:sz="0" w:space="0" w:color="auto"/>
        <w:left w:val="none" w:sz="0" w:space="0" w:color="auto"/>
        <w:bottom w:val="none" w:sz="0" w:space="0" w:color="auto"/>
        <w:right w:val="none" w:sz="0" w:space="0" w:color="auto"/>
      </w:divBdr>
    </w:div>
    <w:div w:id="1050423047">
      <w:bodyDiv w:val="1"/>
      <w:marLeft w:val="0"/>
      <w:marRight w:val="0"/>
      <w:marTop w:val="0"/>
      <w:marBottom w:val="0"/>
      <w:divBdr>
        <w:top w:val="none" w:sz="0" w:space="0" w:color="auto"/>
        <w:left w:val="none" w:sz="0" w:space="0" w:color="auto"/>
        <w:bottom w:val="none" w:sz="0" w:space="0" w:color="auto"/>
        <w:right w:val="none" w:sz="0" w:space="0" w:color="auto"/>
      </w:divBdr>
    </w:div>
    <w:div w:id="1051686882">
      <w:bodyDiv w:val="1"/>
      <w:marLeft w:val="0"/>
      <w:marRight w:val="0"/>
      <w:marTop w:val="0"/>
      <w:marBottom w:val="0"/>
      <w:divBdr>
        <w:top w:val="none" w:sz="0" w:space="0" w:color="auto"/>
        <w:left w:val="none" w:sz="0" w:space="0" w:color="auto"/>
        <w:bottom w:val="none" w:sz="0" w:space="0" w:color="auto"/>
        <w:right w:val="none" w:sz="0" w:space="0" w:color="auto"/>
      </w:divBdr>
    </w:div>
    <w:div w:id="1091698746">
      <w:bodyDiv w:val="1"/>
      <w:marLeft w:val="0"/>
      <w:marRight w:val="0"/>
      <w:marTop w:val="0"/>
      <w:marBottom w:val="0"/>
      <w:divBdr>
        <w:top w:val="none" w:sz="0" w:space="0" w:color="auto"/>
        <w:left w:val="none" w:sz="0" w:space="0" w:color="auto"/>
        <w:bottom w:val="none" w:sz="0" w:space="0" w:color="auto"/>
        <w:right w:val="none" w:sz="0" w:space="0" w:color="auto"/>
      </w:divBdr>
    </w:div>
    <w:div w:id="1121269542">
      <w:bodyDiv w:val="1"/>
      <w:marLeft w:val="0"/>
      <w:marRight w:val="0"/>
      <w:marTop w:val="0"/>
      <w:marBottom w:val="0"/>
      <w:divBdr>
        <w:top w:val="none" w:sz="0" w:space="0" w:color="auto"/>
        <w:left w:val="none" w:sz="0" w:space="0" w:color="auto"/>
        <w:bottom w:val="none" w:sz="0" w:space="0" w:color="auto"/>
        <w:right w:val="none" w:sz="0" w:space="0" w:color="auto"/>
      </w:divBdr>
    </w:div>
    <w:div w:id="1175420544">
      <w:bodyDiv w:val="1"/>
      <w:marLeft w:val="0"/>
      <w:marRight w:val="0"/>
      <w:marTop w:val="0"/>
      <w:marBottom w:val="0"/>
      <w:divBdr>
        <w:top w:val="none" w:sz="0" w:space="0" w:color="auto"/>
        <w:left w:val="none" w:sz="0" w:space="0" w:color="auto"/>
        <w:bottom w:val="none" w:sz="0" w:space="0" w:color="auto"/>
        <w:right w:val="none" w:sz="0" w:space="0" w:color="auto"/>
      </w:divBdr>
    </w:div>
    <w:div w:id="1182891972">
      <w:bodyDiv w:val="1"/>
      <w:marLeft w:val="0"/>
      <w:marRight w:val="0"/>
      <w:marTop w:val="0"/>
      <w:marBottom w:val="0"/>
      <w:divBdr>
        <w:top w:val="none" w:sz="0" w:space="0" w:color="auto"/>
        <w:left w:val="none" w:sz="0" w:space="0" w:color="auto"/>
        <w:bottom w:val="none" w:sz="0" w:space="0" w:color="auto"/>
        <w:right w:val="none" w:sz="0" w:space="0" w:color="auto"/>
      </w:divBdr>
    </w:div>
    <w:div w:id="1206526903">
      <w:bodyDiv w:val="1"/>
      <w:marLeft w:val="0"/>
      <w:marRight w:val="0"/>
      <w:marTop w:val="0"/>
      <w:marBottom w:val="0"/>
      <w:divBdr>
        <w:top w:val="none" w:sz="0" w:space="0" w:color="auto"/>
        <w:left w:val="none" w:sz="0" w:space="0" w:color="auto"/>
        <w:bottom w:val="none" w:sz="0" w:space="0" w:color="auto"/>
        <w:right w:val="none" w:sz="0" w:space="0" w:color="auto"/>
      </w:divBdr>
    </w:div>
    <w:div w:id="1236353446">
      <w:bodyDiv w:val="1"/>
      <w:marLeft w:val="0"/>
      <w:marRight w:val="0"/>
      <w:marTop w:val="0"/>
      <w:marBottom w:val="0"/>
      <w:divBdr>
        <w:top w:val="none" w:sz="0" w:space="0" w:color="auto"/>
        <w:left w:val="none" w:sz="0" w:space="0" w:color="auto"/>
        <w:bottom w:val="none" w:sz="0" w:space="0" w:color="auto"/>
        <w:right w:val="none" w:sz="0" w:space="0" w:color="auto"/>
      </w:divBdr>
    </w:div>
    <w:div w:id="1258367065">
      <w:bodyDiv w:val="1"/>
      <w:marLeft w:val="0"/>
      <w:marRight w:val="0"/>
      <w:marTop w:val="0"/>
      <w:marBottom w:val="0"/>
      <w:divBdr>
        <w:top w:val="none" w:sz="0" w:space="0" w:color="auto"/>
        <w:left w:val="none" w:sz="0" w:space="0" w:color="auto"/>
        <w:bottom w:val="none" w:sz="0" w:space="0" w:color="auto"/>
        <w:right w:val="none" w:sz="0" w:space="0" w:color="auto"/>
      </w:divBdr>
    </w:div>
    <w:div w:id="1271281536">
      <w:bodyDiv w:val="1"/>
      <w:marLeft w:val="0"/>
      <w:marRight w:val="0"/>
      <w:marTop w:val="0"/>
      <w:marBottom w:val="0"/>
      <w:divBdr>
        <w:top w:val="none" w:sz="0" w:space="0" w:color="auto"/>
        <w:left w:val="none" w:sz="0" w:space="0" w:color="auto"/>
        <w:bottom w:val="none" w:sz="0" w:space="0" w:color="auto"/>
        <w:right w:val="none" w:sz="0" w:space="0" w:color="auto"/>
      </w:divBdr>
    </w:div>
    <w:div w:id="1278176945">
      <w:bodyDiv w:val="1"/>
      <w:marLeft w:val="0"/>
      <w:marRight w:val="0"/>
      <w:marTop w:val="0"/>
      <w:marBottom w:val="0"/>
      <w:divBdr>
        <w:top w:val="none" w:sz="0" w:space="0" w:color="auto"/>
        <w:left w:val="none" w:sz="0" w:space="0" w:color="auto"/>
        <w:bottom w:val="none" w:sz="0" w:space="0" w:color="auto"/>
        <w:right w:val="none" w:sz="0" w:space="0" w:color="auto"/>
      </w:divBdr>
    </w:div>
    <w:div w:id="1297298652">
      <w:bodyDiv w:val="1"/>
      <w:marLeft w:val="0"/>
      <w:marRight w:val="0"/>
      <w:marTop w:val="0"/>
      <w:marBottom w:val="0"/>
      <w:divBdr>
        <w:top w:val="none" w:sz="0" w:space="0" w:color="auto"/>
        <w:left w:val="none" w:sz="0" w:space="0" w:color="auto"/>
        <w:bottom w:val="none" w:sz="0" w:space="0" w:color="auto"/>
        <w:right w:val="none" w:sz="0" w:space="0" w:color="auto"/>
      </w:divBdr>
    </w:div>
    <w:div w:id="1398746854">
      <w:bodyDiv w:val="1"/>
      <w:marLeft w:val="0"/>
      <w:marRight w:val="0"/>
      <w:marTop w:val="0"/>
      <w:marBottom w:val="0"/>
      <w:divBdr>
        <w:top w:val="none" w:sz="0" w:space="0" w:color="auto"/>
        <w:left w:val="none" w:sz="0" w:space="0" w:color="auto"/>
        <w:bottom w:val="none" w:sz="0" w:space="0" w:color="auto"/>
        <w:right w:val="none" w:sz="0" w:space="0" w:color="auto"/>
      </w:divBdr>
    </w:div>
    <w:div w:id="1416628472">
      <w:bodyDiv w:val="1"/>
      <w:marLeft w:val="0"/>
      <w:marRight w:val="0"/>
      <w:marTop w:val="0"/>
      <w:marBottom w:val="0"/>
      <w:divBdr>
        <w:top w:val="none" w:sz="0" w:space="0" w:color="auto"/>
        <w:left w:val="none" w:sz="0" w:space="0" w:color="auto"/>
        <w:bottom w:val="none" w:sz="0" w:space="0" w:color="auto"/>
        <w:right w:val="none" w:sz="0" w:space="0" w:color="auto"/>
      </w:divBdr>
    </w:div>
    <w:div w:id="1506214138">
      <w:bodyDiv w:val="1"/>
      <w:marLeft w:val="0"/>
      <w:marRight w:val="0"/>
      <w:marTop w:val="0"/>
      <w:marBottom w:val="0"/>
      <w:divBdr>
        <w:top w:val="none" w:sz="0" w:space="0" w:color="auto"/>
        <w:left w:val="none" w:sz="0" w:space="0" w:color="auto"/>
        <w:bottom w:val="none" w:sz="0" w:space="0" w:color="auto"/>
        <w:right w:val="none" w:sz="0" w:space="0" w:color="auto"/>
      </w:divBdr>
    </w:div>
    <w:div w:id="1532038594">
      <w:bodyDiv w:val="1"/>
      <w:marLeft w:val="0"/>
      <w:marRight w:val="0"/>
      <w:marTop w:val="0"/>
      <w:marBottom w:val="0"/>
      <w:divBdr>
        <w:top w:val="none" w:sz="0" w:space="0" w:color="auto"/>
        <w:left w:val="none" w:sz="0" w:space="0" w:color="auto"/>
        <w:bottom w:val="none" w:sz="0" w:space="0" w:color="auto"/>
        <w:right w:val="none" w:sz="0" w:space="0" w:color="auto"/>
      </w:divBdr>
    </w:div>
    <w:div w:id="1539316361">
      <w:bodyDiv w:val="1"/>
      <w:marLeft w:val="0"/>
      <w:marRight w:val="0"/>
      <w:marTop w:val="0"/>
      <w:marBottom w:val="0"/>
      <w:divBdr>
        <w:top w:val="none" w:sz="0" w:space="0" w:color="auto"/>
        <w:left w:val="none" w:sz="0" w:space="0" w:color="auto"/>
        <w:bottom w:val="none" w:sz="0" w:space="0" w:color="auto"/>
        <w:right w:val="none" w:sz="0" w:space="0" w:color="auto"/>
      </w:divBdr>
    </w:div>
    <w:div w:id="1555316746">
      <w:bodyDiv w:val="1"/>
      <w:marLeft w:val="0"/>
      <w:marRight w:val="0"/>
      <w:marTop w:val="0"/>
      <w:marBottom w:val="0"/>
      <w:divBdr>
        <w:top w:val="none" w:sz="0" w:space="0" w:color="auto"/>
        <w:left w:val="none" w:sz="0" w:space="0" w:color="auto"/>
        <w:bottom w:val="none" w:sz="0" w:space="0" w:color="auto"/>
        <w:right w:val="none" w:sz="0" w:space="0" w:color="auto"/>
      </w:divBdr>
    </w:div>
    <w:div w:id="1566453716">
      <w:bodyDiv w:val="1"/>
      <w:marLeft w:val="0"/>
      <w:marRight w:val="0"/>
      <w:marTop w:val="0"/>
      <w:marBottom w:val="0"/>
      <w:divBdr>
        <w:top w:val="none" w:sz="0" w:space="0" w:color="auto"/>
        <w:left w:val="none" w:sz="0" w:space="0" w:color="auto"/>
        <w:bottom w:val="none" w:sz="0" w:space="0" w:color="auto"/>
        <w:right w:val="none" w:sz="0" w:space="0" w:color="auto"/>
      </w:divBdr>
    </w:div>
    <w:div w:id="1576938972">
      <w:bodyDiv w:val="1"/>
      <w:marLeft w:val="0"/>
      <w:marRight w:val="0"/>
      <w:marTop w:val="0"/>
      <w:marBottom w:val="0"/>
      <w:divBdr>
        <w:top w:val="none" w:sz="0" w:space="0" w:color="auto"/>
        <w:left w:val="none" w:sz="0" w:space="0" w:color="auto"/>
        <w:bottom w:val="none" w:sz="0" w:space="0" w:color="auto"/>
        <w:right w:val="none" w:sz="0" w:space="0" w:color="auto"/>
      </w:divBdr>
    </w:div>
    <w:div w:id="1599871931">
      <w:bodyDiv w:val="1"/>
      <w:marLeft w:val="0"/>
      <w:marRight w:val="0"/>
      <w:marTop w:val="0"/>
      <w:marBottom w:val="0"/>
      <w:divBdr>
        <w:top w:val="none" w:sz="0" w:space="0" w:color="auto"/>
        <w:left w:val="none" w:sz="0" w:space="0" w:color="auto"/>
        <w:bottom w:val="none" w:sz="0" w:space="0" w:color="auto"/>
        <w:right w:val="none" w:sz="0" w:space="0" w:color="auto"/>
      </w:divBdr>
    </w:div>
    <w:div w:id="1725328868">
      <w:bodyDiv w:val="1"/>
      <w:marLeft w:val="0"/>
      <w:marRight w:val="0"/>
      <w:marTop w:val="0"/>
      <w:marBottom w:val="0"/>
      <w:divBdr>
        <w:top w:val="none" w:sz="0" w:space="0" w:color="auto"/>
        <w:left w:val="none" w:sz="0" w:space="0" w:color="auto"/>
        <w:bottom w:val="none" w:sz="0" w:space="0" w:color="auto"/>
        <w:right w:val="none" w:sz="0" w:space="0" w:color="auto"/>
      </w:divBdr>
    </w:div>
    <w:div w:id="1763649724">
      <w:bodyDiv w:val="1"/>
      <w:marLeft w:val="0"/>
      <w:marRight w:val="0"/>
      <w:marTop w:val="0"/>
      <w:marBottom w:val="0"/>
      <w:divBdr>
        <w:top w:val="none" w:sz="0" w:space="0" w:color="auto"/>
        <w:left w:val="none" w:sz="0" w:space="0" w:color="auto"/>
        <w:bottom w:val="none" w:sz="0" w:space="0" w:color="auto"/>
        <w:right w:val="none" w:sz="0" w:space="0" w:color="auto"/>
      </w:divBdr>
    </w:div>
    <w:div w:id="1803376634">
      <w:bodyDiv w:val="1"/>
      <w:marLeft w:val="0"/>
      <w:marRight w:val="0"/>
      <w:marTop w:val="0"/>
      <w:marBottom w:val="0"/>
      <w:divBdr>
        <w:top w:val="none" w:sz="0" w:space="0" w:color="auto"/>
        <w:left w:val="none" w:sz="0" w:space="0" w:color="auto"/>
        <w:bottom w:val="none" w:sz="0" w:space="0" w:color="auto"/>
        <w:right w:val="none" w:sz="0" w:space="0" w:color="auto"/>
      </w:divBdr>
    </w:div>
    <w:div w:id="1827091537">
      <w:bodyDiv w:val="1"/>
      <w:marLeft w:val="0"/>
      <w:marRight w:val="0"/>
      <w:marTop w:val="0"/>
      <w:marBottom w:val="0"/>
      <w:divBdr>
        <w:top w:val="none" w:sz="0" w:space="0" w:color="auto"/>
        <w:left w:val="none" w:sz="0" w:space="0" w:color="auto"/>
        <w:bottom w:val="none" w:sz="0" w:space="0" w:color="auto"/>
        <w:right w:val="none" w:sz="0" w:space="0" w:color="auto"/>
      </w:divBdr>
    </w:div>
    <w:div w:id="1843742508">
      <w:bodyDiv w:val="1"/>
      <w:marLeft w:val="0"/>
      <w:marRight w:val="0"/>
      <w:marTop w:val="0"/>
      <w:marBottom w:val="0"/>
      <w:divBdr>
        <w:top w:val="none" w:sz="0" w:space="0" w:color="auto"/>
        <w:left w:val="none" w:sz="0" w:space="0" w:color="auto"/>
        <w:bottom w:val="none" w:sz="0" w:space="0" w:color="auto"/>
        <w:right w:val="none" w:sz="0" w:space="0" w:color="auto"/>
      </w:divBdr>
    </w:div>
    <w:div w:id="1852908747">
      <w:bodyDiv w:val="1"/>
      <w:marLeft w:val="0"/>
      <w:marRight w:val="0"/>
      <w:marTop w:val="0"/>
      <w:marBottom w:val="0"/>
      <w:divBdr>
        <w:top w:val="none" w:sz="0" w:space="0" w:color="auto"/>
        <w:left w:val="none" w:sz="0" w:space="0" w:color="auto"/>
        <w:bottom w:val="none" w:sz="0" w:space="0" w:color="auto"/>
        <w:right w:val="none" w:sz="0" w:space="0" w:color="auto"/>
      </w:divBdr>
    </w:div>
    <w:div w:id="1866596786">
      <w:bodyDiv w:val="1"/>
      <w:marLeft w:val="0"/>
      <w:marRight w:val="0"/>
      <w:marTop w:val="0"/>
      <w:marBottom w:val="0"/>
      <w:divBdr>
        <w:top w:val="none" w:sz="0" w:space="0" w:color="auto"/>
        <w:left w:val="none" w:sz="0" w:space="0" w:color="auto"/>
        <w:bottom w:val="none" w:sz="0" w:space="0" w:color="auto"/>
        <w:right w:val="none" w:sz="0" w:space="0" w:color="auto"/>
      </w:divBdr>
    </w:div>
    <w:div w:id="1886065995">
      <w:bodyDiv w:val="1"/>
      <w:marLeft w:val="0"/>
      <w:marRight w:val="0"/>
      <w:marTop w:val="0"/>
      <w:marBottom w:val="0"/>
      <w:divBdr>
        <w:top w:val="none" w:sz="0" w:space="0" w:color="auto"/>
        <w:left w:val="none" w:sz="0" w:space="0" w:color="auto"/>
        <w:bottom w:val="none" w:sz="0" w:space="0" w:color="auto"/>
        <w:right w:val="none" w:sz="0" w:space="0" w:color="auto"/>
      </w:divBdr>
    </w:div>
    <w:div w:id="1890068601">
      <w:bodyDiv w:val="1"/>
      <w:marLeft w:val="0"/>
      <w:marRight w:val="0"/>
      <w:marTop w:val="0"/>
      <w:marBottom w:val="0"/>
      <w:divBdr>
        <w:top w:val="none" w:sz="0" w:space="0" w:color="auto"/>
        <w:left w:val="none" w:sz="0" w:space="0" w:color="auto"/>
        <w:bottom w:val="none" w:sz="0" w:space="0" w:color="auto"/>
        <w:right w:val="none" w:sz="0" w:space="0" w:color="auto"/>
      </w:divBdr>
    </w:div>
    <w:div w:id="1911766037">
      <w:bodyDiv w:val="1"/>
      <w:marLeft w:val="0"/>
      <w:marRight w:val="0"/>
      <w:marTop w:val="0"/>
      <w:marBottom w:val="0"/>
      <w:divBdr>
        <w:top w:val="none" w:sz="0" w:space="0" w:color="auto"/>
        <w:left w:val="none" w:sz="0" w:space="0" w:color="auto"/>
        <w:bottom w:val="none" w:sz="0" w:space="0" w:color="auto"/>
        <w:right w:val="none" w:sz="0" w:space="0" w:color="auto"/>
      </w:divBdr>
      <w:divsChild>
        <w:div w:id="1101879679">
          <w:marLeft w:val="0"/>
          <w:marRight w:val="0"/>
          <w:marTop w:val="0"/>
          <w:marBottom w:val="0"/>
          <w:divBdr>
            <w:top w:val="none" w:sz="0" w:space="0" w:color="auto"/>
            <w:left w:val="none" w:sz="0" w:space="0" w:color="auto"/>
            <w:bottom w:val="none" w:sz="0" w:space="0" w:color="auto"/>
            <w:right w:val="none" w:sz="0" w:space="0" w:color="auto"/>
          </w:divBdr>
          <w:divsChild>
            <w:div w:id="199978987">
              <w:marLeft w:val="0"/>
              <w:marRight w:val="0"/>
              <w:marTop w:val="0"/>
              <w:marBottom w:val="0"/>
              <w:divBdr>
                <w:top w:val="none" w:sz="0" w:space="0" w:color="auto"/>
                <w:left w:val="none" w:sz="0" w:space="0" w:color="auto"/>
                <w:bottom w:val="none" w:sz="0" w:space="0" w:color="auto"/>
                <w:right w:val="none" w:sz="0" w:space="0" w:color="auto"/>
              </w:divBdr>
            </w:div>
          </w:divsChild>
        </w:div>
        <w:div w:id="1342781594">
          <w:marLeft w:val="0"/>
          <w:marRight w:val="0"/>
          <w:marTop w:val="0"/>
          <w:marBottom w:val="0"/>
          <w:divBdr>
            <w:top w:val="none" w:sz="0" w:space="0" w:color="auto"/>
            <w:left w:val="none" w:sz="0" w:space="0" w:color="auto"/>
            <w:bottom w:val="none" w:sz="0" w:space="0" w:color="auto"/>
            <w:right w:val="none" w:sz="0" w:space="0" w:color="auto"/>
          </w:divBdr>
        </w:div>
      </w:divsChild>
    </w:div>
    <w:div w:id="1926114083">
      <w:bodyDiv w:val="1"/>
      <w:marLeft w:val="0"/>
      <w:marRight w:val="0"/>
      <w:marTop w:val="0"/>
      <w:marBottom w:val="0"/>
      <w:divBdr>
        <w:top w:val="none" w:sz="0" w:space="0" w:color="auto"/>
        <w:left w:val="none" w:sz="0" w:space="0" w:color="auto"/>
        <w:bottom w:val="none" w:sz="0" w:space="0" w:color="auto"/>
        <w:right w:val="none" w:sz="0" w:space="0" w:color="auto"/>
      </w:divBdr>
    </w:div>
    <w:div w:id="1926761775">
      <w:bodyDiv w:val="1"/>
      <w:marLeft w:val="0"/>
      <w:marRight w:val="0"/>
      <w:marTop w:val="0"/>
      <w:marBottom w:val="0"/>
      <w:divBdr>
        <w:top w:val="none" w:sz="0" w:space="0" w:color="auto"/>
        <w:left w:val="none" w:sz="0" w:space="0" w:color="auto"/>
        <w:bottom w:val="none" w:sz="0" w:space="0" w:color="auto"/>
        <w:right w:val="none" w:sz="0" w:space="0" w:color="auto"/>
      </w:divBdr>
    </w:div>
    <w:div w:id="1942952599">
      <w:bodyDiv w:val="1"/>
      <w:marLeft w:val="0"/>
      <w:marRight w:val="0"/>
      <w:marTop w:val="0"/>
      <w:marBottom w:val="0"/>
      <w:divBdr>
        <w:top w:val="none" w:sz="0" w:space="0" w:color="auto"/>
        <w:left w:val="none" w:sz="0" w:space="0" w:color="auto"/>
        <w:bottom w:val="none" w:sz="0" w:space="0" w:color="auto"/>
        <w:right w:val="none" w:sz="0" w:space="0" w:color="auto"/>
      </w:divBdr>
    </w:div>
    <w:div w:id="1951279690">
      <w:bodyDiv w:val="1"/>
      <w:marLeft w:val="0"/>
      <w:marRight w:val="0"/>
      <w:marTop w:val="0"/>
      <w:marBottom w:val="0"/>
      <w:divBdr>
        <w:top w:val="none" w:sz="0" w:space="0" w:color="auto"/>
        <w:left w:val="none" w:sz="0" w:space="0" w:color="auto"/>
        <w:bottom w:val="none" w:sz="0" w:space="0" w:color="auto"/>
        <w:right w:val="none" w:sz="0" w:space="0" w:color="auto"/>
      </w:divBdr>
    </w:div>
    <w:div w:id="1977031484">
      <w:bodyDiv w:val="1"/>
      <w:marLeft w:val="0"/>
      <w:marRight w:val="0"/>
      <w:marTop w:val="0"/>
      <w:marBottom w:val="0"/>
      <w:divBdr>
        <w:top w:val="none" w:sz="0" w:space="0" w:color="auto"/>
        <w:left w:val="none" w:sz="0" w:space="0" w:color="auto"/>
        <w:bottom w:val="none" w:sz="0" w:space="0" w:color="auto"/>
        <w:right w:val="none" w:sz="0" w:space="0" w:color="auto"/>
      </w:divBdr>
    </w:div>
    <w:div w:id="1993605903">
      <w:bodyDiv w:val="1"/>
      <w:marLeft w:val="0"/>
      <w:marRight w:val="0"/>
      <w:marTop w:val="0"/>
      <w:marBottom w:val="0"/>
      <w:divBdr>
        <w:top w:val="none" w:sz="0" w:space="0" w:color="auto"/>
        <w:left w:val="none" w:sz="0" w:space="0" w:color="auto"/>
        <w:bottom w:val="none" w:sz="0" w:space="0" w:color="auto"/>
        <w:right w:val="none" w:sz="0" w:space="0" w:color="auto"/>
      </w:divBdr>
    </w:div>
    <w:div w:id="2001737196">
      <w:bodyDiv w:val="1"/>
      <w:marLeft w:val="0"/>
      <w:marRight w:val="0"/>
      <w:marTop w:val="0"/>
      <w:marBottom w:val="0"/>
      <w:divBdr>
        <w:top w:val="none" w:sz="0" w:space="0" w:color="auto"/>
        <w:left w:val="none" w:sz="0" w:space="0" w:color="auto"/>
        <w:bottom w:val="none" w:sz="0" w:space="0" w:color="auto"/>
        <w:right w:val="none" w:sz="0" w:space="0" w:color="auto"/>
      </w:divBdr>
    </w:div>
    <w:div w:id="2014799243">
      <w:bodyDiv w:val="1"/>
      <w:marLeft w:val="0"/>
      <w:marRight w:val="0"/>
      <w:marTop w:val="0"/>
      <w:marBottom w:val="0"/>
      <w:divBdr>
        <w:top w:val="none" w:sz="0" w:space="0" w:color="auto"/>
        <w:left w:val="none" w:sz="0" w:space="0" w:color="auto"/>
        <w:bottom w:val="none" w:sz="0" w:space="0" w:color="auto"/>
        <w:right w:val="none" w:sz="0" w:space="0" w:color="auto"/>
      </w:divBdr>
    </w:div>
    <w:div w:id="2015957270">
      <w:bodyDiv w:val="1"/>
      <w:marLeft w:val="0"/>
      <w:marRight w:val="0"/>
      <w:marTop w:val="0"/>
      <w:marBottom w:val="0"/>
      <w:divBdr>
        <w:top w:val="none" w:sz="0" w:space="0" w:color="auto"/>
        <w:left w:val="none" w:sz="0" w:space="0" w:color="auto"/>
        <w:bottom w:val="none" w:sz="0" w:space="0" w:color="auto"/>
        <w:right w:val="none" w:sz="0" w:space="0" w:color="auto"/>
      </w:divBdr>
    </w:div>
    <w:div w:id="2025521376">
      <w:bodyDiv w:val="1"/>
      <w:marLeft w:val="0"/>
      <w:marRight w:val="0"/>
      <w:marTop w:val="0"/>
      <w:marBottom w:val="0"/>
      <w:divBdr>
        <w:top w:val="none" w:sz="0" w:space="0" w:color="auto"/>
        <w:left w:val="none" w:sz="0" w:space="0" w:color="auto"/>
        <w:bottom w:val="none" w:sz="0" w:space="0" w:color="auto"/>
        <w:right w:val="none" w:sz="0" w:space="0" w:color="auto"/>
      </w:divBdr>
    </w:div>
    <w:div w:id="2058894857">
      <w:bodyDiv w:val="1"/>
      <w:marLeft w:val="0"/>
      <w:marRight w:val="0"/>
      <w:marTop w:val="0"/>
      <w:marBottom w:val="0"/>
      <w:divBdr>
        <w:top w:val="none" w:sz="0" w:space="0" w:color="auto"/>
        <w:left w:val="none" w:sz="0" w:space="0" w:color="auto"/>
        <w:bottom w:val="none" w:sz="0" w:space="0" w:color="auto"/>
        <w:right w:val="none" w:sz="0" w:space="0" w:color="auto"/>
      </w:divBdr>
    </w:div>
    <w:div w:id="2071464412">
      <w:bodyDiv w:val="1"/>
      <w:marLeft w:val="0"/>
      <w:marRight w:val="0"/>
      <w:marTop w:val="0"/>
      <w:marBottom w:val="0"/>
      <w:divBdr>
        <w:top w:val="none" w:sz="0" w:space="0" w:color="auto"/>
        <w:left w:val="none" w:sz="0" w:space="0" w:color="auto"/>
        <w:bottom w:val="none" w:sz="0" w:space="0" w:color="auto"/>
        <w:right w:val="none" w:sz="0" w:space="0" w:color="auto"/>
      </w:divBdr>
    </w:div>
    <w:div w:id="2086686384">
      <w:bodyDiv w:val="1"/>
      <w:marLeft w:val="0"/>
      <w:marRight w:val="0"/>
      <w:marTop w:val="0"/>
      <w:marBottom w:val="0"/>
      <w:divBdr>
        <w:top w:val="none" w:sz="0" w:space="0" w:color="auto"/>
        <w:left w:val="none" w:sz="0" w:space="0" w:color="auto"/>
        <w:bottom w:val="none" w:sz="0" w:space="0" w:color="auto"/>
        <w:right w:val="none" w:sz="0" w:space="0" w:color="auto"/>
      </w:divBdr>
    </w:div>
    <w:div w:id="2097480489">
      <w:bodyDiv w:val="1"/>
      <w:marLeft w:val="0"/>
      <w:marRight w:val="0"/>
      <w:marTop w:val="0"/>
      <w:marBottom w:val="0"/>
      <w:divBdr>
        <w:top w:val="none" w:sz="0" w:space="0" w:color="auto"/>
        <w:left w:val="none" w:sz="0" w:space="0" w:color="auto"/>
        <w:bottom w:val="none" w:sz="0" w:space="0" w:color="auto"/>
        <w:right w:val="none" w:sz="0" w:space="0" w:color="auto"/>
      </w:divBdr>
      <w:divsChild>
        <w:div w:id="135028598">
          <w:marLeft w:val="360"/>
          <w:marRight w:val="0"/>
          <w:marTop w:val="0"/>
          <w:marBottom w:val="0"/>
          <w:divBdr>
            <w:top w:val="none" w:sz="0" w:space="0" w:color="auto"/>
            <w:left w:val="none" w:sz="0" w:space="0" w:color="auto"/>
            <w:bottom w:val="none" w:sz="0" w:space="0" w:color="auto"/>
            <w:right w:val="none" w:sz="0" w:space="0" w:color="auto"/>
          </w:divBdr>
        </w:div>
        <w:div w:id="513500025">
          <w:marLeft w:val="1080"/>
          <w:marRight w:val="0"/>
          <w:marTop w:val="0"/>
          <w:marBottom w:val="0"/>
          <w:divBdr>
            <w:top w:val="none" w:sz="0" w:space="0" w:color="auto"/>
            <w:left w:val="none" w:sz="0" w:space="0" w:color="auto"/>
            <w:bottom w:val="none" w:sz="0" w:space="0" w:color="auto"/>
            <w:right w:val="none" w:sz="0" w:space="0" w:color="auto"/>
          </w:divBdr>
        </w:div>
        <w:div w:id="640504861">
          <w:marLeft w:val="1080"/>
          <w:marRight w:val="0"/>
          <w:marTop w:val="0"/>
          <w:marBottom w:val="0"/>
          <w:divBdr>
            <w:top w:val="none" w:sz="0" w:space="0" w:color="auto"/>
            <w:left w:val="none" w:sz="0" w:space="0" w:color="auto"/>
            <w:bottom w:val="none" w:sz="0" w:space="0" w:color="auto"/>
            <w:right w:val="none" w:sz="0" w:space="0" w:color="auto"/>
          </w:divBdr>
        </w:div>
        <w:div w:id="1992129756">
          <w:marLeft w:val="1080"/>
          <w:marRight w:val="0"/>
          <w:marTop w:val="0"/>
          <w:marBottom w:val="0"/>
          <w:divBdr>
            <w:top w:val="none" w:sz="0" w:space="0" w:color="auto"/>
            <w:left w:val="none" w:sz="0" w:space="0" w:color="auto"/>
            <w:bottom w:val="none" w:sz="0" w:space="0" w:color="auto"/>
            <w:right w:val="none" w:sz="0" w:space="0" w:color="auto"/>
          </w:divBdr>
        </w:div>
      </w:divsChild>
    </w:div>
    <w:div w:id="210267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ved=2ahUKEwjS0fmvwtT3AhWUhv0HHVgGCacQFnoECAIQAQ&amp;url=https://news.un.org/pages/wp-content/uploads/2022/04/UN-GCRG-Brief-1.pdf&amp;usg=AOvVaw0WPUlkW_Cqpd-2PB0HmR9y" TargetMode="External"/><Relationship Id="rId13" Type="http://schemas.openxmlformats.org/officeDocument/2006/relationships/hyperlink" Target="https://www.irena.org/publications/2019/Apr/Global-energy-transformation-A-roadmap-to-2050-2019Edition" TargetMode="External"/><Relationship Id="rId3" Type="http://schemas.openxmlformats.org/officeDocument/2006/relationships/hyperlink" Target="https://energy.ec.europa.eu/topics/infrastructure/trans-european-networks-energy_en" TargetMode="External"/><Relationship Id="rId7" Type="http://schemas.openxmlformats.org/officeDocument/2006/relationships/hyperlink" Target="https://www.google.com/url?sa=t&amp;rct=j&amp;q=&amp;esrc=s&amp;source=web&amp;cd=&amp;ved=2ahUKEwid0JLOwtT3AhWwgv0HHVBeAp0QFnoECAgQAQ&amp;url=https://unctad.org/system/files/official-document/tdr2021-update1_en.pdf&amp;usg=AOvVaw1q0T_D_CdKLHEmOokFKnji" TargetMode="External"/><Relationship Id="rId12" Type="http://schemas.openxmlformats.org/officeDocument/2006/relationships/hyperlink" Target="https://www.irena.org/publications/2019/Apr/Global-energy-transformation-A-roadmap-to-2050-2019Edition" TargetMode="External"/><Relationship Id="rId17" Type="http://schemas.openxmlformats.org/officeDocument/2006/relationships/hyperlink" Target="https://eur-lex.europa.eu/legal-content/FI/ALL/?uri=CELEX:52021JC0003" TargetMode="External"/><Relationship Id="rId2" Type="http://schemas.openxmlformats.org/officeDocument/2006/relationships/hyperlink" Target="https://ec.europa.eu/commission/presscorner/detail/en/STATEMENT_22_1989" TargetMode="External"/><Relationship Id="rId16" Type="http://schemas.openxmlformats.org/officeDocument/2006/relationships/hyperlink" Target="https://ec.europa.eu/info/energy-climate-change-environment/standards-tools-and-labels/products-labelling-rules-and-requirements/sustainable-products/about-sustainable-products_fi" TargetMode="External"/><Relationship Id="rId1" Type="http://schemas.openxmlformats.org/officeDocument/2006/relationships/hyperlink" Target="https://ec.europa.eu/commission/presscorner/detail/en/STATEMENT_22_2041" TargetMode="External"/><Relationship Id="rId6" Type="http://schemas.openxmlformats.org/officeDocument/2006/relationships/hyperlink" Target="https://www.globalmethanepledge.org/" TargetMode="External"/><Relationship Id="rId11" Type="http://schemas.openxmlformats.org/officeDocument/2006/relationships/hyperlink" Target="https://www.irena.org/publications/2022/Mar/World-Energy-Transitions-Outlook-2022" TargetMode="External"/><Relationship Id="rId5" Type="http://schemas.openxmlformats.org/officeDocument/2006/relationships/hyperlink" Target="https://ec.europa.eu/info/law/better-regulation/have-your-say/initiatives/12504-EUn-metaanistrategia_fi" TargetMode="External"/><Relationship Id="rId15" Type="http://schemas.openxmlformats.org/officeDocument/2006/relationships/hyperlink" Target="https://ec.europa.eu/docsroom/documents/42881" TargetMode="External"/><Relationship Id="rId10" Type="http://schemas.openxmlformats.org/officeDocument/2006/relationships/hyperlink" Target="https://www.irena.org/publications/2022/Mar/World-Energy-Transitions-Outlook-2022" TargetMode="External"/><Relationship Id="rId4" Type="http://schemas.openxmlformats.org/officeDocument/2006/relationships/hyperlink" Target="https://www.iea.org/reports/methane-tracker-2020" TargetMode="External"/><Relationship Id="rId9" Type="http://schemas.openxmlformats.org/officeDocument/2006/relationships/hyperlink" Target="https://news.un.org/pages/global-crisis-response-group/" TargetMode="External"/><Relationship Id="rId14" Type="http://schemas.openxmlformats.org/officeDocument/2006/relationships/hyperlink" Target="https://eur-lex.europa.eu/legal-content/FI/TXT/PDF/?uri=CELEX:52021DC0252&amp;qid=1653292359982"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CF4239AB51A4EB929CA07116AF5D7" ma:contentTypeVersion="4" ma:contentTypeDescription="Create a new document." ma:contentTypeScope="" ma:versionID="611572022f38fd8cdfc00c3437dc0d51">
  <xsd:schema xmlns:xsd="http://www.w3.org/2001/XMLSchema" xmlns:xs="http://www.w3.org/2001/XMLSchema" xmlns:p="http://schemas.microsoft.com/office/2006/metadata/properties" xmlns:ns3="b7f4df02-7fd3-4055-a763-2359051bb332" targetNamespace="http://schemas.microsoft.com/office/2006/metadata/properties" ma:root="true" ma:fieldsID="cb3359c41eeb6b905d908ac8dd0cfc60" ns3:_="">
    <xsd:import namespace="b7f4df02-7fd3-4055-a763-2359051bb3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df02-7fd3-4055-a763-2359051bb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868D-078C-4E17-98B1-AB16831A6CA8}">
  <ds:schemaRefs>
    <ds:schemaRef ds:uri="http://schemas.microsoft.com/sharepoint/v3/contenttype/forms"/>
  </ds:schemaRefs>
</ds:datastoreItem>
</file>

<file path=customXml/itemProps2.xml><?xml version="1.0" encoding="utf-8"?>
<ds:datastoreItem xmlns:ds="http://schemas.openxmlformats.org/officeDocument/2006/customXml" ds:itemID="{9213BBB1-A751-4642-AA6B-F49298E7B36A}">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b7f4df02-7fd3-4055-a763-2359051bb332"/>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D82D8970-C7B7-4F6C-89B7-16ADADECE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df02-7fd3-4055-a763-2359051bb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88C24-A07B-4953-B355-2848D234E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24</Pages>
  <Words>6184</Words>
  <Characters>53806</Characters>
  <Application>Microsoft Office Word</Application>
  <DocSecurity>0</DocSecurity>
  <Lines>791</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cp:lastPrinted>2022-05-10T09:54:00Z</cp:lastPrinted>
  <dcterms:created xsi:type="dcterms:W3CDTF">2022-06-07T08:15:00Z</dcterms:created>
  <dcterms:modified xsi:type="dcterms:W3CDTF">2022-06-09T15:04:00Z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CP-016</vt:lpwstr>
  </property>
  <property fmtid="{D5CDD505-2E9C-101B-9397-08002B2CF9AE}" pid="7" name="Last edited using">
    <vt:lpwstr>LW 8.0, Build 20220128</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2022-04-24T11:00:37Z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05e13524-d70e-4b76-98d3-6f4f6b3db628</vt:lpwstr>
  </property>
  <property fmtid="{D5CDD505-2E9C-101B-9397-08002B2CF9AE}" pid="15" name="MSIP_Label_6bd9ddd1-4d20-43f6-abfa-fc3c07406f94_ContentBits">
    <vt:lpwstr>0</vt:lpwstr>
  </property>
  <property fmtid="{D5CDD505-2E9C-101B-9397-08002B2CF9AE}" pid="16" name="ContentTypeId">
    <vt:lpwstr>0x010100FA6CF4239AB51A4EB929CA07116AF5D7</vt:lpwstr>
  </property>
</Properties>
</file>