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D367" w14:textId="1FDAC022" w:rsidR="00CA53FB" w:rsidRPr="00E82C90" w:rsidRDefault="00B112FD" w:rsidP="00B112FD">
      <w:pPr>
        <w:pStyle w:val="Pagedecouverture"/>
        <w:rPr>
          <w:noProof/>
        </w:rPr>
      </w:pPr>
      <w:bookmarkStart w:id="0" w:name="LW_BM_COVERPAGE"/>
      <w:r>
        <w:rPr>
          <w:noProof/>
        </w:rPr>
        <w:pict w14:anchorId="069EB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8C15EC-22D0-4DE8-8A63-E072E4B27769" style="width:455.25pt;height:336.75pt">
            <v:imagedata r:id="rId11" o:title=""/>
          </v:shape>
        </w:pict>
      </w:r>
    </w:p>
    <w:bookmarkEnd w:id="0"/>
    <w:p w14:paraId="1F67EF5C" w14:textId="77777777" w:rsidR="004E0D97" w:rsidRPr="00E82C90" w:rsidRDefault="004E0D97" w:rsidP="004E0D97">
      <w:pPr>
        <w:pStyle w:val="Pagedecouverture"/>
        <w:rPr>
          <w:noProof/>
        </w:rPr>
        <w:sectPr w:rsidR="004E0D97" w:rsidRPr="00E82C90" w:rsidSect="00B112F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566733" w14:textId="77777777" w:rsidR="007E1E4D" w:rsidRPr="00E82C90" w:rsidRDefault="00B15F99" w:rsidP="00AA5D14">
      <w:pPr>
        <w:pStyle w:val="Heading1"/>
        <w:numPr>
          <w:ilvl w:val="0"/>
          <w:numId w:val="1"/>
        </w:numPr>
        <w:spacing w:after="240"/>
        <w:rPr>
          <w:rFonts w:ascii="Times New Roman" w:eastAsia="Times New Roman" w:hAnsi="Times New Roman" w:cs="Times New Roman"/>
          <w:b/>
          <w:noProof/>
          <w:color w:val="auto"/>
          <w:sz w:val="24"/>
          <w:szCs w:val="24"/>
        </w:rPr>
      </w:pPr>
      <w:bookmarkStart w:id="1" w:name="_Toc99964840"/>
      <w:bookmarkStart w:id="2" w:name="_GoBack"/>
      <w:bookmarkEnd w:id="2"/>
      <w:r w:rsidRPr="00E82C90">
        <w:rPr>
          <w:rFonts w:ascii="Times New Roman" w:hAnsi="Times New Roman"/>
          <w:b/>
          <w:noProof/>
          <w:color w:val="auto"/>
          <w:sz w:val="24"/>
          <w:szCs w:val="24"/>
        </w:rPr>
        <w:lastRenderedPageBreak/>
        <w:t>Wprowadzenie</w:t>
      </w:r>
      <w:bookmarkEnd w:id="1"/>
    </w:p>
    <w:p w14:paraId="1F4067A4" w14:textId="0E3A7F9C" w:rsidR="00FF76D5" w:rsidRPr="00E82C90" w:rsidRDefault="00AB52E1" w:rsidP="00FF76D5">
      <w:pPr>
        <w:jc w:val="both"/>
        <w:rPr>
          <w:rFonts w:ascii="Times New Roman" w:hAnsi="Times New Roman" w:cs="Times New Roman"/>
          <w:noProof/>
          <w:sz w:val="24"/>
          <w:szCs w:val="24"/>
        </w:rPr>
      </w:pPr>
      <w:bookmarkStart w:id="3" w:name="_Hlk103348741"/>
      <w:r w:rsidRPr="00E82C90">
        <w:rPr>
          <w:rFonts w:ascii="Times New Roman" w:hAnsi="Times New Roman"/>
          <w:noProof/>
          <w:sz w:val="24"/>
          <w:szCs w:val="24"/>
        </w:rPr>
        <w:t>Unia Europejska</w:t>
      </w:r>
      <w:r w:rsidR="00E82C90" w:rsidRPr="00E82C90">
        <w:rPr>
          <w:rFonts w:ascii="Times New Roman" w:hAnsi="Times New Roman"/>
          <w:noProof/>
          <w:sz w:val="24"/>
          <w:szCs w:val="24"/>
        </w:rPr>
        <w:t xml:space="preserve"> i świ</w:t>
      </w:r>
      <w:r w:rsidRPr="00E82C90">
        <w:rPr>
          <w:rFonts w:ascii="Times New Roman" w:hAnsi="Times New Roman"/>
          <w:noProof/>
          <w:sz w:val="24"/>
          <w:szCs w:val="24"/>
        </w:rPr>
        <w:t>at stoją</w:t>
      </w:r>
      <w:r w:rsidR="00E82C90" w:rsidRPr="00E82C90">
        <w:rPr>
          <w:rFonts w:ascii="Times New Roman" w:hAnsi="Times New Roman"/>
          <w:noProof/>
          <w:sz w:val="24"/>
          <w:szCs w:val="24"/>
        </w:rPr>
        <w:t xml:space="preserve"> w obl</w:t>
      </w:r>
      <w:r w:rsidRPr="00E82C90">
        <w:rPr>
          <w:rFonts w:ascii="Times New Roman" w:hAnsi="Times New Roman"/>
          <w:noProof/>
          <w:sz w:val="24"/>
          <w:szCs w:val="24"/>
        </w:rPr>
        <w:t xml:space="preserve">iczu </w:t>
      </w:r>
      <w:r w:rsidRPr="00E82C90">
        <w:rPr>
          <w:rFonts w:ascii="Times New Roman" w:hAnsi="Times New Roman"/>
          <w:b/>
          <w:bCs/>
          <w:noProof/>
          <w:sz w:val="24"/>
          <w:szCs w:val="24"/>
        </w:rPr>
        <w:t>egzystencjalnego zagrożenia wynikającego ze zmiany klimatu</w:t>
      </w:r>
      <w:r w:rsidR="00E82C90" w:rsidRPr="00E82C90">
        <w:rPr>
          <w:rFonts w:ascii="Times New Roman" w:hAnsi="Times New Roman"/>
          <w:b/>
          <w:bCs/>
          <w:noProof/>
          <w:sz w:val="24"/>
          <w:szCs w:val="24"/>
        </w:rPr>
        <w:t xml:space="preserve"> i nar</w:t>
      </w:r>
      <w:r w:rsidRPr="00E82C90">
        <w:rPr>
          <w:rFonts w:ascii="Times New Roman" w:hAnsi="Times New Roman"/>
          <w:b/>
          <w:bCs/>
          <w:noProof/>
          <w:sz w:val="24"/>
          <w:szCs w:val="24"/>
        </w:rPr>
        <w:t>astającego kryzysu energetycznego</w:t>
      </w:r>
      <w:r w:rsidRPr="00E82C90">
        <w:rPr>
          <w:rFonts w:ascii="Times New Roman" w:hAnsi="Times New Roman"/>
          <w:noProof/>
          <w:sz w:val="24"/>
          <w:szCs w:val="24"/>
        </w:rPr>
        <w:t xml:space="preserve">. </w:t>
      </w:r>
      <w:bookmarkEnd w:id="3"/>
      <w:r w:rsidRPr="00E82C90">
        <w:rPr>
          <w:rFonts w:ascii="Times New Roman" w:hAnsi="Times New Roman"/>
          <w:noProof/>
          <w:sz w:val="24"/>
          <w:szCs w:val="24"/>
        </w:rPr>
        <w:t>Jeśli nie przyspieszymy działań na rzecz walki ze zmianą klimatu</w:t>
      </w:r>
      <w:r w:rsidR="00E82C90" w:rsidRPr="00E82C90">
        <w:rPr>
          <w:rFonts w:ascii="Times New Roman" w:hAnsi="Times New Roman"/>
          <w:noProof/>
          <w:sz w:val="24"/>
          <w:szCs w:val="24"/>
        </w:rPr>
        <w:t xml:space="preserve"> i nie</w:t>
      </w:r>
      <w:r w:rsidRPr="00E82C90">
        <w:rPr>
          <w:rFonts w:ascii="Times New Roman" w:hAnsi="Times New Roman"/>
          <w:noProof/>
          <w:sz w:val="24"/>
          <w:szCs w:val="24"/>
        </w:rPr>
        <w:t xml:space="preserve"> zaczniemy przeciwdziałać utracie różnorodności biologicznej, cele uzgodnione</w:t>
      </w:r>
      <w:r w:rsidR="00E82C90" w:rsidRPr="00E82C90">
        <w:rPr>
          <w:rFonts w:ascii="Times New Roman" w:hAnsi="Times New Roman"/>
          <w:noProof/>
          <w:sz w:val="24"/>
          <w:szCs w:val="24"/>
        </w:rPr>
        <w:t xml:space="preserve"> w Par</w:t>
      </w:r>
      <w:r w:rsidRPr="00E82C90">
        <w:rPr>
          <w:rFonts w:ascii="Times New Roman" w:hAnsi="Times New Roman"/>
          <w:noProof/>
          <w:sz w:val="24"/>
          <w:szCs w:val="24"/>
        </w:rPr>
        <w:t>yżu znajdą się poza naszym zasięgiem,</w:t>
      </w:r>
      <w:r w:rsidR="00E82C90" w:rsidRPr="00E82C90">
        <w:rPr>
          <w:rFonts w:ascii="Times New Roman" w:hAnsi="Times New Roman"/>
          <w:noProof/>
          <w:sz w:val="24"/>
          <w:szCs w:val="24"/>
        </w:rPr>
        <w:t xml:space="preserve"> a wra</w:t>
      </w:r>
      <w:r w:rsidRPr="00E82C90">
        <w:rPr>
          <w:rFonts w:ascii="Times New Roman" w:hAnsi="Times New Roman"/>
          <w:noProof/>
          <w:sz w:val="24"/>
          <w:szCs w:val="24"/>
        </w:rPr>
        <w:t>z</w:t>
      </w:r>
      <w:r w:rsidR="00E82C90" w:rsidRPr="00E82C90">
        <w:rPr>
          <w:rFonts w:ascii="Times New Roman" w:hAnsi="Times New Roman"/>
          <w:noProof/>
          <w:sz w:val="24"/>
          <w:szCs w:val="24"/>
        </w:rPr>
        <w:t xml:space="preserve"> z nim</w:t>
      </w:r>
      <w:r w:rsidRPr="00E82C90">
        <w:rPr>
          <w:rFonts w:ascii="Times New Roman" w:hAnsi="Times New Roman"/>
          <w:noProof/>
          <w:sz w:val="24"/>
          <w:szCs w:val="24"/>
        </w:rPr>
        <w:t>i możliwość uniknięcia pełnego kryzysu klimatycznego</w:t>
      </w:r>
      <w:r w:rsidR="00E82C90" w:rsidRPr="00E82C90">
        <w:rPr>
          <w:rFonts w:ascii="Times New Roman" w:hAnsi="Times New Roman"/>
          <w:noProof/>
          <w:sz w:val="24"/>
          <w:szCs w:val="24"/>
        </w:rPr>
        <w:t xml:space="preserve"> o kat</w:t>
      </w:r>
      <w:r w:rsidRPr="00E82C90">
        <w:rPr>
          <w:rFonts w:ascii="Times New Roman" w:hAnsi="Times New Roman"/>
          <w:noProof/>
          <w:sz w:val="24"/>
          <w:szCs w:val="24"/>
        </w:rPr>
        <w:t>astrofalnych skutkach dla ludzi</w:t>
      </w:r>
      <w:r w:rsidR="00E82C90" w:rsidRPr="00E82C90">
        <w:rPr>
          <w:rFonts w:ascii="Times New Roman" w:hAnsi="Times New Roman"/>
          <w:noProof/>
          <w:sz w:val="24"/>
          <w:szCs w:val="24"/>
        </w:rPr>
        <w:t xml:space="preserve"> i śro</w:t>
      </w:r>
      <w:r w:rsidRPr="00E82C90">
        <w:rPr>
          <w:rFonts w:ascii="Times New Roman" w:hAnsi="Times New Roman"/>
          <w:noProof/>
          <w:sz w:val="24"/>
          <w:szCs w:val="24"/>
        </w:rPr>
        <w:t xml:space="preserve">dowiska na całym świecie. </w:t>
      </w:r>
    </w:p>
    <w:p w14:paraId="04D4C816" w14:textId="72D29FC6"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W szóstym sprawozdaniu Międzyrządowego Zespołu ds. Zmian Klimatu stwierdzono, że globalne emisje gazów cieplarnianych muszą zostać obniżone</w:t>
      </w:r>
      <w:r w:rsidR="00E82C90" w:rsidRPr="00E82C90">
        <w:rPr>
          <w:rFonts w:ascii="Times New Roman" w:hAnsi="Times New Roman"/>
          <w:noProof/>
          <w:sz w:val="24"/>
          <w:szCs w:val="24"/>
        </w:rPr>
        <w:t xml:space="preserve"> o 4</w:t>
      </w:r>
      <w:r w:rsidRPr="00E82C90">
        <w:rPr>
          <w:rFonts w:ascii="Times New Roman" w:hAnsi="Times New Roman"/>
          <w:noProof/>
          <w:sz w:val="24"/>
          <w:szCs w:val="24"/>
        </w:rPr>
        <w:t>3</w:t>
      </w:r>
      <w:r w:rsidR="00E82C90" w:rsidRPr="00E82C90">
        <w:rPr>
          <w:rFonts w:ascii="Times New Roman" w:hAnsi="Times New Roman"/>
          <w:noProof/>
          <w:sz w:val="24"/>
          <w:szCs w:val="24"/>
        </w:rPr>
        <w:t> </w:t>
      </w:r>
      <w:r w:rsidRPr="00E82C90">
        <w:rPr>
          <w:rFonts w:ascii="Times New Roman" w:hAnsi="Times New Roman"/>
          <w:noProof/>
          <w:sz w:val="24"/>
          <w:szCs w:val="24"/>
        </w:rPr>
        <w:t>%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 xml:space="preserve">r., aby utrzymać się na drodze do osiągnięcia celu, jakim jest </w:t>
      </w:r>
      <w:r w:rsidRPr="00E82C90">
        <w:rPr>
          <w:rFonts w:ascii="Times New Roman" w:hAnsi="Times New Roman"/>
          <w:b/>
          <w:bCs/>
          <w:noProof/>
          <w:sz w:val="24"/>
          <w:szCs w:val="24"/>
        </w:rPr>
        <w:t>ograniczenie globalnego ocieplenia do</w:t>
      </w:r>
      <w:r w:rsidR="00E82C90" w:rsidRPr="00E82C90">
        <w:rPr>
          <w:rFonts w:ascii="Times New Roman" w:hAnsi="Times New Roman"/>
          <w:b/>
          <w:bCs/>
          <w:noProof/>
          <w:sz w:val="24"/>
          <w:szCs w:val="24"/>
        </w:rPr>
        <w:t> </w:t>
      </w:r>
      <w:r w:rsidRPr="00E82C90">
        <w:rPr>
          <w:rFonts w:ascii="Times New Roman" w:hAnsi="Times New Roman"/>
          <w:b/>
          <w:bCs/>
          <w:noProof/>
          <w:sz w:val="24"/>
          <w:szCs w:val="24"/>
        </w:rPr>
        <w:t>1,5</w:t>
      </w:r>
      <w:r w:rsidR="00E82C90" w:rsidRPr="00E82C90">
        <w:rPr>
          <w:rFonts w:ascii="Times New Roman" w:hAnsi="Times New Roman"/>
          <w:b/>
          <w:bCs/>
          <w:noProof/>
          <w:sz w:val="24"/>
          <w:szCs w:val="24"/>
        </w:rPr>
        <w:t> </w:t>
      </w:r>
      <w:r w:rsidRPr="00E82C90">
        <w:rPr>
          <w:rFonts w:ascii="Times New Roman" w:hAnsi="Times New Roman"/>
          <w:b/>
          <w:bCs/>
          <w:noProof/>
          <w:sz w:val="24"/>
          <w:szCs w:val="24"/>
        </w:rPr>
        <w:t>°C.</w:t>
      </w:r>
      <w:r w:rsidRPr="00E82C90">
        <w:rPr>
          <w:rFonts w:ascii="Times New Roman" w:hAnsi="Times New Roman"/>
          <w:noProof/>
          <w:sz w:val="24"/>
          <w:szCs w:val="24"/>
        </w:rPr>
        <w:t xml:space="preserve"> Ponieważ sektor energetyczny ma zasadnicze znaczenie dla osiągnięcia redukcji emisji gazów cieplarnianych, będzie on</w:t>
      </w:r>
      <w:r w:rsidR="00E82C90" w:rsidRPr="00E82C90">
        <w:rPr>
          <w:rFonts w:ascii="Times New Roman" w:hAnsi="Times New Roman"/>
          <w:noProof/>
          <w:sz w:val="24"/>
          <w:szCs w:val="24"/>
        </w:rPr>
        <w:t xml:space="preserve"> w cen</w:t>
      </w:r>
      <w:r w:rsidRPr="00E82C90">
        <w:rPr>
          <w:rFonts w:ascii="Times New Roman" w:hAnsi="Times New Roman"/>
          <w:noProof/>
          <w:sz w:val="24"/>
          <w:szCs w:val="24"/>
        </w:rPr>
        <w:t xml:space="preserve">trum tej transformacji. </w:t>
      </w:r>
    </w:p>
    <w:p w14:paraId="720CAEBC" w14:textId="41642C80"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 xml:space="preserve">Jednocześnie </w:t>
      </w:r>
      <w:r w:rsidRPr="00E82C90">
        <w:rPr>
          <w:rFonts w:ascii="Times New Roman" w:hAnsi="Times New Roman"/>
          <w:b/>
          <w:bCs/>
          <w:noProof/>
          <w:sz w:val="24"/>
          <w:szCs w:val="24"/>
        </w:rPr>
        <w:t>Rosja lekceważy zasady międzynarodowe, prowadząc niesprowokowaną</w:t>
      </w:r>
      <w:r w:rsidR="00E82C90" w:rsidRPr="00E82C90">
        <w:rPr>
          <w:rFonts w:ascii="Times New Roman" w:hAnsi="Times New Roman"/>
          <w:b/>
          <w:bCs/>
          <w:noProof/>
          <w:sz w:val="24"/>
          <w:szCs w:val="24"/>
        </w:rPr>
        <w:t xml:space="preserve"> i nie</w:t>
      </w:r>
      <w:r w:rsidRPr="00E82C90">
        <w:rPr>
          <w:rFonts w:ascii="Times New Roman" w:hAnsi="Times New Roman"/>
          <w:b/>
          <w:bCs/>
          <w:noProof/>
          <w:sz w:val="24"/>
          <w:szCs w:val="24"/>
        </w:rPr>
        <w:t>uzasadnioną wojnę napastniczą przeciwko Ukrainie</w:t>
      </w:r>
      <w:r w:rsidRPr="00E82C90">
        <w:rPr>
          <w:rFonts w:ascii="Times New Roman" w:hAnsi="Times New Roman"/>
          <w:noProof/>
          <w:sz w:val="24"/>
          <w:szCs w:val="24"/>
        </w:rPr>
        <w:t>. Wywołała ona zakłócenia na rynkach energii</w:t>
      </w:r>
      <w:r w:rsidR="00E82C90" w:rsidRPr="00E82C90">
        <w:rPr>
          <w:rFonts w:ascii="Times New Roman" w:hAnsi="Times New Roman"/>
          <w:noProof/>
          <w:sz w:val="24"/>
          <w:szCs w:val="24"/>
        </w:rPr>
        <w:t xml:space="preserve"> i żyw</w:t>
      </w:r>
      <w:r w:rsidRPr="00E82C90">
        <w:rPr>
          <w:rFonts w:ascii="Times New Roman" w:hAnsi="Times New Roman"/>
          <w:noProof/>
          <w:sz w:val="24"/>
          <w:szCs w:val="24"/>
        </w:rPr>
        <w:t>ności, powodując zwiększoną zmienność cenową</w:t>
      </w:r>
      <w:r w:rsidR="00E82C90" w:rsidRPr="00E82C90">
        <w:rPr>
          <w:rFonts w:ascii="Times New Roman" w:hAnsi="Times New Roman"/>
          <w:noProof/>
          <w:sz w:val="24"/>
          <w:szCs w:val="24"/>
        </w:rPr>
        <w:t xml:space="preserve"> i bra</w:t>
      </w:r>
      <w:r w:rsidRPr="00E82C90">
        <w:rPr>
          <w:rFonts w:ascii="Times New Roman" w:hAnsi="Times New Roman"/>
          <w:noProof/>
          <w:sz w:val="24"/>
          <w:szCs w:val="24"/>
        </w:rPr>
        <w:t>k bezpieczeństwa energetycznego, co ma wpływ nie tylko na jej bezpośrednie sąsiedztwo, ale na cały świat. Wymaga to reakcji, która uwzględni zarówno krótkoterminowe potrzeby, jak</w:t>
      </w:r>
      <w:r w:rsidR="00E82C90" w:rsidRPr="00E82C90">
        <w:rPr>
          <w:rFonts w:ascii="Times New Roman" w:hAnsi="Times New Roman"/>
          <w:noProof/>
          <w:sz w:val="24"/>
          <w:szCs w:val="24"/>
        </w:rPr>
        <w:t xml:space="preserve"> i dłu</w:t>
      </w:r>
      <w:r w:rsidRPr="00E82C90">
        <w:rPr>
          <w:rFonts w:ascii="Times New Roman" w:hAnsi="Times New Roman"/>
          <w:noProof/>
          <w:sz w:val="24"/>
          <w:szCs w:val="24"/>
        </w:rPr>
        <w:t>goterminowe konsekwencje dla UE</w:t>
      </w:r>
      <w:r w:rsidR="00E82C90" w:rsidRPr="00E82C90">
        <w:rPr>
          <w:rFonts w:ascii="Times New Roman" w:hAnsi="Times New Roman"/>
          <w:noProof/>
          <w:sz w:val="24"/>
          <w:szCs w:val="24"/>
        </w:rPr>
        <w:t xml:space="preserve"> i jej</w:t>
      </w:r>
      <w:r w:rsidRPr="00E82C90">
        <w:rPr>
          <w:rFonts w:ascii="Times New Roman" w:hAnsi="Times New Roman"/>
          <w:noProof/>
          <w:sz w:val="24"/>
          <w:szCs w:val="24"/>
        </w:rPr>
        <w:t xml:space="preserve"> partnerów. UE</w:t>
      </w:r>
      <w:r w:rsidR="00E82C90" w:rsidRPr="00E82C90">
        <w:rPr>
          <w:rFonts w:ascii="Times New Roman" w:hAnsi="Times New Roman"/>
          <w:noProof/>
          <w:sz w:val="24"/>
          <w:szCs w:val="24"/>
        </w:rPr>
        <w:t xml:space="preserve"> w peł</w:t>
      </w:r>
      <w:r w:rsidRPr="00E82C90">
        <w:rPr>
          <w:rFonts w:ascii="Times New Roman" w:hAnsi="Times New Roman"/>
          <w:noProof/>
          <w:sz w:val="24"/>
          <w:szCs w:val="24"/>
        </w:rPr>
        <w:t>ni solidaryzuje się</w:t>
      </w:r>
      <w:r w:rsidR="00E82C90" w:rsidRPr="00E82C90">
        <w:rPr>
          <w:rFonts w:ascii="Times New Roman" w:hAnsi="Times New Roman"/>
          <w:noProof/>
          <w:sz w:val="24"/>
          <w:szCs w:val="24"/>
        </w:rPr>
        <w:t xml:space="preserve"> z Ukr</w:t>
      </w:r>
      <w:r w:rsidRPr="00E82C90">
        <w:rPr>
          <w:rFonts w:ascii="Times New Roman" w:hAnsi="Times New Roman"/>
          <w:noProof/>
          <w:sz w:val="24"/>
          <w:szCs w:val="24"/>
        </w:rPr>
        <w:t>ainą</w:t>
      </w:r>
      <w:r w:rsidR="00E82C90" w:rsidRPr="00E82C90">
        <w:rPr>
          <w:rFonts w:ascii="Times New Roman" w:hAnsi="Times New Roman"/>
          <w:noProof/>
          <w:sz w:val="24"/>
          <w:szCs w:val="24"/>
        </w:rPr>
        <w:t xml:space="preserve"> i sta</w:t>
      </w:r>
      <w:r w:rsidRPr="00E82C90">
        <w:rPr>
          <w:rFonts w:ascii="Times New Roman" w:hAnsi="Times New Roman"/>
          <w:noProof/>
          <w:sz w:val="24"/>
          <w:szCs w:val="24"/>
        </w:rPr>
        <w:t xml:space="preserve">le wspiera jej system energetyczny. </w:t>
      </w:r>
    </w:p>
    <w:p w14:paraId="6B984BB8" w14:textId="48B68058"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b/>
          <w:bCs/>
          <w:noProof/>
          <w:sz w:val="24"/>
          <w:szCs w:val="24"/>
        </w:rPr>
        <w:t>Przejście na zieloną energię stanowi jedyny sposób jednoczesnego zapewnienia zrównoważonej, bezpiecznej</w:t>
      </w:r>
      <w:r w:rsidR="00E82C90" w:rsidRPr="00E82C90">
        <w:rPr>
          <w:rFonts w:ascii="Times New Roman" w:hAnsi="Times New Roman"/>
          <w:b/>
          <w:bCs/>
          <w:noProof/>
          <w:sz w:val="24"/>
          <w:szCs w:val="24"/>
        </w:rPr>
        <w:t xml:space="preserve"> i prz</w:t>
      </w:r>
      <w:r w:rsidRPr="00E82C90">
        <w:rPr>
          <w:rFonts w:ascii="Times New Roman" w:hAnsi="Times New Roman"/>
          <w:b/>
          <w:bCs/>
          <w:noProof/>
          <w:sz w:val="24"/>
          <w:szCs w:val="24"/>
        </w:rPr>
        <w:t>ystępnej cenowo energii na całym świecie.</w:t>
      </w:r>
      <w:r w:rsidRPr="00E82C90">
        <w:rPr>
          <w:rFonts w:ascii="Times New Roman" w:hAnsi="Times New Roman"/>
          <w:noProof/>
          <w:sz w:val="24"/>
          <w:szCs w:val="24"/>
        </w:rPr>
        <w:t xml:space="preserve"> UE jest zatem zdecydowana utrzymać kurs</w:t>
      </w:r>
      <w:r w:rsidR="00E82C90" w:rsidRPr="00E82C90">
        <w:rPr>
          <w:rFonts w:ascii="Times New Roman" w:hAnsi="Times New Roman"/>
          <w:noProof/>
          <w:sz w:val="24"/>
          <w:szCs w:val="24"/>
        </w:rPr>
        <w:t xml:space="preserve"> i naw</w:t>
      </w:r>
      <w:r w:rsidRPr="00E82C90">
        <w:rPr>
          <w:rFonts w:ascii="Times New Roman" w:hAnsi="Times New Roman"/>
          <w:noProof/>
          <w:sz w:val="24"/>
          <w:szCs w:val="24"/>
        </w:rPr>
        <w:t>iązać współpracę</w:t>
      </w:r>
      <w:r w:rsidR="00E82C90" w:rsidRPr="00E82C90">
        <w:rPr>
          <w:rFonts w:ascii="Times New Roman" w:hAnsi="Times New Roman"/>
          <w:noProof/>
          <w:sz w:val="24"/>
          <w:szCs w:val="24"/>
        </w:rPr>
        <w:t xml:space="preserve"> z par</w:t>
      </w:r>
      <w:r w:rsidRPr="00E82C90">
        <w:rPr>
          <w:rFonts w:ascii="Times New Roman" w:hAnsi="Times New Roman"/>
          <w:noProof/>
          <w:sz w:val="24"/>
          <w:szCs w:val="24"/>
        </w:rPr>
        <w:t>tnerami na całym świecie, aby zachęcić ich do rozszerzenia swoich ambitnych celów klimatycznych</w:t>
      </w:r>
      <w:r w:rsidR="00E82C90" w:rsidRPr="00E82C90">
        <w:rPr>
          <w:rFonts w:ascii="Times New Roman" w:hAnsi="Times New Roman"/>
          <w:noProof/>
          <w:sz w:val="24"/>
          <w:szCs w:val="24"/>
        </w:rPr>
        <w:t xml:space="preserve"> i okr</w:t>
      </w:r>
      <w:r w:rsidRPr="00E82C90">
        <w:rPr>
          <w:rFonts w:ascii="Times New Roman" w:hAnsi="Times New Roman"/>
          <w:noProof/>
          <w:sz w:val="24"/>
          <w:szCs w:val="24"/>
        </w:rPr>
        <w:t>eślenia dróg prowadzących do neutralności klimatycznej,</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do nawiązania długoterminowych relacji, które przyniosą obopólne korzyści,</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 xml:space="preserve">edzinie energii. </w:t>
      </w:r>
    </w:p>
    <w:p w14:paraId="4C9DC190" w14:textId="3B0FAA20"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UE będzie kontynuować</w:t>
      </w:r>
      <w:r w:rsidR="00E82C90" w:rsidRPr="00E82C90">
        <w:rPr>
          <w:rFonts w:ascii="Times New Roman" w:hAnsi="Times New Roman"/>
          <w:noProof/>
          <w:sz w:val="24"/>
          <w:szCs w:val="24"/>
        </w:rPr>
        <w:t xml:space="preserve"> i </w:t>
      </w:r>
      <w:r w:rsidR="00E82C90" w:rsidRPr="00E82C90">
        <w:rPr>
          <w:rFonts w:ascii="Times New Roman" w:hAnsi="Times New Roman"/>
          <w:b/>
          <w:bCs/>
          <w:noProof/>
          <w:sz w:val="24"/>
          <w:szCs w:val="24"/>
        </w:rPr>
        <w:t>zwi</w:t>
      </w:r>
      <w:r w:rsidRPr="00E82C90">
        <w:rPr>
          <w:rFonts w:ascii="Times New Roman" w:hAnsi="Times New Roman"/>
          <w:b/>
          <w:bCs/>
          <w:noProof/>
          <w:sz w:val="24"/>
          <w:szCs w:val="24"/>
        </w:rPr>
        <w:t>ększać swoje zaangażowanie na całym świecie poprzez specjalne partnerstwa</w:t>
      </w:r>
      <w:r w:rsidRPr="00E82C90">
        <w:rPr>
          <w:rFonts w:ascii="Times New Roman" w:hAnsi="Times New Roman"/>
          <w:noProof/>
          <w:sz w:val="24"/>
          <w:szCs w:val="24"/>
        </w:rPr>
        <w:t xml:space="preserve">. Można to osiągnąć dzięki wsparciu finansowemu, pomocy, transferowi technologii lub zacieśnieniu stosunków handlowych. </w:t>
      </w:r>
    </w:p>
    <w:p w14:paraId="5B17848E" w14:textId="4CCA4C97"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Europa również odczuwa potrzebę, by obrać ten kierunek. Pomimo dywersyfikacji</w:t>
      </w:r>
      <w:r w:rsidR="00E82C90" w:rsidRPr="00E82C90">
        <w:rPr>
          <w:rFonts w:ascii="Times New Roman" w:hAnsi="Times New Roman"/>
          <w:noProof/>
          <w:sz w:val="24"/>
          <w:szCs w:val="24"/>
        </w:rPr>
        <w:t xml:space="preserve"> i dzi</w:t>
      </w:r>
      <w:r w:rsidRPr="00E82C90">
        <w:rPr>
          <w:rFonts w:ascii="Times New Roman" w:hAnsi="Times New Roman"/>
          <w:noProof/>
          <w:sz w:val="24"/>
          <w:szCs w:val="24"/>
        </w:rPr>
        <w:t>ałań na rzecz wewnętrznego bezpieczeństwa energetycznego, podjętych od czasu kryzysu gazowego</w:t>
      </w:r>
      <w:r w:rsidR="00E82C90" w:rsidRPr="00E82C90">
        <w:rPr>
          <w:rFonts w:ascii="Times New Roman" w:hAnsi="Times New Roman"/>
          <w:noProof/>
          <w:sz w:val="24"/>
          <w:szCs w:val="24"/>
        </w:rPr>
        <w:t xml:space="preserve"> z 2</w:t>
      </w:r>
      <w:r w:rsidRPr="00E82C90">
        <w:rPr>
          <w:rFonts w:ascii="Times New Roman" w:hAnsi="Times New Roman"/>
          <w:noProof/>
          <w:sz w:val="24"/>
          <w:szCs w:val="24"/>
        </w:rPr>
        <w:t>009</w:t>
      </w:r>
      <w:r w:rsidR="00E82C90" w:rsidRPr="00E82C90">
        <w:rPr>
          <w:rFonts w:ascii="Times New Roman" w:hAnsi="Times New Roman"/>
          <w:noProof/>
          <w:sz w:val="24"/>
          <w:szCs w:val="24"/>
        </w:rPr>
        <w:t> </w:t>
      </w:r>
      <w:r w:rsidRPr="00E82C90">
        <w:rPr>
          <w:rFonts w:ascii="Times New Roman" w:hAnsi="Times New Roman"/>
          <w:noProof/>
          <w:sz w:val="24"/>
          <w:szCs w:val="24"/>
        </w:rPr>
        <w:t>r., Europa jest nadal</w:t>
      </w:r>
      <w:r w:rsidR="00E82C90" w:rsidRPr="00E82C90">
        <w:rPr>
          <w:rFonts w:ascii="Times New Roman" w:hAnsi="Times New Roman"/>
          <w:noProof/>
          <w:sz w:val="24"/>
          <w:szCs w:val="24"/>
        </w:rPr>
        <w:t xml:space="preserve"> w zby</w:t>
      </w:r>
      <w:r w:rsidRPr="00E82C90">
        <w:rPr>
          <w:rFonts w:ascii="Times New Roman" w:hAnsi="Times New Roman"/>
          <w:noProof/>
          <w:sz w:val="24"/>
          <w:szCs w:val="24"/>
        </w:rPr>
        <w:t>t wysokim stopniu zależna od dostawcy, który jest skłonny używać energii jako broni. Aby przezwyciężyć tę trudną sytuację,</w:t>
      </w:r>
      <w:r w:rsidRPr="00E82C90">
        <w:rPr>
          <w:rFonts w:ascii="Times New Roman" w:hAnsi="Times New Roman"/>
          <w:b/>
          <w:bCs/>
          <w:noProof/>
          <w:sz w:val="24"/>
          <w:szCs w:val="24"/>
        </w:rPr>
        <w:t xml:space="preserve"> dnia 8 marca 2022</w:t>
      </w:r>
      <w:r w:rsidR="00E82C90" w:rsidRPr="00E82C90">
        <w:rPr>
          <w:rFonts w:ascii="Times New Roman" w:hAnsi="Times New Roman"/>
          <w:b/>
          <w:bCs/>
          <w:noProof/>
          <w:sz w:val="24"/>
          <w:szCs w:val="24"/>
        </w:rPr>
        <w:t> </w:t>
      </w:r>
      <w:r w:rsidRPr="00E82C90">
        <w:rPr>
          <w:rFonts w:ascii="Times New Roman" w:hAnsi="Times New Roman"/>
          <w:b/>
          <w:bCs/>
          <w:noProof/>
          <w:sz w:val="24"/>
          <w:szCs w:val="24"/>
        </w:rPr>
        <w:t>r.</w:t>
      </w:r>
      <w:r w:rsidRPr="00E82C90">
        <w:rPr>
          <w:rFonts w:ascii="Times New Roman" w:hAnsi="Times New Roman"/>
          <w:noProof/>
          <w:sz w:val="24"/>
          <w:szCs w:val="24"/>
        </w:rPr>
        <w:t xml:space="preserve"> Komisja Europejska przedstawiła </w:t>
      </w:r>
      <w:r w:rsidRPr="00E82C90">
        <w:rPr>
          <w:rFonts w:ascii="Times New Roman" w:hAnsi="Times New Roman"/>
          <w:b/>
          <w:bCs/>
          <w:noProof/>
          <w:sz w:val="24"/>
          <w:szCs w:val="24"/>
        </w:rPr>
        <w:t>komunikat REPowerEU</w:t>
      </w:r>
      <w:r w:rsidRPr="00E82C90">
        <w:rPr>
          <w:rFonts w:ascii="Times New Roman" w:hAnsi="Times New Roman"/>
          <w:noProof/>
          <w:sz w:val="24"/>
          <w:szCs w:val="24"/>
        </w:rPr>
        <w:t xml:space="preserve">, zawierający plan </w:t>
      </w:r>
      <w:r w:rsidRPr="00E82C90">
        <w:rPr>
          <w:rFonts w:ascii="Times New Roman" w:hAnsi="Times New Roman"/>
          <w:b/>
          <w:bCs/>
          <w:noProof/>
          <w:sz w:val="24"/>
          <w:szCs w:val="24"/>
        </w:rPr>
        <w:t>zakończenia importu energii ze źródeł kopalnych</w:t>
      </w:r>
      <w:r w:rsidR="00E82C90" w:rsidRPr="00E82C90">
        <w:rPr>
          <w:rFonts w:ascii="Times New Roman" w:hAnsi="Times New Roman"/>
          <w:b/>
          <w:bCs/>
          <w:noProof/>
          <w:sz w:val="24"/>
          <w:szCs w:val="24"/>
        </w:rPr>
        <w:t xml:space="preserve"> z Ros</w:t>
      </w:r>
      <w:r w:rsidRPr="00E82C90">
        <w:rPr>
          <w:rFonts w:ascii="Times New Roman" w:hAnsi="Times New Roman"/>
          <w:b/>
          <w:bCs/>
          <w:noProof/>
          <w:sz w:val="24"/>
          <w:szCs w:val="24"/>
        </w:rPr>
        <w:t xml:space="preserve">ji </w:t>
      </w:r>
      <w:r w:rsidRPr="00E82C90">
        <w:rPr>
          <w:rFonts w:ascii="Times New Roman" w:hAnsi="Times New Roman"/>
          <w:noProof/>
          <w:sz w:val="24"/>
          <w:szCs w:val="24"/>
        </w:rPr>
        <w:t>na długo przed rokiem 2030. Wymaga to dywersyfikacji dostaw energii do UE, zwiększenia oszczędności energii</w:t>
      </w:r>
      <w:r w:rsidR="00E82C90" w:rsidRPr="00E82C90">
        <w:rPr>
          <w:rFonts w:ascii="Times New Roman" w:hAnsi="Times New Roman"/>
          <w:noProof/>
          <w:sz w:val="24"/>
          <w:szCs w:val="24"/>
        </w:rPr>
        <w:t xml:space="preserve"> i efe</w:t>
      </w:r>
      <w:r w:rsidRPr="00E82C90">
        <w:rPr>
          <w:rFonts w:ascii="Times New Roman" w:hAnsi="Times New Roman"/>
          <w:noProof/>
          <w:sz w:val="24"/>
          <w:szCs w:val="24"/>
        </w:rPr>
        <w:t xml:space="preserve">ktywności energetycznej oraz przyspieszenia ekologicznej transformacji energetycznej. </w:t>
      </w:r>
    </w:p>
    <w:p w14:paraId="30453439" w14:textId="077E2B5B" w:rsidR="00FF76D5" w:rsidRPr="00E82C90" w:rsidRDefault="00865035" w:rsidP="00FF76D5">
      <w:pPr>
        <w:jc w:val="both"/>
        <w:rPr>
          <w:rFonts w:ascii="Times New Roman" w:hAnsi="Times New Roman" w:cs="Times New Roman"/>
          <w:noProof/>
          <w:sz w:val="24"/>
          <w:szCs w:val="24"/>
        </w:rPr>
      </w:pPr>
      <w:r w:rsidRPr="00E82C90">
        <w:rPr>
          <w:rFonts w:ascii="Times New Roman" w:hAnsi="Times New Roman"/>
          <w:noProof/>
          <w:sz w:val="24"/>
          <w:szCs w:val="24"/>
        </w:rPr>
        <w:t>Wszystko to stanowi odpowiedź na wyzwania związane</w:t>
      </w:r>
      <w:r w:rsidR="00E82C90" w:rsidRPr="00E82C90">
        <w:rPr>
          <w:rFonts w:ascii="Times New Roman" w:hAnsi="Times New Roman"/>
          <w:noProof/>
          <w:sz w:val="24"/>
          <w:szCs w:val="24"/>
        </w:rPr>
        <w:t xml:space="preserve"> z </w:t>
      </w:r>
      <w:r w:rsidR="00E82C90" w:rsidRPr="00E82C90">
        <w:rPr>
          <w:rFonts w:ascii="Times New Roman" w:hAnsi="Times New Roman"/>
          <w:b/>
          <w:bCs/>
          <w:noProof/>
          <w:sz w:val="24"/>
          <w:szCs w:val="24"/>
        </w:rPr>
        <w:t>szy</w:t>
      </w:r>
      <w:r w:rsidRPr="00E82C90">
        <w:rPr>
          <w:rFonts w:ascii="Times New Roman" w:hAnsi="Times New Roman"/>
          <w:b/>
          <w:bCs/>
          <w:noProof/>
          <w:sz w:val="24"/>
          <w:szCs w:val="24"/>
        </w:rPr>
        <w:t>bko zmieniającym się krajobrazem globalnym</w:t>
      </w:r>
      <w:r w:rsidR="00E82C90" w:rsidRPr="00E82C90">
        <w:rPr>
          <w:rFonts w:ascii="Times New Roman" w:hAnsi="Times New Roman"/>
          <w:b/>
          <w:bCs/>
          <w:noProof/>
          <w:sz w:val="24"/>
          <w:szCs w:val="24"/>
        </w:rPr>
        <w:t xml:space="preserve"> i ene</w:t>
      </w:r>
      <w:r w:rsidRPr="00E82C90">
        <w:rPr>
          <w:rFonts w:ascii="Times New Roman" w:hAnsi="Times New Roman"/>
          <w:b/>
          <w:bCs/>
          <w:noProof/>
          <w:sz w:val="24"/>
          <w:szCs w:val="24"/>
        </w:rPr>
        <w:t>rgetycznym</w:t>
      </w:r>
      <w:r w:rsidR="00E82C90" w:rsidRPr="00E82C90">
        <w:rPr>
          <w:rFonts w:ascii="Times New Roman" w:hAnsi="Times New Roman"/>
          <w:noProof/>
          <w:sz w:val="24"/>
          <w:szCs w:val="24"/>
        </w:rPr>
        <w:t>. W nad</w:t>
      </w:r>
      <w:r w:rsidRPr="00E82C90">
        <w:rPr>
          <w:rFonts w:ascii="Times New Roman" w:hAnsi="Times New Roman"/>
          <w:noProof/>
          <w:sz w:val="24"/>
          <w:szCs w:val="24"/>
        </w:rPr>
        <w:t>chodzących latach</w:t>
      </w:r>
      <w:r w:rsidR="00E82C90" w:rsidRPr="00E82C90">
        <w:rPr>
          <w:rFonts w:ascii="Times New Roman" w:hAnsi="Times New Roman"/>
          <w:noProof/>
          <w:sz w:val="24"/>
          <w:szCs w:val="24"/>
        </w:rPr>
        <w:t xml:space="preserve"> i dzi</w:t>
      </w:r>
      <w:r w:rsidRPr="00E82C90">
        <w:rPr>
          <w:rFonts w:ascii="Times New Roman" w:hAnsi="Times New Roman"/>
          <w:noProof/>
          <w:sz w:val="24"/>
          <w:szCs w:val="24"/>
        </w:rPr>
        <w:t>esięcioleciach pojawią się nowe możliwości produkcji energii,</w:t>
      </w:r>
      <w:r w:rsidR="00E82C90" w:rsidRPr="00E82C90">
        <w:rPr>
          <w:rFonts w:ascii="Times New Roman" w:hAnsi="Times New Roman"/>
          <w:noProof/>
          <w:sz w:val="24"/>
          <w:szCs w:val="24"/>
        </w:rPr>
        <w:t xml:space="preserve"> a wra</w:t>
      </w:r>
      <w:r w:rsidRPr="00E82C90">
        <w:rPr>
          <w:rFonts w:ascii="Times New Roman" w:hAnsi="Times New Roman"/>
          <w:noProof/>
          <w:sz w:val="24"/>
          <w:szCs w:val="24"/>
        </w:rPr>
        <w:t>z</w:t>
      </w:r>
      <w:r w:rsidR="00E82C90" w:rsidRPr="00E82C90">
        <w:rPr>
          <w:rFonts w:ascii="Times New Roman" w:hAnsi="Times New Roman"/>
          <w:noProof/>
          <w:sz w:val="24"/>
          <w:szCs w:val="24"/>
        </w:rPr>
        <w:t xml:space="preserve"> z nim</w:t>
      </w:r>
      <w:r w:rsidRPr="00E82C90">
        <w:rPr>
          <w:rFonts w:ascii="Times New Roman" w:hAnsi="Times New Roman"/>
          <w:noProof/>
          <w:sz w:val="24"/>
          <w:szCs w:val="24"/>
        </w:rPr>
        <w:t>i nowe modele handlu</w:t>
      </w:r>
      <w:r w:rsidR="00E82C90" w:rsidRPr="00E82C90">
        <w:rPr>
          <w:rFonts w:ascii="Times New Roman" w:hAnsi="Times New Roman"/>
          <w:noProof/>
          <w:sz w:val="24"/>
          <w:szCs w:val="24"/>
        </w:rPr>
        <w:t xml:space="preserve"> i pot</w:t>
      </w:r>
      <w:r w:rsidRPr="00E82C90">
        <w:rPr>
          <w:rFonts w:ascii="Times New Roman" w:hAnsi="Times New Roman"/>
          <w:noProof/>
          <w:sz w:val="24"/>
          <w:szCs w:val="24"/>
        </w:rPr>
        <w:t>rzeby transportowe. Podczas gdy handel konwencjonalnymi surowcami energetycznymi będzie stopniowo malał, nowe surowce, takie jak wodór</w:t>
      </w:r>
      <w:r w:rsidR="00E82C90" w:rsidRPr="00E82C90">
        <w:rPr>
          <w:rFonts w:ascii="Times New Roman" w:hAnsi="Times New Roman"/>
          <w:noProof/>
          <w:sz w:val="24"/>
          <w:szCs w:val="24"/>
        </w:rPr>
        <w:t xml:space="preserve"> i amo</w:t>
      </w:r>
      <w:r w:rsidRPr="00E82C90">
        <w:rPr>
          <w:rFonts w:ascii="Times New Roman" w:hAnsi="Times New Roman"/>
          <w:noProof/>
          <w:sz w:val="24"/>
          <w:szCs w:val="24"/>
        </w:rPr>
        <w:t>niak, zaczną być przedmiotem handlu międzynarodowego,</w:t>
      </w:r>
      <w:r w:rsidR="00E82C90" w:rsidRPr="00E82C90">
        <w:rPr>
          <w:rFonts w:ascii="Times New Roman" w:hAnsi="Times New Roman"/>
          <w:noProof/>
          <w:sz w:val="24"/>
          <w:szCs w:val="24"/>
        </w:rPr>
        <w:t xml:space="preserve"> a pop</w:t>
      </w:r>
      <w:r w:rsidRPr="00E82C90">
        <w:rPr>
          <w:rFonts w:ascii="Times New Roman" w:hAnsi="Times New Roman"/>
          <w:noProof/>
          <w:sz w:val="24"/>
          <w:szCs w:val="24"/>
        </w:rPr>
        <w:t>yt na technologie niskoemisyjne będzie rósł. Konieczne będą nowe normy</w:t>
      </w:r>
      <w:r w:rsidR="00E82C90" w:rsidRPr="00E82C90">
        <w:rPr>
          <w:rFonts w:ascii="Times New Roman" w:hAnsi="Times New Roman"/>
          <w:noProof/>
          <w:sz w:val="24"/>
          <w:szCs w:val="24"/>
        </w:rPr>
        <w:t xml:space="preserve"> i ust</w:t>
      </w:r>
      <w:r w:rsidRPr="00E82C90">
        <w:rPr>
          <w:rFonts w:ascii="Times New Roman" w:hAnsi="Times New Roman"/>
          <w:noProof/>
          <w:sz w:val="24"/>
          <w:szCs w:val="24"/>
        </w:rPr>
        <w:t>alenia dotyczące zarządzania, aby budować bardziej niezawodne</w:t>
      </w:r>
      <w:r w:rsidR="00E82C90" w:rsidRPr="00E82C90">
        <w:rPr>
          <w:rFonts w:ascii="Times New Roman" w:hAnsi="Times New Roman"/>
          <w:noProof/>
          <w:sz w:val="24"/>
          <w:szCs w:val="24"/>
        </w:rPr>
        <w:t xml:space="preserve"> i kor</w:t>
      </w:r>
      <w:r w:rsidRPr="00E82C90">
        <w:rPr>
          <w:rFonts w:ascii="Times New Roman" w:hAnsi="Times New Roman"/>
          <w:noProof/>
          <w:sz w:val="24"/>
          <w:szCs w:val="24"/>
        </w:rPr>
        <w:t>zystne dla obu stron partnerstwa</w:t>
      </w:r>
      <w:r w:rsidR="00E82C90" w:rsidRPr="00E82C90">
        <w:rPr>
          <w:rFonts w:ascii="Times New Roman" w:hAnsi="Times New Roman"/>
          <w:noProof/>
          <w:sz w:val="24"/>
          <w:szCs w:val="24"/>
        </w:rPr>
        <w:t xml:space="preserve"> z zas</w:t>
      </w:r>
      <w:r w:rsidRPr="00E82C90">
        <w:rPr>
          <w:rFonts w:ascii="Times New Roman" w:hAnsi="Times New Roman"/>
          <w:noProof/>
          <w:sz w:val="24"/>
          <w:szCs w:val="24"/>
        </w:rPr>
        <w:t>tosowaniem podejścia opartego na zasadach.</w:t>
      </w:r>
    </w:p>
    <w:p w14:paraId="69F1331D" w14:textId="1EE2A5F6"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Unia Europejska musi być gotowa do działania</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nowym, zmieniającym się środowisku i do kształtowania go. Przed </w:t>
      </w:r>
      <w:r w:rsidRPr="00E82C90">
        <w:rPr>
          <w:rFonts w:ascii="Times New Roman" w:hAnsi="Times New Roman"/>
          <w:b/>
          <w:bCs/>
          <w:noProof/>
          <w:sz w:val="24"/>
          <w:szCs w:val="24"/>
        </w:rPr>
        <w:t>Europą pojawią się nowe możliwości</w:t>
      </w:r>
      <w:r w:rsidRPr="00E82C90">
        <w:rPr>
          <w:rFonts w:ascii="Times New Roman" w:hAnsi="Times New Roman"/>
          <w:noProof/>
          <w:sz w:val="24"/>
          <w:szCs w:val="24"/>
        </w:rPr>
        <w:t xml:space="preserve"> wykorzystania jej przewagi</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technologii ekologicznych</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ierania bardziej sprawiedliwego</w:t>
      </w:r>
      <w:r w:rsidR="00E82C90" w:rsidRPr="00E82C90">
        <w:rPr>
          <w:rFonts w:ascii="Times New Roman" w:hAnsi="Times New Roman"/>
          <w:noProof/>
          <w:sz w:val="24"/>
          <w:szCs w:val="24"/>
        </w:rPr>
        <w:t xml:space="preserve"> i zró</w:t>
      </w:r>
      <w:r w:rsidRPr="00E82C90">
        <w:rPr>
          <w:rFonts w:ascii="Times New Roman" w:hAnsi="Times New Roman"/>
          <w:noProof/>
          <w:sz w:val="24"/>
          <w:szCs w:val="24"/>
        </w:rPr>
        <w:t>wnoważonego rozwoju na całym świecie, ale również nowe wyzwania dla europejskiego bezpieczeństwa energetycznego</w:t>
      </w:r>
      <w:r w:rsidR="00E82C90" w:rsidRPr="00E82C90">
        <w:rPr>
          <w:rFonts w:ascii="Times New Roman" w:hAnsi="Times New Roman"/>
          <w:noProof/>
          <w:sz w:val="24"/>
          <w:szCs w:val="24"/>
        </w:rPr>
        <w:t xml:space="preserve"> i odp</w:t>
      </w:r>
      <w:r w:rsidRPr="00E82C90">
        <w:rPr>
          <w:rFonts w:ascii="Times New Roman" w:hAnsi="Times New Roman"/>
          <w:noProof/>
          <w:sz w:val="24"/>
          <w:szCs w:val="24"/>
        </w:rPr>
        <w:t>orności łańcuchów dostaw,</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w:t>
      </w:r>
      <w:r w:rsidR="00E82C90" w:rsidRPr="00E82C90">
        <w:rPr>
          <w:rFonts w:ascii="Times New Roman" w:hAnsi="Times New Roman"/>
          <w:noProof/>
          <w:sz w:val="24"/>
          <w:szCs w:val="24"/>
        </w:rPr>
        <w:t xml:space="preserve"> w prz</w:t>
      </w:r>
      <w:r w:rsidRPr="00E82C90">
        <w:rPr>
          <w:rFonts w:ascii="Times New Roman" w:hAnsi="Times New Roman"/>
          <w:noProof/>
          <w:sz w:val="24"/>
          <w:szCs w:val="24"/>
        </w:rPr>
        <w:t xml:space="preserve">ypadku surowców krytycznych, które są kluczowe dla transformacji energetycznej. </w:t>
      </w:r>
    </w:p>
    <w:p w14:paraId="6542D984" w14:textId="196B4265"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Podobnie kryzys jest dla wielu państw szansą na przeskoczenie wysokoemisyjnego rozwoju</w:t>
      </w:r>
      <w:r w:rsidR="00E82C90" w:rsidRPr="00E82C90">
        <w:rPr>
          <w:rFonts w:ascii="Times New Roman" w:hAnsi="Times New Roman"/>
          <w:noProof/>
          <w:sz w:val="24"/>
          <w:szCs w:val="24"/>
        </w:rPr>
        <w:t xml:space="preserve"> i sko</w:t>
      </w:r>
      <w:r w:rsidRPr="00E82C90">
        <w:rPr>
          <w:rFonts w:ascii="Times New Roman" w:hAnsi="Times New Roman"/>
          <w:noProof/>
          <w:sz w:val="24"/>
          <w:szCs w:val="24"/>
        </w:rPr>
        <w:t>rzystanie</w:t>
      </w:r>
      <w:r w:rsidR="00E82C90" w:rsidRPr="00E82C90">
        <w:rPr>
          <w:rFonts w:ascii="Times New Roman" w:hAnsi="Times New Roman"/>
          <w:noProof/>
          <w:sz w:val="24"/>
          <w:szCs w:val="24"/>
        </w:rPr>
        <w:t xml:space="preserve"> z bar</w:t>
      </w:r>
      <w:r w:rsidRPr="00E82C90">
        <w:rPr>
          <w:rFonts w:ascii="Times New Roman" w:hAnsi="Times New Roman"/>
          <w:noProof/>
          <w:sz w:val="24"/>
          <w:szCs w:val="24"/>
        </w:rPr>
        <w:t>dziej ekologicznej</w:t>
      </w:r>
      <w:r w:rsidR="00E82C90" w:rsidRPr="00E82C90">
        <w:rPr>
          <w:rFonts w:ascii="Times New Roman" w:hAnsi="Times New Roman"/>
          <w:noProof/>
          <w:sz w:val="24"/>
          <w:szCs w:val="24"/>
        </w:rPr>
        <w:t xml:space="preserve"> i opa</w:t>
      </w:r>
      <w:r w:rsidRPr="00E82C90">
        <w:rPr>
          <w:rFonts w:ascii="Times New Roman" w:hAnsi="Times New Roman"/>
          <w:noProof/>
          <w:sz w:val="24"/>
          <w:szCs w:val="24"/>
        </w:rPr>
        <w:t xml:space="preserve">rtej na równości gospodarki, która zapewnia dostęp do energii milionom ludzi. </w:t>
      </w:r>
      <w:r w:rsidRPr="00E82C90">
        <w:rPr>
          <w:rFonts w:ascii="Times New Roman" w:hAnsi="Times New Roman"/>
          <w:b/>
          <w:bCs/>
          <w:noProof/>
          <w:sz w:val="24"/>
          <w:szCs w:val="24"/>
        </w:rPr>
        <w:t>Zgodnie</w:t>
      </w:r>
      <w:r w:rsidR="00E82C90" w:rsidRPr="00E82C90">
        <w:rPr>
          <w:rFonts w:ascii="Times New Roman" w:hAnsi="Times New Roman"/>
          <w:b/>
          <w:bCs/>
          <w:noProof/>
          <w:sz w:val="24"/>
          <w:szCs w:val="24"/>
        </w:rPr>
        <w:t xml:space="preserve"> z sió</w:t>
      </w:r>
      <w:r w:rsidRPr="00E82C90">
        <w:rPr>
          <w:rFonts w:ascii="Times New Roman" w:hAnsi="Times New Roman"/>
          <w:b/>
          <w:bCs/>
          <w:noProof/>
          <w:sz w:val="24"/>
          <w:szCs w:val="24"/>
        </w:rPr>
        <w:t>dmym celem zrównoważonego rozwoju UE będzie dążyć do zapewnienia sprawiedliwej</w:t>
      </w:r>
      <w:r w:rsidR="00E82C90" w:rsidRPr="00E82C90">
        <w:rPr>
          <w:rFonts w:ascii="Times New Roman" w:hAnsi="Times New Roman"/>
          <w:b/>
          <w:bCs/>
          <w:noProof/>
          <w:sz w:val="24"/>
          <w:szCs w:val="24"/>
        </w:rPr>
        <w:t xml:space="preserve"> i spr</w:t>
      </w:r>
      <w:r w:rsidRPr="00E82C90">
        <w:rPr>
          <w:rFonts w:ascii="Times New Roman" w:hAnsi="Times New Roman"/>
          <w:b/>
          <w:bCs/>
          <w:noProof/>
          <w:sz w:val="24"/>
          <w:szCs w:val="24"/>
        </w:rPr>
        <w:t xml:space="preserve">zyjającej włączeniu społecznemu transformacji energetycznej. </w:t>
      </w:r>
      <w:r w:rsidRPr="00E82C90">
        <w:rPr>
          <w:rFonts w:ascii="Times New Roman" w:hAnsi="Times New Roman"/>
          <w:noProof/>
          <w:sz w:val="24"/>
          <w:szCs w:val="24"/>
        </w:rPr>
        <w:t>Komisja Europejska</w:t>
      </w:r>
      <w:r w:rsidR="00E82C90" w:rsidRPr="00E82C90">
        <w:rPr>
          <w:rFonts w:ascii="Times New Roman" w:hAnsi="Times New Roman"/>
          <w:noProof/>
          <w:sz w:val="24"/>
          <w:szCs w:val="24"/>
        </w:rPr>
        <w:t xml:space="preserve"> i wys</w:t>
      </w:r>
      <w:r w:rsidRPr="00E82C90">
        <w:rPr>
          <w:rFonts w:ascii="Times New Roman" w:hAnsi="Times New Roman"/>
          <w:noProof/>
          <w:sz w:val="24"/>
          <w:szCs w:val="24"/>
        </w:rPr>
        <w:t>oki przedstawiciel będą partnerami</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arciem dla tych, którzy rozpoczynają transformację ekologiczną, ułatwiając długoterminowe zrównoważone inwestycje, m.in. za pośrednictwem strategii Global Gateway, która stanowi plan</w:t>
      </w:r>
      <w:r w:rsidR="00E82C90" w:rsidRPr="00E82C90">
        <w:rPr>
          <w:rFonts w:ascii="Times New Roman" w:hAnsi="Times New Roman"/>
          <w:noProof/>
          <w:sz w:val="24"/>
          <w:szCs w:val="24"/>
        </w:rPr>
        <w:t xml:space="preserve"> i opa</w:t>
      </w:r>
      <w:r w:rsidRPr="00E82C90">
        <w:rPr>
          <w:rFonts w:ascii="Times New Roman" w:hAnsi="Times New Roman"/>
          <w:noProof/>
          <w:sz w:val="24"/>
          <w:szCs w:val="24"/>
        </w:rPr>
        <w:t>rtą na wartościach propozycję Unii Europejskiej dotyczącą dużych inwestycji</w:t>
      </w:r>
      <w:r w:rsidR="00E82C90" w:rsidRPr="00E82C90">
        <w:rPr>
          <w:rFonts w:ascii="Times New Roman" w:hAnsi="Times New Roman"/>
          <w:noProof/>
          <w:sz w:val="24"/>
          <w:szCs w:val="24"/>
        </w:rPr>
        <w:t xml:space="preserve"> w roz</w:t>
      </w:r>
      <w:r w:rsidRPr="00E82C90">
        <w:rPr>
          <w:rFonts w:ascii="Times New Roman" w:hAnsi="Times New Roman"/>
          <w:noProof/>
          <w:sz w:val="24"/>
          <w:szCs w:val="24"/>
        </w:rPr>
        <w:t>wój infrastruktury na całym świecie.</w:t>
      </w:r>
    </w:p>
    <w:p w14:paraId="509F9211" w14:textId="6ED7F4D9" w:rsidR="00FF76D5" w:rsidRPr="00E82C90" w:rsidRDefault="00FF76D5" w:rsidP="00FF76D5">
      <w:pPr>
        <w:jc w:val="both"/>
        <w:rPr>
          <w:rFonts w:ascii="Times New Roman" w:hAnsi="Times New Roman" w:cs="Times New Roman"/>
          <w:noProof/>
          <w:sz w:val="24"/>
          <w:szCs w:val="24"/>
        </w:rPr>
      </w:pPr>
      <w:r w:rsidRPr="00E82C90">
        <w:rPr>
          <w:rFonts w:ascii="Times New Roman" w:hAnsi="Times New Roman"/>
          <w:noProof/>
          <w:sz w:val="24"/>
          <w:szCs w:val="24"/>
        </w:rPr>
        <w:t>Wszystkie te aspekty wymagają od UE zaktualizowania jej zewnętrznej strategii energetycznej po upływie ponad dziesięciu lat od przyjęcia poprzedniej, zwiększenia zaangażowania partnerów oraz dyplomacji klimatycznej</w:t>
      </w:r>
      <w:r w:rsidR="00E82C90" w:rsidRPr="00E82C90">
        <w:rPr>
          <w:rFonts w:ascii="Times New Roman" w:hAnsi="Times New Roman"/>
          <w:noProof/>
          <w:sz w:val="24"/>
          <w:szCs w:val="24"/>
        </w:rPr>
        <w:t xml:space="preserve"> i ene</w:t>
      </w:r>
      <w:r w:rsidRPr="00E82C90">
        <w:rPr>
          <w:rFonts w:ascii="Times New Roman" w:hAnsi="Times New Roman"/>
          <w:noProof/>
          <w:sz w:val="24"/>
          <w:szCs w:val="24"/>
        </w:rPr>
        <w:t>rgetycznej, zgodnie</w:t>
      </w:r>
      <w:r w:rsidR="00E82C90" w:rsidRPr="00E82C90">
        <w:rPr>
          <w:rFonts w:ascii="Times New Roman" w:hAnsi="Times New Roman"/>
          <w:noProof/>
          <w:sz w:val="24"/>
          <w:szCs w:val="24"/>
        </w:rPr>
        <w:t xml:space="preserve"> z kon</w:t>
      </w:r>
      <w:r w:rsidRPr="00E82C90">
        <w:rPr>
          <w:rFonts w:ascii="Times New Roman" w:hAnsi="Times New Roman"/>
          <w:noProof/>
          <w:sz w:val="24"/>
          <w:szCs w:val="24"/>
        </w:rPr>
        <w:t>kluzjami Rady do Spraw Zagranicznych</w:t>
      </w:r>
      <w:r w:rsidR="00E82C90" w:rsidRPr="00E82C90">
        <w:rPr>
          <w:rFonts w:ascii="Times New Roman" w:hAnsi="Times New Roman"/>
          <w:noProof/>
          <w:sz w:val="24"/>
          <w:szCs w:val="24"/>
        </w:rPr>
        <w:t xml:space="preserve"> z 2</w:t>
      </w:r>
      <w:r w:rsidRPr="00E82C90">
        <w:rPr>
          <w:rFonts w:ascii="Times New Roman" w:hAnsi="Times New Roman"/>
          <w:noProof/>
          <w:sz w:val="24"/>
          <w:szCs w:val="24"/>
        </w:rPr>
        <w:t>5 stycznia 2021</w:t>
      </w:r>
      <w:r w:rsidR="00E82C90" w:rsidRPr="00E82C90">
        <w:rPr>
          <w:rFonts w:ascii="Times New Roman" w:hAnsi="Times New Roman"/>
          <w:noProof/>
          <w:sz w:val="24"/>
          <w:szCs w:val="24"/>
        </w:rPr>
        <w:t> </w:t>
      </w:r>
      <w:r w:rsidRPr="00E82C90">
        <w:rPr>
          <w:rFonts w:ascii="Times New Roman" w:hAnsi="Times New Roman"/>
          <w:noProof/>
          <w:sz w:val="24"/>
          <w:szCs w:val="24"/>
        </w:rPr>
        <w:t xml:space="preserve">r. </w:t>
      </w:r>
    </w:p>
    <w:p w14:paraId="14B36C59" w14:textId="21BBE8A6" w:rsidR="00FF76D5" w:rsidRPr="00E82C90" w:rsidRDefault="00FF76D5" w:rsidP="00CC199B">
      <w:pPr>
        <w:jc w:val="both"/>
        <w:rPr>
          <w:rFonts w:ascii="Times New Roman" w:hAnsi="Times New Roman" w:cs="Times New Roman"/>
          <w:b/>
          <w:bCs/>
          <w:noProof/>
          <w:sz w:val="24"/>
          <w:szCs w:val="24"/>
        </w:rPr>
      </w:pPr>
      <w:r w:rsidRPr="00E82C90">
        <w:rPr>
          <w:rFonts w:ascii="Times New Roman" w:hAnsi="Times New Roman"/>
          <w:b/>
          <w:bCs/>
          <w:noProof/>
          <w:sz w:val="24"/>
          <w:szCs w:val="24"/>
        </w:rPr>
        <w:t xml:space="preserve">Aby to osiągnąć, zewnętrzna polityka energetyczna UE </w:t>
      </w:r>
      <w:r w:rsidRPr="00E82C90">
        <w:rPr>
          <w:rFonts w:ascii="Times New Roman" w:hAnsi="Times New Roman"/>
          <w:noProof/>
          <w:sz w:val="24"/>
          <w:szCs w:val="24"/>
        </w:rPr>
        <w:t>będzie miała na celu:</w:t>
      </w:r>
    </w:p>
    <w:p w14:paraId="42504176" w14:textId="1C814AAE" w:rsidR="00FF76D5" w:rsidRPr="00E82C90" w:rsidRDefault="00FB5058" w:rsidP="00FF76D5">
      <w:pPr>
        <w:pStyle w:val="ListParagraph"/>
        <w:numPr>
          <w:ilvl w:val="0"/>
          <w:numId w:val="20"/>
        </w:numPr>
        <w:jc w:val="both"/>
        <w:rPr>
          <w:rFonts w:ascii="Times New Roman" w:hAnsi="Times New Roman" w:cs="Times New Roman"/>
          <w:b/>
          <w:bCs/>
          <w:noProof/>
          <w:sz w:val="24"/>
          <w:szCs w:val="24"/>
        </w:rPr>
      </w:pPr>
      <w:r w:rsidRPr="00E82C90">
        <w:rPr>
          <w:rFonts w:ascii="Times New Roman" w:hAnsi="Times New Roman"/>
          <w:b/>
          <w:bCs/>
          <w:noProof/>
          <w:sz w:val="24"/>
          <w:szCs w:val="24"/>
        </w:rPr>
        <w:t>zwiększenie bezpieczeństwa energetycznego, odporności</w:t>
      </w:r>
      <w:r w:rsidR="00E82C90" w:rsidRPr="00E82C90">
        <w:rPr>
          <w:rFonts w:ascii="Times New Roman" w:hAnsi="Times New Roman"/>
          <w:b/>
          <w:bCs/>
          <w:noProof/>
          <w:sz w:val="24"/>
          <w:szCs w:val="24"/>
        </w:rPr>
        <w:t xml:space="preserve"> i otw</w:t>
      </w:r>
      <w:r w:rsidRPr="00E82C90">
        <w:rPr>
          <w:rFonts w:ascii="Times New Roman" w:hAnsi="Times New Roman"/>
          <w:b/>
          <w:bCs/>
          <w:noProof/>
          <w:sz w:val="24"/>
          <w:szCs w:val="24"/>
        </w:rPr>
        <w:t>artej strategicznej autonomii dzięki dywersyfikacji dostaw energii do UE oraz zwiększeniu oszczędności energii</w:t>
      </w:r>
      <w:r w:rsidR="00E82C90" w:rsidRPr="00E82C90">
        <w:rPr>
          <w:rFonts w:ascii="Times New Roman" w:hAnsi="Times New Roman"/>
          <w:b/>
          <w:bCs/>
          <w:noProof/>
          <w:sz w:val="24"/>
          <w:szCs w:val="24"/>
        </w:rPr>
        <w:t xml:space="preserve"> i efe</w:t>
      </w:r>
      <w:r w:rsidRPr="00E82C90">
        <w:rPr>
          <w:rFonts w:ascii="Times New Roman" w:hAnsi="Times New Roman"/>
          <w:b/>
          <w:bCs/>
          <w:noProof/>
          <w:sz w:val="24"/>
          <w:szCs w:val="24"/>
        </w:rPr>
        <w:t>ktywności energetycznej;</w:t>
      </w:r>
    </w:p>
    <w:p w14:paraId="1BEC2F60" w14:textId="67B026A0" w:rsidR="00FF76D5" w:rsidRPr="00E82C90" w:rsidRDefault="00FB5058" w:rsidP="00FF76D5">
      <w:pPr>
        <w:pStyle w:val="ListParagraph"/>
        <w:numPr>
          <w:ilvl w:val="0"/>
          <w:numId w:val="20"/>
        </w:numPr>
        <w:jc w:val="both"/>
        <w:rPr>
          <w:rFonts w:ascii="Times New Roman" w:hAnsi="Times New Roman" w:cs="Times New Roman"/>
          <w:b/>
          <w:bCs/>
          <w:noProof/>
          <w:sz w:val="24"/>
          <w:szCs w:val="24"/>
        </w:rPr>
      </w:pPr>
      <w:r w:rsidRPr="00E82C90">
        <w:rPr>
          <w:rFonts w:ascii="Times New Roman" w:hAnsi="Times New Roman"/>
          <w:b/>
          <w:bCs/>
          <w:noProof/>
          <w:sz w:val="24"/>
          <w:szCs w:val="24"/>
        </w:rPr>
        <w:t>przyspieszenie globalnej ekologicznej</w:t>
      </w:r>
      <w:r w:rsidR="00E82C90" w:rsidRPr="00E82C90">
        <w:rPr>
          <w:rFonts w:ascii="Times New Roman" w:hAnsi="Times New Roman"/>
          <w:b/>
          <w:bCs/>
          <w:noProof/>
          <w:sz w:val="24"/>
          <w:szCs w:val="24"/>
        </w:rPr>
        <w:t xml:space="preserve"> i spr</w:t>
      </w:r>
      <w:r w:rsidRPr="00E82C90">
        <w:rPr>
          <w:rFonts w:ascii="Times New Roman" w:hAnsi="Times New Roman"/>
          <w:b/>
          <w:bCs/>
          <w:noProof/>
          <w:sz w:val="24"/>
          <w:szCs w:val="24"/>
        </w:rPr>
        <w:t>awiedliwej transformacji energetycznej</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zapewnienia UE</w:t>
      </w:r>
      <w:r w:rsidR="00E82C90" w:rsidRPr="00E82C90">
        <w:rPr>
          <w:rFonts w:ascii="Times New Roman" w:hAnsi="Times New Roman"/>
          <w:b/>
          <w:bCs/>
          <w:noProof/>
          <w:sz w:val="24"/>
          <w:szCs w:val="24"/>
        </w:rPr>
        <w:t xml:space="preserve"> i świ</w:t>
      </w:r>
      <w:r w:rsidRPr="00E82C90">
        <w:rPr>
          <w:rFonts w:ascii="Times New Roman" w:hAnsi="Times New Roman"/>
          <w:b/>
          <w:bCs/>
          <w:noProof/>
          <w:sz w:val="24"/>
          <w:szCs w:val="24"/>
        </w:rPr>
        <w:t>atu zrównoważonej, bezpiecznej</w:t>
      </w:r>
      <w:r w:rsidR="00E82C90" w:rsidRPr="00E82C90">
        <w:rPr>
          <w:rFonts w:ascii="Times New Roman" w:hAnsi="Times New Roman"/>
          <w:b/>
          <w:bCs/>
          <w:noProof/>
          <w:sz w:val="24"/>
          <w:szCs w:val="24"/>
        </w:rPr>
        <w:t xml:space="preserve"> i prz</w:t>
      </w:r>
      <w:r w:rsidRPr="00E82C90">
        <w:rPr>
          <w:rFonts w:ascii="Times New Roman" w:hAnsi="Times New Roman"/>
          <w:b/>
          <w:bCs/>
          <w:noProof/>
          <w:sz w:val="24"/>
          <w:szCs w:val="24"/>
        </w:rPr>
        <w:t>ystępnej cenowo energii;</w:t>
      </w:r>
    </w:p>
    <w:p w14:paraId="4EE231BE" w14:textId="6E71E3C8" w:rsidR="00FF76D5" w:rsidRPr="00E82C90" w:rsidRDefault="00FB5058" w:rsidP="00FF76D5">
      <w:pPr>
        <w:pStyle w:val="ListParagraph"/>
        <w:numPr>
          <w:ilvl w:val="0"/>
          <w:numId w:val="20"/>
        </w:numPr>
        <w:jc w:val="both"/>
        <w:rPr>
          <w:rFonts w:ascii="Times New Roman" w:hAnsi="Times New Roman" w:cs="Times New Roman"/>
          <w:b/>
          <w:bCs/>
          <w:noProof/>
          <w:sz w:val="24"/>
          <w:szCs w:val="24"/>
        </w:rPr>
      </w:pPr>
      <w:r w:rsidRPr="00E82C90">
        <w:rPr>
          <w:rFonts w:ascii="Times New Roman" w:hAnsi="Times New Roman"/>
          <w:b/>
          <w:bCs/>
          <w:noProof/>
          <w:sz w:val="24"/>
          <w:szCs w:val="24"/>
        </w:rPr>
        <w:t>wspieranie Ukrainy</w:t>
      </w:r>
      <w:r w:rsidR="00E82C90" w:rsidRPr="00E82C90">
        <w:rPr>
          <w:rFonts w:ascii="Times New Roman" w:hAnsi="Times New Roman"/>
          <w:b/>
          <w:bCs/>
          <w:noProof/>
          <w:sz w:val="24"/>
          <w:szCs w:val="24"/>
        </w:rPr>
        <w:t xml:space="preserve"> i inn</w:t>
      </w:r>
      <w:r w:rsidRPr="00E82C90">
        <w:rPr>
          <w:rFonts w:ascii="Times New Roman" w:hAnsi="Times New Roman"/>
          <w:b/>
          <w:bCs/>
          <w:noProof/>
          <w:sz w:val="24"/>
          <w:szCs w:val="24"/>
        </w:rPr>
        <w:t>ych państw bezpośrednio lub pośrednio dotkniętych rosyjską agresją;</w:t>
      </w:r>
    </w:p>
    <w:p w14:paraId="569B24E2" w14:textId="316D0929" w:rsidR="00FF76D5" w:rsidRPr="00E82C90" w:rsidRDefault="00FB5058" w:rsidP="00FF76D5">
      <w:pPr>
        <w:pStyle w:val="ListParagraph"/>
        <w:numPr>
          <w:ilvl w:val="0"/>
          <w:numId w:val="20"/>
        </w:numPr>
        <w:jc w:val="both"/>
        <w:rPr>
          <w:rFonts w:ascii="Times New Roman" w:hAnsi="Times New Roman" w:cs="Times New Roman"/>
          <w:b/>
          <w:bCs/>
          <w:noProof/>
          <w:sz w:val="24"/>
          <w:szCs w:val="24"/>
        </w:rPr>
      </w:pPr>
      <w:r w:rsidRPr="00E82C90">
        <w:rPr>
          <w:rFonts w:ascii="Times New Roman" w:hAnsi="Times New Roman"/>
          <w:b/>
          <w:bCs/>
          <w:noProof/>
          <w:sz w:val="24"/>
          <w:szCs w:val="24"/>
        </w:rPr>
        <w:t>budowanie długotrwałych partnerstw międzynarodowych</w:t>
      </w:r>
      <w:r w:rsidR="00E82C90" w:rsidRPr="00E82C90">
        <w:rPr>
          <w:rFonts w:ascii="Times New Roman" w:hAnsi="Times New Roman"/>
          <w:b/>
          <w:bCs/>
          <w:noProof/>
          <w:sz w:val="24"/>
          <w:szCs w:val="24"/>
        </w:rPr>
        <w:t xml:space="preserve"> i wsp</w:t>
      </w:r>
      <w:r w:rsidRPr="00E82C90">
        <w:rPr>
          <w:rFonts w:ascii="Times New Roman" w:hAnsi="Times New Roman"/>
          <w:b/>
          <w:bCs/>
          <w:noProof/>
          <w:sz w:val="24"/>
          <w:szCs w:val="24"/>
        </w:rPr>
        <w:t>ieranie unijnego przemysłu czystej energii na całym świecie.</w:t>
      </w:r>
    </w:p>
    <w:p w14:paraId="7A222EA6" w14:textId="0D315144" w:rsidR="00C33F66" w:rsidRPr="00E82C90" w:rsidRDefault="00C33F66" w:rsidP="00C33F66">
      <w:pPr>
        <w:pStyle w:val="Heading1"/>
        <w:numPr>
          <w:ilvl w:val="0"/>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Zewnętrzna polityka energetyczna UE na rzecz REPowerEU</w:t>
      </w:r>
    </w:p>
    <w:p w14:paraId="0C64971C" w14:textId="3CDB4F8F" w:rsidR="008F2D2C" w:rsidRPr="00E82C90" w:rsidRDefault="00987E46" w:rsidP="00E14DFB">
      <w:pPr>
        <w:jc w:val="both"/>
        <w:rPr>
          <w:rFonts w:ascii="Times New Roman" w:hAnsi="Times New Roman" w:cs="Times New Roman"/>
          <w:noProof/>
          <w:sz w:val="24"/>
          <w:szCs w:val="24"/>
        </w:rPr>
      </w:pPr>
      <w:r w:rsidRPr="00E82C90">
        <w:rPr>
          <w:rFonts w:ascii="Times New Roman" w:hAnsi="Times New Roman"/>
          <w:noProof/>
          <w:sz w:val="24"/>
          <w:szCs w:val="24"/>
        </w:rPr>
        <w:t>Zgodnie</w:t>
      </w:r>
      <w:r w:rsidR="00E82C90" w:rsidRPr="00E82C90">
        <w:rPr>
          <w:rFonts w:ascii="Times New Roman" w:hAnsi="Times New Roman"/>
          <w:noProof/>
          <w:sz w:val="24"/>
          <w:szCs w:val="24"/>
        </w:rPr>
        <w:t xml:space="preserve"> z zał</w:t>
      </w:r>
      <w:r w:rsidRPr="00E82C90">
        <w:rPr>
          <w:rFonts w:ascii="Times New Roman" w:hAnsi="Times New Roman"/>
          <w:noProof/>
          <w:sz w:val="24"/>
          <w:szCs w:val="24"/>
        </w:rPr>
        <w:t xml:space="preserve">ożeniami </w:t>
      </w:r>
      <w:r w:rsidRPr="00E82C90">
        <w:rPr>
          <w:rFonts w:ascii="Times New Roman" w:hAnsi="Times New Roman"/>
          <w:b/>
          <w:bCs/>
          <w:noProof/>
          <w:sz w:val="24"/>
          <w:szCs w:val="24"/>
        </w:rPr>
        <w:t>planu REPowerEU</w:t>
      </w:r>
      <w:r w:rsidR="00E82C90" w:rsidRPr="00E82C90">
        <w:rPr>
          <w:rFonts w:ascii="Times New Roman" w:hAnsi="Times New Roman"/>
          <w:noProof/>
          <w:sz w:val="24"/>
          <w:szCs w:val="24"/>
        </w:rPr>
        <w:t xml:space="preserve"> </w:t>
      </w:r>
      <w:r w:rsidR="00E82C90" w:rsidRPr="00E82C90">
        <w:rPr>
          <w:rFonts w:ascii="Times New Roman" w:hAnsi="Times New Roman"/>
          <w:b/>
          <w:bCs/>
          <w:noProof/>
          <w:sz w:val="24"/>
          <w:szCs w:val="24"/>
        </w:rPr>
        <w:t>z</w:t>
      </w:r>
      <w:r w:rsidR="00E82C90" w:rsidRPr="00E82C90">
        <w:rPr>
          <w:rFonts w:ascii="Times New Roman" w:hAnsi="Times New Roman"/>
          <w:noProof/>
          <w:sz w:val="24"/>
          <w:szCs w:val="24"/>
        </w:rPr>
        <w:t> </w:t>
      </w:r>
      <w:r w:rsidR="00E82C90" w:rsidRPr="00E82C90">
        <w:rPr>
          <w:rFonts w:ascii="Times New Roman" w:hAnsi="Times New Roman"/>
          <w:b/>
          <w:bCs/>
          <w:noProof/>
          <w:sz w:val="24"/>
          <w:szCs w:val="24"/>
        </w:rPr>
        <w:t>1</w:t>
      </w:r>
      <w:r w:rsidRPr="00E82C90">
        <w:rPr>
          <w:rFonts w:ascii="Times New Roman" w:hAnsi="Times New Roman"/>
          <w:b/>
          <w:bCs/>
          <w:noProof/>
          <w:sz w:val="24"/>
          <w:szCs w:val="24"/>
        </w:rPr>
        <w:t>8 maja 2022</w:t>
      </w:r>
      <w:r w:rsidR="00E82C90" w:rsidRPr="00E82C90">
        <w:rPr>
          <w:rFonts w:ascii="Times New Roman" w:hAnsi="Times New Roman"/>
          <w:b/>
          <w:bCs/>
          <w:noProof/>
          <w:sz w:val="24"/>
          <w:szCs w:val="24"/>
        </w:rPr>
        <w:t> </w:t>
      </w:r>
      <w:r w:rsidRPr="00E82C90">
        <w:rPr>
          <w:rFonts w:ascii="Times New Roman" w:hAnsi="Times New Roman"/>
          <w:b/>
          <w:bCs/>
          <w:noProof/>
          <w:sz w:val="24"/>
          <w:szCs w:val="24"/>
        </w:rPr>
        <w:t>r.</w:t>
      </w:r>
      <w:r w:rsidRPr="00E82C90">
        <w:rPr>
          <w:rFonts w:ascii="Times New Roman" w:hAnsi="Times New Roman"/>
          <w:noProof/>
          <w:sz w:val="24"/>
          <w:szCs w:val="24"/>
        </w:rPr>
        <w:t xml:space="preserve"> opublikowanego równolegle</w:t>
      </w:r>
      <w:r w:rsidR="00E82C90" w:rsidRPr="00E82C90">
        <w:rPr>
          <w:rFonts w:ascii="Times New Roman" w:hAnsi="Times New Roman"/>
          <w:noProof/>
          <w:sz w:val="24"/>
          <w:szCs w:val="24"/>
        </w:rPr>
        <w:t xml:space="preserve"> z nin</w:t>
      </w:r>
      <w:r w:rsidRPr="00E82C90">
        <w:rPr>
          <w:rFonts w:ascii="Times New Roman" w:hAnsi="Times New Roman"/>
          <w:noProof/>
          <w:sz w:val="24"/>
          <w:szCs w:val="24"/>
        </w:rPr>
        <w:t>iejszą strategią</w:t>
      </w:r>
      <w:r w:rsidRPr="00E82C90">
        <w:rPr>
          <w:noProof/>
        </w:rPr>
        <w:t xml:space="preserve"> </w:t>
      </w:r>
      <w:r w:rsidRPr="00E82C90">
        <w:rPr>
          <w:rFonts w:ascii="Times New Roman" w:hAnsi="Times New Roman"/>
          <w:noProof/>
          <w:sz w:val="24"/>
          <w:szCs w:val="24"/>
        </w:rPr>
        <w:t>europejski system energetyczny będzie zwiększał swoją efektywność</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echodził na ekologiczne źródła energii</w:t>
      </w:r>
      <w:r w:rsidR="00E82C90" w:rsidRPr="00E82C90">
        <w:rPr>
          <w:rFonts w:ascii="Times New Roman" w:hAnsi="Times New Roman"/>
          <w:noProof/>
          <w:sz w:val="24"/>
          <w:szCs w:val="24"/>
        </w:rPr>
        <w:t xml:space="preserve"> w szy</w:t>
      </w:r>
      <w:r w:rsidRPr="00E82C90">
        <w:rPr>
          <w:rFonts w:ascii="Times New Roman" w:hAnsi="Times New Roman"/>
          <w:noProof/>
          <w:sz w:val="24"/>
          <w:szCs w:val="24"/>
        </w:rPr>
        <w:t xml:space="preserve">bszym tempie, niż to przewidywano przed rozpoczęciem agresji Rosji wobec Ukrainy. Podczas gdy </w:t>
      </w:r>
      <w:r w:rsidRPr="00E82C90">
        <w:rPr>
          <w:rFonts w:ascii="Times New Roman" w:hAnsi="Times New Roman"/>
          <w:b/>
          <w:bCs/>
          <w:noProof/>
          <w:sz w:val="24"/>
          <w:szCs w:val="24"/>
        </w:rPr>
        <w:t>ekologiczna transformacja energetyczna jest podstawą dążenia UE do niezależności energetycznej</w:t>
      </w:r>
      <w:r w:rsidRPr="00E82C90">
        <w:rPr>
          <w:rFonts w:ascii="Times New Roman" w:hAnsi="Times New Roman"/>
          <w:noProof/>
          <w:sz w:val="24"/>
          <w:szCs w:val="24"/>
        </w:rPr>
        <w:t>, odejście od rosyjskich paliw kopalnych będzie wymagało zastąpienia części</w:t>
      </w:r>
      <w:r w:rsidR="00E82C90" w:rsidRPr="00E82C90">
        <w:rPr>
          <w:rFonts w:ascii="Times New Roman" w:hAnsi="Times New Roman"/>
          <w:noProof/>
          <w:sz w:val="24"/>
          <w:szCs w:val="24"/>
        </w:rPr>
        <w:t xml:space="preserve"> z nic</w:t>
      </w:r>
      <w:r w:rsidRPr="00E82C90">
        <w:rPr>
          <w:rFonts w:ascii="Times New Roman" w:hAnsi="Times New Roman"/>
          <w:noProof/>
          <w:sz w:val="24"/>
          <w:szCs w:val="24"/>
        </w:rPr>
        <w:t>h paliwami kopalnymi od innych międzynarodowych dostawców ze względu na to, że krajowe wydobycie ropy naftowej</w:t>
      </w:r>
      <w:r w:rsidR="00E82C90" w:rsidRPr="00E82C90">
        <w:rPr>
          <w:rFonts w:ascii="Times New Roman" w:hAnsi="Times New Roman"/>
          <w:noProof/>
          <w:sz w:val="24"/>
          <w:szCs w:val="24"/>
        </w:rPr>
        <w:t xml:space="preserve"> i gaz</w:t>
      </w:r>
      <w:r w:rsidRPr="00E82C90">
        <w:rPr>
          <w:rFonts w:ascii="Times New Roman" w:hAnsi="Times New Roman"/>
          <w:noProof/>
          <w:sz w:val="24"/>
          <w:szCs w:val="24"/>
        </w:rPr>
        <w:t>u w UE jest znacznie ograniczone: importujemy 90</w:t>
      </w:r>
      <w:r w:rsidR="00E82C90" w:rsidRPr="00E82C90">
        <w:rPr>
          <w:rFonts w:ascii="Times New Roman" w:hAnsi="Times New Roman"/>
          <w:noProof/>
          <w:sz w:val="24"/>
          <w:szCs w:val="24"/>
        </w:rPr>
        <w:t> </w:t>
      </w:r>
      <w:r w:rsidRPr="00E82C90">
        <w:rPr>
          <w:rFonts w:ascii="Times New Roman" w:hAnsi="Times New Roman"/>
          <w:noProof/>
          <w:sz w:val="24"/>
          <w:szCs w:val="24"/>
        </w:rPr>
        <w:t>% zużywanego przez nas gazu</w:t>
      </w:r>
      <w:r w:rsidR="00E82C90" w:rsidRPr="00E82C90">
        <w:rPr>
          <w:rFonts w:ascii="Times New Roman" w:hAnsi="Times New Roman"/>
          <w:noProof/>
          <w:sz w:val="24"/>
          <w:szCs w:val="24"/>
        </w:rPr>
        <w:t xml:space="preserve"> i pok</w:t>
      </w:r>
      <w:r w:rsidRPr="00E82C90">
        <w:rPr>
          <w:rFonts w:ascii="Times New Roman" w:hAnsi="Times New Roman"/>
          <w:noProof/>
          <w:sz w:val="24"/>
          <w:szCs w:val="24"/>
        </w:rPr>
        <w:t>rywamy</w:t>
      </w:r>
      <w:r w:rsidR="00E82C90" w:rsidRPr="00E82C90">
        <w:rPr>
          <w:rFonts w:ascii="Times New Roman" w:hAnsi="Times New Roman"/>
          <w:noProof/>
          <w:sz w:val="24"/>
          <w:szCs w:val="24"/>
        </w:rPr>
        <w:t xml:space="preserve"> z imp</w:t>
      </w:r>
      <w:r w:rsidRPr="00E82C90">
        <w:rPr>
          <w:rFonts w:ascii="Times New Roman" w:hAnsi="Times New Roman"/>
          <w:noProof/>
          <w:sz w:val="24"/>
          <w:szCs w:val="24"/>
        </w:rPr>
        <w:t>ortu 97</w:t>
      </w:r>
      <w:r w:rsidR="00E82C90" w:rsidRPr="00E82C90">
        <w:rPr>
          <w:rFonts w:ascii="Times New Roman" w:hAnsi="Times New Roman"/>
          <w:noProof/>
          <w:sz w:val="24"/>
          <w:szCs w:val="24"/>
        </w:rPr>
        <w:t> </w:t>
      </w:r>
      <w:r w:rsidRPr="00E82C90">
        <w:rPr>
          <w:rFonts w:ascii="Times New Roman" w:hAnsi="Times New Roman"/>
          <w:noProof/>
          <w:sz w:val="24"/>
          <w:szCs w:val="24"/>
        </w:rPr>
        <w:t>% naszego zapotrzebowania na ropę naftową</w:t>
      </w:r>
      <w:r w:rsidR="00E82C90" w:rsidRPr="00E82C90">
        <w:rPr>
          <w:rFonts w:ascii="Times New Roman" w:hAnsi="Times New Roman"/>
          <w:noProof/>
          <w:sz w:val="24"/>
          <w:szCs w:val="24"/>
        </w:rPr>
        <w:t xml:space="preserve"> i 7</w:t>
      </w:r>
      <w:r w:rsidRPr="00E82C90">
        <w:rPr>
          <w:rFonts w:ascii="Times New Roman" w:hAnsi="Times New Roman"/>
          <w:noProof/>
          <w:sz w:val="24"/>
          <w:szCs w:val="24"/>
        </w:rPr>
        <w:t>0</w:t>
      </w:r>
      <w:r w:rsidR="00E82C90" w:rsidRPr="00E82C90">
        <w:rPr>
          <w:rFonts w:ascii="Times New Roman" w:hAnsi="Times New Roman"/>
          <w:noProof/>
          <w:sz w:val="24"/>
          <w:szCs w:val="24"/>
        </w:rPr>
        <w:t> </w:t>
      </w:r>
      <w:r w:rsidRPr="00E82C90">
        <w:rPr>
          <w:rFonts w:ascii="Times New Roman" w:hAnsi="Times New Roman"/>
          <w:noProof/>
          <w:sz w:val="24"/>
          <w:szCs w:val="24"/>
        </w:rPr>
        <w:t>% zapotrzebowania na węgiel. Ponieważ zapotrzebowanie UE na gaz będzie maleć</w:t>
      </w:r>
      <w:r w:rsidR="00E82C90" w:rsidRPr="00E82C90">
        <w:rPr>
          <w:rFonts w:ascii="Times New Roman" w:hAnsi="Times New Roman"/>
          <w:noProof/>
          <w:sz w:val="24"/>
          <w:szCs w:val="24"/>
        </w:rPr>
        <w:t xml:space="preserve"> w szy</w:t>
      </w:r>
      <w:r w:rsidRPr="00E82C90">
        <w:rPr>
          <w:rFonts w:ascii="Times New Roman" w:hAnsi="Times New Roman"/>
          <w:noProof/>
          <w:sz w:val="24"/>
          <w:szCs w:val="24"/>
        </w:rPr>
        <w:t>bszym tempie, niż wcześniej przewidywano, oraz</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zminimalizowania ryzyka powstawania inwestycji</w:t>
      </w:r>
      <w:r w:rsidR="00E82C90" w:rsidRPr="00E82C90">
        <w:rPr>
          <w:rFonts w:ascii="Times New Roman" w:hAnsi="Times New Roman"/>
          <w:noProof/>
          <w:sz w:val="24"/>
          <w:szCs w:val="24"/>
        </w:rPr>
        <w:t xml:space="preserve"> i akt</w:t>
      </w:r>
      <w:r w:rsidRPr="00E82C90">
        <w:rPr>
          <w:rFonts w:ascii="Times New Roman" w:hAnsi="Times New Roman"/>
          <w:noProof/>
          <w:sz w:val="24"/>
          <w:szCs w:val="24"/>
        </w:rPr>
        <w:t>ywów osieroconych, UE będzie opowiadać się za strategiami dywersyfikacji obejmującymi zarówno inwestycje</w:t>
      </w:r>
      <w:r w:rsidR="00E82C90" w:rsidRPr="00E82C90">
        <w:rPr>
          <w:rFonts w:ascii="Times New Roman" w:hAnsi="Times New Roman"/>
          <w:noProof/>
          <w:sz w:val="24"/>
          <w:szCs w:val="24"/>
        </w:rPr>
        <w:t xml:space="preserve"> w gaz</w:t>
      </w:r>
      <w:r w:rsidRPr="00E82C90">
        <w:rPr>
          <w:rFonts w:ascii="Times New Roman" w:hAnsi="Times New Roman"/>
          <w:noProof/>
          <w:sz w:val="24"/>
          <w:szCs w:val="24"/>
        </w:rPr>
        <w:t xml:space="preserve">, </w:t>
      </w:r>
      <w:bookmarkStart w:id="4" w:name="_Hlk102912053"/>
      <w:r w:rsidRPr="00E82C90">
        <w:rPr>
          <w:rFonts w:ascii="Times New Roman" w:hAnsi="Times New Roman"/>
          <w:noProof/>
          <w:sz w:val="24"/>
          <w:szCs w:val="24"/>
        </w:rPr>
        <w:t>jak</w:t>
      </w:r>
      <w:r w:rsidR="00E82C90" w:rsidRPr="00E82C90">
        <w:rPr>
          <w:rFonts w:ascii="Times New Roman" w:hAnsi="Times New Roman"/>
          <w:noProof/>
          <w:sz w:val="24"/>
          <w:szCs w:val="24"/>
        </w:rPr>
        <w:t xml:space="preserve"> i w wod</w:t>
      </w:r>
      <w:r w:rsidRPr="00E82C90">
        <w:rPr>
          <w:rFonts w:ascii="Times New Roman" w:hAnsi="Times New Roman"/>
          <w:noProof/>
          <w:sz w:val="24"/>
          <w:szCs w:val="24"/>
        </w:rPr>
        <w:t>ór odnawialny.</w:t>
      </w:r>
    </w:p>
    <w:p w14:paraId="0A05C9F1" w14:textId="571120A7" w:rsidR="008825E3" w:rsidRPr="00E82C90" w:rsidRDefault="0066231E" w:rsidP="00C33F66">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Dywersyfikacja dostaw gazu do UE</w:t>
      </w:r>
    </w:p>
    <w:p w14:paraId="1B20E1F1" w14:textId="2786464D" w:rsidR="009E3594" w:rsidRPr="00E82C90" w:rsidRDefault="007565FF" w:rsidP="007E0EE2">
      <w:pPr>
        <w:jc w:val="both"/>
        <w:rPr>
          <w:rFonts w:ascii="Times New Roman" w:hAnsi="Times New Roman" w:cs="Times New Roman"/>
          <w:noProof/>
          <w:sz w:val="24"/>
          <w:szCs w:val="24"/>
        </w:rPr>
      </w:pPr>
      <w:r w:rsidRPr="00E82C90">
        <w:rPr>
          <w:rFonts w:ascii="Times New Roman" w:hAnsi="Times New Roman"/>
          <w:noProof/>
          <w:sz w:val="24"/>
          <w:szCs w:val="24"/>
        </w:rPr>
        <w:t>Obecnie Rosja jest największym dostawcą gazu do Europy</w:t>
      </w:r>
      <w:r w:rsidR="002F4C50" w:rsidRPr="00E82C90">
        <w:rPr>
          <w:rStyle w:val="FootnoteReference"/>
          <w:rFonts w:ascii="Times New Roman" w:hAnsi="Times New Roman" w:cs="Times New Roman"/>
          <w:noProof/>
          <w:sz w:val="24"/>
          <w:szCs w:val="24"/>
        </w:rPr>
        <w:footnoteReference w:id="2"/>
      </w:r>
      <w:r w:rsidRPr="00E82C90">
        <w:rPr>
          <w:rFonts w:ascii="Times New Roman" w:hAnsi="Times New Roman"/>
          <w:noProof/>
          <w:sz w:val="24"/>
        </w:rPr>
        <w:t>.</w:t>
      </w:r>
      <w:r w:rsidRPr="00E82C90">
        <w:rPr>
          <w:rFonts w:ascii="Times New Roman" w:hAnsi="Times New Roman"/>
          <w:b/>
          <w:noProof/>
          <w:sz w:val="24"/>
        </w:rPr>
        <w:t>P</w:t>
      </w:r>
      <w:r w:rsidRPr="00E82C90">
        <w:rPr>
          <w:rFonts w:ascii="Times New Roman" w:hAnsi="Times New Roman"/>
          <w:b/>
          <w:bCs/>
          <w:noProof/>
          <w:sz w:val="24"/>
          <w:szCs w:val="24"/>
        </w:rPr>
        <w:t xml:space="preserve">lan REPowerEU ma na celu zakończenie naszej zależności od rosyjskiego gazu tak szybko jak to możliwe. </w:t>
      </w:r>
      <w:r w:rsidRPr="00E82C90">
        <w:rPr>
          <w:rFonts w:ascii="Times New Roman" w:hAnsi="Times New Roman"/>
          <w:noProof/>
          <w:sz w:val="24"/>
          <w:szCs w:val="24"/>
        </w:rPr>
        <w:t>Większość zapotrzebowania na gaz zostanie zastąpiona źródłami odnawialnymi, niskoemisyjnymi źródłami energii, efektywnością energetyczną</w:t>
      </w:r>
      <w:r w:rsidR="00E82C90" w:rsidRPr="00E82C90">
        <w:rPr>
          <w:rFonts w:ascii="Times New Roman" w:hAnsi="Times New Roman"/>
          <w:noProof/>
          <w:sz w:val="24"/>
          <w:szCs w:val="24"/>
        </w:rPr>
        <w:t xml:space="preserve"> i osz</w:t>
      </w:r>
      <w:r w:rsidRPr="00E82C90">
        <w:rPr>
          <w:rFonts w:ascii="Times New Roman" w:hAnsi="Times New Roman"/>
          <w:noProof/>
          <w:sz w:val="24"/>
          <w:szCs w:val="24"/>
        </w:rPr>
        <w:t xml:space="preserve">czędnościami. Pozostałe zapotrzebowanie na gaz ziemny zostanie pokryte dzięki dywersyfikacji dostawców. </w:t>
      </w:r>
    </w:p>
    <w:p w14:paraId="5788A7A7" w14:textId="3D340535" w:rsidR="002276AB" w:rsidRPr="00E82C90" w:rsidRDefault="00EC0BF1" w:rsidP="00A72A23">
      <w:pPr>
        <w:jc w:val="both"/>
        <w:rPr>
          <w:rFonts w:ascii="Times New Roman" w:hAnsi="Times New Roman" w:cs="Times New Roman"/>
          <w:noProof/>
          <w:sz w:val="24"/>
          <w:szCs w:val="24"/>
        </w:rPr>
      </w:pPr>
      <w:r w:rsidRPr="00E82C90">
        <w:rPr>
          <w:rFonts w:ascii="Times New Roman" w:hAnsi="Times New Roman"/>
          <w:noProof/>
          <w:sz w:val="24"/>
          <w:szCs w:val="24"/>
        </w:rPr>
        <w:t>Aby zapewnić niezbędne dostawy gazu</w:t>
      </w:r>
      <w:r w:rsidR="00E82C90" w:rsidRPr="00E82C90">
        <w:rPr>
          <w:rFonts w:ascii="Times New Roman" w:hAnsi="Times New Roman"/>
          <w:noProof/>
          <w:sz w:val="24"/>
          <w:szCs w:val="24"/>
        </w:rPr>
        <w:t xml:space="preserve"> w nad</w:t>
      </w:r>
      <w:r w:rsidRPr="00E82C90">
        <w:rPr>
          <w:rFonts w:ascii="Times New Roman" w:hAnsi="Times New Roman"/>
          <w:noProof/>
          <w:sz w:val="24"/>
          <w:szCs w:val="24"/>
        </w:rPr>
        <w:t xml:space="preserve">chodzących latach, </w:t>
      </w:r>
      <w:r w:rsidRPr="00E82C90">
        <w:rPr>
          <w:rFonts w:ascii="Times New Roman" w:hAnsi="Times New Roman"/>
          <w:b/>
          <w:bCs/>
          <w:noProof/>
          <w:sz w:val="24"/>
          <w:szCs w:val="24"/>
        </w:rPr>
        <w:t>UE musi zwiększyć import gazu ze źródeł innych niż rosyjskie</w:t>
      </w:r>
      <w:r w:rsidRPr="00E82C90">
        <w:rPr>
          <w:rFonts w:ascii="Times New Roman" w:hAnsi="Times New Roman"/>
          <w:noProof/>
          <w:sz w:val="24"/>
          <w:szCs w:val="24"/>
        </w:rPr>
        <w:t>: głównie skroplonego gazu ziemnego (LNG) (+50 mld metrów sześciennych (mld m3)), ale także doprowadzanego gazociągiem (+10 mld m3 lub więcej)</w:t>
      </w:r>
      <w:r w:rsidR="00E82C90" w:rsidRPr="00E82C90">
        <w:rPr>
          <w:rFonts w:ascii="Times New Roman" w:hAnsi="Times New Roman"/>
          <w:noProof/>
          <w:sz w:val="24"/>
          <w:szCs w:val="24"/>
        </w:rPr>
        <w:t>. W tym</w:t>
      </w:r>
      <w:r w:rsidRPr="00E82C90">
        <w:rPr>
          <w:rFonts w:ascii="Times New Roman" w:hAnsi="Times New Roman"/>
          <w:noProof/>
          <w:sz w:val="24"/>
          <w:szCs w:val="24"/>
        </w:rPr>
        <w:t xml:space="preserve"> celu UE uruchomiła unijną platformę ds. energii – aby łączyć popyt, koordynować wykorzystanie infrastruktury</w:t>
      </w:r>
      <w:r w:rsidR="00E82C90" w:rsidRPr="00E82C90">
        <w:rPr>
          <w:rFonts w:ascii="Times New Roman" w:hAnsi="Times New Roman"/>
          <w:noProof/>
          <w:sz w:val="24"/>
          <w:szCs w:val="24"/>
        </w:rPr>
        <w:t xml:space="preserve"> i pro</w:t>
      </w:r>
      <w:r w:rsidRPr="00E82C90">
        <w:rPr>
          <w:rFonts w:ascii="Times New Roman" w:hAnsi="Times New Roman"/>
          <w:noProof/>
          <w:sz w:val="24"/>
          <w:szCs w:val="24"/>
        </w:rPr>
        <w:t>wadzić negocjacje</w:t>
      </w:r>
      <w:r w:rsidR="00E82C90" w:rsidRPr="00E82C90">
        <w:rPr>
          <w:rFonts w:ascii="Times New Roman" w:hAnsi="Times New Roman"/>
          <w:noProof/>
          <w:sz w:val="24"/>
          <w:szCs w:val="24"/>
        </w:rPr>
        <w:t xml:space="preserve"> z par</w:t>
      </w:r>
      <w:r w:rsidRPr="00E82C90">
        <w:rPr>
          <w:rFonts w:ascii="Times New Roman" w:hAnsi="Times New Roman"/>
          <w:noProof/>
          <w:sz w:val="24"/>
          <w:szCs w:val="24"/>
        </w:rPr>
        <w:t>tnerami międzynarodowymi</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ułatwienia wspólnych zakupów gazu</w:t>
      </w:r>
      <w:r w:rsidR="00E82C90" w:rsidRPr="00E82C90">
        <w:rPr>
          <w:rFonts w:ascii="Times New Roman" w:hAnsi="Times New Roman"/>
          <w:noProof/>
          <w:sz w:val="24"/>
          <w:szCs w:val="24"/>
        </w:rPr>
        <w:t xml:space="preserve"> i wod</w:t>
      </w:r>
      <w:r w:rsidRPr="00E82C90">
        <w:rPr>
          <w:rFonts w:ascii="Times New Roman" w:hAnsi="Times New Roman"/>
          <w:noProof/>
          <w:sz w:val="24"/>
          <w:szCs w:val="24"/>
        </w:rPr>
        <w:t>oru, jak określono</w:t>
      </w:r>
      <w:r w:rsidR="00E82C90" w:rsidRPr="00E82C90">
        <w:rPr>
          <w:rFonts w:ascii="Times New Roman" w:hAnsi="Times New Roman"/>
          <w:noProof/>
          <w:sz w:val="24"/>
          <w:szCs w:val="24"/>
        </w:rPr>
        <w:t xml:space="preserve"> w kom</w:t>
      </w:r>
      <w:r w:rsidRPr="00E82C90">
        <w:rPr>
          <w:rFonts w:ascii="Times New Roman" w:hAnsi="Times New Roman"/>
          <w:noProof/>
          <w:sz w:val="24"/>
          <w:szCs w:val="24"/>
        </w:rPr>
        <w:t>unikacie ogólnym dotyczącym REPowerEU.</w:t>
      </w:r>
    </w:p>
    <w:p w14:paraId="309487FD" w14:textId="405A3A30" w:rsidR="00CF7533" w:rsidRPr="00E82C90" w:rsidRDefault="002A119A" w:rsidP="00CF7533">
      <w:pPr>
        <w:jc w:val="both"/>
        <w:rPr>
          <w:rFonts w:ascii="Times New Roman" w:hAnsi="Times New Roman" w:cs="Times New Roman"/>
          <w:noProof/>
          <w:sz w:val="24"/>
          <w:szCs w:val="24"/>
        </w:rPr>
      </w:pPr>
      <w:r w:rsidRPr="00E82C90">
        <w:rPr>
          <w:rFonts w:ascii="Times New Roman" w:hAnsi="Times New Roman"/>
          <w:noProof/>
          <w:sz w:val="24"/>
          <w:szCs w:val="24"/>
        </w:rPr>
        <w:t>Podstawą tych działań są prace prowadzone przez Komisję Europejską od jesieni ubiegłego roku,</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 xml:space="preserve">ach których </w:t>
      </w:r>
      <w:r w:rsidRPr="00E82C90">
        <w:rPr>
          <w:rFonts w:ascii="Times New Roman" w:hAnsi="Times New Roman"/>
          <w:b/>
          <w:bCs/>
          <w:noProof/>
          <w:sz w:val="24"/>
          <w:szCs w:val="24"/>
        </w:rPr>
        <w:t>zwrócono się do naszych głównych dostawców LNG</w:t>
      </w:r>
      <w:r w:rsidR="00E82C90" w:rsidRPr="00E82C90">
        <w:rPr>
          <w:rFonts w:ascii="Times New Roman" w:hAnsi="Times New Roman"/>
          <w:b/>
          <w:bCs/>
          <w:noProof/>
          <w:sz w:val="24"/>
          <w:szCs w:val="24"/>
        </w:rPr>
        <w:t xml:space="preserve"> i gaz</w:t>
      </w:r>
      <w:r w:rsidRPr="00E82C90">
        <w:rPr>
          <w:rFonts w:ascii="Times New Roman" w:hAnsi="Times New Roman"/>
          <w:b/>
          <w:bCs/>
          <w:noProof/>
          <w:sz w:val="24"/>
          <w:szCs w:val="24"/>
        </w:rPr>
        <w:t>u rurociągowego</w:t>
      </w:r>
      <w:r w:rsidRPr="00E82C90">
        <w:rPr>
          <w:rFonts w:ascii="Times New Roman" w:hAnsi="Times New Roman"/>
          <w:noProof/>
          <w:sz w:val="24"/>
          <w:szCs w:val="24"/>
        </w:rPr>
        <w:t>. Efektem tych starań są rekordowe miesięczne dostawy LNG, wynoszące 12,5 mld m3</w:t>
      </w:r>
      <w:r w:rsidR="00E82C90" w:rsidRPr="00E82C90">
        <w:rPr>
          <w:rFonts w:ascii="Times New Roman" w:hAnsi="Times New Roman"/>
          <w:noProof/>
          <w:sz w:val="24"/>
          <w:szCs w:val="24"/>
        </w:rPr>
        <w:t xml:space="preserve"> w kwi</w:t>
      </w:r>
      <w:r w:rsidRPr="00E82C90">
        <w:rPr>
          <w:rFonts w:ascii="Times New Roman" w:hAnsi="Times New Roman"/>
          <w:noProof/>
          <w:sz w:val="24"/>
          <w:szCs w:val="24"/>
        </w:rPr>
        <w:t>etniu 2022</w:t>
      </w:r>
      <w:r w:rsidR="00E82C90" w:rsidRPr="00E82C90">
        <w:rPr>
          <w:rFonts w:ascii="Times New Roman" w:hAnsi="Times New Roman"/>
          <w:noProof/>
          <w:sz w:val="24"/>
          <w:szCs w:val="24"/>
        </w:rPr>
        <w:t> </w:t>
      </w:r>
      <w:r w:rsidRPr="00E82C90">
        <w:rPr>
          <w:rFonts w:ascii="Times New Roman" w:hAnsi="Times New Roman"/>
          <w:noProof/>
          <w:sz w:val="24"/>
          <w:szCs w:val="24"/>
        </w:rPr>
        <w:t>r.</w:t>
      </w:r>
      <w:r w:rsidR="00E82C90" w:rsidRPr="00E82C90">
        <w:rPr>
          <w:rFonts w:ascii="Times New Roman" w:hAnsi="Times New Roman"/>
          <w:noProof/>
          <w:sz w:val="24"/>
          <w:szCs w:val="24"/>
        </w:rPr>
        <w:t xml:space="preserve"> i 4</w:t>
      </w:r>
      <w:r w:rsidRPr="00E82C90">
        <w:rPr>
          <w:rFonts w:ascii="Times New Roman" w:hAnsi="Times New Roman"/>
          <w:noProof/>
          <w:sz w:val="24"/>
          <w:szCs w:val="24"/>
        </w:rPr>
        <w:t>2 mld m3 od stycznia do kwietnia 2022</w:t>
      </w:r>
      <w:r w:rsidR="00E82C90" w:rsidRPr="00E82C90">
        <w:rPr>
          <w:rFonts w:ascii="Times New Roman" w:hAnsi="Times New Roman"/>
          <w:noProof/>
          <w:sz w:val="24"/>
          <w:szCs w:val="24"/>
        </w:rPr>
        <w:t> </w:t>
      </w:r>
      <w:r w:rsidRPr="00E82C90">
        <w:rPr>
          <w:rFonts w:ascii="Times New Roman" w:hAnsi="Times New Roman"/>
          <w:noProof/>
          <w:sz w:val="24"/>
          <w:szCs w:val="24"/>
        </w:rPr>
        <w:t xml:space="preserve">r. </w:t>
      </w:r>
      <w:bookmarkStart w:id="5" w:name="_Hlk103323438"/>
      <w:r w:rsidRPr="00E82C90">
        <w:rPr>
          <w:rFonts w:ascii="Times New Roman" w:hAnsi="Times New Roman"/>
          <w:noProof/>
          <w:sz w:val="24"/>
          <w:szCs w:val="24"/>
        </w:rPr>
        <w:t>Platforma zintegruje bieżące działania państw członkowskich UE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dywersyfikacji</w:t>
      </w:r>
      <w:r w:rsidR="00E82C90" w:rsidRPr="00E82C90">
        <w:rPr>
          <w:rFonts w:ascii="Times New Roman" w:hAnsi="Times New Roman"/>
          <w:noProof/>
          <w:sz w:val="24"/>
          <w:szCs w:val="24"/>
        </w:rPr>
        <w:t xml:space="preserve"> i będ</w:t>
      </w:r>
      <w:r w:rsidRPr="00E82C90">
        <w:rPr>
          <w:rFonts w:ascii="Times New Roman" w:hAnsi="Times New Roman"/>
          <w:noProof/>
          <w:sz w:val="24"/>
          <w:szCs w:val="24"/>
        </w:rPr>
        <w:t>zie otwarta dla Ukrainy, Mołdawii</w:t>
      </w:r>
      <w:r w:rsidR="00E82C90" w:rsidRPr="00E82C90">
        <w:rPr>
          <w:rFonts w:ascii="Times New Roman" w:hAnsi="Times New Roman"/>
          <w:noProof/>
          <w:sz w:val="24"/>
          <w:szCs w:val="24"/>
        </w:rPr>
        <w:t xml:space="preserve"> i Gru</w:t>
      </w:r>
      <w:r w:rsidRPr="00E82C90">
        <w:rPr>
          <w:rFonts w:ascii="Times New Roman" w:hAnsi="Times New Roman"/>
          <w:noProof/>
          <w:sz w:val="24"/>
          <w:szCs w:val="24"/>
        </w:rPr>
        <w:t>zji,</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 xml:space="preserve">że dla Bałkanów Zachodnich. </w:t>
      </w:r>
      <w:bookmarkEnd w:id="5"/>
    </w:p>
    <w:p w14:paraId="4D31B1FA" w14:textId="6A66F9AE" w:rsidR="00A72A23" w:rsidRPr="00E82C90" w:rsidRDefault="00A5339B" w:rsidP="00A72A23">
      <w:pPr>
        <w:jc w:val="both"/>
        <w:rPr>
          <w:rFonts w:ascii="Times New Roman" w:hAnsi="Times New Roman" w:cs="Times New Roman"/>
          <w:noProof/>
          <w:sz w:val="24"/>
          <w:szCs w:val="24"/>
        </w:rPr>
      </w:pPr>
      <w:r w:rsidRPr="00E82C90">
        <w:rPr>
          <w:rFonts w:ascii="Times New Roman" w:hAnsi="Times New Roman"/>
          <w:noProof/>
          <w:sz w:val="24"/>
          <w:szCs w:val="24"/>
        </w:rPr>
        <w:t xml:space="preserve">Aby ułatwić działania dywersyfikacyjne, </w:t>
      </w:r>
      <w:r w:rsidRPr="00E82C90">
        <w:rPr>
          <w:rFonts w:ascii="Times New Roman" w:hAnsi="Times New Roman"/>
          <w:b/>
          <w:bCs/>
          <w:noProof/>
          <w:sz w:val="24"/>
          <w:szCs w:val="24"/>
        </w:rPr>
        <w:t>Komisja Europejska</w:t>
      </w:r>
      <w:r w:rsidR="00E82C90" w:rsidRPr="00E82C90">
        <w:rPr>
          <w:rFonts w:ascii="Times New Roman" w:hAnsi="Times New Roman"/>
          <w:b/>
          <w:bCs/>
          <w:noProof/>
          <w:sz w:val="24"/>
          <w:szCs w:val="24"/>
        </w:rPr>
        <w:t xml:space="preserve"> i Sta</w:t>
      </w:r>
      <w:r w:rsidRPr="00E82C90">
        <w:rPr>
          <w:rFonts w:ascii="Times New Roman" w:hAnsi="Times New Roman"/>
          <w:b/>
          <w:bCs/>
          <w:noProof/>
          <w:sz w:val="24"/>
          <w:szCs w:val="24"/>
        </w:rPr>
        <w:t>ny Zjednoczone uzgodniły</w:t>
      </w:r>
      <w:r w:rsidR="00705665" w:rsidRPr="00E82C90">
        <w:rPr>
          <w:rStyle w:val="FootnoteReference"/>
          <w:rFonts w:ascii="Times New Roman" w:hAnsi="Times New Roman" w:cs="Times New Roman"/>
          <w:bCs/>
          <w:noProof/>
          <w:sz w:val="24"/>
          <w:szCs w:val="24"/>
        </w:rPr>
        <w:footnoteReference w:id="3"/>
      </w:r>
      <w:r w:rsidRPr="00E82C90">
        <w:rPr>
          <w:rFonts w:ascii="Times New Roman" w:hAnsi="Times New Roman"/>
          <w:noProof/>
          <w:sz w:val="24"/>
          <w:szCs w:val="24"/>
        </w:rPr>
        <w:t>, że będą pracować nad dostarczeniem</w:t>
      </w:r>
      <w:r w:rsidRPr="00E82C90">
        <w:rPr>
          <w:rFonts w:ascii="Times New Roman" w:hAnsi="Times New Roman"/>
          <w:b/>
          <w:noProof/>
          <w:sz w:val="24"/>
          <w:szCs w:val="24"/>
        </w:rPr>
        <w:t xml:space="preserve"> </w:t>
      </w:r>
      <w:r w:rsidRPr="00E82C90">
        <w:rPr>
          <w:rFonts w:ascii="Times New Roman" w:hAnsi="Times New Roman"/>
          <w:noProof/>
          <w:sz w:val="24"/>
          <w:szCs w:val="24"/>
        </w:rPr>
        <w:t>dodatkowych ilości LNG do UE (co najmniej 15 mld m3</w:t>
      </w:r>
      <w:r w:rsidR="00E82C90" w:rsidRPr="00E82C90">
        <w:rPr>
          <w:rFonts w:ascii="Times New Roman" w:hAnsi="Times New Roman"/>
          <w:noProof/>
          <w:sz w:val="24"/>
          <w:szCs w:val="24"/>
        </w:rPr>
        <w:t xml:space="preserve"> w 2</w:t>
      </w:r>
      <w:r w:rsidRPr="00E82C90">
        <w:rPr>
          <w:rFonts w:ascii="Times New Roman" w:hAnsi="Times New Roman"/>
          <w:noProof/>
          <w:sz w:val="24"/>
          <w:szCs w:val="24"/>
        </w:rPr>
        <w:t>022</w:t>
      </w:r>
      <w:r w:rsidR="00E82C90" w:rsidRPr="00E82C90">
        <w:rPr>
          <w:rFonts w:ascii="Times New Roman" w:hAnsi="Times New Roman"/>
          <w:noProof/>
          <w:sz w:val="24"/>
          <w:szCs w:val="24"/>
        </w:rPr>
        <w:t> </w:t>
      </w:r>
      <w:r w:rsidRPr="00E82C90">
        <w:rPr>
          <w:rFonts w:ascii="Times New Roman" w:hAnsi="Times New Roman"/>
          <w:noProof/>
          <w:sz w:val="24"/>
          <w:szCs w:val="24"/>
        </w:rPr>
        <w:t>r.</w:t>
      </w:r>
      <w:r w:rsidR="00E82C90" w:rsidRPr="00E82C90">
        <w:rPr>
          <w:rFonts w:ascii="Times New Roman" w:hAnsi="Times New Roman"/>
          <w:noProof/>
          <w:sz w:val="24"/>
          <w:szCs w:val="24"/>
        </w:rPr>
        <w:t xml:space="preserve"> i oko</w:t>
      </w:r>
      <w:r w:rsidRPr="00E82C90">
        <w:rPr>
          <w:rFonts w:ascii="Times New Roman" w:hAnsi="Times New Roman"/>
          <w:noProof/>
          <w:sz w:val="24"/>
          <w:szCs w:val="24"/>
        </w:rPr>
        <w:t>ło 50 mld m3 rocznie co najmniej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r.)</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eksportu ze Stanów Zjednoczonych, ale także we współpracy</w:t>
      </w:r>
      <w:r w:rsidR="00E82C90" w:rsidRPr="00E82C90">
        <w:rPr>
          <w:rFonts w:ascii="Times New Roman" w:hAnsi="Times New Roman"/>
          <w:noProof/>
          <w:sz w:val="24"/>
          <w:szCs w:val="24"/>
        </w:rPr>
        <w:t xml:space="preserve"> z inn</w:t>
      </w:r>
      <w:r w:rsidRPr="00E82C90">
        <w:rPr>
          <w:rFonts w:ascii="Times New Roman" w:hAnsi="Times New Roman"/>
          <w:noProof/>
          <w:sz w:val="24"/>
          <w:szCs w:val="24"/>
        </w:rPr>
        <w:t>ymi partnerami międzynarodowymi</w:t>
      </w:r>
      <w:r w:rsidRPr="00E82C90">
        <w:rPr>
          <w:rFonts w:ascii="Times New Roman" w:hAnsi="Times New Roman"/>
          <w:bCs/>
          <w:noProof/>
          <w:sz w:val="24"/>
          <w:szCs w:val="24"/>
        </w:rPr>
        <w:t>.</w:t>
      </w:r>
      <w:r w:rsidRPr="00E82C90">
        <w:rPr>
          <w:rFonts w:ascii="Times New Roman" w:hAnsi="Times New Roman"/>
          <w:b/>
          <w:noProof/>
          <w:sz w:val="24"/>
          <w:szCs w:val="24"/>
        </w:rPr>
        <w:t xml:space="preserve"> </w:t>
      </w:r>
      <w:r w:rsidRPr="00E82C90">
        <w:rPr>
          <w:rFonts w:ascii="Times New Roman" w:hAnsi="Times New Roman"/>
          <w:bCs/>
          <w:noProof/>
          <w:sz w:val="24"/>
          <w:szCs w:val="24"/>
        </w:rPr>
        <w:t>Komisja powołała również</w:t>
      </w:r>
      <w:r w:rsidRPr="00E82C90">
        <w:rPr>
          <w:rFonts w:ascii="Times New Roman" w:hAnsi="Times New Roman"/>
          <w:b/>
          <w:noProof/>
          <w:sz w:val="24"/>
          <w:szCs w:val="24"/>
        </w:rPr>
        <w:t xml:space="preserve"> </w:t>
      </w:r>
      <w:r w:rsidRPr="00E82C90">
        <w:rPr>
          <w:rFonts w:ascii="Times New Roman" w:hAnsi="Times New Roman"/>
          <w:noProof/>
          <w:sz w:val="24"/>
          <w:szCs w:val="24"/>
        </w:rPr>
        <w:t xml:space="preserve">specjalną </w:t>
      </w:r>
      <w:r w:rsidRPr="00E82C90">
        <w:rPr>
          <w:rFonts w:ascii="Times New Roman" w:hAnsi="Times New Roman"/>
          <w:b/>
          <w:bCs/>
          <w:noProof/>
          <w:sz w:val="24"/>
          <w:szCs w:val="24"/>
        </w:rPr>
        <w:t>grupę roboczą</w:t>
      </w:r>
      <w:r w:rsidR="00E82C90" w:rsidRPr="00E82C90">
        <w:rPr>
          <w:rFonts w:ascii="Times New Roman" w:hAnsi="Times New Roman"/>
          <w:b/>
          <w:bCs/>
          <w:noProof/>
          <w:sz w:val="24"/>
          <w:szCs w:val="24"/>
        </w:rPr>
        <w:t xml:space="preserve"> z udz</w:t>
      </w:r>
      <w:r w:rsidRPr="00E82C90">
        <w:rPr>
          <w:rFonts w:ascii="Times New Roman" w:hAnsi="Times New Roman"/>
          <w:b/>
          <w:bCs/>
          <w:noProof/>
          <w:sz w:val="24"/>
          <w:szCs w:val="24"/>
        </w:rPr>
        <w:t>iałem Kanady</w:t>
      </w:r>
      <w:r w:rsidRPr="00E82C90">
        <w:rPr>
          <w:rFonts w:ascii="Times New Roman" w:hAnsi="Times New Roman"/>
          <w:noProof/>
          <w:sz w:val="24"/>
          <w:szCs w:val="24"/>
        </w:rPr>
        <w:t>, której zadaniem jest przeanalizowanie możliwości dostaw LNG</w:t>
      </w:r>
      <w:r w:rsidR="00E82C90" w:rsidRPr="00E82C90">
        <w:rPr>
          <w:rFonts w:ascii="Times New Roman" w:hAnsi="Times New Roman"/>
          <w:noProof/>
          <w:sz w:val="24"/>
          <w:szCs w:val="24"/>
        </w:rPr>
        <w:t xml:space="preserve"> i wod</w:t>
      </w:r>
      <w:r w:rsidRPr="00E82C90">
        <w:rPr>
          <w:rFonts w:ascii="Times New Roman" w:hAnsi="Times New Roman"/>
          <w:noProof/>
          <w:sz w:val="24"/>
          <w:szCs w:val="24"/>
        </w:rPr>
        <w:t>oru</w:t>
      </w:r>
      <w:r w:rsidR="00E82C90" w:rsidRPr="00E82C90">
        <w:rPr>
          <w:rFonts w:ascii="Times New Roman" w:hAnsi="Times New Roman"/>
          <w:noProof/>
          <w:sz w:val="24"/>
          <w:szCs w:val="24"/>
        </w:rPr>
        <w:t xml:space="preserve"> w nad</w:t>
      </w:r>
      <w:r w:rsidRPr="00E82C90">
        <w:rPr>
          <w:rFonts w:ascii="Times New Roman" w:hAnsi="Times New Roman"/>
          <w:noProof/>
          <w:sz w:val="24"/>
          <w:szCs w:val="24"/>
        </w:rPr>
        <w:t>chodzących latach</w:t>
      </w:r>
      <w:r w:rsidR="007D37E8" w:rsidRPr="00E82C90">
        <w:rPr>
          <w:rStyle w:val="FootnoteReference"/>
          <w:rFonts w:ascii="Times New Roman" w:hAnsi="Times New Roman" w:cs="Times New Roman"/>
          <w:noProof/>
          <w:sz w:val="24"/>
          <w:szCs w:val="24"/>
        </w:rPr>
        <w:footnoteReference w:id="4"/>
      </w:r>
      <w:r w:rsidRPr="00E82C90">
        <w:rPr>
          <w:rFonts w:ascii="Times New Roman" w:hAnsi="Times New Roman"/>
          <w:noProof/>
          <w:sz w:val="24"/>
          <w:szCs w:val="24"/>
        </w:rPr>
        <w:t>.</w:t>
      </w:r>
    </w:p>
    <w:p w14:paraId="4F34CB9C" w14:textId="25808B8C" w:rsidR="00267382" w:rsidRPr="00E82C90" w:rsidRDefault="00FF76D5" w:rsidP="00CA014D">
      <w:pPr>
        <w:jc w:val="both"/>
        <w:rPr>
          <w:rFonts w:ascii="Times New Roman" w:hAnsi="Times New Roman" w:cs="Times New Roman"/>
          <w:noProof/>
          <w:sz w:val="24"/>
          <w:szCs w:val="24"/>
        </w:rPr>
      </w:pPr>
      <w:r w:rsidRPr="00E82C90">
        <w:rPr>
          <w:rFonts w:ascii="Times New Roman" w:hAnsi="Times New Roman"/>
          <w:noProof/>
          <w:sz w:val="24"/>
          <w:szCs w:val="24"/>
        </w:rPr>
        <w:t xml:space="preserve">Do lata bieżącego roku UE zamierza zawrzeć </w:t>
      </w:r>
      <w:r w:rsidRPr="00E82C90">
        <w:rPr>
          <w:rFonts w:ascii="Times New Roman" w:hAnsi="Times New Roman"/>
          <w:b/>
          <w:bCs/>
          <w:noProof/>
          <w:sz w:val="24"/>
          <w:szCs w:val="24"/>
        </w:rPr>
        <w:t>trójstronne porozumienie</w:t>
      </w:r>
      <w:r w:rsidR="00E82C90" w:rsidRPr="00E82C90">
        <w:rPr>
          <w:rFonts w:ascii="Times New Roman" w:hAnsi="Times New Roman"/>
          <w:b/>
          <w:bCs/>
          <w:noProof/>
          <w:sz w:val="24"/>
          <w:szCs w:val="24"/>
        </w:rPr>
        <w:t xml:space="preserve"> z Egi</w:t>
      </w:r>
      <w:r w:rsidRPr="00E82C90">
        <w:rPr>
          <w:rFonts w:ascii="Times New Roman" w:hAnsi="Times New Roman"/>
          <w:b/>
          <w:bCs/>
          <w:noProof/>
          <w:sz w:val="24"/>
          <w:szCs w:val="24"/>
        </w:rPr>
        <w:t>ptem</w:t>
      </w:r>
      <w:r w:rsidR="00E82C90" w:rsidRPr="00E82C90">
        <w:rPr>
          <w:rFonts w:ascii="Times New Roman" w:hAnsi="Times New Roman"/>
          <w:b/>
          <w:bCs/>
          <w:noProof/>
          <w:sz w:val="24"/>
          <w:szCs w:val="24"/>
        </w:rPr>
        <w:t xml:space="preserve"> i Izr</w:t>
      </w:r>
      <w:r w:rsidRPr="00E82C90">
        <w:rPr>
          <w:rFonts w:ascii="Times New Roman" w:hAnsi="Times New Roman"/>
          <w:b/>
          <w:bCs/>
          <w:noProof/>
          <w:sz w:val="24"/>
          <w:szCs w:val="24"/>
        </w:rPr>
        <w:t>aelem</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dostaw LNG do Europy. Japonia</w:t>
      </w:r>
      <w:r w:rsidR="00E82C90" w:rsidRPr="00E82C90">
        <w:rPr>
          <w:rFonts w:ascii="Times New Roman" w:hAnsi="Times New Roman"/>
          <w:noProof/>
          <w:sz w:val="24"/>
          <w:szCs w:val="24"/>
        </w:rPr>
        <w:t xml:space="preserve"> i Kor</w:t>
      </w:r>
      <w:r w:rsidRPr="00E82C90">
        <w:rPr>
          <w:rFonts w:ascii="Times New Roman" w:hAnsi="Times New Roman"/>
          <w:noProof/>
          <w:sz w:val="24"/>
          <w:szCs w:val="24"/>
        </w:rPr>
        <w:t>ea przekierowały już kilka ładunków LNG do Europy</w:t>
      </w:r>
      <w:r w:rsidR="00E82C90" w:rsidRPr="00E82C90">
        <w:rPr>
          <w:rFonts w:ascii="Times New Roman" w:hAnsi="Times New Roman"/>
          <w:noProof/>
          <w:sz w:val="24"/>
          <w:szCs w:val="24"/>
        </w:rPr>
        <w:t xml:space="preserve"> i trw</w:t>
      </w:r>
      <w:r w:rsidRPr="00E82C90">
        <w:rPr>
          <w:rFonts w:ascii="Times New Roman" w:hAnsi="Times New Roman"/>
          <w:noProof/>
          <w:sz w:val="24"/>
          <w:szCs w:val="24"/>
        </w:rPr>
        <w:t>ają prace nad wykorzystaniem tej opcji</w:t>
      </w:r>
      <w:r w:rsidR="00E82C90" w:rsidRPr="00E82C90">
        <w:rPr>
          <w:rFonts w:ascii="Times New Roman" w:hAnsi="Times New Roman"/>
          <w:noProof/>
          <w:sz w:val="24"/>
          <w:szCs w:val="24"/>
        </w:rPr>
        <w:t xml:space="preserve"> w prz</w:t>
      </w:r>
      <w:r w:rsidRPr="00E82C90">
        <w:rPr>
          <w:rFonts w:ascii="Times New Roman" w:hAnsi="Times New Roman"/>
          <w:noProof/>
          <w:sz w:val="24"/>
          <w:szCs w:val="24"/>
        </w:rPr>
        <w:t>yszłości. Katar jest gotowy do ułatwienia wymiany handlowej</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stwami azjatyckimi. Jeśli chodzi</w:t>
      </w:r>
      <w:r w:rsidR="00E82C90" w:rsidRPr="00E82C90">
        <w:rPr>
          <w:rFonts w:ascii="Times New Roman" w:hAnsi="Times New Roman"/>
          <w:noProof/>
          <w:sz w:val="24"/>
          <w:szCs w:val="24"/>
        </w:rPr>
        <w:t xml:space="preserve"> o gaz</w:t>
      </w:r>
      <w:r w:rsidRPr="00E82C90">
        <w:rPr>
          <w:rFonts w:ascii="Times New Roman" w:hAnsi="Times New Roman"/>
          <w:noProof/>
          <w:sz w:val="24"/>
          <w:szCs w:val="24"/>
        </w:rPr>
        <w:t>ociąg, Norwegia już zwiększyła swoje dostawy do Europy,</w:t>
      </w:r>
      <w:r w:rsidR="00E82C90" w:rsidRPr="00E82C90">
        <w:rPr>
          <w:rFonts w:ascii="Times New Roman" w:hAnsi="Times New Roman"/>
          <w:noProof/>
          <w:sz w:val="24"/>
          <w:szCs w:val="24"/>
        </w:rPr>
        <w:t xml:space="preserve"> a zar</w:t>
      </w:r>
      <w:r w:rsidRPr="00E82C90">
        <w:rPr>
          <w:rFonts w:ascii="Times New Roman" w:hAnsi="Times New Roman"/>
          <w:noProof/>
          <w:sz w:val="24"/>
          <w:szCs w:val="24"/>
        </w:rPr>
        <w:t xml:space="preserve">ówno </w:t>
      </w:r>
      <w:r w:rsidRPr="00E82C90">
        <w:rPr>
          <w:rFonts w:ascii="Times New Roman" w:hAnsi="Times New Roman"/>
          <w:b/>
          <w:bCs/>
          <w:noProof/>
          <w:sz w:val="24"/>
          <w:szCs w:val="24"/>
        </w:rPr>
        <w:t>Algieria, jak</w:t>
      </w:r>
      <w:r w:rsidR="00E82C90" w:rsidRPr="00E82C90">
        <w:rPr>
          <w:rFonts w:ascii="Times New Roman" w:hAnsi="Times New Roman"/>
          <w:b/>
          <w:bCs/>
          <w:noProof/>
          <w:sz w:val="24"/>
          <w:szCs w:val="24"/>
        </w:rPr>
        <w:t xml:space="preserve"> i Aze</w:t>
      </w:r>
      <w:r w:rsidRPr="00E82C90">
        <w:rPr>
          <w:rFonts w:ascii="Times New Roman" w:hAnsi="Times New Roman"/>
          <w:b/>
          <w:bCs/>
          <w:noProof/>
          <w:sz w:val="24"/>
          <w:szCs w:val="24"/>
        </w:rPr>
        <w:t>rbejdżan</w:t>
      </w:r>
      <w:r w:rsidRPr="00E82C90">
        <w:rPr>
          <w:rFonts w:ascii="Times New Roman" w:hAnsi="Times New Roman"/>
          <w:noProof/>
          <w:sz w:val="24"/>
          <w:szCs w:val="24"/>
        </w:rPr>
        <w:t xml:space="preserve"> również wyraziły gotowość do podjęcia takich działań. UE będzie dążyć do wznowienia dialogu energetycznego</w:t>
      </w:r>
      <w:r w:rsidR="00E82C90" w:rsidRPr="00E82C90">
        <w:rPr>
          <w:rFonts w:ascii="Times New Roman" w:hAnsi="Times New Roman"/>
          <w:noProof/>
          <w:sz w:val="24"/>
          <w:szCs w:val="24"/>
        </w:rPr>
        <w:t xml:space="preserve"> z Alg</w:t>
      </w:r>
      <w:r w:rsidRPr="00E82C90">
        <w:rPr>
          <w:rFonts w:ascii="Times New Roman" w:hAnsi="Times New Roman"/>
          <w:noProof/>
          <w:sz w:val="24"/>
          <w:szCs w:val="24"/>
        </w:rPr>
        <w:t>ierią</w:t>
      </w:r>
      <w:r w:rsidR="00E82C90" w:rsidRPr="00E82C90">
        <w:rPr>
          <w:rFonts w:ascii="Times New Roman" w:hAnsi="Times New Roman"/>
          <w:noProof/>
          <w:sz w:val="24"/>
          <w:szCs w:val="24"/>
        </w:rPr>
        <w:t xml:space="preserve"> i zac</w:t>
      </w:r>
      <w:r w:rsidRPr="00E82C90">
        <w:rPr>
          <w:rFonts w:ascii="Times New Roman" w:hAnsi="Times New Roman"/>
          <w:noProof/>
          <w:sz w:val="24"/>
          <w:szCs w:val="24"/>
        </w:rPr>
        <w:t>ieśni współpracę</w:t>
      </w:r>
      <w:r w:rsidR="00E82C90" w:rsidRPr="00E82C90">
        <w:rPr>
          <w:rFonts w:ascii="Times New Roman" w:hAnsi="Times New Roman"/>
          <w:noProof/>
          <w:sz w:val="24"/>
          <w:szCs w:val="24"/>
        </w:rPr>
        <w:t xml:space="preserve"> z Aze</w:t>
      </w:r>
      <w:r w:rsidRPr="00E82C90">
        <w:rPr>
          <w:rFonts w:ascii="Times New Roman" w:hAnsi="Times New Roman"/>
          <w:noProof/>
          <w:sz w:val="24"/>
          <w:szCs w:val="24"/>
        </w:rPr>
        <w:t>rbejdżanem</w:t>
      </w:r>
      <w:r w:rsidR="00E82C90" w:rsidRPr="00E82C90">
        <w:rPr>
          <w:rFonts w:ascii="Times New Roman" w:hAnsi="Times New Roman"/>
          <w:noProof/>
          <w:sz w:val="24"/>
          <w:szCs w:val="24"/>
        </w:rPr>
        <w:t xml:space="preserve"> w świ</w:t>
      </w:r>
      <w:r w:rsidRPr="00E82C90">
        <w:rPr>
          <w:rFonts w:ascii="Times New Roman" w:hAnsi="Times New Roman"/>
          <w:noProof/>
          <w:sz w:val="24"/>
          <w:szCs w:val="24"/>
        </w:rPr>
        <w:t>etle strategicznego znaczenia południowego korytarza gazowego. Zwiększenie przepustowości gazociągu transadriatyckiego (TAP) zwiększyłoby dostawy gazu do UE</w:t>
      </w:r>
      <w:r w:rsidR="00E82C90" w:rsidRPr="00E82C90">
        <w:rPr>
          <w:rFonts w:ascii="Times New Roman" w:hAnsi="Times New Roman"/>
          <w:noProof/>
          <w:sz w:val="24"/>
          <w:szCs w:val="24"/>
        </w:rPr>
        <w:t xml:space="preserve"> i kra</w:t>
      </w:r>
      <w:r w:rsidRPr="00E82C90">
        <w:rPr>
          <w:rFonts w:ascii="Times New Roman" w:hAnsi="Times New Roman"/>
          <w:noProof/>
          <w:sz w:val="24"/>
          <w:szCs w:val="24"/>
        </w:rPr>
        <w:t>jów Bałkanów Zachodnich.</w:t>
      </w:r>
    </w:p>
    <w:p w14:paraId="3773F77D" w14:textId="3530294B" w:rsidR="00A72A23" w:rsidRPr="00E82C90" w:rsidRDefault="00A72A23" w:rsidP="00A72A23">
      <w:pPr>
        <w:spacing w:after="120"/>
        <w:jc w:val="both"/>
        <w:rPr>
          <w:rFonts w:ascii="Times New Roman" w:hAnsi="Times New Roman" w:cs="Times New Roman"/>
          <w:noProof/>
          <w:sz w:val="24"/>
          <w:szCs w:val="24"/>
        </w:rPr>
      </w:pPr>
      <w:r w:rsidRPr="00E82C90">
        <w:rPr>
          <w:rFonts w:ascii="Times New Roman" w:hAnsi="Times New Roman"/>
          <w:noProof/>
          <w:sz w:val="24"/>
          <w:szCs w:val="24"/>
        </w:rPr>
        <w:t>Państwa Afryki Subsaharyjskiej,</w:t>
      </w:r>
      <w:r w:rsidR="00E82C90" w:rsidRPr="00E82C90">
        <w:rPr>
          <w:rFonts w:ascii="Times New Roman" w:hAnsi="Times New Roman"/>
          <w:noProof/>
          <w:sz w:val="24"/>
          <w:szCs w:val="24"/>
        </w:rPr>
        <w:t xml:space="preserve"> a w szc</w:t>
      </w:r>
      <w:r w:rsidRPr="00E82C90">
        <w:rPr>
          <w:rFonts w:ascii="Times New Roman" w:hAnsi="Times New Roman"/>
          <w:noProof/>
          <w:sz w:val="24"/>
          <w:szCs w:val="24"/>
        </w:rPr>
        <w:t>zególności Afryki Zachodniej, takie jak Nigeria (już teraz dostarczająca 15</w:t>
      </w:r>
      <w:r w:rsidR="00E82C90" w:rsidRPr="00E82C90">
        <w:rPr>
          <w:rFonts w:ascii="Times New Roman" w:hAnsi="Times New Roman"/>
          <w:noProof/>
          <w:sz w:val="24"/>
          <w:szCs w:val="24"/>
        </w:rPr>
        <w:t> </w:t>
      </w:r>
      <w:r w:rsidRPr="00E82C90">
        <w:rPr>
          <w:rFonts w:ascii="Times New Roman" w:hAnsi="Times New Roman"/>
          <w:noProof/>
          <w:sz w:val="24"/>
          <w:szCs w:val="24"/>
        </w:rPr>
        <w:t>% importu UE</w:t>
      </w:r>
      <w:r w:rsidR="00E82C90" w:rsidRPr="00E82C90">
        <w:rPr>
          <w:rFonts w:ascii="Times New Roman" w:hAnsi="Times New Roman"/>
          <w:noProof/>
          <w:sz w:val="24"/>
          <w:szCs w:val="24"/>
        </w:rPr>
        <w:t xml:space="preserve"> w 2</w:t>
      </w:r>
      <w:r w:rsidRPr="00E82C90">
        <w:rPr>
          <w:rFonts w:ascii="Times New Roman" w:hAnsi="Times New Roman"/>
          <w:noProof/>
          <w:sz w:val="24"/>
          <w:szCs w:val="24"/>
        </w:rPr>
        <w:t>021</w:t>
      </w:r>
      <w:r w:rsidR="00E82C90" w:rsidRPr="00E82C90">
        <w:rPr>
          <w:rFonts w:ascii="Times New Roman" w:hAnsi="Times New Roman"/>
          <w:noProof/>
          <w:sz w:val="24"/>
          <w:szCs w:val="24"/>
        </w:rPr>
        <w:t> </w:t>
      </w:r>
      <w:r w:rsidRPr="00E82C90">
        <w:rPr>
          <w:rFonts w:ascii="Times New Roman" w:hAnsi="Times New Roman"/>
          <w:noProof/>
          <w:sz w:val="24"/>
          <w:szCs w:val="24"/>
        </w:rPr>
        <w:t>r.), Senegal</w:t>
      </w:r>
      <w:r w:rsidR="00E82C90" w:rsidRPr="00E82C90">
        <w:rPr>
          <w:rFonts w:ascii="Times New Roman" w:hAnsi="Times New Roman"/>
          <w:noProof/>
          <w:sz w:val="24"/>
          <w:szCs w:val="24"/>
        </w:rPr>
        <w:t xml:space="preserve"> i Ang</w:t>
      </w:r>
      <w:r w:rsidRPr="00E82C90">
        <w:rPr>
          <w:rFonts w:ascii="Times New Roman" w:hAnsi="Times New Roman"/>
          <w:noProof/>
          <w:sz w:val="24"/>
          <w:szCs w:val="24"/>
        </w:rPr>
        <w:t>ola, również oferują niewykorzystany potencjał pod względem LNG. Pełna</w:t>
      </w:r>
      <w:r w:rsidR="00E82C90" w:rsidRPr="00E82C90">
        <w:rPr>
          <w:rFonts w:ascii="Times New Roman" w:hAnsi="Times New Roman"/>
          <w:noProof/>
          <w:sz w:val="24"/>
          <w:szCs w:val="24"/>
        </w:rPr>
        <w:t xml:space="preserve"> i sku</w:t>
      </w:r>
      <w:r w:rsidRPr="00E82C90">
        <w:rPr>
          <w:rFonts w:ascii="Times New Roman" w:hAnsi="Times New Roman"/>
          <w:noProof/>
          <w:sz w:val="24"/>
          <w:szCs w:val="24"/>
        </w:rPr>
        <w:t>teczna realizacja Wspólnego kompleksowego planu działania</w:t>
      </w:r>
      <w:r w:rsidRPr="00E82C90">
        <w:rPr>
          <w:rFonts w:ascii="Arial" w:hAnsi="Arial"/>
          <w:noProof/>
          <w:color w:val="4D5156"/>
          <w:sz w:val="21"/>
          <w:szCs w:val="21"/>
          <w:shd w:val="clear" w:color="auto" w:fill="FFFFFF"/>
        </w:rPr>
        <w:t xml:space="preserve"> </w:t>
      </w:r>
      <w:r w:rsidRPr="00E82C90">
        <w:rPr>
          <w:rFonts w:ascii="Times New Roman" w:hAnsi="Times New Roman"/>
          <w:noProof/>
          <w:sz w:val="24"/>
          <w:szCs w:val="24"/>
        </w:rPr>
        <w:t xml:space="preserve">ułatwiłaby refleksję nad potencjałem Iranu jako wiarygodnego dostawcy gazu do Europy. </w:t>
      </w:r>
    </w:p>
    <w:p w14:paraId="3BFC5682" w14:textId="79645817" w:rsidR="00776973" w:rsidRPr="00E82C90" w:rsidRDefault="00F82F0D" w:rsidP="00CA014D">
      <w:pPr>
        <w:spacing w:after="120"/>
        <w:jc w:val="both"/>
        <w:rPr>
          <w:rFonts w:ascii="Times New Roman" w:hAnsi="Times New Roman" w:cs="Times New Roman"/>
          <w:noProof/>
          <w:sz w:val="24"/>
          <w:szCs w:val="24"/>
        </w:rPr>
      </w:pPr>
      <w:r w:rsidRPr="00E82C90">
        <w:rPr>
          <w:rFonts w:ascii="Times New Roman" w:hAnsi="Times New Roman"/>
          <w:noProof/>
          <w:sz w:val="24"/>
          <w:szCs w:val="24"/>
        </w:rPr>
        <w:t>UE zamierza sprawić, aby dodatkowym dostawom gazu od obecnych</w:t>
      </w:r>
      <w:r w:rsidR="00E82C90" w:rsidRPr="00E82C90">
        <w:rPr>
          <w:rFonts w:ascii="Times New Roman" w:hAnsi="Times New Roman"/>
          <w:noProof/>
          <w:sz w:val="24"/>
          <w:szCs w:val="24"/>
        </w:rPr>
        <w:t xml:space="preserve"> i now</w:t>
      </w:r>
      <w:r w:rsidRPr="00E82C90">
        <w:rPr>
          <w:rFonts w:ascii="Times New Roman" w:hAnsi="Times New Roman"/>
          <w:noProof/>
          <w:sz w:val="24"/>
          <w:szCs w:val="24"/>
        </w:rPr>
        <w:t xml:space="preserve">ych dostawców towarzyszyły </w:t>
      </w:r>
      <w:r w:rsidRPr="00E82C90">
        <w:rPr>
          <w:rFonts w:ascii="Times New Roman" w:hAnsi="Times New Roman"/>
          <w:b/>
          <w:bCs/>
          <w:noProof/>
          <w:sz w:val="24"/>
          <w:szCs w:val="24"/>
        </w:rPr>
        <w:t>ukierunkowane działania mające na celu rozwiązanie problemu wycieków metanu oraz uwalniania do atmosfery</w:t>
      </w:r>
      <w:r w:rsidR="00E82C90" w:rsidRPr="00E82C90">
        <w:rPr>
          <w:rFonts w:ascii="Times New Roman" w:hAnsi="Times New Roman"/>
          <w:b/>
          <w:bCs/>
          <w:noProof/>
          <w:sz w:val="24"/>
          <w:szCs w:val="24"/>
        </w:rPr>
        <w:t xml:space="preserve"> i spa</w:t>
      </w:r>
      <w:r w:rsidRPr="00E82C90">
        <w:rPr>
          <w:rFonts w:ascii="Times New Roman" w:hAnsi="Times New Roman"/>
          <w:b/>
          <w:bCs/>
          <w:noProof/>
          <w:sz w:val="24"/>
          <w:szCs w:val="24"/>
        </w:rPr>
        <w:t>lania</w:t>
      </w:r>
      <w:r w:rsidR="00E82C90" w:rsidRPr="00E82C90">
        <w:rPr>
          <w:rFonts w:ascii="Times New Roman" w:hAnsi="Times New Roman"/>
          <w:b/>
          <w:bCs/>
          <w:noProof/>
          <w:sz w:val="24"/>
          <w:szCs w:val="24"/>
        </w:rPr>
        <w:t xml:space="preserve"> w poc</w:t>
      </w:r>
      <w:r w:rsidRPr="00E82C90">
        <w:rPr>
          <w:rFonts w:ascii="Times New Roman" w:hAnsi="Times New Roman"/>
          <w:b/>
          <w:bCs/>
          <w:noProof/>
          <w:sz w:val="24"/>
          <w:szCs w:val="24"/>
        </w:rPr>
        <w:t>hodni</w:t>
      </w:r>
      <w:r w:rsidRPr="00E82C90">
        <w:rPr>
          <w:rFonts w:ascii="Times New Roman" w:hAnsi="Times New Roman"/>
          <w:noProof/>
          <w:sz w:val="24"/>
          <w:szCs w:val="24"/>
        </w:rPr>
        <w:t>, co stworzy dodatkową płynność na rynkach światowych,</w:t>
      </w:r>
      <w:r w:rsidR="00E82C90" w:rsidRPr="00E82C90">
        <w:rPr>
          <w:rFonts w:ascii="Times New Roman" w:hAnsi="Times New Roman"/>
          <w:noProof/>
          <w:sz w:val="24"/>
          <w:szCs w:val="24"/>
        </w:rPr>
        <w:t xml:space="preserve"> a jed</w:t>
      </w:r>
      <w:r w:rsidRPr="00E82C90">
        <w:rPr>
          <w:rFonts w:ascii="Times New Roman" w:hAnsi="Times New Roman"/>
          <w:noProof/>
          <w:sz w:val="24"/>
          <w:szCs w:val="24"/>
        </w:rPr>
        <w:t>nocześnie zapewni znaczne korzyści dla klimatu</w:t>
      </w:r>
      <w:r w:rsidR="00E82C90" w:rsidRPr="00E82C90">
        <w:rPr>
          <w:rFonts w:ascii="Times New Roman" w:hAnsi="Times New Roman"/>
          <w:noProof/>
          <w:sz w:val="24"/>
          <w:szCs w:val="24"/>
        </w:rPr>
        <w:t>. W tym</w:t>
      </w:r>
      <w:r w:rsidRPr="00E82C90">
        <w:rPr>
          <w:rFonts w:ascii="Times New Roman" w:hAnsi="Times New Roman"/>
          <w:noProof/>
          <w:sz w:val="24"/>
          <w:szCs w:val="24"/>
        </w:rPr>
        <w:t xml:space="preserve"> celu UE będzie współpracować ze swoimi partnerami dostarczającymi paliwa kopalne</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ograniczenia emisji metanu</w:t>
      </w:r>
      <w:r w:rsidR="00E82C90" w:rsidRPr="00E82C90">
        <w:rPr>
          <w:rFonts w:ascii="Times New Roman" w:hAnsi="Times New Roman"/>
          <w:noProof/>
          <w:sz w:val="24"/>
          <w:szCs w:val="24"/>
        </w:rPr>
        <w:t>. W pań</w:t>
      </w:r>
      <w:r w:rsidRPr="00E82C90">
        <w:rPr>
          <w:rFonts w:ascii="Times New Roman" w:hAnsi="Times New Roman"/>
          <w:noProof/>
          <w:sz w:val="24"/>
          <w:szCs w:val="24"/>
        </w:rPr>
        <w:t xml:space="preserve">stwach, które mogłyby dostarczać gaz do UE, co najmniej </w:t>
      </w:r>
      <w:r w:rsidRPr="00E82C90">
        <w:rPr>
          <w:rFonts w:ascii="Times New Roman" w:hAnsi="Times New Roman"/>
          <w:b/>
          <w:bCs/>
          <w:noProof/>
          <w:sz w:val="24"/>
          <w:szCs w:val="24"/>
        </w:rPr>
        <w:t>46 mld m3 gazu ziemnego traci się</w:t>
      </w:r>
      <w:r w:rsidR="00776973" w:rsidRPr="00E82C90">
        <w:rPr>
          <w:rStyle w:val="FootnoteReference"/>
          <w:rFonts w:ascii="Times New Roman" w:hAnsi="Times New Roman" w:cs="Times New Roman"/>
          <w:b/>
          <w:bCs/>
          <w:noProof/>
          <w:sz w:val="24"/>
          <w:szCs w:val="24"/>
        </w:rPr>
        <w:footnoteReference w:id="5"/>
      </w:r>
      <w:r w:rsidRPr="00E82C90">
        <w:rPr>
          <w:rFonts w:ascii="Times New Roman" w:hAnsi="Times New Roman"/>
          <w:b/>
          <w:bCs/>
          <w:noProof/>
          <w:sz w:val="24"/>
          <w:szCs w:val="24"/>
        </w:rPr>
        <w:t xml:space="preserve"> rocznie</w:t>
      </w:r>
      <w:r w:rsidR="00E82C90" w:rsidRPr="00E82C90">
        <w:rPr>
          <w:rFonts w:ascii="Times New Roman" w:hAnsi="Times New Roman"/>
          <w:noProof/>
          <w:sz w:val="24"/>
          <w:szCs w:val="24"/>
        </w:rPr>
        <w:t xml:space="preserve"> w wyn</w:t>
      </w:r>
      <w:r w:rsidRPr="00E82C90">
        <w:rPr>
          <w:rFonts w:ascii="Times New Roman" w:hAnsi="Times New Roman"/>
          <w:noProof/>
          <w:sz w:val="24"/>
          <w:szCs w:val="24"/>
        </w:rPr>
        <w:t>iku uwalniania do atmosfery</w:t>
      </w:r>
      <w:r w:rsidR="00E82C90" w:rsidRPr="00E82C90">
        <w:rPr>
          <w:rFonts w:ascii="Times New Roman" w:hAnsi="Times New Roman"/>
          <w:noProof/>
          <w:sz w:val="24"/>
          <w:szCs w:val="24"/>
        </w:rPr>
        <w:t xml:space="preserve"> i spa</w:t>
      </w:r>
      <w:r w:rsidRPr="00E82C90">
        <w:rPr>
          <w:rFonts w:ascii="Times New Roman" w:hAnsi="Times New Roman"/>
          <w:noProof/>
          <w:sz w:val="24"/>
          <w:szCs w:val="24"/>
        </w:rPr>
        <w:t>lania</w:t>
      </w:r>
      <w:r w:rsidR="00E82C90" w:rsidRPr="00E82C90">
        <w:rPr>
          <w:rFonts w:ascii="Times New Roman" w:hAnsi="Times New Roman"/>
          <w:noProof/>
          <w:sz w:val="24"/>
          <w:szCs w:val="24"/>
        </w:rPr>
        <w:t xml:space="preserve"> w poc</w:t>
      </w:r>
      <w:r w:rsidRPr="00E82C90">
        <w:rPr>
          <w:rFonts w:ascii="Times New Roman" w:hAnsi="Times New Roman"/>
          <w:noProof/>
          <w:sz w:val="24"/>
          <w:szCs w:val="24"/>
        </w:rPr>
        <w:t>hodni. Istnieje technologia umożliwiająca wychwytywanie większości tego metanu (głównego składnika gazu ziemnego)</w:t>
      </w:r>
      <w:r w:rsidR="00E82C90" w:rsidRPr="00E82C90">
        <w:rPr>
          <w:rFonts w:ascii="Times New Roman" w:hAnsi="Times New Roman"/>
          <w:noProof/>
          <w:sz w:val="24"/>
          <w:szCs w:val="24"/>
        </w:rPr>
        <w:t xml:space="preserve"> w spo</w:t>
      </w:r>
      <w:r w:rsidRPr="00E82C90">
        <w:rPr>
          <w:rFonts w:ascii="Times New Roman" w:hAnsi="Times New Roman"/>
          <w:noProof/>
          <w:sz w:val="24"/>
          <w:szCs w:val="24"/>
        </w:rPr>
        <w:t>sób zrównoważony</w:t>
      </w:r>
      <w:r w:rsidR="00E82C90" w:rsidRPr="00E82C90">
        <w:rPr>
          <w:rFonts w:ascii="Times New Roman" w:hAnsi="Times New Roman"/>
          <w:noProof/>
          <w:sz w:val="24"/>
          <w:szCs w:val="24"/>
        </w:rPr>
        <w:t xml:space="preserve"> i eko</w:t>
      </w:r>
      <w:r w:rsidRPr="00E82C90">
        <w:rPr>
          <w:rFonts w:ascii="Times New Roman" w:hAnsi="Times New Roman"/>
          <w:noProof/>
          <w:sz w:val="24"/>
          <w:szCs w:val="24"/>
        </w:rPr>
        <w:t>nomiczny. UE jest gotowa udzielić partnerom pomocy technicznej</w:t>
      </w:r>
      <w:r w:rsidR="00E82C90" w:rsidRPr="00E82C90">
        <w:rPr>
          <w:rFonts w:ascii="Times New Roman" w:hAnsi="Times New Roman"/>
          <w:noProof/>
          <w:sz w:val="24"/>
          <w:szCs w:val="24"/>
        </w:rPr>
        <w:t xml:space="preserve"> w two</w:t>
      </w:r>
      <w:r w:rsidRPr="00E82C90">
        <w:rPr>
          <w:rFonts w:ascii="Times New Roman" w:hAnsi="Times New Roman"/>
          <w:noProof/>
          <w:sz w:val="24"/>
          <w:szCs w:val="24"/>
        </w:rPr>
        <w:t xml:space="preserve">rzeniu takich </w:t>
      </w:r>
      <w:r w:rsidRPr="00E82C90">
        <w:rPr>
          <w:rFonts w:ascii="Times New Roman" w:hAnsi="Times New Roman"/>
          <w:b/>
          <w:bCs/>
          <w:noProof/>
          <w:sz w:val="24"/>
          <w:szCs w:val="24"/>
        </w:rPr>
        <w:t>korzystnych dla obu stron systemów „Wy gromadzicie, my kupujemy”</w:t>
      </w:r>
      <w:r w:rsidRPr="00E82C90">
        <w:rPr>
          <w:rFonts w:ascii="Times New Roman" w:hAnsi="Times New Roman"/>
          <w:noProof/>
          <w:sz w:val="24"/>
          <w:szCs w:val="24"/>
        </w:rPr>
        <w:t>.</w:t>
      </w:r>
    </w:p>
    <w:p w14:paraId="1623F04B" w14:textId="55C88A96" w:rsidR="00CA014D" w:rsidRPr="00E82C90" w:rsidRDefault="00776973" w:rsidP="007565FF">
      <w:pPr>
        <w:jc w:val="both"/>
        <w:rPr>
          <w:rFonts w:ascii="Times New Roman" w:hAnsi="Times New Roman" w:cs="Times New Roman"/>
          <w:noProof/>
          <w:sz w:val="24"/>
          <w:szCs w:val="24"/>
        </w:rPr>
      </w:pPr>
      <w:r w:rsidRPr="00E82C90">
        <w:rPr>
          <w:rFonts w:ascii="Times New Roman" w:hAnsi="Times New Roman"/>
          <w:noProof/>
          <w:sz w:val="24"/>
          <w:szCs w:val="24"/>
        </w:rPr>
        <w:t>UE będzie również przekonywać partnerów, takich jak Europejski Bank Inwestycyjny (EBI), Europejski Bank Odbudowy</w:t>
      </w:r>
      <w:r w:rsidR="00E82C90" w:rsidRPr="00E82C90">
        <w:rPr>
          <w:rFonts w:ascii="Times New Roman" w:hAnsi="Times New Roman"/>
          <w:noProof/>
          <w:sz w:val="24"/>
          <w:szCs w:val="24"/>
        </w:rPr>
        <w:t xml:space="preserve"> i Roz</w:t>
      </w:r>
      <w:r w:rsidRPr="00E82C90">
        <w:rPr>
          <w:rFonts w:ascii="Times New Roman" w:hAnsi="Times New Roman"/>
          <w:noProof/>
          <w:sz w:val="24"/>
          <w:szCs w:val="24"/>
        </w:rPr>
        <w:t>woju (EBOR) oraz Bank Światowy, do tworzenia zachęt do szybkiego zbierania gazów kopalnych,</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metanu,</w:t>
      </w:r>
      <w:r w:rsidR="00E82C90" w:rsidRPr="00E82C90">
        <w:rPr>
          <w:rFonts w:ascii="Times New Roman" w:hAnsi="Times New Roman"/>
          <w:noProof/>
          <w:sz w:val="24"/>
          <w:szCs w:val="24"/>
        </w:rPr>
        <w:t xml:space="preserve"> i łąc</w:t>
      </w:r>
      <w:r w:rsidRPr="00E82C90">
        <w:rPr>
          <w:rFonts w:ascii="Times New Roman" w:hAnsi="Times New Roman"/>
          <w:noProof/>
          <w:sz w:val="24"/>
          <w:szCs w:val="24"/>
        </w:rPr>
        <w:t>zenia tych strat</w:t>
      </w:r>
      <w:r w:rsidR="00E82C90" w:rsidRPr="00E82C90">
        <w:rPr>
          <w:rFonts w:ascii="Times New Roman" w:hAnsi="Times New Roman"/>
          <w:noProof/>
          <w:sz w:val="24"/>
          <w:szCs w:val="24"/>
        </w:rPr>
        <w:t xml:space="preserve"> w kon</w:t>
      </w:r>
      <w:r w:rsidRPr="00E82C90">
        <w:rPr>
          <w:rFonts w:ascii="Times New Roman" w:hAnsi="Times New Roman"/>
          <w:noProof/>
          <w:sz w:val="24"/>
          <w:szCs w:val="24"/>
        </w:rPr>
        <w:t xml:space="preserve">kretne produkty, które można sprzedać nabywcom międzynarodowym. </w:t>
      </w:r>
    </w:p>
    <w:p w14:paraId="76EA4BC0" w14:textId="658B74D6" w:rsidR="002276AB" w:rsidRPr="00E82C90" w:rsidRDefault="00267382" w:rsidP="007565FF">
      <w:pPr>
        <w:jc w:val="both"/>
        <w:rPr>
          <w:rFonts w:ascii="Times New Roman" w:hAnsi="Times New Roman" w:cs="Times New Roman"/>
          <w:noProof/>
          <w:sz w:val="24"/>
          <w:szCs w:val="24"/>
        </w:rPr>
      </w:pPr>
      <w:r w:rsidRPr="00E82C90">
        <w:rPr>
          <w:rFonts w:ascii="Times New Roman" w:hAnsi="Times New Roman"/>
          <w:noProof/>
          <w:sz w:val="24"/>
          <w:szCs w:val="24"/>
        </w:rPr>
        <w:t>Działania UE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dywersyfikacji są prowadzone</w:t>
      </w:r>
      <w:r w:rsidR="00E82C90" w:rsidRPr="00E82C90">
        <w:rPr>
          <w:rFonts w:ascii="Times New Roman" w:hAnsi="Times New Roman"/>
          <w:noProof/>
          <w:sz w:val="24"/>
          <w:szCs w:val="24"/>
        </w:rPr>
        <w:t xml:space="preserve"> w kon</w:t>
      </w:r>
      <w:r w:rsidRPr="00E82C90">
        <w:rPr>
          <w:rFonts w:ascii="Times New Roman" w:hAnsi="Times New Roman"/>
          <w:noProof/>
          <w:sz w:val="24"/>
          <w:szCs w:val="24"/>
        </w:rPr>
        <w:t>tekście rosnącego światowego popytu</w:t>
      </w:r>
      <w:r w:rsidR="00E82C90" w:rsidRPr="00E82C90">
        <w:rPr>
          <w:rFonts w:ascii="Times New Roman" w:hAnsi="Times New Roman"/>
          <w:noProof/>
          <w:sz w:val="24"/>
          <w:szCs w:val="24"/>
        </w:rPr>
        <w:t xml:space="preserve"> i wys</w:t>
      </w:r>
      <w:r w:rsidRPr="00E82C90">
        <w:rPr>
          <w:rFonts w:ascii="Times New Roman" w:hAnsi="Times New Roman"/>
          <w:noProof/>
          <w:sz w:val="24"/>
          <w:szCs w:val="24"/>
        </w:rPr>
        <w:t xml:space="preserve">okich cen LNG. Działania te muszą uwzględniać interesy partnerów światowych. </w:t>
      </w:r>
    </w:p>
    <w:p w14:paraId="156900AF" w14:textId="61649FB6" w:rsidR="007565FF" w:rsidRPr="00E82C90" w:rsidRDefault="00F82F0D" w:rsidP="007565FF">
      <w:pPr>
        <w:jc w:val="both"/>
        <w:rPr>
          <w:rFonts w:ascii="Times New Roman" w:hAnsi="Times New Roman" w:cs="Times New Roman"/>
          <w:noProof/>
          <w:sz w:val="24"/>
          <w:szCs w:val="24"/>
        </w:rPr>
      </w:pPr>
      <w:r w:rsidRPr="00E82C90">
        <w:rPr>
          <w:rFonts w:ascii="Times New Roman" w:hAnsi="Times New Roman"/>
          <w:noProof/>
          <w:sz w:val="24"/>
          <w:szCs w:val="24"/>
        </w:rPr>
        <w:t>Biorąc pod uwagę średniookresową ewolucję koszyka energetycznego w UE</w:t>
      </w:r>
      <w:r w:rsidR="00E82C90" w:rsidRPr="00E82C90">
        <w:rPr>
          <w:rFonts w:ascii="Times New Roman" w:hAnsi="Times New Roman"/>
          <w:noProof/>
          <w:sz w:val="24"/>
          <w:szCs w:val="24"/>
        </w:rPr>
        <w:t xml:space="preserve"> i w kra</w:t>
      </w:r>
      <w:r w:rsidRPr="00E82C90">
        <w:rPr>
          <w:rFonts w:ascii="Times New Roman" w:hAnsi="Times New Roman"/>
          <w:noProof/>
          <w:sz w:val="24"/>
          <w:szCs w:val="24"/>
        </w:rPr>
        <w:t xml:space="preserve">jach partnerskich, </w:t>
      </w:r>
      <w:r w:rsidRPr="00E82C90">
        <w:rPr>
          <w:rFonts w:ascii="Times New Roman" w:hAnsi="Times New Roman"/>
          <w:b/>
          <w:bCs/>
          <w:noProof/>
          <w:sz w:val="24"/>
          <w:szCs w:val="24"/>
        </w:rPr>
        <w:t>UE będzie promować szersze partnerstwa energetyczne</w:t>
      </w:r>
      <w:r w:rsidRPr="00E82C90">
        <w:rPr>
          <w:rFonts w:ascii="Times New Roman" w:hAnsi="Times New Roman"/>
          <w:noProof/>
          <w:sz w:val="24"/>
          <w:szCs w:val="24"/>
        </w:rPr>
        <w:t>, łącząc współpracę</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gazu</w:t>
      </w:r>
      <w:r w:rsidR="00E82C90" w:rsidRPr="00E82C90">
        <w:rPr>
          <w:rFonts w:ascii="Times New Roman" w:hAnsi="Times New Roman"/>
          <w:noProof/>
          <w:sz w:val="24"/>
          <w:szCs w:val="24"/>
        </w:rPr>
        <w:t xml:space="preserve"> z dłu</w:t>
      </w:r>
      <w:r w:rsidRPr="00E82C90">
        <w:rPr>
          <w:rFonts w:ascii="Times New Roman" w:hAnsi="Times New Roman"/>
          <w:noProof/>
          <w:sz w:val="24"/>
          <w:szCs w:val="24"/>
        </w:rPr>
        <w:t>goterminową współpracą energetyczną</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wodoru, gazów odnawialnych (w tym biometanu)</w:t>
      </w:r>
      <w:r w:rsidR="00E82C90" w:rsidRPr="00E82C90">
        <w:rPr>
          <w:rFonts w:ascii="Times New Roman" w:hAnsi="Times New Roman"/>
          <w:noProof/>
          <w:sz w:val="24"/>
          <w:szCs w:val="24"/>
        </w:rPr>
        <w:t xml:space="preserve"> i inn</w:t>
      </w:r>
      <w:r w:rsidRPr="00E82C90">
        <w:rPr>
          <w:rFonts w:ascii="Times New Roman" w:hAnsi="Times New Roman"/>
          <w:noProof/>
          <w:sz w:val="24"/>
          <w:szCs w:val="24"/>
        </w:rPr>
        <w:t>ych ekologicznych źródeł energii, aby uniknąć powstawania aktywów osieroconych</w:t>
      </w:r>
      <w:r w:rsidR="00E82C90" w:rsidRPr="00E82C90">
        <w:rPr>
          <w:rFonts w:ascii="Times New Roman" w:hAnsi="Times New Roman"/>
          <w:noProof/>
          <w:sz w:val="24"/>
          <w:szCs w:val="24"/>
        </w:rPr>
        <w:t xml:space="preserve"> i zap</w:t>
      </w:r>
      <w:r w:rsidRPr="00E82C90">
        <w:rPr>
          <w:rFonts w:ascii="Times New Roman" w:hAnsi="Times New Roman"/>
          <w:noProof/>
          <w:sz w:val="24"/>
          <w:szCs w:val="24"/>
        </w:rPr>
        <w:t xml:space="preserve">ewnić transformację ekologiczną. </w:t>
      </w:r>
    </w:p>
    <w:p w14:paraId="345FC8EB" w14:textId="05B83E93" w:rsidR="00CC199B" w:rsidRPr="00E82C90" w:rsidRDefault="00776973" w:rsidP="007565FF">
      <w:pPr>
        <w:jc w:val="both"/>
        <w:rPr>
          <w:rFonts w:ascii="Times New Roman" w:hAnsi="Times New Roman" w:cs="Times New Roman"/>
          <w:noProof/>
          <w:sz w:val="24"/>
          <w:szCs w:val="24"/>
        </w:rPr>
      </w:pPr>
      <w:r w:rsidRPr="00E82C90">
        <w:rPr>
          <w:rFonts w:ascii="Times New Roman" w:hAnsi="Times New Roman"/>
          <w:noProof/>
          <w:sz w:val="24"/>
          <w:szCs w:val="24"/>
        </w:rPr>
        <w:t>Polityka energetyczna UE będzie miała również na celu zapewnienie otwartych, elastycznych, płynnych</w:t>
      </w:r>
      <w:r w:rsidR="00E82C90" w:rsidRPr="00E82C90">
        <w:rPr>
          <w:rFonts w:ascii="Times New Roman" w:hAnsi="Times New Roman"/>
          <w:noProof/>
          <w:sz w:val="24"/>
          <w:szCs w:val="24"/>
        </w:rPr>
        <w:t xml:space="preserve"> i dob</w:t>
      </w:r>
      <w:r w:rsidRPr="00E82C90">
        <w:rPr>
          <w:rFonts w:ascii="Times New Roman" w:hAnsi="Times New Roman"/>
          <w:noProof/>
          <w:sz w:val="24"/>
          <w:szCs w:val="24"/>
        </w:rPr>
        <w:t>rze funkcjonujących światowych rynków LNG, angażujących zarówno państwa będące głównymi producentami (Stany Zjednoczone, Australia, Katar, Nigeria, Egipt itd.), jak</w:t>
      </w:r>
      <w:r w:rsidR="00E82C90" w:rsidRPr="00E82C90">
        <w:rPr>
          <w:rFonts w:ascii="Times New Roman" w:hAnsi="Times New Roman"/>
          <w:noProof/>
          <w:sz w:val="24"/>
          <w:szCs w:val="24"/>
        </w:rPr>
        <w:t xml:space="preserve"> i pań</w:t>
      </w:r>
      <w:r w:rsidRPr="00E82C90">
        <w:rPr>
          <w:rFonts w:ascii="Times New Roman" w:hAnsi="Times New Roman"/>
          <w:noProof/>
          <w:sz w:val="24"/>
          <w:szCs w:val="24"/>
        </w:rPr>
        <w:t>stwa będące odbiorcami (Chiny, Japonia, Korea). Możliwości</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względzie otwierają grupy G-7, G-20, Międzynarodowa Agencja Energetyczna (MAE) oraz inne fora międzynarodowe.</w:t>
      </w:r>
    </w:p>
    <w:p w14:paraId="1655C06E" w14:textId="76EA20D4" w:rsidR="009A1F0B" w:rsidRPr="00E82C90" w:rsidRDefault="009A1F0B" w:rsidP="00F23281">
      <w:pPr>
        <w:spacing w:before="100" w:beforeAutospacing="1" w:after="100" w:afterAutospacing="1" w:line="240" w:lineRule="auto"/>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615DF203" w14:textId="25BF3AD0" w:rsidR="00240112" w:rsidRPr="00E82C90" w:rsidRDefault="00AB4758" w:rsidP="00AA5D14">
      <w:pPr>
        <w:pStyle w:val="ListParagraph"/>
        <w:numPr>
          <w:ilvl w:val="0"/>
          <w:numId w:val="2"/>
        </w:numPr>
        <w:spacing w:after="240"/>
        <w:jc w:val="both"/>
        <w:rPr>
          <w:rFonts w:ascii="Times New Roman" w:hAnsi="Times New Roman" w:cs="Times New Roman"/>
          <w:b/>
          <w:noProof/>
          <w:sz w:val="24"/>
          <w:szCs w:val="24"/>
        </w:rPr>
      </w:pPr>
      <w:r w:rsidRPr="00E82C90">
        <w:rPr>
          <w:rFonts w:ascii="Times New Roman" w:hAnsi="Times New Roman"/>
          <w:b/>
          <w:noProof/>
          <w:sz w:val="24"/>
          <w:szCs w:val="24"/>
        </w:rPr>
        <w:t>zapewnienie szybkiego uruchomienia unijnej platformy ds. ener</w:t>
      </w:r>
      <w:r w:rsidR="00FE4786" w:rsidRPr="00E82C90">
        <w:rPr>
          <w:rFonts w:ascii="Times New Roman" w:hAnsi="Times New Roman"/>
          <w:b/>
          <w:noProof/>
          <w:sz w:val="24"/>
          <w:szCs w:val="24"/>
        </w:rPr>
        <w:t>gii</w:t>
      </w:r>
      <w:r w:rsidR="00E82C90" w:rsidRPr="00E82C90">
        <w:rPr>
          <w:rFonts w:ascii="Times New Roman" w:hAnsi="Times New Roman"/>
          <w:b/>
          <w:noProof/>
          <w:sz w:val="24"/>
          <w:szCs w:val="24"/>
        </w:rPr>
        <w:t xml:space="preserve"> i jej</w:t>
      </w:r>
      <w:r w:rsidR="00FE4786" w:rsidRPr="00E82C90">
        <w:rPr>
          <w:rFonts w:ascii="Times New Roman" w:hAnsi="Times New Roman"/>
          <w:b/>
          <w:noProof/>
          <w:sz w:val="24"/>
          <w:szCs w:val="24"/>
        </w:rPr>
        <w:t xml:space="preserve"> platform regionalnych</w:t>
      </w:r>
    </w:p>
    <w:p w14:paraId="49AAE13B" w14:textId="35FF615D" w:rsidR="005868B0" w:rsidRPr="00E82C90" w:rsidRDefault="00AB4758" w:rsidP="004D38F8">
      <w:pPr>
        <w:pStyle w:val="ListParagraph"/>
        <w:numPr>
          <w:ilvl w:val="0"/>
          <w:numId w:val="2"/>
        </w:numPr>
        <w:spacing w:after="240"/>
        <w:jc w:val="both"/>
        <w:rPr>
          <w:rFonts w:ascii="Times New Roman" w:hAnsi="Times New Roman" w:cs="Times New Roman"/>
          <w:b/>
          <w:noProof/>
          <w:sz w:val="24"/>
          <w:szCs w:val="24"/>
        </w:rPr>
      </w:pPr>
      <w:r w:rsidRPr="00E82C90">
        <w:rPr>
          <w:rFonts w:ascii="Times New Roman" w:hAnsi="Times New Roman"/>
          <w:b/>
          <w:noProof/>
          <w:sz w:val="24"/>
          <w:szCs w:val="24"/>
        </w:rPr>
        <w:t xml:space="preserve">pełne wdrożenie wspólnych oświadczeń ze </w:t>
      </w:r>
      <w:r w:rsidR="00FE4786" w:rsidRPr="00E82C90">
        <w:rPr>
          <w:rFonts w:ascii="Times New Roman" w:hAnsi="Times New Roman"/>
          <w:b/>
          <w:noProof/>
          <w:sz w:val="24"/>
          <w:szCs w:val="24"/>
        </w:rPr>
        <w:t>Stanami Zjednoczonymi</w:t>
      </w:r>
      <w:r w:rsidR="00E82C90" w:rsidRPr="00E82C90">
        <w:rPr>
          <w:rFonts w:ascii="Times New Roman" w:hAnsi="Times New Roman"/>
          <w:b/>
          <w:noProof/>
          <w:sz w:val="24"/>
          <w:szCs w:val="24"/>
        </w:rPr>
        <w:t xml:space="preserve"> i Kan</w:t>
      </w:r>
      <w:r w:rsidR="00FE4786" w:rsidRPr="00E82C90">
        <w:rPr>
          <w:rFonts w:ascii="Times New Roman" w:hAnsi="Times New Roman"/>
          <w:b/>
          <w:noProof/>
          <w:sz w:val="24"/>
          <w:szCs w:val="24"/>
        </w:rPr>
        <w:t>adą</w:t>
      </w:r>
    </w:p>
    <w:p w14:paraId="3B8F63C9" w14:textId="7ADB239E" w:rsidR="007565FF" w:rsidRPr="00E82C90" w:rsidRDefault="00AB4758" w:rsidP="00AA5D14">
      <w:pPr>
        <w:pStyle w:val="ListParagraph"/>
        <w:numPr>
          <w:ilvl w:val="0"/>
          <w:numId w:val="2"/>
        </w:numPr>
        <w:spacing w:after="240"/>
        <w:jc w:val="both"/>
        <w:rPr>
          <w:rFonts w:ascii="Times New Roman" w:hAnsi="Times New Roman" w:cs="Times New Roman"/>
          <w:b/>
          <w:noProof/>
          <w:sz w:val="24"/>
          <w:szCs w:val="24"/>
        </w:rPr>
      </w:pPr>
      <w:r w:rsidRPr="00E82C90">
        <w:rPr>
          <w:rFonts w:ascii="Times New Roman" w:hAnsi="Times New Roman"/>
          <w:b/>
          <w:noProof/>
          <w:sz w:val="24"/>
          <w:szCs w:val="24"/>
        </w:rPr>
        <w:t>negocjowanie zobowiązań politycznych</w:t>
      </w:r>
      <w:r w:rsidR="00E82C90" w:rsidRPr="00E82C90">
        <w:rPr>
          <w:rFonts w:ascii="Times New Roman" w:hAnsi="Times New Roman"/>
          <w:b/>
          <w:noProof/>
          <w:sz w:val="24"/>
          <w:szCs w:val="24"/>
        </w:rPr>
        <w:t xml:space="preserve"> z obe</w:t>
      </w:r>
      <w:r w:rsidRPr="00E82C90">
        <w:rPr>
          <w:rFonts w:ascii="Times New Roman" w:hAnsi="Times New Roman"/>
          <w:b/>
          <w:noProof/>
          <w:sz w:val="24"/>
          <w:szCs w:val="24"/>
        </w:rPr>
        <w:t>cnymi lub nowymi dostawcami gazu</w:t>
      </w:r>
      <w:r w:rsidR="00E82C90" w:rsidRPr="00E82C90">
        <w:rPr>
          <w:rFonts w:ascii="Times New Roman" w:hAnsi="Times New Roman"/>
          <w:b/>
          <w:noProof/>
          <w:sz w:val="24"/>
          <w:szCs w:val="24"/>
        </w:rPr>
        <w:t xml:space="preserve"> w cel</w:t>
      </w:r>
      <w:r w:rsidRPr="00E82C90">
        <w:rPr>
          <w:rFonts w:ascii="Times New Roman" w:hAnsi="Times New Roman"/>
          <w:b/>
          <w:noProof/>
          <w:sz w:val="24"/>
          <w:szCs w:val="24"/>
        </w:rPr>
        <w:t>u z</w:t>
      </w:r>
      <w:r w:rsidR="00FE4786" w:rsidRPr="00E82C90">
        <w:rPr>
          <w:rFonts w:ascii="Times New Roman" w:hAnsi="Times New Roman"/>
          <w:b/>
          <w:noProof/>
          <w:sz w:val="24"/>
          <w:szCs w:val="24"/>
        </w:rPr>
        <w:t>większenia dostaw LNG do Europy</w:t>
      </w:r>
    </w:p>
    <w:p w14:paraId="0BF05884" w14:textId="35ACBC1C" w:rsidR="00FE0DBE" w:rsidRPr="00E82C90" w:rsidRDefault="00AB4758" w:rsidP="00AA5D14">
      <w:pPr>
        <w:pStyle w:val="ListParagraph"/>
        <w:numPr>
          <w:ilvl w:val="0"/>
          <w:numId w:val="2"/>
        </w:numPr>
        <w:spacing w:after="240"/>
        <w:jc w:val="both"/>
        <w:rPr>
          <w:rFonts w:ascii="Times New Roman" w:hAnsi="Times New Roman" w:cs="Times New Roman"/>
          <w:b/>
          <w:noProof/>
          <w:sz w:val="24"/>
          <w:szCs w:val="24"/>
        </w:rPr>
      </w:pPr>
      <w:r w:rsidRPr="00E82C90">
        <w:rPr>
          <w:rFonts w:ascii="Times New Roman" w:hAnsi="Times New Roman"/>
          <w:b/>
          <w:noProof/>
          <w:sz w:val="24"/>
          <w:szCs w:val="24"/>
        </w:rPr>
        <w:t>ustanowienie systemów wychwytywania</w:t>
      </w:r>
      <w:r w:rsidR="00E82C90" w:rsidRPr="00E82C90">
        <w:rPr>
          <w:rFonts w:ascii="Times New Roman" w:hAnsi="Times New Roman"/>
          <w:b/>
          <w:noProof/>
          <w:sz w:val="24"/>
          <w:szCs w:val="24"/>
        </w:rPr>
        <w:t xml:space="preserve"> i han</w:t>
      </w:r>
      <w:r w:rsidRPr="00E82C90">
        <w:rPr>
          <w:rFonts w:ascii="Times New Roman" w:hAnsi="Times New Roman"/>
          <w:b/>
          <w:noProof/>
          <w:sz w:val="24"/>
          <w:szCs w:val="24"/>
        </w:rPr>
        <w:t>dlu gazem ziemnym oraz metane</w:t>
      </w:r>
      <w:r w:rsidR="00FE4786" w:rsidRPr="00E82C90">
        <w:rPr>
          <w:rFonts w:ascii="Times New Roman" w:hAnsi="Times New Roman"/>
          <w:b/>
          <w:noProof/>
          <w:sz w:val="24"/>
          <w:szCs w:val="24"/>
        </w:rPr>
        <w:t>m „Wy gromadzicie, my kupujemy”</w:t>
      </w:r>
    </w:p>
    <w:bookmarkEnd w:id="4"/>
    <w:p w14:paraId="5195B830" w14:textId="7BA3D481" w:rsidR="0098638B" w:rsidRPr="00E82C90" w:rsidRDefault="009A1F0B" w:rsidP="00C33F66">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Przygotowanie UE do handlu wodorem odnawialnym</w:t>
      </w:r>
    </w:p>
    <w:p w14:paraId="77C7DCFB" w14:textId="28A8761C" w:rsidR="00407F5E" w:rsidRPr="00E82C90" w:rsidRDefault="00994A71" w:rsidP="007E0EE2">
      <w:pPr>
        <w:jc w:val="both"/>
        <w:rPr>
          <w:rFonts w:ascii="Times New Roman" w:hAnsi="Times New Roman" w:cs="Times New Roman"/>
          <w:noProof/>
          <w:sz w:val="24"/>
          <w:szCs w:val="24"/>
        </w:rPr>
      </w:pPr>
      <w:r w:rsidRPr="00E82C90">
        <w:rPr>
          <w:rFonts w:ascii="Times New Roman" w:hAnsi="Times New Roman"/>
          <w:noProof/>
          <w:sz w:val="24"/>
          <w:szCs w:val="24"/>
        </w:rPr>
        <w:t>W planie REPowerEU określono, że dodatkowe 15 mln ton (metrycznych) wodoru odnawialnego – oprócz 5,6 mln ton przewidzianych już</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inicjatywy „Gotowi na</w:t>
      </w:r>
      <w:r w:rsidR="00E82C90" w:rsidRPr="00E82C90">
        <w:rPr>
          <w:rFonts w:ascii="Times New Roman" w:hAnsi="Times New Roman"/>
          <w:noProof/>
          <w:sz w:val="24"/>
          <w:szCs w:val="24"/>
        </w:rPr>
        <w:t> </w:t>
      </w:r>
      <w:r w:rsidRPr="00E82C90">
        <w:rPr>
          <w:rFonts w:ascii="Times New Roman" w:hAnsi="Times New Roman"/>
          <w:noProof/>
          <w:sz w:val="24"/>
          <w:szCs w:val="24"/>
        </w:rPr>
        <w:t>55” – może zastąpić około 27 mld m3 importowanego gazu rosyjskiego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r.</w:t>
      </w:r>
      <w:r w:rsidR="009E314C" w:rsidRPr="00E82C90">
        <w:rPr>
          <w:rFonts w:ascii="Times New Roman" w:hAnsi="Times New Roman"/>
          <w:noProof/>
          <w:sz w:val="24"/>
          <w:szCs w:val="24"/>
        </w:rPr>
        <w:t xml:space="preserve"> </w:t>
      </w:r>
      <w:r w:rsidRPr="00E82C90">
        <w:rPr>
          <w:rFonts w:ascii="Times New Roman" w:hAnsi="Times New Roman"/>
          <w:noProof/>
          <w:sz w:val="24"/>
          <w:szCs w:val="24"/>
        </w:rPr>
        <w:t>Obejmuje to</w:t>
      </w:r>
      <w:r w:rsidR="00E82C90" w:rsidRPr="00E82C90">
        <w:rPr>
          <w:rFonts w:ascii="Times New Roman" w:hAnsi="Times New Roman"/>
          <w:noProof/>
          <w:sz w:val="24"/>
          <w:szCs w:val="24"/>
        </w:rPr>
        <w:t> </w:t>
      </w:r>
      <w:r w:rsidRPr="00E82C90">
        <w:rPr>
          <w:rFonts w:ascii="Times New Roman" w:hAnsi="Times New Roman"/>
          <w:b/>
          <w:bCs/>
          <w:noProof/>
          <w:sz w:val="24"/>
          <w:szCs w:val="24"/>
        </w:rPr>
        <w:t>10 mln ton importowanego wodoru</w:t>
      </w:r>
      <w:r w:rsidRPr="00E82C90">
        <w:rPr>
          <w:rFonts w:ascii="Times New Roman" w:hAnsi="Times New Roman"/>
          <w:noProof/>
          <w:sz w:val="24"/>
          <w:szCs w:val="24"/>
        </w:rPr>
        <w:t>.</w:t>
      </w:r>
    </w:p>
    <w:p w14:paraId="49757754" w14:textId="537A9113" w:rsidR="00A35A5E" w:rsidRPr="00E82C90" w:rsidRDefault="001B4019" w:rsidP="0095340D">
      <w:pPr>
        <w:jc w:val="both"/>
        <w:rPr>
          <w:rFonts w:ascii="Times New Roman" w:hAnsi="Times New Roman" w:cs="Times New Roman"/>
          <w:noProof/>
          <w:sz w:val="24"/>
          <w:szCs w:val="24"/>
        </w:rPr>
      </w:pPr>
      <w:r w:rsidRPr="00E82C90">
        <w:rPr>
          <w:rFonts w:ascii="Times New Roman" w:hAnsi="Times New Roman"/>
          <w:noProof/>
          <w:sz w:val="24"/>
          <w:szCs w:val="24"/>
        </w:rPr>
        <w:t>Zdolność do produkcji wodoru odnawialnego jest znacznie bardziej równomiernie rozłożona na świecie niż rezerwy ropy naftowej</w:t>
      </w:r>
      <w:r w:rsidR="00E82C90" w:rsidRPr="00E82C90">
        <w:rPr>
          <w:rFonts w:ascii="Times New Roman" w:hAnsi="Times New Roman"/>
          <w:noProof/>
          <w:sz w:val="24"/>
          <w:szCs w:val="24"/>
        </w:rPr>
        <w:t xml:space="preserve"> i gaz</w:t>
      </w:r>
      <w:r w:rsidRPr="00E82C90">
        <w:rPr>
          <w:rFonts w:ascii="Times New Roman" w:hAnsi="Times New Roman"/>
          <w:noProof/>
          <w:sz w:val="24"/>
          <w:szCs w:val="24"/>
        </w:rPr>
        <w:t>u ziemnego, biorąc pod uwagę światowe zasoby energii wiatrowej</w:t>
      </w:r>
      <w:r w:rsidR="00E82C90" w:rsidRPr="00E82C90">
        <w:rPr>
          <w:rFonts w:ascii="Times New Roman" w:hAnsi="Times New Roman"/>
          <w:noProof/>
          <w:sz w:val="24"/>
          <w:szCs w:val="24"/>
        </w:rPr>
        <w:t xml:space="preserve"> i sło</w:t>
      </w:r>
      <w:r w:rsidRPr="00E82C90">
        <w:rPr>
          <w:rFonts w:ascii="Times New Roman" w:hAnsi="Times New Roman"/>
          <w:noProof/>
          <w:sz w:val="24"/>
          <w:szCs w:val="24"/>
        </w:rPr>
        <w:t>necznej. Rynek ten musi być jednak nadal rozwijany</w:t>
      </w:r>
      <w:r w:rsidR="00E82C90" w:rsidRPr="00E82C90">
        <w:rPr>
          <w:rFonts w:ascii="Times New Roman" w:hAnsi="Times New Roman"/>
          <w:noProof/>
          <w:sz w:val="24"/>
          <w:szCs w:val="24"/>
        </w:rPr>
        <w:t xml:space="preserve"> i wym</w:t>
      </w:r>
      <w:r w:rsidRPr="00E82C90">
        <w:rPr>
          <w:rFonts w:ascii="Times New Roman" w:hAnsi="Times New Roman"/>
          <w:noProof/>
          <w:sz w:val="24"/>
          <w:szCs w:val="24"/>
        </w:rPr>
        <w:t>aga,</w:t>
      </w:r>
      <w:r w:rsidR="00E82C90" w:rsidRPr="00E82C90">
        <w:rPr>
          <w:rFonts w:ascii="Times New Roman" w:hAnsi="Times New Roman"/>
          <w:noProof/>
          <w:sz w:val="24"/>
          <w:szCs w:val="24"/>
        </w:rPr>
        <w:t xml:space="preserve"> w ska</w:t>
      </w:r>
      <w:r w:rsidRPr="00E82C90">
        <w:rPr>
          <w:rFonts w:ascii="Times New Roman" w:hAnsi="Times New Roman"/>
          <w:noProof/>
          <w:sz w:val="24"/>
          <w:szCs w:val="24"/>
        </w:rPr>
        <w:t>li globalnej, znacznego zwiększenia produkcji ze źródeł odnawialnych oraz dostępności wody.</w:t>
      </w:r>
    </w:p>
    <w:p w14:paraId="3A6FABF4" w14:textId="27EEC68A" w:rsidR="0095340D" w:rsidRPr="00E82C90" w:rsidRDefault="00CC3AB4" w:rsidP="0095340D">
      <w:pPr>
        <w:jc w:val="both"/>
        <w:rPr>
          <w:rFonts w:ascii="Times New Roman" w:hAnsi="Times New Roman" w:cs="Times New Roman"/>
          <w:noProof/>
          <w:sz w:val="24"/>
          <w:szCs w:val="24"/>
        </w:rPr>
      </w:pPr>
      <w:r w:rsidRPr="00E82C90">
        <w:rPr>
          <w:rFonts w:ascii="Times New Roman" w:hAnsi="Times New Roman"/>
          <w:noProof/>
          <w:sz w:val="24"/>
          <w:szCs w:val="24"/>
        </w:rPr>
        <w:t>Aby ułatwić przywóz 10 mln ton wodoru do UE, Komisja Europejska zamierza zawrzeć partnerstwa na rzecz wodoru</w:t>
      </w:r>
      <w:r w:rsidR="00E82C90" w:rsidRPr="00E82C90">
        <w:rPr>
          <w:rFonts w:ascii="Times New Roman" w:hAnsi="Times New Roman"/>
          <w:noProof/>
          <w:sz w:val="24"/>
          <w:szCs w:val="24"/>
        </w:rPr>
        <w:t xml:space="preserve"> z wia</w:t>
      </w:r>
      <w:r w:rsidRPr="00E82C90">
        <w:rPr>
          <w:rFonts w:ascii="Times New Roman" w:hAnsi="Times New Roman"/>
          <w:noProof/>
          <w:sz w:val="24"/>
          <w:szCs w:val="24"/>
        </w:rPr>
        <w:t>rygodnymi krajami partnerskimi, aby zapewnić otwarte</w:t>
      </w:r>
      <w:r w:rsidR="00E82C90" w:rsidRPr="00E82C90">
        <w:rPr>
          <w:rFonts w:ascii="Times New Roman" w:hAnsi="Times New Roman"/>
          <w:noProof/>
          <w:sz w:val="24"/>
          <w:szCs w:val="24"/>
        </w:rPr>
        <w:t xml:space="preserve"> i nie</w:t>
      </w:r>
      <w:r w:rsidRPr="00E82C90">
        <w:rPr>
          <w:rFonts w:ascii="Times New Roman" w:hAnsi="Times New Roman"/>
          <w:noProof/>
          <w:sz w:val="24"/>
          <w:szCs w:val="24"/>
        </w:rPr>
        <w:t>zakłócone stosunki handlowe</w:t>
      </w:r>
      <w:r w:rsidR="00E82C90" w:rsidRPr="00E82C90">
        <w:rPr>
          <w:rFonts w:ascii="Times New Roman" w:hAnsi="Times New Roman"/>
          <w:noProof/>
          <w:sz w:val="24"/>
          <w:szCs w:val="24"/>
        </w:rPr>
        <w:t xml:space="preserve"> i inw</w:t>
      </w:r>
      <w:r w:rsidRPr="00E82C90">
        <w:rPr>
          <w:rFonts w:ascii="Times New Roman" w:hAnsi="Times New Roman"/>
          <w:noProof/>
          <w:sz w:val="24"/>
          <w:szCs w:val="24"/>
        </w:rPr>
        <w:t>estycyjne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paliw odnawialnych</w:t>
      </w:r>
      <w:r w:rsidR="00E82C90" w:rsidRPr="00E82C90">
        <w:rPr>
          <w:rFonts w:ascii="Times New Roman" w:hAnsi="Times New Roman"/>
          <w:noProof/>
          <w:sz w:val="24"/>
          <w:szCs w:val="24"/>
        </w:rPr>
        <w:t xml:space="preserve"> i nis</w:t>
      </w:r>
      <w:r w:rsidRPr="00E82C90">
        <w:rPr>
          <w:rFonts w:ascii="Times New Roman" w:hAnsi="Times New Roman"/>
          <w:noProof/>
          <w:sz w:val="24"/>
          <w:szCs w:val="24"/>
        </w:rPr>
        <w:t xml:space="preserve">koemisyjnych. Komisja przewiduje utworzenie trzech głównych korytarzy </w:t>
      </w:r>
      <w:r w:rsidRPr="00E82C90">
        <w:rPr>
          <w:rFonts w:ascii="Times New Roman" w:hAnsi="Times New Roman"/>
          <w:b/>
          <w:bCs/>
          <w:noProof/>
          <w:sz w:val="24"/>
          <w:szCs w:val="24"/>
        </w:rPr>
        <w:t>importu wodoru</w:t>
      </w:r>
      <w:r w:rsidR="00E82C90" w:rsidRPr="00E82C90">
        <w:rPr>
          <w:rFonts w:ascii="Times New Roman" w:hAnsi="Times New Roman"/>
          <w:b/>
          <w:bCs/>
          <w:noProof/>
          <w:sz w:val="24"/>
          <w:szCs w:val="24"/>
        </w:rPr>
        <w:t xml:space="preserve"> z reg</w:t>
      </w:r>
      <w:r w:rsidRPr="00E82C90">
        <w:rPr>
          <w:rFonts w:ascii="Times New Roman" w:hAnsi="Times New Roman"/>
          <w:b/>
          <w:bCs/>
          <w:noProof/>
          <w:sz w:val="24"/>
          <w:szCs w:val="24"/>
        </w:rPr>
        <w:t>ionu Morza Północnego (Norwegia</w:t>
      </w:r>
      <w:r w:rsidR="00E82C90" w:rsidRPr="00E82C90">
        <w:rPr>
          <w:rFonts w:ascii="Times New Roman" w:hAnsi="Times New Roman"/>
          <w:b/>
          <w:bCs/>
          <w:noProof/>
          <w:sz w:val="24"/>
          <w:szCs w:val="24"/>
        </w:rPr>
        <w:t xml:space="preserve"> i Zje</w:t>
      </w:r>
      <w:r w:rsidRPr="00E82C90">
        <w:rPr>
          <w:rFonts w:ascii="Times New Roman" w:hAnsi="Times New Roman"/>
          <w:b/>
          <w:bCs/>
          <w:noProof/>
          <w:sz w:val="24"/>
          <w:szCs w:val="24"/>
        </w:rPr>
        <w:t>dnoczone Królestwo), południowego regionu Morza Śródziemnego</w:t>
      </w:r>
      <w:r w:rsidR="00E82C90" w:rsidRPr="00E82C90">
        <w:rPr>
          <w:rFonts w:ascii="Times New Roman" w:hAnsi="Times New Roman"/>
          <w:b/>
          <w:bCs/>
          <w:noProof/>
          <w:sz w:val="24"/>
          <w:szCs w:val="24"/>
        </w:rPr>
        <w:t xml:space="preserve"> i Ukr</w:t>
      </w:r>
      <w:r w:rsidRPr="00E82C90">
        <w:rPr>
          <w:rFonts w:ascii="Times New Roman" w:hAnsi="Times New Roman"/>
          <w:b/>
          <w:bCs/>
          <w:noProof/>
          <w:sz w:val="24"/>
          <w:szCs w:val="24"/>
        </w:rPr>
        <w:t>ainy</w:t>
      </w:r>
      <w:r w:rsidRPr="00E82C90">
        <w:rPr>
          <w:rFonts w:ascii="Times New Roman" w:hAnsi="Times New Roman"/>
          <w:noProof/>
          <w:sz w:val="24"/>
          <w:szCs w:val="24"/>
        </w:rPr>
        <w:t>, gdy tylko pozwolą na to warunki.</w:t>
      </w:r>
    </w:p>
    <w:p w14:paraId="692492B2" w14:textId="566AC5B3" w:rsidR="001E6E74" w:rsidRPr="00E82C90" w:rsidRDefault="001E6E74" w:rsidP="007E0EE2">
      <w:pPr>
        <w:jc w:val="both"/>
        <w:rPr>
          <w:rFonts w:ascii="Times New Roman" w:hAnsi="Times New Roman" w:cs="Times New Roman"/>
          <w:noProof/>
          <w:sz w:val="24"/>
          <w:szCs w:val="24"/>
        </w:rPr>
      </w:pPr>
    </w:p>
    <w:p w14:paraId="4DAF3E6D" w14:textId="4471C236" w:rsidR="00505930" w:rsidRPr="00E82C90" w:rsidRDefault="00505930" w:rsidP="007E0EE2">
      <w:pPr>
        <w:jc w:val="both"/>
        <w:rPr>
          <w:rFonts w:ascii="Times New Roman" w:hAnsi="Times New Roman" w:cs="Times New Roman"/>
          <w:noProof/>
          <w:sz w:val="24"/>
          <w:szCs w:val="24"/>
        </w:rPr>
      </w:pPr>
      <w:r w:rsidRPr="00E82C90">
        <w:rPr>
          <w:rFonts w:ascii="Times New Roman" w:hAnsi="Times New Roman" w:cs="Times New Roman"/>
          <w:noProof/>
          <w:sz w:val="24"/>
          <w:szCs w:val="24"/>
          <w:lang w:val="en-GB" w:eastAsia="en-GB"/>
        </w:rPr>
        <w:drawing>
          <wp:inline distT="0" distB="0" distL="0" distR="0" wp14:anchorId="5B345E6B" wp14:editId="4D29D104">
            <wp:extent cx="5760720" cy="328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280410"/>
                    </a:xfrm>
                    <a:prstGeom prst="rect">
                      <a:avLst/>
                    </a:prstGeom>
                  </pic:spPr>
                </pic:pic>
              </a:graphicData>
            </a:graphic>
          </wp:inline>
        </w:drawing>
      </w:r>
    </w:p>
    <w:p w14:paraId="3B1C9573" w14:textId="051452E3" w:rsidR="001E6E74" w:rsidRPr="00E82C90" w:rsidRDefault="00A61F35" w:rsidP="001E6E74">
      <w:pPr>
        <w:jc w:val="both"/>
        <w:rPr>
          <w:rFonts w:ascii="Times New Roman" w:hAnsi="Times New Roman" w:cs="Times New Roman"/>
          <w:noProof/>
          <w:sz w:val="18"/>
          <w:szCs w:val="24"/>
        </w:rPr>
      </w:pPr>
      <w:r w:rsidRPr="00E82C90">
        <w:rPr>
          <w:rFonts w:ascii="Times New Roman" w:hAnsi="Times New Roman"/>
          <w:noProof/>
          <w:sz w:val="18"/>
          <w:szCs w:val="24"/>
        </w:rPr>
        <w:t>Międzynarodowa Agencja Energii Odnawialnej (IRENA): Potencjał techniczny produkcji wodoru odnawialnego poniżej 1,5 USD/kg do</w:t>
      </w:r>
      <w:r w:rsidR="00E82C90" w:rsidRPr="00E82C90">
        <w:rPr>
          <w:rFonts w:ascii="Times New Roman" w:hAnsi="Times New Roman"/>
          <w:noProof/>
          <w:sz w:val="18"/>
          <w:szCs w:val="24"/>
        </w:rPr>
        <w:t> </w:t>
      </w:r>
      <w:r w:rsidRPr="00E82C90">
        <w:rPr>
          <w:rFonts w:ascii="Times New Roman" w:hAnsi="Times New Roman"/>
          <w:noProof/>
          <w:sz w:val="18"/>
          <w:szCs w:val="24"/>
        </w:rPr>
        <w:t>2050</w:t>
      </w:r>
      <w:r w:rsidR="00E82C90" w:rsidRPr="00E82C90">
        <w:rPr>
          <w:rFonts w:ascii="Times New Roman" w:hAnsi="Times New Roman"/>
          <w:noProof/>
          <w:sz w:val="18"/>
          <w:szCs w:val="24"/>
        </w:rPr>
        <w:t> </w:t>
      </w:r>
      <w:r w:rsidRPr="00E82C90">
        <w:rPr>
          <w:rFonts w:ascii="Times New Roman" w:hAnsi="Times New Roman"/>
          <w:noProof/>
          <w:sz w:val="18"/>
          <w:szCs w:val="24"/>
        </w:rPr>
        <w:t>r.,</w:t>
      </w:r>
      <w:r w:rsidR="00E82C90" w:rsidRPr="00E82C90">
        <w:rPr>
          <w:rFonts w:ascii="Times New Roman" w:hAnsi="Times New Roman"/>
          <w:noProof/>
          <w:sz w:val="18"/>
          <w:szCs w:val="24"/>
        </w:rPr>
        <w:t xml:space="preserve"> w eks</w:t>
      </w:r>
      <w:r w:rsidRPr="00E82C90">
        <w:rPr>
          <w:rFonts w:ascii="Times New Roman" w:hAnsi="Times New Roman"/>
          <w:noProof/>
          <w:sz w:val="18"/>
          <w:szCs w:val="24"/>
        </w:rPr>
        <w:t>adżulach</w:t>
      </w:r>
    </w:p>
    <w:p w14:paraId="529E2E00" w14:textId="49B3A0D3" w:rsidR="00827413" w:rsidRPr="00E82C90" w:rsidRDefault="00CD7D26" w:rsidP="00CD7D26">
      <w:pPr>
        <w:jc w:val="both"/>
        <w:rPr>
          <w:rFonts w:ascii="Times New Roman" w:hAnsi="Times New Roman" w:cs="Times New Roman"/>
          <w:noProof/>
          <w:sz w:val="24"/>
          <w:szCs w:val="24"/>
        </w:rPr>
      </w:pPr>
      <w:r w:rsidRPr="00E82C90">
        <w:rPr>
          <w:rFonts w:ascii="Times New Roman" w:hAnsi="Times New Roman"/>
          <w:noProof/>
          <w:sz w:val="24"/>
          <w:szCs w:val="24"/>
        </w:rPr>
        <w:t>Regionem</w:t>
      </w:r>
      <w:r w:rsidR="00E82C90" w:rsidRPr="00E82C90">
        <w:rPr>
          <w:rFonts w:ascii="Times New Roman" w:hAnsi="Times New Roman"/>
          <w:noProof/>
          <w:sz w:val="24"/>
          <w:szCs w:val="24"/>
        </w:rPr>
        <w:t xml:space="preserve"> o szc</w:t>
      </w:r>
      <w:r w:rsidRPr="00E82C90">
        <w:rPr>
          <w:rFonts w:ascii="Times New Roman" w:hAnsi="Times New Roman"/>
          <w:noProof/>
          <w:sz w:val="24"/>
          <w:szCs w:val="24"/>
        </w:rPr>
        <w:t>zególnie wysokim potencjale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produkcji wodoru odnawialnego jest południowy region Morza Śródziemnego. Aby stworzyć możliwości przynoszące obopólne korzyści zarówno dla regionu, jak i UE, Komisja Europejska pracuje nad śródziemnomorskim partnerstwem na rzecz wodoru odnawialnego między UE</w:t>
      </w:r>
      <w:r w:rsidR="00E82C90" w:rsidRPr="00E82C90">
        <w:rPr>
          <w:rFonts w:ascii="Times New Roman" w:hAnsi="Times New Roman"/>
          <w:noProof/>
          <w:sz w:val="24"/>
          <w:szCs w:val="24"/>
        </w:rPr>
        <w:t xml:space="preserve"> a pań</w:t>
      </w:r>
      <w:r w:rsidRPr="00E82C90">
        <w:rPr>
          <w:rFonts w:ascii="Times New Roman" w:hAnsi="Times New Roman"/>
          <w:noProof/>
          <w:sz w:val="24"/>
          <w:szCs w:val="24"/>
        </w:rPr>
        <w:t>stwami</w:t>
      </w:r>
      <w:r w:rsidR="00E82C90" w:rsidRPr="00E82C90">
        <w:rPr>
          <w:rFonts w:ascii="Times New Roman" w:hAnsi="Times New Roman"/>
          <w:noProof/>
          <w:sz w:val="24"/>
          <w:szCs w:val="24"/>
        </w:rPr>
        <w:t xml:space="preserve"> w poł</w:t>
      </w:r>
      <w:r w:rsidRPr="00E82C90">
        <w:rPr>
          <w:rFonts w:ascii="Times New Roman" w:hAnsi="Times New Roman"/>
          <w:noProof/>
          <w:sz w:val="24"/>
          <w:szCs w:val="24"/>
        </w:rPr>
        <w:t>udniowym regionie Morza Śródziemnego. Podstawą tych prac jest istniejący Nowy program na rzecz regionu śródziemnomorskiego</w:t>
      </w:r>
      <w:r w:rsidR="00E82C90" w:rsidRPr="00E82C90">
        <w:rPr>
          <w:rFonts w:ascii="Times New Roman" w:hAnsi="Times New Roman"/>
          <w:noProof/>
          <w:sz w:val="24"/>
          <w:szCs w:val="24"/>
        </w:rPr>
        <w:t xml:space="preserve"> i tow</w:t>
      </w:r>
      <w:r w:rsidRPr="00E82C90">
        <w:rPr>
          <w:rFonts w:ascii="Times New Roman" w:hAnsi="Times New Roman"/>
          <w:noProof/>
          <w:sz w:val="24"/>
          <w:szCs w:val="24"/>
        </w:rPr>
        <w:t>arzyszący mu plan gospodarczo-inwestycyjny</w:t>
      </w:r>
      <w:r w:rsidR="00E82C90" w:rsidRPr="00E82C90">
        <w:rPr>
          <w:rFonts w:ascii="Times New Roman" w:hAnsi="Times New Roman"/>
          <w:noProof/>
          <w:sz w:val="24"/>
          <w:szCs w:val="24"/>
        </w:rPr>
        <w:t xml:space="preserve"> i roz</w:t>
      </w:r>
      <w:r w:rsidRPr="00E82C90">
        <w:rPr>
          <w:rFonts w:ascii="Times New Roman" w:hAnsi="Times New Roman"/>
          <w:noProof/>
          <w:sz w:val="24"/>
          <w:szCs w:val="24"/>
        </w:rPr>
        <w:t>poczną się one od partnerstwa UE–Egipt</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wodoru. Partnerstwo to stanowiłoby pierwszy krok</w:t>
      </w:r>
      <w:r w:rsidR="00E82C90" w:rsidRPr="00E82C90">
        <w:rPr>
          <w:rFonts w:ascii="Times New Roman" w:hAnsi="Times New Roman"/>
          <w:noProof/>
          <w:sz w:val="24"/>
          <w:szCs w:val="24"/>
        </w:rPr>
        <w:t xml:space="preserve"> w kie</w:t>
      </w:r>
      <w:r w:rsidRPr="00E82C90">
        <w:rPr>
          <w:rFonts w:ascii="Times New Roman" w:hAnsi="Times New Roman"/>
          <w:noProof/>
          <w:sz w:val="24"/>
          <w:szCs w:val="24"/>
        </w:rPr>
        <w:t>runku szerszej współpracy</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wodoru odnawialnego między Europą, Afryką</w:t>
      </w:r>
      <w:r w:rsidR="00E82C90" w:rsidRPr="00E82C90">
        <w:rPr>
          <w:rFonts w:ascii="Times New Roman" w:hAnsi="Times New Roman"/>
          <w:noProof/>
          <w:sz w:val="24"/>
          <w:szCs w:val="24"/>
        </w:rPr>
        <w:t xml:space="preserve"> i Zat</w:t>
      </w:r>
      <w:r w:rsidRPr="00E82C90">
        <w:rPr>
          <w:rFonts w:ascii="Times New Roman" w:hAnsi="Times New Roman"/>
          <w:noProof/>
          <w:sz w:val="24"/>
          <w:szCs w:val="24"/>
        </w:rPr>
        <w:t>oką Perską – kolejnym obszarem</w:t>
      </w:r>
      <w:r w:rsidR="00E82C90" w:rsidRPr="00E82C90">
        <w:rPr>
          <w:rFonts w:ascii="Times New Roman" w:hAnsi="Times New Roman"/>
          <w:noProof/>
          <w:sz w:val="24"/>
          <w:szCs w:val="24"/>
        </w:rPr>
        <w:t xml:space="preserve"> o bog</w:t>
      </w:r>
      <w:r w:rsidRPr="00E82C90">
        <w:rPr>
          <w:rFonts w:ascii="Times New Roman" w:hAnsi="Times New Roman"/>
          <w:noProof/>
          <w:sz w:val="24"/>
          <w:szCs w:val="24"/>
        </w:rPr>
        <w:t xml:space="preserve">atych zasobach do produkcji wodoru. </w:t>
      </w:r>
    </w:p>
    <w:p w14:paraId="19578BF2" w14:textId="1795E8BF" w:rsidR="008608B5" w:rsidRPr="00E82C90" w:rsidRDefault="008608B5" w:rsidP="00CD7D26">
      <w:pPr>
        <w:jc w:val="both"/>
        <w:rPr>
          <w:rFonts w:ascii="Times New Roman" w:hAnsi="Times New Roman" w:cs="Times New Roman"/>
          <w:noProof/>
          <w:sz w:val="24"/>
          <w:szCs w:val="24"/>
        </w:rPr>
      </w:pPr>
      <w:r w:rsidRPr="00E82C90">
        <w:rPr>
          <w:rFonts w:ascii="Times New Roman" w:hAnsi="Times New Roman"/>
          <w:noProof/>
          <w:sz w:val="24"/>
          <w:szCs w:val="24"/>
        </w:rPr>
        <w:t>Współpraca</w:t>
      </w:r>
      <w:r w:rsidR="00E82C90" w:rsidRPr="00E82C90">
        <w:rPr>
          <w:rFonts w:ascii="Times New Roman" w:hAnsi="Times New Roman"/>
          <w:noProof/>
          <w:sz w:val="24"/>
          <w:szCs w:val="24"/>
        </w:rPr>
        <w:t xml:space="preserve"> w tej</w:t>
      </w:r>
      <w:r w:rsidRPr="00E82C90">
        <w:rPr>
          <w:rFonts w:ascii="Times New Roman" w:hAnsi="Times New Roman"/>
          <w:noProof/>
          <w:sz w:val="24"/>
          <w:szCs w:val="24"/>
        </w:rPr>
        <w:t xml:space="preserve"> dziedzinie, realizowana</w:t>
      </w:r>
      <w:r w:rsidR="00E82C90" w:rsidRPr="00E82C90">
        <w:rPr>
          <w:rFonts w:ascii="Times New Roman" w:hAnsi="Times New Roman"/>
          <w:noProof/>
          <w:sz w:val="24"/>
          <w:szCs w:val="24"/>
        </w:rPr>
        <w:t xml:space="preserve"> z uwz</w:t>
      </w:r>
      <w:r w:rsidRPr="00E82C90">
        <w:rPr>
          <w:rFonts w:ascii="Times New Roman" w:hAnsi="Times New Roman"/>
          <w:noProof/>
          <w:sz w:val="24"/>
          <w:szCs w:val="24"/>
        </w:rPr>
        <w:t>ględnieniem lokalnych potrzeb społecznych, gospodarczych</w:t>
      </w:r>
      <w:r w:rsidR="00E82C90" w:rsidRPr="00E82C90">
        <w:rPr>
          <w:rFonts w:ascii="Times New Roman" w:hAnsi="Times New Roman"/>
          <w:noProof/>
          <w:sz w:val="24"/>
          <w:szCs w:val="24"/>
        </w:rPr>
        <w:t xml:space="preserve"> i śro</w:t>
      </w:r>
      <w:r w:rsidRPr="00E82C90">
        <w:rPr>
          <w:rFonts w:ascii="Times New Roman" w:hAnsi="Times New Roman"/>
          <w:noProof/>
          <w:sz w:val="24"/>
          <w:szCs w:val="24"/>
        </w:rPr>
        <w:t>dowiskowych, promowałaby lokalną produkcję</w:t>
      </w:r>
      <w:r w:rsidR="00E82C90" w:rsidRPr="00E82C90">
        <w:rPr>
          <w:rFonts w:ascii="Times New Roman" w:hAnsi="Times New Roman"/>
          <w:noProof/>
          <w:sz w:val="24"/>
          <w:szCs w:val="24"/>
        </w:rPr>
        <w:t xml:space="preserve"> i zuż</w:t>
      </w:r>
      <w:r w:rsidRPr="00E82C90">
        <w:rPr>
          <w:rFonts w:ascii="Times New Roman" w:hAnsi="Times New Roman"/>
          <w:noProof/>
          <w:sz w:val="24"/>
          <w:szCs w:val="24"/>
        </w:rPr>
        <w:t>ycie odnawialnej energii elektrycznej</w:t>
      </w:r>
      <w:r w:rsidR="00E82C90" w:rsidRPr="00E82C90">
        <w:rPr>
          <w:rFonts w:ascii="Times New Roman" w:hAnsi="Times New Roman"/>
          <w:noProof/>
          <w:sz w:val="24"/>
          <w:szCs w:val="24"/>
        </w:rPr>
        <w:t xml:space="preserve"> i wod</w:t>
      </w:r>
      <w:r w:rsidRPr="00E82C90">
        <w:rPr>
          <w:rFonts w:ascii="Times New Roman" w:hAnsi="Times New Roman"/>
          <w:noProof/>
          <w:sz w:val="24"/>
          <w:szCs w:val="24"/>
        </w:rPr>
        <w:t>oru odnawialnego oraz rozwój łańcuchów wartości</w:t>
      </w:r>
      <w:r w:rsidR="00E82C90" w:rsidRPr="00E82C90">
        <w:rPr>
          <w:rFonts w:ascii="Times New Roman" w:hAnsi="Times New Roman"/>
          <w:noProof/>
          <w:sz w:val="24"/>
          <w:szCs w:val="24"/>
        </w:rPr>
        <w:t xml:space="preserve"> w eko</w:t>
      </w:r>
      <w:r w:rsidRPr="00E82C90">
        <w:rPr>
          <w:rFonts w:ascii="Times New Roman" w:hAnsi="Times New Roman"/>
          <w:noProof/>
          <w:sz w:val="24"/>
          <w:szCs w:val="24"/>
        </w:rPr>
        <w:t>logicznym sektorze przemysłu</w:t>
      </w:r>
      <w:r w:rsidR="00E82C90" w:rsidRPr="00E82C90">
        <w:rPr>
          <w:rFonts w:ascii="Times New Roman" w:hAnsi="Times New Roman"/>
          <w:noProof/>
          <w:sz w:val="24"/>
          <w:szCs w:val="24"/>
        </w:rPr>
        <w:t xml:space="preserve"> w kra</w:t>
      </w:r>
      <w:r w:rsidRPr="00E82C90">
        <w:rPr>
          <w:rFonts w:ascii="Times New Roman" w:hAnsi="Times New Roman"/>
          <w:noProof/>
          <w:sz w:val="24"/>
          <w:szCs w:val="24"/>
        </w:rPr>
        <w:t>jach partnerskich. Unijne ramy regulacyjne dotyczące wodoru powinny zapewniać równe warunki działania dla wodoru importowanego</w:t>
      </w:r>
      <w:r w:rsidR="00E82C90" w:rsidRPr="00E82C90">
        <w:rPr>
          <w:rFonts w:ascii="Times New Roman" w:hAnsi="Times New Roman"/>
          <w:noProof/>
          <w:sz w:val="24"/>
          <w:szCs w:val="24"/>
        </w:rPr>
        <w:t xml:space="preserve"> i pro</w:t>
      </w:r>
      <w:r w:rsidRPr="00E82C90">
        <w:rPr>
          <w:rFonts w:ascii="Times New Roman" w:hAnsi="Times New Roman"/>
          <w:noProof/>
          <w:sz w:val="24"/>
          <w:szCs w:val="24"/>
        </w:rPr>
        <w:t>dukowanego w UE.</w:t>
      </w:r>
    </w:p>
    <w:p w14:paraId="4EA08380" w14:textId="7505B8A1" w:rsidR="00462543" w:rsidRPr="00E82C90" w:rsidRDefault="00DF6A64" w:rsidP="00CD7D26">
      <w:pPr>
        <w:jc w:val="both"/>
        <w:rPr>
          <w:rFonts w:ascii="Times New Roman" w:hAnsi="Times New Roman" w:cs="Times New Roman"/>
          <w:noProof/>
          <w:sz w:val="24"/>
          <w:szCs w:val="24"/>
        </w:rPr>
      </w:pPr>
      <w:r w:rsidRPr="00E82C90">
        <w:rPr>
          <w:rFonts w:ascii="Times New Roman" w:hAnsi="Times New Roman"/>
          <w:noProof/>
          <w:sz w:val="24"/>
          <w:szCs w:val="24"/>
        </w:rPr>
        <w:t>W Afryce Subsaharyjskiej Republika Południowej Afryki</w:t>
      </w:r>
      <w:r w:rsidR="00E82C90" w:rsidRPr="00E82C90">
        <w:rPr>
          <w:rFonts w:ascii="Times New Roman" w:hAnsi="Times New Roman"/>
          <w:noProof/>
          <w:sz w:val="24"/>
          <w:szCs w:val="24"/>
        </w:rPr>
        <w:t xml:space="preserve"> i Nam</w:t>
      </w:r>
      <w:r w:rsidRPr="00E82C90">
        <w:rPr>
          <w:rFonts w:ascii="Times New Roman" w:hAnsi="Times New Roman"/>
          <w:noProof/>
          <w:sz w:val="24"/>
          <w:szCs w:val="24"/>
        </w:rPr>
        <w:t>ibia już rozwijają swój sektor wodoru odnawialnego</w:t>
      </w:r>
      <w:r w:rsidR="00E82C90" w:rsidRPr="00E82C90">
        <w:rPr>
          <w:rFonts w:ascii="Times New Roman" w:hAnsi="Times New Roman"/>
          <w:noProof/>
          <w:sz w:val="24"/>
          <w:szCs w:val="24"/>
        </w:rPr>
        <w:t xml:space="preserve"> i wzb</w:t>
      </w:r>
      <w:r w:rsidRPr="00E82C90">
        <w:rPr>
          <w:rFonts w:ascii="Times New Roman" w:hAnsi="Times New Roman"/>
          <w:noProof/>
          <w:sz w:val="24"/>
          <w:szCs w:val="24"/>
        </w:rPr>
        <w:t>udziły zainteresowanie przemysłu UE. Wzmocniona współpraca</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wodoru odnawialnego stanowi również część dwustronnego zaangażowania UE</w:t>
      </w:r>
      <w:r w:rsidR="00E82C90" w:rsidRPr="00E82C90">
        <w:rPr>
          <w:rFonts w:ascii="Times New Roman" w:hAnsi="Times New Roman"/>
          <w:noProof/>
          <w:sz w:val="24"/>
          <w:szCs w:val="24"/>
        </w:rPr>
        <w:t xml:space="preserve"> w pań</w:t>
      </w:r>
      <w:r w:rsidRPr="00E82C90">
        <w:rPr>
          <w:rFonts w:ascii="Times New Roman" w:hAnsi="Times New Roman"/>
          <w:noProof/>
          <w:sz w:val="24"/>
          <w:szCs w:val="24"/>
        </w:rPr>
        <w:t>stwach takich jak Egipt</w:t>
      </w:r>
      <w:r w:rsidR="00E82C90" w:rsidRPr="00E82C90">
        <w:rPr>
          <w:rFonts w:ascii="Times New Roman" w:hAnsi="Times New Roman"/>
          <w:noProof/>
          <w:sz w:val="24"/>
          <w:szCs w:val="24"/>
        </w:rPr>
        <w:t xml:space="preserve"> i Mar</w:t>
      </w:r>
      <w:r w:rsidRPr="00E82C90">
        <w:rPr>
          <w:rFonts w:ascii="Times New Roman" w:hAnsi="Times New Roman"/>
          <w:noProof/>
          <w:sz w:val="24"/>
          <w:szCs w:val="24"/>
        </w:rPr>
        <w:t>oko, gdzie Komisja Europejska rozpoczęła prace nad zielonym partnerstwem UE–Maroko.</w:t>
      </w:r>
    </w:p>
    <w:p w14:paraId="7EE1B55D" w14:textId="79F25AD5" w:rsidR="00BA057B" w:rsidRPr="00E82C90" w:rsidRDefault="00BA057B" w:rsidP="00CD7D26">
      <w:pPr>
        <w:jc w:val="both"/>
        <w:rPr>
          <w:rFonts w:ascii="Times New Roman" w:hAnsi="Times New Roman" w:cs="Times New Roman"/>
          <w:noProof/>
          <w:sz w:val="24"/>
          <w:szCs w:val="24"/>
        </w:rPr>
      </w:pPr>
      <w:r w:rsidRPr="00E82C90">
        <w:rPr>
          <w:rFonts w:ascii="Times New Roman" w:hAnsi="Times New Roman"/>
          <w:noProof/>
          <w:sz w:val="24"/>
          <w:szCs w:val="24"/>
        </w:rPr>
        <w:t xml:space="preserve">Trwają również prace nad </w:t>
      </w:r>
      <w:r w:rsidRPr="00E82C90">
        <w:rPr>
          <w:rFonts w:ascii="Times New Roman" w:hAnsi="Times New Roman"/>
          <w:b/>
          <w:bCs/>
          <w:noProof/>
          <w:sz w:val="24"/>
          <w:szCs w:val="24"/>
        </w:rPr>
        <w:t>strategicznym partnerstwem</w:t>
      </w:r>
      <w:r w:rsidR="00E82C90" w:rsidRPr="00E82C90">
        <w:rPr>
          <w:rFonts w:ascii="Times New Roman" w:hAnsi="Times New Roman"/>
          <w:b/>
          <w:bCs/>
          <w:noProof/>
          <w:sz w:val="24"/>
          <w:szCs w:val="24"/>
        </w:rPr>
        <w:t xml:space="preserve"> z Ukr</w:t>
      </w:r>
      <w:r w:rsidRPr="00E82C90">
        <w:rPr>
          <w:rFonts w:ascii="Times New Roman" w:hAnsi="Times New Roman"/>
          <w:b/>
          <w:bCs/>
          <w:noProof/>
          <w:sz w:val="24"/>
          <w:szCs w:val="24"/>
        </w:rPr>
        <w:t>ainą</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gazów odnawialnych</w:t>
      </w:r>
      <w:r w:rsidRPr="00E82C90">
        <w:rPr>
          <w:rFonts w:ascii="Times New Roman" w:hAnsi="Times New Roman"/>
          <w:noProof/>
          <w:sz w:val="24"/>
          <w:szCs w:val="24"/>
        </w:rPr>
        <w:t>,</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wodoru</w:t>
      </w:r>
      <w:r w:rsidR="00E82C90" w:rsidRPr="00E82C90">
        <w:rPr>
          <w:rFonts w:ascii="Times New Roman" w:hAnsi="Times New Roman"/>
          <w:noProof/>
          <w:sz w:val="24"/>
          <w:szCs w:val="24"/>
        </w:rPr>
        <w:t xml:space="preserve"> i bio</w:t>
      </w:r>
      <w:r w:rsidRPr="00E82C90">
        <w:rPr>
          <w:rFonts w:ascii="Times New Roman" w:hAnsi="Times New Roman"/>
          <w:noProof/>
          <w:sz w:val="24"/>
          <w:szCs w:val="24"/>
        </w:rPr>
        <w:t>metanu,</w:t>
      </w:r>
      <w:r w:rsidR="00E82C90" w:rsidRPr="00E82C90">
        <w:rPr>
          <w:rFonts w:ascii="Times New Roman" w:hAnsi="Times New Roman"/>
          <w:noProof/>
          <w:sz w:val="24"/>
          <w:szCs w:val="24"/>
        </w:rPr>
        <w:t xml:space="preserve"> z zam</w:t>
      </w:r>
      <w:r w:rsidRPr="00E82C90">
        <w:rPr>
          <w:rFonts w:ascii="Times New Roman" w:hAnsi="Times New Roman"/>
          <w:noProof/>
          <w:sz w:val="24"/>
          <w:szCs w:val="24"/>
        </w:rPr>
        <w:t>iarem znacznego rozszerzenia tej współpracy, gdy tylko pozwolą na to warunki.</w:t>
      </w:r>
    </w:p>
    <w:p w14:paraId="33F7B842" w14:textId="7B4FEE0B" w:rsidR="0098638B" w:rsidRPr="00E82C90" w:rsidRDefault="0098638B" w:rsidP="0098638B">
      <w:pPr>
        <w:spacing w:after="240"/>
        <w:jc w:val="both"/>
        <w:rPr>
          <w:rFonts w:ascii="Times New Roman" w:hAnsi="Times New Roman" w:cs="Times New Roman"/>
          <w:noProof/>
          <w:sz w:val="24"/>
          <w:szCs w:val="24"/>
        </w:rPr>
      </w:pPr>
      <w:r w:rsidRPr="00E82C90">
        <w:rPr>
          <w:rFonts w:ascii="Times New Roman" w:hAnsi="Times New Roman"/>
          <w:noProof/>
          <w:sz w:val="24"/>
          <w:szCs w:val="24"/>
        </w:rPr>
        <w:t>W swoim bezpośrednim sąsiedztwie UE jest gotowa wspierać rozwój sieci</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przeglądu rozporządzenia</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transeuropejskich sieci energetycznych (TEN-E)</w:t>
      </w:r>
      <w:r w:rsidRPr="00E82C90">
        <w:rPr>
          <w:rStyle w:val="FootnoteReference"/>
          <w:rFonts w:ascii="Times New Roman" w:hAnsi="Times New Roman" w:cs="Times New Roman"/>
          <w:noProof/>
          <w:sz w:val="24"/>
          <w:szCs w:val="24"/>
        </w:rPr>
        <w:footnoteReference w:id="6"/>
      </w:r>
      <w:r w:rsidRPr="00E82C90">
        <w:rPr>
          <w:rFonts w:ascii="Times New Roman" w:hAnsi="Times New Roman"/>
          <w:noProof/>
          <w:sz w:val="24"/>
          <w:szCs w:val="24"/>
        </w:rPr>
        <w:t>. Realizowane wspólnie</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stwami trzecimi projekty, które</w:t>
      </w:r>
      <w:r w:rsidR="00E82C90" w:rsidRPr="00E82C90">
        <w:rPr>
          <w:rFonts w:ascii="Times New Roman" w:hAnsi="Times New Roman"/>
          <w:noProof/>
          <w:sz w:val="24"/>
          <w:szCs w:val="24"/>
        </w:rPr>
        <w:t xml:space="preserve"> w zna</w:t>
      </w:r>
      <w:r w:rsidRPr="00E82C90">
        <w:rPr>
          <w:rFonts w:ascii="Times New Roman" w:hAnsi="Times New Roman"/>
          <w:noProof/>
          <w:sz w:val="24"/>
          <w:szCs w:val="24"/>
        </w:rPr>
        <w:t>czący sposób przyczyniają się do realizacji celów TEN-E, mogą uzyskać status projektów będących przedmiotem wzajemnego zainteresowania – oznaczenie, które wskazuje wspólne projekty</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przesyłu energii elektrycznej, transportu wodoru oraz sieci</w:t>
      </w:r>
      <w:r w:rsidR="00E82C90" w:rsidRPr="00E82C90">
        <w:rPr>
          <w:rFonts w:ascii="Times New Roman" w:hAnsi="Times New Roman"/>
          <w:noProof/>
          <w:sz w:val="24"/>
          <w:szCs w:val="24"/>
        </w:rPr>
        <w:t xml:space="preserve"> i mag</w:t>
      </w:r>
      <w:r w:rsidRPr="00E82C90">
        <w:rPr>
          <w:rFonts w:ascii="Times New Roman" w:hAnsi="Times New Roman"/>
          <w:noProof/>
          <w:sz w:val="24"/>
          <w:szCs w:val="24"/>
        </w:rPr>
        <w:t>azynów CO2, które spełniają unijne normy bezpieczeństwa. Jednocześnie konieczne będą inwestycje służące zapewnieniu zdolności przesyłowej</w:t>
      </w:r>
      <w:r w:rsidR="00E82C90" w:rsidRPr="00E82C90">
        <w:rPr>
          <w:rFonts w:ascii="Times New Roman" w:hAnsi="Times New Roman"/>
          <w:noProof/>
          <w:sz w:val="24"/>
          <w:szCs w:val="24"/>
        </w:rPr>
        <w:t xml:space="preserve"> i log</w:t>
      </w:r>
      <w:r w:rsidRPr="00E82C90">
        <w:rPr>
          <w:rFonts w:ascii="Times New Roman" w:hAnsi="Times New Roman"/>
          <w:noProof/>
          <w:sz w:val="24"/>
          <w:szCs w:val="24"/>
        </w:rPr>
        <w:t>istyki na potrzeby transportu tego towaru.</w:t>
      </w:r>
    </w:p>
    <w:p w14:paraId="538E2D59" w14:textId="5DB0EBA6" w:rsidR="00CC199B" w:rsidRPr="00E82C90" w:rsidRDefault="00E64012" w:rsidP="005F55E8">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Powstający </w:t>
      </w:r>
      <w:r w:rsidRPr="00E82C90">
        <w:rPr>
          <w:rFonts w:ascii="Times New Roman" w:hAnsi="Times New Roman"/>
          <w:b/>
          <w:bCs/>
          <w:noProof/>
          <w:sz w:val="24"/>
          <w:szCs w:val="24"/>
        </w:rPr>
        <w:t>globalny rynek wodoru musi opierać się na wspólnych zasadach</w:t>
      </w:r>
      <w:r w:rsidRPr="00E82C90">
        <w:rPr>
          <w:rFonts w:ascii="Times New Roman" w:hAnsi="Times New Roman"/>
          <w:noProof/>
          <w:sz w:val="24"/>
          <w:szCs w:val="24"/>
        </w:rPr>
        <w:t>,</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w:t>
      </w:r>
      <w:r w:rsidR="00E82C90" w:rsidRPr="00E82C90">
        <w:rPr>
          <w:rFonts w:ascii="Times New Roman" w:hAnsi="Times New Roman"/>
          <w:noProof/>
          <w:sz w:val="24"/>
          <w:szCs w:val="24"/>
        </w:rPr>
        <w:t xml:space="preserve"> w odn</w:t>
      </w:r>
      <w:r w:rsidRPr="00E82C90">
        <w:rPr>
          <w:rFonts w:ascii="Times New Roman" w:hAnsi="Times New Roman"/>
          <w:noProof/>
          <w:sz w:val="24"/>
          <w:szCs w:val="24"/>
        </w:rPr>
        <w:t>iesieniu do norm, certyfikacji</w:t>
      </w:r>
      <w:r w:rsidR="00E82C90" w:rsidRPr="00E82C90">
        <w:rPr>
          <w:rFonts w:ascii="Times New Roman" w:hAnsi="Times New Roman"/>
          <w:noProof/>
          <w:sz w:val="24"/>
          <w:szCs w:val="24"/>
        </w:rPr>
        <w:t xml:space="preserve"> i dob</w:t>
      </w:r>
      <w:r w:rsidRPr="00E82C90">
        <w:rPr>
          <w:rFonts w:ascii="Times New Roman" w:hAnsi="Times New Roman"/>
          <w:noProof/>
          <w:sz w:val="24"/>
          <w:szCs w:val="24"/>
        </w:rPr>
        <w:t>rych praktyk regulacyjnych</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dostępu do infrastruktury</w:t>
      </w:r>
      <w:r w:rsidR="00E82C90" w:rsidRPr="00E82C90">
        <w:rPr>
          <w:rFonts w:ascii="Times New Roman" w:hAnsi="Times New Roman"/>
          <w:noProof/>
          <w:sz w:val="24"/>
          <w:szCs w:val="24"/>
        </w:rPr>
        <w:t xml:space="preserve"> i han</w:t>
      </w:r>
      <w:r w:rsidRPr="00E82C90">
        <w:rPr>
          <w:rFonts w:ascii="Times New Roman" w:hAnsi="Times New Roman"/>
          <w:noProof/>
          <w:sz w:val="24"/>
          <w:szCs w:val="24"/>
        </w:rPr>
        <w:t>dlu. Unijne ramy prawne dotyczące wodoru są najbardziej zaawansowane na świecie</w:t>
      </w:r>
      <w:r w:rsidR="00E82C90" w:rsidRPr="00E82C90">
        <w:rPr>
          <w:rFonts w:ascii="Times New Roman" w:hAnsi="Times New Roman"/>
          <w:noProof/>
          <w:sz w:val="24"/>
          <w:szCs w:val="24"/>
        </w:rPr>
        <w:t>. W opa</w:t>
      </w:r>
      <w:r w:rsidRPr="00E82C90">
        <w:rPr>
          <w:rFonts w:ascii="Times New Roman" w:hAnsi="Times New Roman"/>
          <w:noProof/>
          <w:sz w:val="24"/>
          <w:szCs w:val="24"/>
        </w:rPr>
        <w:t>rciu o to doświadczenie UE powinna przewodzić działaniom mającym na celu opracowanie solidnych ram dla globalnego, opartego na zasadach</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ejrzystego rynku wodoru. Proces ten należy prowadzić</w:t>
      </w:r>
      <w:r w:rsidR="00E82C90" w:rsidRPr="00E82C90">
        <w:rPr>
          <w:rFonts w:ascii="Times New Roman" w:hAnsi="Times New Roman"/>
          <w:noProof/>
          <w:sz w:val="24"/>
          <w:szCs w:val="24"/>
        </w:rPr>
        <w:t xml:space="preserve"> z uwz</w:t>
      </w:r>
      <w:r w:rsidRPr="00E82C90">
        <w:rPr>
          <w:rFonts w:ascii="Times New Roman" w:hAnsi="Times New Roman"/>
          <w:noProof/>
          <w:sz w:val="24"/>
          <w:szCs w:val="24"/>
        </w:rPr>
        <w:t>ględnieniem doświadczeń zdobytych na rynkach gazu ziemnego</w:t>
      </w:r>
      <w:r w:rsidR="00E82C90" w:rsidRPr="00E82C90">
        <w:rPr>
          <w:rFonts w:ascii="Times New Roman" w:hAnsi="Times New Roman"/>
          <w:noProof/>
          <w:sz w:val="24"/>
          <w:szCs w:val="24"/>
        </w:rPr>
        <w:t xml:space="preserve"> i rop</w:t>
      </w:r>
      <w:r w:rsidRPr="00E82C90">
        <w:rPr>
          <w:rFonts w:ascii="Times New Roman" w:hAnsi="Times New Roman"/>
          <w:noProof/>
          <w:sz w:val="24"/>
          <w:szCs w:val="24"/>
        </w:rPr>
        <w:t>y naftowej, tak aby te nowe towary energetyczne mogły swobodnie przepływać przez granice, zwiększając tym samym nasze bezpieczeństwo energetyczne</w:t>
      </w:r>
      <w:r w:rsidR="00E82C90" w:rsidRPr="00E82C90">
        <w:rPr>
          <w:rFonts w:ascii="Times New Roman" w:hAnsi="Times New Roman"/>
          <w:noProof/>
          <w:sz w:val="24"/>
          <w:szCs w:val="24"/>
        </w:rPr>
        <w:t xml:space="preserve"> w mia</w:t>
      </w:r>
      <w:r w:rsidRPr="00E82C90">
        <w:rPr>
          <w:rFonts w:ascii="Times New Roman" w:hAnsi="Times New Roman"/>
          <w:noProof/>
          <w:sz w:val="24"/>
          <w:szCs w:val="24"/>
        </w:rPr>
        <w:t xml:space="preserve">rę odchodzenia od paliw kopalnych. Aby ożywić globalny rynek wodoru odnawialnego, UE rozważa utworzenie </w:t>
      </w:r>
      <w:r w:rsidRPr="00E82C90">
        <w:rPr>
          <w:rFonts w:ascii="Times New Roman" w:hAnsi="Times New Roman"/>
          <w:b/>
          <w:bCs/>
          <w:noProof/>
          <w:sz w:val="24"/>
          <w:szCs w:val="24"/>
        </w:rPr>
        <w:t>globalnego europejskiego mechanizmu wodorowego</w:t>
      </w:r>
      <w:r w:rsidRPr="00E82C90">
        <w:rPr>
          <w:rFonts w:ascii="Times New Roman" w:hAnsi="Times New Roman"/>
          <w:noProof/>
          <w:sz w:val="24"/>
          <w:szCs w:val="24"/>
        </w:rPr>
        <w:t xml:space="preserve"> zgodnie</w:t>
      </w:r>
      <w:r w:rsidR="00E82C90" w:rsidRPr="00E82C90">
        <w:rPr>
          <w:rFonts w:ascii="Times New Roman" w:hAnsi="Times New Roman"/>
          <w:noProof/>
          <w:sz w:val="24"/>
          <w:szCs w:val="24"/>
        </w:rPr>
        <w:t xml:space="preserve"> z kom</w:t>
      </w:r>
      <w:r w:rsidRPr="00E82C90">
        <w:rPr>
          <w:rFonts w:ascii="Times New Roman" w:hAnsi="Times New Roman"/>
          <w:noProof/>
          <w:sz w:val="24"/>
          <w:szCs w:val="24"/>
        </w:rPr>
        <w:t>unikatem ogólnym dotyczącym REPowerEU.</w:t>
      </w:r>
    </w:p>
    <w:p w14:paraId="476A6BEA" w14:textId="6D8988F7" w:rsidR="00F43515" w:rsidRPr="00E82C90" w:rsidRDefault="00F43515" w:rsidP="0098638B">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58BABC35" w14:textId="0B425162" w:rsidR="0050044A" w:rsidRPr="00E82C90" w:rsidRDefault="00AB4758" w:rsidP="00AA5D14">
      <w:pPr>
        <w:pStyle w:val="ListParagraph"/>
        <w:numPr>
          <w:ilvl w:val="0"/>
          <w:numId w:val="3"/>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zawarcie partnerstw na rzecz wodoru, zwłaszcza</w:t>
      </w:r>
      <w:r w:rsidR="00E82C90" w:rsidRPr="00E82C90">
        <w:rPr>
          <w:rFonts w:ascii="Times New Roman" w:hAnsi="Times New Roman"/>
          <w:b/>
          <w:bCs/>
          <w:noProof/>
          <w:sz w:val="24"/>
          <w:szCs w:val="24"/>
        </w:rPr>
        <w:t xml:space="preserve"> w kra</w:t>
      </w:r>
      <w:r w:rsidRPr="00E82C90">
        <w:rPr>
          <w:rFonts w:ascii="Times New Roman" w:hAnsi="Times New Roman"/>
          <w:b/>
          <w:bCs/>
          <w:noProof/>
          <w:sz w:val="24"/>
          <w:szCs w:val="24"/>
        </w:rPr>
        <w:t>jach sąsiadujących z UE</w:t>
      </w:r>
      <w:r w:rsidR="00E82C90" w:rsidRPr="00E82C90">
        <w:rPr>
          <w:rFonts w:ascii="Times New Roman" w:hAnsi="Times New Roman"/>
          <w:b/>
          <w:bCs/>
          <w:noProof/>
          <w:sz w:val="24"/>
          <w:szCs w:val="24"/>
        </w:rPr>
        <w:t xml:space="preserve"> i w Afr</w:t>
      </w:r>
      <w:r w:rsidRPr="00E82C90">
        <w:rPr>
          <w:rFonts w:ascii="Times New Roman" w:hAnsi="Times New Roman"/>
          <w:b/>
          <w:bCs/>
          <w:noProof/>
          <w:sz w:val="24"/>
          <w:szCs w:val="24"/>
        </w:rPr>
        <w:t>yce,</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ułatwienia przywozu 10 mln ton wodoru do</w:t>
      </w:r>
      <w:r w:rsidR="00E82C90" w:rsidRPr="00E82C90">
        <w:rPr>
          <w:rFonts w:ascii="Times New Roman" w:hAnsi="Times New Roman"/>
          <w:b/>
          <w:bCs/>
          <w:noProof/>
          <w:sz w:val="24"/>
          <w:szCs w:val="24"/>
        </w:rPr>
        <w:t> </w:t>
      </w:r>
      <w:r w:rsidRPr="00E82C90">
        <w:rPr>
          <w:rFonts w:ascii="Times New Roman" w:hAnsi="Times New Roman"/>
          <w:b/>
          <w:bCs/>
          <w:noProof/>
          <w:sz w:val="24"/>
          <w:szCs w:val="24"/>
        </w:rPr>
        <w:t>2030</w:t>
      </w:r>
      <w:r w:rsidR="00E82C90" w:rsidRPr="00E82C90">
        <w:rPr>
          <w:rFonts w:ascii="Times New Roman" w:hAnsi="Times New Roman"/>
          <w:b/>
          <w:bCs/>
          <w:noProof/>
          <w:sz w:val="24"/>
          <w:szCs w:val="24"/>
        </w:rPr>
        <w:t> </w:t>
      </w:r>
      <w:r w:rsidRPr="00E82C90">
        <w:rPr>
          <w:rFonts w:ascii="Times New Roman" w:hAnsi="Times New Roman"/>
          <w:b/>
          <w:bCs/>
          <w:noProof/>
          <w:sz w:val="24"/>
          <w:szCs w:val="24"/>
        </w:rPr>
        <w:t>r.</w:t>
      </w:r>
      <w:r w:rsidR="00E82C90" w:rsidRPr="00E82C90">
        <w:rPr>
          <w:rFonts w:ascii="Times New Roman" w:hAnsi="Times New Roman"/>
          <w:b/>
          <w:bCs/>
          <w:noProof/>
          <w:sz w:val="24"/>
          <w:szCs w:val="24"/>
        </w:rPr>
        <w:t xml:space="preserve"> i roz</w:t>
      </w:r>
      <w:r w:rsidR="00FE4786" w:rsidRPr="00E82C90">
        <w:rPr>
          <w:rFonts w:ascii="Times New Roman" w:hAnsi="Times New Roman"/>
          <w:b/>
          <w:bCs/>
          <w:noProof/>
          <w:sz w:val="24"/>
          <w:szCs w:val="24"/>
        </w:rPr>
        <w:t>wijania lokalnych rynków wodoru</w:t>
      </w:r>
    </w:p>
    <w:p w14:paraId="5759F527" w14:textId="040CD835" w:rsidR="007E0EE2" w:rsidRPr="00E82C90" w:rsidRDefault="00AB4758" w:rsidP="002172E3">
      <w:pPr>
        <w:pStyle w:val="ListParagraph"/>
        <w:numPr>
          <w:ilvl w:val="0"/>
          <w:numId w:val="3"/>
        </w:numPr>
        <w:jc w:val="both"/>
        <w:rPr>
          <w:rFonts w:ascii="Times New Roman" w:hAnsi="Times New Roman" w:cs="Times New Roman"/>
          <w:b/>
          <w:bCs/>
          <w:noProof/>
          <w:sz w:val="24"/>
          <w:szCs w:val="24"/>
        </w:rPr>
      </w:pPr>
      <w:r w:rsidRPr="00E82C90">
        <w:rPr>
          <w:rFonts w:ascii="Times New Roman" w:hAnsi="Times New Roman"/>
          <w:b/>
          <w:noProof/>
          <w:sz w:val="24"/>
          <w:szCs w:val="24"/>
        </w:rPr>
        <w:t>podpisanie</w:t>
      </w:r>
      <w:r w:rsidR="00E82C90" w:rsidRPr="00E82C90">
        <w:rPr>
          <w:rFonts w:ascii="Times New Roman" w:hAnsi="Times New Roman"/>
          <w:b/>
          <w:noProof/>
          <w:sz w:val="24"/>
          <w:szCs w:val="24"/>
        </w:rPr>
        <w:t xml:space="preserve"> z Jap</w:t>
      </w:r>
      <w:r w:rsidRPr="00E82C90">
        <w:rPr>
          <w:rFonts w:ascii="Times New Roman" w:hAnsi="Times New Roman"/>
          <w:b/>
          <w:noProof/>
          <w:sz w:val="24"/>
          <w:szCs w:val="24"/>
        </w:rPr>
        <w:t>onią do końca 2022</w:t>
      </w:r>
      <w:r w:rsidR="00E82C90" w:rsidRPr="00E82C90">
        <w:rPr>
          <w:rFonts w:ascii="Times New Roman" w:hAnsi="Times New Roman"/>
          <w:b/>
          <w:noProof/>
          <w:sz w:val="24"/>
          <w:szCs w:val="24"/>
        </w:rPr>
        <w:t> </w:t>
      </w:r>
      <w:r w:rsidRPr="00E82C90">
        <w:rPr>
          <w:rFonts w:ascii="Times New Roman" w:hAnsi="Times New Roman"/>
          <w:b/>
          <w:noProof/>
          <w:sz w:val="24"/>
          <w:szCs w:val="24"/>
        </w:rPr>
        <w:t>r. porozumienia</w:t>
      </w:r>
      <w:r w:rsidR="00E82C90" w:rsidRPr="00E82C90">
        <w:rPr>
          <w:rFonts w:ascii="Times New Roman" w:hAnsi="Times New Roman"/>
          <w:b/>
          <w:noProof/>
          <w:sz w:val="24"/>
          <w:szCs w:val="24"/>
        </w:rPr>
        <w:t xml:space="preserve"> o wsp</w:t>
      </w:r>
      <w:r w:rsidR="00FE4786" w:rsidRPr="00E82C90">
        <w:rPr>
          <w:rFonts w:ascii="Times New Roman" w:hAnsi="Times New Roman"/>
          <w:b/>
          <w:noProof/>
          <w:sz w:val="24"/>
          <w:szCs w:val="24"/>
        </w:rPr>
        <w:t>ółpracy</w:t>
      </w:r>
      <w:r w:rsidR="00E82C90" w:rsidRPr="00E82C90">
        <w:rPr>
          <w:rFonts w:ascii="Times New Roman" w:hAnsi="Times New Roman"/>
          <w:b/>
          <w:noProof/>
          <w:sz w:val="24"/>
          <w:szCs w:val="24"/>
        </w:rPr>
        <w:t xml:space="preserve"> w dzi</w:t>
      </w:r>
      <w:r w:rsidR="00FE4786" w:rsidRPr="00E82C90">
        <w:rPr>
          <w:rFonts w:ascii="Times New Roman" w:hAnsi="Times New Roman"/>
          <w:b/>
          <w:noProof/>
          <w:sz w:val="24"/>
          <w:szCs w:val="24"/>
        </w:rPr>
        <w:t>edzinie wodoru</w:t>
      </w:r>
    </w:p>
    <w:p w14:paraId="311EAFF0" w14:textId="215564B9" w:rsidR="009A1F0B" w:rsidRPr="00E82C90" w:rsidRDefault="00AB4758" w:rsidP="00AA5D14">
      <w:pPr>
        <w:pStyle w:val="ListParagraph"/>
        <w:numPr>
          <w:ilvl w:val="0"/>
          <w:numId w:val="3"/>
        </w:numPr>
        <w:jc w:val="both"/>
        <w:rPr>
          <w:rFonts w:ascii="Times New Roman" w:hAnsi="Times New Roman"/>
          <w:b/>
          <w:bCs/>
          <w:noProof/>
          <w:sz w:val="24"/>
        </w:rPr>
      </w:pPr>
      <w:r w:rsidRPr="00E82C90">
        <w:rPr>
          <w:rFonts w:ascii="Times New Roman" w:hAnsi="Times New Roman"/>
          <w:b/>
          <w:bCs/>
          <w:noProof/>
          <w:sz w:val="24"/>
          <w:szCs w:val="24"/>
        </w:rPr>
        <w:t>promowanie globalnego, opartego na zasadach</w:t>
      </w:r>
      <w:r w:rsidR="00E82C90" w:rsidRPr="00E82C90">
        <w:rPr>
          <w:rFonts w:ascii="Times New Roman" w:hAnsi="Times New Roman"/>
          <w:b/>
          <w:bCs/>
          <w:noProof/>
          <w:sz w:val="24"/>
          <w:szCs w:val="24"/>
        </w:rPr>
        <w:t xml:space="preserve"> i prz</w:t>
      </w:r>
      <w:r w:rsidRPr="00E82C90">
        <w:rPr>
          <w:rFonts w:ascii="Times New Roman" w:hAnsi="Times New Roman"/>
          <w:b/>
          <w:bCs/>
          <w:noProof/>
          <w:sz w:val="24"/>
          <w:szCs w:val="24"/>
        </w:rPr>
        <w:t>ejrzystego rynku wodo</w:t>
      </w:r>
      <w:r w:rsidR="00FE4786" w:rsidRPr="00E82C90">
        <w:rPr>
          <w:rFonts w:ascii="Times New Roman" w:hAnsi="Times New Roman"/>
          <w:b/>
          <w:bCs/>
          <w:noProof/>
          <w:sz w:val="24"/>
          <w:szCs w:val="24"/>
        </w:rPr>
        <w:t>ru</w:t>
      </w:r>
      <w:r w:rsidR="00E82C90" w:rsidRPr="00E82C90">
        <w:rPr>
          <w:rFonts w:ascii="Times New Roman" w:hAnsi="Times New Roman"/>
          <w:b/>
          <w:bCs/>
          <w:noProof/>
          <w:sz w:val="24"/>
          <w:szCs w:val="24"/>
        </w:rPr>
        <w:t xml:space="preserve"> w opa</w:t>
      </w:r>
      <w:r w:rsidR="00FE4786" w:rsidRPr="00E82C90">
        <w:rPr>
          <w:rFonts w:ascii="Times New Roman" w:hAnsi="Times New Roman"/>
          <w:b/>
          <w:bCs/>
          <w:noProof/>
          <w:sz w:val="24"/>
          <w:szCs w:val="24"/>
        </w:rPr>
        <w:t>rciu</w:t>
      </w:r>
      <w:r w:rsidR="00E82C90" w:rsidRPr="00E82C90">
        <w:rPr>
          <w:rFonts w:ascii="Times New Roman" w:hAnsi="Times New Roman"/>
          <w:b/>
          <w:bCs/>
          <w:noProof/>
          <w:sz w:val="24"/>
          <w:szCs w:val="24"/>
        </w:rPr>
        <w:t xml:space="preserve"> o doś</w:t>
      </w:r>
      <w:r w:rsidR="00FE4786" w:rsidRPr="00E82C90">
        <w:rPr>
          <w:rFonts w:ascii="Times New Roman" w:hAnsi="Times New Roman"/>
          <w:b/>
          <w:bCs/>
          <w:noProof/>
          <w:sz w:val="24"/>
          <w:szCs w:val="24"/>
        </w:rPr>
        <w:t>wiadczenia UE</w:t>
      </w:r>
    </w:p>
    <w:p w14:paraId="01504AB4" w14:textId="2F73AAAC" w:rsidR="009A1F0B" w:rsidRPr="00E82C90" w:rsidRDefault="00AB4758" w:rsidP="00AA5D14">
      <w:pPr>
        <w:pStyle w:val="ListParagraph"/>
        <w:numPr>
          <w:ilvl w:val="0"/>
          <w:numId w:val="3"/>
        </w:numPr>
        <w:jc w:val="both"/>
        <w:rPr>
          <w:rFonts w:ascii="Times New Roman" w:hAnsi="Times New Roman" w:cs="Times New Roman"/>
          <w:b/>
          <w:noProof/>
          <w:sz w:val="24"/>
          <w:szCs w:val="24"/>
        </w:rPr>
      </w:pPr>
      <w:bookmarkStart w:id="6" w:name="_Hlk103321705"/>
      <w:r w:rsidRPr="00E82C90">
        <w:rPr>
          <w:rFonts w:ascii="Times New Roman" w:hAnsi="Times New Roman"/>
          <w:b/>
          <w:noProof/>
          <w:sz w:val="24"/>
          <w:szCs w:val="24"/>
        </w:rPr>
        <w:t>wprowadzenie pierwszych centrów handlu wodorem odnawialnym</w:t>
      </w:r>
      <w:r w:rsidR="00E82C90" w:rsidRPr="00E82C90">
        <w:rPr>
          <w:rFonts w:ascii="Times New Roman" w:hAnsi="Times New Roman"/>
          <w:b/>
          <w:noProof/>
          <w:sz w:val="24"/>
          <w:szCs w:val="24"/>
        </w:rPr>
        <w:t xml:space="preserve"> w Eur</w:t>
      </w:r>
      <w:r w:rsidRPr="00E82C90">
        <w:rPr>
          <w:rFonts w:ascii="Times New Roman" w:hAnsi="Times New Roman"/>
          <w:b/>
          <w:noProof/>
          <w:sz w:val="24"/>
          <w:szCs w:val="24"/>
        </w:rPr>
        <w:t>opie</w:t>
      </w:r>
      <w:r w:rsidR="00E82C90" w:rsidRPr="00E82C90">
        <w:rPr>
          <w:rFonts w:ascii="Times New Roman" w:hAnsi="Times New Roman"/>
          <w:b/>
          <w:noProof/>
          <w:sz w:val="24"/>
          <w:szCs w:val="24"/>
        </w:rPr>
        <w:t xml:space="preserve"> i ust</w:t>
      </w:r>
      <w:r w:rsidRPr="00E82C90">
        <w:rPr>
          <w:rFonts w:ascii="Times New Roman" w:hAnsi="Times New Roman"/>
          <w:b/>
          <w:noProof/>
          <w:sz w:val="24"/>
          <w:szCs w:val="24"/>
        </w:rPr>
        <w:t xml:space="preserve">anowienie ich jako punktu odniesienia dla transakcji </w:t>
      </w:r>
      <w:r w:rsidR="00FE4786" w:rsidRPr="00E82C90">
        <w:rPr>
          <w:rFonts w:ascii="Times New Roman" w:hAnsi="Times New Roman"/>
          <w:b/>
          <w:noProof/>
          <w:sz w:val="24"/>
          <w:szCs w:val="24"/>
        </w:rPr>
        <w:t>wodorowych denominowanych w EUR</w:t>
      </w:r>
    </w:p>
    <w:bookmarkEnd w:id="6"/>
    <w:p w14:paraId="0C4BE0CB" w14:textId="2D45BF6A" w:rsidR="007F12DD" w:rsidRPr="00E82C90" w:rsidRDefault="00AB4758" w:rsidP="004600C1">
      <w:pPr>
        <w:pStyle w:val="ListParagraph"/>
        <w:numPr>
          <w:ilvl w:val="0"/>
          <w:numId w:val="3"/>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ustanowienie partnerstwa strategicznego</w:t>
      </w:r>
      <w:r w:rsidR="00E82C90" w:rsidRPr="00E82C90">
        <w:rPr>
          <w:rFonts w:ascii="Times New Roman" w:hAnsi="Times New Roman"/>
          <w:b/>
          <w:bCs/>
          <w:noProof/>
          <w:sz w:val="24"/>
          <w:szCs w:val="24"/>
        </w:rPr>
        <w:t xml:space="preserve"> z Ukr</w:t>
      </w:r>
      <w:r w:rsidRPr="00E82C90">
        <w:rPr>
          <w:rFonts w:ascii="Times New Roman" w:hAnsi="Times New Roman"/>
          <w:b/>
          <w:bCs/>
          <w:noProof/>
          <w:sz w:val="24"/>
          <w:szCs w:val="24"/>
        </w:rPr>
        <w:t>ainą</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w:t>
      </w:r>
      <w:r w:rsidR="00FE4786" w:rsidRPr="00E82C90">
        <w:rPr>
          <w:rFonts w:ascii="Times New Roman" w:hAnsi="Times New Roman"/>
          <w:b/>
          <w:bCs/>
          <w:noProof/>
          <w:sz w:val="24"/>
          <w:szCs w:val="24"/>
        </w:rPr>
        <w:t>e gazów odnawialnych</w:t>
      </w:r>
      <w:r w:rsidR="00E82C90" w:rsidRPr="00E82C90">
        <w:rPr>
          <w:rFonts w:ascii="Times New Roman" w:hAnsi="Times New Roman"/>
          <w:b/>
          <w:bCs/>
          <w:noProof/>
          <w:sz w:val="24"/>
          <w:szCs w:val="24"/>
        </w:rPr>
        <w:t xml:space="preserve"> w 2</w:t>
      </w:r>
      <w:r w:rsidR="00FE4786" w:rsidRPr="00E82C90">
        <w:rPr>
          <w:rFonts w:ascii="Times New Roman" w:hAnsi="Times New Roman"/>
          <w:b/>
          <w:bCs/>
          <w:noProof/>
          <w:sz w:val="24"/>
          <w:szCs w:val="24"/>
        </w:rPr>
        <w:t>022</w:t>
      </w:r>
      <w:r w:rsidR="00E82C90" w:rsidRPr="00E82C90">
        <w:rPr>
          <w:rFonts w:ascii="Times New Roman" w:hAnsi="Times New Roman"/>
          <w:b/>
          <w:bCs/>
          <w:noProof/>
          <w:sz w:val="24"/>
          <w:szCs w:val="24"/>
        </w:rPr>
        <w:t> </w:t>
      </w:r>
      <w:r w:rsidR="00FE4786" w:rsidRPr="00E82C90">
        <w:rPr>
          <w:rFonts w:ascii="Times New Roman" w:hAnsi="Times New Roman"/>
          <w:b/>
          <w:bCs/>
          <w:noProof/>
          <w:sz w:val="24"/>
          <w:szCs w:val="24"/>
        </w:rPr>
        <w:t>r.</w:t>
      </w:r>
    </w:p>
    <w:p w14:paraId="004E9DEE" w14:textId="2807E54B" w:rsidR="005F55E8" w:rsidRPr="00E82C90" w:rsidRDefault="00AB4758" w:rsidP="00AA5D14">
      <w:pPr>
        <w:pStyle w:val="ListParagraph"/>
        <w:numPr>
          <w:ilvl w:val="0"/>
          <w:numId w:val="3"/>
        </w:numPr>
        <w:jc w:val="both"/>
        <w:rPr>
          <w:rFonts w:ascii="Times New Roman" w:hAnsi="Times New Roman" w:cs="Times New Roman"/>
          <w:b/>
          <w:bCs/>
          <w:noProof/>
          <w:sz w:val="24"/>
          <w:szCs w:val="24"/>
        </w:rPr>
      </w:pPr>
      <w:r w:rsidRPr="00E82C90">
        <w:rPr>
          <w:rFonts w:ascii="Times New Roman" w:hAnsi="Times New Roman"/>
          <w:b/>
          <w:bCs/>
          <w:noProof/>
          <w:sz w:val="24"/>
          <w:szCs w:val="24"/>
        </w:rPr>
        <w:t>opracowanie globalnego euro</w:t>
      </w:r>
      <w:r w:rsidR="00FE4786" w:rsidRPr="00E82C90">
        <w:rPr>
          <w:rFonts w:ascii="Times New Roman" w:hAnsi="Times New Roman"/>
          <w:b/>
          <w:bCs/>
          <w:noProof/>
          <w:sz w:val="24"/>
          <w:szCs w:val="24"/>
        </w:rPr>
        <w:t>pejskiego mechanizmu wodorowego</w:t>
      </w:r>
    </w:p>
    <w:p w14:paraId="630D7253" w14:textId="6151AA24" w:rsidR="00417C5C" w:rsidRPr="00E82C90" w:rsidRDefault="00F15352" w:rsidP="00C33F66">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Zmniejszenie uzależnienia od importu rosyjskich surowców energetycznych innych niż gaz</w:t>
      </w:r>
    </w:p>
    <w:p w14:paraId="15E7CEB4" w14:textId="1AFD5209" w:rsidR="00143816" w:rsidRPr="00E82C90" w:rsidRDefault="00B6177F" w:rsidP="00287AE4">
      <w:pPr>
        <w:spacing w:after="240"/>
        <w:jc w:val="both"/>
        <w:rPr>
          <w:rFonts w:ascii="Times New Roman" w:hAnsi="Times New Roman" w:cs="Times New Roman"/>
          <w:noProof/>
          <w:sz w:val="24"/>
          <w:szCs w:val="24"/>
        </w:rPr>
      </w:pPr>
      <w:r w:rsidRPr="00E82C90">
        <w:rPr>
          <w:rFonts w:ascii="Times New Roman" w:hAnsi="Times New Roman"/>
          <w:noProof/>
          <w:sz w:val="24"/>
          <w:szCs w:val="24"/>
        </w:rPr>
        <w:t>Rosja, dostarczająca dziennie 8 mln baryłek, jest największym eksporterem ropy naftowej na świecie. Jej inwazja na Ukrainę spowodowała zamieszanie</w:t>
      </w:r>
      <w:r w:rsidR="00E82C90" w:rsidRPr="00E82C90">
        <w:rPr>
          <w:rFonts w:ascii="Times New Roman" w:hAnsi="Times New Roman"/>
          <w:noProof/>
          <w:sz w:val="24"/>
          <w:szCs w:val="24"/>
        </w:rPr>
        <w:t xml:space="preserve"> i nie</w:t>
      </w:r>
      <w:r w:rsidRPr="00E82C90">
        <w:rPr>
          <w:rFonts w:ascii="Times New Roman" w:hAnsi="Times New Roman"/>
          <w:noProof/>
          <w:sz w:val="24"/>
          <w:szCs w:val="24"/>
        </w:rPr>
        <w:t xml:space="preserve">pewność na światowym rynku ropy naftowej, której ceny niekiedy zbliżają się do rekordowego poziomu 150 USD za baryłkę. </w:t>
      </w:r>
    </w:p>
    <w:p w14:paraId="67300E0C" w14:textId="794A50E8" w:rsidR="007C35F7" w:rsidRPr="00E82C90" w:rsidRDefault="00B6177F" w:rsidP="00B6177F">
      <w:pPr>
        <w:spacing w:after="240"/>
        <w:jc w:val="both"/>
        <w:rPr>
          <w:rFonts w:ascii="Times New Roman" w:hAnsi="Times New Roman" w:cs="Times New Roman"/>
          <w:noProof/>
          <w:sz w:val="24"/>
          <w:szCs w:val="24"/>
        </w:rPr>
      </w:pPr>
      <w:r w:rsidRPr="00E82C90">
        <w:rPr>
          <w:rFonts w:ascii="Times New Roman" w:hAnsi="Times New Roman"/>
          <w:noProof/>
          <w:sz w:val="24"/>
          <w:szCs w:val="24"/>
        </w:rPr>
        <w:t>W wyniku inwazji Rosji na Ukrainę niestabilność</w:t>
      </w:r>
      <w:r w:rsidR="00E82C90" w:rsidRPr="00E82C90">
        <w:rPr>
          <w:rFonts w:ascii="Times New Roman" w:hAnsi="Times New Roman"/>
          <w:noProof/>
          <w:sz w:val="24"/>
          <w:szCs w:val="24"/>
        </w:rPr>
        <w:t xml:space="preserve"> i nap</w:t>
      </w:r>
      <w:r w:rsidRPr="00E82C90">
        <w:rPr>
          <w:rFonts w:ascii="Times New Roman" w:hAnsi="Times New Roman"/>
          <w:noProof/>
          <w:sz w:val="24"/>
          <w:szCs w:val="24"/>
        </w:rPr>
        <w:t>ięta sytuacja na rynku będzie się prawdopodobnie utrzymywać, co będzie miało wpływ nie tylko na UE, ale na wszystkich konsumentów ropy naftowej na świecie, zwłaszcza tych znajdujących się</w:t>
      </w:r>
      <w:r w:rsidR="00E82C90" w:rsidRPr="00E82C90">
        <w:rPr>
          <w:rFonts w:ascii="Times New Roman" w:hAnsi="Times New Roman"/>
          <w:noProof/>
          <w:sz w:val="24"/>
          <w:szCs w:val="24"/>
        </w:rPr>
        <w:t xml:space="preserve"> w naj</w:t>
      </w:r>
      <w:r w:rsidRPr="00E82C90">
        <w:rPr>
          <w:rFonts w:ascii="Times New Roman" w:hAnsi="Times New Roman"/>
          <w:noProof/>
          <w:sz w:val="24"/>
          <w:szCs w:val="24"/>
        </w:rPr>
        <w:t xml:space="preserve">trudniejszej sytuacji. </w:t>
      </w:r>
      <w:r w:rsidRPr="00E82C90">
        <w:rPr>
          <w:rFonts w:ascii="Times New Roman" w:hAnsi="Times New Roman"/>
          <w:b/>
          <w:bCs/>
          <w:noProof/>
          <w:sz w:val="24"/>
          <w:szCs w:val="24"/>
        </w:rPr>
        <w:t>UE współpracuje ze swoimi partnerami międzynarodowymi, aby zapewnić wystarczające dostawy ropy naftowej na całym świecie i po przystępnych cenach.</w:t>
      </w:r>
      <w:r w:rsidRPr="00E82C90">
        <w:rPr>
          <w:rFonts w:ascii="Times New Roman" w:hAnsi="Times New Roman"/>
          <w:noProof/>
          <w:sz w:val="24"/>
          <w:szCs w:val="24"/>
        </w:rPr>
        <w:t xml:space="preserve"> Wraz</w:t>
      </w:r>
      <w:r w:rsidR="00E82C90" w:rsidRPr="00E82C90">
        <w:rPr>
          <w:rFonts w:ascii="Times New Roman" w:hAnsi="Times New Roman"/>
          <w:noProof/>
          <w:sz w:val="24"/>
          <w:szCs w:val="24"/>
        </w:rPr>
        <w:t xml:space="preserve"> z min</w:t>
      </w:r>
      <w:r w:rsidRPr="00E82C90">
        <w:rPr>
          <w:rFonts w:ascii="Times New Roman" w:hAnsi="Times New Roman"/>
          <w:noProof/>
          <w:sz w:val="24"/>
          <w:szCs w:val="24"/>
        </w:rPr>
        <w:t>istrami ds. energii państw grupy G-7 UE apeluje do krajów produkujących ropę, by rozważyły możliwość zwiększenia dostaw na rynek światowy</w:t>
      </w:r>
      <w:r w:rsidR="00E82C90" w:rsidRPr="00E82C90">
        <w:rPr>
          <w:rFonts w:ascii="Times New Roman" w:hAnsi="Times New Roman"/>
          <w:noProof/>
          <w:sz w:val="24"/>
          <w:szCs w:val="24"/>
        </w:rPr>
        <w:t xml:space="preserve"> z </w:t>
      </w:r>
      <w:r w:rsidR="00E82C90" w:rsidRPr="00E82C90">
        <w:rPr>
          <w:rFonts w:ascii="Times New Roman" w:hAnsi="Times New Roman"/>
          <w:noProof/>
          <w:sz w:val="24"/>
        </w:rPr>
        <w:t>peł</w:t>
      </w:r>
      <w:r w:rsidRPr="00E82C90">
        <w:rPr>
          <w:rFonts w:ascii="Times New Roman" w:hAnsi="Times New Roman"/>
          <w:noProof/>
          <w:sz w:val="24"/>
        </w:rPr>
        <w:t>nym</w:t>
      </w:r>
      <w:r w:rsidRPr="00E82C90">
        <w:rPr>
          <w:rFonts w:ascii="Times New Roman" w:hAnsi="Times New Roman"/>
          <w:noProof/>
          <w:sz w:val="24"/>
          <w:szCs w:val="24"/>
        </w:rPr>
        <w:t xml:space="preserve"> wykorzystaniem dostępnych wolnych mocy produkcyjnych. </w:t>
      </w:r>
    </w:p>
    <w:p w14:paraId="2E761FE3" w14:textId="009C5050" w:rsidR="00D13904" w:rsidRPr="00E82C90" w:rsidRDefault="00FF76D5" w:rsidP="00FF76D5">
      <w:pPr>
        <w:spacing w:before="100" w:beforeAutospacing="1" w:after="100" w:afterAutospacing="1"/>
        <w:jc w:val="both"/>
        <w:rPr>
          <w:noProof/>
        </w:rPr>
      </w:pPr>
      <w:r w:rsidRPr="00E82C90">
        <w:rPr>
          <w:rFonts w:ascii="Times New Roman" w:hAnsi="Times New Roman"/>
          <w:noProof/>
          <w:sz w:val="24"/>
          <w:szCs w:val="24"/>
        </w:rPr>
        <w:t xml:space="preserve">W tym kontekście </w:t>
      </w:r>
      <w:r w:rsidRPr="00E82C90">
        <w:rPr>
          <w:rFonts w:ascii="Times New Roman" w:hAnsi="Times New Roman"/>
          <w:noProof/>
          <w:sz w:val="24"/>
        </w:rPr>
        <w:t>pełna</w:t>
      </w:r>
      <w:r w:rsidR="00E82C90" w:rsidRPr="00E82C90">
        <w:rPr>
          <w:rFonts w:ascii="Times New Roman" w:hAnsi="Times New Roman"/>
          <w:noProof/>
          <w:sz w:val="24"/>
          <w:szCs w:val="24"/>
        </w:rPr>
        <w:t xml:space="preserve"> i sku</w:t>
      </w:r>
      <w:r w:rsidRPr="00E82C90">
        <w:rPr>
          <w:rFonts w:ascii="Times New Roman" w:hAnsi="Times New Roman"/>
          <w:noProof/>
          <w:sz w:val="24"/>
          <w:szCs w:val="24"/>
        </w:rPr>
        <w:t>teczna realizacja Wspólnego kompleksowego planu działania</w:t>
      </w:r>
      <w:r w:rsidRPr="00E82C90">
        <w:rPr>
          <w:rFonts w:ascii="Arial" w:hAnsi="Arial"/>
          <w:noProof/>
          <w:color w:val="4D5156"/>
          <w:sz w:val="21"/>
          <w:szCs w:val="21"/>
          <w:shd w:val="clear" w:color="auto" w:fill="FFFFFF"/>
        </w:rPr>
        <w:t xml:space="preserve"> </w:t>
      </w:r>
      <w:r w:rsidRPr="00E82C90">
        <w:rPr>
          <w:rFonts w:ascii="Times New Roman" w:hAnsi="Times New Roman"/>
          <w:noProof/>
          <w:sz w:val="24"/>
          <w:szCs w:val="24"/>
        </w:rPr>
        <w:t>ułatwiłaby wprowadzanie na rynek dostępnych dostaw irańskiej ropy naftowej, co zmniejszyłoby presję po stronie podaży</w:t>
      </w:r>
      <w:r w:rsidR="00E82C90" w:rsidRPr="00E82C90">
        <w:rPr>
          <w:rFonts w:ascii="Times New Roman" w:hAnsi="Times New Roman"/>
          <w:noProof/>
          <w:sz w:val="24"/>
          <w:szCs w:val="24"/>
        </w:rPr>
        <w:t xml:space="preserve"> i zmi</w:t>
      </w:r>
      <w:r w:rsidRPr="00E82C90">
        <w:rPr>
          <w:rFonts w:ascii="Times New Roman" w:hAnsi="Times New Roman"/>
          <w:noProof/>
          <w:sz w:val="24"/>
          <w:szCs w:val="24"/>
        </w:rPr>
        <w:t>enność cen</w:t>
      </w:r>
      <w:r w:rsidR="00E82C90" w:rsidRPr="00E82C90">
        <w:rPr>
          <w:rFonts w:ascii="Times New Roman" w:hAnsi="Times New Roman"/>
          <w:noProof/>
          <w:sz w:val="24"/>
          <w:szCs w:val="24"/>
        </w:rPr>
        <w:t>.</w:t>
      </w:r>
      <w:r w:rsidR="00E82C90" w:rsidRPr="00E82C90">
        <w:rPr>
          <w:noProof/>
        </w:rPr>
        <w:t xml:space="preserve"> </w:t>
      </w:r>
      <w:r w:rsidR="00E82C90" w:rsidRPr="00E82C90">
        <w:rPr>
          <w:rFonts w:ascii="Times New Roman" w:hAnsi="Times New Roman"/>
          <w:noProof/>
          <w:sz w:val="24"/>
          <w:szCs w:val="24"/>
        </w:rPr>
        <w:t>W kom</w:t>
      </w:r>
      <w:r w:rsidRPr="00E82C90">
        <w:rPr>
          <w:rFonts w:ascii="Times New Roman" w:hAnsi="Times New Roman"/>
          <w:noProof/>
          <w:sz w:val="24"/>
          <w:szCs w:val="24"/>
        </w:rPr>
        <w:t>unikacie</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strategicznego partnerstwa</w:t>
      </w:r>
      <w:r w:rsidR="00E82C90" w:rsidRPr="00E82C90">
        <w:rPr>
          <w:rFonts w:ascii="Times New Roman" w:hAnsi="Times New Roman"/>
          <w:noProof/>
          <w:sz w:val="24"/>
          <w:szCs w:val="24"/>
        </w:rPr>
        <w:t xml:space="preserve"> z Zat</w:t>
      </w:r>
      <w:r w:rsidRPr="00E82C90">
        <w:rPr>
          <w:rFonts w:ascii="Times New Roman" w:hAnsi="Times New Roman"/>
          <w:noProof/>
          <w:sz w:val="24"/>
          <w:szCs w:val="24"/>
        </w:rPr>
        <w:t>oką Perską, opublikowanym równolegle</w:t>
      </w:r>
      <w:r w:rsidR="00E82C90" w:rsidRPr="00E82C90">
        <w:rPr>
          <w:rFonts w:ascii="Times New Roman" w:hAnsi="Times New Roman"/>
          <w:noProof/>
          <w:sz w:val="24"/>
          <w:szCs w:val="24"/>
        </w:rPr>
        <w:t xml:space="preserve"> z nin</w:t>
      </w:r>
      <w:r w:rsidRPr="00E82C90">
        <w:rPr>
          <w:rFonts w:ascii="Times New Roman" w:hAnsi="Times New Roman"/>
          <w:noProof/>
          <w:sz w:val="24"/>
          <w:szCs w:val="24"/>
        </w:rPr>
        <w:t>iejszą strategią, określono podejście UE do wzmocnienia stosunków</w:t>
      </w:r>
      <w:r w:rsidR="00E82C90" w:rsidRPr="00E82C90">
        <w:rPr>
          <w:rFonts w:ascii="Times New Roman" w:hAnsi="Times New Roman"/>
          <w:noProof/>
          <w:sz w:val="24"/>
          <w:szCs w:val="24"/>
        </w:rPr>
        <w:t xml:space="preserve"> z bog</w:t>
      </w:r>
      <w:r w:rsidRPr="00E82C90">
        <w:rPr>
          <w:rFonts w:ascii="Times New Roman" w:hAnsi="Times New Roman"/>
          <w:noProof/>
          <w:sz w:val="24"/>
          <w:szCs w:val="24"/>
        </w:rPr>
        <w:t>atymi</w:t>
      </w:r>
      <w:r w:rsidR="00E82C90" w:rsidRPr="00E82C90">
        <w:rPr>
          <w:rFonts w:ascii="Times New Roman" w:hAnsi="Times New Roman"/>
          <w:noProof/>
          <w:sz w:val="24"/>
          <w:szCs w:val="24"/>
        </w:rPr>
        <w:t xml:space="preserve"> w zas</w:t>
      </w:r>
      <w:r w:rsidRPr="00E82C90">
        <w:rPr>
          <w:rFonts w:ascii="Times New Roman" w:hAnsi="Times New Roman"/>
          <w:noProof/>
          <w:sz w:val="24"/>
          <w:szCs w:val="24"/>
        </w:rPr>
        <w:t>oby ropy naftowej krajami Rady Współpracy Państw Zatoki.</w:t>
      </w:r>
    </w:p>
    <w:p w14:paraId="3997D048" w14:textId="5079C8A1" w:rsidR="004F5A0B" w:rsidRPr="00E82C90" w:rsidRDefault="007C35F7" w:rsidP="00B6177F">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Jednocześnie członkowie MAE jednogłośnie zgodzili się na wykorzystanie </w:t>
      </w:r>
      <w:r w:rsidRPr="00E82C90">
        <w:rPr>
          <w:rFonts w:ascii="Times New Roman" w:hAnsi="Times New Roman"/>
          <w:b/>
          <w:bCs/>
          <w:noProof/>
          <w:sz w:val="24"/>
          <w:szCs w:val="24"/>
        </w:rPr>
        <w:t>zapasów interwencyjnych</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uwolnienia 120 mln baryłek, co stanowi największe uwolnienie zapasów</w:t>
      </w:r>
      <w:r w:rsidR="00E82C90" w:rsidRPr="00E82C90">
        <w:rPr>
          <w:rFonts w:ascii="Times New Roman" w:hAnsi="Times New Roman"/>
          <w:noProof/>
          <w:sz w:val="24"/>
          <w:szCs w:val="24"/>
        </w:rPr>
        <w:t xml:space="preserve"> w his</w:t>
      </w:r>
      <w:r w:rsidRPr="00E82C90">
        <w:rPr>
          <w:rFonts w:ascii="Times New Roman" w:hAnsi="Times New Roman"/>
          <w:noProof/>
          <w:sz w:val="24"/>
          <w:szCs w:val="24"/>
        </w:rPr>
        <w:t>torii MAE. Pokazało to, jak ważne są zapasy interwencyjne jako amortyzator wstrząsów. Chociaż decyzje</w:t>
      </w:r>
      <w:r w:rsidR="00E82C90" w:rsidRPr="00E82C90">
        <w:rPr>
          <w:rFonts w:ascii="Times New Roman" w:hAnsi="Times New Roman"/>
          <w:noProof/>
          <w:sz w:val="24"/>
          <w:szCs w:val="24"/>
        </w:rPr>
        <w:t xml:space="preserve"> o uwo</w:t>
      </w:r>
      <w:r w:rsidRPr="00E82C90">
        <w:rPr>
          <w:rFonts w:ascii="Times New Roman" w:hAnsi="Times New Roman"/>
          <w:noProof/>
          <w:sz w:val="24"/>
          <w:szCs w:val="24"/>
        </w:rPr>
        <w:t xml:space="preserve">lnieniu zapasów należą do kompetencji państw członkowskich, doświadczenia związane ze wspólnym procesem MAE wskazują na przydatność roli koordynacyjnej UE, gdyby konieczne było dodatkowe uwolnienie zapasów. </w:t>
      </w:r>
    </w:p>
    <w:p w14:paraId="101E1F8B" w14:textId="26784D28" w:rsidR="00CD794A" w:rsidRPr="00E82C90" w:rsidRDefault="004B41FD" w:rsidP="002815EA">
      <w:pPr>
        <w:pStyle w:val="paragraph"/>
        <w:spacing w:before="0" w:beforeAutospacing="0" w:after="0" w:afterAutospacing="0" w:line="276" w:lineRule="auto"/>
        <w:jc w:val="both"/>
        <w:textAlignment w:val="baseline"/>
        <w:rPr>
          <w:rFonts w:eastAsiaTheme="minorHAnsi"/>
          <w:noProof/>
        </w:rPr>
      </w:pPr>
      <w:r w:rsidRPr="00E82C90">
        <w:rPr>
          <w:noProof/>
        </w:rPr>
        <w:t>W kwietniu 2022</w:t>
      </w:r>
      <w:r w:rsidR="00E82C90" w:rsidRPr="00E82C90">
        <w:rPr>
          <w:noProof/>
        </w:rPr>
        <w:t> </w:t>
      </w:r>
      <w:r w:rsidRPr="00E82C90">
        <w:rPr>
          <w:noProof/>
        </w:rPr>
        <w:t>r. UE podjęła decyzję</w:t>
      </w:r>
      <w:r w:rsidR="00E82C90" w:rsidRPr="00E82C90">
        <w:rPr>
          <w:noProof/>
        </w:rPr>
        <w:t xml:space="preserve"> o wst</w:t>
      </w:r>
      <w:r w:rsidRPr="00E82C90">
        <w:rPr>
          <w:noProof/>
        </w:rPr>
        <w:t>rzymaniu wszelkiego importu węgla</w:t>
      </w:r>
      <w:r w:rsidR="00E82C90" w:rsidRPr="00E82C90">
        <w:rPr>
          <w:noProof/>
        </w:rPr>
        <w:t xml:space="preserve"> z Ros</w:t>
      </w:r>
      <w:r w:rsidRPr="00E82C90">
        <w:rPr>
          <w:noProof/>
        </w:rPr>
        <w:t>ji</w:t>
      </w:r>
      <w:r w:rsidR="00E82C90" w:rsidRPr="00E82C90">
        <w:rPr>
          <w:noProof/>
        </w:rPr>
        <w:t xml:space="preserve"> w ram</w:t>
      </w:r>
      <w:r w:rsidRPr="00E82C90">
        <w:rPr>
          <w:noProof/>
        </w:rPr>
        <w:t>ach piątego pakietu sankcji. Aby poradzić sobie</w:t>
      </w:r>
      <w:r w:rsidR="00E82C90" w:rsidRPr="00E82C90">
        <w:rPr>
          <w:noProof/>
        </w:rPr>
        <w:t xml:space="preserve"> z kry</w:t>
      </w:r>
      <w:r w:rsidRPr="00E82C90">
        <w:rPr>
          <w:noProof/>
        </w:rPr>
        <w:t>zysem</w:t>
      </w:r>
      <w:r w:rsidR="00E82C90" w:rsidRPr="00E82C90">
        <w:rPr>
          <w:noProof/>
        </w:rPr>
        <w:t xml:space="preserve"> w per</w:t>
      </w:r>
      <w:r w:rsidRPr="00E82C90">
        <w:rPr>
          <w:noProof/>
        </w:rPr>
        <w:t>spektywie krótkoterminowej, oznacza to zastąpienie 44–56 mln ton węgla rocznie</w:t>
      </w:r>
      <w:r w:rsidR="00E82C90" w:rsidRPr="00E82C90">
        <w:rPr>
          <w:noProof/>
        </w:rPr>
        <w:t xml:space="preserve"> w duż</w:t>
      </w:r>
      <w:r w:rsidRPr="00E82C90">
        <w:rPr>
          <w:noProof/>
        </w:rPr>
        <w:t>ej mierze importem</w:t>
      </w:r>
      <w:r w:rsidR="00E82C90" w:rsidRPr="00E82C90">
        <w:rPr>
          <w:noProof/>
        </w:rPr>
        <w:t>. W dłu</w:t>
      </w:r>
      <w:r w:rsidRPr="00E82C90">
        <w:rPr>
          <w:noProof/>
        </w:rPr>
        <w:t>ższej perspektywie węgiel zostanie wycofany w UE,</w:t>
      </w:r>
      <w:r w:rsidR="00E82C90" w:rsidRPr="00E82C90">
        <w:rPr>
          <w:noProof/>
        </w:rPr>
        <w:t xml:space="preserve"> w wię</w:t>
      </w:r>
      <w:r w:rsidRPr="00E82C90">
        <w:rPr>
          <w:noProof/>
        </w:rPr>
        <w:t>kszości państw do</w:t>
      </w:r>
      <w:r w:rsidR="00E82C90" w:rsidRPr="00E82C90">
        <w:rPr>
          <w:noProof/>
        </w:rPr>
        <w:t> </w:t>
      </w:r>
      <w:r w:rsidRPr="00E82C90">
        <w:rPr>
          <w:noProof/>
        </w:rPr>
        <w:t>2030</w:t>
      </w:r>
      <w:r w:rsidR="00E82C90" w:rsidRPr="00E82C90">
        <w:rPr>
          <w:noProof/>
        </w:rPr>
        <w:t> </w:t>
      </w:r>
      <w:r w:rsidRPr="00E82C90">
        <w:rPr>
          <w:noProof/>
        </w:rPr>
        <w:t xml:space="preserve">r. Po wprowadzeniu </w:t>
      </w:r>
      <w:r w:rsidRPr="00E82C90">
        <w:rPr>
          <w:b/>
          <w:bCs/>
          <w:noProof/>
        </w:rPr>
        <w:t>unijnego embarga na rosyjski węgiel</w:t>
      </w:r>
      <w:r w:rsidRPr="00E82C90">
        <w:rPr>
          <w:noProof/>
        </w:rPr>
        <w:t xml:space="preserve"> ceny w UE wzrosły</w:t>
      </w:r>
      <w:r w:rsidR="00E82C90" w:rsidRPr="00E82C90">
        <w:rPr>
          <w:noProof/>
        </w:rPr>
        <w:t xml:space="preserve"> o oko</w:t>
      </w:r>
      <w:r w:rsidRPr="00E82C90">
        <w:rPr>
          <w:noProof/>
        </w:rPr>
        <w:t>ło 15</w:t>
      </w:r>
      <w:r w:rsidR="00E82C90" w:rsidRPr="00E82C90">
        <w:rPr>
          <w:noProof/>
        </w:rPr>
        <w:t> </w:t>
      </w:r>
      <w:r w:rsidRPr="00E82C90">
        <w:rPr>
          <w:noProof/>
        </w:rPr>
        <w:t>% – do</w:t>
      </w:r>
      <w:r w:rsidR="00E82C90" w:rsidRPr="00E82C90">
        <w:rPr>
          <w:noProof/>
        </w:rPr>
        <w:t> </w:t>
      </w:r>
      <w:r w:rsidRPr="00E82C90">
        <w:rPr>
          <w:noProof/>
        </w:rPr>
        <w:t>325 EUR za tonę – ale nie przewiduje się poważnych problemów</w:t>
      </w:r>
      <w:r w:rsidR="00E82C90" w:rsidRPr="00E82C90">
        <w:rPr>
          <w:noProof/>
        </w:rPr>
        <w:t xml:space="preserve"> z dos</w:t>
      </w:r>
      <w:r w:rsidRPr="00E82C90">
        <w:rPr>
          <w:noProof/>
        </w:rPr>
        <w:t>tawami węgla, gdyż pod koniec kwietnia ceny powrócą do poziomu sprzed wprowadzenia embarga.</w:t>
      </w:r>
    </w:p>
    <w:p w14:paraId="6EACD29D" w14:textId="77777777" w:rsidR="0059403F" w:rsidRPr="00E82C90" w:rsidRDefault="0059403F" w:rsidP="002815EA">
      <w:pPr>
        <w:pStyle w:val="paragraph"/>
        <w:spacing w:before="0" w:beforeAutospacing="0" w:after="0" w:afterAutospacing="0" w:line="276" w:lineRule="auto"/>
        <w:jc w:val="both"/>
        <w:textAlignment w:val="baseline"/>
        <w:rPr>
          <w:rFonts w:eastAsiaTheme="minorHAnsi"/>
          <w:noProof/>
          <w:lang w:eastAsia="en-US"/>
        </w:rPr>
      </w:pPr>
    </w:p>
    <w:p w14:paraId="7718B6EF" w14:textId="3A52F614" w:rsidR="004F5A0B" w:rsidRPr="00E82C90" w:rsidRDefault="008968A4" w:rsidP="0059403F">
      <w:pPr>
        <w:pStyle w:val="paragraph"/>
        <w:spacing w:before="0" w:beforeAutospacing="0" w:after="0" w:afterAutospacing="0" w:line="276" w:lineRule="auto"/>
        <w:jc w:val="both"/>
        <w:textAlignment w:val="baseline"/>
        <w:rPr>
          <w:noProof/>
        </w:rPr>
      </w:pPr>
      <w:r w:rsidRPr="00E82C90">
        <w:rPr>
          <w:b/>
          <w:bCs/>
          <w:noProof/>
        </w:rPr>
        <w:t>Dywersyfikacja dostaw paliwa dla elektrowni jądrowych</w:t>
      </w:r>
      <w:r w:rsidRPr="00E82C90">
        <w:rPr>
          <w:noProof/>
        </w:rPr>
        <w:t xml:space="preserve"> jest ważnym aspektem prac, ponieważ niektóre państwa członkowskie UE są nadal</w:t>
      </w:r>
      <w:r w:rsidR="00E82C90" w:rsidRPr="00E82C90">
        <w:rPr>
          <w:noProof/>
        </w:rPr>
        <w:t xml:space="preserve"> w peł</w:t>
      </w:r>
      <w:r w:rsidRPr="00E82C90">
        <w:rPr>
          <w:noProof/>
        </w:rPr>
        <w:t>ni uzależnione od rosyjskiego paliwa jądrowego. UE będzie pomagać przedsiębiorstwom jądrowym</w:t>
      </w:r>
      <w:r w:rsidR="00E82C90" w:rsidRPr="00E82C90">
        <w:rPr>
          <w:noProof/>
        </w:rPr>
        <w:t xml:space="preserve"> w prz</w:t>
      </w:r>
      <w:r w:rsidRPr="00E82C90">
        <w:rPr>
          <w:noProof/>
        </w:rPr>
        <w:t>yspieszeniu procesu wydawania zezwoleń na paliwo alternatywne dla reaktorów typu VVER</w:t>
      </w:r>
      <w:r w:rsidR="00A61F35" w:rsidRPr="00E82C90">
        <w:rPr>
          <w:rStyle w:val="FootnoteReference"/>
          <w:noProof/>
        </w:rPr>
        <w:footnoteReference w:id="7"/>
      </w:r>
      <w:r w:rsidRPr="00E82C90">
        <w:rPr>
          <w:noProof/>
        </w:rPr>
        <w:t xml:space="preserve"> rosyjskiego projektu oraz współpracować</w:t>
      </w:r>
      <w:r w:rsidR="00E82C90" w:rsidRPr="00E82C90">
        <w:rPr>
          <w:noProof/>
        </w:rPr>
        <w:t xml:space="preserve"> z mię</w:t>
      </w:r>
      <w:r w:rsidRPr="00E82C90">
        <w:rPr>
          <w:noProof/>
        </w:rPr>
        <w:t>dzynarodowymi organizacjami jądrowymi, takimi jak Międzynarodowa Agencja Energii Atomowej (MAEA)</w:t>
      </w:r>
      <w:r w:rsidR="00E82C90" w:rsidRPr="00E82C90">
        <w:rPr>
          <w:noProof/>
        </w:rPr>
        <w:t xml:space="preserve"> i Age</w:t>
      </w:r>
      <w:r w:rsidRPr="00E82C90">
        <w:rPr>
          <w:noProof/>
        </w:rPr>
        <w:t>ncja Energii Jądrowej (NEA) przy Organizacji Współpracy Gospodarczej</w:t>
      </w:r>
      <w:r w:rsidR="00E82C90" w:rsidRPr="00E82C90">
        <w:rPr>
          <w:noProof/>
        </w:rPr>
        <w:t xml:space="preserve"> i Roz</w:t>
      </w:r>
      <w:r w:rsidRPr="00E82C90">
        <w:rPr>
          <w:noProof/>
        </w:rPr>
        <w:t>woju (OECD),</w:t>
      </w:r>
      <w:r w:rsidR="00E82C90" w:rsidRPr="00E82C90">
        <w:rPr>
          <w:noProof/>
        </w:rPr>
        <w:t xml:space="preserve"> w cel</w:t>
      </w:r>
      <w:r w:rsidRPr="00E82C90">
        <w:rPr>
          <w:noProof/>
        </w:rPr>
        <w:t>u rozwijania współpracy</w:t>
      </w:r>
      <w:r w:rsidR="00E82C90" w:rsidRPr="00E82C90">
        <w:rPr>
          <w:noProof/>
        </w:rPr>
        <w:t xml:space="preserve"> w dzi</w:t>
      </w:r>
      <w:r w:rsidRPr="00E82C90">
        <w:rPr>
          <w:noProof/>
        </w:rPr>
        <w:t>edzinie bezpieczeństwa dostaw. Prowadzone są już prace</w:t>
      </w:r>
      <w:r w:rsidR="00E82C90" w:rsidRPr="00E82C90">
        <w:rPr>
          <w:noProof/>
        </w:rPr>
        <w:t xml:space="preserve"> z tak</w:t>
      </w:r>
      <w:r w:rsidRPr="00E82C90">
        <w:rPr>
          <w:noProof/>
        </w:rPr>
        <w:t xml:space="preserve">imi partnerami jak Kanada. </w:t>
      </w:r>
    </w:p>
    <w:p w14:paraId="0D80416C" w14:textId="77777777" w:rsidR="00D13904" w:rsidRPr="00E82C90" w:rsidRDefault="00D13904" w:rsidP="0059403F">
      <w:pPr>
        <w:pStyle w:val="paragraph"/>
        <w:spacing w:before="0" w:beforeAutospacing="0" w:after="0" w:afterAutospacing="0" w:line="276" w:lineRule="auto"/>
        <w:jc w:val="both"/>
        <w:textAlignment w:val="baseline"/>
        <w:rPr>
          <w:noProof/>
        </w:rPr>
      </w:pPr>
    </w:p>
    <w:p w14:paraId="0A2EF03B" w14:textId="34144041" w:rsidR="00B343AD" w:rsidRPr="00E82C90" w:rsidRDefault="00B343AD" w:rsidP="00143816">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 xml:space="preserve">Kluczowe działania: </w:t>
      </w:r>
    </w:p>
    <w:p w14:paraId="45C2AF38" w14:textId="422D1347" w:rsidR="00417C5C" w:rsidRPr="00E82C90" w:rsidRDefault="00AB4758" w:rsidP="00AA5D14">
      <w:pPr>
        <w:pStyle w:val="ListParagraph"/>
        <w:numPr>
          <w:ilvl w:val="0"/>
          <w:numId w:val="5"/>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współpraca</w:t>
      </w:r>
      <w:r w:rsidR="00E82C90" w:rsidRPr="00E82C90">
        <w:rPr>
          <w:rFonts w:ascii="Times New Roman" w:hAnsi="Times New Roman"/>
          <w:b/>
          <w:bCs/>
          <w:noProof/>
          <w:sz w:val="24"/>
          <w:szCs w:val="24"/>
        </w:rPr>
        <w:t xml:space="preserve"> z gru</w:t>
      </w:r>
      <w:r w:rsidRPr="00E82C90">
        <w:rPr>
          <w:rFonts w:ascii="Times New Roman" w:hAnsi="Times New Roman"/>
          <w:b/>
          <w:bCs/>
          <w:noProof/>
          <w:sz w:val="24"/>
          <w:szCs w:val="24"/>
        </w:rPr>
        <w:t>pami G-7, G-20</w:t>
      </w:r>
      <w:r w:rsidR="00E82C90" w:rsidRPr="00E82C90">
        <w:rPr>
          <w:rFonts w:ascii="Times New Roman" w:hAnsi="Times New Roman"/>
          <w:b/>
          <w:bCs/>
          <w:noProof/>
          <w:sz w:val="24"/>
          <w:szCs w:val="24"/>
        </w:rPr>
        <w:t xml:space="preserve"> i inn</w:t>
      </w:r>
      <w:r w:rsidRPr="00E82C90">
        <w:rPr>
          <w:rFonts w:ascii="Times New Roman" w:hAnsi="Times New Roman"/>
          <w:b/>
          <w:bCs/>
          <w:noProof/>
          <w:sz w:val="24"/>
          <w:szCs w:val="24"/>
        </w:rPr>
        <w:t>ymi forami międzynarodowymi,</w:t>
      </w:r>
      <w:r w:rsidR="00E82C90" w:rsidRPr="00E82C90">
        <w:rPr>
          <w:rFonts w:ascii="Times New Roman" w:hAnsi="Times New Roman"/>
          <w:b/>
          <w:bCs/>
          <w:noProof/>
          <w:sz w:val="24"/>
          <w:szCs w:val="24"/>
        </w:rPr>
        <w:t xml:space="preserve"> a tak</w:t>
      </w:r>
      <w:r w:rsidRPr="00E82C90">
        <w:rPr>
          <w:rFonts w:ascii="Times New Roman" w:hAnsi="Times New Roman"/>
          <w:b/>
          <w:bCs/>
          <w:noProof/>
          <w:sz w:val="24"/>
          <w:szCs w:val="24"/>
        </w:rPr>
        <w:t>że współpraca dwustronna</w:t>
      </w:r>
      <w:r w:rsidR="00E82C90" w:rsidRPr="00E82C90">
        <w:rPr>
          <w:rFonts w:ascii="Times New Roman" w:hAnsi="Times New Roman"/>
          <w:b/>
          <w:bCs/>
          <w:noProof/>
          <w:sz w:val="24"/>
          <w:szCs w:val="24"/>
        </w:rPr>
        <w:t xml:space="preserve"> z odp</w:t>
      </w:r>
      <w:r w:rsidRPr="00E82C90">
        <w:rPr>
          <w:rFonts w:ascii="Times New Roman" w:hAnsi="Times New Roman"/>
          <w:b/>
          <w:bCs/>
          <w:noProof/>
          <w:sz w:val="24"/>
          <w:szCs w:val="24"/>
        </w:rPr>
        <w:t>owiednimi państwami</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zapewnienia dobrze zaopatrzonych</w:t>
      </w:r>
      <w:r w:rsidR="00E82C90" w:rsidRPr="00E82C90">
        <w:rPr>
          <w:rFonts w:ascii="Times New Roman" w:hAnsi="Times New Roman"/>
          <w:b/>
          <w:bCs/>
          <w:noProof/>
          <w:sz w:val="24"/>
          <w:szCs w:val="24"/>
        </w:rPr>
        <w:t xml:space="preserve"> i spr</w:t>
      </w:r>
      <w:r w:rsidRPr="00E82C90">
        <w:rPr>
          <w:rFonts w:ascii="Times New Roman" w:hAnsi="Times New Roman"/>
          <w:b/>
          <w:bCs/>
          <w:noProof/>
          <w:sz w:val="24"/>
          <w:szCs w:val="24"/>
        </w:rPr>
        <w:t>awnie funkc</w:t>
      </w:r>
      <w:r w:rsidR="00FE4786" w:rsidRPr="00E82C90">
        <w:rPr>
          <w:rFonts w:ascii="Times New Roman" w:hAnsi="Times New Roman"/>
          <w:b/>
          <w:bCs/>
          <w:noProof/>
          <w:sz w:val="24"/>
          <w:szCs w:val="24"/>
        </w:rPr>
        <w:t>jonujących rynków ropy naftowej</w:t>
      </w:r>
    </w:p>
    <w:p w14:paraId="58C8E27D" w14:textId="16BDC214" w:rsidR="00B32A7C" w:rsidRPr="00E82C90" w:rsidRDefault="00AB4758" w:rsidP="00EC39ED">
      <w:pPr>
        <w:pStyle w:val="ListParagraph"/>
        <w:numPr>
          <w:ilvl w:val="0"/>
          <w:numId w:val="5"/>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kontynuacja dialogu</w:t>
      </w:r>
      <w:r w:rsidR="00E82C90" w:rsidRPr="00E82C90">
        <w:rPr>
          <w:rFonts w:ascii="Times New Roman" w:hAnsi="Times New Roman"/>
          <w:b/>
          <w:bCs/>
          <w:noProof/>
          <w:sz w:val="24"/>
          <w:szCs w:val="24"/>
        </w:rPr>
        <w:t xml:space="preserve"> z Org</w:t>
      </w:r>
      <w:r w:rsidRPr="00E82C90">
        <w:rPr>
          <w:rFonts w:ascii="Times New Roman" w:hAnsi="Times New Roman"/>
          <w:b/>
          <w:bCs/>
          <w:noProof/>
          <w:sz w:val="24"/>
          <w:szCs w:val="24"/>
        </w:rPr>
        <w:t>anizacją Krajów Eksportujących Ropę Naftową (OPEC)</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zapewnienia stabilności</w:t>
      </w:r>
      <w:r w:rsidR="00E82C90" w:rsidRPr="00E82C90">
        <w:rPr>
          <w:rFonts w:ascii="Times New Roman" w:hAnsi="Times New Roman"/>
          <w:b/>
          <w:bCs/>
          <w:noProof/>
          <w:sz w:val="24"/>
          <w:szCs w:val="24"/>
        </w:rPr>
        <w:t xml:space="preserve"> i prz</w:t>
      </w:r>
      <w:r w:rsidRPr="00E82C90">
        <w:rPr>
          <w:rFonts w:ascii="Times New Roman" w:hAnsi="Times New Roman"/>
          <w:b/>
          <w:bCs/>
          <w:noProof/>
          <w:sz w:val="24"/>
          <w:szCs w:val="24"/>
        </w:rPr>
        <w:t>ystępności</w:t>
      </w:r>
      <w:r w:rsidR="00FE4786" w:rsidRPr="00E82C90">
        <w:rPr>
          <w:rFonts w:ascii="Times New Roman" w:hAnsi="Times New Roman"/>
          <w:b/>
          <w:bCs/>
          <w:noProof/>
          <w:sz w:val="24"/>
          <w:szCs w:val="24"/>
        </w:rPr>
        <w:t xml:space="preserve"> cenowej na rynku ropy naftowej</w:t>
      </w:r>
    </w:p>
    <w:p w14:paraId="2DA5CBE0" w14:textId="4124B32C" w:rsidR="00B343AD" w:rsidRPr="00E82C90" w:rsidRDefault="00AB4758" w:rsidP="00B343AD">
      <w:pPr>
        <w:pStyle w:val="ListParagraph"/>
        <w:numPr>
          <w:ilvl w:val="0"/>
          <w:numId w:val="5"/>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koordynacja reakcji UE na presję na rynkach ropy naftowej,</w:t>
      </w:r>
      <w:r w:rsidR="00E82C90" w:rsidRPr="00E82C90">
        <w:rPr>
          <w:rFonts w:ascii="Times New Roman" w:hAnsi="Times New Roman"/>
          <w:b/>
          <w:bCs/>
          <w:noProof/>
          <w:sz w:val="24"/>
          <w:szCs w:val="24"/>
        </w:rPr>
        <w:t xml:space="preserve"> w tym</w:t>
      </w:r>
      <w:r w:rsidRPr="00E82C90">
        <w:rPr>
          <w:rFonts w:ascii="Times New Roman" w:hAnsi="Times New Roman"/>
          <w:b/>
          <w:bCs/>
          <w:noProof/>
          <w:sz w:val="24"/>
          <w:szCs w:val="24"/>
        </w:rPr>
        <w:t xml:space="preserve"> ewentualne uwolnienie zapasów naftowych</w:t>
      </w:r>
      <w:r w:rsidR="00E82C90" w:rsidRPr="00E82C90">
        <w:rPr>
          <w:rFonts w:ascii="Times New Roman" w:hAnsi="Times New Roman"/>
          <w:b/>
          <w:bCs/>
          <w:noProof/>
          <w:sz w:val="24"/>
          <w:szCs w:val="24"/>
        </w:rPr>
        <w:t xml:space="preserve"> w ram</w:t>
      </w:r>
      <w:r w:rsidRPr="00E82C90">
        <w:rPr>
          <w:rFonts w:ascii="Times New Roman" w:hAnsi="Times New Roman"/>
          <w:b/>
          <w:bCs/>
          <w:noProof/>
          <w:sz w:val="24"/>
          <w:szCs w:val="24"/>
        </w:rPr>
        <w:t>ach wspólnych działań MAE lub reakcji UE na zakł</w:t>
      </w:r>
      <w:r w:rsidR="00FE4786" w:rsidRPr="00E82C90">
        <w:rPr>
          <w:rFonts w:ascii="Times New Roman" w:hAnsi="Times New Roman"/>
          <w:b/>
          <w:bCs/>
          <w:noProof/>
          <w:sz w:val="24"/>
          <w:szCs w:val="24"/>
        </w:rPr>
        <w:t>ócenia</w:t>
      </w:r>
      <w:r w:rsidR="00E82C90" w:rsidRPr="00E82C90">
        <w:rPr>
          <w:rFonts w:ascii="Times New Roman" w:hAnsi="Times New Roman"/>
          <w:b/>
          <w:bCs/>
          <w:noProof/>
          <w:sz w:val="24"/>
          <w:szCs w:val="24"/>
        </w:rPr>
        <w:t xml:space="preserve"> w dos</w:t>
      </w:r>
      <w:r w:rsidR="00FE4786" w:rsidRPr="00E82C90">
        <w:rPr>
          <w:rFonts w:ascii="Times New Roman" w:hAnsi="Times New Roman"/>
          <w:b/>
          <w:bCs/>
          <w:noProof/>
          <w:sz w:val="24"/>
          <w:szCs w:val="24"/>
        </w:rPr>
        <w:t>tawach</w:t>
      </w:r>
    </w:p>
    <w:p w14:paraId="4C8B0A85" w14:textId="7F64275A" w:rsidR="00CD794A" w:rsidRPr="00E82C90" w:rsidRDefault="00AB4758" w:rsidP="006A4CD9">
      <w:pPr>
        <w:pStyle w:val="ListParagraph"/>
        <w:numPr>
          <w:ilvl w:val="0"/>
          <w:numId w:val="5"/>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przyspieszenie dywersyfikacji dostaw paliwa dla elektrowni jądrowych,</w:t>
      </w:r>
      <w:r w:rsidR="00E82C90" w:rsidRPr="00E82C90">
        <w:rPr>
          <w:rFonts w:ascii="Times New Roman" w:hAnsi="Times New Roman"/>
          <w:b/>
          <w:bCs/>
          <w:noProof/>
          <w:sz w:val="24"/>
          <w:szCs w:val="24"/>
        </w:rPr>
        <w:t xml:space="preserve"> w tym</w:t>
      </w:r>
      <w:r w:rsidRPr="00E82C90">
        <w:rPr>
          <w:rFonts w:ascii="Times New Roman" w:hAnsi="Times New Roman"/>
          <w:b/>
          <w:bCs/>
          <w:noProof/>
          <w:sz w:val="24"/>
          <w:szCs w:val="24"/>
        </w:rPr>
        <w:t xml:space="preserve"> we współpracy z EURATOM</w:t>
      </w:r>
      <w:r w:rsidR="00DB12C3" w:rsidRPr="00E82C90">
        <w:rPr>
          <w:rStyle w:val="FootnoteReference"/>
          <w:rFonts w:ascii="Times New Roman" w:hAnsi="Times New Roman" w:cs="Times New Roman"/>
          <w:b/>
          <w:bCs/>
          <w:noProof/>
          <w:sz w:val="24"/>
          <w:szCs w:val="24"/>
        </w:rPr>
        <w:footnoteReference w:id="8"/>
      </w:r>
    </w:p>
    <w:p w14:paraId="0D1F685C" w14:textId="51C8A99C" w:rsidR="00CD794A" w:rsidRPr="00E82C90" w:rsidRDefault="00096E58" w:rsidP="00CD794A">
      <w:pPr>
        <w:pStyle w:val="Heading1"/>
        <w:numPr>
          <w:ilvl w:val="1"/>
          <w:numId w:val="1"/>
        </w:numPr>
        <w:spacing w:after="240"/>
        <w:rPr>
          <w:rFonts w:ascii="Times New Roman" w:eastAsia="Times New Roman" w:hAnsi="Times New Roman" w:cs="Times New Roman"/>
          <w:b/>
          <w:noProof/>
          <w:color w:val="auto"/>
          <w:sz w:val="24"/>
          <w:szCs w:val="24"/>
        </w:rPr>
      </w:pPr>
      <w:bookmarkStart w:id="7" w:name="_Hlk102919389"/>
      <w:r w:rsidRPr="00E82C90">
        <w:rPr>
          <w:rFonts w:ascii="Times New Roman" w:hAnsi="Times New Roman"/>
          <w:b/>
          <w:noProof/>
          <w:color w:val="auto"/>
          <w:sz w:val="24"/>
          <w:szCs w:val="24"/>
        </w:rPr>
        <w:t>Oszczędność energii</w:t>
      </w:r>
      <w:r w:rsidR="00E82C90" w:rsidRPr="00E82C90">
        <w:rPr>
          <w:rFonts w:ascii="Times New Roman" w:hAnsi="Times New Roman"/>
          <w:b/>
          <w:noProof/>
          <w:color w:val="auto"/>
          <w:sz w:val="24"/>
          <w:szCs w:val="24"/>
        </w:rPr>
        <w:t xml:space="preserve"> i efe</w:t>
      </w:r>
      <w:r w:rsidRPr="00E82C90">
        <w:rPr>
          <w:rFonts w:ascii="Times New Roman" w:hAnsi="Times New Roman"/>
          <w:b/>
          <w:noProof/>
          <w:color w:val="auto"/>
          <w:sz w:val="24"/>
          <w:szCs w:val="24"/>
        </w:rPr>
        <w:t xml:space="preserve">ktywność energetyczna jako priorytety </w:t>
      </w:r>
    </w:p>
    <w:p w14:paraId="08F35550" w14:textId="35432B5D" w:rsidR="00FF6638" w:rsidRPr="00E82C90" w:rsidRDefault="00BE72B2" w:rsidP="00DB3A3C">
      <w:pPr>
        <w:spacing w:after="240"/>
        <w:jc w:val="both"/>
        <w:rPr>
          <w:rFonts w:ascii="Times New Roman" w:hAnsi="Times New Roman" w:cs="Times New Roman"/>
          <w:noProof/>
          <w:sz w:val="24"/>
          <w:szCs w:val="24"/>
        </w:rPr>
      </w:pPr>
      <w:r w:rsidRPr="00E82C90">
        <w:rPr>
          <w:rFonts w:ascii="Times New Roman" w:hAnsi="Times New Roman"/>
          <w:noProof/>
          <w:sz w:val="24"/>
          <w:szCs w:val="24"/>
        </w:rPr>
        <w:t>W miarę odchodzenia od dostaw energii</w:t>
      </w:r>
      <w:r w:rsidR="00E82C90" w:rsidRPr="00E82C90">
        <w:rPr>
          <w:rFonts w:ascii="Times New Roman" w:hAnsi="Times New Roman"/>
          <w:noProof/>
          <w:sz w:val="24"/>
          <w:szCs w:val="24"/>
        </w:rPr>
        <w:t xml:space="preserve"> z Ros</w:t>
      </w:r>
      <w:r w:rsidRPr="00E82C90">
        <w:rPr>
          <w:rFonts w:ascii="Times New Roman" w:hAnsi="Times New Roman"/>
          <w:noProof/>
          <w:sz w:val="24"/>
          <w:szCs w:val="24"/>
        </w:rPr>
        <w:t xml:space="preserve">ji, UE będzie </w:t>
      </w:r>
      <w:r w:rsidRPr="00E82C90">
        <w:rPr>
          <w:rFonts w:ascii="Times New Roman" w:hAnsi="Times New Roman"/>
          <w:b/>
          <w:bCs/>
          <w:noProof/>
          <w:sz w:val="24"/>
          <w:szCs w:val="24"/>
        </w:rPr>
        <w:t>nadawać priorytet oszczędności energii</w:t>
      </w:r>
      <w:r w:rsidR="00E82C90" w:rsidRPr="00E82C90">
        <w:rPr>
          <w:rFonts w:ascii="Times New Roman" w:hAnsi="Times New Roman"/>
          <w:b/>
          <w:bCs/>
          <w:noProof/>
          <w:sz w:val="24"/>
          <w:szCs w:val="24"/>
        </w:rPr>
        <w:t xml:space="preserve"> i efe</w:t>
      </w:r>
      <w:r w:rsidRPr="00E82C90">
        <w:rPr>
          <w:rFonts w:ascii="Times New Roman" w:hAnsi="Times New Roman"/>
          <w:b/>
          <w:bCs/>
          <w:noProof/>
          <w:sz w:val="24"/>
          <w:szCs w:val="24"/>
        </w:rPr>
        <w:t>ktywności energetycznej</w:t>
      </w:r>
      <w:r w:rsidRPr="00E82C90">
        <w:rPr>
          <w:rFonts w:ascii="Times New Roman" w:hAnsi="Times New Roman"/>
          <w:noProof/>
          <w:sz w:val="24"/>
          <w:szCs w:val="24"/>
        </w:rPr>
        <w:t>, dążąc do zmniejszenia zapotrzebowania na ropę</w:t>
      </w:r>
      <w:r w:rsidR="00E82C90" w:rsidRPr="00E82C90">
        <w:rPr>
          <w:rFonts w:ascii="Times New Roman" w:hAnsi="Times New Roman"/>
          <w:noProof/>
          <w:sz w:val="24"/>
          <w:szCs w:val="24"/>
        </w:rPr>
        <w:t xml:space="preserve"> i gaz o 5 </w:t>
      </w:r>
      <w:r w:rsidRPr="00E82C90">
        <w:rPr>
          <w:rFonts w:ascii="Times New Roman" w:hAnsi="Times New Roman"/>
          <w:noProof/>
          <w:sz w:val="24"/>
          <w:szCs w:val="24"/>
        </w:rPr>
        <w:t>%</w:t>
      </w:r>
      <w:r w:rsidR="00E82C90" w:rsidRPr="00E82C90">
        <w:rPr>
          <w:rFonts w:ascii="Times New Roman" w:hAnsi="Times New Roman"/>
          <w:noProof/>
          <w:sz w:val="24"/>
          <w:szCs w:val="24"/>
        </w:rPr>
        <w:t xml:space="preserve"> w kró</w:t>
      </w:r>
      <w:r w:rsidRPr="00E82C90">
        <w:rPr>
          <w:rFonts w:ascii="Times New Roman" w:hAnsi="Times New Roman"/>
          <w:noProof/>
          <w:sz w:val="24"/>
          <w:szCs w:val="24"/>
        </w:rPr>
        <w:t>tkim okresie. Pozwoli to zmniejszyć presję cenową</w:t>
      </w:r>
      <w:r w:rsidR="00E82C90" w:rsidRPr="00E82C90">
        <w:rPr>
          <w:rFonts w:ascii="Times New Roman" w:hAnsi="Times New Roman"/>
          <w:noProof/>
          <w:sz w:val="24"/>
          <w:szCs w:val="24"/>
        </w:rPr>
        <w:t xml:space="preserve"> i pop</w:t>
      </w:r>
      <w:r w:rsidRPr="00E82C90">
        <w:rPr>
          <w:rFonts w:ascii="Times New Roman" w:hAnsi="Times New Roman"/>
          <w:noProof/>
          <w:sz w:val="24"/>
          <w:szCs w:val="24"/>
        </w:rPr>
        <w:t>ytową na rynkach światowych. UE będzie również współpracować</w:t>
      </w:r>
      <w:r w:rsidR="00E82C90" w:rsidRPr="00E82C90">
        <w:rPr>
          <w:rFonts w:ascii="Times New Roman" w:hAnsi="Times New Roman"/>
          <w:noProof/>
          <w:sz w:val="24"/>
          <w:szCs w:val="24"/>
        </w:rPr>
        <w:t xml:space="preserve"> z par</w:t>
      </w:r>
      <w:r w:rsidRPr="00E82C90">
        <w:rPr>
          <w:rFonts w:ascii="Times New Roman" w:hAnsi="Times New Roman"/>
          <w:noProof/>
          <w:sz w:val="24"/>
          <w:szCs w:val="24"/>
        </w:rPr>
        <w:t xml:space="preserve">tnerami międzynarodowymi, </w:t>
      </w:r>
      <w:r w:rsidRPr="00E82C90">
        <w:rPr>
          <w:rFonts w:ascii="Times New Roman" w:hAnsi="Times New Roman"/>
          <w:b/>
          <w:bCs/>
          <w:noProof/>
          <w:sz w:val="24"/>
          <w:szCs w:val="24"/>
        </w:rPr>
        <w:t>aby oszczędność energii</w:t>
      </w:r>
      <w:r w:rsidR="00E82C90" w:rsidRPr="00E82C90">
        <w:rPr>
          <w:rFonts w:ascii="Times New Roman" w:hAnsi="Times New Roman"/>
          <w:b/>
          <w:bCs/>
          <w:noProof/>
          <w:sz w:val="24"/>
          <w:szCs w:val="24"/>
        </w:rPr>
        <w:t xml:space="preserve"> i efe</w:t>
      </w:r>
      <w:r w:rsidRPr="00E82C90">
        <w:rPr>
          <w:rFonts w:ascii="Times New Roman" w:hAnsi="Times New Roman"/>
          <w:b/>
          <w:bCs/>
          <w:noProof/>
          <w:sz w:val="24"/>
          <w:szCs w:val="24"/>
        </w:rPr>
        <w:t>ktywność energetyczna stały się priorytetem</w:t>
      </w:r>
      <w:r w:rsidR="00E82C90" w:rsidRPr="00E82C90">
        <w:rPr>
          <w:rFonts w:ascii="Times New Roman" w:hAnsi="Times New Roman"/>
          <w:b/>
          <w:bCs/>
          <w:noProof/>
          <w:sz w:val="24"/>
          <w:szCs w:val="24"/>
        </w:rPr>
        <w:t xml:space="preserve"> w ska</w:t>
      </w:r>
      <w:r w:rsidRPr="00E82C90">
        <w:rPr>
          <w:rFonts w:ascii="Times New Roman" w:hAnsi="Times New Roman"/>
          <w:b/>
          <w:bCs/>
          <w:noProof/>
          <w:sz w:val="24"/>
          <w:szCs w:val="24"/>
        </w:rPr>
        <w:t>li światowej.</w:t>
      </w:r>
      <w:r w:rsidRPr="00E82C90">
        <w:rPr>
          <w:rFonts w:ascii="Times New Roman" w:hAnsi="Times New Roman"/>
          <w:noProof/>
          <w:sz w:val="24"/>
          <w:szCs w:val="24"/>
        </w:rPr>
        <w:t xml:space="preserve"> Wraz</w:t>
      </w:r>
      <w:r w:rsidR="00E82C90" w:rsidRPr="00E82C90">
        <w:rPr>
          <w:rFonts w:ascii="Times New Roman" w:hAnsi="Times New Roman"/>
          <w:noProof/>
          <w:sz w:val="24"/>
          <w:szCs w:val="24"/>
        </w:rPr>
        <w:t xml:space="preserve"> z inn</w:t>
      </w:r>
      <w:r w:rsidRPr="00E82C90">
        <w:rPr>
          <w:rFonts w:ascii="Times New Roman" w:hAnsi="Times New Roman"/>
          <w:noProof/>
          <w:sz w:val="24"/>
          <w:szCs w:val="24"/>
        </w:rPr>
        <w:t>ymi rozwiniętymi gospodarkami UE skupi się</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 na ograniczeniu zużycia energii, m.in.</w:t>
      </w:r>
      <w:r w:rsidR="00E82C90" w:rsidRPr="00E82C90">
        <w:rPr>
          <w:rFonts w:ascii="Times New Roman" w:hAnsi="Times New Roman"/>
          <w:noProof/>
          <w:sz w:val="24"/>
          <w:szCs w:val="24"/>
        </w:rPr>
        <w:t xml:space="preserve"> w opa</w:t>
      </w:r>
      <w:r w:rsidRPr="00E82C90">
        <w:rPr>
          <w:rFonts w:ascii="Times New Roman" w:hAnsi="Times New Roman"/>
          <w:noProof/>
          <w:sz w:val="24"/>
          <w:szCs w:val="24"/>
        </w:rPr>
        <w:t>rciu</w:t>
      </w:r>
      <w:r w:rsidR="00E82C90" w:rsidRPr="00E82C90">
        <w:rPr>
          <w:rFonts w:ascii="Times New Roman" w:hAnsi="Times New Roman"/>
          <w:noProof/>
          <w:sz w:val="24"/>
          <w:szCs w:val="24"/>
        </w:rPr>
        <w:t xml:space="preserve"> o kam</w:t>
      </w:r>
      <w:r w:rsidRPr="00E82C90">
        <w:rPr>
          <w:rFonts w:ascii="Times New Roman" w:hAnsi="Times New Roman"/>
          <w:noProof/>
          <w:sz w:val="24"/>
          <w:szCs w:val="24"/>
        </w:rPr>
        <w:t xml:space="preserve">panię MAE „Playing My Part” [„Każdy wnosi swój wkład”]. </w:t>
      </w:r>
    </w:p>
    <w:p w14:paraId="7A1C80E7" w14:textId="15F61136" w:rsidR="000D3D89" w:rsidRPr="00E82C90" w:rsidRDefault="00BE72B2" w:rsidP="00E0580D">
      <w:pPr>
        <w:spacing w:after="240"/>
        <w:jc w:val="both"/>
        <w:rPr>
          <w:noProof/>
        </w:rPr>
      </w:pPr>
      <w:r w:rsidRPr="00E82C90">
        <w:rPr>
          <w:rFonts w:ascii="Times New Roman" w:hAnsi="Times New Roman"/>
          <w:noProof/>
          <w:sz w:val="24"/>
          <w:szCs w:val="24"/>
        </w:rPr>
        <w:t>Efektywność energetyczna przynosi liczne korzyści środowiskowe, społeczne</w:t>
      </w:r>
      <w:r w:rsidR="00E82C90" w:rsidRPr="00E82C90">
        <w:rPr>
          <w:rFonts w:ascii="Times New Roman" w:hAnsi="Times New Roman"/>
          <w:noProof/>
          <w:sz w:val="24"/>
          <w:szCs w:val="24"/>
        </w:rPr>
        <w:t xml:space="preserve"> i gos</w:t>
      </w:r>
      <w:r w:rsidRPr="00E82C90">
        <w:rPr>
          <w:rFonts w:ascii="Times New Roman" w:hAnsi="Times New Roman"/>
          <w:noProof/>
          <w:sz w:val="24"/>
          <w:szCs w:val="24"/>
        </w:rPr>
        <w:t>podarcze. Według scenariusza MAE zakładającego osiągnięcie neutralności emisyjnej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r. światowa gospodarka wzrośnie</w:t>
      </w:r>
      <w:r w:rsidR="00E82C90" w:rsidRPr="00E82C90">
        <w:rPr>
          <w:rFonts w:ascii="Times New Roman" w:hAnsi="Times New Roman"/>
          <w:noProof/>
          <w:sz w:val="24"/>
          <w:szCs w:val="24"/>
        </w:rPr>
        <w:t xml:space="preserve"> o 4</w:t>
      </w:r>
      <w:r w:rsidRPr="00E82C90">
        <w:rPr>
          <w:rFonts w:ascii="Times New Roman" w:hAnsi="Times New Roman"/>
          <w:noProof/>
          <w:sz w:val="24"/>
          <w:szCs w:val="24"/>
        </w:rPr>
        <w:t>0</w:t>
      </w:r>
      <w:r w:rsidR="00E82C90" w:rsidRPr="00E82C90">
        <w:rPr>
          <w:rFonts w:ascii="Times New Roman" w:hAnsi="Times New Roman"/>
          <w:noProof/>
          <w:sz w:val="24"/>
          <w:szCs w:val="24"/>
        </w:rPr>
        <w:t> </w:t>
      </w:r>
      <w:r w:rsidRPr="00E82C90">
        <w:rPr>
          <w:rFonts w:ascii="Times New Roman" w:hAnsi="Times New Roman"/>
          <w:noProof/>
          <w:sz w:val="24"/>
          <w:szCs w:val="24"/>
        </w:rPr>
        <w:t>%, ale zużywać będzie</w:t>
      </w:r>
      <w:r w:rsidR="00E82C90" w:rsidRPr="00E82C90">
        <w:rPr>
          <w:rFonts w:ascii="Times New Roman" w:hAnsi="Times New Roman"/>
          <w:noProof/>
          <w:sz w:val="24"/>
          <w:szCs w:val="24"/>
        </w:rPr>
        <w:t xml:space="preserve"> o 7 </w:t>
      </w:r>
      <w:r w:rsidRPr="00E82C90">
        <w:rPr>
          <w:rFonts w:ascii="Times New Roman" w:hAnsi="Times New Roman"/>
          <w:noProof/>
          <w:sz w:val="24"/>
          <w:szCs w:val="24"/>
        </w:rPr>
        <w:t>% mniej energii pierwotnej,</w:t>
      </w:r>
      <w:r w:rsidR="00E82C90" w:rsidRPr="00E82C90">
        <w:rPr>
          <w:rFonts w:ascii="Times New Roman" w:hAnsi="Times New Roman"/>
          <w:noProof/>
          <w:sz w:val="24"/>
          <w:szCs w:val="24"/>
        </w:rPr>
        <w:t xml:space="preserve"> a roz</w:t>
      </w:r>
      <w:r w:rsidRPr="00E82C90">
        <w:rPr>
          <w:rFonts w:ascii="Times New Roman" w:hAnsi="Times New Roman"/>
          <w:noProof/>
          <w:sz w:val="24"/>
          <w:szCs w:val="24"/>
        </w:rPr>
        <w:t>wiązania</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zakresie są już dziś gotowe pod względem technicznym, opłacalne</w:t>
      </w:r>
      <w:r w:rsidR="00E82C90" w:rsidRPr="00E82C90">
        <w:rPr>
          <w:rFonts w:ascii="Times New Roman" w:hAnsi="Times New Roman"/>
          <w:noProof/>
          <w:sz w:val="24"/>
          <w:szCs w:val="24"/>
        </w:rPr>
        <w:t xml:space="preserve"> i dos</w:t>
      </w:r>
      <w:r w:rsidRPr="00E82C90">
        <w:rPr>
          <w:rFonts w:ascii="Times New Roman" w:hAnsi="Times New Roman"/>
          <w:noProof/>
          <w:sz w:val="24"/>
          <w:szCs w:val="24"/>
        </w:rPr>
        <w:t>tępne dla wszystkich sektorów. Największy potencjał oszczędności można zrealizować</w:t>
      </w:r>
      <w:r w:rsidR="00E82C90" w:rsidRPr="00E82C90">
        <w:rPr>
          <w:rFonts w:ascii="Times New Roman" w:hAnsi="Times New Roman"/>
          <w:noProof/>
          <w:sz w:val="24"/>
          <w:szCs w:val="24"/>
        </w:rPr>
        <w:t xml:space="preserve"> w sek</w:t>
      </w:r>
      <w:r w:rsidRPr="00E82C90">
        <w:rPr>
          <w:rFonts w:ascii="Times New Roman" w:hAnsi="Times New Roman"/>
          <w:noProof/>
          <w:sz w:val="24"/>
          <w:szCs w:val="24"/>
        </w:rPr>
        <w:t>torze ogrzewania</w:t>
      </w:r>
      <w:r w:rsidR="00E82C90" w:rsidRPr="00E82C90">
        <w:rPr>
          <w:rFonts w:ascii="Times New Roman" w:hAnsi="Times New Roman"/>
          <w:noProof/>
          <w:sz w:val="24"/>
          <w:szCs w:val="24"/>
        </w:rPr>
        <w:t xml:space="preserve"> i chł</w:t>
      </w:r>
      <w:r w:rsidRPr="00E82C90">
        <w:rPr>
          <w:rFonts w:ascii="Times New Roman" w:hAnsi="Times New Roman"/>
          <w:noProof/>
          <w:sz w:val="24"/>
          <w:szCs w:val="24"/>
        </w:rPr>
        <w:t>odzenia budynków publicznych</w:t>
      </w:r>
      <w:r w:rsidR="00E82C90" w:rsidRPr="00E82C90">
        <w:rPr>
          <w:rFonts w:ascii="Times New Roman" w:hAnsi="Times New Roman"/>
          <w:noProof/>
          <w:sz w:val="24"/>
          <w:szCs w:val="24"/>
        </w:rPr>
        <w:t xml:space="preserve"> i pry</w:t>
      </w:r>
      <w:r w:rsidRPr="00E82C90">
        <w:rPr>
          <w:rFonts w:ascii="Times New Roman" w:hAnsi="Times New Roman"/>
          <w:noProof/>
          <w:sz w:val="24"/>
          <w:szCs w:val="24"/>
        </w:rPr>
        <w:t>watnych. Dodatkowe duże oszczędności energii można uzyskać dzięki bardziej wydajnym procesom, przejściu na gospodarkę</w:t>
      </w:r>
      <w:r w:rsidR="00E82C90" w:rsidRPr="00E82C90">
        <w:rPr>
          <w:rFonts w:ascii="Times New Roman" w:hAnsi="Times New Roman"/>
          <w:noProof/>
          <w:sz w:val="24"/>
          <w:szCs w:val="24"/>
        </w:rPr>
        <w:t xml:space="preserve"> o obi</w:t>
      </w:r>
      <w:r w:rsidRPr="00E82C90">
        <w:rPr>
          <w:rFonts w:ascii="Times New Roman" w:hAnsi="Times New Roman"/>
          <w:noProof/>
          <w:sz w:val="24"/>
          <w:szCs w:val="24"/>
        </w:rPr>
        <w:t>egu zamkniętym</w:t>
      </w:r>
      <w:r w:rsidR="00E82C90" w:rsidRPr="00E82C90">
        <w:rPr>
          <w:rFonts w:ascii="Times New Roman" w:hAnsi="Times New Roman"/>
          <w:noProof/>
          <w:sz w:val="24"/>
          <w:szCs w:val="24"/>
        </w:rPr>
        <w:t xml:space="preserve"> i tra</w:t>
      </w:r>
      <w:r w:rsidRPr="00E82C90">
        <w:rPr>
          <w:rFonts w:ascii="Times New Roman" w:hAnsi="Times New Roman"/>
          <w:noProof/>
          <w:sz w:val="24"/>
          <w:szCs w:val="24"/>
        </w:rPr>
        <w:t>nsportowi,</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dzięki bardziej wydajnym urządzeniom, zarówno</w:t>
      </w:r>
      <w:r w:rsidR="00E82C90" w:rsidRPr="00E82C90">
        <w:rPr>
          <w:rFonts w:ascii="Times New Roman" w:hAnsi="Times New Roman"/>
          <w:noProof/>
          <w:sz w:val="24"/>
          <w:szCs w:val="24"/>
        </w:rPr>
        <w:t xml:space="preserve"> w dom</w:t>
      </w:r>
      <w:r w:rsidRPr="00E82C90">
        <w:rPr>
          <w:rFonts w:ascii="Times New Roman" w:hAnsi="Times New Roman"/>
          <w:noProof/>
          <w:sz w:val="24"/>
          <w:szCs w:val="24"/>
        </w:rPr>
        <w:t>ach (np. pompy ciepła), jak</w:t>
      </w:r>
      <w:r w:rsidR="00E82C90" w:rsidRPr="00E82C90">
        <w:rPr>
          <w:rFonts w:ascii="Times New Roman" w:hAnsi="Times New Roman"/>
          <w:noProof/>
          <w:sz w:val="24"/>
          <w:szCs w:val="24"/>
        </w:rPr>
        <w:t xml:space="preserve"> i w prz</w:t>
      </w:r>
      <w:r w:rsidRPr="00E82C90">
        <w:rPr>
          <w:rFonts w:ascii="Times New Roman" w:hAnsi="Times New Roman"/>
          <w:noProof/>
          <w:sz w:val="24"/>
          <w:szCs w:val="24"/>
        </w:rPr>
        <w:t xml:space="preserve">emyśle. </w:t>
      </w:r>
    </w:p>
    <w:p w14:paraId="328A0984" w14:textId="151B880C" w:rsidR="009C4510" w:rsidRPr="00E82C90" w:rsidRDefault="00782FF8" w:rsidP="008D443E">
      <w:pPr>
        <w:pStyle w:val="ListParagraph"/>
        <w:spacing w:after="240"/>
        <w:ind w:left="142"/>
        <w:rPr>
          <w:noProof/>
          <w:sz w:val="18"/>
        </w:rPr>
      </w:pPr>
      <w:r w:rsidRPr="00E82C90">
        <w:rPr>
          <w:noProof/>
        </w:rPr>
        <w:t xml:space="preserve"> </w:t>
      </w:r>
      <w:r w:rsidR="000D3964" w:rsidRPr="00E82C90">
        <w:rPr>
          <w:noProof/>
          <w:lang w:val="en-GB" w:eastAsia="en-GB"/>
        </w:rPr>
        <w:drawing>
          <wp:inline distT="0" distB="0" distL="0" distR="0" wp14:anchorId="59E123D0" wp14:editId="6F1B4A25">
            <wp:extent cx="5760720" cy="30124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012440"/>
                    </a:xfrm>
                    <a:prstGeom prst="rect">
                      <a:avLst/>
                    </a:prstGeom>
                    <a:noFill/>
                    <a:ln>
                      <a:noFill/>
                    </a:ln>
                  </pic:spPr>
                </pic:pic>
              </a:graphicData>
            </a:graphic>
          </wp:inline>
        </w:drawing>
      </w:r>
      <w:r w:rsidRPr="00E82C90">
        <w:rPr>
          <w:rFonts w:asciiTheme="majorBidi" w:hAnsiTheme="majorBidi"/>
          <w:noProof/>
          <w:sz w:val="20"/>
          <w:szCs w:val="24"/>
        </w:rPr>
        <w:t xml:space="preserve">MAE: </w:t>
      </w:r>
      <w:r w:rsidRPr="00E82C90">
        <w:rPr>
          <w:rFonts w:asciiTheme="majorBidi" w:hAnsiTheme="majorBidi"/>
          <w:noProof/>
          <w:sz w:val="18"/>
        </w:rPr>
        <w:t>Podwojenie tempa poprawy energochłonności</w:t>
      </w:r>
      <w:r w:rsidR="00E82C90" w:rsidRPr="00E82C90">
        <w:rPr>
          <w:rFonts w:asciiTheme="majorBidi" w:hAnsiTheme="majorBidi"/>
          <w:noProof/>
          <w:sz w:val="18"/>
        </w:rPr>
        <w:t xml:space="preserve"> w cią</w:t>
      </w:r>
      <w:r w:rsidRPr="00E82C90">
        <w:rPr>
          <w:rFonts w:asciiTheme="majorBidi" w:hAnsiTheme="majorBidi"/>
          <w:noProof/>
          <w:sz w:val="18"/>
        </w:rPr>
        <w:t>gu następnej dekady pomoże zmniejszyć zapotrzebowanie na energię</w:t>
      </w:r>
      <w:r w:rsidR="00E82C90" w:rsidRPr="00E82C90">
        <w:rPr>
          <w:rFonts w:asciiTheme="majorBidi" w:hAnsiTheme="majorBidi"/>
          <w:noProof/>
          <w:sz w:val="18"/>
        </w:rPr>
        <w:t xml:space="preserve"> o 9</w:t>
      </w:r>
      <w:r w:rsidRPr="00E82C90">
        <w:rPr>
          <w:rFonts w:asciiTheme="majorBidi" w:hAnsiTheme="majorBidi"/>
          <w:noProof/>
          <w:sz w:val="18"/>
        </w:rPr>
        <w:t>5 eksadżuli</w:t>
      </w:r>
    </w:p>
    <w:p w14:paraId="749BE07F" w14:textId="00FCBC35" w:rsidR="00E0580D" w:rsidRPr="00E82C90" w:rsidRDefault="00E0580D" w:rsidP="00CD794A">
      <w:pPr>
        <w:spacing w:after="240"/>
        <w:jc w:val="both"/>
        <w:rPr>
          <w:rFonts w:ascii="Times New Roman" w:hAnsi="Times New Roman" w:cs="Times New Roman"/>
          <w:noProof/>
          <w:sz w:val="24"/>
          <w:szCs w:val="24"/>
        </w:rPr>
      </w:pPr>
      <w:r w:rsidRPr="00E82C90">
        <w:rPr>
          <w:rFonts w:ascii="Times New Roman" w:hAnsi="Times New Roman"/>
          <w:noProof/>
          <w:sz w:val="24"/>
          <w:szCs w:val="24"/>
        </w:rPr>
        <w:t>UE posiada doświadczenie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 xml:space="preserve">resie </w:t>
      </w:r>
      <w:r w:rsidRPr="00E82C90">
        <w:rPr>
          <w:rFonts w:ascii="Times New Roman" w:hAnsi="Times New Roman"/>
          <w:b/>
          <w:bCs/>
          <w:noProof/>
          <w:sz w:val="24"/>
          <w:szCs w:val="24"/>
        </w:rPr>
        <w:t>regulacji, prawodawstwa, ustanawiania norm</w:t>
      </w:r>
      <w:r w:rsidR="00E82C90" w:rsidRPr="00E82C90">
        <w:rPr>
          <w:rFonts w:ascii="Times New Roman" w:hAnsi="Times New Roman"/>
          <w:b/>
          <w:bCs/>
          <w:noProof/>
          <w:sz w:val="24"/>
          <w:szCs w:val="24"/>
        </w:rPr>
        <w:t xml:space="preserve"> i ety</w:t>
      </w:r>
      <w:r w:rsidRPr="00E82C90">
        <w:rPr>
          <w:rFonts w:ascii="Times New Roman" w:hAnsi="Times New Roman"/>
          <w:b/>
          <w:bCs/>
          <w:noProof/>
          <w:sz w:val="24"/>
          <w:szCs w:val="24"/>
        </w:rPr>
        <w:t>kietowania</w:t>
      </w:r>
      <w:r w:rsidRPr="00E82C90">
        <w:rPr>
          <w:rFonts w:ascii="Times New Roman" w:hAnsi="Times New Roman"/>
          <w:noProof/>
          <w:sz w:val="24"/>
          <w:szCs w:val="24"/>
        </w:rPr>
        <w:t>, które może być źródłem inspiracji dla wielu państw. UE będzie promować te normy</w:t>
      </w:r>
      <w:r w:rsidR="00E82C90" w:rsidRPr="00E82C90">
        <w:rPr>
          <w:rFonts w:ascii="Times New Roman" w:hAnsi="Times New Roman"/>
          <w:noProof/>
          <w:sz w:val="24"/>
          <w:szCs w:val="24"/>
        </w:rPr>
        <w:t xml:space="preserve"> i pra</w:t>
      </w:r>
      <w:r w:rsidRPr="00E82C90">
        <w:rPr>
          <w:rFonts w:ascii="Times New Roman" w:hAnsi="Times New Roman"/>
          <w:noProof/>
          <w:sz w:val="24"/>
          <w:szCs w:val="24"/>
        </w:rPr>
        <w:t xml:space="preserve">ktyki na arenie międzynarodowej, uznając jednocześnie specyficzne uwarunkowania swoich partnerów. Kluczowe znaczenie ma również </w:t>
      </w:r>
      <w:r w:rsidRPr="00E82C90">
        <w:rPr>
          <w:rFonts w:ascii="Times New Roman" w:hAnsi="Times New Roman"/>
          <w:b/>
          <w:bCs/>
          <w:noProof/>
          <w:sz w:val="24"/>
          <w:szCs w:val="24"/>
        </w:rPr>
        <w:t>mobilizacja dużych inwestycji kapitałowych</w:t>
      </w:r>
      <w:r w:rsidRPr="00E82C90">
        <w:rPr>
          <w:rFonts w:ascii="Times New Roman" w:hAnsi="Times New Roman"/>
          <w:noProof/>
          <w:sz w:val="24"/>
          <w:szCs w:val="24"/>
        </w:rPr>
        <w:t xml:space="preserve"> zarówno</w:t>
      </w:r>
      <w:r w:rsidR="00E82C90" w:rsidRPr="00E82C90">
        <w:rPr>
          <w:rFonts w:ascii="Times New Roman" w:hAnsi="Times New Roman"/>
          <w:noProof/>
          <w:sz w:val="24"/>
          <w:szCs w:val="24"/>
        </w:rPr>
        <w:t xml:space="preserve"> z sek</w:t>
      </w:r>
      <w:r w:rsidRPr="00E82C90">
        <w:rPr>
          <w:rFonts w:ascii="Times New Roman" w:hAnsi="Times New Roman"/>
          <w:noProof/>
          <w:sz w:val="24"/>
          <w:szCs w:val="24"/>
        </w:rPr>
        <w:t>tora publicznego, jak</w:t>
      </w:r>
      <w:r w:rsidR="00E82C90" w:rsidRPr="00E82C90">
        <w:rPr>
          <w:rFonts w:ascii="Times New Roman" w:hAnsi="Times New Roman"/>
          <w:noProof/>
          <w:sz w:val="24"/>
          <w:szCs w:val="24"/>
        </w:rPr>
        <w:t xml:space="preserve"> i pry</w:t>
      </w:r>
      <w:r w:rsidRPr="00E82C90">
        <w:rPr>
          <w:rFonts w:ascii="Times New Roman" w:hAnsi="Times New Roman"/>
          <w:noProof/>
          <w:sz w:val="24"/>
          <w:szCs w:val="24"/>
        </w:rPr>
        <w:t>watnego. Najlepsze praktyki UE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finansowania efektywności energetycznej można upowszechniać</w:t>
      </w:r>
      <w:r w:rsidR="00E82C90" w:rsidRPr="00E82C90">
        <w:rPr>
          <w:rFonts w:ascii="Times New Roman" w:hAnsi="Times New Roman"/>
          <w:noProof/>
          <w:sz w:val="24"/>
          <w:szCs w:val="24"/>
        </w:rPr>
        <w:t xml:space="preserve"> i roz</w:t>
      </w:r>
      <w:r w:rsidRPr="00E82C90">
        <w:rPr>
          <w:rFonts w:ascii="Times New Roman" w:hAnsi="Times New Roman"/>
          <w:noProof/>
          <w:sz w:val="24"/>
          <w:szCs w:val="24"/>
        </w:rPr>
        <w:t>szerzać</w:t>
      </w:r>
      <w:r w:rsidR="00E82C90" w:rsidRPr="00E82C90">
        <w:rPr>
          <w:rFonts w:ascii="Times New Roman" w:hAnsi="Times New Roman"/>
          <w:noProof/>
          <w:sz w:val="24"/>
          <w:szCs w:val="24"/>
        </w:rPr>
        <w:t xml:space="preserve"> w ści</w:t>
      </w:r>
      <w:r w:rsidRPr="00E82C90">
        <w:rPr>
          <w:rFonts w:ascii="Times New Roman" w:hAnsi="Times New Roman"/>
          <w:noProof/>
          <w:sz w:val="24"/>
          <w:szCs w:val="24"/>
        </w:rPr>
        <w:t>słej współpracy</w:t>
      </w:r>
      <w:r w:rsidR="00E82C90" w:rsidRPr="00E82C90">
        <w:rPr>
          <w:rFonts w:ascii="Times New Roman" w:hAnsi="Times New Roman"/>
          <w:noProof/>
          <w:sz w:val="24"/>
          <w:szCs w:val="24"/>
        </w:rPr>
        <w:t xml:space="preserve"> z ins</w:t>
      </w:r>
      <w:r w:rsidRPr="00E82C90">
        <w:rPr>
          <w:rFonts w:ascii="Times New Roman" w:hAnsi="Times New Roman"/>
          <w:noProof/>
          <w:sz w:val="24"/>
          <w:szCs w:val="24"/>
        </w:rPr>
        <w:t>tytucjami finansowymi</w:t>
      </w:r>
      <w:r w:rsidR="00E82C90" w:rsidRPr="00E82C90">
        <w:rPr>
          <w:rFonts w:ascii="Times New Roman" w:hAnsi="Times New Roman"/>
          <w:noProof/>
          <w:sz w:val="24"/>
          <w:szCs w:val="24"/>
        </w:rPr>
        <w:t xml:space="preserve"> i par</w:t>
      </w:r>
      <w:r w:rsidRPr="00E82C90">
        <w:rPr>
          <w:rFonts w:ascii="Times New Roman" w:hAnsi="Times New Roman"/>
          <w:noProof/>
          <w:sz w:val="24"/>
          <w:szCs w:val="24"/>
        </w:rPr>
        <w:t>tnerami międzynarodowymi.</w:t>
      </w:r>
    </w:p>
    <w:p w14:paraId="1B005649" w14:textId="0042F069" w:rsidR="00CD794A" w:rsidRPr="00E82C90" w:rsidRDefault="000D3D89" w:rsidP="00CD794A">
      <w:pPr>
        <w:spacing w:after="240"/>
        <w:jc w:val="both"/>
        <w:rPr>
          <w:rFonts w:ascii="Times New Roman" w:hAnsi="Times New Roman" w:cs="Times New Roman"/>
          <w:noProof/>
          <w:sz w:val="24"/>
          <w:szCs w:val="24"/>
        </w:rPr>
      </w:pPr>
      <w:r w:rsidRPr="00E82C90">
        <w:rPr>
          <w:rFonts w:ascii="Times New Roman" w:hAnsi="Times New Roman"/>
          <w:noProof/>
          <w:sz w:val="24"/>
          <w:szCs w:val="24"/>
        </w:rPr>
        <w:t>Kwestia powstrzymania wycieków metanu pokazuje, że środki służące oszczędzaniu energii mogą powodować ujemne koszty redukcji: przy użyciu dzisiejszej technologii można powstrzymać do</w:t>
      </w:r>
      <w:r w:rsidR="00E82C90" w:rsidRPr="00E82C90">
        <w:rPr>
          <w:rFonts w:ascii="Times New Roman" w:hAnsi="Times New Roman"/>
          <w:noProof/>
          <w:sz w:val="24"/>
          <w:szCs w:val="24"/>
        </w:rPr>
        <w:t> </w:t>
      </w:r>
      <w:r w:rsidRPr="00E82C90">
        <w:rPr>
          <w:rFonts w:ascii="Times New Roman" w:hAnsi="Times New Roman"/>
          <w:noProof/>
          <w:sz w:val="24"/>
          <w:szCs w:val="24"/>
        </w:rPr>
        <w:t>70</w:t>
      </w:r>
      <w:r w:rsidR="00E82C90" w:rsidRPr="00E82C90">
        <w:rPr>
          <w:rFonts w:ascii="Times New Roman" w:hAnsi="Times New Roman"/>
          <w:noProof/>
          <w:sz w:val="24"/>
          <w:szCs w:val="24"/>
        </w:rPr>
        <w:t> </w:t>
      </w:r>
      <w:r w:rsidRPr="00E82C90">
        <w:rPr>
          <w:rFonts w:ascii="Times New Roman" w:hAnsi="Times New Roman"/>
          <w:noProof/>
          <w:sz w:val="24"/>
          <w:szCs w:val="24"/>
        </w:rPr>
        <w:t>% emisji metanu</w:t>
      </w:r>
      <w:r w:rsidR="00E82C90" w:rsidRPr="00E82C90">
        <w:rPr>
          <w:rFonts w:ascii="Times New Roman" w:hAnsi="Times New Roman"/>
          <w:noProof/>
          <w:sz w:val="24"/>
          <w:szCs w:val="24"/>
        </w:rPr>
        <w:t xml:space="preserve"> z sek</w:t>
      </w:r>
      <w:r w:rsidRPr="00E82C90">
        <w:rPr>
          <w:rFonts w:ascii="Times New Roman" w:hAnsi="Times New Roman"/>
          <w:noProof/>
          <w:sz w:val="24"/>
          <w:szCs w:val="24"/>
        </w:rPr>
        <w:t>torów ropy naftowej, gazu</w:t>
      </w:r>
      <w:r w:rsidR="00E82C90" w:rsidRPr="00E82C90">
        <w:rPr>
          <w:rFonts w:ascii="Times New Roman" w:hAnsi="Times New Roman"/>
          <w:noProof/>
          <w:sz w:val="24"/>
          <w:szCs w:val="24"/>
        </w:rPr>
        <w:t xml:space="preserve"> i węg</w:t>
      </w:r>
      <w:r w:rsidRPr="00E82C90">
        <w:rPr>
          <w:rFonts w:ascii="Times New Roman" w:hAnsi="Times New Roman"/>
          <w:noProof/>
          <w:sz w:val="24"/>
          <w:szCs w:val="24"/>
        </w:rPr>
        <w:t>la,</w:t>
      </w:r>
      <w:r w:rsidR="00E82C90" w:rsidRPr="00E82C90">
        <w:rPr>
          <w:rFonts w:ascii="Times New Roman" w:hAnsi="Times New Roman"/>
          <w:noProof/>
          <w:sz w:val="24"/>
          <w:szCs w:val="24"/>
        </w:rPr>
        <w:t xml:space="preserve"> a w prz</w:t>
      </w:r>
      <w:r w:rsidRPr="00E82C90">
        <w:rPr>
          <w:rFonts w:ascii="Times New Roman" w:hAnsi="Times New Roman"/>
          <w:noProof/>
          <w:sz w:val="24"/>
          <w:szCs w:val="24"/>
        </w:rPr>
        <w:t>ypadku prawie połowy</w:t>
      </w:r>
      <w:r w:rsidR="00E82C90" w:rsidRPr="00E82C90">
        <w:rPr>
          <w:rFonts w:ascii="Times New Roman" w:hAnsi="Times New Roman"/>
          <w:noProof/>
          <w:sz w:val="24"/>
          <w:szCs w:val="24"/>
        </w:rPr>
        <w:t xml:space="preserve"> z nic</w:t>
      </w:r>
      <w:r w:rsidRPr="00E82C90">
        <w:rPr>
          <w:rFonts w:ascii="Times New Roman" w:hAnsi="Times New Roman"/>
          <w:noProof/>
          <w:sz w:val="24"/>
          <w:szCs w:val="24"/>
        </w:rPr>
        <w:t>h jest to opłacalne lub nie wymaga ponoszenia żadnych kosztów</w:t>
      </w:r>
      <w:r w:rsidR="00CD794A" w:rsidRPr="00E82C90">
        <w:rPr>
          <w:rStyle w:val="FootnoteReference"/>
          <w:rFonts w:ascii="Times New Roman" w:hAnsi="Times New Roman" w:cs="Times New Roman"/>
          <w:noProof/>
          <w:sz w:val="24"/>
          <w:szCs w:val="24"/>
        </w:rPr>
        <w:footnoteReference w:id="9"/>
      </w:r>
      <w:r w:rsidRPr="00E82C90">
        <w:rPr>
          <w:rFonts w:ascii="Times New Roman" w:hAnsi="Times New Roman"/>
          <w:noProof/>
          <w:sz w:val="24"/>
          <w:szCs w:val="24"/>
        </w:rPr>
        <w:t xml:space="preserve">. </w:t>
      </w:r>
    </w:p>
    <w:p w14:paraId="4309E7FA" w14:textId="6CA0D027" w:rsidR="00BF5EA4" w:rsidRPr="00E82C90" w:rsidRDefault="00CD794A" w:rsidP="00F156DE">
      <w:pPr>
        <w:jc w:val="both"/>
        <w:rPr>
          <w:rFonts w:ascii="Times New Roman" w:hAnsi="Times New Roman" w:cs="Times New Roman"/>
          <w:b/>
          <w:bCs/>
          <w:noProof/>
          <w:sz w:val="24"/>
          <w:szCs w:val="24"/>
        </w:rPr>
      </w:pPr>
      <w:r w:rsidRPr="00E82C90">
        <w:rPr>
          <w:rFonts w:ascii="Times New Roman" w:hAnsi="Times New Roman"/>
          <w:noProof/>
          <w:sz w:val="24"/>
          <w:szCs w:val="24"/>
        </w:rPr>
        <w:t xml:space="preserve">Komisja Europejska przyjęła już </w:t>
      </w:r>
      <w:r w:rsidRPr="00E82C90">
        <w:rPr>
          <w:rFonts w:ascii="Times New Roman" w:hAnsi="Times New Roman"/>
          <w:b/>
          <w:bCs/>
          <w:noProof/>
          <w:sz w:val="24"/>
          <w:szCs w:val="24"/>
        </w:rPr>
        <w:t>strategię UE na rzecz ograniczenia emisji metanu</w:t>
      </w:r>
      <w:r w:rsidR="00035E17" w:rsidRPr="00E82C90">
        <w:rPr>
          <w:rStyle w:val="FootnoteReference"/>
          <w:rFonts w:ascii="Times New Roman" w:hAnsi="Times New Roman" w:cs="Times New Roman"/>
          <w:noProof/>
          <w:sz w:val="24"/>
          <w:szCs w:val="24"/>
        </w:rPr>
        <w:footnoteReference w:id="10"/>
      </w:r>
      <w:r w:rsidRPr="00E82C90">
        <w:rPr>
          <w:rFonts w:ascii="Times New Roman" w:hAnsi="Times New Roman"/>
          <w:noProof/>
          <w:sz w:val="24"/>
          <w:szCs w:val="24"/>
        </w:rPr>
        <w:t xml:space="preserve"> oraz wniosek ustawodawczy</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 xml:space="preserve">awie zwalczania emisji metanu, które mają wyraźny wymiar międzynarodowy. Na arenie międzynarodowej UE wraz ze Stanami Zjednoczonymi ustanowiła </w:t>
      </w:r>
      <w:r w:rsidRPr="00E82C90">
        <w:rPr>
          <w:rFonts w:ascii="Times New Roman" w:hAnsi="Times New Roman"/>
          <w:b/>
          <w:bCs/>
          <w:noProof/>
          <w:sz w:val="24"/>
          <w:szCs w:val="24"/>
        </w:rPr>
        <w:t>globalne zobowiązanie dotyczące metanu</w:t>
      </w:r>
      <w:r w:rsidR="00035E17" w:rsidRPr="00E82C90">
        <w:rPr>
          <w:rStyle w:val="FootnoteReference"/>
          <w:rFonts w:ascii="Times New Roman" w:hAnsi="Times New Roman" w:cs="Times New Roman"/>
          <w:noProof/>
          <w:sz w:val="24"/>
          <w:szCs w:val="24"/>
        </w:rPr>
        <w:footnoteReference w:id="11"/>
      </w:r>
      <w:r w:rsidRPr="00E82C90">
        <w:rPr>
          <w:rFonts w:ascii="Times New Roman" w:hAnsi="Times New Roman"/>
          <w:noProof/>
          <w:sz w:val="24"/>
          <w:szCs w:val="24"/>
        </w:rPr>
        <w:t>. Państwa uczestniczące zobowiązują się do zmniejszenia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r. swoich wspólnych emisji metanu o co najmniej 30</w:t>
      </w:r>
      <w:r w:rsidR="00E82C90" w:rsidRPr="00E82C90">
        <w:rPr>
          <w:rFonts w:ascii="Times New Roman" w:hAnsi="Times New Roman"/>
          <w:noProof/>
          <w:sz w:val="24"/>
          <w:szCs w:val="24"/>
        </w:rPr>
        <w:t> </w:t>
      </w:r>
      <w:r w:rsidRPr="00E82C90">
        <w:rPr>
          <w:rFonts w:ascii="Times New Roman" w:hAnsi="Times New Roman"/>
          <w:noProof/>
          <w:sz w:val="24"/>
          <w:szCs w:val="24"/>
        </w:rPr>
        <w:t>%</w:t>
      </w:r>
      <w:r w:rsidR="00E82C90" w:rsidRPr="00E82C90">
        <w:rPr>
          <w:rFonts w:ascii="Times New Roman" w:hAnsi="Times New Roman"/>
          <w:noProof/>
          <w:sz w:val="24"/>
          <w:szCs w:val="24"/>
        </w:rPr>
        <w:t xml:space="preserve"> w sto</w:t>
      </w:r>
      <w:r w:rsidRPr="00E82C90">
        <w:rPr>
          <w:rFonts w:ascii="Times New Roman" w:hAnsi="Times New Roman"/>
          <w:noProof/>
          <w:sz w:val="24"/>
          <w:szCs w:val="24"/>
        </w:rPr>
        <w:t>sunku do poziomu</w:t>
      </w:r>
      <w:r w:rsidR="00E82C90" w:rsidRPr="00E82C90">
        <w:rPr>
          <w:rFonts w:ascii="Times New Roman" w:hAnsi="Times New Roman"/>
          <w:noProof/>
          <w:sz w:val="24"/>
          <w:szCs w:val="24"/>
        </w:rPr>
        <w:t xml:space="preserve"> z 2</w:t>
      </w:r>
      <w:r w:rsidRPr="00E82C90">
        <w:rPr>
          <w:rFonts w:ascii="Times New Roman" w:hAnsi="Times New Roman"/>
          <w:noProof/>
          <w:sz w:val="24"/>
          <w:szCs w:val="24"/>
        </w:rPr>
        <w:t>020</w:t>
      </w:r>
      <w:r w:rsidR="00E82C90" w:rsidRPr="00E82C90">
        <w:rPr>
          <w:rFonts w:ascii="Times New Roman" w:hAnsi="Times New Roman"/>
          <w:noProof/>
          <w:sz w:val="24"/>
          <w:szCs w:val="24"/>
        </w:rPr>
        <w:t> </w:t>
      </w:r>
      <w:r w:rsidRPr="00E82C90">
        <w:rPr>
          <w:rFonts w:ascii="Times New Roman" w:hAnsi="Times New Roman"/>
          <w:noProof/>
          <w:sz w:val="24"/>
          <w:szCs w:val="24"/>
        </w:rPr>
        <w:t>r. Do zobowiązania tego przyłączyło się już ponad 110 państw, które odpowiadają za około połowę światowych emisji metanu spowodowanych działalnością człowieka.</w:t>
      </w:r>
    </w:p>
    <w:p w14:paraId="42A02DD2" w14:textId="77777777" w:rsidR="00FE4786" w:rsidRPr="00E82C90" w:rsidRDefault="00CD794A" w:rsidP="00FE4786">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6D07F79D" w14:textId="03620B32" w:rsidR="00096E58" w:rsidRPr="00E82C90" w:rsidRDefault="00CD794A" w:rsidP="00DF6A64">
      <w:pPr>
        <w:pStyle w:val="ListParagraph"/>
        <w:numPr>
          <w:ilvl w:val="0"/>
          <w:numId w:val="4"/>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współpraca</w:t>
      </w:r>
      <w:r w:rsidR="00E82C90" w:rsidRPr="00E82C90">
        <w:rPr>
          <w:rFonts w:ascii="Times New Roman" w:hAnsi="Times New Roman"/>
          <w:b/>
          <w:bCs/>
          <w:noProof/>
          <w:sz w:val="24"/>
          <w:szCs w:val="24"/>
        </w:rPr>
        <w:t xml:space="preserve"> z par</w:t>
      </w:r>
      <w:r w:rsidRPr="00E82C90">
        <w:rPr>
          <w:rFonts w:ascii="Times New Roman" w:hAnsi="Times New Roman"/>
          <w:b/>
          <w:bCs/>
          <w:noProof/>
          <w:sz w:val="24"/>
          <w:szCs w:val="24"/>
        </w:rPr>
        <w:t>tnerami</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uczynienia efektywności energetycznej</w:t>
      </w:r>
      <w:r w:rsidR="00E82C90" w:rsidRPr="00E82C90">
        <w:rPr>
          <w:rFonts w:ascii="Times New Roman" w:hAnsi="Times New Roman"/>
          <w:b/>
          <w:bCs/>
          <w:noProof/>
          <w:sz w:val="24"/>
          <w:szCs w:val="24"/>
        </w:rPr>
        <w:t xml:space="preserve"> i osz</w:t>
      </w:r>
      <w:r w:rsidRPr="00E82C90">
        <w:rPr>
          <w:rFonts w:ascii="Times New Roman" w:hAnsi="Times New Roman"/>
          <w:b/>
          <w:bCs/>
          <w:noProof/>
          <w:sz w:val="24"/>
          <w:szCs w:val="24"/>
        </w:rPr>
        <w:t>czędności</w:t>
      </w:r>
      <w:r w:rsidR="00FE4786" w:rsidRPr="00E82C90">
        <w:rPr>
          <w:rFonts w:ascii="Times New Roman" w:hAnsi="Times New Roman"/>
          <w:b/>
          <w:bCs/>
          <w:noProof/>
          <w:sz w:val="24"/>
          <w:szCs w:val="24"/>
        </w:rPr>
        <w:t xml:space="preserve"> energii globalnym priorytetem</w:t>
      </w:r>
    </w:p>
    <w:p w14:paraId="65B329CF" w14:textId="6F27E58E" w:rsidR="00DA653C" w:rsidRPr="00E82C90" w:rsidRDefault="0089147C" w:rsidP="00DA653C">
      <w:pPr>
        <w:pStyle w:val="ListParagraph"/>
        <w:numPr>
          <w:ilvl w:val="0"/>
          <w:numId w:val="4"/>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wspieranie globalnego przejścia na gospodarkę</w:t>
      </w:r>
      <w:r w:rsidR="00E82C90" w:rsidRPr="00E82C90">
        <w:rPr>
          <w:rFonts w:ascii="Times New Roman" w:hAnsi="Times New Roman"/>
          <w:b/>
          <w:bCs/>
          <w:noProof/>
          <w:sz w:val="24"/>
          <w:szCs w:val="24"/>
        </w:rPr>
        <w:t xml:space="preserve"> o bar</w:t>
      </w:r>
      <w:r w:rsidRPr="00E82C90">
        <w:rPr>
          <w:rFonts w:ascii="Times New Roman" w:hAnsi="Times New Roman"/>
          <w:b/>
          <w:bCs/>
          <w:noProof/>
          <w:sz w:val="24"/>
          <w:szCs w:val="24"/>
        </w:rPr>
        <w:t>dziej zamkniętym obiegu</w:t>
      </w:r>
      <w:r w:rsidR="00E82C90" w:rsidRPr="00E82C90">
        <w:rPr>
          <w:rFonts w:ascii="Times New Roman" w:hAnsi="Times New Roman"/>
          <w:b/>
          <w:bCs/>
          <w:noProof/>
          <w:sz w:val="24"/>
          <w:szCs w:val="24"/>
        </w:rPr>
        <w:t xml:space="preserve"> w cel</w:t>
      </w:r>
      <w:r w:rsidR="00FE4786" w:rsidRPr="00E82C90">
        <w:rPr>
          <w:rFonts w:ascii="Times New Roman" w:hAnsi="Times New Roman"/>
          <w:b/>
          <w:bCs/>
          <w:noProof/>
          <w:sz w:val="24"/>
          <w:szCs w:val="24"/>
        </w:rPr>
        <w:t>u ograniczenia zużycia energii</w:t>
      </w:r>
    </w:p>
    <w:p w14:paraId="36559F49" w14:textId="441E3AF5" w:rsidR="00BE0B37" w:rsidRPr="00E82C90" w:rsidRDefault="00AB4758" w:rsidP="006A4A8A">
      <w:pPr>
        <w:pStyle w:val="ListParagraph"/>
        <w:numPr>
          <w:ilvl w:val="0"/>
          <w:numId w:val="4"/>
        </w:numPr>
        <w:jc w:val="both"/>
        <w:rPr>
          <w:rFonts w:ascii="Times New Roman" w:hAnsi="Times New Roman" w:cs="Times New Roman"/>
          <w:b/>
          <w:bCs/>
          <w:noProof/>
          <w:sz w:val="24"/>
          <w:szCs w:val="24"/>
        </w:rPr>
      </w:pPr>
      <w:r w:rsidRPr="00E82C90">
        <w:rPr>
          <w:rFonts w:ascii="Times New Roman" w:hAnsi="Times New Roman"/>
          <w:b/>
          <w:bCs/>
          <w:noProof/>
          <w:sz w:val="24"/>
          <w:szCs w:val="24"/>
        </w:rPr>
        <w:t>zwiększenie dostępności</w:t>
      </w:r>
      <w:r w:rsidR="00E82C90" w:rsidRPr="00E82C90">
        <w:rPr>
          <w:rFonts w:ascii="Times New Roman" w:hAnsi="Times New Roman"/>
          <w:b/>
          <w:bCs/>
          <w:noProof/>
          <w:sz w:val="24"/>
          <w:szCs w:val="24"/>
        </w:rPr>
        <w:t xml:space="preserve"> i uła</w:t>
      </w:r>
      <w:r w:rsidRPr="00E82C90">
        <w:rPr>
          <w:rFonts w:ascii="Times New Roman" w:hAnsi="Times New Roman"/>
          <w:b/>
          <w:bCs/>
          <w:noProof/>
          <w:sz w:val="24"/>
          <w:szCs w:val="24"/>
        </w:rPr>
        <w:t>twienie dostępu do finansowania inwestycji</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efektywności energ</w:t>
      </w:r>
      <w:r w:rsidR="00FE4786" w:rsidRPr="00E82C90">
        <w:rPr>
          <w:rFonts w:ascii="Times New Roman" w:hAnsi="Times New Roman"/>
          <w:b/>
          <w:bCs/>
          <w:noProof/>
          <w:sz w:val="24"/>
          <w:szCs w:val="24"/>
        </w:rPr>
        <w:t>etycznej</w:t>
      </w:r>
      <w:r w:rsidR="00E82C90" w:rsidRPr="00E82C90">
        <w:rPr>
          <w:rFonts w:ascii="Times New Roman" w:hAnsi="Times New Roman"/>
          <w:b/>
          <w:bCs/>
          <w:noProof/>
          <w:sz w:val="24"/>
          <w:szCs w:val="24"/>
        </w:rPr>
        <w:t xml:space="preserve"> i osz</w:t>
      </w:r>
      <w:r w:rsidR="00FE4786" w:rsidRPr="00E82C90">
        <w:rPr>
          <w:rFonts w:ascii="Times New Roman" w:hAnsi="Times New Roman"/>
          <w:b/>
          <w:bCs/>
          <w:noProof/>
          <w:sz w:val="24"/>
          <w:szCs w:val="24"/>
        </w:rPr>
        <w:t>czędzania energii</w:t>
      </w:r>
    </w:p>
    <w:p w14:paraId="0DCC7695" w14:textId="0030E03D" w:rsidR="000D3D89" w:rsidRPr="00E82C90" w:rsidRDefault="0089147C" w:rsidP="000D3D89">
      <w:pPr>
        <w:pStyle w:val="ListParagraph"/>
        <w:numPr>
          <w:ilvl w:val="0"/>
          <w:numId w:val="4"/>
        </w:numPr>
        <w:jc w:val="both"/>
        <w:rPr>
          <w:rFonts w:ascii="Times New Roman" w:hAnsi="Times New Roman" w:cs="Times New Roman"/>
          <w:b/>
          <w:bCs/>
          <w:noProof/>
          <w:sz w:val="24"/>
          <w:szCs w:val="24"/>
        </w:rPr>
      </w:pPr>
      <w:r w:rsidRPr="00E82C90">
        <w:rPr>
          <w:rFonts w:ascii="Times New Roman" w:hAnsi="Times New Roman"/>
          <w:b/>
          <w:bCs/>
          <w:noProof/>
          <w:sz w:val="24"/>
          <w:szCs w:val="24"/>
        </w:rPr>
        <w:t xml:space="preserve">realizacja globalnego zobowiązania dotyczącego metanu oraz zewnętrznego wymiaru strategii UE na rzecz ograniczenia emisji </w:t>
      </w:r>
      <w:r w:rsidR="00FE4786" w:rsidRPr="00E82C90">
        <w:rPr>
          <w:rFonts w:ascii="Times New Roman" w:hAnsi="Times New Roman"/>
          <w:b/>
          <w:bCs/>
          <w:noProof/>
          <w:sz w:val="24"/>
          <w:szCs w:val="24"/>
        </w:rPr>
        <w:t>metanu</w:t>
      </w:r>
    </w:p>
    <w:bookmarkEnd w:id="7"/>
    <w:p w14:paraId="7FD2B758" w14:textId="4475126E" w:rsidR="005A1A2C" w:rsidRPr="00E82C90" w:rsidRDefault="002815EA" w:rsidP="005A1A2C">
      <w:pPr>
        <w:pStyle w:val="Heading1"/>
        <w:numPr>
          <w:ilvl w:val="0"/>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Wspieranie partnerów dotkniętych inwazją Rosji na Ukrainę</w:t>
      </w:r>
    </w:p>
    <w:p w14:paraId="51D0A0D5" w14:textId="18BE0964" w:rsidR="00DD11D8" w:rsidRPr="00E82C90" w:rsidRDefault="00DD11D8" w:rsidP="0009606D">
      <w:pPr>
        <w:pStyle w:val="Heading1"/>
        <w:tabs>
          <w:tab w:val="left" w:pos="1950"/>
        </w:tabs>
        <w:spacing w:after="240"/>
        <w:jc w:val="both"/>
        <w:rPr>
          <w:rFonts w:ascii="Times New Roman" w:eastAsiaTheme="minorHAnsi" w:hAnsi="Times New Roman" w:cs="Times New Roman"/>
          <w:noProof/>
          <w:color w:val="auto"/>
          <w:sz w:val="24"/>
          <w:szCs w:val="24"/>
        </w:rPr>
      </w:pPr>
      <w:r w:rsidRPr="00E82C90">
        <w:rPr>
          <w:rFonts w:ascii="Times New Roman" w:hAnsi="Times New Roman"/>
          <w:noProof/>
          <w:color w:val="auto"/>
          <w:sz w:val="24"/>
          <w:szCs w:val="24"/>
        </w:rPr>
        <w:t>We wszystkich swoich wymiarach rosyjska agresja wojskowa wywołuje niepokojące systemowe efekty domina</w:t>
      </w:r>
      <w:r w:rsidR="00E82C90" w:rsidRPr="00E82C90">
        <w:rPr>
          <w:rFonts w:ascii="Times New Roman" w:hAnsi="Times New Roman"/>
          <w:noProof/>
          <w:color w:val="auto"/>
          <w:sz w:val="24"/>
          <w:szCs w:val="24"/>
        </w:rPr>
        <w:t xml:space="preserve"> w gos</w:t>
      </w:r>
      <w:r w:rsidRPr="00E82C90">
        <w:rPr>
          <w:rFonts w:ascii="Times New Roman" w:hAnsi="Times New Roman"/>
          <w:noProof/>
          <w:color w:val="auto"/>
          <w:sz w:val="24"/>
          <w:szCs w:val="24"/>
        </w:rPr>
        <w:t>podarce światowej, która już</w:t>
      </w:r>
      <w:r w:rsidR="00E82C90" w:rsidRPr="00E82C90">
        <w:rPr>
          <w:rFonts w:ascii="Times New Roman" w:hAnsi="Times New Roman"/>
          <w:noProof/>
          <w:color w:val="auto"/>
          <w:sz w:val="24"/>
          <w:szCs w:val="24"/>
        </w:rPr>
        <w:t xml:space="preserve"> i tak</w:t>
      </w:r>
      <w:r w:rsidRPr="00E82C90">
        <w:rPr>
          <w:rFonts w:ascii="Times New Roman" w:hAnsi="Times New Roman"/>
          <w:noProof/>
          <w:color w:val="auto"/>
          <w:sz w:val="24"/>
          <w:szCs w:val="24"/>
        </w:rPr>
        <w:t xml:space="preserve"> została poturbowana przez pandemię COVID-19</w:t>
      </w:r>
      <w:r w:rsidR="00E82C90" w:rsidRPr="00E82C90">
        <w:rPr>
          <w:rFonts w:ascii="Times New Roman" w:hAnsi="Times New Roman"/>
          <w:noProof/>
          <w:color w:val="auto"/>
          <w:sz w:val="24"/>
          <w:szCs w:val="24"/>
        </w:rPr>
        <w:t xml:space="preserve"> i zmi</w:t>
      </w:r>
      <w:r w:rsidRPr="00E82C90">
        <w:rPr>
          <w:rFonts w:ascii="Times New Roman" w:hAnsi="Times New Roman"/>
          <w:noProof/>
          <w:color w:val="auto"/>
          <w:sz w:val="24"/>
          <w:szCs w:val="24"/>
        </w:rPr>
        <w:t xml:space="preserve">anę klimatu, przy czym szczególnie dramatyczny wpływ ma na kraje rozwijające się. </w:t>
      </w:r>
    </w:p>
    <w:p w14:paraId="4BB6DA94" w14:textId="3A8F594E" w:rsidR="00DD11D8" w:rsidRPr="00E82C90" w:rsidRDefault="004B41FD" w:rsidP="00DD11D8">
      <w:pPr>
        <w:jc w:val="both"/>
        <w:rPr>
          <w:rFonts w:ascii="Times New Roman" w:hAnsi="Times New Roman" w:cs="Times New Roman"/>
          <w:noProof/>
          <w:sz w:val="24"/>
          <w:szCs w:val="24"/>
        </w:rPr>
      </w:pPr>
      <w:r w:rsidRPr="00E82C90">
        <w:rPr>
          <w:rFonts w:ascii="Times New Roman" w:hAnsi="Times New Roman"/>
          <w:noProof/>
          <w:sz w:val="24"/>
          <w:szCs w:val="24"/>
        </w:rPr>
        <w:t>Według ostatnich prognoz UNCTAD</w:t>
      </w:r>
      <w:r w:rsidR="00DD11D8" w:rsidRPr="00E82C90">
        <w:rPr>
          <w:rStyle w:val="FootnoteReference"/>
          <w:rFonts w:ascii="Times New Roman" w:hAnsi="Times New Roman" w:cs="Times New Roman"/>
          <w:noProof/>
          <w:sz w:val="24"/>
          <w:szCs w:val="24"/>
        </w:rPr>
        <w:footnoteReference w:id="12"/>
      </w:r>
      <w:r w:rsidRPr="00E82C90">
        <w:rPr>
          <w:rFonts w:ascii="Times New Roman" w:hAnsi="Times New Roman"/>
          <w:noProof/>
          <w:sz w:val="24"/>
          <w:szCs w:val="24"/>
        </w:rPr>
        <w:t xml:space="preserve"> wzrost PKB</w:t>
      </w:r>
      <w:r w:rsidR="00E82C90" w:rsidRPr="00E82C90">
        <w:rPr>
          <w:rFonts w:ascii="Times New Roman" w:hAnsi="Times New Roman"/>
          <w:noProof/>
          <w:sz w:val="24"/>
          <w:szCs w:val="24"/>
        </w:rPr>
        <w:t xml:space="preserve"> w gos</w:t>
      </w:r>
      <w:r w:rsidRPr="00E82C90">
        <w:rPr>
          <w:rFonts w:ascii="Times New Roman" w:hAnsi="Times New Roman"/>
          <w:noProof/>
          <w:sz w:val="24"/>
          <w:szCs w:val="24"/>
        </w:rPr>
        <w:t>podarce światowej będzie</w:t>
      </w:r>
      <w:r w:rsidR="00E82C90" w:rsidRPr="00E82C90">
        <w:rPr>
          <w:rFonts w:ascii="Times New Roman" w:hAnsi="Times New Roman"/>
          <w:noProof/>
          <w:sz w:val="24"/>
          <w:szCs w:val="24"/>
        </w:rPr>
        <w:t xml:space="preserve"> o cał</w:t>
      </w:r>
      <w:r w:rsidRPr="00E82C90">
        <w:rPr>
          <w:rFonts w:ascii="Times New Roman" w:hAnsi="Times New Roman"/>
          <w:noProof/>
          <w:sz w:val="24"/>
          <w:szCs w:val="24"/>
        </w:rPr>
        <w:t>y punkt procentowy niższy niż oczekiwano</w:t>
      </w:r>
      <w:r w:rsidR="00E82C90" w:rsidRPr="00E82C90">
        <w:rPr>
          <w:rFonts w:ascii="Times New Roman" w:hAnsi="Times New Roman"/>
          <w:noProof/>
          <w:sz w:val="24"/>
          <w:szCs w:val="24"/>
        </w:rPr>
        <w:t xml:space="preserve"> z pow</w:t>
      </w:r>
      <w:r w:rsidRPr="00E82C90">
        <w:rPr>
          <w:rFonts w:ascii="Times New Roman" w:hAnsi="Times New Roman"/>
          <w:noProof/>
          <w:sz w:val="24"/>
          <w:szCs w:val="24"/>
        </w:rPr>
        <w:t>odu inwazji Rosji na Ukrainę, która poważnie zakłóca</w:t>
      </w:r>
      <w:r w:rsidR="00E82C90" w:rsidRPr="00E82C90">
        <w:rPr>
          <w:rFonts w:ascii="Times New Roman" w:hAnsi="Times New Roman"/>
          <w:noProof/>
          <w:sz w:val="24"/>
          <w:szCs w:val="24"/>
        </w:rPr>
        <w:t xml:space="preserve"> i tak</w:t>
      </w:r>
      <w:r w:rsidRPr="00E82C90">
        <w:rPr>
          <w:rFonts w:ascii="Times New Roman" w:hAnsi="Times New Roman"/>
          <w:noProof/>
          <w:sz w:val="24"/>
          <w:szCs w:val="24"/>
        </w:rPr>
        <w:t xml:space="preserve"> już napiętą sytuację na rynkach żywności, energii</w:t>
      </w:r>
      <w:r w:rsidR="00E82C90" w:rsidRPr="00E82C90">
        <w:rPr>
          <w:rFonts w:ascii="Times New Roman" w:hAnsi="Times New Roman"/>
          <w:noProof/>
          <w:sz w:val="24"/>
          <w:szCs w:val="24"/>
        </w:rPr>
        <w:t xml:space="preserve"> i fin</w:t>
      </w:r>
      <w:r w:rsidRPr="00E82C90">
        <w:rPr>
          <w:rFonts w:ascii="Times New Roman" w:hAnsi="Times New Roman"/>
          <w:noProof/>
          <w:sz w:val="24"/>
          <w:szCs w:val="24"/>
        </w:rPr>
        <w:t>ansowych</w:t>
      </w:r>
      <w:r w:rsidR="00DD11D8" w:rsidRPr="00E82C90">
        <w:rPr>
          <w:rStyle w:val="FootnoteReference"/>
          <w:rFonts w:ascii="Times New Roman" w:hAnsi="Times New Roman" w:cs="Times New Roman"/>
          <w:noProof/>
          <w:sz w:val="24"/>
          <w:szCs w:val="24"/>
        </w:rPr>
        <w:footnoteReference w:id="13"/>
      </w:r>
      <w:r w:rsidRPr="00E82C90">
        <w:rPr>
          <w:rFonts w:ascii="Times New Roman" w:hAnsi="Times New Roman"/>
          <w:noProof/>
          <w:sz w:val="24"/>
          <w:szCs w:val="24"/>
        </w:rPr>
        <w:t>. Ceny towarów osiągają rekordowe wysokości: ceny ropy naftowej wzrosły</w:t>
      </w:r>
      <w:r w:rsidR="00E82C90" w:rsidRPr="00E82C90">
        <w:rPr>
          <w:rFonts w:ascii="Times New Roman" w:hAnsi="Times New Roman"/>
          <w:noProof/>
          <w:sz w:val="24"/>
          <w:szCs w:val="24"/>
        </w:rPr>
        <w:t xml:space="preserve"> o oko</w:t>
      </w:r>
      <w:r w:rsidRPr="00E82C90">
        <w:rPr>
          <w:rFonts w:ascii="Times New Roman" w:hAnsi="Times New Roman"/>
          <w:noProof/>
          <w:sz w:val="24"/>
          <w:szCs w:val="24"/>
        </w:rPr>
        <w:t>ło 60</w:t>
      </w:r>
      <w:r w:rsidR="00E82C90" w:rsidRPr="00E82C90">
        <w:rPr>
          <w:rFonts w:ascii="Times New Roman" w:hAnsi="Times New Roman"/>
          <w:noProof/>
          <w:sz w:val="24"/>
          <w:szCs w:val="24"/>
        </w:rPr>
        <w:t> </w:t>
      </w:r>
      <w:r w:rsidRPr="00E82C90">
        <w:rPr>
          <w:rFonts w:ascii="Times New Roman" w:hAnsi="Times New Roman"/>
          <w:noProof/>
          <w:sz w:val="24"/>
          <w:szCs w:val="24"/>
        </w:rPr>
        <w:t>%, ceny gazu</w:t>
      </w:r>
      <w:r w:rsidR="00E82C90" w:rsidRPr="00E82C90">
        <w:rPr>
          <w:rFonts w:ascii="Times New Roman" w:hAnsi="Times New Roman"/>
          <w:noProof/>
          <w:sz w:val="24"/>
          <w:szCs w:val="24"/>
        </w:rPr>
        <w:t xml:space="preserve"> i naw</w:t>
      </w:r>
      <w:r w:rsidRPr="00E82C90">
        <w:rPr>
          <w:rFonts w:ascii="Times New Roman" w:hAnsi="Times New Roman"/>
          <w:noProof/>
          <w:sz w:val="24"/>
          <w:szCs w:val="24"/>
        </w:rPr>
        <w:t>ozów – ponad dwukrotnie,</w:t>
      </w:r>
      <w:r w:rsidR="00E82C90" w:rsidRPr="00E82C90">
        <w:rPr>
          <w:rFonts w:ascii="Times New Roman" w:hAnsi="Times New Roman"/>
          <w:noProof/>
          <w:sz w:val="24"/>
          <w:szCs w:val="24"/>
        </w:rPr>
        <w:t xml:space="preserve"> a cen</w:t>
      </w:r>
      <w:r w:rsidRPr="00E82C90">
        <w:rPr>
          <w:rFonts w:ascii="Times New Roman" w:hAnsi="Times New Roman"/>
          <w:noProof/>
          <w:sz w:val="24"/>
          <w:szCs w:val="24"/>
        </w:rPr>
        <w:t>y żywności są</w:t>
      </w:r>
      <w:r w:rsidR="00E82C90" w:rsidRPr="00E82C90">
        <w:rPr>
          <w:rFonts w:ascii="Times New Roman" w:hAnsi="Times New Roman"/>
          <w:noProof/>
          <w:sz w:val="24"/>
          <w:szCs w:val="24"/>
        </w:rPr>
        <w:t xml:space="preserve"> o 3</w:t>
      </w:r>
      <w:r w:rsidRPr="00E82C90">
        <w:rPr>
          <w:rFonts w:ascii="Times New Roman" w:hAnsi="Times New Roman"/>
          <w:noProof/>
          <w:sz w:val="24"/>
          <w:szCs w:val="24"/>
        </w:rPr>
        <w:t>4</w:t>
      </w:r>
      <w:r w:rsidR="00E82C90" w:rsidRPr="00E82C90">
        <w:rPr>
          <w:rFonts w:ascii="Times New Roman" w:hAnsi="Times New Roman"/>
          <w:noProof/>
          <w:sz w:val="24"/>
          <w:szCs w:val="24"/>
        </w:rPr>
        <w:t> </w:t>
      </w:r>
      <w:r w:rsidRPr="00E82C90">
        <w:rPr>
          <w:rFonts w:ascii="Times New Roman" w:hAnsi="Times New Roman"/>
          <w:noProof/>
          <w:sz w:val="24"/>
          <w:szCs w:val="24"/>
        </w:rPr>
        <w:t>% wyższe niż</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samym czasie</w:t>
      </w:r>
      <w:r w:rsidR="00E82C90" w:rsidRPr="00E82C90">
        <w:rPr>
          <w:rFonts w:ascii="Times New Roman" w:hAnsi="Times New Roman"/>
          <w:noProof/>
          <w:sz w:val="24"/>
          <w:szCs w:val="24"/>
        </w:rPr>
        <w:t xml:space="preserve"> w ubi</w:t>
      </w:r>
      <w:r w:rsidRPr="00E82C90">
        <w:rPr>
          <w:rFonts w:ascii="Times New Roman" w:hAnsi="Times New Roman"/>
          <w:noProof/>
          <w:sz w:val="24"/>
          <w:szCs w:val="24"/>
        </w:rPr>
        <w:t>egłym roku.</w:t>
      </w:r>
    </w:p>
    <w:p w14:paraId="40EC3961" w14:textId="77B1DB4E" w:rsidR="00DD11D8" w:rsidRPr="00E82C90" w:rsidRDefault="00482599" w:rsidP="00DD11D8">
      <w:pPr>
        <w:jc w:val="both"/>
        <w:rPr>
          <w:rFonts w:ascii="Times New Roman" w:hAnsi="Times New Roman" w:cs="Times New Roman"/>
          <w:noProof/>
          <w:sz w:val="24"/>
          <w:szCs w:val="24"/>
        </w:rPr>
      </w:pPr>
      <w:r w:rsidRPr="00E82C90">
        <w:rPr>
          <w:rFonts w:ascii="Times New Roman" w:hAnsi="Times New Roman"/>
          <w:noProof/>
          <w:sz w:val="24"/>
          <w:szCs w:val="24"/>
        </w:rPr>
        <w:t>Z ostatnich ocen Organizacji Narodów Zjednoczonych wynika, że jedna trzecia</w:t>
      </w:r>
      <w:r w:rsidR="00E82C90" w:rsidRPr="00E82C90">
        <w:rPr>
          <w:rFonts w:ascii="Times New Roman" w:hAnsi="Times New Roman"/>
          <w:noProof/>
          <w:sz w:val="24"/>
          <w:szCs w:val="24"/>
        </w:rPr>
        <w:t xml:space="preserve"> z 1</w:t>
      </w:r>
      <w:r w:rsidRPr="00E82C90">
        <w:rPr>
          <w:rFonts w:ascii="Times New Roman" w:hAnsi="Times New Roman"/>
          <w:noProof/>
          <w:sz w:val="24"/>
          <w:szCs w:val="24"/>
        </w:rPr>
        <w:t>,7 mld ludzi już żyjących</w:t>
      </w:r>
      <w:r w:rsidR="00E82C90" w:rsidRPr="00E82C90">
        <w:rPr>
          <w:rFonts w:ascii="Times New Roman" w:hAnsi="Times New Roman"/>
          <w:noProof/>
          <w:sz w:val="24"/>
          <w:szCs w:val="24"/>
        </w:rPr>
        <w:t xml:space="preserve"> w ubó</w:t>
      </w:r>
      <w:r w:rsidRPr="00E82C90">
        <w:rPr>
          <w:rFonts w:ascii="Times New Roman" w:hAnsi="Times New Roman"/>
          <w:noProof/>
          <w:sz w:val="24"/>
          <w:szCs w:val="24"/>
        </w:rPr>
        <w:t>stwie będzie narażona na zakłócenia</w:t>
      </w:r>
      <w:r w:rsidR="00E82C90" w:rsidRPr="00E82C90">
        <w:rPr>
          <w:rFonts w:ascii="Times New Roman" w:hAnsi="Times New Roman"/>
          <w:noProof/>
          <w:sz w:val="24"/>
          <w:szCs w:val="24"/>
        </w:rPr>
        <w:t xml:space="preserve"> w sys</w:t>
      </w:r>
      <w:r w:rsidRPr="00E82C90">
        <w:rPr>
          <w:rFonts w:ascii="Times New Roman" w:hAnsi="Times New Roman"/>
          <w:noProof/>
          <w:sz w:val="24"/>
          <w:szCs w:val="24"/>
        </w:rPr>
        <w:t>temach żywnościowych, energetycznych</w:t>
      </w:r>
      <w:r w:rsidR="00E82C90" w:rsidRPr="00E82C90">
        <w:rPr>
          <w:rFonts w:ascii="Times New Roman" w:hAnsi="Times New Roman"/>
          <w:noProof/>
          <w:sz w:val="24"/>
          <w:szCs w:val="24"/>
        </w:rPr>
        <w:t xml:space="preserve"> i fin</w:t>
      </w:r>
      <w:r w:rsidRPr="00E82C90">
        <w:rPr>
          <w:rFonts w:ascii="Times New Roman" w:hAnsi="Times New Roman"/>
          <w:noProof/>
          <w:sz w:val="24"/>
          <w:szCs w:val="24"/>
        </w:rPr>
        <w:t>ansowych</w:t>
      </w:r>
      <w:r w:rsidR="005A74E7" w:rsidRPr="00E82C90">
        <w:rPr>
          <w:rStyle w:val="FootnoteReference"/>
          <w:rFonts w:ascii="Times New Roman" w:hAnsi="Times New Roman" w:cs="Times New Roman"/>
          <w:noProof/>
          <w:sz w:val="24"/>
          <w:szCs w:val="24"/>
        </w:rPr>
        <w:footnoteReference w:id="14"/>
      </w:r>
      <w:r w:rsidR="00E82C90" w:rsidRPr="00E82C90">
        <w:rPr>
          <w:rFonts w:ascii="Times New Roman" w:hAnsi="Times New Roman"/>
          <w:noProof/>
          <w:sz w:val="24"/>
          <w:szCs w:val="24"/>
        </w:rPr>
        <w:t>. W rez</w:t>
      </w:r>
      <w:r w:rsidRPr="00E82C90">
        <w:rPr>
          <w:rFonts w:ascii="Times New Roman" w:hAnsi="Times New Roman"/>
          <w:noProof/>
          <w:sz w:val="24"/>
          <w:szCs w:val="24"/>
        </w:rPr>
        <w:t>ultacie pozycja gospodarcza wielu krajów rozwijających się jeszcze bardziej się pogorszy,</w:t>
      </w:r>
      <w:r w:rsidR="00E82C90" w:rsidRPr="00E82C90">
        <w:rPr>
          <w:rFonts w:ascii="Times New Roman" w:hAnsi="Times New Roman"/>
          <w:noProof/>
          <w:sz w:val="24"/>
          <w:szCs w:val="24"/>
        </w:rPr>
        <w:t xml:space="preserve"> a ich</w:t>
      </w:r>
      <w:r w:rsidRPr="00E82C90">
        <w:rPr>
          <w:rFonts w:ascii="Times New Roman" w:hAnsi="Times New Roman"/>
          <w:noProof/>
          <w:sz w:val="24"/>
          <w:szCs w:val="24"/>
        </w:rPr>
        <w:t xml:space="preserve"> podatność na zagrożenia wzrośnie na skutek rosnących napięć geopolitycznych</w:t>
      </w:r>
      <w:r w:rsidR="00E82C90" w:rsidRPr="00E82C90">
        <w:rPr>
          <w:rFonts w:ascii="Times New Roman" w:hAnsi="Times New Roman"/>
          <w:noProof/>
          <w:sz w:val="24"/>
          <w:szCs w:val="24"/>
        </w:rPr>
        <w:t xml:space="preserve"> i pog</w:t>
      </w:r>
      <w:r w:rsidRPr="00E82C90">
        <w:rPr>
          <w:rFonts w:ascii="Times New Roman" w:hAnsi="Times New Roman"/>
          <w:noProof/>
          <w:sz w:val="24"/>
          <w:szCs w:val="24"/>
        </w:rPr>
        <w:t xml:space="preserve">łębiającej się niepewności gospodarczej. </w:t>
      </w:r>
    </w:p>
    <w:p w14:paraId="4162215E" w14:textId="55977B1E" w:rsidR="00FB1B84" w:rsidRPr="00E82C90" w:rsidRDefault="00DD11D8" w:rsidP="00FB1B84">
      <w:pPr>
        <w:spacing w:after="160"/>
        <w:jc w:val="both"/>
        <w:rPr>
          <w:rFonts w:ascii="Times New Roman" w:hAnsi="Times New Roman" w:cs="Times New Roman"/>
          <w:bCs/>
          <w:noProof/>
          <w:sz w:val="24"/>
          <w:szCs w:val="24"/>
        </w:rPr>
      </w:pPr>
      <w:r w:rsidRPr="00E82C90">
        <w:rPr>
          <w:rFonts w:ascii="Times New Roman" w:hAnsi="Times New Roman"/>
          <w:bCs/>
          <w:noProof/>
          <w:sz w:val="24"/>
          <w:szCs w:val="24"/>
        </w:rPr>
        <w:t xml:space="preserve">Uznając ten wpływ, </w:t>
      </w:r>
      <w:r w:rsidRPr="00E82C90">
        <w:rPr>
          <w:rFonts w:ascii="Times New Roman" w:hAnsi="Times New Roman"/>
          <w:b/>
          <w:noProof/>
          <w:sz w:val="24"/>
          <w:szCs w:val="24"/>
        </w:rPr>
        <w:t>Unia Europejska wykorzysta wszystkie istniejące instrumenty, aby nadal wspierać gospodarki rozwijające się</w:t>
      </w:r>
      <w:r w:rsidRPr="00E82C90">
        <w:rPr>
          <w:rFonts w:ascii="Times New Roman" w:hAnsi="Times New Roman"/>
          <w:bCs/>
          <w:noProof/>
          <w:sz w:val="24"/>
          <w:szCs w:val="24"/>
        </w:rPr>
        <w:t>, zwłaszcza</w:t>
      </w:r>
      <w:r w:rsidR="00E82C90" w:rsidRPr="00E82C90">
        <w:rPr>
          <w:rFonts w:ascii="Times New Roman" w:hAnsi="Times New Roman"/>
          <w:bCs/>
          <w:noProof/>
          <w:sz w:val="24"/>
          <w:szCs w:val="24"/>
        </w:rPr>
        <w:t xml:space="preserve"> w Afr</w:t>
      </w:r>
      <w:r w:rsidRPr="00E82C90">
        <w:rPr>
          <w:rFonts w:ascii="Times New Roman" w:hAnsi="Times New Roman"/>
          <w:bCs/>
          <w:noProof/>
          <w:sz w:val="24"/>
          <w:szCs w:val="24"/>
        </w:rPr>
        <w:t>yce</w:t>
      </w:r>
      <w:r w:rsidR="00E82C90" w:rsidRPr="00E82C90">
        <w:rPr>
          <w:rFonts w:ascii="Times New Roman" w:hAnsi="Times New Roman"/>
          <w:bCs/>
          <w:noProof/>
          <w:sz w:val="24"/>
          <w:szCs w:val="24"/>
        </w:rPr>
        <w:t xml:space="preserve"> i w sąs</w:t>
      </w:r>
      <w:r w:rsidRPr="00E82C90">
        <w:rPr>
          <w:rFonts w:ascii="Times New Roman" w:hAnsi="Times New Roman"/>
          <w:bCs/>
          <w:noProof/>
          <w:sz w:val="24"/>
          <w:szCs w:val="24"/>
        </w:rPr>
        <w:t>iedztwie UE,</w:t>
      </w:r>
      <w:r w:rsidR="00E82C90" w:rsidRPr="00E82C90">
        <w:rPr>
          <w:rFonts w:ascii="Times New Roman" w:hAnsi="Times New Roman"/>
          <w:bCs/>
          <w:noProof/>
          <w:sz w:val="24"/>
          <w:szCs w:val="24"/>
        </w:rPr>
        <w:t xml:space="preserve"> w wyc</w:t>
      </w:r>
      <w:r w:rsidRPr="00E82C90">
        <w:rPr>
          <w:rFonts w:ascii="Times New Roman" w:hAnsi="Times New Roman"/>
          <w:bCs/>
          <w:noProof/>
          <w:sz w:val="24"/>
          <w:szCs w:val="24"/>
        </w:rPr>
        <w:t>hodzeniu</w:t>
      </w:r>
      <w:r w:rsidR="00E82C90" w:rsidRPr="00E82C90">
        <w:rPr>
          <w:rFonts w:ascii="Times New Roman" w:hAnsi="Times New Roman"/>
          <w:bCs/>
          <w:noProof/>
          <w:sz w:val="24"/>
          <w:szCs w:val="24"/>
        </w:rPr>
        <w:t xml:space="preserve"> z pan</w:t>
      </w:r>
      <w:r w:rsidRPr="00E82C90">
        <w:rPr>
          <w:rFonts w:ascii="Times New Roman" w:hAnsi="Times New Roman"/>
          <w:bCs/>
          <w:noProof/>
          <w:sz w:val="24"/>
          <w:szCs w:val="24"/>
        </w:rPr>
        <w:t>demii COVID-19</w:t>
      </w:r>
      <w:r w:rsidR="00E82C90" w:rsidRPr="00E82C90">
        <w:rPr>
          <w:rFonts w:ascii="Times New Roman" w:hAnsi="Times New Roman"/>
          <w:bCs/>
          <w:noProof/>
          <w:sz w:val="24"/>
          <w:szCs w:val="24"/>
        </w:rPr>
        <w:t xml:space="preserve"> i osi</w:t>
      </w:r>
      <w:r w:rsidRPr="00E82C90">
        <w:rPr>
          <w:rFonts w:ascii="Times New Roman" w:hAnsi="Times New Roman"/>
          <w:bCs/>
          <w:noProof/>
          <w:sz w:val="24"/>
          <w:szCs w:val="24"/>
        </w:rPr>
        <w:t>ąganiu trwałego wzrostu gospodarczego sprzyjającego włączeniu społecznemu, przy jednoczesnym budowaniu odporności gospodarczej, która jest niezbędna, aby stawić czoła tym wstrząsom</w:t>
      </w:r>
      <w:r w:rsidR="00E82C90" w:rsidRPr="00E82C90">
        <w:rPr>
          <w:rFonts w:ascii="Times New Roman" w:hAnsi="Times New Roman"/>
          <w:bCs/>
          <w:noProof/>
          <w:sz w:val="24"/>
          <w:szCs w:val="24"/>
        </w:rPr>
        <w:t xml:space="preserve"> i kry</w:t>
      </w:r>
      <w:r w:rsidRPr="00E82C90">
        <w:rPr>
          <w:rFonts w:ascii="Times New Roman" w:hAnsi="Times New Roman"/>
          <w:bCs/>
          <w:noProof/>
          <w:sz w:val="24"/>
          <w:szCs w:val="24"/>
        </w:rPr>
        <w:t>zysowi związanemu ze zmianą klimatu. Zasadnicze znaczenie dla tych działań mają starania UE na rzecz wspierania sprawiedliwej</w:t>
      </w:r>
      <w:r w:rsidR="00E82C90" w:rsidRPr="00E82C90">
        <w:rPr>
          <w:rFonts w:ascii="Times New Roman" w:hAnsi="Times New Roman"/>
          <w:bCs/>
          <w:noProof/>
          <w:sz w:val="24"/>
          <w:szCs w:val="24"/>
        </w:rPr>
        <w:t xml:space="preserve"> i eko</w:t>
      </w:r>
      <w:r w:rsidRPr="00E82C90">
        <w:rPr>
          <w:rFonts w:ascii="Times New Roman" w:hAnsi="Times New Roman"/>
          <w:bCs/>
          <w:noProof/>
          <w:sz w:val="24"/>
          <w:szCs w:val="24"/>
        </w:rPr>
        <w:t>logicznej transformacji energetycznej na świecie, opisane</w:t>
      </w:r>
      <w:r w:rsidR="00E82C90" w:rsidRPr="00E82C90">
        <w:rPr>
          <w:rFonts w:ascii="Times New Roman" w:hAnsi="Times New Roman"/>
          <w:bCs/>
          <w:noProof/>
          <w:sz w:val="24"/>
          <w:szCs w:val="24"/>
        </w:rPr>
        <w:t xml:space="preserve"> w roz</w:t>
      </w:r>
      <w:r w:rsidRPr="00E82C90">
        <w:rPr>
          <w:rFonts w:ascii="Times New Roman" w:hAnsi="Times New Roman"/>
          <w:bCs/>
          <w:noProof/>
          <w:sz w:val="24"/>
          <w:szCs w:val="24"/>
        </w:rPr>
        <w:t>dziale 4. UE będzie monitorować wpływ agresji Rosji na partnerów</w:t>
      </w:r>
      <w:r w:rsidR="00E82C90" w:rsidRPr="00E82C90">
        <w:rPr>
          <w:rFonts w:ascii="Times New Roman" w:hAnsi="Times New Roman"/>
          <w:bCs/>
          <w:noProof/>
          <w:sz w:val="24"/>
          <w:szCs w:val="24"/>
        </w:rPr>
        <w:t xml:space="preserve"> i rea</w:t>
      </w:r>
      <w:r w:rsidRPr="00E82C90">
        <w:rPr>
          <w:rFonts w:ascii="Times New Roman" w:hAnsi="Times New Roman"/>
          <w:bCs/>
          <w:noProof/>
          <w:sz w:val="24"/>
          <w:szCs w:val="24"/>
        </w:rPr>
        <w:t>gować na niego poprzez dwustronne</w:t>
      </w:r>
      <w:r w:rsidR="00E82C90" w:rsidRPr="00E82C90">
        <w:rPr>
          <w:rFonts w:ascii="Times New Roman" w:hAnsi="Times New Roman"/>
          <w:bCs/>
          <w:noProof/>
          <w:sz w:val="24"/>
          <w:szCs w:val="24"/>
        </w:rPr>
        <w:t xml:space="preserve"> i wie</w:t>
      </w:r>
      <w:r w:rsidRPr="00E82C90">
        <w:rPr>
          <w:rFonts w:ascii="Times New Roman" w:hAnsi="Times New Roman"/>
          <w:bCs/>
          <w:noProof/>
          <w:sz w:val="24"/>
          <w:szCs w:val="24"/>
        </w:rPr>
        <w:t xml:space="preserve">lostronne zaangażowanie oraz działać na rzecz wspólnej globalnej reakcji. </w:t>
      </w:r>
    </w:p>
    <w:p w14:paraId="6CA6F8E6" w14:textId="4D655136" w:rsidR="00417C5C" w:rsidRPr="00E82C90" w:rsidRDefault="00584DFE" w:rsidP="00AA5D14">
      <w:pPr>
        <w:pStyle w:val="Heading1"/>
        <w:numPr>
          <w:ilvl w:val="1"/>
          <w:numId w:val="1"/>
        </w:numPr>
        <w:spacing w:after="240"/>
        <w:rPr>
          <w:rFonts w:ascii="Times New Roman" w:eastAsia="Times New Roman" w:hAnsi="Times New Roman" w:cs="Times New Roman"/>
          <w:b/>
          <w:noProof/>
          <w:color w:val="auto"/>
          <w:sz w:val="24"/>
          <w:szCs w:val="24"/>
        </w:rPr>
      </w:pPr>
      <w:bookmarkStart w:id="8" w:name="_Hlk103156533"/>
      <w:bookmarkStart w:id="9" w:name="_Hlk102921273"/>
      <w:r w:rsidRPr="00E82C90">
        <w:rPr>
          <w:rFonts w:ascii="Times New Roman" w:hAnsi="Times New Roman"/>
          <w:b/>
          <w:noProof/>
          <w:color w:val="auto"/>
          <w:sz w:val="24"/>
          <w:szCs w:val="24"/>
        </w:rPr>
        <w:t>Rozbudowa ukraińskiego systemu energetycznego</w:t>
      </w:r>
      <w:r w:rsidR="00E82C90" w:rsidRPr="00E82C90">
        <w:rPr>
          <w:rFonts w:ascii="Times New Roman" w:hAnsi="Times New Roman"/>
          <w:b/>
          <w:noProof/>
          <w:color w:val="auto"/>
          <w:sz w:val="24"/>
          <w:szCs w:val="24"/>
        </w:rPr>
        <w:t xml:space="preserve"> i wsp</w:t>
      </w:r>
      <w:r w:rsidRPr="00E82C90">
        <w:rPr>
          <w:rFonts w:ascii="Times New Roman" w:hAnsi="Times New Roman"/>
          <w:b/>
          <w:noProof/>
          <w:color w:val="auto"/>
          <w:sz w:val="24"/>
          <w:szCs w:val="24"/>
        </w:rPr>
        <w:t>ółpraca</w:t>
      </w:r>
      <w:r w:rsidR="00E82C90" w:rsidRPr="00E82C90">
        <w:rPr>
          <w:rFonts w:ascii="Times New Roman" w:hAnsi="Times New Roman"/>
          <w:b/>
          <w:noProof/>
          <w:color w:val="auto"/>
          <w:sz w:val="24"/>
          <w:szCs w:val="24"/>
        </w:rPr>
        <w:t xml:space="preserve"> z bli</w:t>
      </w:r>
      <w:r w:rsidRPr="00E82C90">
        <w:rPr>
          <w:rFonts w:ascii="Times New Roman" w:hAnsi="Times New Roman"/>
          <w:b/>
          <w:noProof/>
          <w:color w:val="auto"/>
          <w:sz w:val="24"/>
          <w:szCs w:val="24"/>
        </w:rPr>
        <w:t xml:space="preserve">skimi sąsiadami </w:t>
      </w:r>
    </w:p>
    <w:p w14:paraId="5CA78305" w14:textId="19C87064" w:rsidR="00DC37CE" w:rsidRPr="00E82C90" w:rsidRDefault="00DC37CE" w:rsidP="00DC37CE">
      <w:pPr>
        <w:spacing w:after="240"/>
        <w:jc w:val="both"/>
        <w:rPr>
          <w:rFonts w:ascii="Times New Roman" w:hAnsi="Times New Roman" w:cs="Times New Roman"/>
          <w:noProof/>
          <w:color w:val="000000"/>
          <w:sz w:val="24"/>
          <w:szCs w:val="24"/>
        </w:rPr>
      </w:pPr>
      <w:r w:rsidRPr="00E82C90">
        <w:rPr>
          <w:rFonts w:ascii="Times New Roman" w:hAnsi="Times New Roman"/>
          <w:noProof/>
          <w:color w:val="000000"/>
          <w:sz w:val="24"/>
          <w:szCs w:val="24"/>
        </w:rPr>
        <w:t>Od początku rosyjskiej agresji wojskowej pomoc Ukrainie</w:t>
      </w:r>
      <w:r w:rsidR="00E82C90" w:rsidRPr="00E82C90">
        <w:rPr>
          <w:rFonts w:ascii="Times New Roman" w:hAnsi="Times New Roman"/>
          <w:noProof/>
          <w:color w:val="000000"/>
          <w:sz w:val="24"/>
          <w:szCs w:val="24"/>
        </w:rPr>
        <w:t xml:space="preserve"> i inn</w:t>
      </w:r>
      <w:r w:rsidRPr="00E82C90">
        <w:rPr>
          <w:rFonts w:ascii="Times New Roman" w:hAnsi="Times New Roman"/>
          <w:noProof/>
          <w:color w:val="000000"/>
          <w:sz w:val="24"/>
          <w:szCs w:val="24"/>
        </w:rPr>
        <w:t>ym narodom bezpośrednio dotkniętym wojną była głównym elementem polityki energetycznej UE. Prace UE koncentrowały się na zapewnieniu nieprzerwanych dostaw energii</w:t>
      </w:r>
      <w:r w:rsidR="00E82C90" w:rsidRPr="00E82C90">
        <w:rPr>
          <w:rFonts w:ascii="Times New Roman" w:hAnsi="Times New Roman"/>
          <w:noProof/>
          <w:color w:val="000000"/>
          <w:sz w:val="24"/>
          <w:szCs w:val="24"/>
        </w:rPr>
        <w:t xml:space="preserve"> i bez</w:t>
      </w:r>
      <w:r w:rsidRPr="00E82C90">
        <w:rPr>
          <w:rFonts w:ascii="Times New Roman" w:hAnsi="Times New Roman"/>
          <w:noProof/>
          <w:color w:val="000000"/>
          <w:sz w:val="24"/>
          <w:szCs w:val="24"/>
        </w:rPr>
        <w:t xml:space="preserve">pieczeństwa jądrowego na Ukrainie. </w:t>
      </w:r>
      <w:r w:rsidRPr="00E82C90">
        <w:rPr>
          <w:rFonts w:ascii="Times New Roman" w:hAnsi="Times New Roman"/>
          <w:b/>
          <w:bCs/>
          <w:noProof/>
          <w:color w:val="000000"/>
          <w:sz w:val="24"/>
          <w:szCs w:val="24"/>
        </w:rPr>
        <w:t>Awaryjna synchronizacja sieci elektroenergetycznej</w:t>
      </w:r>
      <w:r w:rsidR="00E82C90" w:rsidRPr="00E82C90">
        <w:rPr>
          <w:rFonts w:ascii="Times New Roman" w:hAnsi="Times New Roman"/>
          <w:noProof/>
          <w:color w:val="000000"/>
          <w:sz w:val="24"/>
          <w:szCs w:val="24"/>
        </w:rPr>
        <w:t xml:space="preserve"> z Ukr</w:t>
      </w:r>
      <w:r w:rsidRPr="00E82C90">
        <w:rPr>
          <w:rFonts w:ascii="Times New Roman" w:hAnsi="Times New Roman"/>
          <w:noProof/>
          <w:color w:val="000000"/>
          <w:sz w:val="24"/>
          <w:szCs w:val="24"/>
        </w:rPr>
        <w:t>ainą</w:t>
      </w:r>
      <w:r w:rsidR="00E82C90" w:rsidRPr="00E82C90">
        <w:rPr>
          <w:rFonts w:ascii="Times New Roman" w:hAnsi="Times New Roman"/>
          <w:noProof/>
          <w:color w:val="000000"/>
          <w:sz w:val="24"/>
          <w:szCs w:val="24"/>
        </w:rPr>
        <w:t xml:space="preserve"> i Moł</w:t>
      </w:r>
      <w:r w:rsidRPr="00E82C90">
        <w:rPr>
          <w:rFonts w:ascii="Times New Roman" w:hAnsi="Times New Roman"/>
          <w:noProof/>
          <w:color w:val="000000"/>
          <w:sz w:val="24"/>
          <w:szCs w:val="24"/>
        </w:rPr>
        <w:t>dawią jest ważnym krokiem</w:t>
      </w:r>
      <w:r w:rsidR="00E82C90" w:rsidRPr="00E82C90">
        <w:rPr>
          <w:rFonts w:ascii="Times New Roman" w:hAnsi="Times New Roman"/>
          <w:noProof/>
          <w:color w:val="000000"/>
          <w:sz w:val="24"/>
          <w:szCs w:val="24"/>
        </w:rPr>
        <w:t xml:space="preserve"> w kie</w:t>
      </w:r>
      <w:r w:rsidRPr="00E82C90">
        <w:rPr>
          <w:rFonts w:ascii="Times New Roman" w:hAnsi="Times New Roman"/>
          <w:noProof/>
          <w:color w:val="000000"/>
          <w:sz w:val="24"/>
          <w:szCs w:val="24"/>
        </w:rPr>
        <w:t>runku zapewnienia bezpieczeństwa dostaw. Kolejnym priorytetem politycznym jest umożliwienie handlu energią elektryczną z UE</w:t>
      </w:r>
      <w:r w:rsidR="00E82C90" w:rsidRPr="00E82C90">
        <w:rPr>
          <w:rFonts w:ascii="Times New Roman" w:hAnsi="Times New Roman"/>
          <w:noProof/>
          <w:color w:val="000000"/>
          <w:sz w:val="24"/>
          <w:szCs w:val="24"/>
        </w:rPr>
        <w:t xml:space="preserve"> w opa</w:t>
      </w:r>
      <w:r w:rsidRPr="00E82C90">
        <w:rPr>
          <w:rFonts w:ascii="Times New Roman" w:hAnsi="Times New Roman"/>
          <w:noProof/>
          <w:color w:val="000000"/>
          <w:sz w:val="24"/>
          <w:szCs w:val="24"/>
        </w:rPr>
        <w:t>rciu</w:t>
      </w:r>
      <w:r w:rsidR="00E82C90" w:rsidRPr="00E82C90">
        <w:rPr>
          <w:rFonts w:ascii="Times New Roman" w:hAnsi="Times New Roman"/>
          <w:noProof/>
          <w:color w:val="000000"/>
          <w:sz w:val="24"/>
          <w:szCs w:val="24"/>
        </w:rPr>
        <w:t xml:space="preserve"> o sto</w:t>
      </w:r>
      <w:r w:rsidRPr="00E82C90">
        <w:rPr>
          <w:rFonts w:ascii="Times New Roman" w:hAnsi="Times New Roman"/>
          <w:noProof/>
          <w:color w:val="000000"/>
          <w:sz w:val="24"/>
          <w:szCs w:val="24"/>
        </w:rPr>
        <w:t>pniowe zwiększanie zbywalnych mocy wytwórczych.</w:t>
      </w:r>
    </w:p>
    <w:p w14:paraId="215A2D36" w14:textId="26EBFC2F" w:rsidR="00DC37CE" w:rsidRPr="00E82C90" w:rsidRDefault="00DC37CE" w:rsidP="00DC37CE">
      <w:pPr>
        <w:spacing w:after="240"/>
        <w:jc w:val="both"/>
        <w:rPr>
          <w:rFonts w:ascii="Times New Roman" w:hAnsi="Times New Roman" w:cs="Times New Roman"/>
          <w:noProof/>
          <w:color w:val="000000"/>
          <w:sz w:val="24"/>
          <w:szCs w:val="24"/>
        </w:rPr>
      </w:pPr>
      <w:r w:rsidRPr="00E82C90">
        <w:rPr>
          <w:rFonts w:ascii="Times New Roman" w:hAnsi="Times New Roman"/>
          <w:b/>
          <w:bCs/>
          <w:noProof/>
          <w:color w:val="000000"/>
          <w:sz w:val="24"/>
          <w:szCs w:val="24"/>
        </w:rPr>
        <w:t>Już dziś przepływy zwrotne</w:t>
      </w:r>
      <w:r w:rsidRPr="00E82C90">
        <w:rPr>
          <w:rFonts w:ascii="Times New Roman" w:hAnsi="Times New Roman"/>
          <w:noProof/>
          <w:color w:val="000000"/>
          <w:sz w:val="24"/>
          <w:szCs w:val="24"/>
        </w:rPr>
        <w:t xml:space="preserve"> pozwalają na sprowadzanie gazu ze Słowacji</w:t>
      </w:r>
      <w:r w:rsidR="00E82C90" w:rsidRPr="00E82C90">
        <w:rPr>
          <w:rFonts w:ascii="Times New Roman" w:hAnsi="Times New Roman"/>
          <w:noProof/>
          <w:color w:val="000000"/>
          <w:sz w:val="24"/>
          <w:szCs w:val="24"/>
        </w:rPr>
        <w:t xml:space="preserve"> i Węg</w:t>
      </w:r>
      <w:r w:rsidRPr="00E82C90">
        <w:rPr>
          <w:rFonts w:ascii="Times New Roman" w:hAnsi="Times New Roman"/>
          <w:noProof/>
          <w:color w:val="000000"/>
          <w:sz w:val="24"/>
          <w:szCs w:val="24"/>
        </w:rPr>
        <w:t xml:space="preserve">ier do Ukrainy. Wyraźnym sygnałem wsparcia jest również otwarcie </w:t>
      </w:r>
      <w:r w:rsidRPr="00E82C90">
        <w:rPr>
          <w:rFonts w:ascii="Times New Roman" w:hAnsi="Times New Roman"/>
          <w:b/>
          <w:bCs/>
          <w:noProof/>
          <w:color w:val="000000"/>
          <w:sz w:val="24"/>
          <w:szCs w:val="24"/>
        </w:rPr>
        <w:t>unijnej platformy do wspólnych zakupów</w:t>
      </w:r>
      <w:r w:rsidRPr="00E82C90">
        <w:rPr>
          <w:rFonts w:ascii="Times New Roman" w:hAnsi="Times New Roman"/>
          <w:noProof/>
          <w:color w:val="000000"/>
          <w:sz w:val="24"/>
          <w:szCs w:val="24"/>
        </w:rPr>
        <w:t xml:space="preserve"> gazu, LNG</w:t>
      </w:r>
      <w:r w:rsidR="00E82C90" w:rsidRPr="00E82C90">
        <w:rPr>
          <w:rFonts w:ascii="Times New Roman" w:hAnsi="Times New Roman"/>
          <w:noProof/>
          <w:color w:val="000000"/>
          <w:sz w:val="24"/>
          <w:szCs w:val="24"/>
        </w:rPr>
        <w:t xml:space="preserve"> i wod</w:t>
      </w:r>
      <w:r w:rsidRPr="00E82C90">
        <w:rPr>
          <w:rFonts w:ascii="Times New Roman" w:hAnsi="Times New Roman"/>
          <w:noProof/>
          <w:color w:val="000000"/>
          <w:sz w:val="24"/>
          <w:szCs w:val="24"/>
        </w:rPr>
        <w:t>oru dla Ukrainy, Mołdawii, Gruzji</w:t>
      </w:r>
      <w:r w:rsidR="00E82C90" w:rsidRPr="00E82C90">
        <w:rPr>
          <w:rFonts w:ascii="Times New Roman" w:hAnsi="Times New Roman"/>
          <w:noProof/>
          <w:color w:val="000000"/>
          <w:sz w:val="24"/>
          <w:szCs w:val="24"/>
        </w:rPr>
        <w:t xml:space="preserve"> i Bał</w:t>
      </w:r>
      <w:r w:rsidRPr="00E82C90">
        <w:rPr>
          <w:rFonts w:ascii="Times New Roman" w:hAnsi="Times New Roman"/>
          <w:noProof/>
          <w:color w:val="000000"/>
          <w:sz w:val="24"/>
          <w:szCs w:val="24"/>
        </w:rPr>
        <w:t>kanów Zachodnich. Uszkodzone urządzenia energetyczne</w:t>
      </w:r>
      <w:r w:rsidR="00E82C90" w:rsidRPr="00E82C90">
        <w:rPr>
          <w:rFonts w:ascii="Times New Roman" w:hAnsi="Times New Roman"/>
          <w:noProof/>
          <w:color w:val="000000"/>
          <w:sz w:val="24"/>
          <w:szCs w:val="24"/>
        </w:rPr>
        <w:t xml:space="preserve"> w Ukr</w:t>
      </w:r>
      <w:r w:rsidRPr="00E82C90">
        <w:rPr>
          <w:rFonts w:ascii="Times New Roman" w:hAnsi="Times New Roman"/>
          <w:noProof/>
          <w:color w:val="000000"/>
          <w:sz w:val="24"/>
          <w:szCs w:val="24"/>
        </w:rPr>
        <w:t>ainie są naprawiane poprzez kierowanie specjalistycznego sprzętu energetycznego</w:t>
      </w:r>
      <w:r w:rsidR="00E82C90" w:rsidRPr="00E82C90">
        <w:rPr>
          <w:rFonts w:ascii="Times New Roman" w:hAnsi="Times New Roman"/>
          <w:noProof/>
          <w:color w:val="000000"/>
          <w:sz w:val="24"/>
          <w:szCs w:val="24"/>
        </w:rPr>
        <w:t xml:space="preserve"> z pań</w:t>
      </w:r>
      <w:r w:rsidRPr="00E82C90">
        <w:rPr>
          <w:rFonts w:ascii="Times New Roman" w:hAnsi="Times New Roman"/>
          <w:noProof/>
          <w:color w:val="000000"/>
          <w:sz w:val="24"/>
          <w:szCs w:val="24"/>
        </w:rPr>
        <w:t xml:space="preserve">stw członkowskich do Ukrainy za pośrednictwem Unijnego Mechanizmu Ochrony Ludności. Elementy, których państwa członkowskie nie mogą dostarczyć, są zamawiane za pośrednictwem Funduszu Wsparcia Energetycznego Ukrainy ustanowionego przez Wspólnotę Energetyczną. </w:t>
      </w:r>
    </w:p>
    <w:p w14:paraId="1B8534A8" w14:textId="1BBF2FEA" w:rsidR="00DC37CE" w:rsidRPr="00E82C90" w:rsidRDefault="00DC37CE" w:rsidP="00DC37CE">
      <w:pPr>
        <w:spacing w:after="240"/>
        <w:jc w:val="both"/>
        <w:rPr>
          <w:rFonts w:ascii="Times New Roman" w:hAnsi="Times New Roman" w:cs="Times New Roman"/>
          <w:noProof/>
          <w:color w:val="000000"/>
          <w:sz w:val="24"/>
          <w:szCs w:val="24"/>
        </w:rPr>
      </w:pPr>
      <w:r w:rsidRPr="00E82C90">
        <w:rPr>
          <w:rFonts w:ascii="Times New Roman" w:hAnsi="Times New Roman"/>
          <w:noProof/>
          <w:color w:val="000000"/>
          <w:sz w:val="24"/>
          <w:szCs w:val="24"/>
        </w:rPr>
        <w:t>Aby umożliwić</w:t>
      </w:r>
      <w:r w:rsidR="00E82C90" w:rsidRPr="00E82C90">
        <w:rPr>
          <w:rFonts w:ascii="Times New Roman" w:hAnsi="Times New Roman"/>
          <w:noProof/>
          <w:color w:val="000000"/>
          <w:sz w:val="24"/>
          <w:szCs w:val="24"/>
        </w:rPr>
        <w:t xml:space="preserve"> w prz</w:t>
      </w:r>
      <w:r w:rsidRPr="00E82C90">
        <w:rPr>
          <w:rFonts w:ascii="Times New Roman" w:hAnsi="Times New Roman"/>
          <w:noProof/>
          <w:color w:val="000000"/>
          <w:sz w:val="24"/>
          <w:szCs w:val="24"/>
        </w:rPr>
        <w:t>yszłości pełną integrację ukraińskiego rynku energii, UE zapewnia wsparcie techniczne</w:t>
      </w:r>
      <w:r w:rsidR="00E82C90" w:rsidRPr="00E82C90">
        <w:rPr>
          <w:rFonts w:ascii="Times New Roman" w:hAnsi="Times New Roman"/>
          <w:noProof/>
          <w:color w:val="000000"/>
          <w:sz w:val="24"/>
          <w:szCs w:val="24"/>
        </w:rPr>
        <w:t xml:space="preserve"> w cel</w:t>
      </w:r>
      <w:r w:rsidRPr="00E82C90">
        <w:rPr>
          <w:rFonts w:ascii="Times New Roman" w:hAnsi="Times New Roman"/>
          <w:noProof/>
          <w:color w:val="000000"/>
          <w:sz w:val="24"/>
          <w:szCs w:val="24"/>
        </w:rPr>
        <w:t>u przeprowadzenia reform rynkowych. Reformy te pozwolą również na lepszą integrację energii odnawialnej</w:t>
      </w:r>
      <w:r w:rsidR="00E82C90" w:rsidRPr="00E82C90">
        <w:rPr>
          <w:rFonts w:ascii="Times New Roman" w:hAnsi="Times New Roman"/>
          <w:noProof/>
          <w:color w:val="000000"/>
          <w:sz w:val="24"/>
          <w:szCs w:val="24"/>
        </w:rPr>
        <w:t xml:space="preserve"> i dos</w:t>
      </w:r>
      <w:r w:rsidRPr="00E82C90">
        <w:rPr>
          <w:rFonts w:ascii="Times New Roman" w:hAnsi="Times New Roman"/>
          <w:noProof/>
          <w:color w:val="000000"/>
          <w:sz w:val="24"/>
          <w:szCs w:val="24"/>
        </w:rPr>
        <w:t>tosowanie się do ambitnych celów klimatycznych UE. Prace te prowadzone są</w:t>
      </w:r>
      <w:r w:rsidR="00E82C90" w:rsidRPr="00E82C90">
        <w:rPr>
          <w:rFonts w:ascii="Times New Roman" w:hAnsi="Times New Roman"/>
          <w:noProof/>
          <w:color w:val="000000"/>
          <w:sz w:val="24"/>
          <w:szCs w:val="24"/>
        </w:rPr>
        <w:t xml:space="preserve"> w </w:t>
      </w:r>
      <w:r w:rsidR="00E82C90" w:rsidRPr="00E82C90">
        <w:rPr>
          <w:rFonts w:ascii="Times New Roman" w:hAnsi="Times New Roman"/>
          <w:b/>
          <w:bCs/>
          <w:noProof/>
          <w:color w:val="000000"/>
          <w:sz w:val="24"/>
          <w:szCs w:val="24"/>
        </w:rPr>
        <w:t>ram</w:t>
      </w:r>
      <w:r w:rsidRPr="00E82C90">
        <w:rPr>
          <w:rFonts w:ascii="Times New Roman" w:hAnsi="Times New Roman"/>
          <w:b/>
          <w:bCs/>
          <w:noProof/>
          <w:color w:val="000000"/>
          <w:sz w:val="24"/>
          <w:szCs w:val="24"/>
        </w:rPr>
        <w:t xml:space="preserve">ach </w:t>
      </w:r>
      <w:r w:rsidRPr="00E82C90">
        <w:rPr>
          <w:rFonts w:ascii="Times New Roman" w:hAnsi="Times New Roman"/>
          <w:b/>
          <w:bCs/>
          <w:noProof/>
          <w:color w:val="000000" w:themeColor="text1"/>
          <w:sz w:val="24"/>
          <w:szCs w:val="24"/>
        </w:rPr>
        <w:t>układu</w:t>
      </w:r>
      <w:r w:rsidR="00E82C90" w:rsidRPr="00E82C90">
        <w:rPr>
          <w:rFonts w:ascii="Times New Roman" w:hAnsi="Times New Roman"/>
          <w:b/>
          <w:bCs/>
          <w:noProof/>
          <w:color w:val="000000" w:themeColor="text1"/>
          <w:sz w:val="24"/>
          <w:szCs w:val="24"/>
        </w:rPr>
        <w:t xml:space="preserve"> o sto</w:t>
      </w:r>
      <w:r w:rsidRPr="00E82C90">
        <w:rPr>
          <w:rFonts w:ascii="Times New Roman" w:hAnsi="Times New Roman"/>
          <w:b/>
          <w:bCs/>
          <w:noProof/>
          <w:color w:val="000000" w:themeColor="text1"/>
          <w:sz w:val="24"/>
          <w:szCs w:val="24"/>
        </w:rPr>
        <w:t>warzyszeniu oraz partnerstwa strategicznego UE–Ukraina</w:t>
      </w:r>
      <w:r w:rsidRPr="00E82C90">
        <w:rPr>
          <w:rFonts w:ascii="Times New Roman" w:hAnsi="Times New Roman"/>
          <w:noProof/>
          <w:color w:val="000000" w:themeColor="text1"/>
          <w:sz w:val="24"/>
          <w:szCs w:val="24"/>
        </w:rPr>
        <w:t>. Ważną rolę</w:t>
      </w:r>
      <w:r w:rsidR="00E82C90" w:rsidRPr="00E82C90">
        <w:rPr>
          <w:rFonts w:ascii="Times New Roman" w:hAnsi="Times New Roman"/>
          <w:noProof/>
          <w:color w:val="000000" w:themeColor="text1"/>
          <w:sz w:val="24"/>
          <w:szCs w:val="24"/>
        </w:rPr>
        <w:t xml:space="preserve"> w tyc</w:t>
      </w:r>
      <w:r w:rsidRPr="00E82C90">
        <w:rPr>
          <w:rFonts w:ascii="Times New Roman" w:hAnsi="Times New Roman"/>
          <w:noProof/>
          <w:color w:val="000000" w:themeColor="text1"/>
          <w:sz w:val="24"/>
          <w:szCs w:val="24"/>
        </w:rPr>
        <w:t xml:space="preserve">h pracach odgrywa Wspólnota Energetyczna oraz nowo utworzona </w:t>
      </w:r>
      <w:r w:rsidRPr="00E82C90">
        <w:rPr>
          <w:rFonts w:ascii="Times New Roman" w:hAnsi="Times New Roman"/>
          <w:noProof/>
          <w:color w:val="000000"/>
          <w:sz w:val="24"/>
          <w:szCs w:val="24"/>
        </w:rPr>
        <w:t>grupa zadaniowa ds. energii</w:t>
      </w:r>
      <w:r w:rsidR="00E82C90" w:rsidRPr="00E82C90">
        <w:rPr>
          <w:rFonts w:ascii="Times New Roman" w:hAnsi="Times New Roman"/>
          <w:noProof/>
          <w:color w:val="000000"/>
          <w:sz w:val="24"/>
          <w:szCs w:val="24"/>
        </w:rPr>
        <w:t xml:space="preserve"> w Ukr</w:t>
      </w:r>
      <w:r w:rsidRPr="00E82C90">
        <w:rPr>
          <w:rFonts w:ascii="Times New Roman" w:hAnsi="Times New Roman"/>
          <w:noProof/>
          <w:color w:val="000000"/>
          <w:sz w:val="24"/>
          <w:szCs w:val="24"/>
        </w:rPr>
        <w:t xml:space="preserve">ainie. </w:t>
      </w:r>
    </w:p>
    <w:p w14:paraId="6041C1CF" w14:textId="4BC9B32C" w:rsidR="00DC37CE" w:rsidRPr="00E82C90" w:rsidRDefault="00DC37CE" w:rsidP="00DC37CE">
      <w:pPr>
        <w:spacing w:after="240"/>
        <w:jc w:val="both"/>
        <w:rPr>
          <w:rFonts w:ascii="Times New Roman" w:hAnsi="Times New Roman" w:cs="Times New Roman"/>
          <w:noProof/>
          <w:color w:val="000000"/>
          <w:sz w:val="24"/>
          <w:szCs w:val="24"/>
        </w:rPr>
      </w:pPr>
      <w:r w:rsidRPr="00E82C90">
        <w:rPr>
          <w:rFonts w:ascii="Times New Roman" w:hAnsi="Times New Roman"/>
          <w:b/>
          <w:noProof/>
          <w:color w:val="000000"/>
          <w:sz w:val="24"/>
          <w:szCs w:val="24"/>
        </w:rPr>
        <w:t>Bezpieczeństwo jądrowe pozostaje jednym</w:t>
      </w:r>
      <w:r w:rsidR="00E82C90" w:rsidRPr="00E82C90">
        <w:rPr>
          <w:rFonts w:ascii="Times New Roman" w:hAnsi="Times New Roman"/>
          <w:b/>
          <w:noProof/>
          <w:color w:val="000000"/>
          <w:sz w:val="24"/>
          <w:szCs w:val="24"/>
        </w:rPr>
        <w:t xml:space="preserve"> z głó</w:t>
      </w:r>
      <w:r w:rsidRPr="00E82C90">
        <w:rPr>
          <w:rFonts w:ascii="Times New Roman" w:hAnsi="Times New Roman"/>
          <w:b/>
          <w:noProof/>
          <w:color w:val="000000"/>
          <w:sz w:val="24"/>
          <w:szCs w:val="24"/>
        </w:rPr>
        <w:t>wnych priorytetów</w:t>
      </w:r>
      <w:r w:rsidRPr="00E82C90">
        <w:rPr>
          <w:rFonts w:ascii="Times New Roman" w:hAnsi="Times New Roman"/>
          <w:noProof/>
          <w:color w:val="000000"/>
          <w:sz w:val="24"/>
        </w:rPr>
        <w:t>,</w:t>
      </w:r>
      <w:r w:rsidR="00E82C90" w:rsidRPr="00E82C90">
        <w:rPr>
          <w:rFonts w:ascii="Times New Roman" w:hAnsi="Times New Roman"/>
          <w:noProof/>
          <w:color w:val="000000"/>
          <w:sz w:val="24"/>
        </w:rPr>
        <w:t xml:space="preserve"> </w:t>
      </w:r>
      <w:r w:rsidR="00E82C90" w:rsidRPr="00E82C90">
        <w:rPr>
          <w:rFonts w:ascii="Times New Roman" w:hAnsi="Times New Roman"/>
          <w:noProof/>
          <w:color w:val="000000"/>
          <w:sz w:val="24"/>
          <w:szCs w:val="24"/>
        </w:rPr>
        <w:t>w</w:t>
      </w:r>
      <w:r w:rsidR="00E82C90" w:rsidRPr="00E82C90">
        <w:rPr>
          <w:rFonts w:ascii="Times New Roman" w:hAnsi="Times New Roman"/>
          <w:noProof/>
          <w:color w:val="000000"/>
          <w:sz w:val="24"/>
        </w:rPr>
        <w:t> </w:t>
      </w:r>
      <w:r w:rsidR="00E82C90" w:rsidRPr="00E82C90">
        <w:rPr>
          <w:rFonts w:ascii="Times New Roman" w:hAnsi="Times New Roman"/>
          <w:noProof/>
          <w:color w:val="000000"/>
          <w:sz w:val="24"/>
          <w:szCs w:val="24"/>
        </w:rPr>
        <w:t>szc</w:t>
      </w:r>
      <w:r w:rsidRPr="00E82C90">
        <w:rPr>
          <w:rFonts w:ascii="Times New Roman" w:hAnsi="Times New Roman"/>
          <w:noProof/>
          <w:color w:val="000000"/>
          <w:sz w:val="24"/>
          <w:szCs w:val="24"/>
        </w:rPr>
        <w:t>zególności</w:t>
      </w:r>
      <w:r w:rsidR="00E82C90" w:rsidRPr="00E82C90">
        <w:rPr>
          <w:rFonts w:ascii="Times New Roman" w:hAnsi="Times New Roman"/>
          <w:noProof/>
          <w:color w:val="000000"/>
          <w:sz w:val="24"/>
          <w:szCs w:val="24"/>
        </w:rPr>
        <w:t xml:space="preserve"> w zwi</w:t>
      </w:r>
      <w:r w:rsidRPr="00E82C90">
        <w:rPr>
          <w:rFonts w:ascii="Times New Roman" w:hAnsi="Times New Roman"/>
          <w:noProof/>
          <w:color w:val="000000"/>
          <w:sz w:val="24"/>
          <w:szCs w:val="24"/>
        </w:rPr>
        <w:t>ązku</w:t>
      </w:r>
      <w:r w:rsidR="00E82C90" w:rsidRPr="00E82C90">
        <w:rPr>
          <w:rFonts w:ascii="Times New Roman" w:hAnsi="Times New Roman"/>
          <w:noProof/>
          <w:color w:val="000000"/>
          <w:sz w:val="24"/>
          <w:szCs w:val="24"/>
        </w:rPr>
        <w:t xml:space="preserve"> z lek</w:t>
      </w:r>
      <w:r w:rsidRPr="00E82C90">
        <w:rPr>
          <w:rFonts w:ascii="Times New Roman" w:hAnsi="Times New Roman"/>
          <w:noProof/>
          <w:color w:val="000000"/>
          <w:sz w:val="24"/>
          <w:szCs w:val="24"/>
        </w:rPr>
        <w:t>komyślnym zachowaniem Rosji</w:t>
      </w:r>
      <w:r w:rsidR="00E82C90" w:rsidRPr="00E82C90">
        <w:rPr>
          <w:rFonts w:ascii="Times New Roman" w:hAnsi="Times New Roman"/>
          <w:noProof/>
          <w:color w:val="000000"/>
          <w:sz w:val="24"/>
          <w:szCs w:val="24"/>
        </w:rPr>
        <w:t xml:space="preserve"> w ukr</w:t>
      </w:r>
      <w:r w:rsidRPr="00E82C90">
        <w:rPr>
          <w:rFonts w:ascii="Times New Roman" w:hAnsi="Times New Roman"/>
          <w:noProof/>
          <w:color w:val="000000"/>
          <w:sz w:val="24"/>
          <w:szCs w:val="24"/>
        </w:rPr>
        <w:t>aińskich obiektach jądrowych. UE</w:t>
      </w:r>
      <w:r w:rsidR="00E82C90" w:rsidRPr="00E82C90">
        <w:rPr>
          <w:rFonts w:ascii="Times New Roman" w:hAnsi="Times New Roman"/>
          <w:noProof/>
          <w:color w:val="000000"/>
          <w:sz w:val="24"/>
          <w:szCs w:val="24"/>
        </w:rPr>
        <w:t xml:space="preserve"> w peł</w:t>
      </w:r>
      <w:r w:rsidRPr="00E82C90">
        <w:rPr>
          <w:rFonts w:ascii="Times New Roman" w:hAnsi="Times New Roman"/>
          <w:noProof/>
          <w:color w:val="000000"/>
          <w:sz w:val="24"/>
          <w:szCs w:val="24"/>
        </w:rPr>
        <w:t>ni popiera działania Międzynarodowej Agencji Energii Atomowej na rzecz stałego zapewnienia bezpieczeństwa ukraińskich obiektów jądrowych. UE uruchamia swój Europejski Instrument Współpracy Międzynarodowej</w:t>
      </w:r>
      <w:r w:rsidR="00E82C90" w:rsidRPr="00E82C90">
        <w:rPr>
          <w:rFonts w:ascii="Times New Roman" w:hAnsi="Times New Roman"/>
          <w:noProof/>
          <w:color w:val="000000"/>
          <w:sz w:val="24"/>
          <w:szCs w:val="24"/>
        </w:rPr>
        <w:t xml:space="preserve"> w dzi</w:t>
      </w:r>
      <w:r w:rsidRPr="00E82C90">
        <w:rPr>
          <w:rFonts w:ascii="Times New Roman" w:hAnsi="Times New Roman"/>
          <w:noProof/>
          <w:color w:val="000000"/>
          <w:sz w:val="24"/>
          <w:szCs w:val="24"/>
        </w:rPr>
        <w:t>edzinie Bezpieczeństwa Jądrowego, aby zaspokoić pilne potrzeby</w:t>
      </w:r>
      <w:r w:rsidR="00E82C90" w:rsidRPr="00E82C90">
        <w:rPr>
          <w:rFonts w:ascii="Times New Roman" w:hAnsi="Times New Roman"/>
          <w:noProof/>
          <w:color w:val="000000"/>
          <w:sz w:val="24"/>
          <w:szCs w:val="24"/>
        </w:rPr>
        <w:t xml:space="preserve"> i prz</w:t>
      </w:r>
      <w:r w:rsidRPr="00E82C90">
        <w:rPr>
          <w:rFonts w:ascii="Times New Roman" w:hAnsi="Times New Roman"/>
          <w:noProof/>
          <w:color w:val="000000"/>
          <w:sz w:val="24"/>
          <w:szCs w:val="24"/>
        </w:rPr>
        <w:t>ywrócić bezpieczeństwo jądrowe zgodnie</w:t>
      </w:r>
      <w:r w:rsidR="00E82C90" w:rsidRPr="00E82C90">
        <w:rPr>
          <w:rFonts w:ascii="Times New Roman" w:hAnsi="Times New Roman"/>
          <w:noProof/>
          <w:color w:val="000000"/>
          <w:sz w:val="24"/>
          <w:szCs w:val="24"/>
        </w:rPr>
        <w:t xml:space="preserve"> z mię</w:t>
      </w:r>
      <w:r w:rsidRPr="00E82C90">
        <w:rPr>
          <w:rFonts w:ascii="Times New Roman" w:hAnsi="Times New Roman"/>
          <w:noProof/>
          <w:color w:val="000000"/>
          <w:sz w:val="24"/>
          <w:szCs w:val="24"/>
        </w:rPr>
        <w:t>dzynarodowymi ramami prawnymi,</w:t>
      </w:r>
      <w:r w:rsidR="00E82C90" w:rsidRPr="00E82C90">
        <w:rPr>
          <w:rFonts w:ascii="Times New Roman" w:hAnsi="Times New Roman"/>
          <w:noProof/>
          <w:color w:val="000000"/>
          <w:sz w:val="24"/>
          <w:szCs w:val="24"/>
        </w:rPr>
        <w:t xml:space="preserve"> a tak</w:t>
      </w:r>
      <w:r w:rsidRPr="00E82C90">
        <w:rPr>
          <w:rFonts w:ascii="Times New Roman" w:hAnsi="Times New Roman"/>
          <w:noProof/>
          <w:color w:val="000000"/>
          <w:sz w:val="24"/>
          <w:szCs w:val="24"/>
        </w:rPr>
        <w:t>że kontynuuje długofalowe wsparcie dla ukraińskiego organu regulacyjnego. Jest gotowa pomóc</w:t>
      </w:r>
      <w:r w:rsidR="00E82C90" w:rsidRPr="00E82C90">
        <w:rPr>
          <w:rFonts w:ascii="Times New Roman" w:hAnsi="Times New Roman"/>
          <w:noProof/>
          <w:color w:val="000000"/>
          <w:sz w:val="24"/>
          <w:szCs w:val="24"/>
        </w:rPr>
        <w:t xml:space="preserve"> w odb</w:t>
      </w:r>
      <w:r w:rsidRPr="00E82C90">
        <w:rPr>
          <w:rFonts w:ascii="Times New Roman" w:hAnsi="Times New Roman"/>
          <w:noProof/>
          <w:color w:val="000000"/>
          <w:sz w:val="24"/>
          <w:szCs w:val="24"/>
        </w:rPr>
        <w:t>udowie niezbędnego potencjału</w:t>
      </w:r>
      <w:r w:rsidR="00E82C90" w:rsidRPr="00E82C90">
        <w:rPr>
          <w:rFonts w:ascii="Times New Roman" w:hAnsi="Times New Roman"/>
          <w:noProof/>
          <w:color w:val="000000"/>
          <w:sz w:val="24"/>
          <w:szCs w:val="24"/>
        </w:rPr>
        <w:t xml:space="preserve"> w zak</w:t>
      </w:r>
      <w:r w:rsidRPr="00E82C90">
        <w:rPr>
          <w:rFonts w:ascii="Times New Roman" w:hAnsi="Times New Roman"/>
          <w:noProof/>
          <w:color w:val="000000"/>
          <w:sz w:val="24"/>
          <w:szCs w:val="24"/>
        </w:rPr>
        <w:t>resie bezpieczeństwa jądrowego.</w:t>
      </w:r>
    </w:p>
    <w:p w14:paraId="55B5058E" w14:textId="1D7B47FA" w:rsidR="00DC37CE" w:rsidRPr="00E82C90" w:rsidRDefault="00DC37CE" w:rsidP="00DC37CE">
      <w:pPr>
        <w:spacing w:after="240"/>
        <w:jc w:val="both"/>
        <w:rPr>
          <w:rFonts w:ascii="Times New Roman" w:hAnsi="Times New Roman" w:cs="Times New Roman"/>
          <w:noProof/>
          <w:sz w:val="24"/>
          <w:szCs w:val="24"/>
        </w:rPr>
      </w:pPr>
      <w:r w:rsidRPr="00E82C90">
        <w:rPr>
          <w:rFonts w:ascii="Times New Roman" w:hAnsi="Times New Roman"/>
          <w:noProof/>
          <w:color w:val="000000"/>
          <w:sz w:val="24"/>
          <w:szCs w:val="24"/>
        </w:rPr>
        <w:t>Z myślą</w:t>
      </w:r>
      <w:r w:rsidR="00E82C90" w:rsidRPr="00E82C90">
        <w:rPr>
          <w:rFonts w:ascii="Times New Roman" w:hAnsi="Times New Roman"/>
          <w:noProof/>
          <w:color w:val="000000"/>
          <w:sz w:val="24"/>
          <w:szCs w:val="24"/>
        </w:rPr>
        <w:t xml:space="preserve"> o prz</w:t>
      </w:r>
      <w:r w:rsidRPr="00E82C90">
        <w:rPr>
          <w:rFonts w:ascii="Times New Roman" w:hAnsi="Times New Roman"/>
          <w:noProof/>
          <w:color w:val="000000"/>
          <w:sz w:val="24"/>
          <w:szCs w:val="24"/>
        </w:rPr>
        <w:t xml:space="preserve">yszłości UE określiła swoje podejście do </w:t>
      </w:r>
      <w:r w:rsidRPr="00E82C90">
        <w:rPr>
          <w:rFonts w:ascii="Times New Roman" w:hAnsi="Times New Roman"/>
          <w:noProof/>
          <w:sz w:val="24"/>
          <w:szCs w:val="24"/>
        </w:rPr>
        <w:t>długoterminowych ram odbudowy</w:t>
      </w:r>
      <w:r w:rsidR="00E82C90" w:rsidRPr="00E82C90">
        <w:rPr>
          <w:rFonts w:ascii="Times New Roman" w:hAnsi="Times New Roman"/>
          <w:noProof/>
          <w:sz w:val="24"/>
          <w:szCs w:val="24"/>
        </w:rPr>
        <w:t xml:space="preserve"> w kom</w:t>
      </w:r>
      <w:r w:rsidRPr="00E82C90">
        <w:rPr>
          <w:rFonts w:ascii="Times New Roman" w:hAnsi="Times New Roman"/>
          <w:noProof/>
          <w:sz w:val="24"/>
          <w:szCs w:val="24"/>
        </w:rPr>
        <w:t>unikacie</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pomocy dla Ukrainy</w:t>
      </w:r>
      <w:r w:rsidR="00E82C90" w:rsidRPr="00E82C90">
        <w:rPr>
          <w:rFonts w:ascii="Times New Roman" w:hAnsi="Times New Roman"/>
          <w:noProof/>
          <w:sz w:val="24"/>
          <w:szCs w:val="24"/>
        </w:rPr>
        <w:t xml:space="preserve"> i jej</w:t>
      </w:r>
      <w:r w:rsidRPr="00E82C90">
        <w:rPr>
          <w:rFonts w:ascii="Times New Roman" w:hAnsi="Times New Roman"/>
          <w:noProof/>
          <w:sz w:val="24"/>
          <w:szCs w:val="24"/>
        </w:rPr>
        <w:t xml:space="preserve"> odbudowy</w:t>
      </w:r>
      <w:r w:rsidR="00B86A78" w:rsidRPr="00E82C90">
        <w:rPr>
          <w:rStyle w:val="FootnoteReference"/>
          <w:rFonts w:ascii="Times New Roman" w:hAnsi="Times New Roman" w:cs="Times New Roman"/>
          <w:noProof/>
          <w:sz w:val="24"/>
          <w:szCs w:val="24"/>
        </w:rPr>
        <w:footnoteReference w:id="15"/>
      </w:r>
      <w:r w:rsidRPr="00E82C90">
        <w:rPr>
          <w:rFonts w:ascii="Times New Roman" w:hAnsi="Times New Roman"/>
          <w:noProof/>
          <w:sz w:val="24"/>
          <w:szCs w:val="24"/>
        </w:rPr>
        <w:t xml:space="preserve">. UE </w:t>
      </w:r>
      <w:r w:rsidRPr="00E82C90">
        <w:rPr>
          <w:rFonts w:ascii="Times New Roman" w:hAnsi="Times New Roman"/>
          <w:noProof/>
          <w:color w:val="000000"/>
          <w:sz w:val="24"/>
          <w:szCs w:val="24"/>
        </w:rPr>
        <w:t>będzie współpracować</w:t>
      </w:r>
      <w:r w:rsidR="00E82C90" w:rsidRPr="00E82C90">
        <w:rPr>
          <w:rFonts w:ascii="Times New Roman" w:hAnsi="Times New Roman"/>
          <w:noProof/>
          <w:color w:val="000000"/>
          <w:sz w:val="24"/>
          <w:szCs w:val="24"/>
        </w:rPr>
        <w:t xml:space="preserve"> z Ukr</w:t>
      </w:r>
      <w:r w:rsidRPr="00E82C90">
        <w:rPr>
          <w:rFonts w:ascii="Times New Roman" w:hAnsi="Times New Roman"/>
          <w:noProof/>
          <w:color w:val="000000"/>
          <w:sz w:val="24"/>
          <w:szCs w:val="24"/>
        </w:rPr>
        <w:t xml:space="preserve">ainą nad przygotowaniem </w:t>
      </w:r>
      <w:r w:rsidRPr="00E82C90">
        <w:rPr>
          <w:rFonts w:ascii="Times New Roman" w:hAnsi="Times New Roman"/>
          <w:b/>
          <w:bCs/>
          <w:noProof/>
          <w:color w:val="000000"/>
          <w:sz w:val="24"/>
          <w:szCs w:val="24"/>
        </w:rPr>
        <w:t>inicjatywy REPowerUkraine</w:t>
      </w:r>
      <w:r w:rsidRPr="00E82C90">
        <w:rPr>
          <w:rFonts w:ascii="Times New Roman" w:hAnsi="Times New Roman"/>
          <w:noProof/>
          <w:color w:val="000000"/>
          <w:sz w:val="24"/>
          <w:szCs w:val="24"/>
        </w:rPr>
        <w:t>, której celem jest „lepsza odbudowa” ukraińskiego systemu energetycznego, tak aby obniżyć emisyjność</w:t>
      </w:r>
      <w:r w:rsidRPr="00E82C90">
        <w:rPr>
          <w:rFonts w:ascii="Times New Roman" w:hAnsi="Times New Roman"/>
          <w:noProof/>
          <w:sz w:val="24"/>
          <w:szCs w:val="24"/>
        </w:rPr>
        <w:t xml:space="preserve"> ukraińskiego sektora energetycznego,</w:t>
      </w:r>
      <w:r w:rsidR="00E82C90" w:rsidRPr="00E82C90">
        <w:rPr>
          <w:rFonts w:ascii="Times New Roman" w:hAnsi="Times New Roman"/>
          <w:noProof/>
          <w:sz w:val="24"/>
          <w:szCs w:val="24"/>
        </w:rPr>
        <w:t xml:space="preserve"> a tym</w:t>
      </w:r>
      <w:r w:rsidRPr="00E82C90">
        <w:rPr>
          <w:rFonts w:ascii="Times New Roman" w:hAnsi="Times New Roman"/>
          <w:noProof/>
          <w:sz w:val="24"/>
          <w:szCs w:val="24"/>
        </w:rPr>
        <w:t xml:space="preserve"> samym zapewnić Ukrainie niezależność energetyczną. Należy skoncentrować się na efektywności energetycznej, odnawialnych źródłach energii, wodorze odnawialnym, biometanie</w:t>
      </w:r>
      <w:r w:rsidR="00E82C90" w:rsidRPr="00E82C90">
        <w:rPr>
          <w:rFonts w:ascii="Times New Roman" w:hAnsi="Times New Roman"/>
          <w:noProof/>
          <w:sz w:val="24"/>
          <w:szCs w:val="24"/>
        </w:rPr>
        <w:t xml:space="preserve"> i inf</w:t>
      </w:r>
      <w:r w:rsidRPr="00E82C90">
        <w:rPr>
          <w:rFonts w:ascii="Times New Roman" w:hAnsi="Times New Roman"/>
          <w:noProof/>
          <w:sz w:val="24"/>
          <w:szCs w:val="24"/>
        </w:rPr>
        <w:t>rastrukturze dostosowanej do przyszłych wyzwań. UE będzie wspierać ten proces zarówno finansowo, jak</w:t>
      </w:r>
      <w:r w:rsidR="00E82C90" w:rsidRPr="00E82C90">
        <w:rPr>
          <w:rFonts w:ascii="Times New Roman" w:hAnsi="Times New Roman"/>
          <w:noProof/>
          <w:sz w:val="24"/>
          <w:szCs w:val="24"/>
        </w:rPr>
        <w:t xml:space="preserve"> i pod</w:t>
      </w:r>
      <w:r w:rsidRPr="00E82C90">
        <w:rPr>
          <w:rFonts w:ascii="Times New Roman" w:hAnsi="Times New Roman"/>
          <w:noProof/>
          <w:sz w:val="24"/>
          <w:szCs w:val="24"/>
        </w:rPr>
        <w:t xml:space="preserve"> względem technicznym. </w:t>
      </w:r>
    </w:p>
    <w:p w14:paraId="05B4AF3D" w14:textId="198018D6" w:rsidR="00ED4CAE" w:rsidRPr="00E82C90" w:rsidRDefault="00ED4CAE" w:rsidP="00EE4C6B">
      <w:pPr>
        <w:spacing w:after="240"/>
        <w:jc w:val="both"/>
        <w:rPr>
          <w:rFonts w:ascii="Times New Roman" w:hAnsi="Times New Roman" w:cs="Times New Roman"/>
          <w:noProof/>
          <w:sz w:val="24"/>
          <w:szCs w:val="24"/>
        </w:rPr>
      </w:pPr>
      <w:bookmarkStart w:id="10" w:name="_Hlk103112470"/>
      <w:r w:rsidRPr="00E82C90">
        <w:rPr>
          <w:rFonts w:ascii="Times New Roman" w:hAnsi="Times New Roman"/>
          <w:noProof/>
          <w:sz w:val="24"/>
          <w:szCs w:val="24"/>
        </w:rPr>
        <w:t xml:space="preserve">W odniesieniu do </w:t>
      </w:r>
      <w:r w:rsidRPr="00E82C90">
        <w:rPr>
          <w:rFonts w:ascii="Times New Roman" w:hAnsi="Times New Roman"/>
          <w:b/>
          <w:bCs/>
          <w:noProof/>
          <w:sz w:val="24"/>
          <w:szCs w:val="24"/>
        </w:rPr>
        <w:t>Bałkanów Zachodnich</w:t>
      </w:r>
      <w:r w:rsidRPr="00E82C90">
        <w:rPr>
          <w:rFonts w:ascii="Times New Roman" w:hAnsi="Times New Roman"/>
          <w:noProof/>
          <w:sz w:val="24"/>
          <w:szCs w:val="24"/>
        </w:rPr>
        <w:t xml:space="preserve"> UE będzie nadal wspierać </w:t>
      </w:r>
      <w:r w:rsidRPr="00E82C90">
        <w:rPr>
          <w:rFonts w:ascii="Times New Roman" w:hAnsi="Times New Roman"/>
          <w:b/>
          <w:bCs/>
          <w:noProof/>
          <w:sz w:val="24"/>
          <w:szCs w:val="24"/>
        </w:rPr>
        <w:t>Zielony program działań</w:t>
      </w:r>
      <w:r w:rsidR="00E82C90" w:rsidRPr="00E82C90">
        <w:rPr>
          <w:rFonts w:ascii="Times New Roman" w:hAnsi="Times New Roman"/>
          <w:b/>
          <w:bCs/>
          <w:noProof/>
          <w:sz w:val="24"/>
          <w:szCs w:val="24"/>
        </w:rPr>
        <w:t xml:space="preserve"> i nie</w:t>
      </w:r>
      <w:r w:rsidRPr="00E82C90">
        <w:rPr>
          <w:rFonts w:ascii="Times New Roman" w:hAnsi="Times New Roman"/>
          <w:b/>
          <w:bCs/>
          <w:noProof/>
          <w:sz w:val="24"/>
          <w:szCs w:val="24"/>
        </w:rPr>
        <w:t>zależność energetyczną tego regionu oraz propagować reformy</w:t>
      </w:r>
      <w:r w:rsidRPr="00E82C90">
        <w:rPr>
          <w:rFonts w:ascii="Times New Roman" w:hAnsi="Times New Roman"/>
          <w:noProof/>
          <w:sz w:val="24"/>
          <w:szCs w:val="24"/>
        </w:rPr>
        <w:t>, dzięki którym będzie mógł on wkroczyć na ścieżkę europejską. Wspólnota Energetyczna pracuje przy wsparciu Komisji Europejskiej nad określeniem celów</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energii</w:t>
      </w:r>
      <w:r w:rsidR="00E82C90" w:rsidRPr="00E82C90">
        <w:rPr>
          <w:rFonts w:ascii="Times New Roman" w:hAnsi="Times New Roman"/>
          <w:noProof/>
          <w:sz w:val="24"/>
          <w:szCs w:val="24"/>
        </w:rPr>
        <w:t xml:space="preserve"> i kli</w:t>
      </w:r>
      <w:r w:rsidRPr="00E82C90">
        <w:rPr>
          <w:rFonts w:ascii="Times New Roman" w:hAnsi="Times New Roman"/>
          <w:noProof/>
          <w:sz w:val="24"/>
          <w:szCs w:val="24"/>
        </w:rPr>
        <w:t>matu na rok</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 ten</w:t>
      </w:r>
      <w:r w:rsidRPr="00E82C90">
        <w:rPr>
          <w:rFonts w:ascii="Times New Roman" w:hAnsi="Times New Roman"/>
          <w:noProof/>
          <w:sz w:val="24"/>
          <w:szCs w:val="24"/>
        </w:rPr>
        <w:t xml:space="preserve"> sposób wysłane zostaną w</w:t>
      </w:r>
      <w:r w:rsidR="00FE4786" w:rsidRPr="00E82C90">
        <w:rPr>
          <w:rFonts w:ascii="Times New Roman" w:hAnsi="Times New Roman"/>
          <w:noProof/>
          <w:sz w:val="24"/>
          <w:szCs w:val="24"/>
        </w:rPr>
        <w:t>łaściwe sygnały inwestycyjne</w:t>
      </w:r>
      <w:r w:rsidR="00E82C90" w:rsidRPr="00E82C90">
        <w:rPr>
          <w:rFonts w:ascii="Times New Roman" w:hAnsi="Times New Roman"/>
          <w:noProof/>
          <w:sz w:val="24"/>
          <w:szCs w:val="24"/>
        </w:rPr>
        <w:t xml:space="preserve"> i zap</w:t>
      </w:r>
      <w:r w:rsidRPr="00E82C90">
        <w:rPr>
          <w:rFonts w:ascii="Times New Roman" w:hAnsi="Times New Roman"/>
          <w:noProof/>
          <w:sz w:val="24"/>
          <w:szCs w:val="24"/>
        </w:rPr>
        <w:t>ewnione będzie polityczne zaangażowanie</w:t>
      </w:r>
      <w:r w:rsidR="00E82C90" w:rsidRPr="00E82C90">
        <w:rPr>
          <w:rFonts w:ascii="Times New Roman" w:hAnsi="Times New Roman"/>
          <w:noProof/>
          <w:sz w:val="24"/>
          <w:szCs w:val="24"/>
        </w:rPr>
        <w:t xml:space="preserve"> w wyc</w:t>
      </w:r>
      <w:r w:rsidRPr="00E82C90">
        <w:rPr>
          <w:rFonts w:ascii="Times New Roman" w:hAnsi="Times New Roman"/>
          <w:noProof/>
          <w:sz w:val="24"/>
          <w:szCs w:val="24"/>
        </w:rPr>
        <w:t>ofywanie węgla</w:t>
      </w:r>
      <w:r w:rsidR="00E82C90" w:rsidRPr="00E82C90">
        <w:rPr>
          <w:rFonts w:ascii="Times New Roman" w:hAnsi="Times New Roman"/>
          <w:noProof/>
          <w:sz w:val="24"/>
          <w:szCs w:val="24"/>
        </w:rPr>
        <w:t xml:space="preserve"> i ogó</w:t>
      </w:r>
      <w:r w:rsidRPr="00E82C90">
        <w:rPr>
          <w:rFonts w:ascii="Times New Roman" w:hAnsi="Times New Roman"/>
          <w:noProof/>
          <w:sz w:val="24"/>
          <w:szCs w:val="24"/>
        </w:rPr>
        <w:t>lnie</w:t>
      </w:r>
      <w:r w:rsidR="00E82C90" w:rsidRPr="00E82C90">
        <w:rPr>
          <w:rFonts w:ascii="Times New Roman" w:hAnsi="Times New Roman"/>
          <w:noProof/>
          <w:sz w:val="24"/>
          <w:szCs w:val="24"/>
        </w:rPr>
        <w:t xml:space="preserve"> w tra</w:t>
      </w:r>
      <w:r w:rsidRPr="00E82C90">
        <w:rPr>
          <w:rFonts w:ascii="Times New Roman" w:hAnsi="Times New Roman"/>
          <w:noProof/>
          <w:sz w:val="24"/>
          <w:szCs w:val="24"/>
        </w:rPr>
        <w:t>nsformację energetyczną. Wdrożenie kluczowych aktów prawnych przyjętych przez Wspólnotę Energetyczną</w:t>
      </w:r>
      <w:r w:rsidR="00E82C90" w:rsidRPr="00E82C90">
        <w:rPr>
          <w:rFonts w:ascii="Times New Roman" w:hAnsi="Times New Roman"/>
          <w:noProof/>
          <w:sz w:val="24"/>
          <w:szCs w:val="24"/>
        </w:rPr>
        <w:t xml:space="preserve"> w lis</w:t>
      </w:r>
      <w:r w:rsidRPr="00E82C90">
        <w:rPr>
          <w:rFonts w:ascii="Times New Roman" w:hAnsi="Times New Roman"/>
          <w:noProof/>
          <w:sz w:val="24"/>
          <w:szCs w:val="24"/>
        </w:rPr>
        <w:t>topadzie 2021</w:t>
      </w:r>
      <w:r w:rsidR="00E82C90" w:rsidRPr="00E82C90">
        <w:rPr>
          <w:rFonts w:ascii="Times New Roman" w:hAnsi="Times New Roman"/>
          <w:noProof/>
          <w:sz w:val="24"/>
          <w:szCs w:val="24"/>
        </w:rPr>
        <w:t> </w:t>
      </w:r>
      <w:r w:rsidRPr="00E82C90">
        <w:rPr>
          <w:rFonts w:ascii="Times New Roman" w:hAnsi="Times New Roman"/>
          <w:noProof/>
          <w:sz w:val="24"/>
          <w:szCs w:val="24"/>
        </w:rPr>
        <w:t>r. pozwoli na lepszą integrację odnawialnych źródeł energii, magazynowania</w:t>
      </w:r>
      <w:r w:rsidR="00E82C90" w:rsidRPr="00E82C90">
        <w:rPr>
          <w:rFonts w:ascii="Times New Roman" w:hAnsi="Times New Roman"/>
          <w:noProof/>
          <w:sz w:val="24"/>
          <w:szCs w:val="24"/>
        </w:rPr>
        <w:t xml:space="preserve"> i rea</w:t>
      </w:r>
      <w:r w:rsidRPr="00E82C90">
        <w:rPr>
          <w:rFonts w:ascii="Times New Roman" w:hAnsi="Times New Roman"/>
          <w:noProof/>
          <w:sz w:val="24"/>
          <w:szCs w:val="24"/>
        </w:rPr>
        <w:t xml:space="preserve">kcji popytu. </w:t>
      </w:r>
    </w:p>
    <w:p w14:paraId="3E6964B3" w14:textId="7F37EDAF" w:rsidR="00CC199B" w:rsidRPr="00E82C90" w:rsidRDefault="007D7A5C" w:rsidP="00664D60">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UE zaproponuje </w:t>
      </w:r>
      <w:r w:rsidRPr="00E82C90">
        <w:rPr>
          <w:rFonts w:ascii="Times New Roman" w:hAnsi="Times New Roman"/>
          <w:b/>
          <w:bCs/>
          <w:noProof/>
          <w:sz w:val="24"/>
          <w:szCs w:val="24"/>
        </w:rPr>
        <w:t>pełną integrację Bałkanów Zachodnich</w:t>
      </w:r>
      <w:r w:rsidR="00E82C90" w:rsidRPr="00E82C90">
        <w:rPr>
          <w:rFonts w:ascii="Times New Roman" w:hAnsi="Times New Roman"/>
          <w:b/>
          <w:bCs/>
          <w:noProof/>
          <w:sz w:val="24"/>
          <w:szCs w:val="24"/>
        </w:rPr>
        <w:t xml:space="preserve"> z uni</w:t>
      </w:r>
      <w:r w:rsidRPr="00E82C90">
        <w:rPr>
          <w:rFonts w:ascii="Times New Roman" w:hAnsi="Times New Roman"/>
          <w:b/>
          <w:bCs/>
          <w:noProof/>
          <w:sz w:val="24"/>
          <w:szCs w:val="24"/>
        </w:rPr>
        <w:t>jnym wewnętrznym rynkiem energii elektrycznej</w:t>
      </w:r>
      <w:r w:rsidRPr="00E82C90">
        <w:rPr>
          <w:rFonts w:ascii="Times New Roman" w:hAnsi="Times New Roman"/>
          <w:noProof/>
          <w:sz w:val="24"/>
          <w:szCs w:val="24"/>
        </w:rPr>
        <w:t>, aby umożliwić przejście na produkcję energii ze źródeł odnawialnych</w:t>
      </w:r>
      <w:r w:rsidR="00E82C90" w:rsidRPr="00E82C90">
        <w:rPr>
          <w:rFonts w:ascii="Times New Roman" w:hAnsi="Times New Roman"/>
          <w:noProof/>
          <w:sz w:val="24"/>
          <w:szCs w:val="24"/>
        </w:rPr>
        <w:t xml:space="preserve"> i dek</w:t>
      </w:r>
      <w:r w:rsidRPr="00E82C90">
        <w:rPr>
          <w:rFonts w:ascii="Times New Roman" w:hAnsi="Times New Roman"/>
          <w:noProof/>
          <w:sz w:val="24"/>
          <w:szCs w:val="24"/>
        </w:rPr>
        <w:t>arbonizację dostaw energii</w:t>
      </w:r>
      <w:r w:rsidR="00E82C90" w:rsidRPr="00E82C90">
        <w:rPr>
          <w:rFonts w:ascii="Times New Roman" w:hAnsi="Times New Roman"/>
          <w:noProof/>
          <w:sz w:val="24"/>
          <w:szCs w:val="24"/>
        </w:rPr>
        <w:t xml:space="preserve"> w Eur</w:t>
      </w:r>
      <w:r w:rsidRPr="00E82C90">
        <w:rPr>
          <w:rFonts w:ascii="Times New Roman" w:hAnsi="Times New Roman"/>
          <w:noProof/>
          <w:sz w:val="24"/>
          <w:szCs w:val="24"/>
        </w:rPr>
        <w:t xml:space="preserve">opie Południowo-Wschodniej. Stopniowe wprowadzenie ustalania opłat za emisję gazów cieplarnianych mogłoby przyczynić się do większego dostosowania do wymogów UE. </w:t>
      </w:r>
    </w:p>
    <w:bookmarkEnd w:id="10"/>
    <w:p w14:paraId="31665AD7" w14:textId="136D452D" w:rsidR="00B343AD" w:rsidRPr="00E82C90" w:rsidRDefault="00B343AD" w:rsidP="00B343AD">
      <w:pPr>
        <w:spacing w:after="240"/>
        <w:jc w:val="both"/>
        <w:rPr>
          <w:rFonts w:ascii="Times New Roman" w:hAnsi="Times New Roman" w:cs="Times New Roman"/>
          <w:b/>
          <w:bCs/>
          <w:noProof/>
          <w:color w:val="000000"/>
          <w:sz w:val="24"/>
          <w:szCs w:val="24"/>
        </w:rPr>
      </w:pPr>
      <w:r w:rsidRPr="00E82C90">
        <w:rPr>
          <w:rFonts w:ascii="Times New Roman" w:hAnsi="Times New Roman"/>
          <w:b/>
          <w:bCs/>
          <w:noProof/>
          <w:color w:val="000000"/>
          <w:sz w:val="24"/>
          <w:szCs w:val="24"/>
        </w:rPr>
        <w:t xml:space="preserve">Kluczowe działania: </w:t>
      </w:r>
    </w:p>
    <w:p w14:paraId="3EB7C18C" w14:textId="53544470" w:rsidR="00F15352" w:rsidRPr="00E82C90" w:rsidRDefault="00AB4758" w:rsidP="00AA5D14">
      <w:pPr>
        <w:pStyle w:val="ListParagraph"/>
        <w:numPr>
          <w:ilvl w:val="0"/>
          <w:numId w:val="4"/>
        </w:numPr>
        <w:spacing w:after="0"/>
        <w:jc w:val="both"/>
        <w:rPr>
          <w:rFonts w:ascii="Times New Roman" w:hAnsi="Times New Roman" w:cs="Times New Roman"/>
          <w:b/>
          <w:bCs/>
          <w:noProof/>
          <w:sz w:val="24"/>
          <w:szCs w:val="24"/>
        </w:rPr>
      </w:pPr>
      <w:r w:rsidRPr="00E82C90">
        <w:rPr>
          <w:rFonts w:ascii="Times New Roman" w:hAnsi="Times New Roman"/>
          <w:b/>
          <w:bCs/>
          <w:noProof/>
          <w:sz w:val="24"/>
          <w:szCs w:val="24"/>
        </w:rPr>
        <w:t>wspieranie naprawy</w:t>
      </w:r>
      <w:r w:rsidR="00E82C90" w:rsidRPr="00E82C90">
        <w:rPr>
          <w:rFonts w:ascii="Times New Roman" w:hAnsi="Times New Roman"/>
          <w:b/>
          <w:bCs/>
          <w:noProof/>
          <w:sz w:val="24"/>
          <w:szCs w:val="24"/>
        </w:rPr>
        <w:t xml:space="preserve"> i odb</w:t>
      </w:r>
      <w:r w:rsidRPr="00E82C90">
        <w:rPr>
          <w:rFonts w:ascii="Times New Roman" w:hAnsi="Times New Roman"/>
          <w:b/>
          <w:bCs/>
          <w:noProof/>
          <w:sz w:val="24"/>
          <w:szCs w:val="24"/>
        </w:rPr>
        <w:t>udowy infrastru</w:t>
      </w:r>
      <w:r w:rsidR="00FE4786" w:rsidRPr="00E82C90">
        <w:rPr>
          <w:rFonts w:ascii="Times New Roman" w:hAnsi="Times New Roman"/>
          <w:b/>
          <w:bCs/>
          <w:noProof/>
          <w:sz w:val="24"/>
          <w:szCs w:val="24"/>
        </w:rPr>
        <w:t>ktury energetycznej</w:t>
      </w:r>
      <w:r w:rsidR="00E82C90" w:rsidRPr="00E82C90">
        <w:rPr>
          <w:rFonts w:ascii="Times New Roman" w:hAnsi="Times New Roman"/>
          <w:b/>
          <w:bCs/>
          <w:noProof/>
          <w:sz w:val="24"/>
          <w:szCs w:val="24"/>
        </w:rPr>
        <w:t xml:space="preserve"> w Ukr</w:t>
      </w:r>
      <w:r w:rsidR="00FE4786" w:rsidRPr="00E82C90">
        <w:rPr>
          <w:rFonts w:ascii="Times New Roman" w:hAnsi="Times New Roman"/>
          <w:b/>
          <w:bCs/>
          <w:noProof/>
          <w:sz w:val="24"/>
          <w:szCs w:val="24"/>
        </w:rPr>
        <w:t>ainie</w:t>
      </w:r>
    </w:p>
    <w:p w14:paraId="2A88F0BA" w14:textId="7ED5E7C1" w:rsidR="00F15352" w:rsidRPr="00E82C90" w:rsidRDefault="00AB4758" w:rsidP="00AA5D14">
      <w:pPr>
        <w:pStyle w:val="ListParagraph"/>
        <w:numPr>
          <w:ilvl w:val="0"/>
          <w:numId w:val="4"/>
        </w:numPr>
        <w:spacing w:after="0"/>
        <w:jc w:val="both"/>
        <w:rPr>
          <w:rFonts w:ascii="Times New Roman" w:hAnsi="Times New Roman" w:cs="Times New Roman"/>
          <w:b/>
          <w:bCs/>
          <w:noProof/>
          <w:sz w:val="24"/>
          <w:szCs w:val="24"/>
        </w:rPr>
      </w:pPr>
      <w:r w:rsidRPr="00E82C90">
        <w:rPr>
          <w:rFonts w:ascii="Times New Roman" w:hAnsi="Times New Roman"/>
          <w:b/>
          <w:bCs/>
          <w:noProof/>
          <w:sz w:val="24"/>
          <w:szCs w:val="24"/>
        </w:rPr>
        <w:t>zwiększenie transgranicznej zdolności przesyłowej</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umożliwi</w:t>
      </w:r>
      <w:r w:rsidR="00FE4786" w:rsidRPr="00E82C90">
        <w:rPr>
          <w:rFonts w:ascii="Times New Roman" w:hAnsi="Times New Roman"/>
          <w:b/>
          <w:bCs/>
          <w:noProof/>
          <w:sz w:val="24"/>
          <w:szCs w:val="24"/>
        </w:rPr>
        <w:t>enia handlu energią elektryczną</w:t>
      </w:r>
    </w:p>
    <w:p w14:paraId="6287D361" w14:textId="29F12821" w:rsidR="00F15352" w:rsidRPr="00E82C90" w:rsidRDefault="00A77DFB" w:rsidP="00AA5D14">
      <w:pPr>
        <w:pStyle w:val="ListParagraph"/>
        <w:numPr>
          <w:ilvl w:val="0"/>
          <w:numId w:val="4"/>
        </w:numPr>
        <w:spacing w:after="160"/>
        <w:jc w:val="both"/>
        <w:rPr>
          <w:rFonts w:ascii="Times New Roman" w:hAnsi="Times New Roman" w:cs="Times New Roman"/>
          <w:b/>
          <w:bCs/>
          <w:noProof/>
          <w:sz w:val="24"/>
          <w:szCs w:val="24"/>
        </w:rPr>
      </w:pPr>
      <w:r w:rsidRPr="00E82C90">
        <w:rPr>
          <w:rFonts w:ascii="Times New Roman" w:hAnsi="Times New Roman"/>
          <w:b/>
          <w:bCs/>
          <w:noProof/>
          <w:sz w:val="24"/>
          <w:szCs w:val="24"/>
        </w:rPr>
        <w:t>ułatwienie przepływu zwrotnego gazu do Ukrainy przez Słowację, Węgry</w:t>
      </w:r>
      <w:r w:rsidR="00E82C90" w:rsidRPr="00E82C90">
        <w:rPr>
          <w:rFonts w:ascii="Times New Roman" w:hAnsi="Times New Roman"/>
          <w:b/>
          <w:bCs/>
          <w:noProof/>
          <w:sz w:val="24"/>
          <w:szCs w:val="24"/>
        </w:rPr>
        <w:t xml:space="preserve"> i Pol</w:t>
      </w:r>
      <w:r w:rsidRPr="00E82C90">
        <w:rPr>
          <w:rFonts w:ascii="Times New Roman" w:hAnsi="Times New Roman"/>
          <w:b/>
          <w:bCs/>
          <w:noProof/>
          <w:sz w:val="24"/>
          <w:szCs w:val="24"/>
        </w:rPr>
        <w:t>skę oraz do Mołdawii i do Ukrainy przez Ru</w:t>
      </w:r>
      <w:r w:rsidR="00FE4786" w:rsidRPr="00E82C90">
        <w:rPr>
          <w:rFonts w:ascii="Times New Roman" w:hAnsi="Times New Roman"/>
          <w:b/>
          <w:bCs/>
          <w:noProof/>
          <w:sz w:val="24"/>
          <w:szCs w:val="24"/>
        </w:rPr>
        <w:t>munię (Gazociąg Transbałkański)</w:t>
      </w:r>
    </w:p>
    <w:p w14:paraId="447B315B" w14:textId="50D4A51E" w:rsidR="004600C1" w:rsidRPr="00E82C90" w:rsidRDefault="00A77DFB" w:rsidP="004600C1">
      <w:pPr>
        <w:pStyle w:val="ListParagraph"/>
        <w:numPr>
          <w:ilvl w:val="0"/>
          <w:numId w:val="4"/>
        </w:numPr>
        <w:spacing w:after="160"/>
        <w:jc w:val="both"/>
        <w:rPr>
          <w:rFonts w:ascii="Calibri" w:hAnsi="Calibri" w:cs="Calibri"/>
          <w:noProof/>
          <w:color w:val="1F497D"/>
        </w:rPr>
      </w:pPr>
      <w:r w:rsidRPr="00E82C90">
        <w:rPr>
          <w:rFonts w:ascii="Times New Roman" w:hAnsi="Times New Roman"/>
          <w:b/>
          <w:bCs/>
          <w:noProof/>
          <w:sz w:val="24"/>
          <w:szCs w:val="24"/>
        </w:rPr>
        <w:t>zaoferowanie Ukrainie, Mołdawii, Gruzji</w:t>
      </w:r>
      <w:r w:rsidR="00E82C90" w:rsidRPr="00E82C90">
        <w:rPr>
          <w:rFonts w:ascii="Times New Roman" w:hAnsi="Times New Roman"/>
          <w:b/>
          <w:bCs/>
          <w:noProof/>
          <w:sz w:val="24"/>
          <w:szCs w:val="24"/>
        </w:rPr>
        <w:t xml:space="preserve"> i kra</w:t>
      </w:r>
      <w:r w:rsidRPr="00E82C90">
        <w:rPr>
          <w:rFonts w:ascii="Times New Roman" w:hAnsi="Times New Roman"/>
          <w:b/>
          <w:bCs/>
          <w:noProof/>
          <w:sz w:val="24"/>
          <w:szCs w:val="24"/>
        </w:rPr>
        <w:t>jom Bałkanów Zachodnich możliwości uczestnictwa</w:t>
      </w:r>
      <w:r w:rsidR="00E82C90" w:rsidRPr="00E82C90">
        <w:rPr>
          <w:rFonts w:ascii="Times New Roman" w:hAnsi="Times New Roman"/>
          <w:b/>
          <w:bCs/>
          <w:noProof/>
          <w:sz w:val="24"/>
          <w:szCs w:val="24"/>
        </w:rPr>
        <w:t xml:space="preserve"> w uni</w:t>
      </w:r>
      <w:r w:rsidRPr="00E82C90">
        <w:rPr>
          <w:rFonts w:ascii="Times New Roman" w:hAnsi="Times New Roman"/>
          <w:b/>
          <w:bCs/>
          <w:noProof/>
          <w:sz w:val="24"/>
          <w:szCs w:val="24"/>
        </w:rPr>
        <w:t>jnej platformie dob</w:t>
      </w:r>
      <w:r w:rsidR="00FE4786" w:rsidRPr="00E82C90">
        <w:rPr>
          <w:rFonts w:ascii="Times New Roman" w:hAnsi="Times New Roman"/>
          <w:b/>
          <w:bCs/>
          <w:noProof/>
          <w:sz w:val="24"/>
          <w:szCs w:val="24"/>
        </w:rPr>
        <w:t>rowolnych zakupów gazu</w:t>
      </w:r>
    </w:p>
    <w:p w14:paraId="1756B977" w14:textId="2B7C5842" w:rsidR="00666566" w:rsidRPr="00E82C90" w:rsidRDefault="00A77DFB" w:rsidP="00EE4C6B">
      <w:pPr>
        <w:pStyle w:val="ListParagraph"/>
        <w:numPr>
          <w:ilvl w:val="0"/>
          <w:numId w:val="4"/>
        </w:numPr>
        <w:spacing w:after="160"/>
        <w:jc w:val="both"/>
        <w:rPr>
          <w:rFonts w:ascii="Times New Roman" w:hAnsi="Times New Roman" w:cs="Times New Roman"/>
          <w:b/>
          <w:bCs/>
          <w:noProof/>
          <w:sz w:val="24"/>
          <w:szCs w:val="24"/>
        </w:rPr>
      </w:pPr>
      <w:r w:rsidRPr="00E82C90">
        <w:rPr>
          <w:rFonts w:ascii="Times New Roman" w:hAnsi="Times New Roman"/>
          <w:b/>
          <w:bCs/>
          <w:noProof/>
          <w:sz w:val="24"/>
          <w:szCs w:val="24"/>
        </w:rPr>
        <w:t>przyspieszenie reform krajowych</w:t>
      </w:r>
      <w:r w:rsidR="00E82C90" w:rsidRPr="00E82C90">
        <w:rPr>
          <w:rFonts w:ascii="Times New Roman" w:hAnsi="Times New Roman"/>
          <w:b/>
          <w:bCs/>
          <w:noProof/>
          <w:sz w:val="24"/>
          <w:szCs w:val="24"/>
        </w:rPr>
        <w:t xml:space="preserve"> i pro</w:t>
      </w:r>
      <w:r w:rsidRPr="00E82C90">
        <w:rPr>
          <w:rFonts w:ascii="Times New Roman" w:hAnsi="Times New Roman"/>
          <w:b/>
          <w:bCs/>
          <w:noProof/>
          <w:sz w:val="24"/>
          <w:szCs w:val="24"/>
        </w:rPr>
        <w:t>jektów przewodnich</w:t>
      </w:r>
      <w:r w:rsidR="00E82C90" w:rsidRPr="00E82C90">
        <w:rPr>
          <w:rFonts w:ascii="Times New Roman" w:hAnsi="Times New Roman"/>
          <w:b/>
          <w:bCs/>
          <w:noProof/>
          <w:sz w:val="24"/>
          <w:szCs w:val="24"/>
        </w:rPr>
        <w:t xml:space="preserve"> w dzi</w:t>
      </w:r>
      <w:r w:rsidRPr="00E82C90">
        <w:rPr>
          <w:rFonts w:ascii="Times New Roman" w:hAnsi="Times New Roman"/>
          <w:b/>
          <w:bCs/>
          <w:noProof/>
          <w:sz w:val="24"/>
          <w:szCs w:val="24"/>
        </w:rPr>
        <w:t>edzinie energii</w:t>
      </w:r>
      <w:r w:rsidR="00E82C90" w:rsidRPr="00E82C90">
        <w:rPr>
          <w:rFonts w:ascii="Times New Roman" w:hAnsi="Times New Roman"/>
          <w:b/>
          <w:bCs/>
          <w:noProof/>
          <w:sz w:val="24"/>
          <w:szCs w:val="24"/>
        </w:rPr>
        <w:t xml:space="preserve"> w ram</w:t>
      </w:r>
      <w:r w:rsidRPr="00E82C90">
        <w:rPr>
          <w:rFonts w:ascii="Times New Roman" w:hAnsi="Times New Roman"/>
          <w:b/>
          <w:bCs/>
          <w:noProof/>
          <w:sz w:val="24"/>
          <w:szCs w:val="24"/>
        </w:rPr>
        <w:t>ach Planów gospodarczo-inwestycyjnych dla Bałkanów Zachodnich</w:t>
      </w:r>
      <w:r w:rsidR="00E82C90" w:rsidRPr="00E82C90">
        <w:rPr>
          <w:rFonts w:ascii="Times New Roman" w:hAnsi="Times New Roman"/>
          <w:b/>
          <w:bCs/>
          <w:noProof/>
          <w:sz w:val="24"/>
          <w:szCs w:val="24"/>
        </w:rPr>
        <w:t xml:space="preserve"> i Par</w:t>
      </w:r>
      <w:r w:rsidRPr="00E82C90">
        <w:rPr>
          <w:rFonts w:ascii="Times New Roman" w:hAnsi="Times New Roman"/>
          <w:b/>
          <w:bCs/>
          <w:noProof/>
          <w:sz w:val="24"/>
          <w:szCs w:val="24"/>
        </w:rPr>
        <w:t>tnerstwa Wschodniego, dostosowanych do obecnej sytuacji, aby przyspieszyć wprowadzanie odnawialnych źródeł energii, zapewnić ekologiczną transformację energetyczną</w:t>
      </w:r>
      <w:r w:rsidR="00E82C90" w:rsidRPr="00E82C90">
        <w:rPr>
          <w:rFonts w:ascii="Times New Roman" w:hAnsi="Times New Roman"/>
          <w:b/>
          <w:bCs/>
          <w:noProof/>
          <w:sz w:val="24"/>
          <w:szCs w:val="24"/>
        </w:rPr>
        <w:t xml:space="preserve"> i pom</w:t>
      </w:r>
      <w:r w:rsidRPr="00E82C90">
        <w:rPr>
          <w:rFonts w:ascii="Times New Roman" w:hAnsi="Times New Roman"/>
          <w:b/>
          <w:bCs/>
          <w:noProof/>
          <w:sz w:val="24"/>
          <w:szCs w:val="24"/>
        </w:rPr>
        <w:t>óc ograniczyć</w:t>
      </w:r>
      <w:r w:rsidR="00FE4786" w:rsidRPr="00E82C90">
        <w:rPr>
          <w:rFonts w:ascii="Times New Roman" w:hAnsi="Times New Roman"/>
          <w:b/>
          <w:bCs/>
          <w:noProof/>
          <w:sz w:val="24"/>
          <w:szCs w:val="24"/>
        </w:rPr>
        <w:t xml:space="preserve"> zależność od rosyjskiego gazu</w:t>
      </w:r>
    </w:p>
    <w:p w14:paraId="7515B709" w14:textId="74433503" w:rsidR="00584DFE" w:rsidRPr="00E82C90" w:rsidRDefault="00A77DFB" w:rsidP="004733FC">
      <w:pPr>
        <w:pStyle w:val="ListParagraph"/>
        <w:numPr>
          <w:ilvl w:val="0"/>
          <w:numId w:val="4"/>
        </w:numPr>
        <w:spacing w:after="160"/>
        <w:jc w:val="both"/>
        <w:rPr>
          <w:rFonts w:ascii="Times New Roman" w:hAnsi="Times New Roman" w:cs="Times New Roman"/>
          <w:b/>
          <w:bCs/>
          <w:noProof/>
          <w:sz w:val="24"/>
          <w:szCs w:val="24"/>
        </w:rPr>
      </w:pPr>
      <w:r w:rsidRPr="00E82C90">
        <w:rPr>
          <w:rFonts w:ascii="Times New Roman" w:hAnsi="Times New Roman"/>
          <w:b/>
          <w:bCs/>
          <w:noProof/>
          <w:sz w:val="24"/>
          <w:szCs w:val="24"/>
        </w:rPr>
        <w:t>wykorzystanie ram Wspólnoty Energetycznej do wspierania ambitnych celów</w:t>
      </w:r>
      <w:r w:rsidR="00E82C90" w:rsidRPr="00E82C90">
        <w:rPr>
          <w:rFonts w:ascii="Times New Roman" w:hAnsi="Times New Roman"/>
          <w:b/>
          <w:bCs/>
          <w:noProof/>
          <w:sz w:val="24"/>
          <w:szCs w:val="24"/>
        </w:rPr>
        <w:t xml:space="preserve"> w dzi</w:t>
      </w:r>
      <w:r w:rsidRPr="00E82C90">
        <w:rPr>
          <w:rFonts w:ascii="Times New Roman" w:hAnsi="Times New Roman"/>
          <w:b/>
          <w:bCs/>
          <w:noProof/>
          <w:sz w:val="24"/>
          <w:szCs w:val="24"/>
        </w:rPr>
        <w:t>edzinie energii</w:t>
      </w:r>
      <w:r w:rsidR="00E82C90" w:rsidRPr="00E82C90">
        <w:rPr>
          <w:rFonts w:ascii="Times New Roman" w:hAnsi="Times New Roman"/>
          <w:b/>
          <w:bCs/>
          <w:noProof/>
          <w:sz w:val="24"/>
          <w:szCs w:val="24"/>
        </w:rPr>
        <w:t xml:space="preserve"> i kli</w:t>
      </w:r>
      <w:r w:rsidRPr="00E82C90">
        <w:rPr>
          <w:rFonts w:ascii="Times New Roman" w:hAnsi="Times New Roman"/>
          <w:b/>
          <w:bCs/>
          <w:noProof/>
          <w:sz w:val="24"/>
          <w:szCs w:val="24"/>
        </w:rPr>
        <w:t>matu oraz reform rynkowych,</w:t>
      </w:r>
      <w:r w:rsidR="00E82C90" w:rsidRPr="00E82C90">
        <w:rPr>
          <w:rFonts w:ascii="Times New Roman" w:hAnsi="Times New Roman"/>
          <w:b/>
          <w:bCs/>
          <w:noProof/>
          <w:sz w:val="24"/>
          <w:szCs w:val="24"/>
        </w:rPr>
        <w:t xml:space="preserve"> a tak</w:t>
      </w:r>
      <w:r w:rsidRPr="00E82C90">
        <w:rPr>
          <w:rFonts w:ascii="Times New Roman" w:hAnsi="Times New Roman"/>
          <w:b/>
          <w:bCs/>
          <w:noProof/>
          <w:sz w:val="24"/>
          <w:szCs w:val="24"/>
        </w:rPr>
        <w:t>że do zwiększenia wykorzystania odnawialnych źródeł energ</w:t>
      </w:r>
      <w:r w:rsidR="00FE4786" w:rsidRPr="00E82C90">
        <w:rPr>
          <w:rFonts w:ascii="Times New Roman" w:hAnsi="Times New Roman"/>
          <w:b/>
          <w:bCs/>
          <w:noProof/>
          <w:sz w:val="24"/>
          <w:szCs w:val="24"/>
        </w:rPr>
        <w:t>ii</w:t>
      </w:r>
      <w:r w:rsidR="00E82C90" w:rsidRPr="00E82C90">
        <w:rPr>
          <w:rFonts w:ascii="Times New Roman" w:hAnsi="Times New Roman"/>
          <w:b/>
          <w:bCs/>
          <w:noProof/>
          <w:sz w:val="24"/>
          <w:szCs w:val="24"/>
        </w:rPr>
        <w:t xml:space="preserve"> i efe</w:t>
      </w:r>
      <w:r w:rsidR="00FE4786" w:rsidRPr="00E82C90">
        <w:rPr>
          <w:rFonts w:ascii="Times New Roman" w:hAnsi="Times New Roman"/>
          <w:b/>
          <w:bCs/>
          <w:noProof/>
          <w:sz w:val="24"/>
          <w:szCs w:val="24"/>
        </w:rPr>
        <w:t>ktywności energetycznej</w:t>
      </w:r>
    </w:p>
    <w:p w14:paraId="5D1BC5EF" w14:textId="507499C7" w:rsidR="005241EE" w:rsidRPr="00E82C90" w:rsidRDefault="00A77DFB" w:rsidP="005241EE">
      <w:pPr>
        <w:pStyle w:val="ListParagraph"/>
        <w:numPr>
          <w:ilvl w:val="0"/>
          <w:numId w:val="4"/>
        </w:numPr>
        <w:spacing w:after="160"/>
        <w:jc w:val="both"/>
        <w:rPr>
          <w:rFonts w:ascii="Times New Roman" w:hAnsi="Times New Roman" w:cs="Times New Roman"/>
          <w:b/>
          <w:bCs/>
          <w:noProof/>
          <w:sz w:val="24"/>
          <w:szCs w:val="24"/>
        </w:rPr>
      </w:pPr>
      <w:r w:rsidRPr="00E82C90">
        <w:rPr>
          <w:rFonts w:ascii="Times New Roman" w:hAnsi="Times New Roman"/>
          <w:b/>
          <w:bCs/>
          <w:noProof/>
          <w:sz w:val="24"/>
          <w:szCs w:val="24"/>
        </w:rPr>
        <w:t>uruchomienie inicjatywy REPowerUkraine</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zapewnienia dostaw energii</w:t>
      </w:r>
      <w:r w:rsidR="00E82C90" w:rsidRPr="00E82C90">
        <w:rPr>
          <w:rFonts w:ascii="Times New Roman" w:hAnsi="Times New Roman"/>
          <w:b/>
          <w:bCs/>
          <w:noProof/>
          <w:sz w:val="24"/>
          <w:szCs w:val="24"/>
        </w:rPr>
        <w:t xml:space="preserve"> i odb</w:t>
      </w:r>
      <w:r w:rsidRPr="00E82C90">
        <w:rPr>
          <w:rFonts w:ascii="Times New Roman" w:hAnsi="Times New Roman"/>
          <w:b/>
          <w:bCs/>
          <w:noProof/>
          <w:sz w:val="24"/>
          <w:szCs w:val="24"/>
        </w:rPr>
        <w:t>udowy ukraińskiego se</w:t>
      </w:r>
      <w:r w:rsidR="00FE4786" w:rsidRPr="00E82C90">
        <w:rPr>
          <w:rFonts w:ascii="Times New Roman" w:hAnsi="Times New Roman"/>
          <w:b/>
          <w:bCs/>
          <w:noProof/>
          <w:sz w:val="24"/>
          <w:szCs w:val="24"/>
        </w:rPr>
        <w:t>ktora energetycznego po wojnie</w:t>
      </w:r>
    </w:p>
    <w:p w14:paraId="4E7955F6" w14:textId="3162A627" w:rsidR="006B0D1C" w:rsidRPr="00E82C90" w:rsidRDefault="00FC6D45" w:rsidP="00B343AD">
      <w:pPr>
        <w:pStyle w:val="Heading1"/>
        <w:numPr>
          <w:ilvl w:val="0"/>
          <w:numId w:val="1"/>
        </w:numPr>
        <w:spacing w:after="240"/>
        <w:rPr>
          <w:rFonts w:ascii="Times New Roman" w:eastAsia="Times New Roman" w:hAnsi="Times New Roman" w:cs="Times New Roman"/>
          <w:b/>
          <w:noProof/>
          <w:color w:val="auto"/>
          <w:sz w:val="24"/>
          <w:szCs w:val="24"/>
        </w:rPr>
      </w:pPr>
      <w:bookmarkStart w:id="11" w:name="_Toc99964845"/>
      <w:bookmarkEnd w:id="8"/>
      <w:bookmarkEnd w:id="9"/>
      <w:r w:rsidRPr="00E82C90">
        <w:rPr>
          <w:rFonts w:ascii="Times New Roman" w:hAnsi="Times New Roman"/>
          <w:b/>
          <w:noProof/>
          <w:color w:val="auto"/>
          <w:sz w:val="24"/>
          <w:szCs w:val="24"/>
        </w:rPr>
        <w:t>Prowadzenie</w:t>
      </w:r>
      <w:r w:rsidR="00E82C90" w:rsidRPr="00E82C90">
        <w:rPr>
          <w:rFonts w:ascii="Times New Roman" w:hAnsi="Times New Roman"/>
          <w:b/>
          <w:noProof/>
          <w:color w:val="auto"/>
          <w:sz w:val="24"/>
          <w:szCs w:val="24"/>
        </w:rPr>
        <w:t xml:space="preserve"> i prz</w:t>
      </w:r>
      <w:r w:rsidRPr="00E82C90">
        <w:rPr>
          <w:rFonts w:ascii="Times New Roman" w:hAnsi="Times New Roman"/>
          <w:b/>
          <w:noProof/>
          <w:color w:val="auto"/>
          <w:sz w:val="24"/>
          <w:szCs w:val="24"/>
        </w:rPr>
        <w:t>yspieszenie globalnej ekologicznej</w:t>
      </w:r>
      <w:r w:rsidR="00E82C90" w:rsidRPr="00E82C90">
        <w:rPr>
          <w:rFonts w:ascii="Times New Roman" w:hAnsi="Times New Roman"/>
          <w:b/>
          <w:noProof/>
          <w:color w:val="auto"/>
          <w:sz w:val="24"/>
          <w:szCs w:val="24"/>
        </w:rPr>
        <w:t xml:space="preserve"> i spr</w:t>
      </w:r>
      <w:r w:rsidRPr="00E82C90">
        <w:rPr>
          <w:rFonts w:ascii="Times New Roman" w:hAnsi="Times New Roman"/>
          <w:b/>
          <w:noProof/>
          <w:color w:val="auto"/>
          <w:sz w:val="24"/>
          <w:szCs w:val="24"/>
        </w:rPr>
        <w:t>awiedliwej transformacji energetycznej</w:t>
      </w:r>
      <w:bookmarkEnd w:id="11"/>
    </w:p>
    <w:p w14:paraId="1FE38C85" w14:textId="7603E1DC" w:rsidR="00AF3BC5" w:rsidRPr="00E82C90" w:rsidRDefault="00705BCF" w:rsidP="007E0EE2">
      <w:pPr>
        <w:jc w:val="both"/>
        <w:rPr>
          <w:rFonts w:ascii="Times New Roman" w:hAnsi="Times New Roman" w:cs="Times New Roman"/>
          <w:noProof/>
          <w:sz w:val="24"/>
          <w:szCs w:val="24"/>
        </w:rPr>
      </w:pPr>
      <w:r w:rsidRPr="00E82C90">
        <w:rPr>
          <w:rFonts w:ascii="Times New Roman" w:hAnsi="Times New Roman"/>
          <w:noProof/>
          <w:sz w:val="24"/>
          <w:szCs w:val="24"/>
        </w:rPr>
        <w:t>Ekologiczna transformacja energetyczna ma kluczowe znaczenie dla ograniczenia globalnego ocieplenia do</w:t>
      </w:r>
      <w:r w:rsidR="00E82C90" w:rsidRPr="00E82C90">
        <w:rPr>
          <w:rFonts w:ascii="Times New Roman" w:hAnsi="Times New Roman"/>
          <w:noProof/>
          <w:sz w:val="24"/>
          <w:szCs w:val="24"/>
        </w:rPr>
        <w:t> </w:t>
      </w:r>
      <w:r w:rsidRPr="00E82C90">
        <w:rPr>
          <w:rFonts w:ascii="Times New Roman" w:hAnsi="Times New Roman"/>
          <w:noProof/>
          <w:sz w:val="24"/>
          <w:szCs w:val="24"/>
        </w:rPr>
        <w:t>1,5 stopnia, dla pobudzenia wzrostu gospodarczego, stworzenia możliwości</w:t>
      </w:r>
      <w:r w:rsidR="00E82C90" w:rsidRPr="00E82C90">
        <w:rPr>
          <w:rFonts w:ascii="Times New Roman" w:hAnsi="Times New Roman"/>
          <w:noProof/>
          <w:sz w:val="24"/>
          <w:szCs w:val="24"/>
        </w:rPr>
        <w:t xml:space="preserve"> i pop</w:t>
      </w:r>
      <w:r w:rsidRPr="00E82C90">
        <w:rPr>
          <w:rFonts w:ascii="Times New Roman" w:hAnsi="Times New Roman"/>
          <w:noProof/>
          <w:sz w:val="24"/>
          <w:szCs w:val="24"/>
        </w:rPr>
        <w:t>rawy warunków życia na całym świecie,</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dla złagodzenia ryzyka związanego</w:t>
      </w:r>
      <w:r w:rsidR="00E82C90" w:rsidRPr="00E82C90">
        <w:rPr>
          <w:rFonts w:ascii="Times New Roman" w:hAnsi="Times New Roman"/>
          <w:noProof/>
          <w:sz w:val="24"/>
          <w:szCs w:val="24"/>
        </w:rPr>
        <w:t xml:space="preserve"> z cen</w:t>
      </w:r>
      <w:r w:rsidRPr="00E82C90">
        <w:rPr>
          <w:rFonts w:ascii="Times New Roman" w:hAnsi="Times New Roman"/>
          <w:noProof/>
          <w:sz w:val="24"/>
          <w:szCs w:val="24"/>
        </w:rPr>
        <w:t>ami</w:t>
      </w:r>
      <w:r w:rsidR="00E82C90" w:rsidRPr="00E82C90">
        <w:rPr>
          <w:rFonts w:ascii="Times New Roman" w:hAnsi="Times New Roman"/>
          <w:noProof/>
          <w:sz w:val="24"/>
          <w:szCs w:val="24"/>
        </w:rPr>
        <w:t xml:space="preserve"> i bez</w:t>
      </w:r>
      <w:r w:rsidRPr="00E82C90">
        <w:rPr>
          <w:rFonts w:ascii="Times New Roman" w:hAnsi="Times New Roman"/>
          <w:noProof/>
          <w:sz w:val="24"/>
          <w:szCs w:val="24"/>
        </w:rPr>
        <w:t>pieczeństwem energetycznym. Realizacja scenariusza zakładającego ograniczenie globalnego ocieplenia do</w:t>
      </w:r>
      <w:r w:rsidR="00E82C90" w:rsidRPr="00E82C90">
        <w:rPr>
          <w:rFonts w:ascii="Times New Roman" w:hAnsi="Times New Roman"/>
          <w:noProof/>
          <w:sz w:val="24"/>
          <w:szCs w:val="24"/>
        </w:rPr>
        <w:t> </w:t>
      </w:r>
      <w:r w:rsidRPr="00E82C90">
        <w:rPr>
          <w:rFonts w:ascii="Times New Roman" w:hAnsi="Times New Roman"/>
          <w:noProof/>
          <w:sz w:val="24"/>
          <w:szCs w:val="24"/>
        </w:rPr>
        <w:t xml:space="preserve">1,5 stopnia oznaczałaby </w:t>
      </w:r>
      <w:r w:rsidRPr="00E82C90">
        <w:rPr>
          <w:rFonts w:ascii="Times New Roman" w:hAnsi="Times New Roman"/>
          <w:b/>
          <w:bCs/>
          <w:noProof/>
          <w:sz w:val="24"/>
          <w:szCs w:val="24"/>
        </w:rPr>
        <w:t>wzrost PKB do</w:t>
      </w:r>
      <w:r w:rsidR="00E82C90" w:rsidRPr="00E82C90">
        <w:rPr>
          <w:rFonts w:ascii="Times New Roman" w:hAnsi="Times New Roman"/>
          <w:b/>
          <w:bCs/>
          <w:noProof/>
          <w:sz w:val="24"/>
          <w:szCs w:val="24"/>
        </w:rPr>
        <w:t> </w:t>
      </w:r>
      <w:r w:rsidRPr="00E82C90">
        <w:rPr>
          <w:rFonts w:ascii="Times New Roman" w:hAnsi="Times New Roman"/>
          <w:b/>
          <w:bCs/>
          <w:noProof/>
          <w:sz w:val="24"/>
          <w:szCs w:val="24"/>
        </w:rPr>
        <w:t>2030</w:t>
      </w:r>
      <w:r w:rsidR="00E82C90" w:rsidRPr="00E82C90">
        <w:rPr>
          <w:rFonts w:ascii="Times New Roman" w:hAnsi="Times New Roman"/>
          <w:b/>
          <w:bCs/>
          <w:noProof/>
          <w:sz w:val="24"/>
          <w:szCs w:val="24"/>
        </w:rPr>
        <w:t> </w:t>
      </w:r>
      <w:r w:rsidRPr="00E82C90">
        <w:rPr>
          <w:rFonts w:ascii="Times New Roman" w:hAnsi="Times New Roman"/>
          <w:b/>
          <w:bCs/>
          <w:noProof/>
          <w:sz w:val="24"/>
          <w:szCs w:val="24"/>
        </w:rPr>
        <w:t>r.</w:t>
      </w:r>
      <w:r w:rsidR="00E82C90" w:rsidRPr="00E82C90">
        <w:rPr>
          <w:rFonts w:ascii="Times New Roman" w:hAnsi="Times New Roman"/>
          <w:b/>
          <w:bCs/>
          <w:noProof/>
          <w:sz w:val="24"/>
          <w:szCs w:val="24"/>
        </w:rPr>
        <w:t xml:space="preserve"> o 2</w:t>
      </w:r>
      <w:r w:rsidRPr="00E82C90">
        <w:rPr>
          <w:rFonts w:ascii="Times New Roman" w:hAnsi="Times New Roman"/>
          <w:b/>
          <w:bCs/>
          <w:noProof/>
          <w:sz w:val="24"/>
          <w:szCs w:val="24"/>
        </w:rPr>
        <w:t>,3</w:t>
      </w:r>
      <w:r w:rsidR="00E82C90" w:rsidRPr="00E82C90">
        <w:rPr>
          <w:rFonts w:ascii="Times New Roman" w:hAnsi="Times New Roman"/>
          <w:b/>
          <w:bCs/>
          <w:noProof/>
          <w:sz w:val="24"/>
          <w:szCs w:val="24"/>
        </w:rPr>
        <w:t> </w:t>
      </w:r>
      <w:r w:rsidRPr="00E82C90">
        <w:rPr>
          <w:rFonts w:ascii="Times New Roman" w:hAnsi="Times New Roman"/>
          <w:b/>
          <w:bCs/>
          <w:noProof/>
          <w:sz w:val="24"/>
          <w:szCs w:val="24"/>
        </w:rPr>
        <w:t>% większy</w:t>
      </w:r>
      <w:r w:rsidRPr="00E82C90">
        <w:rPr>
          <w:rFonts w:ascii="Times New Roman" w:hAnsi="Times New Roman"/>
          <w:noProof/>
          <w:sz w:val="24"/>
          <w:szCs w:val="24"/>
        </w:rPr>
        <w:t xml:space="preserve"> niż przy dotychczasowym scenariuszu postępowania oraz </w:t>
      </w:r>
      <w:r w:rsidRPr="00E82C90">
        <w:rPr>
          <w:rFonts w:ascii="Times New Roman" w:hAnsi="Times New Roman"/>
          <w:b/>
          <w:bCs/>
          <w:noProof/>
          <w:sz w:val="24"/>
          <w:szCs w:val="24"/>
        </w:rPr>
        <w:t>85 mln nowych miejsc pracy związanych</w:t>
      </w:r>
      <w:r w:rsidR="00E82C90" w:rsidRPr="00E82C90">
        <w:rPr>
          <w:rFonts w:ascii="Times New Roman" w:hAnsi="Times New Roman"/>
          <w:b/>
          <w:bCs/>
          <w:noProof/>
          <w:sz w:val="24"/>
          <w:szCs w:val="24"/>
        </w:rPr>
        <w:t xml:space="preserve"> z tra</w:t>
      </w:r>
      <w:r w:rsidRPr="00E82C90">
        <w:rPr>
          <w:rFonts w:ascii="Times New Roman" w:hAnsi="Times New Roman"/>
          <w:b/>
          <w:bCs/>
          <w:noProof/>
          <w:sz w:val="24"/>
          <w:szCs w:val="24"/>
        </w:rPr>
        <w:t>nsformacją energetyczną</w:t>
      </w:r>
      <w:r w:rsidR="00C46307" w:rsidRPr="00E82C90">
        <w:rPr>
          <w:rStyle w:val="FootnoteReference"/>
          <w:rFonts w:ascii="Times New Roman" w:hAnsi="Times New Roman" w:cs="Times New Roman"/>
          <w:b/>
          <w:bCs/>
          <w:noProof/>
          <w:sz w:val="24"/>
          <w:szCs w:val="24"/>
        </w:rPr>
        <w:footnoteReference w:id="16"/>
      </w:r>
      <w:r w:rsidRPr="00E82C90">
        <w:rPr>
          <w:rFonts w:ascii="Times New Roman" w:hAnsi="Times New Roman"/>
          <w:b/>
          <w:bCs/>
          <w:noProof/>
          <w:sz w:val="24"/>
          <w:szCs w:val="24"/>
        </w:rPr>
        <w:t xml:space="preserve">. </w:t>
      </w:r>
    </w:p>
    <w:p w14:paraId="77928F19" w14:textId="242D27DC" w:rsidR="007E0EE2" w:rsidRPr="00E82C90" w:rsidRDefault="007E0EE2" w:rsidP="007E0EE2">
      <w:pPr>
        <w:jc w:val="both"/>
        <w:rPr>
          <w:rFonts w:ascii="Times New Roman" w:hAnsi="Times New Roman" w:cs="Times New Roman"/>
          <w:noProof/>
          <w:sz w:val="24"/>
          <w:szCs w:val="24"/>
        </w:rPr>
      </w:pPr>
      <w:r w:rsidRPr="00E82C90">
        <w:rPr>
          <w:rFonts w:ascii="Times New Roman" w:hAnsi="Times New Roman"/>
          <w:noProof/>
          <w:sz w:val="24"/>
          <w:szCs w:val="24"/>
        </w:rPr>
        <w:t xml:space="preserve">UE jest zdecydowana </w:t>
      </w:r>
      <w:r w:rsidRPr="00E82C90">
        <w:rPr>
          <w:rFonts w:ascii="Times New Roman" w:hAnsi="Times New Roman"/>
          <w:b/>
          <w:bCs/>
          <w:noProof/>
          <w:sz w:val="24"/>
          <w:szCs w:val="24"/>
        </w:rPr>
        <w:t>przewodzić globalnej transformacji ekologicznej</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yspieszać ją,</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wspierać swoich międzynarodowych partnerów</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procesie. Obejmuje to współpracę</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energii odnawialnej, efektywności energetycznej</w:t>
      </w:r>
      <w:r w:rsidR="00E82C90" w:rsidRPr="00E82C90">
        <w:rPr>
          <w:rFonts w:ascii="Times New Roman" w:hAnsi="Times New Roman"/>
          <w:noProof/>
          <w:sz w:val="24"/>
          <w:szCs w:val="24"/>
        </w:rPr>
        <w:t xml:space="preserve"> i osz</w:t>
      </w:r>
      <w:r w:rsidRPr="00E82C90">
        <w:rPr>
          <w:rFonts w:ascii="Times New Roman" w:hAnsi="Times New Roman"/>
          <w:noProof/>
          <w:sz w:val="24"/>
          <w:szCs w:val="24"/>
        </w:rPr>
        <w:t>czędności energii,</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gospodarki</w:t>
      </w:r>
      <w:r w:rsidR="00E82C90" w:rsidRPr="00E82C90">
        <w:rPr>
          <w:rFonts w:ascii="Times New Roman" w:hAnsi="Times New Roman"/>
          <w:noProof/>
          <w:sz w:val="24"/>
          <w:szCs w:val="24"/>
        </w:rPr>
        <w:t xml:space="preserve"> o obi</w:t>
      </w:r>
      <w:r w:rsidRPr="00E82C90">
        <w:rPr>
          <w:rFonts w:ascii="Times New Roman" w:hAnsi="Times New Roman"/>
          <w:noProof/>
          <w:sz w:val="24"/>
          <w:szCs w:val="24"/>
        </w:rPr>
        <w:t>egu zamkniętym, ekologicznego wzrostu gospodarczego, ochrony zasobów naturalnych, surowców krytycznych, czystych technologii</w:t>
      </w:r>
      <w:r w:rsidR="00E82C90" w:rsidRPr="00E82C90">
        <w:rPr>
          <w:rFonts w:ascii="Times New Roman" w:hAnsi="Times New Roman"/>
          <w:noProof/>
          <w:sz w:val="24"/>
          <w:szCs w:val="24"/>
        </w:rPr>
        <w:t xml:space="preserve"> i inf</w:t>
      </w:r>
      <w:r w:rsidRPr="00E82C90">
        <w:rPr>
          <w:rFonts w:ascii="Times New Roman" w:hAnsi="Times New Roman"/>
          <w:noProof/>
          <w:sz w:val="24"/>
          <w:szCs w:val="24"/>
        </w:rPr>
        <w:t xml:space="preserve">rastruktury dostosowanej do przyszłych wyzwań. </w:t>
      </w:r>
    </w:p>
    <w:p w14:paraId="4C88A88B" w14:textId="6D7818DD" w:rsidR="00393CC7" w:rsidRPr="00E82C90" w:rsidRDefault="007E0EE2" w:rsidP="004D771A">
      <w:pPr>
        <w:jc w:val="both"/>
        <w:rPr>
          <w:rFonts w:ascii="Times New Roman" w:hAnsi="Times New Roman" w:cs="Times New Roman"/>
          <w:noProof/>
          <w:sz w:val="24"/>
          <w:szCs w:val="24"/>
        </w:rPr>
      </w:pPr>
      <w:r w:rsidRPr="00E82C90">
        <w:rPr>
          <w:rFonts w:ascii="Times New Roman" w:hAnsi="Times New Roman"/>
          <w:noProof/>
          <w:sz w:val="24"/>
          <w:szCs w:val="24"/>
        </w:rPr>
        <w:t>Komisja Europejska</w:t>
      </w:r>
      <w:r w:rsidR="00E82C90" w:rsidRPr="00E82C90">
        <w:rPr>
          <w:rFonts w:ascii="Times New Roman" w:hAnsi="Times New Roman"/>
          <w:noProof/>
          <w:sz w:val="24"/>
          <w:szCs w:val="24"/>
        </w:rPr>
        <w:t xml:space="preserve"> i Wys</w:t>
      </w:r>
      <w:r w:rsidRPr="00E82C90">
        <w:rPr>
          <w:rFonts w:ascii="Times New Roman" w:hAnsi="Times New Roman"/>
          <w:noProof/>
          <w:sz w:val="24"/>
          <w:szCs w:val="24"/>
        </w:rPr>
        <w:t xml:space="preserve">oki Przedstawiciel UE uruchomili </w:t>
      </w:r>
      <w:r w:rsidRPr="00E82C90">
        <w:rPr>
          <w:rFonts w:ascii="Times New Roman" w:hAnsi="Times New Roman"/>
          <w:b/>
          <w:noProof/>
          <w:sz w:val="24"/>
          <w:szCs w:val="24"/>
        </w:rPr>
        <w:t>Global Gateway</w:t>
      </w:r>
      <w:r w:rsidRPr="00E82C90">
        <w:rPr>
          <w:rFonts w:ascii="Times New Roman" w:hAnsi="Times New Roman"/>
          <w:noProof/>
          <w:sz w:val="24"/>
          <w:szCs w:val="24"/>
        </w:rPr>
        <w:t xml:space="preserve"> – nową europejską strategię mającą na celu pobudzenie inteligentnych, czystych</w:t>
      </w:r>
      <w:r w:rsidR="00E82C90" w:rsidRPr="00E82C90">
        <w:rPr>
          <w:rFonts w:ascii="Times New Roman" w:hAnsi="Times New Roman"/>
          <w:noProof/>
          <w:sz w:val="24"/>
          <w:szCs w:val="24"/>
        </w:rPr>
        <w:t xml:space="preserve"> i bez</w:t>
      </w:r>
      <w:r w:rsidRPr="00E82C90">
        <w:rPr>
          <w:rFonts w:ascii="Times New Roman" w:hAnsi="Times New Roman"/>
          <w:noProof/>
          <w:sz w:val="24"/>
          <w:szCs w:val="24"/>
        </w:rPr>
        <w:t>piecznych powiązań</w:t>
      </w:r>
      <w:r w:rsidR="00E82C90" w:rsidRPr="00E82C90">
        <w:rPr>
          <w:rFonts w:ascii="Times New Roman" w:hAnsi="Times New Roman"/>
          <w:noProof/>
          <w:sz w:val="24"/>
          <w:szCs w:val="24"/>
        </w:rPr>
        <w:t xml:space="preserve"> w sek</w:t>
      </w:r>
      <w:r w:rsidRPr="00E82C90">
        <w:rPr>
          <w:rFonts w:ascii="Times New Roman" w:hAnsi="Times New Roman"/>
          <w:noProof/>
          <w:sz w:val="24"/>
          <w:szCs w:val="24"/>
        </w:rPr>
        <w:t>torach cyfrowym, energetycznym</w:t>
      </w:r>
      <w:r w:rsidR="00E82C90" w:rsidRPr="00E82C90">
        <w:rPr>
          <w:rFonts w:ascii="Times New Roman" w:hAnsi="Times New Roman"/>
          <w:noProof/>
          <w:sz w:val="24"/>
          <w:szCs w:val="24"/>
        </w:rPr>
        <w:t xml:space="preserve"> i tra</w:t>
      </w:r>
      <w:r w:rsidRPr="00E82C90">
        <w:rPr>
          <w:rFonts w:ascii="Times New Roman" w:hAnsi="Times New Roman"/>
          <w:noProof/>
          <w:sz w:val="24"/>
          <w:szCs w:val="24"/>
        </w:rPr>
        <w:t>nsportowym oraz wzmocnienie systemów opieki zdrowotnej, edukacji</w:t>
      </w:r>
      <w:r w:rsidR="00E82C90" w:rsidRPr="00E82C90">
        <w:rPr>
          <w:rFonts w:ascii="Times New Roman" w:hAnsi="Times New Roman"/>
          <w:noProof/>
          <w:sz w:val="24"/>
          <w:szCs w:val="24"/>
        </w:rPr>
        <w:t xml:space="preserve"> i bad</w:t>
      </w:r>
      <w:r w:rsidRPr="00E82C90">
        <w:rPr>
          <w:rFonts w:ascii="Times New Roman" w:hAnsi="Times New Roman"/>
          <w:noProof/>
          <w:sz w:val="24"/>
          <w:szCs w:val="24"/>
        </w:rPr>
        <w:t>ań na całym świecie, zgodnie</w:t>
      </w:r>
      <w:r w:rsidR="00E82C90" w:rsidRPr="00E82C90">
        <w:rPr>
          <w:rFonts w:ascii="Times New Roman" w:hAnsi="Times New Roman"/>
          <w:noProof/>
          <w:sz w:val="24"/>
          <w:szCs w:val="24"/>
        </w:rPr>
        <w:t xml:space="preserve"> z Age</w:t>
      </w:r>
      <w:r w:rsidRPr="00E82C90">
        <w:rPr>
          <w:rFonts w:ascii="Times New Roman" w:hAnsi="Times New Roman"/>
          <w:noProof/>
          <w:sz w:val="24"/>
          <w:szCs w:val="24"/>
        </w:rPr>
        <w:t>ndą 2030 ONZ</w:t>
      </w:r>
      <w:r w:rsidR="00E82C90" w:rsidRPr="00E82C90">
        <w:rPr>
          <w:rFonts w:ascii="Times New Roman" w:hAnsi="Times New Roman"/>
          <w:noProof/>
          <w:sz w:val="24"/>
          <w:szCs w:val="24"/>
        </w:rPr>
        <w:t xml:space="preserve"> i por</w:t>
      </w:r>
      <w:r w:rsidRPr="00E82C90">
        <w:rPr>
          <w:rFonts w:ascii="Times New Roman" w:hAnsi="Times New Roman"/>
          <w:noProof/>
          <w:sz w:val="24"/>
          <w:szCs w:val="24"/>
        </w:rPr>
        <w:t>ozumieniem paryskim. Global Gateway – której częścią jest intensywna kampania na rzecz ekologicznej transformacji energetycznej – zostanie zrealizowana</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 xml:space="preserve">ach podejścia </w:t>
      </w:r>
      <w:r w:rsidRPr="00E82C90">
        <w:rPr>
          <w:rFonts w:ascii="Times New Roman" w:hAnsi="Times New Roman"/>
          <w:b/>
          <w:noProof/>
          <w:sz w:val="24"/>
          <w:szCs w:val="24"/>
        </w:rPr>
        <w:t>„Drużyna Europy”</w:t>
      </w:r>
      <w:r w:rsidRPr="00E82C90">
        <w:rPr>
          <w:rFonts w:ascii="Times New Roman" w:hAnsi="Times New Roman"/>
          <w:noProof/>
          <w:sz w:val="24"/>
          <w:szCs w:val="24"/>
        </w:rPr>
        <w:t>, łączącego UE</w:t>
      </w:r>
      <w:r w:rsidR="00E82C90" w:rsidRPr="00E82C90">
        <w:rPr>
          <w:rFonts w:ascii="Times New Roman" w:hAnsi="Times New Roman"/>
          <w:noProof/>
          <w:sz w:val="24"/>
          <w:szCs w:val="24"/>
        </w:rPr>
        <w:t xml:space="preserve"> i jej</w:t>
      </w:r>
      <w:r w:rsidRPr="00E82C90">
        <w:rPr>
          <w:rFonts w:ascii="Times New Roman" w:hAnsi="Times New Roman"/>
          <w:noProof/>
          <w:sz w:val="24"/>
          <w:szCs w:val="24"/>
        </w:rPr>
        <w:t xml:space="preserve"> państwa członkowskie</w:t>
      </w:r>
      <w:r w:rsidR="00E82C90" w:rsidRPr="00E82C90">
        <w:rPr>
          <w:rFonts w:ascii="Times New Roman" w:hAnsi="Times New Roman"/>
          <w:noProof/>
          <w:sz w:val="24"/>
          <w:szCs w:val="24"/>
        </w:rPr>
        <w:t xml:space="preserve"> z ich</w:t>
      </w:r>
      <w:r w:rsidRPr="00E82C90">
        <w:rPr>
          <w:rFonts w:ascii="Times New Roman" w:hAnsi="Times New Roman"/>
          <w:noProof/>
          <w:sz w:val="24"/>
          <w:szCs w:val="24"/>
        </w:rPr>
        <w:t xml:space="preserve"> instytucjami finansowymi</w:t>
      </w:r>
      <w:r w:rsidR="00E82C90" w:rsidRPr="00E82C90">
        <w:rPr>
          <w:rFonts w:ascii="Times New Roman" w:hAnsi="Times New Roman"/>
          <w:noProof/>
          <w:sz w:val="24"/>
          <w:szCs w:val="24"/>
        </w:rPr>
        <w:t xml:space="preserve"> i roz</w:t>
      </w:r>
      <w:r w:rsidRPr="00E82C90">
        <w:rPr>
          <w:rFonts w:ascii="Times New Roman" w:hAnsi="Times New Roman"/>
          <w:noProof/>
          <w:sz w:val="24"/>
          <w:szCs w:val="24"/>
        </w:rPr>
        <w:t>wojowymi,</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EBI i EBOR,</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pozyskania do</w:t>
      </w:r>
      <w:r w:rsidR="00E82C90" w:rsidRPr="00E82C90">
        <w:rPr>
          <w:rFonts w:ascii="Times New Roman" w:hAnsi="Times New Roman"/>
          <w:noProof/>
          <w:sz w:val="24"/>
          <w:szCs w:val="24"/>
        </w:rPr>
        <w:t> </w:t>
      </w:r>
      <w:r w:rsidRPr="00E82C90">
        <w:rPr>
          <w:rFonts w:ascii="Times New Roman" w:hAnsi="Times New Roman"/>
          <w:noProof/>
          <w:sz w:val="24"/>
          <w:szCs w:val="24"/>
        </w:rPr>
        <w:t>300 mld EUR na inwestycje</w:t>
      </w:r>
      <w:r w:rsidR="00E82C90" w:rsidRPr="00E82C90">
        <w:rPr>
          <w:rFonts w:ascii="Times New Roman" w:hAnsi="Times New Roman"/>
          <w:noProof/>
          <w:sz w:val="24"/>
          <w:szCs w:val="24"/>
        </w:rPr>
        <w:t xml:space="preserve"> w lat</w:t>
      </w:r>
      <w:r w:rsidRPr="00E82C90">
        <w:rPr>
          <w:rFonts w:ascii="Times New Roman" w:hAnsi="Times New Roman"/>
          <w:noProof/>
          <w:sz w:val="24"/>
          <w:szCs w:val="24"/>
        </w:rPr>
        <w:t>ach 2021–2027.</w:t>
      </w:r>
    </w:p>
    <w:p w14:paraId="6A4ACC23" w14:textId="05214B4E" w:rsidR="00C05765" w:rsidRPr="00E82C90" w:rsidRDefault="00C05765" w:rsidP="0066231E">
      <w:pPr>
        <w:jc w:val="both"/>
        <w:rPr>
          <w:rFonts w:ascii="Times New Roman" w:hAnsi="Times New Roman" w:cs="Times New Roman"/>
          <w:noProof/>
          <w:sz w:val="24"/>
          <w:szCs w:val="24"/>
        </w:rPr>
      </w:pPr>
      <w:r w:rsidRPr="00E82C90">
        <w:rPr>
          <w:rFonts w:ascii="Times New Roman" w:hAnsi="Times New Roman"/>
          <w:noProof/>
          <w:sz w:val="24"/>
          <w:szCs w:val="24"/>
        </w:rPr>
        <w:t>UE wspiera globalną transformację ekologiczną również</w:t>
      </w:r>
      <w:r w:rsidR="00E82C90" w:rsidRPr="00E82C90">
        <w:rPr>
          <w:rFonts w:ascii="Times New Roman" w:hAnsi="Times New Roman"/>
          <w:noProof/>
          <w:sz w:val="24"/>
          <w:szCs w:val="24"/>
        </w:rPr>
        <w:t xml:space="preserve"> w dro</w:t>
      </w:r>
      <w:r w:rsidRPr="00E82C90">
        <w:rPr>
          <w:rFonts w:ascii="Times New Roman" w:hAnsi="Times New Roman"/>
          <w:noProof/>
          <w:sz w:val="24"/>
          <w:szCs w:val="24"/>
        </w:rPr>
        <w:t>dze finansowania działań</w:t>
      </w:r>
      <w:r w:rsidR="00E82C90" w:rsidRPr="00E82C90">
        <w:rPr>
          <w:rFonts w:ascii="Times New Roman" w:hAnsi="Times New Roman"/>
          <w:noProof/>
          <w:sz w:val="24"/>
          <w:szCs w:val="24"/>
        </w:rPr>
        <w:t xml:space="preserve"> w zwi</w:t>
      </w:r>
      <w:r w:rsidRPr="00E82C90">
        <w:rPr>
          <w:rFonts w:ascii="Times New Roman" w:hAnsi="Times New Roman"/>
          <w:noProof/>
          <w:sz w:val="24"/>
          <w:szCs w:val="24"/>
        </w:rPr>
        <w:t>ązku ze zmianą klimatu. 30</w:t>
      </w:r>
      <w:r w:rsidR="00E82C90" w:rsidRPr="00E82C90">
        <w:rPr>
          <w:rFonts w:ascii="Times New Roman" w:hAnsi="Times New Roman"/>
          <w:noProof/>
          <w:sz w:val="24"/>
          <w:szCs w:val="24"/>
        </w:rPr>
        <w:t> </w:t>
      </w:r>
      <w:r w:rsidRPr="00E82C90">
        <w:rPr>
          <w:rFonts w:ascii="Times New Roman" w:hAnsi="Times New Roman"/>
          <w:noProof/>
          <w:sz w:val="24"/>
          <w:szCs w:val="24"/>
        </w:rPr>
        <w:t>% unijnej puli środków na pomoc rozwojową przeznacza się na przeciwdziałanie zmianie klimatu,</w:t>
      </w:r>
      <w:r w:rsidR="00E82C90" w:rsidRPr="00E82C90">
        <w:rPr>
          <w:rFonts w:ascii="Times New Roman" w:hAnsi="Times New Roman"/>
          <w:noProof/>
          <w:sz w:val="24"/>
          <w:szCs w:val="24"/>
        </w:rPr>
        <w:t xml:space="preserve"> w tym w sek</w:t>
      </w:r>
      <w:r w:rsidRPr="00E82C90">
        <w:rPr>
          <w:rFonts w:ascii="Times New Roman" w:hAnsi="Times New Roman"/>
          <w:noProof/>
          <w:sz w:val="24"/>
          <w:szCs w:val="24"/>
        </w:rPr>
        <w:t>torze energetycznym. UE jest prawdopodobnie największym uczestnikiem globalnego zobowiązania krajów najbardziej rozwiniętych do przeznaczania rocznie 100 mld USD na finansowanie działań</w:t>
      </w:r>
      <w:r w:rsidR="00E82C90" w:rsidRPr="00E82C90">
        <w:rPr>
          <w:rFonts w:ascii="Times New Roman" w:hAnsi="Times New Roman"/>
          <w:noProof/>
          <w:sz w:val="24"/>
          <w:szCs w:val="24"/>
        </w:rPr>
        <w:t xml:space="preserve"> w zwi</w:t>
      </w:r>
      <w:r w:rsidRPr="00E82C90">
        <w:rPr>
          <w:rFonts w:ascii="Times New Roman" w:hAnsi="Times New Roman"/>
          <w:noProof/>
          <w:sz w:val="24"/>
          <w:szCs w:val="24"/>
        </w:rPr>
        <w:t>ązku ze zmianą klimatu</w:t>
      </w:r>
      <w:r w:rsidR="00E82C90" w:rsidRPr="00E82C90">
        <w:rPr>
          <w:rFonts w:ascii="Times New Roman" w:hAnsi="Times New Roman"/>
          <w:noProof/>
          <w:sz w:val="24"/>
          <w:szCs w:val="24"/>
        </w:rPr>
        <w:t xml:space="preserve"> i będ</w:t>
      </w:r>
      <w:r w:rsidRPr="00E82C90">
        <w:rPr>
          <w:rFonts w:ascii="Times New Roman" w:hAnsi="Times New Roman"/>
          <w:noProof/>
          <w:sz w:val="24"/>
          <w:szCs w:val="24"/>
        </w:rPr>
        <w:t>zie nadal angażować innych partnerów, aby poszli</w:t>
      </w:r>
      <w:r w:rsidR="00E82C90" w:rsidRPr="00E82C90">
        <w:rPr>
          <w:rFonts w:ascii="Times New Roman" w:hAnsi="Times New Roman"/>
          <w:noProof/>
          <w:sz w:val="24"/>
          <w:szCs w:val="24"/>
        </w:rPr>
        <w:t xml:space="preserve"> w jej</w:t>
      </w:r>
      <w:r w:rsidRPr="00E82C90">
        <w:rPr>
          <w:rFonts w:ascii="Times New Roman" w:hAnsi="Times New Roman"/>
          <w:noProof/>
          <w:sz w:val="24"/>
          <w:szCs w:val="24"/>
        </w:rPr>
        <w:t xml:space="preserve"> ślady.</w:t>
      </w:r>
    </w:p>
    <w:p w14:paraId="31B6BD14" w14:textId="5ED5731F" w:rsidR="002F3B4B" w:rsidRPr="00E82C90" w:rsidRDefault="00AD552B" w:rsidP="00527911">
      <w:pPr>
        <w:spacing w:after="240"/>
        <w:jc w:val="both"/>
        <w:rPr>
          <w:rFonts w:ascii="Times New Roman" w:hAnsi="Times New Roman" w:cs="Times New Roman"/>
          <w:noProof/>
          <w:sz w:val="24"/>
          <w:szCs w:val="24"/>
        </w:rPr>
      </w:pPr>
      <w:r w:rsidRPr="00E82C90">
        <w:rPr>
          <w:rFonts w:ascii="Times New Roman" w:hAnsi="Times New Roman"/>
          <w:b/>
          <w:bCs/>
          <w:noProof/>
          <w:sz w:val="24"/>
          <w:szCs w:val="24"/>
        </w:rPr>
        <w:t>Aby transformacja ekologiczna zakończyła się sukcesem, musi być sprawiedliwa społecznie</w:t>
      </w:r>
      <w:r w:rsidRPr="00E82C90">
        <w:rPr>
          <w:rFonts w:ascii="Times New Roman" w:hAnsi="Times New Roman"/>
          <w:noProof/>
          <w:sz w:val="24"/>
          <w:szCs w:val="24"/>
        </w:rPr>
        <w:t>. Zwłaszcza</w:t>
      </w:r>
      <w:r w:rsidR="00E82C90" w:rsidRPr="00E82C90">
        <w:rPr>
          <w:rFonts w:ascii="Times New Roman" w:hAnsi="Times New Roman"/>
          <w:noProof/>
          <w:sz w:val="24"/>
          <w:szCs w:val="24"/>
        </w:rPr>
        <w:t xml:space="preserve"> w kon</w:t>
      </w:r>
      <w:r w:rsidRPr="00E82C90">
        <w:rPr>
          <w:rFonts w:ascii="Times New Roman" w:hAnsi="Times New Roman"/>
          <w:noProof/>
          <w:sz w:val="24"/>
          <w:szCs w:val="24"/>
        </w:rPr>
        <w:t>tekście powolnego ożywienia gospodarczego, zawirowań ekonomicznych</w:t>
      </w:r>
      <w:r w:rsidR="00E82C90" w:rsidRPr="00E82C90">
        <w:rPr>
          <w:rFonts w:ascii="Times New Roman" w:hAnsi="Times New Roman"/>
          <w:noProof/>
          <w:sz w:val="24"/>
          <w:szCs w:val="24"/>
        </w:rPr>
        <w:t xml:space="preserve"> i glo</w:t>
      </w:r>
      <w:r w:rsidRPr="00E82C90">
        <w:rPr>
          <w:rFonts w:ascii="Times New Roman" w:hAnsi="Times New Roman"/>
          <w:noProof/>
          <w:sz w:val="24"/>
          <w:szCs w:val="24"/>
        </w:rPr>
        <w:t>balnych konsekwencji rosyjskiej agresji na Ukrainę, społeczne aspekty przekształcenia systemów energetycznych muszą stanowić centralny element transformacji. Jest to priorytet dla UE</w:t>
      </w:r>
      <w:r w:rsidR="00E82C90" w:rsidRPr="00E82C90">
        <w:rPr>
          <w:rFonts w:ascii="Times New Roman" w:hAnsi="Times New Roman"/>
          <w:noProof/>
          <w:sz w:val="24"/>
          <w:szCs w:val="24"/>
        </w:rPr>
        <w:t xml:space="preserve"> i int</w:t>
      </w:r>
      <w:r w:rsidRPr="00E82C90">
        <w:rPr>
          <w:rFonts w:ascii="Times New Roman" w:hAnsi="Times New Roman"/>
          <w:noProof/>
          <w:sz w:val="24"/>
          <w:szCs w:val="24"/>
        </w:rPr>
        <w:t>egralna część naszej zewnętrznej polityki energetycznej</w:t>
      </w:r>
      <w:r w:rsidR="00E82C90" w:rsidRPr="00E82C90">
        <w:rPr>
          <w:rFonts w:ascii="Times New Roman" w:hAnsi="Times New Roman"/>
          <w:noProof/>
          <w:sz w:val="24"/>
          <w:szCs w:val="24"/>
        </w:rPr>
        <w:t>. Z jed</w:t>
      </w:r>
      <w:r w:rsidRPr="00E82C90">
        <w:rPr>
          <w:rFonts w:ascii="Times New Roman" w:hAnsi="Times New Roman"/>
          <w:noProof/>
          <w:sz w:val="24"/>
          <w:szCs w:val="24"/>
        </w:rPr>
        <w:t>nej strony oznacza to ograniczenie społecznych</w:t>
      </w:r>
      <w:r w:rsidR="00E82C90" w:rsidRPr="00E82C90">
        <w:rPr>
          <w:rFonts w:ascii="Times New Roman" w:hAnsi="Times New Roman"/>
          <w:noProof/>
          <w:sz w:val="24"/>
          <w:szCs w:val="24"/>
        </w:rPr>
        <w:t xml:space="preserve"> i gos</w:t>
      </w:r>
      <w:r w:rsidRPr="00E82C90">
        <w:rPr>
          <w:rFonts w:ascii="Times New Roman" w:hAnsi="Times New Roman"/>
          <w:noProof/>
          <w:sz w:val="24"/>
          <w:szCs w:val="24"/>
        </w:rPr>
        <w:t>podarczych skutków wycofywania paliw kopalnych (w szczególności węgla),</w:t>
      </w:r>
      <w:r w:rsidR="00E82C90" w:rsidRPr="00E82C90">
        <w:rPr>
          <w:rFonts w:ascii="Times New Roman" w:hAnsi="Times New Roman"/>
          <w:noProof/>
          <w:sz w:val="24"/>
          <w:szCs w:val="24"/>
        </w:rPr>
        <w:t xml:space="preserve"> a z dru</w:t>
      </w:r>
      <w:r w:rsidRPr="00E82C90">
        <w:rPr>
          <w:rFonts w:ascii="Times New Roman" w:hAnsi="Times New Roman"/>
          <w:noProof/>
          <w:sz w:val="24"/>
          <w:szCs w:val="24"/>
        </w:rPr>
        <w:t xml:space="preserve">giej – oferowanie nowych możliwości dzięki zielonym technologiom (rozdział 4.1), przy jednoczesnym rozwiązywaniu takich problemów, jak dostęp do energii, subsydiowanie paliw kopalnych, rozwój umiejętności oraz efekty dystrybucyjne transformacji. </w:t>
      </w:r>
    </w:p>
    <w:p w14:paraId="4A808746" w14:textId="756B8C1F" w:rsidR="008A6570" w:rsidRPr="00E82C90" w:rsidRDefault="008A6570" w:rsidP="00527911">
      <w:pPr>
        <w:spacing w:after="240"/>
        <w:jc w:val="both"/>
        <w:rPr>
          <w:rFonts w:ascii="Times New Roman" w:hAnsi="Times New Roman" w:cs="Times New Roman"/>
          <w:noProof/>
          <w:color w:val="000000"/>
          <w:sz w:val="24"/>
          <w:szCs w:val="24"/>
        </w:rPr>
      </w:pPr>
      <w:r w:rsidRPr="00E82C90">
        <w:rPr>
          <w:rFonts w:ascii="Times New Roman" w:hAnsi="Times New Roman"/>
          <w:noProof/>
          <w:sz w:val="24"/>
          <w:szCs w:val="24"/>
        </w:rPr>
        <w:t>Węgiel nie jest jedynym paliwem kopalnym, ale najbardziej zanieczyszczającym środowisko</w:t>
      </w:r>
      <w:r w:rsidR="00E82C90" w:rsidRPr="00E82C90">
        <w:rPr>
          <w:rFonts w:ascii="Times New Roman" w:hAnsi="Times New Roman"/>
          <w:noProof/>
          <w:sz w:val="24"/>
          <w:szCs w:val="24"/>
        </w:rPr>
        <w:t xml:space="preserve"> i odp</w:t>
      </w:r>
      <w:r w:rsidRPr="00E82C90">
        <w:rPr>
          <w:rFonts w:ascii="Times New Roman" w:hAnsi="Times New Roman"/>
          <w:noProof/>
          <w:sz w:val="24"/>
          <w:szCs w:val="24"/>
        </w:rPr>
        <w:t>owiedzialnym za</w:t>
      </w:r>
      <w:r w:rsidR="00E82C90" w:rsidRPr="00E82C90">
        <w:rPr>
          <w:rFonts w:ascii="Times New Roman" w:hAnsi="Times New Roman"/>
          <w:noProof/>
          <w:sz w:val="24"/>
          <w:szCs w:val="24"/>
        </w:rPr>
        <w:t> </w:t>
      </w:r>
      <w:r w:rsidRPr="00E82C90">
        <w:rPr>
          <w:rFonts w:ascii="Times New Roman" w:hAnsi="Times New Roman"/>
          <w:noProof/>
          <w:sz w:val="24"/>
          <w:szCs w:val="24"/>
        </w:rPr>
        <w:t>40</w:t>
      </w:r>
      <w:r w:rsidR="00E82C90" w:rsidRPr="00E82C90">
        <w:rPr>
          <w:rFonts w:ascii="Times New Roman" w:hAnsi="Times New Roman"/>
          <w:noProof/>
          <w:sz w:val="24"/>
          <w:szCs w:val="24"/>
        </w:rPr>
        <w:t> </w:t>
      </w:r>
      <w:r w:rsidRPr="00E82C90">
        <w:rPr>
          <w:rFonts w:ascii="Times New Roman" w:hAnsi="Times New Roman"/>
          <w:noProof/>
          <w:sz w:val="24"/>
          <w:szCs w:val="24"/>
        </w:rPr>
        <w:t>% światowej emisji gazów cieplarnianych</w:t>
      </w:r>
      <w:r w:rsidR="00E82C90" w:rsidRPr="00E82C90">
        <w:rPr>
          <w:rFonts w:ascii="Times New Roman" w:hAnsi="Times New Roman"/>
          <w:noProof/>
          <w:sz w:val="24"/>
          <w:szCs w:val="24"/>
        </w:rPr>
        <w:t>. Z teg</w:t>
      </w:r>
      <w:r w:rsidRPr="00E82C90">
        <w:rPr>
          <w:rFonts w:ascii="Times New Roman" w:hAnsi="Times New Roman"/>
          <w:noProof/>
          <w:sz w:val="24"/>
          <w:szCs w:val="24"/>
        </w:rPr>
        <w:t>o względu znajduje się on</w:t>
      </w:r>
      <w:r w:rsidR="00E82C90" w:rsidRPr="00E82C90">
        <w:rPr>
          <w:rFonts w:ascii="Times New Roman" w:hAnsi="Times New Roman"/>
          <w:noProof/>
          <w:sz w:val="24"/>
          <w:szCs w:val="24"/>
        </w:rPr>
        <w:t xml:space="preserve"> w cen</w:t>
      </w:r>
      <w:r w:rsidRPr="00E82C90">
        <w:rPr>
          <w:rFonts w:ascii="Times New Roman" w:hAnsi="Times New Roman"/>
          <w:noProof/>
          <w:sz w:val="24"/>
          <w:szCs w:val="24"/>
        </w:rPr>
        <w:t>trum działań UE na rzecz sprawiedliwej transformacji, które koncentrują się</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 xml:space="preserve">zególności na państwach będących największymi konsumentami węgla. </w:t>
      </w:r>
    </w:p>
    <w:p w14:paraId="3FD26E8F" w14:textId="70492D1D" w:rsidR="008A6570" w:rsidRPr="00E82C90" w:rsidRDefault="008A6570" w:rsidP="00A02CC1">
      <w:pPr>
        <w:spacing w:after="240"/>
        <w:jc w:val="both"/>
        <w:rPr>
          <w:rFonts w:ascii="Times New Roman" w:hAnsi="Times New Roman" w:cs="Times New Roman"/>
          <w:noProof/>
          <w:sz w:val="24"/>
          <w:szCs w:val="24"/>
        </w:rPr>
      </w:pPr>
      <w:r w:rsidRPr="00E82C90">
        <w:rPr>
          <w:rFonts w:ascii="Times New Roman" w:hAnsi="Times New Roman"/>
          <w:noProof/>
          <w:sz w:val="24"/>
          <w:szCs w:val="24"/>
        </w:rPr>
        <w:t>W następstwie COP26 UE wraz ze swoimi państwami członkowskimi – Francją</w:t>
      </w:r>
      <w:r w:rsidR="00E82C90" w:rsidRPr="00E82C90">
        <w:rPr>
          <w:rFonts w:ascii="Times New Roman" w:hAnsi="Times New Roman"/>
          <w:noProof/>
          <w:sz w:val="24"/>
          <w:szCs w:val="24"/>
        </w:rPr>
        <w:t xml:space="preserve"> i Nie</w:t>
      </w:r>
      <w:r w:rsidRPr="00E82C90">
        <w:rPr>
          <w:rFonts w:ascii="Times New Roman" w:hAnsi="Times New Roman"/>
          <w:noProof/>
          <w:sz w:val="24"/>
          <w:szCs w:val="24"/>
        </w:rPr>
        <w:t>mcami – oraz partnerami międzynarodowymi – Stanami Zjednoczonymi</w:t>
      </w:r>
      <w:r w:rsidR="00E82C90" w:rsidRPr="00E82C90">
        <w:rPr>
          <w:rFonts w:ascii="Times New Roman" w:hAnsi="Times New Roman"/>
          <w:noProof/>
          <w:sz w:val="24"/>
          <w:szCs w:val="24"/>
        </w:rPr>
        <w:t xml:space="preserve"> i Zje</w:t>
      </w:r>
      <w:r w:rsidRPr="00E82C90">
        <w:rPr>
          <w:rFonts w:ascii="Times New Roman" w:hAnsi="Times New Roman"/>
          <w:noProof/>
          <w:sz w:val="24"/>
          <w:szCs w:val="24"/>
        </w:rPr>
        <w:t xml:space="preserve">dnoczonym Królestwem – realizuje </w:t>
      </w:r>
      <w:r w:rsidRPr="00E82C90">
        <w:rPr>
          <w:rFonts w:ascii="Times New Roman" w:hAnsi="Times New Roman"/>
          <w:b/>
          <w:noProof/>
          <w:sz w:val="24"/>
          <w:szCs w:val="24"/>
        </w:rPr>
        <w:t>partnerstwo na rzecz sprawiedliwej transformacji</w:t>
      </w:r>
      <w:r w:rsidR="00E82C90" w:rsidRPr="00E82C90">
        <w:rPr>
          <w:rFonts w:ascii="Times New Roman" w:hAnsi="Times New Roman"/>
          <w:b/>
          <w:noProof/>
          <w:sz w:val="24"/>
          <w:szCs w:val="24"/>
        </w:rPr>
        <w:t xml:space="preserve"> z Rep</w:t>
      </w:r>
      <w:r w:rsidRPr="00E82C90">
        <w:rPr>
          <w:rFonts w:ascii="Times New Roman" w:hAnsi="Times New Roman"/>
          <w:b/>
          <w:noProof/>
          <w:sz w:val="24"/>
          <w:szCs w:val="24"/>
        </w:rPr>
        <w:t>ubliką Południowej Afryki</w:t>
      </w:r>
      <w:r w:rsidRPr="00E82C90">
        <w:rPr>
          <w:rFonts w:ascii="Times New Roman" w:hAnsi="Times New Roman"/>
          <w:noProof/>
          <w:sz w:val="24"/>
          <w:szCs w:val="24"/>
        </w:rPr>
        <w:t>, dysponujące budżetem</w:t>
      </w:r>
      <w:r w:rsidR="00E82C90" w:rsidRPr="00E82C90">
        <w:rPr>
          <w:rFonts w:ascii="Times New Roman" w:hAnsi="Times New Roman"/>
          <w:noProof/>
          <w:sz w:val="24"/>
          <w:szCs w:val="24"/>
        </w:rPr>
        <w:t xml:space="preserve"> w wys</w:t>
      </w:r>
      <w:r w:rsidRPr="00E82C90">
        <w:rPr>
          <w:rFonts w:ascii="Times New Roman" w:hAnsi="Times New Roman"/>
          <w:noProof/>
          <w:sz w:val="24"/>
          <w:szCs w:val="24"/>
        </w:rPr>
        <w:t>okości 8,5 mld USD, aby przyspieszyć dekarbonizację gospodarki</w:t>
      </w:r>
      <w:r w:rsidR="00E82C90" w:rsidRPr="00E82C90">
        <w:rPr>
          <w:rFonts w:ascii="Times New Roman" w:hAnsi="Times New Roman"/>
          <w:noProof/>
          <w:sz w:val="24"/>
          <w:szCs w:val="24"/>
        </w:rPr>
        <w:t xml:space="preserve"> z nac</w:t>
      </w:r>
      <w:r w:rsidRPr="00E82C90">
        <w:rPr>
          <w:rFonts w:ascii="Times New Roman" w:hAnsi="Times New Roman"/>
          <w:noProof/>
          <w:sz w:val="24"/>
          <w:szCs w:val="24"/>
        </w:rPr>
        <w:t>iskiem na stopniowe wycofywanie węgla</w:t>
      </w:r>
      <w:r w:rsidR="00E82C90" w:rsidRPr="00E82C90">
        <w:rPr>
          <w:rFonts w:ascii="Times New Roman" w:hAnsi="Times New Roman"/>
          <w:noProof/>
          <w:sz w:val="24"/>
          <w:szCs w:val="24"/>
        </w:rPr>
        <w:t xml:space="preserve"> i min</w:t>
      </w:r>
      <w:r w:rsidRPr="00E82C90">
        <w:rPr>
          <w:rFonts w:ascii="Times New Roman" w:hAnsi="Times New Roman"/>
          <w:noProof/>
          <w:sz w:val="24"/>
          <w:szCs w:val="24"/>
        </w:rPr>
        <w:t>imalizację kosztów adaptacji społecznej</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państwie. UE rozważa możliwość zawarcia partnerstw na rzecz sprawiedliwej transformacji</w:t>
      </w:r>
      <w:r w:rsidR="00E82C90" w:rsidRPr="00E82C90">
        <w:rPr>
          <w:rFonts w:ascii="Times New Roman" w:hAnsi="Times New Roman"/>
          <w:noProof/>
          <w:sz w:val="24"/>
          <w:szCs w:val="24"/>
        </w:rPr>
        <w:t xml:space="preserve"> z inn</w:t>
      </w:r>
      <w:r w:rsidRPr="00E82C90">
        <w:rPr>
          <w:rFonts w:ascii="Times New Roman" w:hAnsi="Times New Roman"/>
          <w:noProof/>
          <w:sz w:val="24"/>
          <w:szCs w:val="24"/>
        </w:rPr>
        <w:t>ymi partnerami, np.</w:t>
      </w:r>
      <w:r w:rsidR="00E82C90" w:rsidRPr="00E82C90">
        <w:rPr>
          <w:rFonts w:ascii="Times New Roman" w:hAnsi="Times New Roman"/>
          <w:noProof/>
          <w:sz w:val="24"/>
          <w:szCs w:val="24"/>
        </w:rPr>
        <w:t xml:space="preserve"> z Wie</w:t>
      </w:r>
      <w:r w:rsidRPr="00E82C90">
        <w:rPr>
          <w:rFonts w:ascii="Times New Roman" w:hAnsi="Times New Roman"/>
          <w:noProof/>
          <w:sz w:val="24"/>
          <w:szCs w:val="24"/>
        </w:rPr>
        <w:t>tnamem, Indonezją</w:t>
      </w:r>
      <w:r w:rsidR="00E82C90" w:rsidRPr="00E82C90">
        <w:rPr>
          <w:rFonts w:ascii="Times New Roman" w:hAnsi="Times New Roman"/>
          <w:noProof/>
          <w:sz w:val="24"/>
          <w:szCs w:val="24"/>
        </w:rPr>
        <w:t xml:space="preserve"> i Ind</w:t>
      </w:r>
      <w:r w:rsidRPr="00E82C90">
        <w:rPr>
          <w:rFonts w:ascii="Times New Roman" w:hAnsi="Times New Roman"/>
          <w:noProof/>
          <w:sz w:val="24"/>
          <w:szCs w:val="24"/>
        </w:rPr>
        <w:t>iami.</w:t>
      </w:r>
    </w:p>
    <w:p w14:paraId="06E82D88" w14:textId="4F28F161" w:rsidR="008A6570" w:rsidRPr="00E82C90" w:rsidRDefault="008A6570" w:rsidP="008A6570">
      <w:pPr>
        <w:spacing w:after="240"/>
        <w:jc w:val="both"/>
        <w:rPr>
          <w:rFonts w:ascii="Times New Roman" w:hAnsi="Times New Roman" w:cs="Times New Roman"/>
          <w:noProof/>
          <w:sz w:val="24"/>
          <w:szCs w:val="24"/>
        </w:rPr>
      </w:pPr>
      <w:r w:rsidRPr="00E82C90">
        <w:rPr>
          <w:rFonts w:ascii="Times New Roman" w:hAnsi="Times New Roman"/>
          <w:noProof/>
          <w:sz w:val="24"/>
          <w:szCs w:val="24"/>
        </w:rPr>
        <w:t>Zgodnie</w:t>
      </w:r>
      <w:r w:rsidR="00E82C90" w:rsidRPr="00E82C90">
        <w:rPr>
          <w:rFonts w:ascii="Times New Roman" w:hAnsi="Times New Roman"/>
          <w:noProof/>
          <w:sz w:val="24"/>
          <w:szCs w:val="24"/>
        </w:rPr>
        <w:t xml:space="preserve"> z dek</w:t>
      </w:r>
      <w:r w:rsidRPr="00E82C90">
        <w:rPr>
          <w:rFonts w:ascii="Times New Roman" w:hAnsi="Times New Roman"/>
          <w:noProof/>
          <w:sz w:val="24"/>
          <w:szCs w:val="24"/>
        </w:rPr>
        <w:t>larowanymi przez Chiny ambicjami zmniejszenia zależności od węgla</w:t>
      </w:r>
      <w:r w:rsidR="00E82C90" w:rsidRPr="00E82C90">
        <w:rPr>
          <w:rFonts w:ascii="Times New Roman" w:hAnsi="Times New Roman"/>
          <w:noProof/>
          <w:sz w:val="24"/>
          <w:szCs w:val="24"/>
        </w:rPr>
        <w:t xml:space="preserve"> i osi</w:t>
      </w:r>
      <w:r w:rsidRPr="00E82C90">
        <w:rPr>
          <w:rFonts w:ascii="Times New Roman" w:hAnsi="Times New Roman"/>
          <w:noProof/>
          <w:sz w:val="24"/>
          <w:szCs w:val="24"/>
        </w:rPr>
        <w:t>ągnięcia postępu</w:t>
      </w:r>
      <w:r w:rsidR="00E82C90" w:rsidRPr="00E82C90">
        <w:rPr>
          <w:rFonts w:ascii="Times New Roman" w:hAnsi="Times New Roman"/>
          <w:noProof/>
          <w:sz w:val="24"/>
          <w:szCs w:val="24"/>
        </w:rPr>
        <w:t xml:space="preserve"> w rea</w:t>
      </w:r>
      <w:r w:rsidRPr="00E82C90">
        <w:rPr>
          <w:rFonts w:ascii="Times New Roman" w:hAnsi="Times New Roman"/>
          <w:noProof/>
          <w:sz w:val="24"/>
          <w:szCs w:val="24"/>
        </w:rPr>
        <w:t>lizacji celu, jakim jest neutralność pod względem emisji dwutlenku węgla do</w:t>
      </w:r>
      <w:r w:rsidR="00E82C90" w:rsidRPr="00E82C90">
        <w:rPr>
          <w:rFonts w:ascii="Times New Roman" w:hAnsi="Times New Roman"/>
          <w:noProof/>
          <w:sz w:val="24"/>
          <w:szCs w:val="24"/>
        </w:rPr>
        <w:t> </w:t>
      </w:r>
      <w:r w:rsidRPr="00E82C90">
        <w:rPr>
          <w:rFonts w:ascii="Times New Roman" w:hAnsi="Times New Roman"/>
          <w:noProof/>
          <w:sz w:val="24"/>
          <w:szCs w:val="24"/>
        </w:rPr>
        <w:t>2060</w:t>
      </w:r>
      <w:r w:rsidR="00E82C90" w:rsidRPr="00E82C90">
        <w:rPr>
          <w:rFonts w:ascii="Times New Roman" w:hAnsi="Times New Roman"/>
          <w:noProof/>
          <w:sz w:val="24"/>
          <w:szCs w:val="24"/>
        </w:rPr>
        <w:t> </w:t>
      </w:r>
      <w:r w:rsidRPr="00E82C90">
        <w:rPr>
          <w:rFonts w:ascii="Times New Roman" w:hAnsi="Times New Roman"/>
          <w:noProof/>
          <w:sz w:val="24"/>
          <w:szCs w:val="24"/>
        </w:rPr>
        <w:t>r., Platforma Współpracy Energetycznej UE–Chiny (ECECP)</w:t>
      </w:r>
      <w:r w:rsidR="00E82C90" w:rsidRPr="00E82C90">
        <w:rPr>
          <w:rFonts w:ascii="Times New Roman" w:hAnsi="Times New Roman"/>
          <w:noProof/>
          <w:sz w:val="24"/>
          <w:szCs w:val="24"/>
        </w:rPr>
        <w:t xml:space="preserve"> i cor</w:t>
      </w:r>
      <w:r w:rsidRPr="00E82C90">
        <w:rPr>
          <w:rFonts w:ascii="Times New Roman" w:hAnsi="Times New Roman"/>
          <w:noProof/>
          <w:sz w:val="24"/>
          <w:szCs w:val="24"/>
        </w:rPr>
        <w:t>oczny dialog energetyczny na wysokim szczeblu UE–Chiny koncentrują się na rynkach uprawnień do emisji dwutlenku węgla, systemach energetycznych, energii ze źródeł odnawialnych, efektywności energetycznej</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ółpracy biznesowej. UE nawiązała również dialog</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polityki pracy</w:t>
      </w:r>
      <w:r w:rsidR="00E82C90" w:rsidRPr="00E82C90">
        <w:rPr>
          <w:rFonts w:ascii="Times New Roman" w:hAnsi="Times New Roman"/>
          <w:noProof/>
          <w:sz w:val="24"/>
          <w:szCs w:val="24"/>
        </w:rPr>
        <w:t xml:space="preserve"> i pol</w:t>
      </w:r>
      <w:r w:rsidRPr="00E82C90">
        <w:rPr>
          <w:rFonts w:ascii="Times New Roman" w:hAnsi="Times New Roman"/>
          <w:noProof/>
          <w:sz w:val="24"/>
          <w:szCs w:val="24"/>
        </w:rPr>
        <w:t>ityki społecznej</w:t>
      </w:r>
      <w:r w:rsidR="00E82C90" w:rsidRPr="00E82C90">
        <w:rPr>
          <w:rFonts w:ascii="Times New Roman" w:hAnsi="Times New Roman"/>
          <w:noProof/>
          <w:sz w:val="24"/>
          <w:szCs w:val="24"/>
        </w:rPr>
        <w:t xml:space="preserve"> z Ind</w:t>
      </w:r>
      <w:r w:rsidRPr="00E82C90">
        <w:rPr>
          <w:rFonts w:ascii="Times New Roman" w:hAnsi="Times New Roman"/>
          <w:noProof/>
          <w:sz w:val="24"/>
          <w:szCs w:val="24"/>
        </w:rPr>
        <w:t>iami, Chinami</w:t>
      </w:r>
      <w:r w:rsidR="00E82C90" w:rsidRPr="00E82C90">
        <w:rPr>
          <w:rFonts w:ascii="Times New Roman" w:hAnsi="Times New Roman"/>
          <w:noProof/>
          <w:sz w:val="24"/>
          <w:szCs w:val="24"/>
        </w:rPr>
        <w:t xml:space="preserve"> i poł</w:t>
      </w:r>
      <w:r w:rsidRPr="00E82C90">
        <w:rPr>
          <w:rFonts w:ascii="Times New Roman" w:hAnsi="Times New Roman"/>
          <w:noProof/>
          <w:sz w:val="24"/>
          <w:szCs w:val="24"/>
        </w:rPr>
        <w:t>udniowym sąsiedztwem</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Unii na rzecz Platformy Regionu Śródziemnomorskiego ds. Zatrudnienia</w:t>
      </w:r>
      <w:r w:rsidR="00E82C90" w:rsidRPr="00E82C90">
        <w:rPr>
          <w:rFonts w:ascii="Times New Roman" w:hAnsi="Times New Roman"/>
          <w:noProof/>
          <w:sz w:val="24"/>
          <w:szCs w:val="24"/>
        </w:rPr>
        <w:t xml:space="preserve"> i Pra</w:t>
      </w:r>
      <w:r w:rsidRPr="00E82C90">
        <w:rPr>
          <w:rFonts w:ascii="Times New Roman" w:hAnsi="Times New Roman"/>
          <w:noProof/>
          <w:sz w:val="24"/>
          <w:szCs w:val="24"/>
        </w:rPr>
        <w:t xml:space="preserve">cy. </w:t>
      </w:r>
      <w:r w:rsidRPr="00E82C90">
        <w:rPr>
          <w:rFonts w:ascii="Times New Roman" w:hAnsi="Times New Roman"/>
          <w:noProof/>
          <w:color w:val="000000"/>
          <w:sz w:val="24"/>
          <w:szCs w:val="24"/>
        </w:rPr>
        <w:t>UE wspiera również wycofywanie węgla na Bałkanach Zachodnich</w:t>
      </w:r>
      <w:r w:rsidR="00E82C90" w:rsidRPr="00E82C90">
        <w:rPr>
          <w:rFonts w:ascii="Times New Roman" w:hAnsi="Times New Roman"/>
          <w:noProof/>
          <w:color w:val="000000"/>
          <w:sz w:val="24"/>
          <w:szCs w:val="24"/>
        </w:rPr>
        <w:t xml:space="preserve"> i w Ukr</w:t>
      </w:r>
      <w:r w:rsidRPr="00E82C90">
        <w:rPr>
          <w:rFonts w:ascii="Times New Roman" w:hAnsi="Times New Roman"/>
          <w:noProof/>
          <w:color w:val="000000"/>
          <w:sz w:val="24"/>
          <w:szCs w:val="24"/>
        </w:rPr>
        <w:t>ainie</w:t>
      </w:r>
      <w:r w:rsidR="00E82C90" w:rsidRPr="00E82C90">
        <w:rPr>
          <w:rFonts w:ascii="Times New Roman" w:hAnsi="Times New Roman"/>
          <w:noProof/>
          <w:color w:val="000000"/>
          <w:sz w:val="24"/>
          <w:szCs w:val="24"/>
        </w:rPr>
        <w:t xml:space="preserve"> w ram</w:t>
      </w:r>
      <w:r w:rsidRPr="00E82C90">
        <w:rPr>
          <w:rFonts w:ascii="Times New Roman" w:hAnsi="Times New Roman"/>
          <w:noProof/>
          <w:color w:val="000000"/>
          <w:sz w:val="24"/>
          <w:szCs w:val="24"/>
        </w:rPr>
        <w:t>ach inicjatywy dla regionów górniczych</w:t>
      </w:r>
      <w:r w:rsidR="00E82C90" w:rsidRPr="00E82C90">
        <w:rPr>
          <w:rFonts w:ascii="Times New Roman" w:hAnsi="Times New Roman"/>
          <w:noProof/>
          <w:color w:val="000000"/>
          <w:sz w:val="24"/>
          <w:szCs w:val="24"/>
        </w:rPr>
        <w:t xml:space="preserve"> w okr</w:t>
      </w:r>
      <w:r w:rsidRPr="00E82C90">
        <w:rPr>
          <w:rFonts w:ascii="Times New Roman" w:hAnsi="Times New Roman"/>
          <w:noProof/>
          <w:color w:val="000000"/>
          <w:sz w:val="24"/>
          <w:szCs w:val="24"/>
        </w:rPr>
        <w:t>esie transformacji.</w:t>
      </w:r>
    </w:p>
    <w:p w14:paraId="0EE550FB" w14:textId="186E7909" w:rsidR="00CC199B" w:rsidRPr="00E82C90" w:rsidRDefault="008A6570" w:rsidP="00F156DE">
      <w:pPr>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0642AA37" w14:textId="40C190E5" w:rsidR="000A4291" w:rsidRPr="00E82C90" w:rsidRDefault="000A4291" w:rsidP="000A4291">
      <w:pPr>
        <w:pStyle w:val="ListParagraph"/>
        <w:numPr>
          <w:ilvl w:val="0"/>
          <w:numId w:val="11"/>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przyspieszenie ekologicznej transformacji energetycznej za sprawą ułatwienia zrównoważonych inwestycji</w:t>
      </w:r>
      <w:r w:rsidR="00E82C90" w:rsidRPr="00E82C90">
        <w:rPr>
          <w:rFonts w:ascii="Times New Roman" w:hAnsi="Times New Roman"/>
          <w:b/>
          <w:bCs/>
          <w:noProof/>
          <w:sz w:val="24"/>
          <w:szCs w:val="24"/>
        </w:rPr>
        <w:t xml:space="preserve"> i kon</w:t>
      </w:r>
      <w:r w:rsidRPr="00E82C90">
        <w:rPr>
          <w:rFonts w:ascii="Times New Roman" w:hAnsi="Times New Roman"/>
          <w:b/>
          <w:bCs/>
          <w:noProof/>
          <w:sz w:val="24"/>
          <w:szCs w:val="24"/>
        </w:rPr>
        <w:t xml:space="preserve">ektywności </w:t>
      </w:r>
      <w:r w:rsidR="00FE4786" w:rsidRPr="00E82C90">
        <w:rPr>
          <w:rFonts w:ascii="Times New Roman" w:hAnsi="Times New Roman"/>
          <w:b/>
          <w:bCs/>
          <w:noProof/>
          <w:sz w:val="24"/>
          <w:szCs w:val="24"/>
        </w:rPr>
        <w:t>za pośrednictwem Global Gateway</w:t>
      </w:r>
    </w:p>
    <w:p w14:paraId="49D17034" w14:textId="543F25F5" w:rsidR="00F2457F" w:rsidRPr="00E82C90" w:rsidRDefault="00205C0B" w:rsidP="005655C1">
      <w:pPr>
        <w:pStyle w:val="ListParagraph"/>
        <w:numPr>
          <w:ilvl w:val="0"/>
          <w:numId w:val="11"/>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współpraca</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sprawiedliwej transformacji</w:t>
      </w:r>
      <w:r w:rsidR="00E82C90" w:rsidRPr="00E82C90">
        <w:rPr>
          <w:rFonts w:ascii="Times New Roman" w:hAnsi="Times New Roman"/>
          <w:b/>
          <w:bCs/>
          <w:noProof/>
          <w:sz w:val="24"/>
          <w:szCs w:val="24"/>
        </w:rPr>
        <w:t xml:space="preserve"> i sto</w:t>
      </w:r>
      <w:r w:rsidRPr="00E82C90">
        <w:rPr>
          <w:rFonts w:ascii="Times New Roman" w:hAnsi="Times New Roman"/>
          <w:b/>
          <w:bCs/>
          <w:noProof/>
          <w:sz w:val="24"/>
          <w:szCs w:val="24"/>
        </w:rPr>
        <w:t>pniowego wycofywania węgla</w:t>
      </w:r>
      <w:r w:rsidR="00E82C90" w:rsidRPr="00E82C90">
        <w:rPr>
          <w:rFonts w:ascii="Times New Roman" w:hAnsi="Times New Roman"/>
          <w:b/>
          <w:bCs/>
          <w:noProof/>
          <w:sz w:val="24"/>
          <w:szCs w:val="24"/>
        </w:rPr>
        <w:t xml:space="preserve"> z kra</w:t>
      </w:r>
      <w:r w:rsidRPr="00E82C90">
        <w:rPr>
          <w:rFonts w:ascii="Times New Roman" w:hAnsi="Times New Roman"/>
          <w:b/>
          <w:bCs/>
          <w:noProof/>
          <w:sz w:val="24"/>
          <w:szCs w:val="24"/>
        </w:rPr>
        <w:t>jami partnerskimi UE,</w:t>
      </w:r>
      <w:r w:rsidR="00E82C90" w:rsidRPr="00E82C90">
        <w:rPr>
          <w:rFonts w:ascii="Times New Roman" w:hAnsi="Times New Roman"/>
          <w:b/>
          <w:bCs/>
          <w:noProof/>
          <w:sz w:val="24"/>
          <w:szCs w:val="24"/>
        </w:rPr>
        <w:t xml:space="preserve"> w tym z kra</w:t>
      </w:r>
      <w:r w:rsidR="00FE4786" w:rsidRPr="00E82C90">
        <w:rPr>
          <w:rFonts w:ascii="Times New Roman" w:hAnsi="Times New Roman"/>
          <w:b/>
          <w:bCs/>
          <w:noProof/>
          <w:sz w:val="24"/>
          <w:szCs w:val="24"/>
        </w:rPr>
        <w:t>jami sąsiadującymi z UE</w:t>
      </w:r>
    </w:p>
    <w:p w14:paraId="07047FB7" w14:textId="410A6413" w:rsidR="00C05765" w:rsidRPr="00E82C90" w:rsidRDefault="00205C0B" w:rsidP="00205C0B">
      <w:pPr>
        <w:pStyle w:val="ListParagraph"/>
        <w:numPr>
          <w:ilvl w:val="0"/>
          <w:numId w:val="11"/>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praca na rzecz globalnego zobowiązania do przeznaczenia 100 mld USD rocznie na finansowanie działań</w:t>
      </w:r>
      <w:r w:rsidR="00E82C90" w:rsidRPr="00E82C90">
        <w:rPr>
          <w:rFonts w:ascii="Times New Roman" w:hAnsi="Times New Roman"/>
          <w:b/>
          <w:bCs/>
          <w:noProof/>
          <w:sz w:val="24"/>
          <w:szCs w:val="24"/>
        </w:rPr>
        <w:t xml:space="preserve"> w zwi</w:t>
      </w:r>
      <w:r w:rsidRPr="00E82C90">
        <w:rPr>
          <w:rFonts w:ascii="Times New Roman" w:hAnsi="Times New Roman"/>
          <w:b/>
          <w:bCs/>
          <w:noProof/>
          <w:sz w:val="24"/>
          <w:szCs w:val="24"/>
        </w:rPr>
        <w:t>ązku ze zmianą klimatu oraz wykorzystanie wkładu UE do wspierania ekologiczn</w:t>
      </w:r>
      <w:r w:rsidR="00FE4786" w:rsidRPr="00E82C90">
        <w:rPr>
          <w:rFonts w:ascii="Times New Roman" w:hAnsi="Times New Roman"/>
          <w:b/>
          <w:bCs/>
          <w:noProof/>
          <w:sz w:val="24"/>
          <w:szCs w:val="24"/>
        </w:rPr>
        <w:t>ej, sprawiedliwej transformacji</w:t>
      </w:r>
    </w:p>
    <w:p w14:paraId="02CA448D" w14:textId="595029DF" w:rsidR="00F2457F" w:rsidRPr="00E82C90" w:rsidRDefault="00205C0B" w:rsidP="00F2457F">
      <w:pPr>
        <w:pStyle w:val="ListParagraph"/>
        <w:numPr>
          <w:ilvl w:val="0"/>
          <w:numId w:val="11"/>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wdrożenie wspólnego partnerstwa</w:t>
      </w:r>
      <w:r w:rsidR="00E82C90" w:rsidRPr="00E82C90">
        <w:rPr>
          <w:rFonts w:ascii="Times New Roman" w:hAnsi="Times New Roman"/>
          <w:b/>
          <w:bCs/>
          <w:noProof/>
          <w:sz w:val="24"/>
          <w:szCs w:val="24"/>
        </w:rPr>
        <w:t xml:space="preserve"> z Rep</w:t>
      </w:r>
      <w:r w:rsidRPr="00E82C90">
        <w:rPr>
          <w:rFonts w:ascii="Times New Roman" w:hAnsi="Times New Roman"/>
          <w:b/>
          <w:bCs/>
          <w:noProof/>
          <w:sz w:val="24"/>
          <w:szCs w:val="24"/>
        </w:rPr>
        <w:t>ubliką Południowej Afryki na rzecz transformacji energetycznej oraz zbadanie zakresu możliwości ustanowienia kolejnych partnerst</w:t>
      </w:r>
      <w:r w:rsidR="00FE4786" w:rsidRPr="00E82C90">
        <w:rPr>
          <w:rFonts w:ascii="Times New Roman" w:hAnsi="Times New Roman"/>
          <w:b/>
          <w:bCs/>
          <w:noProof/>
          <w:sz w:val="24"/>
          <w:szCs w:val="24"/>
        </w:rPr>
        <w:t>w globalnych według tego modelu</w:t>
      </w:r>
    </w:p>
    <w:p w14:paraId="24B4778B" w14:textId="1460306F" w:rsidR="00113F12" w:rsidRPr="00E82C90" w:rsidRDefault="00205C0B" w:rsidP="00F2457F">
      <w:pPr>
        <w:pStyle w:val="ListParagraph"/>
        <w:numPr>
          <w:ilvl w:val="0"/>
          <w:numId w:val="11"/>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wdrożenie inicjatywy dla regionów górniczych</w:t>
      </w:r>
      <w:r w:rsidR="00E82C90" w:rsidRPr="00E82C90">
        <w:rPr>
          <w:rFonts w:ascii="Times New Roman" w:hAnsi="Times New Roman"/>
          <w:b/>
          <w:bCs/>
          <w:noProof/>
          <w:sz w:val="24"/>
          <w:szCs w:val="24"/>
        </w:rPr>
        <w:t xml:space="preserve"> w okr</w:t>
      </w:r>
      <w:r w:rsidRPr="00E82C90">
        <w:rPr>
          <w:rFonts w:ascii="Times New Roman" w:hAnsi="Times New Roman"/>
          <w:b/>
          <w:bCs/>
          <w:noProof/>
          <w:sz w:val="24"/>
          <w:szCs w:val="24"/>
        </w:rPr>
        <w:t>esie transformacji</w:t>
      </w:r>
      <w:r w:rsidR="00E82C90" w:rsidRPr="00E82C90">
        <w:rPr>
          <w:rFonts w:ascii="Times New Roman" w:hAnsi="Times New Roman"/>
          <w:b/>
          <w:bCs/>
          <w:noProof/>
          <w:sz w:val="24"/>
          <w:szCs w:val="24"/>
        </w:rPr>
        <w:t xml:space="preserve"> w Ukr</w:t>
      </w:r>
      <w:r w:rsidRPr="00E82C90">
        <w:rPr>
          <w:rFonts w:ascii="Times New Roman" w:hAnsi="Times New Roman"/>
          <w:b/>
          <w:bCs/>
          <w:noProof/>
          <w:sz w:val="24"/>
          <w:szCs w:val="24"/>
        </w:rPr>
        <w:t>ainie i na Bałkanach Zachodnich</w:t>
      </w:r>
    </w:p>
    <w:p w14:paraId="3A5ACA51" w14:textId="12C6706D" w:rsidR="006E58B7" w:rsidRPr="00E82C90" w:rsidRDefault="00205C0B" w:rsidP="00205C0B">
      <w:pPr>
        <w:pStyle w:val="ListParagraph"/>
        <w:numPr>
          <w:ilvl w:val="0"/>
          <w:numId w:val="10"/>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ujednolicenie</w:t>
      </w:r>
      <w:r w:rsidR="00E82C90" w:rsidRPr="00E82C90">
        <w:rPr>
          <w:rFonts w:ascii="Times New Roman" w:hAnsi="Times New Roman"/>
          <w:b/>
          <w:bCs/>
          <w:noProof/>
          <w:sz w:val="24"/>
          <w:szCs w:val="24"/>
        </w:rPr>
        <w:t xml:space="preserve"> i wdr</w:t>
      </w:r>
      <w:r w:rsidRPr="00E82C90">
        <w:rPr>
          <w:rFonts w:ascii="Times New Roman" w:hAnsi="Times New Roman"/>
          <w:b/>
          <w:bCs/>
          <w:noProof/>
          <w:sz w:val="24"/>
          <w:szCs w:val="24"/>
        </w:rPr>
        <w:t>ożenie globalnych inicjatyw na rzecz zniesienia dopłat do paliw kopalnych oraz współpraca</w:t>
      </w:r>
      <w:r w:rsidR="00E82C90" w:rsidRPr="00E82C90">
        <w:rPr>
          <w:rFonts w:ascii="Times New Roman" w:hAnsi="Times New Roman"/>
          <w:b/>
          <w:bCs/>
          <w:noProof/>
          <w:sz w:val="24"/>
          <w:szCs w:val="24"/>
        </w:rPr>
        <w:t xml:space="preserve"> w tym</w:t>
      </w:r>
      <w:r w:rsidRPr="00E82C90">
        <w:rPr>
          <w:rFonts w:ascii="Times New Roman" w:hAnsi="Times New Roman"/>
          <w:b/>
          <w:bCs/>
          <w:noProof/>
          <w:sz w:val="24"/>
          <w:szCs w:val="24"/>
        </w:rPr>
        <w:t xml:space="preserve"> zakresie</w:t>
      </w:r>
      <w:r w:rsidR="00E82C90" w:rsidRPr="00E82C90">
        <w:rPr>
          <w:rFonts w:ascii="Times New Roman" w:hAnsi="Times New Roman"/>
          <w:b/>
          <w:bCs/>
          <w:noProof/>
          <w:sz w:val="24"/>
          <w:szCs w:val="24"/>
        </w:rPr>
        <w:t xml:space="preserve"> z pań</w:t>
      </w:r>
      <w:r w:rsidRPr="00E82C90">
        <w:rPr>
          <w:rFonts w:ascii="Times New Roman" w:hAnsi="Times New Roman"/>
          <w:b/>
          <w:bCs/>
          <w:noProof/>
          <w:sz w:val="24"/>
          <w:szCs w:val="24"/>
        </w:rPr>
        <w:t>stwami</w:t>
      </w:r>
      <w:r w:rsidR="00E82C90" w:rsidRPr="00E82C90">
        <w:rPr>
          <w:rFonts w:ascii="Times New Roman" w:hAnsi="Times New Roman"/>
          <w:b/>
          <w:bCs/>
          <w:noProof/>
          <w:sz w:val="24"/>
          <w:szCs w:val="24"/>
        </w:rPr>
        <w:t xml:space="preserve"> w duż</w:t>
      </w:r>
      <w:r w:rsidRPr="00E82C90">
        <w:rPr>
          <w:rFonts w:ascii="Times New Roman" w:hAnsi="Times New Roman"/>
          <w:b/>
          <w:bCs/>
          <w:noProof/>
          <w:sz w:val="24"/>
          <w:szCs w:val="24"/>
        </w:rPr>
        <w:t>ym stopniu uza</w:t>
      </w:r>
      <w:r w:rsidR="00FE4786" w:rsidRPr="00E82C90">
        <w:rPr>
          <w:rFonts w:ascii="Times New Roman" w:hAnsi="Times New Roman"/>
          <w:b/>
          <w:bCs/>
          <w:noProof/>
          <w:sz w:val="24"/>
          <w:szCs w:val="24"/>
        </w:rPr>
        <w:t>leżnionymi od energii węglowej</w:t>
      </w:r>
    </w:p>
    <w:p w14:paraId="383778F6" w14:textId="4D154E22" w:rsidR="008A6570" w:rsidRPr="00E82C90" w:rsidRDefault="000B13E1" w:rsidP="007C0283">
      <w:pPr>
        <w:pStyle w:val="ListParagraph"/>
        <w:numPr>
          <w:ilvl w:val="0"/>
          <w:numId w:val="10"/>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współpraca z MAE, IRENA i MOP mająca na celu wspieranie sprawiedliwej</w:t>
      </w:r>
      <w:r w:rsidR="00E82C90" w:rsidRPr="00E82C90">
        <w:rPr>
          <w:rFonts w:ascii="Times New Roman" w:hAnsi="Times New Roman"/>
          <w:b/>
          <w:bCs/>
          <w:noProof/>
          <w:sz w:val="24"/>
          <w:szCs w:val="24"/>
        </w:rPr>
        <w:t xml:space="preserve"> i spr</w:t>
      </w:r>
      <w:r w:rsidRPr="00E82C90">
        <w:rPr>
          <w:rFonts w:ascii="Times New Roman" w:hAnsi="Times New Roman"/>
          <w:b/>
          <w:bCs/>
          <w:noProof/>
          <w:sz w:val="24"/>
          <w:szCs w:val="24"/>
        </w:rPr>
        <w:t>zyjającej włączeniu społecznemu t</w:t>
      </w:r>
      <w:r w:rsidR="00FE4786" w:rsidRPr="00E82C90">
        <w:rPr>
          <w:rFonts w:ascii="Times New Roman" w:hAnsi="Times New Roman"/>
          <w:b/>
          <w:bCs/>
          <w:noProof/>
          <w:sz w:val="24"/>
          <w:szCs w:val="24"/>
        </w:rPr>
        <w:t>ransformacji</w:t>
      </w:r>
      <w:r w:rsidR="00E82C90" w:rsidRPr="00E82C90">
        <w:rPr>
          <w:rFonts w:ascii="Times New Roman" w:hAnsi="Times New Roman"/>
          <w:b/>
          <w:bCs/>
          <w:noProof/>
          <w:sz w:val="24"/>
          <w:szCs w:val="24"/>
        </w:rPr>
        <w:t xml:space="preserve"> w ska</w:t>
      </w:r>
      <w:r w:rsidR="00FE4786" w:rsidRPr="00E82C90">
        <w:rPr>
          <w:rFonts w:ascii="Times New Roman" w:hAnsi="Times New Roman"/>
          <w:b/>
          <w:bCs/>
          <w:noProof/>
          <w:sz w:val="24"/>
          <w:szCs w:val="24"/>
        </w:rPr>
        <w:t>li globalnej</w:t>
      </w:r>
    </w:p>
    <w:p w14:paraId="432842C5" w14:textId="18398B1B" w:rsidR="0066231E" w:rsidRPr="00E82C90" w:rsidRDefault="00F350E7" w:rsidP="00AA5D14">
      <w:pPr>
        <w:pStyle w:val="Heading1"/>
        <w:numPr>
          <w:ilvl w:val="1"/>
          <w:numId w:val="1"/>
        </w:numPr>
        <w:spacing w:after="240"/>
        <w:jc w:val="both"/>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Promowanie technologii energii odnawialnej</w:t>
      </w:r>
      <w:r w:rsidR="00E82C90" w:rsidRPr="00E82C90">
        <w:rPr>
          <w:rFonts w:ascii="Times New Roman" w:hAnsi="Times New Roman"/>
          <w:b/>
          <w:noProof/>
          <w:color w:val="auto"/>
          <w:sz w:val="24"/>
          <w:szCs w:val="24"/>
        </w:rPr>
        <w:t xml:space="preserve"> i efe</w:t>
      </w:r>
      <w:r w:rsidRPr="00E82C90">
        <w:rPr>
          <w:rFonts w:ascii="Times New Roman" w:hAnsi="Times New Roman"/>
          <w:b/>
          <w:noProof/>
          <w:color w:val="auto"/>
          <w:sz w:val="24"/>
          <w:szCs w:val="24"/>
        </w:rPr>
        <w:t>ktywności energetycznej</w:t>
      </w:r>
      <w:r w:rsidR="00E82C90" w:rsidRPr="00E82C90">
        <w:rPr>
          <w:rFonts w:ascii="Times New Roman" w:hAnsi="Times New Roman"/>
          <w:b/>
          <w:noProof/>
          <w:color w:val="auto"/>
          <w:sz w:val="24"/>
          <w:szCs w:val="24"/>
        </w:rPr>
        <w:t xml:space="preserve"> w kra</w:t>
      </w:r>
      <w:r w:rsidRPr="00E82C90">
        <w:rPr>
          <w:rFonts w:ascii="Times New Roman" w:hAnsi="Times New Roman"/>
          <w:b/>
          <w:noProof/>
          <w:color w:val="auto"/>
          <w:sz w:val="24"/>
          <w:szCs w:val="24"/>
        </w:rPr>
        <w:t>jach partnerskich</w:t>
      </w:r>
    </w:p>
    <w:p w14:paraId="7A964B64" w14:textId="74258586" w:rsidR="00F350E7" w:rsidRPr="00E82C90" w:rsidRDefault="00642B5B" w:rsidP="00A733FD">
      <w:pPr>
        <w:jc w:val="both"/>
        <w:rPr>
          <w:rFonts w:ascii="Times New Roman" w:hAnsi="Times New Roman" w:cs="Times New Roman"/>
          <w:noProof/>
          <w:sz w:val="24"/>
          <w:szCs w:val="24"/>
        </w:rPr>
      </w:pPr>
      <w:r w:rsidRPr="00E82C90">
        <w:rPr>
          <w:rFonts w:ascii="Times New Roman" w:hAnsi="Times New Roman"/>
          <w:noProof/>
          <w:sz w:val="24"/>
          <w:szCs w:val="24"/>
        </w:rPr>
        <w:t>Energia elektryczna pochodząca</w:t>
      </w:r>
      <w:r w:rsidR="00E82C90" w:rsidRPr="00E82C90">
        <w:rPr>
          <w:rFonts w:ascii="Times New Roman" w:hAnsi="Times New Roman"/>
          <w:noProof/>
          <w:sz w:val="24"/>
          <w:szCs w:val="24"/>
        </w:rPr>
        <w:t xml:space="preserve"> z wia</w:t>
      </w:r>
      <w:r w:rsidRPr="00E82C90">
        <w:rPr>
          <w:rFonts w:ascii="Times New Roman" w:hAnsi="Times New Roman"/>
          <w:noProof/>
          <w:sz w:val="24"/>
          <w:szCs w:val="24"/>
        </w:rPr>
        <w:t>tru</w:t>
      </w:r>
      <w:r w:rsidR="00E82C90" w:rsidRPr="00E82C90">
        <w:rPr>
          <w:rFonts w:ascii="Times New Roman" w:hAnsi="Times New Roman"/>
          <w:noProof/>
          <w:sz w:val="24"/>
          <w:szCs w:val="24"/>
        </w:rPr>
        <w:t xml:space="preserve"> i sło</w:t>
      </w:r>
      <w:r w:rsidRPr="00E82C90">
        <w:rPr>
          <w:rFonts w:ascii="Times New Roman" w:hAnsi="Times New Roman"/>
          <w:noProof/>
          <w:sz w:val="24"/>
          <w:szCs w:val="24"/>
        </w:rPr>
        <w:t>ńca jest obecnie najtańszą opcją energetyczną</w:t>
      </w:r>
      <w:r w:rsidR="00E82C90" w:rsidRPr="00E82C90">
        <w:rPr>
          <w:rFonts w:ascii="Times New Roman" w:hAnsi="Times New Roman"/>
          <w:noProof/>
          <w:sz w:val="24"/>
          <w:szCs w:val="24"/>
        </w:rPr>
        <w:t xml:space="preserve"> w wię</w:t>
      </w:r>
      <w:r w:rsidRPr="00E82C90">
        <w:rPr>
          <w:rFonts w:ascii="Times New Roman" w:hAnsi="Times New Roman"/>
          <w:noProof/>
          <w:sz w:val="24"/>
          <w:szCs w:val="24"/>
        </w:rPr>
        <w:t>kszości regionów świata</w:t>
      </w:r>
      <w:r w:rsidR="00E82C90" w:rsidRPr="00E82C90">
        <w:rPr>
          <w:rFonts w:ascii="Times New Roman" w:hAnsi="Times New Roman"/>
          <w:noProof/>
          <w:sz w:val="24"/>
          <w:szCs w:val="24"/>
        </w:rPr>
        <w:t>. W świ</w:t>
      </w:r>
      <w:r w:rsidRPr="00E82C90">
        <w:rPr>
          <w:rFonts w:ascii="Times New Roman" w:hAnsi="Times New Roman"/>
          <w:noProof/>
          <w:sz w:val="24"/>
          <w:szCs w:val="24"/>
        </w:rPr>
        <w:t>ecie,</w:t>
      </w:r>
      <w:r w:rsidR="00E82C90" w:rsidRPr="00E82C90">
        <w:rPr>
          <w:rFonts w:ascii="Times New Roman" w:hAnsi="Times New Roman"/>
          <w:noProof/>
          <w:sz w:val="24"/>
          <w:szCs w:val="24"/>
        </w:rPr>
        <w:t xml:space="preserve"> w któ</w:t>
      </w:r>
      <w:r w:rsidRPr="00E82C90">
        <w:rPr>
          <w:rFonts w:ascii="Times New Roman" w:hAnsi="Times New Roman"/>
          <w:noProof/>
          <w:sz w:val="24"/>
          <w:szCs w:val="24"/>
        </w:rPr>
        <w:t>rym poziom globalnego ocieplenia wynosi 1,5 stopnia, do</w:t>
      </w:r>
      <w:r w:rsidR="00E82C90" w:rsidRPr="00E82C90">
        <w:rPr>
          <w:rFonts w:ascii="Times New Roman" w:hAnsi="Times New Roman"/>
          <w:noProof/>
          <w:sz w:val="24"/>
          <w:szCs w:val="24"/>
        </w:rPr>
        <w:t> </w:t>
      </w:r>
      <w:r w:rsidRPr="00E82C90">
        <w:rPr>
          <w:rFonts w:ascii="Times New Roman" w:hAnsi="Times New Roman"/>
          <w:noProof/>
          <w:sz w:val="24"/>
          <w:szCs w:val="24"/>
        </w:rPr>
        <w:t>2050</w:t>
      </w:r>
      <w:r w:rsidR="00E82C90" w:rsidRPr="00E82C90">
        <w:rPr>
          <w:rFonts w:ascii="Times New Roman" w:hAnsi="Times New Roman"/>
          <w:noProof/>
          <w:sz w:val="24"/>
          <w:szCs w:val="24"/>
        </w:rPr>
        <w:t> </w:t>
      </w:r>
      <w:r w:rsidRPr="00E82C90">
        <w:rPr>
          <w:rFonts w:ascii="Times New Roman" w:hAnsi="Times New Roman"/>
          <w:noProof/>
          <w:sz w:val="24"/>
          <w:szCs w:val="24"/>
        </w:rPr>
        <w:t>r. energia odnawialna może stanowić 90</w:t>
      </w:r>
      <w:r w:rsidR="00E82C90" w:rsidRPr="00E82C90">
        <w:rPr>
          <w:rFonts w:ascii="Times New Roman" w:hAnsi="Times New Roman"/>
          <w:noProof/>
          <w:sz w:val="24"/>
          <w:szCs w:val="24"/>
        </w:rPr>
        <w:t> </w:t>
      </w:r>
      <w:r w:rsidRPr="00E82C90">
        <w:rPr>
          <w:rFonts w:ascii="Times New Roman" w:hAnsi="Times New Roman"/>
          <w:noProof/>
          <w:sz w:val="24"/>
          <w:szCs w:val="24"/>
        </w:rPr>
        <w:t>% światowej produkcji energii. Szacuje się, że do</w:t>
      </w:r>
      <w:r w:rsidR="00E82C90" w:rsidRPr="00E82C90">
        <w:rPr>
          <w:rFonts w:ascii="Times New Roman" w:hAnsi="Times New Roman"/>
          <w:noProof/>
          <w:sz w:val="24"/>
          <w:szCs w:val="24"/>
        </w:rPr>
        <w:t> </w:t>
      </w:r>
      <w:r w:rsidRPr="00E82C90">
        <w:rPr>
          <w:rFonts w:ascii="Times New Roman" w:hAnsi="Times New Roman"/>
          <w:noProof/>
          <w:sz w:val="24"/>
          <w:szCs w:val="24"/>
        </w:rPr>
        <w:t>2050</w:t>
      </w:r>
      <w:r w:rsidR="00E82C90" w:rsidRPr="00E82C90">
        <w:rPr>
          <w:rFonts w:ascii="Times New Roman" w:hAnsi="Times New Roman"/>
          <w:noProof/>
          <w:sz w:val="24"/>
          <w:szCs w:val="24"/>
        </w:rPr>
        <w:t> </w:t>
      </w:r>
      <w:r w:rsidRPr="00E82C90">
        <w:rPr>
          <w:rFonts w:ascii="Times New Roman" w:hAnsi="Times New Roman"/>
          <w:noProof/>
          <w:sz w:val="24"/>
          <w:szCs w:val="24"/>
        </w:rPr>
        <w:t>r. wartość światowych rynków energii odnawialnej wyniesie 24 bln EUR,</w:t>
      </w:r>
      <w:r w:rsidR="00E82C90" w:rsidRPr="00E82C90">
        <w:rPr>
          <w:rFonts w:ascii="Times New Roman" w:hAnsi="Times New Roman"/>
          <w:noProof/>
          <w:sz w:val="24"/>
          <w:szCs w:val="24"/>
        </w:rPr>
        <w:t xml:space="preserve"> a efe</w:t>
      </w:r>
      <w:r w:rsidRPr="00E82C90">
        <w:rPr>
          <w:rFonts w:ascii="Times New Roman" w:hAnsi="Times New Roman"/>
          <w:noProof/>
          <w:sz w:val="24"/>
          <w:szCs w:val="24"/>
        </w:rPr>
        <w:t>ktywności energetycznej – 33 bln EUR</w:t>
      </w:r>
      <w:r w:rsidR="00F350E7" w:rsidRPr="00E82C90">
        <w:rPr>
          <w:rStyle w:val="FootnoteReference"/>
          <w:rFonts w:ascii="Times New Roman" w:hAnsi="Times New Roman" w:cs="Times New Roman"/>
          <w:noProof/>
          <w:sz w:val="24"/>
          <w:szCs w:val="24"/>
        </w:rPr>
        <w:footnoteReference w:id="17"/>
      </w:r>
      <w:r w:rsidRPr="00E82C90">
        <w:rPr>
          <w:rFonts w:ascii="Times New Roman" w:hAnsi="Times New Roman"/>
          <w:noProof/>
          <w:sz w:val="24"/>
          <w:szCs w:val="24"/>
        </w:rPr>
        <w:t xml:space="preserve">. Stanowi to ogromną szansę dla światowej gospodarki. </w:t>
      </w:r>
    </w:p>
    <w:p w14:paraId="72D734A2" w14:textId="2F6D8BEF" w:rsidR="00003F9A" w:rsidRPr="00E82C90" w:rsidRDefault="00003F9A" w:rsidP="00BB2A59">
      <w:pPr>
        <w:spacing w:after="240"/>
        <w:jc w:val="both"/>
        <w:rPr>
          <w:rFonts w:ascii="Times New Roman" w:hAnsi="Times New Roman" w:cs="Times New Roman"/>
          <w:noProof/>
          <w:sz w:val="24"/>
          <w:szCs w:val="24"/>
        </w:rPr>
      </w:pPr>
      <w:r w:rsidRPr="00E82C90">
        <w:rPr>
          <w:rFonts w:ascii="Times New Roman" w:hAnsi="Times New Roman"/>
          <w:b/>
          <w:bCs/>
          <w:noProof/>
          <w:sz w:val="24"/>
          <w:szCs w:val="24"/>
        </w:rPr>
        <w:t>Wzrost znaczenia energii odnawialnej zmieni dynamikę światowego systemu energetycznego.</w:t>
      </w:r>
      <w:r w:rsidRPr="00E82C90">
        <w:rPr>
          <w:rFonts w:ascii="Times New Roman" w:hAnsi="Times New Roman"/>
          <w:noProof/>
          <w:sz w:val="24"/>
          <w:szCs w:val="24"/>
        </w:rPr>
        <w:t xml:space="preserve"> Chociaż zasoby węglowodorów były skoncentrowane</w:t>
      </w:r>
      <w:r w:rsidR="00E82C90" w:rsidRPr="00E82C90">
        <w:rPr>
          <w:rFonts w:ascii="Times New Roman" w:hAnsi="Times New Roman"/>
          <w:noProof/>
          <w:sz w:val="24"/>
          <w:szCs w:val="24"/>
        </w:rPr>
        <w:t xml:space="preserve"> w kil</w:t>
      </w:r>
      <w:r w:rsidRPr="00E82C90">
        <w:rPr>
          <w:rFonts w:ascii="Times New Roman" w:hAnsi="Times New Roman"/>
          <w:noProof/>
          <w:sz w:val="24"/>
          <w:szCs w:val="24"/>
        </w:rPr>
        <w:t>ku państwach, każdy naród ma potencjał, aby rozwijać odnawialne źródła energii</w:t>
      </w:r>
      <w:r w:rsidR="00E82C90" w:rsidRPr="00E82C90">
        <w:rPr>
          <w:rFonts w:ascii="Times New Roman" w:hAnsi="Times New Roman"/>
          <w:noProof/>
          <w:sz w:val="24"/>
          <w:szCs w:val="24"/>
        </w:rPr>
        <w:t xml:space="preserve"> i ucz</w:t>
      </w:r>
      <w:r w:rsidRPr="00E82C90">
        <w:rPr>
          <w:rFonts w:ascii="Times New Roman" w:hAnsi="Times New Roman"/>
          <w:noProof/>
          <w:sz w:val="24"/>
          <w:szCs w:val="24"/>
        </w:rPr>
        <w:t>estniczyć</w:t>
      </w:r>
      <w:r w:rsidR="00E82C90" w:rsidRPr="00E82C90">
        <w:rPr>
          <w:rFonts w:ascii="Times New Roman" w:hAnsi="Times New Roman"/>
          <w:noProof/>
          <w:sz w:val="24"/>
          <w:szCs w:val="24"/>
        </w:rPr>
        <w:t xml:space="preserve"> w han</w:t>
      </w:r>
      <w:r w:rsidRPr="00E82C90">
        <w:rPr>
          <w:rFonts w:ascii="Times New Roman" w:hAnsi="Times New Roman"/>
          <w:noProof/>
          <w:sz w:val="24"/>
          <w:szCs w:val="24"/>
        </w:rPr>
        <w:t>dlu energią. Obecnie około 80</w:t>
      </w:r>
      <w:r w:rsidR="00E82C90" w:rsidRPr="00E82C90">
        <w:rPr>
          <w:rFonts w:ascii="Times New Roman" w:hAnsi="Times New Roman"/>
          <w:noProof/>
          <w:sz w:val="24"/>
          <w:szCs w:val="24"/>
        </w:rPr>
        <w:t> </w:t>
      </w:r>
      <w:r w:rsidRPr="00E82C90">
        <w:rPr>
          <w:rFonts w:ascii="Times New Roman" w:hAnsi="Times New Roman"/>
          <w:noProof/>
          <w:sz w:val="24"/>
          <w:szCs w:val="24"/>
        </w:rPr>
        <w:t>% ludności świata żyje</w:t>
      </w:r>
      <w:r w:rsidR="00E82C90" w:rsidRPr="00E82C90">
        <w:rPr>
          <w:rFonts w:ascii="Times New Roman" w:hAnsi="Times New Roman"/>
          <w:noProof/>
          <w:sz w:val="24"/>
          <w:szCs w:val="24"/>
        </w:rPr>
        <w:t xml:space="preserve"> w pań</w:t>
      </w:r>
      <w:r w:rsidRPr="00E82C90">
        <w:rPr>
          <w:rFonts w:ascii="Times New Roman" w:hAnsi="Times New Roman"/>
          <w:noProof/>
          <w:sz w:val="24"/>
          <w:szCs w:val="24"/>
        </w:rPr>
        <w:t>stwach, które są importerami energii netto. Sytuacja ta ma się zmienić.</w:t>
      </w:r>
    </w:p>
    <w:p w14:paraId="450B2E0D" w14:textId="3B357CD7" w:rsidR="00003F9A" w:rsidRPr="00E82C90" w:rsidRDefault="00003F9A" w:rsidP="00F350E7">
      <w:pPr>
        <w:spacing w:after="240"/>
        <w:jc w:val="both"/>
        <w:rPr>
          <w:rFonts w:ascii="Times New Roman" w:hAnsi="Times New Roman" w:cs="Times New Roman"/>
          <w:noProof/>
          <w:sz w:val="24"/>
          <w:szCs w:val="24"/>
        </w:rPr>
      </w:pPr>
      <w:r w:rsidRPr="00E82C90">
        <w:rPr>
          <w:rFonts w:ascii="Times New Roman" w:hAnsi="Times New Roman"/>
          <w:noProof/>
          <w:sz w:val="24"/>
          <w:szCs w:val="24"/>
        </w:rPr>
        <w:t>UE, której udział</w:t>
      </w:r>
      <w:r w:rsidR="00E82C90" w:rsidRPr="00E82C90">
        <w:rPr>
          <w:rFonts w:ascii="Times New Roman" w:hAnsi="Times New Roman"/>
          <w:noProof/>
          <w:sz w:val="24"/>
          <w:szCs w:val="24"/>
        </w:rPr>
        <w:t xml:space="preserve"> w glo</w:t>
      </w:r>
      <w:r w:rsidRPr="00E82C90">
        <w:rPr>
          <w:rFonts w:ascii="Times New Roman" w:hAnsi="Times New Roman"/>
          <w:noProof/>
          <w:sz w:val="24"/>
          <w:szCs w:val="24"/>
        </w:rPr>
        <w:t>balnej emisji wynosi 9</w:t>
      </w:r>
      <w:r w:rsidR="00E82C90" w:rsidRPr="00E82C90">
        <w:rPr>
          <w:rFonts w:ascii="Times New Roman" w:hAnsi="Times New Roman"/>
          <w:noProof/>
          <w:sz w:val="24"/>
          <w:szCs w:val="24"/>
        </w:rPr>
        <w:t> </w:t>
      </w:r>
      <w:r w:rsidRPr="00E82C90">
        <w:rPr>
          <w:rFonts w:ascii="Times New Roman" w:hAnsi="Times New Roman"/>
          <w:noProof/>
          <w:sz w:val="24"/>
          <w:szCs w:val="24"/>
        </w:rPr>
        <w:t xml:space="preserve">%, </w:t>
      </w:r>
      <w:r w:rsidRPr="00E82C90">
        <w:rPr>
          <w:rFonts w:ascii="Times New Roman" w:hAnsi="Times New Roman"/>
          <w:b/>
          <w:bCs/>
          <w:noProof/>
          <w:sz w:val="24"/>
          <w:szCs w:val="24"/>
        </w:rPr>
        <w:t>jest żywo zainteresowana zachęcaniem do korzystania</w:t>
      </w:r>
      <w:r w:rsidR="00E82C90" w:rsidRPr="00E82C90">
        <w:rPr>
          <w:rFonts w:ascii="Times New Roman" w:hAnsi="Times New Roman"/>
          <w:b/>
          <w:bCs/>
          <w:noProof/>
          <w:sz w:val="24"/>
          <w:szCs w:val="24"/>
        </w:rPr>
        <w:t xml:space="preserve"> z ene</w:t>
      </w:r>
      <w:r w:rsidRPr="00E82C90">
        <w:rPr>
          <w:rFonts w:ascii="Times New Roman" w:hAnsi="Times New Roman"/>
          <w:b/>
          <w:bCs/>
          <w:noProof/>
          <w:sz w:val="24"/>
          <w:szCs w:val="24"/>
        </w:rPr>
        <w:t>rgii odnawialnej</w:t>
      </w:r>
      <w:r w:rsidR="00E82C90" w:rsidRPr="00E82C90">
        <w:rPr>
          <w:rFonts w:ascii="Times New Roman" w:hAnsi="Times New Roman"/>
          <w:b/>
          <w:bCs/>
          <w:noProof/>
          <w:sz w:val="24"/>
          <w:szCs w:val="24"/>
        </w:rPr>
        <w:t xml:space="preserve"> i pop</w:t>
      </w:r>
      <w:r w:rsidRPr="00E82C90">
        <w:rPr>
          <w:rFonts w:ascii="Times New Roman" w:hAnsi="Times New Roman"/>
          <w:b/>
          <w:bCs/>
          <w:noProof/>
          <w:sz w:val="24"/>
          <w:szCs w:val="24"/>
        </w:rPr>
        <w:t>rawą efektywności energetycznej na całym świecie</w:t>
      </w:r>
      <w:r w:rsidRPr="00E82C90">
        <w:rPr>
          <w:rFonts w:ascii="Times New Roman" w:hAnsi="Times New Roman"/>
          <w:noProof/>
          <w:sz w:val="24"/>
          <w:szCs w:val="24"/>
        </w:rPr>
        <w:t>. Aby przyspieszyć rozwój fotowoltaiki, Komisja Europejska publikuje wraz</w:t>
      </w:r>
      <w:r w:rsidR="00E82C90" w:rsidRPr="00E82C90">
        <w:rPr>
          <w:rFonts w:ascii="Times New Roman" w:hAnsi="Times New Roman"/>
          <w:noProof/>
          <w:sz w:val="24"/>
          <w:szCs w:val="24"/>
        </w:rPr>
        <w:t xml:space="preserve"> z nin</w:t>
      </w:r>
      <w:r w:rsidRPr="00E82C90">
        <w:rPr>
          <w:rFonts w:ascii="Times New Roman" w:hAnsi="Times New Roman"/>
          <w:noProof/>
          <w:sz w:val="24"/>
          <w:szCs w:val="24"/>
        </w:rPr>
        <w:t xml:space="preserve">iejszą strategią </w:t>
      </w:r>
      <w:r w:rsidRPr="00E82C90">
        <w:rPr>
          <w:rFonts w:ascii="Times New Roman" w:hAnsi="Times New Roman"/>
          <w:b/>
          <w:bCs/>
          <w:noProof/>
          <w:sz w:val="24"/>
          <w:szCs w:val="24"/>
        </w:rPr>
        <w:t>strategię UE na rzecz energii słonecznej</w:t>
      </w:r>
      <w:r w:rsidR="003D74A2" w:rsidRPr="00E82C90">
        <w:rPr>
          <w:rStyle w:val="FootnoteReference"/>
          <w:rFonts w:ascii="Times New Roman" w:hAnsi="Times New Roman" w:cs="Times New Roman"/>
          <w:b/>
          <w:bCs/>
          <w:noProof/>
          <w:sz w:val="24"/>
          <w:szCs w:val="24"/>
        </w:rPr>
        <w:footnoteReference w:id="18"/>
      </w:r>
      <w:r w:rsidRPr="00E82C90">
        <w:rPr>
          <w:rFonts w:ascii="Times New Roman" w:hAnsi="Times New Roman"/>
          <w:noProof/>
          <w:sz w:val="24"/>
          <w:szCs w:val="24"/>
        </w:rPr>
        <w:t>.</w:t>
      </w:r>
    </w:p>
    <w:p w14:paraId="58F284A9" w14:textId="564B247C" w:rsidR="00E84972" w:rsidRPr="00E82C90" w:rsidRDefault="00E84972" w:rsidP="00E84972">
      <w:pPr>
        <w:spacing w:after="240"/>
        <w:jc w:val="both"/>
        <w:rPr>
          <w:rFonts w:ascii="Times New Roman" w:hAnsi="Times New Roman" w:cs="Times New Roman"/>
          <w:noProof/>
          <w:sz w:val="24"/>
          <w:szCs w:val="24"/>
        </w:rPr>
      </w:pPr>
      <w:r w:rsidRPr="00E82C90">
        <w:rPr>
          <w:rFonts w:ascii="Times New Roman" w:hAnsi="Times New Roman"/>
          <w:noProof/>
          <w:sz w:val="24"/>
          <w:szCs w:val="24"/>
        </w:rPr>
        <w:t>Efektywne wdrożenie odnawialnych źródeł energii</w:t>
      </w:r>
      <w:r w:rsidR="00E82C90" w:rsidRPr="00E82C90">
        <w:rPr>
          <w:rFonts w:ascii="Times New Roman" w:hAnsi="Times New Roman"/>
          <w:noProof/>
          <w:sz w:val="24"/>
          <w:szCs w:val="24"/>
        </w:rPr>
        <w:t xml:space="preserve"> i zwi</w:t>
      </w:r>
      <w:r w:rsidRPr="00E82C90">
        <w:rPr>
          <w:rFonts w:ascii="Times New Roman" w:hAnsi="Times New Roman"/>
          <w:noProof/>
          <w:sz w:val="24"/>
          <w:szCs w:val="24"/>
        </w:rPr>
        <w:t xml:space="preserve">ększenie efektywności energetycznej wymaga </w:t>
      </w:r>
      <w:r w:rsidRPr="00E82C90">
        <w:rPr>
          <w:rFonts w:ascii="Times New Roman" w:hAnsi="Times New Roman"/>
          <w:b/>
          <w:bCs/>
          <w:noProof/>
          <w:sz w:val="24"/>
          <w:szCs w:val="24"/>
        </w:rPr>
        <w:t>szerszego „podejścia systemowego”</w:t>
      </w:r>
      <w:r w:rsidRPr="00E82C90">
        <w:rPr>
          <w:rFonts w:ascii="Times New Roman" w:hAnsi="Times New Roman"/>
          <w:noProof/>
          <w:sz w:val="24"/>
          <w:szCs w:val="24"/>
        </w:rPr>
        <w:t>,</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którego produkcja, przesył</w:t>
      </w:r>
      <w:r w:rsidR="00E82C90" w:rsidRPr="00E82C90">
        <w:rPr>
          <w:rFonts w:ascii="Times New Roman" w:hAnsi="Times New Roman"/>
          <w:noProof/>
          <w:sz w:val="24"/>
          <w:szCs w:val="24"/>
        </w:rPr>
        <w:t xml:space="preserve"> i zuż</w:t>
      </w:r>
      <w:r w:rsidRPr="00E82C90">
        <w:rPr>
          <w:rFonts w:ascii="Times New Roman" w:hAnsi="Times New Roman"/>
          <w:noProof/>
          <w:sz w:val="24"/>
          <w:szCs w:val="24"/>
        </w:rPr>
        <w:t>ycie energii elektrycznej traktowane są jako całość. Instalowanie mocy wytwórczej energii odnawialnej jest najbardziej efektywne, gdy jest ona zintegrowana</w:t>
      </w:r>
      <w:r w:rsidR="00E82C90" w:rsidRPr="00E82C90">
        <w:rPr>
          <w:rFonts w:ascii="Times New Roman" w:hAnsi="Times New Roman"/>
          <w:noProof/>
          <w:sz w:val="24"/>
          <w:szCs w:val="24"/>
        </w:rPr>
        <w:t xml:space="preserve"> z otw</w:t>
      </w:r>
      <w:r w:rsidRPr="00E82C90">
        <w:rPr>
          <w:rFonts w:ascii="Times New Roman" w:hAnsi="Times New Roman"/>
          <w:noProof/>
          <w:sz w:val="24"/>
          <w:szCs w:val="24"/>
        </w:rPr>
        <w:t>artymi</w:t>
      </w:r>
      <w:r w:rsidR="00E82C90" w:rsidRPr="00E82C90">
        <w:rPr>
          <w:rFonts w:ascii="Times New Roman" w:hAnsi="Times New Roman"/>
          <w:noProof/>
          <w:sz w:val="24"/>
          <w:szCs w:val="24"/>
        </w:rPr>
        <w:t xml:space="preserve"> i ela</w:t>
      </w:r>
      <w:r w:rsidRPr="00E82C90">
        <w:rPr>
          <w:rFonts w:ascii="Times New Roman" w:hAnsi="Times New Roman"/>
          <w:noProof/>
          <w:sz w:val="24"/>
          <w:szCs w:val="24"/>
        </w:rPr>
        <w:t>stycznymi rynkami regionalnymi. UE była pionierem</w:t>
      </w:r>
      <w:r w:rsidR="00E82C90" w:rsidRPr="00E82C90">
        <w:rPr>
          <w:rFonts w:ascii="Times New Roman" w:hAnsi="Times New Roman"/>
          <w:noProof/>
          <w:sz w:val="24"/>
          <w:szCs w:val="24"/>
        </w:rPr>
        <w:t xml:space="preserve"> w two</w:t>
      </w:r>
      <w:r w:rsidRPr="00E82C90">
        <w:rPr>
          <w:rFonts w:ascii="Times New Roman" w:hAnsi="Times New Roman"/>
          <w:noProof/>
          <w:sz w:val="24"/>
          <w:szCs w:val="24"/>
        </w:rPr>
        <w:t>rzeniu dużego zintegrowanego rynku energii,</w:t>
      </w:r>
      <w:r w:rsidR="00E82C90" w:rsidRPr="00E82C90">
        <w:rPr>
          <w:rFonts w:ascii="Times New Roman" w:hAnsi="Times New Roman"/>
          <w:noProof/>
          <w:sz w:val="24"/>
          <w:szCs w:val="24"/>
        </w:rPr>
        <w:t xml:space="preserve"> a nas</w:t>
      </w:r>
      <w:r w:rsidRPr="00E82C90">
        <w:rPr>
          <w:rFonts w:ascii="Times New Roman" w:hAnsi="Times New Roman"/>
          <w:noProof/>
          <w:sz w:val="24"/>
          <w:szCs w:val="24"/>
        </w:rPr>
        <w:t>ze doświadczenie może pomóc partnerom międzynarodowym</w:t>
      </w:r>
      <w:r w:rsidR="00E82C90" w:rsidRPr="00E82C90">
        <w:rPr>
          <w:rFonts w:ascii="Times New Roman" w:hAnsi="Times New Roman"/>
          <w:noProof/>
          <w:sz w:val="24"/>
          <w:szCs w:val="24"/>
        </w:rPr>
        <w:t xml:space="preserve"> w prz</w:t>
      </w:r>
      <w:r w:rsidRPr="00E82C90">
        <w:rPr>
          <w:rFonts w:ascii="Times New Roman" w:hAnsi="Times New Roman"/>
          <w:noProof/>
          <w:sz w:val="24"/>
          <w:szCs w:val="24"/>
        </w:rPr>
        <w:t>yspieszeniu procesu transformacji.</w:t>
      </w:r>
    </w:p>
    <w:p w14:paraId="6AD81C5C" w14:textId="1BFA1ABA" w:rsidR="00E84972" w:rsidRPr="00E82C90" w:rsidRDefault="00621140" w:rsidP="00E84972">
      <w:pPr>
        <w:spacing w:after="240"/>
        <w:jc w:val="both"/>
        <w:rPr>
          <w:rFonts w:ascii="Times New Roman" w:hAnsi="Times New Roman" w:cs="Times New Roman"/>
          <w:noProof/>
          <w:sz w:val="24"/>
          <w:szCs w:val="24"/>
        </w:rPr>
      </w:pPr>
      <w:r w:rsidRPr="00E82C90">
        <w:rPr>
          <w:rFonts w:ascii="Times New Roman" w:hAnsi="Times New Roman"/>
          <w:noProof/>
          <w:sz w:val="24"/>
          <w:szCs w:val="24"/>
        </w:rPr>
        <w:t>Wiele krajów Bałkanów Zachodnich, Partnerstwa Wschodniego</w:t>
      </w:r>
      <w:r w:rsidR="00E82C90" w:rsidRPr="00E82C90">
        <w:rPr>
          <w:rFonts w:ascii="Times New Roman" w:hAnsi="Times New Roman"/>
          <w:noProof/>
          <w:sz w:val="24"/>
          <w:szCs w:val="24"/>
        </w:rPr>
        <w:t xml:space="preserve"> i poł</w:t>
      </w:r>
      <w:r w:rsidRPr="00E82C90">
        <w:rPr>
          <w:rFonts w:ascii="Times New Roman" w:hAnsi="Times New Roman"/>
          <w:noProof/>
          <w:sz w:val="24"/>
          <w:szCs w:val="24"/>
        </w:rPr>
        <w:t>udniowego sąsiedztwa stopniowo zwiększa wykorzystanie energii odnawialnej</w:t>
      </w:r>
      <w:r w:rsidR="00E82C90" w:rsidRPr="00E82C90">
        <w:rPr>
          <w:rFonts w:ascii="Times New Roman" w:hAnsi="Times New Roman"/>
          <w:noProof/>
          <w:sz w:val="24"/>
          <w:szCs w:val="24"/>
        </w:rPr>
        <w:t xml:space="preserve"> w swo</w:t>
      </w:r>
      <w:r w:rsidRPr="00E82C90">
        <w:rPr>
          <w:rFonts w:ascii="Times New Roman" w:hAnsi="Times New Roman"/>
          <w:noProof/>
          <w:sz w:val="24"/>
          <w:szCs w:val="24"/>
        </w:rPr>
        <w:t>im regionie. Państwa takie jak Indie</w:t>
      </w:r>
      <w:r w:rsidR="00E82C90" w:rsidRPr="00E82C90">
        <w:rPr>
          <w:rFonts w:ascii="Times New Roman" w:hAnsi="Times New Roman"/>
          <w:noProof/>
          <w:sz w:val="24"/>
          <w:szCs w:val="24"/>
        </w:rPr>
        <w:t xml:space="preserve"> i Mar</w:t>
      </w:r>
      <w:r w:rsidRPr="00E82C90">
        <w:rPr>
          <w:rFonts w:ascii="Times New Roman" w:hAnsi="Times New Roman"/>
          <w:noProof/>
          <w:sz w:val="24"/>
          <w:szCs w:val="24"/>
        </w:rPr>
        <w:t>oko już wyznaczyły sobie ambitne cele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wykorzystania energii odnawialnej, które są realizowane</w:t>
      </w:r>
      <w:r w:rsidR="00E82C90" w:rsidRPr="00E82C90">
        <w:rPr>
          <w:rFonts w:ascii="Times New Roman" w:hAnsi="Times New Roman"/>
          <w:noProof/>
          <w:sz w:val="24"/>
          <w:szCs w:val="24"/>
        </w:rPr>
        <w:t xml:space="preserve"> i wzm</w:t>
      </w:r>
      <w:r w:rsidRPr="00E82C90">
        <w:rPr>
          <w:rFonts w:ascii="Times New Roman" w:hAnsi="Times New Roman"/>
          <w:noProof/>
          <w:sz w:val="24"/>
          <w:szCs w:val="24"/>
        </w:rPr>
        <w:t>acniane</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partnerstwa UE–Indie na rzecz czystej energii</w:t>
      </w:r>
      <w:r w:rsidR="00E82C90" w:rsidRPr="00E82C90">
        <w:rPr>
          <w:rFonts w:ascii="Times New Roman" w:hAnsi="Times New Roman"/>
          <w:noProof/>
          <w:sz w:val="24"/>
          <w:szCs w:val="24"/>
        </w:rPr>
        <w:t xml:space="preserve"> i kli</w:t>
      </w:r>
      <w:r w:rsidRPr="00E82C90">
        <w:rPr>
          <w:rFonts w:ascii="Times New Roman" w:hAnsi="Times New Roman"/>
          <w:noProof/>
          <w:sz w:val="24"/>
          <w:szCs w:val="24"/>
        </w:rPr>
        <w:t>matu oraz zielonego partnerstwa UE–Maroko. Podobne prace trwają</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naszego partnerstwa</w:t>
      </w:r>
      <w:r w:rsidR="00E82C90" w:rsidRPr="00E82C90">
        <w:rPr>
          <w:rFonts w:ascii="Times New Roman" w:hAnsi="Times New Roman"/>
          <w:noProof/>
          <w:sz w:val="24"/>
          <w:szCs w:val="24"/>
        </w:rPr>
        <w:t xml:space="preserve"> z Chi</w:t>
      </w:r>
      <w:r w:rsidRPr="00E82C90">
        <w:rPr>
          <w:rFonts w:ascii="Times New Roman" w:hAnsi="Times New Roman"/>
          <w:noProof/>
          <w:sz w:val="24"/>
          <w:szCs w:val="24"/>
        </w:rPr>
        <w:t xml:space="preserve">nami (w tym nad systemami handlu emisjami opartymi na systemie UE). </w:t>
      </w:r>
    </w:p>
    <w:p w14:paraId="7FC4F4DF" w14:textId="5D2ED5CD" w:rsidR="0007456F" w:rsidRPr="00E82C90" w:rsidRDefault="00AE4B4D" w:rsidP="00B3704A">
      <w:pPr>
        <w:spacing w:after="240"/>
        <w:jc w:val="both"/>
        <w:rPr>
          <w:rFonts w:ascii="Times New Roman" w:hAnsi="Times New Roman" w:cs="Times New Roman"/>
          <w:noProof/>
          <w:sz w:val="24"/>
          <w:szCs w:val="24"/>
        </w:rPr>
      </w:pPr>
      <w:r w:rsidRPr="00E82C90">
        <w:rPr>
          <w:rFonts w:ascii="Times New Roman" w:hAnsi="Times New Roman"/>
          <w:noProof/>
          <w:sz w:val="24"/>
          <w:szCs w:val="24"/>
        </w:rPr>
        <w:t>Uczciwa</w:t>
      </w:r>
      <w:r w:rsidR="00E82C90" w:rsidRPr="00E82C90">
        <w:rPr>
          <w:rFonts w:ascii="Times New Roman" w:hAnsi="Times New Roman"/>
          <w:noProof/>
          <w:sz w:val="24"/>
          <w:szCs w:val="24"/>
        </w:rPr>
        <w:t xml:space="preserve"> i wza</w:t>
      </w:r>
      <w:r w:rsidRPr="00E82C90">
        <w:rPr>
          <w:rFonts w:ascii="Times New Roman" w:hAnsi="Times New Roman"/>
          <w:noProof/>
          <w:sz w:val="24"/>
          <w:szCs w:val="24"/>
        </w:rPr>
        <w:t>jemna współpraca energetyczna</w:t>
      </w:r>
      <w:r w:rsidR="00E82C90" w:rsidRPr="00E82C90">
        <w:rPr>
          <w:rFonts w:ascii="Times New Roman" w:hAnsi="Times New Roman"/>
          <w:noProof/>
          <w:sz w:val="24"/>
          <w:szCs w:val="24"/>
        </w:rPr>
        <w:t xml:space="preserve"> z Afr</w:t>
      </w:r>
      <w:r w:rsidRPr="00E82C90">
        <w:rPr>
          <w:rFonts w:ascii="Times New Roman" w:hAnsi="Times New Roman"/>
          <w:noProof/>
          <w:sz w:val="24"/>
          <w:szCs w:val="24"/>
        </w:rPr>
        <w:t>yką jest ważnym priorytetem, zarówno</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zapewnienia dostępu do energii 570 mln ludzi pozbawionych obecnie energii elektrycznej</w:t>
      </w:r>
      <w:r w:rsidR="00E82C90" w:rsidRPr="00E82C90">
        <w:rPr>
          <w:rFonts w:ascii="Times New Roman" w:hAnsi="Times New Roman"/>
          <w:noProof/>
          <w:sz w:val="24"/>
          <w:szCs w:val="24"/>
        </w:rPr>
        <w:t xml:space="preserve"> w Afr</w:t>
      </w:r>
      <w:r w:rsidRPr="00E82C90">
        <w:rPr>
          <w:rFonts w:ascii="Times New Roman" w:hAnsi="Times New Roman"/>
          <w:noProof/>
          <w:sz w:val="24"/>
          <w:szCs w:val="24"/>
        </w:rPr>
        <w:t>yce Subsaharyjskiej, jak</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ierania inwestycji</w:t>
      </w:r>
      <w:r w:rsidR="00E82C90" w:rsidRPr="00E82C90">
        <w:rPr>
          <w:rFonts w:ascii="Times New Roman" w:hAnsi="Times New Roman"/>
          <w:noProof/>
          <w:sz w:val="24"/>
          <w:szCs w:val="24"/>
        </w:rPr>
        <w:t xml:space="preserve"> w zró</w:t>
      </w:r>
      <w:r w:rsidRPr="00E82C90">
        <w:rPr>
          <w:rFonts w:ascii="Times New Roman" w:hAnsi="Times New Roman"/>
          <w:noProof/>
          <w:sz w:val="24"/>
          <w:szCs w:val="24"/>
        </w:rPr>
        <w:t>wnoważone systemy energetyczne</w:t>
      </w:r>
      <w:r w:rsidR="00E82C90" w:rsidRPr="00E82C90">
        <w:rPr>
          <w:rFonts w:ascii="Times New Roman" w:hAnsi="Times New Roman"/>
          <w:noProof/>
          <w:sz w:val="24"/>
          <w:szCs w:val="24"/>
        </w:rPr>
        <w:t xml:space="preserve"> i han</w:t>
      </w:r>
      <w:r w:rsidRPr="00E82C90">
        <w:rPr>
          <w:rFonts w:ascii="Times New Roman" w:hAnsi="Times New Roman"/>
          <w:noProof/>
          <w:sz w:val="24"/>
          <w:szCs w:val="24"/>
        </w:rPr>
        <w:t>del wodorem odnawialnym, po zaspokojeniu potrzeb lokalnych. Do 2030</w:t>
      </w:r>
      <w:r w:rsidR="00E82C90" w:rsidRPr="00E82C90">
        <w:rPr>
          <w:rFonts w:ascii="Times New Roman" w:hAnsi="Times New Roman"/>
          <w:noProof/>
          <w:sz w:val="24"/>
          <w:szCs w:val="24"/>
        </w:rPr>
        <w:t> </w:t>
      </w:r>
      <w:r w:rsidRPr="00E82C90">
        <w:rPr>
          <w:rFonts w:ascii="Times New Roman" w:hAnsi="Times New Roman"/>
          <w:noProof/>
          <w:sz w:val="24"/>
          <w:szCs w:val="24"/>
        </w:rPr>
        <w:t xml:space="preserve">r. celem </w:t>
      </w:r>
      <w:r w:rsidRPr="00E82C90">
        <w:rPr>
          <w:rFonts w:ascii="Times New Roman" w:hAnsi="Times New Roman"/>
          <w:b/>
          <w:bCs/>
          <w:noProof/>
          <w:sz w:val="24"/>
          <w:szCs w:val="24"/>
        </w:rPr>
        <w:t>afrykańskiej inicjatywy na rzecz zielonej energii</w:t>
      </w:r>
      <w:r w:rsidRPr="00E82C90">
        <w:rPr>
          <w:rFonts w:ascii="Times New Roman" w:hAnsi="Times New Roman"/>
          <w:noProof/>
          <w:sz w:val="24"/>
          <w:szCs w:val="24"/>
        </w:rPr>
        <w:t xml:space="preserve"> jest pomoc</w:t>
      </w:r>
      <w:r w:rsidR="00E82C90" w:rsidRPr="00E82C90">
        <w:rPr>
          <w:rFonts w:ascii="Times New Roman" w:hAnsi="Times New Roman"/>
          <w:noProof/>
          <w:sz w:val="24"/>
          <w:szCs w:val="24"/>
        </w:rPr>
        <w:t xml:space="preserve"> w uru</w:t>
      </w:r>
      <w:r w:rsidRPr="00E82C90">
        <w:rPr>
          <w:rFonts w:ascii="Times New Roman" w:hAnsi="Times New Roman"/>
          <w:noProof/>
          <w:sz w:val="24"/>
          <w:szCs w:val="24"/>
        </w:rPr>
        <w:t xml:space="preserve">chomieniu co najmniej 50 GW odnawialnej energii elektrycznej, co zapewni dostęp do energii elektrycznej dla co najmniej </w:t>
      </w:r>
      <w:r w:rsidRPr="00E82C90">
        <w:rPr>
          <w:rFonts w:ascii="Times New Roman" w:hAnsi="Times New Roman"/>
          <w:b/>
          <w:bCs/>
          <w:noProof/>
          <w:sz w:val="24"/>
          <w:szCs w:val="24"/>
        </w:rPr>
        <w:t>100 mln ludzi</w:t>
      </w:r>
      <w:r w:rsidR="00E82C90" w:rsidRPr="00E82C90">
        <w:rPr>
          <w:rFonts w:ascii="Times New Roman" w:hAnsi="Times New Roman"/>
          <w:noProof/>
          <w:sz w:val="24"/>
          <w:szCs w:val="24"/>
        </w:rPr>
        <w:t>. W rea</w:t>
      </w:r>
      <w:r w:rsidRPr="00E82C90">
        <w:rPr>
          <w:rFonts w:ascii="Times New Roman" w:hAnsi="Times New Roman"/>
          <w:noProof/>
          <w:sz w:val="24"/>
          <w:szCs w:val="24"/>
        </w:rPr>
        <w:t xml:space="preserve">lizacji tego celu kluczowe znaczenie będzie miało wykorzystanie inwestycji sektora prywatnego. </w:t>
      </w:r>
    </w:p>
    <w:p w14:paraId="41F30E2A" w14:textId="64BC3B03" w:rsidR="00B3704A" w:rsidRPr="00E82C90" w:rsidRDefault="00B3704A" w:rsidP="002F7BCF">
      <w:pPr>
        <w:spacing w:after="240"/>
        <w:jc w:val="both"/>
        <w:rPr>
          <w:rFonts w:ascii="Times New Roman" w:hAnsi="Times New Roman" w:cs="Times New Roman"/>
          <w:noProof/>
          <w:sz w:val="24"/>
          <w:szCs w:val="24"/>
        </w:rPr>
      </w:pPr>
      <w:r w:rsidRPr="00E82C90">
        <w:rPr>
          <w:rFonts w:ascii="Times New Roman" w:hAnsi="Times New Roman"/>
          <w:b/>
          <w:bCs/>
          <w:noProof/>
          <w:sz w:val="24"/>
          <w:szCs w:val="24"/>
        </w:rPr>
        <w:t>W ramach inicjatywy Global Gateway UE uruchomi 2,4 mld EUR dotacji dla Afryki Subsaharyjskiej</w:t>
      </w:r>
      <w:r w:rsidR="00E82C90" w:rsidRPr="00E82C90">
        <w:rPr>
          <w:rFonts w:ascii="Times New Roman" w:hAnsi="Times New Roman"/>
          <w:b/>
          <w:bCs/>
          <w:noProof/>
          <w:sz w:val="24"/>
          <w:szCs w:val="24"/>
        </w:rPr>
        <w:t xml:space="preserve"> i 1</w:t>
      </w:r>
      <w:r w:rsidRPr="00E82C90">
        <w:rPr>
          <w:rFonts w:ascii="Times New Roman" w:hAnsi="Times New Roman"/>
          <w:b/>
          <w:bCs/>
          <w:noProof/>
          <w:sz w:val="24"/>
          <w:szCs w:val="24"/>
        </w:rPr>
        <w:t>,08 mld EUR dla Afryki Północnej</w:t>
      </w:r>
      <w:r w:rsidRPr="00E82C90">
        <w:rPr>
          <w:rFonts w:ascii="Times New Roman" w:hAnsi="Times New Roman"/>
          <w:noProof/>
          <w:sz w:val="24"/>
          <w:szCs w:val="24"/>
        </w:rPr>
        <w:t xml:space="preserve"> na wsparcie energii odnawialnej, efektywności energetycznej, sprawiedliwej transformacji</w:t>
      </w:r>
      <w:r w:rsidR="00E82C90" w:rsidRPr="00E82C90">
        <w:rPr>
          <w:rFonts w:ascii="Times New Roman" w:hAnsi="Times New Roman"/>
          <w:noProof/>
          <w:sz w:val="24"/>
          <w:szCs w:val="24"/>
        </w:rPr>
        <w:t xml:space="preserve"> i eko</w:t>
      </w:r>
      <w:r w:rsidRPr="00E82C90">
        <w:rPr>
          <w:rFonts w:ascii="Times New Roman" w:hAnsi="Times New Roman"/>
          <w:noProof/>
          <w:sz w:val="24"/>
          <w:szCs w:val="24"/>
        </w:rPr>
        <w:t>logizacji lokalnych łańcuchów wartości. Będzie to również wsparcie dla planu działania Unii Afrykańskiej na rzecz ekologicznej odbudowy gospodarki, którego celem jest zwiększenie mocy wytwórczych energii odnawialnej o co najmniej dodatkowe 300 GW do</w:t>
      </w:r>
      <w:r w:rsidR="00E82C90" w:rsidRPr="00E82C90">
        <w:rPr>
          <w:rFonts w:ascii="Times New Roman" w:hAnsi="Times New Roman"/>
          <w:noProof/>
          <w:sz w:val="24"/>
          <w:szCs w:val="24"/>
        </w:rPr>
        <w:t> </w:t>
      </w:r>
      <w:r w:rsidRPr="00E82C90">
        <w:rPr>
          <w:rFonts w:ascii="Times New Roman" w:hAnsi="Times New Roman"/>
          <w:noProof/>
          <w:sz w:val="24"/>
          <w:szCs w:val="24"/>
        </w:rPr>
        <w:t>2030</w:t>
      </w:r>
      <w:r w:rsidR="00E82C90" w:rsidRPr="00E82C90">
        <w:rPr>
          <w:rFonts w:ascii="Times New Roman" w:hAnsi="Times New Roman"/>
          <w:noProof/>
          <w:sz w:val="24"/>
          <w:szCs w:val="24"/>
        </w:rPr>
        <w:t> </w:t>
      </w:r>
      <w:r w:rsidRPr="00E82C90">
        <w:rPr>
          <w:rFonts w:ascii="Times New Roman" w:hAnsi="Times New Roman"/>
          <w:noProof/>
          <w:sz w:val="24"/>
          <w:szCs w:val="24"/>
        </w:rPr>
        <w:t>r.</w:t>
      </w:r>
    </w:p>
    <w:p w14:paraId="2473448A" w14:textId="62F9FDFE" w:rsidR="00B71AA2" w:rsidRPr="00E82C90" w:rsidRDefault="00003F9A" w:rsidP="00B71AA2">
      <w:pPr>
        <w:spacing w:after="240"/>
        <w:jc w:val="both"/>
        <w:rPr>
          <w:rFonts w:ascii="Times New Roman" w:hAnsi="Times New Roman" w:cs="Times New Roman"/>
          <w:noProof/>
          <w:color w:val="000000"/>
          <w:sz w:val="24"/>
          <w:szCs w:val="24"/>
        </w:rPr>
      </w:pPr>
      <w:r w:rsidRPr="00E82C90">
        <w:rPr>
          <w:rFonts w:ascii="Times New Roman" w:hAnsi="Times New Roman"/>
          <w:noProof/>
          <w:sz w:val="24"/>
          <w:szCs w:val="24"/>
        </w:rPr>
        <w:t xml:space="preserve">Przyspieszenie wykorzystania odnawialnych źródeł energii na całym świecie stanowi również </w:t>
      </w:r>
      <w:r w:rsidRPr="00E82C90">
        <w:rPr>
          <w:rFonts w:ascii="Times New Roman" w:hAnsi="Times New Roman"/>
          <w:b/>
          <w:bCs/>
          <w:noProof/>
          <w:sz w:val="24"/>
          <w:szCs w:val="24"/>
        </w:rPr>
        <w:t>okazję do wzmocnienia stosunków handlowych</w:t>
      </w:r>
      <w:r w:rsidRPr="00E82C90">
        <w:rPr>
          <w:rFonts w:ascii="Times New Roman" w:hAnsi="Times New Roman"/>
          <w:noProof/>
          <w:sz w:val="24"/>
          <w:szCs w:val="24"/>
        </w:rPr>
        <w:t>. Aby rozwinąć swój potencjał</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odnawialnych źródeł energii, większość państw na świecie potrzebuje dostępu do innowacyjnych technologii, wiedzy</w:t>
      </w:r>
      <w:r w:rsidR="00E82C90" w:rsidRPr="00E82C90">
        <w:rPr>
          <w:rFonts w:ascii="Times New Roman" w:hAnsi="Times New Roman"/>
          <w:noProof/>
          <w:sz w:val="24"/>
          <w:szCs w:val="24"/>
        </w:rPr>
        <w:t xml:space="preserve"> i kap</w:t>
      </w:r>
      <w:r w:rsidRPr="00E82C90">
        <w:rPr>
          <w:rFonts w:ascii="Times New Roman" w:hAnsi="Times New Roman"/>
          <w:noProof/>
          <w:sz w:val="24"/>
          <w:szCs w:val="24"/>
        </w:rPr>
        <w:t>itału,</w:t>
      </w:r>
      <w:r w:rsidR="00E82C90" w:rsidRPr="00E82C90">
        <w:rPr>
          <w:rFonts w:ascii="Times New Roman" w:hAnsi="Times New Roman"/>
          <w:noProof/>
          <w:sz w:val="24"/>
          <w:szCs w:val="24"/>
        </w:rPr>
        <w:t xml:space="preserve"> a uni</w:t>
      </w:r>
      <w:r w:rsidRPr="00E82C90">
        <w:rPr>
          <w:rFonts w:ascii="Times New Roman" w:hAnsi="Times New Roman"/>
          <w:noProof/>
          <w:sz w:val="24"/>
          <w:szCs w:val="24"/>
        </w:rPr>
        <w:t>jna branża zielonych technologii jest dobrze przygotowana do pełnienia roli partnera</w:t>
      </w:r>
      <w:r w:rsidR="00E82C90" w:rsidRPr="00E82C90">
        <w:rPr>
          <w:rFonts w:ascii="Times New Roman" w:hAnsi="Times New Roman"/>
          <w:noProof/>
          <w:sz w:val="24"/>
          <w:szCs w:val="24"/>
        </w:rPr>
        <w:t xml:space="preserve"> w tyc</w:t>
      </w:r>
      <w:r w:rsidRPr="00E82C90">
        <w:rPr>
          <w:rFonts w:ascii="Times New Roman" w:hAnsi="Times New Roman"/>
          <w:noProof/>
          <w:sz w:val="24"/>
          <w:szCs w:val="24"/>
        </w:rPr>
        <w:t>h działaniach. Połowa światowej energii wiatrowej pochodzi</w:t>
      </w:r>
      <w:r w:rsidR="00E82C90" w:rsidRPr="00E82C90">
        <w:rPr>
          <w:rFonts w:ascii="Times New Roman" w:hAnsi="Times New Roman"/>
          <w:noProof/>
          <w:sz w:val="24"/>
          <w:szCs w:val="24"/>
        </w:rPr>
        <w:t xml:space="preserve"> z tur</w:t>
      </w:r>
      <w:r w:rsidRPr="00E82C90">
        <w:rPr>
          <w:rFonts w:ascii="Times New Roman" w:hAnsi="Times New Roman"/>
          <w:noProof/>
          <w:sz w:val="24"/>
          <w:szCs w:val="24"/>
        </w:rPr>
        <w:t>bin wyprodukowanych</w:t>
      </w:r>
      <w:r w:rsidR="00E82C90" w:rsidRPr="00E82C90">
        <w:rPr>
          <w:rFonts w:ascii="Times New Roman" w:hAnsi="Times New Roman"/>
          <w:noProof/>
          <w:sz w:val="24"/>
          <w:szCs w:val="24"/>
        </w:rPr>
        <w:t xml:space="preserve"> w Eur</w:t>
      </w:r>
      <w:r w:rsidRPr="00E82C90">
        <w:rPr>
          <w:rFonts w:ascii="Times New Roman" w:hAnsi="Times New Roman"/>
          <w:noProof/>
          <w:sz w:val="24"/>
          <w:szCs w:val="24"/>
        </w:rPr>
        <w:t xml:space="preserve">opie. </w:t>
      </w:r>
      <w:r w:rsidRPr="00E82C90">
        <w:rPr>
          <w:rFonts w:ascii="Times New Roman" w:hAnsi="Times New Roman"/>
          <w:noProof/>
          <w:color w:val="000000"/>
          <w:sz w:val="24"/>
          <w:szCs w:val="24"/>
        </w:rPr>
        <w:t>Przedsiębiorstwa unijne są liderami</w:t>
      </w:r>
      <w:r w:rsidR="00E82C90" w:rsidRPr="00E82C90">
        <w:rPr>
          <w:rFonts w:ascii="Times New Roman" w:hAnsi="Times New Roman"/>
          <w:noProof/>
          <w:color w:val="000000"/>
          <w:sz w:val="24"/>
          <w:szCs w:val="24"/>
        </w:rPr>
        <w:t xml:space="preserve"> w waż</w:t>
      </w:r>
      <w:r w:rsidRPr="00E82C90">
        <w:rPr>
          <w:rFonts w:ascii="Times New Roman" w:hAnsi="Times New Roman"/>
          <w:noProof/>
          <w:color w:val="000000"/>
          <w:sz w:val="24"/>
          <w:szCs w:val="24"/>
        </w:rPr>
        <w:t>nych segmentach branży fotowoltaicznej, wodoru</w:t>
      </w:r>
      <w:r w:rsidR="00E82C90" w:rsidRPr="00E82C90">
        <w:rPr>
          <w:rFonts w:ascii="Times New Roman" w:hAnsi="Times New Roman"/>
          <w:noProof/>
          <w:color w:val="000000"/>
          <w:sz w:val="24"/>
          <w:szCs w:val="24"/>
        </w:rPr>
        <w:t xml:space="preserve"> i pom</w:t>
      </w:r>
      <w:r w:rsidRPr="00E82C90">
        <w:rPr>
          <w:rFonts w:ascii="Times New Roman" w:hAnsi="Times New Roman"/>
          <w:noProof/>
          <w:color w:val="000000"/>
          <w:sz w:val="24"/>
          <w:szCs w:val="24"/>
        </w:rPr>
        <w:t>p ciepła,</w:t>
      </w:r>
      <w:r w:rsidR="00E82C90" w:rsidRPr="00E82C90">
        <w:rPr>
          <w:rFonts w:ascii="Times New Roman" w:hAnsi="Times New Roman"/>
          <w:noProof/>
          <w:color w:val="000000"/>
          <w:sz w:val="24"/>
          <w:szCs w:val="24"/>
        </w:rPr>
        <w:t xml:space="preserve"> a dzi</w:t>
      </w:r>
      <w:r w:rsidRPr="00E82C90">
        <w:rPr>
          <w:rFonts w:ascii="Times New Roman" w:hAnsi="Times New Roman"/>
          <w:noProof/>
          <w:color w:val="000000"/>
          <w:sz w:val="24"/>
          <w:szCs w:val="24"/>
        </w:rPr>
        <w:t xml:space="preserve">ęki </w:t>
      </w:r>
      <w:r w:rsidRPr="00E82C90">
        <w:rPr>
          <w:rFonts w:ascii="Times New Roman" w:hAnsi="Times New Roman"/>
          <w:noProof/>
          <w:sz w:val="24"/>
          <w:szCs w:val="24"/>
        </w:rPr>
        <w:t>europejskiemu sojuszowi na rzecz baterii doganiają Azję</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technologii produkcji baterii.</w:t>
      </w:r>
    </w:p>
    <w:p w14:paraId="75192F75" w14:textId="2AB557B3" w:rsidR="00003F9A" w:rsidRPr="00E82C90" w:rsidRDefault="00F350E7" w:rsidP="00B71AA2">
      <w:pPr>
        <w:spacing w:after="240"/>
        <w:jc w:val="both"/>
        <w:rPr>
          <w:rFonts w:ascii="Times New Roman" w:hAnsi="Times New Roman" w:cs="Times New Roman"/>
          <w:noProof/>
          <w:sz w:val="24"/>
          <w:szCs w:val="24"/>
        </w:rPr>
      </w:pPr>
      <w:r w:rsidRPr="00E82C90">
        <w:rPr>
          <w:rFonts w:ascii="Times New Roman" w:hAnsi="Times New Roman"/>
          <w:noProof/>
          <w:sz w:val="24"/>
          <w:szCs w:val="24"/>
        </w:rPr>
        <w:t>Aby branża zielonych technologii mogła prosperować</w:t>
      </w:r>
      <w:r w:rsidR="00E82C90" w:rsidRPr="00E82C90">
        <w:rPr>
          <w:rFonts w:ascii="Times New Roman" w:hAnsi="Times New Roman"/>
          <w:noProof/>
          <w:sz w:val="24"/>
          <w:szCs w:val="24"/>
        </w:rPr>
        <w:t xml:space="preserve"> i ros</w:t>
      </w:r>
      <w:r w:rsidRPr="00E82C90">
        <w:rPr>
          <w:rFonts w:ascii="Times New Roman" w:hAnsi="Times New Roman"/>
          <w:noProof/>
          <w:sz w:val="24"/>
          <w:szCs w:val="24"/>
        </w:rPr>
        <w:t>nąć</w:t>
      </w:r>
      <w:r w:rsidR="00E82C90" w:rsidRPr="00E82C90">
        <w:rPr>
          <w:rFonts w:ascii="Times New Roman" w:hAnsi="Times New Roman"/>
          <w:noProof/>
          <w:sz w:val="24"/>
          <w:szCs w:val="24"/>
        </w:rPr>
        <w:t xml:space="preserve"> w sił</w:t>
      </w:r>
      <w:r w:rsidRPr="00E82C90">
        <w:rPr>
          <w:rFonts w:ascii="Times New Roman" w:hAnsi="Times New Roman"/>
          <w:noProof/>
          <w:sz w:val="24"/>
          <w:szCs w:val="24"/>
        </w:rPr>
        <w:t xml:space="preserve">ę, musi mieć zapewnione stabilne </w:t>
      </w:r>
      <w:r w:rsidRPr="00E82C90">
        <w:rPr>
          <w:rFonts w:ascii="Times New Roman" w:hAnsi="Times New Roman"/>
          <w:b/>
          <w:bCs/>
          <w:noProof/>
          <w:sz w:val="24"/>
          <w:szCs w:val="24"/>
        </w:rPr>
        <w:t>ramy prawne, uczciwą konkurencję, wystarczające inwestycje</w:t>
      </w:r>
      <w:r w:rsidR="00E82C90" w:rsidRPr="00E82C90">
        <w:rPr>
          <w:rFonts w:ascii="Times New Roman" w:hAnsi="Times New Roman"/>
          <w:b/>
          <w:bCs/>
          <w:noProof/>
          <w:sz w:val="24"/>
          <w:szCs w:val="24"/>
        </w:rPr>
        <w:t xml:space="preserve"> i rów</w:t>
      </w:r>
      <w:r w:rsidRPr="00E82C90">
        <w:rPr>
          <w:rFonts w:ascii="Times New Roman" w:hAnsi="Times New Roman"/>
          <w:b/>
          <w:bCs/>
          <w:noProof/>
          <w:sz w:val="24"/>
          <w:szCs w:val="24"/>
        </w:rPr>
        <w:t>ne warunki działania pod względem podatkowym</w:t>
      </w:r>
      <w:r w:rsidRPr="00E82C90">
        <w:rPr>
          <w:rFonts w:ascii="Times New Roman" w:hAnsi="Times New Roman"/>
          <w:noProof/>
          <w:sz w:val="24"/>
          <w:szCs w:val="24"/>
        </w:rPr>
        <w:t xml:space="preserve"> – jest to równie ważne</w:t>
      </w:r>
      <w:r w:rsidR="00E82C90" w:rsidRPr="00E82C90">
        <w:rPr>
          <w:rFonts w:ascii="Times New Roman" w:hAnsi="Times New Roman"/>
          <w:noProof/>
          <w:sz w:val="24"/>
          <w:szCs w:val="24"/>
        </w:rPr>
        <w:t xml:space="preserve"> i kor</w:t>
      </w:r>
      <w:r w:rsidRPr="00E82C90">
        <w:rPr>
          <w:rFonts w:ascii="Times New Roman" w:hAnsi="Times New Roman"/>
          <w:noProof/>
          <w:sz w:val="24"/>
          <w:szCs w:val="24"/>
        </w:rPr>
        <w:t>zystne tak dla UE, jak</w:t>
      </w:r>
      <w:r w:rsidR="00E82C90" w:rsidRPr="00E82C90">
        <w:rPr>
          <w:rFonts w:ascii="Times New Roman" w:hAnsi="Times New Roman"/>
          <w:noProof/>
          <w:sz w:val="24"/>
          <w:szCs w:val="24"/>
        </w:rPr>
        <w:t xml:space="preserve"> i dla</w:t>
      </w:r>
      <w:r w:rsidRPr="00E82C90">
        <w:rPr>
          <w:rFonts w:ascii="Times New Roman" w:hAnsi="Times New Roman"/>
          <w:noProof/>
          <w:sz w:val="24"/>
          <w:szCs w:val="24"/>
        </w:rPr>
        <w:t xml:space="preserve"> podmiotów lokalnych. Zewnętrzna polityka energetyczna musi współgrać</w:t>
      </w:r>
      <w:r w:rsidR="00E82C90" w:rsidRPr="00E82C90">
        <w:rPr>
          <w:rFonts w:ascii="Times New Roman" w:hAnsi="Times New Roman"/>
          <w:noProof/>
          <w:sz w:val="24"/>
          <w:szCs w:val="24"/>
        </w:rPr>
        <w:t xml:space="preserve"> z uni</w:t>
      </w:r>
      <w:r w:rsidRPr="00E82C90">
        <w:rPr>
          <w:rFonts w:ascii="Times New Roman" w:hAnsi="Times New Roman"/>
          <w:noProof/>
          <w:sz w:val="24"/>
          <w:szCs w:val="24"/>
        </w:rPr>
        <w:t>jną polityką przemysłową</w:t>
      </w:r>
      <w:r w:rsidR="00E82C90" w:rsidRPr="00E82C90">
        <w:rPr>
          <w:rFonts w:ascii="Times New Roman" w:hAnsi="Times New Roman"/>
          <w:noProof/>
          <w:sz w:val="24"/>
          <w:szCs w:val="24"/>
        </w:rPr>
        <w:t xml:space="preserve"> i han</w:t>
      </w:r>
      <w:r w:rsidRPr="00E82C90">
        <w:rPr>
          <w:rFonts w:ascii="Times New Roman" w:hAnsi="Times New Roman"/>
          <w:noProof/>
          <w:sz w:val="24"/>
          <w:szCs w:val="24"/>
        </w:rPr>
        <w:t>dlową, zapewniając naszemu przemysłowi dostęp do rynku</w:t>
      </w:r>
      <w:r w:rsidR="00E82C90" w:rsidRPr="00E82C90">
        <w:rPr>
          <w:rFonts w:ascii="Times New Roman" w:hAnsi="Times New Roman"/>
          <w:noProof/>
          <w:sz w:val="24"/>
          <w:szCs w:val="24"/>
        </w:rPr>
        <w:t xml:space="preserve"> i sta</w:t>
      </w:r>
      <w:r w:rsidRPr="00E82C90">
        <w:rPr>
          <w:rFonts w:ascii="Times New Roman" w:hAnsi="Times New Roman"/>
          <w:noProof/>
          <w:sz w:val="24"/>
          <w:szCs w:val="24"/>
        </w:rPr>
        <w:t>wiając czoła wyzwaniom za pośrednictwem umów</w:t>
      </w:r>
      <w:r w:rsidR="00E82C90" w:rsidRPr="00E82C90">
        <w:rPr>
          <w:rFonts w:ascii="Times New Roman" w:hAnsi="Times New Roman"/>
          <w:noProof/>
          <w:sz w:val="24"/>
          <w:szCs w:val="24"/>
        </w:rPr>
        <w:t xml:space="preserve"> o wol</w:t>
      </w:r>
      <w:r w:rsidRPr="00E82C90">
        <w:rPr>
          <w:rFonts w:ascii="Times New Roman" w:hAnsi="Times New Roman"/>
          <w:noProof/>
          <w:sz w:val="24"/>
          <w:szCs w:val="24"/>
        </w:rPr>
        <w:t>nym handlu</w:t>
      </w:r>
      <w:r w:rsidR="00E82C90" w:rsidRPr="00E82C90">
        <w:rPr>
          <w:rFonts w:ascii="Times New Roman" w:hAnsi="Times New Roman"/>
          <w:noProof/>
          <w:sz w:val="24"/>
          <w:szCs w:val="24"/>
        </w:rPr>
        <w:t xml:space="preserve"> i dzi</w:t>
      </w:r>
      <w:r w:rsidRPr="00E82C90">
        <w:rPr>
          <w:rFonts w:ascii="Times New Roman" w:hAnsi="Times New Roman"/>
          <w:noProof/>
          <w:sz w:val="24"/>
          <w:szCs w:val="24"/>
        </w:rPr>
        <w:t>ałań</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egzekwowania przepisów.</w:t>
      </w:r>
    </w:p>
    <w:p w14:paraId="623E86B9" w14:textId="5871CCDE" w:rsidR="00003F9A" w:rsidRPr="00E82C90" w:rsidRDefault="00E46615" w:rsidP="00F350E7">
      <w:pPr>
        <w:jc w:val="both"/>
        <w:rPr>
          <w:rFonts w:ascii="Times New Roman" w:hAnsi="Times New Roman" w:cs="Times New Roman"/>
          <w:noProof/>
          <w:sz w:val="24"/>
          <w:szCs w:val="24"/>
        </w:rPr>
      </w:pPr>
      <w:r w:rsidRPr="00E82C90">
        <w:rPr>
          <w:rFonts w:ascii="Times New Roman" w:hAnsi="Times New Roman"/>
          <w:noProof/>
          <w:color w:val="141414"/>
          <w:sz w:val="24"/>
          <w:szCs w:val="24"/>
        </w:rPr>
        <w:t xml:space="preserve">Rozwijanie </w:t>
      </w:r>
      <w:r w:rsidRPr="00E82C90">
        <w:rPr>
          <w:rFonts w:ascii="Times New Roman" w:hAnsi="Times New Roman"/>
          <w:b/>
          <w:bCs/>
          <w:noProof/>
          <w:color w:val="141414"/>
          <w:sz w:val="24"/>
          <w:szCs w:val="24"/>
        </w:rPr>
        <w:t>stosunków między przedsiębiorstwami</w:t>
      </w:r>
      <w:r w:rsidRPr="00E82C90">
        <w:rPr>
          <w:rFonts w:ascii="Times New Roman" w:hAnsi="Times New Roman"/>
          <w:noProof/>
          <w:color w:val="141414"/>
          <w:sz w:val="24"/>
          <w:szCs w:val="24"/>
        </w:rPr>
        <w:t xml:space="preserve"> wymaga ciągłej uwagi: wydarzenia związane</w:t>
      </w:r>
      <w:r w:rsidR="00E82C90" w:rsidRPr="00E82C90">
        <w:rPr>
          <w:rFonts w:ascii="Times New Roman" w:hAnsi="Times New Roman"/>
          <w:noProof/>
          <w:color w:val="141414"/>
          <w:sz w:val="24"/>
          <w:szCs w:val="24"/>
        </w:rPr>
        <w:t xml:space="preserve"> z two</w:t>
      </w:r>
      <w:r w:rsidRPr="00E82C90">
        <w:rPr>
          <w:rFonts w:ascii="Times New Roman" w:hAnsi="Times New Roman"/>
          <w:noProof/>
          <w:color w:val="141414"/>
          <w:sz w:val="24"/>
          <w:szCs w:val="24"/>
        </w:rPr>
        <w:t>rzeniem sieci kontaktów biznesowych organizowane</w:t>
      </w:r>
      <w:r w:rsidR="00E82C90" w:rsidRPr="00E82C90">
        <w:rPr>
          <w:rFonts w:ascii="Times New Roman" w:hAnsi="Times New Roman"/>
          <w:noProof/>
          <w:color w:val="141414"/>
          <w:sz w:val="24"/>
          <w:szCs w:val="24"/>
        </w:rPr>
        <w:t xml:space="preserve"> w ram</w:t>
      </w:r>
      <w:r w:rsidRPr="00E82C90">
        <w:rPr>
          <w:rFonts w:ascii="Times New Roman" w:hAnsi="Times New Roman"/>
          <w:noProof/>
          <w:color w:val="141414"/>
          <w:sz w:val="24"/>
          <w:szCs w:val="24"/>
        </w:rPr>
        <w:t>ach Rady ds. Energii UE–USA, ostatnio dotyczące morskiej energii wiatrowej, stanowią model, który należy powielać</w:t>
      </w:r>
      <w:r w:rsidR="00E82C90" w:rsidRPr="00E82C90">
        <w:rPr>
          <w:rFonts w:ascii="Times New Roman" w:hAnsi="Times New Roman"/>
          <w:noProof/>
          <w:color w:val="141414"/>
          <w:sz w:val="24"/>
          <w:szCs w:val="24"/>
        </w:rPr>
        <w:t>. W cał</w:t>
      </w:r>
      <w:r w:rsidRPr="00E82C90">
        <w:rPr>
          <w:rFonts w:ascii="Times New Roman" w:hAnsi="Times New Roman"/>
          <w:noProof/>
          <w:color w:val="141414"/>
          <w:sz w:val="24"/>
          <w:szCs w:val="24"/>
        </w:rPr>
        <w:t>ej Azji (np.</w:t>
      </w:r>
      <w:r w:rsidR="00E82C90" w:rsidRPr="00E82C90">
        <w:rPr>
          <w:rFonts w:ascii="Times New Roman" w:hAnsi="Times New Roman"/>
          <w:noProof/>
          <w:color w:val="141414"/>
          <w:sz w:val="24"/>
          <w:szCs w:val="24"/>
        </w:rPr>
        <w:t xml:space="preserve"> w Rep</w:t>
      </w:r>
      <w:r w:rsidRPr="00E82C90">
        <w:rPr>
          <w:rFonts w:ascii="Times New Roman" w:hAnsi="Times New Roman"/>
          <w:noProof/>
          <w:color w:val="141414"/>
          <w:sz w:val="24"/>
          <w:szCs w:val="24"/>
        </w:rPr>
        <w:t xml:space="preserve">ublice Korei i na Tajwanie) </w:t>
      </w:r>
      <w:r w:rsidRPr="00E82C90">
        <w:rPr>
          <w:rFonts w:ascii="Times New Roman" w:hAnsi="Times New Roman"/>
          <w:noProof/>
          <w:sz w:val="24"/>
          <w:szCs w:val="24"/>
        </w:rPr>
        <w:t>powstały ośrodki oferujące nowe możliwości rynkowe unijnym przedsiębiorstwom</w:t>
      </w:r>
      <w:r w:rsidR="00E82C90" w:rsidRPr="00E82C90">
        <w:rPr>
          <w:rFonts w:ascii="Times New Roman" w:hAnsi="Times New Roman"/>
          <w:noProof/>
          <w:sz w:val="24"/>
          <w:szCs w:val="24"/>
        </w:rPr>
        <w:t xml:space="preserve"> z bra</w:t>
      </w:r>
      <w:r w:rsidRPr="00E82C90">
        <w:rPr>
          <w:rFonts w:ascii="Times New Roman" w:hAnsi="Times New Roman"/>
          <w:noProof/>
          <w:sz w:val="24"/>
          <w:szCs w:val="24"/>
        </w:rPr>
        <w:t xml:space="preserve">nży technologii ekologicznych. </w:t>
      </w:r>
    </w:p>
    <w:p w14:paraId="160D804E" w14:textId="798141E7" w:rsidR="0009606D" w:rsidRPr="00E82C90" w:rsidRDefault="00E84972" w:rsidP="002F7BCF">
      <w:pPr>
        <w:jc w:val="both"/>
        <w:rPr>
          <w:rFonts w:ascii="Times New Roman" w:hAnsi="Times New Roman" w:cs="Times New Roman"/>
          <w:noProof/>
          <w:sz w:val="24"/>
          <w:szCs w:val="24"/>
        </w:rPr>
      </w:pPr>
      <w:r w:rsidRPr="00E82C90">
        <w:rPr>
          <w:rFonts w:ascii="Times New Roman" w:hAnsi="Times New Roman"/>
          <w:noProof/>
          <w:sz w:val="24"/>
          <w:szCs w:val="24"/>
        </w:rPr>
        <w:t>Instrumenty obniżające ryzyko</w:t>
      </w:r>
      <w:r w:rsidR="00E82C90" w:rsidRPr="00E82C90">
        <w:rPr>
          <w:rFonts w:ascii="Times New Roman" w:hAnsi="Times New Roman"/>
          <w:noProof/>
          <w:sz w:val="24"/>
          <w:szCs w:val="24"/>
        </w:rPr>
        <w:t xml:space="preserve"> i kre</w:t>
      </w:r>
      <w:r w:rsidRPr="00E82C90">
        <w:rPr>
          <w:rFonts w:ascii="Times New Roman" w:hAnsi="Times New Roman"/>
          <w:noProof/>
          <w:sz w:val="24"/>
          <w:szCs w:val="24"/>
        </w:rPr>
        <w:t>dytowe instrumenty eksportowe mają również kluczowe znaczenie dla umożliwienia wejścia na nowe rynki. Unijne przedsiębiorstwa działające</w:t>
      </w:r>
      <w:r w:rsidR="00E82C90" w:rsidRPr="00E82C90">
        <w:rPr>
          <w:rFonts w:ascii="Times New Roman" w:hAnsi="Times New Roman"/>
          <w:noProof/>
          <w:sz w:val="24"/>
          <w:szCs w:val="24"/>
        </w:rPr>
        <w:t xml:space="preserve"> w sek</w:t>
      </w:r>
      <w:r w:rsidRPr="00E82C90">
        <w:rPr>
          <w:rFonts w:ascii="Times New Roman" w:hAnsi="Times New Roman"/>
          <w:noProof/>
          <w:sz w:val="24"/>
          <w:szCs w:val="24"/>
        </w:rPr>
        <w:t>torze czystych technologii coraz częściej konkurują</w:t>
      </w:r>
      <w:r w:rsidR="00E82C90" w:rsidRPr="00E82C90">
        <w:rPr>
          <w:rFonts w:ascii="Times New Roman" w:hAnsi="Times New Roman"/>
          <w:noProof/>
          <w:sz w:val="24"/>
          <w:szCs w:val="24"/>
        </w:rPr>
        <w:t xml:space="preserve"> z fir</w:t>
      </w:r>
      <w:r w:rsidRPr="00E82C90">
        <w:rPr>
          <w:rFonts w:ascii="Times New Roman" w:hAnsi="Times New Roman"/>
          <w:noProof/>
          <w:sz w:val="24"/>
          <w:szCs w:val="24"/>
        </w:rPr>
        <w:t xml:space="preserve">mami zagranicznymi, które otrzymują bezpośrednie wsparcie finansowe od swoich rządów. Komisja opracuje </w:t>
      </w:r>
      <w:r w:rsidRPr="00E82C90">
        <w:rPr>
          <w:rFonts w:ascii="Times New Roman" w:hAnsi="Times New Roman"/>
          <w:b/>
          <w:bCs/>
          <w:noProof/>
          <w:sz w:val="24"/>
          <w:szCs w:val="24"/>
        </w:rPr>
        <w:t>strategię UE dotyczącą kredytów eksportowych</w:t>
      </w:r>
      <w:r w:rsidRPr="00E82C90">
        <w:rPr>
          <w:rFonts w:ascii="Times New Roman" w:hAnsi="Times New Roman"/>
          <w:noProof/>
          <w:sz w:val="24"/>
          <w:szCs w:val="24"/>
        </w:rPr>
        <w:t>,</w:t>
      </w:r>
      <w:r w:rsidR="00E82C90" w:rsidRPr="00E82C90">
        <w:rPr>
          <w:rFonts w:ascii="Times New Roman" w:hAnsi="Times New Roman"/>
          <w:noProof/>
          <w:sz w:val="24"/>
          <w:szCs w:val="24"/>
        </w:rPr>
        <w:t xml:space="preserve"> z któ</w:t>
      </w:r>
      <w:r w:rsidRPr="00E82C90">
        <w:rPr>
          <w:rFonts w:ascii="Times New Roman" w:hAnsi="Times New Roman"/>
          <w:noProof/>
          <w:sz w:val="24"/>
          <w:szCs w:val="24"/>
        </w:rPr>
        <w:t>rej skorzystają</w:t>
      </w:r>
      <w:r w:rsidRPr="00E82C90">
        <w:rPr>
          <w:rFonts w:ascii="Times New Roman" w:hAnsi="Times New Roman"/>
          <w:b/>
          <w:bCs/>
          <w:noProof/>
          <w:sz w:val="24"/>
          <w:szCs w:val="24"/>
        </w:rPr>
        <w:t xml:space="preserve"> </w:t>
      </w:r>
      <w:r w:rsidRPr="00E82C90">
        <w:rPr>
          <w:rFonts w:ascii="Times New Roman" w:hAnsi="Times New Roman"/>
          <w:noProof/>
          <w:sz w:val="24"/>
          <w:szCs w:val="24"/>
        </w:rPr>
        <w:t>przedsiębiorstwa</w:t>
      </w:r>
      <w:r w:rsidR="00E82C90" w:rsidRPr="00E82C90">
        <w:rPr>
          <w:rFonts w:ascii="Times New Roman" w:hAnsi="Times New Roman"/>
          <w:noProof/>
          <w:sz w:val="24"/>
          <w:szCs w:val="24"/>
        </w:rPr>
        <w:t xml:space="preserve"> z bra</w:t>
      </w:r>
      <w:r w:rsidRPr="00E82C90">
        <w:rPr>
          <w:rFonts w:ascii="Times New Roman" w:hAnsi="Times New Roman"/>
          <w:noProof/>
          <w:sz w:val="24"/>
          <w:szCs w:val="24"/>
        </w:rPr>
        <w:t>nży technologii ekologicznych</w:t>
      </w:r>
      <w:r w:rsidR="00E82C90" w:rsidRPr="00E82C90">
        <w:rPr>
          <w:rFonts w:ascii="Times New Roman" w:hAnsi="Times New Roman"/>
          <w:noProof/>
          <w:sz w:val="24"/>
          <w:szCs w:val="24"/>
        </w:rPr>
        <w:t xml:space="preserve"> i któ</w:t>
      </w:r>
      <w:r w:rsidRPr="00E82C90">
        <w:rPr>
          <w:rFonts w:ascii="Times New Roman" w:hAnsi="Times New Roman"/>
          <w:noProof/>
          <w:sz w:val="24"/>
          <w:szCs w:val="24"/>
        </w:rPr>
        <w:t>ra poprawi równość szans dla przedsiębiorstw unijnych na rynkach państw trzecich. Komisja dąży również do zmiany zasad OECD, chcąc jeszcze bardziej zachęcić do wspierania kredytów eksportowych na technologie przyjazne dla klimatu.</w:t>
      </w:r>
    </w:p>
    <w:p w14:paraId="49FB7D79" w14:textId="5193C005" w:rsidR="00B343AD" w:rsidRPr="00E82C90" w:rsidRDefault="00B343AD" w:rsidP="00B343AD">
      <w:pPr>
        <w:jc w:val="both"/>
        <w:rPr>
          <w:rFonts w:ascii="Times New Roman" w:hAnsi="Times New Roman" w:cs="Times New Roman"/>
          <w:b/>
          <w:bCs/>
          <w:noProof/>
          <w:sz w:val="24"/>
          <w:szCs w:val="24"/>
        </w:rPr>
      </w:pPr>
      <w:r w:rsidRPr="00E82C90">
        <w:rPr>
          <w:rFonts w:ascii="Times New Roman" w:hAnsi="Times New Roman"/>
          <w:b/>
          <w:bCs/>
          <w:noProof/>
          <w:sz w:val="24"/>
          <w:szCs w:val="24"/>
        </w:rPr>
        <w:t xml:space="preserve">Kluczowe działania: </w:t>
      </w:r>
    </w:p>
    <w:p w14:paraId="50095F40" w14:textId="1C28E621" w:rsidR="00E46615" w:rsidRPr="00E82C90" w:rsidRDefault="002F7BCF" w:rsidP="00E46615">
      <w:pPr>
        <w:pStyle w:val="ListParagraph"/>
        <w:numPr>
          <w:ilvl w:val="0"/>
          <w:numId w:val="7"/>
        </w:numPr>
        <w:jc w:val="both"/>
        <w:rPr>
          <w:rFonts w:ascii="Times New Roman" w:hAnsi="Times New Roman" w:cs="Times New Roman"/>
          <w:b/>
          <w:bCs/>
          <w:noProof/>
          <w:sz w:val="24"/>
          <w:szCs w:val="24"/>
        </w:rPr>
      </w:pPr>
      <w:r w:rsidRPr="00E82C90">
        <w:rPr>
          <w:rFonts w:ascii="Times New Roman" w:hAnsi="Times New Roman"/>
          <w:b/>
          <w:bCs/>
          <w:noProof/>
          <w:sz w:val="24"/>
          <w:szCs w:val="24"/>
        </w:rPr>
        <w:t>przyspieszenie wdrożenia odnawialnych źródeł energii</w:t>
      </w:r>
      <w:r w:rsidR="00E82C90" w:rsidRPr="00E82C90">
        <w:rPr>
          <w:rFonts w:ascii="Times New Roman" w:hAnsi="Times New Roman"/>
          <w:b/>
          <w:bCs/>
          <w:noProof/>
          <w:sz w:val="24"/>
          <w:szCs w:val="24"/>
        </w:rPr>
        <w:t xml:space="preserve"> i efe</w:t>
      </w:r>
      <w:r w:rsidRPr="00E82C90">
        <w:rPr>
          <w:rFonts w:ascii="Times New Roman" w:hAnsi="Times New Roman"/>
          <w:b/>
          <w:bCs/>
          <w:noProof/>
          <w:sz w:val="24"/>
          <w:szCs w:val="24"/>
        </w:rPr>
        <w:t>ktywności energetycznej na całym świecie,</w:t>
      </w:r>
      <w:r w:rsidR="00E82C90" w:rsidRPr="00E82C90">
        <w:rPr>
          <w:rFonts w:ascii="Times New Roman" w:hAnsi="Times New Roman"/>
          <w:b/>
          <w:bCs/>
          <w:noProof/>
          <w:sz w:val="24"/>
          <w:szCs w:val="24"/>
        </w:rPr>
        <w:t xml:space="preserve"> w tym</w:t>
      </w:r>
      <w:r w:rsidRPr="00E82C90">
        <w:rPr>
          <w:rFonts w:ascii="Times New Roman" w:hAnsi="Times New Roman"/>
          <w:b/>
          <w:bCs/>
          <w:noProof/>
          <w:sz w:val="24"/>
          <w:szCs w:val="24"/>
        </w:rPr>
        <w:t xml:space="preserve"> na Bałkanach Zachodnich,</w:t>
      </w:r>
      <w:r w:rsidR="00E82C90" w:rsidRPr="00E82C90">
        <w:rPr>
          <w:rFonts w:ascii="Times New Roman" w:hAnsi="Times New Roman"/>
          <w:b/>
          <w:bCs/>
          <w:noProof/>
          <w:sz w:val="24"/>
          <w:szCs w:val="24"/>
        </w:rPr>
        <w:t xml:space="preserve"> w Afr</w:t>
      </w:r>
      <w:r w:rsidRPr="00E82C90">
        <w:rPr>
          <w:rFonts w:ascii="Times New Roman" w:hAnsi="Times New Roman"/>
          <w:b/>
          <w:bCs/>
          <w:noProof/>
          <w:sz w:val="24"/>
          <w:szCs w:val="24"/>
        </w:rPr>
        <w:t>yce, regionie Morza Śródziem</w:t>
      </w:r>
      <w:r w:rsidR="00FE4786" w:rsidRPr="00E82C90">
        <w:rPr>
          <w:rFonts w:ascii="Times New Roman" w:hAnsi="Times New Roman"/>
          <w:b/>
          <w:bCs/>
          <w:noProof/>
          <w:sz w:val="24"/>
          <w:szCs w:val="24"/>
        </w:rPr>
        <w:t>nego</w:t>
      </w:r>
      <w:r w:rsidR="00E82C90" w:rsidRPr="00E82C90">
        <w:rPr>
          <w:rFonts w:ascii="Times New Roman" w:hAnsi="Times New Roman"/>
          <w:b/>
          <w:bCs/>
          <w:noProof/>
          <w:sz w:val="24"/>
          <w:szCs w:val="24"/>
        </w:rPr>
        <w:t xml:space="preserve"> i w reg</w:t>
      </w:r>
      <w:r w:rsidR="00FE4786" w:rsidRPr="00E82C90">
        <w:rPr>
          <w:rFonts w:ascii="Times New Roman" w:hAnsi="Times New Roman"/>
          <w:b/>
          <w:bCs/>
          <w:noProof/>
          <w:sz w:val="24"/>
          <w:szCs w:val="24"/>
        </w:rPr>
        <w:t>ionie Indo-Pacyfiku</w:t>
      </w:r>
    </w:p>
    <w:p w14:paraId="1298015B" w14:textId="35B9F6AF" w:rsidR="004A7FC4" w:rsidRPr="00E82C90" w:rsidRDefault="002F7BCF" w:rsidP="00E46615">
      <w:pPr>
        <w:pStyle w:val="ListParagraph"/>
        <w:numPr>
          <w:ilvl w:val="0"/>
          <w:numId w:val="7"/>
        </w:numPr>
        <w:jc w:val="both"/>
        <w:rPr>
          <w:rFonts w:ascii="Times New Roman" w:hAnsi="Times New Roman" w:cs="Times New Roman"/>
          <w:b/>
          <w:bCs/>
          <w:noProof/>
          <w:sz w:val="24"/>
          <w:szCs w:val="24"/>
        </w:rPr>
      </w:pPr>
      <w:r w:rsidRPr="00E82C90">
        <w:rPr>
          <w:rFonts w:ascii="Times New Roman" w:hAnsi="Times New Roman"/>
          <w:b/>
          <w:bCs/>
          <w:noProof/>
          <w:sz w:val="24"/>
          <w:szCs w:val="24"/>
        </w:rPr>
        <w:t>wdrażanie obopólnie korzystnej afrykańsko-europejski</w:t>
      </w:r>
      <w:r w:rsidR="00FE4786" w:rsidRPr="00E82C90">
        <w:rPr>
          <w:rFonts w:ascii="Times New Roman" w:hAnsi="Times New Roman"/>
          <w:b/>
          <w:bCs/>
          <w:noProof/>
          <w:sz w:val="24"/>
          <w:szCs w:val="24"/>
        </w:rPr>
        <w:t>ej inicjatywy „Zielona energia”</w:t>
      </w:r>
    </w:p>
    <w:p w14:paraId="6C78B122" w14:textId="5B34D3ED" w:rsidR="006B39EC" w:rsidRPr="00E82C90" w:rsidRDefault="002F7BCF" w:rsidP="00E46615">
      <w:pPr>
        <w:pStyle w:val="ListParagraph"/>
        <w:numPr>
          <w:ilvl w:val="0"/>
          <w:numId w:val="22"/>
        </w:numPr>
        <w:spacing w:before="100" w:beforeAutospacing="1" w:after="100" w:afterAutospacing="1" w:line="240" w:lineRule="auto"/>
        <w:jc w:val="both"/>
        <w:rPr>
          <w:rFonts w:ascii="Times New Roman" w:hAnsi="Times New Roman" w:cs="Times New Roman"/>
          <w:b/>
          <w:noProof/>
          <w:sz w:val="24"/>
          <w:szCs w:val="24"/>
        </w:rPr>
      </w:pPr>
      <w:r w:rsidRPr="00E82C90">
        <w:rPr>
          <w:rFonts w:ascii="Times New Roman" w:hAnsi="Times New Roman"/>
          <w:b/>
          <w:bCs/>
          <w:noProof/>
          <w:sz w:val="24"/>
          <w:szCs w:val="24"/>
        </w:rPr>
        <w:t xml:space="preserve">wspieranie </w:t>
      </w:r>
      <w:r w:rsidRPr="00E82C90">
        <w:rPr>
          <w:rFonts w:ascii="Times New Roman" w:hAnsi="Times New Roman"/>
          <w:b/>
          <w:noProof/>
          <w:sz w:val="24"/>
          <w:szCs w:val="24"/>
        </w:rPr>
        <w:t>transformacji ekologicznej</w:t>
      </w:r>
      <w:r w:rsidR="00E82C90" w:rsidRPr="00E82C90">
        <w:rPr>
          <w:rFonts w:ascii="Times New Roman" w:hAnsi="Times New Roman"/>
          <w:b/>
          <w:noProof/>
          <w:sz w:val="24"/>
          <w:szCs w:val="24"/>
        </w:rPr>
        <w:t xml:space="preserve"> w Azj</w:t>
      </w:r>
      <w:r w:rsidRPr="00E82C90">
        <w:rPr>
          <w:rFonts w:ascii="Times New Roman" w:hAnsi="Times New Roman"/>
          <w:b/>
          <w:noProof/>
          <w:sz w:val="24"/>
          <w:szCs w:val="24"/>
        </w:rPr>
        <w:t>i Środkowej za pośrednictwem regionalnej inicjatywy Drużyna Europy</w:t>
      </w:r>
      <w:r w:rsidR="00E82C90" w:rsidRPr="00E82C90">
        <w:rPr>
          <w:rFonts w:ascii="Times New Roman" w:hAnsi="Times New Roman"/>
          <w:b/>
          <w:noProof/>
          <w:sz w:val="24"/>
          <w:szCs w:val="24"/>
        </w:rPr>
        <w:t xml:space="preserve"> w zak</w:t>
      </w:r>
      <w:r w:rsidR="00FE4786" w:rsidRPr="00E82C90">
        <w:rPr>
          <w:rFonts w:ascii="Times New Roman" w:hAnsi="Times New Roman"/>
          <w:b/>
          <w:noProof/>
          <w:sz w:val="24"/>
          <w:szCs w:val="24"/>
        </w:rPr>
        <w:t>resie środowiska/energii/wody</w:t>
      </w:r>
    </w:p>
    <w:p w14:paraId="748F6C16" w14:textId="60A526AF" w:rsidR="006726EF" w:rsidRPr="00E82C90" w:rsidRDefault="002F7BCF" w:rsidP="00E46615">
      <w:pPr>
        <w:pStyle w:val="ListParagraph"/>
        <w:numPr>
          <w:ilvl w:val="0"/>
          <w:numId w:val="7"/>
        </w:numPr>
        <w:jc w:val="both"/>
        <w:rPr>
          <w:rFonts w:ascii="Times New Roman" w:hAnsi="Times New Roman" w:cs="Times New Roman"/>
          <w:b/>
          <w:bCs/>
          <w:noProof/>
          <w:sz w:val="24"/>
          <w:szCs w:val="24"/>
        </w:rPr>
      </w:pPr>
      <w:r w:rsidRPr="00E82C90">
        <w:rPr>
          <w:rFonts w:ascii="Times New Roman" w:hAnsi="Times New Roman"/>
          <w:b/>
          <w:bCs/>
          <w:noProof/>
          <w:sz w:val="24"/>
          <w:szCs w:val="24"/>
        </w:rPr>
        <w:t>zwiększenie rozpowszechnienia energii odnawialnej</w:t>
      </w:r>
      <w:r w:rsidR="00E82C90" w:rsidRPr="00E82C90">
        <w:rPr>
          <w:rFonts w:ascii="Times New Roman" w:hAnsi="Times New Roman"/>
          <w:b/>
          <w:bCs/>
          <w:noProof/>
          <w:sz w:val="24"/>
          <w:szCs w:val="24"/>
        </w:rPr>
        <w:t xml:space="preserve"> w mia</w:t>
      </w:r>
      <w:r w:rsidRPr="00E82C90">
        <w:rPr>
          <w:rFonts w:ascii="Times New Roman" w:hAnsi="Times New Roman"/>
          <w:b/>
          <w:bCs/>
          <w:noProof/>
          <w:sz w:val="24"/>
          <w:szCs w:val="24"/>
        </w:rPr>
        <w:t>stach</w:t>
      </w:r>
      <w:r w:rsidR="00E82C90" w:rsidRPr="00E82C90">
        <w:rPr>
          <w:rFonts w:ascii="Times New Roman" w:hAnsi="Times New Roman"/>
          <w:b/>
          <w:bCs/>
          <w:noProof/>
          <w:sz w:val="24"/>
          <w:szCs w:val="24"/>
        </w:rPr>
        <w:t xml:space="preserve"> i gmi</w:t>
      </w:r>
      <w:r w:rsidRPr="00E82C90">
        <w:rPr>
          <w:rFonts w:ascii="Times New Roman" w:hAnsi="Times New Roman"/>
          <w:b/>
          <w:bCs/>
          <w:noProof/>
          <w:sz w:val="24"/>
          <w:szCs w:val="24"/>
        </w:rPr>
        <w:t>nach wiejskich, np. za pośrednictwem misji transformacji miejskich</w:t>
      </w:r>
      <w:r w:rsidR="00E82C90" w:rsidRPr="00E82C90">
        <w:rPr>
          <w:rFonts w:ascii="Times New Roman" w:hAnsi="Times New Roman"/>
          <w:b/>
          <w:bCs/>
          <w:noProof/>
          <w:sz w:val="24"/>
          <w:szCs w:val="24"/>
        </w:rPr>
        <w:t xml:space="preserve"> w ram</w:t>
      </w:r>
      <w:r w:rsidRPr="00E82C90">
        <w:rPr>
          <w:rFonts w:ascii="Times New Roman" w:hAnsi="Times New Roman"/>
          <w:b/>
          <w:bCs/>
          <w:noProof/>
          <w:sz w:val="24"/>
          <w:szCs w:val="24"/>
        </w:rPr>
        <w:t xml:space="preserve">ach </w:t>
      </w:r>
      <w:r w:rsidR="00FE4786" w:rsidRPr="00E82C90">
        <w:rPr>
          <w:rFonts w:ascii="Times New Roman" w:hAnsi="Times New Roman"/>
          <w:b/>
          <w:bCs/>
          <w:noProof/>
          <w:sz w:val="24"/>
          <w:szCs w:val="24"/>
        </w:rPr>
        <w:t>inicjatywy „Mission Innovation”</w:t>
      </w:r>
    </w:p>
    <w:p w14:paraId="552FC877" w14:textId="526F9D74" w:rsidR="00B71AA2" w:rsidRPr="00E82C90" w:rsidRDefault="002F7BCF" w:rsidP="00E46615">
      <w:pPr>
        <w:pStyle w:val="ListParagraph"/>
        <w:numPr>
          <w:ilvl w:val="0"/>
          <w:numId w:val="7"/>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wspieranie czystych technologii</w:t>
      </w:r>
      <w:r w:rsidR="00E82C90" w:rsidRPr="00E82C90">
        <w:rPr>
          <w:rFonts w:ascii="Times New Roman" w:hAnsi="Times New Roman"/>
          <w:b/>
          <w:bCs/>
          <w:noProof/>
          <w:sz w:val="24"/>
          <w:szCs w:val="24"/>
        </w:rPr>
        <w:t xml:space="preserve"> w kon</w:t>
      </w:r>
      <w:r w:rsidRPr="00E82C90">
        <w:rPr>
          <w:rFonts w:ascii="Times New Roman" w:hAnsi="Times New Roman"/>
          <w:b/>
          <w:bCs/>
          <w:noProof/>
          <w:sz w:val="24"/>
          <w:szCs w:val="24"/>
        </w:rPr>
        <w:t>tekście Rady ds. Handlu</w:t>
      </w:r>
      <w:r w:rsidR="00E82C90" w:rsidRPr="00E82C90">
        <w:rPr>
          <w:rFonts w:ascii="Times New Roman" w:hAnsi="Times New Roman"/>
          <w:b/>
          <w:bCs/>
          <w:noProof/>
          <w:sz w:val="24"/>
          <w:szCs w:val="24"/>
        </w:rPr>
        <w:t xml:space="preserve"> i Tec</w:t>
      </w:r>
      <w:r w:rsidRPr="00E82C90">
        <w:rPr>
          <w:rFonts w:ascii="Times New Roman" w:hAnsi="Times New Roman"/>
          <w:b/>
          <w:bCs/>
          <w:noProof/>
          <w:sz w:val="24"/>
          <w:szCs w:val="24"/>
        </w:rPr>
        <w:t>hnologii</w:t>
      </w:r>
      <w:r w:rsidR="00FE4786" w:rsidRPr="00E82C90">
        <w:rPr>
          <w:rFonts w:ascii="Times New Roman" w:hAnsi="Times New Roman"/>
          <w:b/>
          <w:bCs/>
          <w:noProof/>
          <w:sz w:val="24"/>
          <w:szCs w:val="24"/>
        </w:rPr>
        <w:t xml:space="preserve"> (TTC) ze Stanami Zjednoczonymi</w:t>
      </w:r>
    </w:p>
    <w:p w14:paraId="252A5400" w14:textId="28927C31" w:rsidR="00505331" w:rsidRPr="00E82C90" w:rsidRDefault="002F7BCF" w:rsidP="00E46615">
      <w:pPr>
        <w:pStyle w:val="ListParagraph"/>
        <w:numPr>
          <w:ilvl w:val="0"/>
          <w:numId w:val="7"/>
        </w:num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opracowanie strategii UE d</w:t>
      </w:r>
      <w:r w:rsidR="00FE4786" w:rsidRPr="00E82C90">
        <w:rPr>
          <w:rFonts w:ascii="Times New Roman" w:hAnsi="Times New Roman"/>
          <w:b/>
          <w:bCs/>
          <w:noProof/>
          <w:sz w:val="24"/>
          <w:szCs w:val="24"/>
        </w:rPr>
        <w:t>otyczącej kredytów eksportowych</w:t>
      </w:r>
    </w:p>
    <w:p w14:paraId="63E54483" w14:textId="27C15FC6" w:rsidR="00914241" w:rsidRPr="00E82C90" w:rsidRDefault="00E61CF2" w:rsidP="00AA5D14">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Współpraca</w:t>
      </w:r>
      <w:r w:rsidR="00E82C90" w:rsidRPr="00E82C90">
        <w:rPr>
          <w:rFonts w:ascii="Times New Roman" w:hAnsi="Times New Roman"/>
          <w:b/>
          <w:noProof/>
          <w:color w:val="auto"/>
          <w:sz w:val="24"/>
          <w:szCs w:val="24"/>
        </w:rPr>
        <w:t xml:space="preserve"> w dzi</w:t>
      </w:r>
      <w:r w:rsidRPr="00E82C90">
        <w:rPr>
          <w:rFonts w:ascii="Times New Roman" w:hAnsi="Times New Roman"/>
          <w:b/>
          <w:noProof/>
          <w:color w:val="auto"/>
          <w:sz w:val="24"/>
          <w:szCs w:val="24"/>
        </w:rPr>
        <w:t>edzinie badań</w:t>
      </w:r>
      <w:r w:rsidR="00E82C90" w:rsidRPr="00E82C90">
        <w:rPr>
          <w:rFonts w:ascii="Times New Roman" w:hAnsi="Times New Roman"/>
          <w:b/>
          <w:noProof/>
          <w:color w:val="auto"/>
          <w:sz w:val="24"/>
          <w:szCs w:val="24"/>
        </w:rPr>
        <w:t xml:space="preserve"> i tec</w:t>
      </w:r>
      <w:r w:rsidRPr="00E82C90">
        <w:rPr>
          <w:rFonts w:ascii="Times New Roman" w:hAnsi="Times New Roman"/>
          <w:b/>
          <w:noProof/>
          <w:color w:val="auto"/>
          <w:sz w:val="24"/>
          <w:szCs w:val="24"/>
        </w:rPr>
        <w:t xml:space="preserve">hnologii </w:t>
      </w:r>
    </w:p>
    <w:p w14:paraId="6D823E7D" w14:textId="7B510532" w:rsidR="00914241" w:rsidRPr="00E82C90" w:rsidRDefault="00E61CF2" w:rsidP="00914241">
      <w:pPr>
        <w:jc w:val="both"/>
        <w:rPr>
          <w:rFonts w:ascii="Times New Roman" w:hAnsi="Times New Roman" w:cs="Times New Roman"/>
          <w:noProof/>
          <w:sz w:val="24"/>
          <w:szCs w:val="24"/>
        </w:rPr>
      </w:pPr>
      <w:r w:rsidRPr="00E82C90">
        <w:rPr>
          <w:rFonts w:ascii="Times New Roman" w:hAnsi="Times New Roman"/>
          <w:noProof/>
          <w:sz w:val="24"/>
          <w:szCs w:val="24"/>
        </w:rPr>
        <w:t>W przypadku energii cieplnej</w:t>
      </w:r>
      <w:r w:rsidR="00E82C90" w:rsidRPr="00E82C90">
        <w:rPr>
          <w:rFonts w:ascii="Times New Roman" w:hAnsi="Times New Roman"/>
          <w:noProof/>
          <w:sz w:val="24"/>
          <w:szCs w:val="24"/>
        </w:rPr>
        <w:t xml:space="preserve"> i ele</w:t>
      </w:r>
      <w:r w:rsidRPr="00E82C90">
        <w:rPr>
          <w:rFonts w:ascii="Times New Roman" w:hAnsi="Times New Roman"/>
          <w:noProof/>
          <w:sz w:val="24"/>
          <w:szCs w:val="24"/>
        </w:rPr>
        <w:t>ktrycznej wytwarzanej</w:t>
      </w:r>
      <w:r w:rsidR="00E82C90" w:rsidRPr="00E82C90">
        <w:rPr>
          <w:rFonts w:ascii="Times New Roman" w:hAnsi="Times New Roman"/>
          <w:noProof/>
          <w:sz w:val="24"/>
          <w:szCs w:val="24"/>
        </w:rPr>
        <w:t xml:space="preserve"> z pal</w:t>
      </w:r>
      <w:r w:rsidRPr="00E82C90">
        <w:rPr>
          <w:rFonts w:ascii="Times New Roman" w:hAnsi="Times New Roman"/>
          <w:noProof/>
          <w:sz w:val="24"/>
          <w:szCs w:val="24"/>
        </w:rPr>
        <w:t>iw kopalnych wiele technologii niezbędnych do osiągnięcia pełnej dekarbonizacji gospodarki światowej nie jest jeszcze zaawansowanych lub konkurencyjnych. Współpraca międzynarodowa ma zasadnicze znaczenie dla zwiększenia tempa innowacji</w:t>
      </w:r>
      <w:r w:rsidR="00E82C90" w:rsidRPr="00E82C90">
        <w:rPr>
          <w:rFonts w:ascii="Times New Roman" w:hAnsi="Times New Roman"/>
          <w:noProof/>
          <w:sz w:val="24"/>
          <w:szCs w:val="24"/>
        </w:rPr>
        <w:t xml:space="preserve"> i wdr</w:t>
      </w:r>
      <w:r w:rsidRPr="00E82C90">
        <w:rPr>
          <w:rFonts w:ascii="Times New Roman" w:hAnsi="Times New Roman"/>
          <w:noProof/>
          <w:sz w:val="24"/>
          <w:szCs w:val="24"/>
        </w:rPr>
        <w:t>ażania zielonej energii, przy jednoczesnym obniżeniu ich kosztów,</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w:t>
      </w:r>
      <w:r w:rsidR="00E82C90" w:rsidRPr="00E82C90">
        <w:rPr>
          <w:rFonts w:ascii="Times New Roman" w:hAnsi="Times New Roman"/>
          <w:noProof/>
          <w:sz w:val="24"/>
          <w:szCs w:val="24"/>
        </w:rPr>
        <w:t xml:space="preserve"> w prz</w:t>
      </w:r>
      <w:r w:rsidRPr="00E82C90">
        <w:rPr>
          <w:rFonts w:ascii="Times New Roman" w:hAnsi="Times New Roman"/>
          <w:noProof/>
          <w:sz w:val="24"/>
          <w:szCs w:val="24"/>
        </w:rPr>
        <w:t xml:space="preserve">ypadku </w:t>
      </w:r>
      <w:r w:rsidRPr="00E82C90">
        <w:rPr>
          <w:rFonts w:ascii="Times New Roman" w:hAnsi="Times New Roman"/>
          <w:b/>
          <w:bCs/>
          <w:noProof/>
          <w:sz w:val="24"/>
          <w:szCs w:val="24"/>
        </w:rPr>
        <w:t>energii odnawialnej</w:t>
      </w:r>
      <w:r w:rsidR="00E82C90" w:rsidRPr="00E82C90">
        <w:rPr>
          <w:rFonts w:ascii="Times New Roman" w:hAnsi="Times New Roman"/>
          <w:b/>
          <w:bCs/>
          <w:noProof/>
          <w:sz w:val="24"/>
          <w:szCs w:val="24"/>
        </w:rPr>
        <w:t xml:space="preserve"> i wod</w:t>
      </w:r>
      <w:r w:rsidRPr="00E82C90">
        <w:rPr>
          <w:rFonts w:ascii="Times New Roman" w:hAnsi="Times New Roman"/>
          <w:b/>
          <w:bCs/>
          <w:noProof/>
          <w:sz w:val="24"/>
          <w:szCs w:val="24"/>
        </w:rPr>
        <w:t>oru odnawialnego.</w:t>
      </w:r>
      <w:r w:rsidRPr="00E82C90">
        <w:rPr>
          <w:rFonts w:ascii="Times New Roman" w:hAnsi="Times New Roman"/>
          <w:noProof/>
          <w:sz w:val="24"/>
          <w:szCs w:val="24"/>
        </w:rPr>
        <w:t xml:space="preserve"> Inne obszary badawcze</w:t>
      </w:r>
      <w:r w:rsidR="00E82C90" w:rsidRPr="00E82C90">
        <w:rPr>
          <w:rFonts w:ascii="Times New Roman" w:hAnsi="Times New Roman"/>
          <w:noProof/>
          <w:sz w:val="24"/>
          <w:szCs w:val="24"/>
        </w:rPr>
        <w:t xml:space="preserve"> o zas</w:t>
      </w:r>
      <w:r w:rsidRPr="00E82C90">
        <w:rPr>
          <w:rFonts w:ascii="Times New Roman" w:hAnsi="Times New Roman"/>
          <w:noProof/>
          <w:sz w:val="24"/>
          <w:szCs w:val="24"/>
        </w:rPr>
        <w:t xml:space="preserve">adniczym znaczeniu dla transformacji opartej na innowacjach obejmują rozwój </w:t>
      </w:r>
      <w:r w:rsidRPr="00E82C90">
        <w:rPr>
          <w:rFonts w:ascii="Times New Roman" w:hAnsi="Times New Roman"/>
          <w:b/>
          <w:bCs/>
          <w:noProof/>
          <w:sz w:val="24"/>
          <w:szCs w:val="24"/>
        </w:rPr>
        <w:t>inteligentnych, bezpiecznych pod względem cybernetycznym</w:t>
      </w:r>
      <w:r w:rsidR="00E82C90" w:rsidRPr="00E82C90">
        <w:rPr>
          <w:rFonts w:ascii="Times New Roman" w:hAnsi="Times New Roman"/>
          <w:b/>
          <w:bCs/>
          <w:noProof/>
          <w:sz w:val="24"/>
          <w:szCs w:val="24"/>
        </w:rPr>
        <w:t xml:space="preserve"> i ela</w:t>
      </w:r>
      <w:r w:rsidRPr="00E82C90">
        <w:rPr>
          <w:rFonts w:ascii="Times New Roman" w:hAnsi="Times New Roman"/>
          <w:b/>
          <w:bCs/>
          <w:noProof/>
          <w:sz w:val="24"/>
          <w:szCs w:val="24"/>
        </w:rPr>
        <w:t>stycznych sieci energetycznych, magazynowanie energii</w:t>
      </w:r>
      <w:r w:rsidR="00E82C90" w:rsidRPr="00E82C90">
        <w:rPr>
          <w:rFonts w:ascii="Times New Roman" w:hAnsi="Times New Roman"/>
          <w:b/>
          <w:bCs/>
          <w:noProof/>
          <w:sz w:val="24"/>
          <w:szCs w:val="24"/>
        </w:rPr>
        <w:t xml:space="preserve"> o dłu</w:t>
      </w:r>
      <w:r w:rsidRPr="00E82C90">
        <w:rPr>
          <w:rFonts w:ascii="Times New Roman" w:hAnsi="Times New Roman"/>
          <w:b/>
          <w:bCs/>
          <w:noProof/>
          <w:sz w:val="24"/>
          <w:szCs w:val="24"/>
        </w:rPr>
        <w:t>gim okresie użytkowania, zrównoważone surowce, małe reaktory modułowe oraz zrównoważone paliwa dla przemysłu</w:t>
      </w:r>
      <w:r w:rsidR="00E82C90" w:rsidRPr="00E82C90">
        <w:rPr>
          <w:rFonts w:ascii="Times New Roman" w:hAnsi="Times New Roman"/>
          <w:b/>
          <w:bCs/>
          <w:noProof/>
          <w:sz w:val="24"/>
          <w:szCs w:val="24"/>
        </w:rPr>
        <w:t xml:space="preserve"> i tra</w:t>
      </w:r>
      <w:r w:rsidRPr="00E82C90">
        <w:rPr>
          <w:rFonts w:ascii="Times New Roman" w:hAnsi="Times New Roman"/>
          <w:b/>
          <w:bCs/>
          <w:noProof/>
          <w:sz w:val="24"/>
          <w:szCs w:val="24"/>
        </w:rPr>
        <w:t>nsportu</w:t>
      </w:r>
      <w:r w:rsidRPr="00E82C90">
        <w:rPr>
          <w:rFonts w:ascii="Times New Roman" w:hAnsi="Times New Roman"/>
          <w:noProof/>
          <w:sz w:val="24"/>
          <w:szCs w:val="24"/>
        </w:rPr>
        <w:t xml:space="preserve">. </w:t>
      </w:r>
    </w:p>
    <w:p w14:paraId="38A426A4" w14:textId="0ABFFCDA" w:rsidR="008571D4" w:rsidRPr="00E82C90" w:rsidRDefault="00914241" w:rsidP="00914241">
      <w:pPr>
        <w:spacing w:after="240"/>
        <w:jc w:val="both"/>
        <w:rPr>
          <w:rFonts w:ascii="Times New Roman" w:hAnsi="Times New Roman" w:cs="Times New Roman"/>
          <w:noProof/>
          <w:sz w:val="24"/>
          <w:szCs w:val="24"/>
        </w:rPr>
      </w:pPr>
      <w:r w:rsidRPr="00E82C90">
        <w:rPr>
          <w:rFonts w:ascii="Times New Roman" w:hAnsi="Times New Roman"/>
          <w:noProof/>
          <w:sz w:val="24"/>
          <w:szCs w:val="24"/>
        </w:rPr>
        <w:t>W związku</w:t>
      </w:r>
      <w:r w:rsidR="00E82C90" w:rsidRPr="00E82C90">
        <w:rPr>
          <w:rFonts w:ascii="Times New Roman" w:hAnsi="Times New Roman"/>
          <w:noProof/>
          <w:sz w:val="24"/>
          <w:szCs w:val="24"/>
        </w:rPr>
        <w:t xml:space="preserve"> z tym</w:t>
      </w:r>
      <w:r w:rsidRPr="00E82C90">
        <w:rPr>
          <w:rFonts w:ascii="Times New Roman" w:hAnsi="Times New Roman"/>
          <w:noProof/>
          <w:sz w:val="24"/>
          <w:szCs w:val="24"/>
        </w:rPr>
        <w:t>, że energia ze źródeł odnawialnych</w:t>
      </w:r>
      <w:r w:rsidR="00E82C90" w:rsidRPr="00E82C90">
        <w:rPr>
          <w:rFonts w:ascii="Times New Roman" w:hAnsi="Times New Roman"/>
          <w:noProof/>
          <w:sz w:val="24"/>
          <w:szCs w:val="24"/>
        </w:rPr>
        <w:t xml:space="preserve"> i wod</w:t>
      </w:r>
      <w:r w:rsidRPr="00E82C90">
        <w:rPr>
          <w:rFonts w:ascii="Times New Roman" w:hAnsi="Times New Roman"/>
          <w:noProof/>
          <w:sz w:val="24"/>
          <w:szCs w:val="24"/>
        </w:rPr>
        <w:t>ór odnawialny nie będą</w:t>
      </w:r>
      <w:r w:rsidR="00E82C90" w:rsidRPr="00E82C90">
        <w:rPr>
          <w:rFonts w:ascii="Times New Roman" w:hAnsi="Times New Roman"/>
          <w:noProof/>
          <w:sz w:val="24"/>
          <w:szCs w:val="24"/>
        </w:rPr>
        <w:t xml:space="preserve"> w sta</w:t>
      </w:r>
      <w:r w:rsidRPr="00E82C90">
        <w:rPr>
          <w:rFonts w:ascii="Times New Roman" w:hAnsi="Times New Roman"/>
          <w:noProof/>
          <w:sz w:val="24"/>
          <w:szCs w:val="24"/>
        </w:rPr>
        <w:t>nie zastąpić wszystkich paliw kopalnych</w:t>
      </w:r>
      <w:r w:rsidR="00E82C90" w:rsidRPr="00E82C90">
        <w:rPr>
          <w:rFonts w:ascii="Times New Roman" w:hAnsi="Times New Roman"/>
          <w:noProof/>
          <w:sz w:val="24"/>
          <w:szCs w:val="24"/>
        </w:rPr>
        <w:t xml:space="preserve"> w kos</w:t>
      </w:r>
      <w:r w:rsidRPr="00E82C90">
        <w:rPr>
          <w:rFonts w:ascii="Times New Roman" w:hAnsi="Times New Roman"/>
          <w:noProof/>
          <w:sz w:val="24"/>
          <w:szCs w:val="24"/>
        </w:rPr>
        <w:t>zyku energetycznym, konieczne będzie również usuwanie dwutlenku węgla,</w:t>
      </w:r>
      <w:r w:rsidR="00E82C90" w:rsidRPr="00E82C90">
        <w:rPr>
          <w:rFonts w:ascii="Times New Roman" w:hAnsi="Times New Roman"/>
          <w:noProof/>
          <w:sz w:val="24"/>
          <w:szCs w:val="24"/>
        </w:rPr>
        <w:t xml:space="preserve"> w szc</w:t>
      </w:r>
      <w:r w:rsidRPr="00E82C90">
        <w:rPr>
          <w:rFonts w:ascii="Times New Roman" w:hAnsi="Times New Roman"/>
          <w:noProof/>
          <w:sz w:val="24"/>
          <w:szCs w:val="24"/>
        </w:rPr>
        <w:t>zególności</w:t>
      </w:r>
      <w:r w:rsidR="00E82C90" w:rsidRPr="00E82C90">
        <w:rPr>
          <w:rFonts w:ascii="Times New Roman" w:hAnsi="Times New Roman"/>
          <w:noProof/>
          <w:sz w:val="24"/>
          <w:szCs w:val="24"/>
        </w:rPr>
        <w:t xml:space="preserve"> w sek</w:t>
      </w:r>
      <w:r w:rsidRPr="00E82C90">
        <w:rPr>
          <w:rFonts w:ascii="Times New Roman" w:hAnsi="Times New Roman"/>
          <w:noProof/>
          <w:sz w:val="24"/>
          <w:szCs w:val="24"/>
        </w:rPr>
        <w:t>torach przemysłowych,</w:t>
      </w:r>
      <w:r w:rsidR="00E82C90" w:rsidRPr="00E82C90">
        <w:rPr>
          <w:rFonts w:ascii="Times New Roman" w:hAnsi="Times New Roman"/>
          <w:noProof/>
          <w:sz w:val="24"/>
          <w:szCs w:val="24"/>
        </w:rPr>
        <w:t xml:space="preserve"> w któ</w:t>
      </w:r>
      <w:r w:rsidRPr="00E82C90">
        <w:rPr>
          <w:rFonts w:ascii="Times New Roman" w:hAnsi="Times New Roman"/>
          <w:noProof/>
          <w:sz w:val="24"/>
          <w:szCs w:val="24"/>
        </w:rPr>
        <w:t>rych elektryfikacja lub rozwiązania oparte na wodorze są nieopłacalne. UE będzie współpracować</w:t>
      </w:r>
      <w:r w:rsidR="00E82C90" w:rsidRPr="00E82C90">
        <w:rPr>
          <w:rFonts w:ascii="Times New Roman" w:hAnsi="Times New Roman"/>
          <w:noProof/>
          <w:sz w:val="24"/>
          <w:szCs w:val="24"/>
        </w:rPr>
        <w:t xml:space="preserve"> z kra</w:t>
      </w:r>
      <w:r w:rsidRPr="00E82C90">
        <w:rPr>
          <w:rFonts w:ascii="Times New Roman" w:hAnsi="Times New Roman"/>
          <w:noProof/>
          <w:sz w:val="24"/>
          <w:szCs w:val="24"/>
        </w:rPr>
        <w:t>jami sąsiednimi</w:t>
      </w:r>
      <w:r w:rsidR="00E82C90" w:rsidRPr="00E82C90">
        <w:rPr>
          <w:rFonts w:ascii="Times New Roman" w:hAnsi="Times New Roman"/>
          <w:noProof/>
          <w:sz w:val="24"/>
          <w:szCs w:val="24"/>
        </w:rPr>
        <w:t xml:space="preserve"> i inn</w:t>
      </w:r>
      <w:r w:rsidRPr="00E82C90">
        <w:rPr>
          <w:rFonts w:ascii="Times New Roman" w:hAnsi="Times New Roman"/>
          <w:noProof/>
          <w:sz w:val="24"/>
          <w:szCs w:val="24"/>
        </w:rPr>
        <w:t>ymi krajami</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wprowadzenia na rynki światowe innowacyjnych rozwiązań</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efektywności energetycznej</w:t>
      </w:r>
      <w:r w:rsidR="00E82C90" w:rsidRPr="00E82C90">
        <w:rPr>
          <w:rFonts w:ascii="Times New Roman" w:hAnsi="Times New Roman"/>
          <w:noProof/>
          <w:sz w:val="24"/>
          <w:szCs w:val="24"/>
        </w:rPr>
        <w:t xml:space="preserve"> o zer</w:t>
      </w:r>
      <w:r w:rsidRPr="00E82C90">
        <w:rPr>
          <w:rFonts w:ascii="Times New Roman" w:hAnsi="Times New Roman"/>
          <w:noProof/>
          <w:sz w:val="24"/>
          <w:szCs w:val="24"/>
        </w:rPr>
        <w:t>owym zużyciu energii,</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technologii takich jak wychwytywanie, składowanie</w:t>
      </w:r>
      <w:r w:rsidR="00E82C90" w:rsidRPr="00E82C90">
        <w:rPr>
          <w:rFonts w:ascii="Times New Roman" w:hAnsi="Times New Roman"/>
          <w:noProof/>
          <w:sz w:val="24"/>
          <w:szCs w:val="24"/>
        </w:rPr>
        <w:t xml:space="preserve"> i uty</w:t>
      </w:r>
      <w:r w:rsidRPr="00E82C90">
        <w:rPr>
          <w:rFonts w:ascii="Times New Roman" w:hAnsi="Times New Roman"/>
          <w:noProof/>
          <w:sz w:val="24"/>
          <w:szCs w:val="24"/>
        </w:rPr>
        <w:t>lizacja dwutlenku węgla (CCUS).</w:t>
      </w:r>
    </w:p>
    <w:p w14:paraId="0C6B2458" w14:textId="393377D6" w:rsidR="008571D4" w:rsidRPr="00E82C90" w:rsidRDefault="008571D4" w:rsidP="00C0670B">
      <w:pPr>
        <w:spacing w:after="240"/>
        <w:jc w:val="both"/>
        <w:rPr>
          <w:rFonts w:ascii="Times New Roman" w:hAnsi="Times New Roman" w:cs="Times New Roman"/>
          <w:noProof/>
          <w:sz w:val="24"/>
          <w:szCs w:val="24"/>
        </w:rPr>
      </w:pPr>
      <w:r w:rsidRPr="00E82C90">
        <w:rPr>
          <w:rFonts w:ascii="Times New Roman" w:hAnsi="Times New Roman"/>
          <w:noProof/>
          <w:sz w:val="24"/>
          <w:szCs w:val="24"/>
        </w:rPr>
        <w:t>UE będzie nadal wspierać współpracę międzynarodową</w:t>
      </w:r>
      <w:r w:rsidR="00E82C90" w:rsidRPr="00E82C90">
        <w:rPr>
          <w:rFonts w:ascii="Times New Roman" w:hAnsi="Times New Roman"/>
          <w:noProof/>
          <w:sz w:val="24"/>
          <w:szCs w:val="24"/>
        </w:rPr>
        <w:t xml:space="preserve"> i ini</w:t>
      </w:r>
      <w:r w:rsidRPr="00E82C90">
        <w:rPr>
          <w:rFonts w:ascii="Times New Roman" w:hAnsi="Times New Roman"/>
          <w:noProof/>
          <w:sz w:val="24"/>
          <w:szCs w:val="24"/>
        </w:rPr>
        <w:t>cjatywy wielostronne zgodnie ze swoim globalnym podejściem do badań</w:t>
      </w:r>
      <w:r w:rsidR="00E82C90" w:rsidRPr="00E82C90">
        <w:rPr>
          <w:rFonts w:ascii="Times New Roman" w:hAnsi="Times New Roman"/>
          <w:noProof/>
          <w:sz w:val="24"/>
          <w:szCs w:val="24"/>
        </w:rPr>
        <w:t xml:space="preserve"> i inn</w:t>
      </w:r>
      <w:r w:rsidRPr="00E82C90">
        <w:rPr>
          <w:rFonts w:ascii="Times New Roman" w:hAnsi="Times New Roman"/>
          <w:noProof/>
          <w:sz w:val="24"/>
          <w:szCs w:val="24"/>
        </w:rPr>
        <w:t>owacji</w:t>
      </w:r>
      <w:r w:rsidRPr="00E82C90">
        <w:rPr>
          <w:rStyle w:val="FootnoteReference"/>
          <w:rFonts w:ascii="Times New Roman" w:hAnsi="Times New Roman" w:cs="Times New Roman"/>
          <w:noProof/>
          <w:sz w:val="24"/>
          <w:szCs w:val="24"/>
        </w:rPr>
        <w:footnoteReference w:id="19"/>
      </w:r>
      <w:r w:rsidRPr="00E82C90">
        <w:rPr>
          <w:rFonts w:ascii="Times New Roman" w:hAnsi="Times New Roman"/>
          <w:noProof/>
          <w:sz w:val="24"/>
          <w:szCs w:val="24"/>
        </w:rPr>
        <w:t>. Komisja zapewni środki na potrzeby współpracy międzynarodowej</w:t>
      </w:r>
      <w:r w:rsidR="00E82C90" w:rsidRPr="00E82C90">
        <w:rPr>
          <w:rFonts w:ascii="Times New Roman" w:hAnsi="Times New Roman"/>
          <w:noProof/>
          <w:sz w:val="24"/>
          <w:szCs w:val="24"/>
        </w:rPr>
        <w:t xml:space="preserve"> z pro</w:t>
      </w:r>
      <w:r w:rsidRPr="00E82C90">
        <w:rPr>
          <w:rFonts w:ascii="Times New Roman" w:hAnsi="Times New Roman"/>
          <w:noProof/>
          <w:sz w:val="24"/>
          <w:szCs w:val="24"/>
        </w:rPr>
        <w:t>gramu „Horyzont Europa” – unijnego publicznego programu finansowania badań naukowych</w:t>
      </w:r>
      <w:r w:rsidR="00E82C90" w:rsidRPr="00E82C90">
        <w:rPr>
          <w:rFonts w:ascii="Times New Roman" w:hAnsi="Times New Roman"/>
          <w:noProof/>
          <w:sz w:val="24"/>
          <w:szCs w:val="24"/>
        </w:rPr>
        <w:t xml:space="preserve"> i inn</w:t>
      </w:r>
      <w:r w:rsidRPr="00E82C90">
        <w:rPr>
          <w:rFonts w:ascii="Times New Roman" w:hAnsi="Times New Roman"/>
          <w:noProof/>
          <w:sz w:val="24"/>
          <w:szCs w:val="24"/>
        </w:rPr>
        <w:t>owacji. UE zwiększy również swoje zaangażowanie</w:t>
      </w:r>
      <w:r w:rsidR="00E82C90" w:rsidRPr="00E82C90">
        <w:rPr>
          <w:rFonts w:ascii="Times New Roman" w:hAnsi="Times New Roman"/>
          <w:noProof/>
          <w:sz w:val="24"/>
          <w:szCs w:val="24"/>
        </w:rPr>
        <w:t xml:space="preserve"> w naj</w:t>
      </w:r>
      <w:r w:rsidRPr="00E82C90">
        <w:rPr>
          <w:rFonts w:ascii="Times New Roman" w:hAnsi="Times New Roman"/>
          <w:noProof/>
          <w:sz w:val="24"/>
          <w:szCs w:val="24"/>
        </w:rPr>
        <w:t>ważniejsze inicjatywy międzynarodowe, takie jak „Mission Innovation”</w:t>
      </w:r>
      <w:r w:rsidR="00E82C90" w:rsidRPr="00E82C90">
        <w:rPr>
          <w:rFonts w:ascii="Times New Roman" w:hAnsi="Times New Roman"/>
          <w:noProof/>
          <w:sz w:val="24"/>
          <w:szCs w:val="24"/>
        </w:rPr>
        <w:t xml:space="preserve"> i for</w:t>
      </w:r>
      <w:r w:rsidRPr="00E82C90">
        <w:rPr>
          <w:rFonts w:ascii="Times New Roman" w:hAnsi="Times New Roman"/>
          <w:noProof/>
          <w:sz w:val="24"/>
          <w:szCs w:val="24"/>
        </w:rPr>
        <w:t xml:space="preserve">um ministerialne dotyczące czystej energii, aby wspólnie opracować ekologiczne rozwiązania energetyczne przyszłości. </w:t>
      </w:r>
    </w:p>
    <w:p w14:paraId="2125C0A4" w14:textId="29400BF0" w:rsidR="00CC199B" w:rsidRPr="00E82C90" w:rsidRDefault="00B343AD" w:rsidP="003C49E5">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0001CC91" w14:textId="37E8314F" w:rsidR="00AE4B4D" w:rsidRPr="00E82C90" w:rsidRDefault="00C0670B" w:rsidP="003C49E5">
      <w:pPr>
        <w:pStyle w:val="ListParagraph"/>
        <w:numPr>
          <w:ilvl w:val="0"/>
          <w:numId w:val="8"/>
        </w:numPr>
        <w:jc w:val="both"/>
        <w:rPr>
          <w:rFonts w:ascii="Times New Roman" w:hAnsi="Times New Roman" w:cs="Times New Roman"/>
          <w:b/>
          <w:bCs/>
          <w:noProof/>
          <w:sz w:val="24"/>
          <w:szCs w:val="24"/>
        </w:rPr>
      </w:pPr>
      <w:r w:rsidRPr="00E82C90">
        <w:rPr>
          <w:rFonts w:ascii="Times New Roman" w:hAnsi="Times New Roman"/>
          <w:b/>
          <w:bCs/>
          <w:noProof/>
          <w:sz w:val="24"/>
          <w:szCs w:val="24"/>
        </w:rPr>
        <w:t>rozwijanie technik sekwestracji</w:t>
      </w:r>
      <w:r w:rsidR="00E82C90" w:rsidRPr="00E82C90">
        <w:rPr>
          <w:rFonts w:ascii="Times New Roman" w:hAnsi="Times New Roman"/>
          <w:b/>
          <w:bCs/>
          <w:noProof/>
          <w:sz w:val="24"/>
          <w:szCs w:val="24"/>
        </w:rPr>
        <w:t xml:space="preserve"> i skł</w:t>
      </w:r>
      <w:r w:rsidRPr="00E82C90">
        <w:rPr>
          <w:rFonts w:ascii="Times New Roman" w:hAnsi="Times New Roman"/>
          <w:b/>
          <w:bCs/>
          <w:noProof/>
          <w:sz w:val="24"/>
          <w:szCs w:val="24"/>
        </w:rPr>
        <w:t>adowania dwutlenku węgla do poziomu dojrzałości rynkowej,</w:t>
      </w:r>
      <w:r w:rsidR="00E82C90" w:rsidRPr="00E82C90">
        <w:rPr>
          <w:rFonts w:ascii="Times New Roman" w:hAnsi="Times New Roman"/>
          <w:b/>
          <w:bCs/>
          <w:noProof/>
          <w:sz w:val="24"/>
          <w:szCs w:val="24"/>
        </w:rPr>
        <w:t xml:space="preserve"> w tym</w:t>
      </w:r>
      <w:r w:rsidR="00FE4786" w:rsidRPr="00E82C90">
        <w:rPr>
          <w:rFonts w:ascii="Times New Roman" w:hAnsi="Times New Roman"/>
          <w:b/>
          <w:bCs/>
          <w:noProof/>
          <w:sz w:val="24"/>
          <w:szCs w:val="24"/>
        </w:rPr>
        <w:t xml:space="preserve"> we współpracy</w:t>
      </w:r>
      <w:r w:rsidR="00E82C90" w:rsidRPr="00E82C90">
        <w:rPr>
          <w:rFonts w:ascii="Times New Roman" w:hAnsi="Times New Roman"/>
          <w:b/>
          <w:bCs/>
          <w:noProof/>
          <w:sz w:val="24"/>
          <w:szCs w:val="24"/>
        </w:rPr>
        <w:t xml:space="preserve"> z Nor</w:t>
      </w:r>
      <w:r w:rsidR="00FE4786" w:rsidRPr="00E82C90">
        <w:rPr>
          <w:rFonts w:ascii="Times New Roman" w:hAnsi="Times New Roman"/>
          <w:b/>
          <w:bCs/>
          <w:noProof/>
          <w:sz w:val="24"/>
          <w:szCs w:val="24"/>
        </w:rPr>
        <w:t>wegią</w:t>
      </w:r>
    </w:p>
    <w:p w14:paraId="0EF619BF" w14:textId="215A5A8E" w:rsidR="008571D4" w:rsidRPr="00E82C90" w:rsidRDefault="00C0670B" w:rsidP="007C0283">
      <w:pPr>
        <w:pStyle w:val="ListParagraph"/>
        <w:numPr>
          <w:ilvl w:val="0"/>
          <w:numId w:val="8"/>
        </w:numPr>
        <w:jc w:val="both"/>
        <w:rPr>
          <w:rFonts w:ascii="Times New Roman" w:hAnsi="Times New Roman" w:cs="Times New Roman"/>
          <w:b/>
          <w:bCs/>
          <w:noProof/>
          <w:sz w:val="24"/>
          <w:szCs w:val="24"/>
        </w:rPr>
      </w:pPr>
      <w:r w:rsidRPr="00E82C90">
        <w:rPr>
          <w:rFonts w:ascii="Times New Roman" w:hAnsi="Times New Roman"/>
          <w:b/>
          <w:bCs/>
          <w:noProof/>
          <w:sz w:val="24"/>
          <w:szCs w:val="24"/>
        </w:rPr>
        <w:t>kontynuowanie długoterminowego wspólnego partnerstwa UE–Unia Afrykańska na rzecz badań</w:t>
      </w:r>
      <w:r w:rsidR="00E82C90" w:rsidRPr="00E82C90">
        <w:rPr>
          <w:rFonts w:ascii="Times New Roman" w:hAnsi="Times New Roman"/>
          <w:b/>
          <w:bCs/>
          <w:noProof/>
          <w:sz w:val="24"/>
          <w:szCs w:val="24"/>
        </w:rPr>
        <w:t xml:space="preserve"> i inn</w:t>
      </w:r>
      <w:r w:rsidRPr="00E82C90">
        <w:rPr>
          <w:rFonts w:ascii="Times New Roman" w:hAnsi="Times New Roman"/>
          <w:b/>
          <w:bCs/>
          <w:noProof/>
          <w:sz w:val="24"/>
          <w:szCs w:val="24"/>
        </w:rPr>
        <w:t>owacji</w:t>
      </w:r>
      <w:r w:rsidR="00E82C90" w:rsidRPr="00E82C90">
        <w:rPr>
          <w:rFonts w:ascii="Times New Roman" w:hAnsi="Times New Roman"/>
          <w:b/>
          <w:bCs/>
          <w:noProof/>
          <w:sz w:val="24"/>
          <w:szCs w:val="24"/>
        </w:rPr>
        <w:t xml:space="preserve"> w dzi</w:t>
      </w:r>
      <w:r w:rsidRPr="00E82C90">
        <w:rPr>
          <w:rFonts w:ascii="Times New Roman" w:hAnsi="Times New Roman"/>
          <w:b/>
          <w:bCs/>
          <w:noProof/>
          <w:sz w:val="24"/>
          <w:szCs w:val="24"/>
        </w:rPr>
        <w:t>edzinie energii odnawialnej</w:t>
      </w:r>
      <w:r w:rsidR="00E82C90" w:rsidRPr="00E82C90">
        <w:rPr>
          <w:rFonts w:ascii="Times New Roman" w:hAnsi="Times New Roman"/>
          <w:b/>
          <w:bCs/>
          <w:noProof/>
          <w:sz w:val="24"/>
          <w:szCs w:val="24"/>
        </w:rPr>
        <w:t xml:space="preserve"> i roz</w:t>
      </w:r>
      <w:r w:rsidRPr="00E82C90">
        <w:rPr>
          <w:rFonts w:ascii="Times New Roman" w:hAnsi="Times New Roman"/>
          <w:b/>
          <w:bCs/>
          <w:noProof/>
          <w:sz w:val="24"/>
          <w:szCs w:val="24"/>
        </w:rPr>
        <w:t>szerzenie j</w:t>
      </w:r>
      <w:r w:rsidR="00FE4786" w:rsidRPr="00E82C90">
        <w:rPr>
          <w:rFonts w:ascii="Times New Roman" w:hAnsi="Times New Roman"/>
          <w:b/>
          <w:bCs/>
          <w:noProof/>
          <w:sz w:val="24"/>
          <w:szCs w:val="24"/>
        </w:rPr>
        <w:t>ego zakresu na wodór odnawialny</w:t>
      </w:r>
    </w:p>
    <w:p w14:paraId="12465E33" w14:textId="77777777" w:rsidR="00EE359C" w:rsidRPr="00E82C90" w:rsidRDefault="003778D1" w:rsidP="003C49E5">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Zapewnienie dostępu do surowców krytycznych</w:t>
      </w:r>
    </w:p>
    <w:p w14:paraId="30988BA4" w14:textId="2B807135" w:rsidR="007E0EE2" w:rsidRPr="00E82C90" w:rsidRDefault="007F57C4" w:rsidP="007E0EE2">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Podczas gdy UE jest zdeterminowana, by zakończyć swoją zależność od rosyjskiej energii, jest równie zdecydowana </w:t>
      </w:r>
      <w:r w:rsidRPr="00E82C90">
        <w:rPr>
          <w:rFonts w:ascii="Times New Roman" w:hAnsi="Times New Roman"/>
          <w:b/>
          <w:bCs/>
          <w:noProof/>
          <w:sz w:val="24"/>
          <w:szCs w:val="24"/>
        </w:rPr>
        <w:t>unikać nowych zależności</w:t>
      </w:r>
      <w:r w:rsidR="00E82C90" w:rsidRPr="00E82C90">
        <w:rPr>
          <w:rFonts w:ascii="Times New Roman" w:hAnsi="Times New Roman"/>
          <w:b/>
          <w:bCs/>
          <w:noProof/>
          <w:sz w:val="24"/>
          <w:szCs w:val="24"/>
        </w:rPr>
        <w:t xml:space="preserve"> w prz</w:t>
      </w:r>
      <w:r w:rsidRPr="00E82C90">
        <w:rPr>
          <w:rFonts w:ascii="Times New Roman" w:hAnsi="Times New Roman"/>
          <w:b/>
          <w:bCs/>
          <w:noProof/>
          <w:sz w:val="24"/>
          <w:szCs w:val="24"/>
        </w:rPr>
        <w:t>yszłości</w:t>
      </w:r>
      <w:r w:rsidRPr="00E82C90">
        <w:rPr>
          <w:rFonts w:ascii="Times New Roman" w:hAnsi="Times New Roman"/>
          <w:noProof/>
          <w:sz w:val="24"/>
          <w:szCs w:val="24"/>
        </w:rPr>
        <w:t>. Wraz ze spadkiem popytu na paliwa kopalne, zwiększone zapotrzebowanie na surowce,</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metale ziem rzadkich</w:t>
      </w:r>
      <w:r w:rsidR="00E82C90" w:rsidRPr="00E82C90">
        <w:rPr>
          <w:rFonts w:ascii="Times New Roman" w:hAnsi="Times New Roman"/>
          <w:noProof/>
          <w:sz w:val="24"/>
          <w:szCs w:val="24"/>
        </w:rPr>
        <w:t xml:space="preserve"> i met</w:t>
      </w:r>
      <w:r w:rsidRPr="00E82C90">
        <w:rPr>
          <w:rFonts w:ascii="Times New Roman" w:hAnsi="Times New Roman"/>
          <w:noProof/>
          <w:sz w:val="24"/>
          <w:szCs w:val="24"/>
        </w:rPr>
        <w:t>ale, może doprowadzić do nowych wyzwań</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dostaw</w:t>
      </w:r>
      <w:r w:rsidR="00E82C90" w:rsidRPr="00E82C90">
        <w:rPr>
          <w:rFonts w:ascii="Times New Roman" w:hAnsi="Times New Roman"/>
          <w:noProof/>
          <w:sz w:val="24"/>
          <w:szCs w:val="24"/>
        </w:rPr>
        <w:t xml:space="preserve"> w tra</w:t>
      </w:r>
      <w:r w:rsidRPr="00E82C90">
        <w:rPr>
          <w:rFonts w:ascii="Times New Roman" w:hAnsi="Times New Roman"/>
          <w:noProof/>
          <w:sz w:val="24"/>
          <w:szCs w:val="24"/>
        </w:rPr>
        <w:t>kcie transformacji energetycznej. Według badania prognostycznego Critical Raw Materials in Technologies and Sectors (Surowce krytyczne</w:t>
      </w:r>
      <w:r w:rsidR="00E82C90" w:rsidRPr="00E82C90">
        <w:rPr>
          <w:rFonts w:ascii="Times New Roman" w:hAnsi="Times New Roman"/>
          <w:noProof/>
          <w:sz w:val="24"/>
          <w:szCs w:val="24"/>
        </w:rPr>
        <w:t xml:space="preserve"> w tec</w:t>
      </w:r>
      <w:r w:rsidRPr="00E82C90">
        <w:rPr>
          <w:rFonts w:ascii="Times New Roman" w:hAnsi="Times New Roman"/>
          <w:noProof/>
          <w:sz w:val="24"/>
          <w:szCs w:val="24"/>
        </w:rPr>
        <w:t>hnologiach</w:t>
      </w:r>
      <w:r w:rsidR="00E82C90" w:rsidRPr="00E82C90">
        <w:rPr>
          <w:rFonts w:ascii="Times New Roman" w:hAnsi="Times New Roman"/>
          <w:noProof/>
          <w:sz w:val="24"/>
          <w:szCs w:val="24"/>
        </w:rPr>
        <w:t xml:space="preserve"> i sek</w:t>
      </w:r>
      <w:r w:rsidRPr="00E82C90">
        <w:rPr>
          <w:rFonts w:ascii="Times New Roman" w:hAnsi="Times New Roman"/>
          <w:noProof/>
          <w:sz w:val="24"/>
          <w:szCs w:val="24"/>
        </w:rPr>
        <w:t>torach) do</w:t>
      </w:r>
      <w:r w:rsidR="00E82C90" w:rsidRPr="00E82C90">
        <w:rPr>
          <w:rFonts w:ascii="Times New Roman" w:hAnsi="Times New Roman"/>
          <w:noProof/>
          <w:sz w:val="24"/>
          <w:szCs w:val="24"/>
        </w:rPr>
        <w:t> </w:t>
      </w:r>
      <w:r w:rsidRPr="00E82C90">
        <w:rPr>
          <w:rFonts w:ascii="Times New Roman" w:hAnsi="Times New Roman"/>
          <w:noProof/>
          <w:sz w:val="24"/>
          <w:szCs w:val="24"/>
        </w:rPr>
        <w:t>2050</w:t>
      </w:r>
      <w:r w:rsidR="00E82C90" w:rsidRPr="00E82C90">
        <w:rPr>
          <w:rFonts w:ascii="Times New Roman" w:hAnsi="Times New Roman"/>
          <w:noProof/>
          <w:sz w:val="24"/>
          <w:szCs w:val="24"/>
        </w:rPr>
        <w:t> </w:t>
      </w:r>
      <w:r w:rsidRPr="00E82C90">
        <w:rPr>
          <w:rFonts w:ascii="Times New Roman" w:hAnsi="Times New Roman"/>
          <w:noProof/>
          <w:sz w:val="24"/>
          <w:szCs w:val="24"/>
        </w:rPr>
        <w:t>r. znacznie wzrośnie zapotrzebowanie na surowce krytyczne potrzebne</w:t>
      </w:r>
      <w:r w:rsidR="00E82C90" w:rsidRPr="00E82C90">
        <w:rPr>
          <w:rFonts w:ascii="Times New Roman" w:hAnsi="Times New Roman"/>
          <w:noProof/>
          <w:sz w:val="24"/>
          <w:szCs w:val="24"/>
        </w:rPr>
        <w:t xml:space="preserve"> w sek</w:t>
      </w:r>
      <w:r w:rsidRPr="00E82C90">
        <w:rPr>
          <w:rFonts w:ascii="Times New Roman" w:hAnsi="Times New Roman"/>
          <w:noProof/>
          <w:sz w:val="24"/>
          <w:szCs w:val="24"/>
        </w:rPr>
        <w:t>torze energii niskoemisyjnej oraz koszt tych surowców</w:t>
      </w:r>
      <w:r w:rsidR="00E82C90" w:rsidRPr="00E82C90">
        <w:rPr>
          <w:rFonts w:ascii="Times New Roman" w:hAnsi="Times New Roman"/>
          <w:noProof/>
          <w:sz w:val="24"/>
          <w:szCs w:val="24"/>
        </w:rPr>
        <w:t>. W tym</w:t>
      </w:r>
      <w:r w:rsidRPr="00E82C90">
        <w:rPr>
          <w:rFonts w:ascii="Times New Roman" w:hAnsi="Times New Roman"/>
          <w:noProof/>
          <w:sz w:val="24"/>
          <w:szCs w:val="24"/>
        </w:rPr>
        <w:t xml:space="preserve"> sektorze UE jest uzależniona przede wszystkim od metali ziem rzadkich, litu, magnezu, niobu, germanu, boranów</w:t>
      </w:r>
      <w:r w:rsidR="00E82C90" w:rsidRPr="00E82C90">
        <w:rPr>
          <w:rFonts w:ascii="Times New Roman" w:hAnsi="Times New Roman"/>
          <w:noProof/>
          <w:sz w:val="24"/>
          <w:szCs w:val="24"/>
        </w:rPr>
        <w:t xml:space="preserve"> i ska</w:t>
      </w:r>
      <w:r w:rsidRPr="00E82C90">
        <w:rPr>
          <w:rFonts w:ascii="Times New Roman" w:hAnsi="Times New Roman"/>
          <w:noProof/>
          <w:sz w:val="24"/>
          <w:szCs w:val="24"/>
        </w:rPr>
        <w:t>ndu,</w:t>
      </w:r>
      <w:r w:rsidR="00E82C90" w:rsidRPr="00E82C90">
        <w:rPr>
          <w:rFonts w:ascii="Times New Roman" w:hAnsi="Times New Roman"/>
          <w:noProof/>
          <w:sz w:val="24"/>
          <w:szCs w:val="24"/>
        </w:rPr>
        <w:t xml:space="preserve"> z któ</w:t>
      </w:r>
      <w:r w:rsidRPr="00E82C90">
        <w:rPr>
          <w:rFonts w:ascii="Times New Roman" w:hAnsi="Times New Roman"/>
          <w:noProof/>
          <w:sz w:val="24"/>
          <w:szCs w:val="24"/>
        </w:rPr>
        <w:t>rych część nie może być pozyskiwana na rynku krajowym</w:t>
      </w:r>
      <w:r w:rsidR="007E0EE2" w:rsidRPr="00E82C90">
        <w:rPr>
          <w:rStyle w:val="FootnoteReference"/>
          <w:rFonts w:ascii="Times New Roman" w:hAnsi="Times New Roman" w:cs="Times New Roman"/>
          <w:noProof/>
          <w:sz w:val="24"/>
          <w:szCs w:val="24"/>
        </w:rPr>
        <w:footnoteReference w:id="20"/>
      </w:r>
      <w:r w:rsidRPr="00E82C90">
        <w:rPr>
          <w:rFonts w:ascii="Times New Roman" w:hAnsi="Times New Roman"/>
          <w:noProof/>
          <w:sz w:val="24"/>
          <w:szCs w:val="24"/>
        </w:rPr>
        <w:t xml:space="preserve">. </w:t>
      </w:r>
    </w:p>
    <w:p w14:paraId="6731E67F" w14:textId="74FCC616" w:rsidR="007E0EE2" w:rsidRPr="00E82C90" w:rsidRDefault="007E0EE2" w:rsidP="007E0EE2">
      <w:pPr>
        <w:spacing w:after="240"/>
        <w:jc w:val="both"/>
        <w:rPr>
          <w:rFonts w:ascii="Times New Roman" w:hAnsi="Times New Roman" w:cs="Times New Roman"/>
          <w:noProof/>
          <w:sz w:val="24"/>
          <w:szCs w:val="24"/>
        </w:rPr>
      </w:pPr>
      <w:r w:rsidRPr="00E82C90">
        <w:rPr>
          <w:rFonts w:ascii="Times New Roman" w:hAnsi="Times New Roman"/>
          <w:noProof/>
          <w:sz w:val="24"/>
          <w:szCs w:val="24"/>
        </w:rPr>
        <w:t>Aby kontynuować proces transformacji energetycznej, przedsiębiorstwa w UE będą musiały zaopatrywać się w te materiały na ograniczonych rynkach towarowych lub zastępować je</w:t>
      </w:r>
      <w:r w:rsidR="00E82C90" w:rsidRPr="00E82C90">
        <w:rPr>
          <w:rFonts w:ascii="Times New Roman" w:hAnsi="Times New Roman"/>
          <w:noProof/>
          <w:sz w:val="24"/>
          <w:szCs w:val="24"/>
        </w:rPr>
        <w:t xml:space="preserve"> w dłu</w:t>
      </w:r>
      <w:r w:rsidRPr="00E82C90">
        <w:rPr>
          <w:rFonts w:ascii="Times New Roman" w:hAnsi="Times New Roman"/>
          <w:noProof/>
          <w:sz w:val="24"/>
          <w:szCs w:val="24"/>
        </w:rPr>
        <w:t>ższej perspektywie nowymi procesami przemysłowymi. Możliwe środki zaradcze mające na celu zminimalizowanie przyszłej zależności UE</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strategicznym obszarze obejmują dalszą dywersyfikację globalnych łańcuchów dostaw, nadanie priorytetu środkom efektywności energetycznej, zachęcanie do długoterminowych inwestycji</w:t>
      </w:r>
      <w:r w:rsidR="00E82C90" w:rsidRPr="00E82C90">
        <w:rPr>
          <w:rFonts w:ascii="Times New Roman" w:hAnsi="Times New Roman"/>
          <w:noProof/>
          <w:sz w:val="24"/>
          <w:szCs w:val="24"/>
        </w:rPr>
        <w:t xml:space="preserve"> w now</w:t>
      </w:r>
      <w:r w:rsidRPr="00E82C90">
        <w:rPr>
          <w:rFonts w:ascii="Times New Roman" w:hAnsi="Times New Roman"/>
          <w:noProof/>
          <w:sz w:val="24"/>
          <w:szCs w:val="24"/>
        </w:rPr>
        <w:t>e działania</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górnictwa</w:t>
      </w:r>
      <w:r w:rsidR="00E82C90" w:rsidRPr="00E82C90">
        <w:rPr>
          <w:rFonts w:ascii="Times New Roman" w:hAnsi="Times New Roman"/>
          <w:noProof/>
          <w:sz w:val="24"/>
          <w:szCs w:val="24"/>
        </w:rPr>
        <w:t xml:space="preserve"> i raf</w:t>
      </w:r>
      <w:r w:rsidRPr="00E82C90">
        <w:rPr>
          <w:rFonts w:ascii="Times New Roman" w:hAnsi="Times New Roman"/>
          <w:noProof/>
          <w:sz w:val="24"/>
          <w:szCs w:val="24"/>
        </w:rPr>
        <w:t>inacji na terenie UE,</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zintensyfikowanie działań</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obiegu zamkniętego</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zapewnienia jak najdłuższego pozostawania materiałów</w:t>
      </w:r>
      <w:r w:rsidR="00E82C90" w:rsidRPr="00E82C90">
        <w:rPr>
          <w:rFonts w:ascii="Times New Roman" w:hAnsi="Times New Roman"/>
          <w:noProof/>
          <w:sz w:val="24"/>
          <w:szCs w:val="24"/>
        </w:rPr>
        <w:t xml:space="preserve"> w gos</w:t>
      </w:r>
      <w:r w:rsidRPr="00E82C90">
        <w:rPr>
          <w:rFonts w:ascii="Times New Roman" w:hAnsi="Times New Roman"/>
          <w:noProof/>
          <w:sz w:val="24"/>
          <w:szCs w:val="24"/>
        </w:rPr>
        <w:t xml:space="preserve">podarce oraz recyklingu odpadów. </w:t>
      </w:r>
    </w:p>
    <w:p w14:paraId="25F9205C" w14:textId="6E354FF0" w:rsidR="00005711" w:rsidRPr="00E82C90" w:rsidRDefault="00F17346" w:rsidP="007E0EE2">
      <w:pPr>
        <w:spacing w:after="240"/>
        <w:jc w:val="both"/>
        <w:rPr>
          <w:rFonts w:ascii="Times New Roman" w:hAnsi="Times New Roman" w:cs="Times New Roman"/>
          <w:noProof/>
          <w:sz w:val="24"/>
          <w:szCs w:val="24"/>
        </w:rPr>
      </w:pPr>
      <w:r w:rsidRPr="00E82C90">
        <w:rPr>
          <w:rFonts w:ascii="Times New Roman" w:hAnsi="Times New Roman"/>
          <w:noProof/>
          <w:sz w:val="24"/>
          <w:szCs w:val="24"/>
        </w:rPr>
        <w:t>Komisja zintensyfikuje prace nad zaopatrzeniem</w:t>
      </w:r>
      <w:r w:rsidR="00E82C90" w:rsidRPr="00E82C90">
        <w:rPr>
          <w:rFonts w:ascii="Times New Roman" w:hAnsi="Times New Roman"/>
          <w:noProof/>
          <w:sz w:val="24"/>
          <w:szCs w:val="24"/>
        </w:rPr>
        <w:t xml:space="preserve"> w sur</w:t>
      </w:r>
      <w:r w:rsidRPr="00E82C90">
        <w:rPr>
          <w:rFonts w:ascii="Times New Roman" w:hAnsi="Times New Roman"/>
          <w:noProof/>
          <w:sz w:val="24"/>
          <w:szCs w:val="24"/>
        </w:rPr>
        <w:t>owce krytyczne</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ygotuje wniosek ustawodawczy. Inicjatywa ta będzie służyć wzmocnieniu europejskiego łańcucha wartości poprzez identyfikację zasobów mineralnych</w:t>
      </w:r>
      <w:r w:rsidR="00E82C90" w:rsidRPr="00E82C90">
        <w:rPr>
          <w:rFonts w:ascii="Times New Roman" w:hAnsi="Times New Roman"/>
          <w:noProof/>
          <w:sz w:val="24"/>
          <w:szCs w:val="24"/>
        </w:rPr>
        <w:t xml:space="preserve"> i pro</w:t>
      </w:r>
      <w:r w:rsidRPr="00E82C90">
        <w:rPr>
          <w:rFonts w:ascii="Times New Roman" w:hAnsi="Times New Roman"/>
          <w:noProof/>
          <w:sz w:val="24"/>
          <w:szCs w:val="24"/>
        </w:rPr>
        <w:t>jektów surowcowych leżących</w:t>
      </w:r>
      <w:r w:rsidR="00E82C90" w:rsidRPr="00E82C90">
        <w:rPr>
          <w:rFonts w:ascii="Times New Roman" w:hAnsi="Times New Roman"/>
          <w:noProof/>
          <w:sz w:val="24"/>
          <w:szCs w:val="24"/>
        </w:rPr>
        <w:t xml:space="preserve"> w str</w:t>
      </w:r>
      <w:r w:rsidRPr="00E82C90">
        <w:rPr>
          <w:rFonts w:ascii="Times New Roman" w:hAnsi="Times New Roman"/>
          <w:noProof/>
          <w:sz w:val="24"/>
          <w:szCs w:val="24"/>
        </w:rPr>
        <w:t>ategicznym interesie Europy, przy jednoczesnym zapewnieniu wysokiego poziomu ochrony środowiska.</w:t>
      </w:r>
      <w:bookmarkStart w:id="12" w:name="_Hlk103328299"/>
      <w:r w:rsidR="00B86A78" w:rsidRPr="00E82C90">
        <w:rPr>
          <w:rStyle w:val="FootnoteReference"/>
          <w:rFonts w:ascii="Times New Roman" w:hAnsi="Times New Roman" w:cs="Times New Roman"/>
          <w:noProof/>
          <w:sz w:val="24"/>
          <w:szCs w:val="24"/>
        </w:rPr>
        <w:footnoteReference w:id="21"/>
      </w:r>
    </w:p>
    <w:p w14:paraId="006480C4" w14:textId="738250DA" w:rsidR="00EE359C" w:rsidRPr="00E82C90" w:rsidRDefault="00EE359C" w:rsidP="007E0EE2">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UE ustanowiła już </w:t>
      </w:r>
      <w:r w:rsidRPr="00E82C90">
        <w:rPr>
          <w:rFonts w:ascii="Times New Roman" w:hAnsi="Times New Roman"/>
          <w:b/>
          <w:noProof/>
          <w:sz w:val="24"/>
          <w:szCs w:val="24"/>
        </w:rPr>
        <w:t>partnerstwa</w:t>
      </w:r>
      <w:r w:rsidR="00E82C90" w:rsidRPr="00E82C90">
        <w:rPr>
          <w:rFonts w:ascii="Times New Roman" w:hAnsi="Times New Roman"/>
          <w:b/>
          <w:noProof/>
          <w:sz w:val="24"/>
          <w:szCs w:val="24"/>
        </w:rPr>
        <w:t xml:space="preserve"> w ram</w:t>
      </w:r>
      <w:r w:rsidRPr="00E82C90">
        <w:rPr>
          <w:rFonts w:ascii="Times New Roman" w:hAnsi="Times New Roman"/>
          <w:b/>
          <w:noProof/>
          <w:sz w:val="24"/>
          <w:szCs w:val="24"/>
        </w:rPr>
        <w:t>ach zrównoważonego łańcucha wartości surowców</w:t>
      </w:r>
      <w:r w:rsidR="00E82C90" w:rsidRPr="00E82C90">
        <w:rPr>
          <w:rFonts w:ascii="Times New Roman" w:hAnsi="Times New Roman"/>
          <w:noProof/>
          <w:sz w:val="24"/>
          <w:szCs w:val="24"/>
        </w:rPr>
        <w:t xml:space="preserve"> z Kan</w:t>
      </w:r>
      <w:r w:rsidRPr="00E82C90">
        <w:rPr>
          <w:rFonts w:ascii="Times New Roman" w:hAnsi="Times New Roman"/>
          <w:noProof/>
          <w:sz w:val="24"/>
          <w:szCs w:val="24"/>
        </w:rPr>
        <w:t>adą</w:t>
      </w:r>
      <w:r w:rsidR="00E82C90" w:rsidRPr="00E82C90">
        <w:rPr>
          <w:rFonts w:ascii="Times New Roman" w:hAnsi="Times New Roman"/>
          <w:noProof/>
          <w:sz w:val="24"/>
          <w:szCs w:val="24"/>
        </w:rPr>
        <w:t xml:space="preserve"> i Ukr</w:t>
      </w:r>
      <w:r w:rsidRPr="00E82C90">
        <w:rPr>
          <w:rFonts w:ascii="Times New Roman" w:hAnsi="Times New Roman"/>
          <w:noProof/>
          <w:sz w:val="24"/>
          <w:szCs w:val="24"/>
        </w:rPr>
        <w:t xml:space="preserve">ainą. Aby jeszcze bardziej zdywersyfikować swoje łańcuchy dostaw, Komisja pracuje nad ustanowieniem dodatkowych, </w:t>
      </w:r>
      <w:r w:rsidRPr="00E82C90">
        <w:rPr>
          <w:rFonts w:ascii="Times New Roman" w:hAnsi="Times New Roman"/>
          <w:b/>
          <w:noProof/>
          <w:sz w:val="24"/>
          <w:szCs w:val="24"/>
        </w:rPr>
        <w:t>korzystnych dla obu stron partnerstw</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łańcuchów wartości</w:t>
      </w:r>
      <w:r w:rsidRPr="00E82C90">
        <w:rPr>
          <w:rFonts w:ascii="Times New Roman" w:hAnsi="Times New Roman"/>
          <w:b/>
          <w:noProof/>
          <w:sz w:val="24"/>
          <w:szCs w:val="24"/>
        </w:rPr>
        <w:t xml:space="preserve"> </w:t>
      </w:r>
      <w:r w:rsidRPr="00E82C90">
        <w:rPr>
          <w:rFonts w:ascii="Times New Roman" w:hAnsi="Times New Roman"/>
          <w:noProof/>
          <w:sz w:val="24"/>
          <w:szCs w:val="24"/>
        </w:rPr>
        <w:t>surowców</w:t>
      </w:r>
      <w:r w:rsidR="00E82C90" w:rsidRPr="00E82C90">
        <w:rPr>
          <w:rFonts w:ascii="Times New Roman" w:hAnsi="Times New Roman"/>
          <w:noProof/>
          <w:sz w:val="24"/>
          <w:szCs w:val="24"/>
        </w:rPr>
        <w:t xml:space="preserve"> w </w:t>
      </w:r>
      <w:r w:rsidR="00E82C90" w:rsidRPr="00E82C90">
        <w:rPr>
          <w:rFonts w:ascii="Times New Roman" w:hAnsi="Times New Roman"/>
          <w:b/>
          <w:noProof/>
          <w:sz w:val="24"/>
          <w:szCs w:val="24"/>
        </w:rPr>
        <w:t>Afr</w:t>
      </w:r>
      <w:r w:rsidRPr="00E82C90">
        <w:rPr>
          <w:rFonts w:ascii="Times New Roman" w:hAnsi="Times New Roman"/>
          <w:b/>
          <w:noProof/>
          <w:sz w:val="24"/>
          <w:szCs w:val="24"/>
        </w:rPr>
        <w:t xml:space="preserve">yce (np. Namibia), Ameryce Łacińskiej, Bałkanach Zachodnich </w:t>
      </w:r>
      <w:r w:rsidRPr="00E82C90">
        <w:rPr>
          <w:rFonts w:ascii="Times New Roman" w:hAnsi="Times New Roman"/>
          <w:noProof/>
          <w:sz w:val="24"/>
          <w:szCs w:val="24"/>
        </w:rPr>
        <w:t xml:space="preserve">oraz </w:t>
      </w:r>
      <w:r w:rsidRPr="00E82C90">
        <w:rPr>
          <w:rFonts w:ascii="Times New Roman" w:hAnsi="Times New Roman"/>
          <w:b/>
          <w:noProof/>
          <w:sz w:val="24"/>
          <w:szCs w:val="24"/>
        </w:rPr>
        <w:t>Australii</w:t>
      </w:r>
      <w:r w:rsidR="00FE4786" w:rsidRPr="00E82C90">
        <w:rPr>
          <w:rFonts w:ascii="Times New Roman" w:hAnsi="Times New Roman"/>
          <w:noProof/>
          <w:sz w:val="24"/>
          <w:szCs w:val="24"/>
        </w:rPr>
        <w:t>,</w:t>
      </w:r>
      <w:r w:rsidR="00E82C90" w:rsidRPr="00E82C90">
        <w:rPr>
          <w:rFonts w:ascii="Times New Roman" w:hAnsi="Times New Roman"/>
          <w:noProof/>
          <w:sz w:val="24"/>
          <w:szCs w:val="24"/>
        </w:rPr>
        <w:t xml:space="preserve"> w dro</w:t>
      </w:r>
      <w:r w:rsidR="00FE4786" w:rsidRPr="00E82C90">
        <w:rPr>
          <w:rFonts w:ascii="Times New Roman" w:hAnsi="Times New Roman"/>
          <w:noProof/>
          <w:sz w:val="24"/>
          <w:szCs w:val="24"/>
        </w:rPr>
        <w:t xml:space="preserve">dze umów handlowych </w:t>
      </w:r>
      <w:r w:rsidRPr="00E82C90">
        <w:rPr>
          <w:rFonts w:ascii="Times New Roman" w:hAnsi="Times New Roman"/>
          <w:noProof/>
          <w:sz w:val="24"/>
          <w:szCs w:val="24"/>
        </w:rPr>
        <w:t xml:space="preserve">lub protokołów ustaleń. </w:t>
      </w:r>
    </w:p>
    <w:bookmarkEnd w:id="12"/>
    <w:p w14:paraId="76CF3921" w14:textId="1F8C3A23" w:rsidR="00CC199B" w:rsidRPr="00E82C90" w:rsidRDefault="001D22B6" w:rsidP="007E0EE2">
      <w:pPr>
        <w:spacing w:after="240"/>
        <w:jc w:val="both"/>
        <w:rPr>
          <w:rFonts w:ascii="Times New Roman" w:hAnsi="Times New Roman" w:cs="Times New Roman"/>
          <w:noProof/>
          <w:sz w:val="24"/>
          <w:szCs w:val="24"/>
        </w:rPr>
      </w:pPr>
      <w:r w:rsidRPr="00E82C90">
        <w:rPr>
          <w:rFonts w:ascii="Times New Roman" w:hAnsi="Times New Roman"/>
          <w:noProof/>
          <w:sz w:val="24"/>
          <w:szCs w:val="24"/>
        </w:rPr>
        <w:t>Dostęp do dobrze zdywersyfikowanych dostaw</w:t>
      </w:r>
      <w:r w:rsidR="00E82C90" w:rsidRPr="00E82C90">
        <w:rPr>
          <w:rFonts w:ascii="Times New Roman" w:hAnsi="Times New Roman"/>
          <w:noProof/>
          <w:sz w:val="24"/>
          <w:szCs w:val="24"/>
        </w:rPr>
        <w:t xml:space="preserve"> z ryn</w:t>
      </w:r>
      <w:r w:rsidRPr="00E82C90">
        <w:rPr>
          <w:rFonts w:ascii="Times New Roman" w:hAnsi="Times New Roman"/>
          <w:noProof/>
          <w:sz w:val="24"/>
          <w:szCs w:val="24"/>
        </w:rPr>
        <w:t>ków międzynarodowych będzie miał kluczowe znaczenie dla zapewnienia odporności co najmniej</w:t>
      </w:r>
      <w:r w:rsidR="00E82C90" w:rsidRPr="00E82C90">
        <w:rPr>
          <w:rFonts w:ascii="Times New Roman" w:hAnsi="Times New Roman"/>
          <w:noProof/>
          <w:sz w:val="24"/>
          <w:szCs w:val="24"/>
        </w:rPr>
        <w:t xml:space="preserve"> w per</w:t>
      </w:r>
      <w:r w:rsidRPr="00E82C90">
        <w:rPr>
          <w:rFonts w:ascii="Times New Roman" w:hAnsi="Times New Roman"/>
          <w:noProof/>
          <w:sz w:val="24"/>
          <w:szCs w:val="24"/>
        </w:rPr>
        <w:t>spektywie średnioterminowej. Polityka handlowa UE odgrywa</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względzie kluczową rolę, ponieważ zapewnia otwarty dostęp do dostaw</w:t>
      </w:r>
      <w:r w:rsidR="00E82C90" w:rsidRPr="00E82C90">
        <w:rPr>
          <w:rFonts w:ascii="Times New Roman" w:hAnsi="Times New Roman"/>
          <w:noProof/>
          <w:sz w:val="24"/>
          <w:szCs w:val="24"/>
        </w:rPr>
        <w:t xml:space="preserve"> i zap</w:t>
      </w:r>
      <w:r w:rsidRPr="00E82C90">
        <w:rPr>
          <w:rFonts w:ascii="Times New Roman" w:hAnsi="Times New Roman"/>
          <w:noProof/>
          <w:sz w:val="24"/>
          <w:szCs w:val="24"/>
        </w:rPr>
        <w:t>obiega zakłóceniom na rynku poprzez opracowywanie</w:t>
      </w:r>
      <w:r w:rsidR="00E82C90" w:rsidRPr="00E82C90">
        <w:rPr>
          <w:rFonts w:ascii="Times New Roman" w:hAnsi="Times New Roman"/>
          <w:noProof/>
          <w:sz w:val="24"/>
          <w:szCs w:val="24"/>
        </w:rPr>
        <w:t xml:space="preserve"> i rea</w:t>
      </w:r>
      <w:r w:rsidRPr="00E82C90">
        <w:rPr>
          <w:rFonts w:ascii="Times New Roman" w:hAnsi="Times New Roman"/>
          <w:noProof/>
          <w:sz w:val="24"/>
          <w:szCs w:val="24"/>
        </w:rPr>
        <w:t>lizowanie umów handlowych. Zasadniczą rolę odgrywają tu rozdziały dotyczące energii</w:t>
      </w:r>
      <w:r w:rsidR="00E82C90" w:rsidRPr="00E82C90">
        <w:rPr>
          <w:rFonts w:ascii="Times New Roman" w:hAnsi="Times New Roman"/>
          <w:noProof/>
          <w:sz w:val="24"/>
          <w:szCs w:val="24"/>
        </w:rPr>
        <w:t xml:space="preserve"> i sur</w:t>
      </w:r>
      <w:r w:rsidRPr="00E82C90">
        <w:rPr>
          <w:rFonts w:ascii="Times New Roman" w:hAnsi="Times New Roman"/>
          <w:noProof/>
          <w:sz w:val="24"/>
          <w:szCs w:val="24"/>
        </w:rPr>
        <w:t>owców</w:t>
      </w:r>
      <w:r w:rsidR="00E82C90" w:rsidRPr="00E82C90">
        <w:rPr>
          <w:rFonts w:ascii="Times New Roman" w:hAnsi="Times New Roman"/>
          <w:noProof/>
          <w:sz w:val="24"/>
          <w:szCs w:val="24"/>
        </w:rPr>
        <w:t xml:space="preserve"> w uni</w:t>
      </w:r>
      <w:r w:rsidRPr="00E82C90">
        <w:rPr>
          <w:rFonts w:ascii="Times New Roman" w:hAnsi="Times New Roman"/>
          <w:noProof/>
          <w:sz w:val="24"/>
          <w:szCs w:val="24"/>
        </w:rPr>
        <w:t>jnych umowach</w:t>
      </w:r>
      <w:r w:rsidR="00E82C90" w:rsidRPr="00E82C90">
        <w:rPr>
          <w:rFonts w:ascii="Times New Roman" w:hAnsi="Times New Roman"/>
          <w:noProof/>
          <w:sz w:val="24"/>
          <w:szCs w:val="24"/>
        </w:rPr>
        <w:t xml:space="preserve"> o wol</w:t>
      </w:r>
      <w:r w:rsidRPr="00E82C90">
        <w:rPr>
          <w:rFonts w:ascii="Times New Roman" w:hAnsi="Times New Roman"/>
          <w:noProof/>
          <w:sz w:val="24"/>
          <w:szCs w:val="24"/>
        </w:rPr>
        <w:t>nym handlu.</w:t>
      </w:r>
    </w:p>
    <w:p w14:paraId="367EB1AC" w14:textId="7795AC23" w:rsidR="00B343AD" w:rsidRPr="00E82C90" w:rsidRDefault="00B343AD" w:rsidP="003C49E5">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3572F74A" w14:textId="7CF64519" w:rsidR="00342F17" w:rsidRPr="00E82C90" w:rsidRDefault="00E80417" w:rsidP="00291D43">
      <w:pPr>
        <w:numPr>
          <w:ilvl w:val="0"/>
          <w:numId w:val="9"/>
        </w:numPr>
        <w:contextualSpacing/>
        <w:jc w:val="both"/>
        <w:rPr>
          <w:rFonts w:ascii="Times New Roman" w:hAnsi="Times New Roman" w:cs="Times New Roman"/>
          <w:b/>
          <w:bCs/>
          <w:noProof/>
          <w:sz w:val="24"/>
          <w:szCs w:val="24"/>
        </w:rPr>
      </w:pPr>
      <w:r w:rsidRPr="00E82C90">
        <w:rPr>
          <w:rFonts w:ascii="Times New Roman" w:hAnsi="Times New Roman"/>
          <w:b/>
          <w:bCs/>
          <w:noProof/>
          <w:sz w:val="24"/>
          <w:szCs w:val="24"/>
        </w:rPr>
        <w:t>nawiązanie wzajemnie korzystnych partnerstw</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łańcuchów wartości surowcó</w:t>
      </w:r>
      <w:r w:rsidR="00FE4786" w:rsidRPr="00E82C90">
        <w:rPr>
          <w:rFonts w:ascii="Times New Roman" w:hAnsi="Times New Roman"/>
          <w:b/>
          <w:bCs/>
          <w:noProof/>
          <w:sz w:val="24"/>
          <w:szCs w:val="24"/>
        </w:rPr>
        <w:t>w, nie tylko</w:t>
      </w:r>
      <w:r w:rsidR="00E82C90" w:rsidRPr="00E82C90">
        <w:rPr>
          <w:rFonts w:ascii="Times New Roman" w:hAnsi="Times New Roman"/>
          <w:b/>
          <w:bCs/>
          <w:noProof/>
          <w:sz w:val="24"/>
          <w:szCs w:val="24"/>
        </w:rPr>
        <w:t xml:space="preserve"> z Ukr</w:t>
      </w:r>
      <w:r w:rsidR="00FE4786" w:rsidRPr="00E82C90">
        <w:rPr>
          <w:rFonts w:ascii="Times New Roman" w:hAnsi="Times New Roman"/>
          <w:b/>
          <w:bCs/>
          <w:noProof/>
          <w:sz w:val="24"/>
          <w:szCs w:val="24"/>
        </w:rPr>
        <w:t>ainą</w:t>
      </w:r>
      <w:r w:rsidR="00E82C90" w:rsidRPr="00E82C90">
        <w:rPr>
          <w:rFonts w:ascii="Times New Roman" w:hAnsi="Times New Roman"/>
          <w:b/>
          <w:bCs/>
          <w:noProof/>
          <w:sz w:val="24"/>
          <w:szCs w:val="24"/>
        </w:rPr>
        <w:t xml:space="preserve"> i Kan</w:t>
      </w:r>
      <w:r w:rsidR="00FE4786" w:rsidRPr="00E82C90">
        <w:rPr>
          <w:rFonts w:ascii="Times New Roman" w:hAnsi="Times New Roman"/>
          <w:b/>
          <w:bCs/>
          <w:noProof/>
          <w:sz w:val="24"/>
          <w:szCs w:val="24"/>
        </w:rPr>
        <w:t>adą</w:t>
      </w:r>
    </w:p>
    <w:p w14:paraId="1685A9A0" w14:textId="4FD512EA" w:rsidR="00342F17" w:rsidRPr="00E82C90" w:rsidRDefault="00E80417" w:rsidP="00342F17">
      <w:pPr>
        <w:numPr>
          <w:ilvl w:val="0"/>
          <w:numId w:val="9"/>
        </w:numPr>
        <w:contextualSpacing/>
        <w:jc w:val="both"/>
        <w:rPr>
          <w:rFonts w:ascii="Times New Roman" w:hAnsi="Times New Roman" w:cs="Times New Roman"/>
          <w:b/>
          <w:bCs/>
          <w:noProof/>
          <w:sz w:val="24"/>
          <w:szCs w:val="24"/>
        </w:rPr>
      </w:pPr>
      <w:r w:rsidRPr="00E82C90">
        <w:rPr>
          <w:rFonts w:ascii="Times New Roman" w:hAnsi="Times New Roman"/>
          <w:b/>
          <w:bCs/>
          <w:noProof/>
          <w:sz w:val="24"/>
          <w:szCs w:val="24"/>
        </w:rPr>
        <w:t>zacieśnienie współpracy</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łańcuchów wartości surowców</w:t>
      </w:r>
      <w:r w:rsidR="00E82C90" w:rsidRPr="00E82C90">
        <w:rPr>
          <w:rFonts w:ascii="Times New Roman" w:hAnsi="Times New Roman"/>
          <w:b/>
          <w:bCs/>
          <w:noProof/>
          <w:sz w:val="24"/>
          <w:szCs w:val="24"/>
        </w:rPr>
        <w:t xml:space="preserve"> z Nor</w:t>
      </w:r>
      <w:r w:rsidRPr="00E82C90">
        <w:rPr>
          <w:rFonts w:ascii="Times New Roman" w:hAnsi="Times New Roman"/>
          <w:b/>
          <w:bCs/>
          <w:noProof/>
          <w:sz w:val="24"/>
          <w:szCs w:val="24"/>
        </w:rPr>
        <w:t>wegią</w:t>
      </w:r>
      <w:r w:rsidR="00E82C90" w:rsidRPr="00E82C90">
        <w:rPr>
          <w:rFonts w:ascii="Times New Roman" w:hAnsi="Times New Roman"/>
          <w:b/>
          <w:bCs/>
          <w:noProof/>
          <w:sz w:val="24"/>
          <w:szCs w:val="24"/>
        </w:rPr>
        <w:t xml:space="preserve"> w ram</w:t>
      </w:r>
      <w:r w:rsidRPr="00E82C90">
        <w:rPr>
          <w:rFonts w:ascii="Times New Roman" w:hAnsi="Times New Roman"/>
          <w:b/>
          <w:bCs/>
          <w:noProof/>
          <w:sz w:val="24"/>
          <w:szCs w:val="24"/>
        </w:rPr>
        <w:t>ac</w:t>
      </w:r>
      <w:r w:rsidR="00FE4786" w:rsidRPr="00E82C90">
        <w:rPr>
          <w:rFonts w:ascii="Times New Roman" w:hAnsi="Times New Roman"/>
          <w:b/>
          <w:bCs/>
          <w:noProof/>
          <w:sz w:val="24"/>
          <w:szCs w:val="24"/>
        </w:rPr>
        <w:t>h zielonego sojuszu UE–Norwegia</w:t>
      </w:r>
    </w:p>
    <w:p w14:paraId="20C92D81" w14:textId="57B1D4B3" w:rsidR="00342F17" w:rsidRPr="00E82C90" w:rsidRDefault="00E80417" w:rsidP="00342F17">
      <w:pPr>
        <w:numPr>
          <w:ilvl w:val="0"/>
          <w:numId w:val="9"/>
        </w:numPr>
        <w:contextualSpacing/>
        <w:jc w:val="both"/>
        <w:rPr>
          <w:rFonts w:ascii="Times New Roman" w:hAnsi="Times New Roman" w:cs="Times New Roman"/>
          <w:b/>
          <w:bCs/>
          <w:noProof/>
          <w:sz w:val="24"/>
          <w:szCs w:val="24"/>
        </w:rPr>
      </w:pPr>
      <w:r w:rsidRPr="00E82C90">
        <w:rPr>
          <w:rFonts w:ascii="Times New Roman" w:hAnsi="Times New Roman"/>
          <w:b/>
          <w:bCs/>
          <w:noProof/>
          <w:sz w:val="24"/>
          <w:szCs w:val="24"/>
        </w:rPr>
        <w:t>bardziej intensywne wykorzystanie narzędzi polityki gospodarczej</w:t>
      </w:r>
      <w:r w:rsidR="00E82C90" w:rsidRPr="00E82C90">
        <w:rPr>
          <w:rFonts w:ascii="Times New Roman" w:hAnsi="Times New Roman"/>
          <w:b/>
          <w:bCs/>
          <w:noProof/>
          <w:sz w:val="24"/>
          <w:szCs w:val="24"/>
        </w:rPr>
        <w:t xml:space="preserve"> i han</w:t>
      </w:r>
      <w:r w:rsidRPr="00E82C90">
        <w:rPr>
          <w:rFonts w:ascii="Times New Roman" w:hAnsi="Times New Roman"/>
          <w:b/>
          <w:bCs/>
          <w:noProof/>
          <w:sz w:val="24"/>
          <w:szCs w:val="24"/>
        </w:rPr>
        <w:t>dlowej UE</w:t>
      </w:r>
      <w:r w:rsidR="00E82C90" w:rsidRPr="00E82C90">
        <w:rPr>
          <w:rFonts w:ascii="Times New Roman" w:hAnsi="Times New Roman"/>
          <w:b/>
          <w:bCs/>
          <w:noProof/>
          <w:sz w:val="24"/>
          <w:szCs w:val="24"/>
        </w:rPr>
        <w:t xml:space="preserve"> w cel</w:t>
      </w:r>
      <w:r w:rsidRPr="00E82C90">
        <w:rPr>
          <w:rFonts w:ascii="Times New Roman" w:hAnsi="Times New Roman"/>
          <w:b/>
          <w:bCs/>
          <w:noProof/>
          <w:sz w:val="24"/>
          <w:szCs w:val="24"/>
        </w:rPr>
        <w:t>u zapewnienia niezakłóconego dos</w:t>
      </w:r>
      <w:r w:rsidR="00FE4786" w:rsidRPr="00E82C90">
        <w:rPr>
          <w:rFonts w:ascii="Times New Roman" w:hAnsi="Times New Roman"/>
          <w:b/>
          <w:bCs/>
          <w:noProof/>
          <w:sz w:val="24"/>
          <w:szCs w:val="24"/>
        </w:rPr>
        <w:t>tępu do rynków międzynarodowych</w:t>
      </w:r>
    </w:p>
    <w:p w14:paraId="60E36130" w14:textId="2EC0A504" w:rsidR="00342F17" w:rsidRPr="00E82C90" w:rsidRDefault="00E80417" w:rsidP="00342F17">
      <w:pPr>
        <w:numPr>
          <w:ilvl w:val="0"/>
          <w:numId w:val="9"/>
        </w:numPr>
        <w:contextualSpacing/>
        <w:jc w:val="both"/>
        <w:rPr>
          <w:rFonts w:ascii="Times New Roman" w:hAnsi="Times New Roman" w:cs="Times New Roman"/>
          <w:b/>
          <w:bCs/>
          <w:noProof/>
          <w:sz w:val="24"/>
          <w:szCs w:val="24"/>
        </w:rPr>
      </w:pPr>
      <w:r w:rsidRPr="00E82C90">
        <w:rPr>
          <w:rFonts w:ascii="Times New Roman" w:hAnsi="Times New Roman"/>
          <w:b/>
          <w:bCs/>
          <w:noProof/>
          <w:sz w:val="24"/>
          <w:szCs w:val="24"/>
        </w:rPr>
        <w:t>wspieranie efektywnego gospodarowania zasobami na świecie</w:t>
      </w:r>
      <w:r w:rsidR="00E82C90" w:rsidRPr="00E82C90">
        <w:rPr>
          <w:rFonts w:ascii="Times New Roman" w:hAnsi="Times New Roman"/>
          <w:b/>
          <w:bCs/>
          <w:noProof/>
          <w:sz w:val="24"/>
          <w:szCs w:val="24"/>
        </w:rPr>
        <w:t xml:space="preserve"> i obi</w:t>
      </w:r>
      <w:r w:rsidRPr="00E82C90">
        <w:rPr>
          <w:rFonts w:ascii="Times New Roman" w:hAnsi="Times New Roman"/>
          <w:b/>
          <w:bCs/>
          <w:noProof/>
          <w:sz w:val="24"/>
          <w:szCs w:val="24"/>
        </w:rPr>
        <w:t>egu zamkniętego, zwłaszcza dzięki środkom</w:t>
      </w:r>
      <w:r w:rsidR="00E82C90" w:rsidRPr="00E82C90">
        <w:rPr>
          <w:rFonts w:ascii="Times New Roman" w:hAnsi="Times New Roman"/>
          <w:b/>
          <w:bCs/>
          <w:noProof/>
          <w:sz w:val="24"/>
          <w:szCs w:val="24"/>
        </w:rPr>
        <w:t xml:space="preserve"> w obs</w:t>
      </w:r>
      <w:r w:rsidRPr="00E82C90">
        <w:rPr>
          <w:rFonts w:ascii="Times New Roman" w:hAnsi="Times New Roman"/>
          <w:b/>
          <w:bCs/>
          <w:noProof/>
          <w:sz w:val="24"/>
          <w:szCs w:val="24"/>
        </w:rPr>
        <w:t>zarze projektowania produktów</w:t>
      </w:r>
      <w:r w:rsidR="00700D06" w:rsidRPr="00E82C90">
        <w:rPr>
          <w:rStyle w:val="FootnoteReference"/>
          <w:rFonts w:ascii="Times New Roman" w:hAnsi="Times New Roman" w:cs="Times New Roman"/>
          <w:b/>
          <w:bCs/>
          <w:noProof/>
          <w:sz w:val="24"/>
          <w:szCs w:val="24"/>
        </w:rPr>
        <w:footnoteReference w:id="22"/>
      </w:r>
    </w:p>
    <w:p w14:paraId="2B83A3B8" w14:textId="2B7E4C35" w:rsidR="00CC199B" w:rsidRPr="00E82C90" w:rsidRDefault="00E80417" w:rsidP="0008780D">
      <w:pPr>
        <w:numPr>
          <w:ilvl w:val="0"/>
          <w:numId w:val="9"/>
        </w:numPr>
        <w:contextualSpacing/>
        <w:jc w:val="both"/>
        <w:rPr>
          <w:rFonts w:ascii="Times New Roman" w:eastAsia="Times New Roman" w:hAnsi="Times New Roman" w:cs="Times New Roman"/>
          <w:b/>
          <w:noProof/>
          <w:sz w:val="24"/>
          <w:szCs w:val="24"/>
        </w:rPr>
      </w:pPr>
      <w:r w:rsidRPr="00E82C90">
        <w:rPr>
          <w:rFonts w:ascii="Times New Roman" w:hAnsi="Times New Roman"/>
          <w:b/>
          <w:bCs/>
          <w:noProof/>
          <w:sz w:val="24"/>
          <w:szCs w:val="24"/>
        </w:rPr>
        <w:t>współpraca</w:t>
      </w:r>
      <w:r w:rsidR="00E82C90" w:rsidRPr="00E82C90">
        <w:rPr>
          <w:rFonts w:ascii="Times New Roman" w:hAnsi="Times New Roman"/>
          <w:b/>
          <w:bCs/>
          <w:noProof/>
          <w:sz w:val="24"/>
          <w:szCs w:val="24"/>
        </w:rPr>
        <w:t xml:space="preserve"> z org</w:t>
      </w:r>
      <w:r w:rsidRPr="00E82C90">
        <w:rPr>
          <w:rFonts w:ascii="Times New Roman" w:hAnsi="Times New Roman"/>
          <w:b/>
          <w:bCs/>
          <w:noProof/>
          <w:sz w:val="24"/>
          <w:szCs w:val="24"/>
        </w:rPr>
        <w:t>anizacjami międzynarodowymi, takimi jak OECD, MAE i IRENA,</w:t>
      </w:r>
      <w:r w:rsidR="00E82C90" w:rsidRPr="00E82C90">
        <w:rPr>
          <w:rFonts w:ascii="Times New Roman" w:hAnsi="Times New Roman"/>
          <w:b/>
          <w:bCs/>
          <w:noProof/>
          <w:sz w:val="24"/>
          <w:szCs w:val="24"/>
        </w:rPr>
        <w:t xml:space="preserve"> w zak</w:t>
      </w:r>
      <w:r w:rsidRPr="00E82C90">
        <w:rPr>
          <w:rFonts w:ascii="Times New Roman" w:hAnsi="Times New Roman"/>
          <w:b/>
          <w:bCs/>
          <w:noProof/>
          <w:sz w:val="24"/>
          <w:szCs w:val="24"/>
        </w:rPr>
        <w:t>resie łańcuchów dostaw surowców krytycznych wykorzystywanyc</w:t>
      </w:r>
      <w:r w:rsidR="00FE4786" w:rsidRPr="00E82C90">
        <w:rPr>
          <w:rFonts w:ascii="Times New Roman" w:hAnsi="Times New Roman"/>
          <w:b/>
          <w:bCs/>
          <w:noProof/>
          <w:sz w:val="24"/>
          <w:szCs w:val="24"/>
        </w:rPr>
        <w:t>h</w:t>
      </w:r>
      <w:r w:rsidR="00E82C90" w:rsidRPr="00E82C90">
        <w:rPr>
          <w:rFonts w:ascii="Times New Roman" w:hAnsi="Times New Roman"/>
          <w:b/>
          <w:bCs/>
          <w:noProof/>
          <w:sz w:val="24"/>
          <w:szCs w:val="24"/>
        </w:rPr>
        <w:t xml:space="preserve"> w tra</w:t>
      </w:r>
      <w:r w:rsidR="00FE4786" w:rsidRPr="00E82C90">
        <w:rPr>
          <w:rFonts w:ascii="Times New Roman" w:hAnsi="Times New Roman"/>
          <w:b/>
          <w:bCs/>
          <w:noProof/>
          <w:sz w:val="24"/>
          <w:szCs w:val="24"/>
        </w:rPr>
        <w:t>nsformacji energetycznej</w:t>
      </w:r>
    </w:p>
    <w:p w14:paraId="3D956167" w14:textId="05C6825B" w:rsidR="00A36BB5" w:rsidRPr="00E82C90" w:rsidRDefault="00F71CE0" w:rsidP="00180972">
      <w:pPr>
        <w:pStyle w:val="Heading1"/>
        <w:numPr>
          <w:ilvl w:val="0"/>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 xml:space="preserve">Tworzenie podstaw nowego globalnego systemu energetycznego </w:t>
      </w:r>
    </w:p>
    <w:p w14:paraId="26C679E5" w14:textId="6EC57005" w:rsidR="00F71CE0" w:rsidRPr="00E82C90" w:rsidRDefault="00F71CE0" w:rsidP="00AA5D14">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Wzmacnianie istniejących sojuszy</w:t>
      </w:r>
      <w:r w:rsidR="00E82C90" w:rsidRPr="00E82C90">
        <w:rPr>
          <w:rFonts w:ascii="Times New Roman" w:hAnsi="Times New Roman"/>
          <w:b/>
          <w:noProof/>
          <w:color w:val="auto"/>
          <w:sz w:val="24"/>
          <w:szCs w:val="24"/>
        </w:rPr>
        <w:t xml:space="preserve"> i two</w:t>
      </w:r>
      <w:r w:rsidRPr="00E82C90">
        <w:rPr>
          <w:rFonts w:ascii="Times New Roman" w:hAnsi="Times New Roman"/>
          <w:b/>
          <w:noProof/>
          <w:color w:val="auto"/>
          <w:sz w:val="24"/>
          <w:szCs w:val="24"/>
        </w:rPr>
        <w:t>rzenie nowych partnerstw</w:t>
      </w:r>
    </w:p>
    <w:p w14:paraId="273F18FD" w14:textId="7E14DCFB" w:rsidR="00F71CE0" w:rsidRPr="00E82C90" w:rsidRDefault="00A2279F" w:rsidP="00F23281">
      <w:pPr>
        <w:jc w:val="both"/>
        <w:rPr>
          <w:rFonts w:ascii="Times New Roman" w:hAnsi="Times New Roman" w:cs="Times New Roman"/>
          <w:noProof/>
          <w:sz w:val="24"/>
          <w:szCs w:val="24"/>
        </w:rPr>
      </w:pPr>
      <w:r w:rsidRPr="00E82C90">
        <w:rPr>
          <w:rFonts w:ascii="Times New Roman" w:hAnsi="Times New Roman"/>
          <w:noProof/>
          <w:sz w:val="24"/>
          <w:szCs w:val="24"/>
        </w:rPr>
        <w:t>Nowy globalny system energetyczny nie oznacza po prostu zastąpienia paliw kopalnych źródłami odnawialnymi – będzie on zasadniczo</w:t>
      </w:r>
      <w:r w:rsidR="00E82C90" w:rsidRPr="00E82C90">
        <w:rPr>
          <w:rFonts w:ascii="Times New Roman" w:hAnsi="Times New Roman"/>
          <w:noProof/>
          <w:sz w:val="24"/>
          <w:szCs w:val="24"/>
        </w:rPr>
        <w:t xml:space="preserve"> i str</w:t>
      </w:r>
      <w:r w:rsidRPr="00E82C90">
        <w:rPr>
          <w:rFonts w:ascii="Times New Roman" w:hAnsi="Times New Roman"/>
          <w:noProof/>
          <w:sz w:val="24"/>
          <w:szCs w:val="24"/>
        </w:rPr>
        <w:t>ukturalnie różnił się od obecnego. Współpraca</w:t>
      </w:r>
      <w:r w:rsidR="00E82C90" w:rsidRPr="00E82C90">
        <w:rPr>
          <w:rFonts w:ascii="Times New Roman" w:hAnsi="Times New Roman"/>
          <w:noProof/>
          <w:sz w:val="24"/>
          <w:szCs w:val="24"/>
        </w:rPr>
        <w:t xml:space="preserve"> i par</w:t>
      </w:r>
      <w:r w:rsidRPr="00E82C90">
        <w:rPr>
          <w:rFonts w:ascii="Times New Roman" w:hAnsi="Times New Roman"/>
          <w:noProof/>
          <w:sz w:val="24"/>
          <w:szCs w:val="24"/>
        </w:rPr>
        <w:t>tnerstwa będą miały kluczowe znaczenie dla jego funkcjonowania. Unia Europejska, dążąc do urzeczywistnienia globalnej transformacji ekologicznej, będzie starała się dotrzeć do całego świata, słuchać jego opinii</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ółpracować</w:t>
      </w:r>
      <w:r w:rsidR="00E82C90" w:rsidRPr="00E82C90">
        <w:rPr>
          <w:rFonts w:ascii="Times New Roman" w:hAnsi="Times New Roman"/>
          <w:noProof/>
          <w:sz w:val="24"/>
          <w:szCs w:val="24"/>
        </w:rPr>
        <w:t xml:space="preserve"> z nim</w:t>
      </w:r>
      <w:r w:rsidRPr="00E82C90">
        <w:rPr>
          <w:rFonts w:ascii="Times New Roman" w:hAnsi="Times New Roman"/>
          <w:noProof/>
          <w:sz w:val="24"/>
          <w:szCs w:val="24"/>
        </w:rPr>
        <w:t>.</w:t>
      </w:r>
    </w:p>
    <w:p w14:paraId="3AAE70BC" w14:textId="60426F6A" w:rsidR="001E6E74" w:rsidRPr="00E82C90" w:rsidRDefault="001E6E74" w:rsidP="00F23281">
      <w:pPr>
        <w:jc w:val="both"/>
        <w:rPr>
          <w:rFonts w:ascii="Times New Roman" w:hAnsi="Times New Roman" w:cs="Times New Roman"/>
          <w:noProof/>
          <w:sz w:val="24"/>
          <w:szCs w:val="24"/>
        </w:rPr>
      </w:pPr>
    </w:p>
    <w:p w14:paraId="7983A41C" w14:textId="19B67242" w:rsidR="00505930" w:rsidRPr="00E82C90" w:rsidRDefault="00505930" w:rsidP="00F23281">
      <w:pPr>
        <w:jc w:val="both"/>
        <w:rPr>
          <w:rFonts w:ascii="Times New Roman" w:hAnsi="Times New Roman" w:cs="Times New Roman"/>
          <w:noProof/>
          <w:sz w:val="24"/>
          <w:szCs w:val="24"/>
        </w:rPr>
      </w:pPr>
      <w:r w:rsidRPr="00E82C90">
        <w:rPr>
          <w:rFonts w:ascii="Times New Roman" w:hAnsi="Times New Roman" w:cs="Times New Roman"/>
          <w:noProof/>
          <w:sz w:val="24"/>
          <w:szCs w:val="24"/>
          <w:lang w:val="en-GB" w:eastAsia="en-GB"/>
        </w:rPr>
        <w:drawing>
          <wp:inline distT="0" distB="0" distL="0" distR="0" wp14:anchorId="074A1683" wp14:editId="69619116">
            <wp:extent cx="5760720" cy="312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129280"/>
                    </a:xfrm>
                    <a:prstGeom prst="rect">
                      <a:avLst/>
                    </a:prstGeom>
                  </pic:spPr>
                </pic:pic>
              </a:graphicData>
            </a:graphic>
          </wp:inline>
        </w:drawing>
      </w:r>
    </w:p>
    <w:p w14:paraId="5127B96F" w14:textId="7D78F12F" w:rsidR="001E6E74" w:rsidRPr="00E82C90" w:rsidRDefault="001E6E74" w:rsidP="001E6E74">
      <w:pPr>
        <w:jc w:val="both"/>
        <w:rPr>
          <w:rFonts w:ascii="Times New Roman" w:hAnsi="Times New Roman" w:cs="Times New Roman"/>
          <w:noProof/>
          <w:sz w:val="18"/>
          <w:szCs w:val="24"/>
        </w:rPr>
      </w:pPr>
      <w:r w:rsidRPr="00E82C90">
        <w:rPr>
          <w:rFonts w:ascii="Times New Roman" w:hAnsi="Times New Roman"/>
          <w:noProof/>
          <w:sz w:val="18"/>
          <w:szCs w:val="24"/>
        </w:rPr>
        <w:t>IRENA: zmiany</w:t>
      </w:r>
      <w:r w:rsidR="00E82C90" w:rsidRPr="00E82C90">
        <w:rPr>
          <w:rFonts w:ascii="Times New Roman" w:hAnsi="Times New Roman"/>
          <w:noProof/>
          <w:sz w:val="18"/>
          <w:szCs w:val="24"/>
        </w:rPr>
        <w:t xml:space="preserve"> w war</w:t>
      </w:r>
      <w:r w:rsidRPr="00E82C90">
        <w:rPr>
          <w:rFonts w:ascii="Times New Roman" w:hAnsi="Times New Roman"/>
          <w:noProof/>
          <w:sz w:val="18"/>
          <w:szCs w:val="24"/>
        </w:rPr>
        <w:t>tości handlu surowcami energetycznymi</w:t>
      </w:r>
      <w:r w:rsidR="00E82C90" w:rsidRPr="00E82C90">
        <w:rPr>
          <w:rFonts w:ascii="Times New Roman" w:hAnsi="Times New Roman"/>
          <w:noProof/>
          <w:sz w:val="18"/>
          <w:szCs w:val="24"/>
        </w:rPr>
        <w:t xml:space="preserve"> w lat</w:t>
      </w:r>
      <w:r w:rsidRPr="00E82C90">
        <w:rPr>
          <w:rFonts w:ascii="Times New Roman" w:hAnsi="Times New Roman"/>
          <w:noProof/>
          <w:sz w:val="18"/>
          <w:szCs w:val="24"/>
        </w:rPr>
        <w:t>ach 2020–2050</w:t>
      </w:r>
    </w:p>
    <w:p w14:paraId="21F0D469" w14:textId="51991D58" w:rsidR="007D7A5C" w:rsidRPr="00E82C90" w:rsidRDefault="009F393D" w:rsidP="00136687">
      <w:pPr>
        <w:spacing w:after="240"/>
        <w:jc w:val="both"/>
        <w:rPr>
          <w:rFonts w:ascii="Times New Roman" w:hAnsi="Times New Roman" w:cs="Times New Roman"/>
          <w:noProof/>
          <w:sz w:val="24"/>
          <w:szCs w:val="24"/>
        </w:rPr>
      </w:pPr>
      <w:r w:rsidRPr="00E82C90">
        <w:rPr>
          <w:rFonts w:ascii="Times New Roman" w:hAnsi="Times New Roman"/>
          <w:b/>
          <w:bCs/>
          <w:noProof/>
          <w:sz w:val="24"/>
          <w:szCs w:val="24"/>
        </w:rPr>
        <w:t>UE będzie nadal współpracować ze Stanami Zjednoczonymi</w:t>
      </w:r>
      <w:r w:rsidRPr="00E82C90">
        <w:rPr>
          <w:rFonts w:ascii="Times New Roman" w:hAnsi="Times New Roman"/>
          <w:noProof/>
          <w:sz w:val="24"/>
          <w:szCs w:val="24"/>
        </w:rPr>
        <w:t>,</w:t>
      </w:r>
      <w:r w:rsidR="00E82C90" w:rsidRPr="00E82C90">
        <w:rPr>
          <w:rFonts w:ascii="Times New Roman" w:hAnsi="Times New Roman"/>
          <w:noProof/>
          <w:sz w:val="24"/>
          <w:szCs w:val="24"/>
        </w:rPr>
        <w:t xml:space="preserve"> z któ</w:t>
      </w:r>
      <w:r w:rsidRPr="00E82C90">
        <w:rPr>
          <w:rFonts w:ascii="Times New Roman" w:hAnsi="Times New Roman"/>
          <w:noProof/>
          <w:sz w:val="24"/>
          <w:szCs w:val="24"/>
        </w:rPr>
        <w:t>rymi ma zbieżne priorytety</w:t>
      </w:r>
      <w:r w:rsidR="00E82C90" w:rsidRPr="00E82C90">
        <w:rPr>
          <w:rFonts w:ascii="Times New Roman" w:hAnsi="Times New Roman"/>
          <w:noProof/>
          <w:sz w:val="24"/>
          <w:szCs w:val="24"/>
        </w:rPr>
        <w:t xml:space="preserve"> w cał</w:t>
      </w:r>
      <w:r w:rsidRPr="00E82C90">
        <w:rPr>
          <w:rFonts w:ascii="Times New Roman" w:hAnsi="Times New Roman"/>
          <w:noProof/>
          <w:sz w:val="24"/>
          <w:szCs w:val="24"/>
        </w:rPr>
        <w:t>ym spektrum polityki energetycznej. Za pośrednictwem Rady ds. Energii UE–USA oraz na forach międzynarodowych UE będzie starała się wpływać na pozytywne zmiany</w:t>
      </w:r>
      <w:r w:rsidR="00E82C90" w:rsidRPr="00E82C90">
        <w:rPr>
          <w:rFonts w:ascii="Times New Roman" w:hAnsi="Times New Roman"/>
          <w:noProof/>
          <w:sz w:val="24"/>
          <w:szCs w:val="24"/>
        </w:rPr>
        <w:t xml:space="preserve"> w świ</w:t>
      </w:r>
      <w:r w:rsidRPr="00E82C90">
        <w:rPr>
          <w:rFonts w:ascii="Times New Roman" w:hAnsi="Times New Roman"/>
          <w:noProof/>
          <w:sz w:val="24"/>
          <w:szCs w:val="24"/>
        </w:rPr>
        <w:t>atowym krajobrazie energetycznym. Stosunki energetyczne</w:t>
      </w:r>
      <w:r w:rsidR="00E82C90" w:rsidRPr="00E82C90">
        <w:rPr>
          <w:rFonts w:ascii="Times New Roman" w:hAnsi="Times New Roman"/>
          <w:noProof/>
          <w:sz w:val="24"/>
          <w:szCs w:val="24"/>
        </w:rPr>
        <w:t xml:space="preserve"> z </w:t>
      </w:r>
      <w:r w:rsidR="00E82C90" w:rsidRPr="00E82C90">
        <w:rPr>
          <w:rFonts w:ascii="Times New Roman" w:hAnsi="Times New Roman"/>
          <w:b/>
          <w:bCs/>
          <w:noProof/>
          <w:sz w:val="24"/>
          <w:szCs w:val="24"/>
        </w:rPr>
        <w:t>Kan</w:t>
      </w:r>
      <w:r w:rsidRPr="00E82C90">
        <w:rPr>
          <w:rFonts w:ascii="Times New Roman" w:hAnsi="Times New Roman"/>
          <w:b/>
          <w:bCs/>
          <w:noProof/>
          <w:sz w:val="24"/>
          <w:szCs w:val="24"/>
        </w:rPr>
        <w:t>adą</w:t>
      </w:r>
      <w:r w:rsidRPr="00E82C90">
        <w:rPr>
          <w:rFonts w:ascii="Times New Roman" w:hAnsi="Times New Roman"/>
          <w:noProof/>
          <w:sz w:val="24"/>
          <w:szCs w:val="24"/>
        </w:rPr>
        <w:t xml:space="preserve"> nabrały znacznego tempa</w:t>
      </w:r>
      <w:r w:rsidR="00E82C90" w:rsidRPr="00E82C90">
        <w:rPr>
          <w:rFonts w:ascii="Times New Roman" w:hAnsi="Times New Roman"/>
          <w:noProof/>
          <w:sz w:val="24"/>
          <w:szCs w:val="24"/>
        </w:rPr>
        <w:t xml:space="preserve"> w opa</w:t>
      </w:r>
      <w:r w:rsidRPr="00E82C90">
        <w:rPr>
          <w:rFonts w:ascii="Times New Roman" w:hAnsi="Times New Roman"/>
          <w:noProof/>
          <w:sz w:val="24"/>
          <w:szCs w:val="24"/>
        </w:rPr>
        <w:t>rciu</w:t>
      </w:r>
      <w:r w:rsidR="00E82C90" w:rsidRPr="00E82C90">
        <w:rPr>
          <w:rFonts w:ascii="Times New Roman" w:hAnsi="Times New Roman"/>
          <w:noProof/>
          <w:sz w:val="24"/>
          <w:szCs w:val="24"/>
        </w:rPr>
        <w:t xml:space="preserve"> o ist</w:t>
      </w:r>
      <w:r w:rsidRPr="00E82C90">
        <w:rPr>
          <w:rFonts w:ascii="Times New Roman" w:hAnsi="Times New Roman"/>
          <w:noProof/>
          <w:sz w:val="24"/>
          <w:szCs w:val="24"/>
        </w:rPr>
        <w:t>niejący dialog energetyczny wysokiego szczebla.</w:t>
      </w:r>
    </w:p>
    <w:p w14:paraId="7C01A8B1" w14:textId="09940811" w:rsidR="00136687" w:rsidRPr="00E82C90" w:rsidRDefault="00136687" w:rsidP="00136687">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Zarówno </w:t>
      </w:r>
      <w:r w:rsidRPr="00E82C90">
        <w:rPr>
          <w:rFonts w:ascii="Times New Roman" w:hAnsi="Times New Roman"/>
          <w:b/>
          <w:bCs/>
          <w:noProof/>
          <w:sz w:val="24"/>
          <w:szCs w:val="24"/>
        </w:rPr>
        <w:t>wschodnie, jak</w:t>
      </w:r>
      <w:r w:rsidR="00E82C90" w:rsidRPr="00E82C90">
        <w:rPr>
          <w:rFonts w:ascii="Times New Roman" w:hAnsi="Times New Roman"/>
          <w:b/>
          <w:bCs/>
          <w:noProof/>
          <w:sz w:val="24"/>
          <w:szCs w:val="24"/>
        </w:rPr>
        <w:t xml:space="preserve"> i poł</w:t>
      </w:r>
      <w:r w:rsidRPr="00E82C90">
        <w:rPr>
          <w:rFonts w:ascii="Times New Roman" w:hAnsi="Times New Roman"/>
          <w:b/>
          <w:bCs/>
          <w:noProof/>
          <w:sz w:val="24"/>
          <w:szCs w:val="24"/>
        </w:rPr>
        <w:t>udniowe sąsiedztwo</w:t>
      </w:r>
      <w:r w:rsidRPr="00E82C90">
        <w:rPr>
          <w:rFonts w:ascii="Times New Roman" w:hAnsi="Times New Roman"/>
          <w:noProof/>
          <w:sz w:val="24"/>
          <w:szCs w:val="24"/>
        </w:rPr>
        <w:t xml:space="preserve"> nadal będzie miało kluczowe znaczenie dla UE</w:t>
      </w:r>
      <w:r w:rsidR="00E82C90" w:rsidRPr="00E82C90">
        <w:rPr>
          <w:rFonts w:ascii="Times New Roman" w:hAnsi="Times New Roman"/>
          <w:noProof/>
          <w:sz w:val="24"/>
          <w:szCs w:val="24"/>
        </w:rPr>
        <w:t>. W nas</w:t>
      </w:r>
      <w:r w:rsidRPr="00E82C90">
        <w:rPr>
          <w:rFonts w:ascii="Times New Roman" w:hAnsi="Times New Roman"/>
          <w:noProof/>
          <w:sz w:val="24"/>
          <w:szCs w:val="24"/>
        </w:rPr>
        <w:t>tępstwie zobowiązań podjętych na szóstym szczycie Partnerstwa Wschodniego</w:t>
      </w:r>
      <w:r w:rsidR="00E82C90" w:rsidRPr="00E82C90">
        <w:rPr>
          <w:rFonts w:ascii="Times New Roman" w:hAnsi="Times New Roman"/>
          <w:noProof/>
          <w:sz w:val="24"/>
          <w:szCs w:val="24"/>
        </w:rPr>
        <w:t xml:space="preserve"> w gru</w:t>
      </w:r>
      <w:r w:rsidRPr="00E82C90">
        <w:rPr>
          <w:rFonts w:ascii="Times New Roman" w:hAnsi="Times New Roman"/>
          <w:noProof/>
          <w:sz w:val="24"/>
          <w:szCs w:val="24"/>
        </w:rPr>
        <w:t>dniu 2021</w:t>
      </w:r>
      <w:r w:rsidR="00E82C90" w:rsidRPr="00E82C90">
        <w:rPr>
          <w:rFonts w:ascii="Times New Roman" w:hAnsi="Times New Roman"/>
          <w:noProof/>
          <w:sz w:val="24"/>
          <w:szCs w:val="24"/>
        </w:rPr>
        <w:t> </w:t>
      </w:r>
      <w:r w:rsidRPr="00E82C90">
        <w:rPr>
          <w:rFonts w:ascii="Times New Roman" w:hAnsi="Times New Roman"/>
          <w:noProof/>
          <w:sz w:val="24"/>
          <w:szCs w:val="24"/>
        </w:rPr>
        <w:t>r. stosunki energetyczne</w:t>
      </w:r>
      <w:r w:rsidR="00E82C90" w:rsidRPr="00E82C90">
        <w:rPr>
          <w:rFonts w:ascii="Times New Roman" w:hAnsi="Times New Roman"/>
          <w:noProof/>
          <w:sz w:val="24"/>
          <w:szCs w:val="24"/>
        </w:rPr>
        <w:t xml:space="preserve"> z kra</w:t>
      </w:r>
      <w:r w:rsidRPr="00E82C90">
        <w:rPr>
          <w:rFonts w:ascii="Times New Roman" w:hAnsi="Times New Roman"/>
          <w:noProof/>
          <w:sz w:val="24"/>
          <w:szCs w:val="24"/>
        </w:rPr>
        <w:t>jami Partnerstwa Wschodniego będą musiały zostać wzmocnione</w:t>
      </w:r>
      <w:r w:rsidR="00E82C90" w:rsidRPr="00E82C90">
        <w:rPr>
          <w:rFonts w:ascii="Times New Roman" w:hAnsi="Times New Roman"/>
          <w:noProof/>
          <w:sz w:val="24"/>
          <w:szCs w:val="24"/>
        </w:rPr>
        <w:t xml:space="preserve"> i pod</w:t>
      </w:r>
      <w:r w:rsidRPr="00E82C90">
        <w:rPr>
          <w:rFonts w:ascii="Times New Roman" w:hAnsi="Times New Roman"/>
          <w:noProof/>
          <w:sz w:val="24"/>
          <w:szCs w:val="24"/>
        </w:rPr>
        <w:t>dane przeglądowi, przy czym nadal będą koncentrować się na zrównoważonym bezpieczeństwie energetycznym</w:t>
      </w:r>
      <w:r w:rsidR="00E82C90" w:rsidRPr="00E82C90">
        <w:rPr>
          <w:rFonts w:ascii="Times New Roman" w:hAnsi="Times New Roman"/>
          <w:noProof/>
          <w:sz w:val="24"/>
          <w:szCs w:val="24"/>
        </w:rPr>
        <w:t xml:space="preserve"> i eko</w:t>
      </w:r>
      <w:r w:rsidRPr="00E82C90">
        <w:rPr>
          <w:rFonts w:ascii="Times New Roman" w:hAnsi="Times New Roman"/>
          <w:noProof/>
          <w:sz w:val="24"/>
          <w:szCs w:val="24"/>
        </w:rPr>
        <w:t>logicznej transformacji energetycznej. Ponieważ odporność, bezpieczeństwo energetyczne</w:t>
      </w:r>
      <w:r w:rsidR="00E82C90" w:rsidRPr="00E82C90">
        <w:rPr>
          <w:rFonts w:ascii="Times New Roman" w:hAnsi="Times New Roman"/>
          <w:noProof/>
          <w:sz w:val="24"/>
          <w:szCs w:val="24"/>
        </w:rPr>
        <w:t xml:space="preserve"> i zie</w:t>
      </w:r>
      <w:r w:rsidRPr="00E82C90">
        <w:rPr>
          <w:rFonts w:ascii="Times New Roman" w:hAnsi="Times New Roman"/>
          <w:noProof/>
          <w:sz w:val="24"/>
          <w:szCs w:val="24"/>
        </w:rPr>
        <w:t xml:space="preserve">lona transformacja </w:t>
      </w:r>
      <w:r w:rsidRPr="00E82C90">
        <w:rPr>
          <w:rFonts w:ascii="Times New Roman" w:hAnsi="Times New Roman"/>
          <w:b/>
          <w:bCs/>
          <w:noProof/>
          <w:sz w:val="24"/>
          <w:szCs w:val="24"/>
        </w:rPr>
        <w:t>Ukrainy, Mołdawii</w:t>
      </w:r>
      <w:r w:rsidR="00E82C90" w:rsidRPr="00E82C90">
        <w:rPr>
          <w:rFonts w:ascii="Times New Roman" w:hAnsi="Times New Roman"/>
          <w:b/>
          <w:bCs/>
          <w:noProof/>
          <w:sz w:val="24"/>
          <w:szCs w:val="24"/>
        </w:rPr>
        <w:t xml:space="preserve"> i Bał</w:t>
      </w:r>
      <w:r w:rsidRPr="00E82C90">
        <w:rPr>
          <w:rFonts w:ascii="Times New Roman" w:hAnsi="Times New Roman"/>
          <w:b/>
          <w:bCs/>
          <w:noProof/>
          <w:sz w:val="24"/>
          <w:szCs w:val="24"/>
        </w:rPr>
        <w:t>kanów Zachodnich</w:t>
      </w:r>
      <w:r w:rsidRPr="00E82C90">
        <w:rPr>
          <w:rFonts w:ascii="Times New Roman" w:hAnsi="Times New Roman"/>
          <w:noProof/>
          <w:sz w:val="24"/>
          <w:szCs w:val="24"/>
        </w:rPr>
        <w:t xml:space="preserve"> są powiązane</w:t>
      </w:r>
      <w:r w:rsidR="00E82C90" w:rsidRPr="00E82C90">
        <w:rPr>
          <w:rFonts w:ascii="Times New Roman" w:hAnsi="Times New Roman"/>
          <w:noProof/>
          <w:sz w:val="24"/>
          <w:szCs w:val="24"/>
        </w:rPr>
        <w:t xml:space="preserve"> z zie</w:t>
      </w:r>
      <w:r w:rsidRPr="00E82C90">
        <w:rPr>
          <w:rFonts w:ascii="Times New Roman" w:hAnsi="Times New Roman"/>
          <w:noProof/>
          <w:sz w:val="24"/>
          <w:szCs w:val="24"/>
        </w:rPr>
        <w:t>loną transformacją UE, stanowią one główny priorytet. Należy kontynuować współpracę</w:t>
      </w:r>
      <w:r w:rsidR="00E82C90" w:rsidRPr="00E82C90">
        <w:rPr>
          <w:rFonts w:ascii="Times New Roman" w:hAnsi="Times New Roman"/>
          <w:noProof/>
          <w:sz w:val="24"/>
          <w:szCs w:val="24"/>
        </w:rPr>
        <w:t xml:space="preserve"> z </w:t>
      </w:r>
      <w:r w:rsidR="00E82C90" w:rsidRPr="00E82C90">
        <w:rPr>
          <w:rFonts w:ascii="Times New Roman" w:hAnsi="Times New Roman"/>
          <w:b/>
          <w:bCs/>
          <w:noProof/>
          <w:sz w:val="24"/>
          <w:szCs w:val="24"/>
        </w:rPr>
        <w:t>Tur</w:t>
      </w:r>
      <w:r w:rsidRPr="00E82C90">
        <w:rPr>
          <w:rFonts w:ascii="Times New Roman" w:hAnsi="Times New Roman"/>
          <w:b/>
          <w:bCs/>
          <w:noProof/>
          <w:sz w:val="24"/>
          <w:szCs w:val="24"/>
        </w:rPr>
        <w:t>cją</w:t>
      </w:r>
      <w:r w:rsidR="00E82C90" w:rsidRPr="00E82C90">
        <w:rPr>
          <w:rFonts w:ascii="Times New Roman" w:hAnsi="Times New Roman"/>
          <w:noProof/>
          <w:sz w:val="24"/>
          <w:szCs w:val="24"/>
        </w:rPr>
        <w:t xml:space="preserve"> w obs</w:t>
      </w:r>
      <w:r w:rsidRPr="00E82C90">
        <w:rPr>
          <w:rFonts w:ascii="Times New Roman" w:hAnsi="Times New Roman"/>
          <w:noProof/>
          <w:sz w:val="24"/>
          <w:szCs w:val="24"/>
        </w:rPr>
        <w:t xml:space="preserve">zarze dekarbonizacji, również po to, aby zapewnić dostosowanie tureckich ram prawnych do dorobku prawnego UE, m.in. za pośrednictwem tureckiej platformy inwestycyjnej. </w:t>
      </w:r>
    </w:p>
    <w:p w14:paraId="66B1988B" w14:textId="399A2617" w:rsidR="00E73030" w:rsidRPr="00E82C90" w:rsidRDefault="007D7A5C" w:rsidP="006B4FD0">
      <w:pPr>
        <w:jc w:val="both"/>
        <w:rPr>
          <w:rFonts w:ascii="Times New Roman" w:hAnsi="Times New Roman" w:cs="Times New Roman"/>
          <w:noProof/>
          <w:sz w:val="24"/>
          <w:szCs w:val="24"/>
        </w:rPr>
      </w:pPr>
      <w:r w:rsidRPr="00E82C90">
        <w:rPr>
          <w:rFonts w:ascii="Times New Roman" w:hAnsi="Times New Roman"/>
          <w:noProof/>
          <w:sz w:val="24"/>
          <w:szCs w:val="24"/>
        </w:rPr>
        <w:t xml:space="preserve">W ramach </w:t>
      </w:r>
      <w:r w:rsidRPr="00E82C90">
        <w:rPr>
          <w:rFonts w:ascii="Times New Roman" w:hAnsi="Times New Roman"/>
          <w:bCs/>
          <w:noProof/>
          <w:sz w:val="24"/>
          <w:szCs w:val="24"/>
        </w:rPr>
        <w:t>południowego sąsiedztwa należy opracować wspólną śródziemnomorską politykę energetyczną</w:t>
      </w:r>
      <w:r w:rsidR="00E82C90" w:rsidRPr="00E82C90">
        <w:rPr>
          <w:rFonts w:ascii="Times New Roman" w:hAnsi="Times New Roman"/>
          <w:bCs/>
          <w:noProof/>
          <w:sz w:val="24"/>
          <w:szCs w:val="24"/>
        </w:rPr>
        <w:t xml:space="preserve"> w opa</w:t>
      </w:r>
      <w:r w:rsidRPr="00E82C90">
        <w:rPr>
          <w:rFonts w:ascii="Times New Roman" w:hAnsi="Times New Roman"/>
          <w:bCs/>
          <w:noProof/>
          <w:sz w:val="24"/>
          <w:szCs w:val="24"/>
        </w:rPr>
        <w:t>rciu</w:t>
      </w:r>
      <w:r w:rsidR="00E82C90" w:rsidRPr="00E82C90">
        <w:rPr>
          <w:rFonts w:ascii="Times New Roman" w:hAnsi="Times New Roman"/>
          <w:bCs/>
          <w:noProof/>
          <w:sz w:val="24"/>
          <w:szCs w:val="24"/>
        </w:rPr>
        <w:t xml:space="preserve"> o dek</w:t>
      </w:r>
      <w:r w:rsidRPr="00E82C90">
        <w:rPr>
          <w:rFonts w:ascii="Times New Roman" w:hAnsi="Times New Roman"/>
          <w:bCs/>
          <w:noProof/>
          <w:sz w:val="24"/>
          <w:szCs w:val="24"/>
        </w:rPr>
        <w:t>larację ministerialną „Unia dla Śródziemnomorza” przyjętą</w:t>
      </w:r>
      <w:r w:rsidR="00E82C90" w:rsidRPr="00E82C90">
        <w:rPr>
          <w:rFonts w:ascii="Times New Roman" w:hAnsi="Times New Roman"/>
          <w:bCs/>
          <w:noProof/>
          <w:sz w:val="24"/>
          <w:szCs w:val="24"/>
        </w:rPr>
        <w:t xml:space="preserve"> w cze</w:t>
      </w:r>
      <w:r w:rsidRPr="00E82C90">
        <w:rPr>
          <w:rFonts w:ascii="Times New Roman" w:hAnsi="Times New Roman"/>
          <w:bCs/>
          <w:noProof/>
          <w:sz w:val="24"/>
          <w:szCs w:val="24"/>
        </w:rPr>
        <w:t>rwcu 2021</w:t>
      </w:r>
      <w:r w:rsidR="00E82C90" w:rsidRPr="00E82C90">
        <w:rPr>
          <w:rFonts w:ascii="Times New Roman" w:hAnsi="Times New Roman"/>
          <w:bCs/>
          <w:noProof/>
          <w:sz w:val="24"/>
          <w:szCs w:val="24"/>
        </w:rPr>
        <w:t> </w:t>
      </w:r>
      <w:r w:rsidRPr="00E82C90">
        <w:rPr>
          <w:rFonts w:ascii="Times New Roman" w:hAnsi="Times New Roman"/>
          <w:bCs/>
          <w:noProof/>
          <w:sz w:val="24"/>
          <w:szCs w:val="24"/>
        </w:rPr>
        <w:t xml:space="preserve">r. </w:t>
      </w:r>
      <w:r w:rsidRPr="00E82C90">
        <w:rPr>
          <w:rFonts w:ascii="Times New Roman" w:hAnsi="Times New Roman"/>
          <w:noProof/>
          <w:sz w:val="24"/>
          <w:szCs w:val="24"/>
        </w:rPr>
        <w:t>UE będzie wspierać współpracę regionalną we wschodnim</w:t>
      </w:r>
      <w:r w:rsidR="00E82C90" w:rsidRPr="00E82C90">
        <w:rPr>
          <w:rFonts w:ascii="Times New Roman" w:hAnsi="Times New Roman"/>
          <w:noProof/>
          <w:sz w:val="24"/>
          <w:szCs w:val="24"/>
        </w:rPr>
        <w:t xml:space="preserve"> i poł</w:t>
      </w:r>
      <w:r w:rsidRPr="00E82C90">
        <w:rPr>
          <w:rFonts w:ascii="Times New Roman" w:hAnsi="Times New Roman"/>
          <w:noProof/>
          <w:sz w:val="24"/>
          <w:szCs w:val="24"/>
        </w:rPr>
        <w:t>udniowym regionie Morza Śródziemnego</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transformacji energetycznej</w:t>
      </w:r>
      <w:r w:rsidR="00E82C90" w:rsidRPr="00E82C90">
        <w:rPr>
          <w:rFonts w:ascii="Times New Roman" w:hAnsi="Times New Roman"/>
          <w:noProof/>
          <w:sz w:val="24"/>
          <w:szCs w:val="24"/>
        </w:rPr>
        <w:t xml:space="preserve"> i uwo</w:t>
      </w:r>
      <w:r w:rsidRPr="00E82C90">
        <w:rPr>
          <w:rFonts w:ascii="Times New Roman" w:hAnsi="Times New Roman"/>
          <w:noProof/>
          <w:sz w:val="24"/>
          <w:szCs w:val="24"/>
        </w:rPr>
        <w:t>lnienia potencjału energii odnawialnej. UE będzie kontynuować współpracę</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dekarbonizacji,</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emisji metanu, ze wszystkimi dostawcami paliw kopalnych</w:t>
      </w:r>
      <w:r w:rsidR="00E82C90" w:rsidRPr="00E82C90">
        <w:rPr>
          <w:rFonts w:ascii="Times New Roman" w:hAnsi="Times New Roman"/>
          <w:noProof/>
          <w:sz w:val="24"/>
          <w:szCs w:val="24"/>
        </w:rPr>
        <w:t xml:space="preserve"> w reg</w:t>
      </w:r>
      <w:r w:rsidRPr="00E82C90">
        <w:rPr>
          <w:rFonts w:ascii="Times New Roman" w:hAnsi="Times New Roman"/>
          <w:noProof/>
          <w:sz w:val="24"/>
          <w:szCs w:val="24"/>
        </w:rPr>
        <w:t xml:space="preserve">ionie, takimi jak </w:t>
      </w:r>
      <w:r w:rsidRPr="00E82C90">
        <w:rPr>
          <w:rFonts w:ascii="Times New Roman" w:hAnsi="Times New Roman"/>
          <w:b/>
          <w:bCs/>
          <w:noProof/>
          <w:sz w:val="24"/>
          <w:szCs w:val="24"/>
        </w:rPr>
        <w:t>Egipt, Izrael</w:t>
      </w:r>
      <w:r w:rsidR="00E82C90" w:rsidRPr="00E82C90">
        <w:rPr>
          <w:rFonts w:ascii="Times New Roman" w:hAnsi="Times New Roman"/>
          <w:b/>
          <w:bCs/>
          <w:noProof/>
          <w:sz w:val="24"/>
          <w:szCs w:val="24"/>
        </w:rPr>
        <w:t xml:space="preserve"> i Alg</w:t>
      </w:r>
      <w:r w:rsidRPr="00E82C90">
        <w:rPr>
          <w:rFonts w:ascii="Times New Roman" w:hAnsi="Times New Roman"/>
          <w:b/>
          <w:bCs/>
          <w:noProof/>
          <w:sz w:val="24"/>
          <w:szCs w:val="24"/>
        </w:rPr>
        <w:t>ieria</w:t>
      </w:r>
      <w:r w:rsidRPr="00E82C90">
        <w:rPr>
          <w:rFonts w:ascii="Times New Roman" w:hAnsi="Times New Roman"/>
          <w:noProof/>
          <w:sz w:val="24"/>
          <w:szCs w:val="24"/>
        </w:rPr>
        <w:t>.</w:t>
      </w:r>
    </w:p>
    <w:p w14:paraId="1D8FFA62" w14:textId="0199A63E" w:rsidR="00136687" w:rsidRPr="00E82C90" w:rsidRDefault="00136687" w:rsidP="00136687">
      <w:pPr>
        <w:jc w:val="both"/>
        <w:rPr>
          <w:rFonts w:ascii="Times New Roman" w:hAnsi="Times New Roman" w:cs="Times New Roman"/>
          <w:noProof/>
          <w:sz w:val="24"/>
          <w:szCs w:val="24"/>
        </w:rPr>
      </w:pPr>
      <w:r w:rsidRPr="00E82C90">
        <w:rPr>
          <w:rFonts w:ascii="Times New Roman" w:hAnsi="Times New Roman"/>
          <w:b/>
          <w:bCs/>
          <w:noProof/>
          <w:sz w:val="24"/>
          <w:szCs w:val="24"/>
        </w:rPr>
        <w:t>Afryka jest kluczowym partnerem UE.</w:t>
      </w:r>
      <w:r w:rsidRPr="00E82C90">
        <w:rPr>
          <w:rFonts w:ascii="Times New Roman" w:hAnsi="Times New Roman"/>
          <w:noProof/>
          <w:sz w:val="24"/>
          <w:szCs w:val="24"/>
        </w:rPr>
        <w:t xml:space="preserve"> Oprócz celów polityki współpracy oczekuje się większego zaangażowania</w:t>
      </w:r>
      <w:r w:rsidR="00E82C90" w:rsidRPr="00E82C90">
        <w:rPr>
          <w:rFonts w:ascii="Times New Roman" w:hAnsi="Times New Roman"/>
          <w:noProof/>
          <w:sz w:val="24"/>
          <w:szCs w:val="24"/>
        </w:rPr>
        <w:t xml:space="preserve"> w han</w:t>
      </w:r>
      <w:r w:rsidRPr="00E82C90">
        <w:rPr>
          <w:rFonts w:ascii="Times New Roman" w:hAnsi="Times New Roman"/>
          <w:noProof/>
          <w:sz w:val="24"/>
          <w:szCs w:val="24"/>
        </w:rPr>
        <w:t>del</w:t>
      </w:r>
      <w:r w:rsidR="00E82C90" w:rsidRPr="00E82C90">
        <w:rPr>
          <w:rFonts w:ascii="Times New Roman" w:hAnsi="Times New Roman"/>
          <w:noProof/>
          <w:sz w:val="24"/>
          <w:szCs w:val="24"/>
        </w:rPr>
        <w:t xml:space="preserve"> i inw</w:t>
      </w:r>
      <w:r w:rsidRPr="00E82C90">
        <w:rPr>
          <w:rFonts w:ascii="Times New Roman" w:hAnsi="Times New Roman"/>
          <w:noProof/>
          <w:sz w:val="24"/>
          <w:szCs w:val="24"/>
        </w:rPr>
        <w:t>estycje</w:t>
      </w:r>
      <w:r w:rsidR="00E82C90" w:rsidRPr="00E82C90">
        <w:rPr>
          <w:rFonts w:ascii="Times New Roman" w:hAnsi="Times New Roman"/>
          <w:noProof/>
          <w:sz w:val="24"/>
          <w:szCs w:val="24"/>
        </w:rPr>
        <w:t xml:space="preserve"> z kra</w:t>
      </w:r>
      <w:r w:rsidRPr="00E82C90">
        <w:rPr>
          <w:rFonts w:ascii="Times New Roman" w:hAnsi="Times New Roman"/>
          <w:noProof/>
          <w:sz w:val="24"/>
          <w:szCs w:val="24"/>
        </w:rPr>
        <w:t>jami afrykańskimi, ponieważ stają się one coraz szybciej rozwijającymi się rynkami dla technologii energii ekologicznej. Kraje afrykańskie mogą również przyczynić się do bezpieczeństwa energetycznego UE – obecnie dzięki dostawom ropy naftowej i LNG,</w:t>
      </w:r>
      <w:r w:rsidR="00E82C90" w:rsidRPr="00E82C90">
        <w:rPr>
          <w:rFonts w:ascii="Times New Roman" w:hAnsi="Times New Roman"/>
          <w:noProof/>
          <w:sz w:val="24"/>
          <w:szCs w:val="24"/>
        </w:rPr>
        <w:t xml:space="preserve"> a w prz</w:t>
      </w:r>
      <w:r w:rsidRPr="00E82C90">
        <w:rPr>
          <w:rFonts w:ascii="Times New Roman" w:hAnsi="Times New Roman"/>
          <w:noProof/>
          <w:sz w:val="24"/>
          <w:szCs w:val="24"/>
        </w:rPr>
        <w:t>yszłości dzięki wodorowi odnawialnemu</w:t>
      </w:r>
      <w:r w:rsidR="00E82C90" w:rsidRPr="00E82C90">
        <w:rPr>
          <w:rFonts w:ascii="Times New Roman" w:hAnsi="Times New Roman"/>
          <w:noProof/>
          <w:sz w:val="24"/>
          <w:szCs w:val="24"/>
        </w:rPr>
        <w:t xml:space="preserve"> i pal</w:t>
      </w:r>
      <w:r w:rsidRPr="00E82C90">
        <w:rPr>
          <w:rFonts w:ascii="Times New Roman" w:hAnsi="Times New Roman"/>
          <w:noProof/>
          <w:sz w:val="24"/>
          <w:szCs w:val="24"/>
        </w:rPr>
        <w:t>iwom odnawialnym,</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surowcom</w:t>
      </w:r>
      <w:r w:rsidR="00E82C90" w:rsidRPr="00E82C90">
        <w:rPr>
          <w:rFonts w:ascii="Times New Roman" w:hAnsi="Times New Roman"/>
          <w:noProof/>
          <w:sz w:val="24"/>
          <w:szCs w:val="24"/>
        </w:rPr>
        <w:t xml:space="preserve"> o klu</w:t>
      </w:r>
      <w:r w:rsidRPr="00E82C90">
        <w:rPr>
          <w:rFonts w:ascii="Times New Roman" w:hAnsi="Times New Roman"/>
          <w:noProof/>
          <w:sz w:val="24"/>
          <w:szCs w:val="24"/>
        </w:rPr>
        <w:t xml:space="preserve">czowym znaczeniu dla ekologicznej transformacji energetycznej. </w:t>
      </w:r>
    </w:p>
    <w:p w14:paraId="3785312F" w14:textId="7403B94D" w:rsidR="001F5E34" w:rsidRPr="00E82C90" w:rsidRDefault="001F5E34" w:rsidP="00D74238">
      <w:pPr>
        <w:jc w:val="both"/>
        <w:rPr>
          <w:rFonts w:ascii="Times New Roman" w:hAnsi="Times New Roman" w:cs="Times New Roman"/>
          <w:noProof/>
          <w:sz w:val="24"/>
          <w:szCs w:val="24"/>
        </w:rPr>
      </w:pPr>
      <w:r w:rsidRPr="00E82C90">
        <w:rPr>
          <w:rFonts w:ascii="Times New Roman" w:hAnsi="Times New Roman"/>
          <w:noProof/>
          <w:sz w:val="24"/>
          <w:szCs w:val="24"/>
        </w:rPr>
        <w:t>UE będzie nadal współpracować</w:t>
      </w:r>
      <w:r w:rsidR="00E82C90" w:rsidRPr="00E82C90">
        <w:rPr>
          <w:rFonts w:ascii="Times New Roman" w:hAnsi="Times New Roman"/>
          <w:noProof/>
          <w:sz w:val="24"/>
          <w:szCs w:val="24"/>
        </w:rPr>
        <w:t xml:space="preserve"> z par</w:t>
      </w:r>
      <w:r w:rsidRPr="00E82C90">
        <w:rPr>
          <w:rFonts w:ascii="Times New Roman" w:hAnsi="Times New Roman"/>
          <w:noProof/>
          <w:sz w:val="24"/>
          <w:szCs w:val="24"/>
        </w:rPr>
        <w:t xml:space="preserve">tnerami, takimi jak </w:t>
      </w:r>
      <w:r w:rsidRPr="00E82C90">
        <w:rPr>
          <w:rFonts w:ascii="Times New Roman" w:hAnsi="Times New Roman"/>
          <w:b/>
          <w:bCs/>
          <w:noProof/>
          <w:sz w:val="24"/>
          <w:szCs w:val="24"/>
        </w:rPr>
        <w:t>Norwegia, Japonia, Australia, Chile, Zjednoczone Królestwo</w:t>
      </w:r>
      <w:r w:rsidR="00E82C90" w:rsidRPr="00E82C90">
        <w:rPr>
          <w:rFonts w:ascii="Times New Roman" w:hAnsi="Times New Roman"/>
          <w:noProof/>
          <w:sz w:val="24"/>
          <w:szCs w:val="24"/>
        </w:rPr>
        <w:t xml:space="preserve"> i inn</w:t>
      </w:r>
      <w:r w:rsidRPr="00E82C90">
        <w:rPr>
          <w:rFonts w:ascii="Times New Roman" w:hAnsi="Times New Roman"/>
          <w:noProof/>
          <w:sz w:val="24"/>
          <w:szCs w:val="24"/>
        </w:rPr>
        <w:t>e państwa,</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transformacji energetycznej</w:t>
      </w:r>
      <w:r w:rsidR="00E82C90" w:rsidRPr="00E82C90">
        <w:rPr>
          <w:rFonts w:ascii="Times New Roman" w:hAnsi="Times New Roman"/>
          <w:noProof/>
          <w:sz w:val="24"/>
          <w:szCs w:val="24"/>
        </w:rPr>
        <w:t xml:space="preserve"> i pri</w:t>
      </w:r>
      <w:r w:rsidRPr="00E82C90">
        <w:rPr>
          <w:rFonts w:ascii="Times New Roman" w:hAnsi="Times New Roman"/>
          <w:noProof/>
          <w:sz w:val="24"/>
          <w:szCs w:val="24"/>
        </w:rPr>
        <w:t>orytetów istotnych dla wszystkich stron. UE negocjuje obecnie umowę</w:t>
      </w:r>
      <w:r w:rsidR="00E82C90" w:rsidRPr="00E82C90">
        <w:rPr>
          <w:rFonts w:ascii="Times New Roman" w:hAnsi="Times New Roman"/>
          <w:noProof/>
          <w:sz w:val="24"/>
          <w:szCs w:val="24"/>
        </w:rPr>
        <w:t xml:space="preserve"> o wol</w:t>
      </w:r>
      <w:r w:rsidRPr="00E82C90">
        <w:rPr>
          <w:rFonts w:ascii="Times New Roman" w:hAnsi="Times New Roman"/>
          <w:noProof/>
          <w:sz w:val="24"/>
          <w:szCs w:val="24"/>
        </w:rPr>
        <w:t>nym handlu</w:t>
      </w:r>
      <w:r w:rsidR="00E82C90" w:rsidRPr="00E82C90">
        <w:rPr>
          <w:rFonts w:ascii="Times New Roman" w:hAnsi="Times New Roman"/>
          <w:noProof/>
          <w:sz w:val="24"/>
          <w:szCs w:val="24"/>
        </w:rPr>
        <w:t xml:space="preserve"> z </w:t>
      </w:r>
      <w:r w:rsidR="00E82C90" w:rsidRPr="00E82C90">
        <w:rPr>
          <w:rFonts w:ascii="Times New Roman" w:hAnsi="Times New Roman"/>
          <w:b/>
          <w:bCs/>
          <w:noProof/>
          <w:sz w:val="24"/>
          <w:szCs w:val="24"/>
        </w:rPr>
        <w:t>Aus</w:t>
      </w:r>
      <w:r w:rsidRPr="00E82C90">
        <w:rPr>
          <w:rFonts w:ascii="Times New Roman" w:hAnsi="Times New Roman"/>
          <w:b/>
          <w:bCs/>
          <w:noProof/>
          <w:sz w:val="24"/>
          <w:szCs w:val="24"/>
        </w:rPr>
        <w:t>tralią</w:t>
      </w:r>
      <w:r w:rsidRPr="00E82C90">
        <w:rPr>
          <w:rFonts w:ascii="Times New Roman" w:hAnsi="Times New Roman"/>
          <w:noProof/>
          <w:sz w:val="24"/>
          <w:szCs w:val="24"/>
        </w:rPr>
        <w:t>. Jako że Australia jest znaczącym przyszłym producentem wodoru odnawialnego, wzmocnienie powiązań energetycznych</w:t>
      </w:r>
      <w:r w:rsidR="00E82C90" w:rsidRPr="00E82C90">
        <w:rPr>
          <w:rFonts w:ascii="Times New Roman" w:hAnsi="Times New Roman"/>
          <w:noProof/>
          <w:sz w:val="24"/>
          <w:szCs w:val="24"/>
        </w:rPr>
        <w:t xml:space="preserve"> z tym</w:t>
      </w:r>
      <w:r w:rsidRPr="00E82C90">
        <w:rPr>
          <w:rFonts w:ascii="Times New Roman" w:hAnsi="Times New Roman"/>
          <w:noProof/>
          <w:sz w:val="24"/>
          <w:szCs w:val="24"/>
        </w:rPr>
        <w:t xml:space="preserve"> państwem powinno być priorytetem. Oczekuje się, że Chile również stanie się</w:t>
      </w:r>
      <w:r w:rsidR="00E82C90" w:rsidRPr="00E82C90">
        <w:rPr>
          <w:rFonts w:ascii="Times New Roman" w:hAnsi="Times New Roman"/>
          <w:noProof/>
          <w:sz w:val="24"/>
          <w:szCs w:val="24"/>
        </w:rPr>
        <w:t xml:space="preserve"> w prz</w:t>
      </w:r>
      <w:r w:rsidRPr="00E82C90">
        <w:rPr>
          <w:rFonts w:ascii="Times New Roman" w:hAnsi="Times New Roman"/>
          <w:noProof/>
          <w:sz w:val="24"/>
          <w:szCs w:val="24"/>
        </w:rPr>
        <w:t>yszłości dużym producentem wodoru odnawialnego,</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dostawcą surowców krytycznych, takich jak lit.</w:t>
      </w:r>
    </w:p>
    <w:p w14:paraId="0BBC98AA" w14:textId="4E2FBE18" w:rsidR="00136687" w:rsidRPr="00E82C90" w:rsidRDefault="00136687" w:rsidP="00136687">
      <w:pPr>
        <w:spacing w:after="240"/>
        <w:jc w:val="both"/>
        <w:rPr>
          <w:rFonts w:ascii="Times New Roman" w:hAnsi="Times New Roman" w:cs="Times New Roman"/>
          <w:noProof/>
          <w:sz w:val="24"/>
          <w:szCs w:val="24"/>
        </w:rPr>
      </w:pPr>
      <w:r w:rsidRPr="00E82C90">
        <w:rPr>
          <w:rFonts w:ascii="Times New Roman" w:hAnsi="Times New Roman"/>
          <w:noProof/>
          <w:sz w:val="24"/>
          <w:szCs w:val="24"/>
        </w:rPr>
        <w:t xml:space="preserve">W ramach </w:t>
      </w:r>
      <w:r w:rsidRPr="00E82C90">
        <w:rPr>
          <w:rFonts w:ascii="Times New Roman" w:hAnsi="Times New Roman"/>
          <w:b/>
          <w:bCs/>
          <w:noProof/>
          <w:sz w:val="24"/>
          <w:szCs w:val="24"/>
        </w:rPr>
        <w:t>partnerstwa UE–Indie na rzecz czystej energii</w:t>
      </w:r>
      <w:r w:rsidR="00E82C90" w:rsidRPr="00E82C90">
        <w:rPr>
          <w:rFonts w:ascii="Times New Roman" w:hAnsi="Times New Roman"/>
          <w:b/>
          <w:bCs/>
          <w:noProof/>
          <w:sz w:val="24"/>
          <w:szCs w:val="24"/>
        </w:rPr>
        <w:t xml:space="preserve"> i kli</w:t>
      </w:r>
      <w:r w:rsidRPr="00E82C90">
        <w:rPr>
          <w:rFonts w:ascii="Times New Roman" w:hAnsi="Times New Roman"/>
          <w:b/>
          <w:bCs/>
          <w:noProof/>
          <w:sz w:val="24"/>
          <w:szCs w:val="24"/>
        </w:rPr>
        <w:t>matu</w:t>
      </w:r>
      <w:r w:rsidRPr="00E82C90">
        <w:rPr>
          <w:rFonts w:ascii="Times New Roman" w:hAnsi="Times New Roman"/>
          <w:noProof/>
          <w:sz w:val="24"/>
          <w:szCs w:val="24"/>
        </w:rPr>
        <w:t xml:space="preserve"> UE zintensyfikuje współpracę</w:t>
      </w:r>
      <w:r w:rsidR="00E82C90" w:rsidRPr="00E82C90">
        <w:rPr>
          <w:rFonts w:ascii="Times New Roman" w:hAnsi="Times New Roman"/>
          <w:noProof/>
          <w:sz w:val="24"/>
          <w:szCs w:val="24"/>
        </w:rPr>
        <w:t xml:space="preserve"> z Ind</w:t>
      </w:r>
      <w:r w:rsidRPr="00E82C90">
        <w:rPr>
          <w:rFonts w:ascii="Times New Roman" w:hAnsi="Times New Roman"/>
          <w:noProof/>
          <w:sz w:val="24"/>
          <w:szCs w:val="24"/>
        </w:rPr>
        <w:t>iami</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energii, aby przyspieszyć lokalne wdrażanie odnawialnych źródeł energii</w:t>
      </w:r>
      <w:r w:rsidR="00E82C90" w:rsidRPr="00E82C90">
        <w:rPr>
          <w:rFonts w:ascii="Times New Roman" w:hAnsi="Times New Roman"/>
          <w:noProof/>
          <w:sz w:val="24"/>
          <w:szCs w:val="24"/>
        </w:rPr>
        <w:t xml:space="preserve"> i szy</w:t>
      </w:r>
      <w:r w:rsidRPr="00E82C90">
        <w:rPr>
          <w:rFonts w:ascii="Times New Roman" w:hAnsi="Times New Roman"/>
          <w:noProof/>
          <w:sz w:val="24"/>
          <w:szCs w:val="24"/>
        </w:rPr>
        <w:t>bką dekarbonizację przemysłu. UE będzie wspierać wspólne działania</w:t>
      </w:r>
      <w:r w:rsidR="00E82C90" w:rsidRPr="00E82C90">
        <w:rPr>
          <w:rFonts w:ascii="Times New Roman" w:hAnsi="Times New Roman"/>
          <w:noProof/>
          <w:sz w:val="24"/>
          <w:szCs w:val="24"/>
        </w:rPr>
        <w:t xml:space="preserve"> w dzi</w:t>
      </w:r>
      <w:r w:rsidRPr="00E82C90">
        <w:rPr>
          <w:rFonts w:ascii="Times New Roman" w:hAnsi="Times New Roman"/>
          <w:noProof/>
          <w:sz w:val="24"/>
          <w:szCs w:val="24"/>
        </w:rPr>
        <w:t>edzinie morskiej energii wiatrowej</w:t>
      </w:r>
      <w:r w:rsidR="00E82C90" w:rsidRPr="00E82C90">
        <w:rPr>
          <w:rFonts w:ascii="Times New Roman" w:hAnsi="Times New Roman"/>
          <w:noProof/>
          <w:sz w:val="24"/>
          <w:szCs w:val="24"/>
        </w:rPr>
        <w:t xml:space="preserve"> i sło</w:t>
      </w:r>
      <w:r w:rsidRPr="00E82C90">
        <w:rPr>
          <w:rFonts w:ascii="Times New Roman" w:hAnsi="Times New Roman"/>
          <w:noProof/>
          <w:sz w:val="24"/>
          <w:szCs w:val="24"/>
        </w:rPr>
        <w:t xml:space="preserve">necznej oraz ich integracji za pośrednictwem inteligentnych sieci energetycznych. </w:t>
      </w:r>
    </w:p>
    <w:p w14:paraId="5D397B43" w14:textId="3F58F24C" w:rsidR="00136687" w:rsidRPr="00E82C90" w:rsidRDefault="00136687" w:rsidP="00136687">
      <w:pPr>
        <w:spacing w:after="240"/>
        <w:jc w:val="both"/>
        <w:rPr>
          <w:rFonts w:ascii="Times New Roman" w:hAnsi="Times New Roman" w:cs="Times New Roman"/>
          <w:noProof/>
          <w:sz w:val="24"/>
          <w:szCs w:val="24"/>
        </w:rPr>
      </w:pPr>
      <w:r w:rsidRPr="00E82C90">
        <w:rPr>
          <w:rFonts w:ascii="Times New Roman" w:hAnsi="Times New Roman"/>
          <w:noProof/>
          <w:sz w:val="24"/>
          <w:szCs w:val="24"/>
        </w:rPr>
        <w:t>UE kontynuuje współpracę</w:t>
      </w:r>
      <w:r w:rsidR="00E82C90" w:rsidRPr="00E82C90">
        <w:rPr>
          <w:rFonts w:ascii="Times New Roman" w:hAnsi="Times New Roman"/>
          <w:noProof/>
          <w:sz w:val="24"/>
          <w:szCs w:val="24"/>
        </w:rPr>
        <w:t xml:space="preserve"> z </w:t>
      </w:r>
      <w:r w:rsidR="00E82C90" w:rsidRPr="00E82C90">
        <w:rPr>
          <w:rFonts w:ascii="Times New Roman" w:hAnsi="Times New Roman"/>
          <w:b/>
          <w:bCs/>
          <w:noProof/>
          <w:sz w:val="24"/>
          <w:szCs w:val="24"/>
        </w:rPr>
        <w:t>Chi</w:t>
      </w:r>
      <w:r w:rsidRPr="00E82C90">
        <w:rPr>
          <w:rFonts w:ascii="Times New Roman" w:hAnsi="Times New Roman"/>
          <w:b/>
          <w:bCs/>
          <w:noProof/>
          <w:sz w:val="24"/>
          <w:szCs w:val="24"/>
        </w:rPr>
        <w:t>nami</w:t>
      </w:r>
      <w:r w:rsidR="00E82C90" w:rsidRPr="00E82C90">
        <w:rPr>
          <w:rFonts w:ascii="Times New Roman" w:hAnsi="Times New Roman"/>
          <w:b/>
          <w:bCs/>
          <w:noProof/>
          <w:sz w:val="24"/>
          <w:szCs w:val="24"/>
        </w:rPr>
        <w:t xml:space="preserve"> </w:t>
      </w:r>
      <w:r w:rsidR="00E82C90" w:rsidRPr="00E82C90">
        <w:rPr>
          <w:rFonts w:ascii="Times New Roman" w:hAnsi="Times New Roman"/>
          <w:noProof/>
          <w:sz w:val="24"/>
          <w:szCs w:val="24"/>
        </w:rPr>
        <w:t>w</w:t>
      </w:r>
      <w:r w:rsidR="00E82C90" w:rsidRPr="00E82C90">
        <w:rPr>
          <w:rFonts w:ascii="Times New Roman" w:hAnsi="Times New Roman"/>
          <w:b/>
          <w:bCs/>
          <w:noProof/>
          <w:sz w:val="24"/>
          <w:szCs w:val="24"/>
        </w:rPr>
        <w:t> </w:t>
      </w:r>
      <w:r w:rsidR="00E82C90" w:rsidRPr="00E82C90">
        <w:rPr>
          <w:rFonts w:ascii="Times New Roman" w:hAnsi="Times New Roman"/>
          <w:noProof/>
          <w:sz w:val="24"/>
          <w:szCs w:val="24"/>
        </w:rPr>
        <w:t>obs</w:t>
      </w:r>
      <w:r w:rsidRPr="00E82C90">
        <w:rPr>
          <w:rFonts w:ascii="Times New Roman" w:hAnsi="Times New Roman"/>
          <w:noProof/>
          <w:sz w:val="24"/>
          <w:szCs w:val="24"/>
        </w:rPr>
        <w:t>zarach dekarbonizacji, reformy rynku energetycznego oraz podniesienia skuteczności</w:t>
      </w:r>
      <w:r w:rsidR="00E82C90" w:rsidRPr="00E82C90">
        <w:rPr>
          <w:rFonts w:ascii="Times New Roman" w:hAnsi="Times New Roman"/>
          <w:noProof/>
          <w:sz w:val="24"/>
          <w:szCs w:val="24"/>
        </w:rPr>
        <w:t xml:space="preserve"> i wyd</w:t>
      </w:r>
      <w:r w:rsidRPr="00E82C90">
        <w:rPr>
          <w:rFonts w:ascii="Times New Roman" w:hAnsi="Times New Roman"/>
          <w:noProof/>
          <w:sz w:val="24"/>
          <w:szCs w:val="24"/>
        </w:rPr>
        <w:t>ajności systemu energetycznego. Współpraca będzie się koncentrować na systemach handlu emisjami, systemach elektroenergetycznych, modelowaniu sieci, finansowaniu efektywności energetycznej</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 xml:space="preserve">ółpracy biznesowej. </w:t>
      </w:r>
    </w:p>
    <w:p w14:paraId="013A9A73" w14:textId="244869FD" w:rsidR="00136687" w:rsidRPr="00E82C90" w:rsidRDefault="00136687" w:rsidP="00CD775B">
      <w:pPr>
        <w:spacing w:before="120" w:after="120"/>
        <w:jc w:val="both"/>
        <w:rPr>
          <w:rFonts w:ascii="Times New Roman" w:hAnsi="Times New Roman" w:cs="Times New Roman"/>
          <w:b/>
          <w:bCs/>
          <w:noProof/>
          <w:color w:val="1F497D"/>
          <w:sz w:val="24"/>
          <w:szCs w:val="24"/>
          <w:highlight w:val="yellow"/>
          <w:u w:val="single"/>
        </w:rPr>
      </w:pPr>
      <w:r w:rsidRPr="00E82C90">
        <w:rPr>
          <w:rFonts w:ascii="Times New Roman" w:hAnsi="Times New Roman"/>
          <w:noProof/>
          <w:sz w:val="24"/>
          <w:szCs w:val="24"/>
        </w:rPr>
        <w:t xml:space="preserve">Jak określono we </w:t>
      </w:r>
      <w:r w:rsidRPr="00E82C90">
        <w:rPr>
          <w:rFonts w:ascii="Times New Roman" w:hAnsi="Times New Roman"/>
          <w:b/>
          <w:bCs/>
          <w:noProof/>
          <w:sz w:val="24"/>
          <w:szCs w:val="24"/>
        </w:rPr>
        <w:t>wspólnym komunikacie</w:t>
      </w:r>
      <w:r w:rsidR="00E82C90" w:rsidRPr="00E82C90">
        <w:rPr>
          <w:rFonts w:ascii="Times New Roman" w:hAnsi="Times New Roman"/>
          <w:b/>
          <w:bCs/>
          <w:noProof/>
          <w:sz w:val="24"/>
          <w:szCs w:val="24"/>
        </w:rPr>
        <w:t xml:space="preserve"> w spr</w:t>
      </w:r>
      <w:r w:rsidRPr="00E82C90">
        <w:rPr>
          <w:rFonts w:ascii="Times New Roman" w:hAnsi="Times New Roman"/>
          <w:b/>
          <w:bCs/>
          <w:noProof/>
          <w:sz w:val="24"/>
          <w:szCs w:val="24"/>
        </w:rPr>
        <w:t>awie Zatoki Perskiej</w:t>
      </w:r>
      <w:r w:rsidRPr="00E82C90">
        <w:rPr>
          <w:rStyle w:val="FootnoteReference"/>
          <w:rFonts w:ascii="Times New Roman" w:hAnsi="Times New Roman" w:cs="Times New Roman"/>
          <w:b/>
          <w:bCs/>
          <w:noProof/>
          <w:sz w:val="24"/>
          <w:szCs w:val="24"/>
        </w:rPr>
        <w:footnoteReference w:id="23"/>
      </w:r>
      <w:r w:rsidRPr="00E82C90">
        <w:rPr>
          <w:rFonts w:ascii="Times New Roman" w:hAnsi="Times New Roman"/>
          <w:noProof/>
          <w:sz w:val="24"/>
          <w:szCs w:val="24"/>
        </w:rPr>
        <w:t>, UE zintensyfikuje również współpracę</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stwami Zatoki Perskiej</w:t>
      </w:r>
      <w:r w:rsidR="00E82C90" w:rsidRPr="00E82C90">
        <w:rPr>
          <w:rFonts w:ascii="Times New Roman" w:hAnsi="Times New Roman"/>
          <w:noProof/>
          <w:sz w:val="24"/>
          <w:szCs w:val="24"/>
        </w:rPr>
        <w:t xml:space="preserve"> w cel</w:t>
      </w:r>
      <w:r w:rsidRPr="00E82C90">
        <w:rPr>
          <w:rFonts w:ascii="Times New Roman" w:hAnsi="Times New Roman"/>
          <w:noProof/>
          <w:sz w:val="24"/>
          <w:szCs w:val="24"/>
        </w:rPr>
        <w:t>u wspierania ekologicznej transformacji energetycznej,</w:t>
      </w:r>
      <w:r w:rsidR="00E82C90" w:rsidRPr="00E82C90">
        <w:rPr>
          <w:rFonts w:ascii="Times New Roman" w:hAnsi="Times New Roman"/>
          <w:noProof/>
          <w:sz w:val="24"/>
          <w:szCs w:val="24"/>
        </w:rPr>
        <w:t xml:space="preserve"> w tym</w:t>
      </w:r>
      <w:r w:rsidRPr="00E82C90">
        <w:rPr>
          <w:rFonts w:ascii="Times New Roman" w:hAnsi="Times New Roman"/>
          <w:noProof/>
          <w:sz w:val="24"/>
          <w:szCs w:val="24"/>
        </w:rPr>
        <w:t xml:space="preserve"> inwestycji</w:t>
      </w:r>
      <w:r w:rsidR="00E82C90" w:rsidRPr="00E82C90">
        <w:rPr>
          <w:rFonts w:ascii="Times New Roman" w:hAnsi="Times New Roman"/>
          <w:noProof/>
          <w:sz w:val="24"/>
          <w:szCs w:val="24"/>
        </w:rPr>
        <w:t xml:space="preserve"> w poł</w:t>
      </w:r>
      <w:r w:rsidRPr="00E82C90">
        <w:rPr>
          <w:rFonts w:ascii="Times New Roman" w:hAnsi="Times New Roman"/>
          <w:noProof/>
          <w:sz w:val="24"/>
          <w:szCs w:val="24"/>
        </w:rPr>
        <w:t>udniowym sąsiedztwie. Aby lepiej ustrukturyzować współpracę</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stwami Zatoki Perskiej, Komisja zaproponowała organizowanie corocznych spotkań ministerialnych poświęconych transformacji ekologicznej, uzupełnionych</w:t>
      </w:r>
      <w:r w:rsidR="00E82C90" w:rsidRPr="00E82C90">
        <w:rPr>
          <w:rFonts w:ascii="Times New Roman" w:hAnsi="Times New Roman"/>
          <w:noProof/>
          <w:sz w:val="24"/>
          <w:szCs w:val="24"/>
        </w:rPr>
        <w:t xml:space="preserve"> o pow</w:t>
      </w:r>
      <w:r w:rsidRPr="00E82C90">
        <w:rPr>
          <w:rFonts w:ascii="Times New Roman" w:hAnsi="Times New Roman"/>
          <w:noProof/>
          <w:sz w:val="24"/>
          <w:szCs w:val="24"/>
        </w:rPr>
        <w:t>iązane inicjatywy sektora prywatnego.</w:t>
      </w:r>
    </w:p>
    <w:p w14:paraId="4043F0D7" w14:textId="51DC2FDE" w:rsidR="00136687" w:rsidRPr="00E82C90" w:rsidRDefault="00136687" w:rsidP="007F7437">
      <w:pPr>
        <w:jc w:val="both"/>
        <w:rPr>
          <w:rFonts w:ascii="Times New Roman" w:hAnsi="Times New Roman" w:cs="Times New Roman"/>
          <w:noProof/>
          <w:sz w:val="24"/>
          <w:szCs w:val="24"/>
        </w:rPr>
      </w:pPr>
      <w:r w:rsidRPr="00E82C90">
        <w:rPr>
          <w:rFonts w:ascii="Times New Roman" w:hAnsi="Times New Roman"/>
          <w:b/>
          <w:bCs/>
          <w:noProof/>
          <w:sz w:val="24"/>
          <w:szCs w:val="24"/>
        </w:rPr>
        <w:t>Azja Środkowa</w:t>
      </w:r>
      <w:r w:rsidRPr="00E82C90">
        <w:rPr>
          <w:rFonts w:ascii="Times New Roman" w:hAnsi="Times New Roman"/>
          <w:noProof/>
          <w:sz w:val="24"/>
          <w:szCs w:val="24"/>
        </w:rPr>
        <w:t xml:space="preserve"> jest kluczowym regionem bogatym</w:t>
      </w:r>
      <w:r w:rsidR="00E82C90" w:rsidRPr="00E82C90">
        <w:rPr>
          <w:rFonts w:ascii="Times New Roman" w:hAnsi="Times New Roman"/>
          <w:noProof/>
          <w:sz w:val="24"/>
          <w:szCs w:val="24"/>
        </w:rPr>
        <w:t xml:space="preserve"> w zas</w:t>
      </w:r>
      <w:r w:rsidRPr="00E82C90">
        <w:rPr>
          <w:rFonts w:ascii="Times New Roman" w:hAnsi="Times New Roman"/>
          <w:noProof/>
          <w:sz w:val="24"/>
          <w:szCs w:val="24"/>
        </w:rPr>
        <w:t>oby. Wykorzystując potencjał tego regionu</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energii słonecznej, wiatrowej</w:t>
      </w:r>
      <w:r w:rsidR="00E82C90" w:rsidRPr="00E82C90">
        <w:rPr>
          <w:rFonts w:ascii="Times New Roman" w:hAnsi="Times New Roman"/>
          <w:noProof/>
          <w:sz w:val="24"/>
          <w:szCs w:val="24"/>
        </w:rPr>
        <w:t xml:space="preserve"> i wod</w:t>
      </w:r>
      <w:r w:rsidRPr="00E82C90">
        <w:rPr>
          <w:rFonts w:ascii="Times New Roman" w:hAnsi="Times New Roman"/>
          <w:noProof/>
          <w:sz w:val="24"/>
          <w:szCs w:val="24"/>
        </w:rPr>
        <w:t>nej, UE będzie zachęcać Azję Środkową do reform sektora energetycznego</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ejścia na gospodarkę niskoemisyjną,</w:t>
      </w:r>
      <w:r w:rsidR="00E82C90" w:rsidRPr="00E82C90">
        <w:rPr>
          <w:rFonts w:ascii="Times New Roman" w:hAnsi="Times New Roman"/>
          <w:noProof/>
          <w:sz w:val="24"/>
          <w:szCs w:val="24"/>
        </w:rPr>
        <w:t xml:space="preserve"> a tak</w:t>
      </w:r>
      <w:r w:rsidRPr="00E82C90">
        <w:rPr>
          <w:rFonts w:ascii="Times New Roman" w:hAnsi="Times New Roman"/>
          <w:noProof/>
          <w:sz w:val="24"/>
          <w:szCs w:val="24"/>
        </w:rPr>
        <w:t>że do współpracy</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 xml:space="preserve">stwami takimi jak </w:t>
      </w:r>
      <w:r w:rsidRPr="00E82C90">
        <w:rPr>
          <w:rFonts w:ascii="Times New Roman" w:hAnsi="Times New Roman"/>
          <w:b/>
          <w:bCs/>
          <w:noProof/>
          <w:sz w:val="24"/>
          <w:szCs w:val="24"/>
        </w:rPr>
        <w:t>Kazachstan</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 xml:space="preserve">resie surowców krytycznych. </w:t>
      </w:r>
    </w:p>
    <w:p w14:paraId="097B3164" w14:textId="3958B3E8" w:rsidR="00F71CE0" w:rsidRPr="00E82C90" w:rsidRDefault="00F71CE0" w:rsidP="00AA5D14">
      <w:pPr>
        <w:pStyle w:val="Heading1"/>
        <w:numPr>
          <w:ilvl w:val="1"/>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Geopolityka</w:t>
      </w:r>
      <w:r w:rsidR="00E82C90" w:rsidRPr="00E82C90">
        <w:rPr>
          <w:rFonts w:ascii="Times New Roman" w:hAnsi="Times New Roman"/>
          <w:b/>
          <w:noProof/>
          <w:color w:val="auto"/>
          <w:sz w:val="24"/>
          <w:szCs w:val="24"/>
        </w:rPr>
        <w:t xml:space="preserve"> i glo</w:t>
      </w:r>
      <w:r w:rsidRPr="00E82C90">
        <w:rPr>
          <w:rFonts w:ascii="Times New Roman" w:hAnsi="Times New Roman"/>
          <w:b/>
          <w:noProof/>
          <w:color w:val="auto"/>
          <w:sz w:val="24"/>
          <w:szCs w:val="24"/>
        </w:rPr>
        <w:t>balna architektura energetyczna</w:t>
      </w:r>
    </w:p>
    <w:p w14:paraId="56227AA1" w14:textId="4A1FF63A" w:rsidR="009938BC" w:rsidRPr="00E82C90" w:rsidRDefault="009938BC" w:rsidP="009938BC">
      <w:pPr>
        <w:spacing w:after="240"/>
        <w:jc w:val="both"/>
        <w:rPr>
          <w:rFonts w:ascii="Times New Roman" w:hAnsi="Times New Roman" w:cs="Times New Roman"/>
          <w:noProof/>
          <w:sz w:val="24"/>
          <w:szCs w:val="24"/>
        </w:rPr>
      </w:pPr>
      <w:r w:rsidRPr="00E82C90">
        <w:rPr>
          <w:rFonts w:ascii="Times New Roman" w:hAnsi="Times New Roman"/>
          <w:noProof/>
          <w:sz w:val="24"/>
          <w:szCs w:val="24"/>
        </w:rPr>
        <w:t>Inwazja Rosji na Ukrainę</w:t>
      </w:r>
      <w:r w:rsidR="00E82C90" w:rsidRPr="00E82C90">
        <w:rPr>
          <w:rFonts w:ascii="Times New Roman" w:hAnsi="Times New Roman"/>
          <w:noProof/>
          <w:sz w:val="24"/>
          <w:szCs w:val="24"/>
        </w:rPr>
        <w:t xml:space="preserve"> w bru</w:t>
      </w:r>
      <w:r w:rsidRPr="00E82C90">
        <w:rPr>
          <w:rFonts w:ascii="Times New Roman" w:hAnsi="Times New Roman"/>
          <w:noProof/>
          <w:sz w:val="24"/>
          <w:szCs w:val="24"/>
        </w:rPr>
        <w:t>talny sposób przypomina, że świat jest naznaczony rywalizacją głównych potęg geopolitycznych</w:t>
      </w:r>
      <w:r w:rsidR="00E82C90" w:rsidRPr="00E82C90">
        <w:rPr>
          <w:rFonts w:ascii="Times New Roman" w:hAnsi="Times New Roman"/>
          <w:noProof/>
          <w:sz w:val="24"/>
          <w:szCs w:val="24"/>
        </w:rPr>
        <w:t xml:space="preserve"> i gos</w:t>
      </w:r>
      <w:r w:rsidRPr="00E82C90">
        <w:rPr>
          <w:rFonts w:ascii="Times New Roman" w:hAnsi="Times New Roman"/>
          <w:noProof/>
          <w:sz w:val="24"/>
          <w:szCs w:val="24"/>
        </w:rPr>
        <w:t>podarczych. Jeśli nie zostanie zachowana równowaga, stosunki między głównymi mocarstwami mogą stać się coraz bardziej konfrontacyjne</w:t>
      </w:r>
      <w:r w:rsidR="00E82C90" w:rsidRPr="00E82C90">
        <w:rPr>
          <w:rFonts w:ascii="Times New Roman" w:hAnsi="Times New Roman"/>
          <w:noProof/>
          <w:sz w:val="24"/>
          <w:szCs w:val="24"/>
        </w:rPr>
        <w:t xml:space="preserve"> i jed</w:t>
      </w:r>
      <w:r w:rsidRPr="00E82C90">
        <w:rPr>
          <w:rFonts w:ascii="Times New Roman" w:hAnsi="Times New Roman"/>
          <w:noProof/>
          <w:sz w:val="24"/>
          <w:szCs w:val="24"/>
        </w:rPr>
        <w:t>nostronne, co doprowadzi do powstania konkurujących ze sobą wizji</w:t>
      </w:r>
      <w:r w:rsidR="00E82C90" w:rsidRPr="00E82C90">
        <w:rPr>
          <w:rFonts w:ascii="Times New Roman" w:hAnsi="Times New Roman"/>
          <w:noProof/>
          <w:sz w:val="24"/>
          <w:szCs w:val="24"/>
        </w:rPr>
        <w:t xml:space="preserve"> i pro</w:t>
      </w:r>
      <w:r w:rsidRPr="00E82C90">
        <w:rPr>
          <w:rFonts w:ascii="Times New Roman" w:hAnsi="Times New Roman"/>
          <w:noProof/>
          <w:sz w:val="24"/>
          <w:szCs w:val="24"/>
        </w:rPr>
        <w:t>gramów.</w:t>
      </w:r>
    </w:p>
    <w:p w14:paraId="03C76043" w14:textId="1D9EFDE7" w:rsidR="009938BC" w:rsidRPr="00E82C90" w:rsidRDefault="009938BC" w:rsidP="009938BC">
      <w:pPr>
        <w:spacing w:after="240"/>
        <w:jc w:val="both"/>
        <w:rPr>
          <w:rFonts w:ascii="Times New Roman" w:hAnsi="Times New Roman" w:cs="Times New Roman"/>
          <w:noProof/>
          <w:sz w:val="24"/>
          <w:szCs w:val="24"/>
        </w:rPr>
      </w:pPr>
      <w:r w:rsidRPr="00E82C90">
        <w:rPr>
          <w:rFonts w:ascii="Times New Roman" w:hAnsi="Times New Roman"/>
          <w:b/>
          <w:bCs/>
          <w:noProof/>
          <w:sz w:val="24"/>
          <w:szCs w:val="24"/>
        </w:rPr>
        <w:t>Globalna ekologiczna transformacja energetyczna może pomóc UE</w:t>
      </w:r>
      <w:r w:rsidR="00E82C90" w:rsidRPr="00E82C90">
        <w:rPr>
          <w:rFonts w:ascii="Times New Roman" w:hAnsi="Times New Roman"/>
          <w:b/>
          <w:bCs/>
          <w:noProof/>
          <w:sz w:val="24"/>
          <w:szCs w:val="24"/>
        </w:rPr>
        <w:t xml:space="preserve"> w rea</w:t>
      </w:r>
      <w:r w:rsidRPr="00E82C90">
        <w:rPr>
          <w:rFonts w:ascii="Times New Roman" w:hAnsi="Times New Roman"/>
          <w:b/>
          <w:bCs/>
          <w:noProof/>
          <w:sz w:val="24"/>
          <w:szCs w:val="24"/>
        </w:rPr>
        <w:t>lizacji szerszych celów geopolitycznych, polegających na wzmocnieniu odporności</w:t>
      </w:r>
      <w:r w:rsidR="00E82C90" w:rsidRPr="00E82C90">
        <w:rPr>
          <w:rFonts w:ascii="Times New Roman" w:hAnsi="Times New Roman"/>
          <w:b/>
          <w:bCs/>
          <w:noProof/>
          <w:sz w:val="24"/>
          <w:szCs w:val="24"/>
        </w:rPr>
        <w:t xml:space="preserve"> i zap</w:t>
      </w:r>
      <w:r w:rsidRPr="00E82C90">
        <w:rPr>
          <w:rFonts w:ascii="Times New Roman" w:hAnsi="Times New Roman"/>
          <w:b/>
          <w:bCs/>
          <w:noProof/>
          <w:sz w:val="24"/>
          <w:szCs w:val="24"/>
        </w:rPr>
        <w:t>ewnieniu otwartej strategicznej autonomii.</w:t>
      </w:r>
      <w:r w:rsidRPr="00E82C90">
        <w:rPr>
          <w:rFonts w:ascii="Times New Roman" w:hAnsi="Times New Roman"/>
          <w:noProof/>
          <w:sz w:val="24"/>
          <w:szCs w:val="24"/>
        </w:rPr>
        <w:t xml:space="preserve"> Komisja Europejska</w:t>
      </w:r>
      <w:r w:rsidR="00E82C90" w:rsidRPr="00E82C90">
        <w:rPr>
          <w:rFonts w:ascii="Times New Roman" w:hAnsi="Times New Roman"/>
          <w:noProof/>
          <w:sz w:val="24"/>
          <w:szCs w:val="24"/>
        </w:rPr>
        <w:t xml:space="preserve"> i Wys</w:t>
      </w:r>
      <w:r w:rsidRPr="00E82C90">
        <w:rPr>
          <w:rFonts w:ascii="Times New Roman" w:hAnsi="Times New Roman"/>
          <w:noProof/>
          <w:sz w:val="24"/>
          <w:szCs w:val="24"/>
        </w:rPr>
        <w:t>oki Przedstawiciel będą promować cele UE</w:t>
      </w:r>
      <w:r w:rsidR="00E82C90" w:rsidRPr="00E82C90">
        <w:rPr>
          <w:rFonts w:ascii="Times New Roman" w:hAnsi="Times New Roman"/>
          <w:noProof/>
          <w:sz w:val="24"/>
          <w:szCs w:val="24"/>
        </w:rPr>
        <w:t xml:space="preserve"> w zak</w:t>
      </w:r>
      <w:r w:rsidRPr="00E82C90">
        <w:rPr>
          <w:rFonts w:ascii="Times New Roman" w:hAnsi="Times New Roman"/>
          <w:noProof/>
          <w:sz w:val="24"/>
          <w:szCs w:val="24"/>
        </w:rPr>
        <w:t>resie energii poprzez zwiększenie roli dyplomacji energetycznej</w:t>
      </w:r>
      <w:r w:rsidR="00E82C90" w:rsidRPr="00E82C90">
        <w:rPr>
          <w:rFonts w:ascii="Times New Roman" w:hAnsi="Times New Roman"/>
          <w:noProof/>
          <w:sz w:val="24"/>
          <w:szCs w:val="24"/>
        </w:rPr>
        <w:t xml:space="preserve"> w pol</w:t>
      </w:r>
      <w:r w:rsidRPr="00E82C90">
        <w:rPr>
          <w:rFonts w:ascii="Times New Roman" w:hAnsi="Times New Roman"/>
          <w:noProof/>
          <w:sz w:val="24"/>
          <w:szCs w:val="24"/>
        </w:rPr>
        <w:t>ityce zagranicznej</w:t>
      </w:r>
      <w:r w:rsidR="00E82C90" w:rsidRPr="00E82C90">
        <w:rPr>
          <w:rFonts w:ascii="Times New Roman" w:hAnsi="Times New Roman"/>
          <w:noProof/>
          <w:sz w:val="24"/>
          <w:szCs w:val="24"/>
        </w:rPr>
        <w:t xml:space="preserve"> i bez</w:t>
      </w:r>
      <w:r w:rsidRPr="00E82C90">
        <w:rPr>
          <w:rFonts w:ascii="Times New Roman" w:hAnsi="Times New Roman"/>
          <w:noProof/>
          <w:sz w:val="24"/>
          <w:szCs w:val="24"/>
        </w:rPr>
        <w:t>pieczeństwa. Będzie to wymagało wzmocnienia mechanizmów monitorowania, prognozowania</w:t>
      </w:r>
      <w:r w:rsidR="00E82C90" w:rsidRPr="00E82C90">
        <w:rPr>
          <w:rFonts w:ascii="Times New Roman" w:hAnsi="Times New Roman"/>
          <w:noProof/>
          <w:sz w:val="24"/>
          <w:szCs w:val="24"/>
        </w:rPr>
        <w:t xml:space="preserve"> i oce</w:t>
      </w:r>
      <w:r w:rsidRPr="00E82C90">
        <w:rPr>
          <w:rFonts w:ascii="Times New Roman" w:hAnsi="Times New Roman"/>
          <w:noProof/>
          <w:sz w:val="24"/>
          <w:szCs w:val="24"/>
        </w:rPr>
        <w:t>ny strategicznych skutków globalnej transformacji energetycznej dla krajów partnerskich.</w:t>
      </w:r>
    </w:p>
    <w:p w14:paraId="12C4A1CA" w14:textId="75D54D32" w:rsidR="009938BC" w:rsidRPr="00E82C90" w:rsidRDefault="00701F5F" w:rsidP="009938BC">
      <w:pPr>
        <w:spacing w:after="240"/>
        <w:jc w:val="both"/>
        <w:rPr>
          <w:rFonts w:ascii="Times New Roman" w:hAnsi="Times New Roman" w:cs="Times New Roman"/>
          <w:noProof/>
          <w:sz w:val="24"/>
          <w:szCs w:val="24"/>
        </w:rPr>
      </w:pPr>
      <w:r w:rsidRPr="00E82C90">
        <w:rPr>
          <w:rFonts w:ascii="Times New Roman" w:hAnsi="Times New Roman"/>
          <w:noProof/>
          <w:sz w:val="24"/>
          <w:szCs w:val="24"/>
        </w:rPr>
        <w:t>Skuteczne sprostanie wyzwaniom związanym</w:t>
      </w:r>
      <w:r w:rsidR="00E82C90" w:rsidRPr="00E82C90">
        <w:rPr>
          <w:rFonts w:ascii="Times New Roman" w:hAnsi="Times New Roman"/>
          <w:noProof/>
          <w:sz w:val="24"/>
          <w:szCs w:val="24"/>
        </w:rPr>
        <w:t xml:space="preserve"> z glo</w:t>
      </w:r>
      <w:r w:rsidRPr="00E82C90">
        <w:rPr>
          <w:rFonts w:ascii="Times New Roman" w:hAnsi="Times New Roman"/>
          <w:noProof/>
          <w:sz w:val="24"/>
          <w:szCs w:val="24"/>
        </w:rPr>
        <w:t>balną transformacją energetyczną wymaga zaufania</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ółpracy</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społeczności międzynarodowej. UE zintensyfikuje swoje wielostronne działania na rzecz wspierania celów UE</w:t>
      </w:r>
      <w:r w:rsidR="00E82C90" w:rsidRPr="00E82C90">
        <w:rPr>
          <w:rFonts w:ascii="Times New Roman" w:hAnsi="Times New Roman"/>
          <w:noProof/>
          <w:sz w:val="24"/>
          <w:szCs w:val="24"/>
        </w:rPr>
        <w:t xml:space="preserve"> i glo</w:t>
      </w:r>
      <w:r w:rsidRPr="00E82C90">
        <w:rPr>
          <w:rFonts w:ascii="Times New Roman" w:hAnsi="Times New Roman"/>
          <w:noProof/>
          <w:sz w:val="24"/>
          <w:szCs w:val="24"/>
        </w:rPr>
        <w:t>balnych zobowiązań zgodnie</w:t>
      </w:r>
      <w:r w:rsidR="00E82C90" w:rsidRPr="00E82C90">
        <w:rPr>
          <w:rFonts w:ascii="Times New Roman" w:hAnsi="Times New Roman"/>
          <w:noProof/>
          <w:sz w:val="24"/>
          <w:szCs w:val="24"/>
        </w:rPr>
        <w:t xml:space="preserve"> z reg</w:t>
      </w:r>
      <w:r w:rsidRPr="00E82C90">
        <w:rPr>
          <w:rFonts w:ascii="Times New Roman" w:hAnsi="Times New Roman"/>
          <w:noProof/>
          <w:sz w:val="24"/>
          <w:szCs w:val="24"/>
        </w:rPr>
        <w:t>ułami skutecznego multilateralizmu opartego na zasadach, określonymi we wspólnym komunikacie</w:t>
      </w:r>
      <w:r w:rsidR="00E82C90" w:rsidRPr="00E82C90">
        <w:rPr>
          <w:rFonts w:ascii="Times New Roman" w:hAnsi="Times New Roman"/>
          <w:noProof/>
          <w:sz w:val="24"/>
          <w:szCs w:val="24"/>
        </w:rPr>
        <w:t xml:space="preserve"> z 2</w:t>
      </w:r>
      <w:r w:rsidRPr="00E82C90">
        <w:rPr>
          <w:rFonts w:ascii="Times New Roman" w:hAnsi="Times New Roman"/>
          <w:noProof/>
          <w:sz w:val="24"/>
          <w:szCs w:val="24"/>
        </w:rPr>
        <w:t>021</w:t>
      </w:r>
      <w:r w:rsidR="00E82C90" w:rsidRPr="00E82C90">
        <w:rPr>
          <w:rFonts w:ascii="Times New Roman" w:hAnsi="Times New Roman"/>
          <w:noProof/>
          <w:sz w:val="24"/>
          <w:szCs w:val="24"/>
        </w:rPr>
        <w:t> </w:t>
      </w:r>
      <w:r w:rsidRPr="00E82C90">
        <w:rPr>
          <w:rFonts w:ascii="Times New Roman" w:hAnsi="Times New Roman"/>
          <w:noProof/>
          <w:sz w:val="24"/>
          <w:szCs w:val="24"/>
        </w:rPr>
        <w:t>r.</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zwiększenia wkładu UE</w:t>
      </w:r>
      <w:r w:rsidR="00E82C90" w:rsidRPr="00E82C90">
        <w:rPr>
          <w:rFonts w:ascii="Times New Roman" w:hAnsi="Times New Roman"/>
          <w:noProof/>
          <w:sz w:val="24"/>
          <w:szCs w:val="24"/>
        </w:rPr>
        <w:t xml:space="preserve"> w mul</w:t>
      </w:r>
      <w:r w:rsidRPr="00E82C90">
        <w:rPr>
          <w:rFonts w:ascii="Times New Roman" w:hAnsi="Times New Roman"/>
          <w:noProof/>
          <w:sz w:val="24"/>
          <w:szCs w:val="24"/>
        </w:rPr>
        <w:t>tilateralizm oparty na zasadach</w:t>
      </w:r>
      <w:r w:rsidR="008669E4" w:rsidRPr="00E82C90">
        <w:rPr>
          <w:rStyle w:val="FootnoteReference"/>
          <w:rFonts w:ascii="Times New Roman" w:hAnsi="Times New Roman" w:cs="Times New Roman"/>
          <w:noProof/>
          <w:sz w:val="24"/>
          <w:szCs w:val="24"/>
        </w:rPr>
        <w:footnoteReference w:id="24"/>
      </w:r>
      <w:r w:rsidRPr="00E82C90">
        <w:rPr>
          <w:rFonts w:ascii="Times New Roman" w:hAnsi="Times New Roman"/>
          <w:noProof/>
          <w:sz w:val="24"/>
          <w:szCs w:val="24"/>
        </w:rPr>
        <w:t>. Konieczne jest wzmocnienie partnerstwa</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ONZ, grupy G-20 i G-7 oraz ściślejsza współpraca</w:t>
      </w:r>
      <w:r w:rsidR="00E82C90" w:rsidRPr="00E82C90">
        <w:rPr>
          <w:rFonts w:ascii="Times New Roman" w:hAnsi="Times New Roman"/>
          <w:noProof/>
          <w:sz w:val="24"/>
          <w:szCs w:val="24"/>
        </w:rPr>
        <w:t xml:space="preserve"> z mię</w:t>
      </w:r>
      <w:r w:rsidRPr="00E82C90">
        <w:rPr>
          <w:rFonts w:ascii="Times New Roman" w:hAnsi="Times New Roman"/>
          <w:noProof/>
          <w:sz w:val="24"/>
          <w:szCs w:val="24"/>
        </w:rPr>
        <w:t xml:space="preserve">dzynarodowymi instytucjami finansowymi. </w:t>
      </w:r>
    </w:p>
    <w:p w14:paraId="1C7F85BF" w14:textId="45C32FF1" w:rsidR="009938BC" w:rsidRPr="00E82C90" w:rsidRDefault="009938BC" w:rsidP="009938BC">
      <w:pPr>
        <w:spacing w:after="240"/>
        <w:jc w:val="both"/>
        <w:rPr>
          <w:rFonts w:ascii="Times New Roman" w:hAnsi="Times New Roman" w:cs="Times New Roman"/>
          <w:noProof/>
          <w:sz w:val="24"/>
          <w:szCs w:val="24"/>
        </w:rPr>
      </w:pPr>
      <w:r w:rsidRPr="00E82C90">
        <w:rPr>
          <w:rFonts w:ascii="Times New Roman" w:hAnsi="Times New Roman"/>
          <w:noProof/>
          <w:sz w:val="24"/>
          <w:szCs w:val="24"/>
        </w:rPr>
        <w:t>Wielostronne organizacje</w:t>
      </w:r>
      <w:r w:rsidR="00E82C90" w:rsidRPr="00E82C90">
        <w:rPr>
          <w:rFonts w:ascii="Times New Roman" w:hAnsi="Times New Roman"/>
          <w:noProof/>
          <w:sz w:val="24"/>
          <w:szCs w:val="24"/>
        </w:rPr>
        <w:t xml:space="preserve"> i for</w:t>
      </w:r>
      <w:r w:rsidRPr="00E82C90">
        <w:rPr>
          <w:rFonts w:ascii="Times New Roman" w:hAnsi="Times New Roman"/>
          <w:noProof/>
          <w:sz w:val="24"/>
          <w:szCs w:val="24"/>
        </w:rPr>
        <w:t>a energetyczne, takie jak IRENA, MAE, Wspólnota Energetyczna, Międzynarodowy Sojusz Solarny, forum ministerialne dotyczące czystej energii, inicjatywa „Mission Innovation”</w:t>
      </w:r>
      <w:r w:rsidR="00E82C90" w:rsidRPr="00E82C90">
        <w:rPr>
          <w:rFonts w:ascii="Times New Roman" w:hAnsi="Times New Roman"/>
          <w:noProof/>
          <w:sz w:val="24"/>
          <w:szCs w:val="24"/>
        </w:rPr>
        <w:t xml:space="preserve"> i Świ</w:t>
      </w:r>
      <w:r w:rsidRPr="00E82C90">
        <w:rPr>
          <w:rFonts w:ascii="Times New Roman" w:hAnsi="Times New Roman"/>
          <w:noProof/>
          <w:sz w:val="24"/>
          <w:szCs w:val="24"/>
        </w:rPr>
        <w:t>atowe Porozumienie Burmistrzów</w:t>
      </w:r>
      <w:r w:rsidR="00E82C90" w:rsidRPr="00E82C90">
        <w:rPr>
          <w:rFonts w:ascii="Times New Roman" w:hAnsi="Times New Roman"/>
          <w:noProof/>
          <w:sz w:val="24"/>
          <w:szCs w:val="24"/>
        </w:rPr>
        <w:t xml:space="preserve"> w spr</w:t>
      </w:r>
      <w:r w:rsidRPr="00E82C90">
        <w:rPr>
          <w:rFonts w:ascii="Times New Roman" w:hAnsi="Times New Roman"/>
          <w:noProof/>
          <w:sz w:val="24"/>
          <w:szCs w:val="24"/>
        </w:rPr>
        <w:t>awie Klimatu</w:t>
      </w:r>
      <w:r w:rsidR="00E82C90" w:rsidRPr="00E82C90">
        <w:rPr>
          <w:rFonts w:ascii="Times New Roman" w:hAnsi="Times New Roman"/>
          <w:noProof/>
          <w:sz w:val="24"/>
          <w:szCs w:val="24"/>
        </w:rPr>
        <w:t xml:space="preserve"> i Ene</w:t>
      </w:r>
      <w:r w:rsidRPr="00E82C90">
        <w:rPr>
          <w:rFonts w:ascii="Times New Roman" w:hAnsi="Times New Roman"/>
          <w:noProof/>
          <w:sz w:val="24"/>
          <w:szCs w:val="24"/>
        </w:rPr>
        <w:t>rgii, ponoszą główną odpowiedzialność za promowanie transformacji energetycznej na świecie. Niektóre organizacje, takie jak Karta energetyczna, pilnie potrzebują głębokiej modernizacji, aby były dostosowane do celów na rok</w:t>
      </w:r>
      <w:r w:rsidR="00E82C90" w:rsidRPr="00E82C90">
        <w:rPr>
          <w:rFonts w:ascii="Times New Roman" w:hAnsi="Times New Roman"/>
          <w:noProof/>
          <w:sz w:val="24"/>
          <w:szCs w:val="24"/>
        </w:rPr>
        <w:t> </w:t>
      </w:r>
      <w:r w:rsidRPr="00E82C90">
        <w:rPr>
          <w:rFonts w:ascii="Times New Roman" w:hAnsi="Times New Roman"/>
          <w:noProof/>
          <w:sz w:val="24"/>
          <w:szCs w:val="24"/>
        </w:rPr>
        <w:t>2050 i UE aktywnie zajmuje się tą kwestią. Jeśli nie uda się przeprowadzić wystarczającej reformy Traktatu karty energetycznej, UE rozważy wycofanie swojego członkostwa.</w:t>
      </w:r>
    </w:p>
    <w:p w14:paraId="633AAF2D" w14:textId="375D0C08" w:rsidR="009938BC" w:rsidRPr="00E82C90" w:rsidRDefault="009938BC" w:rsidP="0041742C">
      <w:pPr>
        <w:spacing w:after="240"/>
        <w:jc w:val="both"/>
        <w:rPr>
          <w:rFonts w:ascii="Times New Roman" w:hAnsi="Times New Roman" w:cs="Times New Roman"/>
          <w:noProof/>
          <w:sz w:val="24"/>
          <w:szCs w:val="24"/>
        </w:rPr>
      </w:pPr>
      <w:r w:rsidRPr="00E82C90">
        <w:rPr>
          <w:rFonts w:ascii="Times New Roman" w:hAnsi="Times New Roman"/>
          <w:noProof/>
          <w:sz w:val="24"/>
          <w:szCs w:val="24"/>
        </w:rPr>
        <w:t>UE będzie nadal wspierać bardziej integracyjną reprezentację gospodarek wschodzących</w:t>
      </w:r>
      <w:r w:rsidR="00E82C90" w:rsidRPr="00E82C90">
        <w:rPr>
          <w:rFonts w:ascii="Times New Roman" w:hAnsi="Times New Roman"/>
          <w:noProof/>
          <w:sz w:val="24"/>
          <w:szCs w:val="24"/>
        </w:rPr>
        <w:t xml:space="preserve"> i roz</w:t>
      </w:r>
      <w:r w:rsidRPr="00E82C90">
        <w:rPr>
          <w:rFonts w:ascii="Times New Roman" w:hAnsi="Times New Roman"/>
          <w:noProof/>
          <w:sz w:val="24"/>
          <w:szCs w:val="24"/>
        </w:rPr>
        <w:t>wijających się</w:t>
      </w:r>
      <w:r w:rsidR="00E82C90" w:rsidRPr="00E82C90">
        <w:rPr>
          <w:rFonts w:ascii="Times New Roman" w:hAnsi="Times New Roman"/>
          <w:noProof/>
          <w:sz w:val="24"/>
          <w:szCs w:val="24"/>
        </w:rPr>
        <w:t xml:space="preserve"> w ins</w:t>
      </w:r>
      <w:r w:rsidRPr="00E82C90">
        <w:rPr>
          <w:rFonts w:ascii="Times New Roman" w:hAnsi="Times New Roman"/>
          <w:noProof/>
          <w:sz w:val="24"/>
          <w:szCs w:val="24"/>
        </w:rPr>
        <w:t>tytucjach międzynarodowych. UE wraz</w:t>
      </w:r>
      <w:r w:rsidR="00E82C90" w:rsidRPr="00E82C90">
        <w:rPr>
          <w:rFonts w:ascii="Times New Roman" w:hAnsi="Times New Roman"/>
          <w:noProof/>
          <w:sz w:val="24"/>
          <w:szCs w:val="24"/>
        </w:rPr>
        <w:t xml:space="preserve"> z pań</w:t>
      </w:r>
      <w:r w:rsidRPr="00E82C90">
        <w:rPr>
          <w:rFonts w:ascii="Times New Roman" w:hAnsi="Times New Roman"/>
          <w:noProof/>
          <w:sz w:val="24"/>
          <w:szCs w:val="24"/>
        </w:rPr>
        <w:t>stwami członkowskimi</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podejścia „Drużyna Europy” będzie</w:t>
      </w:r>
      <w:r w:rsidR="00E82C90" w:rsidRPr="00E82C90">
        <w:rPr>
          <w:rFonts w:ascii="Times New Roman" w:hAnsi="Times New Roman"/>
          <w:noProof/>
          <w:sz w:val="24"/>
          <w:szCs w:val="24"/>
        </w:rPr>
        <w:t xml:space="preserve"> w cor</w:t>
      </w:r>
      <w:r w:rsidRPr="00E82C90">
        <w:rPr>
          <w:rFonts w:ascii="Times New Roman" w:hAnsi="Times New Roman"/>
          <w:noProof/>
          <w:sz w:val="24"/>
          <w:szCs w:val="24"/>
        </w:rPr>
        <w:t>az większym stopniu przyczyniać się do przewodzenia</w:t>
      </w:r>
      <w:r w:rsidR="00E82C90" w:rsidRPr="00E82C90">
        <w:rPr>
          <w:rFonts w:ascii="Times New Roman" w:hAnsi="Times New Roman"/>
          <w:noProof/>
          <w:sz w:val="24"/>
          <w:szCs w:val="24"/>
        </w:rPr>
        <w:t xml:space="preserve"> i ksz</w:t>
      </w:r>
      <w:r w:rsidRPr="00E82C90">
        <w:rPr>
          <w:rFonts w:ascii="Times New Roman" w:hAnsi="Times New Roman"/>
          <w:noProof/>
          <w:sz w:val="24"/>
          <w:szCs w:val="24"/>
        </w:rPr>
        <w:t>tałtowania decyzji sprzyjających włączeniu społecznemu dzięki większemu udziałowi</w:t>
      </w:r>
      <w:r w:rsidR="00E82C90" w:rsidRPr="00E82C90">
        <w:rPr>
          <w:rFonts w:ascii="Times New Roman" w:hAnsi="Times New Roman"/>
          <w:noProof/>
          <w:sz w:val="24"/>
          <w:szCs w:val="24"/>
        </w:rPr>
        <w:t xml:space="preserve"> w org</w:t>
      </w:r>
      <w:r w:rsidRPr="00E82C90">
        <w:rPr>
          <w:rFonts w:ascii="Times New Roman" w:hAnsi="Times New Roman"/>
          <w:noProof/>
          <w:sz w:val="24"/>
          <w:szCs w:val="24"/>
        </w:rPr>
        <w:t>anach zarządzających odpowiednich organizacji. UE powinna również rozważyć korzyści płynące ze zmiany swojej zbiorowej obecności na pełne członkostwo</w:t>
      </w:r>
      <w:r w:rsidR="00E82C90" w:rsidRPr="00E82C90">
        <w:rPr>
          <w:rFonts w:ascii="Times New Roman" w:hAnsi="Times New Roman"/>
          <w:noProof/>
          <w:sz w:val="24"/>
          <w:szCs w:val="24"/>
        </w:rPr>
        <w:t xml:space="preserve"> w for</w:t>
      </w:r>
      <w:r w:rsidRPr="00E82C90">
        <w:rPr>
          <w:rFonts w:ascii="Times New Roman" w:hAnsi="Times New Roman"/>
          <w:noProof/>
          <w:sz w:val="24"/>
          <w:szCs w:val="24"/>
        </w:rPr>
        <w:t>ach energetycznych uznawanych za kluczowe</w:t>
      </w:r>
      <w:r w:rsidR="00E82C90" w:rsidRPr="00E82C90">
        <w:rPr>
          <w:rFonts w:ascii="Times New Roman" w:hAnsi="Times New Roman"/>
          <w:noProof/>
          <w:sz w:val="24"/>
          <w:szCs w:val="24"/>
        </w:rPr>
        <w:t xml:space="preserve"> i str</w:t>
      </w:r>
      <w:r w:rsidRPr="00E82C90">
        <w:rPr>
          <w:rFonts w:ascii="Times New Roman" w:hAnsi="Times New Roman"/>
          <w:noProof/>
          <w:sz w:val="24"/>
          <w:szCs w:val="24"/>
        </w:rPr>
        <w:t>ategiczne dla postępów</w:t>
      </w:r>
      <w:r w:rsidR="00E82C90" w:rsidRPr="00E82C90">
        <w:rPr>
          <w:rFonts w:ascii="Times New Roman" w:hAnsi="Times New Roman"/>
          <w:noProof/>
          <w:sz w:val="24"/>
          <w:szCs w:val="24"/>
        </w:rPr>
        <w:t xml:space="preserve"> w rea</w:t>
      </w:r>
      <w:r w:rsidRPr="00E82C90">
        <w:rPr>
          <w:rFonts w:ascii="Times New Roman" w:hAnsi="Times New Roman"/>
          <w:noProof/>
          <w:sz w:val="24"/>
          <w:szCs w:val="24"/>
        </w:rPr>
        <w:t>lizacji Europejskiego Zielonego Ładu</w:t>
      </w:r>
      <w:r w:rsidR="00E82C90" w:rsidRPr="00E82C90">
        <w:rPr>
          <w:rFonts w:ascii="Times New Roman" w:hAnsi="Times New Roman"/>
          <w:noProof/>
          <w:sz w:val="24"/>
          <w:szCs w:val="24"/>
        </w:rPr>
        <w:t xml:space="preserve"> i nin</w:t>
      </w:r>
      <w:r w:rsidRPr="00E82C90">
        <w:rPr>
          <w:rFonts w:ascii="Times New Roman" w:hAnsi="Times New Roman"/>
          <w:noProof/>
          <w:sz w:val="24"/>
          <w:szCs w:val="24"/>
        </w:rPr>
        <w:t>iejszej strategii.</w:t>
      </w:r>
    </w:p>
    <w:p w14:paraId="146C37D0" w14:textId="1897F92A" w:rsidR="00CC199B" w:rsidRPr="00E82C90" w:rsidRDefault="009938BC" w:rsidP="009938BC">
      <w:pPr>
        <w:spacing w:after="240"/>
        <w:jc w:val="both"/>
        <w:rPr>
          <w:rFonts w:ascii="Times New Roman" w:hAnsi="Times New Roman" w:cs="Times New Roman"/>
          <w:noProof/>
          <w:sz w:val="24"/>
          <w:szCs w:val="24"/>
        </w:rPr>
      </w:pPr>
      <w:r w:rsidRPr="00E82C90">
        <w:rPr>
          <w:rFonts w:ascii="Times New Roman" w:hAnsi="Times New Roman"/>
          <w:noProof/>
          <w:sz w:val="24"/>
          <w:szCs w:val="24"/>
        </w:rPr>
        <w:t>Ponadto UE będzie zacieśniać współpracę</w:t>
      </w:r>
      <w:r w:rsidR="00E82C90" w:rsidRPr="00E82C90">
        <w:rPr>
          <w:rFonts w:ascii="Times New Roman" w:hAnsi="Times New Roman"/>
          <w:noProof/>
          <w:sz w:val="24"/>
          <w:szCs w:val="24"/>
        </w:rPr>
        <w:t xml:space="preserve"> w ram</w:t>
      </w:r>
      <w:r w:rsidRPr="00E82C90">
        <w:rPr>
          <w:rFonts w:ascii="Times New Roman" w:hAnsi="Times New Roman"/>
          <w:noProof/>
          <w:sz w:val="24"/>
          <w:szCs w:val="24"/>
        </w:rPr>
        <w:t>ach organizacji wielostronnych</w:t>
      </w:r>
      <w:r w:rsidR="00E82C90" w:rsidRPr="00E82C90">
        <w:rPr>
          <w:rFonts w:ascii="Times New Roman" w:hAnsi="Times New Roman"/>
          <w:noProof/>
          <w:sz w:val="24"/>
          <w:szCs w:val="24"/>
        </w:rPr>
        <w:t xml:space="preserve"> i reg</w:t>
      </w:r>
      <w:r w:rsidRPr="00E82C90">
        <w:rPr>
          <w:rFonts w:ascii="Times New Roman" w:hAnsi="Times New Roman"/>
          <w:noProof/>
          <w:sz w:val="24"/>
          <w:szCs w:val="24"/>
        </w:rPr>
        <w:t>ionalnych oraz dążyć do ściślejszej współpracy</w:t>
      </w:r>
      <w:r w:rsidR="00E82C90" w:rsidRPr="00E82C90">
        <w:rPr>
          <w:rFonts w:ascii="Times New Roman" w:hAnsi="Times New Roman"/>
          <w:noProof/>
          <w:sz w:val="24"/>
          <w:szCs w:val="24"/>
        </w:rPr>
        <w:t xml:space="preserve"> z Uni</w:t>
      </w:r>
      <w:r w:rsidRPr="00E82C90">
        <w:rPr>
          <w:rFonts w:ascii="Times New Roman" w:hAnsi="Times New Roman"/>
          <w:noProof/>
          <w:sz w:val="24"/>
          <w:szCs w:val="24"/>
        </w:rPr>
        <w:t>ą dla Śródziemnomorza, Unią Afrykańską</w:t>
      </w:r>
      <w:r w:rsidR="00E82C90" w:rsidRPr="00E82C90">
        <w:rPr>
          <w:rFonts w:ascii="Times New Roman" w:hAnsi="Times New Roman"/>
          <w:noProof/>
          <w:sz w:val="24"/>
          <w:szCs w:val="24"/>
        </w:rPr>
        <w:t xml:space="preserve"> i jej</w:t>
      </w:r>
      <w:r w:rsidRPr="00E82C90">
        <w:rPr>
          <w:rFonts w:ascii="Times New Roman" w:hAnsi="Times New Roman"/>
          <w:noProof/>
          <w:sz w:val="24"/>
          <w:szCs w:val="24"/>
        </w:rPr>
        <w:t xml:space="preserve"> agencjami, Latynoamerykańską Organizacją ds. Energii lub Stowarzyszeniem Narodów Azji Południowo-Wschodniej, aby sprostać wspólnym wyzwaniom</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ółpracować na szczeblu międzynarodowym.</w:t>
      </w:r>
    </w:p>
    <w:p w14:paraId="2844D3E3" w14:textId="65CF7B40" w:rsidR="008669E4" w:rsidRPr="00E82C90" w:rsidRDefault="008669E4" w:rsidP="00CC199B">
      <w:pPr>
        <w:spacing w:after="240"/>
        <w:jc w:val="both"/>
        <w:rPr>
          <w:rFonts w:ascii="Times New Roman" w:hAnsi="Times New Roman" w:cs="Times New Roman"/>
          <w:b/>
          <w:bCs/>
          <w:noProof/>
          <w:sz w:val="24"/>
          <w:szCs w:val="24"/>
        </w:rPr>
      </w:pPr>
      <w:r w:rsidRPr="00E82C90">
        <w:rPr>
          <w:rFonts w:ascii="Times New Roman" w:hAnsi="Times New Roman"/>
          <w:b/>
          <w:bCs/>
          <w:noProof/>
          <w:sz w:val="24"/>
          <w:szCs w:val="24"/>
        </w:rPr>
        <w:t>Kluczowe działania:</w:t>
      </w:r>
    </w:p>
    <w:p w14:paraId="73816588" w14:textId="1D5923F0" w:rsidR="008669E4" w:rsidRPr="00E82C90" w:rsidRDefault="008669E4" w:rsidP="008669E4">
      <w:pPr>
        <w:pStyle w:val="ListParagraph"/>
        <w:numPr>
          <w:ilvl w:val="0"/>
          <w:numId w:val="9"/>
        </w:numPr>
        <w:jc w:val="both"/>
        <w:rPr>
          <w:rFonts w:ascii="Times New Roman" w:hAnsi="Times New Roman" w:cs="Times New Roman"/>
          <w:b/>
          <w:bCs/>
          <w:noProof/>
          <w:sz w:val="24"/>
          <w:szCs w:val="24"/>
        </w:rPr>
      </w:pPr>
      <w:r w:rsidRPr="00E82C90">
        <w:rPr>
          <w:rFonts w:ascii="Times New Roman" w:hAnsi="Times New Roman"/>
          <w:b/>
          <w:bCs/>
          <w:noProof/>
          <w:sz w:val="24"/>
          <w:szCs w:val="24"/>
        </w:rPr>
        <w:t>regularne monitorowanie geopolitycznego wpływ</w:t>
      </w:r>
      <w:r w:rsidR="00FE4786" w:rsidRPr="00E82C90">
        <w:rPr>
          <w:rFonts w:ascii="Times New Roman" w:hAnsi="Times New Roman"/>
          <w:b/>
          <w:bCs/>
          <w:noProof/>
          <w:sz w:val="24"/>
          <w:szCs w:val="24"/>
        </w:rPr>
        <w:t>u transformacji ekologicznej</w:t>
      </w:r>
    </w:p>
    <w:p w14:paraId="462109D8" w14:textId="0E0F5BDC" w:rsidR="008669E4" w:rsidRPr="00E82C90" w:rsidRDefault="0041742C" w:rsidP="0041742C">
      <w:pPr>
        <w:pStyle w:val="ListParagraph"/>
        <w:numPr>
          <w:ilvl w:val="0"/>
          <w:numId w:val="9"/>
        </w:numPr>
        <w:jc w:val="both"/>
        <w:rPr>
          <w:rFonts w:ascii="Times New Roman" w:hAnsi="Times New Roman" w:cs="Times New Roman"/>
          <w:b/>
          <w:bCs/>
          <w:noProof/>
          <w:sz w:val="24"/>
          <w:szCs w:val="24"/>
        </w:rPr>
      </w:pPr>
      <w:r w:rsidRPr="00E82C90">
        <w:rPr>
          <w:rFonts w:ascii="Times New Roman" w:hAnsi="Times New Roman"/>
          <w:b/>
          <w:bCs/>
          <w:noProof/>
          <w:sz w:val="24"/>
          <w:szCs w:val="24"/>
        </w:rPr>
        <w:t>rozpoczęcie oceny zaangażowania UE</w:t>
      </w:r>
      <w:r w:rsidR="00E82C90" w:rsidRPr="00E82C90">
        <w:rPr>
          <w:rFonts w:ascii="Times New Roman" w:hAnsi="Times New Roman"/>
          <w:b/>
          <w:bCs/>
          <w:noProof/>
          <w:sz w:val="24"/>
          <w:szCs w:val="24"/>
        </w:rPr>
        <w:t xml:space="preserve"> w mię</w:t>
      </w:r>
      <w:r w:rsidRPr="00E82C90">
        <w:rPr>
          <w:rFonts w:ascii="Times New Roman" w:hAnsi="Times New Roman"/>
          <w:b/>
          <w:bCs/>
          <w:noProof/>
          <w:sz w:val="24"/>
          <w:szCs w:val="24"/>
        </w:rPr>
        <w:t>dzynarodowe fora energetyczne kluczowe dla global</w:t>
      </w:r>
      <w:r w:rsidR="00FE4786" w:rsidRPr="00E82C90">
        <w:rPr>
          <w:rFonts w:ascii="Times New Roman" w:hAnsi="Times New Roman"/>
          <w:b/>
          <w:bCs/>
          <w:noProof/>
          <w:sz w:val="24"/>
          <w:szCs w:val="24"/>
        </w:rPr>
        <w:t>nej transformacji energetycznej</w:t>
      </w:r>
    </w:p>
    <w:p w14:paraId="7C836B9F" w14:textId="75F5319C" w:rsidR="008669E4" w:rsidRPr="00E82C90" w:rsidRDefault="0041742C" w:rsidP="006D5C36">
      <w:pPr>
        <w:pStyle w:val="ListParagraph"/>
        <w:numPr>
          <w:ilvl w:val="0"/>
          <w:numId w:val="9"/>
        </w:numPr>
        <w:jc w:val="both"/>
        <w:rPr>
          <w:rFonts w:ascii="Times New Roman" w:hAnsi="Times New Roman" w:cs="Times New Roman"/>
          <w:b/>
          <w:bCs/>
          <w:noProof/>
          <w:sz w:val="24"/>
          <w:szCs w:val="24"/>
        </w:rPr>
      </w:pPr>
      <w:r w:rsidRPr="00E82C90">
        <w:rPr>
          <w:rFonts w:ascii="Times New Roman" w:hAnsi="Times New Roman"/>
          <w:b/>
          <w:bCs/>
          <w:noProof/>
          <w:sz w:val="24"/>
          <w:szCs w:val="24"/>
        </w:rPr>
        <w:t>wzmocnienie roli dyplomacji energetycznej</w:t>
      </w:r>
      <w:r w:rsidR="00E82C90" w:rsidRPr="00E82C90">
        <w:rPr>
          <w:rFonts w:ascii="Times New Roman" w:hAnsi="Times New Roman"/>
          <w:b/>
          <w:bCs/>
          <w:noProof/>
          <w:sz w:val="24"/>
          <w:szCs w:val="24"/>
        </w:rPr>
        <w:t xml:space="preserve"> w pol</w:t>
      </w:r>
      <w:r w:rsidRPr="00E82C90">
        <w:rPr>
          <w:rFonts w:ascii="Times New Roman" w:hAnsi="Times New Roman"/>
          <w:b/>
          <w:bCs/>
          <w:noProof/>
          <w:sz w:val="24"/>
          <w:szCs w:val="24"/>
        </w:rPr>
        <w:t>ityce zagrani</w:t>
      </w:r>
      <w:r w:rsidR="00FE4786" w:rsidRPr="00E82C90">
        <w:rPr>
          <w:rFonts w:ascii="Times New Roman" w:hAnsi="Times New Roman"/>
          <w:b/>
          <w:bCs/>
          <w:noProof/>
          <w:sz w:val="24"/>
          <w:szCs w:val="24"/>
        </w:rPr>
        <w:t>cznej UE</w:t>
      </w:r>
      <w:r w:rsidR="00E82C90" w:rsidRPr="00E82C90">
        <w:rPr>
          <w:rFonts w:ascii="Times New Roman" w:hAnsi="Times New Roman"/>
          <w:b/>
          <w:bCs/>
          <w:noProof/>
          <w:sz w:val="24"/>
          <w:szCs w:val="24"/>
        </w:rPr>
        <w:t xml:space="preserve"> i pań</w:t>
      </w:r>
      <w:r w:rsidR="00FE4786" w:rsidRPr="00E82C90">
        <w:rPr>
          <w:rFonts w:ascii="Times New Roman" w:hAnsi="Times New Roman"/>
          <w:b/>
          <w:bCs/>
          <w:noProof/>
          <w:sz w:val="24"/>
          <w:szCs w:val="24"/>
        </w:rPr>
        <w:t>stw członkowskich</w:t>
      </w:r>
    </w:p>
    <w:p w14:paraId="7841C725" w14:textId="66C4591D" w:rsidR="00CC199B" w:rsidRPr="00E82C90" w:rsidRDefault="00CC199B">
      <w:pPr>
        <w:rPr>
          <w:rFonts w:ascii="Times New Roman" w:eastAsia="Times New Roman" w:hAnsi="Times New Roman" w:cs="Times New Roman"/>
          <w:b/>
          <w:noProof/>
          <w:sz w:val="24"/>
          <w:szCs w:val="24"/>
        </w:rPr>
      </w:pPr>
    </w:p>
    <w:p w14:paraId="58C4AFE4" w14:textId="09EA300B" w:rsidR="00C33F66" w:rsidRPr="00E82C90" w:rsidRDefault="00C33F66" w:rsidP="00C33F66">
      <w:pPr>
        <w:pStyle w:val="Heading1"/>
        <w:numPr>
          <w:ilvl w:val="0"/>
          <w:numId w:val="1"/>
        </w:numPr>
        <w:spacing w:after="240"/>
        <w:rPr>
          <w:rFonts w:ascii="Times New Roman" w:eastAsia="Times New Roman" w:hAnsi="Times New Roman" w:cs="Times New Roman"/>
          <w:b/>
          <w:noProof/>
          <w:color w:val="auto"/>
          <w:sz w:val="24"/>
          <w:szCs w:val="24"/>
        </w:rPr>
      </w:pPr>
      <w:r w:rsidRPr="00E82C90">
        <w:rPr>
          <w:rFonts w:ascii="Times New Roman" w:hAnsi="Times New Roman"/>
          <w:b/>
          <w:noProof/>
          <w:color w:val="auto"/>
          <w:sz w:val="24"/>
          <w:szCs w:val="24"/>
        </w:rPr>
        <w:t>Wnioski</w:t>
      </w:r>
    </w:p>
    <w:p w14:paraId="00624A0E" w14:textId="03963E69" w:rsidR="009D38E8" w:rsidRPr="00E82C90" w:rsidRDefault="00180972" w:rsidP="009D38E8">
      <w:pPr>
        <w:jc w:val="both"/>
        <w:rPr>
          <w:rFonts w:ascii="Times New Roman" w:hAnsi="Times New Roman" w:cs="Times New Roman"/>
          <w:noProof/>
          <w:sz w:val="24"/>
          <w:szCs w:val="24"/>
        </w:rPr>
      </w:pPr>
      <w:r w:rsidRPr="00E82C90">
        <w:rPr>
          <w:rFonts w:ascii="Times New Roman" w:hAnsi="Times New Roman"/>
          <w:noProof/>
          <w:sz w:val="24"/>
          <w:szCs w:val="24"/>
        </w:rPr>
        <w:t>Obecny moment jest krytyczny dla światowej polityki energetycznej. Zmiana klimatu, zmiany geopolityczne, rozwój technologiczny</w:t>
      </w:r>
      <w:r w:rsidR="00E82C90" w:rsidRPr="00E82C90">
        <w:rPr>
          <w:rFonts w:ascii="Times New Roman" w:hAnsi="Times New Roman"/>
          <w:noProof/>
          <w:sz w:val="24"/>
          <w:szCs w:val="24"/>
        </w:rPr>
        <w:t xml:space="preserve"> i zwi</w:t>
      </w:r>
      <w:r w:rsidRPr="00E82C90">
        <w:rPr>
          <w:rFonts w:ascii="Times New Roman" w:hAnsi="Times New Roman"/>
          <w:noProof/>
          <w:sz w:val="24"/>
          <w:szCs w:val="24"/>
        </w:rPr>
        <w:t>ększone światowe zapotrzebowanie na energię tworzą trudne</w:t>
      </w:r>
      <w:r w:rsidR="00E82C90" w:rsidRPr="00E82C90">
        <w:rPr>
          <w:rFonts w:ascii="Times New Roman" w:hAnsi="Times New Roman"/>
          <w:noProof/>
          <w:sz w:val="24"/>
          <w:szCs w:val="24"/>
        </w:rPr>
        <w:t xml:space="preserve"> i szy</w:t>
      </w:r>
      <w:r w:rsidRPr="00E82C90">
        <w:rPr>
          <w:rFonts w:ascii="Times New Roman" w:hAnsi="Times New Roman"/>
          <w:noProof/>
          <w:sz w:val="24"/>
          <w:szCs w:val="24"/>
        </w:rPr>
        <w:t>bko zmieniające się środowisko, które wymaga dostosowania naszych systemów energetycznych</w:t>
      </w:r>
      <w:r w:rsidR="00E82C90" w:rsidRPr="00E82C90">
        <w:rPr>
          <w:rFonts w:ascii="Times New Roman" w:hAnsi="Times New Roman"/>
          <w:noProof/>
          <w:sz w:val="24"/>
          <w:szCs w:val="24"/>
        </w:rPr>
        <w:t xml:space="preserve"> i sto</w:t>
      </w:r>
      <w:r w:rsidRPr="00E82C90">
        <w:rPr>
          <w:rFonts w:ascii="Times New Roman" w:hAnsi="Times New Roman"/>
          <w:noProof/>
          <w:sz w:val="24"/>
          <w:szCs w:val="24"/>
        </w:rPr>
        <w:t>sunków</w:t>
      </w:r>
      <w:r w:rsidR="00E82C90" w:rsidRPr="00E82C90">
        <w:rPr>
          <w:rFonts w:ascii="Times New Roman" w:hAnsi="Times New Roman"/>
          <w:noProof/>
          <w:sz w:val="24"/>
          <w:szCs w:val="24"/>
        </w:rPr>
        <w:t xml:space="preserve"> z inn</w:t>
      </w:r>
      <w:r w:rsidRPr="00E82C90">
        <w:rPr>
          <w:rFonts w:ascii="Times New Roman" w:hAnsi="Times New Roman"/>
          <w:noProof/>
          <w:sz w:val="24"/>
          <w:szCs w:val="24"/>
        </w:rPr>
        <w:t xml:space="preserve">ymi państwami. </w:t>
      </w:r>
    </w:p>
    <w:p w14:paraId="706D3607" w14:textId="6D13D121" w:rsidR="008315CF" w:rsidRPr="00E82C90" w:rsidRDefault="009D38E8" w:rsidP="009D38E8">
      <w:pPr>
        <w:jc w:val="both"/>
        <w:rPr>
          <w:rFonts w:ascii="Times New Roman" w:hAnsi="Times New Roman" w:cs="Times New Roman"/>
          <w:noProof/>
          <w:sz w:val="24"/>
          <w:szCs w:val="24"/>
        </w:rPr>
      </w:pPr>
      <w:r w:rsidRPr="00E82C90">
        <w:rPr>
          <w:rFonts w:ascii="Times New Roman" w:hAnsi="Times New Roman"/>
          <w:noProof/>
          <w:sz w:val="24"/>
          <w:szCs w:val="24"/>
        </w:rPr>
        <w:t xml:space="preserve">Co więcej, </w:t>
      </w:r>
      <w:r w:rsidRPr="00E82C90">
        <w:rPr>
          <w:rFonts w:ascii="Times New Roman" w:hAnsi="Times New Roman"/>
          <w:b/>
          <w:bCs/>
          <w:noProof/>
          <w:sz w:val="24"/>
          <w:szCs w:val="24"/>
        </w:rPr>
        <w:t>inwazja Rosji na Ukrainę ma daleko idące konsekwencje dla bezpieczeństwa energetycznego</w:t>
      </w:r>
      <w:r w:rsidRPr="00E82C90">
        <w:rPr>
          <w:rFonts w:ascii="Times New Roman" w:hAnsi="Times New Roman"/>
          <w:noProof/>
          <w:sz w:val="24"/>
          <w:szCs w:val="24"/>
        </w:rPr>
        <w:t xml:space="preserve"> nie tylko UE, ale</w:t>
      </w:r>
      <w:r w:rsidR="00E82C90" w:rsidRPr="00E82C90">
        <w:rPr>
          <w:rFonts w:ascii="Times New Roman" w:hAnsi="Times New Roman"/>
          <w:noProof/>
          <w:sz w:val="24"/>
          <w:szCs w:val="24"/>
        </w:rPr>
        <w:t xml:space="preserve"> i cał</w:t>
      </w:r>
      <w:r w:rsidRPr="00E82C90">
        <w:rPr>
          <w:rFonts w:ascii="Times New Roman" w:hAnsi="Times New Roman"/>
          <w:noProof/>
          <w:sz w:val="24"/>
          <w:szCs w:val="24"/>
        </w:rPr>
        <w:t>ego świata. Działania Rosji wywołały bezprecedensową niestabilność cen na rynkach energetycznych</w:t>
      </w:r>
      <w:r w:rsidR="00E82C90" w:rsidRPr="00E82C90">
        <w:rPr>
          <w:rFonts w:ascii="Times New Roman" w:hAnsi="Times New Roman"/>
          <w:noProof/>
          <w:sz w:val="24"/>
          <w:szCs w:val="24"/>
        </w:rPr>
        <w:t xml:space="preserve"> i uwy</w:t>
      </w:r>
      <w:r w:rsidRPr="00E82C90">
        <w:rPr>
          <w:rFonts w:ascii="Times New Roman" w:hAnsi="Times New Roman"/>
          <w:noProof/>
          <w:sz w:val="24"/>
          <w:szCs w:val="24"/>
        </w:rPr>
        <w:t>pukliły potrzebę partnerstwa opartego na zaufaniu</w:t>
      </w:r>
      <w:r w:rsidR="00E82C90" w:rsidRPr="00E82C90">
        <w:rPr>
          <w:rFonts w:ascii="Times New Roman" w:hAnsi="Times New Roman"/>
          <w:noProof/>
          <w:sz w:val="24"/>
          <w:szCs w:val="24"/>
        </w:rPr>
        <w:t xml:space="preserve"> i wsp</w:t>
      </w:r>
      <w:r w:rsidRPr="00E82C90">
        <w:rPr>
          <w:rFonts w:ascii="Times New Roman" w:hAnsi="Times New Roman"/>
          <w:noProof/>
          <w:sz w:val="24"/>
          <w:szCs w:val="24"/>
        </w:rPr>
        <w:t>ólnych celach długoterminowych.</w:t>
      </w:r>
    </w:p>
    <w:p w14:paraId="28BEADE5" w14:textId="4B747FA7" w:rsidR="008315CF" w:rsidRPr="00E82C90" w:rsidRDefault="008315CF" w:rsidP="008315CF">
      <w:pPr>
        <w:jc w:val="both"/>
        <w:rPr>
          <w:rFonts w:ascii="Times New Roman" w:hAnsi="Times New Roman" w:cs="Times New Roman"/>
          <w:noProof/>
          <w:sz w:val="24"/>
          <w:szCs w:val="24"/>
        </w:rPr>
      </w:pPr>
      <w:r w:rsidRPr="00E82C90">
        <w:rPr>
          <w:rFonts w:ascii="Times New Roman" w:hAnsi="Times New Roman"/>
          <w:b/>
          <w:bCs/>
          <w:noProof/>
          <w:sz w:val="24"/>
          <w:szCs w:val="24"/>
        </w:rPr>
        <w:t>Przejście na zieloną energię stanowi jedyny sposób jednoczesnego zapewnienia zrównoważonej, bezpiecznej</w:t>
      </w:r>
      <w:r w:rsidR="00E82C90" w:rsidRPr="00E82C90">
        <w:rPr>
          <w:rFonts w:ascii="Times New Roman" w:hAnsi="Times New Roman"/>
          <w:b/>
          <w:bCs/>
          <w:noProof/>
          <w:sz w:val="24"/>
          <w:szCs w:val="24"/>
        </w:rPr>
        <w:t xml:space="preserve"> i prz</w:t>
      </w:r>
      <w:r w:rsidRPr="00E82C90">
        <w:rPr>
          <w:rFonts w:ascii="Times New Roman" w:hAnsi="Times New Roman"/>
          <w:b/>
          <w:bCs/>
          <w:noProof/>
          <w:sz w:val="24"/>
          <w:szCs w:val="24"/>
        </w:rPr>
        <w:t>ystępnej cenowo energii na całym świecie.</w:t>
      </w:r>
      <w:r w:rsidRPr="00E82C90">
        <w:rPr>
          <w:rFonts w:ascii="Times New Roman" w:hAnsi="Times New Roman"/>
          <w:noProof/>
          <w:sz w:val="24"/>
          <w:szCs w:val="24"/>
        </w:rPr>
        <w:t xml:space="preserve"> Aby transformacja ta zakończyła się sukcesem, musi być sprawiedliwa</w:t>
      </w:r>
      <w:r w:rsidR="00E82C90" w:rsidRPr="00E82C90">
        <w:rPr>
          <w:rFonts w:ascii="Times New Roman" w:hAnsi="Times New Roman"/>
          <w:noProof/>
          <w:sz w:val="24"/>
          <w:szCs w:val="24"/>
        </w:rPr>
        <w:t xml:space="preserve"> i ucz</w:t>
      </w:r>
      <w:r w:rsidRPr="00E82C90">
        <w:rPr>
          <w:rFonts w:ascii="Times New Roman" w:hAnsi="Times New Roman"/>
          <w:noProof/>
          <w:sz w:val="24"/>
          <w:szCs w:val="24"/>
        </w:rPr>
        <w:t>ciwa pod względem społecznym oraz nie może pozostawiać nikogo</w:t>
      </w:r>
      <w:r w:rsidR="00E82C90" w:rsidRPr="00E82C90">
        <w:rPr>
          <w:rFonts w:ascii="Times New Roman" w:hAnsi="Times New Roman"/>
          <w:noProof/>
          <w:sz w:val="24"/>
          <w:szCs w:val="24"/>
        </w:rPr>
        <w:t xml:space="preserve"> w tyl</w:t>
      </w:r>
      <w:r w:rsidRPr="00E82C90">
        <w:rPr>
          <w:rFonts w:ascii="Times New Roman" w:hAnsi="Times New Roman"/>
          <w:noProof/>
          <w:sz w:val="24"/>
          <w:szCs w:val="24"/>
        </w:rPr>
        <w:t>e. Oznacza to nie tylko stopniowe wycofywanie paliw kopalnych</w:t>
      </w:r>
      <w:r w:rsidR="00E82C90" w:rsidRPr="00E82C90">
        <w:rPr>
          <w:rFonts w:ascii="Times New Roman" w:hAnsi="Times New Roman"/>
          <w:noProof/>
          <w:sz w:val="24"/>
          <w:szCs w:val="24"/>
        </w:rPr>
        <w:t xml:space="preserve"> i prz</w:t>
      </w:r>
      <w:r w:rsidRPr="00E82C90">
        <w:rPr>
          <w:rFonts w:ascii="Times New Roman" w:hAnsi="Times New Roman"/>
          <w:noProof/>
          <w:sz w:val="24"/>
          <w:szCs w:val="24"/>
        </w:rPr>
        <w:t>estarzałych praktyk, ale także wprowadzanie energii ekologicznej, innowacyjnych technologii, lepszych rynków</w:t>
      </w:r>
      <w:r w:rsidR="00E82C90" w:rsidRPr="00E82C90">
        <w:rPr>
          <w:rFonts w:ascii="Times New Roman" w:hAnsi="Times New Roman"/>
          <w:noProof/>
          <w:sz w:val="24"/>
          <w:szCs w:val="24"/>
        </w:rPr>
        <w:t xml:space="preserve"> i gos</w:t>
      </w:r>
      <w:r w:rsidRPr="00E82C90">
        <w:rPr>
          <w:rFonts w:ascii="Times New Roman" w:hAnsi="Times New Roman"/>
          <w:noProof/>
          <w:sz w:val="24"/>
          <w:szCs w:val="24"/>
        </w:rPr>
        <w:t>podarki</w:t>
      </w:r>
      <w:r w:rsidR="00E82C90" w:rsidRPr="00E82C90">
        <w:rPr>
          <w:rFonts w:ascii="Times New Roman" w:hAnsi="Times New Roman"/>
          <w:noProof/>
          <w:sz w:val="24"/>
          <w:szCs w:val="24"/>
        </w:rPr>
        <w:t xml:space="preserve"> o obi</w:t>
      </w:r>
      <w:r w:rsidRPr="00E82C90">
        <w:rPr>
          <w:rFonts w:ascii="Times New Roman" w:hAnsi="Times New Roman"/>
          <w:noProof/>
          <w:sz w:val="24"/>
          <w:szCs w:val="24"/>
        </w:rPr>
        <w:t>egu zamkniętym. Wymaga już teraz rozwiązania problemu potencjalnych przyszłych zagrożeń</w:t>
      </w:r>
      <w:r w:rsidR="00E82C90" w:rsidRPr="00E82C90">
        <w:rPr>
          <w:rFonts w:ascii="Times New Roman" w:hAnsi="Times New Roman"/>
          <w:noProof/>
          <w:sz w:val="24"/>
          <w:szCs w:val="24"/>
        </w:rPr>
        <w:t xml:space="preserve"> i zal</w:t>
      </w:r>
      <w:r w:rsidRPr="00E82C90">
        <w:rPr>
          <w:rFonts w:ascii="Times New Roman" w:hAnsi="Times New Roman"/>
          <w:noProof/>
          <w:sz w:val="24"/>
          <w:szCs w:val="24"/>
        </w:rPr>
        <w:t xml:space="preserve">eżności. </w:t>
      </w:r>
    </w:p>
    <w:p w14:paraId="3621EDB4" w14:textId="20BE1582" w:rsidR="00365200" w:rsidRPr="00E82C90" w:rsidRDefault="008315CF" w:rsidP="000028B6">
      <w:pPr>
        <w:jc w:val="both"/>
        <w:rPr>
          <w:rFonts w:ascii="Times New Roman" w:hAnsi="Times New Roman" w:cs="Times New Roman"/>
          <w:noProof/>
          <w:sz w:val="24"/>
          <w:szCs w:val="24"/>
        </w:rPr>
      </w:pPr>
      <w:r w:rsidRPr="00E82C90">
        <w:rPr>
          <w:rFonts w:ascii="Times New Roman" w:hAnsi="Times New Roman"/>
          <w:noProof/>
          <w:sz w:val="24"/>
          <w:szCs w:val="24"/>
        </w:rPr>
        <w:t>Transformacja jest dla UE</w:t>
      </w:r>
      <w:r w:rsidR="00E82C90" w:rsidRPr="00E82C90">
        <w:rPr>
          <w:rFonts w:ascii="Times New Roman" w:hAnsi="Times New Roman"/>
          <w:noProof/>
          <w:sz w:val="24"/>
          <w:szCs w:val="24"/>
        </w:rPr>
        <w:t xml:space="preserve"> i jej</w:t>
      </w:r>
      <w:r w:rsidRPr="00E82C90">
        <w:rPr>
          <w:rFonts w:ascii="Times New Roman" w:hAnsi="Times New Roman"/>
          <w:noProof/>
          <w:sz w:val="24"/>
          <w:szCs w:val="24"/>
        </w:rPr>
        <w:t xml:space="preserve"> partnerów możliwością wspólnego budowania </w:t>
      </w:r>
      <w:r w:rsidRPr="00E82C90">
        <w:rPr>
          <w:rFonts w:ascii="Times New Roman" w:hAnsi="Times New Roman"/>
          <w:b/>
          <w:bCs/>
          <w:noProof/>
          <w:sz w:val="24"/>
          <w:szCs w:val="24"/>
        </w:rPr>
        <w:t>nowego systemu energetycznego, który będzie bardziej zrównoważony</w:t>
      </w:r>
      <w:r w:rsidR="00E82C90" w:rsidRPr="00E82C90">
        <w:rPr>
          <w:rFonts w:ascii="Times New Roman" w:hAnsi="Times New Roman"/>
          <w:b/>
          <w:bCs/>
          <w:noProof/>
          <w:sz w:val="24"/>
          <w:szCs w:val="24"/>
        </w:rPr>
        <w:t xml:space="preserve"> i w wię</w:t>
      </w:r>
      <w:r w:rsidRPr="00E82C90">
        <w:rPr>
          <w:rFonts w:ascii="Times New Roman" w:hAnsi="Times New Roman"/>
          <w:b/>
          <w:bCs/>
          <w:noProof/>
          <w:sz w:val="24"/>
          <w:szCs w:val="24"/>
        </w:rPr>
        <w:t>kszym stopniu oparty na równości oraz współpracy</w:t>
      </w:r>
      <w:r w:rsidR="00E82C90" w:rsidRPr="00E82C90">
        <w:rPr>
          <w:rFonts w:ascii="Times New Roman" w:hAnsi="Times New Roman"/>
          <w:noProof/>
          <w:sz w:val="24"/>
          <w:szCs w:val="24"/>
        </w:rPr>
        <w:t>. W nin</w:t>
      </w:r>
      <w:r w:rsidRPr="00E82C90">
        <w:rPr>
          <w:rFonts w:ascii="Times New Roman" w:hAnsi="Times New Roman"/>
          <w:noProof/>
          <w:sz w:val="24"/>
          <w:szCs w:val="24"/>
        </w:rPr>
        <w:t xml:space="preserve">iejszym komunikacie przedstawiono strategię UE na rzecz osiągnięcia tego celu. </w:t>
      </w:r>
    </w:p>
    <w:sectPr w:rsidR="00365200" w:rsidRPr="00E82C90" w:rsidSect="00CA53F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C728" w14:textId="77777777" w:rsidR="00C64181" w:rsidRPr="00E82C90" w:rsidRDefault="00C64181" w:rsidP="00CA53FB">
      <w:pPr>
        <w:spacing w:after="0" w:line="240" w:lineRule="auto"/>
      </w:pPr>
      <w:r w:rsidRPr="00E82C90">
        <w:separator/>
      </w:r>
    </w:p>
  </w:endnote>
  <w:endnote w:type="continuationSeparator" w:id="0">
    <w:p w14:paraId="271C46AE" w14:textId="77777777" w:rsidR="00C64181" w:rsidRPr="00E82C90" w:rsidRDefault="00C64181" w:rsidP="00CA53FB">
      <w:pPr>
        <w:spacing w:after="0" w:line="240" w:lineRule="auto"/>
      </w:pPr>
      <w:r w:rsidRPr="00E82C90">
        <w:continuationSeparator/>
      </w:r>
    </w:p>
  </w:endnote>
  <w:endnote w:type="continuationNotice" w:id="1">
    <w:p w14:paraId="0D2AFFF1" w14:textId="77777777" w:rsidR="00C64181" w:rsidRPr="00E82C90" w:rsidRDefault="00C64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3811" w14:textId="77777777" w:rsidR="00B112FD" w:rsidRPr="00B112FD" w:rsidRDefault="00B112FD" w:rsidP="00B11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F8B6" w14:textId="2DFE8396" w:rsidR="00292F26" w:rsidRPr="00B112FD" w:rsidRDefault="00B112FD" w:rsidP="00B112FD">
    <w:pPr>
      <w:pStyle w:val="FooterCoverPage"/>
      <w:rPr>
        <w:rFonts w:ascii="Arial" w:hAnsi="Arial" w:cs="Arial"/>
        <w:b/>
        <w:sz w:val="48"/>
      </w:rPr>
    </w:pPr>
    <w:r w:rsidRPr="00B112FD">
      <w:rPr>
        <w:rFonts w:ascii="Arial" w:hAnsi="Arial" w:cs="Arial"/>
        <w:b/>
        <w:sz w:val="48"/>
      </w:rPr>
      <w:t>PL</w:t>
    </w:r>
    <w:r w:rsidRPr="00B112FD">
      <w:rPr>
        <w:rFonts w:ascii="Arial" w:hAnsi="Arial" w:cs="Arial"/>
        <w:b/>
        <w:sz w:val="48"/>
      </w:rPr>
      <w:tab/>
    </w:r>
    <w:r w:rsidRPr="00B112FD">
      <w:rPr>
        <w:rFonts w:ascii="Arial" w:hAnsi="Arial" w:cs="Arial"/>
        <w:b/>
        <w:sz w:val="48"/>
      </w:rPr>
      <w:tab/>
    </w:r>
    <w:r w:rsidRPr="00B112FD">
      <w:tab/>
    </w:r>
    <w:r w:rsidRPr="00B112F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FBCC" w14:textId="77777777" w:rsidR="00B112FD" w:rsidRPr="00B112FD" w:rsidRDefault="00B112FD" w:rsidP="00B112F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6A37" w14:textId="77777777" w:rsidR="00CC199B" w:rsidRDefault="00CC19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04085"/>
      <w:docPartObj>
        <w:docPartGallery w:val="Page Numbers (Bottom of Page)"/>
        <w:docPartUnique/>
      </w:docPartObj>
    </w:sdtPr>
    <w:sdtEndPr>
      <w:rPr>
        <w:noProof/>
      </w:rPr>
    </w:sdtEndPr>
    <w:sdtContent>
      <w:p w14:paraId="63055207" w14:textId="5834F15F" w:rsidR="00CC199B" w:rsidRDefault="00CC199B">
        <w:pPr>
          <w:pStyle w:val="Footer"/>
          <w:jc w:val="right"/>
        </w:pPr>
        <w:r>
          <w:fldChar w:fldCharType="begin"/>
        </w:r>
        <w:r>
          <w:instrText xml:space="preserve"> PAGE   \* MERGEFORMAT </w:instrText>
        </w:r>
        <w:r>
          <w:fldChar w:fldCharType="separate"/>
        </w:r>
        <w:r w:rsidR="00B112FD">
          <w:rPr>
            <w:noProof/>
          </w:rPr>
          <w:t>1</w:t>
        </w:r>
        <w:r>
          <w:fldChar w:fldCharType="end"/>
        </w:r>
      </w:p>
    </w:sdtContent>
  </w:sdt>
  <w:p w14:paraId="5E28B9D2" w14:textId="77777777" w:rsidR="00CC199B" w:rsidRDefault="00CC19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BD34" w14:textId="77777777" w:rsidR="00CC199B" w:rsidRDefault="00CC1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13DA" w14:textId="77777777" w:rsidR="00C64181" w:rsidRPr="00E82C90" w:rsidRDefault="00C64181" w:rsidP="00CA53FB">
      <w:pPr>
        <w:spacing w:after="0" w:line="240" w:lineRule="auto"/>
      </w:pPr>
      <w:r w:rsidRPr="00E82C90">
        <w:separator/>
      </w:r>
    </w:p>
  </w:footnote>
  <w:footnote w:type="continuationSeparator" w:id="0">
    <w:p w14:paraId="0EE398AA" w14:textId="77777777" w:rsidR="00C64181" w:rsidRPr="00E82C90" w:rsidRDefault="00C64181" w:rsidP="00CA53FB">
      <w:pPr>
        <w:spacing w:after="0" w:line="240" w:lineRule="auto"/>
      </w:pPr>
      <w:r w:rsidRPr="00E82C90">
        <w:continuationSeparator/>
      </w:r>
    </w:p>
  </w:footnote>
  <w:footnote w:type="continuationNotice" w:id="1">
    <w:p w14:paraId="40DA73FF" w14:textId="77777777" w:rsidR="00C64181" w:rsidRPr="00E82C90" w:rsidRDefault="00C64181">
      <w:pPr>
        <w:spacing w:after="0" w:line="240" w:lineRule="auto"/>
      </w:pPr>
    </w:p>
  </w:footnote>
  <w:footnote w:id="2">
    <w:p w14:paraId="283F7C96" w14:textId="34EDEBC6" w:rsidR="00CC199B" w:rsidRPr="00E82C90" w:rsidRDefault="00CC199B">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 2021</w:t>
      </w:r>
      <w:r w:rsidR="00E82C90" w:rsidRPr="00E82C90">
        <w:rPr>
          <w:rFonts w:asciiTheme="majorBidi" w:hAnsiTheme="majorBidi"/>
          <w:sz w:val="18"/>
          <w:szCs w:val="18"/>
        </w:rPr>
        <w:t> </w:t>
      </w:r>
      <w:r w:rsidRPr="00E82C90">
        <w:rPr>
          <w:rFonts w:asciiTheme="majorBidi" w:hAnsiTheme="majorBidi"/>
          <w:sz w:val="18"/>
          <w:szCs w:val="18"/>
        </w:rPr>
        <w:t>r. ponad 40</w:t>
      </w:r>
      <w:r w:rsidR="00E82C90" w:rsidRPr="00E82C90">
        <w:rPr>
          <w:rFonts w:asciiTheme="majorBidi" w:hAnsiTheme="majorBidi"/>
          <w:sz w:val="18"/>
          <w:szCs w:val="18"/>
        </w:rPr>
        <w:t> </w:t>
      </w:r>
      <w:r w:rsidRPr="00E82C90">
        <w:rPr>
          <w:rFonts w:asciiTheme="majorBidi" w:hAnsiTheme="majorBidi"/>
          <w:sz w:val="18"/>
          <w:szCs w:val="18"/>
        </w:rPr>
        <w:t>% całkowitego gazu zużywanego w UE pochodziło</w:t>
      </w:r>
      <w:r w:rsidR="00E82C90" w:rsidRPr="00E82C90">
        <w:rPr>
          <w:rFonts w:asciiTheme="majorBidi" w:hAnsiTheme="majorBidi"/>
          <w:sz w:val="18"/>
          <w:szCs w:val="18"/>
        </w:rPr>
        <w:t xml:space="preserve"> z Ros</w:t>
      </w:r>
      <w:r w:rsidRPr="00E82C90">
        <w:rPr>
          <w:rFonts w:asciiTheme="majorBidi" w:hAnsiTheme="majorBidi"/>
          <w:sz w:val="18"/>
          <w:szCs w:val="18"/>
        </w:rPr>
        <w:t>ji: stanowi to równowartość około 155 mld metrów sześciennych (mld m3),</w:t>
      </w:r>
      <w:r w:rsidR="00E82C90" w:rsidRPr="00E82C90">
        <w:rPr>
          <w:rFonts w:asciiTheme="majorBidi" w:hAnsiTheme="majorBidi"/>
          <w:sz w:val="18"/>
          <w:szCs w:val="18"/>
        </w:rPr>
        <w:t xml:space="preserve"> w tym </w:t>
      </w:r>
      <w:r w:rsidRPr="00E82C90">
        <w:rPr>
          <w:rFonts w:asciiTheme="majorBidi" w:hAnsiTheme="majorBidi"/>
          <w:sz w:val="18"/>
          <w:szCs w:val="18"/>
        </w:rPr>
        <w:t>15 mld m3</w:t>
      </w:r>
      <w:r w:rsidR="00E82C90" w:rsidRPr="00E82C90">
        <w:rPr>
          <w:rFonts w:asciiTheme="majorBidi" w:hAnsiTheme="majorBidi"/>
          <w:sz w:val="18"/>
          <w:szCs w:val="18"/>
        </w:rPr>
        <w:t xml:space="preserve"> w pos</w:t>
      </w:r>
      <w:r w:rsidRPr="00E82C90">
        <w:rPr>
          <w:rFonts w:asciiTheme="majorBidi" w:hAnsiTheme="majorBidi"/>
          <w:sz w:val="18"/>
          <w:szCs w:val="18"/>
        </w:rPr>
        <w:t>taci skroplonego gazu ziemnego (LNG).</w:t>
      </w:r>
    </w:p>
  </w:footnote>
  <w:footnote w:id="3">
    <w:p w14:paraId="269B4882" w14:textId="775A6627" w:rsidR="00CC199B" w:rsidRPr="00E82C90" w:rsidRDefault="00CC199B" w:rsidP="00705665">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 w:history="1">
        <w:r w:rsidRPr="00E82C90">
          <w:rPr>
            <w:rStyle w:val="Hyperlink"/>
            <w:rFonts w:asciiTheme="majorBidi" w:hAnsiTheme="majorBidi"/>
            <w:color w:val="auto"/>
            <w:sz w:val="18"/>
            <w:szCs w:val="18"/>
          </w:rPr>
          <w:t>Wspólne oświadczenie pomiędzy Komisją Europejską</w:t>
        </w:r>
        <w:r w:rsidR="00E82C90" w:rsidRPr="00E82C90">
          <w:rPr>
            <w:rStyle w:val="Hyperlink"/>
            <w:rFonts w:asciiTheme="majorBidi" w:hAnsiTheme="majorBidi"/>
            <w:color w:val="auto"/>
            <w:sz w:val="18"/>
            <w:szCs w:val="18"/>
          </w:rPr>
          <w:t xml:space="preserve"> a Sta</w:t>
        </w:r>
        <w:r w:rsidRPr="00E82C90">
          <w:rPr>
            <w:rStyle w:val="Hyperlink"/>
            <w:rFonts w:asciiTheme="majorBidi" w:hAnsiTheme="majorBidi"/>
            <w:color w:val="auto"/>
            <w:sz w:val="18"/>
            <w:szCs w:val="18"/>
          </w:rPr>
          <w:t>nami Zjednoczonymi dotyczące bezpieczeństwa energetycznego Europy</w:t>
        </w:r>
      </w:hyperlink>
    </w:p>
  </w:footnote>
  <w:footnote w:id="4">
    <w:p w14:paraId="2E3957AE" w14:textId="33E74F05" w:rsidR="00CC199B" w:rsidRPr="00E82C90" w:rsidRDefault="00CC199B">
      <w:pPr>
        <w:pStyle w:val="FootnoteText"/>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2" w:history="1">
        <w:r w:rsidRPr="00E82C90">
          <w:rPr>
            <w:rStyle w:val="Hyperlink"/>
            <w:rFonts w:asciiTheme="majorBidi" w:hAnsiTheme="majorBidi"/>
            <w:color w:val="auto"/>
            <w:sz w:val="18"/>
            <w:szCs w:val="18"/>
          </w:rPr>
          <w:t>Wspólne oświadczenie przewodniczącej Ursuli von der Leyen</w:t>
        </w:r>
        <w:r w:rsidR="00E82C90" w:rsidRPr="00E82C90">
          <w:rPr>
            <w:rStyle w:val="Hyperlink"/>
            <w:rFonts w:asciiTheme="majorBidi" w:hAnsiTheme="majorBidi"/>
            <w:color w:val="auto"/>
            <w:sz w:val="18"/>
            <w:szCs w:val="18"/>
          </w:rPr>
          <w:t xml:space="preserve"> i pre</w:t>
        </w:r>
        <w:r w:rsidRPr="00E82C90">
          <w:rPr>
            <w:rStyle w:val="Hyperlink"/>
            <w:rFonts w:asciiTheme="majorBidi" w:hAnsiTheme="majorBidi"/>
            <w:color w:val="auto"/>
            <w:sz w:val="18"/>
            <w:szCs w:val="18"/>
          </w:rPr>
          <w:t>miera Justina Trudeau</w:t>
        </w:r>
      </w:hyperlink>
    </w:p>
  </w:footnote>
  <w:footnote w:id="5">
    <w:p w14:paraId="7366F4F7" w14:textId="5E9C07DE" w:rsidR="00CC199B" w:rsidRPr="00E82C90" w:rsidRDefault="00CC199B" w:rsidP="00776973">
      <w:pPr>
        <w:pStyle w:val="FootnoteText"/>
      </w:pPr>
      <w:r w:rsidRPr="00E82C90">
        <w:rPr>
          <w:rStyle w:val="FootnoteReference"/>
        </w:rPr>
        <w:footnoteRef/>
      </w:r>
      <w:r w:rsidRPr="00E82C90">
        <w:t xml:space="preserve"> </w:t>
      </w:r>
      <w:r w:rsidRPr="00E82C90">
        <w:rPr>
          <w:rFonts w:asciiTheme="majorBidi" w:hAnsiTheme="majorBidi"/>
          <w:sz w:val="18"/>
        </w:rPr>
        <w:t>46 mld m3/rok to bazowy szacunek MAE oparty na założeniach dotyczących najlepszych praktyk.</w:t>
      </w:r>
    </w:p>
  </w:footnote>
  <w:footnote w:id="6">
    <w:p w14:paraId="1A449FC1" w14:textId="77777777" w:rsidR="00CC199B" w:rsidRPr="00E82C90" w:rsidRDefault="00CC199B" w:rsidP="0098638B">
      <w:pPr>
        <w:pStyle w:val="FootnoteText"/>
        <w:rPr>
          <w:rFonts w:asciiTheme="majorBidi" w:hAnsiTheme="majorBidi"/>
        </w:rPr>
      </w:pPr>
      <w:r w:rsidRPr="00E82C90">
        <w:rPr>
          <w:rStyle w:val="FootnoteReference"/>
        </w:rPr>
        <w:footnoteRef/>
      </w:r>
      <w:r w:rsidRPr="00E82C90">
        <w:t xml:space="preserve"> </w:t>
      </w:r>
      <w:hyperlink r:id="rId3" w:history="1">
        <w:r w:rsidRPr="00E82C90">
          <w:rPr>
            <w:rStyle w:val="Hyperlink"/>
            <w:rFonts w:asciiTheme="majorBidi" w:hAnsiTheme="majorBidi"/>
            <w:color w:val="auto"/>
            <w:sz w:val="18"/>
          </w:rPr>
          <w:t>Sieci transeuropejskie na rzecz regulacji energetyki</w:t>
        </w:r>
      </w:hyperlink>
    </w:p>
  </w:footnote>
  <w:footnote w:id="7">
    <w:p w14:paraId="55B17372" w14:textId="475AA2B6" w:rsidR="00CC199B" w:rsidRPr="00E82C90" w:rsidRDefault="00CC199B">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Rosyjski skrót VVER oznacza „wodno-wodny reaktor energetyczny”.</w:t>
      </w:r>
    </w:p>
  </w:footnote>
  <w:footnote w:id="8">
    <w:p w14:paraId="13A6CF6F" w14:textId="4CC5A15A" w:rsidR="00CC199B" w:rsidRPr="00E82C90" w:rsidRDefault="00CC199B" w:rsidP="00DB12C3">
      <w:pPr>
        <w:pStyle w:val="FootnoteText"/>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 zmienianym programie prac EURATOM na lata 2021–2022 zostanie uwzględnione nowe działanie mające na celu zwiększenie bezpieczeństwa dostaw do UE dzięki badaniom nad paliwem alternatywnym pochodzącym spoza Rosji dla reaktorów rosyjskiego projektu w UE</w:t>
      </w:r>
      <w:r w:rsidR="00E82C90" w:rsidRPr="00E82C90">
        <w:rPr>
          <w:rFonts w:asciiTheme="majorBidi" w:hAnsiTheme="majorBidi"/>
          <w:sz w:val="18"/>
          <w:szCs w:val="18"/>
        </w:rPr>
        <w:t xml:space="preserve"> i w Ukr</w:t>
      </w:r>
      <w:r w:rsidRPr="00E82C90">
        <w:rPr>
          <w:rFonts w:asciiTheme="majorBidi" w:hAnsiTheme="majorBidi"/>
          <w:sz w:val="18"/>
          <w:szCs w:val="18"/>
        </w:rPr>
        <w:t>ainie.</w:t>
      </w:r>
    </w:p>
  </w:footnote>
  <w:footnote w:id="9">
    <w:p w14:paraId="017081D6" w14:textId="354E75C4" w:rsidR="00CC199B" w:rsidRPr="00E82C90" w:rsidRDefault="00CC199B" w:rsidP="00CD794A">
      <w:pPr>
        <w:pStyle w:val="FootnoteText"/>
      </w:pPr>
      <w:r w:rsidRPr="00E82C90">
        <w:rPr>
          <w:rStyle w:val="FootnoteReference"/>
        </w:rPr>
        <w:footnoteRef/>
      </w:r>
      <w:r w:rsidRPr="00E82C90">
        <w:t xml:space="preserve"> </w:t>
      </w:r>
      <w:hyperlink r:id="rId4" w:history="1">
        <w:r w:rsidRPr="00E82C90">
          <w:rPr>
            <w:rStyle w:val="Hyperlink"/>
            <w:rFonts w:ascii="Times New Roman" w:hAnsi="Times New Roman"/>
            <w:color w:val="auto"/>
            <w:sz w:val="18"/>
            <w:szCs w:val="18"/>
          </w:rPr>
          <w:t xml:space="preserve">MAE szacuje, że </w:t>
        </w:r>
      </w:hyperlink>
      <w:r w:rsidRPr="00E82C90">
        <w:rPr>
          <w:rFonts w:ascii="Times New Roman" w:hAnsi="Times New Roman"/>
          <w:sz w:val="18"/>
          <w:szCs w:val="18"/>
        </w:rPr>
        <w:t>„z technicznego punktu widzenia możliwe jest uniknięcie około trzech czwartych dzisiejszych emisji metanu pochodzących</w:t>
      </w:r>
      <w:r w:rsidR="00E82C90" w:rsidRPr="00E82C90">
        <w:rPr>
          <w:rFonts w:ascii="Times New Roman" w:hAnsi="Times New Roman"/>
          <w:sz w:val="18"/>
          <w:szCs w:val="18"/>
        </w:rPr>
        <w:t xml:space="preserve"> z dzi</w:t>
      </w:r>
      <w:r w:rsidRPr="00E82C90">
        <w:rPr>
          <w:rFonts w:ascii="Times New Roman" w:hAnsi="Times New Roman"/>
          <w:sz w:val="18"/>
          <w:szCs w:val="18"/>
        </w:rPr>
        <w:t>ałalności związanej</w:t>
      </w:r>
      <w:r w:rsidR="00E82C90" w:rsidRPr="00E82C90">
        <w:rPr>
          <w:rFonts w:ascii="Times New Roman" w:hAnsi="Times New Roman"/>
          <w:sz w:val="18"/>
          <w:szCs w:val="18"/>
        </w:rPr>
        <w:t xml:space="preserve"> z wyd</w:t>
      </w:r>
      <w:r w:rsidRPr="00E82C90">
        <w:rPr>
          <w:rFonts w:ascii="Times New Roman" w:hAnsi="Times New Roman"/>
          <w:sz w:val="18"/>
          <w:szCs w:val="18"/>
        </w:rPr>
        <w:t>obyciem ropy naftowej</w:t>
      </w:r>
      <w:r w:rsidR="00E82C90" w:rsidRPr="00E82C90">
        <w:rPr>
          <w:rFonts w:ascii="Times New Roman" w:hAnsi="Times New Roman"/>
          <w:sz w:val="18"/>
          <w:szCs w:val="18"/>
        </w:rPr>
        <w:t xml:space="preserve"> i gaz</w:t>
      </w:r>
      <w:r w:rsidRPr="00E82C90">
        <w:rPr>
          <w:rFonts w:ascii="Times New Roman" w:hAnsi="Times New Roman"/>
          <w:sz w:val="18"/>
          <w:szCs w:val="18"/>
        </w:rPr>
        <w:t>u ziemnego na świecie. Co ważniejsze, około 40</w:t>
      </w:r>
      <w:r w:rsidR="00E82C90" w:rsidRPr="00E82C90">
        <w:rPr>
          <w:rFonts w:ascii="Times New Roman" w:hAnsi="Times New Roman"/>
          <w:sz w:val="18"/>
          <w:szCs w:val="18"/>
        </w:rPr>
        <w:t> </w:t>
      </w:r>
      <w:r w:rsidRPr="00E82C90">
        <w:rPr>
          <w:rFonts w:ascii="Times New Roman" w:hAnsi="Times New Roman"/>
          <w:sz w:val="18"/>
          <w:szCs w:val="18"/>
        </w:rPr>
        <w:t>% obecnych emisji metanu można by uniknąć bez ponoszenia kosztów netto”.</w:t>
      </w:r>
    </w:p>
  </w:footnote>
  <w:footnote w:id="10">
    <w:p w14:paraId="54319E2C" w14:textId="77777777" w:rsidR="006A4CD9" w:rsidRPr="00E82C90" w:rsidRDefault="006A4CD9">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5" w:history="1">
        <w:r w:rsidRPr="00E82C90">
          <w:rPr>
            <w:rStyle w:val="Hyperlink"/>
            <w:rFonts w:asciiTheme="majorBidi" w:hAnsiTheme="majorBidi"/>
            <w:color w:val="auto"/>
            <w:sz w:val="18"/>
            <w:szCs w:val="18"/>
          </w:rPr>
          <w:t xml:space="preserve"> Strategia UE na rzecz ograniczenia emisji metanu, COM(2020) 663</w:t>
        </w:r>
      </w:hyperlink>
    </w:p>
  </w:footnote>
  <w:footnote w:id="11">
    <w:p w14:paraId="0E8DD701" w14:textId="77777777" w:rsidR="006A4CD9" w:rsidRPr="00E82C90" w:rsidRDefault="006A4CD9">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6" w:history="1">
        <w:r w:rsidRPr="00E82C90">
          <w:rPr>
            <w:rStyle w:val="Hyperlink"/>
            <w:rFonts w:asciiTheme="majorBidi" w:hAnsiTheme="majorBidi"/>
            <w:color w:val="auto"/>
            <w:sz w:val="18"/>
            <w:szCs w:val="18"/>
          </w:rPr>
          <w:t xml:space="preserve"> Globalne zobowiązanie dotyczące metanu</w:t>
        </w:r>
      </w:hyperlink>
    </w:p>
  </w:footnote>
  <w:footnote w:id="12">
    <w:p w14:paraId="7A4621D5" w14:textId="6B1791D9" w:rsidR="006A4CD9" w:rsidRPr="00E82C90" w:rsidRDefault="006A4CD9" w:rsidP="00DD11D8">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7" w:history="1">
        <w:r w:rsidRPr="00E82C90">
          <w:rPr>
            <w:rStyle w:val="Hyperlink"/>
            <w:rFonts w:asciiTheme="majorBidi" w:hAnsiTheme="majorBidi"/>
            <w:color w:val="auto"/>
            <w:sz w:val="18"/>
            <w:szCs w:val="18"/>
          </w:rPr>
          <w:t>Konferencja Narodów Zjednoczonych do spraw Handlu</w:t>
        </w:r>
        <w:r w:rsidR="00E82C90" w:rsidRPr="00E82C90">
          <w:rPr>
            <w:rStyle w:val="Hyperlink"/>
            <w:rFonts w:asciiTheme="majorBidi" w:hAnsiTheme="majorBidi"/>
            <w:color w:val="auto"/>
            <w:sz w:val="18"/>
            <w:szCs w:val="18"/>
          </w:rPr>
          <w:t xml:space="preserve"> i Roz</w:t>
        </w:r>
        <w:r w:rsidRPr="00E82C90">
          <w:rPr>
            <w:rStyle w:val="Hyperlink"/>
            <w:rFonts w:asciiTheme="majorBidi" w:hAnsiTheme="majorBidi"/>
            <w:color w:val="auto"/>
            <w:sz w:val="18"/>
            <w:szCs w:val="18"/>
          </w:rPr>
          <w:t>woju (2022</w:t>
        </w:r>
        <w:r w:rsidR="00E82C90" w:rsidRPr="00E82C90">
          <w:rPr>
            <w:rStyle w:val="Hyperlink"/>
            <w:rFonts w:asciiTheme="majorBidi" w:hAnsiTheme="majorBidi"/>
            <w:color w:val="auto"/>
            <w:sz w:val="18"/>
            <w:szCs w:val="18"/>
          </w:rPr>
          <w:t> </w:t>
        </w:r>
        <w:r w:rsidRPr="00E82C90">
          <w:rPr>
            <w:rStyle w:val="Hyperlink"/>
            <w:rFonts w:asciiTheme="majorBidi" w:hAnsiTheme="majorBidi"/>
            <w:color w:val="auto"/>
            <w:sz w:val="18"/>
            <w:szCs w:val="18"/>
          </w:rPr>
          <w:t>r.), sprawozdanie</w:t>
        </w:r>
        <w:r w:rsidR="00E82C90" w:rsidRPr="00E82C90">
          <w:rPr>
            <w:rStyle w:val="Hyperlink"/>
            <w:rFonts w:asciiTheme="majorBidi" w:hAnsiTheme="majorBidi"/>
            <w:color w:val="auto"/>
            <w:sz w:val="18"/>
            <w:szCs w:val="18"/>
          </w:rPr>
          <w:t xml:space="preserve"> w spr</w:t>
        </w:r>
        <w:r w:rsidRPr="00E82C90">
          <w:rPr>
            <w:rStyle w:val="Hyperlink"/>
            <w:rFonts w:asciiTheme="majorBidi" w:hAnsiTheme="majorBidi"/>
            <w:color w:val="auto"/>
            <w:sz w:val="18"/>
            <w:szCs w:val="18"/>
          </w:rPr>
          <w:t>awie handlu</w:t>
        </w:r>
        <w:r w:rsidR="00E82C90" w:rsidRPr="00E82C90">
          <w:rPr>
            <w:rStyle w:val="Hyperlink"/>
            <w:rFonts w:asciiTheme="majorBidi" w:hAnsiTheme="majorBidi"/>
            <w:color w:val="auto"/>
            <w:sz w:val="18"/>
            <w:szCs w:val="18"/>
          </w:rPr>
          <w:t xml:space="preserve"> i roz</w:t>
        </w:r>
        <w:r w:rsidRPr="00E82C90">
          <w:rPr>
            <w:rStyle w:val="Hyperlink"/>
            <w:rFonts w:asciiTheme="majorBidi" w:hAnsiTheme="majorBidi"/>
            <w:color w:val="auto"/>
            <w:sz w:val="18"/>
            <w:szCs w:val="18"/>
          </w:rPr>
          <w:t>woju</w:t>
        </w:r>
        <w:r w:rsidR="00E82C90" w:rsidRPr="00E82C90">
          <w:rPr>
            <w:rStyle w:val="Hyperlink"/>
            <w:rFonts w:asciiTheme="majorBidi" w:hAnsiTheme="majorBidi"/>
            <w:color w:val="auto"/>
            <w:sz w:val="18"/>
            <w:szCs w:val="18"/>
          </w:rPr>
          <w:t xml:space="preserve"> z 2</w:t>
        </w:r>
        <w:r w:rsidRPr="00E82C90">
          <w:rPr>
            <w:rStyle w:val="Hyperlink"/>
            <w:rFonts w:asciiTheme="majorBidi" w:hAnsiTheme="majorBidi"/>
            <w:color w:val="auto"/>
            <w:sz w:val="18"/>
            <w:szCs w:val="18"/>
          </w:rPr>
          <w:t>021</w:t>
        </w:r>
        <w:r w:rsidR="00E82C90" w:rsidRPr="00E82C90">
          <w:rPr>
            <w:rStyle w:val="Hyperlink"/>
            <w:rFonts w:asciiTheme="majorBidi" w:hAnsiTheme="majorBidi"/>
            <w:color w:val="auto"/>
            <w:sz w:val="18"/>
            <w:szCs w:val="18"/>
          </w:rPr>
          <w:t> </w:t>
        </w:r>
        <w:r w:rsidRPr="00E82C90">
          <w:rPr>
            <w:rStyle w:val="Hyperlink"/>
            <w:rFonts w:asciiTheme="majorBidi" w:hAnsiTheme="majorBidi"/>
            <w:color w:val="auto"/>
            <w:sz w:val="18"/>
            <w:szCs w:val="18"/>
          </w:rPr>
          <w:t>r., aktualizacja</w:t>
        </w:r>
        <w:r w:rsidR="00E82C90" w:rsidRPr="00E82C90">
          <w:rPr>
            <w:rStyle w:val="Hyperlink"/>
            <w:rFonts w:asciiTheme="majorBidi" w:hAnsiTheme="majorBidi"/>
            <w:color w:val="auto"/>
            <w:sz w:val="18"/>
            <w:szCs w:val="18"/>
          </w:rPr>
          <w:t xml:space="preserve"> z mar</w:t>
        </w:r>
        <w:r w:rsidRPr="00E82C90">
          <w:rPr>
            <w:rStyle w:val="Hyperlink"/>
            <w:rFonts w:asciiTheme="majorBidi" w:hAnsiTheme="majorBidi"/>
            <w:color w:val="auto"/>
            <w:sz w:val="18"/>
            <w:szCs w:val="18"/>
          </w:rPr>
          <w:t>ca</w:t>
        </w:r>
      </w:hyperlink>
    </w:p>
  </w:footnote>
  <w:footnote w:id="13">
    <w:p w14:paraId="6F8CF4CB" w14:textId="37D84624" w:rsidR="006A4CD9" w:rsidRPr="00E82C90" w:rsidRDefault="006A4CD9" w:rsidP="00DD11D8">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8" w:history="1">
        <w:r w:rsidRPr="00E82C90">
          <w:rPr>
            <w:rStyle w:val="Hyperlink"/>
            <w:rFonts w:asciiTheme="majorBidi" w:hAnsiTheme="majorBidi"/>
            <w:color w:val="auto"/>
            <w:sz w:val="18"/>
            <w:szCs w:val="18"/>
          </w:rPr>
          <w:t>Organizacja Narodów Zjednoczonych – Globalny wpływ wojny</w:t>
        </w:r>
        <w:r w:rsidR="00E82C90" w:rsidRPr="00E82C90">
          <w:rPr>
            <w:rStyle w:val="Hyperlink"/>
            <w:rFonts w:asciiTheme="majorBidi" w:hAnsiTheme="majorBidi"/>
            <w:color w:val="auto"/>
            <w:sz w:val="18"/>
            <w:szCs w:val="18"/>
          </w:rPr>
          <w:t xml:space="preserve"> w Ukr</w:t>
        </w:r>
        <w:r w:rsidRPr="00E82C90">
          <w:rPr>
            <w:rStyle w:val="Hyperlink"/>
            <w:rFonts w:asciiTheme="majorBidi" w:hAnsiTheme="majorBidi"/>
            <w:color w:val="auto"/>
            <w:sz w:val="18"/>
            <w:szCs w:val="18"/>
          </w:rPr>
          <w:t>ainie na systemy żywnościowe, energetyczne</w:t>
        </w:r>
        <w:r w:rsidR="00E82C90" w:rsidRPr="00E82C90">
          <w:rPr>
            <w:rStyle w:val="Hyperlink"/>
            <w:rFonts w:asciiTheme="majorBidi" w:hAnsiTheme="majorBidi"/>
            <w:color w:val="auto"/>
            <w:sz w:val="18"/>
            <w:szCs w:val="18"/>
          </w:rPr>
          <w:t xml:space="preserve"> i fin</w:t>
        </w:r>
        <w:r w:rsidRPr="00E82C90">
          <w:rPr>
            <w:rStyle w:val="Hyperlink"/>
            <w:rFonts w:asciiTheme="majorBidi" w:hAnsiTheme="majorBidi"/>
            <w:color w:val="auto"/>
            <w:sz w:val="18"/>
            <w:szCs w:val="18"/>
          </w:rPr>
          <w:t>ansowe</w:t>
        </w:r>
      </w:hyperlink>
      <w:r w:rsidRPr="00E82C90">
        <w:rPr>
          <w:rFonts w:asciiTheme="majorBidi" w:hAnsiTheme="majorBidi"/>
          <w:sz w:val="18"/>
          <w:szCs w:val="18"/>
        </w:rPr>
        <w:t>, kwiecień 2022</w:t>
      </w:r>
      <w:r w:rsidR="00E82C90" w:rsidRPr="00E82C90">
        <w:rPr>
          <w:rFonts w:asciiTheme="majorBidi" w:hAnsiTheme="majorBidi"/>
          <w:sz w:val="18"/>
          <w:szCs w:val="18"/>
        </w:rPr>
        <w:t> </w:t>
      </w:r>
      <w:r w:rsidRPr="00E82C90">
        <w:rPr>
          <w:rFonts w:asciiTheme="majorBidi" w:hAnsiTheme="majorBidi"/>
          <w:sz w:val="18"/>
          <w:szCs w:val="18"/>
        </w:rPr>
        <w:t>r.</w:t>
      </w:r>
    </w:p>
  </w:footnote>
  <w:footnote w:id="14">
    <w:p w14:paraId="0D97F8E0" w14:textId="77777777" w:rsidR="00CC199B" w:rsidRPr="00E82C90" w:rsidRDefault="006A4CD9">
      <w:pPr>
        <w:pStyle w:val="FootnoteText"/>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9" w:history="1">
        <w:r w:rsidRPr="00E82C90">
          <w:rPr>
            <w:rStyle w:val="Hyperlink"/>
            <w:rFonts w:asciiTheme="majorBidi" w:hAnsiTheme="majorBidi"/>
            <w:color w:val="auto"/>
            <w:sz w:val="18"/>
            <w:szCs w:val="18"/>
          </w:rPr>
          <w:t>Organizacja Narodów Zjednoczonych – Globalna Grupa Reagowania Kryzysowego</w:t>
        </w:r>
      </w:hyperlink>
    </w:p>
  </w:footnote>
  <w:footnote w:id="15">
    <w:p w14:paraId="338FFFEC" w14:textId="0E056FDD" w:rsidR="00B86A78" w:rsidRPr="00E82C90" w:rsidRDefault="00B86A78">
      <w:pPr>
        <w:pStyle w:val="FootnoteText"/>
      </w:pPr>
      <w:r w:rsidRPr="00E82C90">
        <w:rPr>
          <w:rStyle w:val="FootnoteReference"/>
        </w:rPr>
        <w:footnoteRef/>
      </w:r>
      <w:r w:rsidRPr="00E82C90">
        <w:rPr>
          <w:rFonts w:ascii="Times New Roman" w:hAnsi="Times New Roman"/>
          <w:sz w:val="18"/>
          <w:szCs w:val="18"/>
        </w:rPr>
        <w:t>Komunikat Komisji do Parlamentu Europejskiego, Rady Europejskiej, Rady, Europejskiego Komitetu Ekonomiczno-Społecznego</w:t>
      </w:r>
      <w:r w:rsidR="00E82C90" w:rsidRPr="00E82C90">
        <w:rPr>
          <w:rFonts w:ascii="Times New Roman" w:hAnsi="Times New Roman"/>
          <w:sz w:val="18"/>
          <w:szCs w:val="18"/>
        </w:rPr>
        <w:t xml:space="preserve"> i Kom</w:t>
      </w:r>
      <w:r w:rsidRPr="00E82C90">
        <w:rPr>
          <w:rFonts w:ascii="Times New Roman" w:hAnsi="Times New Roman"/>
          <w:sz w:val="18"/>
          <w:szCs w:val="18"/>
        </w:rPr>
        <w:t>itetu Regionów: Pomoc dla Ukrainy</w:t>
      </w:r>
      <w:r w:rsidR="00E82C90" w:rsidRPr="00E82C90">
        <w:rPr>
          <w:rFonts w:ascii="Times New Roman" w:hAnsi="Times New Roman"/>
          <w:sz w:val="18"/>
          <w:szCs w:val="18"/>
        </w:rPr>
        <w:t xml:space="preserve"> i jej</w:t>
      </w:r>
      <w:r w:rsidRPr="00E82C90">
        <w:rPr>
          <w:rFonts w:ascii="Times New Roman" w:hAnsi="Times New Roman"/>
          <w:sz w:val="18"/>
          <w:szCs w:val="18"/>
        </w:rPr>
        <w:t xml:space="preserve"> odbudowa, COM(2022) 233.</w:t>
      </w:r>
    </w:p>
  </w:footnote>
  <w:footnote w:id="16">
    <w:p w14:paraId="3E97F337" w14:textId="2898D0F8" w:rsidR="00CC199B" w:rsidRPr="00E82C90" w:rsidRDefault="00CC199B">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0" w:history="1">
        <w:r w:rsidRPr="00E82C90">
          <w:rPr>
            <w:rStyle w:val="Hyperlink"/>
            <w:rFonts w:asciiTheme="majorBidi" w:hAnsiTheme="majorBidi"/>
            <w:color w:val="auto"/>
            <w:sz w:val="18"/>
            <w:szCs w:val="18"/>
          </w:rPr>
          <w:t>World Energy Transitions Outlook:</w:t>
        </w:r>
      </w:hyperlink>
      <w:hyperlink r:id="rId11" w:history="1">
        <w:r w:rsidRPr="00E82C90">
          <w:rPr>
            <w:rStyle w:val="Hyperlink"/>
            <w:rFonts w:asciiTheme="majorBidi" w:hAnsiTheme="majorBidi"/>
            <w:color w:val="auto"/>
            <w:sz w:val="18"/>
            <w:szCs w:val="18"/>
          </w:rPr>
          <w:t>1.5°C Pathway</w:t>
        </w:r>
      </w:hyperlink>
      <w:r w:rsidRPr="00E82C90">
        <w:t xml:space="preserve"> [„Perspektywa globalnych transformacji energetycznych: ścieżka do</w:t>
      </w:r>
      <w:r w:rsidR="00E82C90" w:rsidRPr="00E82C90">
        <w:t> </w:t>
      </w:r>
      <w:r w:rsidRPr="00E82C90">
        <w:t>1,5</w:t>
      </w:r>
      <w:r w:rsidR="00E82C90" w:rsidRPr="00E82C90">
        <w:t> </w:t>
      </w:r>
      <w:r w:rsidRPr="00E82C90">
        <w:t>°C”].</w:t>
      </w:r>
    </w:p>
  </w:footnote>
  <w:footnote w:id="17">
    <w:p w14:paraId="665A4EC8" w14:textId="05653EA4" w:rsidR="00CC199B" w:rsidRPr="00E82C90" w:rsidRDefault="00CC199B" w:rsidP="00F350E7">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2" w:history="1">
        <w:r w:rsidRPr="00E82C90">
          <w:rPr>
            <w:rStyle w:val="Hyperlink"/>
            <w:rFonts w:asciiTheme="majorBidi" w:hAnsiTheme="majorBidi"/>
            <w:color w:val="0070C0"/>
            <w:sz w:val="18"/>
            <w:szCs w:val="18"/>
          </w:rPr>
          <w:t xml:space="preserve"> IRENA, Global energy transformation:</w:t>
        </w:r>
      </w:hyperlink>
      <w:hyperlink r:id="rId13" w:history="1">
        <w:r w:rsidR="00E82C90" w:rsidRPr="00E82C90">
          <w:rPr>
            <w:rStyle w:val="Hyperlink"/>
            <w:rFonts w:asciiTheme="majorBidi" w:hAnsiTheme="majorBidi"/>
            <w:color w:val="0070C0"/>
            <w:sz w:val="18"/>
            <w:szCs w:val="18"/>
          </w:rPr>
          <w:t xml:space="preserve"> a roa</w:t>
        </w:r>
        <w:r w:rsidRPr="00E82C90">
          <w:rPr>
            <w:rStyle w:val="Hyperlink"/>
            <w:rFonts w:asciiTheme="majorBidi" w:hAnsiTheme="majorBidi"/>
            <w:color w:val="0070C0"/>
            <w:sz w:val="18"/>
            <w:szCs w:val="18"/>
          </w:rPr>
          <w:t>dmap to</w:t>
        </w:r>
        <w:r w:rsidR="00E82C90" w:rsidRPr="00E82C90">
          <w:rPr>
            <w:rStyle w:val="Hyperlink"/>
            <w:rFonts w:asciiTheme="majorBidi" w:hAnsiTheme="majorBidi"/>
            <w:color w:val="0070C0"/>
            <w:sz w:val="18"/>
            <w:szCs w:val="18"/>
          </w:rPr>
          <w:t> </w:t>
        </w:r>
        <w:r w:rsidRPr="00E82C90">
          <w:rPr>
            <w:rStyle w:val="Hyperlink"/>
            <w:rFonts w:asciiTheme="majorBidi" w:hAnsiTheme="majorBidi"/>
            <w:color w:val="0070C0"/>
            <w:sz w:val="18"/>
            <w:szCs w:val="18"/>
          </w:rPr>
          <w:t>2050 [„Globalna transformacja energetyczna: plan działania do</w:t>
        </w:r>
        <w:r w:rsidR="00E82C90" w:rsidRPr="00E82C90">
          <w:rPr>
            <w:rStyle w:val="Hyperlink"/>
            <w:rFonts w:asciiTheme="majorBidi" w:hAnsiTheme="majorBidi"/>
            <w:color w:val="0070C0"/>
            <w:sz w:val="18"/>
            <w:szCs w:val="18"/>
          </w:rPr>
          <w:t> </w:t>
        </w:r>
        <w:r w:rsidRPr="00E82C90">
          <w:rPr>
            <w:rStyle w:val="Hyperlink"/>
            <w:rFonts w:asciiTheme="majorBidi" w:hAnsiTheme="majorBidi"/>
            <w:color w:val="0070C0"/>
            <w:sz w:val="18"/>
            <w:szCs w:val="18"/>
          </w:rPr>
          <w:t>2050</w:t>
        </w:r>
        <w:r w:rsidR="00E82C90" w:rsidRPr="00E82C90">
          <w:rPr>
            <w:rStyle w:val="Hyperlink"/>
            <w:rFonts w:asciiTheme="majorBidi" w:hAnsiTheme="majorBidi"/>
            <w:color w:val="0070C0"/>
            <w:sz w:val="18"/>
            <w:szCs w:val="18"/>
          </w:rPr>
          <w:t> </w:t>
        </w:r>
        <w:r w:rsidRPr="00E82C90">
          <w:rPr>
            <w:rStyle w:val="Hyperlink"/>
            <w:rFonts w:asciiTheme="majorBidi" w:hAnsiTheme="majorBidi"/>
            <w:color w:val="0070C0"/>
            <w:sz w:val="18"/>
            <w:szCs w:val="18"/>
          </w:rPr>
          <w:t>r.], 2019</w:t>
        </w:r>
      </w:hyperlink>
      <w:r w:rsidRPr="00E82C90">
        <w:t>.</w:t>
      </w:r>
    </w:p>
  </w:footnote>
  <w:footnote w:id="18">
    <w:p w14:paraId="20724FA9" w14:textId="17E127FA" w:rsidR="003D74A2" w:rsidRPr="00E82C90" w:rsidRDefault="003D74A2">
      <w:pPr>
        <w:pStyle w:val="FootnoteText"/>
      </w:pPr>
      <w:r w:rsidRPr="00E82C90">
        <w:rPr>
          <w:rStyle w:val="FootnoteReference"/>
        </w:rPr>
        <w:footnoteRef/>
      </w:r>
      <w:r w:rsidRPr="00E82C90">
        <w:rPr>
          <w:rFonts w:ascii="Times New Roman" w:hAnsi="Times New Roman"/>
          <w:sz w:val="18"/>
          <w:szCs w:val="18"/>
        </w:rPr>
        <w:t xml:space="preserve"> Strategia UE na rzecz energii słonecznej, COM(2022) 221</w:t>
      </w:r>
    </w:p>
  </w:footnote>
  <w:footnote w:id="19">
    <w:p w14:paraId="318D4BA3" w14:textId="66357B98" w:rsidR="00CC199B" w:rsidRPr="00E82C90" w:rsidRDefault="00CC199B" w:rsidP="008571D4">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4" w:history="1">
        <w:r w:rsidRPr="00E82C90">
          <w:rPr>
            <w:rStyle w:val="Hyperlink"/>
            <w:rFonts w:asciiTheme="majorBidi" w:hAnsiTheme="majorBidi"/>
            <w:color w:val="auto"/>
            <w:sz w:val="18"/>
            <w:szCs w:val="18"/>
          </w:rPr>
          <w:t xml:space="preserve"> Komunikat pt. „Globalne podejście do badań naukowych</w:t>
        </w:r>
        <w:r w:rsidR="00E82C90" w:rsidRPr="00E82C90">
          <w:rPr>
            <w:rStyle w:val="Hyperlink"/>
            <w:rFonts w:asciiTheme="majorBidi" w:hAnsiTheme="majorBidi"/>
            <w:color w:val="auto"/>
            <w:sz w:val="18"/>
            <w:szCs w:val="18"/>
          </w:rPr>
          <w:t xml:space="preserve"> i inn</w:t>
        </w:r>
        <w:r w:rsidRPr="00E82C90">
          <w:rPr>
            <w:rStyle w:val="Hyperlink"/>
            <w:rFonts w:asciiTheme="majorBidi" w:hAnsiTheme="majorBidi"/>
            <w:color w:val="auto"/>
            <w:sz w:val="18"/>
            <w:szCs w:val="18"/>
          </w:rPr>
          <w:t>owacji”, COM(2021) 252 final</w:t>
        </w:r>
      </w:hyperlink>
    </w:p>
  </w:footnote>
  <w:footnote w:id="20">
    <w:p w14:paraId="149B8528" w14:textId="2B4A5014" w:rsidR="00CC199B" w:rsidRPr="00E82C90" w:rsidRDefault="00CC199B" w:rsidP="007E0EE2">
      <w:pPr>
        <w:pStyle w:val="FootnoteText"/>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5" w:history="1">
        <w:r w:rsidRPr="00E82C90">
          <w:rPr>
            <w:rStyle w:val="Hyperlink"/>
            <w:rFonts w:asciiTheme="majorBidi" w:hAnsiTheme="majorBidi"/>
            <w:color w:val="auto"/>
            <w:sz w:val="18"/>
            <w:szCs w:val="18"/>
          </w:rPr>
          <w:t xml:space="preserve"> Critical Raw Materials in Technologies and Sectors foresight [„Surowce krytyczne</w:t>
        </w:r>
        <w:r w:rsidR="00E82C90" w:rsidRPr="00E82C90">
          <w:rPr>
            <w:rStyle w:val="Hyperlink"/>
            <w:rFonts w:asciiTheme="majorBidi" w:hAnsiTheme="majorBidi"/>
            <w:color w:val="auto"/>
            <w:sz w:val="18"/>
            <w:szCs w:val="18"/>
          </w:rPr>
          <w:t xml:space="preserve"> w tec</w:t>
        </w:r>
        <w:r w:rsidRPr="00E82C90">
          <w:rPr>
            <w:rStyle w:val="Hyperlink"/>
            <w:rFonts w:asciiTheme="majorBidi" w:hAnsiTheme="majorBidi"/>
            <w:color w:val="auto"/>
            <w:sz w:val="18"/>
            <w:szCs w:val="18"/>
          </w:rPr>
          <w:t>hnologiach</w:t>
        </w:r>
        <w:r w:rsidR="00E82C90" w:rsidRPr="00E82C90">
          <w:rPr>
            <w:rStyle w:val="Hyperlink"/>
            <w:rFonts w:asciiTheme="majorBidi" w:hAnsiTheme="majorBidi"/>
            <w:color w:val="auto"/>
            <w:sz w:val="18"/>
            <w:szCs w:val="18"/>
          </w:rPr>
          <w:t xml:space="preserve"> i sek</w:t>
        </w:r>
        <w:r w:rsidRPr="00E82C90">
          <w:rPr>
            <w:rStyle w:val="Hyperlink"/>
            <w:rFonts w:asciiTheme="majorBidi" w:hAnsiTheme="majorBidi"/>
            <w:color w:val="auto"/>
            <w:sz w:val="18"/>
            <w:szCs w:val="18"/>
          </w:rPr>
          <w:t>torach – prognoza”], 2020.</w:t>
        </w:r>
      </w:hyperlink>
    </w:p>
  </w:footnote>
  <w:footnote w:id="21">
    <w:p w14:paraId="6A83FBF7" w14:textId="3C766863" w:rsidR="00B86A78" w:rsidRPr="00E82C90" w:rsidRDefault="00B86A78">
      <w:pPr>
        <w:pStyle w:val="FootnoteText"/>
      </w:pPr>
      <w:r w:rsidRPr="00E82C90">
        <w:rPr>
          <w:rStyle w:val="FootnoteReference"/>
        </w:rPr>
        <w:footnoteRef/>
      </w:r>
      <w:r w:rsidRPr="00E82C90">
        <w:rPr>
          <w:rFonts w:ascii="Times New Roman" w:hAnsi="Times New Roman"/>
          <w:sz w:val="18"/>
          <w:szCs w:val="18"/>
        </w:rPr>
        <w:t>Komunikat Komisji do Parlamentu Europejskiego, Rady Europejskiej, Rady, Europejskiego Komitetu Ekonomiczno-Społecznego</w:t>
      </w:r>
      <w:r w:rsidR="00E82C90" w:rsidRPr="00E82C90">
        <w:rPr>
          <w:rFonts w:ascii="Times New Roman" w:hAnsi="Times New Roman"/>
          <w:sz w:val="18"/>
          <w:szCs w:val="18"/>
        </w:rPr>
        <w:t xml:space="preserve"> i Kom</w:t>
      </w:r>
      <w:r w:rsidRPr="00E82C90">
        <w:rPr>
          <w:rFonts w:ascii="Times New Roman" w:hAnsi="Times New Roman"/>
          <w:sz w:val="18"/>
          <w:szCs w:val="18"/>
        </w:rPr>
        <w:t>itetu Regionów: Plan REPowerEU, COM(2022) 230.</w:t>
      </w:r>
    </w:p>
  </w:footnote>
  <w:footnote w:id="22">
    <w:p w14:paraId="2D501A50" w14:textId="77777777" w:rsidR="00CC199B" w:rsidRPr="00E82C90" w:rsidRDefault="00CC199B" w:rsidP="00700D06">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6" w:history="1">
        <w:r w:rsidRPr="00E82C90">
          <w:rPr>
            <w:rStyle w:val="Hyperlink"/>
            <w:rFonts w:asciiTheme="majorBidi" w:hAnsiTheme="majorBidi"/>
            <w:color w:val="auto"/>
            <w:sz w:val="18"/>
            <w:szCs w:val="18"/>
          </w:rPr>
          <w:t>Przegląd unijnych środków, dzięki którym zrównoważoność produktów w UE ma stać się normą</w:t>
        </w:r>
      </w:hyperlink>
    </w:p>
    <w:p w14:paraId="750E2D2D" w14:textId="6DCAFD6E" w:rsidR="00CC199B" w:rsidRPr="00E82C90" w:rsidRDefault="00CC199B" w:rsidP="00700D06">
      <w:pPr>
        <w:pStyle w:val="FootnoteText"/>
      </w:pPr>
    </w:p>
  </w:footnote>
  <w:footnote w:id="23">
    <w:p w14:paraId="3BE80771" w14:textId="01C7A896" w:rsidR="00CC199B" w:rsidRPr="00E82C90" w:rsidRDefault="00CC199B" w:rsidP="00136687">
      <w:pPr>
        <w:pStyle w:val="FootnoteText"/>
        <w:rPr>
          <w:rFonts w:asciiTheme="majorBidi" w:hAnsiTheme="majorBidi" w:cstheme="majorBidi"/>
          <w:sz w:val="18"/>
          <w:szCs w:val="18"/>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Wspólny komunikat do Parlamentu Europejskiego</w:t>
      </w:r>
      <w:r w:rsidR="00E82C90" w:rsidRPr="00E82C90">
        <w:rPr>
          <w:rFonts w:asciiTheme="majorBidi" w:hAnsiTheme="majorBidi"/>
          <w:sz w:val="18"/>
          <w:szCs w:val="18"/>
        </w:rPr>
        <w:t xml:space="preserve"> i Rad</w:t>
      </w:r>
      <w:r w:rsidRPr="00E82C90">
        <w:rPr>
          <w:rFonts w:asciiTheme="majorBidi" w:hAnsiTheme="majorBidi"/>
          <w:sz w:val="18"/>
          <w:szCs w:val="18"/>
        </w:rPr>
        <w:t>y</w:t>
      </w:r>
      <w:r w:rsidR="00E82C90" w:rsidRPr="00E82C90">
        <w:rPr>
          <w:rFonts w:asciiTheme="majorBidi" w:hAnsiTheme="majorBidi"/>
          <w:sz w:val="18"/>
          <w:szCs w:val="18"/>
        </w:rPr>
        <w:t xml:space="preserve"> w spr</w:t>
      </w:r>
      <w:r w:rsidRPr="00E82C90">
        <w:rPr>
          <w:rFonts w:asciiTheme="majorBidi" w:hAnsiTheme="majorBidi"/>
          <w:sz w:val="18"/>
          <w:szCs w:val="18"/>
        </w:rPr>
        <w:t>awie partnerstwa strategicznego</w:t>
      </w:r>
      <w:r w:rsidR="00E82C90" w:rsidRPr="00E82C90">
        <w:rPr>
          <w:rFonts w:asciiTheme="majorBidi" w:hAnsiTheme="majorBidi"/>
          <w:sz w:val="18"/>
          <w:szCs w:val="18"/>
        </w:rPr>
        <w:t xml:space="preserve"> z Zat</w:t>
      </w:r>
      <w:r w:rsidRPr="00E82C90">
        <w:rPr>
          <w:rFonts w:asciiTheme="majorBidi" w:hAnsiTheme="majorBidi"/>
          <w:sz w:val="18"/>
          <w:szCs w:val="18"/>
        </w:rPr>
        <w:t>oką Perską (JOIN/13/2/2022)</w:t>
      </w:r>
    </w:p>
  </w:footnote>
  <w:footnote w:id="24">
    <w:p w14:paraId="4F7249B3" w14:textId="5F46CE79" w:rsidR="00CC199B" w:rsidRPr="00E82C90" w:rsidRDefault="00CC199B">
      <w:pPr>
        <w:pStyle w:val="FootnoteText"/>
        <w:rPr>
          <w:rFonts w:cstheme="minorHAnsi"/>
        </w:rPr>
      </w:pPr>
      <w:r w:rsidRPr="00E82C90">
        <w:rPr>
          <w:rStyle w:val="FootnoteReference"/>
          <w:rFonts w:asciiTheme="majorBidi" w:hAnsiTheme="majorBidi" w:cstheme="majorBidi"/>
          <w:sz w:val="18"/>
          <w:szCs w:val="18"/>
        </w:rPr>
        <w:footnoteRef/>
      </w:r>
      <w:r w:rsidRPr="00E82C90">
        <w:rPr>
          <w:rFonts w:asciiTheme="majorBidi" w:hAnsiTheme="majorBidi"/>
          <w:sz w:val="18"/>
          <w:szCs w:val="18"/>
        </w:rPr>
        <w:t xml:space="preserve"> </w:t>
      </w:r>
      <w:hyperlink r:id="rId17" w:history="1">
        <w:r w:rsidRPr="00E82C90">
          <w:rPr>
            <w:rStyle w:val="Hyperlink"/>
            <w:rFonts w:asciiTheme="majorBidi" w:hAnsiTheme="majorBidi"/>
            <w:color w:val="auto"/>
            <w:sz w:val="18"/>
            <w:szCs w:val="18"/>
          </w:rPr>
          <w:t xml:space="preserve"> Wspólny komunikat do Parlamentu Europejskiego</w:t>
        </w:r>
        <w:r w:rsidR="00E82C90" w:rsidRPr="00E82C90">
          <w:rPr>
            <w:rStyle w:val="Hyperlink"/>
            <w:rFonts w:asciiTheme="majorBidi" w:hAnsiTheme="majorBidi"/>
            <w:color w:val="auto"/>
            <w:sz w:val="18"/>
            <w:szCs w:val="18"/>
          </w:rPr>
          <w:t xml:space="preserve"> i Rad</w:t>
        </w:r>
        <w:r w:rsidRPr="00E82C90">
          <w:rPr>
            <w:rStyle w:val="Hyperlink"/>
            <w:rFonts w:asciiTheme="majorBidi" w:hAnsiTheme="majorBidi"/>
            <w:color w:val="auto"/>
            <w:sz w:val="18"/>
            <w:szCs w:val="18"/>
          </w:rPr>
          <w:t>y</w:t>
        </w:r>
        <w:r w:rsidR="00E82C90" w:rsidRPr="00E82C90">
          <w:rPr>
            <w:rStyle w:val="Hyperlink"/>
            <w:rFonts w:asciiTheme="majorBidi" w:hAnsiTheme="majorBidi"/>
            <w:color w:val="auto"/>
            <w:sz w:val="18"/>
            <w:szCs w:val="18"/>
          </w:rPr>
          <w:t xml:space="preserve"> w spr</w:t>
        </w:r>
        <w:r w:rsidRPr="00E82C90">
          <w:rPr>
            <w:rStyle w:val="Hyperlink"/>
            <w:rFonts w:asciiTheme="majorBidi" w:hAnsiTheme="majorBidi"/>
            <w:color w:val="auto"/>
            <w:sz w:val="18"/>
            <w:szCs w:val="18"/>
          </w:rPr>
          <w:t>awie zwiększenia wkładu UE</w:t>
        </w:r>
        <w:r w:rsidR="00E82C90" w:rsidRPr="00E82C90">
          <w:rPr>
            <w:rStyle w:val="Hyperlink"/>
            <w:rFonts w:asciiTheme="majorBidi" w:hAnsiTheme="majorBidi"/>
            <w:color w:val="auto"/>
            <w:sz w:val="18"/>
            <w:szCs w:val="18"/>
          </w:rPr>
          <w:t xml:space="preserve"> w mul</w:t>
        </w:r>
        <w:r w:rsidRPr="00E82C90">
          <w:rPr>
            <w:rStyle w:val="Hyperlink"/>
            <w:rFonts w:asciiTheme="majorBidi" w:hAnsiTheme="majorBidi"/>
            <w:color w:val="auto"/>
            <w:sz w:val="18"/>
            <w:szCs w:val="18"/>
          </w:rPr>
          <w:t>tilateralizm oparty na zasadach</w:t>
        </w:r>
      </w:hyperlink>
      <w:r w:rsidRPr="00E82C90">
        <w:rPr>
          <w:rFonts w:asciiTheme="majorBidi" w:hAnsiTheme="majorBidi"/>
          <w:sz w:val="18"/>
          <w:szCs w:val="18"/>
        </w:rPr>
        <w:t xml:space="preserve"> (JOIN(2021) 3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6BBA" w14:textId="77777777" w:rsidR="00B112FD" w:rsidRPr="00B112FD" w:rsidRDefault="00B112FD" w:rsidP="00B1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B65B" w14:textId="77777777" w:rsidR="00B112FD" w:rsidRPr="00B112FD" w:rsidRDefault="00B112FD" w:rsidP="00B112F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14E0" w14:textId="77777777" w:rsidR="00B112FD" w:rsidRPr="00B112FD" w:rsidRDefault="00B112FD" w:rsidP="00B112F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3A83" w14:textId="77777777" w:rsidR="00CC199B" w:rsidRDefault="00CC19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2D6E" w14:textId="77777777" w:rsidR="00CC199B" w:rsidRDefault="00CC1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820C" w14:textId="77777777" w:rsidR="00CC199B" w:rsidRDefault="00CC1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97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F6E"/>
    <w:multiLevelType w:val="hybridMultilevel"/>
    <w:tmpl w:val="E14A8CC0"/>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B7624B"/>
    <w:multiLevelType w:val="hybridMultilevel"/>
    <w:tmpl w:val="AD04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D7842"/>
    <w:multiLevelType w:val="multilevel"/>
    <w:tmpl w:val="A2B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B0C16"/>
    <w:multiLevelType w:val="hybridMultilevel"/>
    <w:tmpl w:val="A3486C1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73D9"/>
    <w:multiLevelType w:val="hybridMultilevel"/>
    <w:tmpl w:val="17347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C405E5"/>
    <w:multiLevelType w:val="hybridMultilevel"/>
    <w:tmpl w:val="92CAC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E22DEC"/>
    <w:multiLevelType w:val="hybridMultilevel"/>
    <w:tmpl w:val="16FABCCC"/>
    <w:lvl w:ilvl="0" w:tplc="E45A126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7D068E"/>
    <w:multiLevelType w:val="hybridMultilevel"/>
    <w:tmpl w:val="F126F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73A95"/>
    <w:multiLevelType w:val="hybridMultilevel"/>
    <w:tmpl w:val="2E6A0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0D7195"/>
    <w:multiLevelType w:val="hybridMultilevel"/>
    <w:tmpl w:val="535C7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5E4D67"/>
    <w:multiLevelType w:val="hybridMultilevel"/>
    <w:tmpl w:val="390E4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E90CFC"/>
    <w:multiLevelType w:val="hybridMultilevel"/>
    <w:tmpl w:val="A0AC6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822417"/>
    <w:multiLevelType w:val="hybridMultilevel"/>
    <w:tmpl w:val="4E78C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8A38C6"/>
    <w:multiLevelType w:val="hybridMultilevel"/>
    <w:tmpl w:val="2264A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D21D2"/>
    <w:multiLevelType w:val="hybridMultilevel"/>
    <w:tmpl w:val="7A2C9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A84850"/>
    <w:multiLevelType w:val="hybridMultilevel"/>
    <w:tmpl w:val="DC3A2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C16CC9"/>
    <w:multiLevelType w:val="hybridMultilevel"/>
    <w:tmpl w:val="F5F8D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A0167E"/>
    <w:multiLevelType w:val="hybridMultilevel"/>
    <w:tmpl w:val="25FA62E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A528F3"/>
    <w:multiLevelType w:val="hybridMultilevel"/>
    <w:tmpl w:val="3DC8A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6C007B"/>
    <w:multiLevelType w:val="hybridMultilevel"/>
    <w:tmpl w:val="1D5E2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B4F6B87"/>
    <w:multiLevelType w:val="hybridMultilevel"/>
    <w:tmpl w:val="BE38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F435F"/>
    <w:multiLevelType w:val="multilevel"/>
    <w:tmpl w:val="BF8CDDBC"/>
    <w:lvl w:ilvl="0">
      <w:start w:val="2"/>
      <w:numFmt w:val="decimal"/>
      <w:lvlText w:val="%1"/>
      <w:lvlJc w:val="left"/>
      <w:pPr>
        <w:ind w:left="360" w:hanging="360"/>
      </w:pPr>
      <w:rPr>
        <w:rFonts w:asciiTheme="minorHAnsi" w:eastAsiaTheme="minorHAnsi" w:hAnsiTheme="minorHAnsi" w:cstheme="minorBidi" w:hint="default"/>
        <w:color w:val="auto"/>
      </w:rPr>
    </w:lvl>
    <w:lvl w:ilvl="1">
      <w:start w:val="4"/>
      <w:numFmt w:val="decimal"/>
      <w:lvlText w:val="%1.%2"/>
      <w:lvlJc w:val="left"/>
      <w:pPr>
        <w:ind w:left="360" w:hanging="360"/>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720" w:hanging="720"/>
      </w:pPr>
      <w:rPr>
        <w:rFonts w:asciiTheme="minorHAnsi" w:eastAsiaTheme="minorHAnsi" w:hAnsiTheme="minorHAnsi" w:cstheme="minorBidi" w:hint="default"/>
        <w:color w:val="auto"/>
      </w:rPr>
    </w:lvl>
    <w:lvl w:ilvl="4">
      <w:start w:val="1"/>
      <w:numFmt w:val="decimal"/>
      <w:lvlText w:val="%1.%2.%3.%4.%5"/>
      <w:lvlJc w:val="left"/>
      <w:pPr>
        <w:ind w:left="1080" w:hanging="1080"/>
      </w:pPr>
      <w:rPr>
        <w:rFonts w:asciiTheme="minorHAnsi" w:eastAsiaTheme="minorHAnsi" w:hAnsiTheme="minorHAnsi" w:cstheme="minorBidi" w:hint="default"/>
        <w:color w:val="auto"/>
      </w:rPr>
    </w:lvl>
    <w:lvl w:ilvl="5">
      <w:start w:val="1"/>
      <w:numFmt w:val="decimal"/>
      <w:lvlText w:val="%1.%2.%3.%4.%5.%6"/>
      <w:lvlJc w:val="left"/>
      <w:pPr>
        <w:ind w:left="1080" w:hanging="1080"/>
      </w:pPr>
      <w:rPr>
        <w:rFonts w:asciiTheme="minorHAnsi" w:eastAsiaTheme="minorHAnsi" w:hAnsiTheme="minorHAnsi" w:cstheme="minorBidi" w:hint="default"/>
        <w:color w:val="auto"/>
      </w:rPr>
    </w:lvl>
    <w:lvl w:ilvl="6">
      <w:start w:val="1"/>
      <w:numFmt w:val="decimal"/>
      <w:lvlText w:val="%1.%2.%3.%4.%5.%6.%7"/>
      <w:lvlJc w:val="left"/>
      <w:pPr>
        <w:ind w:left="1440" w:hanging="1440"/>
      </w:pPr>
      <w:rPr>
        <w:rFonts w:asciiTheme="minorHAnsi" w:eastAsiaTheme="minorHAnsi" w:hAnsiTheme="minorHAnsi" w:cstheme="minorBidi" w:hint="default"/>
        <w:color w:val="auto"/>
      </w:rPr>
    </w:lvl>
    <w:lvl w:ilvl="7">
      <w:start w:val="1"/>
      <w:numFmt w:val="decimal"/>
      <w:lvlText w:val="%1.%2.%3.%4.%5.%6.%7.%8"/>
      <w:lvlJc w:val="left"/>
      <w:pPr>
        <w:ind w:left="1440" w:hanging="1440"/>
      </w:pPr>
      <w:rPr>
        <w:rFonts w:asciiTheme="minorHAnsi" w:eastAsiaTheme="minorHAnsi" w:hAnsiTheme="minorHAnsi" w:cstheme="minorBidi" w:hint="default"/>
        <w:color w:val="auto"/>
      </w:rPr>
    </w:lvl>
    <w:lvl w:ilvl="8">
      <w:start w:val="1"/>
      <w:numFmt w:val="decimal"/>
      <w:lvlText w:val="%1.%2.%3.%4.%5.%6.%7.%8.%9"/>
      <w:lvlJc w:val="left"/>
      <w:pPr>
        <w:ind w:left="1800" w:hanging="1800"/>
      </w:pPr>
      <w:rPr>
        <w:rFonts w:asciiTheme="minorHAnsi" w:eastAsiaTheme="minorHAnsi" w:hAnsiTheme="minorHAnsi" w:cstheme="minorBidi" w:hint="default"/>
        <w:color w:val="auto"/>
      </w:rPr>
    </w:lvl>
  </w:abstractNum>
  <w:num w:numId="1">
    <w:abstractNumId w:val="0"/>
  </w:num>
  <w:num w:numId="2">
    <w:abstractNumId w:val="3"/>
  </w:num>
  <w:num w:numId="3">
    <w:abstractNumId w:val="17"/>
  </w:num>
  <w:num w:numId="4">
    <w:abstractNumId w:val="13"/>
  </w:num>
  <w:num w:numId="5">
    <w:abstractNumId w:val="15"/>
  </w:num>
  <w:num w:numId="6">
    <w:abstractNumId w:val="9"/>
  </w:num>
  <w:num w:numId="7">
    <w:abstractNumId w:val="10"/>
  </w:num>
  <w:num w:numId="8">
    <w:abstractNumId w:val="6"/>
  </w:num>
  <w:num w:numId="9">
    <w:abstractNumId w:val="20"/>
  </w:num>
  <w:num w:numId="10">
    <w:abstractNumId w:val="16"/>
  </w:num>
  <w:num w:numId="11">
    <w:abstractNumId w:val="11"/>
  </w:num>
  <w:num w:numId="12">
    <w:abstractNumId w:val="4"/>
  </w:num>
  <w:num w:numId="13">
    <w:abstractNumId w:val="21"/>
  </w:num>
  <w:num w:numId="14">
    <w:abstractNumId w:val="22"/>
  </w:num>
  <w:num w:numId="15">
    <w:abstractNumId w:val="5"/>
  </w:num>
  <w:num w:numId="16">
    <w:abstractNumId w:val="8"/>
  </w:num>
  <w:num w:numId="17">
    <w:abstractNumId w:val="2"/>
  </w:num>
  <w:num w:numId="18">
    <w:abstractNumId w:val="18"/>
  </w:num>
  <w:num w:numId="19">
    <w:abstractNumId w:val="1"/>
  </w:num>
  <w:num w:numId="20">
    <w:abstractNumId w:val="12"/>
  </w:num>
  <w:num w:numId="21">
    <w:abstractNumId w:val="7"/>
  </w:num>
  <w:num w:numId="22">
    <w:abstractNumId w:val="14"/>
  </w:num>
  <w:num w:numId="23">
    <w:abstractNumId w:val="13"/>
  </w:num>
  <w:num w:numId="2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de-AT" w:vendorID="64" w:dllVersion="6" w:nlCheck="1" w:checkStyle="0"/>
  <w:activeWritingStyle w:appName="MSWord" w:lang="de-D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ocStatus" w:val="Green"/>
    <w:docVar w:name="LW_CORRIGENDUM" w:val="&lt;UNUSED&gt;"/>
    <w:docVar w:name="LW_COVERPAGE_EXISTS" w:val="True"/>
    <w:docVar w:name="LW_COVERPAGE_GUID" w:val="C38C15EC-22D0-4DE8-8A63-E072E4B27769"/>
    <w:docVar w:name="LW_COVERPAGE_TYPE" w:val="1"/>
    <w:docVar w:name="LW_CROSSREFERENCE" w:val="{SWD(2022) 152 final}"/>
    <w:docVar w:name="LW_DocType" w:val="NORMAL"/>
    <w:docVar w:name="LW_EMISSION" w:val="18.5.2022"/>
    <w:docVar w:name="LW_EMISSION_ISODATE" w:val="2022-05-18"/>
    <w:docVar w:name="LW_EMISSION_LOCATION" w:val="BRX"/>
    <w:docVar w:name="LW_EMISSION_PREFIX" w:val="Bruksela, dnia "/>
    <w:docVar w:name="LW_EMISSION_SUFFIX" w:val=" r."/>
    <w:docVar w:name="LW_ID_DOCTYPE_NONLW" w:val="CP-016"/>
    <w:docVar w:name="LW_LANGUE" w:val="PL"/>
    <w:docVar w:name="LW_LEVEL_OF_SENSITIVITY" w:val="Standard treatment"/>
    <w:docVar w:name="LW_NOM.INST" w:val="KOMISJA EUROPEJSKA"/>
    <w:docVar w:name="LW_NOM.INST_JOINTDOC" w:val="WYSOKI PRZEDSTAWICIEL UNII_x000b_DO SPRAW ZAGRANICZNYCH I_x000b_ POLITYKI BEZPIECZE\u323?STWA"/>
    <w:docVar w:name="LW_PART_NBR" w:val="1"/>
    <w:docVar w:name="LW_PART_NBR_TOTAL" w:val="1"/>
    <w:docVar w:name="LW_REF.INST.NEW" w:val="JOIN"/>
    <w:docVar w:name="LW_REF.INST.NEW_ADOPTED" w:val="final"/>
    <w:docVar w:name="LW_REF.INST.NEW_TEXT" w:val="(2022)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ewnętrzne zobowiązania energetyczne UE w zmieniającym się świecie"/>
    <w:docVar w:name="LW_TYPE.DOC.CP" w:val="WSPÓLNY KOMUNIKAT DO PARLAMENTU EUROPEJSKIEGO, RADY, EUROPEJSKIEGO KOMITETU EKONOMICZNO-SPOŁECZNEGO I KOMITETU REGIONÓW"/>
    <w:docVar w:name="LW_TYPE.DOC.CP.USERTEXT" w:val="&lt;EMPTY&gt;"/>
    <w:docVar w:name="LwApiVersions" w:val="LW4CoDe 1.23.2.0; LW 8.0, Build 20211117"/>
  </w:docVars>
  <w:rsids>
    <w:rsidRoot w:val="00CA53FB"/>
    <w:rsid w:val="000028B6"/>
    <w:rsid w:val="00002C9A"/>
    <w:rsid w:val="00003F9A"/>
    <w:rsid w:val="0000485D"/>
    <w:rsid w:val="00005711"/>
    <w:rsid w:val="00005747"/>
    <w:rsid w:val="000057F0"/>
    <w:rsid w:val="000065FD"/>
    <w:rsid w:val="00006D6E"/>
    <w:rsid w:val="00006E69"/>
    <w:rsid w:val="00007CBB"/>
    <w:rsid w:val="00012005"/>
    <w:rsid w:val="000130C5"/>
    <w:rsid w:val="0001420F"/>
    <w:rsid w:val="000151D8"/>
    <w:rsid w:val="00015B9E"/>
    <w:rsid w:val="00016855"/>
    <w:rsid w:val="00021D51"/>
    <w:rsid w:val="00021EBE"/>
    <w:rsid w:val="0002414F"/>
    <w:rsid w:val="00024618"/>
    <w:rsid w:val="0002574F"/>
    <w:rsid w:val="00026460"/>
    <w:rsid w:val="00027B3A"/>
    <w:rsid w:val="00030742"/>
    <w:rsid w:val="0003136C"/>
    <w:rsid w:val="00031DCC"/>
    <w:rsid w:val="000327CC"/>
    <w:rsid w:val="00032FBE"/>
    <w:rsid w:val="000337BD"/>
    <w:rsid w:val="00034144"/>
    <w:rsid w:val="00034E06"/>
    <w:rsid w:val="00035AC5"/>
    <w:rsid w:val="00035BD5"/>
    <w:rsid w:val="00035E17"/>
    <w:rsid w:val="00037475"/>
    <w:rsid w:val="00040695"/>
    <w:rsid w:val="00044538"/>
    <w:rsid w:val="000447F5"/>
    <w:rsid w:val="00044ACB"/>
    <w:rsid w:val="0004535C"/>
    <w:rsid w:val="00047CEE"/>
    <w:rsid w:val="00050ECC"/>
    <w:rsid w:val="00051D28"/>
    <w:rsid w:val="00054CEE"/>
    <w:rsid w:val="00055287"/>
    <w:rsid w:val="00055C48"/>
    <w:rsid w:val="00055DE7"/>
    <w:rsid w:val="0005670C"/>
    <w:rsid w:val="000571E2"/>
    <w:rsid w:val="00057DC4"/>
    <w:rsid w:val="000618C8"/>
    <w:rsid w:val="00062DE9"/>
    <w:rsid w:val="00062EBF"/>
    <w:rsid w:val="0007226A"/>
    <w:rsid w:val="000730AD"/>
    <w:rsid w:val="0007456F"/>
    <w:rsid w:val="00074992"/>
    <w:rsid w:val="000751F9"/>
    <w:rsid w:val="00075F77"/>
    <w:rsid w:val="00076541"/>
    <w:rsid w:val="000769B3"/>
    <w:rsid w:val="00076B1E"/>
    <w:rsid w:val="00077249"/>
    <w:rsid w:val="0007724C"/>
    <w:rsid w:val="000775F9"/>
    <w:rsid w:val="00080747"/>
    <w:rsid w:val="00080A98"/>
    <w:rsid w:val="0008238E"/>
    <w:rsid w:val="00083157"/>
    <w:rsid w:val="00083245"/>
    <w:rsid w:val="000845A0"/>
    <w:rsid w:val="00084F4B"/>
    <w:rsid w:val="000853DA"/>
    <w:rsid w:val="00085622"/>
    <w:rsid w:val="00086225"/>
    <w:rsid w:val="0008780D"/>
    <w:rsid w:val="00090100"/>
    <w:rsid w:val="00091160"/>
    <w:rsid w:val="00092DF5"/>
    <w:rsid w:val="00094D1E"/>
    <w:rsid w:val="0009606D"/>
    <w:rsid w:val="00096E58"/>
    <w:rsid w:val="0009765F"/>
    <w:rsid w:val="000A201C"/>
    <w:rsid w:val="000A4291"/>
    <w:rsid w:val="000A4F4D"/>
    <w:rsid w:val="000A5863"/>
    <w:rsid w:val="000A5EE6"/>
    <w:rsid w:val="000B13E1"/>
    <w:rsid w:val="000B2E86"/>
    <w:rsid w:val="000B2FC8"/>
    <w:rsid w:val="000B34E2"/>
    <w:rsid w:val="000B66F0"/>
    <w:rsid w:val="000B71D3"/>
    <w:rsid w:val="000B7687"/>
    <w:rsid w:val="000B7C63"/>
    <w:rsid w:val="000C2B91"/>
    <w:rsid w:val="000C4ACC"/>
    <w:rsid w:val="000C4DB9"/>
    <w:rsid w:val="000C517D"/>
    <w:rsid w:val="000C5519"/>
    <w:rsid w:val="000C72F4"/>
    <w:rsid w:val="000C7B4F"/>
    <w:rsid w:val="000C7BDF"/>
    <w:rsid w:val="000C7CC0"/>
    <w:rsid w:val="000C7F4F"/>
    <w:rsid w:val="000D0082"/>
    <w:rsid w:val="000D27E7"/>
    <w:rsid w:val="000D2B91"/>
    <w:rsid w:val="000D3002"/>
    <w:rsid w:val="000D3964"/>
    <w:rsid w:val="000D3D89"/>
    <w:rsid w:val="000D4F71"/>
    <w:rsid w:val="000D5781"/>
    <w:rsid w:val="000D5D09"/>
    <w:rsid w:val="000D7D5F"/>
    <w:rsid w:val="000D7F90"/>
    <w:rsid w:val="000E1272"/>
    <w:rsid w:val="000E29C1"/>
    <w:rsid w:val="000E2BD1"/>
    <w:rsid w:val="000E2C79"/>
    <w:rsid w:val="000E2D0D"/>
    <w:rsid w:val="000E2D53"/>
    <w:rsid w:val="000E2EA3"/>
    <w:rsid w:val="000E3069"/>
    <w:rsid w:val="000E30D7"/>
    <w:rsid w:val="000E3354"/>
    <w:rsid w:val="000E49EA"/>
    <w:rsid w:val="000E57AA"/>
    <w:rsid w:val="000F092A"/>
    <w:rsid w:val="000F102C"/>
    <w:rsid w:val="000F448C"/>
    <w:rsid w:val="000F512C"/>
    <w:rsid w:val="000F512D"/>
    <w:rsid w:val="000F6BF6"/>
    <w:rsid w:val="000F6CD1"/>
    <w:rsid w:val="000F7327"/>
    <w:rsid w:val="000F7C26"/>
    <w:rsid w:val="00100BDD"/>
    <w:rsid w:val="001011B9"/>
    <w:rsid w:val="0010162E"/>
    <w:rsid w:val="0010269E"/>
    <w:rsid w:val="00103D1C"/>
    <w:rsid w:val="001065F7"/>
    <w:rsid w:val="0010774B"/>
    <w:rsid w:val="001102F9"/>
    <w:rsid w:val="001124F1"/>
    <w:rsid w:val="00113898"/>
    <w:rsid w:val="00113CB1"/>
    <w:rsid w:val="00113F12"/>
    <w:rsid w:val="00114A28"/>
    <w:rsid w:val="00114A9B"/>
    <w:rsid w:val="00115EDC"/>
    <w:rsid w:val="00115F63"/>
    <w:rsid w:val="0011640D"/>
    <w:rsid w:val="0011667E"/>
    <w:rsid w:val="00116AA1"/>
    <w:rsid w:val="001175D8"/>
    <w:rsid w:val="0012081A"/>
    <w:rsid w:val="00121BD3"/>
    <w:rsid w:val="00122E0A"/>
    <w:rsid w:val="001235D7"/>
    <w:rsid w:val="00123885"/>
    <w:rsid w:val="00123BB4"/>
    <w:rsid w:val="0012439B"/>
    <w:rsid w:val="001257AE"/>
    <w:rsid w:val="001257D7"/>
    <w:rsid w:val="00127637"/>
    <w:rsid w:val="00130240"/>
    <w:rsid w:val="00130DC6"/>
    <w:rsid w:val="00131694"/>
    <w:rsid w:val="00131A7D"/>
    <w:rsid w:val="00132089"/>
    <w:rsid w:val="001335EA"/>
    <w:rsid w:val="00133B91"/>
    <w:rsid w:val="00135382"/>
    <w:rsid w:val="0013624D"/>
    <w:rsid w:val="00136687"/>
    <w:rsid w:val="0014032C"/>
    <w:rsid w:val="001408F2"/>
    <w:rsid w:val="0014190A"/>
    <w:rsid w:val="0014302F"/>
    <w:rsid w:val="001434BC"/>
    <w:rsid w:val="00143816"/>
    <w:rsid w:val="00143B51"/>
    <w:rsid w:val="00143D8C"/>
    <w:rsid w:val="00145D3A"/>
    <w:rsid w:val="0014650B"/>
    <w:rsid w:val="001466FD"/>
    <w:rsid w:val="00146BDD"/>
    <w:rsid w:val="00147BA5"/>
    <w:rsid w:val="001500AF"/>
    <w:rsid w:val="0015258A"/>
    <w:rsid w:val="00152725"/>
    <w:rsid w:val="00152795"/>
    <w:rsid w:val="001527CC"/>
    <w:rsid w:val="001536F0"/>
    <w:rsid w:val="001538CB"/>
    <w:rsid w:val="00153947"/>
    <w:rsid w:val="001539AA"/>
    <w:rsid w:val="00153C48"/>
    <w:rsid w:val="00154C87"/>
    <w:rsid w:val="00154EA1"/>
    <w:rsid w:val="0015605C"/>
    <w:rsid w:val="00156353"/>
    <w:rsid w:val="00156418"/>
    <w:rsid w:val="00156C36"/>
    <w:rsid w:val="00156E16"/>
    <w:rsid w:val="0015704C"/>
    <w:rsid w:val="0016237E"/>
    <w:rsid w:val="00162D20"/>
    <w:rsid w:val="00162E0D"/>
    <w:rsid w:val="00163C3C"/>
    <w:rsid w:val="00163D99"/>
    <w:rsid w:val="001645B4"/>
    <w:rsid w:val="00165489"/>
    <w:rsid w:val="00165F82"/>
    <w:rsid w:val="00165FD2"/>
    <w:rsid w:val="00166BF2"/>
    <w:rsid w:val="00166CC0"/>
    <w:rsid w:val="00170453"/>
    <w:rsid w:val="00171233"/>
    <w:rsid w:val="00173000"/>
    <w:rsid w:val="001743D7"/>
    <w:rsid w:val="0017478E"/>
    <w:rsid w:val="001749F7"/>
    <w:rsid w:val="001751A4"/>
    <w:rsid w:val="00175C4F"/>
    <w:rsid w:val="00175D17"/>
    <w:rsid w:val="00175F5B"/>
    <w:rsid w:val="001760D2"/>
    <w:rsid w:val="001766C1"/>
    <w:rsid w:val="00180018"/>
    <w:rsid w:val="00180972"/>
    <w:rsid w:val="00180C4A"/>
    <w:rsid w:val="00181028"/>
    <w:rsid w:val="00182057"/>
    <w:rsid w:val="00182B99"/>
    <w:rsid w:val="00183110"/>
    <w:rsid w:val="00183765"/>
    <w:rsid w:val="00183927"/>
    <w:rsid w:val="001844FC"/>
    <w:rsid w:val="0018495B"/>
    <w:rsid w:val="001851CB"/>
    <w:rsid w:val="00185D1E"/>
    <w:rsid w:val="0018767E"/>
    <w:rsid w:val="00190BE8"/>
    <w:rsid w:val="001928B9"/>
    <w:rsid w:val="001929A4"/>
    <w:rsid w:val="00193A5D"/>
    <w:rsid w:val="001962E9"/>
    <w:rsid w:val="00197297"/>
    <w:rsid w:val="00197B9A"/>
    <w:rsid w:val="001A1EE6"/>
    <w:rsid w:val="001A2CB2"/>
    <w:rsid w:val="001A4B89"/>
    <w:rsid w:val="001A5056"/>
    <w:rsid w:val="001A57C3"/>
    <w:rsid w:val="001A5EB9"/>
    <w:rsid w:val="001A643C"/>
    <w:rsid w:val="001A64B9"/>
    <w:rsid w:val="001B0E45"/>
    <w:rsid w:val="001B3101"/>
    <w:rsid w:val="001B377A"/>
    <w:rsid w:val="001B3E49"/>
    <w:rsid w:val="001B4019"/>
    <w:rsid w:val="001B4C62"/>
    <w:rsid w:val="001B55DB"/>
    <w:rsid w:val="001B57AB"/>
    <w:rsid w:val="001B75D4"/>
    <w:rsid w:val="001B79FA"/>
    <w:rsid w:val="001C1F3F"/>
    <w:rsid w:val="001C22BD"/>
    <w:rsid w:val="001C2422"/>
    <w:rsid w:val="001C3CFB"/>
    <w:rsid w:val="001C5BD7"/>
    <w:rsid w:val="001C5F85"/>
    <w:rsid w:val="001C76B7"/>
    <w:rsid w:val="001D0169"/>
    <w:rsid w:val="001D104A"/>
    <w:rsid w:val="001D1B89"/>
    <w:rsid w:val="001D1F58"/>
    <w:rsid w:val="001D22B6"/>
    <w:rsid w:val="001D3915"/>
    <w:rsid w:val="001D4491"/>
    <w:rsid w:val="001D54AD"/>
    <w:rsid w:val="001D556B"/>
    <w:rsid w:val="001D59B1"/>
    <w:rsid w:val="001D5A46"/>
    <w:rsid w:val="001D5EB4"/>
    <w:rsid w:val="001D6D8D"/>
    <w:rsid w:val="001D73E6"/>
    <w:rsid w:val="001D7EC1"/>
    <w:rsid w:val="001E026B"/>
    <w:rsid w:val="001E0676"/>
    <w:rsid w:val="001E1280"/>
    <w:rsid w:val="001E2174"/>
    <w:rsid w:val="001E23E8"/>
    <w:rsid w:val="001E4CEC"/>
    <w:rsid w:val="001E5A85"/>
    <w:rsid w:val="001E6E74"/>
    <w:rsid w:val="001E7A2E"/>
    <w:rsid w:val="001F0A8C"/>
    <w:rsid w:val="001F0AD4"/>
    <w:rsid w:val="001F0CDD"/>
    <w:rsid w:val="001F172F"/>
    <w:rsid w:val="001F262C"/>
    <w:rsid w:val="001F33BF"/>
    <w:rsid w:val="001F5821"/>
    <w:rsid w:val="001F5C6C"/>
    <w:rsid w:val="001F5E34"/>
    <w:rsid w:val="001F7C53"/>
    <w:rsid w:val="001F7E9F"/>
    <w:rsid w:val="0020089C"/>
    <w:rsid w:val="00201E9E"/>
    <w:rsid w:val="0020472A"/>
    <w:rsid w:val="00204D2A"/>
    <w:rsid w:val="00205C0B"/>
    <w:rsid w:val="00206BF9"/>
    <w:rsid w:val="00212D3F"/>
    <w:rsid w:val="002152F9"/>
    <w:rsid w:val="00215D48"/>
    <w:rsid w:val="0021700A"/>
    <w:rsid w:val="002170E7"/>
    <w:rsid w:val="002172E3"/>
    <w:rsid w:val="002205C9"/>
    <w:rsid w:val="002209F4"/>
    <w:rsid w:val="00220A54"/>
    <w:rsid w:val="00220D26"/>
    <w:rsid w:val="00220D99"/>
    <w:rsid w:val="00221E7E"/>
    <w:rsid w:val="0022207E"/>
    <w:rsid w:val="00222541"/>
    <w:rsid w:val="00223480"/>
    <w:rsid w:val="00224264"/>
    <w:rsid w:val="00224A45"/>
    <w:rsid w:val="00224E6A"/>
    <w:rsid w:val="0022740C"/>
    <w:rsid w:val="002276AB"/>
    <w:rsid w:val="002302A1"/>
    <w:rsid w:val="002306E8"/>
    <w:rsid w:val="00231672"/>
    <w:rsid w:val="002318D2"/>
    <w:rsid w:val="00232018"/>
    <w:rsid w:val="00233438"/>
    <w:rsid w:val="002336B1"/>
    <w:rsid w:val="00233DAB"/>
    <w:rsid w:val="0023590E"/>
    <w:rsid w:val="00236F51"/>
    <w:rsid w:val="00240112"/>
    <w:rsid w:val="00240AE6"/>
    <w:rsid w:val="00240F03"/>
    <w:rsid w:val="002416D2"/>
    <w:rsid w:val="002419D4"/>
    <w:rsid w:val="00241DC3"/>
    <w:rsid w:val="002425BA"/>
    <w:rsid w:val="00246057"/>
    <w:rsid w:val="00246265"/>
    <w:rsid w:val="0024650C"/>
    <w:rsid w:val="0024791A"/>
    <w:rsid w:val="002505FB"/>
    <w:rsid w:val="00250E59"/>
    <w:rsid w:val="00251CED"/>
    <w:rsid w:val="00251EBF"/>
    <w:rsid w:val="002529F3"/>
    <w:rsid w:val="00252EED"/>
    <w:rsid w:val="00253B78"/>
    <w:rsid w:val="00253FD1"/>
    <w:rsid w:val="00255677"/>
    <w:rsid w:val="00255CEB"/>
    <w:rsid w:val="002567E9"/>
    <w:rsid w:val="00257974"/>
    <w:rsid w:val="00260333"/>
    <w:rsid w:val="002604C2"/>
    <w:rsid w:val="00261471"/>
    <w:rsid w:val="002617B6"/>
    <w:rsid w:val="00261DD6"/>
    <w:rsid w:val="002629DC"/>
    <w:rsid w:val="0026480C"/>
    <w:rsid w:val="0026500B"/>
    <w:rsid w:val="00266C1D"/>
    <w:rsid w:val="00267382"/>
    <w:rsid w:val="002679FA"/>
    <w:rsid w:val="002718EC"/>
    <w:rsid w:val="00271B69"/>
    <w:rsid w:val="00272368"/>
    <w:rsid w:val="00273391"/>
    <w:rsid w:val="002744CF"/>
    <w:rsid w:val="0027461F"/>
    <w:rsid w:val="00275973"/>
    <w:rsid w:val="002759C0"/>
    <w:rsid w:val="0027607C"/>
    <w:rsid w:val="00276D33"/>
    <w:rsid w:val="00277033"/>
    <w:rsid w:val="00277490"/>
    <w:rsid w:val="00280503"/>
    <w:rsid w:val="002815EA"/>
    <w:rsid w:val="002816E8"/>
    <w:rsid w:val="002838E8"/>
    <w:rsid w:val="00287370"/>
    <w:rsid w:val="0028770D"/>
    <w:rsid w:val="00287AE4"/>
    <w:rsid w:val="00291054"/>
    <w:rsid w:val="00291D43"/>
    <w:rsid w:val="00291FFB"/>
    <w:rsid w:val="002924CD"/>
    <w:rsid w:val="00292A29"/>
    <w:rsid w:val="00292C56"/>
    <w:rsid w:val="00292F26"/>
    <w:rsid w:val="0029406D"/>
    <w:rsid w:val="0029458D"/>
    <w:rsid w:val="00294F39"/>
    <w:rsid w:val="002953B8"/>
    <w:rsid w:val="00296279"/>
    <w:rsid w:val="00296BD9"/>
    <w:rsid w:val="00297472"/>
    <w:rsid w:val="002A0855"/>
    <w:rsid w:val="002A0F75"/>
    <w:rsid w:val="002A119A"/>
    <w:rsid w:val="002A3B4F"/>
    <w:rsid w:val="002A51C4"/>
    <w:rsid w:val="002A5743"/>
    <w:rsid w:val="002A626D"/>
    <w:rsid w:val="002B00CE"/>
    <w:rsid w:val="002B1F42"/>
    <w:rsid w:val="002B3814"/>
    <w:rsid w:val="002B4D6F"/>
    <w:rsid w:val="002B5CE4"/>
    <w:rsid w:val="002C04C4"/>
    <w:rsid w:val="002C0649"/>
    <w:rsid w:val="002C1A6C"/>
    <w:rsid w:val="002C2D3E"/>
    <w:rsid w:val="002C5C39"/>
    <w:rsid w:val="002C6231"/>
    <w:rsid w:val="002C6CB3"/>
    <w:rsid w:val="002C734D"/>
    <w:rsid w:val="002D04E6"/>
    <w:rsid w:val="002D1964"/>
    <w:rsid w:val="002D2BB6"/>
    <w:rsid w:val="002D30B3"/>
    <w:rsid w:val="002D40C4"/>
    <w:rsid w:val="002D481D"/>
    <w:rsid w:val="002D5AA4"/>
    <w:rsid w:val="002D6094"/>
    <w:rsid w:val="002D6146"/>
    <w:rsid w:val="002E1548"/>
    <w:rsid w:val="002E188F"/>
    <w:rsid w:val="002E3232"/>
    <w:rsid w:val="002E3397"/>
    <w:rsid w:val="002E6CAD"/>
    <w:rsid w:val="002E778B"/>
    <w:rsid w:val="002E7924"/>
    <w:rsid w:val="002E7E34"/>
    <w:rsid w:val="002F043D"/>
    <w:rsid w:val="002F12BE"/>
    <w:rsid w:val="002F271F"/>
    <w:rsid w:val="002F3B4B"/>
    <w:rsid w:val="002F412E"/>
    <w:rsid w:val="002F4955"/>
    <w:rsid w:val="002F4B5C"/>
    <w:rsid w:val="002F4C50"/>
    <w:rsid w:val="002F5FC8"/>
    <w:rsid w:val="002F6299"/>
    <w:rsid w:val="002F7436"/>
    <w:rsid w:val="002F7BCF"/>
    <w:rsid w:val="00300E14"/>
    <w:rsid w:val="003011E7"/>
    <w:rsid w:val="00303280"/>
    <w:rsid w:val="00303FF2"/>
    <w:rsid w:val="00304050"/>
    <w:rsid w:val="003045FD"/>
    <w:rsid w:val="00304DB4"/>
    <w:rsid w:val="00311404"/>
    <w:rsid w:val="00312422"/>
    <w:rsid w:val="003124D0"/>
    <w:rsid w:val="0031358A"/>
    <w:rsid w:val="0031366D"/>
    <w:rsid w:val="00314A27"/>
    <w:rsid w:val="00316087"/>
    <w:rsid w:val="00316B49"/>
    <w:rsid w:val="003176D5"/>
    <w:rsid w:val="0031790C"/>
    <w:rsid w:val="00320CBD"/>
    <w:rsid w:val="00320F22"/>
    <w:rsid w:val="00321461"/>
    <w:rsid w:val="00321553"/>
    <w:rsid w:val="003229AB"/>
    <w:rsid w:val="00323847"/>
    <w:rsid w:val="00323BC6"/>
    <w:rsid w:val="00326A2D"/>
    <w:rsid w:val="00327CE0"/>
    <w:rsid w:val="00330C19"/>
    <w:rsid w:val="0033240A"/>
    <w:rsid w:val="00335995"/>
    <w:rsid w:val="00335EA4"/>
    <w:rsid w:val="00336713"/>
    <w:rsid w:val="003379F4"/>
    <w:rsid w:val="00341287"/>
    <w:rsid w:val="00341ECC"/>
    <w:rsid w:val="003422CF"/>
    <w:rsid w:val="00342DD7"/>
    <w:rsid w:val="00342F17"/>
    <w:rsid w:val="00343351"/>
    <w:rsid w:val="0034480C"/>
    <w:rsid w:val="003449C0"/>
    <w:rsid w:val="0034529D"/>
    <w:rsid w:val="003455F4"/>
    <w:rsid w:val="003461D0"/>
    <w:rsid w:val="00346419"/>
    <w:rsid w:val="00346E6E"/>
    <w:rsid w:val="003478B7"/>
    <w:rsid w:val="00347A42"/>
    <w:rsid w:val="00350972"/>
    <w:rsid w:val="00351C76"/>
    <w:rsid w:val="0035277B"/>
    <w:rsid w:val="00353068"/>
    <w:rsid w:val="00353E17"/>
    <w:rsid w:val="003540BE"/>
    <w:rsid w:val="0035455D"/>
    <w:rsid w:val="003546B2"/>
    <w:rsid w:val="00355D00"/>
    <w:rsid w:val="0035623C"/>
    <w:rsid w:val="003563ED"/>
    <w:rsid w:val="00357BA9"/>
    <w:rsid w:val="00357DAB"/>
    <w:rsid w:val="003607F0"/>
    <w:rsid w:val="00361A7C"/>
    <w:rsid w:val="00363187"/>
    <w:rsid w:val="0036371D"/>
    <w:rsid w:val="00364D7A"/>
    <w:rsid w:val="00365200"/>
    <w:rsid w:val="003664EA"/>
    <w:rsid w:val="0037088F"/>
    <w:rsid w:val="0037245B"/>
    <w:rsid w:val="003728A3"/>
    <w:rsid w:val="00373395"/>
    <w:rsid w:val="00374CB3"/>
    <w:rsid w:val="00375800"/>
    <w:rsid w:val="0037606C"/>
    <w:rsid w:val="00376AD5"/>
    <w:rsid w:val="003778D1"/>
    <w:rsid w:val="00381FFC"/>
    <w:rsid w:val="003838A6"/>
    <w:rsid w:val="00383C35"/>
    <w:rsid w:val="0038460B"/>
    <w:rsid w:val="003851A4"/>
    <w:rsid w:val="003854A3"/>
    <w:rsid w:val="00385B45"/>
    <w:rsid w:val="00385F4A"/>
    <w:rsid w:val="00390348"/>
    <w:rsid w:val="003905DC"/>
    <w:rsid w:val="0039126C"/>
    <w:rsid w:val="0039151E"/>
    <w:rsid w:val="00391B9E"/>
    <w:rsid w:val="00391EFA"/>
    <w:rsid w:val="003935FB"/>
    <w:rsid w:val="00393CC7"/>
    <w:rsid w:val="003947EF"/>
    <w:rsid w:val="0039569B"/>
    <w:rsid w:val="003A020F"/>
    <w:rsid w:val="003A09C7"/>
    <w:rsid w:val="003A1C06"/>
    <w:rsid w:val="003A30C6"/>
    <w:rsid w:val="003A3B03"/>
    <w:rsid w:val="003A3BDD"/>
    <w:rsid w:val="003A3D51"/>
    <w:rsid w:val="003A3EE3"/>
    <w:rsid w:val="003A6F4F"/>
    <w:rsid w:val="003A73DA"/>
    <w:rsid w:val="003A7969"/>
    <w:rsid w:val="003B05A6"/>
    <w:rsid w:val="003B1434"/>
    <w:rsid w:val="003B4733"/>
    <w:rsid w:val="003B6644"/>
    <w:rsid w:val="003C1152"/>
    <w:rsid w:val="003C1422"/>
    <w:rsid w:val="003C26B3"/>
    <w:rsid w:val="003C2C86"/>
    <w:rsid w:val="003C376D"/>
    <w:rsid w:val="003C3A81"/>
    <w:rsid w:val="003C4113"/>
    <w:rsid w:val="003C49E5"/>
    <w:rsid w:val="003C4D05"/>
    <w:rsid w:val="003C5B9A"/>
    <w:rsid w:val="003D4CC3"/>
    <w:rsid w:val="003D4E4F"/>
    <w:rsid w:val="003D59B1"/>
    <w:rsid w:val="003D59C7"/>
    <w:rsid w:val="003D5E45"/>
    <w:rsid w:val="003D6025"/>
    <w:rsid w:val="003D74A2"/>
    <w:rsid w:val="003D77F9"/>
    <w:rsid w:val="003D7FCC"/>
    <w:rsid w:val="003E10A3"/>
    <w:rsid w:val="003E18B9"/>
    <w:rsid w:val="003E45B5"/>
    <w:rsid w:val="003E6624"/>
    <w:rsid w:val="003E76A4"/>
    <w:rsid w:val="003F023D"/>
    <w:rsid w:val="003F043C"/>
    <w:rsid w:val="003F108B"/>
    <w:rsid w:val="003F190E"/>
    <w:rsid w:val="003F1E7A"/>
    <w:rsid w:val="003F21B4"/>
    <w:rsid w:val="003F276A"/>
    <w:rsid w:val="003F3E68"/>
    <w:rsid w:val="003F4111"/>
    <w:rsid w:val="003F42F5"/>
    <w:rsid w:val="003F431F"/>
    <w:rsid w:val="003F4855"/>
    <w:rsid w:val="003F539D"/>
    <w:rsid w:val="003F54C8"/>
    <w:rsid w:val="003F5D99"/>
    <w:rsid w:val="004005B0"/>
    <w:rsid w:val="00402655"/>
    <w:rsid w:val="00402667"/>
    <w:rsid w:val="0040509F"/>
    <w:rsid w:val="004051BB"/>
    <w:rsid w:val="00405454"/>
    <w:rsid w:val="00405CCC"/>
    <w:rsid w:val="00405E38"/>
    <w:rsid w:val="004065BA"/>
    <w:rsid w:val="004076F9"/>
    <w:rsid w:val="00407BB0"/>
    <w:rsid w:val="00407F5E"/>
    <w:rsid w:val="00412076"/>
    <w:rsid w:val="00412670"/>
    <w:rsid w:val="004144E5"/>
    <w:rsid w:val="00416C1F"/>
    <w:rsid w:val="0041742C"/>
    <w:rsid w:val="00417736"/>
    <w:rsid w:val="00417C5C"/>
    <w:rsid w:val="004241DF"/>
    <w:rsid w:val="00424B56"/>
    <w:rsid w:val="00424DDF"/>
    <w:rsid w:val="0042579C"/>
    <w:rsid w:val="0042624B"/>
    <w:rsid w:val="004269B4"/>
    <w:rsid w:val="00427E99"/>
    <w:rsid w:val="00430AD7"/>
    <w:rsid w:val="00430EF0"/>
    <w:rsid w:val="004311E6"/>
    <w:rsid w:val="00431AC4"/>
    <w:rsid w:val="0043242F"/>
    <w:rsid w:val="00432E06"/>
    <w:rsid w:val="00432E83"/>
    <w:rsid w:val="0043346E"/>
    <w:rsid w:val="00435B23"/>
    <w:rsid w:val="004404B8"/>
    <w:rsid w:val="004405FD"/>
    <w:rsid w:val="00441B52"/>
    <w:rsid w:val="004434CD"/>
    <w:rsid w:val="00443EF9"/>
    <w:rsid w:val="0044697D"/>
    <w:rsid w:val="00447BBA"/>
    <w:rsid w:val="00447D94"/>
    <w:rsid w:val="00450111"/>
    <w:rsid w:val="00450673"/>
    <w:rsid w:val="00450FEC"/>
    <w:rsid w:val="00451FC7"/>
    <w:rsid w:val="00452184"/>
    <w:rsid w:val="004522ED"/>
    <w:rsid w:val="00452655"/>
    <w:rsid w:val="00452F6B"/>
    <w:rsid w:val="004534BE"/>
    <w:rsid w:val="00453985"/>
    <w:rsid w:val="004546E8"/>
    <w:rsid w:val="004576C8"/>
    <w:rsid w:val="004600C1"/>
    <w:rsid w:val="004602C4"/>
    <w:rsid w:val="00460890"/>
    <w:rsid w:val="004608A0"/>
    <w:rsid w:val="00460A99"/>
    <w:rsid w:val="00461E8D"/>
    <w:rsid w:val="00462543"/>
    <w:rsid w:val="00464F38"/>
    <w:rsid w:val="00465418"/>
    <w:rsid w:val="004661C8"/>
    <w:rsid w:val="00467ECC"/>
    <w:rsid w:val="004700F8"/>
    <w:rsid w:val="0047052F"/>
    <w:rsid w:val="00470749"/>
    <w:rsid w:val="00470B7E"/>
    <w:rsid w:val="004710E0"/>
    <w:rsid w:val="00471324"/>
    <w:rsid w:val="004718A7"/>
    <w:rsid w:val="00471ECE"/>
    <w:rsid w:val="0047336D"/>
    <w:rsid w:val="004733FC"/>
    <w:rsid w:val="00474AA7"/>
    <w:rsid w:val="00475017"/>
    <w:rsid w:val="00475D9B"/>
    <w:rsid w:val="00475E1A"/>
    <w:rsid w:val="004804E9"/>
    <w:rsid w:val="004809CF"/>
    <w:rsid w:val="00480F9E"/>
    <w:rsid w:val="00482599"/>
    <w:rsid w:val="0048268E"/>
    <w:rsid w:val="004830DF"/>
    <w:rsid w:val="00483520"/>
    <w:rsid w:val="00484FDA"/>
    <w:rsid w:val="00485997"/>
    <w:rsid w:val="00490633"/>
    <w:rsid w:val="004909E7"/>
    <w:rsid w:val="00491007"/>
    <w:rsid w:val="0049145B"/>
    <w:rsid w:val="004943EC"/>
    <w:rsid w:val="00495463"/>
    <w:rsid w:val="004971E6"/>
    <w:rsid w:val="00497767"/>
    <w:rsid w:val="004A0AC3"/>
    <w:rsid w:val="004A1746"/>
    <w:rsid w:val="004A181F"/>
    <w:rsid w:val="004A1D96"/>
    <w:rsid w:val="004A2C62"/>
    <w:rsid w:val="004A301E"/>
    <w:rsid w:val="004A3278"/>
    <w:rsid w:val="004A380F"/>
    <w:rsid w:val="004A474B"/>
    <w:rsid w:val="004A5B4A"/>
    <w:rsid w:val="004A62BE"/>
    <w:rsid w:val="004A7213"/>
    <w:rsid w:val="004A7AFF"/>
    <w:rsid w:val="004A7FC4"/>
    <w:rsid w:val="004B0623"/>
    <w:rsid w:val="004B0EB3"/>
    <w:rsid w:val="004B2082"/>
    <w:rsid w:val="004B2763"/>
    <w:rsid w:val="004B2EEA"/>
    <w:rsid w:val="004B35EE"/>
    <w:rsid w:val="004B3646"/>
    <w:rsid w:val="004B41FD"/>
    <w:rsid w:val="004B56B1"/>
    <w:rsid w:val="004B780D"/>
    <w:rsid w:val="004B7FF0"/>
    <w:rsid w:val="004C0255"/>
    <w:rsid w:val="004C167D"/>
    <w:rsid w:val="004C26FD"/>
    <w:rsid w:val="004C3624"/>
    <w:rsid w:val="004C39DC"/>
    <w:rsid w:val="004C44F5"/>
    <w:rsid w:val="004C4E84"/>
    <w:rsid w:val="004C5377"/>
    <w:rsid w:val="004C549D"/>
    <w:rsid w:val="004C594C"/>
    <w:rsid w:val="004C6095"/>
    <w:rsid w:val="004C67C4"/>
    <w:rsid w:val="004C6C06"/>
    <w:rsid w:val="004C6DA6"/>
    <w:rsid w:val="004C7D04"/>
    <w:rsid w:val="004D018B"/>
    <w:rsid w:val="004D0633"/>
    <w:rsid w:val="004D0A86"/>
    <w:rsid w:val="004D0C5D"/>
    <w:rsid w:val="004D1FD2"/>
    <w:rsid w:val="004D20E0"/>
    <w:rsid w:val="004D28AE"/>
    <w:rsid w:val="004D2D27"/>
    <w:rsid w:val="004D38F8"/>
    <w:rsid w:val="004D496C"/>
    <w:rsid w:val="004D4983"/>
    <w:rsid w:val="004D4D4E"/>
    <w:rsid w:val="004D517C"/>
    <w:rsid w:val="004D5288"/>
    <w:rsid w:val="004D5B18"/>
    <w:rsid w:val="004D5EB4"/>
    <w:rsid w:val="004D5F91"/>
    <w:rsid w:val="004D718C"/>
    <w:rsid w:val="004D771A"/>
    <w:rsid w:val="004D7D54"/>
    <w:rsid w:val="004E0301"/>
    <w:rsid w:val="004E0D97"/>
    <w:rsid w:val="004E1205"/>
    <w:rsid w:val="004E2A21"/>
    <w:rsid w:val="004E2AC1"/>
    <w:rsid w:val="004E3288"/>
    <w:rsid w:val="004E3B17"/>
    <w:rsid w:val="004E49C5"/>
    <w:rsid w:val="004E4C27"/>
    <w:rsid w:val="004E7117"/>
    <w:rsid w:val="004F0B05"/>
    <w:rsid w:val="004F10C7"/>
    <w:rsid w:val="004F17AA"/>
    <w:rsid w:val="004F1ADF"/>
    <w:rsid w:val="004F210C"/>
    <w:rsid w:val="004F2469"/>
    <w:rsid w:val="004F26D5"/>
    <w:rsid w:val="004F2812"/>
    <w:rsid w:val="004F3514"/>
    <w:rsid w:val="004F3790"/>
    <w:rsid w:val="004F4AA2"/>
    <w:rsid w:val="004F4C8A"/>
    <w:rsid w:val="004F51FA"/>
    <w:rsid w:val="004F5A0B"/>
    <w:rsid w:val="004F7166"/>
    <w:rsid w:val="004F7E4F"/>
    <w:rsid w:val="005000D4"/>
    <w:rsid w:val="0050044A"/>
    <w:rsid w:val="005019C9"/>
    <w:rsid w:val="00502CD4"/>
    <w:rsid w:val="00503CDD"/>
    <w:rsid w:val="00505331"/>
    <w:rsid w:val="00505930"/>
    <w:rsid w:val="00505BA2"/>
    <w:rsid w:val="005061CA"/>
    <w:rsid w:val="0050658E"/>
    <w:rsid w:val="00506BE0"/>
    <w:rsid w:val="00506C49"/>
    <w:rsid w:val="005076B6"/>
    <w:rsid w:val="00511158"/>
    <w:rsid w:val="00511403"/>
    <w:rsid w:val="00511C2A"/>
    <w:rsid w:val="00511C7B"/>
    <w:rsid w:val="00512112"/>
    <w:rsid w:val="0051443B"/>
    <w:rsid w:val="0051469F"/>
    <w:rsid w:val="00514929"/>
    <w:rsid w:val="0051609B"/>
    <w:rsid w:val="00516558"/>
    <w:rsid w:val="0051695C"/>
    <w:rsid w:val="00520929"/>
    <w:rsid w:val="00521B65"/>
    <w:rsid w:val="005241EE"/>
    <w:rsid w:val="00524864"/>
    <w:rsid w:val="00524ECC"/>
    <w:rsid w:val="005276B8"/>
    <w:rsid w:val="00527911"/>
    <w:rsid w:val="0052799F"/>
    <w:rsid w:val="005325AF"/>
    <w:rsid w:val="0053323F"/>
    <w:rsid w:val="00533A79"/>
    <w:rsid w:val="00534505"/>
    <w:rsid w:val="00534E18"/>
    <w:rsid w:val="00535311"/>
    <w:rsid w:val="005358F8"/>
    <w:rsid w:val="00536761"/>
    <w:rsid w:val="00536E9C"/>
    <w:rsid w:val="00537EB2"/>
    <w:rsid w:val="00537FFD"/>
    <w:rsid w:val="00540E62"/>
    <w:rsid w:val="0054233D"/>
    <w:rsid w:val="0054280A"/>
    <w:rsid w:val="0054371A"/>
    <w:rsid w:val="00546592"/>
    <w:rsid w:val="00547973"/>
    <w:rsid w:val="00550BE9"/>
    <w:rsid w:val="00550E54"/>
    <w:rsid w:val="0055311D"/>
    <w:rsid w:val="00553CE3"/>
    <w:rsid w:val="0055467E"/>
    <w:rsid w:val="00554DD0"/>
    <w:rsid w:val="005550D3"/>
    <w:rsid w:val="005554FD"/>
    <w:rsid w:val="00555EF4"/>
    <w:rsid w:val="0055600B"/>
    <w:rsid w:val="005570A9"/>
    <w:rsid w:val="005578E5"/>
    <w:rsid w:val="00561DBA"/>
    <w:rsid w:val="00562B81"/>
    <w:rsid w:val="005635AD"/>
    <w:rsid w:val="005655C1"/>
    <w:rsid w:val="00566A8A"/>
    <w:rsid w:val="00567776"/>
    <w:rsid w:val="005677B7"/>
    <w:rsid w:val="005703B5"/>
    <w:rsid w:val="00571C99"/>
    <w:rsid w:val="0057479B"/>
    <w:rsid w:val="00574846"/>
    <w:rsid w:val="00574AFE"/>
    <w:rsid w:val="005756E3"/>
    <w:rsid w:val="00575936"/>
    <w:rsid w:val="00576CB2"/>
    <w:rsid w:val="00577199"/>
    <w:rsid w:val="005802AD"/>
    <w:rsid w:val="00584DFE"/>
    <w:rsid w:val="00584EA3"/>
    <w:rsid w:val="005868B0"/>
    <w:rsid w:val="00586D27"/>
    <w:rsid w:val="00587326"/>
    <w:rsid w:val="0058752F"/>
    <w:rsid w:val="00587BD6"/>
    <w:rsid w:val="005900A3"/>
    <w:rsid w:val="005917BC"/>
    <w:rsid w:val="00591CAE"/>
    <w:rsid w:val="00593891"/>
    <w:rsid w:val="0059403F"/>
    <w:rsid w:val="0059463E"/>
    <w:rsid w:val="00594750"/>
    <w:rsid w:val="0059515B"/>
    <w:rsid w:val="00595A9D"/>
    <w:rsid w:val="00595B58"/>
    <w:rsid w:val="005A1A2C"/>
    <w:rsid w:val="005A2209"/>
    <w:rsid w:val="005A2820"/>
    <w:rsid w:val="005A3C2E"/>
    <w:rsid w:val="005A3D7D"/>
    <w:rsid w:val="005A3FC4"/>
    <w:rsid w:val="005A4761"/>
    <w:rsid w:val="005A4FD0"/>
    <w:rsid w:val="005A60A1"/>
    <w:rsid w:val="005A6DA5"/>
    <w:rsid w:val="005A74D8"/>
    <w:rsid w:val="005A74E7"/>
    <w:rsid w:val="005B20D2"/>
    <w:rsid w:val="005B23D3"/>
    <w:rsid w:val="005B30D7"/>
    <w:rsid w:val="005B318A"/>
    <w:rsid w:val="005B43A3"/>
    <w:rsid w:val="005B464E"/>
    <w:rsid w:val="005B542F"/>
    <w:rsid w:val="005B5A39"/>
    <w:rsid w:val="005B6A03"/>
    <w:rsid w:val="005B6BB1"/>
    <w:rsid w:val="005B746B"/>
    <w:rsid w:val="005B7733"/>
    <w:rsid w:val="005B7A09"/>
    <w:rsid w:val="005C01D3"/>
    <w:rsid w:val="005C0690"/>
    <w:rsid w:val="005C06D8"/>
    <w:rsid w:val="005C0C5F"/>
    <w:rsid w:val="005C19D0"/>
    <w:rsid w:val="005C2C32"/>
    <w:rsid w:val="005C2EC8"/>
    <w:rsid w:val="005C3FDB"/>
    <w:rsid w:val="005C4136"/>
    <w:rsid w:val="005C43A9"/>
    <w:rsid w:val="005C4C24"/>
    <w:rsid w:val="005C545F"/>
    <w:rsid w:val="005C7E2E"/>
    <w:rsid w:val="005D078D"/>
    <w:rsid w:val="005D362E"/>
    <w:rsid w:val="005D3DFC"/>
    <w:rsid w:val="005D6200"/>
    <w:rsid w:val="005D73D9"/>
    <w:rsid w:val="005E16AF"/>
    <w:rsid w:val="005E5144"/>
    <w:rsid w:val="005E5352"/>
    <w:rsid w:val="005E62FA"/>
    <w:rsid w:val="005E7EDC"/>
    <w:rsid w:val="005F0A3E"/>
    <w:rsid w:val="005F3802"/>
    <w:rsid w:val="005F4F08"/>
    <w:rsid w:val="005F55E8"/>
    <w:rsid w:val="005F63BA"/>
    <w:rsid w:val="00600C4A"/>
    <w:rsid w:val="00601DF6"/>
    <w:rsid w:val="00603BE1"/>
    <w:rsid w:val="00603DDB"/>
    <w:rsid w:val="006040D1"/>
    <w:rsid w:val="00604DCD"/>
    <w:rsid w:val="00605A0E"/>
    <w:rsid w:val="00605E7B"/>
    <w:rsid w:val="006071B3"/>
    <w:rsid w:val="0061005E"/>
    <w:rsid w:val="00611C8D"/>
    <w:rsid w:val="00613D9F"/>
    <w:rsid w:val="00613E86"/>
    <w:rsid w:val="00615089"/>
    <w:rsid w:val="00615191"/>
    <w:rsid w:val="00615AFF"/>
    <w:rsid w:val="00616C5E"/>
    <w:rsid w:val="00621140"/>
    <w:rsid w:val="00621D92"/>
    <w:rsid w:val="00623D7C"/>
    <w:rsid w:val="006245C5"/>
    <w:rsid w:val="00624888"/>
    <w:rsid w:val="00625646"/>
    <w:rsid w:val="006266A9"/>
    <w:rsid w:val="00626F37"/>
    <w:rsid w:val="00627235"/>
    <w:rsid w:val="00627E6E"/>
    <w:rsid w:val="00631AD3"/>
    <w:rsid w:val="00631BF6"/>
    <w:rsid w:val="00635BEB"/>
    <w:rsid w:val="00636A5D"/>
    <w:rsid w:val="006375CD"/>
    <w:rsid w:val="006378D5"/>
    <w:rsid w:val="006378FA"/>
    <w:rsid w:val="00640425"/>
    <w:rsid w:val="00640A27"/>
    <w:rsid w:val="00641194"/>
    <w:rsid w:val="00642362"/>
    <w:rsid w:val="00642B5B"/>
    <w:rsid w:val="006438CD"/>
    <w:rsid w:val="00643DE1"/>
    <w:rsid w:val="00643FCB"/>
    <w:rsid w:val="00646A7A"/>
    <w:rsid w:val="0064738C"/>
    <w:rsid w:val="00647722"/>
    <w:rsid w:val="00647944"/>
    <w:rsid w:val="00647C5D"/>
    <w:rsid w:val="006507D0"/>
    <w:rsid w:val="0065105B"/>
    <w:rsid w:val="006523AF"/>
    <w:rsid w:val="006526A9"/>
    <w:rsid w:val="006527C2"/>
    <w:rsid w:val="006533C0"/>
    <w:rsid w:val="00653711"/>
    <w:rsid w:val="00654980"/>
    <w:rsid w:val="00654EB4"/>
    <w:rsid w:val="00655241"/>
    <w:rsid w:val="00657038"/>
    <w:rsid w:val="00661D13"/>
    <w:rsid w:val="006620F9"/>
    <w:rsid w:val="0066231E"/>
    <w:rsid w:val="00662430"/>
    <w:rsid w:val="006636D1"/>
    <w:rsid w:val="0066445D"/>
    <w:rsid w:val="00664D60"/>
    <w:rsid w:val="006663ED"/>
    <w:rsid w:val="00666566"/>
    <w:rsid w:val="006701CB"/>
    <w:rsid w:val="006704AF"/>
    <w:rsid w:val="0067171E"/>
    <w:rsid w:val="006726EF"/>
    <w:rsid w:val="006729A8"/>
    <w:rsid w:val="00672D52"/>
    <w:rsid w:val="00675D94"/>
    <w:rsid w:val="006770F8"/>
    <w:rsid w:val="00677469"/>
    <w:rsid w:val="00680F1E"/>
    <w:rsid w:val="0068312A"/>
    <w:rsid w:val="0068454A"/>
    <w:rsid w:val="00684FC5"/>
    <w:rsid w:val="006855D7"/>
    <w:rsid w:val="00686ACA"/>
    <w:rsid w:val="00690184"/>
    <w:rsid w:val="00690223"/>
    <w:rsid w:val="00690FD4"/>
    <w:rsid w:val="006939C2"/>
    <w:rsid w:val="00693E30"/>
    <w:rsid w:val="00694D98"/>
    <w:rsid w:val="00697E20"/>
    <w:rsid w:val="006A04D6"/>
    <w:rsid w:val="006A05BB"/>
    <w:rsid w:val="006A1BBD"/>
    <w:rsid w:val="006A1FBD"/>
    <w:rsid w:val="006A30F2"/>
    <w:rsid w:val="006A4A8A"/>
    <w:rsid w:val="006A4CD9"/>
    <w:rsid w:val="006A4EF1"/>
    <w:rsid w:val="006A67A0"/>
    <w:rsid w:val="006A6C39"/>
    <w:rsid w:val="006A7AD6"/>
    <w:rsid w:val="006A7CEA"/>
    <w:rsid w:val="006A7E4A"/>
    <w:rsid w:val="006B0D1C"/>
    <w:rsid w:val="006B2AF3"/>
    <w:rsid w:val="006B39EC"/>
    <w:rsid w:val="006B3A08"/>
    <w:rsid w:val="006B4770"/>
    <w:rsid w:val="006B4FD0"/>
    <w:rsid w:val="006B50B2"/>
    <w:rsid w:val="006B6F48"/>
    <w:rsid w:val="006B7263"/>
    <w:rsid w:val="006B7E00"/>
    <w:rsid w:val="006C0CF3"/>
    <w:rsid w:val="006C23E9"/>
    <w:rsid w:val="006C28DF"/>
    <w:rsid w:val="006C3321"/>
    <w:rsid w:val="006C3584"/>
    <w:rsid w:val="006C3746"/>
    <w:rsid w:val="006C4D66"/>
    <w:rsid w:val="006C567B"/>
    <w:rsid w:val="006C5FDA"/>
    <w:rsid w:val="006D01F4"/>
    <w:rsid w:val="006D03FD"/>
    <w:rsid w:val="006D0AFA"/>
    <w:rsid w:val="006D2039"/>
    <w:rsid w:val="006D34A5"/>
    <w:rsid w:val="006D34AA"/>
    <w:rsid w:val="006D4182"/>
    <w:rsid w:val="006D4EAF"/>
    <w:rsid w:val="006D4FE5"/>
    <w:rsid w:val="006D5C36"/>
    <w:rsid w:val="006D5DFB"/>
    <w:rsid w:val="006D72CE"/>
    <w:rsid w:val="006E13FB"/>
    <w:rsid w:val="006E196E"/>
    <w:rsid w:val="006E1A68"/>
    <w:rsid w:val="006E3D3B"/>
    <w:rsid w:val="006E3DCA"/>
    <w:rsid w:val="006E4298"/>
    <w:rsid w:val="006E4F88"/>
    <w:rsid w:val="006E58B7"/>
    <w:rsid w:val="006E683E"/>
    <w:rsid w:val="006E6B5E"/>
    <w:rsid w:val="006E6BA5"/>
    <w:rsid w:val="006F1549"/>
    <w:rsid w:val="006F1588"/>
    <w:rsid w:val="006F2116"/>
    <w:rsid w:val="006F2763"/>
    <w:rsid w:val="006F2A3E"/>
    <w:rsid w:val="006F351D"/>
    <w:rsid w:val="006F3713"/>
    <w:rsid w:val="006F3A8F"/>
    <w:rsid w:val="006F4347"/>
    <w:rsid w:val="006F7746"/>
    <w:rsid w:val="00700D06"/>
    <w:rsid w:val="00700DFF"/>
    <w:rsid w:val="00700F10"/>
    <w:rsid w:val="00701923"/>
    <w:rsid w:val="00701F5F"/>
    <w:rsid w:val="00702F49"/>
    <w:rsid w:val="00703F8D"/>
    <w:rsid w:val="00704153"/>
    <w:rsid w:val="00704EF6"/>
    <w:rsid w:val="0070508D"/>
    <w:rsid w:val="00705665"/>
    <w:rsid w:val="00705BCF"/>
    <w:rsid w:val="007065E9"/>
    <w:rsid w:val="00706612"/>
    <w:rsid w:val="007108AF"/>
    <w:rsid w:val="00710BA9"/>
    <w:rsid w:val="00710D8F"/>
    <w:rsid w:val="00713CA2"/>
    <w:rsid w:val="007140C8"/>
    <w:rsid w:val="0071457C"/>
    <w:rsid w:val="00717B33"/>
    <w:rsid w:val="00717FA7"/>
    <w:rsid w:val="00720942"/>
    <w:rsid w:val="007219AF"/>
    <w:rsid w:val="00722F52"/>
    <w:rsid w:val="00723047"/>
    <w:rsid w:val="00724280"/>
    <w:rsid w:val="007248D3"/>
    <w:rsid w:val="007260F4"/>
    <w:rsid w:val="0072641A"/>
    <w:rsid w:val="007264E6"/>
    <w:rsid w:val="00726CD4"/>
    <w:rsid w:val="00730680"/>
    <w:rsid w:val="0073098D"/>
    <w:rsid w:val="007311B1"/>
    <w:rsid w:val="007315B3"/>
    <w:rsid w:val="00732778"/>
    <w:rsid w:val="00734396"/>
    <w:rsid w:val="007344D0"/>
    <w:rsid w:val="00734708"/>
    <w:rsid w:val="00735172"/>
    <w:rsid w:val="007369BB"/>
    <w:rsid w:val="007409DC"/>
    <w:rsid w:val="00740A0B"/>
    <w:rsid w:val="00742064"/>
    <w:rsid w:val="00742730"/>
    <w:rsid w:val="00744273"/>
    <w:rsid w:val="00744286"/>
    <w:rsid w:val="0074596C"/>
    <w:rsid w:val="0074686C"/>
    <w:rsid w:val="007476C9"/>
    <w:rsid w:val="007479BA"/>
    <w:rsid w:val="0075058E"/>
    <w:rsid w:val="00751045"/>
    <w:rsid w:val="00751FE3"/>
    <w:rsid w:val="00754975"/>
    <w:rsid w:val="00754A63"/>
    <w:rsid w:val="00754B30"/>
    <w:rsid w:val="007565FF"/>
    <w:rsid w:val="00757A8B"/>
    <w:rsid w:val="00760DFA"/>
    <w:rsid w:val="00761873"/>
    <w:rsid w:val="00761BFC"/>
    <w:rsid w:val="00762495"/>
    <w:rsid w:val="00762CFF"/>
    <w:rsid w:val="00763876"/>
    <w:rsid w:val="00764066"/>
    <w:rsid w:val="00764521"/>
    <w:rsid w:val="007668DA"/>
    <w:rsid w:val="00766A1B"/>
    <w:rsid w:val="00767DFF"/>
    <w:rsid w:val="00772D85"/>
    <w:rsid w:val="00773037"/>
    <w:rsid w:val="00774D65"/>
    <w:rsid w:val="00775203"/>
    <w:rsid w:val="0077582A"/>
    <w:rsid w:val="00776973"/>
    <w:rsid w:val="00776AEE"/>
    <w:rsid w:val="00780ACD"/>
    <w:rsid w:val="00780C23"/>
    <w:rsid w:val="00782FF8"/>
    <w:rsid w:val="007832AA"/>
    <w:rsid w:val="00783598"/>
    <w:rsid w:val="00784A06"/>
    <w:rsid w:val="00784C0B"/>
    <w:rsid w:val="007852D4"/>
    <w:rsid w:val="00786822"/>
    <w:rsid w:val="00787444"/>
    <w:rsid w:val="0078757F"/>
    <w:rsid w:val="007877B3"/>
    <w:rsid w:val="00790A9D"/>
    <w:rsid w:val="00792AE9"/>
    <w:rsid w:val="00794884"/>
    <w:rsid w:val="0079512E"/>
    <w:rsid w:val="0079574E"/>
    <w:rsid w:val="00795798"/>
    <w:rsid w:val="00797EC3"/>
    <w:rsid w:val="007A4345"/>
    <w:rsid w:val="007A470F"/>
    <w:rsid w:val="007A4CFC"/>
    <w:rsid w:val="007A763D"/>
    <w:rsid w:val="007B23CE"/>
    <w:rsid w:val="007B2A5C"/>
    <w:rsid w:val="007B2C6A"/>
    <w:rsid w:val="007B3009"/>
    <w:rsid w:val="007B418E"/>
    <w:rsid w:val="007B54C9"/>
    <w:rsid w:val="007B5AFD"/>
    <w:rsid w:val="007B6253"/>
    <w:rsid w:val="007B62B2"/>
    <w:rsid w:val="007B701D"/>
    <w:rsid w:val="007C0283"/>
    <w:rsid w:val="007C07CC"/>
    <w:rsid w:val="007C0AE6"/>
    <w:rsid w:val="007C26C2"/>
    <w:rsid w:val="007C2D6D"/>
    <w:rsid w:val="007C3411"/>
    <w:rsid w:val="007C35F7"/>
    <w:rsid w:val="007C41E6"/>
    <w:rsid w:val="007C5CC4"/>
    <w:rsid w:val="007C7489"/>
    <w:rsid w:val="007D0D58"/>
    <w:rsid w:val="007D2B48"/>
    <w:rsid w:val="007D30C7"/>
    <w:rsid w:val="007D34B6"/>
    <w:rsid w:val="007D37E8"/>
    <w:rsid w:val="007D4761"/>
    <w:rsid w:val="007D594C"/>
    <w:rsid w:val="007D5BBF"/>
    <w:rsid w:val="007D7A5C"/>
    <w:rsid w:val="007D7E26"/>
    <w:rsid w:val="007E01AE"/>
    <w:rsid w:val="007E0EE2"/>
    <w:rsid w:val="007E1E4D"/>
    <w:rsid w:val="007E2327"/>
    <w:rsid w:val="007E251B"/>
    <w:rsid w:val="007E29EC"/>
    <w:rsid w:val="007E32F5"/>
    <w:rsid w:val="007E39DB"/>
    <w:rsid w:val="007E4D54"/>
    <w:rsid w:val="007E4F3B"/>
    <w:rsid w:val="007E523B"/>
    <w:rsid w:val="007E610A"/>
    <w:rsid w:val="007E6F8E"/>
    <w:rsid w:val="007F020C"/>
    <w:rsid w:val="007F0243"/>
    <w:rsid w:val="007F12DD"/>
    <w:rsid w:val="007F1985"/>
    <w:rsid w:val="007F1B54"/>
    <w:rsid w:val="007F245A"/>
    <w:rsid w:val="007F2BA4"/>
    <w:rsid w:val="007F2D0B"/>
    <w:rsid w:val="007F3501"/>
    <w:rsid w:val="007F35D9"/>
    <w:rsid w:val="007F4863"/>
    <w:rsid w:val="007F4F41"/>
    <w:rsid w:val="007F57C4"/>
    <w:rsid w:val="007F6166"/>
    <w:rsid w:val="007F7437"/>
    <w:rsid w:val="00801339"/>
    <w:rsid w:val="00801A14"/>
    <w:rsid w:val="00801A59"/>
    <w:rsid w:val="00802426"/>
    <w:rsid w:val="008028EF"/>
    <w:rsid w:val="00803432"/>
    <w:rsid w:val="00803E8B"/>
    <w:rsid w:val="0080493B"/>
    <w:rsid w:val="0080494B"/>
    <w:rsid w:val="00805233"/>
    <w:rsid w:val="008059F5"/>
    <w:rsid w:val="00805D0C"/>
    <w:rsid w:val="00806B46"/>
    <w:rsid w:val="00806BC4"/>
    <w:rsid w:val="00810F98"/>
    <w:rsid w:val="008116A8"/>
    <w:rsid w:val="00812E56"/>
    <w:rsid w:val="008139B3"/>
    <w:rsid w:val="00815895"/>
    <w:rsid w:val="008158B6"/>
    <w:rsid w:val="00815DDD"/>
    <w:rsid w:val="00816D30"/>
    <w:rsid w:val="00817373"/>
    <w:rsid w:val="00817522"/>
    <w:rsid w:val="00820EBF"/>
    <w:rsid w:val="00821C07"/>
    <w:rsid w:val="0082290C"/>
    <w:rsid w:val="008234C9"/>
    <w:rsid w:val="008239A1"/>
    <w:rsid w:val="00823D39"/>
    <w:rsid w:val="00824389"/>
    <w:rsid w:val="0082570C"/>
    <w:rsid w:val="00825FCD"/>
    <w:rsid w:val="008273E8"/>
    <w:rsid w:val="00827413"/>
    <w:rsid w:val="008315CF"/>
    <w:rsid w:val="008319A8"/>
    <w:rsid w:val="00831FCC"/>
    <w:rsid w:val="0083447D"/>
    <w:rsid w:val="008355C7"/>
    <w:rsid w:val="00841946"/>
    <w:rsid w:val="00841CB5"/>
    <w:rsid w:val="0084452F"/>
    <w:rsid w:val="00844917"/>
    <w:rsid w:val="00844950"/>
    <w:rsid w:val="00846493"/>
    <w:rsid w:val="00847842"/>
    <w:rsid w:val="008509D7"/>
    <w:rsid w:val="00850CEE"/>
    <w:rsid w:val="00850FC0"/>
    <w:rsid w:val="00851FE9"/>
    <w:rsid w:val="00852811"/>
    <w:rsid w:val="00852E85"/>
    <w:rsid w:val="00853542"/>
    <w:rsid w:val="00853DB2"/>
    <w:rsid w:val="00856F34"/>
    <w:rsid w:val="008571D4"/>
    <w:rsid w:val="00857986"/>
    <w:rsid w:val="00857B4F"/>
    <w:rsid w:val="008608B5"/>
    <w:rsid w:val="00860E64"/>
    <w:rsid w:val="00862C74"/>
    <w:rsid w:val="008635DF"/>
    <w:rsid w:val="00863CAC"/>
    <w:rsid w:val="00864CAC"/>
    <w:rsid w:val="00865035"/>
    <w:rsid w:val="008656BB"/>
    <w:rsid w:val="00865A72"/>
    <w:rsid w:val="00866490"/>
    <w:rsid w:val="008669E4"/>
    <w:rsid w:val="00866E2C"/>
    <w:rsid w:val="0086756A"/>
    <w:rsid w:val="00867C39"/>
    <w:rsid w:val="00870864"/>
    <w:rsid w:val="00874BED"/>
    <w:rsid w:val="0087546C"/>
    <w:rsid w:val="00875B20"/>
    <w:rsid w:val="008771DF"/>
    <w:rsid w:val="00877949"/>
    <w:rsid w:val="008825E3"/>
    <w:rsid w:val="00882FD2"/>
    <w:rsid w:val="008833FF"/>
    <w:rsid w:val="00883A2B"/>
    <w:rsid w:val="0088540F"/>
    <w:rsid w:val="008867FF"/>
    <w:rsid w:val="00887EF4"/>
    <w:rsid w:val="0089147C"/>
    <w:rsid w:val="00891950"/>
    <w:rsid w:val="00892C9E"/>
    <w:rsid w:val="00893CA7"/>
    <w:rsid w:val="008947CC"/>
    <w:rsid w:val="008954A3"/>
    <w:rsid w:val="008964F2"/>
    <w:rsid w:val="008968A4"/>
    <w:rsid w:val="0089746D"/>
    <w:rsid w:val="00897E8C"/>
    <w:rsid w:val="008A04BE"/>
    <w:rsid w:val="008A06EA"/>
    <w:rsid w:val="008A204F"/>
    <w:rsid w:val="008A2357"/>
    <w:rsid w:val="008A34A1"/>
    <w:rsid w:val="008A3FBE"/>
    <w:rsid w:val="008A48DA"/>
    <w:rsid w:val="008A50F3"/>
    <w:rsid w:val="008A6355"/>
    <w:rsid w:val="008A6570"/>
    <w:rsid w:val="008A76BE"/>
    <w:rsid w:val="008A7942"/>
    <w:rsid w:val="008A7AA0"/>
    <w:rsid w:val="008A7B43"/>
    <w:rsid w:val="008B2134"/>
    <w:rsid w:val="008B363D"/>
    <w:rsid w:val="008B3CF7"/>
    <w:rsid w:val="008B3E04"/>
    <w:rsid w:val="008B4714"/>
    <w:rsid w:val="008B55E9"/>
    <w:rsid w:val="008B56C5"/>
    <w:rsid w:val="008B59BF"/>
    <w:rsid w:val="008B5A4C"/>
    <w:rsid w:val="008B5C1C"/>
    <w:rsid w:val="008B6F6B"/>
    <w:rsid w:val="008B7C08"/>
    <w:rsid w:val="008C06CF"/>
    <w:rsid w:val="008C24CA"/>
    <w:rsid w:val="008C3DFD"/>
    <w:rsid w:val="008C422F"/>
    <w:rsid w:val="008C4D88"/>
    <w:rsid w:val="008C5910"/>
    <w:rsid w:val="008C5A04"/>
    <w:rsid w:val="008C67F0"/>
    <w:rsid w:val="008C767F"/>
    <w:rsid w:val="008D0CE5"/>
    <w:rsid w:val="008D1C74"/>
    <w:rsid w:val="008D283A"/>
    <w:rsid w:val="008D29D3"/>
    <w:rsid w:val="008D3848"/>
    <w:rsid w:val="008D4430"/>
    <w:rsid w:val="008D443E"/>
    <w:rsid w:val="008D5104"/>
    <w:rsid w:val="008D7BAB"/>
    <w:rsid w:val="008E01F2"/>
    <w:rsid w:val="008E0482"/>
    <w:rsid w:val="008E04B9"/>
    <w:rsid w:val="008E04E6"/>
    <w:rsid w:val="008E07C8"/>
    <w:rsid w:val="008E0A42"/>
    <w:rsid w:val="008E1A9F"/>
    <w:rsid w:val="008E1B19"/>
    <w:rsid w:val="008E2E3E"/>
    <w:rsid w:val="008E4A82"/>
    <w:rsid w:val="008E5388"/>
    <w:rsid w:val="008E6E3B"/>
    <w:rsid w:val="008E75AB"/>
    <w:rsid w:val="008E7EE2"/>
    <w:rsid w:val="008E7EE5"/>
    <w:rsid w:val="008F0ABF"/>
    <w:rsid w:val="008F1F11"/>
    <w:rsid w:val="008F2D2C"/>
    <w:rsid w:val="008F47B1"/>
    <w:rsid w:val="008F4C8D"/>
    <w:rsid w:val="008F51A5"/>
    <w:rsid w:val="008F5768"/>
    <w:rsid w:val="008F67BD"/>
    <w:rsid w:val="009007B1"/>
    <w:rsid w:val="00900FAE"/>
    <w:rsid w:val="00901384"/>
    <w:rsid w:val="009019B0"/>
    <w:rsid w:val="00902363"/>
    <w:rsid w:val="00903816"/>
    <w:rsid w:val="00903A71"/>
    <w:rsid w:val="009043CB"/>
    <w:rsid w:val="0090503C"/>
    <w:rsid w:val="00905578"/>
    <w:rsid w:val="009062EC"/>
    <w:rsid w:val="009067CC"/>
    <w:rsid w:val="0090738A"/>
    <w:rsid w:val="009075E4"/>
    <w:rsid w:val="00911054"/>
    <w:rsid w:val="009112B2"/>
    <w:rsid w:val="00911AF9"/>
    <w:rsid w:val="00911E65"/>
    <w:rsid w:val="00912332"/>
    <w:rsid w:val="009127C1"/>
    <w:rsid w:val="00914163"/>
    <w:rsid w:val="00914241"/>
    <w:rsid w:val="00917579"/>
    <w:rsid w:val="009200E7"/>
    <w:rsid w:val="00920BCD"/>
    <w:rsid w:val="00920CB7"/>
    <w:rsid w:val="00920FD7"/>
    <w:rsid w:val="009217A9"/>
    <w:rsid w:val="009218F9"/>
    <w:rsid w:val="00922002"/>
    <w:rsid w:val="009229B1"/>
    <w:rsid w:val="00923166"/>
    <w:rsid w:val="0092463C"/>
    <w:rsid w:val="00925166"/>
    <w:rsid w:val="00927AAD"/>
    <w:rsid w:val="009301DF"/>
    <w:rsid w:val="0093179C"/>
    <w:rsid w:val="00931850"/>
    <w:rsid w:val="009318CA"/>
    <w:rsid w:val="00931AE0"/>
    <w:rsid w:val="0093261A"/>
    <w:rsid w:val="009353DB"/>
    <w:rsid w:val="00935CCA"/>
    <w:rsid w:val="00940EF1"/>
    <w:rsid w:val="0094116D"/>
    <w:rsid w:val="00941DE2"/>
    <w:rsid w:val="00941EFC"/>
    <w:rsid w:val="009426CC"/>
    <w:rsid w:val="009459E8"/>
    <w:rsid w:val="009474F3"/>
    <w:rsid w:val="0094775F"/>
    <w:rsid w:val="00947812"/>
    <w:rsid w:val="00953135"/>
    <w:rsid w:val="0095340D"/>
    <w:rsid w:val="00954701"/>
    <w:rsid w:val="00954B39"/>
    <w:rsid w:val="00954E8B"/>
    <w:rsid w:val="00955CF7"/>
    <w:rsid w:val="0095656C"/>
    <w:rsid w:val="009579E6"/>
    <w:rsid w:val="00960E24"/>
    <w:rsid w:val="00960E5A"/>
    <w:rsid w:val="00961128"/>
    <w:rsid w:val="009614EB"/>
    <w:rsid w:val="00963BE5"/>
    <w:rsid w:val="00964ACC"/>
    <w:rsid w:val="0096595B"/>
    <w:rsid w:val="00966A51"/>
    <w:rsid w:val="00966B94"/>
    <w:rsid w:val="00967B0C"/>
    <w:rsid w:val="0097178C"/>
    <w:rsid w:val="00971841"/>
    <w:rsid w:val="0097221D"/>
    <w:rsid w:val="009739EE"/>
    <w:rsid w:val="00974279"/>
    <w:rsid w:val="009744EC"/>
    <w:rsid w:val="00974830"/>
    <w:rsid w:val="00974A8A"/>
    <w:rsid w:val="009759D7"/>
    <w:rsid w:val="00975DFD"/>
    <w:rsid w:val="0097748C"/>
    <w:rsid w:val="00981BFD"/>
    <w:rsid w:val="00982440"/>
    <w:rsid w:val="00983CCC"/>
    <w:rsid w:val="00983DF9"/>
    <w:rsid w:val="0098638B"/>
    <w:rsid w:val="00987C34"/>
    <w:rsid w:val="00987E46"/>
    <w:rsid w:val="009903E4"/>
    <w:rsid w:val="00990F2B"/>
    <w:rsid w:val="0099138B"/>
    <w:rsid w:val="009922EF"/>
    <w:rsid w:val="00993284"/>
    <w:rsid w:val="009938BC"/>
    <w:rsid w:val="00994A71"/>
    <w:rsid w:val="0099546C"/>
    <w:rsid w:val="00995731"/>
    <w:rsid w:val="00995AC4"/>
    <w:rsid w:val="00997B65"/>
    <w:rsid w:val="009A10AF"/>
    <w:rsid w:val="009A1A16"/>
    <w:rsid w:val="009A1F0B"/>
    <w:rsid w:val="009A363A"/>
    <w:rsid w:val="009A41A3"/>
    <w:rsid w:val="009A4306"/>
    <w:rsid w:val="009A4775"/>
    <w:rsid w:val="009A591F"/>
    <w:rsid w:val="009A7850"/>
    <w:rsid w:val="009B0A38"/>
    <w:rsid w:val="009B2F95"/>
    <w:rsid w:val="009B47E4"/>
    <w:rsid w:val="009B4D6C"/>
    <w:rsid w:val="009B5DD2"/>
    <w:rsid w:val="009B75FE"/>
    <w:rsid w:val="009C011E"/>
    <w:rsid w:val="009C0B49"/>
    <w:rsid w:val="009C0CC3"/>
    <w:rsid w:val="009C1F85"/>
    <w:rsid w:val="009C38F2"/>
    <w:rsid w:val="009C4510"/>
    <w:rsid w:val="009C4630"/>
    <w:rsid w:val="009C60D8"/>
    <w:rsid w:val="009C7C79"/>
    <w:rsid w:val="009D0D1B"/>
    <w:rsid w:val="009D1A6C"/>
    <w:rsid w:val="009D20DB"/>
    <w:rsid w:val="009D38E8"/>
    <w:rsid w:val="009D49B5"/>
    <w:rsid w:val="009D4B0E"/>
    <w:rsid w:val="009D5A56"/>
    <w:rsid w:val="009D5E25"/>
    <w:rsid w:val="009D6F2D"/>
    <w:rsid w:val="009D7CA1"/>
    <w:rsid w:val="009E1A00"/>
    <w:rsid w:val="009E2169"/>
    <w:rsid w:val="009E282C"/>
    <w:rsid w:val="009E2D02"/>
    <w:rsid w:val="009E314C"/>
    <w:rsid w:val="009E3594"/>
    <w:rsid w:val="009E4320"/>
    <w:rsid w:val="009E7B06"/>
    <w:rsid w:val="009E7D47"/>
    <w:rsid w:val="009F0070"/>
    <w:rsid w:val="009F0556"/>
    <w:rsid w:val="009F194A"/>
    <w:rsid w:val="009F32CA"/>
    <w:rsid w:val="009F3864"/>
    <w:rsid w:val="009F393D"/>
    <w:rsid w:val="009F4511"/>
    <w:rsid w:val="009F46C7"/>
    <w:rsid w:val="009F56F7"/>
    <w:rsid w:val="009F59B4"/>
    <w:rsid w:val="009F5F35"/>
    <w:rsid w:val="009F6BCD"/>
    <w:rsid w:val="00A00D9F"/>
    <w:rsid w:val="00A012C6"/>
    <w:rsid w:val="00A02CC1"/>
    <w:rsid w:val="00A02D07"/>
    <w:rsid w:val="00A02DC7"/>
    <w:rsid w:val="00A035D5"/>
    <w:rsid w:val="00A04107"/>
    <w:rsid w:val="00A04B51"/>
    <w:rsid w:val="00A05950"/>
    <w:rsid w:val="00A05978"/>
    <w:rsid w:val="00A0641B"/>
    <w:rsid w:val="00A10C92"/>
    <w:rsid w:val="00A1114B"/>
    <w:rsid w:val="00A11DF8"/>
    <w:rsid w:val="00A12AF8"/>
    <w:rsid w:val="00A13256"/>
    <w:rsid w:val="00A14199"/>
    <w:rsid w:val="00A14A0C"/>
    <w:rsid w:val="00A1531F"/>
    <w:rsid w:val="00A15395"/>
    <w:rsid w:val="00A15BF1"/>
    <w:rsid w:val="00A16099"/>
    <w:rsid w:val="00A16265"/>
    <w:rsid w:val="00A16537"/>
    <w:rsid w:val="00A16B23"/>
    <w:rsid w:val="00A21B2C"/>
    <w:rsid w:val="00A2217B"/>
    <w:rsid w:val="00A2279F"/>
    <w:rsid w:val="00A23041"/>
    <w:rsid w:val="00A23A1E"/>
    <w:rsid w:val="00A2620F"/>
    <w:rsid w:val="00A26583"/>
    <w:rsid w:val="00A265EB"/>
    <w:rsid w:val="00A270B2"/>
    <w:rsid w:val="00A27916"/>
    <w:rsid w:val="00A27B50"/>
    <w:rsid w:val="00A27C39"/>
    <w:rsid w:val="00A307F5"/>
    <w:rsid w:val="00A3121E"/>
    <w:rsid w:val="00A32864"/>
    <w:rsid w:val="00A32A38"/>
    <w:rsid w:val="00A32C71"/>
    <w:rsid w:val="00A32E56"/>
    <w:rsid w:val="00A34478"/>
    <w:rsid w:val="00A35A5E"/>
    <w:rsid w:val="00A36154"/>
    <w:rsid w:val="00A3621D"/>
    <w:rsid w:val="00A36BB5"/>
    <w:rsid w:val="00A379FE"/>
    <w:rsid w:val="00A42E58"/>
    <w:rsid w:val="00A4300E"/>
    <w:rsid w:val="00A43BD4"/>
    <w:rsid w:val="00A45F2E"/>
    <w:rsid w:val="00A466BE"/>
    <w:rsid w:val="00A47B75"/>
    <w:rsid w:val="00A502D0"/>
    <w:rsid w:val="00A513D5"/>
    <w:rsid w:val="00A51C0A"/>
    <w:rsid w:val="00A5339B"/>
    <w:rsid w:val="00A534B4"/>
    <w:rsid w:val="00A53C6D"/>
    <w:rsid w:val="00A55961"/>
    <w:rsid w:val="00A562F2"/>
    <w:rsid w:val="00A568AC"/>
    <w:rsid w:val="00A600F5"/>
    <w:rsid w:val="00A601D3"/>
    <w:rsid w:val="00A606FA"/>
    <w:rsid w:val="00A61718"/>
    <w:rsid w:val="00A61F35"/>
    <w:rsid w:val="00A63320"/>
    <w:rsid w:val="00A6342A"/>
    <w:rsid w:val="00A6430A"/>
    <w:rsid w:val="00A674C4"/>
    <w:rsid w:val="00A70DEB"/>
    <w:rsid w:val="00A71467"/>
    <w:rsid w:val="00A7213B"/>
    <w:rsid w:val="00A72A23"/>
    <w:rsid w:val="00A733FD"/>
    <w:rsid w:val="00A742B8"/>
    <w:rsid w:val="00A753E0"/>
    <w:rsid w:val="00A75596"/>
    <w:rsid w:val="00A75A77"/>
    <w:rsid w:val="00A7613F"/>
    <w:rsid w:val="00A7722C"/>
    <w:rsid w:val="00A77DFB"/>
    <w:rsid w:val="00A77F0C"/>
    <w:rsid w:val="00A77FE2"/>
    <w:rsid w:val="00A81F91"/>
    <w:rsid w:val="00A824AB"/>
    <w:rsid w:val="00A83CF3"/>
    <w:rsid w:val="00A83EC9"/>
    <w:rsid w:val="00A83F9C"/>
    <w:rsid w:val="00A845FD"/>
    <w:rsid w:val="00A85DCF"/>
    <w:rsid w:val="00A86233"/>
    <w:rsid w:val="00A866B1"/>
    <w:rsid w:val="00A8692F"/>
    <w:rsid w:val="00A86D77"/>
    <w:rsid w:val="00A878B1"/>
    <w:rsid w:val="00A90548"/>
    <w:rsid w:val="00A92D9D"/>
    <w:rsid w:val="00A93B4C"/>
    <w:rsid w:val="00A93EF1"/>
    <w:rsid w:val="00A9485E"/>
    <w:rsid w:val="00A956E6"/>
    <w:rsid w:val="00A95E9D"/>
    <w:rsid w:val="00A96C0D"/>
    <w:rsid w:val="00A9720D"/>
    <w:rsid w:val="00AA05D9"/>
    <w:rsid w:val="00AA0844"/>
    <w:rsid w:val="00AA0FFD"/>
    <w:rsid w:val="00AA256A"/>
    <w:rsid w:val="00AA2B1C"/>
    <w:rsid w:val="00AA4509"/>
    <w:rsid w:val="00AA49BF"/>
    <w:rsid w:val="00AA4D0A"/>
    <w:rsid w:val="00AA5D14"/>
    <w:rsid w:val="00AA727C"/>
    <w:rsid w:val="00AB1ADA"/>
    <w:rsid w:val="00AB1E63"/>
    <w:rsid w:val="00AB20E8"/>
    <w:rsid w:val="00AB3B3C"/>
    <w:rsid w:val="00AB4758"/>
    <w:rsid w:val="00AB5237"/>
    <w:rsid w:val="00AB52E1"/>
    <w:rsid w:val="00AB54ED"/>
    <w:rsid w:val="00AB5DA2"/>
    <w:rsid w:val="00AB6631"/>
    <w:rsid w:val="00AB6F90"/>
    <w:rsid w:val="00AB6FBE"/>
    <w:rsid w:val="00AB73FB"/>
    <w:rsid w:val="00AC04AC"/>
    <w:rsid w:val="00AC0520"/>
    <w:rsid w:val="00AC06BA"/>
    <w:rsid w:val="00AC28E3"/>
    <w:rsid w:val="00AC3A5D"/>
    <w:rsid w:val="00AC3C45"/>
    <w:rsid w:val="00AC54A6"/>
    <w:rsid w:val="00AC5AA5"/>
    <w:rsid w:val="00AC612D"/>
    <w:rsid w:val="00AC61C3"/>
    <w:rsid w:val="00AC6696"/>
    <w:rsid w:val="00AC691A"/>
    <w:rsid w:val="00AC787B"/>
    <w:rsid w:val="00AD0E77"/>
    <w:rsid w:val="00AD334F"/>
    <w:rsid w:val="00AD3716"/>
    <w:rsid w:val="00AD4ECC"/>
    <w:rsid w:val="00AD552B"/>
    <w:rsid w:val="00AD61C9"/>
    <w:rsid w:val="00AD646F"/>
    <w:rsid w:val="00AD6FB6"/>
    <w:rsid w:val="00AE0D8D"/>
    <w:rsid w:val="00AE14EA"/>
    <w:rsid w:val="00AE175D"/>
    <w:rsid w:val="00AE1E26"/>
    <w:rsid w:val="00AE2133"/>
    <w:rsid w:val="00AE4B4D"/>
    <w:rsid w:val="00AE613C"/>
    <w:rsid w:val="00AE6649"/>
    <w:rsid w:val="00AE709B"/>
    <w:rsid w:val="00AE7CF9"/>
    <w:rsid w:val="00AE7F44"/>
    <w:rsid w:val="00AF01E4"/>
    <w:rsid w:val="00AF031F"/>
    <w:rsid w:val="00AF11A8"/>
    <w:rsid w:val="00AF3BC5"/>
    <w:rsid w:val="00AF4005"/>
    <w:rsid w:val="00AF4321"/>
    <w:rsid w:val="00AF6F09"/>
    <w:rsid w:val="00B002FB"/>
    <w:rsid w:val="00B00374"/>
    <w:rsid w:val="00B00912"/>
    <w:rsid w:val="00B014D9"/>
    <w:rsid w:val="00B016BA"/>
    <w:rsid w:val="00B02594"/>
    <w:rsid w:val="00B02B40"/>
    <w:rsid w:val="00B04BA8"/>
    <w:rsid w:val="00B07AB8"/>
    <w:rsid w:val="00B07F1F"/>
    <w:rsid w:val="00B105D2"/>
    <w:rsid w:val="00B112FD"/>
    <w:rsid w:val="00B11889"/>
    <w:rsid w:val="00B1192D"/>
    <w:rsid w:val="00B137FC"/>
    <w:rsid w:val="00B13ED2"/>
    <w:rsid w:val="00B14CDA"/>
    <w:rsid w:val="00B151A4"/>
    <w:rsid w:val="00B1532C"/>
    <w:rsid w:val="00B15F99"/>
    <w:rsid w:val="00B16785"/>
    <w:rsid w:val="00B201BB"/>
    <w:rsid w:val="00B20F3B"/>
    <w:rsid w:val="00B211EB"/>
    <w:rsid w:val="00B21D8E"/>
    <w:rsid w:val="00B23A42"/>
    <w:rsid w:val="00B262CB"/>
    <w:rsid w:val="00B269C9"/>
    <w:rsid w:val="00B269F0"/>
    <w:rsid w:val="00B27825"/>
    <w:rsid w:val="00B329DC"/>
    <w:rsid w:val="00B32A7C"/>
    <w:rsid w:val="00B33B6A"/>
    <w:rsid w:val="00B343AD"/>
    <w:rsid w:val="00B34A6D"/>
    <w:rsid w:val="00B34CAA"/>
    <w:rsid w:val="00B34DE6"/>
    <w:rsid w:val="00B34F07"/>
    <w:rsid w:val="00B3515B"/>
    <w:rsid w:val="00B35551"/>
    <w:rsid w:val="00B35B32"/>
    <w:rsid w:val="00B368DC"/>
    <w:rsid w:val="00B3704A"/>
    <w:rsid w:val="00B377DA"/>
    <w:rsid w:val="00B378EB"/>
    <w:rsid w:val="00B40D47"/>
    <w:rsid w:val="00B40DB4"/>
    <w:rsid w:val="00B42193"/>
    <w:rsid w:val="00B4226C"/>
    <w:rsid w:val="00B4258C"/>
    <w:rsid w:val="00B42B22"/>
    <w:rsid w:val="00B43505"/>
    <w:rsid w:val="00B43876"/>
    <w:rsid w:val="00B44771"/>
    <w:rsid w:val="00B46C06"/>
    <w:rsid w:val="00B50122"/>
    <w:rsid w:val="00B50691"/>
    <w:rsid w:val="00B50AF9"/>
    <w:rsid w:val="00B50C96"/>
    <w:rsid w:val="00B5190E"/>
    <w:rsid w:val="00B5604D"/>
    <w:rsid w:val="00B57C94"/>
    <w:rsid w:val="00B60B03"/>
    <w:rsid w:val="00B6137E"/>
    <w:rsid w:val="00B61527"/>
    <w:rsid w:val="00B6177F"/>
    <w:rsid w:val="00B61C11"/>
    <w:rsid w:val="00B61DC9"/>
    <w:rsid w:val="00B638E3"/>
    <w:rsid w:val="00B6390A"/>
    <w:rsid w:val="00B6431E"/>
    <w:rsid w:val="00B656BD"/>
    <w:rsid w:val="00B656E1"/>
    <w:rsid w:val="00B6792E"/>
    <w:rsid w:val="00B67CAC"/>
    <w:rsid w:val="00B707E7"/>
    <w:rsid w:val="00B71AA2"/>
    <w:rsid w:val="00B75980"/>
    <w:rsid w:val="00B75BAC"/>
    <w:rsid w:val="00B75D4A"/>
    <w:rsid w:val="00B76D91"/>
    <w:rsid w:val="00B7748E"/>
    <w:rsid w:val="00B8038A"/>
    <w:rsid w:val="00B80DFA"/>
    <w:rsid w:val="00B81572"/>
    <w:rsid w:val="00B816C2"/>
    <w:rsid w:val="00B81B57"/>
    <w:rsid w:val="00B8282F"/>
    <w:rsid w:val="00B83836"/>
    <w:rsid w:val="00B84510"/>
    <w:rsid w:val="00B851A5"/>
    <w:rsid w:val="00B86A78"/>
    <w:rsid w:val="00B86ADA"/>
    <w:rsid w:val="00B86F5F"/>
    <w:rsid w:val="00B87734"/>
    <w:rsid w:val="00B8791B"/>
    <w:rsid w:val="00B9026C"/>
    <w:rsid w:val="00B90E6D"/>
    <w:rsid w:val="00B91E80"/>
    <w:rsid w:val="00B9217D"/>
    <w:rsid w:val="00B92812"/>
    <w:rsid w:val="00B9333E"/>
    <w:rsid w:val="00B93E53"/>
    <w:rsid w:val="00B94693"/>
    <w:rsid w:val="00B955AD"/>
    <w:rsid w:val="00B95A6E"/>
    <w:rsid w:val="00B9660F"/>
    <w:rsid w:val="00B9766E"/>
    <w:rsid w:val="00BA00D6"/>
    <w:rsid w:val="00BA057B"/>
    <w:rsid w:val="00BA165B"/>
    <w:rsid w:val="00BA33E7"/>
    <w:rsid w:val="00BA3925"/>
    <w:rsid w:val="00BA66FC"/>
    <w:rsid w:val="00BA70FC"/>
    <w:rsid w:val="00BB0726"/>
    <w:rsid w:val="00BB0817"/>
    <w:rsid w:val="00BB0B84"/>
    <w:rsid w:val="00BB0EE6"/>
    <w:rsid w:val="00BB1FF4"/>
    <w:rsid w:val="00BB1FFB"/>
    <w:rsid w:val="00BB2713"/>
    <w:rsid w:val="00BB2A40"/>
    <w:rsid w:val="00BB2A59"/>
    <w:rsid w:val="00BB308C"/>
    <w:rsid w:val="00BB59EA"/>
    <w:rsid w:val="00BB6F9D"/>
    <w:rsid w:val="00BB72E1"/>
    <w:rsid w:val="00BC0536"/>
    <w:rsid w:val="00BC06F5"/>
    <w:rsid w:val="00BC1F6C"/>
    <w:rsid w:val="00BC5B98"/>
    <w:rsid w:val="00BC75CC"/>
    <w:rsid w:val="00BD3158"/>
    <w:rsid w:val="00BD31FE"/>
    <w:rsid w:val="00BD3318"/>
    <w:rsid w:val="00BD3A3C"/>
    <w:rsid w:val="00BD4CD8"/>
    <w:rsid w:val="00BD5FA9"/>
    <w:rsid w:val="00BD686B"/>
    <w:rsid w:val="00BD691D"/>
    <w:rsid w:val="00BD736B"/>
    <w:rsid w:val="00BE014A"/>
    <w:rsid w:val="00BE02FE"/>
    <w:rsid w:val="00BE0B37"/>
    <w:rsid w:val="00BE0DEB"/>
    <w:rsid w:val="00BE15DB"/>
    <w:rsid w:val="00BE2F9D"/>
    <w:rsid w:val="00BE3130"/>
    <w:rsid w:val="00BE41E3"/>
    <w:rsid w:val="00BE4BA6"/>
    <w:rsid w:val="00BE6A23"/>
    <w:rsid w:val="00BE6A90"/>
    <w:rsid w:val="00BE6C54"/>
    <w:rsid w:val="00BE72B2"/>
    <w:rsid w:val="00BE73E3"/>
    <w:rsid w:val="00BE7478"/>
    <w:rsid w:val="00BE797F"/>
    <w:rsid w:val="00BF064A"/>
    <w:rsid w:val="00BF2EC3"/>
    <w:rsid w:val="00BF3C70"/>
    <w:rsid w:val="00BF5EA4"/>
    <w:rsid w:val="00BF66B7"/>
    <w:rsid w:val="00BF6799"/>
    <w:rsid w:val="00BF6ED1"/>
    <w:rsid w:val="00BF7773"/>
    <w:rsid w:val="00C01354"/>
    <w:rsid w:val="00C01B6A"/>
    <w:rsid w:val="00C026C6"/>
    <w:rsid w:val="00C02B19"/>
    <w:rsid w:val="00C038E3"/>
    <w:rsid w:val="00C03E86"/>
    <w:rsid w:val="00C042EE"/>
    <w:rsid w:val="00C04661"/>
    <w:rsid w:val="00C04BE0"/>
    <w:rsid w:val="00C052E9"/>
    <w:rsid w:val="00C05765"/>
    <w:rsid w:val="00C05D26"/>
    <w:rsid w:val="00C06576"/>
    <w:rsid w:val="00C065BF"/>
    <w:rsid w:val="00C0670B"/>
    <w:rsid w:val="00C076FC"/>
    <w:rsid w:val="00C113FE"/>
    <w:rsid w:val="00C1208C"/>
    <w:rsid w:val="00C1446F"/>
    <w:rsid w:val="00C1449C"/>
    <w:rsid w:val="00C1452C"/>
    <w:rsid w:val="00C150B4"/>
    <w:rsid w:val="00C1596D"/>
    <w:rsid w:val="00C15C9B"/>
    <w:rsid w:val="00C16037"/>
    <w:rsid w:val="00C17173"/>
    <w:rsid w:val="00C204D6"/>
    <w:rsid w:val="00C20851"/>
    <w:rsid w:val="00C21734"/>
    <w:rsid w:val="00C247C3"/>
    <w:rsid w:val="00C25399"/>
    <w:rsid w:val="00C25485"/>
    <w:rsid w:val="00C26235"/>
    <w:rsid w:val="00C274BB"/>
    <w:rsid w:val="00C27FBE"/>
    <w:rsid w:val="00C308CD"/>
    <w:rsid w:val="00C3097C"/>
    <w:rsid w:val="00C30AED"/>
    <w:rsid w:val="00C32E71"/>
    <w:rsid w:val="00C33C0F"/>
    <w:rsid w:val="00C33F66"/>
    <w:rsid w:val="00C34EF6"/>
    <w:rsid w:val="00C3518A"/>
    <w:rsid w:val="00C362FC"/>
    <w:rsid w:val="00C3634D"/>
    <w:rsid w:val="00C369D2"/>
    <w:rsid w:val="00C37AFA"/>
    <w:rsid w:val="00C40530"/>
    <w:rsid w:val="00C42015"/>
    <w:rsid w:val="00C42E10"/>
    <w:rsid w:val="00C43BEE"/>
    <w:rsid w:val="00C447E3"/>
    <w:rsid w:val="00C451AC"/>
    <w:rsid w:val="00C457E7"/>
    <w:rsid w:val="00C45C81"/>
    <w:rsid w:val="00C46307"/>
    <w:rsid w:val="00C46CD7"/>
    <w:rsid w:val="00C505F5"/>
    <w:rsid w:val="00C51234"/>
    <w:rsid w:val="00C51AE2"/>
    <w:rsid w:val="00C53029"/>
    <w:rsid w:val="00C53CCB"/>
    <w:rsid w:val="00C54587"/>
    <w:rsid w:val="00C54598"/>
    <w:rsid w:val="00C54DEA"/>
    <w:rsid w:val="00C55002"/>
    <w:rsid w:val="00C55CB0"/>
    <w:rsid w:val="00C55CCD"/>
    <w:rsid w:val="00C571AB"/>
    <w:rsid w:val="00C64181"/>
    <w:rsid w:val="00C642AB"/>
    <w:rsid w:val="00C65BAB"/>
    <w:rsid w:val="00C65ECD"/>
    <w:rsid w:val="00C664F1"/>
    <w:rsid w:val="00C66B57"/>
    <w:rsid w:val="00C673F0"/>
    <w:rsid w:val="00C71C51"/>
    <w:rsid w:val="00C727BE"/>
    <w:rsid w:val="00C74AE7"/>
    <w:rsid w:val="00C74DBD"/>
    <w:rsid w:val="00C778B1"/>
    <w:rsid w:val="00C81BB5"/>
    <w:rsid w:val="00C8221F"/>
    <w:rsid w:val="00C83652"/>
    <w:rsid w:val="00C836E6"/>
    <w:rsid w:val="00C8450A"/>
    <w:rsid w:val="00C84685"/>
    <w:rsid w:val="00C846C1"/>
    <w:rsid w:val="00C84FC0"/>
    <w:rsid w:val="00C8546B"/>
    <w:rsid w:val="00C85C1B"/>
    <w:rsid w:val="00C90826"/>
    <w:rsid w:val="00C9085C"/>
    <w:rsid w:val="00C91867"/>
    <w:rsid w:val="00C91959"/>
    <w:rsid w:val="00C92B43"/>
    <w:rsid w:val="00C92C25"/>
    <w:rsid w:val="00C92C68"/>
    <w:rsid w:val="00C93512"/>
    <w:rsid w:val="00C947B1"/>
    <w:rsid w:val="00C94A94"/>
    <w:rsid w:val="00C9517D"/>
    <w:rsid w:val="00C968DD"/>
    <w:rsid w:val="00CA014D"/>
    <w:rsid w:val="00CA0215"/>
    <w:rsid w:val="00CA256A"/>
    <w:rsid w:val="00CA25C9"/>
    <w:rsid w:val="00CA2C3A"/>
    <w:rsid w:val="00CA3F1A"/>
    <w:rsid w:val="00CA4607"/>
    <w:rsid w:val="00CA51FF"/>
    <w:rsid w:val="00CA53FB"/>
    <w:rsid w:val="00CA5CB2"/>
    <w:rsid w:val="00CA6892"/>
    <w:rsid w:val="00CB2554"/>
    <w:rsid w:val="00CB2BDA"/>
    <w:rsid w:val="00CB30F1"/>
    <w:rsid w:val="00CB3637"/>
    <w:rsid w:val="00CB3A05"/>
    <w:rsid w:val="00CB4AE6"/>
    <w:rsid w:val="00CB515E"/>
    <w:rsid w:val="00CB5F8C"/>
    <w:rsid w:val="00CB64EB"/>
    <w:rsid w:val="00CB68D5"/>
    <w:rsid w:val="00CB6C47"/>
    <w:rsid w:val="00CB7154"/>
    <w:rsid w:val="00CC0BA0"/>
    <w:rsid w:val="00CC199B"/>
    <w:rsid w:val="00CC1CD2"/>
    <w:rsid w:val="00CC2828"/>
    <w:rsid w:val="00CC29DE"/>
    <w:rsid w:val="00CC346C"/>
    <w:rsid w:val="00CC37D4"/>
    <w:rsid w:val="00CC3AB4"/>
    <w:rsid w:val="00CC5C44"/>
    <w:rsid w:val="00CC5D38"/>
    <w:rsid w:val="00CC5F5B"/>
    <w:rsid w:val="00CC72A1"/>
    <w:rsid w:val="00CD01B0"/>
    <w:rsid w:val="00CD0E38"/>
    <w:rsid w:val="00CD11E3"/>
    <w:rsid w:val="00CD233C"/>
    <w:rsid w:val="00CD3820"/>
    <w:rsid w:val="00CD3E1B"/>
    <w:rsid w:val="00CD55B1"/>
    <w:rsid w:val="00CD6376"/>
    <w:rsid w:val="00CD775B"/>
    <w:rsid w:val="00CD794A"/>
    <w:rsid w:val="00CD7D26"/>
    <w:rsid w:val="00CD7EC4"/>
    <w:rsid w:val="00CE0890"/>
    <w:rsid w:val="00CE121B"/>
    <w:rsid w:val="00CE25C0"/>
    <w:rsid w:val="00CE3037"/>
    <w:rsid w:val="00CE3477"/>
    <w:rsid w:val="00CE4085"/>
    <w:rsid w:val="00CE5DE5"/>
    <w:rsid w:val="00CE6293"/>
    <w:rsid w:val="00CE6A1A"/>
    <w:rsid w:val="00CE6C6B"/>
    <w:rsid w:val="00CE6F2F"/>
    <w:rsid w:val="00CE71A3"/>
    <w:rsid w:val="00CE7994"/>
    <w:rsid w:val="00CF06DE"/>
    <w:rsid w:val="00CF1125"/>
    <w:rsid w:val="00CF1324"/>
    <w:rsid w:val="00CF14EC"/>
    <w:rsid w:val="00CF1CFE"/>
    <w:rsid w:val="00CF4973"/>
    <w:rsid w:val="00CF5232"/>
    <w:rsid w:val="00CF6A61"/>
    <w:rsid w:val="00CF6B86"/>
    <w:rsid w:val="00CF7478"/>
    <w:rsid w:val="00CF7533"/>
    <w:rsid w:val="00D00242"/>
    <w:rsid w:val="00D0034F"/>
    <w:rsid w:val="00D0232E"/>
    <w:rsid w:val="00D02443"/>
    <w:rsid w:val="00D02A8D"/>
    <w:rsid w:val="00D02C32"/>
    <w:rsid w:val="00D02CE8"/>
    <w:rsid w:val="00D04154"/>
    <w:rsid w:val="00D05529"/>
    <w:rsid w:val="00D05731"/>
    <w:rsid w:val="00D05981"/>
    <w:rsid w:val="00D05ADA"/>
    <w:rsid w:val="00D0648C"/>
    <w:rsid w:val="00D12156"/>
    <w:rsid w:val="00D126A3"/>
    <w:rsid w:val="00D13904"/>
    <w:rsid w:val="00D14229"/>
    <w:rsid w:val="00D1425A"/>
    <w:rsid w:val="00D147AB"/>
    <w:rsid w:val="00D15533"/>
    <w:rsid w:val="00D15A5D"/>
    <w:rsid w:val="00D15BDF"/>
    <w:rsid w:val="00D164E6"/>
    <w:rsid w:val="00D16736"/>
    <w:rsid w:val="00D167C7"/>
    <w:rsid w:val="00D17002"/>
    <w:rsid w:val="00D17288"/>
    <w:rsid w:val="00D173B8"/>
    <w:rsid w:val="00D23408"/>
    <w:rsid w:val="00D237E8"/>
    <w:rsid w:val="00D23B0D"/>
    <w:rsid w:val="00D23F1C"/>
    <w:rsid w:val="00D24889"/>
    <w:rsid w:val="00D25137"/>
    <w:rsid w:val="00D252BC"/>
    <w:rsid w:val="00D25415"/>
    <w:rsid w:val="00D25713"/>
    <w:rsid w:val="00D25A8A"/>
    <w:rsid w:val="00D2622D"/>
    <w:rsid w:val="00D2667F"/>
    <w:rsid w:val="00D277B5"/>
    <w:rsid w:val="00D30496"/>
    <w:rsid w:val="00D31EB7"/>
    <w:rsid w:val="00D31F73"/>
    <w:rsid w:val="00D32B1C"/>
    <w:rsid w:val="00D3312E"/>
    <w:rsid w:val="00D3332E"/>
    <w:rsid w:val="00D33A6D"/>
    <w:rsid w:val="00D343D2"/>
    <w:rsid w:val="00D3532C"/>
    <w:rsid w:val="00D35962"/>
    <w:rsid w:val="00D378CA"/>
    <w:rsid w:val="00D40262"/>
    <w:rsid w:val="00D4076A"/>
    <w:rsid w:val="00D40AF6"/>
    <w:rsid w:val="00D41B0C"/>
    <w:rsid w:val="00D4321A"/>
    <w:rsid w:val="00D43387"/>
    <w:rsid w:val="00D43C07"/>
    <w:rsid w:val="00D4537B"/>
    <w:rsid w:val="00D45784"/>
    <w:rsid w:val="00D4593D"/>
    <w:rsid w:val="00D459D0"/>
    <w:rsid w:val="00D45E9B"/>
    <w:rsid w:val="00D46F67"/>
    <w:rsid w:val="00D475E3"/>
    <w:rsid w:val="00D47D36"/>
    <w:rsid w:val="00D50A2A"/>
    <w:rsid w:val="00D50D6B"/>
    <w:rsid w:val="00D51BC5"/>
    <w:rsid w:val="00D52D0F"/>
    <w:rsid w:val="00D559FF"/>
    <w:rsid w:val="00D5648F"/>
    <w:rsid w:val="00D56C91"/>
    <w:rsid w:val="00D572D9"/>
    <w:rsid w:val="00D57EC5"/>
    <w:rsid w:val="00D616A3"/>
    <w:rsid w:val="00D62852"/>
    <w:rsid w:val="00D62FA3"/>
    <w:rsid w:val="00D6611B"/>
    <w:rsid w:val="00D6621B"/>
    <w:rsid w:val="00D66901"/>
    <w:rsid w:val="00D66C28"/>
    <w:rsid w:val="00D728A9"/>
    <w:rsid w:val="00D730F3"/>
    <w:rsid w:val="00D73B7E"/>
    <w:rsid w:val="00D74236"/>
    <w:rsid w:val="00D74238"/>
    <w:rsid w:val="00D7477B"/>
    <w:rsid w:val="00D75B4E"/>
    <w:rsid w:val="00D7605C"/>
    <w:rsid w:val="00D77DCE"/>
    <w:rsid w:val="00D81905"/>
    <w:rsid w:val="00D8244F"/>
    <w:rsid w:val="00D8319A"/>
    <w:rsid w:val="00D84C62"/>
    <w:rsid w:val="00D85BC5"/>
    <w:rsid w:val="00D86EBE"/>
    <w:rsid w:val="00D90160"/>
    <w:rsid w:val="00D902EA"/>
    <w:rsid w:val="00D9190D"/>
    <w:rsid w:val="00D91DA3"/>
    <w:rsid w:val="00D92E56"/>
    <w:rsid w:val="00D9386F"/>
    <w:rsid w:val="00D96E4C"/>
    <w:rsid w:val="00D97A82"/>
    <w:rsid w:val="00DA0371"/>
    <w:rsid w:val="00DA0AC2"/>
    <w:rsid w:val="00DA2958"/>
    <w:rsid w:val="00DA2BA7"/>
    <w:rsid w:val="00DA3A97"/>
    <w:rsid w:val="00DA3B78"/>
    <w:rsid w:val="00DA49F1"/>
    <w:rsid w:val="00DA5072"/>
    <w:rsid w:val="00DA56E3"/>
    <w:rsid w:val="00DA578C"/>
    <w:rsid w:val="00DA5BE3"/>
    <w:rsid w:val="00DA653C"/>
    <w:rsid w:val="00DA7AAD"/>
    <w:rsid w:val="00DA7DEB"/>
    <w:rsid w:val="00DB015C"/>
    <w:rsid w:val="00DB0FE1"/>
    <w:rsid w:val="00DB12C3"/>
    <w:rsid w:val="00DB1601"/>
    <w:rsid w:val="00DB1BB4"/>
    <w:rsid w:val="00DB1CD9"/>
    <w:rsid w:val="00DB26BF"/>
    <w:rsid w:val="00DB2DC6"/>
    <w:rsid w:val="00DB34F5"/>
    <w:rsid w:val="00DB3A3C"/>
    <w:rsid w:val="00DB435F"/>
    <w:rsid w:val="00DB4D31"/>
    <w:rsid w:val="00DB5E47"/>
    <w:rsid w:val="00DB6696"/>
    <w:rsid w:val="00DC00C3"/>
    <w:rsid w:val="00DC038E"/>
    <w:rsid w:val="00DC2BB3"/>
    <w:rsid w:val="00DC36FC"/>
    <w:rsid w:val="00DC370B"/>
    <w:rsid w:val="00DC37CE"/>
    <w:rsid w:val="00DC637B"/>
    <w:rsid w:val="00DC7D5B"/>
    <w:rsid w:val="00DD0A6B"/>
    <w:rsid w:val="00DD1060"/>
    <w:rsid w:val="00DD1182"/>
    <w:rsid w:val="00DD11D8"/>
    <w:rsid w:val="00DD1AAF"/>
    <w:rsid w:val="00DD2DDE"/>
    <w:rsid w:val="00DD4A77"/>
    <w:rsid w:val="00DD506B"/>
    <w:rsid w:val="00DD79BE"/>
    <w:rsid w:val="00DD7D7E"/>
    <w:rsid w:val="00DE04EE"/>
    <w:rsid w:val="00DE1198"/>
    <w:rsid w:val="00DE2325"/>
    <w:rsid w:val="00DE33B1"/>
    <w:rsid w:val="00DE4328"/>
    <w:rsid w:val="00DE44C3"/>
    <w:rsid w:val="00DE4948"/>
    <w:rsid w:val="00DE59BD"/>
    <w:rsid w:val="00DE6018"/>
    <w:rsid w:val="00DE6A8E"/>
    <w:rsid w:val="00DF1A19"/>
    <w:rsid w:val="00DF20A9"/>
    <w:rsid w:val="00DF229E"/>
    <w:rsid w:val="00DF2ED4"/>
    <w:rsid w:val="00DF3B8D"/>
    <w:rsid w:val="00DF5F76"/>
    <w:rsid w:val="00DF6A64"/>
    <w:rsid w:val="00DF6C79"/>
    <w:rsid w:val="00E00E38"/>
    <w:rsid w:val="00E010D9"/>
    <w:rsid w:val="00E024A0"/>
    <w:rsid w:val="00E025C1"/>
    <w:rsid w:val="00E0356C"/>
    <w:rsid w:val="00E0462F"/>
    <w:rsid w:val="00E04839"/>
    <w:rsid w:val="00E05740"/>
    <w:rsid w:val="00E0580D"/>
    <w:rsid w:val="00E059ED"/>
    <w:rsid w:val="00E05C0C"/>
    <w:rsid w:val="00E0654A"/>
    <w:rsid w:val="00E065F1"/>
    <w:rsid w:val="00E07214"/>
    <w:rsid w:val="00E07D8C"/>
    <w:rsid w:val="00E10792"/>
    <w:rsid w:val="00E11F75"/>
    <w:rsid w:val="00E123FD"/>
    <w:rsid w:val="00E1444C"/>
    <w:rsid w:val="00E14DFB"/>
    <w:rsid w:val="00E15876"/>
    <w:rsid w:val="00E15B81"/>
    <w:rsid w:val="00E15E7A"/>
    <w:rsid w:val="00E16B1B"/>
    <w:rsid w:val="00E2032F"/>
    <w:rsid w:val="00E2110B"/>
    <w:rsid w:val="00E23B27"/>
    <w:rsid w:val="00E25AAD"/>
    <w:rsid w:val="00E26D83"/>
    <w:rsid w:val="00E27295"/>
    <w:rsid w:val="00E30685"/>
    <w:rsid w:val="00E3137C"/>
    <w:rsid w:val="00E3153F"/>
    <w:rsid w:val="00E31802"/>
    <w:rsid w:val="00E3252A"/>
    <w:rsid w:val="00E32822"/>
    <w:rsid w:val="00E32B80"/>
    <w:rsid w:val="00E33009"/>
    <w:rsid w:val="00E33665"/>
    <w:rsid w:val="00E34684"/>
    <w:rsid w:val="00E34CC2"/>
    <w:rsid w:val="00E34D5B"/>
    <w:rsid w:val="00E35B91"/>
    <w:rsid w:val="00E365BA"/>
    <w:rsid w:val="00E36E0A"/>
    <w:rsid w:val="00E37065"/>
    <w:rsid w:val="00E3768A"/>
    <w:rsid w:val="00E4081E"/>
    <w:rsid w:val="00E412BB"/>
    <w:rsid w:val="00E41F94"/>
    <w:rsid w:val="00E42D8C"/>
    <w:rsid w:val="00E42EEA"/>
    <w:rsid w:val="00E42F6F"/>
    <w:rsid w:val="00E43313"/>
    <w:rsid w:val="00E43335"/>
    <w:rsid w:val="00E44027"/>
    <w:rsid w:val="00E458CC"/>
    <w:rsid w:val="00E45BBA"/>
    <w:rsid w:val="00E45ED3"/>
    <w:rsid w:val="00E464CF"/>
    <w:rsid w:val="00E46615"/>
    <w:rsid w:val="00E46810"/>
    <w:rsid w:val="00E47186"/>
    <w:rsid w:val="00E500D2"/>
    <w:rsid w:val="00E52E03"/>
    <w:rsid w:val="00E53774"/>
    <w:rsid w:val="00E54FA9"/>
    <w:rsid w:val="00E55D21"/>
    <w:rsid w:val="00E56112"/>
    <w:rsid w:val="00E56839"/>
    <w:rsid w:val="00E568DA"/>
    <w:rsid w:val="00E5777A"/>
    <w:rsid w:val="00E60B03"/>
    <w:rsid w:val="00E60B18"/>
    <w:rsid w:val="00E61023"/>
    <w:rsid w:val="00E61CF2"/>
    <w:rsid w:val="00E63469"/>
    <w:rsid w:val="00E64012"/>
    <w:rsid w:val="00E66884"/>
    <w:rsid w:val="00E67350"/>
    <w:rsid w:val="00E71712"/>
    <w:rsid w:val="00E73030"/>
    <w:rsid w:val="00E746A8"/>
    <w:rsid w:val="00E7481D"/>
    <w:rsid w:val="00E75EB1"/>
    <w:rsid w:val="00E80417"/>
    <w:rsid w:val="00E819DB"/>
    <w:rsid w:val="00E82966"/>
    <w:rsid w:val="00E82C90"/>
    <w:rsid w:val="00E82CDE"/>
    <w:rsid w:val="00E84972"/>
    <w:rsid w:val="00E84BF9"/>
    <w:rsid w:val="00E87A9F"/>
    <w:rsid w:val="00E905E3"/>
    <w:rsid w:val="00E913FD"/>
    <w:rsid w:val="00E91928"/>
    <w:rsid w:val="00E9235D"/>
    <w:rsid w:val="00E9260D"/>
    <w:rsid w:val="00E93C48"/>
    <w:rsid w:val="00E9437B"/>
    <w:rsid w:val="00E94BC9"/>
    <w:rsid w:val="00E9517C"/>
    <w:rsid w:val="00E95525"/>
    <w:rsid w:val="00E95B1D"/>
    <w:rsid w:val="00E9699A"/>
    <w:rsid w:val="00E97346"/>
    <w:rsid w:val="00EA094F"/>
    <w:rsid w:val="00EA6E82"/>
    <w:rsid w:val="00EA72E7"/>
    <w:rsid w:val="00EA7CF4"/>
    <w:rsid w:val="00EB2DF1"/>
    <w:rsid w:val="00EB2E56"/>
    <w:rsid w:val="00EB2FF6"/>
    <w:rsid w:val="00EB30B6"/>
    <w:rsid w:val="00EB42E5"/>
    <w:rsid w:val="00EB6DD8"/>
    <w:rsid w:val="00EB7FA0"/>
    <w:rsid w:val="00EC0BF1"/>
    <w:rsid w:val="00EC163D"/>
    <w:rsid w:val="00EC39ED"/>
    <w:rsid w:val="00EC3B1A"/>
    <w:rsid w:val="00EC49F1"/>
    <w:rsid w:val="00EC4A01"/>
    <w:rsid w:val="00EC5E12"/>
    <w:rsid w:val="00EC6429"/>
    <w:rsid w:val="00EC65F0"/>
    <w:rsid w:val="00EC6EAD"/>
    <w:rsid w:val="00EC7D1C"/>
    <w:rsid w:val="00ED1583"/>
    <w:rsid w:val="00ED256B"/>
    <w:rsid w:val="00ED2A7F"/>
    <w:rsid w:val="00ED2B1F"/>
    <w:rsid w:val="00ED3550"/>
    <w:rsid w:val="00ED3662"/>
    <w:rsid w:val="00ED3DEC"/>
    <w:rsid w:val="00ED4CAE"/>
    <w:rsid w:val="00ED5C09"/>
    <w:rsid w:val="00ED6513"/>
    <w:rsid w:val="00ED74CE"/>
    <w:rsid w:val="00EE0064"/>
    <w:rsid w:val="00EE0832"/>
    <w:rsid w:val="00EE0A32"/>
    <w:rsid w:val="00EE10B3"/>
    <w:rsid w:val="00EE1E56"/>
    <w:rsid w:val="00EE359C"/>
    <w:rsid w:val="00EE35BB"/>
    <w:rsid w:val="00EE389D"/>
    <w:rsid w:val="00EE4C6B"/>
    <w:rsid w:val="00EE5163"/>
    <w:rsid w:val="00EE54A1"/>
    <w:rsid w:val="00EE5741"/>
    <w:rsid w:val="00EE6650"/>
    <w:rsid w:val="00EF044A"/>
    <w:rsid w:val="00EF1122"/>
    <w:rsid w:val="00EF1E73"/>
    <w:rsid w:val="00EF20CF"/>
    <w:rsid w:val="00EF22C7"/>
    <w:rsid w:val="00EF23B4"/>
    <w:rsid w:val="00EF2D1E"/>
    <w:rsid w:val="00EF3336"/>
    <w:rsid w:val="00EF64E3"/>
    <w:rsid w:val="00EF7305"/>
    <w:rsid w:val="00F00698"/>
    <w:rsid w:val="00F01E3C"/>
    <w:rsid w:val="00F02CEA"/>
    <w:rsid w:val="00F0397F"/>
    <w:rsid w:val="00F05455"/>
    <w:rsid w:val="00F054F5"/>
    <w:rsid w:val="00F057E4"/>
    <w:rsid w:val="00F06196"/>
    <w:rsid w:val="00F11928"/>
    <w:rsid w:val="00F1197C"/>
    <w:rsid w:val="00F11AAA"/>
    <w:rsid w:val="00F137D1"/>
    <w:rsid w:val="00F13E9A"/>
    <w:rsid w:val="00F13F26"/>
    <w:rsid w:val="00F15352"/>
    <w:rsid w:val="00F156DE"/>
    <w:rsid w:val="00F15B4C"/>
    <w:rsid w:val="00F16017"/>
    <w:rsid w:val="00F16B60"/>
    <w:rsid w:val="00F17346"/>
    <w:rsid w:val="00F202A7"/>
    <w:rsid w:val="00F21601"/>
    <w:rsid w:val="00F23281"/>
    <w:rsid w:val="00F2457F"/>
    <w:rsid w:val="00F24640"/>
    <w:rsid w:val="00F2650F"/>
    <w:rsid w:val="00F30175"/>
    <w:rsid w:val="00F3030B"/>
    <w:rsid w:val="00F31E58"/>
    <w:rsid w:val="00F32EE7"/>
    <w:rsid w:val="00F350E7"/>
    <w:rsid w:val="00F35541"/>
    <w:rsid w:val="00F35F38"/>
    <w:rsid w:val="00F400D4"/>
    <w:rsid w:val="00F40D5E"/>
    <w:rsid w:val="00F4262F"/>
    <w:rsid w:val="00F42B20"/>
    <w:rsid w:val="00F43494"/>
    <w:rsid w:val="00F43515"/>
    <w:rsid w:val="00F446AB"/>
    <w:rsid w:val="00F45910"/>
    <w:rsid w:val="00F463FB"/>
    <w:rsid w:val="00F47B40"/>
    <w:rsid w:val="00F5037F"/>
    <w:rsid w:val="00F51DA1"/>
    <w:rsid w:val="00F525C9"/>
    <w:rsid w:val="00F528D6"/>
    <w:rsid w:val="00F52980"/>
    <w:rsid w:val="00F53E8F"/>
    <w:rsid w:val="00F56D06"/>
    <w:rsid w:val="00F56FD1"/>
    <w:rsid w:val="00F5771E"/>
    <w:rsid w:val="00F600A5"/>
    <w:rsid w:val="00F6049F"/>
    <w:rsid w:val="00F605E0"/>
    <w:rsid w:val="00F60CDA"/>
    <w:rsid w:val="00F60DBB"/>
    <w:rsid w:val="00F61504"/>
    <w:rsid w:val="00F62D01"/>
    <w:rsid w:val="00F674B3"/>
    <w:rsid w:val="00F67A7E"/>
    <w:rsid w:val="00F71B6A"/>
    <w:rsid w:val="00F71CE0"/>
    <w:rsid w:val="00F73F8C"/>
    <w:rsid w:val="00F7409F"/>
    <w:rsid w:val="00F75020"/>
    <w:rsid w:val="00F7576D"/>
    <w:rsid w:val="00F7581D"/>
    <w:rsid w:val="00F75948"/>
    <w:rsid w:val="00F76B69"/>
    <w:rsid w:val="00F76C89"/>
    <w:rsid w:val="00F77119"/>
    <w:rsid w:val="00F77336"/>
    <w:rsid w:val="00F81628"/>
    <w:rsid w:val="00F82DE1"/>
    <w:rsid w:val="00F82F0D"/>
    <w:rsid w:val="00F83677"/>
    <w:rsid w:val="00F85A0C"/>
    <w:rsid w:val="00F85EC8"/>
    <w:rsid w:val="00F870CE"/>
    <w:rsid w:val="00F8763C"/>
    <w:rsid w:val="00F9034B"/>
    <w:rsid w:val="00F905D8"/>
    <w:rsid w:val="00F90DFF"/>
    <w:rsid w:val="00F911EC"/>
    <w:rsid w:val="00F91D21"/>
    <w:rsid w:val="00F92626"/>
    <w:rsid w:val="00F930D8"/>
    <w:rsid w:val="00F93822"/>
    <w:rsid w:val="00F94E9C"/>
    <w:rsid w:val="00F95E7E"/>
    <w:rsid w:val="00F9736D"/>
    <w:rsid w:val="00F97A22"/>
    <w:rsid w:val="00FA00BF"/>
    <w:rsid w:val="00FA1FCE"/>
    <w:rsid w:val="00FA410F"/>
    <w:rsid w:val="00FA4291"/>
    <w:rsid w:val="00FA51C5"/>
    <w:rsid w:val="00FA77F2"/>
    <w:rsid w:val="00FA791C"/>
    <w:rsid w:val="00FA793B"/>
    <w:rsid w:val="00FB045D"/>
    <w:rsid w:val="00FB1B84"/>
    <w:rsid w:val="00FB1CA2"/>
    <w:rsid w:val="00FB2BCE"/>
    <w:rsid w:val="00FB3120"/>
    <w:rsid w:val="00FB42F1"/>
    <w:rsid w:val="00FB4350"/>
    <w:rsid w:val="00FB46FF"/>
    <w:rsid w:val="00FB4ADB"/>
    <w:rsid w:val="00FB5058"/>
    <w:rsid w:val="00FB5A3E"/>
    <w:rsid w:val="00FB6C0D"/>
    <w:rsid w:val="00FC04B1"/>
    <w:rsid w:val="00FC1282"/>
    <w:rsid w:val="00FC20E0"/>
    <w:rsid w:val="00FC324A"/>
    <w:rsid w:val="00FC4F45"/>
    <w:rsid w:val="00FC505B"/>
    <w:rsid w:val="00FC513D"/>
    <w:rsid w:val="00FC6CCF"/>
    <w:rsid w:val="00FC6D45"/>
    <w:rsid w:val="00FC6E58"/>
    <w:rsid w:val="00FD094A"/>
    <w:rsid w:val="00FD15E8"/>
    <w:rsid w:val="00FD1619"/>
    <w:rsid w:val="00FD2A99"/>
    <w:rsid w:val="00FD2D8C"/>
    <w:rsid w:val="00FD4F17"/>
    <w:rsid w:val="00FD52BE"/>
    <w:rsid w:val="00FD543C"/>
    <w:rsid w:val="00FD553B"/>
    <w:rsid w:val="00FD5ADF"/>
    <w:rsid w:val="00FE0D5B"/>
    <w:rsid w:val="00FE0DBE"/>
    <w:rsid w:val="00FE0EE9"/>
    <w:rsid w:val="00FE166F"/>
    <w:rsid w:val="00FE252D"/>
    <w:rsid w:val="00FE375F"/>
    <w:rsid w:val="00FE4786"/>
    <w:rsid w:val="00FE4AFF"/>
    <w:rsid w:val="00FE4D8C"/>
    <w:rsid w:val="00FE4FC1"/>
    <w:rsid w:val="00FE5DD5"/>
    <w:rsid w:val="00FE69FF"/>
    <w:rsid w:val="00FE6F81"/>
    <w:rsid w:val="00FE75B4"/>
    <w:rsid w:val="00FE7DE6"/>
    <w:rsid w:val="00FF1783"/>
    <w:rsid w:val="00FF30E7"/>
    <w:rsid w:val="00FF4C20"/>
    <w:rsid w:val="00FF4F8B"/>
    <w:rsid w:val="00FF6638"/>
    <w:rsid w:val="00FF76D5"/>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4638D"/>
  <w15:chartTrackingRefBased/>
  <w15:docId w15:val="{A17C3EA3-6032-4A0B-9768-EE149906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EB4"/>
  </w:style>
  <w:style w:type="paragraph" w:styleId="Heading1">
    <w:name w:val="heading 1"/>
    <w:basedOn w:val="Normal"/>
    <w:next w:val="Normal"/>
    <w:link w:val="Heading1Char"/>
    <w:uiPriority w:val="9"/>
    <w:qFormat/>
    <w:rsid w:val="00A16B23"/>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A16B23"/>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semiHidden/>
    <w:unhideWhenUsed/>
    <w:qFormat/>
    <w:rsid w:val="00A16B23"/>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A16B23"/>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A53FB"/>
    <w:rPr>
      <w:color w:val="0000FF"/>
      <w:shd w:val="clear" w:color="auto" w:fill="auto"/>
    </w:rPr>
  </w:style>
  <w:style w:type="paragraph" w:customStyle="1" w:styleId="Pagedecouverture">
    <w:name w:val="Page de couverture"/>
    <w:basedOn w:val="Normal"/>
    <w:next w:val="Normal"/>
    <w:rsid w:val="00CA53F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A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3FB"/>
  </w:style>
  <w:style w:type="paragraph" w:styleId="Footer">
    <w:name w:val="footer"/>
    <w:basedOn w:val="Normal"/>
    <w:link w:val="FooterChar"/>
    <w:uiPriority w:val="99"/>
    <w:unhideWhenUsed/>
    <w:rsid w:val="00CA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3FB"/>
  </w:style>
  <w:style w:type="paragraph" w:customStyle="1" w:styleId="Typedudocument">
    <w:name w:val="Type du document"/>
    <w:basedOn w:val="Normal"/>
    <w:next w:val="Normal"/>
    <w:link w:val="TypedudocumentChar"/>
    <w:rsid w:val="00CA53F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CA53FB"/>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rsid w:val="00CA53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CA53FB"/>
    <w:rPr>
      <w:rFonts w:ascii="Times New Roman" w:hAnsi="Times New Roman" w:cs="Times New Roman"/>
      <w:b/>
      <w:sz w:val="24"/>
    </w:rPr>
  </w:style>
  <w:style w:type="character" w:customStyle="1" w:styleId="FooterCoverPageChar">
    <w:name w:val="Footer Cover Page Char"/>
    <w:basedOn w:val="TypedudocumentChar"/>
    <w:link w:val="FooterCoverPage"/>
    <w:rsid w:val="00CA53FB"/>
    <w:rPr>
      <w:rFonts w:ascii="Times New Roman" w:hAnsi="Times New Roman" w:cs="Times New Roman"/>
      <w:b w:val="0"/>
      <w:sz w:val="24"/>
    </w:rPr>
  </w:style>
  <w:style w:type="paragraph" w:customStyle="1" w:styleId="FooterSensitivity">
    <w:name w:val="Footer Sensitivity"/>
    <w:basedOn w:val="Normal"/>
    <w:link w:val="FooterSensitivityChar"/>
    <w:rsid w:val="00CA53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CA53FB"/>
    <w:rPr>
      <w:rFonts w:ascii="Times New Roman" w:hAnsi="Times New Roman" w:cs="Times New Roman"/>
      <w:b/>
      <w:sz w:val="32"/>
    </w:rPr>
  </w:style>
  <w:style w:type="paragraph" w:customStyle="1" w:styleId="HeaderCoverPage">
    <w:name w:val="Header Cover Page"/>
    <w:basedOn w:val="Normal"/>
    <w:link w:val="HeaderCoverPageChar"/>
    <w:rsid w:val="00CA53F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CA53FB"/>
    <w:rPr>
      <w:rFonts w:ascii="Times New Roman" w:hAnsi="Times New Roman" w:cs="Times New Roman"/>
      <w:b w:val="0"/>
      <w:sz w:val="24"/>
    </w:rPr>
  </w:style>
  <w:style w:type="paragraph" w:customStyle="1" w:styleId="HeaderSensitivity">
    <w:name w:val="Header Sensitivity"/>
    <w:basedOn w:val="Normal"/>
    <w:link w:val="HeaderSensitivityChar"/>
    <w:rsid w:val="00CA53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CA53FB"/>
    <w:rPr>
      <w:rFonts w:ascii="Times New Roman" w:hAnsi="Times New Roman" w:cs="Times New Roman"/>
      <w:b/>
      <w:sz w:val="32"/>
    </w:rPr>
  </w:style>
  <w:style w:type="paragraph" w:customStyle="1" w:styleId="HeaderSensitivityRight">
    <w:name w:val="Header Sensitivity Right"/>
    <w:basedOn w:val="Normal"/>
    <w:link w:val="HeaderSensitivityRightChar"/>
    <w:rsid w:val="00CA53F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CA53FB"/>
    <w:rPr>
      <w:rFonts w:ascii="Times New Roman" w:hAnsi="Times New Roman" w:cs="Times New Roman"/>
      <w:b w:val="0"/>
      <w:sz w:val="28"/>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ISTA"/>
    <w:basedOn w:val="Normal"/>
    <w:link w:val="ListParagraphChar"/>
    <w:uiPriority w:val="34"/>
    <w:qFormat/>
    <w:rsid w:val="00CA53FB"/>
    <w:pPr>
      <w:ind w:left="720"/>
      <w:contextualSpacing/>
    </w:pPr>
  </w:style>
  <w:style w:type="table" w:styleId="TableGrid">
    <w:name w:val="Table Grid"/>
    <w:basedOn w:val="TableNormal"/>
    <w:uiPriority w:val="59"/>
    <w:rsid w:val="001A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6B23"/>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A16B23"/>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semiHidden/>
    <w:rsid w:val="00A16B23"/>
    <w:rPr>
      <w:rFonts w:asciiTheme="majorHAnsi" w:eastAsiaTheme="majorEastAsia" w:hAnsiTheme="majorHAnsi" w:cstheme="majorBidi"/>
      <w:color w:val="0D5571" w:themeColor="accent1" w:themeShade="7F"/>
      <w:sz w:val="24"/>
      <w:szCs w:val="24"/>
    </w:rPr>
  </w:style>
  <w:style w:type="character" w:customStyle="1" w:styleId="Heading4Char">
    <w:name w:val="Heading 4 Char"/>
    <w:basedOn w:val="DefaultParagraphFont"/>
    <w:link w:val="Heading4"/>
    <w:uiPriority w:val="9"/>
    <w:semiHidden/>
    <w:rsid w:val="00A16B23"/>
    <w:rPr>
      <w:rFonts w:asciiTheme="majorHAnsi" w:eastAsiaTheme="majorEastAsia" w:hAnsiTheme="majorHAnsi" w:cstheme="majorBidi"/>
      <w:i/>
      <w:iCs/>
      <w:color w:val="1481AB" w:themeColor="accent1" w:themeShade="BF"/>
    </w:rPr>
  </w:style>
  <w:style w:type="paragraph" w:styleId="BalloonText">
    <w:name w:val="Balloon Text"/>
    <w:basedOn w:val="Normal"/>
    <w:link w:val="BalloonTextChar"/>
    <w:uiPriority w:val="99"/>
    <w:semiHidden/>
    <w:unhideWhenUsed/>
    <w:rsid w:val="00F67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7E"/>
    <w:rPr>
      <w:rFonts w:ascii="Segoe UI" w:hAnsi="Segoe UI" w:cs="Segoe UI"/>
      <w:sz w:val="18"/>
      <w:szCs w:val="18"/>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sid w:val="007F3501"/>
  </w:style>
  <w:style w:type="paragraph" w:styleId="NormalWeb">
    <w:name w:val="Normal (Web)"/>
    <w:basedOn w:val="Normal"/>
    <w:uiPriority w:val="99"/>
    <w:unhideWhenUsed/>
    <w:rsid w:val="00993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55002"/>
    <w:rPr>
      <w:sz w:val="16"/>
      <w:szCs w:val="16"/>
    </w:rPr>
  </w:style>
  <w:style w:type="paragraph" w:styleId="CommentText">
    <w:name w:val="annotation text"/>
    <w:basedOn w:val="Normal"/>
    <w:link w:val="CommentTextChar"/>
    <w:uiPriority w:val="99"/>
    <w:unhideWhenUsed/>
    <w:rsid w:val="00F13E9A"/>
    <w:pPr>
      <w:spacing w:line="240" w:lineRule="auto"/>
    </w:pPr>
    <w:rPr>
      <w:sz w:val="20"/>
      <w:szCs w:val="20"/>
    </w:rPr>
  </w:style>
  <w:style w:type="character" w:customStyle="1" w:styleId="CommentTextChar">
    <w:name w:val="Comment Text Char"/>
    <w:basedOn w:val="DefaultParagraphFont"/>
    <w:link w:val="CommentText"/>
    <w:uiPriority w:val="99"/>
    <w:rsid w:val="00C55002"/>
    <w:rPr>
      <w:sz w:val="20"/>
      <w:szCs w:val="20"/>
    </w:rPr>
  </w:style>
  <w:style w:type="paragraph" w:styleId="CommentSubject">
    <w:name w:val="annotation subject"/>
    <w:basedOn w:val="CommentText"/>
    <w:next w:val="CommentText"/>
    <w:link w:val="CommentSubjectChar"/>
    <w:uiPriority w:val="99"/>
    <w:semiHidden/>
    <w:unhideWhenUsed/>
    <w:rsid w:val="007140C8"/>
    <w:rPr>
      <w:b/>
      <w:bCs/>
    </w:rPr>
  </w:style>
  <w:style w:type="character" w:customStyle="1" w:styleId="CommentSubjectChar">
    <w:name w:val="Comment Subject Char"/>
    <w:basedOn w:val="CommentTextChar"/>
    <w:link w:val="CommentSubject"/>
    <w:uiPriority w:val="99"/>
    <w:semiHidden/>
    <w:rsid w:val="007140C8"/>
    <w:rPr>
      <w:b/>
      <w:bCs/>
      <w:sz w:val="20"/>
      <w:szCs w:val="20"/>
    </w:rPr>
  </w:style>
  <w:style w:type="character" w:styleId="Strong">
    <w:name w:val="Strong"/>
    <w:basedOn w:val="DefaultParagraphFont"/>
    <w:uiPriority w:val="22"/>
    <w:qFormat/>
    <w:rsid w:val="00A466BE"/>
    <w:rPr>
      <w:b/>
      <w:bCs/>
    </w:rPr>
  </w:style>
  <w:style w:type="paragraph" w:styleId="FootnoteText">
    <w:name w:val="footnote text"/>
    <w:basedOn w:val="Normal"/>
    <w:link w:val="FootnoteTextChar"/>
    <w:uiPriority w:val="99"/>
    <w:semiHidden/>
    <w:unhideWhenUsed/>
    <w:rsid w:val="00553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11D"/>
    <w:rPr>
      <w:sz w:val="20"/>
      <w:szCs w:val="20"/>
    </w:rPr>
  </w:style>
  <w:style w:type="character" w:styleId="FootnoteReference">
    <w:name w:val="footnote reference"/>
    <w:aliases w:val="Footnote Reference Superscript,BVI fnr,(Footnote Reference),Footnote symbol,SUPERS,Odwolanie przypisu,Odwołanie przypisu,Footnote,Voetnootverwijzing,Times 10 Point,Exposant 3 Point,Footnote reference number,note TESI,BVI fn,fr,Ref"/>
    <w:basedOn w:val="DefaultParagraphFont"/>
    <w:uiPriority w:val="99"/>
    <w:semiHidden/>
    <w:unhideWhenUsed/>
    <w:qFormat/>
    <w:rsid w:val="0055311D"/>
    <w:rPr>
      <w:vertAlign w:val="superscript"/>
    </w:rPr>
  </w:style>
  <w:style w:type="character" w:customStyle="1" w:styleId="normaltextrun">
    <w:name w:val="normaltextrun"/>
    <w:basedOn w:val="DefaultParagraphFont"/>
    <w:rsid w:val="00774D65"/>
  </w:style>
  <w:style w:type="paragraph" w:customStyle="1" w:styleId="Default">
    <w:name w:val="Default"/>
    <w:basedOn w:val="Normal"/>
    <w:rsid w:val="0065105B"/>
    <w:pPr>
      <w:autoSpaceDE w:val="0"/>
      <w:autoSpaceDN w:val="0"/>
      <w:spacing w:after="0" w:line="240" w:lineRule="auto"/>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1536F0"/>
    <w:pPr>
      <w:spacing w:line="259" w:lineRule="auto"/>
      <w:outlineLvl w:val="9"/>
    </w:pPr>
  </w:style>
  <w:style w:type="paragraph" w:styleId="TOC1">
    <w:name w:val="toc 1"/>
    <w:basedOn w:val="Normal"/>
    <w:next w:val="Normal"/>
    <w:autoRedefine/>
    <w:uiPriority w:val="39"/>
    <w:unhideWhenUsed/>
    <w:rsid w:val="001536F0"/>
    <w:pPr>
      <w:spacing w:after="100"/>
    </w:pPr>
  </w:style>
  <w:style w:type="character" w:styleId="Hyperlink">
    <w:name w:val="Hyperlink"/>
    <w:basedOn w:val="DefaultParagraphFont"/>
    <w:uiPriority w:val="99"/>
    <w:unhideWhenUsed/>
    <w:rsid w:val="001536F0"/>
    <w:rPr>
      <w:color w:val="6EAC1C" w:themeColor="hyperlink"/>
      <w:u w:val="single"/>
    </w:rPr>
  </w:style>
  <w:style w:type="character" w:styleId="FollowedHyperlink">
    <w:name w:val="FollowedHyperlink"/>
    <w:basedOn w:val="DefaultParagraphFont"/>
    <w:uiPriority w:val="99"/>
    <w:semiHidden/>
    <w:unhideWhenUsed/>
    <w:rsid w:val="004F210C"/>
    <w:rPr>
      <w:color w:val="B26B02" w:themeColor="followedHyperlink"/>
      <w:u w:val="single"/>
    </w:rPr>
  </w:style>
  <w:style w:type="character" w:customStyle="1" w:styleId="hgkelc">
    <w:name w:val="hgkelc"/>
    <w:basedOn w:val="DefaultParagraphFont"/>
    <w:rsid w:val="008B5C1C"/>
  </w:style>
  <w:style w:type="character" w:customStyle="1" w:styleId="Briefinglist1Char">
    <w:name w:val="Briefing list 1 Char"/>
    <w:link w:val="Briefinglist1"/>
    <w:qFormat/>
    <w:locked/>
    <w:rsid w:val="00166BF2"/>
    <w:rPr>
      <w:rFonts w:ascii="Arial" w:hAnsi="Arial" w:cs="Arial"/>
      <w:szCs w:val="24"/>
    </w:rPr>
  </w:style>
  <w:style w:type="paragraph" w:customStyle="1" w:styleId="Briefinglist1">
    <w:name w:val="Briefing list 1"/>
    <w:basedOn w:val="Normal"/>
    <w:link w:val="Briefinglist1Char"/>
    <w:qFormat/>
    <w:rsid w:val="00166BF2"/>
    <w:pPr>
      <w:keepLines/>
      <w:spacing w:after="120" w:line="240" w:lineRule="auto"/>
      <w:jc w:val="both"/>
    </w:pPr>
    <w:rPr>
      <w:rFonts w:ascii="Arial" w:hAnsi="Arial" w:cs="Arial"/>
      <w:szCs w:val="24"/>
    </w:rPr>
  </w:style>
  <w:style w:type="paragraph" w:customStyle="1" w:styleId="title-bold">
    <w:name w:val="title-bold"/>
    <w:basedOn w:val="Normal"/>
    <w:rsid w:val="00027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rsid w:val="00407F5E"/>
  </w:style>
  <w:style w:type="character" w:styleId="Emphasis">
    <w:name w:val="Emphasis"/>
    <w:basedOn w:val="DefaultParagraphFont"/>
    <w:uiPriority w:val="20"/>
    <w:qFormat/>
    <w:rsid w:val="00417C5C"/>
    <w:rPr>
      <w:i/>
      <w:iCs/>
    </w:rPr>
  </w:style>
  <w:style w:type="paragraph" w:customStyle="1" w:styleId="paragraph">
    <w:name w:val="paragraph"/>
    <w:basedOn w:val="Normal"/>
    <w:rsid w:val="00D167C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DefaultParagraphFont"/>
    <w:rsid w:val="00D167C7"/>
  </w:style>
  <w:style w:type="paragraph" w:styleId="Revision">
    <w:name w:val="Revision"/>
    <w:hidden/>
    <w:uiPriority w:val="99"/>
    <w:semiHidden/>
    <w:rsid w:val="00F13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822">
      <w:bodyDiv w:val="1"/>
      <w:marLeft w:val="0"/>
      <w:marRight w:val="0"/>
      <w:marTop w:val="0"/>
      <w:marBottom w:val="0"/>
      <w:divBdr>
        <w:top w:val="none" w:sz="0" w:space="0" w:color="auto"/>
        <w:left w:val="none" w:sz="0" w:space="0" w:color="auto"/>
        <w:bottom w:val="none" w:sz="0" w:space="0" w:color="auto"/>
        <w:right w:val="none" w:sz="0" w:space="0" w:color="auto"/>
      </w:divBdr>
      <w:divsChild>
        <w:div w:id="8801446">
          <w:marLeft w:val="360"/>
          <w:marRight w:val="0"/>
          <w:marTop w:val="0"/>
          <w:marBottom w:val="240"/>
          <w:divBdr>
            <w:top w:val="none" w:sz="0" w:space="0" w:color="auto"/>
            <w:left w:val="none" w:sz="0" w:space="0" w:color="auto"/>
            <w:bottom w:val="none" w:sz="0" w:space="0" w:color="auto"/>
            <w:right w:val="none" w:sz="0" w:space="0" w:color="auto"/>
          </w:divBdr>
        </w:div>
        <w:div w:id="934942709">
          <w:marLeft w:val="1080"/>
          <w:marRight w:val="0"/>
          <w:marTop w:val="100"/>
          <w:marBottom w:val="240"/>
          <w:divBdr>
            <w:top w:val="none" w:sz="0" w:space="0" w:color="auto"/>
            <w:left w:val="none" w:sz="0" w:space="0" w:color="auto"/>
            <w:bottom w:val="none" w:sz="0" w:space="0" w:color="auto"/>
            <w:right w:val="none" w:sz="0" w:space="0" w:color="auto"/>
          </w:divBdr>
        </w:div>
        <w:div w:id="1021935356">
          <w:marLeft w:val="360"/>
          <w:marRight w:val="0"/>
          <w:marTop w:val="0"/>
          <w:marBottom w:val="0"/>
          <w:divBdr>
            <w:top w:val="none" w:sz="0" w:space="0" w:color="auto"/>
            <w:left w:val="none" w:sz="0" w:space="0" w:color="auto"/>
            <w:bottom w:val="none" w:sz="0" w:space="0" w:color="auto"/>
            <w:right w:val="none" w:sz="0" w:space="0" w:color="auto"/>
          </w:divBdr>
        </w:div>
        <w:div w:id="1130392571">
          <w:marLeft w:val="1080"/>
          <w:marRight w:val="0"/>
          <w:marTop w:val="0"/>
          <w:marBottom w:val="0"/>
          <w:divBdr>
            <w:top w:val="none" w:sz="0" w:space="0" w:color="auto"/>
            <w:left w:val="none" w:sz="0" w:space="0" w:color="auto"/>
            <w:bottom w:val="none" w:sz="0" w:space="0" w:color="auto"/>
            <w:right w:val="none" w:sz="0" w:space="0" w:color="auto"/>
          </w:divBdr>
        </w:div>
        <w:div w:id="1153373883">
          <w:marLeft w:val="1080"/>
          <w:marRight w:val="0"/>
          <w:marTop w:val="100"/>
          <w:marBottom w:val="0"/>
          <w:divBdr>
            <w:top w:val="none" w:sz="0" w:space="0" w:color="auto"/>
            <w:left w:val="none" w:sz="0" w:space="0" w:color="auto"/>
            <w:bottom w:val="none" w:sz="0" w:space="0" w:color="auto"/>
            <w:right w:val="none" w:sz="0" w:space="0" w:color="auto"/>
          </w:divBdr>
        </w:div>
        <w:div w:id="1179582619">
          <w:marLeft w:val="360"/>
          <w:marRight w:val="0"/>
          <w:marTop w:val="0"/>
          <w:marBottom w:val="240"/>
          <w:divBdr>
            <w:top w:val="none" w:sz="0" w:space="0" w:color="auto"/>
            <w:left w:val="none" w:sz="0" w:space="0" w:color="auto"/>
            <w:bottom w:val="none" w:sz="0" w:space="0" w:color="auto"/>
            <w:right w:val="none" w:sz="0" w:space="0" w:color="auto"/>
          </w:divBdr>
        </w:div>
        <w:div w:id="1496527560">
          <w:marLeft w:val="1080"/>
          <w:marRight w:val="0"/>
          <w:marTop w:val="0"/>
          <w:marBottom w:val="240"/>
          <w:divBdr>
            <w:top w:val="none" w:sz="0" w:space="0" w:color="auto"/>
            <w:left w:val="none" w:sz="0" w:space="0" w:color="auto"/>
            <w:bottom w:val="none" w:sz="0" w:space="0" w:color="auto"/>
            <w:right w:val="none" w:sz="0" w:space="0" w:color="auto"/>
          </w:divBdr>
        </w:div>
        <w:div w:id="2073768806">
          <w:marLeft w:val="360"/>
          <w:marRight w:val="0"/>
          <w:marTop w:val="0"/>
          <w:marBottom w:val="0"/>
          <w:divBdr>
            <w:top w:val="none" w:sz="0" w:space="0" w:color="auto"/>
            <w:left w:val="none" w:sz="0" w:space="0" w:color="auto"/>
            <w:bottom w:val="none" w:sz="0" w:space="0" w:color="auto"/>
            <w:right w:val="none" w:sz="0" w:space="0" w:color="auto"/>
          </w:divBdr>
        </w:div>
        <w:div w:id="2140538099">
          <w:marLeft w:val="360"/>
          <w:marRight w:val="0"/>
          <w:marTop w:val="0"/>
          <w:marBottom w:val="0"/>
          <w:divBdr>
            <w:top w:val="none" w:sz="0" w:space="0" w:color="auto"/>
            <w:left w:val="none" w:sz="0" w:space="0" w:color="auto"/>
            <w:bottom w:val="none" w:sz="0" w:space="0" w:color="auto"/>
            <w:right w:val="none" w:sz="0" w:space="0" w:color="auto"/>
          </w:divBdr>
        </w:div>
      </w:divsChild>
    </w:div>
    <w:div w:id="54395657">
      <w:bodyDiv w:val="1"/>
      <w:marLeft w:val="0"/>
      <w:marRight w:val="0"/>
      <w:marTop w:val="0"/>
      <w:marBottom w:val="0"/>
      <w:divBdr>
        <w:top w:val="none" w:sz="0" w:space="0" w:color="auto"/>
        <w:left w:val="none" w:sz="0" w:space="0" w:color="auto"/>
        <w:bottom w:val="none" w:sz="0" w:space="0" w:color="auto"/>
        <w:right w:val="none" w:sz="0" w:space="0" w:color="auto"/>
      </w:divBdr>
    </w:div>
    <w:div w:id="55712209">
      <w:bodyDiv w:val="1"/>
      <w:marLeft w:val="0"/>
      <w:marRight w:val="0"/>
      <w:marTop w:val="0"/>
      <w:marBottom w:val="0"/>
      <w:divBdr>
        <w:top w:val="none" w:sz="0" w:space="0" w:color="auto"/>
        <w:left w:val="none" w:sz="0" w:space="0" w:color="auto"/>
        <w:bottom w:val="none" w:sz="0" w:space="0" w:color="auto"/>
        <w:right w:val="none" w:sz="0" w:space="0" w:color="auto"/>
      </w:divBdr>
    </w:div>
    <w:div w:id="154222947">
      <w:bodyDiv w:val="1"/>
      <w:marLeft w:val="0"/>
      <w:marRight w:val="0"/>
      <w:marTop w:val="0"/>
      <w:marBottom w:val="0"/>
      <w:divBdr>
        <w:top w:val="none" w:sz="0" w:space="0" w:color="auto"/>
        <w:left w:val="none" w:sz="0" w:space="0" w:color="auto"/>
        <w:bottom w:val="none" w:sz="0" w:space="0" w:color="auto"/>
        <w:right w:val="none" w:sz="0" w:space="0" w:color="auto"/>
      </w:divBdr>
    </w:div>
    <w:div w:id="172574190">
      <w:bodyDiv w:val="1"/>
      <w:marLeft w:val="0"/>
      <w:marRight w:val="0"/>
      <w:marTop w:val="0"/>
      <w:marBottom w:val="0"/>
      <w:divBdr>
        <w:top w:val="none" w:sz="0" w:space="0" w:color="auto"/>
        <w:left w:val="none" w:sz="0" w:space="0" w:color="auto"/>
        <w:bottom w:val="none" w:sz="0" w:space="0" w:color="auto"/>
        <w:right w:val="none" w:sz="0" w:space="0" w:color="auto"/>
      </w:divBdr>
    </w:div>
    <w:div w:id="203102469">
      <w:bodyDiv w:val="1"/>
      <w:marLeft w:val="0"/>
      <w:marRight w:val="0"/>
      <w:marTop w:val="0"/>
      <w:marBottom w:val="0"/>
      <w:divBdr>
        <w:top w:val="none" w:sz="0" w:space="0" w:color="auto"/>
        <w:left w:val="none" w:sz="0" w:space="0" w:color="auto"/>
        <w:bottom w:val="none" w:sz="0" w:space="0" w:color="auto"/>
        <w:right w:val="none" w:sz="0" w:space="0" w:color="auto"/>
      </w:divBdr>
    </w:div>
    <w:div w:id="206575202">
      <w:bodyDiv w:val="1"/>
      <w:marLeft w:val="0"/>
      <w:marRight w:val="0"/>
      <w:marTop w:val="0"/>
      <w:marBottom w:val="0"/>
      <w:divBdr>
        <w:top w:val="none" w:sz="0" w:space="0" w:color="auto"/>
        <w:left w:val="none" w:sz="0" w:space="0" w:color="auto"/>
        <w:bottom w:val="none" w:sz="0" w:space="0" w:color="auto"/>
        <w:right w:val="none" w:sz="0" w:space="0" w:color="auto"/>
      </w:divBdr>
      <w:divsChild>
        <w:div w:id="319039991">
          <w:marLeft w:val="360"/>
          <w:marRight w:val="0"/>
          <w:marTop w:val="0"/>
          <w:marBottom w:val="0"/>
          <w:divBdr>
            <w:top w:val="none" w:sz="0" w:space="0" w:color="auto"/>
            <w:left w:val="none" w:sz="0" w:space="0" w:color="auto"/>
            <w:bottom w:val="none" w:sz="0" w:space="0" w:color="auto"/>
            <w:right w:val="none" w:sz="0" w:space="0" w:color="auto"/>
          </w:divBdr>
        </w:div>
        <w:div w:id="397898819">
          <w:marLeft w:val="360"/>
          <w:marRight w:val="0"/>
          <w:marTop w:val="0"/>
          <w:marBottom w:val="240"/>
          <w:divBdr>
            <w:top w:val="none" w:sz="0" w:space="0" w:color="auto"/>
            <w:left w:val="none" w:sz="0" w:space="0" w:color="auto"/>
            <w:bottom w:val="none" w:sz="0" w:space="0" w:color="auto"/>
            <w:right w:val="none" w:sz="0" w:space="0" w:color="auto"/>
          </w:divBdr>
        </w:div>
        <w:div w:id="400294017">
          <w:marLeft w:val="1080"/>
          <w:marRight w:val="0"/>
          <w:marTop w:val="100"/>
          <w:marBottom w:val="240"/>
          <w:divBdr>
            <w:top w:val="none" w:sz="0" w:space="0" w:color="auto"/>
            <w:left w:val="none" w:sz="0" w:space="0" w:color="auto"/>
            <w:bottom w:val="none" w:sz="0" w:space="0" w:color="auto"/>
            <w:right w:val="none" w:sz="0" w:space="0" w:color="auto"/>
          </w:divBdr>
        </w:div>
        <w:div w:id="401409642">
          <w:marLeft w:val="1080"/>
          <w:marRight w:val="0"/>
          <w:marTop w:val="100"/>
          <w:marBottom w:val="0"/>
          <w:divBdr>
            <w:top w:val="none" w:sz="0" w:space="0" w:color="auto"/>
            <w:left w:val="none" w:sz="0" w:space="0" w:color="auto"/>
            <w:bottom w:val="none" w:sz="0" w:space="0" w:color="auto"/>
            <w:right w:val="none" w:sz="0" w:space="0" w:color="auto"/>
          </w:divBdr>
        </w:div>
        <w:div w:id="407578331">
          <w:marLeft w:val="1080"/>
          <w:marRight w:val="0"/>
          <w:marTop w:val="0"/>
          <w:marBottom w:val="0"/>
          <w:divBdr>
            <w:top w:val="none" w:sz="0" w:space="0" w:color="auto"/>
            <w:left w:val="none" w:sz="0" w:space="0" w:color="auto"/>
            <w:bottom w:val="none" w:sz="0" w:space="0" w:color="auto"/>
            <w:right w:val="none" w:sz="0" w:space="0" w:color="auto"/>
          </w:divBdr>
        </w:div>
        <w:div w:id="624969550">
          <w:marLeft w:val="360"/>
          <w:marRight w:val="0"/>
          <w:marTop w:val="0"/>
          <w:marBottom w:val="0"/>
          <w:divBdr>
            <w:top w:val="none" w:sz="0" w:space="0" w:color="auto"/>
            <w:left w:val="none" w:sz="0" w:space="0" w:color="auto"/>
            <w:bottom w:val="none" w:sz="0" w:space="0" w:color="auto"/>
            <w:right w:val="none" w:sz="0" w:space="0" w:color="auto"/>
          </w:divBdr>
        </w:div>
        <w:div w:id="787356159">
          <w:marLeft w:val="1080"/>
          <w:marRight w:val="0"/>
          <w:marTop w:val="0"/>
          <w:marBottom w:val="240"/>
          <w:divBdr>
            <w:top w:val="none" w:sz="0" w:space="0" w:color="auto"/>
            <w:left w:val="none" w:sz="0" w:space="0" w:color="auto"/>
            <w:bottom w:val="none" w:sz="0" w:space="0" w:color="auto"/>
            <w:right w:val="none" w:sz="0" w:space="0" w:color="auto"/>
          </w:divBdr>
        </w:div>
        <w:div w:id="1245525899">
          <w:marLeft w:val="360"/>
          <w:marRight w:val="0"/>
          <w:marTop w:val="0"/>
          <w:marBottom w:val="240"/>
          <w:divBdr>
            <w:top w:val="none" w:sz="0" w:space="0" w:color="auto"/>
            <w:left w:val="none" w:sz="0" w:space="0" w:color="auto"/>
            <w:bottom w:val="none" w:sz="0" w:space="0" w:color="auto"/>
            <w:right w:val="none" w:sz="0" w:space="0" w:color="auto"/>
          </w:divBdr>
        </w:div>
        <w:div w:id="1589000220">
          <w:marLeft w:val="360"/>
          <w:marRight w:val="0"/>
          <w:marTop w:val="0"/>
          <w:marBottom w:val="0"/>
          <w:divBdr>
            <w:top w:val="none" w:sz="0" w:space="0" w:color="auto"/>
            <w:left w:val="none" w:sz="0" w:space="0" w:color="auto"/>
            <w:bottom w:val="none" w:sz="0" w:space="0" w:color="auto"/>
            <w:right w:val="none" w:sz="0" w:space="0" w:color="auto"/>
          </w:divBdr>
        </w:div>
      </w:divsChild>
    </w:div>
    <w:div w:id="221798417">
      <w:bodyDiv w:val="1"/>
      <w:marLeft w:val="0"/>
      <w:marRight w:val="0"/>
      <w:marTop w:val="0"/>
      <w:marBottom w:val="0"/>
      <w:divBdr>
        <w:top w:val="none" w:sz="0" w:space="0" w:color="auto"/>
        <w:left w:val="none" w:sz="0" w:space="0" w:color="auto"/>
        <w:bottom w:val="none" w:sz="0" w:space="0" w:color="auto"/>
        <w:right w:val="none" w:sz="0" w:space="0" w:color="auto"/>
      </w:divBdr>
    </w:div>
    <w:div w:id="258217677">
      <w:bodyDiv w:val="1"/>
      <w:marLeft w:val="0"/>
      <w:marRight w:val="0"/>
      <w:marTop w:val="0"/>
      <w:marBottom w:val="0"/>
      <w:divBdr>
        <w:top w:val="none" w:sz="0" w:space="0" w:color="auto"/>
        <w:left w:val="none" w:sz="0" w:space="0" w:color="auto"/>
        <w:bottom w:val="none" w:sz="0" w:space="0" w:color="auto"/>
        <w:right w:val="none" w:sz="0" w:space="0" w:color="auto"/>
      </w:divBdr>
    </w:div>
    <w:div w:id="270011280">
      <w:bodyDiv w:val="1"/>
      <w:marLeft w:val="0"/>
      <w:marRight w:val="0"/>
      <w:marTop w:val="0"/>
      <w:marBottom w:val="0"/>
      <w:divBdr>
        <w:top w:val="none" w:sz="0" w:space="0" w:color="auto"/>
        <w:left w:val="none" w:sz="0" w:space="0" w:color="auto"/>
        <w:bottom w:val="none" w:sz="0" w:space="0" w:color="auto"/>
        <w:right w:val="none" w:sz="0" w:space="0" w:color="auto"/>
      </w:divBdr>
    </w:div>
    <w:div w:id="295183825">
      <w:bodyDiv w:val="1"/>
      <w:marLeft w:val="0"/>
      <w:marRight w:val="0"/>
      <w:marTop w:val="0"/>
      <w:marBottom w:val="0"/>
      <w:divBdr>
        <w:top w:val="none" w:sz="0" w:space="0" w:color="auto"/>
        <w:left w:val="none" w:sz="0" w:space="0" w:color="auto"/>
        <w:bottom w:val="none" w:sz="0" w:space="0" w:color="auto"/>
        <w:right w:val="none" w:sz="0" w:space="0" w:color="auto"/>
      </w:divBdr>
    </w:div>
    <w:div w:id="346248123">
      <w:bodyDiv w:val="1"/>
      <w:marLeft w:val="0"/>
      <w:marRight w:val="0"/>
      <w:marTop w:val="0"/>
      <w:marBottom w:val="0"/>
      <w:divBdr>
        <w:top w:val="none" w:sz="0" w:space="0" w:color="auto"/>
        <w:left w:val="none" w:sz="0" w:space="0" w:color="auto"/>
        <w:bottom w:val="none" w:sz="0" w:space="0" w:color="auto"/>
        <w:right w:val="none" w:sz="0" w:space="0" w:color="auto"/>
      </w:divBdr>
    </w:div>
    <w:div w:id="383716548">
      <w:bodyDiv w:val="1"/>
      <w:marLeft w:val="0"/>
      <w:marRight w:val="0"/>
      <w:marTop w:val="0"/>
      <w:marBottom w:val="0"/>
      <w:divBdr>
        <w:top w:val="none" w:sz="0" w:space="0" w:color="auto"/>
        <w:left w:val="none" w:sz="0" w:space="0" w:color="auto"/>
        <w:bottom w:val="none" w:sz="0" w:space="0" w:color="auto"/>
        <w:right w:val="none" w:sz="0" w:space="0" w:color="auto"/>
      </w:divBdr>
    </w:div>
    <w:div w:id="386344725">
      <w:bodyDiv w:val="1"/>
      <w:marLeft w:val="0"/>
      <w:marRight w:val="0"/>
      <w:marTop w:val="0"/>
      <w:marBottom w:val="0"/>
      <w:divBdr>
        <w:top w:val="none" w:sz="0" w:space="0" w:color="auto"/>
        <w:left w:val="none" w:sz="0" w:space="0" w:color="auto"/>
        <w:bottom w:val="none" w:sz="0" w:space="0" w:color="auto"/>
        <w:right w:val="none" w:sz="0" w:space="0" w:color="auto"/>
      </w:divBdr>
    </w:div>
    <w:div w:id="391928206">
      <w:bodyDiv w:val="1"/>
      <w:marLeft w:val="0"/>
      <w:marRight w:val="0"/>
      <w:marTop w:val="0"/>
      <w:marBottom w:val="0"/>
      <w:divBdr>
        <w:top w:val="none" w:sz="0" w:space="0" w:color="auto"/>
        <w:left w:val="none" w:sz="0" w:space="0" w:color="auto"/>
        <w:bottom w:val="none" w:sz="0" w:space="0" w:color="auto"/>
        <w:right w:val="none" w:sz="0" w:space="0" w:color="auto"/>
      </w:divBdr>
    </w:div>
    <w:div w:id="409933175">
      <w:bodyDiv w:val="1"/>
      <w:marLeft w:val="0"/>
      <w:marRight w:val="0"/>
      <w:marTop w:val="0"/>
      <w:marBottom w:val="0"/>
      <w:divBdr>
        <w:top w:val="none" w:sz="0" w:space="0" w:color="auto"/>
        <w:left w:val="none" w:sz="0" w:space="0" w:color="auto"/>
        <w:bottom w:val="none" w:sz="0" w:space="0" w:color="auto"/>
        <w:right w:val="none" w:sz="0" w:space="0" w:color="auto"/>
      </w:divBdr>
    </w:div>
    <w:div w:id="458911902">
      <w:bodyDiv w:val="1"/>
      <w:marLeft w:val="0"/>
      <w:marRight w:val="0"/>
      <w:marTop w:val="0"/>
      <w:marBottom w:val="0"/>
      <w:divBdr>
        <w:top w:val="none" w:sz="0" w:space="0" w:color="auto"/>
        <w:left w:val="none" w:sz="0" w:space="0" w:color="auto"/>
        <w:bottom w:val="none" w:sz="0" w:space="0" w:color="auto"/>
        <w:right w:val="none" w:sz="0" w:space="0" w:color="auto"/>
      </w:divBdr>
    </w:div>
    <w:div w:id="482739188">
      <w:bodyDiv w:val="1"/>
      <w:marLeft w:val="0"/>
      <w:marRight w:val="0"/>
      <w:marTop w:val="0"/>
      <w:marBottom w:val="0"/>
      <w:divBdr>
        <w:top w:val="none" w:sz="0" w:space="0" w:color="auto"/>
        <w:left w:val="none" w:sz="0" w:space="0" w:color="auto"/>
        <w:bottom w:val="none" w:sz="0" w:space="0" w:color="auto"/>
        <w:right w:val="none" w:sz="0" w:space="0" w:color="auto"/>
      </w:divBdr>
    </w:div>
    <w:div w:id="511992720">
      <w:bodyDiv w:val="1"/>
      <w:marLeft w:val="0"/>
      <w:marRight w:val="0"/>
      <w:marTop w:val="0"/>
      <w:marBottom w:val="0"/>
      <w:divBdr>
        <w:top w:val="none" w:sz="0" w:space="0" w:color="auto"/>
        <w:left w:val="none" w:sz="0" w:space="0" w:color="auto"/>
        <w:bottom w:val="none" w:sz="0" w:space="0" w:color="auto"/>
        <w:right w:val="none" w:sz="0" w:space="0" w:color="auto"/>
      </w:divBdr>
    </w:div>
    <w:div w:id="550728071">
      <w:bodyDiv w:val="1"/>
      <w:marLeft w:val="0"/>
      <w:marRight w:val="0"/>
      <w:marTop w:val="0"/>
      <w:marBottom w:val="0"/>
      <w:divBdr>
        <w:top w:val="none" w:sz="0" w:space="0" w:color="auto"/>
        <w:left w:val="none" w:sz="0" w:space="0" w:color="auto"/>
        <w:bottom w:val="none" w:sz="0" w:space="0" w:color="auto"/>
        <w:right w:val="none" w:sz="0" w:space="0" w:color="auto"/>
      </w:divBdr>
    </w:div>
    <w:div w:id="551501814">
      <w:bodyDiv w:val="1"/>
      <w:marLeft w:val="0"/>
      <w:marRight w:val="0"/>
      <w:marTop w:val="0"/>
      <w:marBottom w:val="0"/>
      <w:divBdr>
        <w:top w:val="none" w:sz="0" w:space="0" w:color="auto"/>
        <w:left w:val="none" w:sz="0" w:space="0" w:color="auto"/>
        <w:bottom w:val="none" w:sz="0" w:space="0" w:color="auto"/>
        <w:right w:val="none" w:sz="0" w:space="0" w:color="auto"/>
      </w:divBdr>
    </w:div>
    <w:div w:id="565919718">
      <w:bodyDiv w:val="1"/>
      <w:marLeft w:val="0"/>
      <w:marRight w:val="0"/>
      <w:marTop w:val="0"/>
      <w:marBottom w:val="0"/>
      <w:divBdr>
        <w:top w:val="none" w:sz="0" w:space="0" w:color="auto"/>
        <w:left w:val="none" w:sz="0" w:space="0" w:color="auto"/>
        <w:bottom w:val="none" w:sz="0" w:space="0" w:color="auto"/>
        <w:right w:val="none" w:sz="0" w:space="0" w:color="auto"/>
      </w:divBdr>
    </w:div>
    <w:div w:id="570311549">
      <w:bodyDiv w:val="1"/>
      <w:marLeft w:val="0"/>
      <w:marRight w:val="0"/>
      <w:marTop w:val="0"/>
      <w:marBottom w:val="0"/>
      <w:divBdr>
        <w:top w:val="none" w:sz="0" w:space="0" w:color="auto"/>
        <w:left w:val="none" w:sz="0" w:space="0" w:color="auto"/>
        <w:bottom w:val="none" w:sz="0" w:space="0" w:color="auto"/>
        <w:right w:val="none" w:sz="0" w:space="0" w:color="auto"/>
      </w:divBdr>
      <w:divsChild>
        <w:div w:id="7877623">
          <w:marLeft w:val="360"/>
          <w:marRight w:val="0"/>
          <w:marTop w:val="0"/>
          <w:marBottom w:val="0"/>
          <w:divBdr>
            <w:top w:val="none" w:sz="0" w:space="0" w:color="auto"/>
            <w:left w:val="none" w:sz="0" w:space="0" w:color="auto"/>
            <w:bottom w:val="none" w:sz="0" w:space="0" w:color="auto"/>
            <w:right w:val="none" w:sz="0" w:space="0" w:color="auto"/>
          </w:divBdr>
        </w:div>
        <w:div w:id="116797358">
          <w:marLeft w:val="1080"/>
          <w:marRight w:val="0"/>
          <w:marTop w:val="0"/>
          <w:marBottom w:val="0"/>
          <w:divBdr>
            <w:top w:val="none" w:sz="0" w:space="0" w:color="auto"/>
            <w:left w:val="none" w:sz="0" w:space="0" w:color="auto"/>
            <w:bottom w:val="none" w:sz="0" w:space="0" w:color="auto"/>
            <w:right w:val="none" w:sz="0" w:space="0" w:color="auto"/>
          </w:divBdr>
        </w:div>
        <w:div w:id="353851656">
          <w:marLeft w:val="360"/>
          <w:marRight w:val="0"/>
          <w:marTop w:val="0"/>
          <w:marBottom w:val="0"/>
          <w:divBdr>
            <w:top w:val="none" w:sz="0" w:space="0" w:color="auto"/>
            <w:left w:val="none" w:sz="0" w:space="0" w:color="auto"/>
            <w:bottom w:val="none" w:sz="0" w:space="0" w:color="auto"/>
            <w:right w:val="none" w:sz="0" w:space="0" w:color="auto"/>
          </w:divBdr>
        </w:div>
        <w:div w:id="553394597">
          <w:marLeft w:val="1080"/>
          <w:marRight w:val="0"/>
          <w:marTop w:val="0"/>
          <w:marBottom w:val="240"/>
          <w:divBdr>
            <w:top w:val="none" w:sz="0" w:space="0" w:color="auto"/>
            <w:left w:val="none" w:sz="0" w:space="0" w:color="auto"/>
            <w:bottom w:val="none" w:sz="0" w:space="0" w:color="auto"/>
            <w:right w:val="none" w:sz="0" w:space="0" w:color="auto"/>
          </w:divBdr>
        </w:div>
        <w:div w:id="1192501448">
          <w:marLeft w:val="1080"/>
          <w:marRight w:val="0"/>
          <w:marTop w:val="100"/>
          <w:marBottom w:val="0"/>
          <w:divBdr>
            <w:top w:val="none" w:sz="0" w:space="0" w:color="auto"/>
            <w:left w:val="none" w:sz="0" w:space="0" w:color="auto"/>
            <w:bottom w:val="none" w:sz="0" w:space="0" w:color="auto"/>
            <w:right w:val="none" w:sz="0" w:space="0" w:color="auto"/>
          </w:divBdr>
        </w:div>
        <w:div w:id="1467317018">
          <w:marLeft w:val="360"/>
          <w:marRight w:val="0"/>
          <w:marTop w:val="0"/>
          <w:marBottom w:val="0"/>
          <w:divBdr>
            <w:top w:val="none" w:sz="0" w:space="0" w:color="auto"/>
            <w:left w:val="none" w:sz="0" w:space="0" w:color="auto"/>
            <w:bottom w:val="none" w:sz="0" w:space="0" w:color="auto"/>
            <w:right w:val="none" w:sz="0" w:space="0" w:color="auto"/>
          </w:divBdr>
        </w:div>
        <w:div w:id="1578318324">
          <w:marLeft w:val="1080"/>
          <w:marRight w:val="0"/>
          <w:marTop w:val="100"/>
          <w:marBottom w:val="240"/>
          <w:divBdr>
            <w:top w:val="none" w:sz="0" w:space="0" w:color="auto"/>
            <w:left w:val="none" w:sz="0" w:space="0" w:color="auto"/>
            <w:bottom w:val="none" w:sz="0" w:space="0" w:color="auto"/>
            <w:right w:val="none" w:sz="0" w:space="0" w:color="auto"/>
          </w:divBdr>
        </w:div>
        <w:div w:id="1910384288">
          <w:marLeft w:val="360"/>
          <w:marRight w:val="0"/>
          <w:marTop w:val="0"/>
          <w:marBottom w:val="240"/>
          <w:divBdr>
            <w:top w:val="none" w:sz="0" w:space="0" w:color="auto"/>
            <w:left w:val="none" w:sz="0" w:space="0" w:color="auto"/>
            <w:bottom w:val="none" w:sz="0" w:space="0" w:color="auto"/>
            <w:right w:val="none" w:sz="0" w:space="0" w:color="auto"/>
          </w:divBdr>
        </w:div>
        <w:div w:id="1937789343">
          <w:marLeft w:val="360"/>
          <w:marRight w:val="0"/>
          <w:marTop w:val="0"/>
          <w:marBottom w:val="240"/>
          <w:divBdr>
            <w:top w:val="none" w:sz="0" w:space="0" w:color="auto"/>
            <w:left w:val="none" w:sz="0" w:space="0" w:color="auto"/>
            <w:bottom w:val="none" w:sz="0" w:space="0" w:color="auto"/>
            <w:right w:val="none" w:sz="0" w:space="0" w:color="auto"/>
          </w:divBdr>
        </w:div>
      </w:divsChild>
    </w:div>
    <w:div w:id="599412547">
      <w:bodyDiv w:val="1"/>
      <w:marLeft w:val="0"/>
      <w:marRight w:val="0"/>
      <w:marTop w:val="0"/>
      <w:marBottom w:val="0"/>
      <w:divBdr>
        <w:top w:val="none" w:sz="0" w:space="0" w:color="auto"/>
        <w:left w:val="none" w:sz="0" w:space="0" w:color="auto"/>
        <w:bottom w:val="none" w:sz="0" w:space="0" w:color="auto"/>
        <w:right w:val="none" w:sz="0" w:space="0" w:color="auto"/>
      </w:divBdr>
    </w:div>
    <w:div w:id="612590761">
      <w:bodyDiv w:val="1"/>
      <w:marLeft w:val="0"/>
      <w:marRight w:val="0"/>
      <w:marTop w:val="0"/>
      <w:marBottom w:val="0"/>
      <w:divBdr>
        <w:top w:val="none" w:sz="0" w:space="0" w:color="auto"/>
        <w:left w:val="none" w:sz="0" w:space="0" w:color="auto"/>
        <w:bottom w:val="none" w:sz="0" w:space="0" w:color="auto"/>
        <w:right w:val="none" w:sz="0" w:space="0" w:color="auto"/>
      </w:divBdr>
    </w:div>
    <w:div w:id="642008048">
      <w:bodyDiv w:val="1"/>
      <w:marLeft w:val="0"/>
      <w:marRight w:val="0"/>
      <w:marTop w:val="0"/>
      <w:marBottom w:val="0"/>
      <w:divBdr>
        <w:top w:val="none" w:sz="0" w:space="0" w:color="auto"/>
        <w:left w:val="none" w:sz="0" w:space="0" w:color="auto"/>
        <w:bottom w:val="none" w:sz="0" w:space="0" w:color="auto"/>
        <w:right w:val="none" w:sz="0" w:space="0" w:color="auto"/>
      </w:divBdr>
    </w:div>
    <w:div w:id="651324998">
      <w:bodyDiv w:val="1"/>
      <w:marLeft w:val="0"/>
      <w:marRight w:val="0"/>
      <w:marTop w:val="0"/>
      <w:marBottom w:val="0"/>
      <w:divBdr>
        <w:top w:val="none" w:sz="0" w:space="0" w:color="auto"/>
        <w:left w:val="none" w:sz="0" w:space="0" w:color="auto"/>
        <w:bottom w:val="none" w:sz="0" w:space="0" w:color="auto"/>
        <w:right w:val="none" w:sz="0" w:space="0" w:color="auto"/>
      </w:divBdr>
    </w:div>
    <w:div w:id="681400740">
      <w:bodyDiv w:val="1"/>
      <w:marLeft w:val="0"/>
      <w:marRight w:val="0"/>
      <w:marTop w:val="0"/>
      <w:marBottom w:val="0"/>
      <w:divBdr>
        <w:top w:val="none" w:sz="0" w:space="0" w:color="auto"/>
        <w:left w:val="none" w:sz="0" w:space="0" w:color="auto"/>
        <w:bottom w:val="none" w:sz="0" w:space="0" w:color="auto"/>
        <w:right w:val="none" w:sz="0" w:space="0" w:color="auto"/>
      </w:divBdr>
    </w:div>
    <w:div w:id="710154863">
      <w:bodyDiv w:val="1"/>
      <w:marLeft w:val="0"/>
      <w:marRight w:val="0"/>
      <w:marTop w:val="0"/>
      <w:marBottom w:val="0"/>
      <w:divBdr>
        <w:top w:val="none" w:sz="0" w:space="0" w:color="auto"/>
        <w:left w:val="none" w:sz="0" w:space="0" w:color="auto"/>
        <w:bottom w:val="none" w:sz="0" w:space="0" w:color="auto"/>
        <w:right w:val="none" w:sz="0" w:space="0" w:color="auto"/>
      </w:divBdr>
    </w:div>
    <w:div w:id="772282920">
      <w:bodyDiv w:val="1"/>
      <w:marLeft w:val="0"/>
      <w:marRight w:val="0"/>
      <w:marTop w:val="0"/>
      <w:marBottom w:val="0"/>
      <w:divBdr>
        <w:top w:val="none" w:sz="0" w:space="0" w:color="auto"/>
        <w:left w:val="none" w:sz="0" w:space="0" w:color="auto"/>
        <w:bottom w:val="none" w:sz="0" w:space="0" w:color="auto"/>
        <w:right w:val="none" w:sz="0" w:space="0" w:color="auto"/>
      </w:divBdr>
    </w:div>
    <w:div w:id="777337294">
      <w:bodyDiv w:val="1"/>
      <w:marLeft w:val="0"/>
      <w:marRight w:val="0"/>
      <w:marTop w:val="0"/>
      <w:marBottom w:val="0"/>
      <w:divBdr>
        <w:top w:val="none" w:sz="0" w:space="0" w:color="auto"/>
        <w:left w:val="none" w:sz="0" w:space="0" w:color="auto"/>
        <w:bottom w:val="none" w:sz="0" w:space="0" w:color="auto"/>
        <w:right w:val="none" w:sz="0" w:space="0" w:color="auto"/>
      </w:divBdr>
    </w:div>
    <w:div w:id="805976184">
      <w:bodyDiv w:val="1"/>
      <w:marLeft w:val="0"/>
      <w:marRight w:val="0"/>
      <w:marTop w:val="0"/>
      <w:marBottom w:val="0"/>
      <w:divBdr>
        <w:top w:val="none" w:sz="0" w:space="0" w:color="auto"/>
        <w:left w:val="none" w:sz="0" w:space="0" w:color="auto"/>
        <w:bottom w:val="none" w:sz="0" w:space="0" w:color="auto"/>
        <w:right w:val="none" w:sz="0" w:space="0" w:color="auto"/>
      </w:divBdr>
    </w:div>
    <w:div w:id="845094467">
      <w:bodyDiv w:val="1"/>
      <w:marLeft w:val="0"/>
      <w:marRight w:val="0"/>
      <w:marTop w:val="0"/>
      <w:marBottom w:val="0"/>
      <w:divBdr>
        <w:top w:val="none" w:sz="0" w:space="0" w:color="auto"/>
        <w:left w:val="none" w:sz="0" w:space="0" w:color="auto"/>
        <w:bottom w:val="none" w:sz="0" w:space="0" w:color="auto"/>
        <w:right w:val="none" w:sz="0" w:space="0" w:color="auto"/>
      </w:divBdr>
    </w:div>
    <w:div w:id="891425848">
      <w:bodyDiv w:val="1"/>
      <w:marLeft w:val="0"/>
      <w:marRight w:val="0"/>
      <w:marTop w:val="0"/>
      <w:marBottom w:val="0"/>
      <w:divBdr>
        <w:top w:val="none" w:sz="0" w:space="0" w:color="auto"/>
        <w:left w:val="none" w:sz="0" w:space="0" w:color="auto"/>
        <w:bottom w:val="none" w:sz="0" w:space="0" w:color="auto"/>
        <w:right w:val="none" w:sz="0" w:space="0" w:color="auto"/>
      </w:divBdr>
    </w:div>
    <w:div w:id="910191652">
      <w:bodyDiv w:val="1"/>
      <w:marLeft w:val="0"/>
      <w:marRight w:val="0"/>
      <w:marTop w:val="0"/>
      <w:marBottom w:val="0"/>
      <w:divBdr>
        <w:top w:val="none" w:sz="0" w:space="0" w:color="auto"/>
        <w:left w:val="none" w:sz="0" w:space="0" w:color="auto"/>
        <w:bottom w:val="none" w:sz="0" w:space="0" w:color="auto"/>
        <w:right w:val="none" w:sz="0" w:space="0" w:color="auto"/>
      </w:divBdr>
    </w:div>
    <w:div w:id="974142359">
      <w:bodyDiv w:val="1"/>
      <w:marLeft w:val="0"/>
      <w:marRight w:val="0"/>
      <w:marTop w:val="0"/>
      <w:marBottom w:val="0"/>
      <w:divBdr>
        <w:top w:val="none" w:sz="0" w:space="0" w:color="auto"/>
        <w:left w:val="none" w:sz="0" w:space="0" w:color="auto"/>
        <w:bottom w:val="none" w:sz="0" w:space="0" w:color="auto"/>
        <w:right w:val="none" w:sz="0" w:space="0" w:color="auto"/>
      </w:divBdr>
    </w:div>
    <w:div w:id="1050423047">
      <w:bodyDiv w:val="1"/>
      <w:marLeft w:val="0"/>
      <w:marRight w:val="0"/>
      <w:marTop w:val="0"/>
      <w:marBottom w:val="0"/>
      <w:divBdr>
        <w:top w:val="none" w:sz="0" w:space="0" w:color="auto"/>
        <w:left w:val="none" w:sz="0" w:space="0" w:color="auto"/>
        <w:bottom w:val="none" w:sz="0" w:space="0" w:color="auto"/>
        <w:right w:val="none" w:sz="0" w:space="0" w:color="auto"/>
      </w:divBdr>
    </w:div>
    <w:div w:id="1051686882">
      <w:bodyDiv w:val="1"/>
      <w:marLeft w:val="0"/>
      <w:marRight w:val="0"/>
      <w:marTop w:val="0"/>
      <w:marBottom w:val="0"/>
      <w:divBdr>
        <w:top w:val="none" w:sz="0" w:space="0" w:color="auto"/>
        <w:left w:val="none" w:sz="0" w:space="0" w:color="auto"/>
        <w:bottom w:val="none" w:sz="0" w:space="0" w:color="auto"/>
        <w:right w:val="none" w:sz="0" w:space="0" w:color="auto"/>
      </w:divBdr>
    </w:div>
    <w:div w:id="1091698746">
      <w:bodyDiv w:val="1"/>
      <w:marLeft w:val="0"/>
      <w:marRight w:val="0"/>
      <w:marTop w:val="0"/>
      <w:marBottom w:val="0"/>
      <w:divBdr>
        <w:top w:val="none" w:sz="0" w:space="0" w:color="auto"/>
        <w:left w:val="none" w:sz="0" w:space="0" w:color="auto"/>
        <w:bottom w:val="none" w:sz="0" w:space="0" w:color="auto"/>
        <w:right w:val="none" w:sz="0" w:space="0" w:color="auto"/>
      </w:divBdr>
    </w:div>
    <w:div w:id="1121269542">
      <w:bodyDiv w:val="1"/>
      <w:marLeft w:val="0"/>
      <w:marRight w:val="0"/>
      <w:marTop w:val="0"/>
      <w:marBottom w:val="0"/>
      <w:divBdr>
        <w:top w:val="none" w:sz="0" w:space="0" w:color="auto"/>
        <w:left w:val="none" w:sz="0" w:space="0" w:color="auto"/>
        <w:bottom w:val="none" w:sz="0" w:space="0" w:color="auto"/>
        <w:right w:val="none" w:sz="0" w:space="0" w:color="auto"/>
      </w:divBdr>
    </w:div>
    <w:div w:id="1175420544">
      <w:bodyDiv w:val="1"/>
      <w:marLeft w:val="0"/>
      <w:marRight w:val="0"/>
      <w:marTop w:val="0"/>
      <w:marBottom w:val="0"/>
      <w:divBdr>
        <w:top w:val="none" w:sz="0" w:space="0" w:color="auto"/>
        <w:left w:val="none" w:sz="0" w:space="0" w:color="auto"/>
        <w:bottom w:val="none" w:sz="0" w:space="0" w:color="auto"/>
        <w:right w:val="none" w:sz="0" w:space="0" w:color="auto"/>
      </w:divBdr>
    </w:div>
    <w:div w:id="1182891972">
      <w:bodyDiv w:val="1"/>
      <w:marLeft w:val="0"/>
      <w:marRight w:val="0"/>
      <w:marTop w:val="0"/>
      <w:marBottom w:val="0"/>
      <w:divBdr>
        <w:top w:val="none" w:sz="0" w:space="0" w:color="auto"/>
        <w:left w:val="none" w:sz="0" w:space="0" w:color="auto"/>
        <w:bottom w:val="none" w:sz="0" w:space="0" w:color="auto"/>
        <w:right w:val="none" w:sz="0" w:space="0" w:color="auto"/>
      </w:divBdr>
    </w:div>
    <w:div w:id="1206526903">
      <w:bodyDiv w:val="1"/>
      <w:marLeft w:val="0"/>
      <w:marRight w:val="0"/>
      <w:marTop w:val="0"/>
      <w:marBottom w:val="0"/>
      <w:divBdr>
        <w:top w:val="none" w:sz="0" w:space="0" w:color="auto"/>
        <w:left w:val="none" w:sz="0" w:space="0" w:color="auto"/>
        <w:bottom w:val="none" w:sz="0" w:space="0" w:color="auto"/>
        <w:right w:val="none" w:sz="0" w:space="0" w:color="auto"/>
      </w:divBdr>
    </w:div>
    <w:div w:id="1236353446">
      <w:bodyDiv w:val="1"/>
      <w:marLeft w:val="0"/>
      <w:marRight w:val="0"/>
      <w:marTop w:val="0"/>
      <w:marBottom w:val="0"/>
      <w:divBdr>
        <w:top w:val="none" w:sz="0" w:space="0" w:color="auto"/>
        <w:left w:val="none" w:sz="0" w:space="0" w:color="auto"/>
        <w:bottom w:val="none" w:sz="0" w:space="0" w:color="auto"/>
        <w:right w:val="none" w:sz="0" w:space="0" w:color="auto"/>
      </w:divBdr>
    </w:div>
    <w:div w:id="1258367065">
      <w:bodyDiv w:val="1"/>
      <w:marLeft w:val="0"/>
      <w:marRight w:val="0"/>
      <w:marTop w:val="0"/>
      <w:marBottom w:val="0"/>
      <w:divBdr>
        <w:top w:val="none" w:sz="0" w:space="0" w:color="auto"/>
        <w:left w:val="none" w:sz="0" w:space="0" w:color="auto"/>
        <w:bottom w:val="none" w:sz="0" w:space="0" w:color="auto"/>
        <w:right w:val="none" w:sz="0" w:space="0" w:color="auto"/>
      </w:divBdr>
    </w:div>
    <w:div w:id="1271281536">
      <w:bodyDiv w:val="1"/>
      <w:marLeft w:val="0"/>
      <w:marRight w:val="0"/>
      <w:marTop w:val="0"/>
      <w:marBottom w:val="0"/>
      <w:divBdr>
        <w:top w:val="none" w:sz="0" w:space="0" w:color="auto"/>
        <w:left w:val="none" w:sz="0" w:space="0" w:color="auto"/>
        <w:bottom w:val="none" w:sz="0" w:space="0" w:color="auto"/>
        <w:right w:val="none" w:sz="0" w:space="0" w:color="auto"/>
      </w:divBdr>
    </w:div>
    <w:div w:id="1278176945">
      <w:bodyDiv w:val="1"/>
      <w:marLeft w:val="0"/>
      <w:marRight w:val="0"/>
      <w:marTop w:val="0"/>
      <w:marBottom w:val="0"/>
      <w:divBdr>
        <w:top w:val="none" w:sz="0" w:space="0" w:color="auto"/>
        <w:left w:val="none" w:sz="0" w:space="0" w:color="auto"/>
        <w:bottom w:val="none" w:sz="0" w:space="0" w:color="auto"/>
        <w:right w:val="none" w:sz="0" w:space="0" w:color="auto"/>
      </w:divBdr>
    </w:div>
    <w:div w:id="1297298652">
      <w:bodyDiv w:val="1"/>
      <w:marLeft w:val="0"/>
      <w:marRight w:val="0"/>
      <w:marTop w:val="0"/>
      <w:marBottom w:val="0"/>
      <w:divBdr>
        <w:top w:val="none" w:sz="0" w:space="0" w:color="auto"/>
        <w:left w:val="none" w:sz="0" w:space="0" w:color="auto"/>
        <w:bottom w:val="none" w:sz="0" w:space="0" w:color="auto"/>
        <w:right w:val="none" w:sz="0" w:space="0" w:color="auto"/>
      </w:divBdr>
    </w:div>
    <w:div w:id="1398746854">
      <w:bodyDiv w:val="1"/>
      <w:marLeft w:val="0"/>
      <w:marRight w:val="0"/>
      <w:marTop w:val="0"/>
      <w:marBottom w:val="0"/>
      <w:divBdr>
        <w:top w:val="none" w:sz="0" w:space="0" w:color="auto"/>
        <w:left w:val="none" w:sz="0" w:space="0" w:color="auto"/>
        <w:bottom w:val="none" w:sz="0" w:space="0" w:color="auto"/>
        <w:right w:val="none" w:sz="0" w:space="0" w:color="auto"/>
      </w:divBdr>
    </w:div>
    <w:div w:id="1416628472">
      <w:bodyDiv w:val="1"/>
      <w:marLeft w:val="0"/>
      <w:marRight w:val="0"/>
      <w:marTop w:val="0"/>
      <w:marBottom w:val="0"/>
      <w:divBdr>
        <w:top w:val="none" w:sz="0" w:space="0" w:color="auto"/>
        <w:left w:val="none" w:sz="0" w:space="0" w:color="auto"/>
        <w:bottom w:val="none" w:sz="0" w:space="0" w:color="auto"/>
        <w:right w:val="none" w:sz="0" w:space="0" w:color="auto"/>
      </w:divBdr>
    </w:div>
    <w:div w:id="1506214138">
      <w:bodyDiv w:val="1"/>
      <w:marLeft w:val="0"/>
      <w:marRight w:val="0"/>
      <w:marTop w:val="0"/>
      <w:marBottom w:val="0"/>
      <w:divBdr>
        <w:top w:val="none" w:sz="0" w:space="0" w:color="auto"/>
        <w:left w:val="none" w:sz="0" w:space="0" w:color="auto"/>
        <w:bottom w:val="none" w:sz="0" w:space="0" w:color="auto"/>
        <w:right w:val="none" w:sz="0" w:space="0" w:color="auto"/>
      </w:divBdr>
    </w:div>
    <w:div w:id="1532038594">
      <w:bodyDiv w:val="1"/>
      <w:marLeft w:val="0"/>
      <w:marRight w:val="0"/>
      <w:marTop w:val="0"/>
      <w:marBottom w:val="0"/>
      <w:divBdr>
        <w:top w:val="none" w:sz="0" w:space="0" w:color="auto"/>
        <w:left w:val="none" w:sz="0" w:space="0" w:color="auto"/>
        <w:bottom w:val="none" w:sz="0" w:space="0" w:color="auto"/>
        <w:right w:val="none" w:sz="0" w:space="0" w:color="auto"/>
      </w:divBdr>
    </w:div>
    <w:div w:id="1539316361">
      <w:bodyDiv w:val="1"/>
      <w:marLeft w:val="0"/>
      <w:marRight w:val="0"/>
      <w:marTop w:val="0"/>
      <w:marBottom w:val="0"/>
      <w:divBdr>
        <w:top w:val="none" w:sz="0" w:space="0" w:color="auto"/>
        <w:left w:val="none" w:sz="0" w:space="0" w:color="auto"/>
        <w:bottom w:val="none" w:sz="0" w:space="0" w:color="auto"/>
        <w:right w:val="none" w:sz="0" w:space="0" w:color="auto"/>
      </w:divBdr>
    </w:div>
    <w:div w:id="1555316746">
      <w:bodyDiv w:val="1"/>
      <w:marLeft w:val="0"/>
      <w:marRight w:val="0"/>
      <w:marTop w:val="0"/>
      <w:marBottom w:val="0"/>
      <w:divBdr>
        <w:top w:val="none" w:sz="0" w:space="0" w:color="auto"/>
        <w:left w:val="none" w:sz="0" w:space="0" w:color="auto"/>
        <w:bottom w:val="none" w:sz="0" w:space="0" w:color="auto"/>
        <w:right w:val="none" w:sz="0" w:space="0" w:color="auto"/>
      </w:divBdr>
    </w:div>
    <w:div w:id="1566453716">
      <w:bodyDiv w:val="1"/>
      <w:marLeft w:val="0"/>
      <w:marRight w:val="0"/>
      <w:marTop w:val="0"/>
      <w:marBottom w:val="0"/>
      <w:divBdr>
        <w:top w:val="none" w:sz="0" w:space="0" w:color="auto"/>
        <w:left w:val="none" w:sz="0" w:space="0" w:color="auto"/>
        <w:bottom w:val="none" w:sz="0" w:space="0" w:color="auto"/>
        <w:right w:val="none" w:sz="0" w:space="0" w:color="auto"/>
      </w:divBdr>
    </w:div>
    <w:div w:id="1576938972">
      <w:bodyDiv w:val="1"/>
      <w:marLeft w:val="0"/>
      <w:marRight w:val="0"/>
      <w:marTop w:val="0"/>
      <w:marBottom w:val="0"/>
      <w:divBdr>
        <w:top w:val="none" w:sz="0" w:space="0" w:color="auto"/>
        <w:left w:val="none" w:sz="0" w:space="0" w:color="auto"/>
        <w:bottom w:val="none" w:sz="0" w:space="0" w:color="auto"/>
        <w:right w:val="none" w:sz="0" w:space="0" w:color="auto"/>
      </w:divBdr>
    </w:div>
    <w:div w:id="1599871931">
      <w:bodyDiv w:val="1"/>
      <w:marLeft w:val="0"/>
      <w:marRight w:val="0"/>
      <w:marTop w:val="0"/>
      <w:marBottom w:val="0"/>
      <w:divBdr>
        <w:top w:val="none" w:sz="0" w:space="0" w:color="auto"/>
        <w:left w:val="none" w:sz="0" w:space="0" w:color="auto"/>
        <w:bottom w:val="none" w:sz="0" w:space="0" w:color="auto"/>
        <w:right w:val="none" w:sz="0" w:space="0" w:color="auto"/>
      </w:divBdr>
    </w:div>
    <w:div w:id="1725328868">
      <w:bodyDiv w:val="1"/>
      <w:marLeft w:val="0"/>
      <w:marRight w:val="0"/>
      <w:marTop w:val="0"/>
      <w:marBottom w:val="0"/>
      <w:divBdr>
        <w:top w:val="none" w:sz="0" w:space="0" w:color="auto"/>
        <w:left w:val="none" w:sz="0" w:space="0" w:color="auto"/>
        <w:bottom w:val="none" w:sz="0" w:space="0" w:color="auto"/>
        <w:right w:val="none" w:sz="0" w:space="0" w:color="auto"/>
      </w:divBdr>
    </w:div>
    <w:div w:id="1763649724">
      <w:bodyDiv w:val="1"/>
      <w:marLeft w:val="0"/>
      <w:marRight w:val="0"/>
      <w:marTop w:val="0"/>
      <w:marBottom w:val="0"/>
      <w:divBdr>
        <w:top w:val="none" w:sz="0" w:space="0" w:color="auto"/>
        <w:left w:val="none" w:sz="0" w:space="0" w:color="auto"/>
        <w:bottom w:val="none" w:sz="0" w:space="0" w:color="auto"/>
        <w:right w:val="none" w:sz="0" w:space="0" w:color="auto"/>
      </w:divBdr>
    </w:div>
    <w:div w:id="1803376634">
      <w:bodyDiv w:val="1"/>
      <w:marLeft w:val="0"/>
      <w:marRight w:val="0"/>
      <w:marTop w:val="0"/>
      <w:marBottom w:val="0"/>
      <w:divBdr>
        <w:top w:val="none" w:sz="0" w:space="0" w:color="auto"/>
        <w:left w:val="none" w:sz="0" w:space="0" w:color="auto"/>
        <w:bottom w:val="none" w:sz="0" w:space="0" w:color="auto"/>
        <w:right w:val="none" w:sz="0" w:space="0" w:color="auto"/>
      </w:divBdr>
    </w:div>
    <w:div w:id="1827091537">
      <w:bodyDiv w:val="1"/>
      <w:marLeft w:val="0"/>
      <w:marRight w:val="0"/>
      <w:marTop w:val="0"/>
      <w:marBottom w:val="0"/>
      <w:divBdr>
        <w:top w:val="none" w:sz="0" w:space="0" w:color="auto"/>
        <w:left w:val="none" w:sz="0" w:space="0" w:color="auto"/>
        <w:bottom w:val="none" w:sz="0" w:space="0" w:color="auto"/>
        <w:right w:val="none" w:sz="0" w:space="0" w:color="auto"/>
      </w:divBdr>
    </w:div>
    <w:div w:id="1843742508">
      <w:bodyDiv w:val="1"/>
      <w:marLeft w:val="0"/>
      <w:marRight w:val="0"/>
      <w:marTop w:val="0"/>
      <w:marBottom w:val="0"/>
      <w:divBdr>
        <w:top w:val="none" w:sz="0" w:space="0" w:color="auto"/>
        <w:left w:val="none" w:sz="0" w:space="0" w:color="auto"/>
        <w:bottom w:val="none" w:sz="0" w:space="0" w:color="auto"/>
        <w:right w:val="none" w:sz="0" w:space="0" w:color="auto"/>
      </w:divBdr>
    </w:div>
    <w:div w:id="1852908747">
      <w:bodyDiv w:val="1"/>
      <w:marLeft w:val="0"/>
      <w:marRight w:val="0"/>
      <w:marTop w:val="0"/>
      <w:marBottom w:val="0"/>
      <w:divBdr>
        <w:top w:val="none" w:sz="0" w:space="0" w:color="auto"/>
        <w:left w:val="none" w:sz="0" w:space="0" w:color="auto"/>
        <w:bottom w:val="none" w:sz="0" w:space="0" w:color="auto"/>
        <w:right w:val="none" w:sz="0" w:space="0" w:color="auto"/>
      </w:divBdr>
    </w:div>
    <w:div w:id="1866596786">
      <w:bodyDiv w:val="1"/>
      <w:marLeft w:val="0"/>
      <w:marRight w:val="0"/>
      <w:marTop w:val="0"/>
      <w:marBottom w:val="0"/>
      <w:divBdr>
        <w:top w:val="none" w:sz="0" w:space="0" w:color="auto"/>
        <w:left w:val="none" w:sz="0" w:space="0" w:color="auto"/>
        <w:bottom w:val="none" w:sz="0" w:space="0" w:color="auto"/>
        <w:right w:val="none" w:sz="0" w:space="0" w:color="auto"/>
      </w:divBdr>
    </w:div>
    <w:div w:id="1886065995">
      <w:bodyDiv w:val="1"/>
      <w:marLeft w:val="0"/>
      <w:marRight w:val="0"/>
      <w:marTop w:val="0"/>
      <w:marBottom w:val="0"/>
      <w:divBdr>
        <w:top w:val="none" w:sz="0" w:space="0" w:color="auto"/>
        <w:left w:val="none" w:sz="0" w:space="0" w:color="auto"/>
        <w:bottom w:val="none" w:sz="0" w:space="0" w:color="auto"/>
        <w:right w:val="none" w:sz="0" w:space="0" w:color="auto"/>
      </w:divBdr>
    </w:div>
    <w:div w:id="1890068601">
      <w:bodyDiv w:val="1"/>
      <w:marLeft w:val="0"/>
      <w:marRight w:val="0"/>
      <w:marTop w:val="0"/>
      <w:marBottom w:val="0"/>
      <w:divBdr>
        <w:top w:val="none" w:sz="0" w:space="0" w:color="auto"/>
        <w:left w:val="none" w:sz="0" w:space="0" w:color="auto"/>
        <w:bottom w:val="none" w:sz="0" w:space="0" w:color="auto"/>
        <w:right w:val="none" w:sz="0" w:space="0" w:color="auto"/>
      </w:divBdr>
    </w:div>
    <w:div w:id="191176603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79">
          <w:marLeft w:val="0"/>
          <w:marRight w:val="0"/>
          <w:marTop w:val="0"/>
          <w:marBottom w:val="0"/>
          <w:divBdr>
            <w:top w:val="none" w:sz="0" w:space="0" w:color="auto"/>
            <w:left w:val="none" w:sz="0" w:space="0" w:color="auto"/>
            <w:bottom w:val="none" w:sz="0" w:space="0" w:color="auto"/>
            <w:right w:val="none" w:sz="0" w:space="0" w:color="auto"/>
          </w:divBdr>
          <w:divsChild>
            <w:div w:id="199978987">
              <w:marLeft w:val="0"/>
              <w:marRight w:val="0"/>
              <w:marTop w:val="0"/>
              <w:marBottom w:val="0"/>
              <w:divBdr>
                <w:top w:val="none" w:sz="0" w:space="0" w:color="auto"/>
                <w:left w:val="none" w:sz="0" w:space="0" w:color="auto"/>
                <w:bottom w:val="none" w:sz="0" w:space="0" w:color="auto"/>
                <w:right w:val="none" w:sz="0" w:space="0" w:color="auto"/>
              </w:divBdr>
            </w:div>
          </w:divsChild>
        </w:div>
        <w:div w:id="1342781594">
          <w:marLeft w:val="0"/>
          <w:marRight w:val="0"/>
          <w:marTop w:val="0"/>
          <w:marBottom w:val="0"/>
          <w:divBdr>
            <w:top w:val="none" w:sz="0" w:space="0" w:color="auto"/>
            <w:left w:val="none" w:sz="0" w:space="0" w:color="auto"/>
            <w:bottom w:val="none" w:sz="0" w:space="0" w:color="auto"/>
            <w:right w:val="none" w:sz="0" w:space="0" w:color="auto"/>
          </w:divBdr>
        </w:div>
      </w:divsChild>
    </w:div>
    <w:div w:id="1926114083">
      <w:bodyDiv w:val="1"/>
      <w:marLeft w:val="0"/>
      <w:marRight w:val="0"/>
      <w:marTop w:val="0"/>
      <w:marBottom w:val="0"/>
      <w:divBdr>
        <w:top w:val="none" w:sz="0" w:space="0" w:color="auto"/>
        <w:left w:val="none" w:sz="0" w:space="0" w:color="auto"/>
        <w:bottom w:val="none" w:sz="0" w:space="0" w:color="auto"/>
        <w:right w:val="none" w:sz="0" w:space="0" w:color="auto"/>
      </w:divBdr>
    </w:div>
    <w:div w:id="1926761775">
      <w:bodyDiv w:val="1"/>
      <w:marLeft w:val="0"/>
      <w:marRight w:val="0"/>
      <w:marTop w:val="0"/>
      <w:marBottom w:val="0"/>
      <w:divBdr>
        <w:top w:val="none" w:sz="0" w:space="0" w:color="auto"/>
        <w:left w:val="none" w:sz="0" w:space="0" w:color="auto"/>
        <w:bottom w:val="none" w:sz="0" w:space="0" w:color="auto"/>
        <w:right w:val="none" w:sz="0" w:space="0" w:color="auto"/>
      </w:divBdr>
    </w:div>
    <w:div w:id="1942952599">
      <w:bodyDiv w:val="1"/>
      <w:marLeft w:val="0"/>
      <w:marRight w:val="0"/>
      <w:marTop w:val="0"/>
      <w:marBottom w:val="0"/>
      <w:divBdr>
        <w:top w:val="none" w:sz="0" w:space="0" w:color="auto"/>
        <w:left w:val="none" w:sz="0" w:space="0" w:color="auto"/>
        <w:bottom w:val="none" w:sz="0" w:space="0" w:color="auto"/>
        <w:right w:val="none" w:sz="0" w:space="0" w:color="auto"/>
      </w:divBdr>
    </w:div>
    <w:div w:id="1951279690">
      <w:bodyDiv w:val="1"/>
      <w:marLeft w:val="0"/>
      <w:marRight w:val="0"/>
      <w:marTop w:val="0"/>
      <w:marBottom w:val="0"/>
      <w:divBdr>
        <w:top w:val="none" w:sz="0" w:space="0" w:color="auto"/>
        <w:left w:val="none" w:sz="0" w:space="0" w:color="auto"/>
        <w:bottom w:val="none" w:sz="0" w:space="0" w:color="auto"/>
        <w:right w:val="none" w:sz="0" w:space="0" w:color="auto"/>
      </w:divBdr>
    </w:div>
    <w:div w:id="1977031484">
      <w:bodyDiv w:val="1"/>
      <w:marLeft w:val="0"/>
      <w:marRight w:val="0"/>
      <w:marTop w:val="0"/>
      <w:marBottom w:val="0"/>
      <w:divBdr>
        <w:top w:val="none" w:sz="0" w:space="0" w:color="auto"/>
        <w:left w:val="none" w:sz="0" w:space="0" w:color="auto"/>
        <w:bottom w:val="none" w:sz="0" w:space="0" w:color="auto"/>
        <w:right w:val="none" w:sz="0" w:space="0" w:color="auto"/>
      </w:divBdr>
    </w:div>
    <w:div w:id="1993605903">
      <w:bodyDiv w:val="1"/>
      <w:marLeft w:val="0"/>
      <w:marRight w:val="0"/>
      <w:marTop w:val="0"/>
      <w:marBottom w:val="0"/>
      <w:divBdr>
        <w:top w:val="none" w:sz="0" w:space="0" w:color="auto"/>
        <w:left w:val="none" w:sz="0" w:space="0" w:color="auto"/>
        <w:bottom w:val="none" w:sz="0" w:space="0" w:color="auto"/>
        <w:right w:val="none" w:sz="0" w:space="0" w:color="auto"/>
      </w:divBdr>
    </w:div>
    <w:div w:id="2001737196">
      <w:bodyDiv w:val="1"/>
      <w:marLeft w:val="0"/>
      <w:marRight w:val="0"/>
      <w:marTop w:val="0"/>
      <w:marBottom w:val="0"/>
      <w:divBdr>
        <w:top w:val="none" w:sz="0" w:space="0" w:color="auto"/>
        <w:left w:val="none" w:sz="0" w:space="0" w:color="auto"/>
        <w:bottom w:val="none" w:sz="0" w:space="0" w:color="auto"/>
        <w:right w:val="none" w:sz="0" w:space="0" w:color="auto"/>
      </w:divBdr>
    </w:div>
    <w:div w:id="2014799243">
      <w:bodyDiv w:val="1"/>
      <w:marLeft w:val="0"/>
      <w:marRight w:val="0"/>
      <w:marTop w:val="0"/>
      <w:marBottom w:val="0"/>
      <w:divBdr>
        <w:top w:val="none" w:sz="0" w:space="0" w:color="auto"/>
        <w:left w:val="none" w:sz="0" w:space="0" w:color="auto"/>
        <w:bottom w:val="none" w:sz="0" w:space="0" w:color="auto"/>
        <w:right w:val="none" w:sz="0" w:space="0" w:color="auto"/>
      </w:divBdr>
    </w:div>
    <w:div w:id="2015957270">
      <w:bodyDiv w:val="1"/>
      <w:marLeft w:val="0"/>
      <w:marRight w:val="0"/>
      <w:marTop w:val="0"/>
      <w:marBottom w:val="0"/>
      <w:divBdr>
        <w:top w:val="none" w:sz="0" w:space="0" w:color="auto"/>
        <w:left w:val="none" w:sz="0" w:space="0" w:color="auto"/>
        <w:bottom w:val="none" w:sz="0" w:space="0" w:color="auto"/>
        <w:right w:val="none" w:sz="0" w:space="0" w:color="auto"/>
      </w:divBdr>
    </w:div>
    <w:div w:id="2025521376">
      <w:bodyDiv w:val="1"/>
      <w:marLeft w:val="0"/>
      <w:marRight w:val="0"/>
      <w:marTop w:val="0"/>
      <w:marBottom w:val="0"/>
      <w:divBdr>
        <w:top w:val="none" w:sz="0" w:space="0" w:color="auto"/>
        <w:left w:val="none" w:sz="0" w:space="0" w:color="auto"/>
        <w:bottom w:val="none" w:sz="0" w:space="0" w:color="auto"/>
        <w:right w:val="none" w:sz="0" w:space="0" w:color="auto"/>
      </w:divBdr>
    </w:div>
    <w:div w:id="2058894857">
      <w:bodyDiv w:val="1"/>
      <w:marLeft w:val="0"/>
      <w:marRight w:val="0"/>
      <w:marTop w:val="0"/>
      <w:marBottom w:val="0"/>
      <w:divBdr>
        <w:top w:val="none" w:sz="0" w:space="0" w:color="auto"/>
        <w:left w:val="none" w:sz="0" w:space="0" w:color="auto"/>
        <w:bottom w:val="none" w:sz="0" w:space="0" w:color="auto"/>
        <w:right w:val="none" w:sz="0" w:space="0" w:color="auto"/>
      </w:divBdr>
    </w:div>
    <w:div w:id="2071464412">
      <w:bodyDiv w:val="1"/>
      <w:marLeft w:val="0"/>
      <w:marRight w:val="0"/>
      <w:marTop w:val="0"/>
      <w:marBottom w:val="0"/>
      <w:divBdr>
        <w:top w:val="none" w:sz="0" w:space="0" w:color="auto"/>
        <w:left w:val="none" w:sz="0" w:space="0" w:color="auto"/>
        <w:bottom w:val="none" w:sz="0" w:space="0" w:color="auto"/>
        <w:right w:val="none" w:sz="0" w:space="0" w:color="auto"/>
      </w:divBdr>
    </w:div>
    <w:div w:id="2086686384">
      <w:bodyDiv w:val="1"/>
      <w:marLeft w:val="0"/>
      <w:marRight w:val="0"/>
      <w:marTop w:val="0"/>
      <w:marBottom w:val="0"/>
      <w:divBdr>
        <w:top w:val="none" w:sz="0" w:space="0" w:color="auto"/>
        <w:left w:val="none" w:sz="0" w:space="0" w:color="auto"/>
        <w:bottom w:val="none" w:sz="0" w:space="0" w:color="auto"/>
        <w:right w:val="none" w:sz="0" w:space="0" w:color="auto"/>
      </w:divBdr>
    </w:div>
    <w:div w:id="2097480489">
      <w:bodyDiv w:val="1"/>
      <w:marLeft w:val="0"/>
      <w:marRight w:val="0"/>
      <w:marTop w:val="0"/>
      <w:marBottom w:val="0"/>
      <w:divBdr>
        <w:top w:val="none" w:sz="0" w:space="0" w:color="auto"/>
        <w:left w:val="none" w:sz="0" w:space="0" w:color="auto"/>
        <w:bottom w:val="none" w:sz="0" w:space="0" w:color="auto"/>
        <w:right w:val="none" w:sz="0" w:space="0" w:color="auto"/>
      </w:divBdr>
      <w:divsChild>
        <w:div w:id="135028598">
          <w:marLeft w:val="360"/>
          <w:marRight w:val="0"/>
          <w:marTop w:val="0"/>
          <w:marBottom w:val="0"/>
          <w:divBdr>
            <w:top w:val="none" w:sz="0" w:space="0" w:color="auto"/>
            <w:left w:val="none" w:sz="0" w:space="0" w:color="auto"/>
            <w:bottom w:val="none" w:sz="0" w:space="0" w:color="auto"/>
            <w:right w:val="none" w:sz="0" w:space="0" w:color="auto"/>
          </w:divBdr>
        </w:div>
        <w:div w:id="513500025">
          <w:marLeft w:val="1080"/>
          <w:marRight w:val="0"/>
          <w:marTop w:val="0"/>
          <w:marBottom w:val="0"/>
          <w:divBdr>
            <w:top w:val="none" w:sz="0" w:space="0" w:color="auto"/>
            <w:left w:val="none" w:sz="0" w:space="0" w:color="auto"/>
            <w:bottom w:val="none" w:sz="0" w:space="0" w:color="auto"/>
            <w:right w:val="none" w:sz="0" w:space="0" w:color="auto"/>
          </w:divBdr>
        </w:div>
        <w:div w:id="640504861">
          <w:marLeft w:val="1080"/>
          <w:marRight w:val="0"/>
          <w:marTop w:val="0"/>
          <w:marBottom w:val="0"/>
          <w:divBdr>
            <w:top w:val="none" w:sz="0" w:space="0" w:color="auto"/>
            <w:left w:val="none" w:sz="0" w:space="0" w:color="auto"/>
            <w:bottom w:val="none" w:sz="0" w:space="0" w:color="auto"/>
            <w:right w:val="none" w:sz="0" w:space="0" w:color="auto"/>
          </w:divBdr>
        </w:div>
        <w:div w:id="1992129756">
          <w:marLeft w:val="1080"/>
          <w:marRight w:val="0"/>
          <w:marTop w:val="0"/>
          <w:marBottom w:val="0"/>
          <w:divBdr>
            <w:top w:val="none" w:sz="0" w:space="0" w:color="auto"/>
            <w:left w:val="none" w:sz="0" w:space="0" w:color="auto"/>
            <w:bottom w:val="none" w:sz="0" w:space="0" w:color="auto"/>
            <w:right w:val="none" w:sz="0" w:space="0" w:color="auto"/>
          </w:divBdr>
        </w:div>
      </w:divsChild>
    </w:div>
    <w:div w:id="21026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S0fmvwtT3AhWUhv0HHVgGCacQFnoECAIQAQ&amp;url=https://news.un.org/pages/wp-content/uploads/2022/04/UN-GCRG-Brief-1.pdf&amp;usg=AOvVaw0WPUlkW_Cqpd-2PB0HmR9y" TargetMode="External"/><Relationship Id="rId13" Type="http://schemas.openxmlformats.org/officeDocument/2006/relationships/hyperlink" Target="https://www.irena.org/publications/2019/Apr/Global-energy-transformation-A-roadmap-to-2050-2019Edition" TargetMode="External"/><Relationship Id="rId3" Type="http://schemas.openxmlformats.org/officeDocument/2006/relationships/hyperlink" Target="https://energy.ec.europa.eu/topics/infrastructure/trans-european-networks-energy_pl" TargetMode="External"/><Relationship Id="rId7" Type="http://schemas.openxmlformats.org/officeDocument/2006/relationships/hyperlink" Target="https://www.google.com/url?sa=t&amp;rct=j&amp;q=&amp;esrc=s&amp;source=web&amp;cd=&amp;ved=2ahUKEwid0JLOwtT3AhWwgv0HHVBeAp0QFnoECAgQAQ&amp;url=https://unctad.org/system/files/official-document/tdr2021-update1_en.pdf&amp;usg=AOvVaw1q0T_D_CdKLHEmOokFKnji" TargetMode="External"/><Relationship Id="rId12" Type="http://schemas.openxmlformats.org/officeDocument/2006/relationships/hyperlink" Target="https://www.irena.org/publications/2019/Apr/Global-energy-transformation-A-roadmap-to-2050-2019Edition" TargetMode="External"/><Relationship Id="rId17" Type="http://schemas.openxmlformats.org/officeDocument/2006/relationships/hyperlink" Target="https://eur-lex.europa.eu/legal-content/PL/ALL/?uri=CELEX:52021JC0003" TargetMode="External"/><Relationship Id="rId2" Type="http://schemas.openxmlformats.org/officeDocument/2006/relationships/hyperlink" Target="https://ec.europa.eu/commission/presscorner/detail/pl/STATEMENT_22_1989" TargetMode="External"/><Relationship Id="rId16" Type="http://schemas.openxmlformats.org/officeDocument/2006/relationships/hyperlink" Target="https://ec.europa.eu/info/energy-climate-change-environment/standards-tools-and-labels/products-labelling-rules-and-requirements/sustainable-products/about-sustainable-products_pl" TargetMode="External"/><Relationship Id="rId1" Type="http://schemas.openxmlformats.org/officeDocument/2006/relationships/hyperlink" Target="https://ec.europa.eu/commission/presscorner/detail/pl/STATEMENT_22_2041" TargetMode="External"/><Relationship Id="rId6" Type="http://schemas.openxmlformats.org/officeDocument/2006/relationships/hyperlink" Target="https://www.globalmethanepledge.org/" TargetMode="External"/><Relationship Id="rId11" Type="http://schemas.openxmlformats.org/officeDocument/2006/relationships/hyperlink" Target="https://www.irena.org/publications/2022/Mar/World-Energy-Transitions-Outlook-2022" TargetMode="External"/><Relationship Id="rId5" Type="http://schemas.openxmlformats.org/officeDocument/2006/relationships/hyperlink" Target="https://ec.europa.eu/info/law/better-regulation/have-your-say/initiatives/12504-EU-methane-strategy_pl" TargetMode="External"/><Relationship Id="rId15" Type="http://schemas.openxmlformats.org/officeDocument/2006/relationships/hyperlink" Target="https://ec.europa.eu/docsroom/documents/42881" TargetMode="External"/><Relationship Id="rId10" Type="http://schemas.openxmlformats.org/officeDocument/2006/relationships/hyperlink" Target="https://www.irena.org/publications/2022/Mar/World-Energy-Transitions-Outlook-2022" TargetMode="External"/><Relationship Id="rId4" Type="http://schemas.openxmlformats.org/officeDocument/2006/relationships/hyperlink" Target="https://www.iea.org/reports/methane-tracker-2020" TargetMode="External"/><Relationship Id="rId9" Type="http://schemas.openxmlformats.org/officeDocument/2006/relationships/hyperlink" Target="https://news.un.org/pages/global-crisis-response-group/" TargetMode="External"/><Relationship Id="rId14" Type="http://schemas.openxmlformats.org/officeDocument/2006/relationships/hyperlink" Target="https://ec.europa.eu/info/files/communication-global-approach-research-and-innovation_pl"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CF4239AB51A4EB929CA07116AF5D7" ma:contentTypeVersion="4" ma:contentTypeDescription="Create a new document." ma:contentTypeScope="" ma:versionID="611572022f38fd8cdfc00c3437dc0d51">
  <xsd:schema xmlns:xsd="http://www.w3.org/2001/XMLSchema" xmlns:xs="http://www.w3.org/2001/XMLSchema" xmlns:p="http://schemas.microsoft.com/office/2006/metadata/properties" xmlns:ns3="b7f4df02-7fd3-4055-a763-2359051bb332" targetNamespace="http://schemas.microsoft.com/office/2006/metadata/properties" ma:root="true" ma:fieldsID="cb3359c41eeb6b905d908ac8dd0cfc60" ns3:_="">
    <xsd:import namespace="b7f4df02-7fd3-4055-a763-2359051bb3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df02-7fd3-4055-a763-2359051bb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868D-078C-4E17-98B1-AB16831A6CA8}">
  <ds:schemaRefs>
    <ds:schemaRef ds:uri="http://schemas.microsoft.com/sharepoint/v3/contenttype/forms"/>
  </ds:schemaRefs>
</ds:datastoreItem>
</file>

<file path=customXml/itemProps2.xml><?xml version="1.0" encoding="utf-8"?>
<ds:datastoreItem xmlns:ds="http://schemas.openxmlformats.org/officeDocument/2006/customXml" ds:itemID="{9213BBB1-A751-4642-AA6B-F49298E7B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D8970-C7B7-4F6C-89B7-16ADADECE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df02-7fd3-4055-a763-2359051b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4642A-A560-4C5C-B7D2-7C966C6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7895</Words>
  <Characters>53376</Characters>
  <Application>Microsoft Office Word</Application>
  <DocSecurity>0</DocSecurity>
  <Lines>821</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cp:lastPrinted>2022-05-10T09:54:00Z</cp:lastPrinted>
  <dcterms:created xsi:type="dcterms:W3CDTF">2022-05-17T20:33:00Z</dcterms:created>
  <dcterms:modified xsi:type="dcterms:W3CDTF">2022-06-09T15:05:00Z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CP-016</vt:lpwstr>
  </property>
  <property fmtid="{D5CDD505-2E9C-101B-9397-08002B2CF9AE}" pid="7" name="Last edited using">
    <vt:lpwstr>LW 8.0, Build 20220128</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2022-04-24T11:00:37Z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05e13524-d70e-4b76-98d3-6f4f6b3db628</vt:lpwstr>
  </property>
  <property fmtid="{D5CDD505-2E9C-101B-9397-08002B2CF9AE}" pid="15" name="MSIP_Label_6bd9ddd1-4d20-43f6-abfa-fc3c07406f94_ContentBits">
    <vt:lpwstr>0</vt:lpwstr>
  </property>
  <property fmtid="{D5CDD505-2E9C-101B-9397-08002B2CF9AE}" pid="16" name="ContentTypeId">
    <vt:lpwstr>0x010100FA6CF4239AB51A4EB929CA07116AF5D7</vt:lpwstr>
  </property>
</Properties>
</file>