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B070" w14:textId="3DF286C3" w:rsidR="00C17769" w:rsidRDefault="009F05C0" w:rsidP="009F05C0">
      <w:pPr>
        <w:pStyle w:val="Pagedecouverture"/>
        <w:rPr>
          <w:noProof/>
        </w:rPr>
      </w:pPr>
      <w:r>
        <w:rPr>
          <w:noProof/>
        </w:rPr>
        <w:pict w14:anchorId="0EDF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04FA3B7A-C285-4CC6-86F4-70F400C411EC" style="width:455.25pt;height:369.75pt">
            <v:imagedata r:id="rId8" o:title=""/>
          </v:shape>
        </w:pict>
      </w:r>
    </w:p>
    <w:p w14:paraId="1240827F" w14:textId="77777777" w:rsidR="00C17769" w:rsidRDefault="00C17769" w:rsidP="00C17769">
      <w:pPr>
        <w:rPr>
          <w:noProof/>
        </w:rPr>
        <w:sectPr w:rsidR="00C17769" w:rsidSect="009F05C0">
          <w:footerReference w:type="default" r:id="rId9"/>
          <w:pgSz w:w="11907" w:h="16839"/>
          <w:pgMar w:top="1134" w:right="1417" w:bottom="1134" w:left="1417" w:header="709" w:footer="709" w:gutter="0"/>
          <w:pgNumType w:start="0"/>
          <w:cols w:space="720"/>
          <w:docGrid w:linePitch="360"/>
        </w:sectPr>
      </w:pPr>
    </w:p>
    <w:p w14:paraId="4FDAF264" w14:textId="77777777" w:rsidR="00C17769" w:rsidRDefault="00C17769" w:rsidP="00BB6B30">
      <w:pPr>
        <w:pStyle w:val="Exposdesmotifstitre"/>
        <w:rPr>
          <w:noProof/>
        </w:rPr>
      </w:pPr>
      <w:bookmarkStart w:id="0" w:name="_GoBack"/>
      <w:bookmarkEnd w:id="0"/>
      <w:r w:rsidRPr="006F770D">
        <w:rPr>
          <w:noProof/>
        </w:rPr>
        <w:lastRenderedPageBreak/>
        <w:t>EXPLANATORY MEMORANDUM</w:t>
      </w:r>
    </w:p>
    <w:p w14:paraId="1D91BF45" w14:textId="77777777" w:rsidR="00C17769" w:rsidRPr="006F770D" w:rsidRDefault="00C17769" w:rsidP="00BB6B30">
      <w:pPr>
        <w:pStyle w:val="ManualHeading1"/>
        <w:rPr>
          <w:noProof/>
        </w:rPr>
      </w:pPr>
      <w:r w:rsidRPr="00C567EE">
        <w:rPr>
          <w:noProof/>
        </w:rPr>
        <w:t>1.</w:t>
      </w:r>
      <w:r w:rsidRPr="00C567EE">
        <w:rPr>
          <w:noProof/>
        </w:rPr>
        <w:tab/>
      </w:r>
      <w:r w:rsidRPr="006F770D">
        <w:rPr>
          <w:noProof/>
        </w:rPr>
        <w:t>CONTEXT OF THE PROPOSAL</w:t>
      </w:r>
    </w:p>
    <w:p w14:paraId="7B6384D7" w14:textId="77777777" w:rsidR="00C17769" w:rsidRPr="00044058" w:rsidRDefault="00C17769" w:rsidP="00044058">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33EC36F3" w14:textId="46A98DD1" w:rsidR="000A4067" w:rsidRDefault="000A4067" w:rsidP="00E437ED">
      <w:pPr>
        <w:pBdr>
          <w:top w:val="nil"/>
          <w:left w:val="nil"/>
          <w:bottom w:val="nil"/>
          <w:right w:val="nil"/>
          <w:between w:val="nil"/>
          <w:bar w:val="nil"/>
        </w:pBdr>
        <w:spacing w:before="0" w:after="240"/>
        <w:rPr>
          <w:noProof/>
        </w:rPr>
      </w:pPr>
      <w:r>
        <w:rPr>
          <w:noProof/>
        </w:rPr>
        <w:t xml:space="preserve">The attached proposal constitutes the legal instrument for authorising the </w:t>
      </w:r>
      <w:r w:rsidR="00636F7C">
        <w:rPr>
          <w:noProof/>
        </w:rPr>
        <w:t xml:space="preserve">conclusion </w:t>
      </w:r>
      <w:r>
        <w:rPr>
          <w:noProof/>
        </w:rPr>
        <w:t>of the Enhanced Partnership and Cooperation Agreement between the European Union and the Kyrgyz Republic (hereinafter referred to as the 'EPCA' or the 'Agreement').</w:t>
      </w:r>
    </w:p>
    <w:p w14:paraId="0804D216" w14:textId="77777777" w:rsidR="000A4067" w:rsidRDefault="000A4067" w:rsidP="00E437ED">
      <w:pPr>
        <w:pBdr>
          <w:top w:val="nil"/>
          <w:left w:val="nil"/>
          <w:bottom w:val="nil"/>
          <w:right w:val="nil"/>
          <w:between w:val="nil"/>
          <w:bar w:val="nil"/>
        </w:pBdr>
        <w:spacing w:before="0" w:after="240"/>
        <w:rPr>
          <w:noProof/>
        </w:rPr>
      </w:pPr>
      <w:r>
        <w:rPr>
          <w:noProof/>
        </w:rPr>
        <w:t xml:space="preserve">Relations between the European Union (EU) and the Kyrgyz Republic are currently based on the Partnership and Cooperation Agreement (hereinafter referred to as the 'PCA') signed in Brussels on 9 February 1995, which entered into force on 1 July 1999. </w:t>
      </w:r>
    </w:p>
    <w:p w14:paraId="3BFC463F" w14:textId="49419104" w:rsidR="000A4067" w:rsidRDefault="000A4067" w:rsidP="00E437ED">
      <w:pPr>
        <w:pBdr>
          <w:top w:val="nil"/>
          <w:left w:val="nil"/>
          <w:bottom w:val="nil"/>
          <w:right w:val="nil"/>
          <w:between w:val="nil"/>
          <w:bar w:val="nil"/>
        </w:pBdr>
        <w:spacing w:before="0" w:after="240"/>
        <w:rPr>
          <w:noProof/>
        </w:rPr>
      </w:pPr>
      <w:r>
        <w:rPr>
          <w:noProof/>
        </w:rPr>
        <w:t xml:space="preserve">On 21 September 2017, the Council adopted a Decision authorising </w:t>
      </w:r>
      <w:r w:rsidR="0061272D">
        <w:rPr>
          <w:noProof/>
        </w:rPr>
        <w:t xml:space="preserve">the opening of negotiations </w:t>
      </w:r>
      <w:r w:rsidR="0061272D" w:rsidRPr="0077398F">
        <w:rPr>
          <w:noProof/>
        </w:rPr>
        <w:t>with</w:t>
      </w:r>
      <w:r w:rsidR="0061272D" w:rsidRPr="00E437ED">
        <w:rPr>
          <w:noProof/>
        </w:rPr>
        <w:t xml:space="preserve"> </w:t>
      </w:r>
      <w:r w:rsidR="0061272D" w:rsidRPr="0077398F">
        <w:rPr>
          <w:noProof/>
        </w:rPr>
        <w:t xml:space="preserve">the </w:t>
      </w:r>
      <w:r w:rsidR="0061272D">
        <w:rPr>
          <w:noProof/>
        </w:rPr>
        <w:t xml:space="preserve">Kyrgyz </w:t>
      </w:r>
      <w:r w:rsidR="0061272D" w:rsidRPr="0077398F">
        <w:rPr>
          <w:noProof/>
        </w:rPr>
        <w:t>Republic for</w:t>
      </w:r>
      <w:r w:rsidR="0061272D" w:rsidRPr="00E437ED">
        <w:rPr>
          <w:noProof/>
        </w:rPr>
        <w:t xml:space="preserve"> </w:t>
      </w:r>
      <w:r w:rsidR="0061272D" w:rsidRPr="0077398F">
        <w:rPr>
          <w:noProof/>
        </w:rPr>
        <w:t>an</w:t>
      </w:r>
      <w:r>
        <w:rPr>
          <w:noProof/>
        </w:rPr>
        <w:t xml:space="preserve"> Enhanced Partnership and Cooperation Agreement.</w:t>
      </w:r>
      <w:r w:rsidR="00E16F3D">
        <w:rPr>
          <w:noProof/>
        </w:rPr>
        <w:t xml:space="preserve"> The negotiation</w:t>
      </w:r>
      <w:r>
        <w:rPr>
          <w:noProof/>
        </w:rPr>
        <w:t xml:space="preserve"> of the Agreement commenced in December 2017. Following seven </w:t>
      </w:r>
      <w:r w:rsidR="00E16F3D">
        <w:rPr>
          <w:noProof/>
        </w:rPr>
        <w:t xml:space="preserve">negotiating </w:t>
      </w:r>
      <w:r>
        <w:rPr>
          <w:noProof/>
        </w:rPr>
        <w:t>rounds, the European Union and the Kyrgyz Republic finalised the</w:t>
      </w:r>
      <w:r w:rsidR="00E16F3D">
        <w:rPr>
          <w:noProof/>
        </w:rPr>
        <w:t>ir negotiation of</w:t>
      </w:r>
      <w:r>
        <w:rPr>
          <w:noProof/>
        </w:rPr>
        <w:t xml:space="preserve"> the EPCA in June 2019. On 6 July 2019, the text of the EPCA</w:t>
      </w:r>
      <w:r w:rsidR="00E86EC2">
        <w:rPr>
          <w:noProof/>
        </w:rPr>
        <w:t xml:space="preserve"> was initialled</w:t>
      </w:r>
      <w:r>
        <w:rPr>
          <w:noProof/>
        </w:rPr>
        <w:t xml:space="preserve">. </w:t>
      </w:r>
    </w:p>
    <w:p w14:paraId="581FB7D3" w14:textId="53AB5F34" w:rsidR="000A4067" w:rsidRDefault="000A4067" w:rsidP="00E437ED">
      <w:pPr>
        <w:pBdr>
          <w:top w:val="nil"/>
          <w:left w:val="nil"/>
          <w:bottom w:val="nil"/>
          <w:right w:val="nil"/>
          <w:between w:val="nil"/>
          <w:bar w:val="nil"/>
        </w:pBdr>
        <w:spacing w:before="0" w:after="240"/>
        <w:rPr>
          <w:noProof/>
        </w:rPr>
      </w:pPr>
      <w:r>
        <w:rPr>
          <w:noProof/>
        </w:rPr>
        <w:t>The Agreement constitutes an important step towards</w:t>
      </w:r>
      <w:r w:rsidR="00E16F3D">
        <w:rPr>
          <w:noProof/>
        </w:rPr>
        <w:t xml:space="preserve"> </w:t>
      </w:r>
      <w:r w:rsidR="006E39B4">
        <w:rPr>
          <w:noProof/>
        </w:rPr>
        <w:t xml:space="preserve">enhancing </w:t>
      </w:r>
      <w:r w:rsidR="00E16F3D">
        <w:rPr>
          <w:noProof/>
        </w:rPr>
        <w:t>the</w:t>
      </w:r>
      <w:r w:rsidR="006E39B4">
        <w:rPr>
          <w:noProof/>
        </w:rPr>
        <w:t xml:space="preserve"> EU’s</w:t>
      </w:r>
      <w:r>
        <w:rPr>
          <w:noProof/>
        </w:rPr>
        <w:t xml:space="preserve"> political and economic </w:t>
      </w:r>
      <w:r w:rsidR="00E16F3D">
        <w:rPr>
          <w:noProof/>
        </w:rPr>
        <w:t>engagement</w:t>
      </w:r>
      <w:r>
        <w:rPr>
          <w:noProof/>
        </w:rPr>
        <w:t xml:space="preserve"> </w:t>
      </w:r>
      <w:r w:rsidR="006E39B4">
        <w:rPr>
          <w:noProof/>
        </w:rPr>
        <w:t>with</w:t>
      </w:r>
      <w:r>
        <w:rPr>
          <w:noProof/>
        </w:rPr>
        <w:t xml:space="preserve"> Central Asia. It will provide the basis for more effective bilateral engagement </w:t>
      </w:r>
      <w:r w:rsidR="006E39B4">
        <w:rPr>
          <w:noProof/>
        </w:rPr>
        <w:t xml:space="preserve">between </w:t>
      </w:r>
      <w:r>
        <w:rPr>
          <w:noProof/>
        </w:rPr>
        <w:t xml:space="preserve">the EU </w:t>
      </w:r>
      <w:r w:rsidR="006E39B4">
        <w:rPr>
          <w:noProof/>
        </w:rPr>
        <w:t>and</w:t>
      </w:r>
      <w:r>
        <w:rPr>
          <w:noProof/>
        </w:rPr>
        <w:t xml:space="preserve"> the Kyrgyz Republic by strengthening political dialogue and enhancing cooperation </w:t>
      </w:r>
      <w:r w:rsidR="006E39B4">
        <w:rPr>
          <w:noProof/>
        </w:rPr>
        <w:t>across</w:t>
      </w:r>
      <w:r>
        <w:rPr>
          <w:noProof/>
        </w:rPr>
        <w:t xml:space="preserve"> a broad range of areas. The Agreement also </w:t>
      </w:r>
      <w:r w:rsidR="00E16F3D">
        <w:rPr>
          <w:noProof/>
        </w:rPr>
        <w:t>demonstrates</w:t>
      </w:r>
      <w:r>
        <w:rPr>
          <w:noProof/>
        </w:rPr>
        <w:t xml:space="preserve"> that the EU can develop </w:t>
      </w:r>
      <w:r w:rsidR="006E39B4">
        <w:rPr>
          <w:noProof/>
        </w:rPr>
        <w:t>a</w:t>
      </w:r>
      <w:r>
        <w:rPr>
          <w:noProof/>
        </w:rPr>
        <w:t xml:space="preserve"> relationship with a member of the Eurasian Economic Union in a comprehensive way.</w:t>
      </w:r>
    </w:p>
    <w:p w14:paraId="089F7B56" w14:textId="559BE964" w:rsidR="006E39B4" w:rsidRPr="0029266A" w:rsidRDefault="000A4067" w:rsidP="006E39B4">
      <w:pPr>
        <w:pBdr>
          <w:top w:val="nil"/>
          <w:left w:val="nil"/>
          <w:bottom w:val="nil"/>
          <w:right w:val="nil"/>
          <w:between w:val="nil"/>
          <w:bar w:val="nil"/>
        </w:pBdr>
        <w:spacing w:before="0" w:after="240"/>
        <w:rPr>
          <w:rFonts w:eastAsia="Arial Unicode MS"/>
          <w:noProof/>
        </w:rPr>
      </w:pPr>
      <w:r>
        <w:rPr>
          <w:noProof/>
        </w:rPr>
        <w:t xml:space="preserve">The EPCA covers the EU’s standard clauses on human rights, International Criminal Court (ICC), Weapons of Mass Destructions (WMD), Small Arms and Light Weapons (SALW) and counter-terrorism. It also encompasses cooperation in areas such as health, environment, climate change, energy, tax, education and culture, labour, employment and social affairs, science and technology, and transport. The Agreement further addresses legal cooperation, rule of law, money laundering and terrorist financing, organised crime and corruption. The Trade part of the Agreement </w:t>
      </w:r>
      <w:r w:rsidR="00E86EC2">
        <w:rPr>
          <w:noProof/>
        </w:rPr>
        <w:t xml:space="preserve">is expected to </w:t>
      </w:r>
      <w:r>
        <w:rPr>
          <w:noProof/>
        </w:rPr>
        <w:t>ensure</w:t>
      </w:r>
      <w:r w:rsidR="00E86EC2">
        <w:rPr>
          <w:noProof/>
        </w:rPr>
        <w:t xml:space="preserve"> a</w:t>
      </w:r>
      <w:r>
        <w:rPr>
          <w:noProof/>
        </w:rPr>
        <w:t xml:space="preserve"> better regulatory environment for economic operators and will thus bring substantial economic benefits for EU </w:t>
      </w:r>
      <w:r w:rsidR="006E39B4">
        <w:rPr>
          <w:noProof/>
        </w:rPr>
        <w:t>businesses.</w:t>
      </w:r>
      <w:r w:rsidR="006E39B4">
        <w:rPr>
          <w:rFonts w:eastAsia="Arial Unicode MS"/>
          <w:noProof/>
        </w:rPr>
        <w:t xml:space="preserve"> The EPCA does not constitute an initiative within the </w:t>
      </w:r>
      <w:r w:rsidR="00822841">
        <w:rPr>
          <w:rFonts w:eastAsia="Arial Unicode MS"/>
          <w:noProof/>
        </w:rPr>
        <w:t xml:space="preserve">remit of the </w:t>
      </w:r>
      <w:r w:rsidR="006E39B4">
        <w:rPr>
          <w:rFonts w:eastAsia="Arial Unicode MS"/>
          <w:noProof/>
        </w:rPr>
        <w:t>Regulatory Fitness Programme (REFIT).</w:t>
      </w:r>
    </w:p>
    <w:p w14:paraId="26B8A3EF" w14:textId="2AE8D0ED" w:rsidR="00E648E1" w:rsidRDefault="00E648E1" w:rsidP="00E437ED">
      <w:pPr>
        <w:pBdr>
          <w:top w:val="nil"/>
          <w:left w:val="nil"/>
          <w:bottom w:val="nil"/>
          <w:right w:val="nil"/>
          <w:between w:val="nil"/>
          <w:bar w:val="nil"/>
        </w:pBdr>
        <w:spacing w:before="0" w:after="240"/>
        <w:rPr>
          <w:noProof/>
        </w:rPr>
      </w:pPr>
      <w:r w:rsidRPr="0077398F">
        <w:rPr>
          <w:noProof/>
        </w:rPr>
        <w:t>The Agreement sets up an institutional framework composed of the Cooperation Council, Cooperation Committee and Parliamentary Coope</w:t>
      </w:r>
      <w:r>
        <w:rPr>
          <w:noProof/>
        </w:rPr>
        <w:t>ration Committee (see Title VII '</w:t>
      </w:r>
      <w:r w:rsidRPr="00E437ED">
        <w:rPr>
          <w:noProof/>
        </w:rPr>
        <w:t>Institutional, general and final provisions</w:t>
      </w:r>
      <w:r w:rsidRPr="0077398F">
        <w:rPr>
          <w:noProof/>
        </w:rPr>
        <w:t>')</w:t>
      </w:r>
      <w:r>
        <w:rPr>
          <w:noProof/>
        </w:rPr>
        <w:t>, an Intellectual Property Rights Sub-Committee</w:t>
      </w:r>
      <w:r w:rsidR="00822841">
        <w:rPr>
          <w:noProof/>
        </w:rPr>
        <w:t>,</w:t>
      </w:r>
      <w:r>
        <w:rPr>
          <w:noProof/>
        </w:rPr>
        <w:t xml:space="preserve"> and allows for the establishment of sub</w:t>
      </w:r>
      <w:r w:rsidR="00B65A94">
        <w:rPr>
          <w:noProof/>
        </w:rPr>
        <w:t>-</w:t>
      </w:r>
      <w:r>
        <w:rPr>
          <w:noProof/>
        </w:rPr>
        <w:t>committees and other bodies to assist the Cooperation Council</w:t>
      </w:r>
      <w:r w:rsidRPr="0077398F">
        <w:rPr>
          <w:noProof/>
        </w:rPr>
        <w:t xml:space="preserve">. It equally </w:t>
      </w:r>
      <w:r>
        <w:rPr>
          <w:noProof/>
        </w:rPr>
        <w:t>establishes</w:t>
      </w:r>
      <w:r w:rsidRPr="0077398F">
        <w:rPr>
          <w:noProof/>
        </w:rPr>
        <w:t xml:space="preserve"> a </w:t>
      </w:r>
      <w:r>
        <w:rPr>
          <w:noProof/>
        </w:rPr>
        <w:t xml:space="preserve">fulfilment of obligations </w:t>
      </w:r>
      <w:r w:rsidRPr="0077398F">
        <w:rPr>
          <w:noProof/>
        </w:rPr>
        <w:t xml:space="preserve">mechanism to address failure by one of the Parties to </w:t>
      </w:r>
      <w:r>
        <w:rPr>
          <w:noProof/>
        </w:rPr>
        <w:t>fulfil</w:t>
      </w:r>
      <w:r w:rsidRPr="0077398F">
        <w:rPr>
          <w:noProof/>
        </w:rPr>
        <w:t xml:space="preserve"> obligations assumed under </w:t>
      </w:r>
      <w:r>
        <w:rPr>
          <w:noProof/>
        </w:rPr>
        <w:t>the Agreement</w:t>
      </w:r>
      <w:r w:rsidR="0061272D">
        <w:rPr>
          <w:noProof/>
        </w:rPr>
        <w:t>.</w:t>
      </w:r>
    </w:p>
    <w:p w14:paraId="40315211" w14:textId="77777777" w:rsidR="0061272D" w:rsidRDefault="0061272D" w:rsidP="00E437ED">
      <w:pPr>
        <w:pBdr>
          <w:top w:val="nil"/>
          <w:left w:val="nil"/>
          <w:bottom w:val="nil"/>
          <w:right w:val="nil"/>
          <w:between w:val="nil"/>
          <w:bar w:val="nil"/>
        </w:pBdr>
        <w:spacing w:before="0" w:after="240"/>
        <w:rPr>
          <w:noProof/>
        </w:rPr>
      </w:pPr>
      <w:r>
        <w:rPr>
          <w:noProof/>
        </w:rPr>
        <w:t>As of its entry into force, the Agreement supersedes the Partnership and Cooperation Agreement between the European Communities and their Member States, of the one part, and the Kyrgyz Republic, of the other part, signed on 9 February 1995.</w:t>
      </w:r>
    </w:p>
    <w:p w14:paraId="02B2A77F" w14:textId="77777777" w:rsidR="0061272D" w:rsidRDefault="0061272D" w:rsidP="000A4067">
      <w:pPr>
        <w:spacing w:line="276" w:lineRule="auto"/>
        <w:rPr>
          <w:noProof/>
        </w:rPr>
      </w:pPr>
    </w:p>
    <w:p w14:paraId="28D764CD" w14:textId="77777777" w:rsidR="00C17769" w:rsidRPr="002D5EE2" w:rsidRDefault="00C17769" w:rsidP="00044058">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6A42DC1F" w14:textId="0BEDBD43" w:rsidR="000A4067" w:rsidRDefault="000A4067" w:rsidP="000A4067">
      <w:pPr>
        <w:rPr>
          <w:rFonts w:eastAsia="Arial Unicode MS"/>
          <w:noProof/>
        </w:rPr>
      </w:pPr>
      <w:r>
        <w:rPr>
          <w:rFonts w:eastAsia="Arial Unicode MS"/>
          <w:noProof/>
        </w:rPr>
        <w:t xml:space="preserve">The EPCA </w:t>
      </w:r>
      <w:r w:rsidRPr="00986309">
        <w:rPr>
          <w:rFonts w:eastAsia="Arial Unicode MS"/>
          <w:noProof/>
        </w:rPr>
        <w:t>build</w:t>
      </w:r>
      <w:r>
        <w:rPr>
          <w:rFonts w:eastAsia="Arial Unicode MS"/>
          <w:noProof/>
        </w:rPr>
        <w:t>s</w:t>
      </w:r>
      <w:r w:rsidRPr="00986309">
        <w:rPr>
          <w:rFonts w:eastAsia="Arial Unicode MS"/>
          <w:noProof/>
        </w:rPr>
        <w:t xml:space="preserve"> on the ambitions and needs of the Kyrgyz Republic and the EU </w:t>
      </w:r>
      <w:r w:rsidR="00822841">
        <w:rPr>
          <w:rFonts w:eastAsia="Arial Unicode MS"/>
          <w:noProof/>
        </w:rPr>
        <w:t xml:space="preserve">respectively </w:t>
      </w:r>
      <w:r w:rsidRPr="00986309">
        <w:rPr>
          <w:rFonts w:eastAsia="Arial Unicode MS"/>
          <w:noProof/>
        </w:rPr>
        <w:t>to take forward their bilateral relation</w:t>
      </w:r>
      <w:r w:rsidR="00822841">
        <w:rPr>
          <w:rFonts w:eastAsia="Arial Unicode MS"/>
          <w:noProof/>
        </w:rPr>
        <w:t>s</w:t>
      </w:r>
      <w:r w:rsidR="00D76B50">
        <w:rPr>
          <w:rFonts w:eastAsia="Arial Unicode MS"/>
          <w:noProof/>
        </w:rPr>
        <w:t>hip</w:t>
      </w:r>
      <w:r w:rsidRPr="00986309">
        <w:rPr>
          <w:rFonts w:eastAsia="Arial Unicode MS"/>
          <w:noProof/>
        </w:rPr>
        <w:t xml:space="preserve">, in the spirit of the Council conclusions on the EU Central Asia Strategy of 22 June 2017. </w:t>
      </w:r>
      <w:r>
        <w:rPr>
          <w:rFonts w:eastAsia="Arial Unicode MS"/>
          <w:noProof/>
        </w:rPr>
        <w:t xml:space="preserve">The Agreement will contribute to the implementation of the new EU Strategy on Central Asia adopted on 15 May 2019. </w:t>
      </w:r>
    </w:p>
    <w:p w14:paraId="22036E53" w14:textId="78738621" w:rsidR="000A4067" w:rsidRDefault="000A4067" w:rsidP="000A4067">
      <w:pPr>
        <w:rPr>
          <w:noProof/>
          <w:szCs w:val="24"/>
          <w:lang w:bidi="en-US"/>
        </w:rPr>
      </w:pPr>
      <w:r>
        <w:rPr>
          <w:noProof/>
          <w:szCs w:val="24"/>
        </w:rPr>
        <w:t xml:space="preserve">The EPCA </w:t>
      </w:r>
      <w:r w:rsidR="00D76B50">
        <w:rPr>
          <w:noProof/>
          <w:szCs w:val="24"/>
        </w:rPr>
        <w:t xml:space="preserve">modernises </w:t>
      </w:r>
      <w:r>
        <w:rPr>
          <w:noProof/>
          <w:szCs w:val="24"/>
        </w:rPr>
        <w:t xml:space="preserve">the </w:t>
      </w:r>
      <w:r w:rsidR="00D76B50">
        <w:rPr>
          <w:noProof/>
          <w:szCs w:val="24"/>
        </w:rPr>
        <w:t xml:space="preserve">1999 </w:t>
      </w:r>
      <w:r>
        <w:rPr>
          <w:noProof/>
          <w:szCs w:val="24"/>
        </w:rPr>
        <w:t>PCA</w:t>
      </w:r>
      <w:r w:rsidR="00D76B50">
        <w:rPr>
          <w:noProof/>
          <w:szCs w:val="24"/>
        </w:rPr>
        <w:t xml:space="preserve">, extending its scope into </w:t>
      </w:r>
      <w:r w:rsidRPr="008D34D8">
        <w:rPr>
          <w:iCs/>
          <w:noProof/>
          <w:szCs w:val="24"/>
          <w:lang w:bidi="en-US"/>
        </w:rPr>
        <w:t xml:space="preserve">new </w:t>
      </w:r>
      <w:r w:rsidR="00D76B50">
        <w:rPr>
          <w:iCs/>
          <w:noProof/>
          <w:szCs w:val="24"/>
          <w:lang w:bidi="en-US"/>
        </w:rPr>
        <w:t xml:space="preserve">areas of </w:t>
      </w:r>
      <w:r w:rsidRPr="008D34D8">
        <w:rPr>
          <w:iCs/>
          <w:noProof/>
          <w:szCs w:val="24"/>
          <w:lang w:bidi="en-US"/>
        </w:rPr>
        <w:t xml:space="preserve">cooperation and significantly </w:t>
      </w:r>
      <w:r w:rsidR="00D76B50">
        <w:rPr>
          <w:iCs/>
          <w:noProof/>
          <w:szCs w:val="24"/>
          <w:lang w:bidi="en-US"/>
        </w:rPr>
        <w:t>upgrading</w:t>
      </w:r>
      <w:r w:rsidRPr="008D34D8">
        <w:rPr>
          <w:iCs/>
          <w:noProof/>
          <w:szCs w:val="24"/>
          <w:lang w:bidi="en-US"/>
        </w:rPr>
        <w:t xml:space="preserve"> the regulatory framework for our trade and economic relations </w:t>
      </w:r>
      <w:r w:rsidRPr="008D34D8">
        <w:rPr>
          <w:noProof/>
          <w:szCs w:val="24"/>
          <w:lang w:bidi="en-US"/>
        </w:rPr>
        <w:t>in line with the W</w:t>
      </w:r>
      <w:r>
        <w:rPr>
          <w:noProof/>
          <w:szCs w:val="24"/>
          <w:lang w:bidi="en-US"/>
        </w:rPr>
        <w:t xml:space="preserve">orld </w:t>
      </w:r>
      <w:r w:rsidRPr="008D34D8">
        <w:rPr>
          <w:noProof/>
          <w:szCs w:val="24"/>
          <w:lang w:bidi="en-US"/>
        </w:rPr>
        <w:t>T</w:t>
      </w:r>
      <w:r>
        <w:rPr>
          <w:noProof/>
          <w:szCs w:val="24"/>
          <w:lang w:bidi="en-US"/>
        </w:rPr>
        <w:t xml:space="preserve">rade </w:t>
      </w:r>
      <w:r w:rsidRPr="008D34D8">
        <w:rPr>
          <w:noProof/>
          <w:szCs w:val="24"/>
          <w:lang w:bidi="en-US"/>
        </w:rPr>
        <w:t>O</w:t>
      </w:r>
      <w:r>
        <w:rPr>
          <w:noProof/>
          <w:szCs w:val="24"/>
          <w:lang w:bidi="en-US"/>
        </w:rPr>
        <w:t>rganization</w:t>
      </w:r>
      <w:r w:rsidRPr="008D34D8">
        <w:rPr>
          <w:noProof/>
          <w:szCs w:val="24"/>
          <w:lang w:bidi="en-US"/>
        </w:rPr>
        <w:t xml:space="preserve"> </w:t>
      </w:r>
      <w:r>
        <w:rPr>
          <w:noProof/>
          <w:szCs w:val="24"/>
          <w:lang w:bidi="en-US"/>
        </w:rPr>
        <w:t xml:space="preserve">(WTO) </w:t>
      </w:r>
      <w:r w:rsidRPr="008D34D8">
        <w:rPr>
          <w:noProof/>
          <w:szCs w:val="24"/>
          <w:lang w:bidi="en-US"/>
        </w:rPr>
        <w:t>rules and regional economic agreements.</w:t>
      </w:r>
    </w:p>
    <w:p w14:paraId="78AC308E" w14:textId="6665EA35" w:rsidR="000A4067" w:rsidRPr="00986309" w:rsidRDefault="000A4067" w:rsidP="000A4067">
      <w:pPr>
        <w:rPr>
          <w:rFonts w:eastAsia="Arial Unicode MS"/>
          <w:noProof/>
        </w:rPr>
      </w:pPr>
      <w:r>
        <w:rPr>
          <w:rFonts w:eastAsia="Arial Unicode MS"/>
          <w:noProof/>
        </w:rPr>
        <w:t>T</w:t>
      </w:r>
      <w:r w:rsidRPr="00840E8A">
        <w:rPr>
          <w:rFonts w:eastAsia="Arial Unicode MS"/>
          <w:noProof/>
        </w:rPr>
        <w:t>he Agreement, once implemented, will be useful</w:t>
      </w:r>
      <w:r w:rsidR="007F6C84">
        <w:rPr>
          <w:rFonts w:eastAsia="Arial Unicode MS"/>
          <w:noProof/>
        </w:rPr>
        <w:t>ly complemented by the Generalis</w:t>
      </w:r>
      <w:r w:rsidRPr="00840E8A">
        <w:rPr>
          <w:rFonts w:eastAsia="Arial Unicode MS"/>
          <w:noProof/>
        </w:rPr>
        <w:t xml:space="preserve">ed System of Preferences (GSP+) mechanism, from which </w:t>
      </w:r>
      <w:r w:rsidR="007F6C84">
        <w:rPr>
          <w:rFonts w:eastAsia="Arial Unicode MS"/>
          <w:noProof/>
        </w:rPr>
        <w:t xml:space="preserve">the </w:t>
      </w:r>
      <w:r w:rsidRPr="00840E8A">
        <w:rPr>
          <w:rFonts w:eastAsia="Arial Unicode MS"/>
          <w:noProof/>
        </w:rPr>
        <w:t xml:space="preserve">Kyrgyz Republic </w:t>
      </w:r>
      <w:r w:rsidR="007F6C84">
        <w:rPr>
          <w:rFonts w:eastAsia="Arial Unicode MS"/>
          <w:noProof/>
        </w:rPr>
        <w:t xml:space="preserve">has </w:t>
      </w:r>
      <w:r w:rsidRPr="00840E8A">
        <w:rPr>
          <w:rFonts w:eastAsia="Arial Unicode MS"/>
          <w:noProof/>
        </w:rPr>
        <w:t>benefit</w:t>
      </w:r>
      <w:r w:rsidR="007F6C84">
        <w:rPr>
          <w:rFonts w:eastAsia="Arial Unicode MS"/>
          <w:noProof/>
        </w:rPr>
        <w:t xml:space="preserve">ted </w:t>
      </w:r>
      <w:r w:rsidRPr="00840E8A">
        <w:rPr>
          <w:rFonts w:eastAsia="Arial Unicode MS"/>
          <w:noProof/>
        </w:rPr>
        <w:t xml:space="preserve">since 2017. This scheme offers additional tariff preferences in exchange </w:t>
      </w:r>
      <w:r w:rsidR="007F6C84">
        <w:rPr>
          <w:rFonts w:eastAsia="Arial Unicode MS"/>
          <w:noProof/>
        </w:rPr>
        <w:t>for</w:t>
      </w:r>
      <w:r w:rsidRPr="00840E8A">
        <w:rPr>
          <w:rFonts w:eastAsia="Arial Unicode MS"/>
          <w:noProof/>
        </w:rPr>
        <w:t xml:space="preserve"> compliance with 27 core human rights, governance, environment and labour conventions.</w:t>
      </w:r>
    </w:p>
    <w:p w14:paraId="00CF9F97" w14:textId="77777777" w:rsidR="00C17769" w:rsidRPr="002D5EE2" w:rsidRDefault="00C17769" w:rsidP="00A4693B">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382A1BD4" w14:textId="3933173C" w:rsidR="000A4067" w:rsidRPr="00641E61" w:rsidRDefault="000A4067" w:rsidP="000A4067">
      <w:pPr>
        <w:pBdr>
          <w:top w:val="nil"/>
          <w:left w:val="nil"/>
          <w:bottom w:val="nil"/>
          <w:right w:val="nil"/>
          <w:between w:val="nil"/>
          <w:bar w:val="nil"/>
        </w:pBdr>
        <w:spacing w:before="0" w:after="240"/>
        <w:rPr>
          <w:rFonts w:eastAsia="Arial Unicode MS"/>
          <w:noProof/>
        </w:rPr>
      </w:pPr>
      <w:r>
        <w:rPr>
          <w:rFonts w:eastAsia="Arial Unicode MS"/>
          <w:noProof/>
        </w:rPr>
        <w:t xml:space="preserve">The EPCA </w:t>
      </w:r>
      <w:r w:rsidRPr="00641E61">
        <w:rPr>
          <w:rFonts w:eastAsia="Arial Unicode MS"/>
          <w:noProof/>
        </w:rPr>
        <w:t>fully respect</w:t>
      </w:r>
      <w:r>
        <w:rPr>
          <w:rFonts w:eastAsia="Arial Unicode MS"/>
          <w:noProof/>
        </w:rPr>
        <w:t>s</w:t>
      </w:r>
      <w:r w:rsidRPr="00641E61">
        <w:rPr>
          <w:rFonts w:eastAsia="Arial Unicode MS"/>
          <w:noProof/>
        </w:rPr>
        <w:t xml:space="preserve"> the Treaties and preserve the integrity and the autonomy</w:t>
      </w:r>
      <w:r>
        <w:rPr>
          <w:rFonts w:eastAsia="Arial Unicode MS"/>
          <w:noProof/>
        </w:rPr>
        <w:t xml:space="preserve"> of the Union</w:t>
      </w:r>
      <w:r w:rsidR="007F6C84">
        <w:rPr>
          <w:rFonts w:eastAsia="Arial Unicode MS"/>
          <w:noProof/>
        </w:rPr>
        <w:t>’s</w:t>
      </w:r>
      <w:r>
        <w:rPr>
          <w:rFonts w:eastAsia="Arial Unicode MS"/>
          <w:noProof/>
        </w:rPr>
        <w:t xml:space="preserve"> legal order. It</w:t>
      </w:r>
      <w:r w:rsidRPr="00641E61">
        <w:rPr>
          <w:rFonts w:eastAsia="Arial Unicode MS"/>
          <w:noProof/>
        </w:rPr>
        <w:t xml:space="preserve"> promote</w:t>
      </w:r>
      <w:r>
        <w:rPr>
          <w:rFonts w:eastAsia="Arial Unicode MS"/>
          <w:noProof/>
        </w:rPr>
        <w:t>s</w:t>
      </w:r>
      <w:r w:rsidRPr="00641E61">
        <w:rPr>
          <w:rFonts w:eastAsia="Arial Unicode MS"/>
          <w:noProof/>
        </w:rPr>
        <w:t xml:space="preserve"> the values, objectives, and interests of the Union, and ensure the consistency, effectiveness and continuity of its policies and actions. </w:t>
      </w:r>
    </w:p>
    <w:p w14:paraId="427A61CB" w14:textId="77777777" w:rsidR="00C17769" w:rsidRPr="002D5EE2" w:rsidRDefault="00C17769" w:rsidP="00550536">
      <w:pPr>
        <w:pStyle w:val="ManualHeading1"/>
        <w:rPr>
          <w:noProof/>
        </w:rPr>
      </w:pPr>
      <w:r w:rsidRPr="002D5EE2">
        <w:rPr>
          <w:noProof/>
        </w:rPr>
        <w:t>2.</w:t>
      </w:r>
      <w:r w:rsidRPr="002D5EE2">
        <w:rPr>
          <w:noProof/>
        </w:rPr>
        <w:tab/>
        <w:t>LEGAL BASIS, SUBSIDIARITY AND PROPORTIONALITY</w:t>
      </w:r>
    </w:p>
    <w:p w14:paraId="6C067C83" w14:textId="77777777" w:rsidR="00C17769" w:rsidRPr="002D5EE2" w:rsidRDefault="00C17769"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4005A3AF" w14:textId="39727521" w:rsidR="00682A29" w:rsidRPr="00682A29" w:rsidRDefault="007047BE" w:rsidP="00682A29">
      <w:pPr>
        <w:spacing w:before="0" w:after="240"/>
        <w:rPr>
          <w:rFonts w:eastAsia="Arial Unicode MS"/>
          <w:b/>
          <w:bCs/>
          <w:noProof/>
        </w:rPr>
      </w:pPr>
      <w:r>
        <w:rPr>
          <w:rFonts w:eastAsia="Arial Unicode MS"/>
          <w:b/>
          <w:bCs/>
          <w:noProof/>
        </w:rPr>
        <w:t>2.</w:t>
      </w:r>
      <w:r w:rsidR="00682A29" w:rsidRPr="00682A29">
        <w:rPr>
          <w:rFonts w:eastAsia="Arial Unicode MS"/>
          <w:b/>
          <w:bCs/>
          <w:noProof/>
        </w:rPr>
        <w:t>1</w:t>
      </w:r>
      <w:r>
        <w:rPr>
          <w:rFonts w:eastAsia="Arial Unicode MS"/>
          <w:b/>
          <w:bCs/>
          <w:noProof/>
        </w:rPr>
        <w:t>.</w:t>
      </w:r>
      <w:r w:rsidR="00682A29" w:rsidRPr="00682A29">
        <w:rPr>
          <w:rFonts w:eastAsia="Arial Unicode MS"/>
          <w:b/>
          <w:bCs/>
          <w:noProof/>
        </w:rPr>
        <w:t xml:space="preserve"> </w:t>
      </w:r>
      <w:r w:rsidR="00682A29" w:rsidRPr="00682A29">
        <w:rPr>
          <w:rFonts w:eastAsia="Arial Unicode MS"/>
          <w:b/>
          <w:bCs/>
          <w:noProof/>
        </w:rPr>
        <w:tab/>
        <w:t>Substantive legal basis</w:t>
      </w:r>
    </w:p>
    <w:p w14:paraId="33653848" w14:textId="77777777" w:rsidR="00682A29" w:rsidRPr="00682A29" w:rsidRDefault="00682A29" w:rsidP="00682A29">
      <w:pPr>
        <w:spacing w:before="0" w:after="240"/>
        <w:rPr>
          <w:rFonts w:eastAsia="Arial Unicode MS"/>
          <w:noProof/>
        </w:rPr>
      </w:pPr>
      <w:r w:rsidRPr="00682A29">
        <w:rPr>
          <w:rFonts w:eastAsia="Arial Unicode MS"/>
          <w:noProof/>
        </w:rPr>
        <w:t xml:space="preserve">According to the case-law, if examination of an EU measure reveals that it pursues two purposes or that it comprises two components and if one of these is identifiable as the main or predominant purpose or component, whereas the other is merely incidental, the measure must be founded on a single legal basis, namely that required by the main or predominant purpose or component. Exceptionally, if it is established, on the other hand, that the measure simultaneously pursues a number of objectives, or has several components, which are inextricably linked without one being incidental to the other, so that various provisions of the Treaty are applicable, the measure must be founded on the various corresponding legal bases (see, to that effect, judgments of 10 January 2006, </w:t>
      </w:r>
      <w:r w:rsidRPr="00682A29">
        <w:rPr>
          <w:rFonts w:eastAsia="Arial Unicode MS"/>
          <w:i/>
          <w:iCs/>
          <w:noProof/>
        </w:rPr>
        <w:t xml:space="preserve">Commission </w:t>
      </w:r>
      <w:r w:rsidRPr="00682A29">
        <w:rPr>
          <w:rFonts w:eastAsia="Arial Unicode MS"/>
          <w:noProof/>
        </w:rPr>
        <w:t xml:space="preserve">v </w:t>
      </w:r>
      <w:r w:rsidRPr="00682A29">
        <w:rPr>
          <w:rFonts w:eastAsia="Arial Unicode MS"/>
          <w:i/>
          <w:iCs/>
          <w:noProof/>
        </w:rPr>
        <w:t>Parliament and Council</w:t>
      </w:r>
      <w:r w:rsidRPr="00682A29">
        <w:rPr>
          <w:rFonts w:eastAsia="Arial Unicode MS"/>
          <w:noProof/>
        </w:rPr>
        <w:t>, C</w:t>
      </w:r>
      <w:r w:rsidRPr="00682A29">
        <w:rPr>
          <w:rFonts w:eastAsia="Arial Unicode MS"/>
          <w:noProof/>
        </w:rPr>
        <w:noBreakHyphen/>
        <w:t xml:space="preserve">178/03, EU:C:2006:4, paragraphs 42 and 43; of 11 June 2014, </w:t>
      </w:r>
      <w:r w:rsidRPr="00682A29">
        <w:rPr>
          <w:rFonts w:eastAsia="Arial Unicode MS"/>
          <w:i/>
          <w:iCs/>
          <w:noProof/>
        </w:rPr>
        <w:t>Commission</w:t>
      </w:r>
      <w:r w:rsidRPr="00682A29">
        <w:rPr>
          <w:rFonts w:eastAsia="Arial Unicode MS"/>
          <w:noProof/>
        </w:rPr>
        <w:t xml:space="preserve"> v </w:t>
      </w:r>
      <w:r w:rsidRPr="00682A29">
        <w:rPr>
          <w:rFonts w:eastAsia="Arial Unicode MS"/>
          <w:i/>
          <w:iCs/>
          <w:noProof/>
        </w:rPr>
        <w:t>Council</w:t>
      </w:r>
      <w:r w:rsidRPr="00682A29">
        <w:rPr>
          <w:rFonts w:eastAsia="Arial Unicode MS"/>
          <w:noProof/>
        </w:rPr>
        <w:t>, C</w:t>
      </w:r>
      <w:r w:rsidRPr="00682A29">
        <w:rPr>
          <w:rFonts w:eastAsia="Arial Unicode MS"/>
          <w:noProof/>
        </w:rPr>
        <w:noBreakHyphen/>
        <w:t xml:space="preserve">377/12, EU:C:2014:1903, paragraph 34; of 14 June 2016, </w:t>
      </w:r>
      <w:r w:rsidRPr="00682A29">
        <w:rPr>
          <w:rFonts w:eastAsia="Arial Unicode MS"/>
          <w:i/>
          <w:iCs/>
          <w:noProof/>
        </w:rPr>
        <w:t>Parliament</w:t>
      </w:r>
      <w:r w:rsidRPr="00682A29">
        <w:rPr>
          <w:rFonts w:eastAsia="Arial Unicode MS"/>
          <w:noProof/>
        </w:rPr>
        <w:t xml:space="preserve"> v </w:t>
      </w:r>
      <w:r w:rsidRPr="00682A29">
        <w:rPr>
          <w:rFonts w:eastAsia="Arial Unicode MS"/>
          <w:i/>
          <w:iCs/>
          <w:noProof/>
        </w:rPr>
        <w:t>Council</w:t>
      </w:r>
      <w:r w:rsidRPr="00682A29">
        <w:rPr>
          <w:rFonts w:eastAsia="Arial Unicode MS"/>
          <w:noProof/>
        </w:rPr>
        <w:t>, C</w:t>
      </w:r>
      <w:r w:rsidRPr="00682A29">
        <w:rPr>
          <w:rFonts w:eastAsia="Arial Unicode MS"/>
          <w:noProof/>
        </w:rPr>
        <w:noBreakHyphen/>
        <w:t xml:space="preserve">263/14, EU:C:2016:435, paragraph 44; and of 4 September 2018, </w:t>
      </w:r>
      <w:r w:rsidRPr="00682A29">
        <w:rPr>
          <w:rFonts w:eastAsia="Arial Unicode MS"/>
          <w:i/>
          <w:noProof/>
        </w:rPr>
        <w:t>Commission v Council (Kazakhstan)</w:t>
      </w:r>
      <w:r w:rsidRPr="00682A29">
        <w:rPr>
          <w:rFonts w:eastAsia="Arial Unicode MS"/>
          <w:noProof/>
        </w:rPr>
        <w:t>, C-244/17, ECLI:EU:C:2018:662, paragraph 40).</w:t>
      </w:r>
    </w:p>
    <w:p w14:paraId="4FE3B0A4" w14:textId="26F0695B" w:rsidR="000A4067" w:rsidRDefault="00682A29" w:rsidP="000A4067">
      <w:pPr>
        <w:spacing w:before="0" w:after="240"/>
        <w:rPr>
          <w:rFonts w:eastAsia="Arial Unicode MS"/>
          <w:noProof/>
        </w:rPr>
      </w:pPr>
      <w:r w:rsidRPr="00682A29">
        <w:rPr>
          <w:rFonts w:eastAsia="Arial Unicode MS"/>
          <w:noProof/>
        </w:rPr>
        <w:t xml:space="preserve">In this particular case, the Agreement pursues </w:t>
      </w:r>
      <w:r>
        <w:rPr>
          <w:rFonts w:eastAsia="Arial Unicode MS"/>
          <w:noProof/>
        </w:rPr>
        <w:t xml:space="preserve">two main </w:t>
      </w:r>
      <w:r w:rsidRPr="00682A29">
        <w:rPr>
          <w:rFonts w:eastAsia="Arial Unicode MS"/>
          <w:noProof/>
        </w:rPr>
        <w:t xml:space="preserve">objectives and has </w:t>
      </w:r>
      <w:r>
        <w:rPr>
          <w:rFonts w:eastAsia="Arial Unicode MS"/>
          <w:noProof/>
        </w:rPr>
        <w:t xml:space="preserve">two main </w:t>
      </w:r>
      <w:r w:rsidRPr="00682A29">
        <w:rPr>
          <w:rFonts w:eastAsia="Arial Unicode MS"/>
          <w:noProof/>
        </w:rPr>
        <w:t xml:space="preserve">components </w:t>
      </w:r>
      <w:r>
        <w:rPr>
          <w:rFonts w:eastAsia="Arial Unicode MS"/>
          <w:noProof/>
        </w:rPr>
        <w:t>which fall within</w:t>
      </w:r>
      <w:r w:rsidRPr="00682A29">
        <w:rPr>
          <w:rFonts w:eastAsia="Arial Unicode MS"/>
          <w:noProof/>
        </w:rPr>
        <w:t xml:space="preserve"> the area of development cooperation</w:t>
      </w:r>
      <w:r>
        <w:rPr>
          <w:rFonts w:eastAsia="Arial Unicode MS"/>
          <w:noProof/>
        </w:rPr>
        <w:t xml:space="preserve"> and common commercial policy</w:t>
      </w:r>
      <w:r w:rsidRPr="00682A29">
        <w:rPr>
          <w:rFonts w:eastAsia="Arial Unicode MS"/>
          <w:noProof/>
        </w:rPr>
        <w:t>. The legal basis of the proposed decision should therefore be</w:t>
      </w:r>
      <w:r w:rsidR="007F6C84">
        <w:rPr>
          <w:rFonts w:eastAsia="Arial Unicode MS"/>
          <w:noProof/>
        </w:rPr>
        <w:t xml:space="preserve"> </w:t>
      </w:r>
      <w:r w:rsidR="00A12B9A">
        <w:rPr>
          <w:rFonts w:eastAsia="Arial Unicode MS"/>
          <w:noProof/>
        </w:rPr>
        <w:t>Articles 207</w:t>
      </w:r>
      <w:r>
        <w:rPr>
          <w:rFonts w:eastAsia="Arial Unicode MS"/>
          <w:noProof/>
        </w:rPr>
        <w:t xml:space="preserve"> and</w:t>
      </w:r>
      <w:r w:rsidR="000A4067">
        <w:rPr>
          <w:rFonts w:eastAsia="Arial Unicode MS"/>
          <w:noProof/>
        </w:rPr>
        <w:t xml:space="preserve"> 209</w:t>
      </w:r>
      <w:r w:rsidR="000A4067" w:rsidRPr="00057707">
        <w:rPr>
          <w:rStyle w:val="FootnoteReference"/>
          <w:noProof/>
        </w:rPr>
        <w:footnoteReference w:id="1"/>
      </w:r>
      <w:r w:rsidR="000D44E2">
        <w:rPr>
          <w:rFonts w:eastAsia="Arial Unicode MS"/>
          <w:noProof/>
        </w:rPr>
        <w:t xml:space="preserve"> </w:t>
      </w:r>
      <w:r w:rsidR="005A3BCB">
        <w:rPr>
          <w:rFonts w:eastAsia="Arial Unicode MS"/>
          <w:noProof/>
        </w:rPr>
        <w:t>of the Treaty on the Functioning of the European Union (</w:t>
      </w:r>
      <w:r w:rsidR="000A4067">
        <w:rPr>
          <w:rFonts w:eastAsia="Arial Unicode MS"/>
          <w:noProof/>
        </w:rPr>
        <w:t>TFEU</w:t>
      </w:r>
      <w:r w:rsidR="005A3BCB">
        <w:rPr>
          <w:rFonts w:eastAsia="Arial Unicode MS"/>
          <w:noProof/>
        </w:rPr>
        <w:t>)</w:t>
      </w:r>
      <w:r w:rsidR="000A4067">
        <w:rPr>
          <w:rFonts w:eastAsia="Arial Unicode MS"/>
          <w:noProof/>
        </w:rPr>
        <w:t xml:space="preserve">. </w:t>
      </w:r>
    </w:p>
    <w:p w14:paraId="69AB5DD1" w14:textId="7829639A" w:rsidR="0061272D" w:rsidRDefault="00AE1AFD" w:rsidP="00682A29">
      <w:pPr>
        <w:rPr>
          <w:noProof/>
        </w:rPr>
      </w:pPr>
      <w:r w:rsidRPr="00AE1AFD">
        <w:rPr>
          <w:rFonts w:eastAsia="ArialUnicodeMS-Identity-H"/>
          <w:noProof/>
          <w:lang w:eastAsia="en-GB"/>
        </w:rPr>
        <w:t>It is noted that the Agreement does not include areas falling within the competence of the Member States, and therefore does not require the EU Member States to be</w:t>
      </w:r>
      <w:r>
        <w:rPr>
          <w:rFonts w:eastAsia="ArialUnicodeMS-Identity-H"/>
          <w:noProof/>
          <w:lang w:eastAsia="en-GB"/>
        </w:rPr>
        <w:t>come a Party to this Agreement.</w:t>
      </w:r>
    </w:p>
    <w:p w14:paraId="290473BB" w14:textId="2656C409" w:rsidR="00682A29" w:rsidRDefault="00682A29" w:rsidP="00682A29">
      <w:pPr>
        <w:rPr>
          <w:noProof/>
        </w:rPr>
      </w:pPr>
      <w:r>
        <w:rPr>
          <w:b/>
          <w:bCs/>
          <w:noProof/>
          <w:szCs w:val="24"/>
        </w:rPr>
        <w:t>2.2. Procedural legal basis</w:t>
      </w:r>
    </w:p>
    <w:p w14:paraId="528EA21A" w14:textId="5542444B" w:rsidR="00682A29" w:rsidRDefault="00682A29" w:rsidP="00682A29">
      <w:pPr>
        <w:rPr>
          <w:noProof/>
        </w:rPr>
      </w:pPr>
      <w:r>
        <w:rPr>
          <w:noProof/>
        </w:rPr>
        <w:t>Article 218(6)</w:t>
      </w:r>
      <w:r w:rsidR="0010282E">
        <w:rPr>
          <w:noProof/>
        </w:rPr>
        <w:t>(a)</w:t>
      </w:r>
      <w:r>
        <w:rPr>
          <w:noProof/>
        </w:rPr>
        <w:t xml:space="preserve"> TFEU provides for the adoption of a decision </w:t>
      </w:r>
      <w:r w:rsidR="0010282E">
        <w:rPr>
          <w:noProof/>
        </w:rPr>
        <w:t xml:space="preserve">concluding </w:t>
      </w:r>
      <w:r>
        <w:rPr>
          <w:noProof/>
        </w:rPr>
        <w:t>an agreement</w:t>
      </w:r>
      <w:r w:rsidR="0010282E">
        <w:rPr>
          <w:noProof/>
        </w:rPr>
        <w:t xml:space="preserve"> after obtaining consent from the European Parliament</w:t>
      </w:r>
      <w:r>
        <w:rPr>
          <w:noProof/>
        </w:rPr>
        <w:t xml:space="preserve">. </w:t>
      </w:r>
    </w:p>
    <w:p w14:paraId="44EDB35C" w14:textId="151A7A65" w:rsidR="00682A29" w:rsidRDefault="00682A29" w:rsidP="00682A29">
      <w:pPr>
        <w:rPr>
          <w:noProof/>
        </w:rPr>
      </w:pPr>
      <w:r>
        <w:rPr>
          <w:noProof/>
          <w:szCs w:val="24"/>
        </w:rPr>
        <w:t xml:space="preserve">Article 218(8) TFEU provides that the Council is to act by qualified majority except for the circumstances listed in the second subparagraph of Article 218(8) TFEU where  the Council is to act unanimously. Given the fact that the </w:t>
      </w:r>
      <w:r w:rsidR="008340D9">
        <w:rPr>
          <w:noProof/>
          <w:szCs w:val="24"/>
        </w:rPr>
        <w:t xml:space="preserve">two </w:t>
      </w:r>
      <w:r>
        <w:rPr>
          <w:noProof/>
          <w:szCs w:val="24"/>
        </w:rPr>
        <w:t>predominant component</w:t>
      </w:r>
      <w:r w:rsidR="008340D9">
        <w:rPr>
          <w:noProof/>
          <w:szCs w:val="24"/>
        </w:rPr>
        <w:t>s</w:t>
      </w:r>
      <w:r>
        <w:rPr>
          <w:noProof/>
          <w:szCs w:val="24"/>
        </w:rPr>
        <w:t xml:space="preserve"> of the Agreement </w:t>
      </w:r>
      <w:r w:rsidR="008340D9">
        <w:rPr>
          <w:noProof/>
          <w:szCs w:val="24"/>
        </w:rPr>
        <w:t xml:space="preserve">are trade policy and </w:t>
      </w:r>
      <w:r>
        <w:rPr>
          <w:noProof/>
          <w:szCs w:val="24"/>
        </w:rPr>
        <w:t>development cooperation, the voting rule for this particular case is therefore qualified majority.</w:t>
      </w:r>
    </w:p>
    <w:p w14:paraId="19656D07" w14:textId="77777777" w:rsidR="00C17769" w:rsidRPr="002D5EE2" w:rsidRDefault="00C17769" w:rsidP="00A4693B">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63146CCC" w14:textId="306C9F95" w:rsidR="000A4067" w:rsidRPr="00772611" w:rsidRDefault="000A4067" w:rsidP="000A4067">
      <w:pPr>
        <w:pBdr>
          <w:top w:val="nil"/>
          <w:left w:val="nil"/>
          <w:bottom w:val="nil"/>
          <w:right w:val="nil"/>
          <w:between w:val="nil"/>
          <w:bar w:val="nil"/>
        </w:pBdr>
        <w:spacing w:before="0" w:after="240"/>
        <w:rPr>
          <w:noProof/>
        </w:rPr>
      </w:pPr>
      <w:r>
        <w:rPr>
          <w:noProof/>
        </w:rPr>
        <w:t>The A</w:t>
      </w:r>
      <w:r w:rsidRPr="00772611">
        <w:rPr>
          <w:noProof/>
        </w:rPr>
        <w:t>greement cover</w:t>
      </w:r>
      <w:r>
        <w:rPr>
          <w:noProof/>
        </w:rPr>
        <w:t>s</w:t>
      </w:r>
      <w:r w:rsidRPr="00772611">
        <w:rPr>
          <w:noProof/>
        </w:rPr>
        <w:t xml:space="preserve"> matters of EU competence and strengthen</w:t>
      </w:r>
      <w:r w:rsidR="00CB08C8">
        <w:rPr>
          <w:noProof/>
        </w:rPr>
        <w:t>s</w:t>
      </w:r>
      <w:r w:rsidRPr="00772611">
        <w:rPr>
          <w:noProof/>
        </w:rPr>
        <w:t xml:space="preserve"> political dialogue and cooperation between the EU and the Kyrgyz Republic. Therefore</w:t>
      </w:r>
      <w:r>
        <w:rPr>
          <w:noProof/>
        </w:rPr>
        <w:t>,</w:t>
      </w:r>
      <w:r w:rsidRPr="00772611">
        <w:rPr>
          <w:noProof/>
        </w:rPr>
        <w:t xml:space="preserve"> action at EU level, instead of Member States level, is needed. </w:t>
      </w:r>
    </w:p>
    <w:p w14:paraId="219EC459" w14:textId="77777777" w:rsidR="00C17769" w:rsidRDefault="00C1776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62DF55EF" w14:textId="77777777" w:rsidR="000A4067" w:rsidRPr="00550536" w:rsidRDefault="000A4067" w:rsidP="000A4067">
      <w:pPr>
        <w:pBdr>
          <w:top w:val="nil"/>
          <w:left w:val="nil"/>
          <w:bottom w:val="nil"/>
          <w:right w:val="nil"/>
          <w:between w:val="nil"/>
          <w:bar w:val="nil"/>
        </w:pBdr>
        <w:spacing w:before="0" w:after="240"/>
        <w:rPr>
          <w:rFonts w:eastAsia="Arial Unicode MS"/>
          <w:noProof/>
        </w:rPr>
      </w:pPr>
      <w:r>
        <w:rPr>
          <w:rFonts w:eastAsia="Arial Unicode MS"/>
          <w:noProof/>
          <w:lang w:val="en-US"/>
        </w:rPr>
        <w:t>The Agreement</w:t>
      </w:r>
      <w:r w:rsidRPr="00402E83">
        <w:rPr>
          <w:rFonts w:eastAsia="Arial Unicode MS"/>
          <w:noProof/>
        </w:rPr>
        <w:t xml:space="preserve"> </w:t>
      </w:r>
      <w:r>
        <w:rPr>
          <w:rFonts w:eastAsia="Arial Unicode MS"/>
          <w:noProof/>
        </w:rPr>
        <w:t>does</w:t>
      </w:r>
      <w:r w:rsidRPr="00402E83">
        <w:rPr>
          <w:rFonts w:eastAsia="Arial Unicode MS"/>
          <w:noProof/>
        </w:rPr>
        <w:t xml:space="preserve"> not go beyond what is necessary to achieve the </w:t>
      </w:r>
      <w:r w:rsidRPr="00772611">
        <w:rPr>
          <w:rFonts w:eastAsia="Arial Unicode MS"/>
          <w:noProof/>
        </w:rPr>
        <w:t>policy objectives</w:t>
      </w:r>
      <w:r>
        <w:rPr>
          <w:rFonts w:eastAsia="Arial Unicode MS"/>
          <w:noProof/>
        </w:rPr>
        <w:t xml:space="preserve"> of </w:t>
      </w:r>
      <w:r w:rsidRPr="00A24EDA">
        <w:rPr>
          <w:rFonts w:eastAsia="Arial Unicode MS"/>
          <w:noProof/>
        </w:rPr>
        <w:t>strengthen</w:t>
      </w:r>
      <w:r>
        <w:rPr>
          <w:rFonts w:eastAsia="Arial Unicode MS"/>
          <w:noProof/>
        </w:rPr>
        <w:t>ing</w:t>
      </w:r>
      <w:r w:rsidRPr="00A24EDA">
        <w:rPr>
          <w:rFonts w:eastAsia="Arial Unicode MS"/>
          <w:noProof/>
        </w:rPr>
        <w:t xml:space="preserve"> relations between the EU and the Kyrgyz Republic, with a view to furthering democratic reforms, the rule of law and sustainable economic development as a means to increase the stability and security of the Kyrgyz Republic</w:t>
      </w:r>
      <w:r w:rsidRPr="00402E83">
        <w:rPr>
          <w:rFonts w:eastAsia="Arial Unicode MS"/>
          <w:noProof/>
        </w:rPr>
        <w:t>.</w:t>
      </w:r>
      <w:r>
        <w:rPr>
          <w:rFonts w:eastAsia="Arial Unicode MS"/>
          <w:noProof/>
        </w:rPr>
        <w:t xml:space="preserve"> The Agreement</w:t>
      </w:r>
      <w:r w:rsidRPr="00641E61">
        <w:rPr>
          <w:rFonts w:eastAsia="Arial Unicode MS"/>
          <w:noProof/>
        </w:rPr>
        <w:t xml:space="preserve"> will not require the Union to amend its rules, regulations or standards in any regulated area.</w:t>
      </w:r>
    </w:p>
    <w:p w14:paraId="2CF0963B" w14:textId="454C36BD" w:rsidR="00C17769" w:rsidRPr="00550536" w:rsidRDefault="00C17769" w:rsidP="00550536">
      <w:pPr>
        <w:pStyle w:val="ManualHeading1"/>
        <w:rPr>
          <w:noProof/>
        </w:rPr>
      </w:pPr>
      <w:r w:rsidRPr="00550536">
        <w:rPr>
          <w:noProof/>
        </w:rPr>
        <w:t>3.</w:t>
      </w:r>
      <w:r w:rsidRPr="00550536">
        <w:rPr>
          <w:noProof/>
        </w:rPr>
        <w:tab/>
        <w:t>RESULTS OF CONSULTATIONS AND IMPACT ASSESSMENTS</w:t>
      </w:r>
    </w:p>
    <w:p w14:paraId="24C01832" w14:textId="15BF053F" w:rsidR="00C17769" w:rsidRDefault="00C1776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001946B6">
        <w:rPr>
          <w:rFonts w:eastAsia="Arial Unicode MS"/>
          <w:noProof/>
          <w:u w:color="000000"/>
          <w:bdr w:val="nil"/>
          <w:lang w:val="en-US" w:eastAsia="en-GB"/>
        </w:rPr>
        <w:t>C</w:t>
      </w:r>
      <w:r w:rsidRPr="007718A8">
        <w:rPr>
          <w:rFonts w:eastAsia="Arial Unicode MS"/>
          <w:noProof/>
          <w:u w:color="000000"/>
          <w:bdr w:val="nil"/>
          <w:lang w:val="en-US" w:eastAsia="en-GB"/>
        </w:rPr>
        <w:t>onsultations</w:t>
      </w:r>
    </w:p>
    <w:p w14:paraId="786D09EE" w14:textId="77777777" w:rsidR="000A4067" w:rsidRDefault="000A4067" w:rsidP="000A4067">
      <w:pPr>
        <w:spacing w:line="276" w:lineRule="auto"/>
        <w:rPr>
          <w:noProof/>
        </w:rPr>
      </w:pPr>
      <w:r>
        <w:rPr>
          <w:noProof/>
        </w:rPr>
        <w:t xml:space="preserve">The Council has been regularly informed and consulted in the relevant Council Working Party, notably in the the Working Party on Eastern Europe and Central Asia (COEST) and the Trade Policy Committee (TPC), at all stages of the negotiations. </w:t>
      </w:r>
    </w:p>
    <w:p w14:paraId="0A22F284" w14:textId="77777777" w:rsidR="000A4067" w:rsidRDefault="000A4067" w:rsidP="000A4067">
      <w:pPr>
        <w:autoSpaceDE w:val="0"/>
        <w:autoSpaceDN w:val="0"/>
        <w:adjustRightInd w:val="0"/>
        <w:spacing w:after="0" w:line="276" w:lineRule="auto"/>
        <w:rPr>
          <w:noProof/>
          <w:lang w:val="en-US"/>
        </w:rPr>
      </w:pPr>
      <w:r>
        <w:rPr>
          <w:noProof/>
          <w:lang w:val="en-US"/>
        </w:rPr>
        <w:t xml:space="preserve">The European Parliament has been kept regularly and promptly informed throughout the negotiations. </w:t>
      </w:r>
    </w:p>
    <w:p w14:paraId="79BE5996" w14:textId="62B5955D" w:rsidR="000A4067" w:rsidRDefault="000A4067" w:rsidP="000A4067">
      <w:pPr>
        <w:rPr>
          <w:noProof/>
          <w:lang w:val="en-US"/>
        </w:rPr>
      </w:pPr>
      <w:r>
        <w:rPr>
          <w:noProof/>
          <w:lang w:val="en-US"/>
        </w:rPr>
        <w:t xml:space="preserve">The </w:t>
      </w:r>
      <w:r w:rsidR="00622AC4">
        <w:rPr>
          <w:noProof/>
          <w:lang w:val="en-US"/>
        </w:rPr>
        <w:t xml:space="preserve">High Representative </w:t>
      </w:r>
      <w:r>
        <w:rPr>
          <w:noProof/>
          <w:lang w:val="en-US"/>
        </w:rPr>
        <w:t xml:space="preserve">and the Commission consider that the objectives set by the Council in its negotiating directives have been attained, and that the draft Agreement can be submitted for </w:t>
      </w:r>
      <w:r w:rsidR="00E0427A">
        <w:rPr>
          <w:noProof/>
          <w:lang w:val="en-US"/>
        </w:rPr>
        <w:t>conclusion</w:t>
      </w:r>
      <w:r>
        <w:rPr>
          <w:noProof/>
          <w:lang w:val="en-US"/>
        </w:rPr>
        <w:t>.</w:t>
      </w:r>
    </w:p>
    <w:p w14:paraId="167FD312" w14:textId="77777777" w:rsidR="00C17769" w:rsidRDefault="00C17769" w:rsidP="00A4693B">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4596BBEB" w14:textId="242CE102" w:rsidR="003C58FB" w:rsidRDefault="000A4067" w:rsidP="003C58FB">
      <w:pPr>
        <w:pBdr>
          <w:top w:val="nil"/>
          <w:left w:val="nil"/>
          <w:bottom w:val="nil"/>
          <w:right w:val="nil"/>
          <w:between w:val="nil"/>
          <w:bar w:val="nil"/>
        </w:pBdr>
        <w:spacing w:before="0" w:after="240"/>
        <w:rPr>
          <w:rFonts w:eastAsia="Arial Unicode MS"/>
          <w:noProof/>
        </w:rPr>
      </w:pPr>
      <w:r>
        <w:rPr>
          <w:rFonts w:eastAsia="Arial Unicode MS"/>
          <w:noProof/>
        </w:rPr>
        <w:t>An impact assessment has not been carried out, as the Agreement mostly upd</w:t>
      </w:r>
      <w:r w:rsidR="00163923">
        <w:rPr>
          <w:rFonts w:eastAsia="Arial Unicode MS"/>
          <w:noProof/>
        </w:rPr>
        <w:t xml:space="preserve">ates and enhances the existing </w:t>
      </w:r>
      <w:r>
        <w:rPr>
          <w:rFonts w:eastAsia="Arial Unicode MS"/>
          <w:noProof/>
        </w:rPr>
        <w:t xml:space="preserve">PCA, and will therefore not introduce substantial new areas of cooperation which would have a considerable economic, social or environmental impact. </w:t>
      </w:r>
      <w:r w:rsidRPr="004A4DA9">
        <w:rPr>
          <w:rFonts w:eastAsia="Arial Unicode MS"/>
          <w:noProof/>
        </w:rPr>
        <w:t>The expected impact is predominantly political - the EU aims at reinforcing a partner country's political course and at strengthening the political capital of the EU.</w:t>
      </w:r>
      <w:r>
        <w:rPr>
          <w:rFonts w:eastAsia="Arial Unicode MS"/>
          <w:noProof/>
        </w:rPr>
        <w:t xml:space="preserve"> </w:t>
      </w:r>
      <w:r w:rsidRPr="004A4DA9">
        <w:rPr>
          <w:rFonts w:eastAsia="Arial Unicode MS"/>
          <w:noProof/>
        </w:rPr>
        <w:t>There can be positive social consequences in the Kyrgyz Republic related mainly to the envisaged provisions on the rule of law, human rights and security.</w:t>
      </w:r>
      <w:r>
        <w:rPr>
          <w:rFonts w:eastAsia="Arial Unicode MS"/>
          <w:noProof/>
        </w:rPr>
        <w:t xml:space="preserve"> </w:t>
      </w:r>
      <w:r w:rsidRPr="004A4DA9">
        <w:rPr>
          <w:rFonts w:eastAsia="Arial Unicode MS"/>
          <w:noProof/>
        </w:rPr>
        <w:t xml:space="preserve">An increase in trade is </w:t>
      </w:r>
      <w:r>
        <w:rPr>
          <w:rFonts w:eastAsia="Arial Unicode MS"/>
          <w:noProof/>
        </w:rPr>
        <w:t xml:space="preserve">also </w:t>
      </w:r>
      <w:r w:rsidRPr="004A4DA9">
        <w:rPr>
          <w:rFonts w:eastAsia="Arial Unicode MS"/>
          <w:noProof/>
        </w:rPr>
        <w:t>expected as a result of an improved business environment, but does not present any risk to specific industry sectors on either side, as the Kyrgyz Republic and the EU are not competing in the same sectors.</w:t>
      </w:r>
      <w:r>
        <w:rPr>
          <w:rFonts w:eastAsia="Arial Unicode MS"/>
          <w:noProof/>
        </w:rPr>
        <w:t xml:space="preserve"> As stated in the roadmap, c</w:t>
      </w:r>
      <w:r w:rsidRPr="004A4DA9">
        <w:rPr>
          <w:rFonts w:eastAsia="Arial Unicode MS"/>
          <w:noProof/>
        </w:rPr>
        <w:t>arrying-out an impact assessment would not add sufficient value.</w:t>
      </w:r>
    </w:p>
    <w:p w14:paraId="264667B7" w14:textId="77777777" w:rsidR="003C58FB" w:rsidRDefault="003C58FB" w:rsidP="00550536">
      <w:pPr>
        <w:pBdr>
          <w:top w:val="nil"/>
          <w:left w:val="nil"/>
          <w:bottom w:val="nil"/>
          <w:right w:val="nil"/>
          <w:between w:val="nil"/>
          <w:bar w:val="nil"/>
        </w:pBdr>
        <w:spacing w:before="0" w:after="240"/>
        <w:rPr>
          <w:rFonts w:eastAsia="Arial Unicode MS"/>
          <w:noProof/>
        </w:rPr>
        <w:sectPr w:rsidR="003C58FB" w:rsidSect="009F05C0">
          <w:footerReference w:type="default" r:id="rId10"/>
          <w:footerReference w:type="first" r:id="rId11"/>
          <w:pgSz w:w="11907" w:h="16839"/>
          <w:pgMar w:top="1134" w:right="1417" w:bottom="1134" w:left="1417" w:header="709" w:footer="709" w:gutter="0"/>
          <w:cols w:space="708"/>
          <w:docGrid w:linePitch="360"/>
        </w:sectPr>
      </w:pPr>
    </w:p>
    <w:p w14:paraId="4E3BDC62" w14:textId="0D0559FD" w:rsidR="00276136" w:rsidRDefault="00276136" w:rsidP="00276136">
      <w:pPr>
        <w:pStyle w:val="Rfrenceinterinstitutionnelle"/>
        <w:rPr>
          <w:noProof/>
        </w:rPr>
      </w:pPr>
      <w:r w:rsidRPr="00276136">
        <w:t>2022/0184 (NLE)</w:t>
      </w:r>
    </w:p>
    <w:p w14:paraId="6D9B8D0E" w14:textId="467D4138" w:rsidR="00C17769" w:rsidRPr="00FD40BA" w:rsidRDefault="00DF4C87" w:rsidP="00E70A37">
      <w:pPr>
        <w:pStyle w:val="Statut"/>
        <w:rPr>
          <w:noProof/>
        </w:rPr>
      </w:pPr>
      <w:r w:rsidRPr="00DF4C87">
        <w:rPr>
          <w:noProof/>
        </w:rPr>
        <w:t>Proposal for a</w:t>
      </w:r>
    </w:p>
    <w:p w14:paraId="037F44CE" w14:textId="3083675D" w:rsidR="00C17769" w:rsidRPr="00FD40BA" w:rsidRDefault="00DF4C87" w:rsidP="00E70A37">
      <w:pPr>
        <w:pStyle w:val="Typedudocument"/>
        <w:rPr>
          <w:noProof/>
        </w:rPr>
      </w:pPr>
      <w:r w:rsidRPr="00DF4C87">
        <w:rPr>
          <w:noProof/>
        </w:rPr>
        <w:t>COUNCIL DECISION</w:t>
      </w:r>
    </w:p>
    <w:p w14:paraId="447F49E9" w14:textId="22AD9D26" w:rsidR="00C17769" w:rsidRPr="00FD40BA" w:rsidRDefault="00DF4C87" w:rsidP="00DF4C87">
      <w:pPr>
        <w:pStyle w:val="Titreobjet"/>
        <w:rPr>
          <w:noProof/>
        </w:rPr>
      </w:pPr>
      <w:r w:rsidRPr="00DF4C87">
        <w:rPr>
          <w:noProof/>
        </w:rPr>
        <w:t>on the conclusion, on behalf of the European Union, of the Enhanced Partnership and Cooperation Agreement between the European Union, of the one part, and the Kyrgyz Republic, of the other part</w:t>
      </w:r>
    </w:p>
    <w:p w14:paraId="62433686" w14:textId="77777777" w:rsidR="00C17769" w:rsidRPr="00FD40BA" w:rsidRDefault="00C17769" w:rsidP="00197315">
      <w:pPr>
        <w:pStyle w:val="Institutionquiagit"/>
        <w:rPr>
          <w:noProof/>
        </w:rPr>
      </w:pPr>
      <w:r w:rsidRPr="00FD40BA">
        <w:rPr>
          <w:noProof/>
        </w:rPr>
        <w:t xml:space="preserve">THE COUNCIL OF THE EUROPEAN </w:t>
      </w:r>
      <w:smartTag w:uri="urn:schemas-microsoft-com:office:smarttags" w:element="place">
        <w:r w:rsidRPr="00FD40BA">
          <w:rPr>
            <w:noProof/>
          </w:rPr>
          <w:t>UNION</w:t>
        </w:r>
      </w:smartTag>
      <w:r w:rsidRPr="00FD40BA">
        <w:rPr>
          <w:noProof/>
        </w:rPr>
        <w:t>,</w:t>
      </w:r>
    </w:p>
    <w:p w14:paraId="6DD724E5" w14:textId="6F66B4EE" w:rsidR="0014280A" w:rsidRDefault="0014280A" w:rsidP="0014280A">
      <w:pPr>
        <w:rPr>
          <w:rFonts w:eastAsia="Times New Roman"/>
          <w:noProof/>
          <w:szCs w:val="24"/>
        </w:rPr>
      </w:pPr>
      <w:r>
        <w:rPr>
          <w:rFonts w:eastAsia="Times New Roman"/>
          <w:noProof/>
          <w:szCs w:val="24"/>
        </w:rPr>
        <w:t>Having regard to the Treaty on the Functioning of the European Union, and in particular Articles 207 and 209, in conjunction with Article 218(6)(a)</w:t>
      </w:r>
      <w:r w:rsidR="00402279">
        <w:rPr>
          <w:rFonts w:eastAsia="Times New Roman"/>
          <w:noProof/>
          <w:szCs w:val="24"/>
        </w:rPr>
        <w:t xml:space="preserve"> and Article 218(7)</w:t>
      </w:r>
      <w:r w:rsidR="006C1223">
        <w:rPr>
          <w:rFonts w:eastAsia="Times New Roman"/>
          <w:noProof/>
          <w:szCs w:val="24"/>
        </w:rPr>
        <w:t>,</w:t>
      </w:r>
    </w:p>
    <w:p w14:paraId="71AF47B8" w14:textId="05345534" w:rsidR="0014280A" w:rsidRDefault="0014280A" w:rsidP="0014280A">
      <w:pPr>
        <w:rPr>
          <w:rFonts w:eastAsia="Times New Roman"/>
          <w:noProof/>
          <w:szCs w:val="24"/>
        </w:rPr>
      </w:pPr>
      <w:r>
        <w:rPr>
          <w:rFonts w:eastAsia="Times New Roman"/>
          <w:noProof/>
          <w:szCs w:val="24"/>
        </w:rPr>
        <w:t>Having regard to the proposal by the European Commission,</w:t>
      </w:r>
    </w:p>
    <w:p w14:paraId="6C5F58A6" w14:textId="77777777" w:rsidR="0014280A" w:rsidRDefault="0014280A" w:rsidP="0014280A">
      <w:pPr>
        <w:rPr>
          <w:noProof/>
        </w:rPr>
      </w:pPr>
      <w:r>
        <w:rPr>
          <w:rFonts w:eastAsia="Times New Roman"/>
          <w:noProof/>
          <w:szCs w:val="24"/>
        </w:rPr>
        <w:t>Having regard to the consent of the European Parliament,</w:t>
      </w:r>
    </w:p>
    <w:p w14:paraId="20D8CD6B" w14:textId="77777777" w:rsidR="00C17769" w:rsidRPr="00FD40BA" w:rsidRDefault="00C17769" w:rsidP="00197315">
      <w:pPr>
        <w:rPr>
          <w:noProof/>
        </w:rPr>
      </w:pPr>
      <w:r w:rsidRPr="00FD40BA">
        <w:rPr>
          <w:noProof/>
        </w:rPr>
        <w:t>Whereas:</w:t>
      </w:r>
    </w:p>
    <w:p w14:paraId="384D581D" w14:textId="633EE50C" w:rsidR="00542171" w:rsidRDefault="00693073" w:rsidP="00693073">
      <w:pPr>
        <w:pStyle w:val="ManualConsidrant"/>
        <w:rPr>
          <w:noProof/>
        </w:rPr>
      </w:pPr>
      <w:r w:rsidRPr="00693073">
        <w:t>(1)</w:t>
      </w:r>
      <w:r w:rsidRPr="00693073">
        <w:tab/>
      </w:r>
      <w:r w:rsidR="00542171">
        <w:rPr>
          <w:noProof/>
        </w:rPr>
        <w:t xml:space="preserve">In accordance with Council Decision (EU) , the Enhanced Partnership and Cooperation Agreement between the European Union and its Member States, of the one part, and the Kyrgyz Republic, of the other part, was signed on </w:t>
      </w:r>
      <w:r w:rsidR="00D34767">
        <w:rPr>
          <w:noProof/>
        </w:rPr>
        <w:t>, subject to its conclusion,</w:t>
      </w:r>
    </w:p>
    <w:p w14:paraId="0A3A2D00" w14:textId="52376D47" w:rsidR="00542171" w:rsidRDefault="00693073" w:rsidP="00693073">
      <w:pPr>
        <w:pStyle w:val="ManualConsidrant"/>
        <w:rPr>
          <w:noProof/>
        </w:rPr>
      </w:pPr>
      <w:r w:rsidRPr="00693073">
        <w:t>(2)</w:t>
      </w:r>
      <w:r w:rsidRPr="00693073">
        <w:tab/>
      </w:r>
      <w:r w:rsidR="00542171">
        <w:rPr>
          <w:noProof/>
        </w:rPr>
        <w:t xml:space="preserve">The Agreement constitutes an important step towards the increased political and economic </w:t>
      </w:r>
      <w:r w:rsidR="004556AB">
        <w:rPr>
          <w:noProof/>
        </w:rPr>
        <w:t xml:space="preserve">engagement </w:t>
      </w:r>
      <w:r w:rsidR="00542171">
        <w:rPr>
          <w:noProof/>
        </w:rPr>
        <w:t>of the European Union in Central Asia. By strengthening political dialogue and improving cooperation in a broad range of areas, it will provide the basis for more effective bilateral enga</w:t>
      </w:r>
      <w:r w:rsidR="00C01F9C">
        <w:rPr>
          <w:noProof/>
        </w:rPr>
        <w:t>gement with the Kyrgyz Republic,</w:t>
      </w:r>
    </w:p>
    <w:p w14:paraId="74DD1204" w14:textId="686DAA9E" w:rsidR="00542171" w:rsidRDefault="00693073" w:rsidP="00693073">
      <w:pPr>
        <w:pStyle w:val="ManualConsidrant"/>
        <w:rPr>
          <w:noProof/>
        </w:rPr>
      </w:pPr>
      <w:r w:rsidRPr="00693073">
        <w:t>(3)</w:t>
      </w:r>
      <w:r w:rsidRPr="00693073">
        <w:tab/>
      </w:r>
      <w:r w:rsidR="00542171">
        <w:rPr>
          <w:noProof/>
        </w:rPr>
        <w:t>The Agreement should be approved on behalf of the European Union,</w:t>
      </w:r>
    </w:p>
    <w:p w14:paraId="60092C6C" w14:textId="4DEDBDF0" w:rsidR="00C17769" w:rsidRPr="00FD40BA" w:rsidRDefault="00C17769" w:rsidP="00197315">
      <w:pPr>
        <w:pStyle w:val="Formuledadoption"/>
        <w:rPr>
          <w:noProof/>
        </w:rPr>
      </w:pPr>
      <w:r w:rsidRPr="00FD40BA">
        <w:rPr>
          <w:noProof/>
        </w:rPr>
        <w:t xml:space="preserve">HAS ADOPTED THIS DECISION: </w:t>
      </w:r>
    </w:p>
    <w:p w14:paraId="5AFA0692" w14:textId="77777777" w:rsidR="00C17769" w:rsidRPr="00FD40BA" w:rsidRDefault="00C17769" w:rsidP="00197315">
      <w:pPr>
        <w:pStyle w:val="Titrearticle"/>
        <w:rPr>
          <w:noProof/>
        </w:rPr>
      </w:pPr>
      <w:r w:rsidRPr="00FD40BA">
        <w:rPr>
          <w:noProof/>
        </w:rPr>
        <w:t>Article 1</w:t>
      </w:r>
    </w:p>
    <w:p w14:paraId="44DAF8FD" w14:textId="66472408" w:rsidR="00542171" w:rsidRDefault="00542171" w:rsidP="00542171">
      <w:pPr>
        <w:rPr>
          <w:rFonts w:eastAsia="Times New Roman"/>
          <w:noProof/>
          <w:szCs w:val="24"/>
        </w:rPr>
      </w:pPr>
      <w:r>
        <w:rPr>
          <w:rFonts w:eastAsia="Times New Roman"/>
          <w:noProof/>
          <w:szCs w:val="24"/>
          <w:lang w:val="en"/>
        </w:rPr>
        <w:t>The Enhanced Partnership and Cooperation Agreement between the European Union, of the one part, and the Kyrgyz Republic, of the other part, is hereby approved on behalf of the European Union.</w:t>
      </w:r>
    </w:p>
    <w:p w14:paraId="1F8ED59B" w14:textId="77777777" w:rsidR="00542171" w:rsidRDefault="00542171" w:rsidP="00542171">
      <w:pPr>
        <w:rPr>
          <w:rFonts w:eastAsia="Times New Roman"/>
          <w:noProof/>
          <w:szCs w:val="24"/>
        </w:rPr>
      </w:pPr>
      <w:r>
        <w:rPr>
          <w:rFonts w:eastAsia="Times New Roman"/>
          <w:noProof/>
          <w:szCs w:val="24"/>
        </w:rPr>
        <w:t>The text of the Agreement is attached to this Decision.</w:t>
      </w:r>
    </w:p>
    <w:p w14:paraId="45A57107" w14:textId="77777777" w:rsidR="00542171" w:rsidRDefault="00542171" w:rsidP="00542171">
      <w:pPr>
        <w:pStyle w:val="Titrearticle"/>
        <w:rPr>
          <w:noProof/>
        </w:rPr>
      </w:pPr>
      <w:r>
        <w:rPr>
          <w:noProof/>
        </w:rPr>
        <w:t>Article 2</w:t>
      </w:r>
    </w:p>
    <w:p w14:paraId="76EDEB96" w14:textId="2F270E3D" w:rsidR="00542171" w:rsidRPr="006C1223" w:rsidRDefault="00542171" w:rsidP="00542171">
      <w:pPr>
        <w:rPr>
          <w:rFonts w:eastAsia="Times New Roman"/>
          <w:noProof/>
          <w:szCs w:val="24"/>
          <w:lang w:val="en"/>
        </w:rPr>
      </w:pPr>
      <w:r>
        <w:rPr>
          <w:rFonts w:eastAsia="Times New Roman"/>
          <w:noProof/>
          <w:szCs w:val="24"/>
          <w:lang w:val="en"/>
        </w:rPr>
        <w:t xml:space="preserve">The President of the Council shall designate the person(s) empowered to </w:t>
      </w:r>
      <w:r w:rsidR="00F71C2C">
        <w:rPr>
          <w:rFonts w:eastAsia="Times New Roman"/>
          <w:noProof/>
          <w:szCs w:val="24"/>
          <w:lang w:val="en"/>
        </w:rPr>
        <w:t>proceed</w:t>
      </w:r>
      <w:r>
        <w:rPr>
          <w:rFonts w:eastAsia="Times New Roman"/>
          <w:noProof/>
          <w:szCs w:val="24"/>
          <w:lang w:val="en"/>
        </w:rPr>
        <w:t xml:space="preserve">, on behalf of the European Union, </w:t>
      </w:r>
      <w:r w:rsidR="00F71C2C">
        <w:rPr>
          <w:rFonts w:eastAsia="Times New Roman"/>
          <w:noProof/>
          <w:szCs w:val="24"/>
          <w:lang w:val="en"/>
        </w:rPr>
        <w:t xml:space="preserve">to </w:t>
      </w:r>
      <w:r>
        <w:rPr>
          <w:rFonts w:eastAsia="Times New Roman"/>
          <w:noProof/>
          <w:szCs w:val="24"/>
          <w:lang w:val="en"/>
        </w:rPr>
        <w:t xml:space="preserve">the notification provided for in </w:t>
      </w:r>
      <w:r w:rsidR="00683742" w:rsidRPr="00683742">
        <w:rPr>
          <w:rFonts w:eastAsia="Times New Roman"/>
          <w:noProof/>
          <w:szCs w:val="24"/>
          <w:lang w:val="en"/>
        </w:rPr>
        <w:t>Article 31</w:t>
      </w:r>
      <w:r w:rsidR="00260748">
        <w:rPr>
          <w:rFonts w:eastAsia="Times New Roman"/>
          <w:noProof/>
          <w:szCs w:val="24"/>
          <w:lang w:val="en"/>
        </w:rPr>
        <w:t>8</w:t>
      </w:r>
      <w:r>
        <w:rPr>
          <w:rFonts w:eastAsia="Times New Roman"/>
          <w:noProof/>
          <w:szCs w:val="24"/>
          <w:lang w:val="en"/>
        </w:rPr>
        <w:t xml:space="preserve"> of the Agreement in order to express the consent of the European Union to be </w:t>
      </w:r>
      <w:r w:rsidRPr="006C1223">
        <w:rPr>
          <w:rFonts w:eastAsia="Times New Roman"/>
          <w:noProof/>
          <w:szCs w:val="24"/>
          <w:lang w:val="en"/>
        </w:rPr>
        <w:t>bound by the Agreement.</w:t>
      </w:r>
    </w:p>
    <w:p w14:paraId="16DAFA58" w14:textId="77777777" w:rsidR="00C17769" w:rsidRPr="006C1223" w:rsidRDefault="00C17769" w:rsidP="00E70A37">
      <w:pPr>
        <w:pStyle w:val="Titrearticle"/>
        <w:rPr>
          <w:noProof/>
        </w:rPr>
      </w:pPr>
      <w:r w:rsidRPr="006C1223">
        <w:rPr>
          <w:noProof/>
        </w:rPr>
        <w:t>A</w:t>
      </w:r>
      <w:r w:rsidR="00542171" w:rsidRPr="006C1223">
        <w:rPr>
          <w:noProof/>
        </w:rPr>
        <w:t>rticle 3</w:t>
      </w:r>
    </w:p>
    <w:p w14:paraId="5D8D7E99" w14:textId="1BD541E6" w:rsidR="004B40EF" w:rsidRPr="006C1223" w:rsidRDefault="004B40EF" w:rsidP="00B65F4D">
      <w:pPr>
        <w:rPr>
          <w:noProof/>
        </w:rPr>
      </w:pPr>
      <w:r w:rsidRPr="006A1066">
        <w:rPr>
          <w:noProof/>
        </w:rPr>
        <w:t xml:space="preserve">For the purposes of Article </w:t>
      </w:r>
      <w:r w:rsidRPr="006C1223">
        <w:rPr>
          <w:noProof/>
        </w:rPr>
        <w:t xml:space="preserve">27.2 (a) (ii) </w:t>
      </w:r>
      <w:r w:rsidRPr="006A1066">
        <w:rPr>
          <w:noProof/>
        </w:rPr>
        <w:t xml:space="preserve">of the Agreement, modifications to the Agreement through decisions related to geographical indications of the </w:t>
      </w:r>
      <w:r w:rsidRPr="006C1223">
        <w:rPr>
          <w:noProof/>
        </w:rPr>
        <w:t xml:space="preserve">Cooperation Council acting in its trade configuration </w:t>
      </w:r>
      <w:r w:rsidRPr="006A1066">
        <w:rPr>
          <w:noProof/>
        </w:rPr>
        <w:t>shall be approved by the Commission on behalf of the Union. Where interested parties cannot reach an agreement following objections relating to a geographical indication, the Commission shall adopt a position on the basis of the procedure laid down in Article 57(2) of Regulation (EU) No 1151/2012 of the European Parliament and of the Council.</w:t>
      </w:r>
    </w:p>
    <w:p w14:paraId="183EA148" w14:textId="77777777" w:rsidR="004B40EF" w:rsidRPr="006A1066" w:rsidRDefault="004B40EF" w:rsidP="00E70A37">
      <w:pPr>
        <w:pStyle w:val="Titrearticle"/>
        <w:rPr>
          <w:i w:val="0"/>
          <w:noProof/>
        </w:rPr>
      </w:pPr>
      <w:r w:rsidRPr="006A1066">
        <w:rPr>
          <w:noProof/>
        </w:rPr>
        <w:t>Article 4</w:t>
      </w:r>
    </w:p>
    <w:p w14:paraId="35BDF7A3" w14:textId="1DACAAE4" w:rsidR="004B40EF" w:rsidRPr="006A1066" w:rsidRDefault="004B40EF" w:rsidP="00B65F4D">
      <w:pPr>
        <w:rPr>
          <w:noProof/>
        </w:rPr>
      </w:pPr>
      <w:r w:rsidRPr="006A1066">
        <w:rPr>
          <w:noProof/>
        </w:rPr>
        <w:t>1.   A name protected under sub-section 4 ‘Geographical Indications’ of Section B of Chapter 8 of Title IV of the Agreement may be used by any operator marketing agricultural products, foodstuffs, wines, aromatised wines or spirits conforming to the corresponding specification.</w:t>
      </w:r>
    </w:p>
    <w:p w14:paraId="53D1EFB2" w14:textId="77777777" w:rsidR="004B40EF" w:rsidRPr="006C1223" w:rsidRDefault="004B40EF" w:rsidP="00B65F4D">
      <w:pPr>
        <w:rPr>
          <w:i/>
          <w:noProof/>
        </w:rPr>
      </w:pPr>
      <w:r w:rsidRPr="006A1066">
        <w:rPr>
          <w:noProof/>
        </w:rPr>
        <w:t>2.   In accordance with Article 124 of the Agreement, the Member States and the institutions of the Union shall enforce the protection provided for in Articles 119-123 of the Agreement, including at the request of an interested party.</w:t>
      </w:r>
    </w:p>
    <w:p w14:paraId="764B28A7" w14:textId="77777777" w:rsidR="004B40EF" w:rsidRPr="00FD40BA" w:rsidRDefault="004B40EF" w:rsidP="00C33F49">
      <w:pPr>
        <w:pStyle w:val="Titrearticle"/>
        <w:rPr>
          <w:noProof/>
        </w:rPr>
      </w:pPr>
      <w:r w:rsidRPr="006A1066">
        <w:rPr>
          <w:noProof/>
        </w:rPr>
        <w:t>Article 5</w:t>
      </w:r>
    </w:p>
    <w:p w14:paraId="69C2B72A" w14:textId="77777777" w:rsidR="00C17769" w:rsidRPr="00FD40BA" w:rsidRDefault="00C17769" w:rsidP="00197315">
      <w:pPr>
        <w:keepLines/>
        <w:rPr>
          <w:noProof/>
        </w:rPr>
      </w:pPr>
      <w:r w:rsidRPr="00FD40BA">
        <w:rPr>
          <w:noProof/>
        </w:rPr>
        <w:t>This Decision shall</w:t>
      </w:r>
      <w:r w:rsidR="00542171">
        <w:rPr>
          <w:noProof/>
        </w:rPr>
        <w:t xml:space="preserve"> enter into force on the</w:t>
      </w:r>
      <w:r w:rsidRPr="00FD40BA">
        <w:rPr>
          <w:noProof/>
        </w:rPr>
        <w:t xml:space="preserve"> day following that of its publication in the </w:t>
      </w:r>
      <w:r w:rsidRPr="00FD40BA">
        <w:rPr>
          <w:i/>
          <w:noProof/>
        </w:rPr>
        <w:t>Official Journal of the European Union</w:t>
      </w:r>
      <w:r w:rsidRPr="00FD40BA">
        <w:rPr>
          <w:noProof/>
        </w:rPr>
        <w:t>.</w:t>
      </w:r>
    </w:p>
    <w:p w14:paraId="358D0B7E" w14:textId="008AE472" w:rsidR="00C17769" w:rsidRDefault="007000E6" w:rsidP="00C33F49">
      <w:pPr>
        <w:pStyle w:val="Fait"/>
        <w:rPr>
          <w:noProof/>
        </w:rPr>
      </w:pPr>
      <w:r w:rsidRPr="007000E6">
        <w:t>Done at Brussels,</w:t>
      </w:r>
    </w:p>
    <w:p w14:paraId="7EFEA840" w14:textId="77777777" w:rsidR="00C17769" w:rsidRDefault="00C17769" w:rsidP="00C33F49">
      <w:pPr>
        <w:pStyle w:val="Institutionquisigne"/>
        <w:rPr>
          <w:noProof/>
        </w:rPr>
      </w:pPr>
      <w:r w:rsidRPr="00C17769">
        <w:rPr>
          <w:noProof/>
        </w:rPr>
        <w:tab/>
        <w:t>For the Council</w:t>
      </w:r>
    </w:p>
    <w:p w14:paraId="0A89AA65" w14:textId="77777777" w:rsidR="00C17769" w:rsidRPr="00C17769" w:rsidRDefault="00C17769" w:rsidP="00C17769">
      <w:pPr>
        <w:pStyle w:val="Personnequisigne"/>
        <w:rPr>
          <w:noProof/>
        </w:rPr>
      </w:pPr>
      <w:r w:rsidRPr="00C17769">
        <w:rPr>
          <w:noProof/>
        </w:rPr>
        <w:tab/>
        <w:t>The President</w:t>
      </w:r>
    </w:p>
    <w:sectPr w:rsidR="00C17769" w:rsidRPr="00C17769" w:rsidSect="009F05C0">
      <w:pgSz w:w="11907" w:h="1683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2A49" w14:textId="77777777" w:rsidR="002E49F5" w:rsidRDefault="002E49F5" w:rsidP="00C17769">
      <w:pPr>
        <w:spacing w:before="0" w:after="0"/>
      </w:pPr>
      <w:r>
        <w:separator/>
      </w:r>
    </w:p>
  </w:endnote>
  <w:endnote w:type="continuationSeparator" w:id="0">
    <w:p w14:paraId="65F0ECBF" w14:textId="77777777" w:rsidR="002E49F5" w:rsidRDefault="002E49F5" w:rsidP="00C177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UnicodeMS-Identity-H">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A158" w14:textId="29C278EA" w:rsidR="00DF4C87" w:rsidRPr="009F05C0" w:rsidRDefault="009F05C0" w:rsidP="009F05C0">
    <w:pPr>
      <w:pStyle w:val="Footer"/>
      <w:rPr>
        <w:rFonts w:ascii="Arial" w:hAnsi="Arial" w:cs="Arial"/>
        <w:b/>
        <w:sz w:val="48"/>
      </w:rPr>
    </w:pPr>
    <w:r w:rsidRPr="009F05C0">
      <w:rPr>
        <w:rFonts w:ascii="Arial" w:hAnsi="Arial" w:cs="Arial"/>
        <w:b/>
        <w:sz w:val="48"/>
      </w:rPr>
      <w:t>EN</w:t>
    </w:r>
    <w:r w:rsidRPr="009F05C0">
      <w:rPr>
        <w:rFonts w:ascii="Arial" w:hAnsi="Arial" w:cs="Arial"/>
        <w:b/>
        <w:sz w:val="48"/>
      </w:rPr>
      <w:tab/>
    </w:r>
    <w:r w:rsidRPr="009F05C0">
      <w:rPr>
        <w:rFonts w:ascii="Arial" w:hAnsi="Arial" w:cs="Arial"/>
        <w:b/>
        <w:sz w:val="48"/>
      </w:rPr>
      <w:tab/>
    </w:r>
    <w:r w:rsidRPr="009F05C0">
      <w:tab/>
    </w:r>
    <w:r w:rsidRPr="009F05C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C2A2D" w14:textId="49987A52" w:rsidR="009F05C0" w:rsidRPr="009F05C0" w:rsidRDefault="009F05C0" w:rsidP="009F05C0">
    <w:pPr>
      <w:pStyle w:val="Footer"/>
      <w:rPr>
        <w:rFonts w:ascii="Arial" w:hAnsi="Arial" w:cs="Arial"/>
        <w:b/>
        <w:sz w:val="48"/>
      </w:rPr>
    </w:pPr>
    <w:r w:rsidRPr="009F05C0">
      <w:rPr>
        <w:rFonts w:ascii="Arial" w:hAnsi="Arial" w:cs="Arial"/>
        <w:b/>
        <w:sz w:val="48"/>
      </w:rPr>
      <w:t>EN</w:t>
    </w:r>
    <w:r w:rsidRPr="009F05C0">
      <w:rPr>
        <w:rFonts w:ascii="Arial" w:hAnsi="Arial" w:cs="Arial"/>
        <w:b/>
        <w:sz w:val="48"/>
      </w:rPr>
      <w:tab/>
    </w:r>
    <w:r>
      <w:fldChar w:fldCharType="begin"/>
    </w:r>
    <w:r>
      <w:instrText xml:space="preserve"> PAGE  \* MERGEFORMAT </w:instrText>
    </w:r>
    <w:r>
      <w:fldChar w:fldCharType="separate"/>
    </w:r>
    <w:r w:rsidR="00C33F49">
      <w:rPr>
        <w:noProof/>
      </w:rPr>
      <w:t>5</w:t>
    </w:r>
    <w:r>
      <w:fldChar w:fldCharType="end"/>
    </w:r>
    <w:r>
      <w:tab/>
    </w:r>
    <w:r w:rsidRPr="009F05C0">
      <w:tab/>
    </w:r>
    <w:r w:rsidRPr="009F05C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D916" w14:textId="77777777" w:rsidR="009F05C0" w:rsidRPr="009F05C0" w:rsidRDefault="009F05C0" w:rsidP="009F0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CB53D" w14:textId="77777777" w:rsidR="002E49F5" w:rsidRDefault="002E49F5" w:rsidP="00C17769">
      <w:pPr>
        <w:spacing w:before="0" w:after="0"/>
      </w:pPr>
      <w:r>
        <w:separator/>
      </w:r>
    </w:p>
  </w:footnote>
  <w:footnote w:type="continuationSeparator" w:id="0">
    <w:p w14:paraId="4D640E2A" w14:textId="77777777" w:rsidR="002E49F5" w:rsidRDefault="002E49F5" w:rsidP="00C17769">
      <w:pPr>
        <w:spacing w:before="0" w:after="0"/>
      </w:pPr>
      <w:r>
        <w:continuationSeparator/>
      </w:r>
    </w:p>
  </w:footnote>
  <w:footnote w:id="1">
    <w:p w14:paraId="35694D9A" w14:textId="77777777" w:rsidR="000A4067" w:rsidRDefault="000A4067" w:rsidP="000A4067">
      <w:pPr>
        <w:pStyle w:val="FootnoteText"/>
      </w:pPr>
      <w:r>
        <w:rPr>
          <w:rStyle w:val="FootnoteReference"/>
        </w:rPr>
        <w:footnoteRef/>
      </w:r>
      <w:r>
        <w:tab/>
        <w:t xml:space="preserve">The Kyrgyz Republic is a lower middle income country included on the DAC list of Official Development Assistance recipients effective for reporting on 2014, 2015, 2016 and 2017 flows, as mentioned in Article 1(1) of the Regulation No 233/2014 of 11 March 2014 establishing a financial instrument for development cooperation for the period 2014-2020.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1DC6D3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662189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850FE4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B242AC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4DCB99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C862E7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8FC996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9AA27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20"/>
  </w:num>
  <w:num w:numId="26">
    <w:abstractNumId w:val="20"/>
  </w:num>
  <w:num w:numId="27">
    <w:abstractNumId w:val="20"/>
  </w:num>
  <w:num w:numId="28">
    <w:abstractNumId w:val="14"/>
  </w:num>
  <w:num w:numId="29">
    <w:abstractNumId w:val="9"/>
  </w:num>
  <w:num w:numId="30">
    <w:abstractNumId w:val="9"/>
  </w:num>
  <w:num w:numId="3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2-24 13:35:2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04FA3B7A-C285-4CC6-86F4-70F400C411EC"/>
    <w:docVar w:name="LW_COVERPAGE_TYPE" w:val="1"/>
    <w:docVar w:name="LW_CROSSREFERENCE" w:val="&lt;UNUSED&gt;"/>
    <w:docVar w:name="LW_DocType" w:val="COM"/>
    <w:docVar w:name="LW_EMISSION" w:val="13.6.2022"/>
    <w:docVar w:name="LW_EMISSION_ISODATE" w:val="2022-06-13"/>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84"/>
    <w:docVar w:name="LW_REF.II.NEW.CP_YEAR" w:val="2022"/>
    <w:docVar w:name="LW_REF.INST.NEW" w:val="COM"/>
    <w:docVar w:name="LW_REF.INST.NEW_ADOPTED" w:val="final"/>
    <w:docVar w:name="LW_REF.INST.NEW_TEXT" w:val="(2022) 2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conclusion, on behalf of the European Union, of the Enhanced Partnership and Cooperation Agreement between the European Union, of the one part, and the Kyrgyz Republic, of the other part"/>
    <w:docVar w:name="LW_TYPE.DOC.CP" w:val="COUNCIL DECISION"/>
    <w:docVar w:name="LwApiVersions" w:val="LW4CoDe 1.23.2.0; LW 8.0, Build 20211117"/>
  </w:docVars>
  <w:rsids>
    <w:rsidRoot w:val="00C17769"/>
    <w:rsid w:val="00006434"/>
    <w:rsid w:val="000505DB"/>
    <w:rsid w:val="00094676"/>
    <w:rsid w:val="000A4067"/>
    <w:rsid w:val="000A7517"/>
    <w:rsid w:val="000D44E2"/>
    <w:rsid w:val="000E198E"/>
    <w:rsid w:val="0010282E"/>
    <w:rsid w:val="0011069C"/>
    <w:rsid w:val="00112879"/>
    <w:rsid w:val="001329DC"/>
    <w:rsid w:val="0014280A"/>
    <w:rsid w:val="00163923"/>
    <w:rsid w:val="00170B8E"/>
    <w:rsid w:val="00175728"/>
    <w:rsid w:val="001946B6"/>
    <w:rsid w:val="001C2816"/>
    <w:rsid w:val="001D721D"/>
    <w:rsid w:val="001E78A7"/>
    <w:rsid w:val="0022519B"/>
    <w:rsid w:val="00235CB0"/>
    <w:rsid w:val="00240C9C"/>
    <w:rsid w:val="00244172"/>
    <w:rsid w:val="00253227"/>
    <w:rsid w:val="00260748"/>
    <w:rsid w:val="00265386"/>
    <w:rsid w:val="00276136"/>
    <w:rsid w:val="00293795"/>
    <w:rsid w:val="00294673"/>
    <w:rsid w:val="002A11AD"/>
    <w:rsid w:val="002B4847"/>
    <w:rsid w:val="002D0617"/>
    <w:rsid w:val="002E49F5"/>
    <w:rsid w:val="003140A2"/>
    <w:rsid w:val="0037573C"/>
    <w:rsid w:val="0038563E"/>
    <w:rsid w:val="003C58FB"/>
    <w:rsid w:val="003E63D5"/>
    <w:rsid w:val="00402279"/>
    <w:rsid w:val="00436024"/>
    <w:rsid w:val="004444DC"/>
    <w:rsid w:val="004556AB"/>
    <w:rsid w:val="0047224A"/>
    <w:rsid w:val="004B40EF"/>
    <w:rsid w:val="004B7119"/>
    <w:rsid w:val="004E7DF6"/>
    <w:rsid w:val="004F7DDD"/>
    <w:rsid w:val="00501658"/>
    <w:rsid w:val="00542171"/>
    <w:rsid w:val="00564E9B"/>
    <w:rsid w:val="005A3BCB"/>
    <w:rsid w:val="005F16F3"/>
    <w:rsid w:val="005F28EC"/>
    <w:rsid w:val="0061272D"/>
    <w:rsid w:val="00622543"/>
    <w:rsid w:val="00622AC4"/>
    <w:rsid w:val="00636F7C"/>
    <w:rsid w:val="00643311"/>
    <w:rsid w:val="006805F0"/>
    <w:rsid w:val="00682A29"/>
    <w:rsid w:val="00683742"/>
    <w:rsid w:val="00693073"/>
    <w:rsid w:val="006A1066"/>
    <w:rsid w:val="006C1223"/>
    <w:rsid w:val="006E2A32"/>
    <w:rsid w:val="006E39B4"/>
    <w:rsid w:val="006F4A73"/>
    <w:rsid w:val="007000E6"/>
    <w:rsid w:val="0070128F"/>
    <w:rsid w:val="007047BE"/>
    <w:rsid w:val="00742DFA"/>
    <w:rsid w:val="0074532F"/>
    <w:rsid w:val="00760B78"/>
    <w:rsid w:val="00784860"/>
    <w:rsid w:val="007B484A"/>
    <w:rsid w:val="007C06F6"/>
    <w:rsid w:val="007E3272"/>
    <w:rsid w:val="007E3FD2"/>
    <w:rsid w:val="007F655D"/>
    <w:rsid w:val="007F6C84"/>
    <w:rsid w:val="00822841"/>
    <w:rsid w:val="00833E9B"/>
    <w:rsid w:val="008340D9"/>
    <w:rsid w:val="008354BC"/>
    <w:rsid w:val="008709CA"/>
    <w:rsid w:val="00880A45"/>
    <w:rsid w:val="008D4815"/>
    <w:rsid w:val="008E4A4C"/>
    <w:rsid w:val="009323F0"/>
    <w:rsid w:val="00986B33"/>
    <w:rsid w:val="00987AD5"/>
    <w:rsid w:val="009A67F3"/>
    <w:rsid w:val="009B7138"/>
    <w:rsid w:val="009C67C8"/>
    <w:rsid w:val="009E72DC"/>
    <w:rsid w:val="009E7432"/>
    <w:rsid w:val="009F05C0"/>
    <w:rsid w:val="009F703F"/>
    <w:rsid w:val="00A06035"/>
    <w:rsid w:val="00A12B9A"/>
    <w:rsid w:val="00A1323F"/>
    <w:rsid w:val="00A43F4A"/>
    <w:rsid w:val="00A6065F"/>
    <w:rsid w:val="00A8703A"/>
    <w:rsid w:val="00AC0363"/>
    <w:rsid w:val="00AE1AFD"/>
    <w:rsid w:val="00B410AA"/>
    <w:rsid w:val="00B51A43"/>
    <w:rsid w:val="00B65A94"/>
    <w:rsid w:val="00B65F4D"/>
    <w:rsid w:val="00B91959"/>
    <w:rsid w:val="00BE246D"/>
    <w:rsid w:val="00BF17AA"/>
    <w:rsid w:val="00C01F9C"/>
    <w:rsid w:val="00C0771B"/>
    <w:rsid w:val="00C17769"/>
    <w:rsid w:val="00C24556"/>
    <w:rsid w:val="00C33F49"/>
    <w:rsid w:val="00C53824"/>
    <w:rsid w:val="00C70803"/>
    <w:rsid w:val="00CB08C8"/>
    <w:rsid w:val="00D17C65"/>
    <w:rsid w:val="00D34767"/>
    <w:rsid w:val="00D42D49"/>
    <w:rsid w:val="00D76B50"/>
    <w:rsid w:val="00DE58EF"/>
    <w:rsid w:val="00DF4C87"/>
    <w:rsid w:val="00E0427A"/>
    <w:rsid w:val="00E16F3D"/>
    <w:rsid w:val="00E22840"/>
    <w:rsid w:val="00E437ED"/>
    <w:rsid w:val="00E648E1"/>
    <w:rsid w:val="00E66C03"/>
    <w:rsid w:val="00E70A37"/>
    <w:rsid w:val="00E86EC2"/>
    <w:rsid w:val="00EA4818"/>
    <w:rsid w:val="00EC1D34"/>
    <w:rsid w:val="00ED33F8"/>
    <w:rsid w:val="00ED7FD0"/>
    <w:rsid w:val="00F11529"/>
    <w:rsid w:val="00F20062"/>
    <w:rsid w:val="00F5266B"/>
    <w:rsid w:val="00F570BB"/>
    <w:rsid w:val="00F60EEE"/>
    <w:rsid w:val="00F71C2C"/>
    <w:rsid w:val="00FE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6625"/>
    <o:shapelayout v:ext="edit">
      <o:idmap v:ext="edit" data="1"/>
    </o:shapelayout>
  </w:shapeDefaults>
  <w:decimalSymbol w:val=","/>
  <w:listSeparator w:val=";"/>
  <w14:docId w14:val="0E0F8579"/>
  <w15:docId w15:val="{AD3757F7-0EA3-4069-954B-015D282E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094676"/>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rsid w:val="00094676"/>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rsid w:val="00094676"/>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436024"/>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36024"/>
    <w:pPr>
      <w:spacing w:after="0"/>
    </w:pPr>
  </w:style>
  <w:style w:type="paragraph" w:styleId="ListBullet">
    <w:name w:val="List Bullet"/>
    <w:basedOn w:val="Normal"/>
    <w:uiPriority w:val="99"/>
    <w:semiHidden/>
    <w:unhideWhenUsed/>
    <w:rsid w:val="00436024"/>
    <w:pPr>
      <w:numPr>
        <w:numId w:val="1"/>
      </w:numPr>
      <w:contextualSpacing/>
    </w:pPr>
  </w:style>
  <w:style w:type="paragraph" w:styleId="ListBullet2">
    <w:name w:val="List Bullet 2"/>
    <w:basedOn w:val="Normal"/>
    <w:uiPriority w:val="99"/>
    <w:semiHidden/>
    <w:unhideWhenUsed/>
    <w:rsid w:val="00436024"/>
    <w:pPr>
      <w:numPr>
        <w:numId w:val="2"/>
      </w:numPr>
      <w:contextualSpacing/>
    </w:pPr>
  </w:style>
  <w:style w:type="paragraph" w:styleId="ListBullet3">
    <w:name w:val="List Bullet 3"/>
    <w:basedOn w:val="Normal"/>
    <w:uiPriority w:val="99"/>
    <w:semiHidden/>
    <w:unhideWhenUsed/>
    <w:rsid w:val="00436024"/>
    <w:pPr>
      <w:numPr>
        <w:numId w:val="3"/>
      </w:numPr>
      <w:contextualSpacing/>
    </w:pPr>
  </w:style>
  <w:style w:type="paragraph" w:styleId="ListBullet4">
    <w:name w:val="List Bullet 4"/>
    <w:basedOn w:val="Normal"/>
    <w:uiPriority w:val="99"/>
    <w:semiHidden/>
    <w:unhideWhenUsed/>
    <w:rsid w:val="00436024"/>
    <w:pPr>
      <w:numPr>
        <w:numId w:val="4"/>
      </w:numPr>
      <w:contextualSpacing/>
    </w:pPr>
  </w:style>
  <w:style w:type="paragraph" w:styleId="ListNumber">
    <w:name w:val="List Number"/>
    <w:basedOn w:val="Normal"/>
    <w:uiPriority w:val="99"/>
    <w:semiHidden/>
    <w:unhideWhenUsed/>
    <w:rsid w:val="00436024"/>
    <w:pPr>
      <w:numPr>
        <w:numId w:val="5"/>
      </w:numPr>
      <w:contextualSpacing/>
    </w:pPr>
  </w:style>
  <w:style w:type="paragraph" w:styleId="ListNumber2">
    <w:name w:val="List Number 2"/>
    <w:basedOn w:val="Normal"/>
    <w:uiPriority w:val="99"/>
    <w:semiHidden/>
    <w:unhideWhenUsed/>
    <w:rsid w:val="00436024"/>
    <w:pPr>
      <w:numPr>
        <w:numId w:val="6"/>
      </w:numPr>
      <w:contextualSpacing/>
    </w:pPr>
  </w:style>
  <w:style w:type="paragraph" w:styleId="ListNumber3">
    <w:name w:val="List Number 3"/>
    <w:basedOn w:val="Normal"/>
    <w:uiPriority w:val="99"/>
    <w:semiHidden/>
    <w:unhideWhenUsed/>
    <w:rsid w:val="00436024"/>
    <w:pPr>
      <w:numPr>
        <w:numId w:val="7"/>
      </w:numPr>
      <w:contextualSpacing/>
    </w:pPr>
  </w:style>
  <w:style w:type="paragraph" w:styleId="ListNumber4">
    <w:name w:val="List Number 4"/>
    <w:basedOn w:val="Normal"/>
    <w:uiPriority w:val="99"/>
    <w:semiHidden/>
    <w:unhideWhenUsed/>
    <w:rsid w:val="00436024"/>
    <w:pPr>
      <w:numPr>
        <w:numId w:val="8"/>
      </w:numPr>
      <w:contextualSpacing/>
    </w:pPr>
  </w:style>
  <w:style w:type="paragraph" w:styleId="BalloonText">
    <w:name w:val="Balloon Text"/>
    <w:basedOn w:val="Normal"/>
    <w:link w:val="BalloonTextChar"/>
    <w:uiPriority w:val="99"/>
    <w:semiHidden/>
    <w:unhideWhenUsed/>
    <w:rsid w:val="005A3BC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BCB"/>
    <w:rPr>
      <w:rFonts w:ascii="Segoe UI" w:hAnsi="Segoe UI" w:cs="Segoe UI"/>
      <w:sz w:val="18"/>
      <w:szCs w:val="18"/>
      <w:lang w:val="en-GB"/>
    </w:rPr>
  </w:style>
  <w:style w:type="character" w:styleId="CommentReference">
    <w:name w:val="annotation reference"/>
    <w:basedOn w:val="DefaultParagraphFont"/>
    <w:uiPriority w:val="99"/>
    <w:semiHidden/>
    <w:unhideWhenUsed/>
    <w:rsid w:val="00AC0363"/>
    <w:rPr>
      <w:sz w:val="16"/>
      <w:szCs w:val="16"/>
    </w:rPr>
  </w:style>
  <w:style w:type="paragraph" w:styleId="CommentText">
    <w:name w:val="annotation text"/>
    <w:basedOn w:val="Normal"/>
    <w:link w:val="CommentTextChar"/>
    <w:uiPriority w:val="99"/>
    <w:semiHidden/>
    <w:unhideWhenUsed/>
    <w:rsid w:val="00AC0363"/>
    <w:rPr>
      <w:sz w:val="20"/>
      <w:szCs w:val="20"/>
    </w:rPr>
  </w:style>
  <w:style w:type="character" w:customStyle="1" w:styleId="CommentTextChar">
    <w:name w:val="Comment Text Char"/>
    <w:basedOn w:val="DefaultParagraphFont"/>
    <w:link w:val="CommentText"/>
    <w:uiPriority w:val="99"/>
    <w:semiHidden/>
    <w:rsid w:val="00AC0363"/>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C0363"/>
    <w:rPr>
      <w:b/>
      <w:bCs/>
    </w:rPr>
  </w:style>
  <w:style w:type="character" w:customStyle="1" w:styleId="CommentSubjectChar">
    <w:name w:val="Comment Subject Char"/>
    <w:basedOn w:val="CommentTextChar"/>
    <w:link w:val="CommentSubject"/>
    <w:uiPriority w:val="99"/>
    <w:semiHidden/>
    <w:rsid w:val="00AC0363"/>
    <w:rPr>
      <w:rFonts w:ascii="Times New Roman" w:hAnsi="Times New Roman" w:cs="Times New Roman"/>
      <w:b/>
      <w:bCs/>
      <w:sz w:val="20"/>
      <w:szCs w:val="20"/>
      <w:lang w:val="en-GB"/>
    </w:rPr>
  </w:style>
  <w:style w:type="paragraph" w:styleId="Revision">
    <w:name w:val="Revision"/>
    <w:hidden/>
    <w:uiPriority w:val="99"/>
    <w:semiHidden/>
    <w:rsid w:val="00AC0363"/>
    <w:pPr>
      <w:spacing w:after="0" w:line="240" w:lineRule="auto"/>
    </w:pPr>
    <w:rPr>
      <w:rFonts w:ascii="Times New Roman" w:hAnsi="Times New Roman" w:cs="Times New Roman"/>
      <w:sz w:val="24"/>
      <w:lang w:val="en-GB"/>
    </w:rPr>
  </w:style>
  <w:style w:type="character" w:styleId="Hyperlink">
    <w:name w:val="Hyperlink"/>
    <w:basedOn w:val="DefaultParagraphFont"/>
    <w:uiPriority w:val="99"/>
    <w:unhideWhenUsed/>
    <w:rsid w:val="004B40EF"/>
    <w:rPr>
      <w:color w:val="0000FF"/>
      <w:u w:val="single"/>
    </w:rPr>
  </w:style>
  <w:style w:type="paragraph" w:customStyle="1" w:styleId="ti-art">
    <w:name w:val="ti-art"/>
    <w:basedOn w:val="Normal"/>
    <w:rsid w:val="004B40EF"/>
    <w:pPr>
      <w:spacing w:before="100" w:beforeAutospacing="1" w:after="100" w:afterAutospacing="1"/>
      <w:jc w:val="left"/>
    </w:pPr>
    <w:rPr>
      <w:szCs w:val="24"/>
      <w:lang w:val="fr-FR" w:eastAsia="fr-FR"/>
    </w:rPr>
  </w:style>
  <w:style w:type="paragraph" w:customStyle="1" w:styleId="Normal1">
    <w:name w:val="Normal1"/>
    <w:basedOn w:val="Normal"/>
    <w:rsid w:val="004B40EF"/>
    <w:pPr>
      <w:spacing w:before="100" w:beforeAutospacing="1" w:after="100" w:afterAutospacing="1"/>
      <w:jc w:val="left"/>
    </w:pPr>
    <w:rPr>
      <w:szCs w:val="24"/>
      <w:lang w:val="fr-FR" w:eastAsia="fr-FR"/>
    </w:rPr>
  </w:style>
  <w:style w:type="character" w:customStyle="1" w:styleId="super">
    <w:name w:val="super"/>
    <w:basedOn w:val="DefaultParagraphFont"/>
    <w:rsid w:val="004B40EF"/>
  </w:style>
  <w:style w:type="paragraph" w:styleId="Header">
    <w:name w:val="header"/>
    <w:basedOn w:val="Normal"/>
    <w:link w:val="HeaderChar"/>
    <w:uiPriority w:val="99"/>
    <w:unhideWhenUsed/>
    <w:rsid w:val="009F05C0"/>
    <w:pPr>
      <w:tabs>
        <w:tab w:val="center" w:pos="4535"/>
        <w:tab w:val="right" w:pos="9071"/>
      </w:tabs>
      <w:spacing w:before="0"/>
    </w:pPr>
  </w:style>
  <w:style w:type="character" w:customStyle="1" w:styleId="HeaderChar">
    <w:name w:val="Header Char"/>
    <w:basedOn w:val="DefaultParagraphFont"/>
    <w:link w:val="Header"/>
    <w:uiPriority w:val="99"/>
    <w:rsid w:val="009F05C0"/>
    <w:rPr>
      <w:rFonts w:ascii="Times New Roman" w:hAnsi="Times New Roman" w:cs="Times New Roman"/>
      <w:sz w:val="24"/>
      <w:lang w:val="en-GB"/>
    </w:rPr>
  </w:style>
  <w:style w:type="paragraph" w:styleId="Footer">
    <w:name w:val="footer"/>
    <w:basedOn w:val="Normal"/>
    <w:link w:val="FooterChar"/>
    <w:uiPriority w:val="99"/>
    <w:unhideWhenUsed/>
    <w:rsid w:val="009F05C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F05C0"/>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094676"/>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094676"/>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094676"/>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9F05C0"/>
    <w:pPr>
      <w:tabs>
        <w:tab w:val="center" w:pos="7285"/>
        <w:tab w:val="right" w:pos="14003"/>
      </w:tabs>
      <w:spacing w:before="0"/>
    </w:pPr>
  </w:style>
  <w:style w:type="paragraph" w:customStyle="1" w:styleId="FooterLandscape">
    <w:name w:val="FooterLandscape"/>
    <w:basedOn w:val="Normal"/>
    <w:rsid w:val="009F05C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9F05C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F05C0"/>
    <w:pPr>
      <w:spacing w:before="0"/>
      <w:jc w:val="right"/>
    </w:pPr>
    <w:rPr>
      <w:sz w:val="28"/>
    </w:rPr>
  </w:style>
  <w:style w:type="paragraph" w:customStyle="1" w:styleId="FooterSensitivity">
    <w:name w:val="Footer Sensitivity"/>
    <w:basedOn w:val="Normal"/>
    <w:rsid w:val="009F05C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094676"/>
    <w:pPr>
      <w:ind w:left="3118"/>
    </w:pPr>
  </w:style>
  <w:style w:type="paragraph" w:customStyle="1" w:styleId="Text6">
    <w:name w:val="Text 6"/>
    <w:basedOn w:val="Normal"/>
    <w:rsid w:val="00094676"/>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094676"/>
    <w:pPr>
      <w:ind w:left="3685" w:hanging="567"/>
    </w:pPr>
  </w:style>
  <w:style w:type="paragraph" w:customStyle="1" w:styleId="Tiret0">
    <w:name w:val="Tiret 0"/>
    <w:basedOn w:val="Point0"/>
    <w:rsid w:val="00517205"/>
    <w:pPr>
      <w:numPr>
        <w:numId w:val="10"/>
      </w:numPr>
    </w:pPr>
  </w:style>
  <w:style w:type="paragraph" w:customStyle="1" w:styleId="Tiret1">
    <w:name w:val="Tiret 1"/>
    <w:basedOn w:val="Point1"/>
    <w:rsid w:val="00517205"/>
    <w:pPr>
      <w:numPr>
        <w:numId w:val="11"/>
      </w:numPr>
    </w:pPr>
  </w:style>
  <w:style w:type="paragraph" w:customStyle="1" w:styleId="Tiret2">
    <w:name w:val="Tiret 2"/>
    <w:basedOn w:val="Point2"/>
    <w:rsid w:val="00517205"/>
    <w:pPr>
      <w:numPr>
        <w:numId w:val="12"/>
      </w:numPr>
    </w:pPr>
  </w:style>
  <w:style w:type="paragraph" w:customStyle="1" w:styleId="Tiret3">
    <w:name w:val="Tiret 3"/>
    <w:basedOn w:val="Point3"/>
    <w:rsid w:val="00517205"/>
    <w:pPr>
      <w:numPr>
        <w:numId w:val="13"/>
      </w:numPr>
    </w:pPr>
  </w:style>
  <w:style w:type="paragraph" w:customStyle="1" w:styleId="Tiret4">
    <w:name w:val="Tiret 4"/>
    <w:basedOn w:val="Point4"/>
    <w:rsid w:val="00517205"/>
    <w:pPr>
      <w:numPr>
        <w:numId w:val="14"/>
      </w:numPr>
    </w:pPr>
  </w:style>
  <w:style w:type="paragraph" w:customStyle="1" w:styleId="Tiret5">
    <w:name w:val="Tiret 5"/>
    <w:basedOn w:val="Point5"/>
    <w:rsid w:val="00094676"/>
    <w:pPr>
      <w:numPr>
        <w:numId w:val="28"/>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1"/>
      </w:numPr>
    </w:pPr>
  </w:style>
  <w:style w:type="paragraph" w:customStyle="1" w:styleId="NumPar2">
    <w:name w:val="NumPar 2"/>
    <w:basedOn w:val="Normal"/>
    <w:next w:val="Text1"/>
    <w:rsid w:val="00517205"/>
    <w:pPr>
      <w:numPr>
        <w:ilvl w:val="1"/>
        <w:numId w:val="31"/>
      </w:numPr>
    </w:pPr>
  </w:style>
  <w:style w:type="paragraph" w:customStyle="1" w:styleId="NumPar3">
    <w:name w:val="NumPar 3"/>
    <w:basedOn w:val="Normal"/>
    <w:next w:val="Text1"/>
    <w:rsid w:val="00517205"/>
    <w:pPr>
      <w:numPr>
        <w:ilvl w:val="2"/>
        <w:numId w:val="31"/>
      </w:numPr>
    </w:pPr>
  </w:style>
  <w:style w:type="paragraph" w:customStyle="1" w:styleId="NumPar4">
    <w:name w:val="NumPar 4"/>
    <w:basedOn w:val="Normal"/>
    <w:next w:val="Text1"/>
    <w:rsid w:val="00517205"/>
    <w:pPr>
      <w:numPr>
        <w:ilvl w:val="3"/>
        <w:numId w:val="31"/>
      </w:numPr>
    </w:pPr>
  </w:style>
  <w:style w:type="paragraph" w:customStyle="1" w:styleId="NumPar5">
    <w:name w:val="NumPar 5"/>
    <w:basedOn w:val="Normal"/>
    <w:next w:val="Text2"/>
    <w:rsid w:val="00094676"/>
    <w:pPr>
      <w:numPr>
        <w:ilvl w:val="4"/>
        <w:numId w:val="31"/>
      </w:numPr>
    </w:pPr>
  </w:style>
  <w:style w:type="paragraph" w:customStyle="1" w:styleId="NumPar6">
    <w:name w:val="NumPar 6"/>
    <w:basedOn w:val="Normal"/>
    <w:next w:val="Text2"/>
    <w:rsid w:val="00094676"/>
    <w:pPr>
      <w:numPr>
        <w:ilvl w:val="5"/>
        <w:numId w:val="31"/>
      </w:numPr>
    </w:pPr>
  </w:style>
  <w:style w:type="paragraph" w:customStyle="1" w:styleId="NumPar7">
    <w:name w:val="NumPar 7"/>
    <w:basedOn w:val="Normal"/>
    <w:next w:val="Text2"/>
    <w:rsid w:val="00094676"/>
    <w:pPr>
      <w:numPr>
        <w:ilvl w:val="6"/>
        <w:numId w:val="31"/>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094676"/>
    <w:pPr>
      <w:ind w:left="1417" w:hanging="1417"/>
    </w:pPr>
  </w:style>
  <w:style w:type="paragraph" w:customStyle="1" w:styleId="ManualNumPar6">
    <w:name w:val="Manual NumPar 6"/>
    <w:basedOn w:val="Normal"/>
    <w:next w:val="Text2"/>
    <w:rsid w:val="00094676"/>
    <w:pPr>
      <w:ind w:left="1417" w:hanging="1417"/>
    </w:pPr>
  </w:style>
  <w:style w:type="paragraph" w:customStyle="1" w:styleId="ManualNumPar7">
    <w:name w:val="Manual NumPar 7"/>
    <w:basedOn w:val="Normal"/>
    <w:next w:val="Text2"/>
    <w:rsid w:val="00094676"/>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094676"/>
    <w:pPr>
      <w:keepNext/>
      <w:tabs>
        <w:tab w:val="left" w:pos="1417"/>
      </w:tabs>
      <w:ind w:left="1417" w:hanging="1417"/>
      <w:outlineLvl w:val="4"/>
    </w:pPr>
  </w:style>
  <w:style w:type="paragraph" w:customStyle="1" w:styleId="ManualHeading6">
    <w:name w:val="Manual Heading 6"/>
    <w:basedOn w:val="Normal"/>
    <w:next w:val="Text2"/>
    <w:rsid w:val="00094676"/>
    <w:pPr>
      <w:keepNext/>
      <w:tabs>
        <w:tab w:val="left" w:pos="1417"/>
      </w:tabs>
      <w:ind w:left="1417" w:hanging="1417"/>
      <w:outlineLvl w:val="5"/>
    </w:pPr>
  </w:style>
  <w:style w:type="paragraph" w:customStyle="1" w:styleId="ManualHeading7">
    <w:name w:val="Manual Heading 7"/>
    <w:basedOn w:val="Normal"/>
    <w:next w:val="Text2"/>
    <w:rsid w:val="00094676"/>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F570BB"/>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8"/>
      </w:numPr>
    </w:pPr>
  </w:style>
  <w:style w:type="paragraph" w:customStyle="1" w:styleId="Point1number">
    <w:name w:val="Point 1 (number)"/>
    <w:basedOn w:val="Normal"/>
    <w:rsid w:val="00517205"/>
    <w:pPr>
      <w:numPr>
        <w:ilvl w:val="2"/>
        <w:numId w:val="18"/>
      </w:numPr>
    </w:pPr>
  </w:style>
  <w:style w:type="paragraph" w:customStyle="1" w:styleId="Point2number">
    <w:name w:val="Point 2 (number)"/>
    <w:basedOn w:val="Normal"/>
    <w:rsid w:val="00517205"/>
    <w:pPr>
      <w:numPr>
        <w:ilvl w:val="4"/>
        <w:numId w:val="18"/>
      </w:numPr>
    </w:pPr>
  </w:style>
  <w:style w:type="paragraph" w:customStyle="1" w:styleId="Point3number">
    <w:name w:val="Point 3 (number)"/>
    <w:basedOn w:val="Normal"/>
    <w:rsid w:val="00517205"/>
    <w:pPr>
      <w:numPr>
        <w:ilvl w:val="6"/>
        <w:numId w:val="18"/>
      </w:numPr>
    </w:pPr>
  </w:style>
  <w:style w:type="paragraph" w:customStyle="1" w:styleId="Point0letter">
    <w:name w:val="Point 0 (letter)"/>
    <w:basedOn w:val="Normal"/>
    <w:rsid w:val="00517205"/>
    <w:pPr>
      <w:numPr>
        <w:ilvl w:val="1"/>
        <w:numId w:val="18"/>
      </w:numPr>
    </w:pPr>
  </w:style>
  <w:style w:type="paragraph" w:customStyle="1" w:styleId="Point1letter">
    <w:name w:val="Point 1 (letter)"/>
    <w:basedOn w:val="Normal"/>
    <w:rsid w:val="00517205"/>
    <w:pPr>
      <w:numPr>
        <w:ilvl w:val="3"/>
        <w:numId w:val="18"/>
      </w:numPr>
    </w:pPr>
  </w:style>
  <w:style w:type="paragraph" w:customStyle="1" w:styleId="Point2letter">
    <w:name w:val="Point 2 (letter)"/>
    <w:basedOn w:val="Normal"/>
    <w:rsid w:val="00517205"/>
    <w:pPr>
      <w:numPr>
        <w:ilvl w:val="5"/>
        <w:numId w:val="18"/>
      </w:numPr>
    </w:pPr>
  </w:style>
  <w:style w:type="paragraph" w:customStyle="1" w:styleId="Point3letter">
    <w:name w:val="Point 3 (letter)"/>
    <w:basedOn w:val="Normal"/>
    <w:rsid w:val="00517205"/>
    <w:pPr>
      <w:numPr>
        <w:ilvl w:val="7"/>
        <w:numId w:val="18"/>
      </w:numPr>
    </w:pPr>
  </w:style>
  <w:style w:type="paragraph" w:customStyle="1" w:styleId="Point4letter">
    <w:name w:val="Point 4 (letter)"/>
    <w:basedOn w:val="Normal"/>
    <w:rsid w:val="00517205"/>
    <w:pPr>
      <w:numPr>
        <w:ilvl w:val="8"/>
        <w:numId w:val="18"/>
      </w:numPr>
    </w:pPr>
  </w:style>
  <w:style w:type="paragraph" w:customStyle="1" w:styleId="Bullet0">
    <w:name w:val="Bullet 0"/>
    <w:basedOn w:val="Normal"/>
    <w:rsid w:val="00517205"/>
    <w:pPr>
      <w:numPr>
        <w:numId w:val="19"/>
      </w:numPr>
    </w:pPr>
  </w:style>
  <w:style w:type="paragraph" w:customStyle="1" w:styleId="Bullet1">
    <w:name w:val="Bullet 1"/>
    <w:basedOn w:val="Normal"/>
    <w:rsid w:val="00517205"/>
    <w:pPr>
      <w:numPr>
        <w:numId w:val="20"/>
      </w:numPr>
    </w:pPr>
  </w:style>
  <w:style w:type="paragraph" w:customStyle="1" w:styleId="Bullet2">
    <w:name w:val="Bullet 2"/>
    <w:basedOn w:val="Normal"/>
    <w:rsid w:val="00517205"/>
    <w:pPr>
      <w:numPr>
        <w:numId w:val="21"/>
      </w:numPr>
    </w:pPr>
  </w:style>
  <w:style w:type="paragraph" w:customStyle="1" w:styleId="Bullet3">
    <w:name w:val="Bullet 3"/>
    <w:basedOn w:val="Normal"/>
    <w:rsid w:val="00517205"/>
    <w:pPr>
      <w:numPr>
        <w:numId w:val="22"/>
      </w:numPr>
    </w:pPr>
  </w:style>
  <w:style w:type="paragraph" w:customStyle="1" w:styleId="Bullet4">
    <w:name w:val="Bullet 4"/>
    <w:basedOn w:val="Normal"/>
    <w:rsid w:val="00517205"/>
    <w:pPr>
      <w:numPr>
        <w:numId w:val="23"/>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4"/>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47801">
      <w:bodyDiv w:val="1"/>
      <w:marLeft w:val="0"/>
      <w:marRight w:val="0"/>
      <w:marTop w:val="0"/>
      <w:marBottom w:val="0"/>
      <w:divBdr>
        <w:top w:val="none" w:sz="0" w:space="0" w:color="auto"/>
        <w:left w:val="none" w:sz="0" w:space="0" w:color="auto"/>
        <w:bottom w:val="none" w:sz="0" w:space="0" w:color="auto"/>
        <w:right w:val="none" w:sz="0" w:space="0" w:color="auto"/>
      </w:divBdr>
      <w:divsChild>
        <w:div w:id="301423329">
          <w:marLeft w:val="0"/>
          <w:marRight w:val="0"/>
          <w:marTop w:val="0"/>
          <w:marBottom w:val="0"/>
          <w:divBdr>
            <w:top w:val="none" w:sz="0" w:space="0" w:color="auto"/>
            <w:left w:val="none" w:sz="0" w:space="0" w:color="auto"/>
            <w:bottom w:val="none" w:sz="0" w:space="0" w:color="auto"/>
            <w:right w:val="none" w:sz="0" w:space="0" w:color="auto"/>
          </w:divBdr>
        </w:div>
      </w:divsChild>
    </w:div>
    <w:div w:id="775439438">
      <w:bodyDiv w:val="1"/>
      <w:marLeft w:val="0"/>
      <w:marRight w:val="0"/>
      <w:marTop w:val="0"/>
      <w:marBottom w:val="0"/>
      <w:divBdr>
        <w:top w:val="none" w:sz="0" w:space="0" w:color="auto"/>
        <w:left w:val="none" w:sz="0" w:space="0" w:color="auto"/>
        <w:bottom w:val="none" w:sz="0" w:space="0" w:color="auto"/>
        <w:right w:val="none" w:sz="0" w:space="0" w:color="auto"/>
      </w:divBdr>
    </w:div>
    <w:div w:id="1155343603">
      <w:bodyDiv w:val="1"/>
      <w:marLeft w:val="0"/>
      <w:marRight w:val="0"/>
      <w:marTop w:val="0"/>
      <w:marBottom w:val="0"/>
      <w:divBdr>
        <w:top w:val="none" w:sz="0" w:space="0" w:color="auto"/>
        <w:left w:val="none" w:sz="0" w:space="0" w:color="auto"/>
        <w:bottom w:val="none" w:sz="0" w:space="0" w:color="auto"/>
        <w:right w:val="none" w:sz="0" w:space="0" w:color="auto"/>
      </w:divBdr>
    </w:div>
    <w:div w:id="17294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A352-B094-476C-9CF0-3D97F1B6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1837</Words>
  <Characters>10108</Characters>
  <Application>Microsoft Office Word</Application>
  <DocSecurity>0</DocSecurity>
  <Lines>174</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dcterms:created xsi:type="dcterms:W3CDTF">2022-02-24T13:04:00Z</dcterms:created>
  <dcterms:modified xsi:type="dcterms:W3CDTF">2022-06-03T14:48:00Z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Yellow (DQC version 03)</vt:lpwstr>
  </property>
</Properties>
</file>