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DCCBB" w14:textId="7769F297" w:rsidR="005E2A65" w:rsidRDefault="00FE27A9" w:rsidP="00FE27A9">
      <w:pPr>
        <w:pStyle w:val="Pagedecouverture"/>
        <w:rPr>
          <w:noProof/>
        </w:rPr>
      </w:pPr>
      <w:bookmarkStart w:id="0" w:name="LW_BM_COVERPAGE"/>
      <w:r>
        <w:rPr>
          <w:noProof/>
        </w:rPr>
        <w:pict w14:anchorId="067C9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5FA8A43-35DA-4B67-A996-50F74FAD4622" style="width:455.25pt;height:310.5pt">
            <v:imagedata r:id="rId8" o:title=""/>
          </v:shape>
        </w:pict>
      </w:r>
    </w:p>
    <w:bookmarkEnd w:id="0"/>
    <w:p w14:paraId="3AC40524" w14:textId="77777777" w:rsidR="005E2A65" w:rsidRDefault="005E2A65" w:rsidP="005E2A65">
      <w:pPr>
        <w:rPr>
          <w:noProof/>
        </w:rPr>
        <w:sectPr w:rsidR="005E2A65" w:rsidSect="00FE27A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D05FC70" w14:textId="77777777" w:rsidR="00C53F59" w:rsidRPr="001D4003" w:rsidRDefault="00B22F5E">
      <w:p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1. Wprowadzenie</w:t>
      </w:r>
    </w:p>
    <w:p w14:paraId="0128FFD1" w14:textId="19326491" w:rsidR="00B04422" w:rsidRPr="001D4003" w:rsidRDefault="00EF6274" w:rsidP="00B04422">
      <w:pPr>
        <w:jc w:val="both"/>
        <w:rPr>
          <w:rFonts w:ascii="Times New Roman" w:hAnsi="Times New Roman" w:cs="Times New Roman"/>
          <w:noProof/>
          <w:sz w:val="24"/>
          <w:szCs w:val="24"/>
        </w:rPr>
      </w:pPr>
      <w:r>
        <w:rPr>
          <w:rFonts w:ascii="Times New Roman" w:hAnsi="Times New Roman"/>
          <w:noProof/>
          <w:sz w:val="24"/>
          <w:szCs w:val="24"/>
        </w:rPr>
        <w:t xml:space="preserve">W </w:t>
      </w:r>
      <w:r w:rsidRPr="00900986">
        <w:rPr>
          <w:rFonts w:ascii="Times New Roman" w:hAnsi="Times New Roman"/>
          <w:noProof/>
          <w:sz w:val="24"/>
          <w:szCs w:val="24"/>
        </w:rPr>
        <w:t>art.</w:t>
      </w:r>
      <w:r w:rsidR="00900986" w:rsidRPr="00900986">
        <w:rPr>
          <w:rFonts w:ascii="Times New Roman" w:hAnsi="Times New Roman"/>
          <w:noProof/>
          <w:sz w:val="24"/>
          <w:szCs w:val="24"/>
        </w:rPr>
        <w:t> </w:t>
      </w:r>
      <w:r w:rsidRPr="00900986">
        <w:rPr>
          <w:rFonts w:ascii="Times New Roman" w:hAnsi="Times New Roman"/>
          <w:noProof/>
          <w:sz w:val="24"/>
          <w:szCs w:val="24"/>
        </w:rPr>
        <w:t>2</w:t>
      </w:r>
      <w:r>
        <w:rPr>
          <w:rFonts w:ascii="Times New Roman" w:hAnsi="Times New Roman"/>
          <w:noProof/>
          <w:sz w:val="24"/>
          <w:szCs w:val="24"/>
        </w:rPr>
        <w:t xml:space="preserve"> </w:t>
      </w:r>
      <w:r w:rsidRPr="00900986">
        <w:rPr>
          <w:rFonts w:ascii="Times New Roman" w:hAnsi="Times New Roman"/>
          <w:noProof/>
          <w:sz w:val="24"/>
          <w:szCs w:val="24"/>
        </w:rPr>
        <w:t>pkt</w:t>
      </w:r>
      <w:r w:rsidR="00900986" w:rsidRPr="00900986">
        <w:rPr>
          <w:rFonts w:ascii="Times New Roman" w:hAnsi="Times New Roman"/>
          <w:noProof/>
          <w:sz w:val="24"/>
          <w:szCs w:val="24"/>
        </w:rPr>
        <w:t> </w:t>
      </w:r>
      <w:r w:rsidRPr="00900986">
        <w:rPr>
          <w:rFonts w:ascii="Times New Roman" w:hAnsi="Times New Roman"/>
          <w:noProof/>
          <w:sz w:val="24"/>
          <w:szCs w:val="24"/>
        </w:rPr>
        <w:t>2</w:t>
      </w:r>
      <w:r>
        <w:rPr>
          <w:rFonts w:ascii="Times New Roman" w:hAnsi="Times New Roman"/>
          <w:noProof/>
          <w:sz w:val="24"/>
          <w:szCs w:val="24"/>
        </w:rPr>
        <w:t>8 dyrektywy 2014/40/UE</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(zwanej dalej „dyrektywą”) „istotną zmianę okoliczności” zdefiniowano jako wzrost wielkości sprzedaży danej kategorii wyrobu o co najmniej 1</w:t>
      </w:r>
      <w:r w:rsidRPr="00900986">
        <w:rPr>
          <w:rFonts w:ascii="Times New Roman" w:hAnsi="Times New Roman"/>
          <w:noProof/>
          <w:sz w:val="24"/>
          <w:szCs w:val="24"/>
        </w:rPr>
        <w:t>0</w:t>
      </w:r>
      <w:r w:rsidR="00900986" w:rsidRPr="00900986">
        <w:rPr>
          <w:rFonts w:ascii="Times New Roman" w:hAnsi="Times New Roman"/>
          <w:noProof/>
          <w:sz w:val="24"/>
          <w:szCs w:val="24"/>
        </w:rPr>
        <w:t> </w:t>
      </w:r>
      <w:r w:rsidRPr="00900986">
        <w:rPr>
          <w:rFonts w:ascii="Times New Roman" w:hAnsi="Times New Roman"/>
          <w:noProof/>
          <w:sz w:val="24"/>
          <w:szCs w:val="24"/>
        </w:rPr>
        <w:t>%</w:t>
      </w:r>
      <w:r>
        <w:rPr>
          <w:rFonts w:ascii="Times New Roman" w:hAnsi="Times New Roman"/>
          <w:noProof/>
          <w:sz w:val="24"/>
          <w:szCs w:val="24"/>
        </w:rPr>
        <w:t xml:space="preserve"> w co najmniej pięciu państwach członkowskich, według danych dotyczących sprzedaży przekazanych zgodnie</w:t>
      </w:r>
      <w:r w:rsidR="00900986">
        <w:rPr>
          <w:rFonts w:ascii="Times New Roman" w:hAnsi="Times New Roman"/>
          <w:noProof/>
          <w:sz w:val="24"/>
          <w:szCs w:val="24"/>
        </w:rPr>
        <w:t xml:space="preserve"> z </w:t>
      </w:r>
      <w:r w:rsidR="00900986" w:rsidRPr="00900986">
        <w:rPr>
          <w:rFonts w:ascii="Times New Roman" w:hAnsi="Times New Roman"/>
          <w:noProof/>
          <w:sz w:val="24"/>
          <w:szCs w:val="24"/>
        </w:rPr>
        <w:t>art</w:t>
      </w:r>
      <w:r w:rsidRPr="00900986">
        <w:rPr>
          <w:rFonts w:ascii="Times New Roman" w:hAnsi="Times New Roman"/>
          <w:noProof/>
          <w:sz w:val="24"/>
          <w:szCs w:val="24"/>
        </w:rPr>
        <w:t>.</w:t>
      </w:r>
      <w:r w:rsidR="00900986" w:rsidRPr="00900986">
        <w:rPr>
          <w:rFonts w:ascii="Times New Roman" w:hAnsi="Times New Roman"/>
          <w:noProof/>
          <w:sz w:val="24"/>
          <w:szCs w:val="24"/>
        </w:rPr>
        <w:t> </w:t>
      </w:r>
      <w:r w:rsidRPr="00900986">
        <w:rPr>
          <w:rFonts w:ascii="Times New Roman" w:hAnsi="Times New Roman"/>
          <w:noProof/>
          <w:sz w:val="24"/>
          <w:szCs w:val="24"/>
        </w:rPr>
        <w:t>5</w:t>
      </w:r>
      <w:r>
        <w:rPr>
          <w:rFonts w:ascii="Times New Roman" w:hAnsi="Times New Roman"/>
          <w:noProof/>
          <w:sz w:val="24"/>
          <w:szCs w:val="24"/>
        </w:rPr>
        <w:t xml:space="preserve"> </w:t>
      </w:r>
      <w:r w:rsidRPr="00900986">
        <w:rPr>
          <w:rFonts w:ascii="Times New Roman" w:hAnsi="Times New Roman"/>
          <w:noProof/>
          <w:sz w:val="24"/>
          <w:szCs w:val="24"/>
        </w:rPr>
        <w:t>ust.</w:t>
      </w:r>
      <w:r w:rsidR="00900986" w:rsidRPr="00900986">
        <w:rPr>
          <w:rFonts w:ascii="Times New Roman" w:hAnsi="Times New Roman"/>
          <w:noProof/>
          <w:sz w:val="24"/>
          <w:szCs w:val="24"/>
        </w:rPr>
        <w:t> </w:t>
      </w:r>
      <w:r w:rsidRPr="00900986">
        <w:rPr>
          <w:rFonts w:ascii="Times New Roman" w:hAnsi="Times New Roman"/>
          <w:noProof/>
          <w:sz w:val="24"/>
          <w:szCs w:val="24"/>
        </w:rPr>
        <w:t>6</w:t>
      </w:r>
      <w:r>
        <w:rPr>
          <w:rFonts w:ascii="Times New Roman" w:hAnsi="Times New Roman"/>
          <w:noProof/>
          <w:sz w:val="24"/>
          <w:szCs w:val="24"/>
        </w:rPr>
        <w:t xml:space="preserve"> lub wzrost częstości spożycia wyrobów tytoniowych</w:t>
      </w:r>
      <w:r w:rsidR="00900986">
        <w:rPr>
          <w:rFonts w:ascii="Times New Roman" w:hAnsi="Times New Roman"/>
          <w:noProof/>
          <w:sz w:val="24"/>
          <w:szCs w:val="24"/>
        </w:rPr>
        <w:t xml:space="preserve"> w gru</w:t>
      </w:r>
      <w:r>
        <w:rPr>
          <w:rFonts w:ascii="Times New Roman" w:hAnsi="Times New Roman"/>
          <w:noProof/>
          <w:sz w:val="24"/>
          <w:szCs w:val="24"/>
        </w:rPr>
        <w:t xml:space="preserve">pie konsumentów poniżej 25 roku życia o co najmniej pięć punktów procentowych w co najmniej pięciu państwach członkowskich według sprawozdania Eurobarometru </w:t>
      </w:r>
      <w:r w:rsidRPr="00900986">
        <w:rPr>
          <w:rFonts w:ascii="Times New Roman" w:hAnsi="Times New Roman"/>
          <w:noProof/>
          <w:sz w:val="24"/>
          <w:szCs w:val="24"/>
        </w:rPr>
        <w:t>nr</w:t>
      </w:r>
      <w:r w:rsidR="00900986" w:rsidRPr="00900986">
        <w:rPr>
          <w:rFonts w:ascii="Times New Roman" w:hAnsi="Times New Roman"/>
          <w:noProof/>
          <w:sz w:val="24"/>
          <w:szCs w:val="24"/>
        </w:rPr>
        <w:t> </w:t>
      </w:r>
      <w:r w:rsidRPr="00900986">
        <w:rPr>
          <w:rFonts w:ascii="Times New Roman" w:hAnsi="Times New Roman"/>
          <w:noProof/>
          <w:sz w:val="24"/>
          <w:szCs w:val="24"/>
        </w:rPr>
        <w:t>3</w:t>
      </w:r>
      <w:r>
        <w:rPr>
          <w:rFonts w:ascii="Times New Roman" w:hAnsi="Times New Roman"/>
          <w:noProof/>
          <w:sz w:val="24"/>
          <w:szCs w:val="24"/>
        </w:rPr>
        <w:t>85</w:t>
      </w:r>
      <w:r w:rsidR="00900986">
        <w:rPr>
          <w:rFonts w:ascii="Times New Roman" w:hAnsi="Times New Roman"/>
          <w:noProof/>
          <w:sz w:val="24"/>
          <w:szCs w:val="24"/>
        </w:rPr>
        <w:t xml:space="preserve"> z maj</w:t>
      </w:r>
      <w:r>
        <w:rPr>
          <w:rFonts w:ascii="Times New Roman" w:hAnsi="Times New Roman"/>
          <w:noProof/>
          <w:sz w:val="24"/>
          <w:szCs w:val="24"/>
        </w:rPr>
        <w:t>a 20</w:t>
      </w:r>
      <w:r w:rsidRPr="00900986">
        <w:rPr>
          <w:rFonts w:ascii="Times New Roman" w:hAnsi="Times New Roman"/>
          <w:noProof/>
          <w:sz w:val="24"/>
          <w:szCs w:val="24"/>
        </w:rPr>
        <w:t>12</w:t>
      </w:r>
      <w:r w:rsidR="00900986" w:rsidRPr="00900986">
        <w:rPr>
          <w:rFonts w:ascii="Times New Roman" w:hAnsi="Times New Roman"/>
          <w:noProof/>
          <w:sz w:val="24"/>
          <w:szCs w:val="24"/>
        </w:rPr>
        <w:t> </w:t>
      </w:r>
      <w:r w:rsidRPr="00900986">
        <w:rPr>
          <w:rFonts w:ascii="Times New Roman" w:hAnsi="Times New Roman"/>
          <w:noProof/>
          <w:sz w:val="24"/>
          <w:szCs w:val="24"/>
        </w:rPr>
        <w:t>r.</w:t>
      </w:r>
      <w:r>
        <w:rPr>
          <w:rFonts w:ascii="Times New Roman" w:hAnsi="Times New Roman"/>
          <w:noProof/>
          <w:sz w:val="24"/>
          <w:szCs w:val="24"/>
        </w:rPr>
        <w:t xml:space="preserve"> lub według równoważnych badań częstości spożycia wyrobów tytoniowych. Zgodnie</w:t>
      </w:r>
      <w:r w:rsidR="00900986">
        <w:rPr>
          <w:rFonts w:ascii="Times New Roman" w:hAnsi="Times New Roman"/>
          <w:noProof/>
          <w:sz w:val="24"/>
          <w:szCs w:val="24"/>
        </w:rPr>
        <w:t xml:space="preserve"> z tym</w:t>
      </w:r>
      <w:r>
        <w:rPr>
          <w:rFonts w:ascii="Times New Roman" w:hAnsi="Times New Roman"/>
          <w:noProof/>
          <w:sz w:val="24"/>
          <w:szCs w:val="24"/>
        </w:rPr>
        <w:t xml:space="preserve"> samym przepisem uznaje się, że do istotnej zmiany okoliczności nie doszło, jeżeli wielkość detalicznej sprzedaży danej kategorii wyrobów nie przekroczyła 2,</w:t>
      </w:r>
      <w:r w:rsidRPr="00900986">
        <w:rPr>
          <w:rFonts w:ascii="Times New Roman" w:hAnsi="Times New Roman"/>
          <w:noProof/>
          <w:sz w:val="24"/>
          <w:szCs w:val="24"/>
        </w:rPr>
        <w:t>5</w:t>
      </w:r>
      <w:r w:rsidR="00900986" w:rsidRPr="00900986">
        <w:rPr>
          <w:rFonts w:ascii="Times New Roman" w:hAnsi="Times New Roman"/>
          <w:noProof/>
          <w:sz w:val="24"/>
          <w:szCs w:val="24"/>
        </w:rPr>
        <w:t> </w:t>
      </w:r>
      <w:r w:rsidRPr="00900986">
        <w:rPr>
          <w:rFonts w:ascii="Times New Roman" w:hAnsi="Times New Roman"/>
          <w:noProof/>
          <w:sz w:val="24"/>
          <w:szCs w:val="24"/>
        </w:rPr>
        <w:t>%</w:t>
      </w:r>
      <w:r>
        <w:rPr>
          <w:rFonts w:ascii="Times New Roman" w:hAnsi="Times New Roman"/>
          <w:noProof/>
          <w:sz w:val="24"/>
          <w:szCs w:val="24"/>
        </w:rPr>
        <w:t xml:space="preserve"> całkowitej sprzedaży wyrobów tytoniowych na poziomie unijnym. Art. 7 </w:t>
      </w:r>
      <w:r w:rsidRPr="00900986">
        <w:rPr>
          <w:rFonts w:ascii="Times New Roman" w:hAnsi="Times New Roman"/>
          <w:noProof/>
          <w:sz w:val="24"/>
          <w:szCs w:val="24"/>
        </w:rPr>
        <w:t>ust.</w:t>
      </w:r>
      <w:r w:rsidR="00900986" w:rsidRPr="00900986">
        <w:rPr>
          <w:rFonts w:ascii="Times New Roman" w:hAnsi="Times New Roman"/>
          <w:noProof/>
          <w:sz w:val="24"/>
          <w:szCs w:val="24"/>
        </w:rPr>
        <w:t> </w:t>
      </w:r>
      <w:r w:rsidRPr="00900986">
        <w:rPr>
          <w:rFonts w:ascii="Times New Roman" w:hAnsi="Times New Roman"/>
          <w:noProof/>
          <w:sz w:val="24"/>
          <w:szCs w:val="24"/>
        </w:rPr>
        <w:t>1</w:t>
      </w:r>
      <w:r>
        <w:rPr>
          <w:rFonts w:ascii="Times New Roman" w:hAnsi="Times New Roman"/>
          <w:noProof/>
          <w:sz w:val="24"/>
          <w:szCs w:val="24"/>
        </w:rPr>
        <w:t>2</w:t>
      </w:r>
      <w:r w:rsidR="00900986">
        <w:rPr>
          <w:rFonts w:ascii="Times New Roman" w:hAnsi="Times New Roman"/>
          <w:noProof/>
          <w:sz w:val="24"/>
          <w:szCs w:val="24"/>
        </w:rPr>
        <w:t xml:space="preserve"> i </w:t>
      </w:r>
      <w:r w:rsidR="00900986" w:rsidRPr="00900986">
        <w:rPr>
          <w:rFonts w:ascii="Times New Roman" w:hAnsi="Times New Roman"/>
          <w:noProof/>
          <w:sz w:val="24"/>
          <w:szCs w:val="24"/>
        </w:rPr>
        <w:t>art</w:t>
      </w:r>
      <w:r w:rsidRPr="00900986">
        <w:rPr>
          <w:rFonts w:ascii="Times New Roman" w:hAnsi="Times New Roman"/>
          <w:noProof/>
          <w:sz w:val="24"/>
          <w:szCs w:val="24"/>
        </w:rPr>
        <w:t>.</w:t>
      </w:r>
      <w:r w:rsidR="00900986" w:rsidRPr="00900986">
        <w:rPr>
          <w:rFonts w:ascii="Times New Roman" w:hAnsi="Times New Roman"/>
          <w:noProof/>
          <w:sz w:val="24"/>
          <w:szCs w:val="24"/>
        </w:rPr>
        <w:t> </w:t>
      </w:r>
      <w:r w:rsidRPr="00900986">
        <w:rPr>
          <w:rFonts w:ascii="Times New Roman" w:hAnsi="Times New Roman"/>
          <w:noProof/>
          <w:sz w:val="24"/>
          <w:szCs w:val="24"/>
        </w:rPr>
        <w:t>1</w:t>
      </w:r>
      <w:r>
        <w:rPr>
          <w:rFonts w:ascii="Times New Roman" w:hAnsi="Times New Roman"/>
          <w:noProof/>
          <w:sz w:val="24"/>
          <w:szCs w:val="24"/>
        </w:rPr>
        <w:t xml:space="preserve">1 </w:t>
      </w:r>
      <w:r w:rsidRPr="00900986">
        <w:rPr>
          <w:rFonts w:ascii="Times New Roman" w:hAnsi="Times New Roman"/>
          <w:noProof/>
          <w:sz w:val="24"/>
          <w:szCs w:val="24"/>
        </w:rPr>
        <w:t>ust.</w:t>
      </w:r>
      <w:r w:rsidR="00900986" w:rsidRPr="00900986">
        <w:rPr>
          <w:rFonts w:ascii="Times New Roman" w:hAnsi="Times New Roman"/>
          <w:noProof/>
          <w:sz w:val="24"/>
          <w:szCs w:val="24"/>
        </w:rPr>
        <w:t> </w:t>
      </w:r>
      <w:r w:rsidRPr="00900986">
        <w:rPr>
          <w:rFonts w:ascii="Times New Roman" w:hAnsi="Times New Roman"/>
          <w:noProof/>
          <w:sz w:val="24"/>
          <w:szCs w:val="24"/>
        </w:rPr>
        <w:t>6</w:t>
      </w:r>
      <w:r>
        <w:rPr>
          <w:rFonts w:ascii="Times New Roman" w:hAnsi="Times New Roman"/>
          <w:noProof/>
          <w:sz w:val="24"/>
          <w:szCs w:val="24"/>
        </w:rPr>
        <w:t xml:space="preserve"> dyrektywy zawierają wymóg, aby Komisja stwierdzała istotną zmianę okoliczności</w:t>
      </w:r>
      <w:r w:rsidR="00900986">
        <w:rPr>
          <w:rFonts w:ascii="Times New Roman" w:hAnsi="Times New Roman"/>
          <w:noProof/>
          <w:sz w:val="24"/>
          <w:szCs w:val="24"/>
        </w:rPr>
        <w:t xml:space="preserve"> w odn</w:t>
      </w:r>
      <w:r>
        <w:rPr>
          <w:rFonts w:ascii="Times New Roman" w:hAnsi="Times New Roman"/>
          <w:noProof/>
          <w:sz w:val="24"/>
          <w:szCs w:val="24"/>
        </w:rPr>
        <w:t>iesieniu do określonej kategorii wyrobów</w:t>
      </w:r>
      <w:r w:rsidR="00900986">
        <w:rPr>
          <w:rFonts w:ascii="Times New Roman" w:hAnsi="Times New Roman"/>
          <w:noProof/>
          <w:sz w:val="24"/>
          <w:szCs w:val="24"/>
        </w:rPr>
        <w:t xml:space="preserve"> w spr</w:t>
      </w:r>
      <w:r>
        <w:rPr>
          <w:rFonts w:ascii="Times New Roman" w:hAnsi="Times New Roman"/>
          <w:noProof/>
          <w:sz w:val="24"/>
          <w:szCs w:val="24"/>
        </w:rPr>
        <w:t>awozdaniu.</w:t>
      </w:r>
    </w:p>
    <w:p w14:paraId="79E28070" w14:textId="4FE461BC" w:rsidR="00701084" w:rsidRDefault="00EF6274" w:rsidP="00B04422">
      <w:pPr>
        <w:jc w:val="both"/>
        <w:rPr>
          <w:rFonts w:ascii="Times New Roman" w:hAnsi="Times New Roman" w:cs="Times New Roman"/>
          <w:noProof/>
          <w:sz w:val="24"/>
          <w:szCs w:val="24"/>
        </w:rPr>
      </w:pPr>
      <w:r>
        <w:rPr>
          <w:rFonts w:ascii="Times New Roman" w:hAnsi="Times New Roman"/>
          <w:noProof/>
          <w:sz w:val="24"/>
          <w:szCs w:val="24"/>
        </w:rPr>
        <w:t>W niniejszym sprawozdaniu przedstawiono informacje na temat zmian sytuacji rynkowej, które są istotne dla oceny istotnej zmiany okoliczności</w:t>
      </w:r>
      <w:r w:rsidR="00900986">
        <w:rPr>
          <w:rFonts w:ascii="Times New Roman" w:hAnsi="Times New Roman"/>
          <w:noProof/>
          <w:sz w:val="24"/>
          <w:szCs w:val="24"/>
        </w:rPr>
        <w:t xml:space="preserve"> w odn</w:t>
      </w:r>
      <w:r>
        <w:rPr>
          <w:rFonts w:ascii="Times New Roman" w:hAnsi="Times New Roman"/>
          <w:noProof/>
          <w:sz w:val="24"/>
          <w:szCs w:val="24"/>
        </w:rPr>
        <w:t>iesieniu do podgrzewanych wyrobów tytoniowych. Podgrzewane wyroby tytoniowe są nowatorskimi wyrobami tytoniowymi,</w:t>
      </w:r>
      <w:r w:rsidR="00900986">
        <w:rPr>
          <w:rFonts w:ascii="Times New Roman" w:hAnsi="Times New Roman"/>
          <w:noProof/>
          <w:sz w:val="24"/>
          <w:szCs w:val="24"/>
        </w:rPr>
        <w:t xml:space="preserve"> w któ</w:t>
      </w:r>
      <w:r>
        <w:rPr>
          <w:rFonts w:ascii="Times New Roman" w:hAnsi="Times New Roman"/>
          <w:noProof/>
          <w:sz w:val="24"/>
          <w:szCs w:val="24"/>
        </w:rPr>
        <w:t>rych,</w:t>
      </w:r>
      <w:r w:rsidR="00900986">
        <w:rPr>
          <w:rFonts w:ascii="Times New Roman" w:hAnsi="Times New Roman"/>
          <w:noProof/>
          <w:sz w:val="24"/>
          <w:szCs w:val="24"/>
        </w:rPr>
        <w:t xml:space="preserve"> w wyn</w:t>
      </w:r>
      <w:r>
        <w:rPr>
          <w:rFonts w:ascii="Times New Roman" w:hAnsi="Times New Roman"/>
          <w:noProof/>
          <w:sz w:val="24"/>
          <w:szCs w:val="24"/>
        </w:rPr>
        <w:t>iku podgrzania dochodzi do emisji zawierającej nikotynę</w:t>
      </w:r>
      <w:r w:rsidR="00900986">
        <w:rPr>
          <w:rFonts w:ascii="Times New Roman" w:hAnsi="Times New Roman"/>
          <w:noProof/>
          <w:sz w:val="24"/>
          <w:szCs w:val="24"/>
        </w:rPr>
        <w:t xml:space="preserve"> i inn</w:t>
      </w:r>
      <w:r>
        <w:rPr>
          <w:rFonts w:ascii="Times New Roman" w:hAnsi="Times New Roman"/>
          <w:noProof/>
          <w:sz w:val="24"/>
          <w:szCs w:val="24"/>
        </w:rPr>
        <w:t>e substancje chemiczne, które są następnie wdychane przez użytkownika lub użytkowników</w:t>
      </w:r>
      <w:r w:rsidR="00900986">
        <w:rPr>
          <w:rFonts w:ascii="Times New Roman" w:hAnsi="Times New Roman"/>
          <w:noProof/>
          <w:sz w:val="24"/>
          <w:szCs w:val="24"/>
        </w:rPr>
        <w:t xml:space="preserve"> i któ</w:t>
      </w:r>
      <w:r>
        <w:rPr>
          <w:rFonts w:ascii="Times New Roman" w:hAnsi="Times New Roman"/>
          <w:noProof/>
          <w:sz w:val="24"/>
          <w:szCs w:val="24"/>
        </w:rPr>
        <w:t>re,</w:t>
      </w:r>
      <w:r w:rsidR="00900986">
        <w:rPr>
          <w:rFonts w:ascii="Times New Roman" w:hAnsi="Times New Roman"/>
          <w:noProof/>
          <w:sz w:val="24"/>
          <w:szCs w:val="24"/>
        </w:rPr>
        <w:t xml:space="preserve"> w zal</w:t>
      </w:r>
      <w:r>
        <w:rPr>
          <w:rFonts w:ascii="Times New Roman" w:hAnsi="Times New Roman"/>
          <w:noProof/>
          <w:sz w:val="24"/>
          <w:szCs w:val="24"/>
        </w:rPr>
        <w:t>eżności od ich cech, są wyrobami tytoniowymi bezdymnymi</w:t>
      </w:r>
      <w:r w:rsidR="00900986">
        <w:rPr>
          <w:rFonts w:ascii="Times New Roman" w:hAnsi="Times New Roman"/>
          <w:noProof/>
          <w:sz w:val="24"/>
          <w:szCs w:val="24"/>
        </w:rPr>
        <w:t xml:space="preserve"> w roz</w:t>
      </w:r>
      <w:r>
        <w:rPr>
          <w:rFonts w:ascii="Times New Roman" w:hAnsi="Times New Roman"/>
          <w:noProof/>
          <w:sz w:val="24"/>
          <w:szCs w:val="24"/>
        </w:rPr>
        <w:t xml:space="preserve">umieniu </w:t>
      </w:r>
      <w:r w:rsidRPr="00900986">
        <w:rPr>
          <w:rFonts w:ascii="Times New Roman" w:hAnsi="Times New Roman"/>
          <w:noProof/>
          <w:sz w:val="24"/>
          <w:szCs w:val="24"/>
        </w:rPr>
        <w:t>art.</w:t>
      </w:r>
      <w:r w:rsidR="00900986" w:rsidRPr="00900986">
        <w:rPr>
          <w:rFonts w:ascii="Times New Roman" w:hAnsi="Times New Roman"/>
          <w:noProof/>
          <w:sz w:val="24"/>
          <w:szCs w:val="24"/>
        </w:rPr>
        <w:t> </w:t>
      </w:r>
      <w:r w:rsidRPr="00900986">
        <w:rPr>
          <w:rFonts w:ascii="Times New Roman" w:hAnsi="Times New Roman"/>
          <w:noProof/>
          <w:sz w:val="24"/>
          <w:szCs w:val="24"/>
        </w:rPr>
        <w:t>2</w:t>
      </w:r>
      <w:r>
        <w:rPr>
          <w:rFonts w:ascii="Times New Roman" w:hAnsi="Times New Roman"/>
          <w:noProof/>
          <w:sz w:val="24"/>
          <w:szCs w:val="24"/>
        </w:rPr>
        <w:t xml:space="preserve"> </w:t>
      </w:r>
      <w:r w:rsidRPr="00900986">
        <w:rPr>
          <w:rFonts w:ascii="Times New Roman" w:hAnsi="Times New Roman"/>
          <w:noProof/>
          <w:sz w:val="24"/>
          <w:szCs w:val="24"/>
        </w:rPr>
        <w:t>pkt</w:t>
      </w:r>
      <w:r w:rsidR="00900986" w:rsidRPr="00900986">
        <w:rPr>
          <w:rFonts w:ascii="Times New Roman" w:hAnsi="Times New Roman"/>
          <w:noProof/>
          <w:sz w:val="24"/>
          <w:szCs w:val="24"/>
        </w:rPr>
        <w:t> </w:t>
      </w:r>
      <w:r w:rsidRPr="00900986">
        <w:rPr>
          <w:rFonts w:ascii="Times New Roman" w:hAnsi="Times New Roman"/>
          <w:noProof/>
          <w:sz w:val="24"/>
          <w:szCs w:val="24"/>
        </w:rPr>
        <w:t>5</w:t>
      </w:r>
      <w:r>
        <w:rPr>
          <w:rFonts w:ascii="Times New Roman" w:hAnsi="Times New Roman"/>
          <w:noProof/>
          <w:sz w:val="24"/>
          <w:szCs w:val="24"/>
        </w:rPr>
        <w:t xml:space="preserve"> dyrektywy lub wyrobami tytoniowymi do palenia</w:t>
      </w:r>
      <w:r w:rsidR="00900986">
        <w:rPr>
          <w:rFonts w:ascii="Times New Roman" w:hAnsi="Times New Roman"/>
          <w:noProof/>
          <w:sz w:val="24"/>
          <w:szCs w:val="24"/>
        </w:rPr>
        <w:t xml:space="preserve"> w roz</w:t>
      </w:r>
      <w:r>
        <w:rPr>
          <w:rFonts w:ascii="Times New Roman" w:hAnsi="Times New Roman"/>
          <w:noProof/>
          <w:sz w:val="24"/>
          <w:szCs w:val="24"/>
        </w:rPr>
        <w:t xml:space="preserve">umieniu </w:t>
      </w:r>
      <w:r w:rsidRPr="00900986">
        <w:rPr>
          <w:rFonts w:ascii="Times New Roman" w:hAnsi="Times New Roman"/>
          <w:noProof/>
          <w:sz w:val="24"/>
          <w:szCs w:val="24"/>
        </w:rPr>
        <w:t>art.</w:t>
      </w:r>
      <w:r w:rsidR="00900986" w:rsidRPr="00900986">
        <w:rPr>
          <w:rFonts w:ascii="Times New Roman" w:hAnsi="Times New Roman"/>
          <w:noProof/>
          <w:sz w:val="24"/>
          <w:szCs w:val="24"/>
        </w:rPr>
        <w:t> </w:t>
      </w:r>
      <w:r w:rsidRPr="00900986">
        <w:rPr>
          <w:rFonts w:ascii="Times New Roman" w:hAnsi="Times New Roman"/>
          <w:noProof/>
          <w:sz w:val="24"/>
          <w:szCs w:val="24"/>
        </w:rPr>
        <w:t>2</w:t>
      </w:r>
      <w:r>
        <w:rPr>
          <w:rFonts w:ascii="Times New Roman" w:hAnsi="Times New Roman"/>
          <w:noProof/>
          <w:sz w:val="24"/>
          <w:szCs w:val="24"/>
        </w:rPr>
        <w:t xml:space="preserve"> </w:t>
      </w:r>
      <w:r w:rsidRPr="00900986">
        <w:rPr>
          <w:rFonts w:ascii="Times New Roman" w:hAnsi="Times New Roman"/>
          <w:noProof/>
          <w:sz w:val="24"/>
          <w:szCs w:val="24"/>
        </w:rPr>
        <w:t>pkt</w:t>
      </w:r>
      <w:r w:rsidR="00900986" w:rsidRPr="00900986">
        <w:rPr>
          <w:rFonts w:ascii="Times New Roman" w:hAnsi="Times New Roman"/>
          <w:noProof/>
          <w:sz w:val="24"/>
          <w:szCs w:val="24"/>
        </w:rPr>
        <w:t> </w:t>
      </w:r>
      <w:r w:rsidRPr="00900986">
        <w:rPr>
          <w:rFonts w:ascii="Times New Roman" w:hAnsi="Times New Roman"/>
          <w:noProof/>
          <w:sz w:val="24"/>
          <w:szCs w:val="24"/>
        </w:rPr>
        <w:t>9</w:t>
      </w:r>
      <w:r>
        <w:rPr>
          <w:rFonts w:ascii="Times New Roman" w:hAnsi="Times New Roman"/>
          <w:noProof/>
          <w:sz w:val="24"/>
          <w:szCs w:val="24"/>
        </w:rPr>
        <w:t xml:space="preserve"> dyrektywy. Analiza przedstawiona</w:t>
      </w:r>
      <w:r w:rsidR="00900986">
        <w:rPr>
          <w:rFonts w:ascii="Times New Roman" w:hAnsi="Times New Roman"/>
          <w:noProof/>
          <w:sz w:val="24"/>
          <w:szCs w:val="24"/>
        </w:rPr>
        <w:t xml:space="preserve"> w nin</w:t>
      </w:r>
      <w:r>
        <w:rPr>
          <w:rFonts w:ascii="Times New Roman" w:hAnsi="Times New Roman"/>
          <w:noProof/>
          <w:sz w:val="24"/>
          <w:szCs w:val="24"/>
        </w:rPr>
        <w:t>iejszym sprawozdaniu opiera się na danych przekazywanych zgodnie</w:t>
      </w:r>
      <w:r w:rsidR="00900986">
        <w:rPr>
          <w:rFonts w:ascii="Times New Roman" w:hAnsi="Times New Roman"/>
          <w:noProof/>
          <w:sz w:val="24"/>
          <w:szCs w:val="24"/>
        </w:rPr>
        <w:t xml:space="preserve"> z </w:t>
      </w:r>
      <w:r w:rsidR="00900986" w:rsidRPr="00900986">
        <w:rPr>
          <w:rFonts w:ascii="Times New Roman" w:hAnsi="Times New Roman"/>
          <w:noProof/>
          <w:sz w:val="24"/>
          <w:szCs w:val="24"/>
        </w:rPr>
        <w:t>art</w:t>
      </w:r>
      <w:r w:rsidRPr="00900986">
        <w:rPr>
          <w:rFonts w:ascii="Times New Roman" w:hAnsi="Times New Roman"/>
          <w:noProof/>
          <w:sz w:val="24"/>
          <w:szCs w:val="24"/>
        </w:rPr>
        <w:t>.</w:t>
      </w:r>
      <w:r w:rsidR="00900986" w:rsidRPr="00900986">
        <w:rPr>
          <w:rFonts w:ascii="Times New Roman" w:hAnsi="Times New Roman"/>
          <w:noProof/>
          <w:sz w:val="24"/>
          <w:szCs w:val="24"/>
        </w:rPr>
        <w:t> </w:t>
      </w:r>
      <w:r w:rsidRPr="00900986">
        <w:rPr>
          <w:rFonts w:ascii="Times New Roman" w:hAnsi="Times New Roman"/>
          <w:noProof/>
          <w:sz w:val="24"/>
          <w:szCs w:val="24"/>
        </w:rPr>
        <w:t>5</w:t>
      </w:r>
      <w:r>
        <w:rPr>
          <w:rFonts w:ascii="Times New Roman" w:hAnsi="Times New Roman"/>
          <w:noProof/>
          <w:sz w:val="24"/>
          <w:szCs w:val="24"/>
        </w:rPr>
        <w:t xml:space="preserve"> </w:t>
      </w:r>
      <w:r w:rsidRPr="00900986">
        <w:rPr>
          <w:rFonts w:ascii="Times New Roman" w:hAnsi="Times New Roman"/>
          <w:noProof/>
          <w:sz w:val="24"/>
          <w:szCs w:val="24"/>
        </w:rPr>
        <w:t>ust.</w:t>
      </w:r>
      <w:r w:rsidR="00900986" w:rsidRPr="00900986">
        <w:rPr>
          <w:rFonts w:ascii="Times New Roman" w:hAnsi="Times New Roman"/>
          <w:noProof/>
          <w:sz w:val="24"/>
          <w:szCs w:val="24"/>
        </w:rPr>
        <w:t> </w:t>
      </w:r>
      <w:r w:rsidRPr="00900986">
        <w:rPr>
          <w:rFonts w:ascii="Times New Roman" w:hAnsi="Times New Roman"/>
          <w:noProof/>
          <w:sz w:val="24"/>
          <w:szCs w:val="24"/>
        </w:rPr>
        <w:t>6</w:t>
      </w:r>
      <w:r>
        <w:rPr>
          <w:rFonts w:ascii="Times New Roman" w:hAnsi="Times New Roman"/>
          <w:noProof/>
          <w:sz w:val="24"/>
          <w:szCs w:val="24"/>
        </w:rPr>
        <w:t xml:space="preserve"> dyrektywy za pośrednictwem wspólnego punktu UE służącego do przekazywania danych („EU-CEG”), danych pozyskanych</w:t>
      </w:r>
      <w:r w:rsidR="00900986">
        <w:rPr>
          <w:rFonts w:ascii="Times New Roman" w:hAnsi="Times New Roman"/>
          <w:noProof/>
          <w:sz w:val="24"/>
          <w:szCs w:val="24"/>
        </w:rPr>
        <w:t xml:space="preserve"> z uni</w:t>
      </w:r>
      <w:r>
        <w:rPr>
          <w:rFonts w:ascii="Times New Roman" w:hAnsi="Times New Roman"/>
          <w:noProof/>
          <w:sz w:val="24"/>
          <w:szCs w:val="24"/>
        </w:rPr>
        <w:t xml:space="preserve">jnego systemu identyfikowalności wyrobów tytoniowych ustanowionego na podstawie </w:t>
      </w:r>
      <w:r w:rsidRPr="00900986">
        <w:rPr>
          <w:rFonts w:ascii="Times New Roman" w:hAnsi="Times New Roman"/>
          <w:noProof/>
          <w:sz w:val="24"/>
          <w:szCs w:val="24"/>
        </w:rPr>
        <w:t>art.</w:t>
      </w:r>
      <w:r w:rsidR="00900986" w:rsidRPr="00900986">
        <w:rPr>
          <w:rFonts w:ascii="Times New Roman" w:hAnsi="Times New Roman"/>
          <w:noProof/>
          <w:sz w:val="24"/>
          <w:szCs w:val="24"/>
        </w:rPr>
        <w:t> </w:t>
      </w:r>
      <w:r w:rsidRPr="00900986">
        <w:rPr>
          <w:rFonts w:ascii="Times New Roman" w:hAnsi="Times New Roman"/>
          <w:noProof/>
          <w:sz w:val="24"/>
          <w:szCs w:val="24"/>
        </w:rPr>
        <w:t>1</w:t>
      </w:r>
      <w:r>
        <w:rPr>
          <w:rFonts w:ascii="Times New Roman" w:hAnsi="Times New Roman"/>
          <w:noProof/>
          <w:sz w:val="24"/>
          <w:szCs w:val="24"/>
        </w:rPr>
        <w:t>5 dyrektywy oraz danych Euromonitora (Euromonitor International Passport Tobacco 2021). Dane Euromonitora są komercyjnym zbiorem danych, który Komisja nabyła od Euromonitor International. Ten zbiór danych Euromonitora nie zawiera danych dotyczących LU, MT i CY (które odpowiadają mniej niż 0,</w:t>
      </w:r>
      <w:r w:rsidRPr="00900986">
        <w:rPr>
          <w:rFonts w:ascii="Times New Roman" w:hAnsi="Times New Roman"/>
          <w:noProof/>
          <w:sz w:val="24"/>
          <w:szCs w:val="24"/>
        </w:rPr>
        <w:t>5</w:t>
      </w:r>
      <w:r w:rsidR="00900986" w:rsidRPr="00900986">
        <w:rPr>
          <w:rFonts w:ascii="Times New Roman" w:hAnsi="Times New Roman"/>
          <w:noProof/>
          <w:sz w:val="24"/>
          <w:szCs w:val="24"/>
        </w:rPr>
        <w:t> </w:t>
      </w:r>
      <w:r w:rsidRPr="00900986">
        <w:rPr>
          <w:rFonts w:ascii="Times New Roman" w:hAnsi="Times New Roman"/>
          <w:noProof/>
          <w:sz w:val="24"/>
          <w:szCs w:val="24"/>
        </w:rPr>
        <w:t>%</w:t>
      </w:r>
      <w:r>
        <w:rPr>
          <w:rFonts w:ascii="Times New Roman" w:hAnsi="Times New Roman"/>
          <w:noProof/>
          <w:sz w:val="24"/>
          <w:szCs w:val="24"/>
        </w:rPr>
        <w:t xml:space="preserve"> populacji UE). Wykorzystano go jednak jako reprezentatywny wskaźnik zastępczy dla sprzedaży w UE-27.</w:t>
      </w:r>
    </w:p>
    <w:p w14:paraId="6ACC5D95" w14:textId="77777777" w:rsidR="00447A01" w:rsidRDefault="00447A01" w:rsidP="00B04422">
      <w:pPr>
        <w:jc w:val="both"/>
        <w:rPr>
          <w:rFonts w:ascii="Times New Roman" w:hAnsi="Times New Roman" w:cs="Times New Roman"/>
          <w:noProof/>
          <w:sz w:val="24"/>
          <w:szCs w:val="24"/>
        </w:rPr>
      </w:pPr>
    </w:p>
    <w:p w14:paraId="47D195F0" w14:textId="565AF06F" w:rsidR="00701084" w:rsidRDefault="00B22F5E" w:rsidP="00701084">
      <w:pPr>
        <w:jc w:val="both"/>
        <w:rPr>
          <w:rFonts w:ascii="Times New Roman" w:hAnsi="Times New Roman" w:cs="Times New Roman"/>
          <w:noProof/>
          <w:sz w:val="24"/>
          <w:szCs w:val="24"/>
        </w:rPr>
      </w:pPr>
      <w:r>
        <w:rPr>
          <w:rFonts w:ascii="Times New Roman" w:hAnsi="Times New Roman"/>
          <w:b/>
          <w:noProof/>
          <w:sz w:val="24"/>
          <w:szCs w:val="24"/>
        </w:rPr>
        <w:t>2. Analiza istotnej zmiany okoliczności</w:t>
      </w:r>
      <w:r w:rsidR="00900986">
        <w:rPr>
          <w:rFonts w:ascii="Times New Roman" w:hAnsi="Times New Roman"/>
          <w:b/>
          <w:noProof/>
          <w:sz w:val="24"/>
          <w:szCs w:val="24"/>
        </w:rPr>
        <w:t xml:space="preserve"> w odn</w:t>
      </w:r>
      <w:r>
        <w:rPr>
          <w:rFonts w:ascii="Times New Roman" w:hAnsi="Times New Roman"/>
          <w:b/>
          <w:noProof/>
          <w:sz w:val="24"/>
          <w:szCs w:val="24"/>
        </w:rPr>
        <w:t>iesieniu do podgrzewanych wyrobów tytoniowych</w:t>
      </w:r>
    </w:p>
    <w:p w14:paraId="10EB85C0" w14:textId="77777777" w:rsidR="00701084" w:rsidRDefault="00701084" w:rsidP="00701084">
      <w:pPr>
        <w:jc w:val="both"/>
        <w:rPr>
          <w:rFonts w:ascii="Times New Roman" w:hAnsi="Times New Roman" w:cs="Times New Roman"/>
          <w:noProof/>
          <w:sz w:val="24"/>
          <w:szCs w:val="24"/>
        </w:rPr>
      </w:pPr>
      <w:r>
        <w:rPr>
          <w:rFonts w:ascii="Times New Roman" w:hAnsi="Times New Roman"/>
          <w:b/>
          <w:noProof/>
          <w:sz w:val="24"/>
          <w:szCs w:val="24"/>
        </w:rPr>
        <w:t>2.1</w:t>
      </w:r>
      <w:r>
        <w:rPr>
          <w:rFonts w:ascii="Times New Roman" w:hAnsi="Times New Roman"/>
          <w:noProof/>
          <w:sz w:val="24"/>
          <w:szCs w:val="24"/>
        </w:rPr>
        <w:t xml:space="preserve"> </w:t>
      </w:r>
      <w:r>
        <w:rPr>
          <w:rFonts w:ascii="Times New Roman" w:hAnsi="Times New Roman"/>
          <w:b/>
          <w:noProof/>
          <w:sz w:val="24"/>
          <w:szCs w:val="24"/>
        </w:rPr>
        <w:t>Pierwszy warunek istotnej zmiany okoliczności</w:t>
      </w:r>
      <w:r>
        <w:rPr>
          <w:rFonts w:ascii="Times New Roman" w:hAnsi="Times New Roman"/>
          <w:b/>
          <w:bCs/>
          <w:noProof/>
          <w:sz w:val="24"/>
          <w:szCs w:val="24"/>
        </w:rPr>
        <w:t xml:space="preserve"> </w:t>
      </w:r>
    </w:p>
    <w:p w14:paraId="69D61E6D" w14:textId="4EC9021F" w:rsidR="00701084" w:rsidRDefault="000A37C6" w:rsidP="00701084">
      <w:pPr>
        <w:jc w:val="both"/>
        <w:rPr>
          <w:rFonts w:ascii="Times New Roman" w:eastAsiaTheme="majorEastAsia" w:hAnsi="Times New Roman" w:cs="Times New Roman"/>
          <w:bCs/>
          <w:noProof/>
          <w:sz w:val="24"/>
          <w:szCs w:val="24"/>
        </w:rPr>
      </w:pPr>
      <w:r>
        <w:rPr>
          <w:rFonts w:ascii="Times New Roman" w:hAnsi="Times New Roman"/>
          <w:bCs/>
          <w:noProof/>
          <w:sz w:val="24"/>
          <w:szCs w:val="24"/>
        </w:rPr>
        <w:t>Aby spełniony został pierwszy warunek istotnej zmiany okoliczności, należy ustalić jedną</w:t>
      </w:r>
      <w:r w:rsidR="00900986">
        <w:rPr>
          <w:rFonts w:ascii="Times New Roman" w:hAnsi="Times New Roman"/>
          <w:bCs/>
          <w:noProof/>
          <w:sz w:val="24"/>
          <w:szCs w:val="24"/>
        </w:rPr>
        <w:t xml:space="preserve"> z pon</w:t>
      </w:r>
      <w:r>
        <w:rPr>
          <w:rFonts w:ascii="Times New Roman" w:hAnsi="Times New Roman"/>
          <w:bCs/>
          <w:noProof/>
          <w:sz w:val="24"/>
          <w:szCs w:val="24"/>
        </w:rPr>
        <w:t>iższych dwóch okoliczności.</w:t>
      </w:r>
    </w:p>
    <w:p w14:paraId="62E0655D" w14:textId="14C0E3EA" w:rsidR="00701084" w:rsidRPr="00701084" w:rsidRDefault="000A37C6" w:rsidP="00701084">
      <w:pPr>
        <w:jc w:val="both"/>
        <w:rPr>
          <w:rFonts w:ascii="Times New Roman" w:hAnsi="Times New Roman" w:cs="Times New Roman"/>
          <w:b/>
          <w:noProof/>
          <w:sz w:val="24"/>
          <w:szCs w:val="24"/>
        </w:rPr>
      </w:pPr>
      <w:r>
        <w:rPr>
          <w:rFonts w:ascii="Times New Roman" w:hAnsi="Times New Roman"/>
          <w:b/>
          <w:noProof/>
          <w:szCs w:val="24"/>
        </w:rPr>
        <w:t>2.1.1 Wzrost częstości spożycia wyrobów tytoniowych</w:t>
      </w:r>
      <w:r w:rsidR="00900986">
        <w:rPr>
          <w:rFonts w:ascii="Times New Roman" w:hAnsi="Times New Roman"/>
          <w:b/>
          <w:noProof/>
          <w:szCs w:val="24"/>
        </w:rPr>
        <w:t xml:space="preserve"> w gru</w:t>
      </w:r>
      <w:r>
        <w:rPr>
          <w:rFonts w:ascii="Times New Roman" w:hAnsi="Times New Roman"/>
          <w:b/>
          <w:noProof/>
          <w:szCs w:val="24"/>
        </w:rPr>
        <w:t>pie konsumentów poniżej 25 roku życia o co najmniej pięć punktów procentowych w co najmniej pięciu państwach członkowskich</w:t>
      </w:r>
    </w:p>
    <w:p w14:paraId="7E90EB78" w14:textId="0D1C4693" w:rsidR="00701084" w:rsidRDefault="0071383A" w:rsidP="00701084">
      <w:pPr>
        <w:jc w:val="both"/>
        <w:rPr>
          <w:rFonts w:ascii="Times New Roman" w:hAnsi="Times New Roman" w:cs="Times New Roman"/>
          <w:noProof/>
          <w:sz w:val="24"/>
          <w:szCs w:val="24"/>
        </w:rPr>
      </w:pPr>
      <w:r>
        <w:rPr>
          <w:rFonts w:ascii="Times New Roman" w:hAnsi="Times New Roman"/>
          <w:noProof/>
          <w:sz w:val="24"/>
          <w:szCs w:val="24"/>
        </w:rPr>
        <w:t>W specjalnym sprawozdaniu Eurobarometr 506</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nie stwierdzono wzrostu częstości spożycia wyrobów tytoniowych</w:t>
      </w:r>
      <w:r w:rsidR="00900986">
        <w:rPr>
          <w:rFonts w:ascii="Times New Roman" w:hAnsi="Times New Roman"/>
          <w:noProof/>
          <w:sz w:val="24"/>
          <w:szCs w:val="24"/>
        </w:rPr>
        <w:t xml:space="preserve"> w gru</w:t>
      </w:r>
      <w:r>
        <w:rPr>
          <w:rFonts w:ascii="Times New Roman" w:hAnsi="Times New Roman"/>
          <w:noProof/>
          <w:sz w:val="24"/>
          <w:szCs w:val="24"/>
        </w:rPr>
        <w:t>pie wiekowej konsumentów poniżej 25 roku życia o co najmniej pięć punktów procentowych w co najmniej pięciu państwach członkowskich</w:t>
      </w:r>
      <w:r w:rsidR="00900986">
        <w:rPr>
          <w:rFonts w:ascii="Times New Roman" w:hAnsi="Times New Roman"/>
          <w:noProof/>
          <w:sz w:val="24"/>
          <w:szCs w:val="24"/>
        </w:rPr>
        <w:t xml:space="preserve"> w odn</w:t>
      </w:r>
      <w:r>
        <w:rPr>
          <w:rFonts w:ascii="Times New Roman" w:hAnsi="Times New Roman"/>
          <w:noProof/>
          <w:sz w:val="24"/>
          <w:szCs w:val="24"/>
        </w:rPr>
        <w:t xml:space="preserve">iesieniu do podgrzewanych wyrobów tytoniowych. </w:t>
      </w:r>
    </w:p>
    <w:p w14:paraId="68169A38" w14:textId="7507E88E" w:rsidR="00DD11BE" w:rsidRPr="00701084" w:rsidRDefault="000A37C6" w:rsidP="00701084">
      <w:pPr>
        <w:jc w:val="both"/>
        <w:rPr>
          <w:rFonts w:ascii="Times New Roman" w:hAnsi="Times New Roman" w:cs="Times New Roman"/>
          <w:noProof/>
          <w:sz w:val="24"/>
          <w:szCs w:val="24"/>
        </w:rPr>
      </w:pPr>
      <w:r>
        <w:rPr>
          <w:rFonts w:ascii="Times New Roman" w:hAnsi="Times New Roman"/>
          <w:b/>
          <w:bCs/>
          <w:noProof/>
          <w:sz w:val="24"/>
          <w:szCs w:val="24"/>
        </w:rPr>
        <w:t>2.1.2 Wzrost wielkości sprzedaży danych wyrobów o co najmniej 1</w:t>
      </w:r>
      <w:r w:rsidRPr="00900986">
        <w:rPr>
          <w:rFonts w:ascii="Times New Roman" w:hAnsi="Times New Roman"/>
          <w:b/>
          <w:bCs/>
          <w:noProof/>
          <w:sz w:val="24"/>
          <w:szCs w:val="24"/>
        </w:rPr>
        <w:t>0</w:t>
      </w:r>
      <w:r w:rsidR="00900986" w:rsidRPr="00900986">
        <w:rPr>
          <w:rFonts w:ascii="Times New Roman" w:hAnsi="Times New Roman"/>
          <w:b/>
          <w:bCs/>
          <w:noProof/>
          <w:sz w:val="24"/>
          <w:szCs w:val="24"/>
        </w:rPr>
        <w:t> </w:t>
      </w:r>
      <w:r w:rsidRPr="00900986">
        <w:rPr>
          <w:rFonts w:ascii="Times New Roman" w:hAnsi="Times New Roman"/>
          <w:b/>
          <w:bCs/>
          <w:noProof/>
          <w:sz w:val="24"/>
          <w:szCs w:val="24"/>
        </w:rPr>
        <w:t>%</w:t>
      </w:r>
      <w:r>
        <w:rPr>
          <w:rFonts w:ascii="Times New Roman" w:hAnsi="Times New Roman"/>
          <w:b/>
          <w:bCs/>
          <w:noProof/>
          <w:sz w:val="24"/>
          <w:szCs w:val="24"/>
        </w:rPr>
        <w:t xml:space="preserve"> w co najmniej pięciu państwach członkowskich </w:t>
      </w:r>
    </w:p>
    <w:p w14:paraId="2DBDCF65" w14:textId="6EA2B4D3" w:rsidR="0071383A" w:rsidRPr="001D4003" w:rsidRDefault="00DD11BE" w:rsidP="00255396">
      <w:pPr>
        <w:jc w:val="both"/>
        <w:rPr>
          <w:rFonts w:ascii="Times New Roman" w:hAnsi="Times New Roman" w:cs="Times New Roman"/>
          <w:noProof/>
          <w:sz w:val="24"/>
          <w:szCs w:val="24"/>
        </w:rPr>
      </w:pPr>
      <w:r>
        <w:rPr>
          <w:rFonts w:ascii="Times New Roman" w:hAnsi="Times New Roman"/>
          <w:noProof/>
          <w:sz w:val="24"/>
          <w:szCs w:val="24"/>
        </w:rPr>
        <w:t xml:space="preserve">W tabeli 1 opartej na </w:t>
      </w:r>
      <w:r>
        <w:rPr>
          <w:rFonts w:ascii="Times New Roman" w:hAnsi="Times New Roman"/>
          <w:bCs/>
          <w:noProof/>
          <w:sz w:val="24"/>
          <w:szCs w:val="24"/>
        </w:rPr>
        <w:t xml:space="preserve">danych EU-CEG </w:t>
      </w:r>
      <w:r>
        <w:rPr>
          <w:rFonts w:ascii="Times New Roman" w:hAnsi="Times New Roman"/>
          <w:noProof/>
          <w:sz w:val="24"/>
          <w:szCs w:val="24"/>
        </w:rPr>
        <w:t>przedstawiono wzrost wielkości detalicznej sprzedaży podgrzewanych wyrobów tytoniowych</w:t>
      </w:r>
      <w:r w:rsidR="00900986">
        <w:rPr>
          <w:rFonts w:ascii="Times New Roman" w:hAnsi="Times New Roman"/>
          <w:noProof/>
          <w:sz w:val="24"/>
          <w:szCs w:val="24"/>
        </w:rPr>
        <w:t xml:space="preserve"> w lat</w:t>
      </w:r>
      <w:r>
        <w:rPr>
          <w:rFonts w:ascii="Times New Roman" w:hAnsi="Times New Roman"/>
          <w:noProof/>
          <w:sz w:val="24"/>
          <w:szCs w:val="24"/>
        </w:rPr>
        <w:t>ach 2018–2020</w:t>
      </w:r>
      <w:r w:rsidR="00900986">
        <w:rPr>
          <w:rFonts w:ascii="Times New Roman" w:hAnsi="Times New Roman"/>
          <w:noProof/>
          <w:sz w:val="24"/>
          <w:szCs w:val="24"/>
        </w:rPr>
        <w:t xml:space="preserve"> w pań</w:t>
      </w:r>
      <w:r>
        <w:rPr>
          <w:rFonts w:ascii="Times New Roman" w:hAnsi="Times New Roman"/>
          <w:noProof/>
          <w:sz w:val="24"/>
          <w:szCs w:val="24"/>
        </w:rPr>
        <w:t>stwach członkowskich,</w:t>
      </w:r>
      <w:r w:rsidR="00900986">
        <w:rPr>
          <w:rFonts w:ascii="Times New Roman" w:hAnsi="Times New Roman"/>
          <w:noProof/>
          <w:sz w:val="24"/>
          <w:szCs w:val="24"/>
        </w:rPr>
        <w:t xml:space="preserve"> w któ</w:t>
      </w:r>
      <w:r>
        <w:rPr>
          <w:rFonts w:ascii="Times New Roman" w:hAnsi="Times New Roman"/>
          <w:noProof/>
          <w:sz w:val="24"/>
          <w:szCs w:val="24"/>
        </w:rPr>
        <w:t>rych ustalono, że wzrost ten wyniósł ponad 1</w:t>
      </w:r>
      <w:r w:rsidRPr="00900986">
        <w:rPr>
          <w:rFonts w:ascii="Times New Roman" w:hAnsi="Times New Roman"/>
          <w:noProof/>
          <w:sz w:val="24"/>
          <w:szCs w:val="24"/>
        </w:rPr>
        <w:t>0</w:t>
      </w:r>
      <w:r w:rsidR="00900986" w:rsidRPr="00900986">
        <w:rPr>
          <w:rFonts w:ascii="Times New Roman" w:hAnsi="Times New Roman"/>
          <w:noProof/>
          <w:sz w:val="24"/>
          <w:szCs w:val="24"/>
        </w:rPr>
        <w:t> </w:t>
      </w:r>
      <w:r w:rsidRPr="00900986">
        <w:rPr>
          <w:rFonts w:ascii="Times New Roman" w:hAnsi="Times New Roman"/>
          <w:noProof/>
          <w:sz w:val="24"/>
          <w:szCs w:val="24"/>
        </w:rPr>
        <w:t>%</w:t>
      </w:r>
      <w:r>
        <w:rPr>
          <w:rFonts w:ascii="Times New Roman" w:hAnsi="Times New Roman"/>
          <w:noProof/>
          <w:sz w:val="24"/>
          <w:szCs w:val="24"/>
        </w:rPr>
        <w:t xml:space="preserve">. </w:t>
      </w:r>
    </w:p>
    <w:p w14:paraId="7E9FD274" w14:textId="2074A7D0" w:rsidR="00A630DF" w:rsidRPr="001D4003" w:rsidRDefault="00A630DF" w:rsidP="00C20E5F">
      <w:pPr>
        <w:jc w:val="center"/>
        <w:rPr>
          <w:rFonts w:ascii="Times New Roman" w:hAnsi="Times New Roman" w:cs="Times New Roman"/>
          <w:i/>
          <w:noProof/>
        </w:rPr>
      </w:pPr>
      <w:r>
        <w:rPr>
          <w:rFonts w:ascii="Times New Roman" w:hAnsi="Times New Roman"/>
          <w:i/>
          <w:noProof/>
        </w:rPr>
        <w:t>Tabela 1: Wielkość sprzedaży podgrzewanych wyrobów tytoniowych,</w:t>
      </w:r>
      <w:r w:rsidR="00900986">
        <w:rPr>
          <w:rFonts w:ascii="Times New Roman" w:hAnsi="Times New Roman"/>
          <w:i/>
          <w:noProof/>
        </w:rPr>
        <w:t xml:space="preserve"> w mln</w:t>
      </w:r>
      <w:r>
        <w:rPr>
          <w:rFonts w:ascii="Times New Roman" w:hAnsi="Times New Roman"/>
          <w:i/>
          <w:noProof/>
        </w:rPr>
        <w:t xml:space="preserve"> sztuk (2018–2020)</w:t>
      </w:r>
    </w:p>
    <w:tbl>
      <w:tblPr>
        <w:tblStyle w:val="PlainTable1"/>
        <w:tblpPr w:leftFromText="180" w:rightFromText="180" w:vertAnchor="text" w:tblpY="1"/>
        <w:tblOverlap w:val="never"/>
        <w:tblW w:w="9554" w:type="dxa"/>
        <w:tblLayout w:type="fixed"/>
        <w:tblLook w:val="04A0" w:firstRow="1" w:lastRow="0" w:firstColumn="1" w:lastColumn="0" w:noHBand="0" w:noVBand="1"/>
      </w:tblPr>
      <w:tblGrid>
        <w:gridCol w:w="1101"/>
        <w:gridCol w:w="1275"/>
        <w:gridCol w:w="1418"/>
        <w:gridCol w:w="1417"/>
        <w:gridCol w:w="1418"/>
        <w:gridCol w:w="1417"/>
        <w:gridCol w:w="1508"/>
      </w:tblGrid>
      <w:tr w:rsidR="005071C9" w:rsidRPr="00C20E5F" w14:paraId="0D0CAB6F" w14:textId="77777777" w:rsidTr="00824F6D">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101" w:type="dxa"/>
            <w:noWrap/>
            <w:hideMark/>
          </w:tcPr>
          <w:p w14:paraId="64B3CE77" w14:textId="5DA017DD" w:rsidR="005071C9" w:rsidRPr="00C20E5F" w:rsidRDefault="005071C9" w:rsidP="00A65AB4">
            <w:pPr>
              <w:jc w:val="center"/>
              <w:rPr>
                <w:rFonts w:ascii="Times New Roman" w:eastAsia="Times New Roman" w:hAnsi="Times New Roman" w:cs="Times New Roman"/>
                <w:b w:val="0"/>
                <w:i/>
                <w:noProof/>
                <w:color w:val="000000"/>
                <w:sz w:val="24"/>
                <w:szCs w:val="24"/>
              </w:rPr>
            </w:pPr>
            <w:r>
              <w:rPr>
                <w:rFonts w:ascii="Times New Roman" w:hAnsi="Times New Roman"/>
                <w:noProof/>
                <w:color w:val="000000"/>
                <w:sz w:val="24"/>
                <w:szCs w:val="24"/>
              </w:rPr>
              <w:t>Państwo członkowskie</w:t>
            </w:r>
          </w:p>
        </w:tc>
        <w:tc>
          <w:tcPr>
            <w:tcW w:w="1275" w:type="dxa"/>
            <w:hideMark/>
          </w:tcPr>
          <w:p w14:paraId="61049BEC" w14:textId="703ED49E" w:rsidR="005071C9" w:rsidRPr="00C20E5F" w:rsidRDefault="00924EEE" w:rsidP="00A65A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Wielkość sprzedaży</w:t>
            </w:r>
            <w:r>
              <w:rPr>
                <w:noProof/>
              </w:rPr>
              <w:t xml:space="preserve"> </w:t>
            </w:r>
            <w:r>
              <w:rPr>
                <w:noProof/>
              </w:rPr>
              <w:br/>
            </w:r>
            <w:r>
              <w:rPr>
                <w:rFonts w:ascii="Times New Roman" w:hAnsi="Times New Roman"/>
                <w:noProof/>
                <w:color w:val="000000"/>
                <w:sz w:val="24"/>
                <w:szCs w:val="24"/>
              </w:rPr>
              <w:t>w 20</w:t>
            </w:r>
            <w:r w:rsidRPr="00900986">
              <w:rPr>
                <w:rFonts w:ascii="Times New Roman" w:hAnsi="Times New Roman"/>
                <w:noProof/>
                <w:color w:val="000000"/>
                <w:sz w:val="24"/>
                <w:szCs w:val="24"/>
              </w:rPr>
              <w:t>18</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r.</w:t>
            </w:r>
          </w:p>
        </w:tc>
        <w:tc>
          <w:tcPr>
            <w:tcW w:w="1418" w:type="dxa"/>
            <w:hideMark/>
          </w:tcPr>
          <w:p w14:paraId="08DE8DC5" w14:textId="17DADFD5" w:rsidR="005071C9" w:rsidRPr="00C20E5F" w:rsidRDefault="00924EEE" w:rsidP="00A65A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Wielkość sprzedaży</w:t>
            </w:r>
            <w:r>
              <w:rPr>
                <w:noProof/>
              </w:rPr>
              <w:t xml:space="preserve"> </w:t>
            </w:r>
            <w:r>
              <w:rPr>
                <w:noProof/>
              </w:rPr>
              <w:br/>
            </w:r>
            <w:r>
              <w:rPr>
                <w:rFonts w:ascii="Times New Roman" w:hAnsi="Times New Roman"/>
                <w:noProof/>
                <w:color w:val="000000"/>
                <w:sz w:val="24"/>
                <w:szCs w:val="24"/>
              </w:rPr>
              <w:t>w 20</w:t>
            </w:r>
            <w:r w:rsidRPr="00900986">
              <w:rPr>
                <w:rFonts w:ascii="Times New Roman" w:hAnsi="Times New Roman"/>
                <w:noProof/>
                <w:color w:val="000000"/>
                <w:sz w:val="24"/>
                <w:szCs w:val="24"/>
              </w:rPr>
              <w:t>19</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r.</w:t>
            </w:r>
          </w:p>
        </w:tc>
        <w:tc>
          <w:tcPr>
            <w:tcW w:w="1417" w:type="dxa"/>
            <w:hideMark/>
          </w:tcPr>
          <w:p w14:paraId="5CF17AA8" w14:textId="4D7B32E9" w:rsidR="005071C9" w:rsidRPr="00C20E5F" w:rsidRDefault="00924EEE" w:rsidP="00A65AB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Wielkość sprzedaży</w:t>
            </w:r>
            <w:r>
              <w:rPr>
                <w:noProof/>
              </w:rPr>
              <w:t xml:space="preserve"> </w:t>
            </w:r>
            <w:r>
              <w:rPr>
                <w:noProof/>
              </w:rPr>
              <w:br/>
            </w:r>
            <w:r>
              <w:rPr>
                <w:rFonts w:ascii="Times New Roman" w:hAnsi="Times New Roman"/>
                <w:noProof/>
                <w:color w:val="000000"/>
                <w:sz w:val="24"/>
                <w:szCs w:val="24"/>
              </w:rPr>
              <w:t>w 20</w:t>
            </w:r>
            <w:r w:rsidRPr="00900986">
              <w:rPr>
                <w:rFonts w:ascii="Times New Roman" w:hAnsi="Times New Roman"/>
                <w:noProof/>
                <w:color w:val="000000"/>
                <w:sz w:val="24"/>
                <w:szCs w:val="24"/>
              </w:rPr>
              <w:t>20</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r.</w:t>
            </w:r>
          </w:p>
        </w:tc>
        <w:tc>
          <w:tcPr>
            <w:tcW w:w="1418" w:type="dxa"/>
            <w:hideMark/>
          </w:tcPr>
          <w:p w14:paraId="36FB72CC" w14:textId="01970F15" w:rsidR="005071C9" w:rsidRPr="00C20E5F" w:rsidRDefault="005071C9"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Wzrost procentowy</w:t>
            </w:r>
            <w:r>
              <w:rPr>
                <w:noProof/>
              </w:rPr>
              <w:t xml:space="preserve"> </w:t>
            </w:r>
            <w:r>
              <w:rPr>
                <w:noProof/>
              </w:rPr>
              <w:br/>
            </w:r>
            <w:r>
              <w:rPr>
                <w:rFonts w:ascii="Times New Roman" w:hAnsi="Times New Roman"/>
                <w:noProof/>
                <w:color w:val="000000"/>
                <w:sz w:val="24"/>
                <w:szCs w:val="24"/>
              </w:rPr>
              <w:t>w latach 2019–2018</w:t>
            </w:r>
          </w:p>
        </w:tc>
        <w:tc>
          <w:tcPr>
            <w:tcW w:w="1417" w:type="dxa"/>
            <w:hideMark/>
          </w:tcPr>
          <w:p w14:paraId="676FC7EF" w14:textId="319BA8EF" w:rsidR="005071C9" w:rsidRPr="00C20E5F" w:rsidRDefault="005071C9"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Wzrost procentowy</w:t>
            </w:r>
            <w:r>
              <w:rPr>
                <w:noProof/>
              </w:rPr>
              <w:t xml:space="preserve"> </w:t>
            </w:r>
            <w:r>
              <w:rPr>
                <w:noProof/>
              </w:rPr>
              <w:br/>
            </w:r>
            <w:r>
              <w:rPr>
                <w:rFonts w:ascii="Times New Roman" w:hAnsi="Times New Roman"/>
                <w:noProof/>
                <w:color w:val="000000"/>
                <w:sz w:val="24"/>
                <w:szCs w:val="24"/>
              </w:rPr>
              <w:t>w latach 2020–2019</w:t>
            </w:r>
          </w:p>
        </w:tc>
        <w:tc>
          <w:tcPr>
            <w:tcW w:w="1508" w:type="dxa"/>
            <w:hideMark/>
          </w:tcPr>
          <w:p w14:paraId="46561522" w14:textId="48AEA00B" w:rsidR="005071C9" w:rsidRPr="00C20E5F" w:rsidRDefault="005071C9"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noProof/>
                <w:color w:val="000000"/>
                <w:sz w:val="24"/>
                <w:szCs w:val="24"/>
              </w:rPr>
            </w:pPr>
            <w:r>
              <w:rPr>
                <w:rFonts w:ascii="Times New Roman" w:hAnsi="Times New Roman"/>
                <w:noProof/>
                <w:color w:val="000000"/>
                <w:sz w:val="24"/>
                <w:szCs w:val="24"/>
              </w:rPr>
              <w:t>Wzrost procentowy</w:t>
            </w:r>
            <w:r>
              <w:rPr>
                <w:noProof/>
              </w:rPr>
              <w:t xml:space="preserve"> </w:t>
            </w:r>
            <w:r>
              <w:rPr>
                <w:noProof/>
              </w:rPr>
              <w:br/>
            </w:r>
            <w:r>
              <w:rPr>
                <w:rFonts w:ascii="Times New Roman" w:hAnsi="Times New Roman"/>
                <w:noProof/>
                <w:color w:val="000000"/>
                <w:sz w:val="24"/>
                <w:szCs w:val="24"/>
              </w:rPr>
              <w:t>w latach 2020–2018</w:t>
            </w:r>
          </w:p>
        </w:tc>
      </w:tr>
      <w:tr w:rsidR="005071C9" w:rsidRPr="00C20E5F" w14:paraId="7E2F0C85" w14:textId="77777777" w:rsidTr="00824F6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3A196D28"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CY</w:t>
            </w:r>
          </w:p>
        </w:tc>
        <w:tc>
          <w:tcPr>
            <w:tcW w:w="1275" w:type="dxa"/>
            <w:noWrap/>
            <w:hideMark/>
          </w:tcPr>
          <w:p w14:paraId="7C7D7B55" w14:textId="457F1BEA"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44,590</w:t>
            </w:r>
          </w:p>
        </w:tc>
        <w:tc>
          <w:tcPr>
            <w:tcW w:w="1418" w:type="dxa"/>
            <w:noWrap/>
            <w:hideMark/>
          </w:tcPr>
          <w:p w14:paraId="74F169FB" w14:textId="40D1B957"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96,660</w:t>
            </w:r>
          </w:p>
        </w:tc>
        <w:tc>
          <w:tcPr>
            <w:tcW w:w="1417" w:type="dxa"/>
            <w:noWrap/>
            <w:hideMark/>
          </w:tcPr>
          <w:p w14:paraId="6C7BB6FF" w14:textId="08D5E34B"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147,260</w:t>
            </w:r>
          </w:p>
        </w:tc>
        <w:tc>
          <w:tcPr>
            <w:tcW w:w="1418" w:type="dxa"/>
            <w:noWrap/>
            <w:hideMark/>
          </w:tcPr>
          <w:p w14:paraId="6128355E" w14:textId="29C5C1C4"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11</w:t>
            </w:r>
            <w:r w:rsidRPr="00900986">
              <w:rPr>
                <w:rFonts w:ascii="Times New Roman" w:hAnsi="Times New Roman"/>
                <w:noProof/>
                <w:color w:val="000000"/>
                <w:sz w:val="24"/>
                <w:szCs w:val="24"/>
              </w:rPr>
              <w:t>7</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417" w:type="dxa"/>
            <w:noWrap/>
            <w:hideMark/>
          </w:tcPr>
          <w:p w14:paraId="5E94442B" w14:textId="03E28C1E"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5</w:t>
            </w:r>
            <w:r w:rsidRPr="00900986">
              <w:rPr>
                <w:rFonts w:ascii="Times New Roman" w:hAnsi="Times New Roman"/>
                <w:noProof/>
                <w:color w:val="000000"/>
                <w:sz w:val="24"/>
                <w:szCs w:val="24"/>
              </w:rPr>
              <w:t>2</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508" w:type="dxa"/>
            <w:noWrap/>
            <w:hideMark/>
          </w:tcPr>
          <w:p w14:paraId="79080A79" w14:textId="413B9C73"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23</w:t>
            </w:r>
            <w:r w:rsidRPr="00900986">
              <w:rPr>
                <w:rFonts w:ascii="Times New Roman" w:hAnsi="Times New Roman"/>
                <w:noProof/>
                <w:color w:val="000000"/>
                <w:sz w:val="24"/>
                <w:szCs w:val="24"/>
              </w:rPr>
              <w:t>0</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r w:rsidR="005071C9" w:rsidRPr="00C20E5F" w14:paraId="3C661E9D" w14:textId="77777777" w:rsidTr="00824F6D">
        <w:trPr>
          <w:trHeight w:val="23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6E005694"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CZ</w:t>
            </w:r>
          </w:p>
        </w:tc>
        <w:tc>
          <w:tcPr>
            <w:tcW w:w="1275" w:type="dxa"/>
            <w:noWrap/>
            <w:hideMark/>
          </w:tcPr>
          <w:p w14:paraId="1E066D2B" w14:textId="6C8B1B61"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0,859</w:t>
            </w:r>
          </w:p>
        </w:tc>
        <w:tc>
          <w:tcPr>
            <w:tcW w:w="1418" w:type="dxa"/>
            <w:noWrap/>
            <w:hideMark/>
          </w:tcPr>
          <w:p w14:paraId="7796D8C5" w14:textId="2C9E43E1" w:rsidR="005071C9" w:rsidRPr="00C20E5F" w:rsidRDefault="005071C9"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1 284,094</w:t>
            </w:r>
          </w:p>
        </w:tc>
        <w:tc>
          <w:tcPr>
            <w:tcW w:w="1417" w:type="dxa"/>
            <w:noWrap/>
            <w:hideMark/>
          </w:tcPr>
          <w:p w14:paraId="7106E8B6" w14:textId="4D411C5C"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1 744,4</w:t>
            </w:r>
          </w:p>
        </w:tc>
        <w:tc>
          <w:tcPr>
            <w:tcW w:w="1418" w:type="dxa"/>
            <w:noWrap/>
            <w:hideMark/>
          </w:tcPr>
          <w:p w14:paraId="311A84BB" w14:textId="0BC4A995" w:rsidR="005071C9" w:rsidRPr="00C20E5F" w:rsidRDefault="00DF278E"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w:t>
            </w:r>
            <w:r w:rsidR="00707745">
              <w:rPr>
                <w:rFonts w:ascii="Times New Roman" w:hAnsi="Times New Roman"/>
                <w:noProof/>
                <w:color w:val="000000"/>
                <w:sz w:val="24"/>
                <w:szCs w:val="24"/>
              </w:rPr>
              <w:t>onad 99</w:t>
            </w:r>
            <w:r w:rsidR="00707745"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00707745" w:rsidRPr="00900986">
              <w:rPr>
                <w:rFonts w:ascii="Times New Roman" w:hAnsi="Times New Roman"/>
                <w:noProof/>
                <w:color w:val="000000"/>
                <w:sz w:val="24"/>
                <w:szCs w:val="24"/>
              </w:rPr>
              <w:t>%</w:t>
            </w:r>
          </w:p>
        </w:tc>
        <w:tc>
          <w:tcPr>
            <w:tcW w:w="1417" w:type="dxa"/>
            <w:noWrap/>
            <w:hideMark/>
          </w:tcPr>
          <w:p w14:paraId="6162C216" w14:textId="2CF040AF"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w:t>
            </w:r>
            <w:r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508" w:type="dxa"/>
            <w:noWrap/>
            <w:hideMark/>
          </w:tcPr>
          <w:p w14:paraId="24BCC320" w14:textId="2A2B9BE7" w:rsidR="005071C9" w:rsidRPr="00C20E5F" w:rsidRDefault="00DF278E"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w:t>
            </w:r>
            <w:r w:rsidR="00707745">
              <w:rPr>
                <w:rFonts w:ascii="Times New Roman" w:hAnsi="Times New Roman"/>
                <w:noProof/>
                <w:color w:val="000000"/>
                <w:sz w:val="24"/>
                <w:szCs w:val="24"/>
              </w:rPr>
              <w:t>onad 99</w:t>
            </w:r>
            <w:r w:rsidR="00707745"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00707745" w:rsidRPr="00900986">
              <w:rPr>
                <w:rFonts w:ascii="Times New Roman" w:hAnsi="Times New Roman"/>
                <w:noProof/>
                <w:color w:val="000000"/>
                <w:sz w:val="24"/>
                <w:szCs w:val="24"/>
              </w:rPr>
              <w:t>%</w:t>
            </w:r>
          </w:p>
        </w:tc>
      </w:tr>
      <w:tr w:rsidR="005071C9" w:rsidRPr="00C20E5F" w14:paraId="605DC891" w14:textId="77777777" w:rsidTr="00824F6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34B15244"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FR</w:t>
            </w:r>
          </w:p>
        </w:tc>
        <w:tc>
          <w:tcPr>
            <w:tcW w:w="1275" w:type="dxa"/>
            <w:noWrap/>
            <w:hideMark/>
          </w:tcPr>
          <w:p w14:paraId="11ADBD64" w14:textId="1F3E7CCB"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36,796</w:t>
            </w:r>
          </w:p>
        </w:tc>
        <w:tc>
          <w:tcPr>
            <w:tcW w:w="1418" w:type="dxa"/>
            <w:noWrap/>
            <w:hideMark/>
          </w:tcPr>
          <w:p w14:paraId="51477221" w14:textId="63058963"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78,215</w:t>
            </w:r>
          </w:p>
        </w:tc>
        <w:tc>
          <w:tcPr>
            <w:tcW w:w="1417" w:type="dxa"/>
            <w:noWrap/>
            <w:hideMark/>
          </w:tcPr>
          <w:p w14:paraId="3CF23CCC" w14:textId="49252006"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186,009</w:t>
            </w:r>
          </w:p>
        </w:tc>
        <w:tc>
          <w:tcPr>
            <w:tcW w:w="1418" w:type="dxa"/>
            <w:noWrap/>
            <w:hideMark/>
          </w:tcPr>
          <w:p w14:paraId="34132BA9" w14:textId="74F2695E"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11</w:t>
            </w:r>
            <w:r w:rsidRPr="00900986">
              <w:rPr>
                <w:rFonts w:ascii="Times New Roman" w:hAnsi="Times New Roman"/>
                <w:noProof/>
                <w:color w:val="000000"/>
                <w:sz w:val="24"/>
                <w:szCs w:val="24"/>
              </w:rPr>
              <w:t>3</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417" w:type="dxa"/>
            <w:noWrap/>
            <w:hideMark/>
          </w:tcPr>
          <w:p w14:paraId="5E7ECC28" w14:textId="193CE6F6"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13</w:t>
            </w:r>
            <w:r w:rsidRPr="00900986">
              <w:rPr>
                <w:rFonts w:ascii="Times New Roman" w:hAnsi="Times New Roman"/>
                <w:noProof/>
                <w:color w:val="000000"/>
                <w:sz w:val="24"/>
                <w:szCs w:val="24"/>
              </w:rPr>
              <w:t>8</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508" w:type="dxa"/>
            <w:noWrap/>
            <w:hideMark/>
          </w:tcPr>
          <w:p w14:paraId="416B0B99" w14:textId="3949A95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40</w:t>
            </w:r>
            <w:r w:rsidRPr="00900986">
              <w:rPr>
                <w:rFonts w:ascii="Times New Roman" w:hAnsi="Times New Roman"/>
                <w:noProof/>
                <w:color w:val="000000"/>
                <w:sz w:val="24"/>
                <w:szCs w:val="24"/>
              </w:rPr>
              <w:t>6</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r w:rsidR="005071C9" w:rsidRPr="00C20E5F" w14:paraId="6D293A82" w14:textId="77777777" w:rsidTr="00824F6D">
        <w:trPr>
          <w:trHeight w:val="23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08E45851"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GR</w:t>
            </w:r>
          </w:p>
        </w:tc>
        <w:tc>
          <w:tcPr>
            <w:tcW w:w="1275" w:type="dxa"/>
            <w:noWrap/>
            <w:hideMark/>
          </w:tcPr>
          <w:p w14:paraId="3B1CD5A5" w14:textId="23E1DE52"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0,007</w:t>
            </w:r>
          </w:p>
        </w:tc>
        <w:tc>
          <w:tcPr>
            <w:tcW w:w="1418" w:type="dxa"/>
            <w:noWrap/>
            <w:hideMark/>
          </w:tcPr>
          <w:p w14:paraId="5C3CF9F3" w14:textId="159946DC"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1 159,804</w:t>
            </w:r>
          </w:p>
        </w:tc>
        <w:tc>
          <w:tcPr>
            <w:tcW w:w="1417" w:type="dxa"/>
            <w:noWrap/>
            <w:hideMark/>
          </w:tcPr>
          <w:p w14:paraId="2A4DC568" w14:textId="6EAFE704"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1 443,958</w:t>
            </w:r>
          </w:p>
        </w:tc>
        <w:tc>
          <w:tcPr>
            <w:tcW w:w="1418" w:type="dxa"/>
            <w:noWrap/>
            <w:hideMark/>
          </w:tcPr>
          <w:p w14:paraId="049AF05D" w14:textId="3B1A99E5" w:rsidR="005071C9" w:rsidRPr="00C20E5F" w:rsidRDefault="00DF278E"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w:t>
            </w:r>
            <w:r w:rsidR="00707745">
              <w:rPr>
                <w:rFonts w:ascii="Times New Roman" w:hAnsi="Times New Roman"/>
                <w:noProof/>
                <w:color w:val="000000"/>
                <w:sz w:val="24"/>
                <w:szCs w:val="24"/>
              </w:rPr>
              <w:t>onad 99</w:t>
            </w:r>
            <w:r w:rsidR="00707745"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00707745" w:rsidRPr="00900986">
              <w:rPr>
                <w:rFonts w:ascii="Times New Roman" w:hAnsi="Times New Roman"/>
                <w:noProof/>
                <w:color w:val="000000"/>
                <w:sz w:val="24"/>
                <w:szCs w:val="24"/>
              </w:rPr>
              <w:t>%</w:t>
            </w:r>
          </w:p>
        </w:tc>
        <w:tc>
          <w:tcPr>
            <w:tcW w:w="1417" w:type="dxa"/>
            <w:noWrap/>
            <w:hideMark/>
          </w:tcPr>
          <w:p w14:paraId="4703E17F" w14:textId="2ACC02B6"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w:t>
            </w:r>
            <w:r w:rsidRPr="00900986">
              <w:rPr>
                <w:rFonts w:ascii="Times New Roman" w:hAnsi="Times New Roman"/>
                <w:noProof/>
                <w:color w:val="000000"/>
                <w:sz w:val="24"/>
                <w:szCs w:val="24"/>
              </w:rPr>
              <w:t>5</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508" w:type="dxa"/>
            <w:noWrap/>
            <w:hideMark/>
          </w:tcPr>
          <w:p w14:paraId="7AEEAA70" w14:textId="23203C84" w:rsidR="005071C9" w:rsidRPr="00C20E5F" w:rsidRDefault="00DF278E"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w:t>
            </w:r>
            <w:r w:rsidR="00707745">
              <w:rPr>
                <w:rFonts w:ascii="Times New Roman" w:hAnsi="Times New Roman"/>
                <w:noProof/>
                <w:color w:val="000000"/>
                <w:sz w:val="24"/>
                <w:szCs w:val="24"/>
              </w:rPr>
              <w:t>onad 99</w:t>
            </w:r>
            <w:r w:rsidR="00707745"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00707745" w:rsidRPr="00900986">
              <w:rPr>
                <w:rFonts w:ascii="Times New Roman" w:hAnsi="Times New Roman"/>
                <w:noProof/>
                <w:color w:val="000000"/>
                <w:sz w:val="24"/>
                <w:szCs w:val="24"/>
              </w:rPr>
              <w:t>%</w:t>
            </w:r>
          </w:p>
        </w:tc>
      </w:tr>
      <w:tr w:rsidR="005071C9" w:rsidRPr="00C20E5F" w14:paraId="700FBB58" w14:textId="77777777" w:rsidTr="00824F6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61B67560"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HR</w:t>
            </w:r>
          </w:p>
        </w:tc>
        <w:tc>
          <w:tcPr>
            <w:tcW w:w="1275" w:type="dxa"/>
            <w:noWrap/>
            <w:hideMark/>
          </w:tcPr>
          <w:p w14:paraId="2FC1D04C" w14:textId="3AAB7C24"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0,003</w:t>
            </w:r>
          </w:p>
        </w:tc>
        <w:tc>
          <w:tcPr>
            <w:tcW w:w="1418" w:type="dxa"/>
            <w:noWrap/>
            <w:hideMark/>
          </w:tcPr>
          <w:p w14:paraId="3960C715" w14:textId="488A73F4"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219,072</w:t>
            </w:r>
          </w:p>
        </w:tc>
        <w:tc>
          <w:tcPr>
            <w:tcW w:w="1417" w:type="dxa"/>
            <w:noWrap/>
            <w:hideMark/>
          </w:tcPr>
          <w:p w14:paraId="50C23171" w14:textId="31EA23F2"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289,592</w:t>
            </w:r>
          </w:p>
        </w:tc>
        <w:tc>
          <w:tcPr>
            <w:tcW w:w="1418" w:type="dxa"/>
            <w:noWrap/>
            <w:hideMark/>
          </w:tcPr>
          <w:p w14:paraId="44EF9A76" w14:textId="6CE99714" w:rsidR="005071C9" w:rsidRPr="00C20E5F" w:rsidRDefault="00DF278E"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w:t>
            </w:r>
            <w:r w:rsidR="00707745">
              <w:rPr>
                <w:rFonts w:ascii="Times New Roman" w:hAnsi="Times New Roman"/>
                <w:noProof/>
                <w:color w:val="000000"/>
                <w:sz w:val="24"/>
                <w:szCs w:val="24"/>
              </w:rPr>
              <w:t>onad 99</w:t>
            </w:r>
            <w:r w:rsidR="00707745"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00707745" w:rsidRPr="00900986">
              <w:rPr>
                <w:rFonts w:ascii="Times New Roman" w:hAnsi="Times New Roman"/>
                <w:noProof/>
                <w:color w:val="000000"/>
                <w:sz w:val="24"/>
                <w:szCs w:val="24"/>
              </w:rPr>
              <w:t>%</w:t>
            </w:r>
          </w:p>
        </w:tc>
        <w:tc>
          <w:tcPr>
            <w:tcW w:w="1417" w:type="dxa"/>
            <w:noWrap/>
            <w:hideMark/>
          </w:tcPr>
          <w:p w14:paraId="3705759D" w14:textId="6EF05341"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w:t>
            </w:r>
            <w:r w:rsidRPr="00900986">
              <w:rPr>
                <w:rFonts w:ascii="Times New Roman" w:hAnsi="Times New Roman"/>
                <w:noProof/>
                <w:color w:val="000000"/>
                <w:sz w:val="24"/>
                <w:szCs w:val="24"/>
              </w:rPr>
              <w:t>2</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508" w:type="dxa"/>
            <w:noWrap/>
            <w:hideMark/>
          </w:tcPr>
          <w:p w14:paraId="677DCC38" w14:textId="45CE6A9C" w:rsidR="005071C9" w:rsidRPr="00C20E5F" w:rsidRDefault="00DF278E"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w:t>
            </w:r>
            <w:r w:rsidR="00707745">
              <w:rPr>
                <w:rFonts w:ascii="Times New Roman" w:hAnsi="Times New Roman"/>
                <w:noProof/>
                <w:color w:val="000000"/>
                <w:sz w:val="24"/>
                <w:szCs w:val="24"/>
              </w:rPr>
              <w:t>onad 99</w:t>
            </w:r>
            <w:r w:rsidR="00707745"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00707745" w:rsidRPr="00900986">
              <w:rPr>
                <w:rFonts w:ascii="Times New Roman" w:hAnsi="Times New Roman"/>
                <w:noProof/>
                <w:color w:val="000000"/>
                <w:sz w:val="24"/>
                <w:szCs w:val="24"/>
              </w:rPr>
              <w:t>%</w:t>
            </w:r>
          </w:p>
        </w:tc>
      </w:tr>
      <w:tr w:rsidR="005071C9" w:rsidRPr="00C20E5F" w14:paraId="41CD3EC5" w14:textId="77777777" w:rsidTr="00824F6D">
        <w:trPr>
          <w:trHeight w:val="23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26931A61"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IT</w:t>
            </w:r>
          </w:p>
        </w:tc>
        <w:tc>
          <w:tcPr>
            <w:tcW w:w="1275" w:type="dxa"/>
            <w:noWrap/>
            <w:hideMark/>
          </w:tcPr>
          <w:p w14:paraId="7467B501" w14:textId="58830E67"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0,042</w:t>
            </w:r>
          </w:p>
        </w:tc>
        <w:tc>
          <w:tcPr>
            <w:tcW w:w="1418" w:type="dxa"/>
            <w:noWrap/>
            <w:hideMark/>
          </w:tcPr>
          <w:p w14:paraId="4997E94A" w14:textId="382BCF19"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3 571,016</w:t>
            </w:r>
          </w:p>
        </w:tc>
        <w:tc>
          <w:tcPr>
            <w:tcW w:w="1417" w:type="dxa"/>
            <w:noWrap/>
            <w:hideMark/>
          </w:tcPr>
          <w:p w14:paraId="63DD9485" w14:textId="524FC09C"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5 819,033</w:t>
            </w:r>
          </w:p>
        </w:tc>
        <w:tc>
          <w:tcPr>
            <w:tcW w:w="1418" w:type="dxa"/>
            <w:noWrap/>
            <w:hideMark/>
          </w:tcPr>
          <w:p w14:paraId="4697ADF3" w14:textId="1FF3EDE1" w:rsidR="005071C9" w:rsidRPr="00C20E5F" w:rsidRDefault="00DF278E"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w:t>
            </w:r>
            <w:r w:rsidR="00707745">
              <w:rPr>
                <w:rFonts w:ascii="Times New Roman" w:hAnsi="Times New Roman"/>
                <w:noProof/>
                <w:color w:val="000000"/>
                <w:sz w:val="24"/>
                <w:szCs w:val="24"/>
              </w:rPr>
              <w:t>onad 99</w:t>
            </w:r>
            <w:r w:rsidR="00707745"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00707745" w:rsidRPr="00900986">
              <w:rPr>
                <w:rFonts w:ascii="Times New Roman" w:hAnsi="Times New Roman"/>
                <w:noProof/>
                <w:color w:val="000000"/>
                <w:sz w:val="24"/>
                <w:szCs w:val="24"/>
              </w:rPr>
              <w:t>%</w:t>
            </w:r>
          </w:p>
        </w:tc>
        <w:tc>
          <w:tcPr>
            <w:tcW w:w="1417" w:type="dxa"/>
            <w:noWrap/>
            <w:hideMark/>
          </w:tcPr>
          <w:p w14:paraId="43F911E1" w14:textId="5F0CDB3F"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6</w:t>
            </w:r>
            <w:r w:rsidRPr="00900986">
              <w:rPr>
                <w:rFonts w:ascii="Times New Roman" w:hAnsi="Times New Roman"/>
                <w:noProof/>
                <w:color w:val="000000"/>
                <w:sz w:val="24"/>
                <w:szCs w:val="24"/>
              </w:rPr>
              <w:t>3</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508" w:type="dxa"/>
            <w:noWrap/>
            <w:hideMark/>
          </w:tcPr>
          <w:p w14:paraId="452FACF8" w14:textId="451005BA" w:rsidR="005071C9" w:rsidRPr="00C20E5F" w:rsidRDefault="00DF278E"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w:t>
            </w:r>
            <w:r w:rsidR="00707745">
              <w:rPr>
                <w:rFonts w:ascii="Times New Roman" w:hAnsi="Times New Roman"/>
                <w:noProof/>
                <w:color w:val="000000"/>
                <w:sz w:val="24"/>
                <w:szCs w:val="24"/>
              </w:rPr>
              <w:t>onad 99</w:t>
            </w:r>
            <w:r w:rsidR="00707745"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00707745" w:rsidRPr="00900986">
              <w:rPr>
                <w:rFonts w:ascii="Times New Roman" w:hAnsi="Times New Roman"/>
                <w:noProof/>
                <w:color w:val="000000"/>
                <w:sz w:val="24"/>
                <w:szCs w:val="24"/>
              </w:rPr>
              <w:t>%</w:t>
            </w:r>
          </w:p>
        </w:tc>
      </w:tr>
      <w:tr w:rsidR="005071C9" w:rsidRPr="00C20E5F" w14:paraId="4A20B555" w14:textId="77777777" w:rsidTr="00824F6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79EDF4D6"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NL</w:t>
            </w:r>
          </w:p>
        </w:tc>
        <w:tc>
          <w:tcPr>
            <w:tcW w:w="1275" w:type="dxa"/>
            <w:noWrap/>
            <w:hideMark/>
          </w:tcPr>
          <w:p w14:paraId="38D6BDD0" w14:textId="15BC6BEA"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28,262</w:t>
            </w:r>
          </w:p>
        </w:tc>
        <w:tc>
          <w:tcPr>
            <w:tcW w:w="1418" w:type="dxa"/>
            <w:noWrap/>
            <w:hideMark/>
          </w:tcPr>
          <w:p w14:paraId="213CA902" w14:textId="431CD7C8"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43,120</w:t>
            </w:r>
          </w:p>
        </w:tc>
        <w:tc>
          <w:tcPr>
            <w:tcW w:w="1417" w:type="dxa"/>
            <w:noWrap/>
            <w:hideMark/>
          </w:tcPr>
          <w:p w14:paraId="2F2C8067" w14:textId="46F64420"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71,618</w:t>
            </w:r>
          </w:p>
        </w:tc>
        <w:tc>
          <w:tcPr>
            <w:tcW w:w="1418" w:type="dxa"/>
            <w:noWrap/>
            <w:hideMark/>
          </w:tcPr>
          <w:p w14:paraId="5946BE9E" w14:textId="4A190D0B"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5</w:t>
            </w:r>
            <w:r w:rsidRPr="00900986">
              <w:rPr>
                <w:rFonts w:ascii="Times New Roman" w:hAnsi="Times New Roman"/>
                <w:noProof/>
                <w:color w:val="000000"/>
                <w:sz w:val="24"/>
                <w:szCs w:val="24"/>
              </w:rPr>
              <w:t>3</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417" w:type="dxa"/>
            <w:noWrap/>
            <w:hideMark/>
          </w:tcPr>
          <w:p w14:paraId="0A0B8D04" w14:textId="771629D3"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6</w:t>
            </w:r>
            <w:r w:rsidRPr="00900986">
              <w:rPr>
                <w:rFonts w:ascii="Times New Roman" w:hAnsi="Times New Roman"/>
                <w:noProof/>
                <w:color w:val="000000"/>
                <w:sz w:val="24"/>
                <w:szCs w:val="24"/>
              </w:rPr>
              <w:t>6</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508" w:type="dxa"/>
            <w:noWrap/>
            <w:hideMark/>
          </w:tcPr>
          <w:p w14:paraId="782D8F38" w14:textId="09F0236F"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15</w:t>
            </w:r>
            <w:r w:rsidRPr="00900986">
              <w:rPr>
                <w:rFonts w:ascii="Times New Roman" w:hAnsi="Times New Roman"/>
                <w:noProof/>
                <w:color w:val="000000"/>
                <w:sz w:val="24"/>
                <w:szCs w:val="24"/>
              </w:rPr>
              <w:t>3</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r w:rsidR="005071C9" w:rsidRPr="00C20E5F" w14:paraId="1D26F50B" w14:textId="77777777" w:rsidTr="00824F6D">
        <w:trPr>
          <w:trHeight w:val="23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63D96222"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PL</w:t>
            </w:r>
          </w:p>
        </w:tc>
        <w:tc>
          <w:tcPr>
            <w:tcW w:w="1275" w:type="dxa"/>
            <w:noWrap/>
            <w:hideMark/>
          </w:tcPr>
          <w:p w14:paraId="25968D8B" w14:textId="41A657ED"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0,010</w:t>
            </w:r>
          </w:p>
        </w:tc>
        <w:tc>
          <w:tcPr>
            <w:tcW w:w="1418" w:type="dxa"/>
            <w:noWrap/>
            <w:hideMark/>
          </w:tcPr>
          <w:p w14:paraId="1BC0C326" w14:textId="5FB48E84"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1 206,171</w:t>
            </w:r>
          </w:p>
        </w:tc>
        <w:tc>
          <w:tcPr>
            <w:tcW w:w="1417" w:type="dxa"/>
            <w:noWrap/>
            <w:hideMark/>
          </w:tcPr>
          <w:p w14:paraId="4D0B3E61" w14:textId="6A45DFFF"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2 466,150</w:t>
            </w:r>
          </w:p>
        </w:tc>
        <w:tc>
          <w:tcPr>
            <w:tcW w:w="1418" w:type="dxa"/>
            <w:noWrap/>
            <w:hideMark/>
          </w:tcPr>
          <w:p w14:paraId="4364E435" w14:textId="05B9B04B" w:rsidR="005071C9" w:rsidRPr="00C20E5F" w:rsidRDefault="00DF278E"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w:t>
            </w:r>
            <w:r w:rsidR="00707745">
              <w:rPr>
                <w:rFonts w:ascii="Times New Roman" w:hAnsi="Times New Roman"/>
                <w:noProof/>
                <w:color w:val="000000"/>
                <w:sz w:val="24"/>
                <w:szCs w:val="24"/>
              </w:rPr>
              <w:t>onad 99</w:t>
            </w:r>
            <w:r w:rsidR="00707745"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00707745" w:rsidRPr="00900986">
              <w:rPr>
                <w:rFonts w:ascii="Times New Roman" w:hAnsi="Times New Roman"/>
                <w:noProof/>
                <w:color w:val="000000"/>
                <w:sz w:val="24"/>
                <w:szCs w:val="24"/>
              </w:rPr>
              <w:t>%</w:t>
            </w:r>
          </w:p>
        </w:tc>
        <w:tc>
          <w:tcPr>
            <w:tcW w:w="1417" w:type="dxa"/>
            <w:noWrap/>
            <w:hideMark/>
          </w:tcPr>
          <w:p w14:paraId="10939E59" w14:textId="654195DF"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10</w:t>
            </w:r>
            <w:r w:rsidRPr="00900986">
              <w:rPr>
                <w:rFonts w:ascii="Times New Roman" w:hAnsi="Times New Roman"/>
                <w:noProof/>
                <w:color w:val="000000"/>
                <w:sz w:val="24"/>
                <w:szCs w:val="24"/>
              </w:rPr>
              <w:t>4</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508" w:type="dxa"/>
            <w:noWrap/>
            <w:hideMark/>
          </w:tcPr>
          <w:p w14:paraId="0A2E6EB0" w14:textId="704285FA" w:rsidR="005071C9" w:rsidRPr="00C20E5F" w:rsidRDefault="00DF278E"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w:t>
            </w:r>
            <w:r w:rsidR="00707745">
              <w:rPr>
                <w:rFonts w:ascii="Times New Roman" w:hAnsi="Times New Roman"/>
                <w:noProof/>
                <w:color w:val="000000"/>
                <w:sz w:val="24"/>
                <w:szCs w:val="24"/>
              </w:rPr>
              <w:t>onad 99</w:t>
            </w:r>
            <w:r w:rsidR="00707745"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00707745" w:rsidRPr="00900986">
              <w:rPr>
                <w:rFonts w:ascii="Times New Roman" w:hAnsi="Times New Roman"/>
                <w:noProof/>
                <w:color w:val="000000"/>
                <w:sz w:val="24"/>
                <w:szCs w:val="24"/>
              </w:rPr>
              <w:t>%</w:t>
            </w:r>
          </w:p>
        </w:tc>
      </w:tr>
      <w:tr w:rsidR="005071C9" w:rsidRPr="00C20E5F" w14:paraId="4A72E582" w14:textId="77777777" w:rsidTr="00824F6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7A936F99"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PT</w:t>
            </w:r>
          </w:p>
        </w:tc>
        <w:tc>
          <w:tcPr>
            <w:tcW w:w="1275" w:type="dxa"/>
            <w:noWrap/>
            <w:hideMark/>
          </w:tcPr>
          <w:p w14:paraId="052D412A" w14:textId="71823F55"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338,022</w:t>
            </w:r>
          </w:p>
        </w:tc>
        <w:tc>
          <w:tcPr>
            <w:tcW w:w="1418" w:type="dxa"/>
            <w:noWrap/>
            <w:hideMark/>
          </w:tcPr>
          <w:p w14:paraId="3429900C" w14:textId="0952A88F"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637,649</w:t>
            </w:r>
          </w:p>
        </w:tc>
        <w:tc>
          <w:tcPr>
            <w:tcW w:w="1417" w:type="dxa"/>
            <w:noWrap/>
            <w:hideMark/>
          </w:tcPr>
          <w:p w14:paraId="3987E125" w14:textId="5FB53B39"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944,977</w:t>
            </w:r>
          </w:p>
        </w:tc>
        <w:tc>
          <w:tcPr>
            <w:tcW w:w="1418" w:type="dxa"/>
            <w:noWrap/>
            <w:hideMark/>
          </w:tcPr>
          <w:p w14:paraId="2CD5188B" w14:textId="7239A560"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8</w:t>
            </w:r>
            <w:r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417" w:type="dxa"/>
            <w:noWrap/>
            <w:hideMark/>
          </w:tcPr>
          <w:p w14:paraId="061B46A5" w14:textId="5A501D0C"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w:t>
            </w:r>
            <w:r w:rsidRPr="00900986">
              <w:rPr>
                <w:rFonts w:ascii="Times New Roman" w:hAnsi="Times New Roman"/>
                <w:noProof/>
                <w:color w:val="000000"/>
                <w:sz w:val="24"/>
                <w:szCs w:val="24"/>
              </w:rPr>
              <w:t>8</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508" w:type="dxa"/>
            <w:noWrap/>
            <w:hideMark/>
          </w:tcPr>
          <w:p w14:paraId="5F71D99E" w14:textId="507C851E"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18</w:t>
            </w:r>
            <w:r w:rsidRPr="00900986">
              <w:rPr>
                <w:rFonts w:ascii="Times New Roman" w:hAnsi="Times New Roman"/>
                <w:noProof/>
                <w:color w:val="000000"/>
                <w:sz w:val="24"/>
                <w:szCs w:val="24"/>
              </w:rPr>
              <w:t>0</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r w:rsidR="005071C9" w:rsidRPr="00C20E5F" w14:paraId="1E27EAF2" w14:textId="77777777" w:rsidTr="00824F6D">
        <w:trPr>
          <w:trHeight w:val="23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34DB97D3" w14:textId="77777777" w:rsidR="005071C9" w:rsidRPr="00C20E5F" w:rsidRDefault="005071C9" w:rsidP="00C20E5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RO</w:t>
            </w:r>
          </w:p>
        </w:tc>
        <w:tc>
          <w:tcPr>
            <w:tcW w:w="1275" w:type="dxa"/>
            <w:noWrap/>
            <w:hideMark/>
          </w:tcPr>
          <w:p w14:paraId="675C4D32" w14:textId="0554CB48"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486,239</w:t>
            </w:r>
          </w:p>
        </w:tc>
        <w:tc>
          <w:tcPr>
            <w:tcW w:w="1418" w:type="dxa"/>
            <w:noWrap/>
            <w:hideMark/>
          </w:tcPr>
          <w:p w14:paraId="5B0A654F" w14:textId="6FCB3308"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671,053</w:t>
            </w:r>
          </w:p>
        </w:tc>
        <w:tc>
          <w:tcPr>
            <w:tcW w:w="1417" w:type="dxa"/>
            <w:noWrap/>
            <w:hideMark/>
          </w:tcPr>
          <w:p w14:paraId="38DD61FD" w14:textId="25BA8A0E" w:rsidR="005071C9" w:rsidRPr="00C20E5F" w:rsidRDefault="00A77BE0" w:rsidP="00A65A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837,587</w:t>
            </w:r>
          </w:p>
        </w:tc>
        <w:tc>
          <w:tcPr>
            <w:tcW w:w="1418" w:type="dxa"/>
            <w:noWrap/>
            <w:hideMark/>
          </w:tcPr>
          <w:p w14:paraId="2004FC08" w14:textId="5E95682B"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w:t>
            </w:r>
            <w:r w:rsidRPr="00900986">
              <w:rPr>
                <w:rFonts w:ascii="Times New Roman" w:hAnsi="Times New Roman"/>
                <w:noProof/>
                <w:color w:val="000000"/>
                <w:sz w:val="24"/>
                <w:szCs w:val="24"/>
              </w:rPr>
              <w:t>8</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417" w:type="dxa"/>
            <w:noWrap/>
            <w:hideMark/>
          </w:tcPr>
          <w:p w14:paraId="7A457F91" w14:textId="7779061D"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w:t>
            </w:r>
            <w:r w:rsidRPr="00900986">
              <w:rPr>
                <w:rFonts w:ascii="Times New Roman" w:hAnsi="Times New Roman"/>
                <w:noProof/>
                <w:color w:val="000000"/>
                <w:sz w:val="24"/>
                <w:szCs w:val="24"/>
              </w:rPr>
              <w:t>5</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c>
          <w:tcPr>
            <w:tcW w:w="1508" w:type="dxa"/>
            <w:noWrap/>
            <w:hideMark/>
          </w:tcPr>
          <w:p w14:paraId="573BD483" w14:textId="23DD3F23" w:rsidR="005071C9" w:rsidRPr="00C20E5F" w:rsidRDefault="005071C9" w:rsidP="00C20E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7</w:t>
            </w:r>
            <w:r w:rsidRPr="00900986">
              <w:rPr>
                <w:rFonts w:ascii="Times New Roman" w:hAnsi="Times New Roman"/>
                <w:noProof/>
                <w:color w:val="000000"/>
                <w:sz w:val="24"/>
                <w:szCs w:val="24"/>
              </w:rPr>
              <w:t>2</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r w:rsidR="005071C9" w:rsidRPr="00C20E5F" w14:paraId="79CA8821" w14:textId="77777777" w:rsidTr="00824F6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01" w:type="dxa"/>
            <w:noWrap/>
            <w:hideMark/>
          </w:tcPr>
          <w:p w14:paraId="7C6D036D" w14:textId="77777777" w:rsidR="005071C9" w:rsidRPr="00C20E5F" w:rsidRDefault="005071C9" w:rsidP="00C20E5F">
            <w:pPr>
              <w:rPr>
                <w:rFonts w:ascii="Times New Roman" w:eastAsia="Times New Roman" w:hAnsi="Times New Roman" w:cs="Times New Roman"/>
                <w:b w:val="0"/>
                <w:bCs w:val="0"/>
                <w:i/>
                <w:noProof/>
                <w:color w:val="363636"/>
                <w:sz w:val="24"/>
                <w:szCs w:val="24"/>
              </w:rPr>
            </w:pPr>
            <w:r>
              <w:rPr>
                <w:rFonts w:ascii="Times New Roman" w:hAnsi="Times New Roman"/>
                <w:noProof/>
                <w:color w:val="363636"/>
                <w:sz w:val="24"/>
                <w:szCs w:val="24"/>
              </w:rPr>
              <w:t>UE-27</w:t>
            </w:r>
          </w:p>
        </w:tc>
        <w:tc>
          <w:tcPr>
            <w:tcW w:w="1275" w:type="dxa"/>
            <w:noWrap/>
            <w:hideMark/>
          </w:tcPr>
          <w:p w14:paraId="7D2971AB" w14:textId="0F8DD214"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934,854</w:t>
            </w:r>
          </w:p>
        </w:tc>
        <w:tc>
          <w:tcPr>
            <w:tcW w:w="1418" w:type="dxa"/>
            <w:noWrap/>
            <w:hideMark/>
          </w:tcPr>
          <w:p w14:paraId="39FA9DBD" w14:textId="442A8E49" w:rsidR="005071C9" w:rsidRPr="00C20E5F" w:rsidRDefault="00A77BE0"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12 332,655</w:t>
            </w:r>
          </w:p>
        </w:tc>
        <w:tc>
          <w:tcPr>
            <w:tcW w:w="1417" w:type="dxa"/>
            <w:noWrap/>
            <w:hideMark/>
          </w:tcPr>
          <w:p w14:paraId="5E8235CC" w14:textId="62052FDD" w:rsidR="005071C9" w:rsidRPr="00C20E5F" w:rsidRDefault="005071C9" w:rsidP="00A65A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19 716,820</w:t>
            </w:r>
          </w:p>
        </w:tc>
        <w:tc>
          <w:tcPr>
            <w:tcW w:w="1418" w:type="dxa"/>
            <w:noWrap/>
            <w:hideMark/>
          </w:tcPr>
          <w:p w14:paraId="4456C0A8" w14:textId="1F566117"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1 21</w:t>
            </w:r>
            <w:r w:rsidRPr="00900986">
              <w:rPr>
                <w:rFonts w:ascii="Times New Roman" w:hAnsi="Times New Roman"/>
                <w:b/>
                <w:noProof/>
                <w:color w:val="000000"/>
                <w:sz w:val="24"/>
                <w:szCs w:val="24"/>
              </w:rPr>
              <w:t>9</w:t>
            </w:r>
            <w:r w:rsidR="00900986" w:rsidRPr="00900986">
              <w:rPr>
                <w:rFonts w:ascii="Times New Roman" w:hAnsi="Times New Roman"/>
                <w:b/>
                <w:noProof/>
                <w:color w:val="000000"/>
                <w:sz w:val="24"/>
                <w:szCs w:val="24"/>
              </w:rPr>
              <w:t> </w:t>
            </w:r>
            <w:r w:rsidRPr="00900986">
              <w:rPr>
                <w:rFonts w:ascii="Times New Roman" w:hAnsi="Times New Roman"/>
                <w:b/>
                <w:noProof/>
                <w:color w:val="000000"/>
                <w:sz w:val="24"/>
                <w:szCs w:val="24"/>
              </w:rPr>
              <w:t>%</w:t>
            </w:r>
          </w:p>
        </w:tc>
        <w:tc>
          <w:tcPr>
            <w:tcW w:w="1417" w:type="dxa"/>
            <w:noWrap/>
            <w:hideMark/>
          </w:tcPr>
          <w:p w14:paraId="4F29B5F0" w14:textId="1883AE30"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6</w:t>
            </w:r>
            <w:r w:rsidRPr="00900986">
              <w:rPr>
                <w:rFonts w:ascii="Times New Roman" w:hAnsi="Times New Roman"/>
                <w:b/>
                <w:noProof/>
                <w:color w:val="000000"/>
                <w:sz w:val="24"/>
                <w:szCs w:val="24"/>
              </w:rPr>
              <w:t>0</w:t>
            </w:r>
            <w:r w:rsidR="00900986" w:rsidRPr="00900986">
              <w:rPr>
                <w:rFonts w:ascii="Times New Roman" w:hAnsi="Times New Roman"/>
                <w:b/>
                <w:noProof/>
                <w:color w:val="000000"/>
                <w:sz w:val="24"/>
                <w:szCs w:val="24"/>
              </w:rPr>
              <w:t> </w:t>
            </w:r>
            <w:r w:rsidRPr="00900986">
              <w:rPr>
                <w:rFonts w:ascii="Times New Roman" w:hAnsi="Times New Roman"/>
                <w:b/>
                <w:noProof/>
                <w:color w:val="000000"/>
                <w:sz w:val="24"/>
                <w:szCs w:val="24"/>
              </w:rPr>
              <w:t>%</w:t>
            </w:r>
          </w:p>
        </w:tc>
        <w:tc>
          <w:tcPr>
            <w:tcW w:w="1508" w:type="dxa"/>
            <w:noWrap/>
            <w:hideMark/>
          </w:tcPr>
          <w:p w14:paraId="0E3587EA" w14:textId="2E5A91D6" w:rsidR="005071C9" w:rsidRPr="00C20E5F" w:rsidRDefault="005071C9" w:rsidP="00C20E5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2 00</w:t>
            </w:r>
            <w:r w:rsidRPr="00900986">
              <w:rPr>
                <w:rFonts w:ascii="Times New Roman" w:hAnsi="Times New Roman"/>
                <w:b/>
                <w:noProof/>
                <w:color w:val="000000"/>
                <w:sz w:val="24"/>
                <w:szCs w:val="24"/>
              </w:rPr>
              <w:t>9</w:t>
            </w:r>
            <w:r w:rsidR="00900986" w:rsidRPr="00900986">
              <w:rPr>
                <w:rFonts w:ascii="Times New Roman" w:hAnsi="Times New Roman"/>
                <w:b/>
                <w:noProof/>
                <w:color w:val="000000"/>
                <w:sz w:val="24"/>
                <w:szCs w:val="24"/>
              </w:rPr>
              <w:t> </w:t>
            </w:r>
            <w:r w:rsidRPr="00900986">
              <w:rPr>
                <w:rFonts w:ascii="Times New Roman" w:hAnsi="Times New Roman"/>
                <w:b/>
                <w:noProof/>
                <w:color w:val="000000"/>
                <w:sz w:val="24"/>
                <w:szCs w:val="24"/>
              </w:rPr>
              <w:t>%</w:t>
            </w:r>
          </w:p>
        </w:tc>
      </w:tr>
    </w:tbl>
    <w:p w14:paraId="4100C912" w14:textId="61DB6901" w:rsidR="00C20E5F" w:rsidRPr="00C20E5F" w:rsidRDefault="007466AF" w:rsidP="00C20E5F">
      <w:pPr>
        <w:jc w:val="both"/>
        <w:rPr>
          <w:rFonts w:ascii="Times New Roman" w:hAnsi="Times New Roman" w:cs="Times New Roman"/>
          <w:noProof/>
          <w:sz w:val="20"/>
          <w:szCs w:val="20"/>
        </w:rPr>
      </w:pPr>
      <w:r>
        <w:rPr>
          <w:rFonts w:ascii="Times New Roman" w:hAnsi="Times New Roman"/>
          <w:noProof/>
          <w:sz w:val="20"/>
          <w:szCs w:val="20"/>
        </w:rPr>
        <w:t>Źródło: dane EU-CEG</w:t>
      </w:r>
    </w:p>
    <w:p w14:paraId="1C0C8886" w14:textId="63B761A8" w:rsidR="00C34182" w:rsidRPr="00C20E5F" w:rsidRDefault="000C17D6" w:rsidP="00C20E5F">
      <w:pPr>
        <w:rPr>
          <w:rFonts w:ascii="Times New Roman" w:hAnsi="Times New Roman" w:cs="Times New Roman"/>
          <w:noProof/>
          <w:sz w:val="24"/>
          <w:szCs w:val="24"/>
        </w:rPr>
      </w:pPr>
      <w:r>
        <w:rPr>
          <w:rFonts w:ascii="Times New Roman" w:hAnsi="Times New Roman"/>
          <w:noProof/>
          <w:sz w:val="24"/>
          <w:szCs w:val="24"/>
        </w:rPr>
        <w:t>Z danych przedstawionych powyżej wynika zatem, że wielkość detalicznej sprzedaży podgrzewanych wyrobów tytoniowych wzrosła</w:t>
      </w:r>
      <w:r w:rsidR="00900986">
        <w:rPr>
          <w:rFonts w:ascii="Times New Roman" w:hAnsi="Times New Roman"/>
          <w:noProof/>
          <w:sz w:val="24"/>
          <w:szCs w:val="24"/>
        </w:rPr>
        <w:t xml:space="preserve"> o pon</w:t>
      </w:r>
      <w:r>
        <w:rPr>
          <w:rFonts w:ascii="Times New Roman" w:hAnsi="Times New Roman"/>
          <w:noProof/>
          <w:sz w:val="24"/>
          <w:szCs w:val="24"/>
        </w:rPr>
        <w:t>ad 1</w:t>
      </w:r>
      <w:r w:rsidRPr="00900986">
        <w:rPr>
          <w:rFonts w:ascii="Times New Roman" w:hAnsi="Times New Roman"/>
          <w:noProof/>
          <w:sz w:val="24"/>
          <w:szCs w:val="24"/>
        </w:rPr>
        <w:t>0</w:t>
      </w:r>
      <w:r w:rsidR="00900986" w:rsidRPr="00900986">
        <w:rPr>
          <w:rFonts w:ascii="Times New Roman" w:hAnsi="Times New Roman"/>
          <w:noProof/>
          <w:sz w:val="24"/>
          <w:szCs w:val="24"/>
        </w:rPr>
        <w:t> </w:t>
      </w:r>
      <w:r w:rsidRPr="00900986">
        <w:rPr>
          <w:rFonts w:ascii="Times New Roman" w:hAnsi="Times New Roman"/>
          <w:noProof/>
          <w:sz w:val="24"/>
          <w:szCs w:val="24"/>
        </w:rPr>
        <w:t>%</w:t>
      </w:r>
      <w:r w:rsidR="00900986">
        <w:rPr>
          <w:rFonts w:ascii="Times New Roman" w:hAnsi="Times New Roman"/>
          <w:noProof/>
          <w:sz w:val="24"/>
          <w:szCs w:val="24"/>
        </w:rPr>
        <w:t xml:space="preserve"> w wię</w:t>
      </w:r>
      <w:r>
        <w:rPr>
          <w:rFonts w:ascii="Times New Roman" w:hAnsi="Times New Roman"/>
          <w:noProof/>
          <w:sz w:val="24"/>
          <w:szCs w:val="24"/>
        </w:rPr>
        <w:t>cej niż pięciu państwach członkowskich</w:t>
      </w:r>
      <w:r>
        <w:rPr>
          <w:rFonts w:ascii="Times New Roman" w:hAnsi="Times New Roman"/>
          <w:noProof/>
        </w:rPr>
        <w:t xml:space="preserve"> </w:t>
      </w:r>
      <w:r>
        <w:rPr>
          <w:rFonts w:ascii="Times New Roman" w:hAnsi="Times New Roman"/>
          <w:noProof/>
          <w:sz w:val="24"/>
          <w:szCs w:val="24"/>
        </w:rPr>
        <w:t xml:space="preserve">we wskazanym okresie 2018–2020. </w:t>
      </w:r>
    </w:p>
    <w:p w14:paraId="726B5A73" w14:textId="58A830C8" w:rsidR="00701084" w:rsidRPr="00C20E5F" w:rsidRDefault="00C34182" w:rsidP="00C20E5F">
      <w:pPr>
        <w:rPr>
          <w:rFonts w:ascii="Times New Roman" w:hAnsi="Times New Roman" w:cs="Times New Roman"/>
          <w:noProof/>
          <w:sz w:val="24"/>
          <w:szCs w:val="24"/>
        </w:rPr>
      </w:pPr>
      <w:r>
        <w:rPr>
          <w:rFonts w:ascii="Times New Roman" w:hAnsi="Times New Roman"/>
          <w:noProof/>
          <w:sz w:val="24"/>
          <w:szCs w:val="24"/>
        </w:rPr>
        <w:t>Na tej podstawie spełniony został pierwszy warunek istotnej zmiany okoliczności</w:t>
      </w:r>
      <w:r w:rsidR="00900986">
        <w:rPr>
          <w:rFonts w:ascii="Times New Roman" w:hAnsi="Times New Roman"/>
          <w:noProof/>
          <w:sz w:val="24"/>
          <w:szCs w:val="24"/>
        </w:rPr>
        <w:t xml:space="preserve"> w odn</w:t>
      </w:r>
      <w:r>
        <w:rPr>
          <w:rFonts w:ascii="Times New Roman" w:hAnsi="Times New Roman"/>
          <w:noProof/>
          <w:sz w:val="24"/>
          <w:szCs w:val="24"/>
        </w:rPr>
        <w:t>iesieniu do podgrzewanych wyrobów tytoniowych.</w:t>
      </w:r>
    </w:p>
    <w:p w14:paraId="57BA41AF" w14:textId="0CF47795" w:rsidR="00ED7A95" w:rsidRPr="001D4003" w:rsidRDefault="002E2E34" w:rsidP="001E370C">
      <w:pPr>
        <w:keepNext/>
        <w:keepLines/>
        <w:spacing w:before="120" w:after="120" w:line="240" w:lineRule="auto"/>
        <w:jc w:val="both"/>
        <w:outlineLvl w:val="1"/>
        <w:rPr>
          <w:rFonts w:ascii="Times New Roman" w:eastAsiaTheme="majorEastAsia" w:hAnsi="Times New Roman" w:cs="Times New Roman"/>
          <w:b/>
          <w:bCs/>
          <w:noProof/>
          <w:sz w:val="24"/>
          <w:szCs w:val="24"/>
        </w:rPr>
      </w:pPr>
      <w:r>
        <w:rPr>
          <w:rFonts w:ascii="Times New Roman" w:hAnsi="Times New Roman"/>
          <w:b/>
          <w:bCs/>
          <w:noProof/>
          <w:sz w:val="24"/>
          <w:szCs w:val="24"/>
        </w:rPr>
        <w:t>2.2 Drugi warunek istotnej zmiany okoliczności: wielkość detalicznej sprzedaży danych wyrobów przekroczyła 2,</w:t>
      </w:r>
      <w:r w:rsidRPr="00900986">
        <w:rPr>
          <w:rFonts w:ascii="Times New Roman" w:hAnsi="Times New Roman"/>
          <w:b/>
          <w:bCs/>
          <w:noProof/>
          <w:sz w:val="24"/>
          <w:szCs w:val="24"/>
        </w:rPr>
        <w:t>5</w:t>
      </w:r>
      <w:r w:rsidR="00900986" w:rsidRPr="00900986">
        <w:rPr>
          <w:rFonts w:ascii="Times New Roman" w:hAnsi="Times New Roman"/>
          <w:b/>
          <w:bCs/>
          <w:noProof/>
          <w:sz w:val="24"/>
          <w:szCs w:val="24"/>
        </w:rPr>
        <w:t> </w:t>
      </w:r>
      <w:r w:rsidRPr="00900986">
        <w:rPr>
          <w:rFonts w:ascii="Times New Roman" w:hAnsi="Times New Roman"/>
          <w:b/>
          <w:bCs/>
          <w:noProof/>
          <w:sz w:val="24"/>
          <w:szCs w:val="24"/>
        </w:rPr>
        <w:t>%</w:t>
      </w:r>
      <w:r>
        <w:rPr>
          <w:rFonts w:ascii="Times New Roman" w:hAnsi="Times New Roman"/>
          <w:b/>
          <w:bCs/>
          <w:noProof/>
          <w:sz w:val="24"/>
          <w:szCs w:val="24"/>
        </w:rPr>
        <w:t xml:space="preserve"> całkowitej sprzedaży wyrobów tytoniowych na poziomie unijnym</w:t>
      </w:r>
    </w:p>
    <w:p w14:paraId="06821E26" w14:textId="366D4407" w:rsidR="00701084" w:rsidRPr="001D4003" w:rsidRDefault="00C2158D" w:rsidP="00A37707">
      <w:pPr>
        <w:jc w:val="both"/>
        <w:rPr>
          <w:rFonts w:ascii="Times New Roman" w:hAnsi="Times New Roman" w:cs="Times New Roman"/>
          <w:noProof/>
          <w:sz w:val="24"/>
          <w:szCs w:val="24"/>
        </w:rPr>
      </w:pPr>
      <w:r>
        <w:rPr>
          <w:rFonts w:ascii="Times New Roman" w:hAnsi="Times New Roman"/>
          <w:noProof/>
          <w:sz w:val="24"/>
          <w:szCs w:val="24"/>
        </w:rPr>
        <w:t>Udział</w:t>
      </w:r>
      <w:r w:rsidR="00900986">
        <w:rPr>
          <w:rFonts w:ascii="Times New Roman" w:hAnsi="Times New Roman"/>
          <w:noProof/>
          <w:sz w:val="24"/>
          <w:szCs w:val="24"/>
        </w:rPr>
        <w:t xml:space="preserve"> w det</w:t>
      </w:r>
      <w:r>
        <w:rPr>
          <w:rFonts w:ascii="Times New Roman" w:hAnsi="Times New Roman"/>
          <w:noProof/>
          <w:sz w:val="24"/>
          <w:szCs w:val="24"/>
        </w:rPr>
        <w:t>alicznym rynku podgrzewanych wyrobów tytoniowych obliczono, dzieląc roczną wielkość sprzedaży tych wyrobów przez całkowitą wielkość sprzedaży wszystkich wyrobów tytoniowych na poziomie unijnym. Aby zapewnić rzetelność tych obliczeń, przeanalizowano alternatywne źródła danych.</w:t>
      </w:r>
    </w:p>
    <w:p w14:paraId="6F805BD2" w14:textId="3D891A67" w:rsidR="00DD11BE" w:rsidRPr="001D4003" w:rsidRDefault="00DC2EE9" w:rsidP="001E370C">
      <w:pPr>
        <w:keepNext/>
        <w:keepLines/>
        <w:spacing w:before="120" w:after="120" w:line="240" w:lineRule="auto"/>
        <w:jc w:val="both"/>
        <w:outlineLvl w:val="1"/>
        <w:rPr>
          <w:rFonts w:ascii="Times New Roman" w:eastAsiaTheme="majorEastAsia" w:hAnsi="Times New Roman" w:cs="Times New Roman"/>
          <w:b/>
          <w:bCs/>
          <w:noProof/>
          <w:sz w:val="24"/>
          <w:szCs w:val="24"/>
        </w:rPr>
      </w:pPr>
      <w:r>
        <w:rPr>
          <w:rFonts w:ascii="Times New Roman" w:hAnsi="Times New Roman"/>
          <w:b/>
          <w:bCs/>
          <w:noProof/>
          <w:sz w:val="24"/>
          <w:szCs w:val="24"/>
        </w:rPr>
        <w:t>2.2.1 Wielkość detalicznej sprzedaży podgrzewanych wyrobów tytoniowych</w:t>
      </w:r>
    </w:p>
    <w:p w14:paraId="50EA4B61" w14:textId="6883A321" w:rsidR="00701084" w:rsidRPr="00900986" w:rsidRDefault="00BB4D48" w:rsidP="008D0842">
      <w:pPr>
        <w:jc w:val="both"/>
        <w:rPr>
          <w:rFonts w:ascii="Times New Roman" w:hAnsi="Times New Roman" w:cs="Times New Roman"/>
          <w:noProof/>
          <w:sz w:val="24"/>
          <w:szCs w:val="24"/>
        </w:rPr>
      </w:pPr>
      <w:r>
        <w:rPr>
          <w:rFonts w:ascii="Times New Roman" w:hAnsi="Times New Roman"/>
          <w:noProof/>
          <w:sz w:val="24"/>
          <w:szCs w:val="24"/>
        </w:rPr>
        <w:t>Tabela 2 przedstawia wielkość sprzedaży podgrzewanych wyrobów tytoniowych w UE-27</w:t>
      </w:r>
      <w:r w:rsidR="00900986">
        <w:rPr>
          <w:rFonts w:ascii="Times New Roman" w:hAnsi="Times New Roman"/>
          <w:noProof/>
          <w:sz w:val="24"/>
          <w:szCs w:val="24"/>
        </w:rPr>
        <w:t xml:space="preserve"> w 2</w:t>
      </w:r>
      <w:r>
        <w:rPr>
          <w:rFonts w:ascii="Times New Roman" w:hAnsi="Times New Roman"/>
          <w:noProof/>
          <w:sz w:val="24"/>
          <w:szCs w:val="24"/>
        </w:rPr>
        <w:t>0</w:t>
      </w:r>
      <w:r w:rsidRPr="00900986">
        <w:rPr>
          <w:rFonts w:ascii="Times New Roman" w:hAnsi="Times New Roman"/>
          <w:noProof/>
          <w:sz w:val="24"/>
          <w:szCs w:val="24"/>
        </w:rPr>
        <w:t>20</w:t>
      </w:r>
      <w:r w:rsidR="00900986" w:rsidRPr="00900986">
        <w:rPr>
          <w:rFonts w:ascii="Times New Roman" w:hAnsi="Times New Roman"/>
          <w:noProof/>
          <w:sz w:val="24"/>
          <w:szCs w:val="24"/>
        </w:rPr>
        <w:t> </w:t>
      </w:r>
      <w:r w:rsidRPr="00900986">
        <w:rPr>
          <w:rFonts w:ascii="Times New Roman" w:hAnsi="Times New Roman"/>
          <w:noProof/>
          <w:sz w:val="24"/>
          <w:szCs w:val="24"/>
        </w:rPr>
        <w:t>r.</w:t>
      </w:r>
      <w:r>
        <w:rPr>
          <w:rFonts w:ascii="Times New Roman" w:hAnsi="Times New Roman"/>
          <w:noProof/>
          <w:sz w:val="24"/>
          <w:szCs w:val="24"/>
        </w:rPr>
        <w:t xml:space="preserve"> na podstawie dwóch różnych, niezależnych od siebie źródeł danych</w:t>
      </w:r>
      <w:r w:rsidRPr="00900986">
        <w:rPr>
          <w:rFonts w:ascii="Times New Roman" w:hAnsi="Times New Roman"/>
          <w:noProof/>
          <w:sz w:val="24"/>
          <w:szCs w:val="24"/>
        </w:rPr>
        <w:t>.</w:t>
      </w:r>
      <w:r w:rsidR="00900986" w:rsidRPr="00900986">
        <w:rPr>
          <w:rFonts w:ascii="Times New Roman" w:hAnsi="Times New Roman"/>
          <w:noProof/>
          <w:sz w:val="24"/>
          <w:szCs w:val="24"/>
        </w:rPr>
        <w:t xml:space="preserve"> </w:t>
      </w:r>
    </w:p>
    <w:p w14:paraId="7489436C" w14:textId="23874073" w:rsidR="00701084" w:rsidRPr="001D4003" w:rsidRDefault="0056714A" w:rsidP="00C20E5F">
      <w:pPr>
        <w:jc w:val="center"/>
        <w:rPr>
          <w:rFonts w:ascii="Times New Roman" w:hAnsi="Times New Roman" w:cs="Times New Roman"/>
          <w:i/>
          <w:noProof/>
        </w:rPr>
      </w:pPr>
      <w:r>
        <w:rPr>
          <w:rFonts w:ascii="Times New Roman" w:hAnsi="Times New Roman"/>
          <w:i/>
          <w:noProof/>
        </w:rPr>
        <w:t>Tabela 2: Wielkość sprzedaży podgrzewanych wyrobów tytoniowych w UE-27</w:t>
      </w:r>
      <w:r w:rsidR="00900986">
        <w:rPr>
          <w:rFonts w:ascii="Times New Roman" w:hAnsi="Times New Roman"/>
          <w:i/>
          <w:noProof/>
        </w:rPr>
        <w:t xml:space="preserve"> w mln</w:t>
      </w:r>
      <w:r>
        <w:rPr>
          <w:rFonts w:ascii="Times New Roman" w:hAnsi="Times New Roman"/>
          <w:i/>
          <w:noProof/>
        </w:rPr>
        <w:t xml:space="preserve"> sztuk (2020)</w:t>
      </w:r>
    </w:p>
    <w:tbl>
      <w:tblPr>
        <w:tblStyle w:val="PlainTable1"/>
        <w:tblpPr w:leftFromText="180" w:rightFromText="180" w:vertAnchor="text" w:tblpY="1"/>
        <w:tblOverlap w:val="never"/>
        <w:tblW w:w="9554" w:type="dxa"/>
        <w:tblLook w:val="04A0" w:firstRow="1" w:lastRow="0" w:firstColumn="1" w:lastColumn="0" w:noHBand="0" w:noVBand="1"/>
      </w:tblPr>
      <w:tblGrid>
        <w:gridCol w:w="4777"/>
        <w:gridCol w:w="4777"/>
      </w:tblGrid>
      <w:tr w:rsidR="005D775F" w:rsidRPr="00C20E5F" w14:paraId="4CE401F3" w14:textId="77777777" w:rsidTr="00C20E5F">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4777" w:type="dxa"/>
          </w:tcPr>
          <w:p w14:paraId="6D0D0E7A" w14:textId="2B618A1B" w:rsidR="0056714A" w:rsidRPr="00C20E5F" w:rsidRDefault="00FC5EAB" w:rsidP="00C20E5F">
            <w:pPr>
              <w:rPr>
                <w:rFonts w:ascii="Times New Roman" w:hAnsi="Times New Roman" w:cs="Times New Roman"/>
                <w:noProof/>
                <w:sz w:val="24"/>
                <w:szCs w:val="24"/>
              </w:rPr>
            </w:pPr>
            <w:r>
              <w:rPr>
                <w:rFonts w:ascii="Times New Roman" w:hAnsi="Times New Roman"/>
                <w:noProof/>
                <w:sz w:val="24"/>
                <w:szCs w:val="24"/>
              </w:rPr>
              <w:t xml:space="preserve">Źródło </w:t>
            </w:r>
            <w:r>
              <w:rPr>
                <w:rFonts w:ascii="Times New Roman" w:hAnsi="Times New Roman"/>
                <w:bCs w:val="0"/>
                <w:iCs/>
                <w:noProof/>
                <w:color w:val="000000"/>
                <w:sz w:val="24"/>
                <w:szCs w:val="24"/>
              </w:rPr>
              <w:t>danych</w:t>
            </w:r>
          </w:p>
        </w:tc>
        <w:tc>
          <w:tcPr>
            <w:tcW w:w="4777" w:type="dxa"/>
          </w:tcPr>
          <w:p w14:paraId="28F15203" w14:textId="74A0FD95" w:rsidR="0056714A" w:rsidRPr="00C20E5F" w:rsidRDefault="00BA259D"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Wielkość sprzedaży</w:t>
            </w:r>
            <w:r w:rsidR="00900986">
              <w:rPr>
                <w:rFonts w:ascii="Times New Roman" w:hAnsi="Times New Roman"/>
                <w:noProof/>
                <w:color w:val="000000"/>
                <w:sz w:val="24"/>
                <w:szCs w:val="24"/>
              </w:rPr>
              <w:t xml:space="preserve"> w 2</w:t>
            </w:r>
            <w:r>
              <w:rPr>
                <w:rFonts w:ascii="Times New Roman" w:hAnsi="Times New Roman"/>
                <w:noProof/>
                <w:color w:val="000000"/>
                <w:sz w:val="24"/>
                <w:szCs w:val="24"/>
              </w:rPr>
              <w:t>0</w:t>
            </w:r>
            <w:r w:rsidRPr="00900986">
              <w:rPr>
                <w:rFonts w:ascii="Times New Roman" w:hAnsi="Times New Roman"/>
                <w:noProof/>
                <w:color w:val="000000"/>
                <w:sz w:val="24"/>
                <w:szCs w:val="24"/>
              </w:rPr>
              <w:t>20</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r.</w:t>
            </w:r>
          </w:p>
        </w:tc>
      </w:tr>
      <w:tr w:rsidR="005B547B" w:rsidRPr="00C20E5F" w14:paraId="7B3DE578" w14:textId="77777777" w:rsidTr="00C20E5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777" w:type="dxa"/>
          </w:tcPr>
          <w:p w14:paraId="622B9E58" w14:textId="7B2761AB" w:rsidR="0056714A" w:rsidRPr="00C20E5F" w:rsidRDefault="0056714A" w:rsidP="00C20E5F">
            <w:pPr>
              <w:rPr>
                <w:rFonts w:ascii="Times New Roman" w:hAnsi="Times New Roman" w:cs="Times New Roman"/>
                <w:b w:val="0"/>
                <w:noProof/>
                <w:sz w:val="24"/>
                <w:szCs w:val="24"/>
              </w:rPr>
            </w:pPr>
            <w:r>
              <w:rPr>
                <w:rFonts w:ascii="Times New Roman" w:hAnsi="Times New Roman"/>
                <w:noProof/>
                <w:sz w:val="24"/>
                <w:szCs w:val="24"/>
              </w:rPr>
              <w:t>EU-CEG</w:t>
            </w:r>
          </w:p>
        </w:tc>
        <w:tc>
          <w:tcPr>
            <w:tcW w:w="4777" w:type="dxa"/>
          </w:tcPr>
          <w:p w14:paraId="3E66725B" w14:textId="0D5215E9" w:rsidR="0056714A" w:rsidRPr="00C20E5F" w:rsidRDefault="0056714A" w:rsidP="005803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noProof/>
                <w:color w:val="000000"/>
                <w:sz w:val="24"/>
                <w:szCs w:val="24"/>
              </w:rPr>
            </w:pPr>
            <w:r>
              <w:rPr>
                <w:rFonts w:ascii="Times New Roman" w:hAnsi="Times New Roman"/>
                <w:noProof/>
                <w:color w:val="000000"/>
                <w:sz w:val="24"/>
                <w:szCs w:val="24"/>
              </w:rPr>
              <w:t>19 717</w:t>
            </w:r>
          </w:p>
        </w:tc>
      </w:tr>
      <w:tr w:rsidR="005B547B" w:rsidRPr="00C20E5F" w14:paraId="73B15A1C" w14:textId="77777777" w:rsidTr="00C20E5F">
        <w:trPr>
          <w:trHeight w:val="292"/>
        </w:trPr>
        <w:tc>
          <w:tcPr>
            <w:cnfStyle w:val="001000000000" w:firstRow="0" w:lastRow="0" w:firstColumn="1" w:lastColumn="0" w:oddVBand="0" w:evenVBand="0" w:oddHBand="0" w:evenHBand="0" w:firstRowFirstColumn="0" w:firstRowLastColumn="0" w:lastRowFirstColumn="0" w:lastRowLastColumn="0"/>
            <w:tcW w:w="4777" w:type="dxa"/>
          </w:tcPr>
          <w:p w14:paraId="109939B0" w14:textId="48862C2D" w:rsidR="0056714A" w:rsidRPr="00C20E5F" w:rsidRDefault="00C34182" w:rsidP="00C20E5F">
            <w:pPr>
              <w:rPr>
                <w:rFonts w:ascii="Times New Roman" w:hAnsi="Times New Roman" w:cs="Times New Roman"/>
                <w:b w:val="0"/>
                <w:noProof/>
                <w:sz w:val="24"/>
                <w:szCs w:val="24"/>
              </w:rPr>
            </w:pPr>
            <w:r>
              <w:rPr>
                <w:rFonts w:ascii="Times New Roman" w:hAnsi="Times New Roman"/>
                <w:noProof/>
                <w:sz w:val="24"/>
                <w:szCs w:val="24"/>
              </w:rPr>
              <w:t>Euromonitor</w:t>
            </w:r>
          </w:p>
        </w:tc>
        <w:tc>
          <w:tcPr>
            <w:tcW w:w="4777" w:type="dxa"/>
          </w:tcPr>
          <w:p w14:paraId="6146C99C" w14:textId="13F4647F" w:rsidR="0056714A" w:rsidRPr="00C20E5F" w:rsidRDefault="00A77BE0" w:rsidP="00EA61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4"/>
                <w:szCs w:val="24"/>
              </w:rPr>
            </w:pPr>
            <w:r>
              <w:rPr>
                <w:rFonts w:ascii="Times New Roman" w:hAnsi="Times New Roman"/>
                <w:noProof/>
                <w:color w:val="000000"/>
                <w:sz w:val="24"/>
                <w:szCs w:val="24"/>
              </w:rPr>
              <w:t>20 766</w:t>
            </w:r>
          </w:p>
        </w:tc>
      </w:tr>
    </w:tbl>
    <w:p w14:paraId="03A6E729" w14:textId="77777777" w:rsidR="00DC2EE9" w:rsidRPr="001D4003" w:rsidRDefault="00DC2EE9" w:rsidP="001A1DD7">
      <w:pPr>
        <w:spacing w:after="0"/>
        <w:jc w:val="both"/>
        <w:rPr>
          <w:rFonts w:ascii="Times New Roman" w:eastAsia="Times New Roman" w:hAnsi="Times New Roman" w:cs="Times New Roman"/>
          <w:noProof/>
          <w:color w:val="363636"/>
          <w:sz w:val="24"/>
          <w:szCs w:val="24"/>
        </w:rPr>
      </w:pPr>
    </w:p>
    <w:p w14:paraId="0F15A795" w14:textId="4C95255D" w:rsidR="00701084" w:rsidRPr="001D4003" w:rsidRDefault="001A5058" w:rsidP="001A5058">
      <w:pPr>
        <w:jc w:val="both"/>
        <w:rPr>
          <w:rFonts w:ascii="Times New Roman" w:hAnsi="Times New Roman" w:cs="Times New Roman"/>
          <w:noProof/>
          <w:sz w:val="24"/>
          <w:szCs w:val="24"/>
        </w:rPr>
      </w:pPr>
      <w:r>
        <w:rPr>
          <w:rFonts w:ascii="Times New Roman" w:hAnsi="Times New Roman"/>
          <w:noProof/>
          <w:sz w:val="24"/>
          <w:szCs w:val="24"/>
        </w:rPr>
        <w:t>Jak pokazano</w:t>
      </w:r>
      <w:r w:rsidR="00900986">
        <w:rPr>
          <w:rFonts w:ascii="Times New Roman" w:hAnsi="Times New Roman"/>
          <w:noProof/>
          <w:sz w:val="24"/>
          <w:szCs w:val="24"/>
        </w:rPr>
        <w:t xml:space="preserve"> w tab</w:t>
      </w:r>
      <w:r>
        <w:rPr>
          <w:rFonts w:ascii="Times New Roman" w:hAnsi="Times New Roman"/>
          <w:noProof/>
          <w:sz w:val="24"/>
          <w:szCs w:val="24"/>
        </w:rPr>
        <w:t>eli, wielkość sprzedaży podana przez Euromonitor jest nieco wyższa niż wielkość sprzedaży podana w EU-CEG. Zgodnie</w:t>
      </w:r>
      <w:r w:rsidR="00900986">
        <w:rPr>
          <w:rFonts w:ascii="Times New Roman" w:hAnsi="Times New Roman"/>
          <w:noProof/>
          <w:sz w:val="24"/>
          <w:szCs w:val="24"/>
        </w:rPr>
        <w:t xml:space="preserve"> z prz</w:t>
      </w:r>
      <w:r>
        <w:rPr>
          <w:rFonts w:ascii="Times New Roman" w:hAnsi="Times New Roman"/>
          <w:noProof/>
          <w:sz w:val="24"/>
          <w:szCs w:val="24"/>
        </w:rPr>
        <w:t>yjętym</w:t>
      </w:r>
      <w:r w:rsidR="00900986">
        <w:rPr>
          <w:rFonts w:ascii="Times New Roman" w:hAnsi="Times New Roman"/>
          <w:noProof/>
          <w:sz w:val="24"/>
          <w:szCs w:val="24"/>
        </w:rPr>
        <w:t xml:space="preserve"> w nin</w:t>
      </w:r>
      <w:r>
        <w:rPr>
          <w:rFonts w:ascii="Times New Roman" w:hAnsi="Times New Roman"/>
          <w:noProof/>
          <w:sz w:val="24"/>
          <w:szCs w:val="24"/>
        </w:rPr>
        <w:t>iejszym sprawozdaniu ostrożnym podejściem do obliczania udziału</w:t>
      </w:r>
      <w:r w:rsidR="00900986">
        <w:rPr>
          <w:rFonts w:ascii="Times New Roman" w:hAnsi="Times New Roman"/>
          <w:noProof/>
          <w:sz w:val="24"/>
          <w:szCs w:val="24"/>
        </w:rPr>
        <w:t xml:space="preserve"> w ryn</w:t>
      </w:r>
      <w:r>
        <w:rPr>
          <w:rFonts w:ascii="Times New Roman" w:hAnsi="Times New Roman"/>
          <w:noProof/>
          <w:sz w:val="24"/>
          <w:szCs w:val="24"/>
        </w:rPr>
        <w:t>ku podgrzewanych wyrobów tytoniowych</w:t>
      </w:r>
      <w:r w:rsidR="00900986">
        <w:rPr>
          <w:rFonts w:ascii="Times New Roman" w:hAnsi="Times New Roman"/>
          <w:noProof/>
          <w:sz w:val="24"/>
          <w:szCs w:val="24"/>
        </w:rPr>
        <w:t xml:space="preserve"> w lic</w:t>
      </w:r>
      <w:r>
        <w:rPr>
          <w:rFonts w:ascii="Times New Roman" w:hAnsi="Times New Roman"/>
          <w:noProof/>
          <w:sz w:val="24"/>
          <w:szCs w:val="24"/>
        </w:rPr>
        <w:t>zniku użyto najniższej wielkości sprzedaży (tj. wielkości podanej w EU-CEG). Licznik wyraża ich roczną wielkość rynku</w:t>
      </w:r>
      <w:r w:rsidR="00900986">
        <w:rPr>
          <w:rFonts w:ascii="Times New Roman" w:hAnsi="Times New Roman"/>
          <w:noProof/>
          <w:sz w:val="24"/>
          <w:szCs w:val="24"/>
        </w:rPr>
        <w:t xml:space="preserve"> w 2</w:t>
      </w:r>
      <w:r>
        <w:rPr>
          <w:rFonts w:ascii="Times New Roman" w:hAnsi="Times New Roman"/>
          <w:noProof/>
          <w:sz w:val="24"/>
          <w:szCs w:val="24"/>
        </w:rPr>
        <w:t>0</w:t>
      </w:r>
      <w:r w:rsidRPr="00900986">
        <w:rPr>
          <w:rFonts w:ascii="Times New Roman" w:hAnsi="Times New Roman"/>
          <w:noProof/>
          <w:sz w:val="24"/>
          <w:szCs w:val="24"/>
        </w:rPr>
        <w:t>20</w:t>
      </w:r>
      <w:r w:rsidR="00900986" w:rsidRPr="00900986">
        <w:rPr>
          <w:rFonts w:ascii="Times New Roman" w:hAnsi="Times New Roman"/>
          <w:noProof/>
          <w:sz w:val="24"/>
          <w:szCs w:val="24"/>
        </w:rPr>
        <w:t> </w:t>
      </w:r>
      <w:r w:rsidRPr="00900986">
        <w:rPr>
          <w:rFonts w:ascii="Times New Roman" w:hAnsi="Times New Roman"/>
          <w:noProof/>
          <w:sz w:val="24"/>
          <w:szCs w:val="24"/>
        </w:rPr>
        <w:t>r.</w:t>
      </w:r>
      <w:r>
        <w:rPr>
          <w:rFonts w:ascii="Times New Roman" w:hAnsi="Times New Roman"/>
          <w:noProof/>
          <w:sz w:val="24"/>
          <w:szCs w:val="24"/>
        </w:rPr>
        <w:t>, którą należy porównać</w:t>
      </w:r>
      <w:r w:rsidR="00900986">
        <w:rPr>
          <w:rFonts w:ascii="Times New Roman" w:hAnsi="Times New Roman"/>
          <w:noProof/>
          <w:sz w:val="24"/>
          <w:szCs w:val="24"/>
        </w:rPr>
        <w:t xml:space="preserve"> z cał</w:t>
      </w:r>
      <w:r>
        <w:rPr>
          <w:rFonts w:ascii="Times New Roman" w:hAnsi="Times New Roman"/>
          <w:noProof/>
          <w:sz w:val="24"/>
          <w:szCs w:val="24"/>
        </w:rPr>
        <w:t>kowitą wielkością detalicznej sprzedaży wyrobów tytoniowych w UE-27</w:t>
      </w:r>
      <w:r w:rsidR="00900986">
        <w:rPr>
          <w:rFonts w:ascii="Times New Roman" w:hAnsi="Times New Roman"/>
          <w:noProof/>
          <w:sz w:val="24"/>
          <w:szCs w:val="24"/>
        </w:rPr>
        <w:t xml:space="preserve"> w 2</w:t>
      </w:r>
      <w:r>
        <w:rPr>
          <w:rFonts w:ascii="Times New Roman" w:hAnsi="Times New Roman"/>
          <w:noProof/>
          <w:sz w:val="24"/>
          <w:szCs w:val="24"/>
        </w:rPr>
        <w:t>0</w:t>
      </w:r>
      <w:r w:rsidRPr="00900986">
        <w:rPr>
          <w:rFonts w:ascii="Times New Roman" w:hAnsi="Times New Roman"/>
          <w:noProof/>
          <w:sz w:val="24"/>
          <w:szCs w:val="24"/>
        </w:rPr>
        <w:t>20</w:t>
      </w:r>
      <w:r w:rsidR="00900986" w:rsidRPr="00900986">
        <w:rPr>
          <w:rFonts w:ascii="Times New Roman" w:hAnsi="Times New Roman"/>
          <w:noProof/>
          <w:sz w:val="24"/>
          <w:szCs w:val="24"/>
        </w:rPr>
        <w:t> </w:t>
      </w:r>
      <w:r w:rsidRPr="00900986">
        <w:rPr>
          <w:rFonts w:ascii="Times New Roman" w:hAnsi="Times New Roman"/>
          <w:noProof/>
          <w:sz w:val="24"/>
          <w:szCs w:val="24"/>
        </w:rPr>
        <w:t>r.</w:t>
      </w:r>
      <w:r>
        <w:rPr>
          <w:rFonts w:ascii="Times New Roman" w:hAnsi="Times New Roman"/>
          <w:noProof/>
          <w:sz w:val="24"/>
          <w:szCs w:val="24"/>
        </w:rPr>
        <w:t xml:space="preserve"> </w:t>
      </w:r>
    </w:p>
    <w:p w14:paraId="2D764EE3" w14:textId="3D520421" w:rsidR="00815F33" w:rsidRPr="001D4003" w:rsidRDefault="00DC2EE9" w:rsidP="00DB6ADF">
      <w:pPr>
        <w:keepNext/>
        <w:spacing w:line="240" w:lineRule="auto"/>
        <w:jc w:val="both"/>
        <w:rPr>
          <w:rFonts w:ascii="Times New Roman" w:hAnsi="Times New Roman" w:cs="Times New Roman"/>
          <w:b/>
          <w:noProof/>
          <w:sz w:val="24"/>
          <w:szCs w:val="24"/>
        </w:rPr>
      </w:pPr>
      <w:r>
        <w:rPr>
          <w:rFonts w:ascii="Times New Roman" w:hAnsi="Times New Roman"/>
          <w:b/>
          <w:noProof/>
          <w:sz w:val="24"/>
          <w:szCs w:val="24"/>
        </w:rPr>
        <w:t>2.2.2 Całkowita sprzedaż wyrobów tytoniowych na poziomie unijnym</w:t>
      </w:r>
    </w:p>
    <w:p w14:paraId="189FD7C8" w14:textId="237A2625" w:rsidR="00DD11BE" w:rsidRPr="001D4003" w:rsidRDefault="0040072E" w:rsidP="00815F33">
      <w:pPr>
        <w:spacing w:line="240" w:lineRule="auto"/>
        <w:contextualSpacing/>
        <w:jc w:val="both"/>
        <w:rPr>
          <w:rFonts w:ascii="Times New Roman" w:hAnsi="Times New Roman" w:cs="Times New Roman"/>
          <w:noProof/>
          <w:sz w:val="24"/>
          <w:szCs w:val="24"/>
        </w:rPr>
      </w:pPr>
      <w:r>
        <w:rPr>
          <w:rFonts w:ascii="Times New Roman" w:hAnsi="Times New Roman"/>
          <w:noProof/>
          <w:sz w:val="24"/>
          <w:szCs w:val="24"/>
        </w:rPr>
        <w:t>Tabela 3 opiera się na danych Euromonitora. Pokazano</w:t>
      </w:r>
      <w:r w:rsidR="00900986">
        <w:rPr>
          <w:rFonts w:ascii="Times New Roman" w:hAnsi="Times New Roman"/>
          <w:noProof/>
          <w:sz w:val="24"/>
          <w:szCs w:val="24"/>
        </w:rPr>
        <w:t xml:space="preserve"> w nie</w:t>
      </w:r>
      <w:r>
        <w:rPr>
          <w:rFonts w:ascii="Times New Roman" w:hAnsi="Times New Roman"/>
          <w:noProof/>
          <w:sz w:val="24"/>
          <w:szCs w:val="24"/>
        </w:rPr>
        <w:t>j całkowitą sprzedaż wyrobów tytoniowych,</w:t>
      </w:r>
      <w:r w:rsidR="00900986">
        <w:rPr>
          <w:rFonts w:ascii="Times New Roman" w:hAnsi="Times New Roman"/>
          <w:noProof/>
          <w:sz w:val="24"/>
          <w:szCs w:val="24"/>
        </w:rPr>
        <w:t xml:space="preserve"> w tym</w:t>
      </w:r>
      <w:r>
        <w:rPr>
          <w:rFonts w:ascii="Times New Roman" w:hAnsi="Times New Roman"/>
          <w:noProof/>
          <w:sz w:val="24"/>
          <w:szCs w:val="24"/>
        </w:rPr>
        <w:t xml:space="preserve"> całkowitą sprzedaż papierosów, cygar, cygaretek, tytoniu do samodzielnego skręcania papierosów, tytoniu fajkowego</w:t>
      </w:r>
      <w:r w:rsidR="00900986">
        <w:rPr>
          <w:rFonts w:ascii="Times New Roman" w:hAnsi="Times New Roman"/>
          <w:noProof/>
          <w:sz w:val="24"/>
          <w:szCs w:val="24"/>
        </w:rPr>
        <w:t xml:space="preserve"> i tyt</w:t>
      </w:r>
      <w:r>
        <w:rPr>
          <w:rFonts w:ascii="Times New Roman" w:hAnsi="Times New Roman"/>
          <w:noProof/>
          <w:sz w:val="24"/>
          <w:szCs w:val="24"/>
        </w:rPr>
        <w:t>oniu do żucia oraz podgrzewanych wyrobów tytoniowych</w:t>
      </w:r>
      <w:r w:rsidR="00900986">
        <w:rPr>
          <w:rFonts w:ascii="Times New Roman" w:hAnsi="Times New Roman"/>
          <w:noProof/>
          <w:sz w:val="24"/>
          <w:szCs w:val="24"/>
        </w:rPr>
        <w:t xml:space="preserve"> w 2</w:t>
      </w:r>
      <w:r>
        <w:rPr>
          <w:rFonts w:ascii="Times New Roman" w:hAnsi="Times New Roman"/>
          <w:noProof/>
          <w:sz w:val="24"/>
          <w:szCs w:val="24"/>
        </w:rPr>
        <w:t>0</w:t>
      </w:r>
      <w:r w:rsidRPr="00900986">
        <w:rPr>
          <w:rFonts w:ascii="Times New Roman" w:hAnsi="Times New Roman"/>
          <w:noProof/>
          <w:sz w:val="24"/>
          <w:szCs w:val="24"/>
        </w:rPr>
        <w:t>20</w:t>
      </w:r>
      <w:r w:rsidR="00900986" w:rsidRPr="00900986">
        <w:rPr>
          <w:rFonts w:ascii="Times New Roman" w:hAnsi="Times New Roman"/>
          <w:noProof/>
          <w:sz w:val="24"/>
          <w:szCs w:val="24"/>
        </w:rPr>
        <w:t> </w:t>
      </w:r>
      <w:r w:rsidRPr="00900986">
        <w:rPr>
          <w:rFonts w:ascii="Times New Roman" w:hAnsi="Times New Roman"/>
          <w:noProof/>
          <w:sz w:val="24"/>
          <w:szCs w:val="24"/>
        </w:rPr>
        <w:t>r.</w:t>
      </w:r>
      <w:r>
        <w:rPr>
          <w:rFonts w:ascii="Times New Roman" w:hAnsi="Times New Roman"/>
          <w:noProof/>
          <w:sz w:val="24"/>
          <w:szCs w:val="24"/>
        </w:rPr>
        <w:t xml:space="preserve"> </w:t>
      </w:r>
    </w:p>
    <w:p w14:paraId="454C568D" w14:textId="77777777" w:rsidR="00815F33" w:rsidRPr="001D4003" w:rsidRDefault="00815F33" w:rsidP="00815F33">
      <w:pPr>
        <w:spacing w:line="240" w:lineRule="auto"/>
        <w:contextualSpacing/>
        <w:jc w:val="both"/>
        <w:rPr>
          <w:rFonts w:ascii="Times New Roman" w:hAnsi="Times New Roman" w:cs="Times New Roman"/>
          <w:b/>
          <w:i/>
          <w:noProof/>
          <w:sz w:val="24"/>
          <w:szCs w:val="24"/>
          <w:lang w:val="en-US"/>
        </w:rPr>
      </w:pPr>
    </w:p>
    <w:p w14:paraId="4D5EB4BB" w14:textId="0E6184A9" w:rsidR="00815F33" w:rsidRPr="001D4003" w:rsidRDefault="00815F33" w:rsidP="00815F33">
      <w:pPr>
        <w:spacing w:line="240" w:lineRule="auto"/>
        <w:jc w:val="both"/>
        <w:rPr>
          <w:rFonts w:ascii="Times New Roman" w:hAnsi="Times New Roman" w:cs="Times New Roman"/>
          <w:i/>
          <w:noProof/>
        </w:rPr>
      </w:pPr>
      <w:r>
        <w:rPr>
          <w:rFonts w:ascii="Times New Roman" w:hAnsi="Times New Roman"/>
          <w:i/>
          <w:noProof/>
        </w:rPr>
        <w:t>Tabela 3: Całkowita wielkość sprzedaży wyrobów tytoniowych (w 20</w:t>
      </w:r>
      <w:r w:rsidRPr="00900986">
        <w:rPr>
          <w:rFonts w:ascii="Times New Roman" w:hAnsi="Times New Roman"/>
          <w:i/>
          <w:noProof/>
        </w:rPr>
        <w:t>20</w:t>
      </w:r>
      <w:r w:rsidR="00900986" w:rsidRPr="00900986">
        <w:rPr>
          <w:rFonts w:ascii="Times New Roman" w:hAnsi="Times New Roman"/>
          <w:i/>
          <w:noProof/>
        </w:rPr>
        <w:t> </w:t>
      </w:r>
      <w:r w:rsidRPr="00900986">
        <w:rPr>
          <w:rFonts w:ascii="Times New Roman" w:hAnsi="Times New Roman"/>
          <w:i/>
          <w:noProof/>
        </w:rPr>
        <w:t>r.</w:t>
      </w:r>
      <w:r>
        <w:rPr>
          <w:rFonts w:ascii="Times New Roman" w:hAnsi="Times New Roman"/>
          <w:i/>
          <w:noProof/>
        </w:rPr>
        <w:t xml:space="preserve">) </w:t>
      </w:r>
    </w:p>
    <w:tbl>
      <w:tblPr>
        <w:tblStyle w:val="PlainTable1"/>
        <w:tblpPr w:leftFromText="180" w:rightFromText="180" w:vertAnchor="text" w:tblpY="1"/>
        <w:tblOverlap w:val="never"/>
        <w:tblW w:w="9554" w:type="dxa"/>
        <w:tblLayout w:type="fixed"/>
        <w:tblLook w:val="04A0" w:firstRow="1" w:lastRow="0" w:firstColumn="1" w:lastColumn="0" w:noHBand="0" w:noVBand="1"/>
      </w:tblPr>
      <w:tblGrid>
        <w:gridCol w:w="1365"/>
        <w:gridCol w:w="1365"/>
        <w:gridCol w:w="1365"/>
        <w:gridCol w:w="1364"/>
        <w:gridCol w:w="1595"/>
        <w:gridCol w:w="1135"/>
        <w:gridCol w:w="1365"/>
      </w:tblGrid>
      <w:tr w:rsidR="00A22FEB" w:rsidRPr="00C20E5F" w14:paraId="6C9280D9" w14:textId="77777777" w:rsidTr="00C20E5F">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365" w:type="dxa"/>
            <w:hideMark/>
          </w:tcPr>
          <w:p w14:paraId="2147D3CA" w14:textId="740E51FD" w:rsidR="00815F33" w:rsidRPr="00C20E5F" w:rsidRDefault="00984BAF" w:rsidP="0060018F">
            <w:pPr>
              <w:rPr>
                <w:rFonts w:ascii="Times New Roman" w:eastAsia="Times New Roman" w:hAnsi="Times New Roman" w:cs="Times New Roman"/>
                <w:bCs w:val="0"/>
                <w:noProof/>
                <w:color w:val="000000"/>
                <w:sz w:val="24"/>
                <w:szCs w:val="24"/>
              </w:rPr>
            </w:pPr>
            <w:r>
              <w:rPr>
                <w:rFonts w:ascii="Times New Roman" w:hAnsi="Times New Roman"/>
                <w:bCs w:val="0"/>
                <w:noProof/>
                <w:color w:val="000000"/>
                <w:sz w:val="24"/>
                <w:szCs w:val="24"/>
              </w:rPr>
              <w:t>Papierosy</w:t>
            </w:r>
            <w:r>
              <w:rPr>
                <w:noProof/>
              </w:rPr>
              <w:t xml:space="preserve"> </w:t>
            </w:r>
            <w:r>
              <w:rPr>
                <w:noProof/>
              </w:rPr>
              <w:br/>
            </w:r>
            <w:r>
              <w:rPr>
                <w:rFonts w:ascii="Times New Roman" w:hAnsi="Times New Roman"/>
                <w:noProof/>
                <w:color w:val="000000"/>
                <w:sz w:val="24"/>
                <w:szCs w:val="24"/>
              </w:rPr>
              <w:t>(w mln sztuk)</w:t>
            </w:r>
          </w:p>
        </w:tc>
        <w:tc>
          <w:tcPr>
            <w:tcW w:w="1365" w:type="dxa"/>
            <w:hideMark/>
          </w:tcPr>
          <w:p w14:paraId="5B94B057" w14:textId="7F52E879" w:rsidR="00815F33"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rPr>
            </w:pPr>
            <w:r>
              <w:rPr>
                <w:rFonts w:ascii="Times New Roman" w:hAnsi="Times New Roman"/>
                <w:noProof/>
                <w:color w:val="000000"/>
                <w:sz w:val="24"/>
                <w:szCs w:val="24"/>
              </w:rPr>
              <w:t>Cygara</w:t>
            </w:r>
            <w:r>
              <w:rPr>
                <w:noProof/>
              </w:rPr>
              <w:t xml:space="preserve"> </w:t>
            </w:r>
            <w:r>
              <w:rPr>
                <w:noProof/>
              </w:rPr>
              <w:br/>
            </w:r>
            <w:r>
              <w:rPr>
                <w:rFonts w:ascii="Times New Roman" w:hAnsi="Times New Roman"/>
                <w:noProof/>
                <w:color w:val="000000"/>
                <w:sz w:val="24"/>
                <w:szCs w:val="24"/>
              </w:rPr>
              <w:t>(w mln opakowań jednostkowych)</w:t>
            </w:r>
          </w:p>
        </w:tc>
        <w:tc>
          <w:tcPr>
            <w:tcW w:w="1365" w:type="dxa"/>
            <w:hideMark/>
          </w:tcPr>
          <w:p w14:paraId="723DF024" w14:textId="1C48CE80" w:rsidR="00815F33"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rPr>
            </w:pPr>
            <w:r>
              <w:rPr>
                <w:rFonts w:ascii="Times New Roman" w:hAnsi="Times New Roman"/>
                <w:noProof/>
                <w:color w:val="000000"/>
                <w:sz w:val="24"/>
                <w:szCs w:val="24"/>
              </w:rPr>
              <w:t>Cygaretki</w:t>
            </w:r>
            <w:r>
              <w:rPr>
                <w:noProof/>
              </w:rPr>
              <w:t xml:space="preserve"> </w:t>
            </w:r>
            <w:r>
              <w:rPr>
                <w:noProof/>
              </w:rPr>
              <w:br/>
            </w:r>
            <w:r>
              <w:rPr>
                <w:rFonts w:ascii="Times New Roman" w:hAnsi="Times New Roman"/>
                <w:noProof/>
                <w:color w:val="000000"/>
                <w:sz w:val="24"/>
                <w:szCs w:val="24"/>
              </w:rPr>
              <w:t>(w mln opakowań jednostkowych)</w:t>
            </w:r>
          </w:p>
        </w:tc>
        <w:tc>
          <w:tcPr>
            <w:tcW w:w="1364" w:type="dxa"/>
            <w:hideMark/>
          </w:tcPr>
          <w:p w14:paraId="4D327C8E" w14:textId="7C5DBA49" w:rsidR="00815F33"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rPr>
            </w:pPr>
            <w:r>
              <w:rPr>
                <w:rFonts w:ascii="Times New Roman" w:hAnsi="Times New Roman"/>
                <w:noProof/>
                <w:color w:val="000000"/>
                <w:sz w:val="24"/>
                <w:szCs w:val="24"/>
              </w:rPr>
              <w:t>Tytoń do samodzielnego skręcania papierosów</w:t>
            </w:r>
            <w:r>
              <w:rPr>
                <w:noProof/>
              </w:rPr>
              <w:t xml:space="preserve"> </w:t>
            </w:r>
            <w:r>
              <w:rPr>
                <w:noProof/>
              </w:rPr>
              <w:br/>
            </w:r>
            <w:r>
              <w:rPr>
                <w:rFonts w:ascii="Times New Roman" w:hAnsi="Times New Roman"/>
                <w:noProof/>
                <w:color w:val="000000"/>
                <w:sz w:val="24"/>
                <w:szCs w:val="24"/>
              </w:rPr>
              <w:t>(w mln sztuk)*</w:t>
            </w:r>
          </w:p>
        </w:tc>
        <w:tc>
          <w:tcPr>
            <w:tcW w:w="1595" w:type="dxa"/>
          </w:tcPr>
          <w:p w14:paraId="2E9A02C8" w14:textId="6EAFDC91" w:rsidR="00815F33"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Tytoń fajkowy</w:t>
            </w:r>
            <w:r w:rsidR="00900986">
              <w:rPr>
                <w:rFonts w:ascii="Times New Roman" w:hAnsi="Times New Roman"/>
                <w:noProof/>
                <w:color w:val="000000"/>
                <w:sz w:val="24"/>
                <w:szCs w:val="24"/>
              </w:rPr>
              <w:t xml:space="preserve"> i tyt</w:t>
            </w:r>
            <w:r>
              <w:rPr>
                <w:rFonts w:ascii="Times New Roman" w:hAnsi="Times New Roman"/>
                <w:noProof/>
                <w:color w:val="000000"/>
                <w:sz w:val="24"/>
                <w:szCs w:val="24"/>
              </w:rPr>
              <w:t>oń do żucia**</w:t>
            </w:r>
          </w:p>
          <w:p w14:paraId="24E12795" w14:textId="26C3C66F" w:rsidR="00984BAF"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color w:val="000000"/>
                <w:sz w:val="24"/>
                <w:szCs w:val="24"/>
              </w:rPr>
            </w:pPr>
            <w:r>
              <w:rPr>
                <w:rFonts w:ascii="Times New Roman" w:hAnsi="Times New Roman"/>
                <w:noProof/>
                <w:color w:val="000000"/>
                <w:sz w:val="24"/>
                <w:szCs w:val="24"/>
              </w:rPr>
              <w:t>(dostosowanie)</w:t>
            </w:r>
          </w:p>
        </w:tc>
        <w:tc>
          <w:tcPr>
            <w:tcW w:w="1135" w:type="dxa"/>
            <w:hideMark/>
          </w:tcPr>
          <w:p w14:paraId="6CB84A5B" w14:textId="520EE868" w:rsidR="00815F33" w:rsidRPr="00C20E5F" w:rsidRDefault="00984BA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color w:val="000000"/>
                <w:sz w:val="24"/>
                <w:szCs w:val="24"/>
              </w:rPr>
            </w:pPr>
            <w:r>
              <w:rPr>
                <w:rFonts w:ascii="Times New Roman" w:hAnsi="Times New Roman"/>
                <w:noProof/>
                <w:color w:val="000000"/>
                <w:sz w:val="24"/>
                <w:szCs w:val="24"/>
              </w:rPr>
              <w:t>Podgrzewany tytoń</w:t>
            </w:r>
            <w:r>
              <w:rPr>
                <w:noProof/>
              </w:rPr>
              <w:t xml:space="preserve"> </w:t>
            </w:r>
            <w:r>
              <w:rPr>
                <w:noProof/>
              </w:rPr>
              <w:br/>
            </w:r>
            <w:r>
              <w:rPr>
                <w:rFonts w:ascii="Times New Roman" w:hAnsi="Times New Roman"/>
                <w:noProof/>
                <w:color w:val="000000"/>
                <w:sz w:val="24"/>
                <w:szCs w:val="24"/>
              </w:rPr>
              <w:t>(w mln sztuk)</w:t>
            </w:r>
          </w:p>
        </w:tc>
        <w:tc>
          <w:tcPr>
            <w:tcW w:w="1365" w:type="dxa"/>
          </w:tcPr>
          <w:p w14:paraId="05A6D6FE" w14:textId="402667C7" w:rsidR="00815F33" w:rsidRPr="00C20E5F" w:rsidRDefault="00AD4FDE"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noProof/>
                <w:color w:val="000000"/>
                <w:sz w:val="24"/>
                <w:szCs w:val="24"/>
              </w:rPr>
            </w:pPr>
            <w:r>
              <w:rPr>
                <w:rFonts w:ascii="Times New Roman" w:hAnsi="Times New Roman"/>
                <w:bCs w:val="0"/>
                <w:noProof/>
                <w:color w:val="000000"/>
                <w:sz w:val="24"/>
                <w:szCs w:val="24"/>
              </w:rPr>
              <w:t xml:space="preserve">Całkowita sprzedaż wyrobów </w:t>
            </w:r>
            <w:r>
              <w:rPr>
                <w:rFonts w:ascii="Times New Roman" w:hAnsi="Times New Roman"/>
                <w:noProof/>
                <w:color w:val="000000"/>
                <w:sz w:val="24"/>
                <w:szCs w:val="24"/>
              </w:rPr>
              <w:t>tytoniowych (w równowartości mln sztuk)</w:t>
            </w:r>
          </w:p>
        </w:tc>
      </w:tr>
      <w:tr w:rsidR="00A22FEB" w:rsidRPr="00C20E5F" w14:paraId="013718EA" w14:textId="77777777" w:rsidTr="00C20E5F">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365" w:type="dxa"/>
            <w:noWrap/>
            <w:hideMark/>
          </w:tcPr>
          <w:p w14:paraId="4B65F5F9" w14:textId="692A4746" w:rsidR="00815F33" w:rsidRPr="00C20E5F" w:rsidRDefault="00A77BE0" w:rsidP="00EA61EB">
            <w:pPr>
              <w:rPr>
                <w:rFonts w:ascii="Times New Roman" w:hAnsi="Times New Roman" w:cs="Times New Roman"/>
                <w:b w:val="0"/>
                <w:noProof/>
                <w:color w:val="000000"/>
                <w:sz w:val="24"/>
                <w:szCs w:val="24"/>
              </w:rPr>
            </w:pPr>
            <w:r>
              <w:rPr>
                <w:rFonts w:ascii="Times New Roman" w:hAnsi="Times New Roman"/>
                <w:b w:val="0"/>
                <w:bCs w:val="0"/>
                <w:noProof/>
                <w:color w:val="000000"/>
                <w:sz w:val="24"/>
                <w:szCs w:val="24"/>
              </w:rPr>
              <w:t>408 279</w:t>
            </w:r>
          </w:p>
        </w:tc>
        <w:tc>
          <w:tcPr>
            <w:tcW w:w="1365" w:type="dxa"/>
            <w:noWrap/>
            <w:hideMark/>
          </w:tcPr>
          <w:p w14:paraId="219A3617" w14:textId="4DE105FA" w:rsidR="00815F33" w:rsidRPr="00C20E5F" w:rsidRDefault="00A77BE0" w:rsidP="00EA61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1 006</w:t>
            </w:r>
          </w:p>
        </w:tc>
        <w:tc>
          <w:tcPr>
            <w:tcW w:w="1365" w:type="dxa"/>
            <w:noWrap/>
            <w:hideMark/>
          </w:tcPr>
          <w:p w14:paraId="3419C1A9" w14:textId="7155540B" w:rsidR="00815F33" w:rsidRPr="00C20E5F" w:rsidRDefault="00A77BE0" w:rsidP="00EA61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8 459</w:t>
            </w:r>
          </w:p>
        </w:tc>
        <w:tc>
          <w:tcPr>
            <w:tcW w:w="1364" w:type="dxa"/>
            <w:noWrap/>
            <w:hideMark/>
          </w:tcPr>
          <w:p w14:paraId="5B2737CD" w14:textId="7E430C48" w:rsidR="00815F33" w:rsidRPr="00C20E5F" w:rsidRDefault="00A77BE0" w:rsidP="00EA61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108 059</w:t>
            </w:r>
          </w:p>
        </w:tc>
        <w:tc>
          <w:tcPr>
            <w:tcW w:w="1595" w:type="dxa"/>
          </w:tcPr>
          <w:p w14:paraId="0A949149" w14:textId="33DEC4E7" w:rsidR="00815F33" w:rsidRPr="00C20E5F" w:rsidRDefault="00A77BE0" w:rsidP="00EA61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3 908</w:t>
            </w:r>
          </w:p>
        </w:tc>
        <w:tc>
          <w:tcPr>
            <w:tcW w:w="1135" w:type="dxa"/>
            <w:noWrap/>
            <w:hideMark/>
          </w:tcPr>
          <w:p w14:paraId="009660E2" w14:textId="727D6F7E" w:rsidR="00815F33" w:rsidRPr="00C20E5F" w:rsidRDefault="00A77BE0" w:rsidP="00EA61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20 766</w:t>
            </w:r>
          </w:p>
        </w:tc>
        <w:tc>
          <w:tcPr>
            <w:tcW w:w="1365" w:type="dxa"/>
          </w:tcPr>
          <w:p w14:paraId="240F7CE5" w14:textId="0FF32832" w:rsidR="00815F33" w:rsidRPr="00C20E5F" w:rsidRDefault="00A77BE0" w:rsidP="003E05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550 478</w:t>
            </w:r>
          </w:p>
        </w:tc>
      </w:tr>
    </w:tbl>
    <w:p w14:paraId="39C37F12" w14:textId="464E9566" w:rsidR="00815F33" w:rsidRPr="00C20E5F" w:rsidRDefault="00815F33" w:rsidP="00C20E5F">
      <w:pPr>
        <w:pStyle w:val="NoSpacing"/>
        <w:jc w:val="both"/>
        <w:rPr>
          <w:rFonts w:ascii="Times New Roman" w:hAnsi="Times New Roman" w:cs="Times New Roman"/>
          <w:noProof/>
          <w:sz w:val="20"/>
          <w:szCs w:val="20"/>
        </w:rPr>
      </w:pPr>
      <w:r>
        <w:rPr>
          <w:rFonts w:ascii="Times New Roman" w:hAnsi="Times New Roman"/>
          <w:noProof/>
          <w:sz w:val="20"/>
          <w:szCs w:val="20"/>
        </w:rPr>
        <w:t>* Sprawozdanie Euromonitora: masa tytoniu do samodzielnego skręcania papierosów wynosi 75 641 ton</w:t>
      </w:r>
      <w:r w:rsidR="00900986">
        <w:rPr>
          <w:rFonts w:ascii="Times New Roman" w:hAnsi="Times New Roman"/>
          <w:noProof/>
          <w:sz w:val="20"/>
          <w:szCs w:val="20"/>
        </w:rPr>
        <w:t>. W ana</w:t>
      </w:r>
      <w:r>
        <w:rPr>
          <w:rFonts w:ascii="Times New Roman" w:hAnsi="Times New Roman"/>
          <w:noProof/>
          <w:sz w:val="20"/>
          <w:szCs w:val="20"/>
        </w:rPr>
        <w:t>lizie obliczono równowartość</w:t>
      </w:r>
      <w:r w:rsidR="00900986">
        <w:rPr>
          <w:rFonts w:ascii="Times New Roman" w:hAnsi="Times New Roman"/>
          <w:noProof/>
          <w:sz w:val="20"/>
          <w:szCs w:val="20"/>
        </w:rPr>
        <w:t xml:space="preserve"> w szt</w:t>
      </w:r>
      <w:r>
        <w:rPr>
          <w:rFonts w:ascii="Times New Roman" w:hAnsi="Times New Roman"/>
          <w:noProof/>
          <w:sz w:val="20"/>
          <w:szCs w:val="20"/>
        </w:rPr>
        <w:t>ukach tytoniu do samodzielnego skręcania papierosów, przyjmując, że 0,7 grama równa się jednej sztuce.</w:t>
      </w:r>
    </w:p>
    <w:p w14:paraId="1BEE9E43" w14:textId="049A920A" w:rsidR="00815F33" w:rsidRPr="00C20E5F" w:rsidRDefault="00815F33" w:rsidP="00C20E5F">
      <w:pPr>
        <w:pStyle w:val="NoSpacing"/>
        <w:jc w:val="both"/>
        <w:rPr>
          <w:rFonts w:ascii="Times New Roman" w:hAnsi="Times New Roman" w:cs="Times New Roman"/>
          <w:noProof/>
          <w:sz w:val="20"/>
          <w:szCs w:val="20"/>
        </w:rPr>
      </w:pPr>
      <w:r>
        <w:rPr>
          <w:rFonts w:ascii="Times New Roman" w:hAnsi="Times New Roman"/>
          <w:noProof/>
          <w:sz w:val="20"/>
          <w:szCs w:val="20"/>
        </w:rPr>
        <w:t>** Ze względu na fakt, że wielkości sprzedaży tytoniu fajkowego i do żucia nie można określić ilościowo</w:t>
      </w:r>
      <w:r w:rsidR="00900986">
        <w:rPr>
          <w:rFonts w:ascii="Times New Roman" w:hAnsi="Times New Roman"/>
          <w:noProof/>
          <w:sz w:val="20"/>
          <w:szCs w:val="20"/>
        </w:rPr>
        <w:t xml:space="preserve"> w szt</w:t>
      </w:r>
      <w:r>
        <w:rPr>
          <w:rFonts w:ascii="Times New Roman" w:hAnsi="Times New Roman"/>
          <w:noProof/>
          <w:sz w:val="20"/>
          <w:szCs w:val="20"/>
        </w:rPr>
        <w:t>ukach</w:t>
      </w:r>
      <w:r w:rsidR="00900986">
        <w:rPr>
          <w:rFonts w:ascii="Times New Roman" w:hAnsi="Times New Roman"/>
          <w:noProof/>
          <w:sz w:val="20"/>
          <w:szCs w:val="20"/>
        </w:rPr>
        <w:t xml:space="preserve"> w spo</w:t>
      </w:r>
      <w:r>
        <w:rPr>
          <w:rFonts w:ascii="Times New Roman" w:hAnsi="Times New Roman"/>
          <w:noProof/>
          <w:sz w:val="20"/>
          <w:szCs w:val="20"/>
        </w:rPr>
        <w:t>sób znormalizowany,</w:t>
      </w:r>
      <w:r w:rsidR="00900986">
        <w:rPr>
          <w:rFonts w:ascii="Times New Roman" w:hAnsi="Times New Roman"/>
          <w:noProof/>
          <w:sz w:val="20"/>
          <w:szCs w:val="20"/>
        </w:rPr>
        <w:t xml:space="preserve"> w ana</w:t>
      </w:r>
      <w:r>
        <w:rPr>
          <w:rFonts w:ascii="Times New Roman" w:hAnsi="Times New Roman"/>
          <w:noProof/>
          <w:sz w:val="20"/>
          <w:szCs w:val="20"/>
        </w:rPr>
        <w:t>lizie dostosowano całkowitą wielkość sprzedaży wyrobów tytoniowych, dodając odpowiedni udział wartości rynku UE-27, która</w:t>
      </w:r>
      <w:r w:rsidR="00900986">
        <w:rPr>
          <w:rFonts w:ascii="Times New Roman" w:hAnsi="Times New Roman"/>
          <w:noProof/>
          <w:sz w:val="20"/>
          <w:szCs w:val="20"/>
        </w:rPr>
        <w:t xml:space="preserve"> w 2</w:t>
      </w:r>
      <w:r>
        <w:rPr>
          <w:rFonts w:ascii="Times New Roman" w:hAnsi="Times New Roman"/>
          <w:noProof/>
          <w:sz w:val="20"/>
          <w:szCs w:val="20"/>
        </w:rPr>
        <w:t>0</w:t>
      </w:r>
      <w:r w:rsidRPr="00900986">
        <w:rPr>
          <w:rFonts w:ascii="Times New Roman" w:hAnsi="Times New Roman"/>
          <w:noProof/>
          <w:sz w:val="20"/>
          <w:szCs w:val="20"/>
        </w:rPr>
        <w:t>20</w:t>
      </w:r>
      <w:r w:rsidR="00900986" w:rsidRPr="00900986">
        <w:rPr>
          <w:rFonts w:ascii="Times New Roman" w:hAnsi="Times New Roman"/>
          <w:noProof/>
          <w:sz w:val="20"/>
          <w:szCs w:val="20"/>
        </w:rPr>
        <w:t> </w:t>
      </w:r>
      <w:r w:rsidRPr="00900986">
        <w:rPr>
          <w:rFonts w:ascii="Times New Roman" w:hAnsi="Times New Roman"/>
          <w:noProof/>
          <w:sz w:val="20"/>
          <w:szCs w:val="20"/>
        </w:rPr>
        <w:t>r.</w:t>
      </w:r>
      <w:r>
        <w:rPr>
          <w:rFonts w:ascii="Times New Roman" w:hAnsi="Times New Roman"/>
          <w:noProof/>
          <w:sz w:val="20"/>
          <w:szCs w:val="20"/>
        </w:rPr>
        <w:t xml:space="preserve"> wyniosła 0,7</w:t>
      </w:r>
      <w:r w:rsidRPr="00900986">
        <w:rPr>
          <w:rFonts w:ascii="Times New Roman" w:hAnsi="Times New Roman"/>
          <w:noProof/>
          <w:sz w:val="20"/>
          <w:szCs w:val="20"/>
        </w:rPr>
        <w:t>1</w:t>
      </w:r>
      <w:r w:rsidR="00900986" w:rsidRPr="00900986">
        <w:rPr>
          <w:rFonts w:ascii="Times New Roman" w:hAnsi="Times New Roman"/>
          <w:noProof/>
          <w:sz w:val="20"/>
          <w:szCs w:val="20"/>
        </w:rPr>
        <w:t> </w:t>
      </w:r>
      <w:r w:rsidRPr="00900986">
        <w:rPr>
          <w:rFonts w:ascii="Times New Roman" w:hAnsi="Times New Roman"/>
          <w:noProof/>
          <w:sz w:val="20"/>
          <w:szCs w:val="20"/>
        </w:rPr>
        <w:t>%</w:t>
      </w:r>
      <w:r>
        <w:rPr>
          <w:rFonts w:ascii="Times New Roman" w:hAnsi="Times New Roman"/>
          <w:noProof/>
          <w:sz w:val="20"/>
          <w:szCs w:val="20"/>
        </w:rPr>
        <w:t xml:space="preserve"> (co odpowiada równowartości 550 478 * 0,7</w:t>
      </w:r>
      <w:r w:rsidRPr="00900986">
        <w:rPr>
          <w:rFonts w:ascii="Times New Roman" w:hAnsi="Times New Roman"/>
          <w:noProof/>
          <w:sz w:val="20"/>
          <w:szCs w:val="20"/>
        </w:rPr>
        <w:t>1</w:t>
      </w:r>
      <w:r w:rsidR="00900986" w:rsidRPr="00900986">
        <w:rPr>
          <w:rFonts w:ascii="Times New Roman" w:hAnsi="Times New Roman"/>
          <w:noProof/>
          <w:sz w:val="20"/>
          <w:szCs w:val="20"/>
        </w:rPr>
        <w:t> </w:t>
      </w:r>
      <w:r w:rsidRPr="00900986">
        <w:rPr>
          <w:rFonts w:ascii="Times New Roman" w:hAnsi="Times New Roman"/>
          <w:noProof/>
          <w:sz w:val="20"/>
          <w:szCs w:val="20"/>
        </w:rPr>
        <w:t>%</w:t>
      </w:r>
      <w:r>
        <w:rPr>
          <w:rFonts w:ascii="Times New Roman" w:hAnsi="Times New Roman"/>
          <w:noProof/>
          <w:sz w:val="20"/>
          <w:szCs w:val="20"/>
        </w:rPr>
        <w:t xml:space="preserve"> = 3 908 mln sztuk).</w:t>
      </w:r>
    </w:p>
    <w:p w14:paraId="3DEF46F2" w14:textId="6C49D93A" w:rsidR="00ED7A95" w:rsidRPr="00C20E5F" w:rsidRDefault="007466AF" w:rsidP="00C20E5F">
      <w:pPr>
        <w:rPr>
          <w:rFonts w:ascii="Times New Roman" w:hAnsi="Times New Roman" w:cs="Times New Roman"/>
          <w:noProof/>
          <w:sz w:val="20"/>
          <w:szCs w:val="20"/>
        </w:rPr>
      </w:pPr>
      <w:r>
        <w:rPr>
          <w:rFonts w:ascii="Times New Roman" w:hAnsi="Times New Roman"/>
          <w:noProof/>
          <w:sz w:val="20"/>
          <w:szCs w:val="20"/>
        </w:rPr>
        <w:t>Źródło: Euromonitor International Passport Tobacco 2021.</w:t>
      </w:r>
    </w:p>
    <w:p w14:paraId="25E2B366" w14:textId="41E3BE3C" w:rsidR="007466AF" w:rsidRPr="00C20E5F" w:rsidRDefault="007E1239" w:rsidP="00C20E5F">
      <w:pPr>
        <w:jc w:val="both"/>
        <w:rPr>
          <w:rFonts w:ascii="Times New Roman" w:hAnsi="Times New Roman" w:cs="Times New Roman"/>
          <w:noProof/>
          <w:sz w:val="24"/>
          <w:szCs w:val="24"/>
        </w:rPr>
      </w:pPr>
      <w:r>
        <w:rPr>
          <w:rFonts w:ascii="Times New Roman" w:hAnsi="Times New Roman"/>
          <w:noProof/>
          <w:sz w:val="24"/>
          <w:szCs w:val="24"/>
        </w:rPr>
        <w:t>Od maja 20</w:t>
      </w:r>
      <w:r w:rsidRPr="00900986">
        <w:rPr>
          <w:rFonts w:ascii="Times New Roman" w:hAnsi="Times New Roman"/>
          <w:noProof/>
          <w:sz w:val="24"/>
          <w:szCs w:val="24"/>
        </w:rPr>
        <w:t>19</w:t>
      </w:r>
      <w:r w:rsidR="00900986" w:rsidRPr="00900986">
        <w:rPr>
          <w:rFonts w:ascii="Times New Roman" w:hAnsi="Times New Roman"/>
          <w:noProof/>
          <w:sz w:val="24"/>
          <w:szCs w:val="24"/>
        </w:rPr>
        <w:t> </w:t>
      </w:r>
      <w:r w:rsidRPr="00900986">
        <w:rPr>
          <w:rFonts w:ascii="Times New Roman" w:hAnsi="Times New Roman"/>
          <w:noProof/>
          <w:sz w:val="24"/>
          <w:szCs w:val="24"/>
        </w:rPr>
        <w:t>r.</w:t>
      </w:r>
      <w:r>
        <w:rPr>
          <w:rFonts w:ascii="Times New Roman" w:hAnsi="Times New Roman"/>
          <w:noProof/>
          <w:sz w:val="24"/>
          <w:szCs w:val="24"/>
        </w:rPr>
        <w:t xml:space="preserve"> unijny system identyfikowalności wyrobów tytoniowych umożliwia państwom członkowskim śledzenie przepływu na rynku papierosów</w:t>
      </w:r>
      <w:r w:rsidR="00900986">
        <w:rPr>
          <w:rFonts w:ascii="Times New Roman" w:hAnsi="Times New Roman"/>
          <w:noProof/>
          <w:sz w:val="24"/>
          <w:szCs w:val="24"/>
        </w:rPr>
        <w:t xml:space="preserve"> i tyt</w:t>
      </w:r>
      <w:r>
        <w:rPr>
          <w:rFonts w:ascii="Times New Roman" w:hAnsi="Times New Roman"/>
          <w:noProof/>
          <w:sz w:val="24"/>
          <w:szCs w:val="24"/>
        </w:rPr>
        <w:t>oniu do samodzielnego skręcania papierosów. Tabela 4 pokazuje wielkość sprzedaży papierosów</w:t>
      </w:r>
      <w:r w:rsidR="00900986">
        <w:rPr>
          <w:rFonts w:ascii="Times New Roman" w:hAnsi="Times New Roman"/>
          <w:noProof/>
          <w:sz w:val="24"/>
          <w:szCs w:val="24"/>
        </w:rPr>
        <w:t xml:space="preserve"> i tyt</w:t>
      </w:r>
      <w:r>
        <w:rPr>
          <w:rFonts w:ascii="Times New Roman" w:hAnsi="Times New Roman"/>
          <w:noProof/>
          <w:sz w:val="24"/>
          <w:szCs w:val="24"/>
        </w:rPr>
        <w:t>oniu do samodzielnego skręcania papierosów</w:t>
      </w:r>
      <w:r w:rsidR="00900986">
        <w:rPr>
          <w:rFonts w:ascii="Times New Roman" w:hAnsi="Times New Roman"/>
          <w:noProof/>
          <w:sz w:val="24"/>
          <w:szCs w:val="24"/>
        </w:rPr>
        <w:t xml:space="preserve"> w 2</w:t>
      </w:r>
      <w:r>
        <w:rPr>
          <w:rFonts w:ascii="Times New Roman" w:hAnsi="Times New Roman"/>
          <w:noProof/>
          <w:sz w:val="24"/>
          <w:szCs w:val="24"/>
        </w:rPr>
        <w:t>0</w:t>
      </w:r>
      <w:r w:rsidRPr="00900986">
        <w:rPr>
          <w:rFonts w:ascii="Times New Roman" w:hAnsi="Times New Roman"/>
          <w:noProof/>
          <w:sz w:val="24"/>
          <w:szCs w:val="24"/>
        </w:rPr>
        <w:t>20</w:t>
      </w:r>
      <w:r w:rsidR="00900986" w:rsidRPr="00900986">
        <w:rPr>
          <w:rFonts w:ascii="Times New Roman" w:hAnsi="Times New Roman"/>
          <w:noProof/>
          <w:sz w:val="24"/>
          <w:szCs w:val="24"/>
        </w:rPr>
        <w:t> </w:t>
      </w:r>
      <w:r w:rsidRPr="00900986">
        <w:rPr>
          <w:rFonts w:ascii="Times New Roman" w:hAnsi="Times New Roman"/>
          <w:noProof/>
          <w:sz w:val="24"/>
          <w:szCs w:val="24"/>
        </w:rPr>
        <w:t>r.</w:t>
      </w:r>
      <w:r>
        <w:rPr>
          <w:rFonts w:ascii="Times New Roman" w:hAnsi="Times New Roman"/>
          <w:noProof/>
          <w:sz w:val="24"/>
          <w:szCs w:val="24"/>
        </w:rPr>
        <w:t>, obliczoną na podstawie danych pochodzących</w:t>
      </w:r>
      <w:r w:rsidR="00900986">
        <w:rPr>
          <w:rFonts w:ascii="Times New Roman" w:hAnsi="Times New Roman"/>
          <w:noProof/>
          <w:sz w:val="24"/>
          <w:szCs w:val="24"/>
        </w:rPr>
        <w:t xml:space="preserve"> z sys</w:t>
      </w:r>
      <w:r>
        <w:rPr>
          <w:rFonts w:ascii="Times New Roman" w:hAnsi="Times New Roman"/>
          <w:noProof/>
          <w:sz w:val="24"/>
          <w:szCs w:val="24"/>
        </w:rPr>
        <w:t>temu identyfikowalności wyrobów tytoniowych,</w:t>
      </w:r>
      <w:r w:rsidR="00900986">
        <w:rPr>
          <w:rFonts w:ascii="Times New Roman" w:hAnsi="Times New Roman"/>
          <w:noProof/>
          <w:sz w:val="24"/>
          <w:szCs w:val="24"/>
        </w:rPr>
        <w:t xml:space="preserve"> z uwz</w:t>
      </w:r>
      <w:r>
        <w:rPr>
          <w:rFonts w:ascii="Times New Roman" w:hAnsi="Times New Roman"/>
          <w:noProof/>
          <w:sz w:val="24"/>
          <w:szCs w:val="24"/>
        </w:rPr>
        <w:t>ględnieniem dwóch alternatywnych podejść,</w:t>
      </w:r>
      <w:r w:rsidR="00900986">
        <w:rPr>
          <w:rFonts w:ascii="Times New Roman" w:hAnsi="Times New Roman"/>
          <w:noProof/>
          <w:sz w:val="24"/>
          <w:szCs w:val="24"/>
        </w:rPr>
        <w:t xml:space="preserve"> z któ</w:t>
      </w:r>
      <w:r>
        <w:rPr>
          <w:rFonts w:ascii="Times New Roman" w:hAnsi="Times New Roman"/>
          <w:noProof/>
          <w:sz w:val="24"/>
          <w:szCs w:val="24"/>
        </w:rPr>
        <w:t>rych</w:t>
      </w:r>
      <w:r w:rsidR="00900986">
        <w:rPr>
          <w:rFonts w:ascii="Times New Roman" w:hAnsi="Times New Roman"/>
          <w:noProof/>
          <w:sz w:val="24"/>
          <w:szCs w:val="24"/>
        </w:rPr>
        <w:t xml:space="preserve"> w każ</w:t>
      </w:r>
      <w:r>
        <w:rPr>
          <w:rFonts w:ascii="Times New Roman" w:hAnsi="Times New Roman"/>
          <w:noProof/>
          <w:sz w:val="24"/>
          <w:szCs w:val="24"/>
        </w:rPr>
        <w:t>dym uwzględnia się nieco inne okresy odzwierciedlające czas potrzebny na przemieszczanie się produktów</w:t>
      </w:r>
      <w:r w:rsidR="00900986">
        <w:rPr>
          <w:rFonts w:ascii="Times New Roman" w:hAnsi="Times New Roman"/>
          <w:noProof/>
          <w:sz w:val="24"/>
          <w:szCs w:val="24"/>
        </w:rPr>
        <w:t xml:space="preserve"> w dół</w:t>
      </w:r>
      <w:r>
        <w:rPr>
          <w:rFonts w:ascii="Times New Roman" w:hAnsi="Times New Roman"/>
          <w:noProof/>
          <w:sz w:val="24"/>
          <w:szCs w:val="24"/>
        </w:rPr>
        <w:t xml:space="preserve"> sieci dystrybucji. Ponieważ dane są rejestrowane na poziomie producenta, przyjmuje się jednomiesięczne opóźnienie zanim produkt trafi do sprzedaży detalicznej („skorygowane czasowo dane dotyczące produkcji”).</w:t>
      </w:r>
    </w:p>
    <w:p w14:paraId="2F91DD5D" w14:textId="1D06E180" w:rsidR="00CF1008" w:rsidRDefault="00002017" w:rsidP="00C20E5F">
      <w:pPr>
        <w:jc w:val="both"/>
        <w:rPr>
          <w:noProof/>
          <w:sz w:val="24"/>
          <w:szCs w:val="24"/>
        </w:rPr>
      </w:pPr>
      <w:r>
        <w:rPr>
          <w:rFonts w:ascii="Times New Roman" w:hAnsi="Times New Roman"/>
          <w:noProof/>
          <w:sz w:val="24"/>
          <w:szCs w:val="24"/>
        </w:rPr>
        <w:t>Ponieważ baza danych dotyczących identyfikowalności nie zawiera informacji na temat wielkości opakowania,</w:t>
      </w:r>
      <w:r w:rsidR="00900986">
        <w:rPr>
          <w:rFonts w:ascii="Times New Roman" w:hAnsi="Times New Roman"/>
          <w:noProof/>
          <w:sz w:val="24"/>
          <w:szCs w:val="24"/>
        </w:rPr>
        <w:t xml:space="preserve"> w ana</w:t>
      </w:r>
      <w:r>
        <w:rPr>
          <w:rFonts w:ascii="Times New Roman" w:hAnsi="Times New Roman"/>
          <w:noProof/>
          <w:sz w:val="24"/>
          <w:szCs w:val="24"/>
        </w:rPr>
        <w:t>lizie przeprowadzono kontrolę krzyżową danych dotyczących identyfikowalności</w:t>
      </w:r>
      <w:r w:rsidR="00900986">
        <w:rPr>
          <w:rFonts w:ascii="Times New Roman" w:hAnsi="Times New Roman"/>
          <w:noProof/>
          <w:sz w:val="24"/>
          <w:szCs w:val="24"/>
        </w:rPr>
        <w:t xml:space="preserve"> z baz</w:t>
      </w:r>
      <w:r>
        <w:rPr>
          <w:rFonts w:ascii="Times New Roman" w:hAnsi="Times New Roman"/>
          <w:noProof/>
          <w:sz w:val="24"/>
          <w:szCs w:val="24"/>
        </w:rPr>
        <w:t>ą danych EU-CEG</w:t>
      </w:r>
      <w:r w:rsidR="00900986">
        <w:rPr>
          <w:rFonts w:ascii="Times New Roman" w:hAnsi="Times New Roman"/>
          <w:noProof/>
          <w:sz w:val="24"/>
          <w:szCs w:val="24"/>
        </w:rPr>
        <w:t xml:space="preserve"> z wyk</w:t>
      </w:r>
      <w:r>
        <w:rPr>
          <w:rFonts w:ascii="Times New Roman" w:hAnsi="Times New Roman"/>
          <w:noProof/>
          <w:sz w:val="24"/>
          <w:szCs w:val="24"/>
        </w:rPr>
        <w:t>orzystaniem unikatowego identyfikatora produktu (TP-ID), aby ustalić liczbę papierosów na opakowanie jednostkowe zadeklarowane dla identyfikatora każdego wyrobu tytoniowego</w:t>
      </w:r>
      <w:r w:rsidR="00900986">
        <w:rPr>
          <w:rFonts w:ascii="Times New Roman" w:hAnsi="Times New Roman"/>
          <w:noProof/>
          <w:sz w:val="24"/>
          <w:szCs w:val="24"/>
        </w:rPr>
        <w:t xml:space="preserve"> w spr</w:t>
      </w:r>
      <w:r>
        <w:rPr>
          <w:rFonts w:ascii="Times New Roman" w:hAnsi="Times New Roman"/>
          <w:noProof/>
          <w:sz w:val="24"/>
          <w:szCs w:val="24"/>
        </w:rPr>
        <w:t>awozdaniu EU-CEG.</w:t>
      </w:r>
      <w:r>
        <w:rPr>
          <w:noProof/>
          <w:sz w:val="24"/>
          <w:szCs w:val="24"/>
        </w:rPr>
        <w:t xml:space="preserve"> </w:t>
      </w:r>
      <w:r>
        <w:rPr>
          <w:noProof/>
        </w:rPr>
        <w:tab/>
      </w:r>
    </w:p>
    <w:p w14:paraId="55432F54" w14:textId="08D79AD0" w:rsidR="00447A01" w:rsidRDefault="00447A01" w:rsidP="00C20E5F">
      <w:pPr>
        <w:jc w:val="both"/>
        <w:rPr>
          <w:noProof/>
          <w:sz w:val="24"/>
          <w:szCs w:val="24"/>
        </w:rPr>
      </w:pPr>
    </w:p>
    <w:p w14:paraId="525ADFA6" w14:textId="77777777" w:rsidR="00447A01" w:rsidRPr="00C20E5F" w:rsidRDefault="00447A01" w:rsidP="00C20E5F">
      <w:pPr>
        <w:jc w:val="both"/>
        <w:rPr>
          <w:noProof/>
          <w:sz w:val="24"/>
          <w:szCs w:val="24"/>
        </w:rPr>
      </w:pPr>
    </w:p>
    <w:p w14:paraId="14443398" w14:textId="6519F8B3" w:rsidR="008C477F" w:rsidRPr="001D4003" w:rsidRDefault="008C477F" w:rsidP="00C20E5F">
      <w:pPr>
        <w:keepNext/>
        <w:jc w:val="center"/>
        <w:rPr>
          <w:rFonts w:ascii="Times New Roman" w:hAnsi="Times New Roman" w:cs="Times New Roman"/>
          <w:i/>
          <w:noProof/>
        </w:rPr>
      </w:pPr>
      <w:r>
        <w:rPr>
          <w:rFonts w:ascii="Times New Roman" w:hAnsi="Times New Roman"/>
          <w:i/>
          <w:noProof/>
        </w:rPr>
        <w:t>Tabela 4: Produkcja papierosów</w:t>
      </w:r>
      <w:r w:rsidR="00900986">
        <w:rPr>
          <w:rFonts w:ascii="Times New Roman" w:hAnsi="Times New Roman"/>
          <w:i/>
          <w:noProof/>
        </w:rPr>
        <w:t xml:space="preserve"> i tyt</w:t>
      </w:r>
      <w:r>
        <w:rPr>
          <w:rFonts w:ascii="Times New Roman" w:hAnsi="Times New Roman"/>
          <w:i/>
          <w:noProof/>
        </w:rPr>
        <w:t>oniu do samodzielnego skręcania papierosów</w:t>
      </w:r>
      <w:r w:rsidR="00900986">
        <w:rPr>
          <w:rFonts w:ascii="Times New Roman" w:hAnsi="Times New Roman"/>
          <w:i/>
          <w:noProof/>
        </w:rPr>
        <w:t xml:space="preserve"> w 2</w:t>
      </w:r>
      <w:r>
        <w:rPr>
          <w:rFonts w:ascii="Times New Roman" w:hAnsi="Times New Roman"/>
          <w:i/>
          <w:noProof/>
        </w:rPr>
        <w:t>0</w:t>
      </w:r>
      <w:r w:rsidRPr="00900986">
        <w:rPr>
          <w:rFonts w:ascii="Times New Roman" w:hAnsi="Times New Roman"/>
          <w:i/>
          <w:noProof/>
        </w:rPr>
        <w:t>20</w:t>
      </w:r>
      <w:r w:rsidR="00900986" w:rsidRPr="00900986">
        <w:rPr>
          <w:rFonts w:ascii="Times New Roman" w:hAnsi="Times New Roman"/>
          <w:i/>
          <w:noProof/>
        </w:rPr>
        <w:t> </w:t>
      </w:r>
      <w:r w:rsidRPr="00900986">
        <w:rPr>
          <w:rFonts w:ascii="Times New Roman" w:hAnsi="Times New Roman"/>
          <w:i/>
          <w:noProof/>
        </w:rPr>
        <w:t>r.</w:t>
      </w:r>
      <w:r>
        <w:rPr>
          <w:rStyle w:val="FootnoteReference"/>
          <w:rFonts w:ascii="Times New Roman" w:hAnsi="Times New Roman" w:cs="Times New Roman"/>
          <w:i/>
          <w:noProof/>
        </w:rPr>
        <w:footnoteReference w:id="3"/>
      </w:r>
    </w:p>
    <w:tbl>
      <w:tblPr>
        <w:tblStyle w:val="PlainTable1"/>
        <w:tblpPr w:leftFromText="180" w:rightFromText="180" w:vertAnchor="text" w:tblpY="1"/>
        <w:tblOverlap w:val="never"/>
        <w:tblW w:w="9554" w:type="dxa"/>
        <w:tblLook w:val="04A0" w:firstRow="1" w:lastRow="0" w:firstColumn="1" w:lastColumn="0" w:noHBand="0" w:noVBand="1"/>
      </w:tblPr>
      <w:tblGrid>
        <w:gridCol w:w="2388"/>
        <w:gridCol w:w="2389"/>
        <w:gridCol w:w="2388"/>
        <w:gridCol w:w="2389"/>
      </w:tblGrid>
      <w:tr w:rsidR="003E4B41" w:rsidRPr="00C20E5F" w14:paraId="3DE5680A" w14:textId="77777777" w:rsidTr="00C20E5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777" w:type="dxa"/>
            <w:gridSpan w:val="2"/>
          </w:tcPr>
          <w:p w14:paraId="6637C00A" w14:textId="5EAF55F0" w:rsidR="003E4B41" w:rsidRPr="00C20E5F" w:rsidRDefault="003E4B41" w:rsidP="0060018F">
            <w:pPr>
              <w:tabs>
                <w:tab w:val="left" w:pos="2166"/>
              </w:tabs>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Papierosy</w:t>
            </w:r>
            <w:r>
              <w:rPr>
                <w:noProof/>
              </w:rPr>
              <w:tab/>
            </w:r>
          </w:p>
        </w:tc>
        <w:tc>
          <w:tcPr>
            <w:tcW w:w="4777" w:type="dxa"/>
            <w:gridSpan w:val="2"/>
          </w:tcPr>
          <w:p w14:paraId="03CF2C5C" w14:textId="3617DEA2" w:rsidR="003E4B41" w:rsidRPr="00C20E5F" w:rsidRDefault="008C477F"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Tytoń do samodzielnego skręcania papierosów</w:t>
            </w:r>
          </w:p>
        </w:tc>
      </w:tr>
      <w:tr w:rsidR="003E4B41" w:rsidRPr="00C20E5F" w14:paraId="37263604" w14:textId="77777777" w:rsidTr="00C20E5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388" w:type="dxa"/>
            <w:hideMark/>
          </w:tcPr>
          <w:p w14:paraId="24D51E54" w14:textId="6F8427F2" w:rsidR="003E4B41" w:rsidRPr="00C20E5F" w:rsidRDefault="0066589D" w:rsidP="0060018F">
            <w:pPr>
              <w:rPr>
                <w:rFonts w:ascii="Times New Roman" w:eastAsia="Times New Roman" w:hAnsi="Times New Roman" w:cs="Times New Roman"/>
                <w:b w:val="0"/>
                <w:i/>
                <w:noProof/>
                <w:color w:val="363636"/>
                <w:sz w:val="24"/>
                <w:szCs w:val="24"/>
              </w:rPr>
            </w:pPr>
            <w:r>
              <w:rPr>
                <w:rFonts w:ascii="Times New Roman" w:hAnsi="Times New Roman"/>
                <w:noProof/>
                <w:color w:val="363636"/>
                <w:sz w:val="24"/>
                <w:szCs w:val="24"/>
              </w:rPr>
              <w:t>Skorygowane czasowo dane dotyczące produkcji</w:t>
            </w:r>
          </w:p>
          <w:p w14:paraId="1EF93610" w14:textId="4EDBFECC" w:rsidR="003E4B41" w:rsidRPr="00C20E5F" w:rsidRDefault="00841A93" w:rsidP="0060018F">
            <w:pPr>
              <w:rPr>
                <w:rFonts w:ascii="Times New Roman" w:eastAsia="Times New Roman" w:hAnsi="Times New Roman" w:cs="Times New Roman"/>
                <w:noProof/>
                <w:color w:val="363636"/>
                <w:sz w:val="24"/>
                <w:szCs w:val="24"/>
              </w:rPr>
            </w:pPr>
            <w:r>
              <w:rPr>
                <w:rFonts w:ascii="Times New Roman" w:hAnsi="Times New Roman"/>
                <w:noProof/>
                <w:color w:val="363636"/>
                <w:sz w:val="24"/>
                <w:szCs w:val="24"/>
              </w:rPr>
              <w:t>(w mln sztuk)</w:t>
            </w:r>
          </w:p>
        </w:tc>
        <w:tc>
          <w:tcPr>
            <w:tcW w:w="2389" w:type="dxa"/>
            <w:hideMark/>
          </w:tcPr>
          <w:p w14:paraId="599BCA78" w14:textId="289D9E1D" w:rsidR="003E4B41" w:rsidRPr="00C20E5F" w:rsidRDefault="00DD2113"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363636"/>
                <w:sz w:val="24"/>
                <w:szCs w:val="24"/>
              </w:rPr>
            </w:pPr>
            <w:r>
              <w:rPr>
                <w:rFonts w:ascii="Times New Roman" w:hAnsi="Times New Roman"/>
                <w:b/>
                <w:noProof/>
                <w:color w:val="363636"/>
                <w:sz w:val="24"/>
                <w:szCs w:val="24"/>
              </w:rPr>
              <w:t>Nieskorygowane czasowo dane dotyczące produkcji</w:t>
            </w:r>
          </w:p>
          <w:p w14:paraId="48B34272" w14:textId="7D80A064" w:rsidR="003E4B41" w:rsidRPr="00C20E5F" w:rsidRDefault="00841A93"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363636"/>
                <w:sz w:val="24"/>
                <w:szCs w:val="24"/>
              </w:rPr>
            </w:pPr>
            <w:r>
              <w:rPr>
                <w:rFonts w:ascii="Times New Roman" w:hAnsi="Times New Roman"/>
                <w:noProof/>
                <w:color w:val="363636"/>
                <w:sz w:val="24"/>
                <w:szCs w:val="24"/>
              </w:rPr>
              <w:t>(w mln sztuk)</w:t>
            </w:r>
          </w:p>
        </w:tc>
        <w:tc>
          <w:tcPr>
            <w:tcW w:w="2388" w:type="dxa"/>
          </w:tcPr>
          <w:p w14:paraId="25F862CB" w14:textId="429EFDED" w:rsidR="00DD2113" w:rsidRPr="00C20E5F" w:rsidRDefault="0066589D"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363636"/>
                <w:sz w:val="24"/>
                <w:szCs w:val="24"/>
              </w:rPr>
            </w:pPr>
            <w:r>
              <w:rPr>
                <w:rFonts w:ascii="Times New Roman" w:hAnsi="Times New Roman"/>
                <w:b/>
                <w:noProof/>
                <w:color w:val="363636"/>
                <w:sz w:val="24"/>
                <w:szCs w:val="24"/>
              </w:rPr>
              <w:t>Skorygowane czasowo dane dotyczące produkcji</w:t>
            </w:r>
          </w:p>
          <w:p w14:paraId="13B7D3F5" w14:textId="2ECEA4F0" w:rsidR="003E4B41" w:rsidRPr="00C20E5F" w:rsidRDefault="00DD2113"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363636"/>
                <w:sz w:val="24"/>
                <w:szCs w:val="24"/>
              </w:rPr>
            </w:pPr>
            <w:r>
              <w:rPr>
                <w:rFonts w:ascii="Times New Roman" w:hAnsi="Times New Roman"/>
                <w:b/>
                <w:noProof/>
                <w:color w:val="363636"/>
                <w:sz w:val="24"/>
                <w:szCs w:val="24"/>
              </w:rPr>
              <w:t xml:space="preserve"> </w:t>
            </w:r>
            <w:r>
              <w:rPr>
                <w:rFonts w:ascii="Times New Roman" w:hAnsi="Times New Roman"/>
                <w:noProof/>
                <w:color w:val="363636"/>
                <w:sz w:val="24"/>
                <w:szCs w:val="24"/>
              </w:rPr>
              <w:t xml:space="preserve">(w równowartości </w:t>
            </w:r>
            <w:r>
              <w:rPr>
                <w:rFonts w:ascii="Times New Roman" w:hAnsi="Times New Roman"/>
                <w:noProof/>
                <w:color w:val="000000"/>
                <w:sz w:val="24"/>
                <w:szCs w:val="24"/>
              </w:rPr>
              <w:t>mln sztuk</w:t>
            </w:r>
            <w:r>
              <w:rPr>
                <w:rFonts w:ascii="Times New Roman" w:hAnsi="Times New Roman"/>
                <w:noProof/>
                <w:color w:val="363636"/>
                <w:sz w:val="24"/>
                <w:szCs w:val="24"/>
              </w:rPr>
              <w:t>)</w:t>
            </w:r>
          </w:p>
        </w:tc>
        <w:tc>
          <w:tcPr>
            <w:tcW w:w="2389" w:type="dxa"/>
          </w:tcPr>
          <w:p w14:paraId="4D422E13" w14:textId="672E64AC" w:rsidR="00DD2113" w:rsidRPr="00C20E5F" w:rsidRDefault="00DD2113"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363636"/>
                <w:sz w:val="24"/>
                <w:szCs w:val="24"/>
              </w:rPr>
            </w:pPr>
            <w:r>
              <w:rPr>
                <w:rFonts w:ascii="Times New Roman" w:hAnsi="Times New Roman"/>
                <w:b/>
                <w:noProof/>
                <w:color w:val="363636"/>
                <w:sz w:val="24"/>
                <w:szCs w:val="24"/>
              </w:rPr>
              <w:t>Nieskorygowane czasowo dane dotyczące produkcji</w:t>
            </w:r>
          </w:p>
          <w:p w14:paraId="71ADE48F" w14:textId="4E30DF92" w:rsidR="003E4B41" w:rsidRPr="00C20E5F" w:rsidRDefault="00DD2113"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363636"/>
                <w:sz w:val="24"/>
                <w:szCs w:val="24"/>
              </w:rPr>
            </w:pPr>
            <w:r>
              <w:rPr>
                <w:rFonts w:ascii="Times New Roman" w:hAnsi="Times New Roman"/>
                <w:b/>
                <w:noProof/>
                <w:color w:val="363636"/>
                <w:sz w:val="24"/>
                <w:szCs w:val="24"/>
              </w:rPr>
              <w:t xml:space="preserve"> </w:t>
            </w:r>
            <w:r>
              <w:rPr>
                <w:rFonts w:ascii="Times New Roman" w:hAnsi="Times New Roman"/>
                <w:noProof/>
                <w:color w:val="363636"/>
                <w:sz w:val="24"/>
                <w:szCs w:val="24"/>
              </w:rPr>
              <w:t xml:space="preserve">(w równowartości </w:t>
            </w:r>
            <w:r>
              <w:rPr>
                <w:rFonts w:ascii="Times New Roman" w:hAnsi="Times New Roman"/>
                <w:noProof/>
                <w:color w:val="000000"/>
                <w:sz w:val="24"/>
                <w:szCs w:val="24"/>
              </w:rPr>
              <w:t>mln sztuk</w:t>
            </w:r>
            <w:r>
              <w:rPr>
                <w:rFonts w:ascii="Times New Roman" w:hAnsi="Times New Roman"/>
                <w:noProof/>
                <w:color w:val="363636"/>
                <w:sz w:val="24"/>
                <w:szCs w:val="24"/>
              </w:rPr>
              <w:t>)</w:t>
            </w:r>
          </w:p>
        </w:tc>
      </w:tr>
      <w:tr w:rsidR="003E4B41" w:rsidRPr="00C20E5F" w14:paraId="17C857CA" w14:textId="77777777" w:rsidTr="00C20E5F">
        <w:trPr>
          <w:trHeight w:val="383"/>
        </w:trPr>
        <w:tc>
          <w:tcPr>
            <w:cnfStyle w:val="001000000000" w:firstRow="0" w:lastRow="0" w:firstColumn="1" w:lastColumn="0" w:oddVBand="0" w:evenVBand="0" w:oddHBand="0" w:evenHBand="0" w:firstRowFirstColumn="0" w:firstRowLastColumn="0" w:lastRowFirstColumn="0" w:lastRowLastColumn="0"/>
            <w:tcW w:w="2388" w:type="dxa"/>
            <w:noWrap/>
            <w:hideMark/>
          </w:tcPr>
          <w:p w14:paraId="4FF2F8DD" w14:textId="608F5519" w:rsidR="003E4B41" w:rsidRPr="00C20E5F" w:rsidRDefault="00A77BE0" w:rsidP="005803AD">
            <w:pPr>
              <w:rPr>
                <w:rFonts w:ascii="Times New Roman" w:hAnsi="Times New Roman" w:cs="Times New Roman"/>
                <w:i/>
                <w:iCs/>
                <w:noProof/>
                <w:color w:val="000000"/>
                <w:sz w:val="24"/>
                <w:szCs w:val="24"/>
              </w:rPr>
            </w:pPr>
            <w:r>
              <w:rPr>
                <w:rFonts w:ascii="Times New Roman" w:hAnsi="Times New Roman"/>
                <w:noProof/>
                <w:color w:val="000000"/>
                <w:sz w:val="24"/>
                <w:szCs w:val="24"/>
              </w:rPr>
              <w:t>436 123</w:t>
            </w:r>
          </w:p>
        </w:tc>
        <w:tc>
          <w:tcPr>
            <w:tcW w:w="2389" w:type="dxa"/>
            <w:noWrap/>
            <w:hideMark/>
          </w:tcPr>
          <w:p w14:paraId="37422614" w14:textId="656A529E" w:rsidR="003E4B41" w:rsidRPr="00C20E5F" w:rsidRDefault="00A77BE0" w:rsidP="00580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4"/>
                <w:szCs w:val="24"/>
              </w:rPr>
            </w:pPr>
            <w:r>
              <w:rPr>
                <w:rFonts w:ascii="Times New Roman" w:hAnsi="Times New Roman"/>
                <w:noProof/>
                <w:color w:val="000000"/>
                <w:sz w:val="24"/>
                <w:szCs w:val="24"/>
              </w:rPr>
              <w:t>434 164</w:t>
            </w:r>
          </w:p>
        </w:tc>
        <w:tc>
          <w:tcPr>
            <w:tcW w:w="2388" w:type="dxa"/>
          </w:tcPr>
          <w:p w14:paraId="7FBBA767" w14:textId="5B0FB4EF" w:rsidR="003E4B41" w:rsidRPr="00C20E5F" w:rsidRDefault="00A77BE0" w:rsidP="00580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4"/>
                <w:szCs w:val="24"/>
              </w:rPr>
            </w:pPr>
            <w:r>
              <w:rPr>
                <w:rFonts w:ascii="Times New Roman" w:hAnsi="Times New Roman"/>
                <w:noProof/>
                <w:color w:val="000000"/>
                <w:sz w:val="24"/>
                <w:szCs w:val="24"/>
              </w:rPr>
              <w:t>121 239</w:t>
            </w:r>
          </w:p>
        </w:tc>
        <w:tc>
          <w:tcPr>
            <w:tcW w:w="2389" w:type="dxa"/>
          </w:tcPr>
          <w:p w14:paraId="5D1207F6" w14:textId="29F17189" w:rsidR="003E4B41" w:rsidRPr="00C20E5F" w:rsidRDefault="00A77BE0" w:rsidP="00580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4"/>
                <w:szCs w:val="24"/>
              </w:rPr>
            </w:pPr>
            <w:r>
              <w:rPr>
                <w:rFonts w:ascii="Times New Roman" w:hAnsi="Times New Roman"/>
                <w:noProof/>
                <w:color w:val="000000"/>
                <w:sz w:val="24"/>
                <w:szCs w:val="24"/>
              </w:rPr>
              <w:t>122 341</w:t>
            </w:r>
          </w:p>
        </w:tc>
      </w:tr>
    </w:tbl>
    <w:p w14:paraId="7BDC97AD" w14:textId="43724F8E" w:rsidR="003E4B41" w:rsidRPr="00C20E5F" w:rsidRDefault="0066589D" w:rsidP="00841A93">
      <w:pPr>
        <w:spacing w:after="0"/>
        <w:jc w:val="both"/>
        <w:rPr>
          <w:rFonts w:ascii="Times New Roman" w:eastAsia="Times New Roman" w:hAnsi="Times New Roman" w:cs="Times New Roman"/>
          <w:noProof/>
          <w:color w:val="363636"/>
          <w:sz w:val="20"/>
          <w:szCs w:val="20"/>
        </w:rPr>
      </w:pPr>
      <w:r>
        <w:rPr>
          <w:rFonts w:ascii="Times New Roman" w:hAnsi="Times New Roman"/>
          <w:i/>
          <w:noProof/>
          <w:color w:val="363636"/>
          <w:sz w:val="20"/>
          <w:szCs w:val="20"/>
        </w:rPr>
        <w:t>Skorygowane czasowo dane dotyczące produkcji</w:t>
      </w:r>
      <w:r>
        <w:rPr>
          <w:rFonts w:ascii="Times New Roman" w:hAnsi="Times New Roman"/>
          <w:noProof/>
          <w:color w:val="363636"/>
          <w:sz w:val="20"/>
          <w:szCs w:val="20"/>
        </w:rPr>
        <w:t xml:space="preserve"> odnoszą się do okresu: grudzień 20</w:t>
      </w:r>
      <w:r w:rsidRPr="00900986">
        <w:rPr>
          <w:rFonts w:ascii="Times New Roman" w:hAnsi="Times New Roman"/>
          <w:noProof/>
          <w:color w:val="363636"/>
          <w:sz w:val="20"/>
          <w:szCs w:val="20"/>
        </w:rPr>
        <w:t>19</w:t>
      </w:r>
      <w:r w:rsidR="00900986" w:rsidRPr="00900986">
        <w:rPr>
          <w:rFonts w:ascii="Times New Roman" w:hAnsi="Times New Roman"/>
          <w:noProof/>
          <w:color w:val="363636"/>
          <w:sz w:val="20"/>
          <w:szCs w:val="20"/>
        </w:rPr>
        <w:t> </w:t>
      </w:r>
      <w:r w:rsidRPr="00900986">
        <w:rPr>
          <w:rFonts w:ascii="Times New Roman" w:hAnsi="Times New Roman"/>
          <w:noProof/>
          <w:color w:val="363636"/>
          <w:sz w:val="20"/>
          <w:szCs w:val="20"/>
        </w:rPr>
        <w:t>r.</w:t>
      </w:r>
      <w:r>
        <w:rPr>
          <w:rFonts w:ascii="Times New Roman" w:hAnsi="Times New Roman"/>
          <w:noProof/>
          <w:color w:val="363636"/>
          <w:sz w:val="20"/>
          <w:szCs w:val="20"/>
        </w:rPr>
        <w:t xml:space="preserve"> – listopad 20</w:t>
      </w:r>
      <w:r w:rsidRPr="00900986">
        <w:rPr>
          <w:rFonts w:ascii="Times New Roman" w:hAnsi="Times New Roman"/>
          <w:noProof/>
          <w:color w:val="363636"/>
          <w:sz w:val="20"/>
          <w:szCs w:val="20"/>
        </w:rPr>
        <w:t>20</w:t>
      </w:r>
      <w:r w:rsidR="00900986" w:rsidRPr="00900986">
        <w:rPr>
          <w:rFonts w:ascii="Times New Roman" w:hAnsi="Times New Roman"/>
          <w:noProof/>
          <w:color w:val="363636"/>
          <w:sz w:val="20"/>
          <w:szCs w:val="20"/>
        </w:rPr>
        <w:t> </w:t>
      </w:r>
      <w:r w:rsidRPr="00900986">
        <w:rPr>
          <w:rFonts w:ascii="Times New Roman" w:hAnsi="Times New Roman"/>
          <w:noProof/>
          <w:color w:val="363636"/>
          <w:sz w:val="20"/>
          <w:szCs w:val="20"/>
        </w:rPr>
        <w:t>r.</w:t>
      </w:r>
      <w:r>
        <w:rPr>
          <w:rFonts w:ascii="Times New Roman" w:hAnsi="Times New Roman"/>
          <w:noProof/>
          <w:color w:val="363636"/>
          <w:sz w:val="20"/>
          <w:szCs w:val="20"/>
        </w:rPr>
        <w:t xml:space="preserve"> </w:t>
      </w:r>
    </w:p>
    <w:p w14:paraId="0459291C" w14:textId="0979089E" w:rsidR="003E4B41" w:rsidRPr="00C20E5F" w:rsidRDefault="00DD2113" w:rsidP="00841A93">
      <w:pPr>
        <w:spacing w:after="0"/>
        <w:jc w:val="both"/>
        <w:rPr>
          <w:rFonts w:ascii="Times New Roman" w:eastAsia="Times New Roman" w:hAnsi="Times New Roman" w:cs="Times New Roman"/>
          <w:noProof/>
          <w:color w:val="363636"/>
          <w:sz w:val="20"/>
          <w:szCs w:val="20"/>
        </w:rPr>
      </w:pPr>
      <w:r>
        <w:rPr>
          <w:rFonts w:ascii="Times New Roman" w:hAnsi="Times New Roman"/>
          <w:i/>
          <w:noProof/>
          <w:color w:val="363636"/>
          <w:sz w:val="20"/>
          <w:szCs w:val="20"/>
        </w:rPr>
        <w:t>Niekorygowane czasowo dane dotyczące produkcji</w:t>
      </w:r>
      <w:r w:rsidR="00803423">
        <w:rPr>
          <w:rFonts w:ascii="Times New Roman" w:hAnsi="Times New Roman"/>
          <w:noProof/>
          <w:color w:val="363636"/>
          <w:sz w:val="20"/>
          <w:szCs w:val="20"/>
        </w:rPr>
        <w:t xml:space="preserve"> odnoszą się do okresu: </w:t>
      </w:r>
      <w:r>
        <w:rPr>
          <w:rFonts w:ascii="Times New Roman" w:hAnsi="Times New Roman"/>
          <w:noProof/>
          <w:color w:val="363636"/>
          <w:sz w:val="20"/>
          <w:szCs w:val="20"/>
        </w:rPr>
        <w:t>styczeń 20</w:t>
      </w:r>
      <w:r w:rsidRPr="00900986">
        <w:rPr>
          <w:rFonts w:ascii="Times New Roman" w:hAnsi="Times New Roman"/>
          <w:noProof/>
          <w:color w:val="363636"/>
          <w:sz w:val="20"/>
          <w:szCs w:val="20"/>
        </w:rPr>
        <w:t>20</w:t>
      </w:r>
      <w:r w:rsidR="00900986" w:rsidRPr="00900986">
        <w:rPr>
          <w:rFonts w:ascii="Times New Roman" w:hAnsi="Times New Roman"/>
          <w:noProof/>
          <w:color w:val="363636"/>
          <w:sz w:val="20"/>
          <w:szCs w:val="20"/>
        </w:rPr>
        <w:t> </w:t>
      </w:r>
      <w:r w:rsidRPr="00900986">
        <w:rPr>
          <w:rFonts w:ascii="Times New Roman" w:hAnsi="Times New Roman"/>
          <w:noProof/>
          <w:color w:val="363636"/>
          <w:sz w:val="20"/>
          <w:szCs w:val="20"/>
        </w:rPr>
        <w:t>r.</w:t>
      </w:r>
      <w:r>
        <w:rPr>
          <w:rFonts w:ascii="Times New Roman" w:hAnsi="Times New Roman"/>
          <w:noProof/>
          <w:color w:val="363636"/>
          <w:sz w:val="20"/>
          <w:szCs w:val="20"/>
        </w:rPr>
        <w:t xml:space="preserve"> – grudzień 20</w:t>
      </w:r>
      <w:r w:rsidRPr="00900986">
        <w:rPr>
          <w:rFonts w:ascii="Times New Roman" w:hAnsi="Times New Roman"/>
          <w:noProof/>
          <w:color w:val="363636"/>
          <w:sz w:val="20"/>
          <w:szCs w:val="20"/>
        </w:rPr>
        <w:t>20</w:t>
      </w:r>
      <w:r w:rsidR="00900986" w:rsidRPr="00900986">
        <w:rPr>
          <w:rFonts w:ascii="Times New Roman" w:hAnsi="Times New Roman"/>
          <w:noProof/>
          <w:color w:val="363636"/>
          <w:sz w:val="20"/>
          <w:szCs w:val="20"/>
        </w:rPr>
        <w:t> </w:t>
      </w:r>
      <w:r w:rsidRPr="00900986">
        <w:rPr>
          <w:rFonts w:ascii="Times New Roman" w:hAnsi="Times New Roman"/>
          <w:noProof/>
          <w:color w:val="363636"/>
          <w:sz w:val="20"/>
          <w:szCs w:val="20"/>
        </w:rPr>
        <w:t>r.</w:t>
      </w:r>
    </w:p>
    <w:p w14:paraId="3D02F59E" w14:textId="2A206628" w:rsidR="007466AF" w:rsidRPr="00C20E5F" w:rsidRDefault="007466AF" w:rsidP="00841A93">
      <w:pPr>
        <w:spacing w:after="0"/>
        <w:jc w:val="both"/>
        <w:rPr>
          <w:rFonts w:ascii="Times New Roman" w:eastAsia="Times New Roman" w:hAnsi="Times New Roman" w:cs="Times New Roman"/>
          <w:noProof/>
          <w:color w:val="363636"/>
          <w:sz w:val="20"/>
          <w:szCs w:val="20"/>
        </w:rPr>
      </w:pPr>
      <w:r>
        <w:rPr>
          <w:rFonts w:ascii="Times New Roman" w:hAnsi="Times New Roman"/>
          <w:noProof/>
          <w:color w:val="363636"/>
          <w:sz w:val="20"/>
          <w:szCs w:val="20"/>
        </w:rPr>
        <w:t>Źródło: unijny system identyfikowalności wyrobów tytoniowych</w:t>
      </w:r>
    </w:p>
    <w:p w14:paraId="0A0F4CBF" w14:textId="77777777" w:rsidR="00841A93" w:rsidRPr="001D4003" w:rsidRDefault="00841A93" w:rsidP="00841A93">
      <w:pPr>
        <w:spacing w:after="0"/>
        <w:jc w:val="both"/>
        <w:rPr>
          <w:rFonts w:ascii="Times New Roman" w:eastAsia="Times New Roman" w:hAnsi="Times New Roman" w:cs="Times New Roman"/>
          <w:noProof/>
          <w:color w:val="363636"/>
          <w:sz w:val="18"/>
          <w:szCs w:val="18"/>
        </w:rPr>
      </w:pPr>
    </w:p>
    <w:p w14:paraId="612A6F6D" w14:textId="72FA83D5" w:rsidR="00841A93" w:rsidRPr="001D4003" w:rsidRDefault="00002017" w:rsidP="00841A93">
      <w:pPr>
        <w:jc w:val="both"/>
        <w:rPr>
          <w:rFonts w:ascii="Times New Roman" w:hAnsi="Times New Roman" w:cs="Times New Roman"/>
          <w:noProof/>
          <w:sz w:val="24"/>
          <w:szCs w:val="24"/>
        </w:rPr>
      </w:pPr>
      <w:r>
        <w:rPr>
          <w:rFonts w:ascii="Times New Roman" w:hAnsi="Times New Roman"/>
          <w:noProof/>
          <w:sz w:val="24"/>
          <w:szCs w:val="24"/>
        </w:rPr>
        <w:t>Do celów przyjętych ostrożnych obliczeń</w:t>
      </w:r>
      <w:r w:rsidR="00900986">
        <w:rPr>
          <w:rFonts w:ascii="Times New Roman" w:hAnsi="Times New Roman"/>
          <w:noProof/>
          <w:sz w:val="24"/>
          <w:szCs w:val="24"/>
        </w:rPr>
        <w:t xml:space="preserve"> w spr</w:t>
      </w:r>
      <w:r>
        <w:rPr>
          <w:rFonts w:ascii="Times New Roman" w:hAnsi="Times New Roman"/>
          <w:noProof/>
          <w:sz w:val="24"/>
          <w:szCs w:val="24"/>
        </w:rPr>
        <w:t>awozdaniu uwzględniono wyższą</w:t>
      </w:r>
      <w:r w:rsidR="00900986">
        <w:rPr>
          <w:rFonts w:ascii="Times New Roman" w:hAnsi="Times New Roman"/>
          <w:noProof/>
          <w:sz w:val="24"/>
          <w:szCs w:val="24"/>
        </w:rPr>
        <w:t xml:space="preserve"> z dwó</w:t>
      </w:r>
      <w:r>
        <w:rPr>
          <w:rFonts w:ascii="Times New Roman" w:hAnsi="Times New Roman"/>
          <w:noProof/>
          <w:sz w:val="24"/>
          <w:szCs w:val="24"/>
        </w:rPr>
        <w:t>ch wartości dla poszczególnych kategorii (tj. skorygowane czasowo dane dotyczące produkcji papierosów</w:t>
      </w:r>
      <w:r w:rsidR="00900986">
        <w:rPr>
          <w:rFonts w:ascii="Times New Roman" w:hAnsi="Times New Roman"/>
          <w:noProof/>
          <w:sz w:val="24"/>
          <w:szCs w:val="24"/>
        </w:rPr>
        <w:t xml:space="preserve"> i nie</w:t>
      </w:r>
      <w:r>
        <w:rPr>
          <w:rFonts w:ascii="Times New Roman" w:hAnsi="Times New Roman"/>
          <w:noProof/>
          <w:sz w:val="24"/>
          <w:szCs w:val="24"/>
        </w:rPr>
        <w:t>skorygowane czasowo dane dotyczące produkcji tytoniu do samodzielnego skręcania papierosów).</w:t>
      </w:r>
    </w:p>
    <w:p w14:paraId="6B8AD91B" w14:textId="0882FE46" w:rsidR="003E4B41" w:rsidRPr="001D4003" w:rsidRDefault="00002017" w:rsidP="00841A93">
      <w:pPr>
        <w:jc w:val="both"/>
        <w:rPr>
          <w:rFonts w:ascii="Times New Roman" w:hAnsi="Times New Roman" w:cs="Times New Roman"/>
          <w:noProof/>
          <w:sz w:val="24"/>
          <w:szCs w:val="24"/>
        </w:rPr>
      </w:pPr>
      <w:r>
        <w:rPr>
          <w:rFonts w:ascii="Times New Roman" w:hAnsi="Times New Roman"/>
          <w:noProof/>
          <w:sz w:val="24"/>
          <w:szCs w:val="24"/>
        </w:rPr>
        <w:t>Ponieważ</w:t>
      </w:r>
      <w:r w:rsidR="00900986">
        <w:rPr>
          <w:rFonts w:ascii="Times New Roman" w:hAnsi="Times New Roman"/>
          <w:noProof/>
          <w:sz w:val="24"/>
          <w:szCs w:val="24"/>
        </w:rPr>
        <w:t xml:space="preserve"> w dyr</w:t>
      </w:r>
      <w:r>
        <w:rPr>
          <w:rFonts w:ascii="Times New Roman" w:hAnsi="Times New Roman"/>
          <w:noProof/>
          <w:sz w:val="24"/>
          <w:szCs w:val="24"/>
        </w:rPr>
        <w:t xml:space="preserve">ektywie odroczono możliwość identyfikowania innych kategorii wyrobów tytoniowych </w:t>
      </w:r>
      <w:r w:rsidRPr="00900986">
        <w:rPr>
          <w:rFonts w:ascii="Times New Roman" w:hAnsi="Times New Roman"/>
          <w:noProof/>
          <w:sz w:val="24"/>
          <w:szCs w:val="24"/>
        </w:rPr>
        <w:t>do</w:t>
      </w:r>
      <w:r w:rsidR="00900986" w:rsidRPr="00900986">
        <w:rPr>
          <w:rFonts w:ascii="Times New Roman" w:hAnsi="Times New Roman"/>
          <w:noProof/>
          <w:sz w:val="24"/>
          <w:szCs w:val="24"/>
        </w:rPr>
        <w:t> </w:t>
      </w:r>
      <w:r w:rsidRPr="00900986">
        <w:rPr>
          <w:rFonts w:ascii="Times New Roman" w:hAnsi="Times New Roman"/>
          <w:noProof/>
          <w:sz w:val="24"/>
          <w:szCs w:val="24"/>
        </w:rPr>
        <w:t>2</w:t>
      </w:r>
      <w:r>
        <w:rPr>
          <w:rFonts w:ascii="Times New Roman" w:hAnsi="Times New Roman"/>
          <w:noProof/>
          <w:sz w:val="24"/>
          <w:szCs w:val="24"/>
        </w:rPr>
        <w:t>0</w:t>
      </w:r>
      <w:r w:rsidRPr="00900986">
        <w:rPr>
          <w:rFonts w:ascii="Times New Roman" w:hAnsi="Times New Roman"/>
          <w:noProof/>
          <w:sz w:val="24"/>
          <w:szCs w:val="24"/>
        </w:rPr>
        <w:t>24</w:t>
      </w:r>
      <w:r w:rsidR="00900986" w:rsidRPr="00900986">
        <w:rPr>
          <w:rFonts w:ascii="Times New Roman" w:hAnsi="Times New Roman"/>
          <w:noProof/>
          <w:sz w:val="24"/>
          <w:szCs w:val="24"/>
        </w:rPr>
        <w:t> </w:t>
      </w:r>
      <w:r w:rsidRPr="00900986">
        <w:rPr>
          <w:rFonts w:ascii="Times New Roman" w:hAnsi="Times New Roman"/>
          <w:noProof/>
          <w:sz w:val="24"/>
          <w:szCs w:val="24"/>
        </w:rPr>
        <w:t>r.</w:t>
      </w:r>
      <w:r>
        <w:rPr>
          <w:rFonts w:ascii="Times New Roman" w:hAnsi="Times New Roman"/>
          <w:noProof/>
          <w:sz w:val="24"/>
          <w:szCs w:val="24"/>
        </w:rPr>
        <w:t>,</w:t>
      </w:r>
      <w:r w:rsidR="00900986">
        <w:rPr>
          <w:rFonts w:ascii="Times New Roman" w:hAnsi="Times New Roman"/>
          <w:noProof/>
          <w:sz w:val="24"/>
          <w:szCs w:val="24"/>
        </w:rPr>
        <w:t xml:space="preserve"> w tab</w:t>
      </w:r>
      <w:r>
        <w:rPr>
          <w:rFonts w:ascii="Times New Roman" w:hAnsi="Times New Roman"/>
          <w:noProof/>
          <w:sz w:val="24"/>
          <w:szCs w:val="24"/>
        </w:rPr>
        <w:t>eli 5 połączono dane</w:t>
      </w:r>
      <w:r w:rsidR="00900986">
        <w:rPr>
          <w:rFonts w:ascii="Times New Roman" w:hAnsi="Times New Roman"/>
          <w:noProof/>
          <w:sz w:val="24"/>
          <w:szCs w:val="24"/>
        </w:rPr>
        <w:t xml:space="preserve"> z sys</w:t>
      </w:r>
      <w:r>
        <w:rPr>
          <w:rFonts w:ascii="Times New Roman" w:hAnsi="Times New Roman"/>
          <w:noProof/>
          <w:sz w:val="24"/>
          <w:szCs w:val="24"/>
        </w:rPr>
        <w:t>temu identyfikowalności wyrobów tytoniowych uzyskane</w:t>
      </w:r>
      <w:r w:rsidR="00900986">
        <w:rPr>
          <w:rFonts w:ascii="Times New Roman" w:hAnsi="Times New Roman"/>
          <w:noProof/>
          <w:sz w:val="24"/>
          <w:szCs w:val="24"/>
        </w:rPr>
        <w:t xml:space="preserve"> w odn</w:t>
      </w:r>
      <w:r>
        <w:rPr>
          <w:rFonts w:ascii="Times New Roman" w:hAnsi="Times New Roman"/>
          <w:noProof/>
          <w:sz w:val="24"/>
          <w:szCs w:val="24"/>
        </w:rPr>
        <w:t>iesieniu do papierosów</w:t>
      </w:r>
      <w:r w:rsidR="00900986">
        <w:rPr>
          <w:rFonts w:ascii="Times New Roman" w:hAnsi="Times New Roman"/>
          <w:noProof/>
          <w:sz w:val="24"/>
          <w:szCs w:val="24"/>
        </w:rPr>
        <w:t xml:space="preserve"> i tyt</w:t>
      </w:r>
      <w:r>
        <w:rPr>
          <w:rFonts w:ascii="Times New Roman" w:hAnsi="Times New Roman"/>
          <w:noProof/>
          <w:sz w:val="24"/>
          <w:szCs w:val="24"/>
        </w:rPr>
        <w:t>oniu do samodzielnego skręcania papierosów</w:t>
      </w:r>
      <w:r w:rsidR="00900986">
        <w:rPr>
          <w:rFonts w:ascii="Times New Roman" w:hAnsi="Times New Roman"/>
          <w:noProof/>
          <w:sz w:val="24"/>
          <w:szCs w:val="24"/>
        </w:rPr>
        <w:t xml:space="preserve"> z odp</w:t>
      </w:r>
      <w:r>
        <w:rPr>
          <w:rFonts w:ascii="Times New Roman" w:hAnsi="Times New Roman"/>
          <w:noProof/>
          <w:sz w:val="24"/>
          <w:szCs w:val="24"/>
        </w:rPr>
        <w:t xml:space="preserve">owiednimi danymi Euromonitora odnoszącymi się do innych kategorii wyrobów tytoniowych: </w:t>
      </w:r>
    </w:p>
    <w:p w14:paraId="7BAA4BAD" w14:textId="3FEA0587" w:rsidR="00841A93" w:rsidRPr="00C20E5F" w:rsidRDefault="00841A93" w:rsidP="00C20E5F">
      <w:pPr>
        <w:jc w:val="center"/>
        <w:rPr>
          <w:rFonts w:ascii="Times New Roman" w:hAnsi="Times New Roman" w:cs="Times New Roman"/>
          <w:i/>
          <w:noProof/>
          <w:sz w:val="24"/>
          <w:szCs w:val="24"/>
        </w:rPr>
      </w:pPr>
      <w:r>
        <w:rPr>
          <w:rFonts w:ascii="Times New Roman" w:hAnsi="Times New Roman"/>
          <w:i/>
          <w:noProof/>
          <w:sz w:val="24"/>
          <w:szCs w:val="24"/>
        </w:rPr>
        <w:t>Tabela 5: Całkowita sprzedaż wyrobów tytoniowych (w 20</w:t>
      </w:r>
      <w:r w:rsidRPr="00900986">
        <w:rPr>
          <w:rFonts w:ascii="Times New Roman" w:hAnsi="Times New Roman"/>
          <w:i/>
          <w:noProof/>
          <w:sz w:val="24"/>
          <w:szCs w:val="24"/>
        </w:rPr>
        <w:t>20</w:t>
      </w:r>
      <w:r w:rsidR="00900986" w:rsidRPr="00900986">
        <w:rPr>
          <w:rFonts w:ascii="Times New Roman" w:hAnsi="Times New Roman"/>
          <w:i/>
          <w:noProof/>
          <w:sz w:val="24"/>
          <w:szCs w:val="24"/>
        </w:rPr>
        <w:t> </w:t>
      </w:r>
      <w:r w:rsidRPr="00900986">
        <w:rPr>
          <w:rFonts w:ascii="Times New Roman" w:hAnsi="Times New Roman"/>
          <w:i/>
          <w:noProof/>
          <w:sz w:val="24"/>
          <w:szCs w:val="24"/>
        </w:rPr>
        <w:t>r.</w:t>
      </w:r>
      <w:r>
        <w:rPr>
          <w:rFonts w:ascii="Times New Roman" w:hAnsi="Times New Roman"/>
          <w:i/>
          <w:noProof/>
          <w:sz w:val="24"/>
          <w:szCs w:val="24"/>
        </w:rPr>
        <w:t>)</w:t>
      </w:r>
    </w:p>
    <w:tbl>
      <w:tblPr>
        <w:tblStyle w:val="PlainTable1"/>
        <w:tblpPr w:leftFromText="180" w:rightFromText="180" w:vertAnchor="text" w:tblpY="1"/>
        <w:tblOverlap w:val="never"/>
        <w:tblW w:w="0" w:type="auto"/>
        <w:tblLook w:val="04A0" w:firstRow="1" w:lastRow="0" w:firstColumn="1" w:lastColumn="0" w:noHBand="0" w:noVBand="1"/>
      </w:tblPr>
      <w:tblGrid>
        <w:gridCol w:w="1279"/>
        <w:gridCol w:w="1457"/>
        <w:gridCol w:w="1279"/>
        <w:gridCol w:w="1279"/>
        <w:gridCol w:w="1168"/>
        <w:gridCol w:w="1233"/>
        <w:gridCol w:w="1547"/>
      </w:tblGrid>
      <w:tr w:rsidR="003E4B41" w:rsidRPr="00C20E5F" w14:paraId="528B67A3" w14:textId="77777777" w:rsidTr="00F33543">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276" w:type="dxa"/>
            <w:gridSpan w:val="2"/>
            <w:noWrap/>
            <w:hideMark/>
          </w:tcPr>
          <w:p w14:paraId="48B7DB04" w14:textId="4332142D" w:rsidR="003E4B41" w:rsidRPr="00C20E5F" w:rsidRDefault="003E4B41"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Dane</w:t>
            </w:r>
            <w:r w:rsidR="00900986">
              <w:rPr>
                <w:rFonts w:ascii="Times New Roman" w:hAnsi="Times New Roman"/>
                <w:noProof/>
                <w:color w:val="000000"/>
                <w:sz w:val="24"/>
                <w:szCs w:val="24"/>
              </w:rPr>
              <w:t xml:space="preserve"> z sys</w:t>
            </w:r>
            <w:r>
              <w:rPr>
                <w:rFonts w:ascii="Times New Roman" w:hAnsi="Times New Roman"/>
                <w:noProof/>
                <w:color w:val="000000"/>
                <w:sz w:val="24"/>
                <w:szCs w:val="24"/>
              </w:rPr>
              <w:t>temu identyfikowalności wyrobów tytoniowych</w:t>
            </w:r>
          </w:p>
        </w:tc>
        <w:tc>
          <w:tcPr>
            <w:tcW w:w="3353" w:type="dxa"/>
            <w:gridSpan w:val="3"/>
            <w:noWrap/>
            <w:hideMark/>
          </w:tcPr>
          <w:p w14:paraId="505A0C2F" w14:textId="59BDE971" w:rsidR="003E4B41" w:rsidRPr="00C20E5F" w:rsidRDefault="003E4B41"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Dane Euromonitora</w:t>
            </w:r>
          </w:p>
        </w:tc>
        <w:tc>
          <w:tcPr>
            <w:tcW w:w="1280" w:type="dxa"/>
          </w:tcPr>
          <w:p w14:paraId="299237D9" w14:textId="77777777" w:rsidR="003E4B41" w:rsidRPr="00C20E5F" w:rsidRDefault="003E4B41"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Dostosowanie</w:t>
            </w:r>
          </w:p>
        </w:tc>
        <w:tc>
          <w:tcPr>
            <w:tcW w:w="2122" w:type="dxa"/>
            <w:noWrap/>
            <w:hideMark/>
          </w:tcPr>
          <w:p w14:paraId="54E439D4" w14:textId="695CB7C6" w:rsidR="003E4B41" w:rsidRPr="00C20E5F" w:rsidRDefault="00CA4932" w:rsidP="0060018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Dane</w:t>
            </w:r>
            <w:r w:rsidR="00900986">
              <w:rPr>
                <w:rFonts w:ascii="Times New Roman" w:hAnsi="Times New Roman"/>
                <w:noProof/>
                <w:color w:val="000000"/>
                <w:sz w:val="24"/>
                <w:szCs w:val="24"/>
              </w:rPr>
              <w:t xml:space="preserve"> z sys</w:t>
            </w:r>
            <w:r>
              <w:rPr>
                <w:rFonts w:ascii="Times New Roman" w:hAnsi="Times New Roman"/>
                <w:noProof/>
                <w:color w:val="000000"/>
                <w:sz w:val="24"/>
                <w:szCs w:val="24"/>
              </w:rPr>
              <w:t>temu identyfikowalności wyrobów tytoniowych + dane Euromonitora</w:t>
            </w:r>
          </w:p>
        </w:tc>
      </w:tr>
      <w:tr w:rsidR="003E4B41" w:rsidRPr="00C20E5F" w14:paraId="645D5ED6" w14:textId="77777777" w:rsidTr="00F335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269" w:type="dxa"/>
            <w:hideMark/>
          </w:tcPr>
          <w:p w14:paraId="4913A817" w14:textId="77777777" w:rsidR="003E4B41" w:rsidRPr="00C20E5F" w:rsidRDefault="003E4B41" w:rsidP="0060018F">
            <w:pPr>
              <w:rPr>
                <w:rFonts w:ascii="Times New Roman" w:eastAsia="Times New Roman" w:hAnsi="Times New Roman" w:cs="Times New Roman"/>
                <w:noProof/>
                <w:color w:val="363636"/>
                <w:sz w:val="24"/>
                <w:szCs w:val="24"/>
              </w:rPr>
            </w:pPr>
            <w:r>
              <w:rPr>
                <w:rFonts w:ascii="Times New Roman" w:hAnsi="Times New Roman"/>
                <w:noProof/>
                <w:color w:val="363636"/>
                <w:sz w:val="24"/>
                <w:szCs w:val="24"/>
              </w:rPr>
              <w:t>Papierosy</w:t>
            </w:r>
          </w:p>
          <w:p w14:paraId="122445F6" w14:textId="77777777" w:rsidR="003E4B41" w:rsidRPr="00C20E5F" w:rsidRDefault="003E4B41" w:rsidP="0060018F">
            <w:pPr>
              <w:rPr>
                <w:rFonts w:ascii="Times New Roman" w:eastAsia="Times New Roman" w:hAnsi="Times New Roman" w:cs="Times New Roman"/>
                <w:b w:val="0"/>
                <w:noProof/>
                <w:color w:val="363636"/>
                <w:sz w:val="24"/>
                <w:szCs w:val="24"/>
              </w:rPr>
            </w:pPr>
            <w:r>
              <w:rPr>
                <w:rFonts w:ascii="Times New Roman" w:hAnsi="Times New Roman"/>
                <w:b w:val="0"/>
                <w:noProof/>
                <w:color w:val="363636"/>
                <w:sz w:val="24"/>
                <w:szCs w:val="24"/>
              </w:rPr>
              <w:t>(mln opakowań jednostkowych)</w:t>
            </w:r>
          </w:p>
        </w:tc>
        <w:tc>
          <w:tcPr>
            <w:tcW w:w="2007" w:type="dxa"/>
            <w:hideMark/>
          </w:tcPr>
          <w:p w14:paraId="598EFAE8" w14:textId="6B0D1169" w:rsidR="00B36348" w:rsidRPr="00C20E5F" w:rsidRDefault="00B36348"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363636"/>
                <w:sz w:val="24"/>
                <w:szCs w:val="24"/>
              </w:rPr>
            </w:pPr>
            <w:r>
              <w:rPr>
                <w:rFonts w:ascii="Times New Roman" w:hAnsi="Times New Roman"/>
                <w:b/>
                <w:noProof/>
                <w:color w:val="363636"/>
                <w:sz w:val="24"/>
                <w:szCs w:val="24"/>
              </w:rPr>
              <w:t>Tytoń do samodzielnego skręcania papierosów</w:t>
            </w:r>
            <w:r>
              <w:rPr>
                <w:rFonts w:ascii="Times New Roman" w:hAnsi="Times New Roman"/>
                <w:noProof/>
                <w:color w:val="363636"/>
                <w:sz w:val="24"/>
                <w:szCs w:val="24"/>
              </w:rPr>
              <w:t xml:space="preserve"> (1 unikalny identyfikator = 50 gramów) (równowartość mln sztuk)</w:t>
            </w:r>
          </w:p>
          <w:p w14:paraId="5D3C6A0D" w14:textId="6950314E" w:rsidR="003E4B41"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363636"/>
                <w:sz w:val="24"/>
                <w:szCs w:val="24"/>
              </w:rPr>
            </w:pPr>
          </w:p>
        </w:tc>
        <w:tc>
          <w:tcPr>
            <w:tcW w:w="990" w:type="dxa"/>
            <w:hideMark/>
          </w:tcPr>
          <w:p w14:paraId="71BD5168" w14:textId="77777777" w:rsidR="003E4B41"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4"/>
                <w:szCs w:val="24"/>
              </w:rPr>
            </w:pPr>
            <w:r>
              <w:rPr>
                <w:rFonts w:ascii="Times New Roman" w:hAnsi="Times New Roman"/>
                <w:b/>
                <w:bCs/>
                <w:noProof/>
                <w:color w:val="000000"/>
                <w:sz w:val="24"/>
                <w:szCs w:val="24"/>
              </w:rPr>
              <w:t>Cygara</w:t>
            </w:r>
            <w:r>
              <w:rPr>
                <w:noProof/>
              </w:rPr>
              <w:t xml:space="preserve"> </w:t>
            </w:r>
            <w:r>
              <w:rPr>
                <w:noProof/>
              </w:rPr>
              <w:br/>
            </w:r>
            <w:r>
              <w:rPr>
                <w:rFonts w:ascii="Times New Roman" w:hAnsi="Times New Roman"/>
                <w:bCs/>
                <w:noProof/>
                <w:color w:val="000000"/>
                <w:sz w:val="24"/>
                <w:szCs w:val="24"/>
              </w:rPr>
              <w:t>(mln opakowań jednostkowych)</w:t>
            </w:r>
          </w:p>
        </w:tc>
        <w:tc>
          <w:tcPr>
            <w:tcW w:w="1216" w:type="dxa"/>
            <w:hideMark/>
          </w:tcPr>
          <w:p w14:paraId="06E8F713" w14:textId="77777777" w:rsidR="003E4B41"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4"/>
                <w:szCs w:val="24"/>
              </w:rPr>
            </w:pPr>
            <w:r>
              <w:rPr>
                <w:rFonts w:ascii="Times New Roman" w:hAnsi="Times New Roman"/>
                <w:b/>
                <w:bCs/>
                <w:noProof/>
                <w:color w:val="000000"/>
                <w:sz w:val="24"/>
                <w:szCs w:val="24"/>
              </w:rPr>
              <w:t>Cygaretki</w:t>
            </w:r>
            <w:r>
              <w:rPr>
                <w:noProof/>
              </w:rPr>
              <w:t xml:space="preserve"> </w:t>
            </w:r>
            <w:r>
              <w:rPr>
                <w:noProof/>
              </w:rPr>
              <w:br/>
            </w:r>
            <w:r>
              <w:rPr>
                <w:rFonts w:ascii="Times New Roman" w:hAnsi="Times New Roman"/>
                <w:bCs/>
                <w:noProof/>
                <w:color w:val="000000"/>
                <w:sz w:val="24"/>
                <w:szCs w:val="24"/>
              </w:rPr>
              <w:t>(mln opakowań jednostkowych)</w:t>
            </w:r>
          </w:p>
        </w:tc>
        <w:tc>
          <w:tcPr>
            <w:tcW w:w="1147" w:type="dxa"/>
            <w:hideMark/>
          </w:tcPr>
          <w:p w14:paraId="325B43C8" w14:textId="77777777" w:rsidR="003E4B41"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noProof/>
                <w:color w:val="000000"/>
                <w:sz w:val="24"/>
                <w:szCs w:val="24"/>
              </w:rPr>
            </w:pPr>
            <w:r>
              <w:rPr>
                <w:rFonts w:ascii="Times New Roman" w:hAnsi="Times New Roman"/>
                <w:b/>
                <w:bCs/>
                <w:noProof/>
                <w:color w:val="000000"/>
                <w:sz w:val="24"/>
                <w:szCs w:val="24"/>
              </w:rPr>
              <w:t>Podgrzewane wyroby tytoniowe</w:t>
            </w:r>
            <w:r>
              <w:rPr>
                <w:noProof/>
              </w:rPr>
              <w:t xml:space="preserve"> </w:t>
            </w:r>
            <w:r>
              <w:rPr>
                <w:noProof/>
              </w:rPr>
              <w:br/>
            </w:r>
            <w:r>
              <w:rPr>
                <w:rFonts w:ascii="Times New Roman" w:hAnsi="Times New Roman"/>
                <w:bCs/>
                <w:noProof/>
                <w:color w:val="000000"/>
                <w:sz w:val="24"/>
                <w:szCs w:val="24"/>
              </w:rPr>
              <w:t>(mln sztuk)</w:t>
            </w:r>
          </w:p>
        </w:tc>
        <w:tc>
          <w:tcPr>
            <w:tcW w:w="1280" w:type="dxa"/>
          </w:tcPr>
          <w:p w14:paraId="72442C1D" w14:textId="091B5594" w:rsidR="003E4B41"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b/>
                <w:noProof/>
                <w:color w:val="000000"/>
                <w:sz w:val="24"/>
                <w:szCs w:val="24"/>
              </w:rPr>
              <w:t>Tytoń fajkowy</w:t>
            </w:r>
            <w:r w:rsidR="00900986">
              <w:rPr>
                <w:rFonts w:ascii="Times New Roman" w:hAnsi="Times New Roman"/>
                <w:b/>
                <w:noProof/>
                <w:color w:val="000000"/>
                <w:sz w:val="24"/>
                <w:szCs w:val="24"/>
              </w:rPr>
              <w:t xml:space="preserve"> i tyt</w:t>
            </w:r>
            <w:r>
              <w:rPr>
                <w:rFonts w:ascii="Times New Roman" w:hAnsi="Times New Roman"/>
                <w:b/>
                <w:noProof/>
                <w:color w:val="000000"/>
                <w:sz w:val="24"/>
                <w:szCs w:val="24"/>
              </w:rPr>
              <w:t>oń do żucia*</w:t>
            </w:r>
            <w:r>
              <w:rPr>
                <w:rFonts w:ascii="Times New Roman" w:hAnsi="Times New Roman"/>
                <w:noProof/>
                <w:color w:val="000000"/>
                <w:sz w:val="24"/>
                <w:szCs w:val="24"/>
              </w:rPr>
              <w:t xml:space="preserve"> (dostosowanie)</w:t>
            </w:r>
          </w:p>
        </w:tc>
        <w:tc>
          <w:tcPr>
            <w:tcW w:w="2122" w:type="dxa"/>
            <w:hideMark/>
          </w:tcPr>
          <w:p w14:paraId="26A4DA4D" w14:textId="10035B06" w:rsidR="00984BAF" w:rsidRPr="00C20E5F" w:rsidRDefault="003E4B41"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b/>
                <w:noProof/>
                <w:color w:val="000000"/>
                <w:sz w:val="24"/>
                <w:szCs w:val="24"/>
              </w:rPr>
              <w:t>W</w:t>
            </w:r>
            <w:r w:rsidR="00F33543">
              <w:rPr>
                <w:rFonts w:ascii="Times New Roman" w:hAnsi="Times New Roman"/>
                <w:b/>
                <w:noProof/>
                <w:color w:val="000000"/>
                <w:sz w:val="24"/>
                <w:szCs w:val="24"/>
              </w:rPr>
              <w:t>szystkie wyroby</w:t>
            </w:r>
            <w:r>
              <w:rPr>
                <w:noProof/>
              </w:rPr>
              <w:t xml:space="preserve"> </w:t>
            </w:r>
            <w:r>
              <w:rPr>
                <w:noProof/>
              </w:rPr>
              <w:br/>
            </w:r>
            <w:r>
              <w:rPr>
                <w:rFonts w:ascii="Times New Roman" w:hAnsi="Times New Roman"/>
                <w:b/>
                <w:noProof/>
                <w:color w:val="000000"/>
                <w:sz w:val="24"/>
                <w:szCs w:val="24"/>
              </w:rPr>
              <w:t>tytoniowe</w:t>
            </w:r>
            <w:r>
              <w:rPr>
                <w:rFonts w:ascii="Times New Roman" w:hAnsi="Times New Roman"/>
                <w:noProof/>
                <w:color w:val="000000"/>
                <w:sz w:val="24"/>
                <w:szCs w:val="24"/>
              </w:rPr>
              <w:t xml:space="preserve"> </w:t>
            </w:r>
          </w:p>
          <w:p w14:paraId="3C5D5A48" w14:textId="224405F2" w:rsidR="003E4B41" w:rsidRPr="00C20E5F" w:rsidRDefault="001C0CAF" w:rsidP="006001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(w równowartości mln sztuk)</w:t>
            </w:r>
          </w:p>
        </w:tc>
      </w:tr>
      <w:tr w:rsidR="00B36348" w:rsidRPr="00C20E5F" w14:paraId="172C30EC" w14:textId="77777777" w:rsidTr="00F33543">
        <w:trPr>
          <w:trHeight w:val="339"/>
        </w:trPr>
        <w:tc>
          <w:tcPr>
            <w:cnfStyle w:val="001000000000" w:firstRow="0" w:lastRow="0" w:firstColumn="1" w:lastColumn="0" w:oddVBand="0" w:evenVBand="0" w:oddHBand="0" w:evenHBand="0" w:firstRowFirstColumn="0" w:firstRowLastColumn="0" w:lastRowFirstColumn="0" w:lastRowLastColumn="0"/>
            <w:tcW w:w="1269" w:type="dxa"/>
            <w:noWrap/>
            <w:hideMark/>
          </w:tcPr>
          <w:p w14:paraId="6D0C1A0C" w14:textId="2BB6F433" w:rsidR="003E4B41" w:rsidRPr="00C20E5F" w:rsidRDefault="00A77BE0" w:rsidP="001F07EF">
            <w:pPr>
              <w:rPr>
                <w:rFonts w:ascii="Times New Roman" w:hAnsi="Times New Roman" w:cs="Times New Roman"/>
                <w:b w:val="0"/>
                <w:bCs w:val="0"/>
                <w:noProof/>
                <w:color w:val="000000"/>
                <w:sz w:val="24"/>
                <w:szCs w:val="24"/>
              </w:rPr>
            </w:pPr>
            <w:r>
              <w:rPr>
                <w:rFonts w:ascii="Times New Roman" w:hAnsi="Times New Roman"/>
                <w:b w:val="0"/>
                <w:noProof/>
                <w:color w:val="000000"/>
                <w:sz w:val="24"/>
                <w:szCs w:val="24"/>
              </w:rPr>
              <w:t>436 123</w:t>
            </w:r>
          </w:p>
        </w:tc>
        <w:tc>
          <w:tcPr>
            <w:tcW w:w="2007" w:type="dxa"/>
            <w:noWrap/>
            <w:hideMark/>
          </w:tcPr>
          <w:p w14:paraId="04502431" w14:textId="68A49625" w:rsidR="003E4B41" w:rsidRPr="00C20E5F" w:rsidRDefault="00A77BE0" w:rsidP="001F07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122 341</w:t>
            </w:r>
          </w:p>
        </w:tc>
        <w:tc>
          <w:tcPr>
            <w:tcW w:w="990" w:type="dxa"/>
            <w:noWrap/>
            <w:hideMark/>
          </w:tcPr>
          <w:p w14:paraId="11891996" w14:textId="76404925" w:rsidR="003E4B41" w:rsidRPr="00C20E5F" w:rsidRDefault="00A77BE0" w:rsidP="001F07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1 006</w:t>
            </w:r>
          </w:p>
        </w:tc>
        <w:tc>
          <w:tcPr>
            <w:tcW w:w="1216" w:type="dxa"/>
            <w:noWrap/>
            <w:hideMark/>
          </w:tcPr>
          <w:p w14:paraId="53A7424B" w14:textId="2AD8B52A" w:rsidR="003E4B41" w:rsidRPr="00C20E5F" w:rsidRDefault="00A77BE0" w:rsidP="001F07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8 459</w:t>
            </w:r>
          </w:p>
        </w:tc>
        <w:tc>
          <w:tcPr>
            <w:tcW w:w="1147" w:type="dxa"/>
            <w:noWrap/>
            <w:hideMark/>
          </w:tcPr>
          <w:p w14:paraId="52A716EE" w14:textId="06AB3514" w:rsidR="003E4B41" w:rsidRPr="00C20E5F" w:rsidRDefault="00A77BE0" w:rsidP="005803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20 766</w:t>
            </w:r>
          </w:p>
        </w:tc>
        <w:tc>
          <w:tcPr>
            <w:tcW w:w="1280" w:type="dxa"/>
          </w:tcPr>
          <w:p w14:paraId="6F278093" w14:textId="496882B7" w:rsidR="003E4B41" w:rsidRPr="00C20E5F" w:rsidRDefault="001F07EF" w:rsidP="001F07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4"/>
                <w:szCs w:val="24"/>
              </w:rPr>
            </w:pPr>
            <w:r>
              <w:rPr>
                <w:rFonts w:ascii="Times New Roman" w:hAnsi="Times New Roman"/>
                <w:bCs/>
                <w:noProof/>
                <w:color w:val="000000"/>
                <w:sz w:val="24"/>
                <w:szCs w:val="24"/>
              </w:rPr>
              <w:t>4 210</w:t>
            </w:r>
          </w:p>
        </w:tc>
        <w:tc>
          <w:tcPr>
            <w:tcW w:w="2122" w:type="dxa"/>
            <w:noWrap/>
            <w:hideMark/>
          </w:tcPr>
          <w:p w14:paraId="597C789E" w14:textId="5B9FD7C2" w:rsidR="003E4B41" w:rsidRPr="00C20E5F" w:rsidRDefault="00A77BE0" w:rsidP="001F07E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592 904</w:t>
            </w:r>
          </w:p>
        </w:tc>
      </w:tr>
    </w:tbl>
    <w:p w14:paraId="0F9507E4" w14:textId="21942723" w:rsidR="00DD2113" w:rsidRPr="00C20E5F" w:rsidRDefault="001C2ABD" w:rsidP="00CA4932">
      <w:pPr>
        <w:spacing w:after="0"/>
        <w:jc w:val="both"/>
        <w:rPr>
          <w:rFonts w:ascii="Times New Roman" w:eastAsia="Times New Roman" w:hAnsi="Times New Roman" w:cs="Times New Roman"/>
          <w:bCs/>
          <w:noProof/>
          <w:color w:val="000000"/>
          <w:sz w:val="20"/>
          <w:szCs w:val="20"/>
        </w:rPr>
      </w:pPr>
      <w:r>
        <w:rPr>
          <w:rFonts w:ascii="Times New Roman" w:hAnsi="Times New Roman"/>
          <w:bCs/>
          <w:noProof/>
          <w:color w:val="000000"/>
          <w:sz w:val="20"/>
          <w:szCs w:val="20"/>
        </w:rPr>
        <w:t>* Ze względu na fakt, że wielkości sprzedaży tytoniu fajkowego i do żucia nie można określić ilościowo</w:t>
      </w:r>
      <w:r w:rsidR="00900986">
        <w:rPr>
          <w:rFonts w:ascii="Times New Roman" w:hAnsi="Times New Roman"/>
          <w:bCs/>
          <w:noProof/>
          <w:color w:val="000000"/>
          <w:sz w:val="20"/>
          <w:szCs w:val="20"/>
        </w:rPr>
        <w:t xml:space="preserve"> w szt</w:t>
      </w:r>
      <w:r>
        <w:rPr>
          <w:rFonts w:ascii="Times New Roman" w:hAnsi="Times New Roman"/>
          <w:bCs/>
          <w:noProof/>
          <w:color w:val="000000"/>
          <w:sz w:val="20"/>
          <w:szCs w:val="20"/>
        </w:rPr>
        <w:t>ukach,</w:t>
      </w:r>
      <w:r w:rsidR="00900986">
        <w:rPr>
          <w:rFonts w:ascii="Times New Roman" w:hAnsi="Times New Roman"/>
          <w:bCs/>
          <w:noProof/>
          <w:color w:val="000000"/>
          <w:sz w:val="20"/>
          <w:szCs w:val="20"/>
        </w:rPr>
        <w:t xml:space="preserve"> w ana</w:t>
      </w:r>
      <w:r>
        <w:rPr>
          <w:rFonts w:ascii="Times New Roman" w:hAnsi="Times New Roman"/>
          <w:bCs/>
          <w:noProof/>
          <w:color w:val="000000"/>
          <w:sz w:val="20"/>
          <w:szCs w:val="20"/>
        </w:rPr>
        <w:t>lizie dostosowano całkowitą wielkość sprzedaży wyrobów tytoniowych, dodając odpowiedni udział wartości rynku UE-27, który</w:t>
      </w:r>
      <w:r w:rsidR="00900986">
        <w:rPr>
          <w:rFonts w:ascii="Times New Roman" w:hAnsi="Times New Roman"/>
          <w:bCs/>
          <w:noProof/>
          <w:color w:val="000000"/>
          <w:sz w:val="20"/>
          <w:szCs w:val="20"/>
        </w:rPr>
        <w:t xml:space="preserve"> w 2</w:t>
      </w:r>
      <w:r>
        <w:rPr>
          <w:rFonts w:ascii="Times New Roman" w:hAnsi="Times New Roman"/>
          <w:bCs/>
          <w:noProof/>
          <w:color w:val="000000"/>
          <w:sz w:val="20"/>
          <w:szCs w:val="20"/>
        </w:rPr>
        <w:t>0</w:t>
      </w:r>
      <w:r w:rsidRPr="00900986">
        <w:rPr>
          <w:rFonts w:ascii="Times New Roman" w:hAnsi="Times New Roman"/>
          <w:bCs/>
          <w:noProof/>
          <w:color w:val="000000"/>
          <w:sz w:val="20"/>
          <w:szCs w:val="20"/>
        </w:rPr>
        <w:t>20</w:t>
      </w:r>
      <w:r w:rsidR="00900986" w:rsidRPr="00900986">
        <w:rPr>
          <w:rFonts w:ascii="Times New Roman" w:hAnsi="Times New Roman"/>
          <w:bCs/>
          <w:noProof/>
          <w:color w:val="000000"/>
          <w:sz w:val="20"/>
          <w:szCs w:val="20"/>
        </w:rPr>
        <w:t> </w:t>
      </w:r>
      <w:r w:rsidRPr="00900986">
        <w:rPr>
          <w:rFonts w:ascii="Times New Roman" w:hAnsi="Times New Roman"/>
          <w:bCs/>
          <w:noProof/>
          <w:color w:val="000000"/>
          <w:sz w:val="20"/>
          <w:szCs w:val="20"/>
        </w:rPr>
        <w:t>r.</w:t>
      </w:r>
      <w:r>
        <w:rPr>
          <w:rFonts w:ascii="Times New Roman" w:hAnsi="Times New Roman"/>
          <w:bCs/>
          <w:noProof/>
          <w:color w:val="000000"/>
          <w:sz w:val="20"/>
          <w:szCs w:val="20"/>
        </w:rPr>
        <w:t xml:space="preserve"> wyniósł 0,7</w:t>
      </w:r>
      <w:r w:rsidRPr="00900986">
        <w:rPr>
          <w:rFonts w:ascii="Times New Roman" w:hAnsi="Times New Roman"/>
          <w:bCs/>
          <w:noProof/>
          <w:color w:val="000000"/>
          <w:sz w:val="20"/>
          <w:szCs w:val="20"/>
        </w:rPr>
        <w:t>1</w:t>
      </w:r>
      <w:r w:rsidR="00900986" w:rsidRPr="00900986">
        <w:rPr>
          <w:rFonts w:ascii="Times New Roman" w:hAnsi="Times New Roman"/>
          <w:bCs/>
          <w:noProof/>
          <w:color w:val="000000"/>
          <w:sz w:val="20"/>
          <w:szCs w:val="20"/>
        </w:rPr>
        <w:t> </w:t>
      </w:r>
      <w:r w:rsidRPr="00900986">
        <w:rPr>
          <w:rFonts w:ascii="Times New Roman" w:hAnsi="Times New Roman"/>
          <w:bCs/>
          <w:noProof/>
          <w:color w:val="000000"/>
          <w:sz w:val="20"/>
          <w:szCs w:val="20"/>
        </w:rPr>
        <w:t>%</w:t>
      </w:r>
      <w:r>
        <w:rPr>
          <w:rFonts w:ascii="Times New Roman" w:hAnsi="Times New Roman"/>
          <w:bCs/>
          <w:noProof/>
          <w:color w:val="000000"/>
          <w:sz w:val="20"/>
          <w:szCs w:val="20"/>
        </w:rPr>
        <w:t xml:space="preserve"> (co odpowiada równowartości 592 904 * 0,7</w:t>
      </w:r>
      <w:r w:rsidRPr="00900986">
        <w:rPr>
          <w:rFonts w:ascii="Times New Roman" w:hAnsi="Times New Roman"/>
          <w:bCs/>
          <w:noProof/>
          <w:color w:val="000000"/>
          <w:sz w:val="20"/>
          <w:szCs w:val="20"/>
        </w:rPr>
        <w:t>1</w:t>
      </w:r>
      <w:r w:rsidR="00900986" w:rsidRPr="00900986">
        <w:rPr>
          <w:rFonts w:ascii="Times New Roman" w:hAnsi="Times New Roman"/>
          <w:bCs/>
          <w:noProof/>
          <w:color w:val="000000"/>
          <w:sz w:val="20"/>
          <w:szCs w:val="20"/>
        </w:rPr>
        <w:t> </w:t>
      </w:r>
      <w:r w:rsidRPr="00900986">
        <w:rPr>
          <w:rFonts w:ascii="Times New Roman" w:hAnsi="Times New Roman"/>
          <w:bCs/>
          <w:noProof/>
          <w:color w:val="000000"/>
          <w:sz w:val="20"/>
          <w:szCs w:val="20"/>
        </w:rPr>
        <w:t>%</w:t>
      </w:r>
      <w:r>
        <w:rPr>
          <w:rFonts w:ascii="Times New Roman" w:hAnsi="Times New Roman"/>
          <w:bCs/>
          <w:noProof/>
          <w:color w:val="000000"/>
          <w:sz w:val="20"/>
          <w:szCs w:val="20"/>
        </w:rPr>
        <w:t xml:space="preserve"> = 4 210 mln sztuk).</w:t>
      </w:r>
    </w:p>
    <w:p w14:paraId="44C18CDA" w14:textId="37BAE2D6" w:rsidR="00B36348" w:rsidRPr="00C20E5F" w:rsidRDefault="00DD2113" w:rsidP="00CA4932">
      <w:pPr>
        <w:spacing w:after="0"/>
        <w:jc w:val="both"/>
        <w:rPr>
          <w:rFonts w:ascii="Times New Roman" w:eastAsia="Times New Roman" w:hAnsi="Times New Roman" w:cs="Times New Roman"/>
          <w:bCs/>
          <w:noProof/>
          <w:color w:val="000000"/>
          <w:sz w:val="20"/>
          <w:szCs w:val="20"/>
        </w:rPr>
      </w:pPr>
      <w:r>
        <w:rPr>
          <w:rFonts w:ascii="Times New Roman" w:hAnsi="Times New Roman"/>
          <w:bCs/>
          <w:noProof/>
          <w:color w:val="000000"/>
          <w:sz w:val="20"/>
          <w:szCs w:val="20"/>
        </w:rPr>
        <w:t xml:space="preserve">Źródło: </w:t>
      </w:r>
      <w:r>
        <w:rPr>
          <w:rFonts w:ascii="Times New Roman" w:hAnsi="Times New Roman"/>
          <w:noProof/>
          <w:sz w:val="20"/>
          <w:szCs w:val="20"/>
        </w:rPr>
        <w:t>Unijny system identyfikowalności wyrobów tytoniowych, Euromonitor International Passport Tobacco 2021.</w:t>
      </w:r>
    </w:p>
    <w:p w14:paraId="6C0F3086" w14:textId="73BAF2E8" w:rsidR="00ED7A95" w:rsidRPr="001D4003" w:rsidRDefault="00264728" w:rsidP="00EA7F75">
      <w:pPr>
        <w:pStyle w:val="Heading1NoNumb"/>
        <w:jc w:val="both"/>
        <w:rPr>
          <w:rFonts w:ascii="Times New Roman" w:eastAsia="ArialMT" w:hAnsi="Times New Roman" w:cs="Times New Roman"/>
          <w:b w:val="0"/>
          <w:noProof/>
          <w:szCs w:val="24"/>
        </w:rPr>
      </w:pPr>
      <w:r>
        <w:rPr>
          <w:rFonts w:ascii="Times New Roman" w:hAnsi="Times New Roman"/>
          <w:b w:val="0"/>
          <w:noProof/>
          <w:szCs w:val="24"/>
        </w:rPr>
        <w:t>Aby obliczyć dokładną część całkowitej sprzedaży wyrobów tytoniowych w UE, która odpowiada wielkości detalicznej sprzedaży podgrzewanych wyrobów tytoniowych,</w:t>
      </w:r>
      <w:r w:rsidR="00900986">
        <w:rPr>
          <w:rFonts w:ascii="Times New Roman" w:hAnsi="Times New Roman"/>
          <w:b w:val="0"/>
          <w:noProof/>
          <w:szCs w:val="24"/>
        </w:rPr>
        <w:t xml:space="preserve"> w ana</w:t>
      </w:r>
      <w:r>
        <w:rPr>
          <w:rFonts w:ascii="Times New Roman" w:hAnsi="Times New Roman"/>
          <w:b w:val="0"/>
          <w:noProof/>
          <w:szCs w:val="24"/>
        </w:rPr>
        <w:t>lizie jako mianownik wykorzystano najwyższą wielkość sprzedaży (tj. połączenie danych</w:t>
      </w:r>
      <w:r w:rsidR="00900986">
        <w:rPr>
          <w:rFonts w:ascii="Times New Roman" w:hAnsi="Times New Roman"/>
          <w:b w:val="0"/>
          <w:noProof/>
          <w:szCs w:val="24"/>
        </w:rPr>
        <w:t xml:space="preserve"> z sys</w:t>
      </w:r>
      <w:r>
        <w:rPr>
          <w:rFonts w:ascii="Times New Roman" w:hAnsi="Times New Roman"/>
          <w:b w:val="0"/>
          <w:noProof/>
          <w:szCs w:val="24"/>
        </w:rPr>
        <w:t>temu identyfikowalności wyrobów tytoniowych</w:t>
      </w:r>
      <w:r w:rsidR="00900986">
        <w:rPr>
          <w:rFonts w:ascii="Times New Roman" w:hAnsi="Times New Roman"/>
          <w:b w:val="0"/>
          <w:noProof/>
          <w:szCs w:val="24"/>
        </w:rPr>
        <w:t xml:space="preserve"> i dan</w:t>
      </w:r>
      <w:r>
        <w:rPr>
          <w:rFonts w:ascii="Times New Roman" w:hAnsi="Times New Roman"/>
          <w:b w:val="0"/>
          <w:noProof/>
          <w:szCs w:val="24"/>
        </w:rPr>
        <w:t>ych Euromonitora dotyczących wielkości sprzedaży).</w:t>
      </w:r>
    </w:p>
    <w:p w14:paraId="2651E595" w14:textId="16255AAE" w:rsidR="003E4B41" w:rsidRPr="001D4003" w:rsidRDefault="002E1382" w:rsidP="00B36348">
      <w:pPr>
        <w:pStyle w:val="Heading1NoNumb"/>
        <w:jc w:val="both"/>
        <w:rPr>
          <w:rFonts w:ascii="Times New Roman" w:eastAsia="ArialMT" w:hAnsi="Times New Roman" w:cs="Times New Roman"/>
          <w:noProof/>
          <w:szCs w:val="24"/>
        </w:rPr>
      </w:pPr>
      <w:r>
        <w:rPr>
          <w:rFonts w:ascii="Times New Roman" w:hAnsi="Times New Roman"/>
          <w:noProof/>
          <w:szCs w:val="24"/>
        </w:rPr>
        <w:t>2.2.3 Wielkość detalicznej sprzedaży podgrzewanych wyrobów tytoniowych</w:t>
      </w:r>
      <w:r w:rsidR="00900986">
        <w:rPr>
          <w:rFonts w:ascii="Times New Roman" w:hAnsi="Times New Roman"/>
          <w:noProof/>
          <w:szCs w:val="24"/>
        </w:rPr>
        <w:t xml:space="preserve"> w sto</w:t>
      </w:r>
      <w:r>
        <w:rPr>
          <w:rFonts w:ascii="Times New Roman" w:hAnsi="Times New Roman"/>
          <w:noProof/>
          <w:szCs w:val="24"/>
        </w:rPr>
        <w:t xml:space="preserve">sunku do całkowitej sprzedaży wyrobów tytoniowych na poziomie unijnym </w:t>
      </w:r>
    </w:p>
    <w:p w14:paraId="4256E7F7" w14:textId="598E05EC" w:rsidR="00CA4932" w:rsidRPr="001D4003" w:rsidRDefault="00CA4932" w:rsidP="003E4B41">
      <w:pPr>
        <w:jc w:val="both"/>
        <w:rPr>
          <w:rFonts w:ascii="Times New Roman" w:hAnsi="Times New Roman" w:cs="Times New Roman"/>
          <w:noProof/>
          <w:sz w:val="24"/>
          <w:szCs w:val="24"/>
        </w:rPr>
      </w:pPr>
      <w:r>
        <w:rPr>
          <w:rFonts w:ascii="Times New Roman" w:hAnsi="Times New Roman"/>
          <w:noProof/>
          <w:sz w:val="24"/>
          <w:szCs w:val="24"/>
        </w:rPr>
        <w:t>Jak wyjaśniono powyżej, aby obliczyć dokładną część całkowitej sprzedaży wyrobów tytoniowych w UE, która odpowiada wielkości detalicznej sprzedaży podgrzewanych wyrobów tytoniowych, zastosowano najniższy licznik – wielkość sprzedaży podaną w EU-CEG (</w:t>
      </w:r>
      <w:r w:rsidRPr="00900986">
        <w:rPr>
          <w:rFonts w:ascii="Times New Roman" w:hAnsi="Times New Roman"/>
          <w:noProof/>
          <w:sz w:val="24"/>
          <w:szCs w:val="24"/>
        </w:rPr>
        <w:t>tj.</w:t>
      </w:r>
      <w:r w:rsidR="00900986" w:rsidRPr="00900986">
        <w:rPr>
          <w:rFonts w:ascii="Times New Roman" w:hAnsi="Times New Roman"/>
          <w:noProof/>
          <w:sz w:val="24"/>
          <w:szCs w:val="24"/>
        </w:rPr>
        <w:t> </w:t>
      </w:r>
      <w:r w:rsidRPr="00900986">
        <w:rPr>
          <w:rFonts w:ascii="Times New Roman" w:hAnsi="Times New Roman"/>
          <w:noProof/>
          <w:sz w:val="24"/>
          <w:szCs w:val="24"/>
        </w:rPr>
        <w:t>1</w:t>
      </w:r>
      <w:r>
        <w:rPr>
          <w:rFonts w:ascii="Times New Roman" w:hAnsi="Times New Roman"/>
          <w:noProof/>
          <w:sz w:val="24"/>
          <w:szCs w:val="24"/>
        </w:rPr>
        <w:t>9 717 mln sztuk)</w:t>
      </w:r>
      <w:r w:rsidR="00900986">
        <w:rPr>
          <w:rFonts w:ascii="Times New Roman" w:hAnsi="Times New Roman"/>
          <w:noProof/>
          <w:sz w:val="24"/>
          <w:szCs w:val="24"/>
        </w:rPr>
        <w:t xml:space="preserve"> w poł</w:t>
      </w:r>
      <w:r>
        <w:rPr>
          <w:rFonts w:ascii="Times New Roman" w:hAnsi="Times New Roman"/>
          <w:noProof/>
          <w:sz w:val="24"/>
          <w:szCs w:val="24"/>
        </w:rPr>
        <w:t>ączeniu</w:t>
      </w:r>
      <w:r w:rsidR="00900986">
        <w:rPr>
          <w:rFonts w:ascii="Times New Roman" w:hAnsi="Times New Roman"/>
          <w:noProof/>
          <w:sz w:val="24"/>
          <w:szCs w:val="24"/>
        </w:rPr>
        <w:t xml:space="preserve"> z naj</w:t>
      </w:r>
      <w:r>
        <w:rPr>
          <w:rFonts w:ascii="Times New Roman" w:hAnsi="Times New Roman"/>
          <w:noProof/>
          <w:sz w:val="24"/>
          <w:szCs w:val="24"/>
        </w:rPr>
        <w:t>wyższym mianownikiem opartym na wielkości sprzedaży</w:t>
      </w:r>
      <w:r w:rsidR="00900986">
        <w:rPr>
          <w:rFonts w:ascii="Times New Roman" w:hAnsi="Times New Roman"/>
          <w:noProof/>
          <w:sz w:val="24"/>
          <w:szCs w:val="24"/>
        </w:rPr>
        <w:t xml:space="preserve"> z sys</w:t>
      </w:r>
      <w:r>
        <w:rPr>
          <w:rFonts w:ascii="Times New Roman" w:hAnsi="Times New Roman"/>
          <w:noProof/>
          <w:sz w:val="24"/>
          <w:szCs w:val="24"/>
        </w:rPr>
        <w:t>temu identyfikowalności wyrobów tytoniowych</w:t>
      </w:r>
      <w:r w:rsidR="00900986">
        <w:rPr>
          <w:rFonts w:ascii="Times New Roman" w:hAnsi="Times New Roman"/>
          <w:noProof/>
          <w:sz w:val="24"/>
          <w:szCs w:val="24"/>
        </w:rPr>
        <w:t xml:space="preserve"> i pod</w:t>
      </w:r>
      <w:r>
        <w:rPr>
          <w:rFonts w:ascii="Times New Roman" w:hAnsi="Times New Roman"/>
          <w:noProof/>
          <w:sz w:val="24"/>
          <w:szCs w:val="24"/>
        </w:rPr>
        <w:t xml:space="preserve">anej przez Euromonitor (tj. równowartością 592 904 mln sztuk). </w:t>
      </w:r>
    </w:p>
    <w:p w14:paraId="2D1FEDBB" w14:textId="344384CB" w:rsidR="00ED7A95" w:rsidRPr="001D4003" w:rsidRDefault="000F36D7" w:rsidP="00264728">
      <w:pPr>
        <w:jc w:val="both"/>
        <w:rPr>
          <w:rFonts w:ascii="Times New Roman" w:hAnsi="Times New Roman" w:cs="Times New Roman"/>
          <w:noProof/>
          <w:sz w:val="24"/>
          <w:szCs w:val="24"/>
        </w:rPr>
      </w:pPr>
      <w:r>
        <w:rPr>
          <w:rFonts w:ascii="Times New Roman" w:hAnsi="Times New Roman"/>
          <w:noProof/>
          <w:sz w:val="24"/>
          <w:szCs w:val="24"/>
        </w:rPr>
        <w:t xml:space="preserve">To ostrożne podejście wykazało, że wielkość detalicznej sprzedaży podgrzewanych wyrobów tytoniowych odpowiadała </w:t>
      </w:r>
      <w:r>
        <w:rPr>
          <w:rFonts w:ascii="Times New Roman" w:hAnsi="Times New Roman"/>
          <w:b/>
          <w:noProof/>
          <w:sz w:val="24"/>
          <w:szCs w:val="24"/>
        </w:rPr>
        <w:t>3,3</w:t>
      </w:r>
      <w:r w:rsidRPr="00900986">
        <w:rPr>
          <w:rFonts w:ascii="Times New Roman" w:hAnsi="Times New Roman"/>
          <w:b/>
          <w:noProof/>
          <w:sz w:val="24"/>
          <w:szCs w:val="24"/>
        </w:rPr>
        <w:t>3</w:t>
      </w:r>
      <w:r w:rsidR="00900986" w:rsidRPr="00900986">
        <w:rPr>
          <w:rFonts w:ascii="Times New Roman" w:hAnsi="Times New Roman"/>
          <w:b/>
          <w:noProof/>
          <w:sz w:val="24"/>
          <w:szCs w:val="24"/>
        </w:rPr>
        <w:t> </w:t>
      </w:r>
      <w:r w:rsidRPr="00900986">
        <w:rPr>
          <w:rFonts w:ascii="Times New Roman" w:hAnsi="Times New Roman"/>
          <w:b/>
          <w:noProof/>
          <w:sz w:val="24"/>
          <w:szCs w:val="24"/>
        </w:rPr>
        <w:t>%</w:t>
      </w:r>
      <w:r>
        <w:rPr>
          <w:rFonts w:ascii="Times New Roman" w:hAnsi="Times New Roman"/>
          <w:noProof/>
          <w:sz w:val="24"/>
          <w:szCs w:val="24"/>
        </w:rPr>
        <w:t xml:space="preserve"> całkowitej wielkości sprzedaży wszystkich wyrobów tytoniowych na poziomie unijnym</w:t>
      </w:r>
      <w:r w:rsidR="00900986">
        <w:rPr>
          <w:rFonts w:ascii="Times New Roman" w:hAnsi="Times New Roman"/>
          <w:noProof/>
          <w:sz w:val="24"/>
          <w:szCs w:val="24"/>
        </w:rPr>
        <w:t xml:space="preserve"> w 2</w:t>
      </w:r>
      <w:r>
        <w:rPr>
          <w:rFonts w:ascii="Times New Roman" w:hAnsi="Times New Roman"/>
          <w:noProof/>
          <w:sz w:val="24"/>
          <w:szCs w:val="24"/>
        </w:rPr>
        <w:t>0</w:t>
      </w:r>
      <w:r w:rsidRPr="00900986">
        <w:rPr>
          <w:rFonts w:ascii="Times New Roman" w:hAnsi="Times New Roman"/>
          <w:noProof/>
          <w:sz w:val="24"/>
          <w:szCs w:val="24"/>
        </w:rPr>
        <w:t>20</w:t>
      </w:r>
      <w:r w:rsidR="00900986" w:rsidRPr="00900986">
        <w:rPr>
          <w:rFonts w:ascii="Times New Roman" w:hAnsi="Times New Roman"/>
          <w:noProof/>
          <w:sz w:val="24"/>
          <w:szCs w:val="24"/>
        </w:rPr>
        <w:t> </w:t>
      </w:r>
      <w:r w:rsidRPr="00900986">
        <w:rPr>
          <w:rFonts w:ascii="Times New Roman" w:hAnsi="Times New Roman"/>
          <w:noProof/>
          <w:sz w:val="24"/>
          <w:szCs w:val="24"/>
        </w:rPr>
        <w:t>r.</w:t>
      </w:r>
    </w:p>
    <w:p w14:paraId="5213EE73" w14:textId="25568FCB" w:rsidR="00EA7F75" w:rsidRPr="001D4003" w:rsidRDefault="00EA7F75" w:rsidP="00264728">
      <w:pPr>
        <w:jc w:val="both"/>
        <w:rPr>
          <w:rFonts w:ascii="Times New Roman" w:hAnsi="Times New Roman" w:cs="Times New Roman"/>
          <w:noProof/>
          <w:sz w:val="24"/>
          <w:szCs w:val="24"/>
        </w:rPr>
      </w:pPr>
      <w:r>
        <w:rPr>
          <w:rFonts w:ascii="Times New Roman" w:hAnsi="Times New Roman"/>
          <w:noProof/>
          <w:sz w:val="24"/>
          <w:szCs w:val="24"/>
        </w:rPr>
        <w:t>Ponieważ wartość ta przekracza próg 2,</w:t>
      </w:r>
      <w:r w:rsidRPr="00900986">
        <w:rPr>
          <w:rFonts w:ascii="Times New Roman" w:hAnsi="Times New Roman"/>
          <w:noProof/>
          <w:sz w:val="24"/>
          <w:szCs w:val="24"/>
        </w:rPr>
        <w:t>5</w:t>
      </w:r>
      <w:r w:rsidR="00900986" w:rsidRPr="00900986">
        <w:rPr>
          <w:rFonts w:ascii="Times New Roman" w:hAnsi="Times New Roman"/>
          <w:noProof/>
          <w:sz w:val="24"/>
          <w:szCs w:val="24"/>
        </w:rPr>
        <w:t> </w:t>
      </w:r>
      <w:r w:rsidRPr="00900986">
        <w:rPr>
          <w:rFonts w:ascii="Times New Roman" w:hAnsi="Times New Roman"/>
          <w:noProof/>
          <w:sz w:val="24"/>
          <w:szCs w:val="24"/>
        </w:rPr>
        <w:t>%</w:t>
      </w:r>
      <w:r>
        <w:rPr>
          <w:rFonts w:ascii="Times New Roman" w:hAnsi="Times New Roman"/>
          <w:noProof/>
          <w:sz w:val="24"/>
          <w:szCs w:val="24"/>
        </w:rPr>
        <w:t>, spełniony jest również drugi warunek istotnej zmiany okoliczności</w:t>
      </w:r>
      <w:r w:rsidR="00900986">
        <w:rPr>
          <w:rFonts w:ascii="Times New Roman" w:hAnsi="Times New Roman"/>
          <w:noProof/>
          <w:sz w:val="24"/>
          <w:szCs w:val="24"/>
        </w:rPr>
        <w:t xml:space="preserve"> w odn</w:t>
      </w:r>
      <w:r>
        <w:rPr>
          <w:rFonts w:ascii="Times New Roman" w:hAnsi="Times New Roman"/>
          <w:noProof/>
          <w:sz w:val="24"/>
          <w:szCs w:val="24"/>
        </w:rPr>
        <w:t>iesieniu do podgrzewanych wyrobów tytoniowych.</w:t>
      </w:r>
    </w:p>
    <w:p w14:paraId="7FFD20CC" w14:textId="45603A5A" w:rsidR="00891F16" w:rsidRPr="001D4003" w:rsidRDefault="00891F16" w:rsidP="00891F16">
      <w:pPr>
        <w:pStyle w:val="Heading1NoNumb"/>
        <w:jc w:val="both"/>
        <w:rPr>
          <w:rFonts w:ascii="Times New Roman" w:eastAsia="ArialMT" w:hAnsi="Times New Roman" w:cs="Times New Roman"/>
          <w:noProof/>
          <w:szCs w:val="24"/>
        </w:rPr>
      </w:pPr>
      <w:r>
        <w:rPr>
          <w:rFonts w:ascii="Times New Roman" w:hAnsi="Times New Roman"/>
          <w:noProof/>
          <w:szCs w:val="24"/>
        </w:rPr>
        <w:t>2.2.4 Wartość detalicznej sprzedaży podgrzewanych wyrobów tytoniowych</w:t>
      </w:r>
      <w:r w:rsidR="00900986">
        <w:rPr>
          <w:rFonts w:ascii="Times New Roman" w:hAnsi="Times New Roman"/>
          <w:noProof/>
          <w:szCs w:val="24"/>
        </w:rPr>
        <w:t xml:space="preserve"> w sto</w:t>
      </w:r>
      <w:r>
        <w:rPr>
          <w:rFonts w:ascii="Times New Roman" w:hAnsi="Times New Roman"/>
          <w:noProof/>
          <w:szCs w:val="24"/>
        </w:rPr>
        <w:t xml:space="preserve">sunku do całkowitej sprzedaży wyrobów tytoniowych na poziomie unijnym </w:t>
      </w:r>
    </w:p>
    <w:p w14:paraId="6E2C7B61" w14:textId="3E29BBA3" w:rsidR="00891F16" w:rsidRPr="001D4003" w:rsidRDefault="00024986" w:rsidP="00707745">
      <w:pPr>
        <w:jc w:val="both"/>
        <w:rPr>
          <w:rFonts w:ascii="Times New Roman" w:hAnsi="Times New Roman" w:cs="Times New Roman"/>
          <w:noProof/>
          <w:sz w:val="24"/>
          <w:szCs w:val="24"/>
        </w:rPr>
      </w:pPr>
      <w:r>
        <w:rPr>
          <w:rFonts w:ascii="Times New Roman" w:hAnsi="Times New Roman"/>
          <w:noProof/>
          <w:sz w:val="24"/>
          <w:szCs w:val="24"/>
        </w:rPr>
        <w:t>Analiza wartości sprzedaży daje alternatywny pomiar udziału</w:t>
      </w:r>
      <w:r w:rsidR="00900986">
        <w:rPr>
          <w:rFonts w:ascii="Times New Roman" w:hAnsi="Times New Roman"/>
          <w:noProof/>
          <w:sz w:val="24"/>
          <w:szCs w:val="24"/>
        </w:rPr>
        <w:t xml:space="preserve"> w ryn</w:t>
      </w:r>
      <w:r>
        <w:rPr>
          <w:rFonts w:ascii="Times New Roman" w:hAnsi="Times New Roman"/>
          <w:noProof/>
          <w:sz w:val="24"/>
          <w:szCs w:val="24"/>
        </w:rPr>
        <w:t>ku podgrzewanych wyrobów tytoniowych</w:t>
      </w:r>
      <w:r w:rsidR="00900986">
        <w:rPr>
          <w:rFonts w:ascii="Times New Roman" w:hAnsi="Times New Roman"/>
          <w:noProof/>
          <w:sz w:val="24"/>
          <w:szCs w:val="24"/>
        </w:rPr>
        <w:t xml:space="preserve"> w 2</w:t>
      </w:r>
      <w:r>
        <w:rPr>
          <w:rFonts w:ascii="Times New Roman" w:hAnsi="Times New Roman"/>
          <w:noProof/>
          <w:sz w:val="24"/>
          <w:szCs w:val="24"/>
        </w:rPr>
        <w:t>0</w:t>
      </w:r>
      <w:r w:rsidRPr="00900986">
        <w:rPr>
          <w:rFonts w:ascii="Times New Roman" w:hAnsi="Times New Roman"/>
          <w:noProof/>
          <w:sz w:val="24"/>
          <w:szCs w:val="24"/>
        </w:rPr>
        <w:t>20</w:t>
      </w:r>
      <w:r w:rsidR="00900986" w:rsidRPr="00900986">
        <w:rPr>
          <w:rFonts w:ascii="Times New Roman" w:hAnsi="Times New Roman"/>
          <w:noProof/>
          <w:sz w:val="24"/>
          <w:szCs w:val="24"/>
        </w:rPr>
        <w:t> </w:t>
      </w:r>
      <w:r w:rsidRPr="00900986">
        <w:rPr>
          <w:rFonts w:ascii="Times New Roman" w:hAnsi="Times New Roman"/>
          <w:noProof/>
          <w:sz w:val="24"/>
          <w:szCs w:val="24"/>
        </w:rPr>
        <w:t>r.</w:t>
      </w:r>
      <w:r w:rsidR="00900986">
        <w:rPr>
          <w:rFonts w:ascii="Times New Roman" w:hAnsi="Times New Roman"/>
          <w:noProof/>
          <w:sz w:val="24"/>
          <w:szCs w:val="24"/>
        </w:rPr>
        <w:t xml:space="preserve"> i umo</w:t>
      </w:r>
      <w:r>
        <w:rPr>
          <w:rFonts w:ascii="Times New Roman" w:hAnsi="Times New Roman"/>
          <w:noProof/>
          <w:sz w:val="24"/>
          <w:szCs w:val="24"/>
        </w:rPr>
        <w:t>żliwia uwzględnienie pozostałych, mniejszych kategorii wyrobów tytoniowych, których nie można zmierzyć</w:t>
      </w:r>
      <w:r w:rsidR="00900986">
        <w:rPr>
          <w:rFonts w:ascii="Times New Roman" w:hAnsi="Times New Roman"/>
          <w:noProof/>
          <w:sz w:val="24"/>
          <w:szCs w:val="24"/>
        </w:rPr>
        <w:t xml:space="preserve"> w szt</w:t>
      </w:r>
      <w:r>
        <w:rPr>
          <w:rFonts w:ascii="Times New Roman" w:hAnsi="Times New Roman"/>
          <w:noProof/>
          <w:sz w:val="24"/>
          <w:szCs w:val="24"/>
        </w:rPr>
        <w:t>ukach: tytoniu fajkowego</w:t>
      </w:r>
      <w:r w:rsidR="00900986">
        <w:rPr>
          <w:rFonts w:ascii="Times New Roman" w:hAnsi="Times New Roman"/>
          <w:noProof/>
          <w:sz w:val="24"/>
          <w:szCs w:val="24"/>
        </w:rPr>
        <w:t xml:space="preserve"> i tyt</w:t>
      </w:r>
      <w:r>
        <w:rPr>
          <w:rFonts w:ascii="Times New Roman" w:hAnsi="Times New Roman"/>
          <w:noProof/>
          <w:sz w:val="24"/>
          <w:szCs w:val="24"/>
        </w:rPr>
        <w:t>oniu do żucia (wykorzystanych</w:t>
      </w:r>
      <w:r w:rsidR="00900986">
        <w:rPr>
          <w:rFonts w:ascii="Times New Roman" w:hAnsi="Times New Roman"/>
          <w:noProof/>
          <w:sz w:val="24"/>
          <w:szCs w:val="24"/>
        </w:rPr>
        <w:t xml:space="preserve"> w cel</w:t>
      </w:r>
      <w:r>
        <w:rPr>
          <w:rFonts w:ascii="Times New Roman" w:hAnsi="Times New Roman"/>
          <w:noProof/>
          <w:sz w:val="24"/>
          <w:szCs w:val="24"/>
        </w:rPr>
        <w:t>u dostosowania przy analizie wielkości sprzedaży głównej).</w:t>
      </w:r>
    </w:p>
    <w:p w14:paraId="1DB73550" w14:textId="3659C949" w:rsidR="00707745" w:rsidRPr="001D4003" w:rsidRDefault="00707745" w:rsidP="00707745">
      <w:pPr>
        <w:jc w:val="both"/>
        <w:rPr>
          <w:rFonts w:ascii="Times New Roman" w:hAnsi="Times New Roman" w:cs="Times New Roman"/>
          <w:noProof/>
          <w:sz w:val="24"/>
          <w:szCs w:val="24"/>
        </w:rPr>
      </w:pPr>
      <w:r>
        <w:rPr>
          <w:rFonts w:ascii="Times New Roman" w:hAnsi="Times New Roman"/>
          <w:noProof/>
          <w:sz w:val="24"/>
          <w:szCs w:val="24"/>
        </w:rPr>
        <w:t>W poniższej tabeli przedstawiono całkowitą wartość sprzedaży każdej kategorii wyrobów we wszystkich państwach członkowskich UE-27</w:t>
      </w:r>
      <w:r w:rsidR="00900986">
        <w:rPr>
          <w:rFonts w:ascii="Times New Roman" w:hAnsi="Times New Roman"/>
          <w:noProof/>
          <w:sz w:val="24"/>
          <w:szCs w:val="24"/>
        </w:rPr>
        <w:t xml:space="preserve"> w mld</w:t>
      </w:r>
      <w:r>
        <w:rPr>
          <w:rFonts w:ascii="Times New Roman" w:hAnsi="Times New Roman"/>
          <w:noProof/>
          <w:sz w:val="24"/>
          <w:szCs w:val="24"/>
        </w:rPr>
        <w:t xml:space="preserve"> EUR:</w:t>
      </w:r>
    </w:p>
    <w:p w14:paraId="18850566" w14:textId="1B5B3A0A" w:rsidR="00707745" w:rsidRPr="00C20E5F" w:rsidRDefault="00E10478" w:rsidP="00C20E5F">
      <w:pPr>
        <w:keepNext/>
        <w:jc w:val="center"/>
        <w:rPr>
          <w:rFonts w:ascii="Times New Roman" w:hAnsi="Times New Roman" w:cs="Times New Roman"/>
          <w:i/>
          <w:noProof/>
          <w:sz w:val="24"/>
          <w:szCs w:val="24"/>
        </w:rPr>
      </w:pPr>
      <w:r>
        <w:rPr>
          <w:rFonts w:ascii="Times New Roman" w:hAnsi="Times New Roman"/>
          <w:i/>
          <w:noProof/>
          <w:sz w:val="24"/>
          <w:szCs w:val="24"/>
        </w:rPr>
        <w:t>Tabela 6: Wartość sprzedaży</w:t>
      </w:r>
      <w:r w:rsidR="00900986">
        <w:rPr>
          <w:rFonts w:ascii="Times New Roman" w:hAnsi="Times New Roman"/>
          <w:i/>
          <w:noProof/>
          <w:sz w:val="24"/>
          <w:szCs w:val="24"/>
        </w:rPr>
        <w:t xml:space="preserve"> w każ</w:t>
      </w:r>
      <w:r>
        <w:rPr>
          <w:rFonts w:ascii="Times New Roman" w:hAnsi="Times New Roman"/>
          <w:i/>
          <w:noProof/>
          <w:sz w:val="24"/>
          <w:szCs w:val="24"/>
        </w:rPr>
        <w:t>dej kategorii wyrobów (w 20</w:t>
      </w:r>
      <w:r w:rsidRPr="00900986">
        <w:rPr>
          <w:rFonts w:ascii="Times New Roman" w:hAnsi="Times New Roman"/>
          <w:i/>
          <w:noProof/>
          <w:sz w:val="24"/>
          <w:szCs w:val="24"/>
        </w:rPr>
        <w:t>20</w:t>
      </w:r>
      <w:r w:rsidR="00900986" w:rsidRPr="00900986">
        <w:rPr>
          <w:rFonts w:ascii="Times New Roman" w:hAnsi="Times New Roman"/>
          <w:i/>
          <w:noProof/>
          <w:sz w:val="24"/>
          <w:szCs w:val="24"/>
        </w:rPr>
        <w:t> </w:t>
      </w:r>
      <w:r w:rsidRPr="00900986">
        <w:rPr>
          <w:rFonts w:ascii="Times New Roman" w:hAnsi="Times New Roman"/>
          <w:i/>
          <w:noProof/>
          <w:sz w:val="24"/>
          <w:szCs w:val="24"/>
        </w:rPr>
        <w:t>r.</w:t>
      </w:r>
      <w:r>
        <w:rPr>
          <w:rFonts w:ascii="Times New Roman" w:hAnsi="Times New Roman"/>
          <w:i/>
          <w:noProof/>
          <w:sz w:val="24"/>
          <w:szCs w:val="24"/>
        </w:rPr>
        <w:t>)</w:t>
      </w:r>
    </w:p>
    <w:tbl>
      <w:tblPr>
        <w:tblStyle w:val="PlainTable1"/>
        <w:tblpPr w:leftFromText="180" w:rightFromText="180" w:vertAnchor="text" w:tblpY="1"/>
        <w:tblOverlap w:val="never"/>
        <w:tblW w:w="9554" w:type="dxa"/>
        <w:tblLook w:val="04A0" w:firstRow="1" w:lastRow="0" w:firstColumn="1" w:lastColumn="0" w:noHBand="0" w:noVBand="1"/>
      </w:tblPr>
      <w:tblGrid>
        <w:gridCol w:w="3408"/>
        <w:gridCol w:w="2678"/>
        <w:gridCol w:w="3468"/>
      </w:tblGrid>
      <w:tr w:rsidR="00707745" w:rsidRPr="00C20E5F" w14:paraId="64CAF725" w14:textId="77777777" w:rsidTr="00C20E5F">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680" w:type="dxa"/>
            <w:noWrap/>
            <w:hideMark/>
          </w:tcPr>
          <w:p w14:paraId="422CCA89" w14:textId="77777777" w:rsidR="00707745" w:rsidRPr="00C20E5F" w:rsidRDefault="00707745" w:rsidP="0060018F">
            <w:pPr>
              <w:rPr>
                <w:rFonts w:ascii="Times New Roman" w:eastAsia="Times New Roman" w:hAnsi="Times New Roman" w:cs="Times New Roman"/>
                <w:noProof/>
                <w:sz w:val="24"/>
                <w:szCs w:val="24"/>
              </w:rPr>
            </w:pPr>
            <w:r>
              <w:rPr>
                <w:rFonts w:ascii="Times New Roman" w:hAnsi="Times New Roman"/>
                <w:noProof/>
                <w:sz w:val="24"/>
                <w:szCs w:val="24"/>
              </w:rPr>
              <w:t>Kategorie wyrobów</w:t>
            </w:r>
          </w:p>
        </w:tc>
        <w:tc>
          <w:tcPr>
            <w:tcW w:w="2106" w:type="dxa"/>
            <w:hideMark/>
          </w:tcPr>
          <w:p w14:paraId="4B62B140" w14:textId="6207E2E2" w:rsidR="00707745" w:rsidRPr="00C20E5F" w:rsidRDefault="00707745"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Wartość detaliczna</w:t>
            </w:r>
            <w:r>
              <w:rPr>
                <w:noProof/>
              </w:rPr>
              <w:t xml:space="preserve"> </w:t>
            </w:r>
            <w:r>
              <w:rPr>
                <w:noProof/>
              </w:rPr>
              <w:br/>
            </w:r>
            <w:r>
              <w:rPr>
                <w:rFonts w:ascii="Times New Roman" w:hAnsi="Times New Roman"/>
                <w:noProof/>
                <w:sz w:val="24"/>
                <w:szCs w:val="24"/>
              </w:rPr>
              <w:t>mld EUR</w:t>
            </w:r>
          </w:p>
        </w:tc>
        <w:tc>
          <w:tcPr>
            <w:tcW w:w="2727" w:type="dxa"/>
            <w:hideMark/>
          </w:tcPr>
          <w:p w14:paraId="416B4CFE" w14:textId="1D624241" w:rsidR="00ED4979" w:rsidRDefault="00891F16"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Udział</w:t>
            </w:r>
            <w:r w:rsidR="00900986">
              <w:rPr>
                <w:rFonts w:ascii="Times New Roman" w:hAnsi="Times New Roman"/>
                <w:noProof/>
                <w:sz w:val="24"/>
                <w:szCs w:val="24"/>
              </w:rPr>
              <w:t xml:space="preserve"> w ryn</w:t>
            </w:r>
            <w:r>
              <w:rPr>
                <w:rFonts w:ascii="Times New Roman" w:hAnsi="Times New Roman"/>
                <w:noProof/>
                <w:sz w:val="24"/>
                <w:szCs w:val="24"/>
              </w:rPr>
              <w:t>ku</w:t>
            </w:r>
          </w:p>
          <w:p w14:paraId="2436C908" w14:textId="0407FC6B" w:rsidR="00707745" w:rsidRPr="00C20E5F" w:rsidRDefault="000F36D7" w:rsidP="00D71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noProof/>
                <w:sz w:val="24"/>
                <w:szCs w:val="24"/>
              </w:rPr>
            </w:pPr>
            <w:r>
              <w:rPr>
                <w:rFonts w:ascii="Times New Roman" w:hAnsi="Times New Roman"/>
                <w:noProof/>
                <w:sz w:val="24"/>
                <w:szCs w:val="24"/>
              </w:rPr>
              <w:t>(%) całkowitej sprzedaży wyrobów tytoniowych na poziomie unijnym</w:t>
            </w:r>
          </w:p>
        </w:tc>
      </w:tr>
      <w:tr w:rsidR="00707745" w:rsidRPr="00C20E5F" w14:paraId="6C96FCB6" w14:textId="77777777" w:rsidTr="00C20E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59782BF8"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Papierosy</w:t>
            </w:r>
          </w:p>
        </w:tc>
        <w:tc>
          <w:tcPr>
            <w:tcW w:w="2106" w:type="dxa"/>
            <w:noWrap/>
            <w:hideMark/>
          </w:tcPr>
          <w:p w14:paraId="723BA7A7" w14:textId="77777777" w:rsidR="00707745" w:rsidRPr="00C20E5F" w:rsidRDefault="00707745"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109,88</w:t>
            </w:r>
          </w:p>
        </w:tc>
        <w:tc>
          <w:tcPr>
            <w:tcW w:w="2727" w:type="dxa"/>
            <w:noWrap/>
            <w:hideMark/>
          </w:tcPr>
          <w:p w14:paraId="759B9458" w14:textId="0F720F6A" w:rsidR="00707745" w:rsidRPr="00C20E5F" w:rsidRDefault="00707745"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81,3</w:t>
            </w:r>
            <w:r w:rsidRPr="00900986">
              <w:rPr>
                <w:rFonts w:ascii="Times New Roman" w:hAnsi="Times New Roman"/>
                <w:noProof/>
                <w:color w:val="000000"/>
                <w:sz w:val="24"/>
                <w:szCs w:val="24"/>
              </w:rPr>
              <w:t>8</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r w:rsidR="00707745" w:rsidRPr="00C20E5F" w14:paraId="2484DCA7" w14:textId="77777777" w:rsidTr="00C20E5F">
        <w:trPr>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7769BEFC"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Cygaretki</w:t>
            </w:r>
          </w:p>
        </w:tc>
        <w:tc>
          <w:tcPr>
            <w:tcW w:w="2106" w:type="dxa"/>
            <w:noWrap/>
            <w:hideMark/>
          </w:tcPr>
          <w:p w14:paraId="2ED0C6E7" w14:textId="77777777" w:rsidR="00707745" w:rsidRPr="00C20E5F" w:rsidRDefault="00707745"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2,33</w:t>
            </w:r>
          </w:p>
        </w:tc>
        <w:tc>
          <w:tcPr>
            <w:tcW w:w="2727" w:type="dxa"/>
            <w:noWrap/>
            <w:hideMark/>
          </w:tcPr>
          <w:p w14:paraId="1A6B616A" w14:textId="38A1453D" w:rsidR="00707745" w:rsidRPr="00C20E5F" w:rsidRDefault="00A77BE0"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1,7</w:t>
            </w:r>
            <w:r w:rsidRPr="00900986">
              <w:rPr>
                <w:rFonts w:ascii="Times New Roman" w:hAnsi="Times New Roman"/>
                <w:noProof/>
                <w:color w:val="000000"/>
                <w:sz w:val="24"/>
                <w:szCs w:val="24"/>
              </w:rPr>
              <w:t>3</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r w:rsidR="00707745" w:rsidRPr="00C20E5F" w14:paraId="3634791C" w14:textId="77777777" w:rsidTr="00C20E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1811AE8A"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Cygara</w:t>
            </w:r>
          </w:p>
        </w:tc>
        <w:tc>
          <w:tcPr>
            <w:tcW w:w="2106" w:type="dxa"/>
            <w:noWrap/>
            <w:hideMark/>
          </w:tcPr>
          <w:p w14:paraId="79619CA0" w14:textId="77777777" w:rsidR="00707745" w:rsidRPr="00C20E5F" w:rsidRDefault="00707745"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2,05</w:t>
            </w:r>
          </w:p>
        </w:tc>
        <w:tc>
          <w:tcPr>
            <w:tcW w:w="2727" w:type="dxa"/>
            <w:noWrap/>
            <w:hideMark/>
          </w:tcPr>
          <w:p w14:paraId="30C2A4AE" w14:textId="3548DBF4" w:rsidR="00707745" w:rsidRPr="00C20E5F" w:rsidRDefault="00A77BE0"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1,5</w:t>
            </w:r>
            <w:r w:rsidRPr="00900986">
              <w:rPr>
                <w:rFonts w:ascii="Times New Roman" w:hAnsi="Times New Roman"/>
                <w:noProof/>
                <w:color w:val="000000"/>
                <w:sz w:val="24"/>
                <w:szCs w:val="24"/>
              </w:rPr>
              <w:t>2</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r w:rsidR="00707745" w:rsidRPr="00C20E5F" w14:paraId="22A4B833" w14:textId="77777777" w:rsidTr="00C20E5F">
        <w:trPr>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1616EF1B"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Drobno krojony tytoń (tytoń do samodzielnego skręcania papierosów)</w:t>
            </w:r>
          </w:p>
        </w:tc>
        <w:tc>
          <w:tcPr>
            <w:tcW w:w="2106" w:type="dxa"/>
            <w:noWrap/>
            <w:hideMark/>
          </w:tcPr>
          <w:p w14:paraId="08DFA0AD" w14:textId="77777777" w:rsidR="00707745" w:rsidRPr="00C20E5F" w:rsidRDefault="00707745"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15,06</w:t>
            </w:r>
          </w:p>
        </w:tc>
        <w:tc>
          <w:tcPr>
            <w:tcW w:w="2727" w:type="dxa"/>
            <w:noWrap/>
            <w:hideMark/>
          </w:tcPr>
          <w:p w14:paraId="0623B35D" w14:textId="52CF221A" w:rsidR="00707745" w:rsidRPr="00C20E5F" w:rsidRDefault="00A77BE0"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11,1</w:t>
            </w:r>
            <w:r w:rsidRPr="00900986">
              <w:rPr>
                <w:rFonts w:ascii="Times New Roman" w:hAnsi="Times New Roman"/>
                <w:noProof/>
                <w:color w:val="000000"/>
                <w:sz w:val="24"/>
                <w:szCs w:val="24"/>
              </w:rPr>
              <w:t>5</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r w:rsidR="00707745" w:rsidRPr="00C20E5F" w14:paraId="2C00BF08" w14:textId="77777777" w:rsidTr="00C20E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0" w:type="dxa"/>
            <w:noWrap/>
          </w:tcPr>
          <w:p w14:paraId="243B45F6"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Tytoń fajkowy</w:t>
            </w:r>
          </w:p>
        </w:tc>
        <w:tc>
          <w:tcPr>
            <w:tcW w:w="2106" w:type="dxa"/>
            <w:noWrap/>
          </w:tcPr>
          <w:p w14:paraId="10F7A225" w14:textId="77777777" w:rsidR="00707745" w:rsidRPr="00C20E5F" w:rsidRDefault="00707745"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0,93</w:t>
            </w:r>
          </w:p>
        </w:tc>
        <w:tc>
          <w:tcPr>
            <w:tcW w:w="2727" w:type="dxa"/>
            <w:noWrap/>
          </w:tcPr>
          <w:p w14:paraId="07142CA1" w14:textId="3C28CCD9" w:rsidR="00707745" w:rsidRPr="00C20E5F" w:rsidRDefault="00A77BE0"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0,6</w:t>
            </w:r>
            <w:r w:rsidRPr="00900986">
              <w:rPr>
                <w:rFonts w:ascii="Times New Roman" w:hAnsi="Times New Roman"/>
                <w:noProof/>
                <w:color w:val="000000"/>
                <w:sz w:val="24"/>
                <w:szCs w:val="24"/>
              </w:rPr>
              <w:t>9</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r w:rsidR="00707745" w:rsidRPr="00C20E5F" w14:paraId="290C56F5" w14:textId="77777777" w:rsidTr="00C20E5F">
        <w:trPr>
          <w:trHeight w:val="284"/>
        </w:trPr>
        <w:tc>
          <w:tcPr>
            <w:cnfStyle w:val="001000000000" w:firstRow="0" w:lastRow="0" w:firstColumn="1" w:lastColumn="0" w:oddVBand="0" w:evenVBand="0" w:oddHBand="0" w:evenHBand="0" w:firstRowFirstColumn="0" w:firstRowLastColumn="0" w:lastRowFirstColumn="0" w:lastRowLastColumn="0"/>
            <w:tcW w:w="2680" w:type="dxa"/>
            <w:noWrap/>
          </w:tcPr>
          <w:p w14:paraId="33AD65A2"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Tytoń do żucia</w:t>
            </w:r>
          </w:p>
        </w:tc>
        <w:tc>
          <w:tcPr>
            <w:tcW w:w="2106" w:type="dxa"/>
            <w:noWrap/>
          </w:tcPr>
          <w:p w14:paraId="1E20B585" w14:textId="77777777" w:rsidR="00707745" w:rsidRPr="00C20E5F" w:rsidRDefault="00707745"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0,02</w:t>
            </w:r>
          </w:p>
        </w:tc>
        <w:tc>
          <w:tcPr>
            <w:tcW w:w="2727" w:type="dxa"/>
            <w:noWrap/>
          </w:tcPr>
          <w:p w14:paraId="67E07599" w14:textId="41C491FD" w:rsidR="00707745" w:rsidRPr="00C20E5F" w:rsidRDefault="00A77BE0"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0,0</w:t>
            </w:r>
            <w:r w:rsidRPr="00900986">
              <w:rPr>
                <w:rFonts w:ascii="Times New Roman" w:hAnsi="Times New Roman"/>
                <w:noProof/>
                <w:color w:val="000000"/>
                <w:sz w:val="24"/>
                <w:szCs w:val="24"/>
              </w:rPr>
              <w:t>2</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r w:rsidR="00707745" w:rsidRPr="00C20E5F" w14:paraId="7DE21874" w14:textId="77777777" w:rsidTr="00C20E5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5970CFD1" w14:textId="77777777" w:rsidR="00707745" w:rsidRPr="00C20E5F" w:rsidRDefault="00707745"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Podgrzewany tytoń</w:t>
            </w:r>
          </w:p>
        </w:tc>
        <w:tc>
          <w:tcPr>
            <w:tcW w:w="2106" w:type="dxa"/>
            <w:noWrap/>
            <w:hideMark/>
          </w:tcPr>
          <w:p w14:paraId="57E16475" w14:textId="77777777" w:rsidR="00707745" w:rsidRPr="00C20E5F" w:rsidRDefault="00707745"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4,74</w:t>
            </w:r>
          </w:p>
        </w:tc>
        <w:tc>
          <w:tcPr>
            <w:tcW w:w="2727" w:type="dxa"/>
            <w:noWrap/>
            <w:hideMark/>
          </w:tcPr>
          <w:p w14:paraId="7CD7CD0B" w14:textId="775C8281" w:rsidR="00707745" w:rsidRPr="00C20E5F" w:rsidRDefault="00A77BE0" w:rsidP="00D71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3,5</w:t>
            </w:r>
            <w:r w:rsidRPr="00900986">
              <w:rPr>
                <w:rFonts w:ascii="Times New Roman" w:hAnsi="Times New Roman"/>
                <w:b/>
                <w:noProof/>
                <w:color w:val="000000"/>
                <w:sz w:val="24"/>
                <w:szCs w:val="24"/>
              </w:rPr>
              <w:t>1</w:t>
            </w:r>
            <w:r w:rsidR="00900986" w:rsidRPr="00900986">
              <w:rPr>
                <w:rFonts w:ascii="Times New Roman" w:hAnsi="Times New Roman"/>
                <w:b/>
                <w:noProof/>
                <w:color w:val="000000"/>
                <w:sz w:val="24"/>
                <w:szCs w:val="24"/>
              </w:rPr>
              <w:t> </w:t>
            </w:r>
            <w:r w:rsidRPr="00900986">
              <w:rPr>
                <w:rFonts w:ascii="Times New Roman" w:hAnsi="Times New Roman"/>
                <w:b/>
                <w:noProof/>
                <w:color w:val="000000"/>
                <w:sz w:val="24"/>
                <w:szCs w:val="24"/>
              </w:rPr>
              <w:t>%</w:t>
            </w:r>
          </w:p>
        </w:tc>
      </w:tr>
      <w:tr w:rsidR="00707745" w:rsidRPr="00C20E5F" w14:paraId="45644F38" w14:textId="77777777" w:rsidTr="00C20E5F">
        <w:trPr>
          <w:trHeight w:val="284"/>
        </w:trPr>
        <w:tc>
          <w:tcPr>
            <w:cnfStyle w:val="001000000000" w:firstRow="0" w:lastRow="0" w:firstColumn="1" w:lastColumn="0" w:oddVBand="0" w:evenVBand="0" w:oddHBand="0" w:evenHBand="0" w:firstRowFirstColumn="0" w:firstRowLastColumn="0" w:lastRowFirstColumn="0" w:lastRowLastColumn="0"/>
            <w:tcW w:w="2680" w:type="dxa"/>
            <w:noWrap/>
            <w:hideMark/>
          </w:tcPr>
          <w:p w14:paraId="65D104E9" w14:textId="4B83A931" w:rsidR="00707745" w:rsidRPr="00C20E5F" w:rsidRDefault="00891F16" w:rsidP="0060018F">
            <w:pP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Wszystkie wyroby tytoniowe</w:t>
            </w:r>
          </w:p>
        </w:tc>
        <w:tc>
          <w:tcPr>
            <w:tcW w:w="2106" w:type="dxa"/>
            <w:noWrap/>
            <w:hideMark/>
          </w:tcPr>
          <w:p w14:paraId="1EB658B4" w14:textId="77777777" w:rsidR="00707745" w:rsidRPr="00C20E5F" w:rsidRDefault="00707745"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135,01</w:t>
            </w:r>
          </w:p>
        </w:tc>
        <w:tc>
          <w:tcPr>
            <w:tcW w:w="2727" w:type="dxa"/>
            <w:noWrap/>
            <w:hideMark/>
          </w:tcPr>
          <w:p w14:paraId="5475C71C" w14:textId="437E5721" w:rsidR="00707745" w:rsidRPr="00C20E5F" w:rsidRDefault="00A77BE0" w:rsidP="00D71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100,0</w:t>
            </w:r>
            <w:r w:rsidRPr="00900986">
              <w:rPr>
                <w:rFonts w:ascii="Times New Roman" w:hAnsi="Times New Roman"/>
                <w:noProof/>
                <w:color w:val="000000"/>
                <w:sz w:val="24"/>
                <w:szCs w:val="24"/>
              </w:rPr>
              <w:t>0</w:t>
            </w:r>
            <w:r w:rsidR="00900986" w:rsidRPr="00900986">
              <w:rPr>
                <w:rFonts w:ascii="Times New Roman" w:hAnsi="Times New Roman"/>
                <w:noProof/>
                <w:color w:val="000000"/>
                <w:sz w:val="24"/>
                <w:szCs w:val="24"/>
              </w:rPr>
              <w:t> </w:t>
            </w:r>
            <w:r w:rsidRPr="00900986">
              <w:rPr>
                <w:rFonts w:ascii="Times New Roman" w:hAnsi="Times New Roman"/>
                <w:noProof/>
                <w:color w:val="000000"/>
                <w:sz w:val="24"/>
                <w:szCs w:val="24"/>
              </w:rPr>
              <w:t>%</w:t>
            </w:r>
          </w:p>
        </w:tc>
      </w:tr>
    </w:tbl>
    <w:p w14:paraId="4F6639F6" w14:textId="41F4B698" w:rsidR="00E10478" w:rsidRPr="001D4003" w:rsidRDefault="000F36D7" w:rsidP="00A37707">
      <w:pPr>
        <w:keepNext/>
        <w:jc w:val="both"/>
        <w:rPr>
          <w:rFonts w:ascii="Times New Roman" w:hAnsi="Times New Roman" w:cs="Times New Roman"/>
          <w:noProof/>
          <w:sz w:val="20"/>
          <w:szCs w:val="20"/>
        </w:rPr>
      </w:pPr>
      <w:r>
        <w:rPr>
          <w:rFonts w:ascii="Times New Roman" w:hAnsi="Times New Roman"/>
          <w:noProof/>
          <w:sz w:val="20"/>
          <w:szCs w:val="20"/>
        </w:rPr>
        <w:t>Źródło: Euromonitor International Passport Tobacco 2021.</w:t>
      </w:r>
    </w:p>
    <w:p w14:paraId="7533894A" w14:textId="4C57CAD9" w:rsidR="00701084" w:rsidRDefault="00891F16" w:rsidP="00314070">
      <w:pPr>
        <w:jc w:val="both"/>
        <w:rPr>
          <w:rFonts w:ascii="Times New Roman" w:hAnsi="Times New Roman" w:cs="Times New Roman"/>
          <w:noProof/>
          <w:sz w:val="24"/>
          <w:szCs w:val="24"/>
        </w:rPr>
      </w:pPr>
      <w:r>
        <w:rPr>
          <w:rFonts w:ascii="Times New Roman" w:hAnsi="Times New Roman"/>
          <w:noProof/>
          <w:sz w:val="24"/>
          <w:szCs w:val="24"/>
        </w:rPr>
        <w:t xml:space="preserve">Z danych tych wynika zatem, że wartość detalicznej sprzedaży podgrzewanych wyrobów tytoniowych odpowiada </w:t>
      </w:r>
      <w:r>
        <w:rPr>
          <w:rFonts w:ascii="Times New Roman" w:hAnsi="Times New Roman"/>
          <w:b/>
          <w:noProof/>
          <w:sz w:val="24"/>
          <w:szCs w:val="24"/>
        </w:rPr>
        <w:t>3,5</w:t>
      </w:r>
      <w:r w:rsidRPr="00900986">
        <w:rPr>
          <w:rFonts w:ascii="Times New Roman" w:hAnsi="Times New Roman"/>
          <w:b/>
          <w:noProof/>
          <w:sz w:val="24"/>
          <w:szCs w:val="24"/>
        </w:rPr>
        <w:t>1</w:t>
      </w:r>
      <w:r w:rsidR="00900986" w:rsidRPr="00900986">
        <w:rPr>
          <w:rFonts w:ascii="Times New Roman" w:hAnsi="Times New Roman"/>
          <w:b/>
          <w:noProof/>
          <w:sz w:val="24"/>
          <w:szCs w:val="24"/>
        </w:rPr>
        <w:t> </w:t>
      </w:r>
      <w:r w:rsidRPr="00900986">
        <w:rPr>
          <w:rFonts w:ascii="Times New Roman" w:hAnsi="Times New Roman"/>
          <w:b/>
          <w:noProof/>
          <w:sz w:val="24"/>
          <w:szCs w:val="24"/>
        </w:rPr>
        <w:t>%</w:t>
      </w:r>
      <w:r>
        <w:rPr>
          <w:rFonts w:ascii="Times New Roman" w:hAnsi="Times New Roman"/>
          <w:noProof/>
          <w:sz w:val="24"/>
          <w:szCs w:val="24"/>
        </w:rPr>
        <w:t xml:space="preserve"> całkowitej wielkości sprzedaży wszystkich wyrobów tytoniowych na poziomie unijnym</w:t>
      </w:r>
      <w:r w:rsidR="00900986">
        <w:rPr>
          <w:rFonts w:ascii="Times New Roman" w:hAnsi="Times New Roman"/>
          <w:noProof/>
          <w:sz w:val="24"/>
          <w:szCs w:val="24"/>
        </w:rPr>
        <w:t xml:space="preserve"> w 2</w:t>
      </w:r>
      <w:r>
        <w:rPr>
          <w:rFonts w:ascii="Times New Roman" w:hAnsi="Times New Roman"/>
          <w:noProof/>
          <w:sz w:val="24"/>
          <w:szCs w:val="24"/>
        </w:rPr>
        <w:t>0</w:t>
      </w:r>
      <w:r w:rsidRPr="00900986">
        <w:rPr>
          <w:rFonts w:ascii="Times New Roman" w:hAnsi="Times New Roman"/>
          <w:noProof/>
          <w:sz w:val="24"/>
          <w:szCs w:val="24"/>
        </w:rPr>
        <w:t>20</w:t>
      </w:r>
      <w:r w:rsidR="00900986" w:rsidRPr="00900986">
        <w:rPr>
          <w:rFonts w:ascii="Times New Roman" w:hAnsi="Times New Roman"/>
          <w:noProof/>
          <w:sz w:val="24"/>
          <w:szCs w:val="24"/>
        </w:rPr>
        <w:t> </w:t>
      </w:r>
      <w:r w:rsidRPr="00900986">
        <w:rPr>
          <w:rFonts w:ascii="Times New Roman" w:hAnsi="Times New Roman"/>
          <w:noProof/>
          <w:sz w:val="24"/>
          <w:szCs w:val="24"/>
        </w:rPr>
        <w:t>r.</w:t>
      </w:r>
      <w:r>
        <w:rPr>
          <w:rFonts w:ascii="Times New Roman" w:hAnsi="Times New Roman"/>
          <w:noProof/>
          <w:sz w:val="24"/>
          <w:szCs w:val="24"/>
        </w:rPr>
        <w:t xml:space="preserve"> Jest to dodatkowym potwierdzeniem głównej analizy opartej na wielkości sprzedaży.</w:t>
      </w:r>
    </w:p>
    <w:p w14:paraId="285A6FC4" w14:textId="77777777" w:rsidR="00447A01" w:rsidRPr="001D4003" w:rsidRDefault="00447A01" w:rsidP="00314070">
      <w:pPr>
        <w:jc w:val="both"/>
        <w:rPr>
          <w:rFonts w:ascii="Times New Roman" w:hAnsi="Times New Roman" w:cs="Times New Roman"/>
          <w:noProof/>
          <w:sz w:val="24"/>
          <w:szCs w:val="24"/>
        </w:rPr>
      </w:pPr>
    </w:p>
    <w:p w14:paraId="50467D36" w14:textId="64273697" w:rsidR="00B22F5E" w:rsidRPr="001D4003" w:rsidRDefault="00B22F5E" w:rsidP="00A37707">
      <w:pPr>
        <w:keepNext/>
        <w:jc w:val="both"/>
        <w:rPr>
          <w:rFonts w:ascii="Times New Roman" w:hAnsi="Times New Roman" w:cs="Times New Roman"/>
          <w:b/>
          <w:noProof/>
          <w:sz w:val="24"/>
          <w:szCs w:val="24"/>
        </w:rPr>
      </w:pPr>
      <w:r>
        <w:rPr>
          <w:rFonts w:ascii="Times New Roman" w:hAnsi="Times New Roman"/>
          <w:b/>
          <w:noProof/>
          <w:sz w:val="24"/>
          <w:szCs w:val="24"/>
        </w:rPr>
        <w:t>3. Wniosek</w:t>
      </w:r>
    </w:p>
    <w:p w14:paraId="640D1333" w14:textId="1168CAD3" w:rsidR="009E6BC0" w:rsidRPr="001D4003" w:rsidRDefault="004E6275" w:rsidP="003E4B41">
      <w:pPr>
        <w:jc w:val="both"/>
        <w:rPr>
          <w:rFonts w:ascii="Times New Roman" w:hAnsi="Times New Roman" w:cs="Times New Roman"/>
          <w:noProof/>
          <w:sz w:val="24"/>
          <w:szCs w:val="24"/>
        </w:rPr>
      </w:pPr>
      <w:r>
        <w:rPr>
          <w:rFonts w:ascii="Times New Roman" w:hAnsi="Times New Roman"/>
          <w:noProof/>
          <w:sz w:val="24"/>
          <w:szCs w:val="24"/>
        </w:rPr>
        <w:t xml:space="preserve">Biorąc pod uwagę, że wielkość sprzedaży podgrzewanych wyrobów tytoniowych: </w:t>
      </w:r>
    </w:p>
    <w:p w14:paraId="078D41BA" w14:textId="08597CA6" w:rsidR="009E6BC0" w:rsidRPr="001D4003" w:rsidRDefault="004E6275" w:rsidP="00314070">
      <w:pPr>
        <w:pStyle w:val="ListParagraph"/>
        <w:numPr>
          <w:ilvl w:val="0"/>
          <w:numId w:val="7"/>
        </w:numPr>
        <w:spacing w:after="240"/>
        <w:ind w:left="357" w:hanging="357"/>
        <w:jc w:val="both"/>
        <w:rPr>
          <w:rFonts w:ascii="Times New Roman" w:hAnsi="Times New Roman" w:cs="Times New Roman"/>
          <w:noProof/>
          <w:sz w:val="24"/>
          <w:szCs w:val="24"/>
        </w:rPr>
      </w:pPr>
      <w:r>
        <w:rPr>
          <w:rFonts w:ascii="Times New Roman" w:hAnsi="Times New Roman"/>
          <w:noProof/>
          <w:sz w:val="24"/>
          <w:szCs w:val="24"/>
        </w:rPr>
        <w:t>wzrosła o co najmniej 1</w:t>
      </w:r>
      <w:r w:rsidRPr="00900986">
        <w:rPr>
          <w:rFonts w:ascii="Times New Roman" w:hAnsi="Times New Roman"/>
          <w:noProof/>
          <w:sz w:val="24"/>
          <w:szCs w:val="24"/>
        </w:rPr>
        <w:t>0</w:t>
      </w:r>
      <w:r w:rsidR="00900986" w:rsidRPr="00900986">
        <w:rPr>
          <w:rFonts w:ascii="Times New Roman" w:hAnsi="Times New Roman"/>
          <w:noProof/>
          <w:sz w:val="24"/>
          <w:szCs w:val="24"/>
        </w:rPr>
        <w:t> </w:t>
      </w:r>
      <w:r w:rsidRPr="00900986">
        <w:rPr>
          <w:rFonts w:ascii="Times New Roman" w:hAnsi="Times New Roman"/>
          <w:noProof/>
          <w:sz w:val="24"/>
          <w:szCs w:val="24"/>
        </w:rPr>
        <w:t>%</w:t>
      </w:r>
      <w:r>
        <w:rPr>
          <w:rFonts w:ascii="Times New Roman" w:hAnsi="Times New Roman"/>
          <w:noProof/>
          <w:sz w:val="24"/>
          <w:szCs w:val="24"/>
        </w:rPr>
        <w:t xml:space="preserve"> w co najmniej pięciu państwach członkowskich oraz </w:t>
      </w:r>
    </w:p>
    <w:p w14:paraId="2B3FE1D4" w14:textId="3062D6F5" w:rsidR="009E6BC0" w:rsidRPr="001D4003" w:rsidRDefault="004E6275" w:rsidP="00314070">
      <w:pPr>
        <w:pStyle w:val="ListParagraph"/>
        <w:numPr>
          <w:ilvl w:val="0"/>
          <w:numId w:val="7"/>
        </w:numPr>
        <w:jc w:val="both"/>
        <w:rPr>
          <w:rFonts w:ascii="Times New Roman" w:hAnsi="Times New Roman" w:cs="Times New Roman"/>
          <w:noProof/>
          <w:sz w:val="24"/>
          <w:szCs w:val="24"/>
        </w:rPr>
      </w:pPr>
      <w:r>
        <w:rPr>
          <w:rFonts w:ascii="Times New Roman" w:hAnsi="Times New Roman"/>
          <w:noProof/>
          <w:sz w:val="24"/>
          <w:szCs w:val="24"/>
        </w:rPr>
        <w:t>wielkość detalicznej sprzedaży podgrzewanych wyrobów tytoniowych przekroczyła 2,</w:t>
      </w:r>
      <w:r w:rsidRPr="00900986">
        <w:rPr>
          <w:rFonts w:ascii="Times New Roman" w:hAnsi="Times New Roman"/>
          <w:noProof/>
          <w:sz w:val="24"/>
          <w:szCs w:val="24"/>
        </w:rPr>
        <w:t>5</w:t>
      </w:r>
      <w:r w:rsidR="00900986" w:rsidRPr="00900986">
        <w:rPr>
          <w:rFonts w:ascii="Times New Roman" w:hAnsi="Times New Roman"/>
          <w:noProof/>
          <w:sz w:val="24"/>
          <w:szCs w:val="24"/>
        </w:rPr>
        <w:t> </w:t>
      </w:r>
      <w:r w:rsidRPr="00900986">
        <w:rPr>
          <w:rFonts w:ascii="Times New Roman" w:hAnsi="Times New Roman"/>
          <w:noProof/>
          <w:sz w:val="24"/>
          <w:szCs w:val="24"/>
        </w:rPr>
        <w:t>%</w:t>
      </w:r>
      <w:r>
        <w:rPr>
          <w:rFonts w:ascii="Times New Roman" w:hAnsi="Times New Roman"/>
          <w:noProof/>
          <w:sz w:val="24"/>
          <w:szCs w:val="24"/>
        </w:rPr>
        <w:t xml:space="preserve"> całkowitej sprzedaży wyrobów tytoniowych na poziomie unijnym, </w:t>
      </w:r>
    </w:p>
    <w:p w14:paraId="3B3E682B" w14:textId="3A3EDA6C" w:rsidR="004E6275" w:rsidRPr="001D4003" w:rsidRDefault="004E6275" w:rsidP="003E4B41">
      <w:pPr>
        <w:jc w:val="both"/>
        <w:rPr>
          <w:rFonts w:ascii="Times New Roman" w:hAnsi="Times New Roman" w:cs="Times New Roman"/>
          <w:noProof/>
          <w:sz w:val="24"/>
          <w:szCs w:val="24"/>
        </w:rPr>
      </w:pPr>
      <w:r>
        <w:rPr>
          <w:rFonts w:ascii="Times New Roman" w:hAnsi="Times New Roman"/>
          <w:noProof/>
          <w:sz w:val="24"/>
          <w:szCs w:val="24"/>
        </w:rPr>
        <w:t>w niniejszym sprawozdaniu stwierdzono istotną zmianę okoliczności</w:t>
      </w:r>
      <w:r w:rsidR="00900986">
        <w:rPr>
          <w:rFonts w:ascii="Times New Roman" w:hAnsi="Times New Roman"/>
          <w:noProof/>
          <w:sz w:val="24"/>
          <w:szCs w:val="24"/>
        </w:rPr>
        <w:t xml:space="preserve"> w odn</w:t>
      </w:r>
      <w:r>
        <w:rPr>
          <w:rFonts w:ascii="Times New Roman" w:hAnsi="Times New Roman"/>
          <w:noProof/>
          <w:sz w:val="24"/>
          <w:szCs w:val="24"/>
        </w:rPr>
        <w:t>iesieniu do podgrzewanych wyrobów tytoniowych.</w:t>
      </w:r>
    </w:p>
    <w:p w14:paraId="3EBD6893" w14:textId="34FEDA8D" w:rsidR="00F80650" w:rsidRPr="001D4003" w:rsidRDefault="00F80650" w:rsidP="003E4B41">
      <w:pPr>
        <w:jc w:val="both"/>
        <w:rPr>
          <w:rFonts w:ascii="Times New Roman" w:eastAsia="Times New Roman" w:hAnsi="Times New Roman" w:cs="Times New Roman"/>
          <w:noProof/>
          <w:sz w:val="24"/>
          <w:szCs w:val="20"/>
        </w:rPr>
      </w:pPr>
    </w:p>
    <w:sectPr w:rsidR="00F80650" w:rsidRPr="001D4003" w:rsidSect="00E92F6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F6496" w14:textId="77777777" w:rsidR="00D30620" w:rsidRDefault="00D30620" w:rsidP="005E2A65">
      <w:pPr>
        <w:spacing w:after="0" w:line="240" w:lineRule="auto"/>
      </w:pPr>
      <w:r>
        <w:separator/>
      </w:r>
    </w:p>
  </w:endnote>
  <w:endnote w:type="continuationSeparator" w:id="0">
    <w:p w14:paraId="5227026F" w14:textId="77777777" w:rsidR="00D30620" w:rsidRDefault="00D30620" w:rsidP="005E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439B" w14:textId="77777777" w:rsidR="00FE27A9" w:rsidRPr="00FE27A9" w:rsidRDefault="00FE27A9" w:rsidP="00FE2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35EE" w14:textId="29E91478" w:rsidR="00FE27A9" w:rsidRPr="00FE27A9" w:rsidRDefault="00FE27A9" w:rsidP="00FE27A9">
    <w:pPr>
      <w:pStyle w:val="FooterCoverPage"/>
      <w:rPr>
        <w:rFonts w:ascii="Arial" w:hAnsi="Arial" w:cs="Arial"/>
        <w:b/>
        <w:sz w:val="48"/>
      </w:rPr>
    </w:pPr>
    <w:r w:rsidRPr="00FE27A9">
      <w:rPr>
        <w:rFonts w:ascii="Arial" w:hAnsi="Arial" w:cs="Arial"/>
        <w:b/>
        <w:sz w:val="48"/>
      </w:rPr>
      <w:t>PL</w:t>
    </w:r>
    <w:r w:rsidRPr="00FE27A9">
      <w:rPr>
        <w:rFonts w:ascii="Arial" w:hAnsi="Arial" w:cs="Arial"/>
        <w:b/>
        <w:sz w:val="48"/>
      </w:rPr>
      <w:tab/>
    </w:r>
    <w:r w:rsidRPr="00FE27A9">
      <w:rPr>
        <w:rFonts w:ascii="Arial" w:hAnsi="Arial" w:cs="Arial"/>
        <w:b/>
        <w:sz w:val="48"/>
      </w:rPr>
      <w:tab/>
    </w:r>
    <w:r w:rsidRPr="00FE27A9">
      <w:tab/>
    </w:r>
    <w:r w:rsidRPr="00FE27A9">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2B94F" w14:textId="77777777" w:rsidR="00FE27A9" w:rsidRPr="00FE27A9" w:rsidRDefault="00FE27A9" w:rsidP="00FE27A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692E" w14:textId="77777777" w:rsidR="00CA4932" w:rsidRDefault="00CA49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784264"/>
      <w:docPartObj>
        <w:docPartGallery w:val="Page Numbers (Bottom of Page)"/>
        <w:docPartUnique/>
      </w:docPartObj>
    </w:sdtPr>
    <w:sdtEndPr>
      <w:rPr>
        <w:noProof/>
      </w:rPr>
    </w:sdtEndPr>
    <w:sdtContent>
      <w:p w14:paraId="15E5670F" w14:textId="3C05C74F" w:rsidR="00E92F68" w:rsidRDefault="00E92F68">
        <w:pPr>
          <w:pStyle w:val="Footer"/>
          <w:jc w:val="center"/>
        </w:pPr>
        <w:r>
          <w:fldChar w:fldCharType="begin"/>
        </w:r>
        <w:r>
          <w:instrText xml:space="preserve"> PAGE   \* MERGEFORMAT </w:instrText>
        </w:r>
        <w:r>
          <w:fldChar w:fldCharType="separate"/>
        </w:r>
        <w:r w:rsidR="00FE27A9">
          <w:rPr>
            <w:noProof/>
          </w:rPr>
          <w:t>1</w:t>
        </w:r>
        <w:r>
          <w:fldChar w:fldCharType="end"/>
        </w:r>
      </w:p>
    </w:sdtContent>
  </w:sdt>
  <w:p w14:paraId="0E0A8E6D" w14:textId="77777777" w:rsidR="00CA4932" w:rsidRDefault="00CA49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4D00" w14:textId="77777777" w:rsidR="00CA4932" w:rsidRDefault="00CA4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35583" w14:textId="77777777" w:rsidR="00D30620" w:rsidRDefault="00D30620" w:rsidP="005E2A65">
      <w:pPr>
        <w:spacing w:after="0" w:line="240" w:lineRule="auto"/>
      </w:pPr>
      <w:r>
        <w:separator/>
      </w:r>
    </w:p>
  </w:footnote>
  <w:footnote w:type="continuationSeparator" w:id="0">
    <w:p w14:paraId="03136FF4" w14:textId="77777777" w:rsidR="00D30620" w:rsidRDefault="00D30620" w:rsidP="005E2A65">
      <w:pPr>
        <w:spacing w:after="0" w:line="240" w:lineRule="auto"/>
      </w:pPr>
      <w:r>
        <w:continuationSeparator/>
      </w:r>
    </w:p>
  </w:footnote>
  <w:footnote w:id="1">
    <w:p w14:paraId="4FFD642A" w14:textId="7B2CF4AA" w:rsidR="00CA4932" w:rsidRPr="00B04422" w:rsidRDefault="00CA4932" w:rsidP="00EF627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Dyrektywa Parlamentu Europejskiego</w:t>
      </w:r>
      <w:r w:rsidR="00900986">
        <w:rPr>
          <w:rFonts w:ascii="Times New Roman" w:hAnsi="Times New Roman"/>
        </w:rPr>
        <w:t xml:space="preserve"> i Rad</w:t>
      </w:r>
      <w:r>
        <w:rPr>
          <w:rFonts w:ascii="Times New Roman" w:hAnsi="Times New Roman"/>
        </w:rPr>
        <w:t>y 2014/40/UE</w:t>
      </w:r>
      <w:r w:rsidR="00900986">
        <w:rPr>
          <w:rFonts w:ascii="Times New Roman" w:hAnsi="Times New Roman"/>
        </w:rPr>
        <w:t xml:space="preserve"> z dni</w:t>
      </w:r>
      <w:r>
        <w:rPr>
          <w:rFonts w:ascii="Times New Roman" w:hAnsi="Times New Roman"/>
        </w:rPr>
        <w:t>a 3 kwietnia 20</w:t>
      </w:r>
      <w:r w:rsidRPr="00900986">
        <w:rPr>
          <w:rFonts w:ascii="Times New Roman" w:hAnsi="Times New Roman"/>
        </w:rPr>
        <w:t>14</w:t>
      </w:r>
      <w:r w:rsidR="00900986" w:rsidRPr="00900986">
        <w:rPr>
          <w:rFonts w:ascii="Times New Roman" w:hAnsi="Times New Roman"/>
        </w:rPr>
        <w:t> </w:t>
      </w:r>
      <w:r w:rsidRPr="00900986">
        <w:rPr>
          <w:rFonts w:ascii="Times New Roman" w:hAnsi="Times New Roman"/>
        </w:rPr>
        <w:t>r.</w:t>
      </w:r>
      <w:r w:rsidR="00900986">
        <w:rPr>
          <w:rFonts w:ascii="Times New Roman" w:hAnsi="Times New Roman"/>
        </w:rPr>
        <w:t xml:space="preserve"> w spr</w:t>
      </w:r>
      <w:r>
        <w:rPr>
          <w:rFonts w:ascii="Times New Roman" w:hAnsi="Times New Roman"/>
        </w:rPr>
        <w:t>awie zbliżenia przepisów ustawowych, wykonawczych</w:t>
      </w:r>
      <w:r w:rsidR="00900986">
        <w:rPr>
          <w:rFonts w:ascii="Times New Roman" w:hAnsi="Times New Roman"/>
        </w:rPr>
        <w:t xml:space="preserve"> i adm</w:t>
      </w:r>
      <w:r>
        <w:rPr>
          <w:rFonts w:ascii="Times New Roman" w:hAnsi="Times New Roman"/>
        </w:rPr>
        <w:t>inistracyjnych państw członkowskich</w:t>
      </w:r>
      <w:r w:rsidR="00900986">
        <w:rPr>
          <w:rFonts w:ascii="Times New Roman" w:hAnsi="Times New Roman"/>
        </w:rPr>
        <w:t xml:space="preserve"> w spr</w:t>
      </w:r>
      <w:r>
        <w:rPr>
          <w:rFonts w:ascii="Times New Roman" w:hAnsi="Times New Roman"/>
        </w:rPr>
        <w:t>awie produkcji, prezentowania</w:t>
      </w:r>
      <w:r w:rsidR="00900986">
        <w:rPr>
          <w:rFonts w:ascii="Times New Roman" w:hAnsi="Times New Roman"/>
        </w:rPr>
        <w:t xml:space="preserve"> i spr</w:t>
      </w:r>
      <w:r>
        <w:rPr>
          <w:rFonts w:ascii="Times New Roman" w:hAnsi="Times New Roman"/>
        </w:rPr>
        <w:t>zedaży wyrobów tytoniowych</w:t>
      </w:r>
      <w:r w:rsidR="00900986">
        <w:rPr>
          <w:rFonts w:ascii="Times New Roman" w:hAnsi="Times New Roman"/>
        </w:rPr>
        <w:t xml:space="preserve"> i pow</w:t>
      </w:r>
      <w:r>
        <w:rPr>
          <w:rFonts w:ascii="Times New Roman" w:hAnsi="Times New Roman"/>
        </w:rPr>
        <w:t>iązanych wyrobów oraz uchylająca dyrektywę 2001/37/WE (Dz.U. L 127</w:t>
      </w:r>
      <w:r w:rsidR="00900986">
        <w:rPr>
          <w:rFonts w:ascii="Times New Roman" w:hAnsi="Times New Roman"/>
        </w:rPr>
        <w:t xml:space="preserve"> z 2</w:t>
      </w:r>
      <w:r>
        <w:rPr>
          <w:rFonts w:ascii="Times New Roman" w:hAnsi="Times New Roman"/>
        </w:rPr>
        <w:t>9.4.2014, s. 1).</w:t>
      </w:r>
    </w:p>
  </w:footnote>
  <w:footnote w:id="2">
    <w:p w14:paraId="27D6FBED" w14:textId="0E8D2371" w:rsidR="0071383A" w:rsidRDefault="0071383A" w:rsidP="0071383A">
      <w:pPr>
        <w:pStyle w:val="FootnoteText"/>
      </w:pPr>
      <w:r>
        <w:rPr>
          <w:rStyle w:val="FootnoteReference"/>
        </w:rPr>
        <w:footnoteRef/>
      </w:r>
      <w:r>
        <w:t xml:space="preserve"> </w:t>
      </w:r>
      <w:hyperlink r:id="rId1" w:history="1">
        <w:r>
          <w:rPr>
            <w:rStyle w:val="Hyperlink"/>
            <w:rFonts w:ascii="Times New Roman" w:hAnsi="Times New Roman"/>
          </w:rPr>
          <w:t>Attitudes of Europeans towards tobacco and electronic cigarettes [Postawy Europejczyków wobec tytoniu</w:t>
        </w:r>
        <w:r w:rsidR="00900986">
          <w:rPr>
            <w:rStyle w:val="Hyperlink"/>
            <w:rFonts w:ascii="Times New Roman" w:hAnsi="Times New Roman"/>
          </w:rPr>
          <w:t xml:space="preserve"> i pap</w:t>
        </w:r>
        <w:r>
          <w:rPr>
            <w:rStyle w:val="Hyperlink"/>
            <w:rFonts w:ascii="Times New Roman" w:hAnsi="Times New Roman"/>
          </w:rPr>
          <w:t>ierosów elektronicznych] – luty 20</w:t>
        </w:r>
        <w:r w:rsidRPr="00900986">
          <w:rPr>
            <w:rStyle w:val="Hyperlink"/>
            <w:rFonts w:ascii="Times New Roman" w:hAnsi="Times New Roman"/>
          </w:rPr>
          <w:t>21</w:t>
        </w:r>
        <w:r w:rsidR="00900986" w:rsidRPr="00900986">
          <w:rPr>
            <w:rStyle w:val="Hyperlink"/>
            <w:rFonts w:ascii="Times New Roman" w:hAnsi="Times New Roman"/>
          </w:rPr>
          <w:t> </w:t>
        </w:r>
        <w:r w:rsidRPr="00900986">
          <w:rPr>
            <w:rStyle w:val="Hyperlink"/>
            <w:rFonts w:ascii="Times New Roman" w:hAnsi="Times New Roman"/>
          </w:rPr>
          <w:t>r.</w:t>
        </w:r>
        <w:r>
          <w:rPr>
            <w:rStyle w:val="Hyperlink"/>
            <w:rFonts w:ascii="Times New Roman" w:hAnsi="Times New Roman"/>
          </w:rPr>
          <w:t xml:space="preserve"> – badanie Eurobarometr (europa.eu)</w:t>
        </w:r>
      </w:hyperlink>
    </w:p>
  </w:footnote>
  <w:footnote w:id="3">
    <w:p w14:paraId="6B419F9F" w14:textId="6C667B55" w:rsidR="00A37707" w:rsidRPr="00326D59" w:rsidRDefault="00A37707" w:rsidP="00CC5C11">
      <w:pPr>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szCs w:val="20"/>
        </w:rPr>
        <w:t>Aby oszacować wielkość sprzedaży wyrobów tytoniowych do samodzielnego skręcania papierosów, uznano, że paczka tytoniu do samodzielnego skręcania papierosów, jak odnotowano</w:t>
      </w:r>
      <w:r w:rsidR="00900986">
        <w:rPr>
          <w:rFonts w:ascii="Times New Roman" w:hAnsi="Times New Roman"/>
          <w:sz w:val="20"/>
          <w:szCs w:val="20"/>
        </w:rPr>
        <w:t xml:space="preserve"> w sys</w:t>
      </w:r>
      <w:r>
        <w:rPr>
          <w:rFonts w:ascii="Times New Roman" w:hAnsi="Times New Roman"/>
          <w:sz w:val="20"/>
          <w:szCs w:val="20"/>
        </w:rPr>
        <w:t>temie identyfikowalności wyrobów tytoniowych, zawiera 50 gramów tytoniu, czyli równowartość około 71 sztuk (zakładając, że na jedną sztukę przypada 0,7 grama tytoniu).</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1C1F" w14:textId="77777777" w:rsidR="00FE27A9" w:rsidRPr="00FE27A9" w:rsidRDefault="00FE27A9" w:rsidP="00FE2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02C6" w14:textId="77777777" w:rsidR="00FE27A9" w:rsidRPr="00FE27A9" w:rsidRDefault="00FE27A9" w:rsidP="00FE27A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46E2" w14:textId="77777777" w:rsidR="00FE27A9" w:rsidRPr="00FE27A9" w:rsidRDefault="00FE27A9" w:rsidP="00FE27A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F6CA" w14:textId="77777777" w:rsidR="00CA4932" w:rsidRDefault="00CA49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5173" w14:textId="77777777" w:rsidR="00CA4932" w:rsidRDefault="00CA49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F039" w14:textId="77777777" w:rsidR="00CA4932" w:rsidRDefault="00CA4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2114F"/>
    <w:multiLevelType w:val="hybridMultilevel"/>
    <w:tmpl w:val="16AE7CD4"/>
    <w:lvl w:ilvl="0" w:tplc="8690A22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64433218"/>
    <w:multiLevelType w:val="hybridMultilevel"/>
    <w:tmpl w:val="47946F68"/>
    <w:lvl w:ilvl="0" w:tplc="6BCCE1E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774ED"/>
    <w:multiLevelType w:val="hybridMultilevel"/>
    <w:tmpl w:val="CC987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264A2"/>
    <w:multiLevelType w:val="hybridMultilevel"/>
    <w:tmpl w:val="9BEC3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FB2A4A"/>
    <w:multiLevelType w:val="hybridMultilevel"/>
    <w:tmpl w:val="03D68A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C74BC"/>
    <w:multiLevelType w:val="hybridMultilevel"/>
    <w:tmpl w:val="9BEC3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E6022"/>
    <w:multiLevelType w:val="hybridMultilevel"/>
    <w:tmpl w:val="8BE40FC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5FA8A43-35DA-4B67-A996-50F74FAD4622"/>
    <w:docVar w:name="LW_COVERPAGE_TYPE" w:val="1"/>
    <w:docVar w:name="LW_CROSSREFERENCE" w:val="&lt;UNUSED&gt;"/>
    <w:docVar w:name="LW_DocType" w:val="NORMAL"/>
    <w:docVar w:name="LW_EMISSION" w:val="15.6.2022"/>
    <w:docVar w:name="LW_EMISSION_ISODATE" w:val="2022-06-15"/>
    <w:docVar w:name="LW_EMISSION_LOCATION" w:val="BRX"/>
    <w:docVar w:name="LW_EMISSION_PREFIX" w:val="Bruksela, dnia "/>
    <w:docVar w:name="LW_EMISSION_SUFFIX" w:val=" r."/>
    <w:docVar w:name="LW_ID_DOCTYPE_NONLW" w:val="CP-003"/>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2)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w sprawie stwierdzenia istotnej zmiany okoliczności w odniesieniu do podgrzewanych wyrobów tytoniowych zgodnie z dyrektywą 2014/40/UE"/>
    <w:docVar w:name="LW_TYPE.DOC.CP" w:val="SPRAWOZDANIE KOMISJI"/>
    <w:docVar w:name="LwApiVersions" w:val="LW4CoDe 1.23.2.0; LW 8.0, Build 20211117"/>
  </w:docVars>
  <w:rsids>
    <w:rsidRoot w:val="005E2A65"/>
    <w:rsid w:val="00002017"/>
    <w:rsid w:val="00014868"/>
    <w:rsid w:val="00024986"/>
    <w:rsid w:val="000324C1"/>
    <w:rsid w:val="000A37C6"/>
    <w:rsid w:val="000C17D6"/>
    <w:rsid w:val="000E5E3F"/>
    <w:rsid w:val="000F36D7"/>
    <w:rsid w:val="000F3F30"/>
    <w:rsid w:val="00132D46"/>
    <w:rsid w:val="00147140"/>
    <w:rsid w:val="001713D1"/>
    <w:rsid w:val="0017602C"/>
    <w:rsid w:val="001943A6"/>
    <w:rsid w:val="001A1DD7"/>
    <w:rsid w:val="001A5058"/>
    <w:rsid w:val="001C0CAF"/>
    <w:rsid w:val="001C2ABD"/>
    <w:rsid w:val="001C43F5"/>
    <w:rsid w:val="001D25EE"/>
    <w:rsid w:val="001D4003"/>
    <w:rsid w:val="001D4DE7"/>
    <w:rsid w:val="001E370C"/>
    <w:rsid w:val="001E4A43"/>
    <w:rsid w:val="001E5044"/>
    <w:rsid w:val="001E58B6"/>
    <w:rsid w:val="001F07EF"/>
    <w:rsid w:val="00221FE3"/>
    <w:rsid w:val="00236C79"/>
    <w:rsid w:val="00255396"/>
    <w:rsid w:val="00264728"/>
    <w:rsid w:val="00267087"/>
    <w:rsid w:val="0027738D"/>
    <w:rsid w:val="00286BEA"/>
    <w:rsid w:val="002C4808"/>
    <w:rsid w:val="002C51D2"/>
    <w:rsid w:val="002E1382"/>
    <w:rsid w:val="002E2E34"/>
    <w:rsid w:val="002F38C7"/>
    <w:rsid w:val="00314070"/>
    <w:rsid w:val="00326D59"/>
    <w:rsid w:val="00363186"/>
    <w:rsid w:val="003742A9"/>
    <w:rsid w:val="00395722"/>
    <w:rsid w:val="003A2066"/>
    <w:rsid w:val="003E054A"/>
    <w:rsid w:val="003E33FD"/>
    <w:rsid w:val="003E4B41"/>
    <w:rsid w:val="003E6640"/>
    <w:rsid w:val="003F3944"/>
    <w:rsid w:val="0040072E"/>
    <w:rsid w:val="00400D6A"/>
    <w:rsid w:val="004024B5"/>
    <w:rsid w:val="00410D1B"/>
    <w:rsid w:val="00415CB1"/>
    <w:rsid w:val="0043127E"/>
    <w:rsid w:val="00433A50"/>
    <w:rsid w:val="00447A01"/>
    <w:rsid w:val="00464D0A"/>
    <w:rsid w:val="00480537"/>
    <w:rsid w:val="004912E7"/>
    <w:rsid w:val="004B3EB4"/>
    <w:rsid w:val="004E6275"/>
    <w:rsid w:val="005031DC"/>
    <w:rsid w:val="005071C9"/>
    <w:rsid w:val="00526D38"/>
    <w:rsid w:val="00533E57"/>
    <w:rsid w:val="0056714A"/>
    <w:rsid w:val="00577628"/>
    <w:rsid w:val="005803AD"/>
    <w:rsid w:val="005B547B"/>
    <w:rsid w:val="005D28C9"/>
    <w:rsid w:val="005D775F"/>
    <w:rsid w:val="005E0557"/>
    <w:rsid w:val="005E2A65"/>
    <w:rsid w:val="0060018F"/>
    <w:rsid w:val="00620F4F"/>
    <w:rsid w:val="006561F7"/>
    <w:rsid w:val="0066589D"/>
    <w:rsid w:val="00691F51"/>
    <w:rsid w:val="006B70CB"/>
    <w:rsid w:val="006E6288"/>
    <w:rsid w:val="00701084"/>
    <w:rsid w:val="00707745"/>
    <w:rsid w:val="0071383A"/>
    <w:rsid w:val="007309CE"/>
    <w:rsid w:val="00735666"/>
    <w:rsid w:val="00737C35"/>
    <w:rsid w:val="007466AF"/>
    <w:rsid w:val="0075034C"/>
    <w:rsid w:val="007503F2"/>
    <w:rsid w:val="00783578"/>
    <w:rsid w:val="007A58E0"/>
    <w:rsid w:val="007C2EB9"/>
    <w:rsid w:val="007E109F"/>
    <w:rsid w:val="007E1239"/>
    <w:rsid w:val="00803423"/>
    <w:rsid w:val="00815F33"/>
    <w:rsid w:val="00824F6D"/>
    <w:rsid w:val="00830354"/>
    <w:rsid w:val="008354B4"/>
    <w:rsid w:val="00841A93"/>
    <w:rsid w:val="00885272"/>
    <w:rsid w:val="00891F16"/>
    <w:rsid w:val="008925D7"/>
    <w:rsid w:val="008933B3"/>
    <w:rsid w:val="00893763"/>
    <w:rsid w:val="008A5A37"/>
    <w:rsid w:val="008A62C6"/>
    <w:rsid w:val="008C2F0D"/>
    <w:rsid w:val="008C477F"/>
    <w:rsid w:val="008D0842"/>
    <w:rsid w:val="008D2398"/>
    <w:rsid w:val="008D4902"/>
    <w:rsid w:val="008E14A6"/>
    <w:rsid w:val="00900986"/>
    <w:rsid w:val="00903453"/>
    <w:rsid w:val="0091041E"/>
    <w:rsid w:val="00924EEE"/>
    <w:rsid w:val="00925C36"/>
    <w:rsid w:val="009718D5"/>
    <w:rsid w:val="00984BAF"/>
    <w:rsid w:val="009946FD"/>
    <w:rsid w:val="009A1522"/>
    <w:rsid w:val="009A2787"/>
    <w:rsid w:val="009C7B50"/>
    <w:rsid w:val="009D1737"/>
    <w:rsid w:val="009D26A7"/>
    <w:rsid w:val="009E0604"/>
    <w:rsid w:val="009E6BC0"/>
    <w:rsid w:val="009F7C54"/>
    <w:rsid w:val="00A22FEB"/>
    <w:rsid w:val="00A37707"/>
    <w:rsid w:val="00A630DF"/>
    <w:rsid w:val="00A65AB4"/>
    <w:rsid w:val="00A77BE0"/>
    <w:rsid w:val="00A82096"/>
    <w:rsid w:val="00AA02A1"/>
    <w:rsid w:val="00AA3105"/>
    <w:rsid w:val="00AD4FDE"/>
    <w:rsid w:val="00AF2469"/>
    <w:rsid w:val="00AF2637"/>
    <w:rsid w:val="00AF49B3"/>
    <w:rsid w:val="00AF53B5"/>
    <w:rsid w:val="00B04422"/>
    <w:rsid w:val="00B22F5E"/>
    <w:rsid w:val="00B36348"/>
    <w:rsid w:val="00B762E7"/>
    <w:rsid w:val="00BA259D"/>
    <w:rsid w:val="00BB4D48"/>
    <w:rsid w:val="00BE06FA"/>
    <w:rsid w:val="00BE277B"/>
    <w:rsid w:val="00C07CC3"/>
    <w:rsid w:val="00C20E5F"/>
    <w:rsid w:val="00C2158D"/>
    <w:rsid w:val="00C26ED8"/>
    <w:rsid w:val="00C34182"/>
    <w:rsid w:val="00C423E1"/>
    <w:rsid w:val="00C53F59"/>
    <w:rsid w:val="00C65E78"/>
    <w:rsid w:val="00C84919"/>
    <w:rsid w:val="00C97BD8"/>
    <w:rsid w:val="00CA4932"/>
    <w:rsid w:val="00CC5C11"/>
    <w:rsid w:val="00CF0570"/>
    <w:rsid w:val="00CF1008"/>
    <w:rsid w:val="00D17563"/>
    <w:rsid w:val="00D25D64"/>
    <w:rsid w:val="00D30620"/>
    <w:rsid w:val="00D51C2F"/>
    <w:rsid w:val="00D64540"/>
    <w:rsid w:val="00D71895"/>
    <w:rsid w:val="00DB6ADF"/>
    <w:rsid w:val="00DC2EE9"/>
    <w:rsid w:val="00DD11BE"/>
    <w:rsid w:val="00DD2113"/>
    <w:rsid w:val="00DF278E"/>
    <w:rsid w:val="00E10478"/>
    <w:rsid w:val="00E6552C"/>
    <w:rsid w:val="00E769F3"/>
    <w:rsid w:val="00E90A79"/>
    <w:rsid w:val="00E92F68"/>
    <w:rsid w:val="00EA61EB"/>
    <w:rsid w:val="00EA7F75"/>
    <w:rsid w:val="00EB6477"/>
    <w:rsid w:val="00EC6454"/>
    <w:rsid w:val="00ED4979"/>
    <w:rsid w:val="00ED7A95"/>
    <w:rsid w:val="00EF6274"/>
    <w:rsid w:val="00F319F1"/>
    <w:rsid w:val="00F33543"/>
    <w:rsid w:val="00F37510"/>
    <w:rsid w:val="00F80650"/>
    <w:rsid w:val="00F81C48"/>
    <w:rsid w:val="00FA69D9"/>
    <w:rsid w:val="00FC130B"/>
    <w:rsid w:val="00FC5EAB"/>
    <w:rsid w:val="00FD614E"/>
    <w:rsid w:val="00FE0ABA"/>
    <w:rsid w:val="00FE27A9"/>
    <w:rsid w:val="00FF1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A40C6C"/>
  <w15:chartTrackingRefBased/>
  <w15:docId w15:val="{35BCE14D-CB72-48E4-BF0F-5586365B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F16"/>
  </w:style>
  <w:style w:type="paragraph" w:styleId="Heading1">
    <w:name w:val="heading 1"/>
    <w:basedOn w:val="Normal"/>
    <w:next w:val="Normal"/>
    <w:link w:val="Heading1Char"/>
    <w:uiPriority w:val="9"/>
    <w:qFormat/>
    <w:rsid w:val="003E3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E2A65"/>
    <w:rPr>
      <w:color w:val="0000FF"/>
      <w:shd w:val="clear" w:color="auto" w:fill="auto"/>
    </w:rPr>
  </w:style>
  <w:style w:type="paragraph" w:customStyle="1" w:styleId="Pagedecouverture">
    <w:name w:val="Page de couverture"/>
    <w:basedOn w:val="Normal"/>
    <w:next w:val="Normal"/>
    <w:rsid w:val="005E2A65"/>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5E2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A65"/>
  </w:style>
  <w:style w:type="paragraph" w:styleId="Footer">
    <w:name w:val="footer"/>
    <w:basedOn w:val="Normal"/>
    <w:link w:val="FooterChar"/>
    <w:uiPriority w:val="99"/>
    <w:unhideWhenUsed/>
    <w:rsid w:val="005E2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A65"/>
  </w:style>
  <w:style w:type="paragraph" w:customStyle="1" w:styleId="FooterCoverPage">
    <w:name w:val="Footer Cover Page"/>
    <w:basedOn w:val="Normal"/>
    <w:link w:val="FooterCoverPageChar"/>
    <w:rsid w:val="005E2A6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E2A65"/>
    <w:rPr>
      <w:rFonts w:ascii="Times New Roman" w:hAnsi="Times New Roman" w:cs="Times New Roman"/>
      <w:sz w:val="24"/>
    </w:rPr>
  </w:style>
  <w:style w:type="paragraph" w:customStyle="1" w:styleId="FooterSensitivity">
    <w:name w:val="Footer Sensitivity"/>
    <w:basedOn w:val="Normal"/>
    <w:link w:val="FooterSensitivityChar"/>
    <w:rsid w:val="005E2A6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E2A65"/>
    <w:rPr>
      <w:rFonts w:ascii="Times New Roman" w:hAnsi="Times New Roman" w:cs="Times New Roman"/>
      <w:b/>
      <w:sz w:val="32"/>
    </w:rPr>
  </w:style>
  <w:style w:type="paragraph" w:customStyle="1" w:styleId="HeaderCoverPage">
    <w:name w:val="Header Cover Page"/>
    <w:basedOn w:val="Normal"/>
    <w:link w:val="HeaderCoverPageChar"/>
    <w:rsid w:val="005E2A6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E2A65"/>
    <w:rPr>
      <w:rFonts w:ascii="Times New Roman" w:hAnsi="Times New Roman" w:cs="Times New Roman"/>
      <w:sz w:val="24"/>
    </w:rPr>
  </w:style>
  <w:style w:type="paragraph" w:customStyle="1" w:styleId="HeaderSensitivity">
    <w:name w:val="Header Sensitivity"/>
    <w:basedOn w:val="Normal"/>
    <w:link w:val="HeaderSensitivityChar"/>
    <w:rsid w:val="005E2A6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E2A65"/>
    <w:rPr>
      <w:rFonts w:ascii="Times New Roman" w:hAnsi="Times New Roman" w:cs="Times New Roman"/>
      <w:b/>
      <w:sz w:val="32"/>
    </w:rPr>
  </w:style>
  <w:style w:type="paragraph" w:customStyle="1" w:styleId="HeaderSensitivityRight">
    <w:name w:val="Header Sensitivity Right"/>
    <w:basedOn w:val="Normal"/>
    <w:link w:val="HeaderSensitivityRightChar"/>
    <w:rsid w:val="005E2A6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E2A65"/>
    <w:rPr>
      <w:rFonts w:ascii="Times New Roman" w:hAnsi="Times New Roman" w:cs="Times New Roman"/>
      <w:sz w:val="28"/>
    </w:rPr>
  </w:style>
  <w:style w:type="paragraph" w:styleId="FootnoteText">
    <w:name w:val="footnote text"/>
    <w:basedOn w:val="Normal"/>
    <w:link w:val="FootnoteTextChar"/>
    <w:uiPriority w:val="99"/>
    <w:semiHidden/>
    <w:unhideWhenUsed/>
    <w:rsid w:val="00B04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422"/>
    <w:rPr>
      <w:sz w:val="20"/>
      <w:szCs w:val="20"/>
    </w:rPr>
  </w:style>
  <w:style w:type="character" w:styleId="FootnoteReference">
    <w:name w:val="footnote reference"/>
    <w:basedOn w:val="DefaultParagraphFont"/>
    <w:uiPriority w:val="99"/>
    <w:semiHidden/>
    <w:unhideWhenUsed/>
    <w:rsid w:val="00B04422"/>
    <w:rPr>
      <w:vertAlign w:val="superscript"/>
    </w:rPr>
  </w:style>
  <w:style w:type="table" w:styleId="PlainTable3">
    <w:name w:val="Plain Table 3"/>
    <w:basedOn w:val="TableNormal"/>
    <w:uiPriority w:val="43"/>
    <w:rsid w:val="00DD11B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D11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D11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E33FD"/>
    <w:pPr>
      <w:ind w:left="720"/>
      <w:contextualSpacing/>
    </w:pPr>
  </w:style>
  <w:style w:type="paragraph" w:customStyle="1" w:styleId="Heading1NoNumb">
    <w:name w:val="Heading 1NoNumb"/>
    <w:aliases w:val="Heading1NoNumb,Divider"/>
    <w:basedOn w:val="Heading1"/>
    <w:next w:val="Normal"/>
    <w:uiPriority w:val="29"/>
    <w:qFormat/>
    <w:rsid w:val="003E33FD"/>
    <w:pPr>
      <w:spacing w:before="120" w:after="120" w:line="240" w:lineRule="auto"/>
    </w:pPr>
    <w:rPr>
      <w:rFonts w:ascii="Verdana" w:hAnsi="Verdana"/>
      <w:b/>
      <w:bCs/>
      <w:color w:val="auto"/>
      <w:sz w:val="24"/>
      <w:szCs w:val="28"/>
    </w:rPr>
  </w:style>
  <w:style w:type="character" w:styleId="CommentReference">
    <w:name w:val="annotation reference"/>
    <w:basedOn w:val="DefaultParagraphFont"/>
    <w:uiPriority w:val="99"/>
    <w:semiHidden/>
    <w:unhideWhenUsed/>
    <w:rsid w:val="003E33FD"/>
    <w:rPr>
      <w:sz w:val="16"/>
      <w:szCs w:val="16"/>
    </w:rPr>
  </w:style>
  <w:style w:type="paragraph" w:styleId="CommentText">
    <w:name w:val="annotation text"/>
    <w:basedOn w:val="Normal"/>
    <w:link w:val="CommentTextChar"/>
    <w:uiPriority w:val="99"/>
    <w:semiHidden/>
    <w:unhideWhenUsed/>
    <w:rsid w:val="003E33FD"/>
    <w:pPr>
      <w:spacing w:line="240" w:lineRule="auto"/>
    </w:pPr>
    <w:rPr>
      <w:sz w:val="20"/>
      <w:szCs w:val="20"/>
    </w:rPr>
  </w:style>
  <w:style w:type="character" w:customStyle="1" w:styleId="CommentTextChar">
    <w:name w:val="Comment Text Char"/>
    <w:basedOn w:val="DefaultParagraphFont"/>
    <w:link w:val="CommentText"/>
    <w:uiPriority w:val="99"/>
    <w:semiHidden/>
    <w:rsid w:val="003E33FD"/>
    <w:rPr>
      <w:sz w:val="20"/>
      <w:szCs w:val="20"/>
      <w:lang w:val="pl-PL"/>
    </w:rPr>
  </w:style>
  <w:style w:type="character" w:customStyle="1" w:styleId="Heading1Char">
    <w:name w:val="Heading 1 Char"/>
    <w:basedOn w:val="DefaultParagraphFont"/>
    <w:link w:val="Heading1"/>
    <w:uiPriority w:val="9"/>
    <w:rsid w:val="003E33F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E3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3FD"/>
    <w:rPr>
      <w:rFonts w:ascii="Segoe UI" w:hAnsi="Segoe UI" w:cs="Segoe UI"/>
      <w:sz w:val="18"/>
      <w:szCs w:val="18"/>
    </w:rPr>
  </w:style>
  <w:style w:type="table" w:styleId="PlainTable2">
    <w:name w:val="Plain Table 2"/>
    <w:basedOn w:val="TableNormal"/>
    <w:uiPriority w:val="42"/>
    <w:rsid w:val="005671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E4B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BB4D48"/>
    <w:rPr>
      <w:b/>
      <w:bCs/>
    </w:rPr>
  </w:style>
  <w:style w:type="character" w:customStyle="1" w:styleId="CommentSubjectChar">
    <w:name w:val="Comment Subject Char"/>
    <w:basedOn w:val="CommentTextChar"/>
    <w:link w:val="CommentSubject"/>
    <w:uiPriority w:val="99"/>
    <w:semiHidden/>
    <w:rsid w:val="00BB4D48"/>
    <w:rPr>
      <w:b/>
      <w:bCs/>
      <w:sz w:val="20"/>
      <w:szCs w:val="20"/>
      <w:lang w:val="pl-PL"/>
    </w:rPr>
  </w:style>
  <w:style w:type="character" w:styleId="Hyperlink">
    <w:name w:val="Hyperlink"/>
    <w:basedOn w:val="DefaultParagraphFont"/>
    <w:uiPriority w:val="99"/>
    <w:unhideWhenUsed/>
    <w:rsid w:val="000A37C6"/>
    <w:rPr>
      <w:color w:val="0000FF"/>
      <w:u w:val="single"/>
    </w:rPr>
  </w:style>
  <w:style w:type="character" w:styleId="FollowedHyperlink">
    <w:name w:val="FollowedHyperlink"/>
    <w:basedOn w:val="DefaultParagraphFont"/>
    <w:uiPriority w:val="99"/>
    <w:semiHidden/>
    <w:unhideWhenUsed/>
    <w:rsid w:val="0071383A"/>
    <w:rPr>
      <w:color w:val="954F72" w:themeColor="followedHyperlink"/>
      <w:u w:val="single"/>
    </w:rPr>
  </w:style>
  <w:style w:type="table" w:styleId="TableGrid">
    <w:name w:val="Table Grid"/>
    <w:basedOn w:val="TableNormal"/>
    <w:uiPriority w:val="39"/>
    <w:rsid w:val="0070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10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20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opa.eu/eurobarometer/surveys/detail/2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0F831-08E0-4E28-8CED-E4D9270B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1965</Words>
  <Characters>12360</Characters>
  <Application>Microsoft Office Word</Application>
  <DocSecurity>0</DocSecurity>
  <Lines>457</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34</cp:revision>
  <dcterms:created xsi:type="dcterms:W3CDTF">2022-05-04T13:05:00Z</dcterms:created>
  <dcterms:modified xsi:type="dcterms:W3CDTF">2022-06-08T10:55:00Z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8.0, Build 20220128</vt:lpwstr>
  </property>
  <property fmtid="{D5CDD505-2E9C-101B-9397-08002B2CF9AE}" pid="8" name="Created using">
    <vt:lpwstr>LW 7.0.1, Build 20200226</vt:lpwstr>
  </property>
</Properties>
</file>