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DCCBB" w14:textId="5D048338" w:rsidR="005E2A65" w:rsidRDefault="007A4712" w:rsidP="007A4712">
      <w:pPr>
        <w:pStyle w:val="Pagedecouverture"/>
        <w:rPr>
          <w:noProof/>
        </w:rPr>
      </w:pPr>
      <w:bookmarkStart w:id="0" w:name="LW_BM_COVERPAGE"/>
      <w:r>
        <w:rPr>
          <w:noProof/>
        </w:rPr>
        <w:pict w14:anchorId="0A492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F46F9E0-3035-4B3A-9644-350592CB6628" style="width:455.25pt;height:310.5pt">
            <v:imagedata r:id="rId8" o:title=""/>
          </v:shape>
        </w:pict>
      </w:r>
    </w:p>
    <w:bookmarkEnd w:id="0"/>
    <w:p w14:paraId="3AC40524" w14:textId="77777777" w:rsidR="005E2A65" w:rsidRDefault="005E2A65" w:rsidP="005E2A65">
      <w:pPr>
        <w:rPr>
          <w:noProof/>
        </w:rPr>
        <w:sectPr w:rsidR="005E2A65" w:rsidSect="007A471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D05FC70" w14:textId="77777777" w:rsidR="00C53F59" w:rsidRPr="001D4003" w:rsidRDefault="00B22F5E">
      <w:p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1. Uvod</w:t>
      </w:r>
    </w:p>
    <w:p w14:paraId="0128FFD1" w14:textId="58773D7B" w:rsidR="00B04422" w:rsidRPr="001D4003" w:rsidRDefault="00EF6274" w:rsidP="00B04422">
      <w:pPr>
        <w:jc w:val="both"/>
        <w:rPr>
          <w:rFonts w:ascii="Times New Roman" w:hAnsi="Times New Roman" w:cs="Times New Roman"/>
          <w:noProof/>
          <w:sz w:val="24"/>
          <w:szCs w:val="24"/>
        </w:rPr>
      </w:pPr>
      <w:r>
        <w:rPr>
          <w:rFonts w:ascii="Times New Roman" w:hAnsi="Times New Roman"/>
          <w:noProof/>
          <w:sz w:val="24"/>
          <w:szCs w:val="24"/>
        </w:rPr>
        <w:t>V členu 2, točka 28, Direktive 2014/40/EU</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(v nadaljnjem besedilu: Direktiva) je „bistvena sprememba okoliščin“ opredeljena kot povečanje obsega prodaje na kategorijo izdelka za vsaj 10 % v najmanj petih državah članicah na podlagi podatkov o prodaji, ki so predloženi v skladu s členom 5(6), ali povečanja razširjenosti kajenja v skupini potrošnikov, mlajših od 25 let, za vsaj pet odstotnih točk v vsaj petih državah članicah za zadevno kategorijo izdelkov, ki temeljijo na posebnem poročilu Eurobarometra 385 iz maja 2012 ali enakovredni študiji o razširjenosti kajenja. V skladu z isto določbo se šteje, da bistvene spremembe okoliščin ni bilo, če obseg prodaje posamezne kategorije izdelka na maloprodajni ravni ne presega 2,5-odstotnega deleža celotne prodaje tobačnih izdelkov na ravni Unije. Komisija mora v skladu s členom 7(12) in členom 11(6) Direktive bistveno spremembo okoliščin za zadevno kategorijo izdelkov ugotoviti v poročilu.</w:t>
      </w:r>
    </w:p>
    <w:p w14:paraId="79E28070" w14:textId="6680EEB1" w:rsidR="00701084" w:rsidRDefault="00EF6274" w:rsidP="00B04422">
      <w:pPr>
        <w:jc w:val="both"/>
        <w:rPr>
          <w:rFonts w:ascii="Times New Roman" w:hAnsi="Times New Roman" w:cs="Times New Roman"/>
          <w:noProof/>
          <w:sz w:val="24"/>
          <w:szCs w:val="24"/>
        </w:rPr>
      </w:pPr>
      <w:r>
        <w:rPr>
          <w:rFonts w:ascii="Times New Roman" w:hAnsi="Times New Roman"/>
          <w:noProof/>
          <w:sz w:val="24"/>
          <w:szCs w:val="24"/>
        </w:rPr>
        <w:t>To poročilo vsebuje informacije o razvoju trga, ki so pomembne za oceno bistvene spremembe okoliščin za ogrevane tobačne izdelke. Ogrevani tobačni izdelki so novi tobačni izdelki, ki pri segrevanju sproščajo emisije, ki vsebujejo nikotin in druge kemikalije, ki jih nato vdihavajo uporabniki, in ki so glede na svoje značilnosti brezdimni tobačni izdelki v smislu člena 2, točka 5, Direktive ali tobačni izdelki za kajenje v smislu člena 2, točka 9, Direktive. Analiza, predstavljena v tem poročilu, temelji na podatkih, posredovanih v skladu s členom 5(6) Direktive prek skupnega portala EU (EU-CEG), podatkih, zbranih v sistemu EU za sledljivost tobačnih izdelkov, vzpostavljenem v skladu s členom 15 Direktive, in podatkih družbe „Euromonitor International Passport Tobacco 2021“. Gre za komercialni nabor podatkov, ki ga je Komisija pridobila od družbe Euromonitor International. Ta nabor podatkov družbe Euromonitor ne vključuje podatkov za LU, MT in CY (ki predstavljajo manj kot 0,5 % prebivalstva EU). Kljub temu so bili uporabljeni kot reprezentativen približek za prodajo v EU27.</w:t>
      </w:r>
    </w:p>
    <w:p w14:paraId="6ACC5D95" w14:textId="77777777" w:rsidR="00447A01" w:rsidRDefault="00447A01" w:rsidP="00B04422">
      <w:pPr>
        <w:jc w:val="both"/>
        <w:rPr>
          <w:rFonts w:ascii="Times New Roman" w:hAnsi="Times New Roman" w:cs="Times New Roman"/>
          <w:noProof/>
          <w:sz w:val="24"/>
          <w:szCs w:val="24"/>
        </w:rPr>
      </w:pPr>
    </w:p>
    <w:p w14:paraId="47D195F0" w14:textId="77777777" w:rsidR="00701084" w:rsidRDefault="00B22F5E" w:rsidP="00701084">
      <w:pPr>
        <w:jc w:val="both"/>
        <w:rPr>
          <w:rFonts w:ascii="Times New Roman" w:hAnsi="Times New Roman" w:cs="Times New Roman"/>
          <w:noProof/>
          <w:sz w:val="24"/>
          <w:szCs w:val="24"/>
        </w:rPr>
      </w:pPr>
      <w:r>
        <w:rPr>
          <w:rFonts w:ascii="Times New Roman" w:hAnsi="Times New Roman"/>
          <w:b/>
          <w:noProof/>
          <w:sz w:val="24"/>
          <w:szCs w:val="24"/>
        </w:rPr>
        <w:t>2. Analiza bistvene spremembe okoliščin za ogrevane tobačne izdelke</w:t>
      </w:r>
    </w:p>
    <w:p w14:paraId="10EB85C0" w14:textId="77777777" w:rsidR="00701084" w:rsidRDefault="00701084" w:rsidP="00701084">
      <w:pPr>
        <w:jc w:val="both"/>
        <w:rPr>
          <w:rFonts w:ascii="Times New Roman" w:hAnsi="Times New Roman" w:cs="Times New Roman"/>
          <w:noProof/>
          <w:sz w:val="24"/>
          <w:szCs w:val="24"/>
        </w:rPr>
      </w:pPr>
      <w:r>
        <w:rPr>
          <w:rFonts w:ascii="Times New Roman" w:hAnsi="Times New Roman"/>
          <w:b/>
          <w:noProof/>
          <w:sz w:val="24"/>
          <w:szCs w:val="24"/>
        </w:rPr>
        <w:t>2.1 Prvi pogoj za bistveno spremembo okoliščin</w:t>
      </w:r>
      <w:r>
        <w:rPr>
          <w:rFonts w:ascii="Times New Roman" w:hAnsi="Times New Roman"/>
          <w:b/>
          <w:bCs/>
          <w:noProof/>
          <w:sz w:val="24"/>
          <w:szCs w:val="24"/>
        </w:rPr>
        <w:t xml:space="preserve"> </w:t>
      </w:r>
    </w:p>
    <w:p w14:paraId="69D61E6D" w14:textId="47F76C77" w:rsidR="00701084" w:rsidRDefault="000A37C6" w:rsidP="00701084">
      <w:pPr>
        <w:jc w:val="both"/>
        <w:rPr>
          <w:rFonts w:ascii="Times New Roman" w:eastAsiaTheme="majorEastAsia" w:hAnsi="Times New Roman" w:cs="Times New Roman"/>
          <w:bCs/>
          <w:noProof/>
          <w:sz w:val="24"/>
          <w:szCs w:val="24"/>
        </w:rPr>
      </w:pPr>
      <w:r>
        <w:rPr>
          <w:rFonts w:ascii="Times New Roman" w:hAnsi="Times New Roman"/>
          <w:bCs/>
          <w:noProof/>
          <w:sz w:val="24"/>
          <w:szCs w:val="24"/>
        </w:rPr>
        <w:t>Za izpolnitev prvega pogoja za bistveno spremembo okoliščin je treba ugotoviti eno od naslednjih dveh okoliščin.</w:t>
      </w:r>
    </w:p>
    <w:p w14:paraId="62E0655D" w14:textId="77777777" w:rsidR="00701084" w:rsidRPr="00701084" w:rsidRDefault="000A37C6" w:rsidP="00701084">
      <w:pPr>
        <w:jc w:val="both"/>
        <w:rPr>
          <w:rFonts w:ascii="Times New Roman" w:hAnsi="Times New Roman" w:cs="Times New Roman"/>
          <w:b/>
          <w:noProof/>
          <w:sz w:val="24"/>
          <w:szCs w:val="24"/>
        </w:rPr>
      </w:pPr>
      <w:r>
        <w:rPr>
          <w:rFonts w:ascii="Times New Roman" w:hAnsi="Times New Roman"/>
          <w:b/>
          <w:noProof/>
          <w:szCs w:val="24"/>
        </w:rPr>
        <w:t>2.1.1 Povečanje razširjenosti kajenja v skupini potrošnikov, mlajših od 25 let, za vsaj pet odstotnih točk v vsaj petih državah članicah</w:t>
      </w:r>
    </w:p>
    <w:p w14:paraId="7E90EB78" w14:textId="77777777" w:rsidR="00701084" w:rsidRDefault="0071383A" w:rsidP="00701084">
      <w:pPr>
        <w:jc w:val="both"/>
        <w:rPr>
          <w:rFonts w:ascii="Times New Roman" w:hAnsi="Times New Roman" w:cs="Times New Roman"/>
          <w:noProof/>
          <w:sz w:val="24"/>
          <w:szCs w:val="24"/>
        </w:rPr>
      </w:pPr>
      <w:r>
        <w:rPr>
          <w:rFonts w:ascii="Times New Roman" w:hAnsi="Times New Roman"/>
          <w:noProof/>
          <w:sz w:val="24"/>
          <w:szCs w:val="24"/>
        </w:rPr>
        <w:t>V posebnem poročilu Eurobarometra 506</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ni bilo ugotovljeno povečanje razširjenosti uporabe ogrevanih tobačnih izdelkov v skupini potrošnikov, mlajših od 25 let, za vsaj pet odstotnih točk v vsaj petih državah članicah. </w:t>
      </w:r>
    </w:p>
    <w:p w14:paraId="68169A38" w14:textId="591E6837" w:rsidR="00DD11BE" w:rsidRPr="00701084" w:rsidRDefault="000A37C6" w:rsidP="00701084">
      <w:pPr>
        <w:jc w:val="both"/>
        <w:rPr>
          <w:rFonts w:ascii="Times New Roman" w:hAnsi="Times New Roman" w:cs="Times New Roman"/>
          <w:noProof/>
          <w:sz w:val="24"/>
          <w:szCs w:val="24"/>
        </w:rPr>
      </w:pPr>
      <w:r>
        <w:rPr>
          <w:rFonts w:ascii="Times New Roman" w:hAnsi="Times New Roman"/>
          <w:b/>
          <w:bCs/>
          <w:noProof/>
          <w:sz w:val="24"/>
          <w:szCs w:val="24"/>
        </w:rPr>
        <w:t xml:space="preserve">2.1.2 Povečanje obsega prodaje zadevnega izdelka za vsaj 10 % v najmanj petih državah članicah </w:t>
      </w:r>
    </w:p>
    <w:p w14:paraId="2DBDCF65" w14:textId="7E8BAADB" w:rsidR="0071383A" w:rsidRPr="001D4003" w:rsidRDefault="00DD11BE" w:rsidP="00255396">
      <w:pPr>
        <w:jc w:val="both"/>
        <w:rPr>
          <w:rFonts w:ascii="Times New Roman" w:hAnsi="Times New Roman" w:cs="Times New Roman"/>
          <w:noProof/>
          <w:sz w:val="24"/>
          <w:szCs w:val="24"/>
        </w:rPr>
      </w:pPr>
      <w:r>
        <w:rPr>
          <w:rFonts w:ascii="Times New Roman" w:hAnsi="Times New Roman"/>
          <w:noProof/>
          <w:sz w:val="24"/>
          <w:szCs w:val="24"/>
        </w:rPr>
        <w:t xml:space="preserve">V preglednici 1, ki temelji na podatkih EU-CEG, je predstavljeno povečanje obsega prodaje ogrevanih tobačnih izdelkov na maloprodajni ravni za obdobje 2018–2020 v državah članicah, v katerih je bilo ugotovljeno, da zadevno povečanje presega 10 %. </w:t>
      </w:r>
    </w:p>
    <w:p w14:paraId="7E9FD274" w14:textId="1581D76A" w:rsidR="00A630DF" w:rsidRPr="001D4003" w:rsidRDefault="00A630DF" w:rsidP="00C20E5F">
      <w:pPr>
        <w:jc w:val="center"/>
        <w:rPr>
          <w:rFonts w:ascii="Times New Roman" w:hAnsi="Times New Roman" w:cs="Times New Roman"/>
          <w:i/>
          <w:noProof/>
        </w:rPr>
      </w:pPr>
      <w:r>
        <w:rPr>
          <w:rFonts w:ascii="Times New Roman" w:hAnsi="Times New Roman"/>
          <w:i/>
          <w:noProof/>
        </w:rPr>
        <w:t>Preglednica 1: Obseg prodaje ogrevanih tobačnih izdelkov, v milijonih enot (2018–2020)</w:t>
      </w:r>
    </w:p>
    <w:tbl>
      <w:tblPr>
        <w:tblStyle w:val="PlainTable1"/>
        <w:tblpPr w:leftFromText="180" w:rightFromText="180" w:vertAnchor="text" w:tblpY="1"/>
        <w:tblOverlap w:val="never"/>
        <w:tblW w:w="9554" w:type="dxa"/>
        <w:tblLayout w:type="fixed"/>
        <w:tblLook w:val="04A0" w:firstRow="1" w:lastRow="0" w:firstColumn="1" w:lastColumn="0" w:noHBand="0" w:noVBand="1"/>
      </w:tblPr>
      <w:tblGrid>
        <w:gridCol w:w="1364"/>
        <w:gridCol w:w="1365"/>
        <w:gridCol w:w="1365"/>
        <w:gridCol w:w="1365"/>
        <w:gridCol w:w="1365"/>
        <w:gridCol w:w="1365"/>
        <w:gridCol w:w="1365"/>
      </w:tblGrid>
      <w:tr w:rsidR="005071C9" w:rsidRPr="00C20E5F" w14:paraId="0D0CAB6F" w14:textId="77777777" w:rsidTr="00C20E5F">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364" w:type="dxa"/>
            <w:noWrap/>
            <w:hideMark/>
          </w:tcPr>
          <w:p w14:paraId="64B3CE77" w14:textId="5DA017DD" w:rsidR="005071C9" w:rsidRPr="00C20E5F" w:rsidRDefault="005071C9" w:rsidP="00A65AB4">
            <w:pPr>
              <w:jc w:val="center"/>
              <w:rPr>
                <w:rFonts w:ascii="Times New Roman" w:eastAsia="Times New Roman" w:hAnsi="Times New Roman" w:cs="Times New Roman"/>
                <w:b w:val="0"/>
                <w:i/>
                <w:noProof/>
                <w:color w:val="000000"/>
                <w:sz w:val="24"/>
                <w:szCs w:val="24"/>
              </w:rPr>
            </w:pPr>
            <w:r>
              <w:rPr>
                <w:rFonts w:ascii="Times New Roman" w:hAnsi="Times New Roman"/>
                <w:noProof/>
                <w:color w:val="000000"/>
                <w:sz w:val="24"/>
                <w:szCs w:val="24"/>
              </w:rPr>
              <w:t>Država članica</w:t>
            </w:r>
          </w:p>
        </w:tc>
        <w:tc>
          <w:tcPr>
            <w:tcW w:w="1365" w:type="dxa"/>
            <w:hideMark/>
          </w:tcPr>
          <w:p w14:paraId="61049BEC" w14:textId="5A446712" w:rsidR="005071C9" w:rsidRPr="00C20E5F" w:rsidRDefault="00924EEE" w:rsidP="00A65A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Obseg prodaje</w:t>
            </w:r>
            <w:r>
              <w:rPr>
                <w:noProof/>
              </w:rPr>
              <w:t xml:space="preserve"> </w:t>
            </w:r>
            <w:r>
              <w:rPr>
                <w:noProof/>
              </w:rPr>
              <w:br/>
            </w:r>
            <w:r>
              <w:rPr>
                <w:rFonts w:ascii="Times New Roman" w:hAnsi="Times New Roman"/>
                <w:noProof/>
                <w:color w:val="000000"/>
                <w:sz w:val="24"/>
                <w:szCs w:val="24"/>
              </w:rPr>
              <w:t>v letu 2018</w:t>
            </w:r>
          </w:p>
        </w:tc>
        <w:tc>
          <w:tcPr>
            <w:tcW w:w="1365" w:type="dxa"/>
            <w:hideMark/>
          </w:tcPr>
          <w:p w14:paraId="08DE8DC5" w14:textId="3700576B" w:rsidR="005071C9" w:rsidRPr="00C20E5F" w:rsidRDefault="00924EEE" w:rsidP="00A65A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Obseg prodaje</w:t>
            </w:r>
            <w:r>
              <w:rPr>
                <w:noProof/>
              </w:rPr>
              <w:t xml:space="preserve"> </w:t>
            </w:r>
            <w:r>
              <w:rPr>
                <w:noProof/>
              </w:rPr>
              <w:br/>
            </w:r>
            <w:r>
              <w:rPr>
                <w:rFonts w:ascii="Times New Roman" w:hAnsi="Times New Roman"/>
                <w:noProof/>
                <w:color w:val="000000"/>
                <w:sz w:val="24"/>
                <w:szCs w:val="24"/>
              </w:rPr>
              <w:t>v letu 2019</w:t>
            </w:r>
          </w:p>
        </w:tc>
        <w:tc>
          <w:tcPr>
            <w:tcW w:w="1365" w:type="dxa"/>
            <w:hideMark/>
          </w:tcPr>
          <w:p w14:paraId="5CF17AA8" w14:textId="7F9B9EE4" w:rsidR="005071C9" w:rsidRPr="00C20E5F" w:rsidRDefault="00924EEE" w:rsidP="00A65A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Obseg prodaje</w:t>
            </w:r>
            <w:r>
              <w:rPr>
                <w:noProof/>
              </w:rPr>
              <w:t xml:space="preserve"> </w:t>
            </w:r>
            <w:r>
              <w:rPr>
                <w:noProof/>
              </w:rPr>
              <w:br/>
            </w:r>
            <w:r>
              <w:rPr>
                <w:rFonts w:ascii="Times New Roman" w:hAnsi="Times New Roman"/>
                <w:noProof/>
                <w:color w:val="000000"/>
                <w:sz w:val="24"/>
                <w:szCs w:val="24"/>
              </w:rPr>
              <w:t>v letu 2020</w:t>
            </w:r>
          </w:p>
        </w:tc>
        <w:tc>
          <w:tcPr>
            <w:tcW w:w="1365" w:type="dxa"/>
            <w:hideMark/>
          </w:tcPr>
          <w:p w14:paraId="36FB72CC" w14:textId="01970F15" w:rsidR="005071C9" w:rsidRPr="00C20E5F" w:rsidRDefault="005071C9"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Povečanje v odstotkih</w:t>
            </w:r>
            <w:r>
              <w:rPr>
                <w:noProof/>
              </w:rPr>
              <w:t xml:space="preserve"> </w:t>
            </w:r>
            <w:r>
              <w:rPr>
                <w:noProof/>
              </w:rPr>
              <w:br/>
            </w:r>
            <w:r>
              <w:rPr>
                <w:rFonts w:ascii="Times New Roman" w:hAnsi="Times New Roman"/>
                <w:noProof/>
                <w:color w:val="000000"/>
                <w:sz w:val="24"/>
                <w:szCs w:val="24"/>
              </w:rPr>
              <w:t>2019–2018</w:t>
            </w:r>
          </w:p>
        </w:tc>
        <w:tc>
          <w:tcPr>
            <w:tcW w:w="1365" w:type="dxa"/>
            <w:hideMark/>
          </w:tcPr>
          <w:p w14:paraId="676FC7EF" w14:textId="319BA8EF" w:rsidR="005071C9" w:rsidRPr="00C20E5F" w:rsidRDefault="005071C9"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 xml:space="preserve">Povečanje v odstotkih </w:t>
            </w:r>
            <w:r>
              <w:rPr>
                <w:noProof/>
              </w:rPr>
              <w:t xml:space="preserve"> </w:t>
            </w:r>
            <w:r>
              <w:rPr>
                <w:noProof/>
              </w:rPr>
              <w:br/>
            </w:r>
            <w:r>
              <w:rPr>
                <w:rFonts w:ascii="Times New Roman" w:hAnsi="Times New Roman"/>
                <w:noProof/>
                <w:color w:val="000000"/>
                <w:sz w:val="24"/>
                <w:szCs w:val="24"/>
              </w:rPr>
              <w:t>2020–2019</w:t>
            </w:r>
          </w:p>
        </w:tc>
        <w:tc>
          <w:tcPr>
            <w:tcW w:w="1365" w:type="dxa"/>
            <w:hideMark/>
          </w:tcPr>
          <w:p w14:paraId="46561522" w14:textId="48AEA00B" w:rsidR="005071C9" w:rsidRPr="00C20E5F" w:rsidRDefault="005071C9"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Povečanje v odstotkih</w:t>
            </w:r>
            <w:r>
              <w:rPr>
                <w:noProof/>
              </w:rPr>
              <w:t xml:space="preserve"> </w:t>
            </w:r>
            <w:r>
              <w:rPr>
                <w:noProof/>
              </w:rPr>
              <w:br/>
            </w:r>
            <w:r>
              <w:rPr>
                <w:rFonts w:ascii="Times New Roman" w:hAnsi="Times New Roman"/>
                <w:noProof/>
                <w:color w:val="000000"/>
                <w:sz w:val="24"/>
                <w:szCs w:val="24"/>
              </w:rPr>
              <w:t>2020–2018</w:t>
            </w:r>
          </w:p>
        </w:tc>
      </w:tr>
      <w:tr w:rsidR="005071C9" w:rsidRPr="00C20E5F" w14:paraId="7E2F0C85" w14:textId="77777777" w:rsidTr="00C20E5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3A196D28"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CY</w:t>
            </w:r>
          </w:p>
        </w:tc>
        <w:tc>
          <w:tcPr>
            <w:tcW w:w="1365" w:type="dxa"/>
            <w:noWrap/>
            <w:hideMark/>
          </w:tcPr>
          <w:p w14:paraId="7C7D7B55" w14:textId="457F1BEA"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44,590</w:t>
            </w:r>
          </w:p>
        </w:tc>
        <w:tc>
          <w:tcPr>
            <w:tcW w:w="1365" w:type="dxa"/>
            <w:noWrap/>
            <w:hideMark/>
          </w:tcPr>
          <w:p w14:paraId="74F169FB" w14:textId="40D1B957"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96,660</w:t>
            </w:r>
          </w:p>
        </w:tc>
        <w:tc>
          <w:tcPr>
            <w:tcW w:w="1365" w:type="dxa"/>
            <w:noWrap/>
            <w:hideMark/>
          </w:tcPr>
          <w:p w14:paraId="6C7BB6FF" w14:textId="08D5E34B"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147,260</w:t>
            </w:r>
          </w:p>
        </w:tc>
        <w:tc>
          <w:tcPr>
            <w:tcW w:w="1365" w:type="dxa"/>
            <w:noWrap/>
            <w:hideMark/>
          </w:tcPr>
          <w:p w14:paraId="6128355E"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117 %</w:t>
            </w:r>
          </w:p>
        </w:tc>
        <w:tc>
          <w:tcPr>
            <w:tcW w:w="1365" w:type="dxa"/>
            <w:noWrap/>
            <w:hideMark/>
          </w:tcPr>
          <w:p w14:paraId="5E94442B"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52 %</w:t>
            </w:r>
          </w:p>
        </w:tc>
        <w:tc>
          <w:tcPr>
            <w:tcW w:w="1365" w:type="dxa"/>
            <w:noWrap/>
            <w:hideMark/>
          </w:tcPr>
          <w:p w14:paraId="79080A79"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230 %</w:t>
            </w:r>
          </w:p>
        </w:tc>
      </w:tr>
      <w:tr w:rsidR="005071C9" w:rsidRPr="00C20E5F" w14:paraId="3C661E9D" w14:textId="77777777" w:rsidTr="00C20E5F">
        <w:trPr>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6E005694"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CZ</w:t>
            </w:r>
          </w:p>
        </w:tc>
        <w:tc>
          <w:tcPr>
            <w:tcW w:w="1365" w:type="dxa"/>
            <w:noWrap/>
            <w:hideMark/>
          </w:tcPr>
          <w:p w14:paraId="1E066D2B" w14:textId="6C8B1B61"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0,859</w:t>
            </w:r>
          </w:p>
        </w:tc>
        <w:tc>
          <w:tcPr>
            <w:tcW w:w="1365" w:type="dxa"/>
            <w:noWrap/>
            <w:hideMark/>
          </w:tcPr>
          <w:p w14:paraId="7796D8C5" w14:textId="2C9E43E1" w:rsidR="005071C9" w:rsidRPr="00C20E5F" w:rsidRDefault="005071C9"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1 284,094</w:t>
            </w:r>
          </w:p>
        </w:tc>
        <w:tc>
          <w:tcPr>
            <w:tcW w:w="1365" w:type="dxa"/>
            <w:noWrap/>
            <w:hideMark/>
          </w:tcPr>
          <w:p w14:paraId="7106E8B6" w14:textId="4D411C5C"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1 744,4</w:t>
            </w:r>
          </w:p>
        </w:tc>
        <w:tc>
          <w:tcPr>
            <w:tcW w:w="1365" w:type="dxa"/>
            <w:noWrap/>
            <w:hideMark/>
          </w:tcPr>
          <w:p w14:paraId="311A84BB" w14:textId="0081934D" w:rsidR="005071C9" w:rsidRPr="00C20E5F" w:rsidRDefault="00707745"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c>
          <w:tcPr>
            <w:tcW w:w="1365" w:type="dxa"/>
            <w:noWrap/>
            <w:hideMark/>
          </w:tcPr>
          <w:p w14:paraId="6162C216" w14:textId="77777777"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39 %</w:t>
            </w:r>
          </w:p>
        </w:tc>
        <w:tc>
          <w:tcPr>
            <w:tcW w:w="1365" w:type="dxa"/>
            <w:noWrap/>
            <w:hideMark/>
          </w:tcPr>
          <w:p w14:paraId="24BCC320" w14:textId="081CB4F6" w:rsidR="005071C9" w:rsidRPr="00C20E5F" w:rsidRDefault="00707745"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r>
      <w:tr w:rsidR="005071C9" w:rsidRPr="00C20E5F" w14:paraId="605DC891" w14:textId="77777777" w:rsidTr="00C20E5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34B15244"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FR</w:t>
            </w:r>
          </w:p>
        </w:tc>
        <w:tc>
          <w:tcPr>
            <w:tcW w:w="1365" w:type="dxa"/>
            <w:noWrap/>
            <w:hideMark/>
          </w:tcPr>
          <w:p w14:paraId="11ADBD64" w14:textId="1F3E7CCB"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36,796</w:t>
            </w:r>
          </w:p>
        </w:tc>
        <w:tc>
          <w:tcPr>
            <w:tcW w:w="1365" w:type="dxa"/>
            <w:noWrap/>
            <w:hideMark/>
          </w:tcPr>
          <w:p w14:paraId="51477221" w14:textId="63058963"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78,215</w:t>
            </w:r>
          </w:p>
        </w:tc>
        <w:tc>
          <w:tcPr>
            <w:tcW w:w="1365" w:type="dxa"/>
            <w:noWrap/>
            <w:hideMark/>
          </w:tcPr>
          <w:p w14:paraId="3CF23CCC" w14:textId="49252006"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186,009</w:t>
            </w:r>
          </w:p>
        </w:tc>
        <w:tc>
          <w:tcPr>
            <w:tcW w:w="1365" w:type="dxa"/>
            <w:noWrap/>
            <w:hideMark/>
          </w:tcPr>
          <w:p w14:paraId="34132BA9"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113 %</w:t>
            </w:r>
          </w:p>
        </w:tc>
        <w:tc>
          <w:tcPr>
            <w:tcW w:w="1365" w:type="dxa"/>
            <w:noWrap/>
            <w:hideMark/>
          </w:tcPr>
          <w:p w14:paraId="5E7ECC28"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138 %</w:t>
            </w:r>
          </w:p>
        </w:tc>
        <w:tc>
          <w:tcPr>
            <w:tcW w:w="1365" w:type="dxa"/>
            <w:noWrap/>
            <w:hideMark/>
          </w:tcPr>
          <w:p w14:paraId="416B0B99"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406 %</w:t>
            </w:r>
          </w:p>
        </w:tc>
      </w:tr>
      <w:tr w:rsidR="005071C9" w:rsidRPr="00C20E5F" w14:paraId="6D293A82" w14:textId="77777777" w:rsidTr="00C20E5F">
        <w:trPr>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08E45851"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GR</w:t>
            </w:r>
          </w:p>
        </w:tc>
        <w:tc>
          <w:tcPr>
            <w:tcW w:w="1365" w:type="dxa"/>
            <w:noWrap/>
            <w:hideMark/>
          </w:tcPr>
          <w:p w14:paraId="3B1CD5A5" w14:textId="23E1DE52"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0,007</w:t>
            </w:r>
          </w:p>
        </w:tc>
        <w:tc>
          <w:tcPr>
            <w:tcW w:w="1365" w:type="dxa"/>
            <w:noWrap/>
            <w:hideMark/>
          </w:tcPr>
          <w:p w14:paraId="5C3CF9F3" w14:textId="159946DC"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1 159,804</w:t>
            </w:r>
          </w:p>
        </w:tc>
        <w:tc>
          <w:tcPr>
            <w:tcW w:w="1365" w:type="dxa"/>
            <w:noWrap/>
            <w:hideMark/>
          </w:tcPr>
          <w:p w14:paraId="2A4DC568" w14:textId="6EAFE704"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1 443,958</w:t>
            </w:r>
          </w:p>
        </w:tc>
        <w:tc>
          <w:tcPr>
            <w:tcW w:w="1365" w:type="dxa"/>
            <w:noWrap/>
            <w:hideMark/>
          </w:tcPr>
          <w:p w14:paraId="049AF05D" w14:textId="3E7BAEF5" w:rsidR="005071C9" w:rsidRPr="00C20E5F" w:rsidRDefault="00707745"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c>
          <w:tcPr>
            <w:tcW w:w="1365" w:type="dxa"/>
            <w:noWrap/>
            <w:hideMark/>
          </w:tcPr>
          <w:p w14:paraId="4703E17F" w14:textId="77777777"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25 %</w:t>
            </w:r>
          </w:p>
        </w:tc>
        <w:tc>
          <w:tcPr>
            <w:tcW w:w="1365" w:type="dxa"/>
            <w:noWrap/>
            <w:hideMark/>
          </w:tcPr>
          <w:p w14:paraId="7AEEAA70" w14:textId="38C3CF91" w:rsidR="005071C9" w:rsidRPr="00C20E5F" w:rsidRDefault="00707745"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r>
      <w:tr w:rsidR="005071C9" w:rsidRPr="00C20E5F" w14:paraId="700FBB58" w14:textId="77777777" w:rsidTr="00C20E5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61B67560"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HR</w:t>
            </w:r>
          </w:p>
        </w:tc>
        <w:tc>
          <w:tcPr>
            <w:tcW w:w="1365" w:type="dxa"/>
            <w:noWrap/>
            <w:hideMark/>
          </w:tcPr>
          <w:p w14:paraId="2FC1D04C" w14:textId="3AAB7C24"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0,003</w:t>
            </w:r>
          </w:p>
        </w:tc>
        <w:tc>
          <w:tcPr>
            <w:tcW w:w="1365" w:type="dxa"/>
            <w:noWrap/>
            <w:hideMark/>
          </w:tcPr>
          <w:p w14:paraId="3960C715" w14:textId="488A73F4"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219,072</w:t>
            </w:r>
          </w:p>
        </w:tc>
        <w:tc>
          <w:tcPr>
            <w:tcW w:w="1365" w:type="dxa"/>
            <w:noWrap/>
            <w:hideMark/>
          </w:tcPr>
          <w:p w14:paraId="50C23171" w14:textId="31EA23F2"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289,592</w:t>
            </w:r>
          </w:p>
        </w:tc>
        <w:tc>
          <w:tcPr>
            <w:tcW w:w="1365" w:type="dxa"/>
            <w:noWrap/>
            <w:hideMark/>
          </w:tcPr>
          <w:p w14:paraId="44EF9A76" w14:textId="0D359513" w:rsidR="005071C9" w:rsidRPr="00C20E5F" w:rsidRDefault="00707745"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c>
          <w:tcPr>
            <w:tcW w:w="1365" w:type="dxa"/>
            <w:noWrap/>
            <w:hideMark/>
          </w:tcPr>
          <w:p w14:paraId="3705759D"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32 %</w:t>
            </w:r>
          </w:p>
        </w:tc>
        <w:tc>
          <w:tcPr>
            <w:tcW w:w="1365" w:type="dxa"/>
            <w:noWrap/>
            <w:hideMark/>
          </w:tcPr>
          <w:p w14:paraId="677DCC38" w14:textId="58F505BA" w:rsidR="005071C9" w:rsidRPr="00C20E5F" w:rsidRDefault="00707745"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r>
      <w:tr w:rsidR="005071C9" w:rsidRPr="00C20E5F" w14:paraId="41CD3EC5" w14:textId="77777777" w:rsidTr="00C20E5F">
        <w:trPr>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26931A61"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IT</w:t>
            </w:r>
          </w:p>
        </w:tc>
        <w:tc>
          <w:tcPr>
            <w:tcW w:w="1365" w:type="dxa"/>
            <w:noWrap/>
            <w:hideMark/>
          </w:tcPr>
          <w:p w14:paraId="7467B501" w14:textId="58830E67"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0,042</w:t>
            </w:r>
          </w:p>
        </w:tc>
        <w:tc>
          <w:tcPr>
            <w:tcW w:w="1365" w:type="dxa"/>
            <w:noWrap/>
            <w:hideMark/>
          </w:tcPr>
          <w:p w14:paraId="4997E94A" w14:textId="382BCF19"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3 571,016</w:t>
            </w:r>
          </w:p>
        </w:tc>
        <w:tc>
          <w:tcPr>
            <w:tcW w:w="1365" w:type="dxa"/>
            <w:noWrap/>
            <w:hideMark/>
          </w:tcPr>
          <w:p w14:paraId="63DD9485" w14:textId="524FC09C"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5 819,033</w:t>
            </w:r>
          </w:p>
        </w:tc>
        <w:tc>
          <w:tcPr>
            <w:tcW w:w="1365" w:type="dxa"/>
            <w:noWrap/>
            <w:hideMark/>
          </w:tcPr>
          <w:p w14:paraId="4697ADF3" w14:textId="07B3D1E1" w:rsidR="005071C9" w:rsidRPr="00C20E5F" w:rsidRDefault="00707745"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c>
          <w:tcPr>
            <w:tcW w:w="1365" w:type="dxa"/>
            <w:noWrap/>
            <w:hideMark/>
          </w:tcPr>
          <w:p w14:paraId="43F911E1" w14:textId="77777777"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63 %</w:t>
            </w:r>
          </w:p>
        </w:tc>
        <w:tc>
          <w:tcPr>
            <w:tcW w:w="1365" w:type="dxa"/>
            <w:noWrap/>
            <w:hideMark/>
          </w:tcPr>
          <w:p w14:paraId="452FACF8" w14:textId="3967FB96" w:rsidR="005071C9" w:rsidRPr="00C20E5F" w:rsidRDefault="00707745"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r>
      <w:tr w:rsidR="005071C9" w:rsidRPr="00C20E5F" w14:paraId="4A20B555" w14:textId="77777777" w:rsidTr="00C20E5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79EDF4D6"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NL</w:t>
            </w:r>
          </w:p>
        </w:tc>
        <w:tc>
          <w:tcPr>
            <w:tcW w:w="1365" w:type="dxa"/>
            <w:noWrap/>
            <w:hideMark/>
          </w:tcPr>
          <w:p w14:paraId="38D6BDD0" w14:textId="15BC6BEA"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28,262</w:t>
            </w:r>
          </w:p>
        </w:tc>
        <w:tc>
          <w:tcPr>
            <w:tcW w:w="1365" w:type="dxa"/>
            <w:noWrap/>
            <w:hideMark/>
          </w:tcPr>
          <w:p w14:paraId="213CA902" w14:textId="431CD7C8"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43,120</w:t>
            </w:r>
          </w:p>
        </w:tc>
        <w:tc>
          <w:tcPr>
            <w:tcW w:w="1365" w:type="dxa"/>
            <w:noWrap/>
            <w:hideMark/>
          </w:tcPr>
          <w:p w14:paraId="2F2C8067" w14:textId="46F64420"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71,618</w:t>
            </w:r>
          </w:p>
        </w:tc>
        <w:tc>
          <w:tcPr>
            <w:tcW w:w="1365" w:type="dxa"/>
            <w:noWrap/>
            <w:hideMark/>
          </w:tcPr>
          <w:p w14:paraId="5946BE9E"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53 %</w:t>
            </w:r>
          </w:p>
        </w:tc>
        <w:tc>
          <w:tcPr>
            <w:tcW w:w="1365" w:type="dxa"/>
            <w:noWrap/>
            <w:hideMark/>
          </w:tcPr>
          <w:p w14:paraId="0A0B8D04"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66 %</w:t>
            </w:r>
          </w:p>
        </w:tc>
        <w:tc>
          <w:tcPr>
            <w:tcW w:w="1365" w:type="dxa"/>
            <w:noWrap/>
            <w:hideMark/>
          </w:tcPr>
          <w:p w14:paraId="782D8F38"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153 %</w:t>
            </w:r>
          </w:p>
        </w:tc>
      </w:tr>
      <w:tr w:rsidR="005071C9" w:rsidRPr="00C20E5F" w14:paraId="1D26F50B" w14:textId="77777777" w:rsidTr="00C20E5F">
        <w:trPr>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63D96222"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PL</w:t>
            </w:r>
          </w:p>
        </w:tc>
        <w:tc>
          <w:tcPr>
            <w:tcW w:w="1365" w:type="dxa"/>
            <w:noWrap/>
            <w:hideMark/>
          </w:tcPr>
          <w:p w14:paraId="25968D8B" w14:textId="41A657ED"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0,010</w:t>
            </w:r>
          </w:p>
        </w:tc>
        <w:tc>
          <w:tcPr>
            <w:tcW w:w="1365" w:type="dxa"/>
            <w:noWrap/>
            <w:hideMark/>
          </w:tcPr>
          <w:p w14:paraId="1BC0C326" w14:textId="5FB48E84"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1 206,171</w:t>
            </w:r>
          </w:p>
        </w:tc>
        <w:tc>
          <w:tcPr>
            <w:tcW w:w="1365" w:type="dxa"/>
            <w:noWrap/>
            <w:hideMark/>
          </w:tcPr>
          <w:p w14:paraId="4D0B3E61" w14:textId="6A45DFFF"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2 466,150</w:t>
            </w:r>
          </w:p>
        </w:tc>
        <w:tc>
          <w:tcPr>
            <w:tcW w:w="1365" w:type="dxa"/>
            <w:noWrap/>
            <w:hideMark/>
          </w:tcPr>
          <w:p w14:paraId="4364E435" w14:textId="017DBD10" w:rsidR="005071C9" w:rsidRPr="00C20E5F" w:rsidRDefault="00707745"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c>
          <w:tcPr>
            <w:tcW w:w="1365" w:type="dxa"/>
            <w:noWrap/>
            <w:hideMark/>
          </w:tcPr>
          <w:p w14:paraId="10939E59" w14:textId="77777777"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104 %</w:t>
            </w:r>
          </w:p>
        </w:tc>
        <w:tc>
          <w:tcPr>
            <w:tcW w:w="1365" w:type="dxa"/>
            <w:noWrap/>
            <w:hideMark/>
          </w:tcPr>
          <w:p w14:paraId="0A2E6EB0" w14:textId="38A99287" w:rsidR="005071C9" w:rsidRPr="00C20E5F" w:rsidRDefault="00707745"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nad 999 %</w:t>
            </w:r>
          </w:p>
        </w:tc>
      </w:tr>
      <w:tr w:rsidR="005071C9" w:rsidRPr="00C20E5F" w14:paraId="4A72E582" w14:textId="77777777" w:rsidTr="00C20E5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7A936F99"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PT</w:t>
            </w:r>
          </w:p>
        </w:tc>
        <w:tc>
          <w:tcPr>
            <w:tcW w:w="1365" w:type="dxa"/>
            <w:noWrap/>
            <w:hideMark/>
          </w:tcPr>
          <w:p w14:paraId="052D412A" w14:textId="71823F55"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338,022</w:t>
            </w:r>
          </w:p>
        </w:tc>
        <w:tc>
          <w:tcPr>
            <w:tcW w:w="1365" w:type="dxa"/>
            <w:noWrap/>
            <w:hideMark/>
          </w:tcPr>
          <w:p w14:paraId="3429900C" w14:textId="0952A88F"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637,649</w:t>
            </w:r>
          </w:p>
        </w:tc>
        <w:tc>
          <w:tcPr>
            <w:tcW w:w="1365" w:type="dxa"/>
            <w:noWrap/>
            <w:hideMark/>
          </w:tcPr>
          <w:p w14:paraId="3987E125" w14:textId="5FB53B39"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944,977</w:t>
            </w:r>
          </w:p>
        </w:tc>
        <w:tc>
          <w:tcPr>
            <w:tcW w:w="1365" w:type="dxa"/>
            <w:noWrap/>
            <w:hideMark/>
          </w:tcPr>
          <w:p w14:paraId="2CD5188B"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89 %</w:t>
            </w:r>
          </w:p>
        </w:tc>
        <w:tc>
          <w:tcPr>
            <w:tcW w:w="1365" w:type="dxa"/>
            <w:noWrap/>
            <w:hideMark/>
          </w:tcPr>
          <w:p w14:paraId="061B46A5"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48 %</w:t>
            </w:r>
          </w:p>
        </w:tc>
        <w:tc>
          <w:tcPr>
            <w:tcW w:w="1365" w:type="dxa"/>
            <w:noWrap/>
            <w:hideMark/>
          </w:tcPr>
          <w:p w14:paraId="5F71D99E"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180 %</w:t>
            </w:r>
          </w:p>
        </w:tc>
      </w:tr>
      <w:tr w:rsidR="005071C9" w:rsidRPr="00C20E5F" w14:paraId="1E27EAF2" w14:textId="77777777" w:rsidTr="00C20E5F">
        <w:trPr>
          <w:trHeight w:val="232"/>
        </w:trPr>
        <w:tc>
          <w:tcPr>
            <w:cnfStyle w:val="001000000000" w:firstRow="0" w:lastRow="0" w:firstColumn="1" w:lastColumn="0" w:oddVBand="0" w:evenVBand="0" w:oddHBand="0" w:evenHBand="0" w:firstRowFirstColumn="0" w:firstRowLastColumn="0" w:lastRowFirstColumn="0" w:lastRowLastColumn="0"/>
            <w:tcW w:w="1364" w:type="dxa"/>
            <w:noWrap/>
            <w:hideMark/>
          </w:tcPr>
          <w:p w14:paraId="34DB97D3"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RO</w:t>
            </w:r>
          </w:p>
        </w:tc>
        <w:tc>
          <w:tcPr>
            <w:tcW w:w="1365" w:type="dxa"/>
            <w:noWrap/>
            <w:hideMark/>
          </w:tcPr>
          <w:p w14:paraId="675C4D32" w14:textId="0554CB48"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486,239</w:t>
            </w:r>
          </w:p>
        </w:tc>
        <w:tc>
          <w:tcPr>
            <w:tcW w:w="1365" w:type="dxa"/>
            <w:noWrap/>
            <w:hideMark/>
          </w:tcPr>
          <w:p w14:paraId="5B0A654F" w14:textId="6FCB3308"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671,053</w:t>
            </w:r>
          </w:p>
        </w:tc>
        <w:tc>
          <w:tcPr>
            <w:tcW w:w="1365" w:type="dxa"/>
            <w:noWrap/>
            <w:hideMark/>
          </w:tcPr>
          <w:p w14:paraId="38DD61FD" w14:textId="25BA8A0E"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837,587</w:t>
            </w:r>
          </w:p>
        </w:tc>
        <w:tc>
          <w:tcPr>
            <w:tcW w:w="1365" w:type="dxa"/>
            <w:noWrap/>
            <w:hideMark/>
          </w:tcPr>
          <w:p w14:paraId="2004FC08" w14:textId="77777777"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38 %</w:t>
            </w:r>
          </w:p>
        </w:tc>
        <w:tc>
          <w:tcPr>
            <w:tcW w:w="1365" w:type="dxa"/>
            <w:noWrap/>
            <w:hideMark/>
          </w:tcPr>
          <w:p w14:paraId="7A457F91" w14:textId="77777777"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25 %</w:t>
            </w:r>
          </w:p>
        </w:tc>
        <w:tc>
          <w:tcPr>
            <w:tcW w:w="1365" w:type="dxa"/>
            <w:noWrap/>
            <w:hideMark/>
          </w:tcPr>
          <w:p w14:paraId="573BD483" w14:textId="77777777"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72 %</w:t>
            </w:r>
          </w:p>
        </w:tc>
      </w:tr>
      <w:tr w:rsidR="005071C9" w:rsidRPr="00C20E5F" w14:paraId="79CA8821" w14:textId="77777777" w:rsidTr="00C20E5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64" w:type="dxa"/>
            <w:noWrap/>
            <w:hideMark/>
          </w:tcPr>
          <w:p w14:paraId="7C6D036D" w14:textId="77777777" w:rsidR="005071C9" w:rsidRPr="00C20E5F" w:rsidRDefault="005071C9" w:rsidP="00C20E5F">
            <w:pPr>
              <w:rPr>
                <w:rFonts w:ascii="Times New Roman" w:eastAsia="Times New Roman" w:hAnsi="Times New Roman" w:cs="Times New Roman"/>
                <w:b w:val="0"/>
                <w:bCs w:val="0"/>
                <w:i/>
                <w:noProof/>
                <w:color w:val="363636"/>
                <w:sz w:val="24"/>
                <w:szCs w:val="24"/>
              </w:rPr>
            </w:pPr>
            <w:r>
              <w:rPr>
                <w:rFonts w:ascii="Times New Roman" w:hAnsi="Times New Roman"/>
                <w:noProof/>
                <w:color w:val="363636"/>
                <w:sz w:val="24"/>
                <w:szCs w:val="24"/>
              </w:rPr>
              <w:t>EU27</w:t>
            </w:r>
          </w:p>
        </w:tc>
        <w:tc>
          <w:tcPr>
            <w:tcW w:w="1365" w:type="dxa"/>
            <w:noWrap/>
            <w:hideMark/>
          </w:tcPr>
          <w:p w14:paraId="7D2971AB" w14:textId="0F8DD214"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934,854</w:t>
            </w:r>
          </w:p>
        </w:tc>
        <w:tc>
          <w:tcPr>
            <w:tcW w:w="1365" w:type="dxa"/>
            <w:noWrap/>
            <w:hideMark/>
          </w:tcPr>
          <w:p w14:paraId="39FA9DBD" w14:textId="442A8E49"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12 332,655</w:t>
            </w:r>
          </w:p>
        </w:tc>
        <w:tc>
          <w:tcPr>
            <w:tcW w:w="1365" w:type="dxa"/>
            <w:noWrap/>
            <w:hideMark/>
          </w:tcPr>
          <w:p w14:paraId="5E8235CC" w14:textId="62052FDD" w:rsidR="005071C9" w:rsidRPr="00C20E5F" w:rsidRDefault="005071C9"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19 716,820</w:t>
            </w:r>
          </w:p>
        </w:tc>
        <w:tc>
          <w:tcPr>
            <w:tcW w:w="1365" w:type="dxa"/>
            <w:noWrap/>
            <w:hideMark/>
          </w:tcPr>
          <w:p w14:paraId="4456C0A8"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1 219 %</w:t>
            </w:r>
          </w:p>
        </w:tc>
        <w:tc>
          <w:tcPr>
            <w:tcW w:w="1365" w:type="dxa"/>
            <w:noWrap/>
            <w:hideMark/>
          </w:tcPr>
          <w:p w14:paraId="4F29B5F0"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60 %</w:t>
            </w:r>
          </w:p>
        </w:tc>
        <w:tc>
          <w:tcPr>
            <w:tcW w:w="1365" w:type="dxa"/>
            <w:noWrap/>
            <w:hideMark/>
          </w:tcPr>
          <w:p w14:paraId="0E3587EA" w14:textId="7777777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2 009 %</w:t>
            </w:r>
          </w:p>
        </w:tc>
      </w:tr>
    </w:tbl>
    <w:p w14:paraId="4100C912" w14:textId="61DB6901" w:rsidR="00C20E5F" w:rsidRPr="00C20E5F" w:rsidRDefault="007466AF" w:rsidP="00C20E5F">
      <w:pPr>
        <w:jc w:val="both"/>
        <w:rPr>
          <w:rFonts w:ascii="Times New Roman" w:hAnsi="Times New Roman" w:cs="Times New Roman"/>
          <w:noProof/>
          <w:sz w:val="20"/>
          <w:szCs w:val="20"/>
        </w:rPr>
      </w:pPr>
      <w:r>
        <w:rPr>
          <w:rFonts w:ascii="Times New Roman" w:hAnsi="Times New Roman"/>
          <w:noProof/>
          <w:sz w:val="20"/>
          <w:szCs w:val="20"/>
        </w:rPr>
        <w:t>Vir: podatki EU-CEG.</w:t>
      </w:r>
    </w:p>
    <w:p w14:paraId="1C0C8886" w14:textId="175C27CC" w:rsidR="00C34182" w:rsidRPr="00C20E5F" w:rsidRDefault="000C17D6" w:rsidP="00C20E5F">
      <w:pPr>
        <w:rPr>
          <w:rFonts w:ascii="Times New Roman" w:hAnsi="Times New Roman" w:cs="Times New Roman"/>
          <w:noProof/>
          <w:sz w:val="24"/>
          <w:szCs w:val="24"/>
        </w:rPr>
      </w:pPr>
      <w:r>
        <w:rPr>
          <w:rFonts w:ascii="Times New Roman" w:hAnsi="Times New Roman"/>
          <w:noProof/>
        </w:rPr>
        <w:t>Zgoraj predstavljeni podatki tako potrjujejo, da se je obseg prodaje ogrevanih tobačnih izdelkov na maloprodajni ravni v opredeljenem obdobju 2018–2020 povečal za več kot 10 % v več kot petih državah članicah.</w:t>
      </w:r>
      <w:r>
        <w:rPr>
          <w:rFonts w:ascii="Times New Roman" w:hAnsi="Times New Roman"/>
          <w:noProof/>
          <w:sz w:val="24"/>
          <w:szCs w:val="24"/>
        </w:rPr>
        <w:t xml:space="preserve"> </w:t>
      </w:r>
    </w:p>
    <w:p w14:paraId="726B5A73" w14:textId="40C81EB2" w:rsidR="00701084" w:rsidRPr="00C20E5F" w:rsidRDefault="00C34182" w:rsidP="00C20E5F">
      <w:pPr>
        <w:rPr>
          <w:rFonts w:ascii="Times New Roman" w:hAnsi="Times New Roman" w:cs="Times New Roman"/>
          <w:noProof/>
          <w:sz w:val="24"/>
          <w:szCs w:val="24"/>
        </w:rPr>
      </w:pPr>
      <w:r>
        <w:rPr>
          <w:rFonts w:ascii="Times New Roman" w:hAnsi="Times New Roman"/>
          <w:noProof/>
          <w:sz w:val="24"/>
          <w:szCs w:val="24"/>
        </w:rPr>
        <w:t>Na podlagi tega je bil izpolnjen prvi pogoj za bistveno spremembo okoliščin glede ogrevanih tobačnih izdelkov.</w:t>
      </w:r>
    </w:p>
    <w:p w14:paraId="57BA41AF" w14:textId="52A0517F" w:rsidR="00ED7A95" w:rsidRPr="001D4003" w:rsidRDefault="002E2E34" w:rsidP="001E370C">
      <w:pPr>
        <w:keepNext/>
        <w:keepLines/>
        <w:spacing w:before="120" w:after="120" w:line="240" w:lineRule="auto"/>
        <w:jc w:val="both"/>
        <w:outlineLvl w:val="1"/>
        <w:rPr>
          <w:rFonts w:ascii="Times New Roman" w:eastAsiaTheme="majorEastAsia" w:hAnsi="Times New Roman" w:cs="Times New Roman"/>
          <w:b/>
          <w:bCs/>
          <w:noProof/>
          <w:sz w:val="24"/>
          <w:szCs w:val="24"/>
        </w:rPr>
      </w:pPr>
      <w:r>
        <w:rPr>
          <w:rFonts w:ascii="Times New Roman" w:hAnsi="Times New Roman"/>
          <w:b/>
          <w:bCs/>
          <w:noProof/>
          <w:sz w:val="24"/>
          <w:szCs w:val="24"/>
        </w:rPr>
        <w:t>2.2 Drugi pogoj za bistveno spremembo okoliščin: obseg prodaje zadevnih izdelkov na maloprodajni ravni presega 2,5-odstotni delež celotne prodaje tobačnih izdelkov na ravni Unije</w:t>
      </w:r>
    </w:p>
    <w:p w14:paraId="06821E26" w14:textId="5557DC50" w:rsidR="00701084" w:rsidRPr="001D4003" w:rsidRDefault="00C2158D" w:rsidP="00A37707">
      <w:pPr>
        <w:jc w:val="both"/>
        <w:rPr>
          <w:rFonts w:ascii="Times New Roman" w:hAnsi="Times New Roman" w:cs="Times New Roman"/>
          <w:noProof/>
          <w:sz w:val="24"/>
          <w:szCs w:val="24"/>
        </w:rPr>
      </w:pPr>
      <w:r>
        <w:rPr>
          <w:rFonts w:ascii="Times New Roman" w:hAnsi="Times New Roman"/>
          <w:noProof/>
          <w:sz w:val="24"/>
          <w:szCs w:val="24"/>
        </w:rPr>
        <w:t>Tržni delež ogrevanih tobačnih izdelkov na maloprodajni ravni je bil izračunan tako, da se je njihov letni obseg prodaje delil s celotnim obsegom prodaje vseh tobačnih izdelkov na ravni Unije. Da bi se zagotovila zanesljivost tega izračuna, so bili raziskani alternativni viri podatkov.</w:t>
      </w:r>
    </w:p>
    <w:p w14:paraId="6F805BD2" w14:textId="3D891A67" w:rsidR="00DD11BE" w:rsidRPr="001D4003" w:rsidRDefault="00DC2EE9" w:rsidP="001E370C">
      <w:pPr>
        <w:keepNext/>
        <w:keepLines/>
        <w:spacing w:before="120" w:after="120" w:line="240" w:lineRule="auto"/>
        <w:jc w:val="both"/>
        <w:outlineLvl w:val="1"/>
        <w:rPr>
          <w:rFonts w:ascii="Times New Roman" w:eastAsiaTheme="majorEastAsia" w:hAnsi="Times New Roman" w:cs="Times New Roman"/>
          <w:b/>
          <w:bCs/>
          <w:noProof/>
          <w:sz w:val="24"/>
          <w:szCs w:val="24"/>
        </w:rPr>
      </w:pPr>
      <w:r>
        <w:rPr>
          <w:rFonts w:ascii="Times New Roman" w:hAnsi="Times New Roman"/>
          <w:b/>
          <w:bCs/>
          <w:noProof/>
          <w:sz w:val="24"/>
          <w:szCs w:val="24"/>
        </w:rPr>
        <w:t>2.2.1 Obseg prodaje ogrevanih tobačnih izdelkov na maloprodajni ravni</w:t>
      </w:r>
    </w:p>
    <w:p w14:paraId="50EA4B61" w14:textId="0BD7BF0F" w:rsidR="00701084" w:rsidRPr="001D4003" w:rsidRDefault="00BB4D48" w:rsidP="008D0842">
      <w:pPr>
        <w:jc w:val="both"/>
        <w:rPr>
          <w:rFonts w:ascii="Times New Roman" w:hAnsi="Times New Roman" w:cs="Times New Roman"/>
          <w:noProof/>
          <w:sz w:val="24"/>
          <w:szCs w:val="24"/>
        </w:rPr>
      </w:pPr>
      <w:r>
        <w:rPr>
          <w:rFonts w:ascii="Times New Roman" w:hAnsi="Times New Roman"/>
          <w:noProof/>
          <w:sz w:val="24"/>
          <w:szCs w:val="24"/>
        </w:rPr>
        <w:t xml:space="preserve">V preglednici 2 je prikazan obseg prodaje ogrevanih tobačnih izdelkov v EU27 v letu 2020 na podlagi dveh različnih, med seboj neodvisnih virov podatkov.  </w:t>
      </w:r>
    </w:p>
    <w:p w14:paraId="7489436C" w14:textId="7280BBC7" w:rsidR="00701084" w:rsidRPr="001D4003" w:rsidRDefault="0056714A" w:rsidP="00C20E5F">
      <w:pPr>
        <w:jc w:val="center"/>
        <w:rPr>
          <w:rFonts w:ascii="Times New Roman" w:hAnsi="Times New Roman" w:cs="Times New Roman"/>
          <w:i/>
          <w:noProof/>
        </w:rPr>
      </w:pPr>
      <w:r>
        <w:rPr>
          <w:rFonts w:ascii="Times New Roman" w:hAnsi="Times New Roman"/>
          <w:i/>
          <w:noProof/>
        </w:rPr>
        <w:t>Preglednica 2: Obseg prodaje ogrevanih tobačnih izdelkov v EU27, v milijonih enot (2020)</w:t>
      </w:r>
    </w:p>
    <w:tbl>
      <w:tblPr>
        <w:tblStyle w:val="PlainTable1"/>
        <w:tblpPr w:leftFromText="180" w:rightFromText="180" w:vertAnchor="text" w:tblpY="1"/>
        <w:tblOverlap w:val="never"/>
        <w:tblW w:w="9554" w:type="dxa"/>
        <w:tblLook w:val="04A0" w:firstRow="1" w:lastRow="0" w:firstColumn="1" w:lastColumn="0" w:noHBand="0" w:noVBand="1"/>
      </w:tblPr>
      <w:tblGrid>
        <w:gridCol w:w="4777"/>
        <w:gridCol w:w="4777"/>
      </w:tblGrid>
      <w:tr w:rsidR="005D775F" w:rsidRPr="00C20E5F" w14:paraId="4CE401F3" w14:textId="77777777" w:rsidTr="00C20E5F">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4777" w:type="dxa"/>
          </w:tcPr>
          <w:p w14:paraId="6D0D0E7A" w14:textId="2B618A1B" w:rsidR="0056714A" w:rsidRPr="00C20E5F" w:rsidRDefault="00FC5EAB" w:rsidP="00C20E5F">
            <w:pPr>
              <w:rPr>
                <w:rFonts w:ascii="Times New Roman" w:hAnsi="Times New Roman" w:cs="Times New Roman"/>
                <w:noProof/>
                <w:sz w:val="24"/>
                <w:szCs w:val="24"/>
              </w:rPr>
            </w:pPr>
            <w:r>
              <w:rPr>
                <w:rFonts w:ascii="Times New Roman" w:hAnsi="Times New Roman"/>
                <w:noProof/>
                <w:sz w:val="24"/>
                <w:szCs w:val="24"/>
              </w:rPr>
              <w:t>Vir podatkov</w:t>
            </w:r>
          </w:p>
        </w:tc>
        <w:tc>
          <w:tcPr>
            <w:tcW w:w="4777" w:type="dxa"/>
          </w:tcPr>
          <w:p w14:paraId="28F15203" w14:textId="46C8BF4E" w:rsidR="0056714A" w:rsidRPr="00C20E5F" w:rsidRDefault="00BA259D"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Obseg prodaje v letu 2020</w:t>
            </w:r>
          </w:p>
        </w:tc>
      </w:tr>
      <w:tr w:rsidR="005B547B" w:rsidRPr="00C20E5F" w14:paraId="7B3DE578" w14:textId="77777777" w:rsidTr="00C20E5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777" w:type="dxa"/>
          </w:tcPr>
          <w:p w14:paraId="622B9E58" w14:textId="7B2761AB" w:rsidR="0056714A" w:rsidRPr="00C20E5F" w:rsidRDefault="0056714A" w:rsidP="00C20E5F">
            <w:pPr>
              <w:rPr>
                <w:rFonts w:ascii="Times New Roman" w:hAnsi="Times New Roman" w:cs="Times New Roman"/>
                <w:b w:val="0"/>
                <w:noProof/>
                <w:sz w:val="24"/>
                <w:szCs w:val="24"/>
              </w:rPr>
            </w:pPr>
            <w:r>
              <w:rPr>
                <w:rFonts w:ascii="Times New Roman" w:hAnsi="Times New Roman"/>
                <w:noProof/>
                <w:sz w:val="24"/>
                <w:szCs w:val="24"/>
              </w:rPr>
              <w:t>EU-CEG</w:t>
            </w:r>
          </w:p>
        </w:tc>
        <w:tc>
          <w:tcPr>
            <w:tcW w:w="4777" w:type="dxa"/>
          </w:tcPr>
          <w:p w14:paraId="3E66725B" w14:textId="0D5215E9" w:rsidR="0056714A" w:rsidRPr="00C20E5F" w:rsidRDefault="0056714A" w:rsidP="00580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noProof/>
                <w:color w:val="000000"/>
                <w:sz w:val="24"/>
                <w:szCs w:val="24"/>
              </w:rPr>
            </w:pPr>
            <w:r>
              <w:rPr>
                <w:rFonts w:ascii="Times New Roman" w:hAnsi="Times New Roman"/>
                <w:noProof/>
                <w:color w:val="000000"/>
                <w:sz w:val="24"/>
                <w:szCs w:val="24"/>
              </w:rPr>
              <w:t>19 717</w:t>
            </w:r>
          </w:p>
        </w:tc>
      </w:tr>
      <w:tr w:rsidR="005B547B" w:rsidRPr="00C20E5F" w14:paraId="73B15A1C" w14:textId="77777777" w:rsidTr="00C20E5F">
        <w:trPr>
          <w:trHeight w:val="292"/>
        </w:trPr>
        <w:tc>
          <w:tcPr>
            <w:cnfStyle w:val="001000000000" w:firstRow="0" w:lastRow="0" w:firstColumn="1" w:lastColumn="0" w:oddVBand="0" w:evenVBand="0" w:oddHBand="0" w:evenHBand="0" w:firstRowFirstColumn="0" w:firstRowLastColumn="0" w:lastRowFirstColumn="0" w:lastRowLastColumn="0"/>
            <w:tcW w:w="4777" w:type="dxa"/>
          </w:tcPr>
          <w:p w14:paraId="109939B0" w14:textId="48862C2D" w:rsidR="0056714A" w:rsidRPr="00C20E5F" w:rsidRDefault="00C34182" w:rsidP="00C20E5F">
            <w:pPr>
              <w:rPr>
                <w:rFonts w:ascii="Times New Roman" w:hAnsi="Times New Roman" w:cs="Times New Roman"/>
                <w:b w:val="0"/>
                <w:noProof/>
                <w:sz w:val="24"/>
                <w:szCs w:val="24"/>
              </w:rPr>
            </w:pPr>
            <w:r>
              <w:rPr>
                <w:rFonts w:ascii="Times New Roman" w:hAnsi="Times New Roman"/>
                <w:noProof/>
                <w:sz w:val="24"/>
                <w:szCs w:val="24"/>
              </w:rPr>
              <w:t>Euromonitor</w:t>
            </w:r>
          </w:p>
        </w:tc>
        <w:tc>
          <w:tcPr>
            <w:tcW w:w="4777" w:type="dxa"/>
          </w:tcPr>
          <w:p w14:paraId="6146C99C" w14:textId="13F4647F" w:rsidR="0056714A" w:rsidRPr="00C20E5F" w:rsidRDefault="00A77BE0" w:rsidP="00EA61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Pr>
                <w:rFonts w:ascii="Times New Roman" w:hAnsi="Times New Roman"/>
                <w:noProof/>
                <w:color w:val="000000"/>
                <w:sz w:val="24"/>
                <w:szCs w:val="24"/>
              </w:rPr>
              <w:t>20 766</w:t>
            </w:r>
          </w:p>
        </w:tc>
      </w:tr>
    </w:tbl>
    <w:p w14:paraId="03A6E729" w14:textId="77777777" w:rsidR="00DC2EE9" w:rsidRPr="001D4003" w:rsidRDefault="00DC2EE9" w:rsidP="001A1DD7">
      <w:pPr>
        <w:spacing w:after="0"/>
        <w:jc w:val="both"/>
        <w:rPr>
          <w:rFonts w:ascii="Times New Roman" w:eastAsia="Times New Roman" w:hAnsi="Times New Roman" w:cs="Times New Roman"/>
          <w:noProof/>
          <w:color w:val="363636"/>
          <w:sz w:val="24"/>
          <w:szCs w:val="24"/>
        </w:rPr>
      </w:pPr>
    </w:p>
    <w:p w14:paraId="0F15A795" w14:textId="2A185D04" w:rsidR="00701084" w:rsidRPr="001D4003" w:rsidRDefault="001A5058" w:rsidP="001A5058">
      <w:pPr>
        <w:jc w:val="both"/>
        <w:rPr>
          <w:rFonts w:ascii="Times New Roman" w:hAnsi="Times New Roman" w:cs="Times New Roman"/>
          <w:noProof/>
          <w:sz w:val="24"/>
          <w:szCs w:val="24"/>
        </w:rPr>
      </w:pPr>
      <w:r>
        <w:rPr>
          <w:rFonts w:ascii="Times New Roman" w:hAnsi="Times New Roman"/>
          <w:noProof/>
          <w:sz w:val="24"/>
          <w:szCs w:val="24"/>
        </w:rPr>
        <w:t xml:space="preserve">Kot je prikazano v preglednici, je obseg prodaje, o katerem poroča Euromonitor, nekoliko večji od obsega prodaje po poročanju EU-CEG. V skladu s konzervativnim pristopom, izbranim za to poročilo, je bil kot števec za izračun tržnega deleža ogrevanih tobačnih izdelkov uporabljen najnižji obseg prodaje (tj. obseg po poročanju EU-CEG). Števec izraža njihov letni tržni obseg v letu 2020, ki ga je treba primerjati s celotnim obsegom tobačnih izdelkov, prodanih v EU27 v letu 2020 na maloprodajni ravni. </w:t>
      </w:r>
    </w:p>
    <w:p w14:paraId="2D764EE3" w14:textId="3D520421" w:rsidR="00815F33" w:rsidRPr="001D4003" w:rsidRDefault="00DC2EE9" w:rsidP="00DB6ADF">
      <w:pPr>
        <w:keepNext/>
        <w:spacing w:line="240" w:lineRule="auto"/>
        <w:jc w:val="both"/>
        <w:rPr>
          <w:rFonts w:ascii="Times New Roman" w:hAnsi="Times New Roman" w:cs="Times New Roman"/>
          <w:b/>
          <w:noProof/>
          <w:sz w:val="24"/>
          <w:szCs w:val="24"/>
        </w:rPr>
      </w:pPr>
      <w:r>
        <w:rPr>
          <w:rFonts w:ascii="Times New Roman" w:hAnsi="Times New Roman"/>
          <w:b/>
          <w:noProof/>
          <w:sz w:val="24"/>
          <w:szCs w:val="24"/>
        </w:rPr>
        <w:t>2.2.2 Celotna prodaja ogrevanih tobačnih izdelkov na ravni Unije</w:t>
      </w:r>
    </w:p>
    <w:p w14:paraId="189FD7C8" w14:textId="733BB638" w:rsidR="00DD11BE" w:rsidRPr="001D4003" w:rsidRDefault="0040072E" w:rsidP="00815F33">
      <w:pPr>
        <w:spacing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Preglednica 3 temelji na podatkih družbe Euromonitor. Prikazuje celotno prodajo tobačnih izdelkov, vključno s celotno prodajo cigaret, cigar, cigarilosov, tobaka za zvijanje, tobaka za pipe in tobaka za žvečenje ter ogrevanih tobačnih izdelkov, v letu 2020. </w:t>
      </w:r>
    </w:p>
    <w:p w14:paraId="454C568D" w14:textId="77777777" w:rsidR="00815F33" w:rsidRPr="001D4003" w:rsidRDefault="00815F33" w:rsidP="00815F33">
      <w:pPr>
        <w:spacing w:line="240" w:lineRule="auto"/>
        <w:contextualSpacing/>
        <w:jc w:val="both"/>
        <w:rPr>
          <w:rFonts w:ascii="Times New Roman" w:hAnsi="Times New Roman" w:cs="Times New Roman"/>
          <w:b/>
          <w:i/>
          <w:noProof/>
          <w:sz w:val="24"/>
          <w:szCs w:val="24"/>
          <w:lang w:val="en-US"/>
        </w:rPr>
      </w:pPr>
    </w:p>
    <w:p w14:paraId="4D5EB4BB" w14:textId="70BB41D9" w:rsidR="00815F33" w:rsidRPr="001D4003" w:rsidRDefault="00815F33" w:rsidP="00815F33">
      <w:pPr>
        <w:spacing w:line="240" w:lineRule="auto"/>
        <w:jc w:val="both"/>
        <w:rPr>
          <w:rFonts w:ascii="Times New Roman" w:hAnsi="Times New Roman" w:cs="Times New Roman"/>
          <w:i/>
          <w:noProof/>
        </w:rPr>
      </w:pPr>
      <w:r>
        <w:rPr>
          <w:rFonts w:ascii="Times New Roman" w:hAnsi="Times New Roman"/>
          <w:i/>
          <w:noProof/>
        </w:rPr>
        <w:t xml:space="preserve">Preglednica 3: Celoten obseg prodaje tobačnih izdelkov (v letu 2020) </w:t>
      </w:r>
    </w:p>
    <w:tbl>
      <w:tblPr>
        <w:tblStyle w:val="PlainTable1"/>
        <w:tblpPr w:leftFromText="180" w:rightFromText="180" w:vertAnchor="text" w:tblpY="1"/>
        <w:tblOverlap w:val="never"/>
        <w:tblW w:w="9554" w:type="dxa"/>
        <w:tblLayout w:type="fixed"/>
        <w:tblLook w:val="04A0" w:firstRow="1" w:lastRow="0" w:firstColumn="1" w:lastColumn="0" w:noHBand="0" w:noVBand="1"/>
      </w:tblPr>
      <w:tblGrid>
        <w:gridCol w:w="1365"/>
        <w:gridCol w:w="1365"/>
        <w:gridCol w:w="1365"/>
        <w:gridCol w:w="1364"/>
        <w:gridCol w:w="1595"/>
        <w:gridCol w:w="1135"/>
        <w:gridCol w:w="1365"/>
      </w:tblGrid>
      <w:tr w:rsidR="00A22FEB" w:rsidRPr="00C20E5F" w14:paraId="6C9280D9" w14:textId="77777777" w:rsidTr="00C20E5F">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365" w:type="dxa"/>
            <w:hideMark/>
          </w:tcPr>
          <w:p w14:paraId="2147D3CA" w14:textId="740E51FD" w:rsidR="00815F33" w:rsidRPr="00C20E5F" w:rsidRDefault="00984BAF" w:rsidP="0060018F">
            <w:pPr>
              <w:rPr>
                <w:rFonts w:ascii="Times New Roman" w:eastAsia="Times New Roman" w:hAnsi="Times New Roman" w:cs="Times New Roman"/>
                <w:bCs w:val="0"/>
                <w:noProof/>
                <w:color w:val="000000"/>
                <w:sz w:val="24"/>
                <w:szCs w:val="24"/>
              </w:rPr>
            </w:pPr>
            <w:r>
              <w:rPr>
                <w:rFonts w:ascii="Times New Roman" w:hAnsi="Times New Roman"/>
                <w:bCs w:val="0"/>
                <w:noProof/>
                <w:color w:val="000000"/>
                <w:sz w:val="24"/>
                <w:szCs w:val="24"/>
              </w:rPr>
              <w:t>Cigarete</w:t>
            </w:r>
            <w:r>
              <w:rPr>
                <w:noProof/>
              </w:rPr>
              <w:t xml:space="preserve"> </w:t>
            </w:r>
            <w:r>
              <w:rPr>
                <w:noProof/>
              </w:rPr>
              <w:br/>
            </w:r>
            <w:r>
              <w:rPr>
                <w:rFonts w:ascii="Times New Roman" w:hAnsi="Times New Roman"/>
                <w:noProof/>
                <w:color w:val="000000"/>
                <w:sz w:val="24"/>
                <w:szCs w:val="24"/>
              </w:rPr>
              <w:t>(v milijonih enot)</w:t>
            </w:r>
          </w:p>
        </w:tc>
        <w:tc>
          <w:tcPr>
            <w:tcW w:w="1365" w:type="dxa"/>
            <w:hideMark/>
          </w:tcPr>
          <w:p w14:paraId="5B94B057" w14:textId="7F52E879"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noProof/>
                <w:color w:val="000000"/>
                <w:sz w:val="24"/>
                <w:szCs w:val="24"/>
              </w:rPr>
              <w:t>Cigare</w:t>
            </w:r>
            <w:r>
              <w:rPr>
                <w:noProof/>
              </w:rPr>
              <w:t xml:space="preserve"> </w:t>
            </w:r>
            <w:r>
              <w:rPr>
                <w:noProof/>
              </w:rPr>
              <w:br/>
            </w:r>
            <w:r>
              <w:rPr>
                <w:rFonts w:ascii="Times New Roman" w:hAnsi="Times New Roman"/>
                <w:noProof/>
                <w:color w:val="000000"/>
                <w:sz w:val="24"/>
                <w:szCs w:val="24"/>
              </w:rPr>
              <w:t>(v milijonih enot)</w:t>
            </w:r>
          </w:p>
        </w:tc>
        <w:tc>
          <w:tcPr>
            <w:tcW w:w="1365" w:type="dxa"/>
            <w:hideMark/>
          </w:tcPr>
          <w:p w14:paraId="723DF024" w14:textId="1C48CE80"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noProof/>
                <w:color w:val="000000"/>
                <w:sz w:val="24"/>
                <w:szCs w:val="24"/>
              </w:rPr>
              <w:t>Cigarilosi</w:t>
            </w:r>
            <w:r>
              <w:rPr>
                <w:noProof/>
              </w:rPr>
              <w:t xml:space="preserve"> </w:t>
            </w:r>
            <w:r>
              <w:rPr>
                <w:noProof/>
              </w:rPr>
              <w:br/>
            </w:r>
            <w:r>
              <w:rPr>
                <w:rFonts w:ascii="Times New Roman" w:hAnsi="Times New Roman"/>
                <w:noProof/>
                <w:color w:val="000000"/>
                <w:sz w:val="24"/>
                <w:szCs w:val="24"/>
              </w:rPr>
              <w:t>(v milijonih enot)</w:t>
            </w:r>
          </w:p>
        </w:tc>
        <w:tc>
          <w:tcPr>
            <w:tcW w:w="1364" w:type="dxa"/>
            <w:hideMark/>
          </w:tcPr>
          <w:p w14:paraId="4D327C8E" w14:textId="7C5DBA49"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noProof/>
                <w:color w:val="000000"/>
                <w:sz w:val="24"/>
                <w:szCs w:val="24"/>
              </w:rPr>
              <w:t xml:space="preserve">Tobak za zvijanje </w:t>
            </w:r>
            <w:r>
              <w:rPr>
                <w:noProof/>
              </w:rPr>
              <w:t xml:space="preserve"> </w:t>
            </w:r>
            <w:r>
              <w:rPr>
                <w:noProof/>
              </w:rPr>
              <w:br/>
            </w:r>
            <w:r>
              <w:rPr>
                <w:rFonts w:ascii="Times New Roman" w:hAnsi="Times New Roman"/>
                <w:noProof/>
                <w:color w:val="000000"/>
                <w:sz w:val="24"/>
                <w:szCs w:val="24"/>
              </w:rPr>
              <w:t>(v milijonih enot)*</w:t>
            </w:r>
          </w:p>
        </w:tc>
        <w:tc>
          <w:tcPr>
            <w:tcW w:w="1595" w:type="dxa"/>
          </w:tcPr>
          <w:p w14:paraId="2E9A02C8" w14:textId="478ED805"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Tobak za pipe in za žvečenje**</w:t>
            </w:r>
          </w:p>
          <w:p w14:paraId="24E12795" w14:textId="26C3C66F" w:rsidR="00984BAF"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noProof/>
                <w:color w:val="000000"/>
                <w:sz w:val="24"/>
                <w:szCs w:val="24"/>
              </w:rPr>
              <w:t>(prilagoditev)</w:t>
            </w:r>
          </w:p>
        </w:tc>
        <w:tc>
          <w:tcPr>
            <w:tcW w:w="1135" w:type="dxa"/>
            <w:hideMark/>
          </w:tcPr>
          <w:p w14:paraId="6CB84A5B" w14:textId="520EE868"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noProof/>
                <w:color w:val="000000"/>
                <w:sz w:val="24"/>
                <w:szCs w:val="24"/>
              </w:rPr>
              <w:t xml:space="preserve">Ogrevani tobačni izdelki </w:t>
            </w:r>
            <w:r>
              <w:rPr>
                <w:noProof/>
              </w:rPr>
              <w:t xml:space="preserve"> </w:t>
            </w:r>
            <w:r>
              <w:rPr>
                <w:noProof/>
              </w:rPr>
              <w:br/>
            </w:r>
            <w:r>
              <w:rPr>
                <w:rFonts w:ascii="Times New Roman" w:hAnsi="Times New Roman"/>
                <w:noProof/>
                <w:color w:val="000000"/>
                <w:sz w:val="24"/>
                <w:szCs w:val="24"/>
              </w:rPr>
              <w:t>(v milijonih enot)</w:t>
            </w:r>
          </w:p>
        </w:tc>
        <w:tc>
          <w:tcPr>
            <w:tcW w:w="1365" w:type="dxa"/>
          </w:tcPr>
          <w:p w14:paraId="05A6D6FE" w14:textId="402667C7" w:rsidR="00815F33" w:rsidRPr="00C20E5F" w:rsidRDefault="00AD4FDE"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000000"/>
                <w:sz w:val="24"/>
                <w:szCs w:val="24"/>
              </w:rPr>
            </w:pPr>
            <w:r>
              <w:rPr>
                <w:rFonts w:ascii="Times New Roman" w:hAnsi="Times New Roman"/>
                <w:noProof/>
                <w:color w:val="000000"/>
                <w:sz w:val="24"/>
                <w:szCs w:val="24"/>
              </w:rPr>
              <w:t>Celotna prodaja tobačnih izdelkov (v milijonih ekvivalentov enot)</w:t>
            </w:r>
          </w:p>
        </w:tc>
      </w:tr>
      <w:tr w:rsidR="00A22FEB" w:rsidRPr="00C20E5F" w14:paraId="013718EA" w14:textId="77777777" w:rsidTr="00C20E5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365" w:type="dxa"/>
            <w:noWrap/>
            <w:hideMark/>
          </w:tcPr>
          <w:p w14:paraId="4B65F5F9" w14:textId="692A4746" w:rsidR="00815F33" w:rsidRPr="00C20E5F" w:rsidRDefault="00A77BE0" w:rsidP="00EA61EB">
            <w:pPr>
              <w:rPr>
                <w:rFonts w:ascii="Times New Roman" w:hAnsi="Times New Roman" w:cs="Times New Roman"/>
                <w:b w:val="0"/>
                <w:noProof/>
                <w:color w:val="000000"/>
                <w:sz w:val="24"/>
                <w:szCs w:val="24"/>
              </w:rPr>
            </w:pPr>
            <w:r>
              <w:rPr>
                <w:rFonts w:ascii="Times New Roman" w:hAnsi="Times New Roman"/>
                <w:b w:val="0"/>
                <w:bCs w:val="0"/>
                <w:noProof/>
                <w:color w:val="000000"/>
                <w:sz w:val="24"/>
                <w:szCs w:val="24"/>
              </w:rPr>
              <w:t>408 279</w:t>
            </w:r>
          </w:p>
        </w:tc>
        <w:tc>
          <w:tcPr>
            <w:tcW w:w="1365" w:type="dxa"/>
            <w:noWrap/>
            <w:hideMark/>
          </w:tcPr>
          <w:p w14:paraId="219A3617" w14:textId="4DE105FA"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1 006</w:t>
            </w:r>
          </w:p>
        </w:tc>
        <w:tc>
          <w:tcPr>
            <w:tcW w:w="1365" w:type="dxa"/>
            <w:noWrap/>
            <w:hideMark/>
          </w:tcPr>
          <w:p w14:paraId="3419C1A9" w14:textId="7155540B"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8 459</w:t>
            </w:r>
          </w:p>
        </w:tc>
        <w:tc>
          <w:tcPr>
            <w:tcW w:w="1364" w:type="dxa"/>
            <w:noWrap/>
            <w:hideMark/>
          </w:tcPr>
          <w:p w14:paraId="5B2737CD" w14:textId="7E430C48"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108 059</w:t>
            </w:r>
          </w:p>
        </w:tc>
        <w:tc>
          <w:tcPr>
            <w:tcW w:w="1595" w:type="dxa"/>
          </w:tcPr>
          <w:p w14:paraId="0A949149" w14:textId="33DEC4E7"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3 908</w:t>
            </w:r>
          </w:p>
        </w:tc>
        <w:tc>
          <w:tcPr>
            <w:tcW w:w="1135" w:type="dxa"/>
            <w:noWrap/>
            <w:hideMark/>
          </w:tcPr>
          <w:p w14:paraId="009660E2" w14:textId="727D6F7E"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20 766</w:t>
            </w:r>
          </w:p>
        </w:tc>
        <w:tc>
          <w:tcPr>
            <w:tcW w:w="1365" w:type="dxa"/>
          </w:tcPr>
          <w:p w14:paraId="240F7CE5" w14:textId="0FF32832" w:rsidR="00815F33" w:rsidRPr="00C20E5F" w:rsidRDefault="00A77BE0" w:rsidP="003E05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550 478</w:t>
            </w:r>
          </w:p>
        </w:tc>
      </w:tr>
    </w:tbl>
    <w:p w14:paraId="39C37F12" w14:textId="4AD95308" w:rsidR="00815F33" w:rsidRPr="00C20E5F" w:rsidRDefault="00815F33" w:rsidP="00C20E5F">
      <w:pPr>
        <w:pStyle w:val="NoSpacing"/>
        <w:jc w:val="both"/>
        <w:rPr>
          <w:rFonts w:ascii="Times New Roman" w:hAnsi="Times New Roman" w:cs="Times New Roman"/>
          <w:noProof/>
          <w:sz w:val="20"/>
          <w:szCs w:val="20"/>
        </w:rPr>
      </w:pPr>
      <w:r>
        <w:rPr>
          <w:rFonts w:ascii="Times New Roman" w:hAnsi="Times New Roman"/>
          <w:noProof/>
          <w:sz w:val="20"/>
          <w:szCs w:val="20"/>
        </w:rPr>
        <w:t>* Poročilo družbe Euromonitor: Tobačni izdelki za zvijanje tehtajo 75 641 ton. V analizi je izračunan ekvivalent v enotah tobaka za zvijanje z upoštevanjem, da 0,7 grama ustreza eni enoti.</w:t>
      </w:r>
    </w:p>
    <w:p w14:paraId="1BEE9E43" w14:textId="46F9EDEA" w:rsidR="00815F33" w:rsidRPr="00C20E5F" w:rsidRDefault="00815F33" w:rsidP="00C20E5F">
      <w:pPr>
        <w:pStyle w:val="NoSpacing"/>
        <w:jc w:val="both"/>
        <w:rPr>
          <w:rFonts w:ascii="Times New Roman" w:hAnsi="Times New Roman" w:cs="Times New Roman"/>
          <w:noProof/>
          <w:sz w:val="20"/>
          <w:szCs w:val="20"/>
        </w:rPr>
      </w:pPr>
      <w:r>
        <w:rPr>
          <w:rFonts w:ascii="Times New Roman" w:hAnsi="Times New Roman"/>
          <w:noProof/>
          <w:sz w:val="20"/>
          <w:szCs w:val="20"/>
        </w:rPr>
        <w:t>** Ker obsega prodaje tobaka za pipe in tobaka za žvečenje ni mogoče standardizirano količinsko opredeliti v enotah, je v analizi celoten obseg prodaje tobačnih izdelkov prilagojen z dodajanjem ustreznega deleža tržne vrednosti EU27, ki je leta 2020 znašal 0,71 % (torej 550 478 * 0,71 % = 3 908 milijona ekvivalentov enot).</w:t>
      </w:r>
    </w:p>
    <w:p w14:paraId="3DEF46F2" w14:textId="6C49D93A" w:rsidR="00ED7A95" w:rsidRPr="00C20E5F" w:rsidRDefault="007466AF" w:rsidP="00C20E5F">
      <w:pPr>
        <w:rPr>
          <w:rFonts w:ascii="Times New Roman" w:hAnsi="Times New Roman" w:cs="Times New Roman"/>
          <w:noProof/>
          <w:sz w:val="20"/>
          <w:szCs w:val="20"/>
        </w:rPr>
      </w:pPr>
      <w:r>
        <w:rPr>
          <w:rFonts w:ascii="Times New Roman" w:hAnsi="Times New Roman"/>
          <w:noProof/>
          <w:sz w:val="20"/>
          <w:szCs w:val="20"/>
        </w:rPr>
        <w:t>Vir: Euromonitor International Passport Tobacco 2021</w:t>
      </w:r>
    </w:p>
    <w:p w14:paraId="25E2B366" w14:textId="672213CA" w:rsidR="007466AF" w:rsidRPr="00C20E5F" w:rsidRDefault="007E1239" w:rsidP="00C20E5F">
      <w:pPr>
        <w:jc w:val="both"/>
        <w:rPr>
          <w:rFonts w:ascii="Times New Roman" w:hAnsi="Times New Roman" w:cs="Times New Roman"/>
          <w:noProof/>
          <w:sz w:val="24"/>
          <w:szCs w:val="24"/>
        </w:rPr>
      </w:pPr>
      <w:r>
        <w:rPr>
          <w:rFonts w:ascii="Times New Roman" w:hAnsi="Times New Roman"/>
          <w:noProof/>
          <w:sz w:val="24"/>
          <w:szCs w:val="24"/>
        </w:rPr>
        <w:t>Sistem EU za sledljivost tobačnih izdelkov državam članicam od maja 2019 omogoča, da sledijo tržnemu toku cigaret in tobaka za zvijanje. Preglednica 4 prikazuje obseg prodaje cigaret in tobaka za zvijanje za leto 2020, izračunan na podlagi podatkov, ki temeljijo na sistemu za sledljivost tobačnih izdelkov, ob upoštevanju dveh alternativnih pristopov, od katerih vsak zajema nekoliko drugačna časovna obdobja, ki odražajo čas, potreben za premik izdelkov po distribucijski verigi. Ker so podatki zabeleženi na ravni proizvajalca, se predpostavlja enomesečni zamik, da izdelek doseže maloprodajno raven (v nadaljnjem besedilu: časovno prilagojeni podatki o proizvodnji).</w:t>
      </w:r>
    </w:p>
    <w:p w14:paraId="2F91DD5D" w14:textId="1E704CE8" w:rsidR="00CF1008" w:rsidRDefault="00002017" w:rsidP="00C20E5F">
      <w:pPr>
        <w:jc w:val="both"/>
        <w:rPr>
          <w:noProof/>
          <w:sz w:val="24"/>
          <w:szCs w:val="24"/>
        </w:rPr>
      </w:pPr>
      <w:r>
        <w:rPr>
          <w:rFonts w:ascii="Times New Roman" w:hAnsi="Times New Roman"/>
          <w:noProof/>
          <w:sz w:val="24"/>
          <w:szCs w:val="24"/>
        </w:rPr>
        <w:t>Ker zbirka podatkov o sledljivosti ne vključuje velikosti pakiranja, so bili podatki o sledljivosti v analizi navzkrižno preverjeni s podatkovno zbirko EU-CEG, in sicer z uporabo edinstvenega identifikatorja produkta (TP-ID), da bi se določilo število cigaret na enoto pakiranja, navedeno za vsak identifikator tobačnih izdelkov v poročilu EU-CEG.</w:t>
      </w:r>
      <w:r>
        <w:rPr>
          <w:noProof/>
          <w:sz w:val="24"/>
          <w:szCs w:val="24"/>
        </w:rPr>
        <w:t xml:space="preserve"> </w:t>
      </w:r>
      <w:r>
        <w:rPr>
          <w:noProof/>
        </w:rPr>
        <w:tab/>
      </w:r>
    </w:p>
    <w:p w14:paraId="55432F54" w14:textId="08D79AD0" w:rsidR="00447A01" w:rsidRDefault="00447A01" w:rsidP="00C20E5F">
      <w:pPr>
        <w:jc w:val="both"/>
        <w:rPr>
          <w:noProof/>
          <w:sz w:val="24"/>
          <w:szCs w:val="24"/>
        </w:rPr>
      </w:pPr>
    </w:p>
    <w:p w14:paraId="525ADFA6" w14:textId="77777777" w:rsidR="00447A01" w:rsidRPr="00C20E5F" w:rsidRDefault="00447A01" w:rsidP="00C20E5F">
      <w:pPr>
        <w:jc w:val="both"/>
        <w:rPr>
          <w:noProof/>
          <w:sz w:val="24"/>
          <w:szCs w:val="24"/>
        </w:rPr>
      </w:pPr>
    </w:p>
    <w:p w14:paraId="14443398" w14:textId="3BBCFCA5" w:rsidR="008C477F" w:rsidRPr="001D4003" w:rsidRDefault="008C477F" w:rsidP="00C20E5F">
      <w:pPr>
        <w:keepNext/>
        <w:jc w:val="center"/>
        <w:rPr>
          <w:rFonts w:ascii="Times New Roman" w:hAnsi="Times New Roman" w:cs="Times New Roman"/>
          <w:i/>
          <w:noProof/>
        </w:rPr>
      </w:pPr>
      <w:r>
        <w:rPr>
          <w:rFonts w:ascii="Times New Roman" w:hAnsi="Times New Roman"/>
          <w:i/>
          <w:noProof/>
        </w:rPr>
        <w:t>Preglednica 4: Proizvodnja cigaret in tobaka za zvijanje v letu 2020</w:t>
      </w:r>
      <w:r>
        <w:rPr>
          <w:rStyle w:val="FootnoteReference"/>
          <w:rFonts w:ascii="Times New Roman" w:hAnsi="Times New Roman" w:cs="Times New Roman"/>
          <w:i/>
          <w:noProof/>
        </w:rPr>
        <w:footnoteReference w:id="3"/>
      </w:r>
    </w:p>
    <w:tbl>
      <w:tblPr>
        <w:tblStyle w:val="PlainTable1"/>
        <w:tblpPr w:leftFromText="180" w:rightFromText="180" w:vertAnchor="text" w:tblpY="1"/>
        <w:tblOverlap w:val="never"/>
        <w:tblW w:w="9554" w:type="dxa"/>
        <w:tblLook w:val="04A0" w:firstRow="1" w:lastRow="0" w:firstColumn="1" w:lastColumn="0" w:noHBand="0" w:noVBand="1"/>
      </w:tblPr>
      <w:tblGrid>
        <w:gridCol w:w="2388"/>
        <w:gridCol w:w="2389"/>
        <w:gridCol w:w="2388"/>
        <w:gridCol w:w="2389"/>
      </w:tblGrid>
      <w:tr w:rsidR="003E4B41" w:rsidRPr="00C20E5F" w14:paraId="3DE5680A" w14:textId="77777777" w:rsidTr="00C20E5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777" w:type="dxa"/>
            <w:gridSpan w:val="2"/>
          </w:tcPr>
          <w:p w14:paraId="6637C00A" w14:textId="5EAF55F0" w:rsidR="003E4B41" w:rsidRPr="00C20E5F" w:rsidRDefault="003E4B41" w:rsidP="0060018F">
            <w:pPr>
              <w:tabs>
                <w:tab w:val="left" w:pos="2166"/>
              </w:tabs>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Cigarete</w:t>
            </w:r>
            <w:r>
              <w:rPr>
                <w:noProof/>
              </w:rPr>
              <w:tab/>
            </w:r>
          </w:p>
        </w:tc>
        <w:tc>
          <w:tcPr>
            <w:tcW w:w="4777" w:type="dxa"/>
            <w:gridSpan w:val="2"/>
          </w:tcPr>
          <w:p w14:paraId="03CF2C5C" w14:textId="3617DEA2" w:rsidR="003E4B41" w:rsidRPr="00C20E5F" w:rsidRDefault="008C477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Tobak za zvijanje</w:t>
            </w:r>
          </w:p>
        </w:tc>
      </w:tr>
      <w:tr w:rsidR="003E4B41" w:rsidRPr="00C20E5F" w14:paraId="37263604" w14:textId="77777777" w:rsidTr="00C20E5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388" w:type="dxa"/>
            <w:hideMark/>
          </w:tcPr>
          <w:p w14:paraId="24D51E54" w14:textId="6F8427F2" w:rsidR="003E4B41" w:rsidRPr="00C20E5F" w:rsidRDefault="0066589D" w:rsidP="0060018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Časovno prilagojeni podatki o proizvodnji</w:t>
            </w:r>
          </w:p>
          <w:p w14:paraId="1EF93610" w14:textId="4EDBFECC" w:rsidR="003E4B41" w:rsidRPr="00C20E5F" w:rsidRDefault="00841A93" w:rsidP="0060018F">
            <w:pPr>
              <w:rPr>
                <w:rFonts w:ascii="Times New Roman" w:eastAsia="Times New Roman" w:hAnsi="Times New Roman" w:cs="Times New Roman"/>
                <w:noProof/>
                <w:color w:val="363636"/>
                <w:sz w:val="24"/>
                <w:szCs w:val="24"/>
              </w:rPr>
            </w:pPr>
            <w:r>
              <w:rPr>
                <w:rFonts w:ascii="Times New Roman" w:hAnsi="Times New Roman"/>
                <w:noProof/>
                <w:color w:val="363636"/>
                <w:sz w:val="24"/>
                <w:szCs w:val="24"/>
              </w:rPr>
              <w:t>(v milijonih enot)</w:t>
            </w:r>
          </w:p>
        </w:tc>
        <w:tc>
          <w:tcPr>
            <w:tcW w:w="2389" w:type="dxa"/>
            <w:hideMark/>
          </w:tcPr>
          <w:p w14:paraId="599BCA78" w14:textId="289D9E1D" w:rsidR="003E4B41" w:rsidRPr="00C20E5F" w:rsidRDefault="00DD211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363636"/>
                <w:sz w:val="24"/>
                <w:szCs w:val="24"/>
              </w:rPr>
            </w:pPr>
            <w:r>
              <w:rPr>
                <w:rFonts w:ascii="Times New Roman" w:hAnsi="Times New Roman"/>
                <w:b/>
                <w:noProof/>
                <w:color w:val="363636"/>
                <w:sz w:val="24"/>
                <w:szCs w:val="24"/>
              </w:rPr>
              <w:t>Časovno neprilagojeni podatki o proizvodnji</w:t>
            </w:r>
          </w:p>
          <w:p w14:paraId="48B34272" w14:textId="7D80A064" w:rsidR="003E4B41" w:rsidRPr="00C20E5F" w:rsidRDefault="00841A9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r>
              <w:rPr>
                <w:rFonts w:ascii="Times New Roman" w:hAnsi="Times New Roman"/>
                <w:noProof/>
                <w:color w:val="363636"/>
                <w:sz w:val="24"/>
                <w:szCs w:val="24"/>
              </w:rPr>
              <w:t>(v milijonih enot)</w:t>
            </w:r>
          </w:p>
        </w:tc>
        <w:tc>
          <w:tcPr>
            <w:tcW w:w="2388" w:type="dxa"/>
          </w:tcPr>
          <w:p w14:paraId="25F862CB" w14:textId="429EFDED" w:rsidR="00DD2113" w:rsidRPr="00C20E5F" w:rsidRDefault="0066589D"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363636"/>
                <w:sz w:val="24"/>
                <w:szCs w:val="24"/>
              </w:rPr>
            </w:pPr>
            <w:r>
              <w:rPr>
                <w:rFonts w:ascii="Times New Roman" w:hAnsi="Times New Roman"/>
                <w:b/>
                <w:noProof/>
                <w:color w:val="363636"/>
                <w:sz w:val="24"/>
                <w:szCs w:val="24"/>
              </w:rPr>
              <w:t>Časovno prilagojeni podatki o proizvodnji</w:t>
            </w:r>
          </w:p>
          <w:p w14:paraId="13B7D3F5" w14:textId="2ECEA4F0" w:rsidR="003E4B41" w:rsidRPr="00C20E5F" w:rsidRDefault="00DD211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r>
              <w:rPr>
                <w:rFonts w:ascii="Times New Roman" w:hAnsi="Times New Roman"/>
                <w:b/>
                <w:noProof/>
                <w:color w:val="363636"/>
                <w:sz w:val="24"/>
                <w:szCs w:val="24"/>
              </w:rPr>
              <w:t xml:space="preserve"> </w:t>
            </w:r>
            <w:r>
              <w:rPr>
                <w:rFonts w:ascii="Times New Roman" w:hAnsi="Times New Roman"/>
                <w:noProof/>
                <w:sz w:val="24"/>
                <w:szCs w:val="24"/>
              </w:rPr>
              <w:t>(v milijonih ekvivalentov enot)</w:t>
            </w:r>
          </w:p>
        </w:tc>
        <w:tc>
          <w:tcPr>
            <w:tcW w:w="2389" w:type="dxa"/>
          </w:tcPr>
          <w:p w14:paraId="4D422E13" w14:textId="672E64AC" w:rsidR="00DD2113" w:rsidRPr="00C20E5F" w:rsidRDefault="00DD211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363636"/>
                <w:sz w:val="24"/>
                <w:szCs w:val="24"/>
              </w:rPr>
            </w:pPr>
            <w:r>
              <w:rPr>
                <w:rFonts w:ascii="Times New Roman" w:hAnsi="Times New Roman"/>
                <w:b/>
                <w:noProof/>
                <w:color w:val="363636"/>
                <w:sz w:val="24"/>
                <w:szCs w:val="24"/>
              </w:rPr>
              <w:t>Časovno neprilagojeni podatki o proizvodnji</w:t>
            </w:r>
          </w:p>
          <w:p w14:paraId="71ADE48F" w14:textId="4E30DF92" w:rsidR="003E4B41" w:rsidRPr="00C20E5F" w:rsidRDefault="00DD211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r>
              <w:rPr>
                <w:rFonts w:ascii="Times New Roman" w:hAnsi="Times New Roman"/>
                <w:b/>
                <w:noProof/>
                <w:color w:val="363636"/>
                <w:sz w:val="24"/>
                <w:szCs w:val="24"/>
              </w:rPr>
              <w:t xml:space="preserve"> </w:t>
            </w:r>
            <w:r>
              <w:rPr>
                <w:rFonts w:ascii="Times New Roman" w:hAnsi="Times New Roman"/>
                <w:noProof/>
                <w:sz w:val="24"/>
                <w:szCs w:val="24"/>
              </w:rPr>
              <w:t>(v milijonih ekvivalentov enot)</w:t>
            </w:r>
          </w:p>
        </w:tc>
      </w:tr>
      <w:tr w:rsidR="003E4B41" w:rsidRPr="00C20E5F" w14:paraId="17C857CA" w14:textId="77777777" w:rsidTr="00C20E5F">
        <w:trPr>
          <w:trHeight w:val="383"/>
        </w:trPr>
        <w:tc>
          <w:tcPr>
            <w:cnfStyle w:val="001000000000" w:firstRow="0" w:lastRow="0" w:firstColumn="1" w:lastColumn="0" w:oddVBand="0" w:evenVBand="0" w:oddHBand="0" w:evenHBand="0" w:firstRowFirstColumn="0" w:firstRowLastColumn="0" w:lastRowFirstColumn="0" w:lastRowLastColumn="0"/>
            <w:tcW w:w="2388" w:type="dxa"/>
            <w:noWrap/>
            <w:hideMark/>
          </w:tcPr>
          <w:p w14:paraId="4FF2F8DD" w14:textId="608F5519" w:rsidR="003E4B41" w:rsidRPr="00C20E5F" w:rsidRDefault="00A77BE0" w:rsidP="005803AD">
            <w:pPr>
              <w:rPr>
                <w:rFonts w:ascii="Times New Roman" w:hAnsi="Times New Roman" w:cs="Times New Roman"/>
                <w:i/>
                <w:iCs/>
                <w:noProof/>
                <w:color w:val="000000"/>
                <w:sz w:val="24"/>
                <w:szCs w:val="24"/>
              </w:rPr>
            </w:pPr>
            <w:r>
              <w:rPr>
                <w:rFonts w:ascii="Times New Roman" w:hAnsi="Times New Roman"/>
                <w:noProof/>
                <w:color w:val="000000"/>
                <w:sz w:val="24"/>
                <w:szCs w:val="24"/>
              </w:rPr>
              <w:t>436 123</w:t>
            </w:r>
          </w:p>
        </w:tc>
        <w:tc>
          <w:tcPr>
            <w:tcW w:w="2389" w:type="dxa"/>
            <w:noWrap/>
            <w:hideMark/>
          </w:tcPr>
          <w:p w14:paraId="37422614" w14:textId="656A529E" w:rsidR="003E4B41" w:rsidRPr="00C20E5F" w:rsidRDefault="00A77BE0" w:rsidP="00580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Pr>
                <w:rFonts w:ascii="Times New Roman" w:hAnsi="Times New Roman"/>
                <w:noProof/>
                <w:color w:val="000000"/>
                <w:sz w:val="24"/>
                <w:szCs w:val="24"/>
              </w:rPr>
              <w:t>434 164</w:t>
            </w:r>
          </w:p>
        </w:tc>
        <w:tc>
          <w:tcPr>
            <w:tcW w:w="2388" w:type="dxa"/>
          </w:tcPr>
          <w:p w14:paraId="7FBBA767" w14:textId="5B0FB4EF" w:rsidR="003E4B41" w:rsidRPr="00C20E5F" w:rsidRDefault="00A77BE0" w:rsidP="00580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Pr>
                <w:rFonts w:ascii="Times New Roman" w:hAnsi="Times New Roman"/>
                <w:noProof/>
                <w:color w:val="000000"/>
                <w:sz w:val="24"/>
                <w:szCs w:val="24"/>
              </w:rPr>
              <w:t>121 239</w:t>
            </w:r>
          </w:p>
        </w:tc>
        <w:tc>
          <w:tcPr>
            <w:tcW w:w="2389" w:type="dxa"/>
          </w:tcPr>
          <w:p w14:paraId="5D1207F6" w14:textId="29F17189" w:rsidR="003E4B41" w:rsidRPr="00C20E5F" w:rsidRDefault="00A77BE0" w:rsidP="00580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Pr>
                <w:rFonts w:ascii="Times New Roman" w:hAnsi="Times New Roman"/>
                <w:noProof/>
                <w:color w:val="000000"/>
                <w:sz w:val="24"/>
                <w:szCs w:val="24"/>
              </w:rPr>
              <w:t>122 341</w:t>
            </w:r>
          </w:p>
        </w:tc>
      </w:tr>
    </w:tbl>
    <w:p w14:paraId="7BDC97AD" w14:textId="669752D3" w:rsidR="003E4B41" w:rsidRPr="00C20E5F" w:rsidRDefault="0066589D" w:rsidP="00841A93">
      <w:pPr>
        <w:spacing w:after="0"/>
        <w:jc w:val="both"/>
        <w:rPr>
          <w:rFonts w:ascii="Times New Roman" w:eastAsia="Times New Roman" w:hAnsi="Times New Roman" w:cs="Times New Roman"/>
          <w:noProof/>
          <w:color w:val="363636"/>
          <w:sz w:val="20"/>
          <w:szCs w:val="20"/>
        </w:rPr>
      </w:pPr>
      <w:r>
        <w:rPr>
          <w:rFonts w:ascii="Times New Roman" w:hAnsi="Times New Roman"/>
          <w:i/>
          <w:iCs/>
          <w:noProof/>
          <w:color w:val="363636"/>
          <w:sz w:val="20"/>
          <w:szCs w:val="20"/>
        </w:rPr>
        <w:t>Časovno prilagojeni podatki o proizvodnji</w:t>
      </w:r>
      <w:r>
        <w:rPr>
          <w:rFonts w:ascii="Times New Roman" w:hAnsi="Times New Roman"/>
          <w:noProof/>
          <w:color w:val="363636"/>
          <w:sz w:val="20"/>
          <w:szCs w:val="20"/>
        </w:rPr>
        <w:t xml:space="preserve"> se nanašajo na obdobje: december 2019–november 2020. </w:t>
      </w:r>
    </w:p>
    <w:p w14:paraId="0459291C" w14:textId="2AE01DA5" w:rsidR="003E4B41" w:rsidRPr="00C20E5F" w:rsidRDefault="00DD2113" w:rsidP="00841A93">
      <w:pPr>
        <w:spacing w:after="0"/>
        <w:jc w:val="both"/>
        <w:rPr>
          <w:rFonts w:ascii="Times New Roman" w:eastAsia="Times New Roman" w:hAnsi="Times New Roman" w:cs="Times New Roman"/>
          <w:noProof/>
          <w:color w:val="363636"/>
          <w:sz w:val="20"/>
          <w:szCs w:val="20"/>
        </w:rPr>
      </w:pPr>
      <w:r>
        <w:rPr>
          <w:rFonts w:ascii="Times New Roman" w:hAnsi="Times New Roman"/>
          <w:i/>
          <w:iCs/>
          <w:noProof/>
          <w:color w:val="363636"/>
          <w:sz w:val="20"/>
          <w:szCs w:val="20"/>
        </w:rPr>
        <w:t>Časovno neprilagojeni podatki o proizvodnji</w:t>
      </w:r>
      <w:r>
        <w:rPr>
          <w:rFonts w:ascii="Times New Roman" w:hAnsi="Times New Roman"/>
          <w:noProof/>
          <w:color w:val="363636"/>
          <w:sz w:val="20"/>
          <w:szCs w:val="20"/>
        </w:rPr>
        <w:t xml:space="preserve"> se nanašajo na obdobje:  januar 2020–december 2020.</w:t>
      </w:r>
    </w:p>
    <w:p w14:paraId="3D02F59E" w14:textId="2A206628" w:rsidR="007466AF" w:rsidRPr="00C20E5F" w:rsidRDefault="007466AF" w:rsidP="00841A93">
      <w:pPr>
        <w:spacing w:after="0"/>
        <w:jc w:val="both"/>
        <w:rPr>
          <w:rFonts w:ascii="Times New Roman" w:eastAsia="Times New Roman" w:hAnsi="Times New Roman" w:cs="Times New Roman"/>
          <w:noProof/>
          <w:color w:val="363636"/>
          <w:sz w:val="20"/>
          <w:szCs w:val="20"/>
        </w:rPr>
      </w:pPr>
      <w:r>
        <w:rPr>
          <w:rFonts w:ascii="Times New Roman" w:hAnsi="Times New Roman"/>
          <w:noProof/>
          <w:color w:val="363636"/>
          <w:sz w:val="20"/>
          <w:szCs w:val="20"/>
        </w:rPr>
        <w:t>Vir: sistem EU za sledljivost tobačnih izdelkov.</w:t>
      </w:r>
    </w:p>
    <w:p w14:paraId="0A0F4CBF" w14:textId="77777777" w:rsidR="00841A93" w:rsidRPr="001D4003" w:rsidRDefault="00841A93" w:rsidP="00841A93">
      <w:pPr>
        <w:spacing w:after="0"/>
        <w:jc w:val="both"/>
        <w:rPr>
          <w:rFonts w:ascii="Times New Roman" w:eastAsia="Times New Roman" w:hAnsi="Times New Roman" w:cs="Times New Roman"/>
          <w:noProof/>
          <w:color w:val="363636"/>
          <w:sz w:val="18"/>
          <w:szCs w:val="18"/>
        </w:rPr>
      </w:pPr>
    </w:p>
    <w:p w14:paraId="612A6F6D" w14:textId="49E0C71B" w:rsidR="00841A93" w:rsidRPr="001D4003" w:rsidRDefault="00002017" w:rsidP="00841A93">
      <w:pPr>
        <w:jc w:val="both"/>
        <w:rPr>
          <w:rFonts w:ascii="Times New Roman" w:hAnsi="Times New Roman" w:cs="Times New Roman"/>
          <w:noProof/>
          <w:sz w:val="24"/>
          <w:szCs w:val="24"/>
        </w:rPr>
      </w:pPr>
      <w:r>
        <w:rPr>
          <w:rFonts w:ascii="Times New Roman" w:hAnsi="Times New Roman"/>
          <w:noProof/>
          <w:sz w:val="24"/>
          <w:szCs w:val="24"/>
        </w:rPr>
        <w:t>Za namen uporabljenega konzervativnega izračuna se v poročilu upošteva višja od dveh vrednosti za zadevni kategoriji (tj. časovno prilagojeni podatki o proizvodnji cigaret in časovno neprilagojeni podatki o proizvodnji tobaka za zvijanje).</w:t>
      </w:r>
    </w:p>
    <w:p w14:paraId="6B8AD91B" w14:textId="79B750C8" w:rsidR="003E4B41" w:rsidRPr="001D4003" w:rsidRDefault="00002017" w:rsidP="00841A93">
      <w:pPr>
        <w:jc w:val="both"/>
        <w:rPr>
          <w:rFonts w:ascii="Times New Roman" w:hAnsi="Times New Roman" w:cs="Times New Roman"/>
          <w:noProof/>
          <w:sz w:val="24"/>
          <w:szCs w:val="24"/>
        </w:rPr>
      </w:pPr>
      <w:r>
        <w:rPr>
          <w:rFonts w:ascii="Times New Roman" w:hAnsi="Times New Roman"/>
          <w:noProof/>
          <w:sz w:val="24"/>
          <w:szCs w:val="24"/>
        </w:rPr>
        <w:t xml:space="preserve">Ker je v Direktivi sledljivost za druge kategorije tobačnih izdelkov preložena na leto 2024, so v preglednici 5 združeni podatki sistema za sledljivost tobačnih izdelkov, pridobljeni za cigarete in tobak za zvijanje, z ustreznimi podatki Euromonitorja za druge kategorije tobačnih izdelkov: </w:t>
      </w:r>
    </w:p>
    <w:p w14:paraId="7BAA4BAD" w14:textId="003DDC0B" w:rsidR="00841A93" w:rsidRPr="00C20E5F" w:rsidRDefault="00841A93" w:rsidP="00C20E5F">
      <w:pPr>
        <w:jc w:val="center"/>
        <w:rPr>
          <w:rFonts w:ascii="Times New Roman" w:hAnsi="Times New Roman" w:cs="Times New Roman"/>
          <w:i/>
          <w:noProof/>
          <w:sz w:val="24"/>
          <w:szCs w:val="24"/>
        </w:rPr>
      </w:pPr>
      <w:r>
        <w:rPr>
          <w:rFonts w:ascii="Times New Roman" w:hAnsi="Times New Roman"/>
          <w:i/>
          <w:noProof/>
          <w:sz w:val="24"/>
          <w:szCs w:val="24"/>
        </w:rPr>
        <w:t>Preglednica 5: Celotna prodaja tobačnih izdelkov (v letu 2020)</w:t>
      </w:r>
    </w:p>
    <w:tbl>
      <w:tblPr>
        <w:tblStyle w:val="PlainTable1"/>
        <w:tblpPr w:leftFromText="180" w:rightFromText="180" w:vertAnchor="text" w:tblpY="1"/>
        <w:tblOverlap w:val="never"/>
        <w:tblW w:w="9554" w:type="dxa"/>
        <w:tblLook w:val="04A0" w:firstRow="1" w:lastRow="0" w:firstColumn="1" w:lastColumn="0" w:noHBand="0" w:noVBand="1"/>
      </w:tblPr>
      <w:tblGrid>
        <w:gridCol w:w="1269"/>
        <w:gridCol w:w="2007"/>
        <w:gridCol w:w="990"/>
        <w:gridCol w:w="1216"/>
        <w:gridCol w:w="1176"/>
        <w:gridCol w:w="1536"/>
        <w:gridCol w:w="2122"/>
      </w:tblGrid>
      <w:tr w:rsidR="003E4B41" w:rsidRPr="00C20E5F" w14:paraId="528B67A3" w14:textId="77777777" w:rsidTr="0060018F">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276" w:type="dxa"/>
            <w:gridSpan w:val="2"/>
            <w:noWrap/>
            <w:hideMark/>
          </w:tcPr>
          <w:p w14:paraId="48B7DB04" w14:textId="00B30B4B" w:rsidR="003E4B41" w:rsidRPr="00C20E5F" w:rsidRDefault="003E4B41"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Podatki sistema za sledljivost tobačnih izdelkov</w:t>
            </w:r>
          </w:p>
        </w:tc>
        <w:tc>
          <w:tcPr>
            <w:tcW w:w="3353" w:type="dxa"/>
            <w:gridSpan w:val="3"/>
            <w:noWrap/>
            <w:hideMark/>
          </w:tcPr>
          <w:p w14:paraId="505A0C2F" w14:textId="59BDE971" w:rsidR="003E4B41" w:rsidRPr="00C20E5F" w:rsidRDefault="003E4B41"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Podatki družbe Euromonitor</w:t>
            </w:r>
          </w:p>
        </w:tc>
        <w:tc>
          <w:tcPr>
            <w:tcW w:w="1280" w:type="dxa"/>
          </w:tcPr>
          <w:p w14:paraId="299237D9" w14:textId="77777777" w:rsidR="003E4B41" w:rsidRPr="00C20E5F" w:rsidRDefault="003E4B41"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Prilagoditev</w:t>
            </w:r>
          </w:p>
        </w:tc>
        <w:tc>
          <w:tcPr>
            <w:tcW w:w="2122" w:type="dxa"/>
            <w:noWrap/>
            <w:hideMark/>
          </w:tcPr>
          <w:p w14:paraId="54E439D4" w14:textId="2204ADD7" w:rsidR="003E4B41" w:rsidRPr="00C20E5F" w:rsidRDefault="00CA4932"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Sistem za sledljivost tobačnih izdelkov +                     podatki družbe Euromonitor</w:t>
            </w:r>
          </w:p>
        </w:tc>
      </w:tr>
      <w:tr w:rsidR="003E4B41" w:rsidRPr="00C20E5F" w14:paraId="645D5ED6" w14:textId="77777777" w:rsidTr="0060018F">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269" w:type="dxa"/>
            <w:hideMark/>
          </w:tcPr>
          <w:p w14:paraId="4913A817" w14:textId="77777777" w:rsidR="003E4B41" w:rsidRPr="00C20E5F" w:rsidRDefault="003E4B41" w:rsidP="0060018F">
            <w:pPr>
              <w:rPr>
                <w:rFonts w:ascii="Times New Roman" w:eastAsia="Times New Roman" w:hAnsi="Times New Roman" w:cs="Times New Roman"/>
                <w:noProof/>
                <w:color w:val="363636"/>
                <w:sz w:val="24"/>
                <w:szCs w:val="24"/>
              </w:rPr>
            </w:pPr>
            <w:r>
              <w:rPr>
                <w:rFonts w:ascii="Times New Roman" w:hAnsi="Times New Roman"/>
                <w:noProof/>
                <w:color w:val="363636"/>
                <w:sz w:val="24"/>
                <w:szCs w:val="24"/>
              </w:rPr>
              <w:t>Cigarete</w:t>
            </w:r>
          </w:p>
          <w:p w14:paraId="122445F6" w14:textId="77777777" w:rsidR="003E4B41" w:rsidRPr="00C20E5F" w:rsidRDefault="003E4B41" w:rsidP="0060018F">
            <w:pPr>
              <w:rPr>
                <w:rFonts w:ascii="Times New Roman" w:eastAsia="Times New Roman" w:hAnsi="Times New Roman" w:cs="Times New Roman"/>
                <w:b w:val="0"/>
                <w:noProof/>
                <w:color w:val="363636"/>
                <w:sz w:val="24"/>
                <w:szCs w:val="24"/>
              </w:rPr>
            </w:pPr>
            <w:r>
              <w:rPr>
                <w:rFonts w:ascii="Times New Roman" w:hAnsi="Times New Roman"/>
                <w:b w:val="0"/>
                <w:noProof/>
                <w:color w:val="363636"/>
                <w:sz w:val="24"/>
                <w:szCs w:val="24"/>
              </w:rPr>
              <w:t>(milijon enot)</w:t>
            </w:r>
          </w:p>
        </w:tc>
        <w:tc>
          <w:tcPr>
            <w:tcW w:w="2007" w:type="dxa"/>
            <w:hideMark/>
          </w:tcPr>
          <w:p w14:paraId="598EFAE8" w14:textId="6B0D1169" w:rsidR="00B36348" w:rsidRPr="00C20E5F" w:rsidRDefault="00B36348"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r>
              <w:rPr>
                <w:rFonts w:ascii="Times New Roman" w:hAnsi="Times New Roman"/>
                <w:b/>
                <w:noProof/>
                <w:color w:val="363636"/>
                <w:sz w:val="24"/>
                <w:szCs w:val="24"/>
              </w:rPr>
              <w:t>Tobak za zvijanje</w:t>
            </w:r>
            <w:r>
              <w:rPr>
                <w:rFonts w:ascii="Times New Roman" w:hAnsi="Times New Roman"/>
                <w:noProof/>
                <w:color w:val="363636"/>
                <w:sz w:val="24"/>
                <w:szCs w:val="24"/>
              </w:rPr>
              <w:t xml:space="preserve"> (1 edinstveni identifikator = 50 gramov) (milijon ekvivalentov enot)</w:t>
            </w:r>
          </w:p>
          <w:p w14:paraId="5D3C6A0D" w14:textId="6950314E"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p>
        </w:tc>
        <w:tc>
          <w:tcPr>
            <w:tcW w:w="990" w:type="dxa"/>
            <w:hideMark/>
          </w:tcPr>
          <w:p w14:paraId="71BD5168" w14:textId="77777777"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4"/>
                <w:szCs w:val="24"/>
              </w:rPr>
            </w:pPr>
            <w:r>
              <w:rPr>
                <w:rFonts w:ascii="Times New Roman" w:hAnsi="Times New Roman"/>
                <w:b/>
                <w:bCs/>
                <w:noProof/>
                <w:color w:val="000000"/>
                <w:sz w:val="24"/>
                <w:szCs w:val="24"/>
              </w:rPr>
              <w:t>Cigare</w:t>
            </w:r>
            <w:r>
              <w:rPr>
                <w:noProof/>
              </w:rPr>
              <w:t xml:space="preserve"> </w:t>
            </w:r>
            <w:r>
              <w:rPr>
                <w:noProof/>
              </w:rPr>
              <w:br/>
            </w:r>
            <w:r>
              <w:rPr>
                <w:rFonts w:ascii="Times New Roman" w:hAnsi="Times New Roman"/>
                <w:bCs/>
                <w:noProof/>
                <w:color w:val="000000"/>
                <w:sz w:val="24"/>
                <w:szCs w:val="24"/>
              </w:rPr>
              <w:t>(milijon enot)</w:t>
            </w:r>
          </w:p>
        </w:tc>
        <w:tc>
          <w:tcPr>
            <w:tcW w:w="1216" w:type="dxa"/>
            <w:hideMark/>
          </w:tcPr>
          <w:p w14:paraId="06E8F713" w14:textId="77777777"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4"/>
                <w:szCs w:val="24"/>
              </w:rPr>
            </w:pPr>
            <w:r>
              <w:rPr>
                <w:rFonts w:ascii="Times New Roman" w:hAnsi="Times New Roman"/>
                <w:b/>
                <w:bCs/>
                <w:noProof/>
                <w:color w:val="000000"/>
                <w:sz w:val="24"/>
                <w:szCs w:val="24"/>
              </w:rPr>
              <w:t>Cigarilosi</w:t>
            </w:r>
            <w:r>
              <w:rPr>
                <w:noProof/>
              </w:rPr>
              <w:t xml:space="preserve"> </w:t>
            </w:r>
            <w:r>
              <w:rPr>
                <w:noProof/>
              </w:rPr>
              <w:br/>
            </w:r>
            <w:r>
              <w:rPr>
                <w:rFonts w:ascii="Times New Roman" w:hAnsi="Times New Roman"/>
                <w:bCs/>
                <w:noProof/>
                <w:color w:val="000000"/>
                <w:sz w:val="24"/>
                <w:szCs w:val="24"/>
              </w:rPr>
              <w:t>(milijon enot)</w:t>
            </w:r>
          </w:p>
        </w:tc>
        <w:tc>
          <w:tcPr>
            <w:tcW w:w="1147" w:type="dxa"/>
            <w:hideMark/>
          </w:tcPr>
          <w:p w14:paraId="325B43C8" w14:textId="77777777"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4"/>
                <w:szCs w:val="24"/>
              </w:rPr>
            </w:pPr>
            <w:r>
              <w:rPr>
                <w:rFonts w:ascii="Times New Roman" w:hAnsi="Times New Roman"/>
                <w:b/>
                <w:bCs/>
                <w:noProof/>
                <w:color w:val="000000"/>
                <w:sz w:val="24"/>
                <w:szCs w:val="24"/>
              </w:rPr>
              <w:t>Ogrevani tobačni izdelki</w:t>
            </w:r>
            <w:r>
              <w:rPr>
                <w:noProof/>
              </w:rPr>
              <w:t xml:space="preserve"> </w:t>
            </w:r>
            <w:r>
              <w:rPr>
                <w:noProof/>
              </w:rPr>
              <w:br/>
            </w:r>
            <w:r>
              <w:rPr>
                <w:rFonts w:ascii="Times New Roman" w:hAnsi="Times New Roman"/>
                <w:bCs/>
                <w:noProof/>
                <w:color w:val="000000"/>
                <w:sz w:val="24"/>
                <w:szCs w:val="24"/>
              </w:rPr>
              <w:t>(milijon enot)</w:t>
            </w:r>
          </w:p>
        </w:tc>
        <w:tc>
          <w:tcPr>
            <w:tcW w:w="1280" w:type="dxa"/>
          </w:tcPr>
          <w:p w14:paraId="72442C1D" w14:textId="38B7FA55"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b/>
                <w:noProof/>
                <w:color w:val="000000"/>
                <w:sz w:val="24"/>
                <w:szCs w:val="24"/>
              </w:rPr>
              <w:t>Tobak za pipe in za žvečenje</w:t>
            </w:r>
            <w:r>
              <w:rPr>
                <w:rFonts w:ascii="Times New Roman" w:hAnsi="Times New Roman"/>
                <w:noProof/>
                <w:color w:val="000000"/>
                <w:sz w:val="24"/>
                <w:szCs w:val="24"/>
              </w:rPr>
              <w:t>* (prilagoditev)</w:t>
            </w:r>
          </w:p>
        </w:tc>
        <w:tc>
          <w:tcPr>
            <w:tcW w:w="2122" w:type="dxa"/>
            <w:hideMark/>
          </w:tcPr>
          <w:p w14:paraId="26A4DA4D" w14:textId="77777777" w:rsidR="00984BAF"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b/>
                <w:noProof/>
                <w:color w:val="000000"/>
                <w:sz w:val="24"/>
                <w:szCs w:val="24"/>
              </w:rPr>
              <w:t xml:space="preserve">Vsi tobačni </w:t>
            </w:r>
            <w:r>
              <w:rPr>
                <w:noProof/>
              </w:rPr>
              <w:t xml:space="preserve"> </w:t>
            </w:r>
            <w:r>
              <w:rPr>
                <w:noProof/>
              </w:rPr>
              <w:br/>
            </w:r>
            <w:r>
              <w:rPr>
                <w:rFonts w:ascii="Times New Roman" w:hAnsi="Times New Roman"/>
                <w:b/>
                <w:noProof/>
                <w:color w:val="000000"/>
                <w:sz w:val="24"/>
                <w:szCs w:val="24"/>
              </w:rPr>
              <w:t>izdelki</w:t>
            </w:r>
            <w:r>
              <w:rPr>
                <w:rFonts w:ascii="Times New Roman" w:hAnsi="Times New Roman"/>
                <w:noProof/>
                <w:color w:val="000000"/>
                <w:sz w:val="24"/>
                <w:szCs w:val="24"/>
              </w:rPr>
              <w:t xml:space="preserve"> </w:t>
            </w:r>
          </w:p>
          <w:p w14:paraId="3C5D5A48" w14:textId="224405F2" w:rsidR="003E4B41" w:rsidRPr="00C20E5F" w:rsidRDefault="001C0CAF"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(v milijonih ekvivalentov enot)</w:t>
            </w:r>
          </w:p>
        </w:tc>
      </w:tr>
      <w:tr w:rsidR="00B36348" w:rsidRPr="00C20E5F" w14:paraId="172C30EC" w14:textId="77777777" w:rsidTr="0060018F">
        <w:trPr>
          <w:trHeight w:val="339"/>
        </w:trPr>
        <w:tc>
          <w:tcPr>
            <w:cnfStyle w:val="001000000000" w:firstRow="0" w:lastRow="0" w:firstColumn="1" w:lastColumn="0" w:oddVBand="0" w:evenVBand="0" w:oddHBand="0" w:evenHBand="0" w:firstRowFirstColumn="0" w:firstRowLastColumn="0" w:lastRowFirstColumn="0" w:lastRowLastColumn="0"/>
            <w:tcW w:w="1269" w:type="dxa"/>
            <w:noWrap/>
            <w:hideMark/>
          </w:tcPr>
          <w:p w14:paraId="6D0C1A0C" w14:textId="2BB6F433" w:rsidR="003E4B41" w:rsidRPr="00C20E5F" w:rsidRDefault="00A77BE0" w:rsidP="001F07EF">
            <w:pPr>
              <w:rPr>
                <w:rFonts w:ascii="Times New Roman" w:hAnsi="Times New Roman" w:cs="Times New Roman"/>
                <w:b w:val="0"/>
                <w:bCs w:val="0"/>
                <w:noProof/>
                <w:color w:val="000000"/>
                <w:sz w:val="24"/>
                <w:szCs w:val="24"/>
              </w:rPr>
            </w:pPr>
            <w:r>
              <w:rPr>
                <w:rFonts w:ascii="Times New Roman" w:hAnsi="Times New Roman"/>
                <w:b w:val="0"/>
                <w:noProof/>
                <w:color w:val="000000"/>
                <w:sz w:val="24"/>
                <w:szCs w:val="24"/>
              </w:rPr>
              <w:t>436 123</w:t>
            </w:r>
          </w:p>
        </w:tc>
        <w:tc>
          <w:tcPr>
            <w:tcW w:w="2007" w:type="dxa"/>
            <w:noWrap/>
            <w:hideMark/>
          </w:tcPr>
          <w:p w14:paraId="04502431" w14:textId="68A49625" w:rsidR="003E4B41" w:rsidRPr="00C20E5F" w:rsidRDefault="00A77BE0" w:rsidP="001F07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122 341</w:t>
            </w:r>
          </w:p>
        </w:tc>
        <w:tc>
          <w:tcPr>
            <w:tcW w:w="990" w:type="dxa"/>
            <w:noWrap/>
            <w:hideMark/>
          </w:tcPr>
          <w:p w14:paraId="11891996" w14:textId="76404925" w:rsidR="003E4B41" w:rsidRPr="00C20E5F" w:rsidRDefault="00A77BE0" w:rsidP="001F07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1 006</w:t>
            </w:r>
          </w:p>
        </w:tc>
        <w:tc>
          <w:tcPr>
            <w:tcW w:w="1216" w:type="dxa"/>
            <w:noWrap/>
            <w:hideMark/>
          </w:tcPr>
          <w:p w14:paraId="53A7424B" w14:textId="2AD8B52A" w:rsidR="003E4B41" w:rsidRPr="00C20E5F" w:rsidRDefault="00A77BE0" w:rsidP="001F07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8 459</w:t>
            </w:r>
          </w:p>
        </w:tc>
        <w:tc>
          <w:tcPr>
            <w:tcW w:w="1147" w:type="dxa"/>
            <w:noWrap/>
            <w:hideMark/>
          </w:tcPr>
          <w:p w14:paraId="52A716EE" w14:textId="06AB3514" w:rsidR="003E4B41" w:rsidRPr="00C20E5F" w:rsidRDefault="00A77BE0" w:rsidP="00580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20 766</w:t>
            </w:r>
          </w:p>
        </w:tc>
        <w:tc>
          <w:tcPr>
            <w:tcW w:w="1280" w:type="dxa"/>
          </w:tcPr>
          <w:p w14:paraId="6F278093" w14:textId="496882B7" w:rsidR="003E4B41" w:rsidRPr="00C20E5F" w:rsidRDefault="001F07EF" w:rsidP="001F07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4 210</w:t>
            </w:r>
          </w:p>
        </w:tc>
        <w:tc>
          <w:tcPr>
            <w:tcW w:w="2122" w:type="dxa"/>
            <w:noWrap/>
            <w:hideMark/>
          </w:tcPr>
          <w:p w14:paraId="597C789E" w14:textId="5B9FD7C2" w:rsidR="003E4B41" w:rsidRPr="00C20E5F" w:rsidRDefault="00A77BE0" w:rsidP="001F07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592 904</w:t>
            </w:r>
          </w:p>
        </w:tc>
      </w:tr>
    </w:tbl>
    <w:p w14:paraId="0F9507E4" w14:textId="41863AF9" w:rsidR="00DD2113" w:rsidRPr="00C20E5F" w:rsidRDefault="001C2ABD" w:rsidP="00CA4932">
      <w:pPr>
        <w:spacing w:after="0"/>
        <w:jc w:val="both"/>
        <w:rPr>
          <w:rFonts w:ascii="Times New Roman" w:eastAsia="Times New Roman" w:hAnsi="Times New Roman" w:cs="Times New Roman"/>
          <w:bCs/>
          <w:noProof/>
          <w:color w:val="000000"/>
          <w:sz w:val="20"/>
          <w:szCs w:val="20"/>
        </w:rPr>
      </w:pPr>
      <w:r>
        <w:rPr>
          <w:rFonts w:ascii="Times New Roman" w:hAnsi="Times New Roman"/>
          <w:bCs/>
          <w:noProof/>
          <w:color w:val="000000"/>
          <w:sz w:val="20"/>
          <w:szCs w:val="20"/>
        </w:rPr>
        <w:t>* Ker obsega prodaje tobaka za pipe in tobaka za žvečenje ni mogoče količinsko opredeliti v enotah, je v analizi celoten obseg prodaje tobačnih izdelkov prilagojen z dodajanjem ustreznega deleža tržne vrednosti EU27, ki je leta 2020 znašal 0,71 % (torej 592 904 * 0,71 % = 4 210 milijona ekvivalentov enot).</w:t>
      </w:r>
    </w:p>
    <w:p w14:paraId="44C18CDA" w14:textId="37BAE2D6" w:rsidR="00B36348" w:rsidRPr="00C20E5F" w:rsidRDefault="00DD2113" w:rsidP="00CA4932">
      <w:pPr>
        <w:spacing w:after="0"/>
        <w:jc w:val="both"/>
        <w:rPr>
          <w:rFonts w:ascii="Times New Roman" w:eastAsia="Times New Roman" w:hAnsi="Times New Roman" w:cs="Times New Roman"/>
          <w:bCs/>
          <w:noProof/>
          <w:color w:val="000000"/>
          <w:sz w:val="20"/>
          <w:szCs w:val="20"/>
        </w:rPr>
      </w:pPr>
      <w:r>
        <w:rPr>
          <w:rFonts w:ascii="Times New Roman" w:hAnsi="Times New Roman"/>
          <w:bCs/>
          <w:noProof/>
          <w:color w:val="000000"/>
          <w:sz w:val="20"/>
          <w:szCs w:val="20"/>
        </w:rPr>
        <w:t xml:space="preserve">Vir: </w:t>
      </w:r>
      <w:r>
        <w:rPr>
          <w:rFonts w:ascii="Times New Roman" w:hAnsi="Times New Roman"/>
          <w:noProof/>
          <w:sz w:val="20"/>
          <w:szCs w:val="20"/>
        </w:rPr>
        <w:t>Sistem EU za sledljivost tobačnih izdelkov, Euromonitor International Passport Tobacco 2021</w:t>
      </w:r>
    </w:p>
    <w:p w14:paraId="6C0F3086" w14:textId="07C7C36F" w:rsidR="00ED7A95" w:rsidRPr="001D4003" w:rsidRDefault="00264728" w:rsidP="00EA7F75">
      <w:pPr>
        <w:pStyle w:val="Heading1NoNumb"/>
        <w:jc w:val="both"/>
        <w:rPr>
          <w:rFonts w:ascii="Times New Roman" w:eastAsia="ArialMT" w:hAnsi="Times New Roman" w:cs="Times New Roman"/>
          <w:b w:val="0"/>
          <w:noProof/>
          <w:szCs w:val="24"/>
        </w:rPr>
      </w:pPr>
      <w:r>
        <w:rPr>
          <w:rFonts w:ascii="Times New Roman" w:hAnsi="Times New Roman"/>
          <w:b w:val="0"/>
          <w:noProof/>
          <w:szCs w:val="24"/>
        </w:rPr>
        <w:t>Za izračun natančnega deleža celotne prodaje tobačnih izdelkov v EU, ki ustreza obsegu prodaje ogrevanih tobačnih izdelkov na maloprodajni ravni, je bil v analizi kot imenovalec uporabljen največji obseg prodaje (tj. kombinacija sistema za sledljivost tobačnih izdelkov in podatkov družbe Euromonitor o obsegu prodaje).</w:t>
      </w:r>
    </w:p>
    <w:p w14:paraId="2651E595" w14:textId="334F94F2" w:rsidR="003E4B41" w:rsidRPr="001D4003" w:rsidRDefault="002E1382" w:rsidP="00B36348">
      <w:pPr>
        <w:pStyle w:val="Heading1NoNumb"/>
        <w:jc w:val="both"/>
        <w:rPr>
          <w:rFonts w:ascii="Times New Roman" w:eastAsia="ArialMT" w:hAnsi="Times New Roman" w:cs="Times New Roman"/>
          <w:noProof/>
          <w:szCs w:val="24"/>
        </w:rPr>
      </w:pPr>
      <w:r>
        <w:rPr>
          <w:rFonts w:ascii="Times New Roman" w:hAnsi="Times New Roman"/>
          <w:noProof/>
          <w:szCs w:val="24"/>
        </w:rPr>
        <w:t xml:space="preserve">2.2.3 Obseg prodaje ogrevanih tobačnih izdelkov na maloprodajni ravni v povezavi s celotno prodajo tobačnih izdelkov na ravni Unije </w:t>
      </w:r>
    </w:p>
    <w:p w14:paraId="4256E7F7" w14:textId="01C819BA" w:rsidR="00CA4932" w:rsidRPr="001D4003" w:rsidRDefault="00CA4932" w:rsidP="003E4B41">
      <w:pPr>
        <w:jc w:val="both"/>
        <w:rPr>
          <w:rFonts w:ascii="Times New Roman" w:hAnsi="Times New Roman" w:cs="Times New Roman"/>
          <w:noProof/>
          <w:sz w:val="24"/>
          <w:szCs w:val="24"/>
        </w:rPr>
      </w:pPr>
      <w:r>
        <w:rPr>
          <w:rFonts w:ascii="Times New Roman" w:hAnsi="Times New Roman"/>
          <w:noProof/>
          <w:sz w:val="24"/>
          <w:szCs w:val="24"/>
        </w:rPr>
        <w:t xml:space="preserve">Kot je pojasnjeno zgoraj, je bil za izračun natančnega deleža celotne prodaje tobačnih izdelkov v EU, ki ustreza obsegu prodaje ogrevanih tobačnih izdelkov na maloprodajni ravni, uporabljen najnižji števec – obseg prodaje EU-CEG (tj. 19 717 milijona enot) – v kombinaciji z najvišjim imenovalcem na podlagi obsega sledljivosti tobačnih izdelkov in družbe Euromonitor (tj. 592 904 milijona enot). </w:t>
      </w:r>
    </w:p>
    <w:p w14:paraId="2D1FEDBB" w14:textId="26954060" w:rsidR="00ED7A95" w:rsidRPr="001D4003" w:rsidRDefault="000F36D7" w:rsidP="00264728">
      <w:pPr>
        <w:jc w:val="both"/>
        <w:rPr>
          <w:rFonts w:ascii="Times New Roman" w:hAnsi="Times New Roman" w:cs="Times New Roman"/>
          <w:noProof/>
          <w:sz w:val="24"/>
          <w:szCs w:val="24"/>
        </w:rPr>
      </w:pPr>
      <w:r>
        <w:rPr>
          <w:rFonts w:ascii="Times New Roman" w:hAnsi="Times New Roman"/>
          <w:noProof/>
          <w:sz w:val="24"/>
          <w:szCs w:val="24"/>
        </w:rPr>
        <w:t xml:space="preserve">Ta konzervativni pristop je pokazal, da je obseg prodaje ogrevanih tobačnih izdelkov na maloprodajni ravni ustrezal </w:t>
      </w:r>
      <w:r>
        <w:rPr>
          <w:rFonts w:ascii="Times New Roman" w:hAnsi="Times New Roman"/>
          <w:b/>
          <w:noProof/>
          <w:sz w:val="24"/>
          <w:szCs w:val="24"/>
        </w:rPr>
        <w:t>3,33 %</w:t>
      </w:r>
      <w:r>
        <w:rPr>
          <w:rFonts w:ascii="Times New Roman" w:hAnsi="Times New Roman"/>
          <w:noProof/>
          <w:sz w:val="24"/>
          <w:szCs w:val="24"/>
        </w:rPr>
        <w:t xml:space="preserve"> skupnega obsega prodaje vseh tobačnih izdelkov na ravni Unije za leto 2020.</w:t>
      </w:r>
    </w:p>
    <w:p w14:paraId="5213EE73" w14:textId="629B79D8" w:rsidR="00EA7F75" w:rsidRPr="001D4003" w:rsidRDefault="00EA7F75" w:rsidP="00264728">
      <w:pPr>
        <w:jc w:val="both"/>
        <w:rPr>
          <w:rFonts w:ascii="Times New Roman" w:hAnsi="Times New Roman" w:cs="Times New Roman"/>
          <w:noProof/>
          <w:sz w:val="24"/>
          <w:szCs w:val="24"/>
        </w:rPr>
      </w:pPr>
      <w:r>
        <w:rPr>
          <w:rFonts w:ascii="Times New Roman" w:hAnsi="Times New Roman"/>
          <w:noProof/>
          <w:sz w:val="24"/>
          <w:szCs w:val="24"/>
        </w:rPr>
        <w:t>Ker ta vrednost presega prag 2,5 %, je izpolnjen tudi drugi pogoj za bistveno spremembo okoliščin glede ogrevanih tobačnih izdelkov.</w:t>
      </w:r>
    </w:p>
    <w:p w14:paraId="7FFD20CC" w14:textId="714C9E82" w:rsidR="00891F16" w:rsidRPr="001D4003" w:rsidRDefault="00891F16" w:rsidP="00891F16">
      <w:pPr>
        <w:pStyle w:val="Heading1NoNumb"/>
        <w:jc w:val="both"/>
        <w:rPr>
          <w:rFonts w:ascii="Times New Roman" w:eastAsia="ArialMT" w:hAnsi="Times New Roman" w:cs="Times New Roman"/>
          <w:noProof/>
          <w:szCs w:val="24"/>
        </w:rPr>
      </w:pPr>
      <w:r>
        <w:rPr>
          <w:rFonts w:ascii="Times New Roman" w:hAnsi="Times New Roman"/>
          <w:noProof/>
          <w:szCs w:val="24"/>
        </w:rPr>
        <w:t xml:space="preserve">2.2.4 Vrednost prodaje ogrevanih tobačnih izdelkov na maloprodajni ravni v primerjavi s celotno prodajo tobačnih izdelkov na ravni Unije </w:t>
      </w:r>
    </w:p>
    <w:p w14:paraId="6E2C7B61" w14:textId="2E35B3A1" w:rsidR="00891F16" w:rsidRPr="001D4003" w:rsidRDefault="00024986" w:rsidP="00707745">
      <w:pPr>
        <w:jc w:val="both"/>
        <w:rPr>
          <w:rFonts w:ascii="Times New Roman" w:hAnsi="Times New Roman" w:cs="Times New Roman"/>
          <w:noProof/>
          <w:sz w:val="24"/>
          <w:szCs w:val="24"/>
        </w:rPr>
      </w:pPr>
      <w:r>
        <w:rPr>
          <w:rFonts w:ascii="Times New Roman" w:hAnsi="Times New Roman"/>
          <w:noProof/>
          <w:sz w:val="24"/>
          <w:szCs w:val="24"/>
        </w:rPr>
        <w:t>Analiza vrednosti prodaje zagotavlja alternativno merjenje tržnega deleža ogrevanih tobačnih izdelkov v letu 2020 in omogoča upoštevanje preostalih manjših kategorij tobačnih izdelkov, ki jih ni mogoče meriti v enotah: tobak za pipe in za žvečenje (uporabljena za prilagoditve glavne analize obsega prodaje).</w:t>
      </w:r>
    </w:p>
    <w:p w14:paraId="1DB73550" w14:textId="67E67DC2" w:rsidR="00707745" w:rsidRPr="001D4003" w:rsidRDefault="00707745" w:rsidP="00707745">
      <w:pPr>
        <w:jc w:val="both"/>
        <w:rPr>
          <w:rFonts w:ascii="Times New Roman" w:hAnsi="Times New Roman" w:cs="Times New Roman"/>
          <w:noProof/>
          <w:sz w:val="24"/>
          <w:szCs w:val="24"/>
        </w:rPr>
      </w:pPr>
      <w:r>
        <w:rPr>
          <w:rFonts w:ascii="Times New Roman" w:hAnsi="Times New Roman"/>
          <w:noProof/>
          <w:sz w:val="24"/>
          <w:szCs w:val="24"/>
        </w:rPr>
        <w:t>Spodnja tabela prikazuje skupno vrednost prodaje za vsako kategorijo izdelkov za vse države članice EU27 v milijardah evrov:</w:t>
      </w:r>
    </w:p>
    <w:p w14:paraId="18850566" w14:textId="789056DA" w:rsidR="00707745" w:rsidRPr="00C20E5F" w:rsidRDefault="00E10478" w:rsidP="00C20E5F">
      <w:pPr>
        <w:keepNext/>
        <w:jc w:val="center"/>
        <w:rPr>
          <w:rFonts w:ascii="Times New Roman" w:hAnsi="Times New Roman" w:cs="Times New Roman"/>
          <w:i/>
          <w:noProof/>
          <w:sz w:val="24"/>
          <w:szCs w:val="24"/>
        </w:rPr>
      </w:pPr>
      <w:r>
        <w:rPr>
          <w:rFonts w:ascii="Times New Roman" w:hAnsi="Times New Roman"/>
          <w:i/>
          <w:noProof/>
          <w:sz w:val="24"/>
          <w:szCs w:val="24"/>
        </w:rPr>
        <w:t>Preglednica 6: Vrednost prodaje za vsako kategorijo izdelkov (v letu 2020)</w:t>
      </w:r>
    </w:p>
    <w:tbl>
      <w:tblPr>
        <w:tblStyle w:val="PlainTable1"/>
        <w:tblpPr w:leftFromText="180" w:rightFromText="180" w:vertAnchor="text" w:tblpY="1"/>
        <w:tblOverlap w:val="never"/>
        <w:tblW w:w="9554" w:type="dxa"/>
        <w:tblLook w:val="04A0" w:firstRow="1" w:lastRow="0" w:firstColumn="1" w:lastColumn="0" w:noHBand="0" w:noVBand="1"/>
      </w:tblPr>
      <w:tblGrid>
        <w:gridCol w:w="3408"/>
        <w:gridCol w:w="2678"/>
        <w:gridCol w:w="3468"/>
      </w:tblGrid>
      <w:tr w:rsidR="00707745" w:rsidRPr="00C20E5F" w14:paraId="64CAF725" w14:textId="77777777" w:rsidTr="00C20E5F">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680" w:type="dxa"/>
            <w:noWrap/>
            <w:hideMark/>
          </w:tcPr>
          <w:p w14:paraId="422CCA89" w14:textId="77777777" w:rsidR="00707745" w:rsidRPr="00C20E5F" w:rsidRDefault="00707745" w:rsidP="0060018F">
            <w:pPr>
              <w:rPr>
                <w:rFonts w:ascii="Times New Roman" w:eastAsia="Times New Roman" w:hAnsi="Times New Roman" w:cs="Times New Roman"/>
                <w:noProof/>
                <w:sz w:val="24"/>
                <w:szCs w:val="24"/>
              </w:rPr>
            </w:pPr>
            <w:r>
              <w:rPr>
                <w:rFonts w:ascii="Times New Roman" w:hAnsi="Times New Roman"/>
                <w:noProof/>
                <w:sz w:val="24"/>
                <w:szCs w:val="24"/>
              </w:rPr>
              <w:t>Kategorije proizvodov</w:t>
            </w:r>
          </w:p>
        </w:tc>
        <w:tc>
          <w:tcPr>
            <w:tcW w:w="2106" w:type="dxa"/>
            <w:hideMark/>
          </w:tcPr>
          <w:p w14:paraId="4B62B140" w14:textId="6207E2E2" w:rsidR="00707745" w:rsidRPr="00C20E5F" w:rsidRDefault="00707745"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Maloprodajna vrednost</w:t>
            </w:r>
            <w:r>
              <w:rPr>
                <w:noProof/>
              </w:rPr>
              <w:t xml:space="preserve"> </w:t>
            </w:r>
            <w:r>
              <w:rPr>
                <w:noProof/>
              </w:rPr>
              <w:br/>
            </w:r>
            <w:r>
              <w:rPr>
                <w:rFonts w:ascii="Times New Roman" w:hAnsi="Times New Roman"/>
                <w:noProof/>
                <w:sz w:val="24"/>
                <w:szCs w:val="24"/>
              </w:rPr>
              <w:t>v milijardah EUR</w:t>
            </w:r>
          </w:p>
        </w:tc>
        <w:tc>
          <w:tcPr>
            <w:tcW w:w="2727" w:type="dxa"/>
            <w:hideMark/>
          </w:tcPr>
          <w:p w14:paraId="416B4CFE" w14:textId="345843D6" w:rsidR="00ED4979" w:rsidRDefault="00891F16"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Tržni delež</w:t>
            </w:r>
          </w:p>
          <w:p w14:paraId="2436C908" w14:textId="0407FC6B" w:rsidR="00707745" w:rsidRPr="00C20E5F" w:rsidRDefault="000F36D7"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rPr>
            </w:pPr>
            <w:r>
              <w:rPr>
                <w:rFonts w:ascii="Times New Roman" w:hAnsi="Times New Roman"/>
                <w:noProof/>
                <w:sz w:val="24"/>
                <w:szCs w:val="24"/>
              </w:rPr>
              <w:t>(%) celotne prodaje na ravni Unije</w:t>
            </w:r>
          </w:p>
        </w:tc>
      </w:tr>
      <w:tr w:rsidR="00707745" w:rsidRPr="00C20E5F" w14:paraId="6C96FCB6" w14:textId="77777777" w:rsidTr="00C20E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9782BF8"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Cigarete</w:t>
            </w:r>
          </w:p>
        </w:tc>
        <w:tc>
          <w:tcPr>
            <w:tcW w:w="2106" w:type="dxa"/>
            <w:noWrap/>
            <w:hideMark/>
          </w:tcPr>
          <w:p w14:paraId="723BA7A7" w14:textId="77777777"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109,88</w:t>
            </w:r>
          </w:p>
        </w:tc>
        <w:tc>
          <w:tcPr>
            <w:tcW w:w="2727" w:type="dxa"/>
            <w:noWrap/>
            <w:hideMark/>
          </w:tcPr>
          <w:p w14:paraId="759B9458" w14:textId="669CE8A0"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81,38 %</w:t>
            </w:r>
          </w:p>
        </w:tc>
      </w:tr>
      <w:tr w:rsidR="00707745" w:rsidRPr="00C20E5F" w14:paraId="2484DCA7" w14:textId="77777777" w:rsidTr="00C20E5F">
        <w:trPr>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7769BEFC"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Cigarilosi</w:t>
            </w:r>
          </w:p>
        </w:tc>
        <w:tc>
          <w:tcPr>
            <w:tcW w:w="2106" w:type="dxa"/>
            <w:noWrap/>
            <w:hideMark/>
          </w:tcPr>
          <w:p w14:paraId="2ED0C6E7" w14:textId="77777777" w:rsidR="00707745" w:rsidRPr="00C20E5F" w:rsidRDefault="00707745"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2,33</w:t>
            </w:r>
          </w:p>
        </w:tc>
        <w:tc>
          <w:tcPr>
            <w:tcW w:w="2727" w:type="dxa"/>
            <w:noWrap/>
            <w:hideMark/>
          </w:tcPr>
          <w:p w14:paraId="1A6B616A" w14:textId="5BAEC407" w:rsidR="00707745" w:rsidRPr="00C20E5F" w:rsidRDefault="00A77BE0"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1,73 %</w:t>
            </w:r>
          </w:p>
        </w:tc>
      </w:tr>
      <w:tr w:rsidR="00707745" w:rsidRPr="00C20E5F" w14:paraId="3634791C" w14:textId="77777777" w:rsidTr="00C20E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1811AE8A"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Cigare</w:t>
            </w:r>
          </w:p>
        </w:tc>
        <w:tc>
          <w:tcPr>
            <w:tcW w:w="2106" w:type="dxa"/>
            <w:noWrap/>
            <w:hideMark/>
          </w:tcPr>
          <w:p w14:paraId="79619CA0" w14:textId="77777777"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2,05</w:t>
            </w:r>
          </w:p>
        </w:tc>
        <w:tc>
          <w:tcPr>
            <w:tcW w:w="2727" w:type="dxa"/>
            <w:noWrap/>
            <w:hideMark/>
          </w:tcPr>
          <w:p w14:paraId="30C2A4AE" w14:textId="2ADACAFA" w:rsidR="00707745" w:rsidRPr="00C20E5F" w:rsidRDefault="00A77BE0"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1,52 %</w:t>
            </w:r>
          </w:p>
        </w:tc>
      </w:tr>
      <w:tr w:rsidR="00707745" w:rsidRPr="00C20E5F" w14:paraId="22A4B833" w14:textId="77777777" w:rsidTr="00C20E5F">
        <w:trPr>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1616EF1B"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Drobno rezani tobak (tobak za zvijanje)</w:t>
            </w:r>
          </w:p>
        </w:tc>
        <w:tc>
          <w:tcPr>
            <w:tcW w:w="2106" w:type="dxa"/>
            <w:noWrap/>
            <w:hideMark/>
          </w:tcPr>
          <w:p w14:paraId="08DFA0AD" w14:textId="77777777" w:rsidR="00707745" w:rsidRPr="00C20E5F" w:rsidRDefault="00707745"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15,06</w:t>
            </w:r>
          </w:p>
        </w:tc>
        <w:tc>
          <w:tcPr>
            <w:tcW w:w="2727" w:type="dxa"/>
            <w:noWrap/>
            <w:hideMark/>
          </w:tcPr>
          <w:p w14:paraId="0623B35D" w14:textId="5FB64696" w:rsidR="00707745" w:rsidRPr="00C20E5F" w:rsidRDefault="00A77BE0"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11,15 %</w:t>
            </w:r>
          </w:p>
        </w:tc>
      </w:tr>
      <w:tr w:rsidR="00707745" w:rsidRPr="00C20E5F" w14:paraId="2C00BF08" w14:textId="77777777" w:rsidTr="00C20E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0" w:type="dxa"/>
            <w:noWrap/>
          </w:tcPr>
          <w:p w14:paraId="243B45F6"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Tobak za pipo</w:t>
            </w:r>
          </w:p>
        </w:tc>
        <w:tc>
          <w:tcPr>
            <w:tcW w:w="2106" w:type="dxa"/>
            <w:noWrap/>
          </w:tcPr>
          <w:p w14:paraId="10F7A225" w14:textId="77777777"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0,93</w:t>
            </w:r>
          </w:p>
        </w:tc>
        <w:tc>
          <w:tcPr>
            <w:tcW w:w="2727" w:type="dxa"/>
            <w:noWrap/>
          </w:tcPr>
          <w:p w14:paraId="07142CA1" w14:textId="6BD7CE31" w:rsidR="00707745" w:rsidRPr="00C20E5F" w:rsidRDefault="00A77BE0"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0,69 %</w:t>
            </w:r>
          </w:p>
        </w:tc>
      </w:tr>
      <w:tr w:rsidR="00707745" w:rsidRPr="00C20E5F" w14:paraId="290C56F5" w14:textId="77777777" w:rsidTr="00C20E5F">
        <w:trPr>
          <w:trHeight w:val="284"/>
        </w:trPr>
        <w:tc>
          <w:tcPr>
            <w:cnfStyle w:val="001000000000" w:firstRow="0" w:lastRow="0" w:firstColumn="1" w:lastColumn="0" w:oddVBand="0" w:evenVBand="0" w:oddHBand="0" w:evenHBand="0" w:firstRowFirstColumn="0" w:firstRowLastColumn="0" w:lastRowFirstColumn="0" w:lastRowLastColumn="0"/>
            <w:tcW w:w="2680" w:type="dxa"/>
            <w:noWrap/>
          </w:tcPr>
          <w:p w14:paraId="33AD65A2"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Tobak za žvečenje</w:t>
            </w:r>
          </w:p>
        </w:tc>
        <w:tc>
          <w:tcPr>
            <w:tcW w:w="2106" w:type="dxa"/>
            <w:noWrap/>
          </w:tcPr>
          <w:p w14:paraId="1E20B585" w14:textId="77777777" w:rsidR="00707745" w:rsidRPr="00C20E5F" w:rsidRDefault="00707745"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0,02</w:t>
            </w:r>
          </w:p>
        </w:tc>
        <w:tc>
          <w:tcPr>
            <w:tcW w:w="2727" w:type="dxa"/>
            <w:noWrap/>
          </w:tcPr>
          <w:p w14:paraId="67E07599" w14:textId="34687623" w:rsidR="00707745" w:rsidRPr="00C20E5F" w:rsidRDefault="00A77BE0"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0,02 %</w:t>
            </w:r>
          </w:p>
        </w:tc>
      </w:tr>
      <w:tr w:rsidR="00707745" w:rsidRPr="00C20E5F" w14:paraId="7DE21874" w14:textId="77777777" w:rsidTr="00C20E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970CFD1"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Ogrevani tobačni izdelki</w:t>
            </w:r>
          </w:p>
        </w:tc>
        <w:tc>
          <w:tcPr>
            <w:tcW w:w="2106" w:type="dxa"/>
            <w:noWrap/>
            <w:hideMark/>
          </w:tcPr>
          <w:p w14:paraId="57E16475" w14:textId="77777777"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4,74</w:t>
            </w:r>
          </w:p>
        </w:tc>
        <w:tc>
          <w:tcPr>
            <w:tcW w:w="2727" w:type="dxa"/>
            <w:noWrap/>
            <w:hideMark/>
          </w:tcPr>
          <w:p w14:paraId="7CD7CD0B" w14:textId="176BB146" w:rsidR="00707745" w:rsidRPr="00C20E5F" w:rsidRDefault="00A77BE0"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3,51 %</w:t>
            </w:r>
          </w:p>
        </w:tc>
      </w:tr>
      <w:tr w:rsidR="00707745" w:rsidRPr="00C20E5F" w14:paraId="45644F38" w14:textId="77777777" w:rsidTr="00C20E5F">
        <w:trPr>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65D104E9" w14:textId="4B83A931" w:rsidR="00707745" w:rsidRPr="00C20E5F" w:rsidRDefault="00891F16"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Vsi tobačni izdelki</w:t>
            </w:r>
          </w:p>
        </w:tc>
        <w:tc>
          <w:tcPr>
            <w:tcW w:w="2106" w:type="dxa"/>
            <w:noWrap/>
            <w:hideMark/>
          </w:tcPr>
          <w:p w14:paraId="1EB658B4" w14:textId="77777777" w:rsidR="00707745" w:rsidRPr="00C20E5F" w:rsidRDefault="00707745"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135,01</w:t>
            </w:r>
          </w:p>
        </w:tc>
        <w:tc>
          <w:tcPr>
            <w:tcW w:w="2727" w:type="dxa"/>
            <w:noWrap/>
            <w:hideMark/>
          </w:tcPr>
          <w:p w14:paraId="5475C71C" w14:textId="436A62D9" w:rsidR="00707745" w:rsidRPr="00C20E5F" w:rsidRDefault="00A77BE0"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100,00 %</w:t>
            </w:r>
          </w:p>
        </w:tc>
      </w:tr>
    </w:tbl>
    <w:p w14:paraId="4F6639F6" w14:textId="41F4B698" w:rsidR="00E10478" w:rsidRPr="001D4003" w:rsidRDefault="000F36D7" w:rsidP="00A37707">
      <w:pPr>
        <w:keepNext/>
        <w:jc w:val="both"/>
        <w:rPr>
          <w:rFonts w:ascii="Times New Roman" w:hAnsi="Times New Roman" w:cs="Times New Roman"/>
          <w:noProof/>
          <w:sz w:val="20"/>
          <w:szCs w:val="20"/>
        </w:rPr>
      </w:pPr>
      <w:r>
        <w:rPr>
          <w:rFonts w:ascii="Times New Roman" w:hAnsi="Times New Roman"/>
          <w:noProof/>
          <w:sz w:val="20"/>
          <w:szCs w:val="20"/>
        </w:rPr>
        <w:t>Vir: Euromonitor International Passport Tobacco 2021</w:t>
      </w:r>
    </w:p>
    <w:p w14:paraId="7533894A" w14:textId="73CA0623" w:rsidR="00701084" w:rsidRDefault="00891F16" w:rsidP="00314070">
      <w:pPr>
        <w:jc w:val="both"/>
        <w:rPr>
          <w:rFonts w:ascii="Times New Roman" w:hAnsi="Times New Roman" w:cs="Times New Roman"/>
          <w:noProof/>
          <w:sz w:val="24"/>
          <w:szCs w:val="24"/>
        </w:rPr>
      </w:pPr>
      <w:r>
        <w:rPr>
          <w:rFonts w:ascii="Times New Roman" w:hAnsi="Times New Roman"/>
          <w:noProof/>
          <w:sz w:val="24"/>
          <w:szCs w:val="24"/>
        </w:rPr>
        <w:t xml:space="preserve">Ti podatki torej kažejo, da vrednost prodaje ogrevanih tobačnih izdelkov na maloprodajni ravni ustreza </w:t>
      </w:r>
      <w:r>
        <w:rPr>
          <w:rFonts w:ascii="Times New Roman" w:hAnsi="Times New Roman"/>
          <w:b/>
          <w:noProof/>
          <w:sz w:val="24"/>
          <w:szCs w:val="24"/>
        </w:rPr>
        <w:t>3,51 %</w:t>
      </w:r>
      <w:r>
        <w:rPr>
          <w:rFonts w:ascii="Times New Roman" w:hAnsi="Times New Roman"/>
          <w:noProof/>
          <w:sz w:val="24"/>
          <w:szCs w:val="24"/>
        </w:rPr>
        <w:t xml:space="preserve"> skupnega obsega prodaje vseh tobačnih izdelkov na ravni Unije za leto 2020. To dodatno potrjuje glavno analizo, ki temelji na obsegu prodaje.</w:t>
      </w:r>
    </w:p>
    <w:p w14:paraId="285A6FC4" w14:textId="77777777" w:rsidR="00447A01" w:rsidRPr="001D4003" w:rsidRDefault="00447A01" w:rsidP="00314070">
      <w:pPr>
        <w:jc w:val="both"/>
        <w:rPr>
          <w:rFonts w:ascii="Times New Roman" w:hAnsi="Times New Roman" w:cs="Times New Roman"/>
          <w:noProof/>
          <w:sz w:val="24"/>
          <w:szCs w:val="24"/>
        </w:rPr>
      </w:pPr>
    </w:p>
    <w:p w14:paraId="50467D36" w14:textId="64273697" w:rsidR="00B22F5E" w:rsidRPr="001D4003" w:rsidRDefault="00B22F5E" w:rsidP="00A37707">
      <w:pPr>
        <w:keepNext/>
        <w:jc w:val="both"/>
        <w:rPr>
          <w:rFonts w:ascii="Times New Roman" w:hAnsi="Times New Roman" w:cs="Times New Roman"/>
          <w:b/>
          <w:noProof/>
          <w:sz w:val="24"/>
          <w:szCs w:val="24"/>
        </w:rPr>
      </w:pPr>
      <w:r>
        <w:rPr>
          <w:rFonts w:ascii="Times New Roman" w:hAnsi="Times New Roman"/>
          <w:b/>
          <w:noProof/>
          <w:sz w:val="24"/>
          <w:szCs w:val="24"/>
        </w:rPr>
        <w:t>3. Sklepna ugotovitev</w:t>
      </w:r>
    </w:p>
    <w:p w14:paraId="640D1333" w14:textId="1168CAD3" w:rsidR="009E6BC0" w:rsidRPr="001D4003" w:rsidRDefault="004E6275" w:rsidP="003E4B41">
      <w:pPr>
        <w:jc w:val="both"/>
        <w:rPr>
          <w:rFonts w:ascii="Times New Roman" w:hAnsi="Times New Roman" w:cs="Times New Roman"/>
          <w:noProof/>
          <w:sz w:val="24"/>
          <w:szCs w:val="24"/>
        </w:rPr>
      </w:pPr>
      <w:r>
        <w:rPr>
          <w:rFonts w:ascii="Times New Roman" w:hAnsi="Times New Roman"/>
          <w:noProof/>
          <w:sz w:val="24"/>
          <w:szCs w:val="24"/>
        </w:rPr>
        <w:t xml:space="preserve">Ob upoštevanju, da se je obseg prodaje ogrevanih tobačnih izdelkov: </w:t>
      </w:r>
    </w:p>
    <w:p w14:paraId="078D41BA" w14:textId="2687E03D" w:rsidR="009E6BC0" w:rsidRPr="001D4003" w:rsidRDefault="004E6275" w:rsidP="00314070">
      <w:pPr>
        <w:pStyle w:val="ListParagraph"/>
        <w:numPr>
          <w:ilvl w:val="0"/>
          <w:numId w:val="7"/>
        </w:numPr>
        <w:spacing w:after="240"/>
        <w:ind w:left="357" w:hanging="357"/>
        <w:jc w:val="both"/>
        <w:rPr>
          <w:rFonts w:ascii="Times New Roman" w:hAnsi="Times New Roman" w:cs="Times New Roman"/>
          <w:noProof/>
          <w:sz w:val="24"/>
          <w:szCs w:val="24"/>
        </w:rPr>
      </w:pPr>
      <w:r>
        <w:rPr>
          <w:rFonts w:ascii="Times New Roman" w:hAnsi="Times New Roman"/>
          <w:noProof/>
          <w:sz w:val="24"/>
          <w:szCs w:val="24"/>
        </w:rPr>
        <w:t xml:space="preserve">povečal za vsaj 10 % v najmanj petih državah članicah in </w:t>
      </w:r>
    </w:p>
    <w:p w14:paraId="2B3FE1D4" w14:textId="77777777" w:rsidR="009E6BC0" w:rsidRPr="001D4003" w:rsidRDefault="004E6275" w:rsidP="00314070">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da obseg prodaje ogrevanih tobačnih izdelkov na maloprodajni ravni presega 2,5-odstotni delež celotne prodaje tobačnih izdelkov na ravni Unije, </w:t>
      </w:r>
    </w:p>
    <w:p w14:paraId="3B3E682B" w14:textId="3B8CFFD8" w:rsidR="004E6275" w:rsidRPr="001D4003" w:rsidRDefault="004E6275" w:rsidP="003E4B41">
      <w:pPr>
        <w:jc w:val="both"/>
        <w:rPr>
          <w:rFonts w:ascii="Times New Roman" w:hAnsi="Times New Roman" w:cs="Times New Roman"/>
          <w:noProof/>
          <w:sz w:val="24"/>
          <w:szCs w:val="24"/>
        </w:rPr>
      </w:pPr>
      <w:r>
        <w:rPr>
          <w:rFonts w:ascii="Times New Roman" w:hAnsi="Times New Roman"/>
          <w:noProof/>
          <w:sz w:val="24"/>
          <w:szCs w:val="24"/>
        </w:rPr>
        <w:t>je v tem poročilu ugotovljena bistvena sprememba okoliščin za ogrevane tobačne izdelke.</w:t>
      </w:r>
    </w:p>
    <w:p w14:paraId="3EBD6893" w14:textId="34FEDA8D" w:rsidR="00F80650" w:rsidRPr="001D4003" w:rsidRDefault="00F80650" w:rsidP="003E4B41">
      <w:pPr>
        <w:jc w:val="both"/>
        <w:rPr>
          <w:rFonts w:ascii="Times New Roman" w:eastAsia="Times New Roman" w:hAnsi="Times New Roman" w:cs="Times New Roman"/>
          <w:noProof/>
          <w:sz w:val="24"/>
          <w:szCs w:val="20"/>
        </w:rPr>
      </w:pPr>
    </w:p>
    <w:sectPr w:rsidR="00F80650" w:rsidRPr="001D4003" w:rsidSect="00E92F6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F6496" w14:textId="77777777" w:rsidR="00D30620" w:rsidRDefault="00D30620" w:rsidP="005E2A65">
      <w:pPr>
        <w:spacing w:after="0" w:line="240" w:lineRule="auto"/>
      </w:pPr>
      <w:r>
        <w:separator/>
      </w:r>
    </w:p>
  </w:endnote>
  <w:endnote w:type="continuationSeparator" w:id="0">
    <w:p w14:paraId="5227026F" w14:textId="77777777" w:rsidR="00D30620" w:rsidRDefault="00D30620" w:rsidP="005E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69EAE" w14:textId="77777777" w:rsidR="007A4712" w:rsidRPr="007A4712" w:rsidRDefault="007A4712" w:rsidP="007A4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9659" w14:textId="4B02F883" w:rsidR="0054676D" w:rsidRPr="007A4712" w:rsidRDefault="007A4712" w:rsidP="007A4712">
    <w:pPr>
      <w:pStyle w:val="FooterCoverPage"/>
      <w:rPr>
        <w:rFonts w:ascii="Arial" w:hAnsi="Arial" w:cs="Arial"/>
        <w:b/>
        <w:sz w:val="48"/>
      </w:rPr>
    </w:pPr>
    <w:r w:rsidRPr="007A4712">
      <w:rPr>
        <w:rFonts w:ascii="Arial" w:hAnsi="Arial" w:cs="Arial"/>
        <w:b/>
        <w:sz w:val="48"/>
      </w:rPr>
      <w:t>SL</w:t>
    </w:r>
    <w:r w:rsidRPr="007A4712">
      <w:rPr>
        <w:rFonts w:ascii="Arial" w:hAnsi="Arial" w:cs="Arial"/>
        <w:b/>
        <w:sz w:val="48"/>
      </w:rPr>
      <w:tab/>
    </w:r>
    <w:r w:rsidRPr="007A4712">
      <w:rPr>
        <w:rFonts w:ascii="Arial" w:hAnsi="Arial" w:cs="Arial"/>
        <w:b/>
        <w:sz w:val="48"/>
      </w:rPr>
      <w:tab/>
    </w:r>
    <w:r w:rsidRPr="007A4712">
      <w:tab/>
    </w:r>
    <w:r w:rsidRPr="007A4712">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FCCD" w14:textId="77777777" w:rsidR="007A4712" w:rsidRPr="007A4712" w:rsidRDefault="007A4712" w:rsidP="007A471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692E" w14:textId="77777777" w:rsidR="00CA4932" w:rsidRDefault="00CA49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784264"/>
      <w:docPartObj>
        <w:docPartGallery w:val="Page Numbers (Bottom of Page)"/>
        <w:docPartUnique/>
      </w:docPartObj>
    </w:sdtPr>
    <w:sdtEndPr>
      <w:rPr>
        <w:noProof/>
      </w:rPr>
    </w:sdtEndPr>
    <w:sdtContent>
      <w:p w14:paraId="15E5670F" w14:textId="1FB58FFF" w:rsidR="00E92F68" w:rsidRDefault="00E92F68">
        <w:pPr>
          <w:pStyle w:val="Footer"/>
          <w:jc w:val="center"/>
        </w:pPr>
        <w:r>
          <w:fldChar w:fldCharType="begin"/>
        </w:r>
        <w:r>
          <w:instrText xml:space="preserve"> PAGE   \* MERGEFORMAT </w:instrText>
        </w:r>
        <w:r>
          <w:fldChar w:fldCharType="separate"/>
        </w:r>
        <w:r w:rsidR="007A4712">
          <w:rPr>
            <w:noProof/>
          </w:rPr>
          <w:t>1</w:t>
        </w:r>
        <w:r>
          <w:fldChar w:fldCharType="end"/>
        </w:r>
      </w:p>
    </w:sdtContent>
  </w:sdt>
  <w:p w14:paraId="0E0A8E6D" w14:textId="77777777" w:rsidR="00CA4932" w:rsidRDefault="00CA49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4D00" w14:textId="77777777" w:rsidR="00CA4932" w:rsidRDefault="00CA4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35583" w14:textId="77777777" w:rsidR="00D30620" w:rsidRDefault="00D30620" w:rsidP="005E2A65">
      <w:pPr>
        <w:spacing w:after="0" w:line="240" w:lineRule="auto"/>
      </w:pPr>
      <w:r>
        <w:separator/>
      </w:r>
    </w:p>
  </w:footnote>
  <w:footnote w:type="continuationSeparator" w:id="0">
    <w:p w14:paraId="03136FF4" w14:textId="77777777" w:rsidR="00D30620" w:rsidRDefault="00D30620" w:rsidP="005E2A65">
      <w:pPr>
        <w:spacing w:after="0" w:line="240" w:lineRule="auto"/>
      </w:pPr>
      <w:r>
        <w:continuationSeparator/>
      </w:r>
    </w:p>
  </w:footnote>
  <w:footnote w:id="1">
    <w:p w14:paraId="4FFD642A" w14:textId="77777777" w:rsidR="00CA4932" w:rsidRPr="00B04422" w:rsidRDefault="00CA4932" w:rsidP="00EF6274">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Direktiva 2014/40/EU Evropskega parlamenta in Sveta z dne 3. aprila 2014 o približevanju zakonov in drugih predpisov držav članic o proizvodnji, predstavitvi in prodaji tobačnih in povezanih izdelkov in razveljavitvi Direktive 2001/37/ES (UL L 127, 29.4.2014, str. 1).</w:t>
      </w:r>
    </w:p>
  </w:footnote>
  <w:footnote w:id="2">
    <w:p w14:paraId="27D6FBED" w14:textId="4659D7A6" w:rsidR="0071383A" w:rsidRDefault="0071383A" w:rsidP="0071383A">
      <w:pPr>
        <w:pStyle w:val="FootnoteText"/>
      </w:pPr>
      <w:r>
        <w:rPr>
          <w:rStyle w:val="FootnoteReference"/>
        </w:rPr>
        <w:footnoteRef/>
      </w:r>
      <w:r>
        <w:t xml:space="preserve"> </w:t>
      </w:r>
      <w:hyperlink r:id="rId1" w:history="1">
        <w:r>
          <w:rPr>
            <w:rStyle w:val="Hyperlink"/>
            <w:rFonts w:ascii="Times New Roman" w:hAnsi="Times New Roman"/>
          </w:rPr>
          <w:t xml:space="preserve">Odnos Evropejcev do tobaka in elektronskih cigaret, raziskava Eurobarometra, februar 2021 (europa.eu) </w:t>
        </w:r>
      </w:hyperlink>
    </w:p>
  </w:footnote>
  <w:footnote w:id="3">
    <w:p w14:paraId="6B419F9F" w14:textId="682040E7" w:rsidR="00A37707" w:rsidRPr="00326D59" w:rsidRDefault="00A37707" w:rsidP="00CC5C11">
      <w:pPr>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Za oceno obsega prodaje tobačnih izdelkov za zvijanje se je štelo, da zavojček tobaka za zvijanje, registriran v sistemu sledljivosti za tobačne izdelke, vsebuje 50 gramov tobaka, kar ustreza približno 71 enotam (ob predpostavki, da 0,7 grama tobaka ustreza eni enoti).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0E20" w14:textId="77777777" w:rsidR="007A4712" w:rsidRPr="007A4712" w:rsidRDefault="007A4712" w:rsidP="007A4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7F15" w14:textId="77777777" w:rsidR="007A4712" w:rsidRPr="007A4712" w:rsidRDefault="007A4712" w:rsidP="007A471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4299" w14:textId="77777777" w:rsidR="007A4712" w:rsidRPr="007A4712" w:rsidRDefault="007A4712" w:rsidP="007A471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F6CA" w14:textId="77777777" w:rsidR="00CA4932" w:rsidRDefault="00CA49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5173" w14:textId="77777777" w:rsidR="00CA4932" w:rsidRDefault="00CA49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F039" w14:textId="77777777" w:rsidR="00CA4932" w:rsidRDefault="00CA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2114F"/>
    <w:multiLevelType w:val="hybridMultilevel"/>
    <w:tmpl w:val="16AE7CD4"/>
    <w:lvl w:ilvl="0" w:tplc="8690A22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64433218"/>
    <w:multiLevelType w:val="hybridMultilevel"/>
    <w:tmpl w:val="47946F68"/>
    <w:lvl w:ilvl="0" w:tplc="6BCCE1E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774ED"/>
    <w:multiLevelType w:val="hybridMultilevel"/>
    <w:tmpl w:val="CC987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264A2"/>
    <w:multiLevelType w:val="hybridMultilevel"/>
    <w:tmpl w:val="9BEC3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FB2A4A"/>
    <w:multiLevelType w:val="hybridMultilevel"/>
    <w:tmpl w:val="03D68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C74BC"/>
    <w:multiLevelType w:val="hybridMultilevel"/>
    <w:tmpl w:val="9BEC3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E6022"/>
    <w:multiLevelType w:val="hybridMultilevel"/>
    <w:tmpl w:val="8BE40FC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F46F9E0-3035-4B3A-9644-350592CB6628"/>
    <w:docVar w:name="LW_COVERPAGE_TYPE" w:val="1"/>
    <w:docVar w:name="LW_CROSSREFERENCE" w:val="&lt;UNUSED&gt;"/>
    <w:docVar w:name="LW_DocType" w:val="NORMAL"/>
    <w:docVar w:name="LW_EMISSION" w:val="15.6.2022"/>
    <w:docVar w:name="LW_EMISSION_ISODATE" w:val="2022-06-15"/>
    <w:docVar w:name="LW_EMISSION_LOCATION" w:val="BRX"/>
    <w:docVar w:name="LW_EMISSION_PREFIX" w:val="Bruselj, "/>
    <w:docVar w:name="LW_EMISSION_SUFFIX" w:val=" "/>
    <w:docVar w:name="LW_ID_DOCTYPE_NONLW" w:val="CP-003"/>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2)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ugotovitvi bistvene spremembe okoliščin za ogrevane tobačne izdelke v skladu z Direktivo 2014/40/EU"/>
    <w:docVar w:name="LW_TYPE.DOC.CP" w:val="POROČILO KOMISIJE"/>
    <w:docVar w:name="LwApiVersions" w:val="LW4CoDe 1.23.2.0; LW 8.0, Build 20211117"/>
  </w:docVars>
  <w:rsids>
    <w:rsidRoot w:val="005E2A65"/>
    <w:rsid w:val="00002017"/>
    <w:rsid w:val="00014868"/>
    <w:rsid w:val="00024986"/>
    <w:rsid w:val="00080D7A"/>
    <w:rsid w:val="000A37C6"/>
    <w:rsid w:val="000C17D6"/>
    <w:rsid w:val="000E5E3F"/>
    <w:rsid w:val="000F36D7"/>
    <w:rsid w:val="000F3F30"/>
    <w:rsid w:val="00132D46"/>
    <w:rsid w:val="00147140"/>
    <w:rsid w:val="001713D1"/>
    <w:rsid w:val="0017602C"/>
    <w:rsid w:val="001943A6"/>
    <w:rsid w:val="001A1DD7"/>
    <w:rsid w:val="001A5058"/>
    <w:rsid w:val="001C0CAF"/>
    <w:rsid w:val="001C2ABD"/>
    <w:rsid w:val="001C43F5"/>
    <w:rsid w:val="001D25EE"/>
    <w:rsid w:val="001D4003"/>
    <w:rsid w:val="001D4DE7"/>
    <w:rsid w:val="001E370C"/>
    <w:rsid w:val="001E4A43"/>
    <w:rsid w:val="001E5044"/>
    <w:rsid w:val="001E58B6"/>
    <w:rsid w:val="001F07EF"/>
    <w:rsid w:val="00221FE3"/>
    <w:rsid w:val="00255396"/>
    <w:rsid w:val="00264728"/>
    <w:rsid w:val="0027738D"/>
    <w:rsid w:val="00286BEA"/>
    <w:rsid w:val="002C4808"/>
    <w:rsid w:val="002E1382"/>
    <w:rsid w:val="002E2E34"/>
    <w:rsid w:val="00314070"/>
    <w:rsid w:val="00326D59"/>
    <w:rsid w:val="00363186"/>
    <w:rsid w:val="003742A9"/>
    <w:rsid w:val="00395722"/>
    <w:rsid w:val="003A2066"/>
    <w:rsid w:val="003D2D3E"/>
    <w:rsid w:val="003E054A"/>
    <w:rsid w:val="003E33FD"/>
    <w:rsid w:val="003E4B41"/>
    <w:rsid w:val="003E6640"/>
    <w:rsid w:val="003F3944"/>
    <w:rsid w:val="0040072E"/>
    <w:rsid w:val="00400D6A"/>
    <w:rsid w:val="004024B5"/>
    <w:rsid w:val="00410D1B"/>
    <w:rsid w:val="0043127E"/>
    <w:rsid w:val="00433A50"/>
    <w:rsid w:val="00447A01"/>
    <w:rsid w:val="00464D0A"/>
    <w:rsid w:val="00480537"/>
    <w:rsid w:val="004912E7"/>
    <w:rsid w:val="004B3EB4"/>
    <w:rsid w:val="004E6275"/>
    <w:rsid w:val="005031DC"/>
    <w:rsid w:val="005071C9"/>
    <w:rsid w:val="00526D38"/>
    <w:rsid w:val="00533E57"/>
    <w:rsid w:val="0054676D"/>
    <w:rsid w:val="0056714A"/>
    <w:rsid w:val="00577628"/>
    <w:rsid w:val="005803AD"/>
    <w:rsid w:val="005B422B"/>
    <w:rsid w:val="005B547B"/>
    <w:rsid w:val="005D28C9"/>
    <w:rsid w:val="005D775F"/>
    <w:rsid w:val="005E0557"/>
    <w:rsid w:val="005E2A65"/>
    <w:rsid w:val="0060018F"/>
    <w:rsid w:val="00620F4F"/>
    <w:rsid w:val="006561F7"/>
    <w:rsid w:val="0066589D"/>
    <w:rsid w:val="00691F51"/>
    <w:rsid w:val="006B70CB"/>
    <w:rsid w:val="006E6288"/>
    <w:rsid w:val="006E7BE2"/>
    <w:rsid w:val="00701084"/>
    <w:rsid w:val="00707745"/>
    <w:rsid w:val="0071383A"/>
    <w:rsid w:val="007309CE"/>
    <w:rsid w:val="00735666"/>
    <w:rsid w:val="00737C35"/>
    <w:rsid w:val="007466AF"/>
    <w:rsid w:val="007503F2"/>
    <w:rsid w:val="00783578"/>
    <w:rsid w:val="007A4712"/>
    <w:rsid w:val="007A58E0"/>
    <w:rsid w:val="007C2EB9"/>
    <w:rsid w:val="007E109F"/>
    <w:rsid w:val="007E1239"/>
    <w:rsid w:val="00815F33"/>
    <w:rsid w:val="00830354"/>
    <w:rsid w:val="008354B4"/>
    <w:rsid w:val="00841A93"/>
    <w:rsid w:val="00885272"/>
    <w:rsid w:val="00891F16"/>
    <w:rsid w:val="008925D7"/>
    <w:rsid w:val="008933B3"/>
    <w:rsid w:val="00893763"/>
    <w:rsid w:val="008A5A37"/>
    <w:rsid w:val="008A62C6"/>
    <w:rsid w:val="008C2F0D"/>
    <w:rsid w:val="008C477F"/>
    <w:rsid w:val="008D0842"/>
    <w:rsid w:val="008D2398"/>
    <w:rsid w:val="008D4902"/>
    <w:rsid w:val="008E14A6"/>
    <w:rsid w:val="00902E0A"/>
    <w:rsid w:val="00903453"/>
    <w:rsid w:val="0091041E"/>
    <w:rsid w:val="00924EEE"/>
    <w:rsid w:val="00925C36"/>
    <w:rsid w:val="009718D5"/>
    <w:rsid w:val="00984BAF"/>
    <w:rsid w:val="009946FD"/>
    <w:rsid w:val="009A1522"/>
    <w:rsid w:val="009A2787"/>
    <w:rsid w:val="009D1737"/>
    <w:rsid w:val="009D26A7"/>
    <w:rsid w:val="009E0604"/>
    <w:rsid w:val="009E6BC0"/>
    <w:rsid w:val="009F7C54"/>
    <w:rsid w:val="00A04005"/>
    <w:rsid w:val="00A22FEB"/>
    <w:rsid w:val="00A37707"/>
    <w:rsid w:val="00A630DF"/>
    <w:rsid w:val="00A65AB4"/>
    <w:rsid w:val="00A77BE0"/>
    <w:rsid w:val="00A82096"/>
    <w:rsid w:val="00AA02A1"/>
    <w:rsid w:val="00AA3105"/>
    <w:rsid w:val="00AD4FDE"/>
    <w:rsid w:val="00AF2469"/>
    <w:rsid w:val="00AF2637"/>
    <w:rsid w:val="00AF49B3"/>
    <w:rsid w:val="00AF53B5"/>
    <w:rsid w:val="00B04422"/>
    <w:rsid w:val="00B22F5E"/>
    <w:rsid w:val="00B36348"/>
    <w:rsid w:val="00B762E7"/>
    <w:rsid w:val="00BA259D"/>
    <w:rsid w:val="00BB4D48"/>
    <w:rsid w:val="00BE06FA"/>
    <w:rsid w:val="00BE277B"/>
    <w:rsid w:val="00C07CC3"/>
    <w:rsid w:val="00C20E5F"/>
    <w:rsid w:val="00C2158D"/>
    <w:rsid w:val="00C34182"/>
    <w:rsid w:val="00C423E1"/>
    <w:rsid w:val="00C5154A"/>
    <w:rsid w:val="00C53F59"/>
    <w:rsid w:val="00C65E78"/>
    <w:rsid w:val="00C84919"/>
    <w:rsid w:val="00C97BD8"/>
    <w:rsid w:val="00CA4932"/>
    <w:rsid w:val="00CC5C11"/>
    <w:rsid w:val="00CD5683"/>
    <w:rsid w:val="00CF0570"/>
    <w:rsid w:val="00CF1008"/>
    <w:rsid w:val="00D10441"/>
    <w:rsid w:val="00D25D64"/>
    <w:rsid w:val="00D30620"/>
    <w:rsid w:val="00D51C2F"/>
    <w:rsid w:val="00D673A2"/>
    <w:rsid w:val="00D67C1B"/>
    <w:rsid w:val="00D71895"/>
    <w:rsid w:val="00DB6ADF"/>
    <w:rsid w:val="00DC2EE9"/>
    <w:rsid w:val="00DD11BE"/>
    <w:rsid w:val="00DD2113"/>
    <w:rsid w:val="00E10478"/>
    <w:rsid w:val="00E22D86"/>
    <w:rsid w:val="00E90A79"/>
    <w:rsid w:val="00E92F68"/>
    <w:rsid w:val="00EA1E1F"/>
    <w:rsid w:val="00EA61EB"/>
    <w:rsid w:val="00EA7F75"/>
    <w:rsid w:val="00EB6477"/>
    <w:rsid w:val="00EC6454"/>
    <w:rsid w:val="00ED4979"/>
    <w:rsid w:val="00ED7A95"/>
    <w:rsid w:val="00EF6274"/>
    <w:rsid w:val="00F319F1"/>
    <w:rsid w:val="00F37510"/>
    <w:rsid w:val="00F80650"/>
    <w:rsid w:val="00F81C48"/>
    <w:rsid w:val="00FC130B"/>
    <w:rsid w:val="00FC5EAB"/>
    <w:rsid w:val="00FD614E"/>
    <w:rsid w:val="00FE0ABA"/>
    <w:rsid w:val="00FF1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A40C6C"/>
  <w15:chartTrackingRefBased/>
  <w15:docId w15:val="{35BCE14D-CB72-48E4-BF0F-5586365B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F16"/>
  </w:style>
  <w:style w:type="paragraph" w:styleId="Heading1">
    <w:name w:val="heading 1"/>
    <w:basedOn w:val="Normal"/>
    <w:next w:val="Normal"/>
    <w:link w:val="Heading1Char"/>
    <w:uiPriority w:val="9"/>
    <w:qFormat/>
    <w:rsid w:val="003E3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E2A65"/>
    <w:rPr>
      <w:color w:val="0000FF"/>
      <w:shd w:val="clear" w:color="auto" w:fill="auto"/>
    </w:rPr>
  </w:style>
  <w:style w:type="paragraph" w:customStyle="1" w:styleId="Pagedecouverture">
    <w:name w:val="Page de couverture"/>
    <w:basedOn w:val="Normal"/>
    <w:next w:val="Normal"/>
    <w:rsid w:val="005E2A65"/>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5E2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A65"/>
  </w:style>
  <w:style w:type="paragraph" w:styleId="Footer">
    <w:name w:val="footer"/>
    <w:basedOn w:val="Normal"/>
    <w:link w:val="FooterChar"/>
    <w:uiPriority w:val="99"/>
    <w:unhideWhenUsed/>
    <w:rsid w:val="005E2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A65"/>
  </w:style>
  <w:style w:type="paragraph" w:customStyle="1" w:styleId="FooterCoverPage">
    <w:name w:val="Footer Cover Page"/>
    <w:basedOn w:val="Normal"/>
    <w:link w:val="FooterCoverPageChar"/>
    <w:rsid w:val="005E2A6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E2A65"/>
    <w:rPr>
      <w:rFonts w:ascii="Times New Roman" w:hAnsi="Times New Roman" w:cs="Times New Roman"/>
      <w:sz w:val="24"/>
    </w:rPr>
  </w:style>
  <w:style w:type="paragraph" w:customStyle="1" w:styleId="FooterSensitivity">
    <w:name w:val="Footer Sensitivity"/>
    <w:basedOn w:val="Normal"/>
    <w:link w:val="FooterSensitivityChar"/>
    <w:rsid w:val="005E2A6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E2A65"/>
    <w:rPr>
      <w:rFonts w:ascii="Times New Roman" w:hAnsi="Times New Roman" w:cs="Times New Roman"/>
      <w:b/>
      <w:sz w:val="32"/>
    </w:rPr>
  </w:style>
  <w:style w:type="paragraph" w:customStyle="1" w:styleId="HeaderCoverPage">
    <w:name w:val="Header Cover Page"/>
    <w:basedOn w:val="Normal"/>
    <w:link w:val="HeaderCoverPageChar"/>
    <w:rsid w:val="005E2A6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E2A65"/>
    <w:rPr>
      <w:rFonts w:ascii="Times New Roman" w:hAnsi="Times New Roman" w:cs="Times New Roman"/>
      <w:sz w:val="24"/>
    </w:rPr>
  </w:style>
  <w:style w:type="paragraph" w:customStyle="1" w:styleId="HeaderSensitivity">
    <w:name w:val="Header Sensitivity"/>
    <w:basedOn w:val="Normal"/>
    <w:link w:val="HeaderSensitivityChar"/>
    <w:rsid w:val="005E2A6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E2A65"/>
    <w:rPr>
      <w:rFonts w:ascii="Times New Roman" w:hAnsi="Times New Roman" w:cs="Times New Roman"/>
      <w:b/>
      <w:sz w:val="32"/>
    </w:rPr>
  </w:style>
  <w:style w:type="paragraph" w:customStyle="1" w:styleId="HeaderSensitivityRight">
    <w:name w:val="Header Sensitivity Right"/>
    <w:basedOn w:val="Normal"/>
    <w:link w:val="HeaderSensitivityRightChar"/>
    <w:rsid w:val="005E2A6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E2A65"/>
    <w:rPr>
      <w:rFonts w:ascii="Times New Roman" w:hAnsi="Times New Roman" w:cs="Times New Roman"/>
      <w:sz w:val="28"/>
    </w:rPr>
  </w:style>
  <w:style w:type="paragraph" w:styleId="FootnoteText">
    <w:name w:val="footnote text"/>
    <w:basedOn w:val="Normal"/>
    <w:link w:val="FootnoteTextChar"/>
    <w:uiPriority w:val="99"/>
    <w:semiHidden/>
    <w:unhideWhenUsed/>
    <w:rsid w:val="00B04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422"/>
    <w:rPr>
      <w:sz w:val="20"/>
      <w:szCs w:val="20"/>
    </w:rPr>
  </w:style>
  <w:style w:type="character" w:styleId="FootnoteReference">
    <w:name w:val="footnote reference"/>
    <w:basedOn w:val="DefaultParagraphFont"/>
    <w:uiPriority w:val="99"/>
    <w:semiHidden/>
    <w:unhideWhenUsed/>
    <w:rsid w:val="00B04422"/>
    <w:rPr>
      <w:vertAlign w:val="superscript"/>
    </w:rPr>
  </w:style>
  <w:style w:type="table" w:styleId="PlainTable3">
    <w:name w:val="Plain Table 3"/>
    <w:basedOn w:val="TableNormal"/>
    <w:uiPriority w:val="43"/>
    <w:rsid w:val="00DD11B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D11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D11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E33FD"/>
    <w:pPr>
      <w:ind w:left="720"/>
      <w:contextualSpacing/>
    </w:pPr>
  </w:style>
  <w:style w:type="paragraph" w:customStyle="1" w:styleId="Heading1NoNumb">
    <w:name w:val="Heading 1NoNumb"/>
    <w:aliases w:val="Heading1NoNumb,Divider"/>
    <w:basedOn w:val="Heading1"/>
    <w:next w:val="Normal"/>
    <w:uiPriority w:val="29"/>
    <w:qFormat/>
    <w:rsid w:val="003E33FD"/>
    <w:pPr>
      <w:spacing w:before="120" w:after="120" w:line="240" w:lineRule="auto"/>
    </w:pPr>
    <w:rPr>
      <w:rFonts w:ascii="Verdana" w:hAnsi="Verdana"/>
      <w:b/>
      <w:bCs/>
      <w:color w:val="auto"/>
      <w:sz w:val="24"/>
      <w:szCs w:val="28"/>
    </w:rPr>
  </w:style>
  <w:style w:type="character" w:styleId="CommentReference">
    <w:name w:val="annotation reference"/>
    <w:basedOn w:val="DefaultParagraphFont"/>
    <w:uiPriority w:val="99"/>
    <w:semiHidden/>
    <w:unhideWhenUsed/>
    <w:rsid w:val="003E33FD"/>
    <w:rPr>
      <w:sz w:val="16"/>
      <w:szCs w:val="16"/>
    </w:rPr>
  </w:style>
  <w:style w:type="paragraph" w:styleId="CommentText">
    <w:name w:val="annotation text"/>
    <w:basedOn w:val="Normal"/>
    <w:link w:val="CommentTextChar"/>
    <w:uiPriority w:val="99"/>
    <w:semiHidden/>
    <w:unhideWhenUsed/>
    <w:rsid w:val="003E33FD"/>
    <w:pPr>
      <w:spacing w:line="240" w:lineRule="auto"/>
    </w:pPr>
    <w:rPr>
      <w:sz w:val="20"/>
      <w:szCs w:val="20"/>
    </w:rPr>
  </w:style>
  <w:style w:type="character" w:customStyle="1" w:styleId="CommentTextChar">
    <w:name w:val="Comment Text Char"/>
    <w:basedOn w:val="DefaultParagraphFont"/>
    <w:link w:val="CommentText"/>
    <w:uiPriority w:val="99"/>
    <w:semiHidden/>
    <w:rsid w:val="003E33FD"/>
    <w:rPr>
      <w:sz w:val="20"/>
      <w:szCs w:val="20"/>
      <w:lang w:val="sl-SI"/>
    </w:rPr>
  </w:style>
  <w:style w:type="character" w:customStyle="1" w:styleId="Heading1Char">
    <w:name w:val="Heading 1 Char"/>
    <w:basedOn w:val="DefaultParagraphFont"/>
    <w:link w:val="Heading1"/>
    <w:uiPriority w:val="9"/>
    <w:rsid w:val="003E33F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E3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3FD"/>
    <w:rPr>
      <w:rFonts w:ascii="Segoe UI" w:hAnsi="Segoe UI" w:cs="Segoe UI"/>
      <w:sz w:val="18"/>
      <w:szCs w:val="18"/>
    </w:rPr>
  </w:style>
  <w:style w:type="table" w:styleId="PlainTable2">
    <w:name w:val="Plain Table 2"/>
    <w:basedOn w:val="TableNormal"/>
    <w:uiPriority w:val="42"/>
    <w:rsid w:val="005671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E4B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BB4D48"/>
    <w:rPr>
      <w:b/>
      <w:bCs/>
    </w:rPr>
  </w:style>
  <w:style w:type="character" w:customStyle="1" w:styleId="CommentSubjectChar">
    <w:name w:val="Comment Subject Char"/>
    <w:basedOn w:val="CommentTextChar"/>
    <w:link w:val="CommentSubject"/>
    <w:uiPriority w:val="99"/>
    <w:semiHidden/>
    <w:rsid w:val="00BB4D48"/>
    <w:rPr>
      <w:b/>
      <w:bCs/>
      <w:sz w:val="20"/>
      <w:szCs w:val="20"/>
      <w:lang w:val="sl-SI"/>
    </w:rPr>
  </w:style>
  <w:style w:type="character" w:styleId="Hyperlink">
    <w:name w:val="Hyperlink"/>
    <w:basedOn w:val="DefaultParagraphFont"/>
    <w:uiPriority w:val="99"/>
    <w:unhideWhenUsed/>
    <w:rsid w:val="000A37C6"/>
    <w:rPr>
      <w:color w:val="0000FF"/>
      <w:u w:val="single"/>
    </w:rPr>
  </w:style>
  <w:style w:type="character" w:styleId="FollowedHyperlink">
    <w:name w:val="FollowedHyperlink"/>
    <w:basedOn w:val="DefaultParagraphFont"/>
    <w:uiPriority w:val="99"/>
    <w:semiHidden/>
    <w:unhideWhenUsed/>
    <w:rsid w:val="0071383A"/>
    <w:rPr>
      <w:color w:val="954F72" w:themeColor="followedHyperlink"/>
      <w:u w:val="single"/>
    </w:rPr>
  </w:style>
  <w:style w:type="table" w:styleId="TableGrid">
    <w:name w:val="Table Grid"/>
    <w:basedOn w:val="TableNormal"/>
    <w:uiPriority w:val="39"/>
    <w:rsid w:val="0070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10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20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opa.eu/eurobarometer/surveys/detail/2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937E-FBA2-4B8A-BF71-C4AE71E7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1953</Words>
  <Characters>10943</Characters>
  <Application>Microsoft Office Word</Application>
  <DocSecurity>0</DocSecurity>
  <Lines>405</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dcterms:created xsi:type="dcterms:W3CDTF">2022-05-04T13:05:00Z</dcterms:created>
  <dcterms:modified xsi:type="dcterms:W3CDTF">2022-06-08T10:55:00Z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8.0, Build 20220128</vt:lpwstr>
  </property>
  <property fmtid="{D5CDD505-2E9C-101B-9397-08002B2CF9AE}" pid="8" name="Created using">
    <vt:lpwstr>LW 7.0.1, Build 20200226</vt:lpwstr>
  </property>
</Properties>
</file>