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0C6" w:rsidRDefault="00407BCE" w:rsidP="00407BC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1764030-AE5D-4D6F-9C6A-931955A1E8F5" style="width:455.25pt;height:336.75pt">
            <v:imagedata r:id="rId8" o:title=""/>
          </v:shape>
        </w:pict>
      </w:r>
    </w:p>
    <w:bookmarkEnd w:id="0"/>
    <w:p w:rsidR="00DB70C6" w:rsidRDefault="00DB70C6" w:rsidP="00DB70C6">
      <w:pPr>
        <w:rPr>
          <w:noProof/>
        </w:rPr>
        <w:sectPr w:rsidR="00DB70C6" w:rsidSect="00407BC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5903E0" w:rsidRDefault="009B46AE" w:rsidP="009B46AE">
      <w:pPr>
        <w:autoSpaceDE w:val="0"/>
        <w:autoSpaceDN w:val="0"/>
        <w:adjustRightInd w:val="0"/>
        <w:spacing w:after="0" w:line="240" w:lineRule="auto"/>
        <w:jc w:val="center"/>
        <w:rPr>
          <w:rFonts w:ascii="Times New Roman" w:hAnsi="Times New Roman" w:cs="Times New Roman"/>
          <w:b/>
          <w:bCs/>
          <w:noProof/>
          <w:sz w:val="24"/>
          <w:szCs w:val="24"/>
          <w:lang w:val="en-US"/>
        </w:rPr>
      </w:pPr>
      <w:bookmarkStart w:id="1" w:name="_GoBack"/>
      <w:bookmarkEnd w:id="1"/>
      <w:r w:rsidRPr="005903E0">
        <w:rPr>
          <w:rFonts w:ascii="Times New Roman" w:hAnsi="Times New Roman" w:cs="Times New Roman"/>
          <w:b/>
          <w:bCs/>
          <w:noProof/>
          <w:sz w:val="24"/>
          <w:szCs w:val="24"/>
          <w:lang w:val="en-US"/>
        </w:rPr>
        <w:lastRenderedPageBreak/>
        <w:t xml:space="preserve">Report on the implementation of the financial assistance provided to the </w:t>
      </w:r>
    </w:p>
    <w:p w:rsidR="005D5B6E" w:rsidRPr="005903E0" w:rsidRDefault="009B46AE" w:rsidP="009B46AE">
      <w:pPr>
        <w:autoSpaceDE w:val="0"/>
        <w:autoSpaceDN w:val="0"/>
        <w:adjustRightInd w:val="0"/>
        <w:spacing w:after="0" w:line="240" w:lineRule="auto"/>
        <w:jc w:val="center"/>
        <w:rPr>
          <w:rFonts w:ascii="Times New Roman" w:hAnsi="Times New Roman" w:cs="Times New Roman"/>
          <w:b/>
          <w:bCs/>
          <w:noProof/>
          <w:sz w:val="24"/>
          <w:szCs w:val="24"/>
          <w:lang w:val="en-US"/>
        </w:rPr>
      </w:pPr>
      <w:r w:rsidRPr="005903E0">
        <w:rPr>
          <w:rFonts w:ascii="Times New Roman" w:hAnsi="Times New Roman" w:cs="Times New Roman"/>
          <w:b/>
          <w:bCs/>
          <w:noProof/>
          <w:sz w:val="24"/>
          <w:szCs w:val="24"/>
          <w:lang w:val="en-US"/>
        </w:rPr>
        <w:t xml:space="preserve">Overseas Countries and Territories under </w:t>
      </w:r>
    </w:p>
    <w:p w:rsidR="005D5B6E" w:rsidRPr="005903E0" w:rsidRDefault="009B46AE" w:rsidP="009B46AE">
      <w:pPr>
        <w:autoSpaceDE w:val="0"/>
        <w:autoSpaceDN w:val="0"/>
        <w:adjustRightInd w:val="0"/>
        <w:spacing w:after="0" w:line="240" w:lineRule="auto"/>
        <w:jc w:val="center"/>
        <w:rPr>
          <w:rFonts w:ascii="Times New Roman" w:hAnsi="Times New Roman" w:cs="Times New Roman"/>
          <w:b/>
          <w:bCs/>
          <w:noProof/>
          <w:sz w:val="24"/>
          <w:szCs w:val="24"/>
          <w:lang w:val="en-US"/>
        </w:rPr>
      </w:pPr>
      <w:r w:rsidRPr="005903E0">
        <w:rPr>
          <w:rFonts w:ascii="Times New Roman" w:hAnsi="Times New Roman" w:cs="Times New Roman"/>
          <w:b/>
          <w:bCs/>
          <w:noProof/>
          <w:sz w:val="24"/>
          <w:szCs w:val="24"/>
          <w:lang w:val="en-US"/>
        </w:rPr>
        <w:t>the Decision on the Overseas Association, including Greenland</w:t>
      </w:r>
      <w:r w:rsidR="00631EBA" w:rsidRPr="005903E0">
        <w:rPr>
          <w:rFonts w:ascii="Times New Roman" w:hAnsi="Times New Roman" w:cs="Times New Roman"/>
          <w:b/>
          <w:bCs/>
          <w:noProof/>
          <w:sz w:val="24"/>
          <w:szCs w:val="24"/>
          <w:lang w:val="en-US"/>
        </w:rPr>
        <w:t xml:space="preserve"> </w:t>
      </w:r>
      <w:r w:rsidR="00CC0CBF" w:rsidRPr="005903E0">
        <w:rPr>
          <w:rFonts w:ascii="Times New Roman" w:hAnsi="Times New Roman" w:cs="Times New Roman"/>
          <w:b/>
          <w:bCs/>
          <w:noProof/>
          <w:sz w:val="24"/>
          <w:szCs w:val="24"/>
          <w:lang w:val="en-US"/>
        </w:rPr>
        <w:t xml:space="preserve">and </w:t>
      </w:r>
    </w:p>
    <w:p w:rsidR="009B46AE" w:rsidRPr="009B46AE" w:rsidRDefault="00CC0CBF" w:rsidP="009B46AE">
      <w:pPr>
        <w:autoSpaceDE w:val="0"/>
        <w:autoSpaceDN w:val="0"/>
        <w:adjustRightInd w:val="0"/>
        <w:spacing w:after="0" w:line="240" w:lineRule="auto"/>
        <w:jc w:val="center"/>
        <w:rPr>
          <w:rFonts w:ascii="Times New Roman" w:hAnsi="Times New Roman" w:cs="Times New Roman"/>
          <w:b/>
          <w:bCs/>
          <w:noProof/>
          <w:sz w:val="24"/>
          <w:szCs w:val="24"/>
          <w:lang w:val="en-US"/>
        </w:rPr>
      </w:pPr>
      <w:r w:rsidRPr="005903E0">
        <w:rPr>
          <w:rFonts w:ascii="Times New Roman" w:hAnsi="Times New Roman" w:cs="Times New Roman"/>
          <w:b/>
          <w:bCs/>
          <w:noProof/>
          <w:sz w:val="24"/>
          <w:szCs w:val="24"/>
          <w:lang w:val="en-US"/>
        </w:rPr>
        <w:t>under the 11</w:t>
      </w:r>
      <w:r w:rsidRPr="005903E0">
        <w:rPr>
          <w:rFonts w:ascii="Times New Roman" w:hAnsi="Times New Roman" w:cs="Times New Roman"/>
          <w:b/>
          <w:bCs/>
          <w:noProof/>
          <w:sz w:val="24"/>
          <w:szCs w:val="24"/>
          <w:vertAlign w:val="superscript"/>
          <w:lang w:val="en-US"/>
        </w:rPr>
        <w:t>th</w:t>
      </w:r>
      <w:r w:rsidRPr="005903E0">
        <w:rPr>
          <w:rFonts w:ascii="Times New Roman" w:hAnsi="Times New Roman" w:cs="Times New Roman"/>
          <w:b/>
          <w:bCs/>
          <w:noProof/>
          <w:sz w:val="24"/>
          <w:szCs w:val="24"/>
          <w:lang w:val="en-US"/>
        </w:rPr>
        <w:t xml:space="preserve"> European Development Fund in</w:t>
      </w:r>
      <w:r w:rsidR="009B46AE" w:rsidRPr="005903E0">
        <w:rPr>
          <w:rFonts w:ascii="Times New Roman" w:hAnsi="Times New Roman" w:cs="Times New Roman"/>
          <w:b/>
          <w:bCs/>
          <w:noProof/>
          <w:sz w:val="24"/>
          <w:szCs w:val="24"/>
          <w:lang w:val="en-US"/>
        </w:rPr>
        <w:t xml:space="preserve"> 2021</w:t>
      </w:r>
    </w:p>
    <w:p w:rsidR="009B46AE" w:rsidRDefault="009B46AE" w:rsidP="00075844">
      <w:pPr>
        <w:autoSpaceDE w:val="0"/>
        <w:autoSpaceDN w:val="0"/>
        <w:adjustRightInd w:val="0"/>
        <w:spacing w:after="0" w:line="240" w:lineRule="auto"/>
        <w:rPr>
          <w:rFonts w:ascii="Times New Roman" w:hAnsi="Times New Roman" w:cs="Times New Roman"/>
          <w:b/>
          <w:bCs/>
          <w:noProof/>
          <w:sz w:val="24"/>
          <w:szCs w:val="24"/>
          <w:u w:val="single"/>
          <w:lang w:val="en-US"/>
        </w:rPr>
      </w:pPr>
    </w:p>
    <w:p w:rsidR="00075844" w:rsidRPr="002A3914" w:rsidRDefault="00075844" w:rsidP="00075844">
      <w:pPr>
        <w:autoSpaceDE w:val="0"/>
        <w:autoSpaceDN w:val="0"/>
        <w:adjustRightInd w:val="0"/>
        <w:spacing w:after="0" w:line="240" w:lineRule="auto"/>
        <w:rPr>
          <w:rFonts w:ascii="Times New Roman" w:hAnsi="Times New Roman" w:cs="Times New Roman"/>
          <w:b/>
          <w:bCs/>
          <w:noProof/>
          <w:sz w:val="24"/>
          <w:szCs w:val="24"/>
          <w:u w:val="single"/>
          <w:lang w:val="en-US"/>
        </w:rPr>
      </w:pPr>
      <w:r w:rsidRPr="002A3914">
        <w:rPr>
          <w:rFonts w:ascii="Times New Roman" w:hAnsi="Times New Roman" w:cs="Times New Roman"/>
          <w:b/>
          <w:bCs/>
          <w:noProof/>
          <w:sz w:val="24"/>
          <w:szCs w:val="24"/>
          <w:u w:val="single"/>
          <w:lang w:val="en-US"/>
        </w:rPr>
        <w:t xml:space="preserve">Introduction </w:t>
      </w:r>
    </w:p>
    <w:p w:rsidR="00075844" w:rsidRPr="002A3914" w:rsidRDefault="00075844" w:rsidP="00075844">
      <w:pPr>
        <w:autoSpaceDE w:val="0"/>
        <w:autoSpaceDN w:val="0"/>
        <w:adjustRightInd w:val="0"/>
        <w:spacing w:after="0" w:line="240" w:lineRule="auto"/>
        <w:rPr>
          <w:rFonts w:ascii="Times New Roman" w:hAnsi="Times New Roman" w:cs="Times New Roman"/>
          <w:noProof/>
          <w:sz w:val="24"/>
          <w:szCs w:val="24"/>
          <w:u w:val="single"/>
          <w:lang w:val="en-US"/>
        </w:rPr>
      </w:pPr>
    </w:p>
    <w:p w:rsidR="008F6228" w:rsidRDefault="002809C2" w:rsidP="002809C2">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lang w:val="en-US"/>
        </w:rPr>
        <w:t xml:space="preserve">The year 2021 marked the start of a new 7-year period in </w:t>
      </w:r>
      <w:r>
        <w:rPr>
          <w:rFonts w:ascii="Times New Roman" w:hAnsi="Times New Roman" w:cs="Times New Roman"/>
          <w:noProof/>
          <w:sz w:val="24"/>
          <w:szCs w:val="24"/>
        </w:rPr>
        <w:t>relations</w:t>
      </w:r>
      <w:r w:rsidR="008F6228">
        <w:rPr>
          <w:rFonts w:ascii="Times New Roman" w:hAnsi="Times New Roman" w:cs="Times New Roman"/>
          <w:noProof/>
          <w:sz w:val="24"/>
          <w:szCs w:val="24"/>
        </w:rPr>
        <w:t xml:space="preserve"> </w:t>
      </w:r>
      <w:r w:rsidR="008F6228">
        <w:rPr>
          <w:rFonts w:ascii="Times New Roman" w:hAnsi="Times New Roman" w:cs="Times New Roman"/>
          <w:noProof/>
          <w:color w:val="000000"/>
          <w:sz w:val="24"/>
          <w:szCs w:val="24"/>
          <w:lang w:val="en-US"/>
        </w:rPr>
        <w:t xml:space="preserve">between the </w:t>
      </w:r>
      <w:r w:rsidR="003354D4">
        <w:rPr>
          <w:rFonts w:ascii="Times New Roman" w:hAnsi="Times New Roman" w:cs="Times New Roman"/>
          <w:noProof/>
          <w:color w:val="000000"/>
          <w:sz w:val="24"/>
          <w:szCs w:val="24"/>
          <w:lang w:val="en-US"/>
        </w:rPr>
        <w:t>European Union (</w:t>
      </w:r>
      <w:r w:rsidR="008F6228">
        <w:rPr>
          <w:rFonts w:ascii="Times New Roman" w:hAnsi="Times New Roman" w:cs="Times New Roman"/>
          <w:noProof/>
          <w:color w:val="000000"/>
          <w:sz w:val="24"/>
          <w:szCs w:val="24"/>
          <w:lang w:val="en-US"/>
        </w:rPr>
        <w:t>EU</w:t>
      </w:r>
      <w:r w:rsidR="003354D4">
        <w:rPr>
          <w:rFonts w:ascii="Times New Roman" w:hAnsi="Times New Roman" w:cs="Times New Roman"/>
          <w:noProof/>
          <w:color w:val="000000"/>
          <w:sz w:val="24"/>
          <w:szCs w:val="24"/>
          <w:lang w:val="en-US"/>
        </w:rPr>
        <w:t>)</w:t>
      </w:r>
      <w:r w:rsidR="008F6228">
        <w:rPr>
          <w:rFonts w:ascii="Times New Roman" w:hAnsi="Times New Roman" w:cs="Times New Roman"/>
          <w:noProof/>
          <w:color w:val="000000"/>
          <w:sz w:val="24"/>
          <w:szCs w:val="24"/>
          <w:lang w:val="en-US"/>
        </w:rPr>
        <w:t xml:space="preserve"> and </w:t>
      </w:r>
      <w:r w:rsidR="00710A4F">
        <w:rPr>
          <w:rFonts w:ascii="Times New Roman" w:hAnsi="Times New Roman" w:cs="Times New Roman"/>
          <w:noProof/>
          <w:color w:val="000000"/>
          <w:sz w:val="24"/>
          <w:szCs w:val="24"/>
          <w:lang w:val="en-US"/>
        </w:rPr>
        <w:t>the</w:t>
      </w:r>
      <w:r w:rsidR="008F6228">
        <w:rPr>
          <w:rFonts w:ascii="Times New Roman" w:hAnsi="Times New Roman" w:cs="Times New Roman"/>
          <w:noProof/>
          <w:color w:val="000000"/>
          <w:sz w:val="24"/>
          <w:szCs w:val="24"/>
          <w:lang w:val="en-US"/>
        </w:rPr>
        <w:t xml:space="preserve"> 13 Overseas Countries and Territories (OCT)</w:t>
      </w:r>
      <w:r w:rsidR="008F6228" w:rsidRPr="002A3914">
        <w:rPr>
          <w:rFonts w:ascii="Times New Roman" w:hAnsi="Times New Roman" w:cs="Times New Roman"/>
          <w:noProof/>
          <w:sz w:val="24"/>
          <w:szCs w:val="24"/>
          <w:vertAlign w:val="superscript"/>
          <w:lang w:val="en-US"/>
        </w:rPr>
        <w:footnoteReference w:id="1"/>
      </w:r>
      <w:r>
        <w:rPr>
          <w:rFonts w:ascii="Times New Roman" w:hAnsi="Times New Roman" w:cs="Times New Roman"/>
          <w:noProof/>
          <w:sz w:val="24"/>
          <w:szCs w:val="24"/>
        </w:rPr>
        <w:t xml:space="preserve">, </w:t>
      </w:r>
      <w:r w:rsidR="00F373BC">
        <w:rPr>
          <w:rFonts w:ascii="Times New Roman" w:hAnsi="Times New Roman" w:cs="Times New Roman"/>
          <w:noProof/>
          <w:sz w:val="24"/>
          <w:szCs w:val="24"/>
        </w:rPr>
        <w:t xml:space="preserve">with </w:t>
      </w:r>
      <w:r>
        <w:rPr>
          <w:rFonts w:ascii="Times New Roman" w:hAnsi="Times New Roman" w:cs="Times New Roman"/>
          <w:noProof/>
          <w:sz w:val="24"/>
          <w:szCs w:val="24"/>
        </w:rPr>
        <w:t xml:space="preserve">the adoption of the new </w:t>
      </w:r>
      <w:r>
        <w:rPr>
          <w:rFonts w:ascii="Times New Roman" w:hAnsi="Times New Roman" w:cs="Times New Roman"/>
          <w:noProof/>
          <w:sz w:val="24"/>
          <w:szCs w:val="24"/>
          <w:lang w:val="en-US"/>
        </w:rPr>
        <w:t>Decision on the Overseas</w:t>
      </w:r>
      <w:r w:rsidRPr="002A3914">
        <w:rPr>
          <w:rFonts w:ascii="Times New Roman" w:hAnsi="Times New Roman" w:cs="Times New Roman"/>
          <w:noProof/>
          <w:sz w:val="24"/>
          <w:szCs w:val="24"/>
          <w:lang w:val="en-US"/>
        </w:rPr>
        <w:t xml:space="preserve"> Association</w:t>
      </w:r>
      <w:r>
        <w:rPr>
          <w:rFonts w:ascii="Times New Roman" w:hAnsi="Times New Roman" w:cs="Times New Roman"/>
          <w:noProof/>
          <w:sz w:val="24"/>
          <w:szCs w:val="24"/>
          <w:lang w:val="en-US"/>
        </w:rPr>
        <w:t>, including Greenland</w:t>
      </w:r>
      <w:r w:rsidR="0002543C">
        <w:rPr>
          <w:rFonts w:ascii="Times New Roman" w:hAnsi="Times New Roman" w:cs="Times New Roman"/>
          <w:noProof/>
          <w:sz w:val="24"/>
          <w:szCs w:val="24"/>
          <w:lang w:val="en-US"/>
        </w:rPr>
        <w:t xml:space="preserve"> (DOAG)</w:t>
      </w:r>
      <w:r w:rsidRPr="002A3914">
        <w:rPr>
          <w:rFonts w:ascii="Times New Roman" w:hAnsi="Times New Roman" w:cs="Times New Roman"/>
          <w:noProof/>
          <w:sz w:val="24"/>
          <w:szCs w:val="24"/>
          <w:vertAlign w:val="superscript"/>
          <w:lang w:val="en-US"/>
        </w:rPr>
        <w:footnoteReference w:id="2"/>
      </w:r>
      <w:r>
        <w:rPr>
          <w:rFonts w:ascii="Times New Roman" w:hAnsi="Times New Roman" w:cs="Times New Roman"/>
          <w:noProof/>
          <w:sz w:val="24"/>
          <w:szCs w:val="24"/>
        </w:rPr>
        <w:t xml:space="preserve">. </w:t>
      </w:r>
    </w:p>
    <w:p w:rsidR="008F6228" w:rsidRDefault="008F6228" w:rsidP="002809C2">
      <w:pPr>
        <w:autoSpaceDE w:val="0"/>
        <w:autoSpaceDN w:val="0"/>
        <w:adjustRightInd w:val="0"/>
        <w:spacing w:after="0" w:line="240" w:lineRule="auto"/>
        <w:jc w:val="both"/>
        <w:rPr>
          <w:rFonts w:ascii="Times New Roman" w:hAnsi="Times New Roman" w:cs="Times New Roman"/>
          <w:noProof/>
          <w:sz w:val="24"/>
          <w:szCs w:val="24"/>
        </w:rPr>
      </w:pPr>
    </w:p>
    <w:p w:rsidR="00075844" w:rsidRPr="002A3914" w:rsidRDefault="00075844" w:rsidP="00075844">
      <w:pPr>
        <w:autoSpaceDE w:val="0"/>
        <w:autoSpaceDN w:val="0"/>
        <w:adjustRightInd w:val="0"/>
        <w:spacing w:after="0" w:line="240" w:lineRule="auto"/>
        <w:jc w:val="both"/>
        <w:rPr>
          <w:rFonts w:ascii="Times New Roman" w:hAnsi="Times New Roman" w:cs="Times New Roman"/>
          <w:noProof/>
          <w:sz w:val="24"/>
          <w:szCs w:val="24"/>
          <w:lang w:val="en-US"/>
        </w:rPr>
      </w:pPr>
      <w:r w:rsidRPr="002A3914">
        <w:rPr>
          <w:rFonts w:ascii="Times New Roman" w:hAnsi="Times New Roman" w:cs="Times New Roman"/>
          <w:noProof/>
          <w:sz w:val="24"/>
          <w:szCs w:val="24"/>
          <w:lang w:val="en-US"/>
        </w:rPr>
        <w:t>The</w:t>
      </w:r>
      <w:r w:rsidR="002809C2">
        <w:rPr>
          <w:rFonts w:ascii="Times New Roman" w:hAnsi="Times New Roman" w:cs="Times New Roman"/>
          <w:noProof/>
          <w:sz w:val="24"/>
          <w:szCs w:val="24"/>
          <w:lang w:val="en-US"/>
        </w:rPr>
        <w:t xml:space="preserve"> </w:t>
      </w:r>
      <w:r w:rsidR="008F6228">
        <w:rPr>
          <w:rFonts w:ascii="Times New Roman" w:hAnsi="Times New Roman" w:cs="Times New Roman"/>
          <w:noProof/>
          <w:sz w:val="24"/>
          <w:szCs w:val="24"/>
          <w:lang w:val="en-US"/>
        </w:rPr>
        <w:t>DOAG</w:t>
      </w:r>
      <w:r w:rsidRPr="002A3914">
        <w:rPr>
          <w:rFonts w:ascii="Times New Roman" w:hAnsi="Times New Roman" w:cs="Times New Roman"/>
          <w:noProof/>
          <w:sz w:val="24"/>
          <w:szCs w:val="24"/>
          <w:lang w:val="en-US"/>
        </w:rPr>
        <w:t xml:space="preserve"> establishes the legal framework for the </w:t>
      </w:r>
      <w:r w:rsidR="004651C9">
        <w:rPr>
          <w:rFonts w:ascii="Times New Roman" w:hAnsi="Times New Roman" w:cs="Times New Roman"/>
          <w:noProof/>
          <w:sz w:val="24"/>
          <w:szCs w:val="24"/>
          <w:lang w:val="en-US"/>
        </w:rPr>
        <w:t>partnership</w:t>
      </w:r>
      <w:r w:rsidRPr="002A3914">
        <w:rPr>
          <w:rFonts w:ascii="Times New Roman" w:hAnsi="Times New Roman" w:cs="Times New Roman"/>
          <w:noProof/>
          <w:sz w:val="24"/>
          <w:szCs w:val="24"/>
          <w:lang w:val="en-US"/>
        </w:rPr>
        <w:t xml:space="preserve"> between </w:t>
      </w:r>
      <w:r w:rsidR="002809C2">
        <w:rPr>
          <w:rFonts w:ascii="Times New Roman" w:hAnsi="Times New Roman" w:cs="Times New Roman"/>
          <w:noProof/>
          <w:sz w:val="24"/>
          <w:szCs w:val="24"/>
          <w:lang w:val="en-US"/>
        </w:rPr>
        <w:t>OCTs</w:t>
      </w:r>
      <w:r w:rsidRPr="002A3914">
        <w:rPr>
          <w:rFonts w:ascii="Times New Roman" w:hAnsi="Times New Roman" w:cs="Times New Roman"/>
          <w:noProof/>
          <w:sz w:val="24"/>
          <w:szCs w:val="24"/>
          <w:lang w:val="en-US"/>
        </w:rPr>
        <w:t xml:space="preserve">, the Member States to which they are linked and the </w:t>
      </w:r>
      <w:r w:rsidR="002809C2">
        <w:rPr>
          <w:rFonts w:ascii="Times New Roman" w:hAnsi="Times New Roman" w:cs="Times New Roman"/>
          <w:noProof/>
          <w:sz w:val="24"/>
          <w:szCs w:val="24"/>
          <w:lang w:val="en-US"/>
        </w:rPr>
        <w:t>EU</w:t>
      </w:r>
      <w:r w:rsidRPr="002A3914">
        <w:rPr>
          <w:rFonts w:ascii="Times New Roman" w:hAnsi="Times New Roman" w:cs="Times New Roman"/>
          <w:noProof/>
          <w:sz w:val="24"/>
          <w:szCs w:val="24"/>
          <w:lang w:val="en-US"/>
        </w:rPr>
        <w:t>. According to the Treaty on the Functioning of the European Union (TFEU)</w:t>
      </w:r>
      <w:r w:rsidRPr="002A3914">
        <w:rPr>
          <w:rFonts w:ascii="Times New Roman" w:hAnsi="Times New Roman" w:cs="Times New Roman"/>
          <w:noProof/>
          <w:sz w:val="24"/>
          <w:szCs w:val="24"/>
          <w:vertAlign w:val="superscript"/>
          <w:lang w:val="en-US"/>
        </w:rPr>
        <w:footnoteReference w:id="3"/>
      </w:r>
      <w:r w:rsidRPr="002A3914">
        <w:rPr>
          <w:rFonts w:ascii="Times New Roman" w:hAnsi="Times New Roman" w:cs="Times New Roman"/>
          <w:noProof/>
          <w:sz w:val="24"/>
          <w:szCs w:val="24"/>
          <w:lang w:val="en-US"/>
        </w:rPr>
        <w:t xml:space="preserve">, the purpose of the Decision is to support the sustainable development of the OCTs and to promote the values of the Union in the wider world. </w:t>
      </w:r>
    </w:p>
    <w:p w:rsidR="00075844" w:rsidRPr="002A3914" w:rsidRDefault="00075844" w:rsidP="00075844">
      <w:pPr>
        <w:autoSpaceDE w:val="0"/>
        <w:autoSpaceDN w:val="0"/>
        <w:adjustRightInd w:val="0"/>
        <w:spacing w:after="0" w:line="240" w:lineRule="auto"/>
        <w:jc w:val="both"/>
        <w:rPr>
          <w:rFonts w:ascii="Times New Roman" w:hAnsi="Times New Roman" w:cs="Times New Roman"/>
          <w:noProof/>
          <w:sz w:val="24"/>
          <w:szCs w:val="24"/>
          <w:lang w:val="en-US"/>
        </w:rPr>
      </w:pPr>
      <w:r w:rsidRPr="002A3914">
        <w:rPr>
          <w:rFonts w:ascii="Times New Roman" w:hAnsi="Times New Roman" w:cs="Times New Roman"/>
          <w:noProof/>
          <w:color w:val="000000"/>
          <w:sz w:val="24"/>
          <w:szCs w:val="24"/>
          <w:lang w:val="en-US"/>
        </w:rPr>
        <w:t xml:space="preserve"> </w:t>
      </w:r>
    </w:p>
    <w:p w:rsidR="0002543C" w:rsidRDefault="004651C9" w:rsidP="00075844">
      <w:pPr>
        <w:autoSpaceDE w:val="0"/>
        <w:autoSpaceDN w:val="0"/>
        <w:adjustRightInd w:val="0"/>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w:t>
      </w:r>
      <w:r w:rsidR="007323CB" w:rsidRPr="0002543C">
        <w:rPr>
          <w:rFonts w:ascii="Times New Roman" w:hAnsi="Times New Roman" w:cs="Times New Roman"/>
          <w:noProof/>
          <w:sz w:val="24"/>
          <w:szCs w:val="24"/>
          <w:lang w:val="en-US"/>
        </w:rPr>
        <w:t xml:space="preserve">DOAG merges two previous instruments – the </w:t>
      </w:r>
      <w:r w:rsidR="00AC2A99">
        <w:rPr>
          <w:rFonts w:ascii="Times New Roman" w:hAnsi="Times New Roman" w:cs="Times New Roman"/>
          <w:noProof/>
          <w:sz w:val="24"/>
          <w:szCs w:val="24"/>
          <w:lang w:val="en-US"/>
        </w:rPr>
        <w:t>former</w:t>
      </w:r>
      <w:r w:rsidR="004E38DB">
        <w:rPr>
          <w:rFonts w:ascii="Times New Roman" w:hAnsi="Times New Roman" w:cs="Times New Roman"/>
          <w:noProof/>
          <w:sz w:val="24"/>
          <w:szCs w:val="24"/>
          <w:lang w:val="en-US"/>
        </w:rPr>
        <w:t xml:space="preserve"> </w:t>
      </w:r>
      <w:r w:rsidR="007323CB" w:rsidRPr="0002543C">
        <w:rPr>
          <w:rFonts w:ascii="Times New Roman" w:hAnsi="Times New Roman" w:cs="Times New Roman"/>
          <w:noProof/>
          <w:sz w:val="24"/>
          <w:szCs w:val="24"/>
          <w:lang w:val="en-US"/>
        </w:rPr>
        <w:t>Overseas Association Decision</w:t>
      </w:r>
      <w:r w:rsidR="001D5642">
        <w:rPr>
          <w:rStyle w:val="FootnoteReference"/>
          <w:rFonts w:ascii="Times New Roman" w:hAnsi="Times New Roman" w:cs="Times New Roman"/>
          <w:noProof/>
          <w:sz w:val="24"/>
          <w:szCs w:val="24"/>
          <w:lang w:val="en-US"/>
        </w:rPr>
        <w:footnoteReference w:id="4"/>
      </w:r>
      <w:r w:rsidR="007323CB" w:rsidRPr="0002543C">
        <w:rPr>
          <w:rFonts w:ascii="Times New Roman" w:hAnsi="Times New Roman" w:cs="Times New Roman"/>
          <w:noProof/>
          <w:sz w:val="24"/>
          <w:szCs w:val="24"/>
          <w:lang w:val="en-US"/>
        </w:rPr>
        <w:t xml:space="preserve"> </w:t>
      </w:r>
      <w:r w:rsidR="004E38DB">
        <w:rPr>
          <w:rFonts w:ascii="Times New Roman" w:hAnsi="Times New Roman" w:cs="Times New Roman"/>
          <w:noProof/>
          <w:sz w:val="24"/>
          <w:szCs w:val="24"/>
          <w:lang w:val="en-US"/>
        </w:rPr>
        <w:t xml:space="preserve">supported by </w:t>
      </w:r>
      <w:r w:rsidR="007323CB" w:rsidRPr="0002543C">
        <w:rPr>
          <w:rFonts w:ascii="Times New Roman" w:hAnsi="Times New Roman" w:cs="Times New Roman"/>
          <w:noProof/>
          <w:sz w:val="24"/>
          <w:szCs w:val="24"/>
          <w:lang w:val="en-US"/>
        </w:rPr>
        <w:t>the European Development Fund</w:t>
      </w:r>
      <w:r w:rsidR="0002543C">
        <w:rPr>
          <w:rFonts w:ascii="Times New Roman" w:hAnsi="Times New Roman" w:cs="Times New Roman"/>
          <w:noProof/>
          <w:sz w:val="24"/>
          <w:szCs w:val="24"/>
          <w:lang w:val="en-US"/>
        </w:rPr>
        <w:t xml:space="preserve">, </w:t>
      </w:r>
      <w:r w:rsidR="007323CB" w:rsidRPr="0002543C">
        <w:rPr>
          <w:rFonts w:ascii="Times New Roman" w:hAnsi="Times New Roman" w:cs="Times New Roman"/>
          <w:noProof/>
          <w:sz w:val="24"/>
          <w:szCs w:val="24"/>
          <w:lang w:val="en-US"/>
        </w:rPr>
        <w:t xml:space="preserve">and the </w:t>
      </w:r>
      <w:r w:rsidR="0002543C">
        <w:rPr>
          <w:rFonts w:ascii="Times New Roman" w:hAnsi="Times New Roman" w:cs="Times New Roman"/>
          <w:noProof/>
          <w:sz w:val="24"/>
          <w:szCs w:val="24"/>
          <w:lang w:val="en-US"/>
        </w:rPr>
        <w:t xml:space="preserve">additional </w:t>
      </w:r>
      <w:r w:rsidR="007323CB" w:rsidRPr="0002543C">
        <w:rPr>
          <w:rFonts w:ascii="Times New Roman" w:hAnsi="Times New Roman" w:cs="Times New Roman"/>
          <w:noProof/>
          <w:sz w:val="24"/>
          <w:szCs w:val="24"/>
          <w:lang w:val="en-US"/>
        </w:rPr>
        <w:t>Greenland Decision</w:t>
      </w:r>
      <w:r w:rsidR="001D5642" w:rsidRPr="002A3914">
        <w:rPr>
          <w:rFonts w:ascii="Times New Roman" w:hAnsi="Times New Roman" w:cs="Times New Roman"/>
          <w:noProof/>
          <w:sz w:val="24"/>
          <w:szCs w:val="24"/>
          <w:vertAlign w:val="superscript"/>
          <w:lang w:val="en-US"/>
        </w:rPr>
        <w:footnoteReference w:id="5"/>
      </w:r>
      <w:r>
        <w:rPr>
          <w:rFonts w:ascii="Times New Roman" w:hAnsi="Times New Roman" w:cs="Times New Roman"/>
          <w:noProof/>
          <w:sz w:val="24"/>
          <w:szCs w:val="24"/>
          <w:lang w:val="en-US"/>
        </w:rPr>
        <w:t xml:space="preserve"> funded from the EU budget, in </w:t>
      </w:r>
      <w:r w:rsidR="007323CB" w:rsidRPr="0002543C">
        <w:rPr>
          <w:rFonts w:ascii="Times New Roman" w:hAnsi="Times New Roman" w:cs="Times New Roman"/>
          <w:noProof/>
          <w:sz w:val="24"/>
          <w:szCs w:val="24"/>
          <w:lang w:val="en-US"/>
        </w:rPr>
        <w:t xml:space="preserve">a single instrument with the same source of financing </w:t>
      </w:r>
      <w:r w:rsidR="0002543C">
        <w:rPr>
          <w:rFonts w:ascii="Times New Roman" w:hAnsi="Times New Roman" w:cs="Times New Roman"/>
          <w:noProof/>
          <w:sz w:val="24"/>
          <w:szCs w:val="24"/>
          <w:lang w:val="en-US"/>
        </w:rPr>
        <w:t xml:space="preserve">– </w:t>
      </w:r>
      <w:r w:rsidR="000E75AD">
        <w:rPr>
          <w:rFonts w:ascii="Times New Roman" w:hAnsi="Times New Roman" w:cs="Times New Roman"/>
          <w:noProof/>
          <w:sz w:val="24"/>
          <w:szCs w:val="24"/>
          <w:lang w:val="en-US"/>
        </w:rPr>
        <w:t xml:space="preserve">the </w:t>
      </w:r>
      <w:r w:rsidR="007323CB" w:rsidRPr="0002543C">
        <w:rPr>
          <w:rFonts w:ascii="Times New Roman" w:hAnsi="Times New Roman" w:cs="Times New Roman"/>
          <w:noProof/>
          <w:sz w:val="24"/>
          <w:szCs w:val="24"/>
          <w:lang w:val="en-US"/>
        </w:rPr>
        <w:t>EU budget</w:t>
      </w:r>
      <w:r w:rsidR="0002543C">
        <w:rPr>
          <w:rFonts w:ascii="Times New Roman" w:hAnsi="Times New Roman" w:cs="Times New Roman"/>
          <w:noProof/>
          <w:sz w:val="24"/>
          <w:szCs w:val="24"/>
          <w:lang w:val="en-US"/>
        </w:rPr>
        <w:t xml:space="preserve"> –</w:t>
      </w:r>
      <w:r w:rsidR="007323CB" w:rsidRPr="0002543C">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 xml:space="preserve"> applying</w:t>
      </w:r>
      <w:r w:rsidR="000E5E56">
        <w:rPr>
          <w:rFonts w:ascii="Times New Roman" w:hAnsi="Times New Roman" w:cs="Times New Roman"/>
          <w:noProof/>
          <w:sz w:val="24"/>
          <w:szCs w:val="24"/>
          <w:lang w:val="en-US"/>
        </w:rPr>
        <w:t xml:space="preserve"> now</w:t>
      </w:r>
      <w:r w:rsidR="003354D4">
        <w:rPr>
          <w:rFonts w:ascii="Times New Roman" w:hAnsi="Times New Roman" w:cs="Times New Roman"/>
          <w:noProof/>
          <w:sz w:val="24"/>
          <w:szCs w:val="24"/>
          <w:lang w:val="en-US"/>
        </w:rPr>
        <w:t xml:space="preserve"> to </w:t>
      </w:r>
      <w:r w:rsidR="007323CB" w:rsidRPr="0002543C">
        <w:rPr>
          <w:rFonts w:ascii="Times New Roman" w:hAnsi="Times New Roman" w:cs="Times New Roman"/>
          <w:noProof/>
          <w:sz w:val="24"/>
          <w:szCs w:val="24"/>
          <w:lang w:val="en-US"/>
        </w:rPr>
        <w:t>all OCTs</w:t>
      </w:r>
      <w:r w:rsidR="0002543C" w:rsidRPr="0002543C">
        <w:rPr>
          <w:rFonts w:ascii="Times New Roman" w:hAnsi="Times New Roman" w:cs="Times New Roman"/>
          <w:noProof/>
          <w:sz w:val="24"/>
          <w:szCs w:val="24"/>
          <w:lang w:val="en-US"/>
        </w:rPr>
        <w:t>.</w:t>
      </w:r>
    </w:p>
    <w:p w:rsidR="000E75AD" w:rsidRDefault="000E75AD" w:rsidP="000E75AD">
      <w:pPr>
        <w:autoSpaceDE w:val="0"/>
        <w:autoSpaceDN w:val="0"/>
        <w:adjustRightInd w:val="0"/>
        <w:spacing w:after="0" w:line="240" w:lineRule="auto"/>
        <w:jc w:val="both"/>
        <w:rPr>
          <w:rFonts w:ascii="Times New Roman" w:hAnsi="Times New Roman" w:cs="Times New Roman"/>
          <w:noProof/>
          <w:sz w:val="24"/>
          <w:szCs w:val="24"/>
          <w:lang w:val="en-US"/>
        </w:rPr>
      </w:pPr>
    </w:p>
    <w:p w:rsidR="000E75AD" w:rsidRPr="004651C9" w:rsidRDefault="000E75AD" w:rsidP="000E75AD">
      <w:pPr>
        <w:autoSpaceDE w:val="0"/>
        <w:autoSpaceDN w:val="0"/>
        <w:adjustRightInd w:val="0"/>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The new Decision provides the basis for programming the 2021-2027 cooperation with OCTs, which </w:t>
      </w:r>
      <w:r w:rsidR="003354D4">
        <w:rPr>
          <w:rFonts w:ascii="Times New Roman" w:hAnsi="Times New Roman" w:cs="Times New Roman"/>
          <w:noProof/>
          <w:sz w:val="24"/>
          <w:szCs w:val="24"/>
        </w:rPr>
        <w:t>is informed by in-</w:t>
      </w:r>
      <w:r w:rsidR="00710A4F">
        <w:rPr>
          <w:rFonts w:ascii="Times New Roman" w:hAnsi="Times New Roman" w:cs="Times New Roman"/>
          <w:noProof/>
          <w:sz w:val="24"/>
          <w:szCs w:val="24"/>
        </w:rPr>
        <w:t xml:space="preserve">depth political and policy </w:t>
      </w:r>
      <w:r>
        <w:rPr>
          <w:rFonts w:ascii="Times New Roman" w:hAnsi="Times New Roman" w:cs="Times New Roman"/>
          <w:noProof/>
          <w:color w:val="000000"/>
          <w:sz w:val="24"/>
          <w:szCs w:val="24"/>
          <w:lang w:val="en-US"/>
        </w:rPr>
        <w:t xml:space="preserve">dialogue. </w:t>
      </w:r>
      <w:r w:rsidR="000E5E56">
        <w:rPr>
          <w:rFonts w:ascii="Times New Roman" w:hAnsi="Times New Roman" w:cs="Times New Roman"/>
          <w:noProof/>
          <w:color w:val="000000"/>
          <w:sz w:val="24"/>
          <w:szCs w:val="24"/>
          <w:lang w:val="en-US"/>
        </w:rPr>
        <w:t>EUR 500 million are</w:t>
      </w:r>
      <w:r w:rsidR="000E5E56" w:rsidRPr="002A3914">
        <w:rPr>
          <w:rFonts w:ascii="Times New Roman" w:hAnsi="Times New Roman" w:cs="Times New Roman"/>
          <w:noProof/>
          <w:sz w:val="24"/>
          <w:szCs w:val="24"/>
          <w:lang w:val="en-US"/>
        </w:rPr>
        <w:t xml:space="preserve"> allocated </w:t>
      </w:r>
      <w:r w:rsidR="000E5E56">
        <w:rPr>
          <w:rFonts w:ascii="Times New Roman" w:hAnsi="Times New Roman" w:cs="Times New Roman"/>
          <w:noProof/>
          <w:sz w:val="24"/>
          <w:szCs w:val="24"/>
          <w:lang w:val="en-US"/>
        </w:rPr>
        <w:t>to the DOAG for the 2021-2027</w:t>
      </w:r>
      <w:r w:rsidR="000E5E56" w:rsidRPr="002A3914">
        <w:rPr>
          <w:rFonts w:ascii="Times New Roman" w:hAnsi="Times New Roman" w:cs="Times New Roman"/>
          <w:noProof/>
          <w:sz w:val="24"/>
          <w:szCs w:val="24"/>
          <w:lang w:val="en-US"/>
        </w:rPr>
        <w:t xml:space="preserve"> period. </w:t>
      </w:r>
    </w:p>
    <w:p w:rsidR="00075844" w:rsidRDefault="00075844" w:rsidP="00075844">
      <w:pPr>
        <w:autoSpaceDE w:val="0"/>
        <w:autoSpaceDN w:val="0"/>
        <w:adjustRightInd w:val="0"/>
        <w:spacing w:after="0" w:line="240" w:lineRule="auto"/>
        <w:jc w:val="both"/>
        <w:rPr>
          <w:rFonts w:ascii="Times New Roman" w:hAnsi="Times New Roman" w:cs="Times New Roman"/>
          <w:noProof/>
          <w:sz w:val="24"/>
          <w:szCs w:val="24"/>
          <w:lang w:val="en-US"/>
        </w:rPr>
      </w:pPr>
    </w:p>
    <w:p w:rsidR="002809C2" w:rsidRDefault="000E5E56" w:rsidP="002809C2">
      <w:pPr>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Addressing </w:t>
      </w:r>
      <w:r w:rsidR="002809C2">
        <w:rPr>
          <w:rFonts w:ascii="Times New Roman" w:hAnsi="Times New Roman" w:cs="Times New Roman"/>
          <w:noProof/>
          <w:color w:val="000000"/>
          <w:sz w:val="24"/>
          <w:szCs w:val="24"/>
          <w:lang w:val="en-US"/>
        </w:rPr>
        <w:t xml:space="preserve">the OCTs’ specific needs and challenges, the cooperation in the 2021-2027 period will focus on actions </w:t>
      </w:r>
      <w:r w:rsidR="002809C2" w:rsidRPr="00257187">
        <w:rPr>
          <w:rFonts w:ascii="Times New Roman" w:hAnsi="Times New Roman" w:cs="Times New Roman"/>
          <w:noProof/>
          <w:color w:val="000000"/>
          <w:sz w:val="24"/>
          <w:szCs w:val="24"/>
          <w:lang w:val="en-US"/>
        </w:rPr>
        <w:t>of mutual interest to OCTs and the EU</w:t>
      </w:r>
      <w:r>
        <w:rPr>
          <w:rFonts w:ascii="Times New Roman" w:hAnsi="Times New Roman" w:cs="Times New Roman"/>
          <w:noProof/>
          <w:color w:val="000000"/>
          <w:sz w:val="24"/>
          <w:szCs w:val="24"/>
          <w:lang w:val="en-US"/>
        </w:rPr>
        <w:t xml:space="preserve">. </w:t>
      </w:r>
      <w:r w:rsidR="004E38DB">
        <w:rPr>
          <w:rFonts w:ascii="Times New Roman" w:hAnsi="Times New Roman" w:cs="Times New Roman"/>
          <w:noProof/>
          <w:color w:val="000000"/>
          <w:sz w:val="24"/>
          <w:szCs w:val="24"/>
          <w:lang w:val="en-US"/>
        </w:rPr>
        <w:t>Based on the Multiannual</w:t>
      </w:r>
      <w:r w:rsidR="004651C9">
        <w:rPr>
          <w:rFonts w:ascii="Times New Roman" w:hAnsi="Times New Roman" w:cs="Times New Roman"/>
          <w:noProof/>
          <w:color w:val="000000"/>
          <w:sz w:val="24"/>
          <w:szCs w:val="24"/>
          <w:lang w:val="en-US"/>
        </w:rPr>
        <w:t xml:space="preserve"> Indicative Programmes (MIPs), </w:t>
      </w:r>
      <w:r w:rsidR="004E38DB">
        <w:rPr>
          <w:rFonts w:ascii="Times New Roman" w:hAnsi="Times New Roman" w:cs="Times New Roman"/>
          <w:noProof/>
          <w:color w:val="000000"/>
          <w:sz w:val="24"/>
          <w:szCs w:val="24"/>
          <w:lang w:val="en-US"/>
        </w:rPr>
        <w:t>p</w:t>
      </w:r>
      <w:r>
        <w:rPr>
          <w:rFonts w:ascii="Times New Roman" w:hAnsi="Times New Roman" w:cs="Times New Roman"/>
          <w:noProof/>
          <w:color w:val="000000"/>
          <w:sz w:val="24"/>
          <w:szCs w:val="24"/>
          <w:lang w:val="en-US"/>
        </w:rPr>
        <w:t>ri</w:t>
      </w:r>
      <w:r w:rsidR="004651C9">
        <w:rPr>
          <w:rFonts w:ascii="Times New Roman" w:hAnsi="Times New Roman" w:cs="Times New Roman"/>
          <w:noProof/>
          <w:color w:val="000000"/>
          <w:sz w:val="24"/>
          <w:szCs w:val="24"/>
          <w:lang w:val="en-US"/>
        </w:rPr>
        <w:t>ority areas for cooperation are</w:t>
      </w:r>
      <w:r w:rsidR="00CF3677">
        <w:rPr>
          <w:rFonts w:ascii="Times New Roman" w:hAnsi="Times New Roman" w:cs="Times New Roman"/>
          <w:noProof/>
          <w:color w:val="000000"/>
          <w:sz w:val="24"/>
          <w:szCs w:val="24"/>
          <w:lang w:val="en-US"/>
        </w:rPr>
        <w:t xml:space="preserve"> notably the </w:t>
      </w:r>
      <w:r w:rsidR="00CF3677" w:rsidRPr="00CF3677">
        <w:rPr>
          <w:rFonts w:ascii="Times New Roman" w:eastAsia="Times New Roman" w:hAnsi="Times New Roman" w:cs="Times New Roman"/>
          <w:noProof/>
          <w:sz w:val="24"/>
          <w:szCs w:val="24"/>
          <w:lang w:val="en-US"/>
        </w:rPr>
        <w:t>green deal, digitalization, jobs and growth</w:t>
      </w:r>
      <w:r w:rsidR="00626C19">
        <w:rPr>
          <w:rFonts w:ascii="Times New Roman" w:eastAsia="Times New Roman" w:hAnsi="Times New Roman" w:cs="Times New Roman"/>
          <w:noProof/>
          <w:sz w:val="24"/>
          <w:szCs w:val="24"/>
          <w:lang w:val="en-US"/>
        </w:rPr>
        <w:t>,</w:t>
      </w:r>
      <w:r w:rsidR="00CF3677" w:rsidRPr="00CF3677">
        <w:rPr>
          <w:rFonts w:ascii="Times New Roman" w:eastAsia="Times New Roman" w:hAnsi="Times New Roman" w:cs="Times New Roman"/>
          <w:noProof/>
          <w:sz w:val="24"/>
          <w:szCs w:val="24"/>
          <w:lang w:val="en-US"/>
        </w:rPr>
        <w:t xml:space="preserve"> and </w:t>
      </w:r>
      <w:r w:rsidR="00710A4F">
        <w:rPr>
          <w:rFonts w:ascii="Times New Roman" w:eastAsia="Times New Roman" w:hAnsi="Times New Roman" w:cs="Times New Roman"/>
          <w:noProof/>
          <w:sz w:val="24"/>
          <w:szCs w:val="24"/>
          <w:lang w:val="en-US"/>
        </w:rPr>
        <w:t>human development</w:t>
      </w:r>
      <w:r w:rsidR="002809C2" w:rsidRPr="00257187">
        <w:rPr>
          <w:rFonts w:ascii="Times New Roman" w:hAnsi="Times New Roman" w:cs="Times New Roman"/>
          <w:noProof/>
          <w:color w:val="000000"/>
          <w:sz w:val="24"/>
          <w:szCs w:val="24"/>
          <w:lang w:val="en-US"/>
        </w:rPr>
        <w:t xml:space="preserve">. </w:t>
      </w:r>
      <w:r w:rsidR="004E38DB">
        <w:rPr>
          <w:rFonts w:ascii="Times New Roman" w:hAnsi="Times New Roman" w:cs="Times New Roman"/>
          <w:noProof/>
          <w:color w:val="000000"/>
          <w:sz w:val="24"/>
          <w:szCs w:val="24"/>
          <w:lang w:val="en-US"/>
        </w:rPr>
        <w:t xml:space="preserve">11 out of a total of 15 MIPs were already adopted by end 2021. </w:t>
      </w:r>
      <w:r w:rsidR="00710A4F">
        <w:rPr>
          <w:rFonts w:ascii="Times New Roman" w:hAnsi="Times New Roman" w:cs="Times New Roman"/>
          <w:noProof/>
          <w:color w:val="000000"/>
          <w:sz w:val="24"/>
          <w:szCs w:val="24"/>
          <w:lang w:val="en-US"/>
        </w:rPr>
        <w:t>4 MIPs still have to be adopted in the course of 2022.</w:t>
      </w:r>
    </w:p>
    <w:p w:rsidR="002809C2" w:rsidRDefault="002809C2" w:rsidP="00075844">
      <w:pPr>
        <w:autoSpaceDE w:val="0"/>
        <w:autoSpaceDN w:val="0"/>
        <w:adjustRightInd w:val="0"/>
        <w:spacing w:after="0" w:line="240" w:lineRule="auto"/>
        <w:jc w:val="both"/>
        <w:rPr>
          <w:rFonts w:ascii="Times New Roman" w:hAnsi="Times New Roman" w:cs="Times New Roman"/>
          <w:noProof/>
          <w:sz w:val="24"/>
          <w:szCs w:val="24"/>
          <w:lang w:val="en-US"/>
        </w:rPr>
      </w:pPr>
    </w:p>
    <w:p w:rsidR="004651C9" w:rsidRDefault="008849D4" w:rsidP="008849D4">
      <w:pPr>
        <w:autoSpaceDE w:val="0"/>
        <w:autoSpaceDN w:val="0"/>
        <w:adjustRightInd w:val="0"/>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Ev</w:t>
      </w:r>
      <w:r w:rsidR="00626C19">
        <w:rPr>
          <w:rFonts w:ascii="Times New Roman" w:hAnsi="Times New Roman" w:cs="Times New Roman"/>
          <w:noProof/>
          <w:sz w:val="24"/>
          <w:szCs w:val="24"/>
          <w:lang w:val="en-US"/>
        </w:rPr>
        <w:t xml:space="preserve">en though the </w:t>
      </w:r>
      <w:r w:rsidR="004651C9">
        <w:rPr>
          <w:rFonts w:ascii="Times New Roman" w:hAnsi="Times New Roman" w:cs="Times New Roman"/>
          <w:noProof/>
          <w:sz w:val="24"/>
          <w:szCs w:val="24"/>
          <w:lang w:val="en-US"/>
        </w:rPr>
        <w:t>new Decision</w:t>
      </w:r>
      <w:r w:rsidR="00626C19">
        <w:rPr>
          <w:rFonts w:ascii="Times New Roman" w:hAnsi="Times New Roman" w:cs="Times New Roman"/>
          <w:noProof/>
          <w:sz w:val="24"/>
          <w:szCs w:val="24"/>
          <w:lang w:val="en-US"/>
        </w:rPr>
        <w:t xml:space="preserve"> applies retr</w:t>
      </w:r>
      <w:r>
        <w:rPr>
          <w:rFonts w:ascii="Times New Roman" w:hAnsi="Times New Roman" w:cs="Times New Roman"/>
          <w:noProof/>
          <w:sz w:val="24"/>
          <w:szCs w:val="24"/>
          <w:lang w:val="en-US"/>
        </w:rPr>
        <w:t>o</w:t>
      </w:r>
      <w:r w:rsidR="00626C19">
        <w:rPr>
          <w:rFonts w:ascii="Times New Roman" w:hAnsi="Times New Roman" w:cs="Times New Roman"/>
          <w:noProof/>
          <w:sz w:val="24"/>
          <w:szCs w:val="24"/>
          <w:lang w:val="en-US"/>
        </w:rPr>
        <w:t>a</w:t>
      </w:r>
      <w:r>
        <w:rPr>
          <w:rFonts w:ascii="Times New Roman" w:hAnsi="Times New Roman" w:cs="Times New Roman"/>
          <w:noProof/>
          <w:sz w:val="24"/>
          <w:szCs w:val="24"/>
          <w:lang w:val="en-US"/>
        </w:rPr>
        <w:t>ctively from 1</w:t>
      </w:r>
      <w:r w:rsidR="004651C9" w:rsidRPr="004651C9">
        <w:rPr>
          <w:rFonts w:ascii="Times New Roman" w:hAnsi="Times New Roman" w:cs="Times New Roman"/>
          <w:noProof/>
          <w:sz w:val="24"/>
          <w:szCs w:val="24"/>
          <w:vertAlign w:val="superscript"/>
          <w:lang w:val="en-US"/>
        </w:rPr>
        <w:t>st</w:t>
      </w:r>
      <w:r w:rsidR="004651C9">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 xml:space="preserve">January 2021, the previous Decision remained in force </w:t>
      </w:r>
      <w:r w:rsidR="00CF5298">
        <w:rPr>
          <w:rFonts w:ascii="Times New Roman" w:hAnsi="Times New Roman" w:cs="Times New Roman"/>
          <w:noProof/>
          <w:sz w:val="24"/>
          <w:szCs w:val="24"/>
          <w:lang w:val="en-US"/>
        </w:rPr>
        <w:t>until it was repealed by the DOAG</w:t>
      </w:r>
      <w:r w:rsidR="00626C19">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adopted on 5 October 2021.  </w:t>
      </w:r>
      <w:r w:rsidR="00626C19">
        <w:rPr>
          <w:rFonts w:ascii="Times New Roman" w:hAnsi="Times New Roman" w:cs="Times New Roman"/>
          <w:noProof/>
          <w:sz w:val="24"/>
          <w:szCs w:val="24"/>
          <w:lang w:val="en-US"/>
        </w:rPr>
        <w:t>Throughout</w:t>
      </w:r>
      <w:r w:rsidR="00626C19" w:rsidRPr="006B1F16">
        <w:rPr>
          <w:rFonts w:ascii="Times New Roman" w:hAnsi="Times New Roman" w:cs="Times New Roman"/>
          <w:noProof/>
          <w:sz w:val="24"/>
          <w:szCs w:val="24"/>
          <w:lang w:val="en-US"/>
        </w:rPr>
        <w:t xml:space="preserve"> 2021</w:t>
      </w:r>
      <w:r w:rsidR="004651C9">
        <w:rPr>
          <w:rFonts w:ascii="Times New Roman" w:hAnsi="Times New Roman" w:cs="Times New Roman"/>
          <w:noProof/>
          <w:sz w:val="24"/>
          <w:szCs w:val="24"/>
          <w:lang w:val="en-US"/>
        </w:rPr>
        <w:t>,</w:t>
      </w:r>
      <w:r w:rsidR="00626C19" w:rsidRPr="006B1F16">
        <w:rPr>
          <w:rFonts w:ascii="Times New Roman" w:hAnsi="Times New Roman" w:cs="Times New Roman"/>
          <w:noProof/>
          <w:sz w:val="24"/>
          <w:szCs w:val="24"/>
          <w:lang w:val="en-US"/>
        </w:rPr>
        <w:t xml:space="preserve"> </w:t>
      </w:r>
      <w:r w:rsidR="008A43C6">
        <w:rPr>
          <w:rFonts w:ascii="Times New Roman" w:hAnsi="Times New Roman" w:cs="Times New Roman"/>
          <w:noProof/>
          <w:sz w:val="24"/>
          <w:szCs w:val="24"/>
          <w:lang w:val="en-US"/>
        </w:rPr>
        <w:t xml:space="preserve">a number of </w:t>
      </w:r>
      <w:r w:rsidR="00626C19" w:rsidRPr="006B1F16">
        <w:rPr>
          <w:rFonts w:ascii="Times New Roman" w:hAnsi="Times New Roman" w:cs="Times New Roman"/>
          <w:noProof/>
          <w:sz w:val="24"/>
          <w:szCs w:val="24"/>
          <w:lang w:val="en-US"/>
        </w:rPr>
        <w:t>acti</w:t>
      </w:r>
      <w:r w:rsidR="008A43C6">
        <w:rPr>
          <w:rFonts w:ascii="Times New Roman" w:hAnsi="Times New Roman" w:cs="Times New Roman"/>
          <w:noProof/>
          <w:sz w:val="24"/>
          <w:szCs w:val="24"/>
          <w:lang w:val="en-US"/>
        </w:rPr>
        <w:t xml:space="preserve">ons </w:t>
      </w:r>
      <w:r w:rsidR="00626C19" w:rsidRPr="006B1F16">
        <w:rPr>
          <w:rFonts w:ascii="Times New Roman" w:hAnsi="Times New Roman" w:cs="Times New Roman"/>
          <w:noProof/>
          <w:sz w:val="24"/>
          <w:szCs w:val="24"/>
          <w:lang w:val="en-US"/>
        </w:rPr>
        <w:t>financed from the 11</w:t>
      </w:r>
      <w:r w:rsidR="00F31761" w:rsidRPr="00CA2BF5">
        <w:rPr>
          <w:rFonts w:ascii="Times New Roman" w:hAnsi="Times New Roman" w:cs="Times New Roman"/>
          <w:noProof/>
          <w:sz w:val="24"/>
          <w:szCs w:val="24"/>
          <w:vertAlign w:val="superscript"/>
          <w:lang w:val="en-US"/>
        </w:rPr>
        <w:t>th</w:t>
      </w:r>
      <w:r w:rsidR="00F31761">
        <w:rPr>
          <w:rFonts w:ascii="Times New Roman" w:hAnsi="Times New Roman" w:cs="Times New Roman"/>
          <w:noProof/>
          <w:sz w:val="24"/>
          <w:szCs w:val="24"/>
          <w:lang w:val="en-US"/>
        </w:rPr>
        <w:t xml:space="preserve"> </w:t>
      </w:r>
      <w:r w:rsidR="004651C9">
        <w:rPr>
          <w:rFonts w:ascii="Times New Roman" w:hAnsi="Times New Roman" w:cs="Times New Roman"/>
          <w:noProof/>
          <w:sz w:val="24"/>
          <w:szCs w:val="24"/>
          <w:lang w:val="en-US"/>
        </w:rPr>
        <w:t xml:space="preserve"> European Development Fund </w:t>
      </w:r>
      <w:r w:rsidR="00626C19" w:rsidRPr="006B1F16">
        <w:rPr>
          <w:rFonts w:ascii="Times New Roman" w:hAnsi="Times New Roman" w:cs="Times New Roman"/>
          <w:noProof/>
          <w:sz w:val="24"/>
          <w:szCs w:val="24"/>
          <w:lang w:val="en-US"/>
        </w:rPr>
        <w:t xml:space="preserve"> under the previous OCT Decision </w:t>
      </w:r>
      <w:r w:rsidR="004E38DB">
        <w:rPr>
          <w:rFonts w:ascii="Times New Roman" w:hAnsi="Times New Roman" w:cs="Times New Roman"/>
          <w:noProof/>
          <w:sz w:val="24"/>
          <w:szCs w:val="24"/>
          <w:lang w:val="en-US"/>
        </w:rPr>
        <w:t xml:space="preserve">have </w:t>
      </w:r>
      <w:r w:rsidR="004651C9">
        <w:rPr>
          <w:rFonts w:ascii="Times New Roman" w:hAnsi="Times New Roman" w:cs="Times New Roman"/>
          <w:noProof/>
          <w:sz w:val="24"/>
          <w:szCs w:val="24"/>
          <w:lang w:val="en-US"/>
        </w:rPr>
        <w:t>continued to be</w:t>
      </w:r>
      <w:r w:rsidR="008A43C6">
        <w:rPr>
          <w:rFonts w:ascii="Times New Roman" w:hAnsi="Times New Roman" w:cs="Times New Roman"/>
          <w:noProof/>
          <w:sz w:val="24"/>
          <w:szCs w:val="24"/>
          <w:lang w:val="en-US"/>
        </w:rPr>
        <w:t xml:space="preserve"> implemented</w:t>
      </w:r>
      <w:r w:rsidR="00626C19" w:rsidRPr="006B1F16">
        <w:rPr>
          <w:rFonts w:ascii="Times New Roman" w:hAnsi="Times New Roman" w:cs="Times New Roman"/>
          <w:noProof/>
          <w:sz w:val="24"/>
          <w:szCs w:val="24"/>
          <w:lang w:val="en-US"/>
        </w:rPr>
        <w:t>.</w:t>
      </w:r>
      <w:r w:rsidR="00626C19">
        <w:rPr>
          <w:rFonts w:ascii="Times New Roman" w:hAnsi="Times New Roman" w:cs="Times New Roman"/>
          <w:noProof/>
          <w:sz w:val="24"/>
          <w:szCs w:val="24"/>
          <w:lang w:val="en-US"/>
        </w:rPr>
        <w:t xml:space="preserve"> </w:t>
      </w:r>
    </w:p>
    <w:p w:rsidR="004651C9" w:rsidRDefault="004651C9" w:rsidP="008849D4">
      <w:pPr>
        <w:autoSpaceDE w:val="0"/>
        <w:autoSpaceDN w:val="0"/>
        <w:adjustRightInd w:val="0"/>
        <w:spacing w:after="0" w:line="240" w:lineRule="auto"/>
        <w:jc w:val="both"/>
        <w:rPr>
          <w:rFonts w:ascii="Times New Roman" w:hAnsi="Times New Roman" w:cs="Times New Roman"/>
          <w:noProof/>
          <w:sz w:val="24"/>
          <w:szCs w:val="24"/>
          <w:lang w:val="en-US"/>
        </w:rPr>
      </w:pPr>
    </w:p>
    <w:p w:rsidR="004651C9" w:rsidRDefault="004651C9" w:rsidP="008849D4">
      <w:pPr>
        <w:autoSpaceDE w:val="0"/>
        <w:autoSpaceDN w:val="0"/>
        <w:adjustRightInd w:val="0"/>
        <w:spacing w:after="0" w:line="240" w:lineRule="auto"/>
        <w:jc w:val="both"/>
        <w:rPr>
          <w:rFonts w:ascii="Times New Roman" w:hAnsi="Times New Roman" w:cs="Times New Roman"/>
          <w:noProof/>
          <w:sz w:val="24"/>
          <w:szCs w:val="24"/>
          <w:lang w:val="en-US"/>
        </w:rPr>
      </w:pPr>
    </w:p>
    <w:p w:rsidR="008849D4" w:rsidRPr="004651C9" w:rsidRDefault="00626C19" w:rsidP="008849D4">
      <w:pPr>
        <w:autoSpaceDE w:val="0"/>
        <w:autoSpaceDN w:val="0"/>
        <w:adjustRightInd w:val="0"/>
        <w:spacing w:after="0" w:line="240" w:lineRule="auto"/>
        <w:jc w:val="both"/>
        <w:rPr>
          <w:rFonts w:ascii="Times New Roman" w:hAnsi="Times New Roman" w:cs="Times New Roman"/>
          <w:b/>
          <w:noProof/>
          <w:sz w:val="24"/>
          <w:szCs w:val="24"/>
          <w:lang w:val="en-US"/>
        </w:rPr>
      </w:pPr>
      <w:r w:rsidRPr="004651C9">
        <w:rPr>
          <w:rFonts w:ascii="Times New Roman" w:hAnsi="Times New Roman" w:cs="Times New Roman"/>
          <w:b/>
          <w:noProof/>
          <w:sz w:val="24"/>
          <w:szCs w:val="24"/>
          <w:lang w:val="en-US"/>
        </w:rPr>
        <w:t>This report therefore covers activities and support provid</w:t>
      </w:r>
      <w:r w:rsidR="004651C9">
        <w:rPr>
          <w:rFonts w:ascii="Times New Roman" w:hAnsi="Times New Roman" w:cs="Times New Roman"/>
          <w:b/>
          <w:noProof/>
          <w:sz w:val="24"/>
          <w:szCs w:val="24"/>
          <w:lang w:val="en-US"/>
        </w:rPr>
        <w:t>ed under both Decisions in 2021:</w:t>
      </w:r>
    </w:p>
    <w:p w:rsidR="00626C19" w:rsidRDefault="00626C19" w:rsidP="008849D4">
      <w:pPr>
        <w:autoSpaceDE w:val="0"/>
        <w:autoSpaceDN w:val="0"/>
        <w:adjustRightInd w:val="0"/>
        <w:spacing w:after="0" w:line="240" w:lineRule="auto"/>
        <w:jc w:val="both"/>
        <w:rPr>
          <w:rFonts w:ascii="Times New Roman" w:hAnsi="Times New Roman" w:cs="Times New Roman"/>
          <w:noProof/>
          <w:sz w:val="24"/>
          <w:szCs w:val="24"/>
          <w:lang w:val="en-US"/>
        </w:rPr>
      </w:pPr>
    </w:p>
    <w:p w:rsidR="006B1F16" w:rsidRPr="004651C9" w:rsidRDefault="006B1F16" w:rsidP="004651C9">
      <w:pPr>
        <w:pStyle w:val="ListParagraph"/>
        <w:numPr>
          <w:ilvl w:val="0"/>
          <w:numId w:val="16"/>
        </w:numPr>
        <w:autoSpaceDE w:val="0"/>
        <w:autoSpaceDN w:val="0"/>
        <w:adjustRightInd w:val="0"/>
        <w:spacing w:after="0" w:line="240" w:lineRule="auto"/>
        <w:jc w:val="both"/>
        <w:rPr>
          <w:rFonts w:ascii="Times New Roman" w:hAnsi="Times New Roman" w:cs="Times New Roman"/>
          <w:noProof/>
          <w:sz w:val="24"/>
          <w:szCs w:val="24"/>
          <w:lang w:val="en-US"/>
        </w:rPr>
      </w:pPr>
      <w:r w:rsidRPr="004651C9">
        <w:rPr>
          <w:rFonts w:ascii="Times New Roman" w:hAnsi="Times New Roman" w:cs="Times New Roman"/>
          <w:b/>
          <w:noProof/>
          <w:sz w:val="24"/>
          <w:szCs w:val="24"/>
          <w:lang w:val="en-US"/>
        </w:rPr>
        <w:t>Part I</w:t>
      </w:r>
      <w:r w:rsidRPr="004651C9">
        <w:rPr>
          <w:rFonts w:ascii="Times New Roman" w:hAnsi="Times New Roman" w:cs="Times New Roman"/>
          <w:noProof/>
          <w:sz w:val="24"/>
          <w:szCs w:val="24"/>
          <w:lang w:val="en-US"/>
        </w:rPr>
        <w:t xml:space="preserve"> of this report highlights progress achieved </w:t>
      </w:r>
      <w:r w:rsidR="00626C19" w:rsidRPr="004651C9">
        <w:rPr>
          <w:rFonts w:ascii="Times New Roman" w:hAnsi="Times New Roman" w:cs="Times New Roman"/>
          <w:noProof/>
          <w:sz w:val="24"/>
          <w:szCs w:val="24"/>
          <w:lang w:val="en-US"/>
        </w:rPr>
        <w:t>under the ‘</w:t>
      </w:r>
      <w:r w:rsidR="004651C9" w:rsidRPr="004651C9">
        <w:rPr>
          <w:rFonts w:ascii="Times New Roman" w:hAnsi="Times New Roman" w:cs="Times New Roman"/>
          <w:noProof/>
          <w:sz w:val="24"/>
          <w:szCs w:val="24"/>
          <w:lang w:val="en-US"/>
        </w:rPr>
        <w:t xml:space="preserve">former’ </w:t>
      </w:r>
      <w:r w:rsidR="00626C19" w:rsidRPr="004651C9">
        <w:rPr>
          <w:rFonts w:ascii="Times New Roman" w:hAnsi="Times New Roman" w:cs="Times New Roman"/>
          <w:noProof/>
          <w:sz w:val="24"/>
          <w:szCs w:val="24"/>
          <w:lang w:val="en-US"/>
        </w:rPr>
        <w:t>Decision and the 11</w:t>
      </w:r>
      <w:r w:rsidR="00327674" w:rsidRPr="004651C9">
        <w:rPr>
          <w:rFonts w:ascii="Times New Roman" w:hAnsi="Times New Roman" w:cs="Times New Roman"/>
          <w:noProof/>
          <w:sz w:val="24"/>
          <w:szCs w:val="24"/>
          <w:vertAlign w:val="superscript"/>
          <w:lang w:val="en-US"/>
        </w:rPr>
        <w:t>th</w:t>
      </w:r>
      <w:r w:rsidR="00327674" w:rsidRPr="004651C9">
        <w:rPr>
          <w:rFonts w:ascii="Times New Roman" w:hAnsi="Times New Roman" w:cs="Times New Roman"/>
          <w:noProof/>
          <w:sz w:val="24"/>
          <w:szCs w:val="24"/>
          <w:lang w:val="en-US"/>
        </w:rPr>
        <w:t xml:space="preserve"> </w:t>
      </w:r>
      <w:r w:rsidR="00626C19" w:rsidRPr="004651C9">
        <w:rPr>
          <w:rFonts w:ascii="Times New Roman" w:hAnsi="Times New Roman" w:cs="Times New Roman"/>
          <w:noProof/>
          <w:sz w:val="24"/>
          <w:szCs w:val="24"/>
          <w:lang w:val="en-US"/>
        </w:rPr>
        <w:t xml:space="preserve"> EDF </w:t>
      </w:r>
      <w:r w:rsidRPr="004651C9">
        <w:rPr>
          <w:rFonts w:ascii="Times New Roman" w:hAnsi="Times New Roman" w:cs="Times New Roman"/>
          <w:noProof/>
          <w:sz w:val="24"/>
          <w:szCs w:val="24"/>
          <w:lang w:val="en-US"/>
        </w:rPr>
        <w:t xml:space="preserve">in 2021. </w:t>
      </w:r>
    </w:p>
    <w:p w:rsidR="008849D4" w:rsidRDefault="008849D4" w:rsidP="00075844">
      <w:pPr>
        <w:autoSpaceDE w:val="0"/>
        <w:autoSpaceDN w:val="0"/>
        <w:adjustRightInd w:val="0"/>
        <w:spacing w:after="0" w:line="240" w:lineRule="auto"/>
        <w:jc w:val="both"/>
        <w:rPr>
          <w:rFonts w:ascii="Times New Roman" w:hAnsi="Times New Roman" w:cs="Times New Roman"/>
          <w:noProof/>
          <w:sz w:val="24"/>
          <w:szCs w:val="24"/>
          <w:lang w:val="en-US"/>
        </w:rPr>
      </w:pPr>
    </w:p>
    <w:p w:rsidR="008849D4" w:rsidRPr="004651C9" w:rsidRDefault="0008495B" w:rsidP="004651C9">
      <w:pPr>
        <w:pStyle w:val="ListParagraph"/>
        <w:numPr>
          <w:ilvl w:val="0"/>
          <w:numId w:val="16"/>
        </w:numPr>
        <w:autoSpaceDE w:val="0"/>
        <w:autoSpaceDN w:val="0"/>
        <w:adjustRightInd w:val="0"/>
        <w:spacing w:after="0" w:line="240" w:lineRule="auto"/>
        <w:jc w:val="both"/>
        <w:rPr>
          <w:rFonts w:ascii="Times New Roman" w:hAnsi="Times New Roman" w:cs="Times New Roman"/>
          <w:noProof/>
          <w:sz w:val="24"/>
          <w:szCs w:val="24"/>
          <w:lang w:val="en-US"/>
        </w:rPr>
      </w:pPr>
      <w:r w:rsidRPr="004651C9">
        <w:rPr>
          <w:rFonts w:ascii="Times New Roman" w:hAnsi="Times New Roman" w:cs="Times New Roman"/>
          <w:b/>
          <w:noProof/>
          <w:sz w:val="24"/>
          <w:szCs w:val="24"/>
          <w:lang w:val="en-US"/>
        </w:rPr>
        <w:t>P</w:t>
      </w:r>
      <w:r w:rsidR="008367CD" w:rsidRPr="004651C9">
        <w:rPr>
          <w:rFonts w:ascii="Times New Roman" w:hAnsi="Times New Roman" w:cs="Times New Roman"/>
          <w:b/>
          <w:noProof/>
          <w:sz w:val="24"/>
          <w:szCs w:val="24"/>
          <w:lang w:val="en-US"/>
        </w:rPr>
        <w:t>art I</w:t>
      </w:r>
      <w:r w:rsidR="006B1F16" w:rsidRPr="004651C9">
        <w:rPr>
          <w:rFonts w:ascii="Times New Roman" w:hAnsi="Times New Roman" w:cs="Times New Roman"/>
          <w:b/>
          <w:noProof/>
          <w:sz w:val="24"/>
          <w:szCs w:val="24"/>
          <w:lang w:val="en-US"/>
        </w:rPr>
        <w:t>I</w:t>
      </w:r>
      <w:r w:rsidR="008367CD" w:rsidRPr="004651C9">
        <w:rPr>
          <w:rFonts w:ascii="Times New Roman" w:hAnsi="Times New Roman" w:cs="Times New Roman"/>
          <w:noProof/>
          <w:sz w:val="24"/>
          <w:szCs w:val="24"/>
          <w:lang w:val="en-US"/>
        </w:rPr>
        <w:t xml:space="preserve"> of </w:t>
      </w:r>
      <w:r w:rsidR="00075844" w:rsidRPr="004651C9">
        <w:rPr>
          <w:rFonts w:ascii="Times New Roman" w:hAnsi="Times New Roman" w:cs="Times New Roman"/>
          <w:noProof/>
          <w:sz w:val="24"/>
          <w:szCs w:val="24"/>
          <w:lang w:val="en-US"/>
        </w:rPr>
        <w:t xml:space="preserve">this report highlights progress achieved in the implementation of </w:t>
      </w:r>
      <w:r w:rsidR="004651C9" w:rsidRPr="004651C9">
        <w:rPr>
          <w:rFonts w:ascii="Times New Roman" w:hAnsi="Times New Roman" w:cs="Times New Roman"/>
          <w:noProof/>
          <w:sz w:val="24"/>
          <w:szCs w:val="24"/>
          <w:lang w:val="en-US"/>
        </w:rPr>
        <w:t>th</w:t>
      </w:r>
      <w:r w:rsidR="00BE3C90">
        <w:rPr>
          <w:rFonts w:ascii="Times New Roman" w:hAnsi="Times New Roman" w:cs="Times New Roman"/>
          <w:noProof/>
          <w:sz w:val="24"/>
          <w:szCs w:val="24"/>
          <w:lang w:val="en-US"/>
        </w:rPr>
        <w:t>e</w:t>
      </w:r>
      <w:r w:rsidR="004651C9" w:rsidRPr="004651C9">
        <w:rPr>
          <w:rFonts w:ascii="Times New Roman" w:hAnsi="Times New Roman" w:cs="Times New Roman"/>
          <w:noProof/>
          <w:sz w:val="24"/>
          <w:szCs w:val="24"/>
          <w:lang w:val="en-US"/>
        </w:rPr>
        <w:t xml:space="preserve"> new Decision</w:t>
      </w:r>
      <w:r w:rsidR="00075844" w:rsidRPr="004651C9">
        <w:rPr>
          <w:rFonts w:ascii="Times New Roman" w:hAnsi="Times New Roman" w:cs="Times New Roman"/>
          <w:noProof/>
          <w:sz w:val="24"/>
          <w:szCs w:val="24"/>
          <w:lang w:val="en-US"/>
        </w:rPr>
        <w:t xml:space="preserve"> </w:t>
      </w:r>
      <w:r w:rsidR="00CC0CBF" w:rsidRPr="004651C9">
        <w:rPr>
          <w:rFonts w:ascii="Times New Roman" w:hAnsi="Times New Roman" w:cs="Times New Roman"/>
          <w:noProof/>
          <w:sz w:val="24"/>
          <w:szCs w:val="24"/>
          <w:lang w:val="en-US"/>
        </w:rPr>
        <w:t xml:space="preserve">from </w:t>
      </w:r>
      <w:r w:rsidRPr="004651C9">
        <w:rPr>
          <w:rFonts w:ascii="Times New Roman" w:hAnsi="Times New Roman" w:cs="Times New Roman"/>
          <w:noProof/>
          <w:sz w:val="24"/>
          <w:szCs w:val="24"/>
          <w:lang w:val="en-US"/>
        </w:rPr>
        <w:t>its adoption in October</w:t>
      </w:r>
      <w:r w:rsidR="00CC0CBF" w:rsidRPr="004651C9">
        <w:rPr>
          <w:rFonts w:ascii="Times New Roman" w:hAnsi="Times New Roman" w:cs="Times New Roman"/>
          <w:noProof/>
          <w:sz w:val="24"/>
          <w:szCs w:val="24"/>
          <w:lang w:val="en-US"/>
        </w:rPr>
        <w:t xml:space="preserve"> until the end of the year</w:t>
      </w:r>
      <w:r w:rsidR="004651C9" w:rsidRPr="004651C9">
        <w:rPr>
          <w:rFonts w:ascii="Times New Roman" w:hAnsi="Times New Roman" w:cs="Times New Roman"/>
          <w:noProof/>
          <w:sz w:val="24"/>
          <w:szCs w:val="24"/>
          <w:lang w:val="en-US"/>
        </w:rPr>
        <w:t>, in compliance with its Article 86.</w:t>
      </w:r>
    </w:p>
    <w:p w:rsidR="00E47BF4" w:rsidRDefault="00E47BF4" w:rsidP="00075844">
      <w:pPr>
        <w:autoSpaceDE w:val="0"/>
        <w:autoSpaceDN w:val="0"/>
        <w:adjustRightInd w:val="0"/>
        <w:spacing w:after="0" w:line="240" w:lineRule="auto"/>
        <w:jc w:val="both"/>
        <w:rPr>
          <w:rFonts w:ascii="Times New Roman" w:hAnsi="Times New Roman" w:cs="Times New Roman"/>
          <w:noProof/>
          <w:sz w:val="24"/>
          <w:szCs w:val="24"/>
          <w:lang w:val="en-US"/>
        </w:rPr>
      </w:pPr>
    </w:p>
    <w:p w:rsidR="00E47BF4" w:rsidRPr="004651C9" w:rsidRDefault="00E47BF4" w:rsidP="004651C9">
      <w:pPr>
        <w:pStyle w:val="ListParagraph"/>
        <w:numPr>
          <w:ilvl w:val="0"/>
          <w:numId w:val="16"/>
        </w:numPr>
        <w:autoSpaceDE w:val="0"/>
        <w:autoSpaceDN w:val="0"/>
        <w:adjustRightInd w:val="0"/>
        <w:spacing w:after="0" w:line="240" w:lineRule="auto"/>
        <w:jc w:val="both"/>
        <w:rPr>
          <w:rFonts w:ascii="Times New Roman" w:hAnsi="Times New Roman" w:cs="Times New Roman"/>
          <w:noProof/>
          <w:sz w:val="24"/>
          <w:szCs w:val="24"/>
          <w:lang w:val="en-US"/>
        </w:rPr>
      </w:pPr>
      <w:r w:rsidRPr="004651C9">
        <w:rPr>
          <w:rFonts w:ascii="Times New Roman" w:hAnsi="Times New Roman" w:cs="Times New Roman"/>
          <w:b/>
          <w:noProof/>
          <w:sz w:val="24"/>
          <w:szCs w:val="24"/>
          <w:lang w:val="en-US"/>
        </w:rPr>
        <w:t>Part III</w:t>
      </w:r>
      <w:r w:rsidRPr="004651C9">
        <w:rPr>
          <w:rFonts w:ascii="Times New Roman" w:hAnsi="Times New Roman" w:cs="Times New Roman"/>
          <w:noProof/>
          <w:sz w:val="24"/>
          <w:szCs w:val="24"/>
          <w:lang w:val="en-US"/>
        </w:rPr>
        <w:t xml:space="preserve"> highlights progress achieved in EU-OCT dialogue in 2021.</w:t>
      </w:r>
    </w:p>
    <w:p w:rsidR="008849D4" w:rsidRDefault="008849D4" w:rsidP="00075844">
      <w:pPr>
        <w:autoSpaceDE w:val="0"/>
        <w:autoSpaceDN w:val="0"/>
        <w:adjustRightInd w:val="0"/>
        <w:spacing w:after="0" w:line="240" w:lineRule="auto"/>
        <w:jc w:val="both"/>
        <w:rPr>
          <w:rFonts w:ascii="Times New Roman" w:hAnsi="Times New Roman" w:cs="Times New Roman"/>
          <w:noProof/>
          <w:sz w:val="24"/>
          <w:szCs w:val="24"/>
          <w:lang w:val="en-US"/>
        </w:rPr>
      </w:pPr>
    </w:p>
    <w:p w:rsidR="00075844" w:rsidRDefault="00075844" w:rsidP="00075844">
      <w:pPr>
        <w:autoSpaceDE w:val="0"/>
        <w:autoSpaceDN w:val="0"/>
        <w:adjustRightInd w:val="0"/>
        <w:spacing w:after="0" w:line="240" w:lineRule="auto"/>
        <w:jc w:val="both"/>
        <w:rPr>
          <w:rFonts w:ascii="Times New Roman" w:hAnsi="Times New Roman" w:cs="Times New Roman"/>
          <w:noProof/>
          <w:sz w:val="24"/>
          <w:szCs w:val="24"/>
          <w:lang w:val="en-US"/>
        </w:rPr>
      </w:pPr>
    </w:p>
    <w:p w:rsidR="00E377E9" w:rsidRPr="00631EBA" w:rsidRDefault="00E377E9" w:rsidP="00E377E9">
      <w:pPr>
        <w:pStyle w:val="ListParagraph"/>
        <w:numPr>
          <w:ilvl w:val="0"/>
          <w:numId w:val="13"/>
        </w:numPr>
        <w:autoSpaceDE w:val="0"/>
        <w:autoSpaceDN w:val="0"/>
        <w:adjustRightInd w:val="0"/>
        <w:spacing w:after="0" w:line="240" w:lineRule="auto"/>
        <w:jc w:val="both"/>
        <w:rPr>
          <w:rFonts w:ascii="Times New Roman" w:hAnsi="Times New Roman" w:cs="Times New Roman"/>
          <w:b/>
          <w:bCs/>
          <w:noProof/>
          <w:sz w:val="24"/>
          <w:szCs w:val="24"/>
          <w:lang w:val="en-US"/>
        </w:rPr>
      </w:pPr>
      <w:r w:rsidRPr="00631EBA">
        <w:rPr>
          <w:rFonts w:ascii="Times New Roman" w:hAnsi="Times New Roman" w:cs="Times New Roman"/>
          <w:b/>
          <w:bCs/>
          <w:noProof/>
          <w:sz w:val="24"/>
          <w:szCs w:val="24"/>
          <w:lang w:val="en-US"/>
        </w:rPr>
        <w:t>COOPERATION UNDER THE 11</w:t>
      </w:r>
      <w:r w:rsidRPr="00631EBA">
        <w:rPr>
          <w:rFonts w:ascii="Times New Roman" w:hAnsi="Times New Roman" w:cs="Times New Roman"/>
          <w:b/>
          <w:bCs/>
          <w:noProof/>
          <w:sz w:val="24"/>
          <w:szCs w:val="24"/>
          <w:vertAlign w:val="superscript"/>
          <w:lang w:val="en-US"/>
        </w:rPr>
        <w:t>th</w:t>
      </w:r>
      <w:r w:rsidR="004651C9">
        <w:rPr>
          <w:rFonts w:ascii="Times New Roman" w:hAnsi="Times New Roman" w:cs="Times New Roman"/>
          <w:b/>
          <w:bCs/>
          <w:noProof/>
          <w:sz w:val="24"/>
          <w:szCs w:val="24"/>
          <w:lang w:val="en-US"/>
        </w:rPr>
        <w:t xml:space="preserve"> EDF for </w:t>
      </w:r>
      <w:r w:rsidRPr="00631EBA">
        <w:rPr>
          <w:rFonts w:ascii="Times New Roman" w:hAnsi="Times New Roman" w:cs="Times New Roman"/>
          <w:b/>
          <w:bCs/>
          <w:noProof/>
          <w:sz w:val="24"/>
          <w:szCs w:val="24"/>
          <w:lang w:val="en-US"/>
        </w:rPr>
        <w:t>OCT</w:t>
      </w:r>
      <w:r w:rsidR="004651C9">
        <w:rPr>
          <w:rFonts w:ascii="Times New Roman" w:hAnsi="Times New Roman" w:cs="Times New Roman"/>
          <w:b/>
          <w:bCs/>
          <w:noProof/>
          <w:sz w:val="24"/>
          <w:szCs w:val="24"/>
          <w:lang w:val="en-US"/>
        </w:rPr>
        <w:t>s</w:t>
      </w:r>
      <w:r w:rsidRPr="00631EBA">
        <w:rPr>
          <w:rFonts w:ascii="Times New Roman" w:hAnsi="Times New Roman" w:cs="Times New Roman"/>
          <w:b/>
          <w:bCs/>
          <w:noProof/>
          <w:sz w:val="24"/>
          <w:szCs w:val="24"/>
          <w:lang w:val="en-US"/>
        </w:rPr>
        <w:t xml:space="preserve"> </w:t>
      </w:r>
      <w:r w:rsidR="00626C19">
        <w:rPr>
          <w:rFonts w:ascii="Times New Roman" w:hAnsi="Times New Roman" w:cs="Times New Roman"/>
          <w:b/>
          <w:bCs/>
          <w:noProof/>
          <w:sz w:val="24"/>
          <w:szCs w:val="24"/>
          <w:lang w:val="en-US"/>
        </w:rPr>
        <w:t>IN</w:t>
      </w:r>
      <w:r w:rsidRPr="00631EBA">
        <w:rPr>
          <w:rFonts w:ascii="Times New Roman" w:hAnsi="Times New Roman" w:cs="Times New Roman"/>
          <w:b/>
          <w:bCs/>
          <w:noProof/>
          <w:sz w:val="24"/>
          <w:szCs w:val="24"/>
          <w:lang w:val="en-US"/>
        </w:rPr>
        <w:t xml:space="preserve"> 2021</w:t>
      </w:r>
    </w:p>
    <w:p w:rsidR="00E377E9" w:rsidRPr="00631EBA" w:rsidRDefault="00E377E9" w:rsidP="00E377E9">
      <w:pPr>
        <w:autoSpaceDE w:val="0"/>
        <w:autoSpaceDN w:val="0"/>
        <w:adjustRightInd w:val="0"/>
        <w:spacing w:after="0" w:line="240" w:lineRule="auto"/>
        <w:jc w:val="both"/>
        <w:rPr>
          <w:rFonts w:ascii="Times New Roman" w:hAnsi="Times New Roman" w:cs="Times New Roman"/>
          <w:b/>
          <w:bCs/>
          <w:noProof/>
          <w:sz w:val="24"/>
          <w:szCs w:val="24"/>
          <w:u w:val="single"/>
          <w:lang w:val="en-US"/>
        </w:rPr>
      </w:pPr>
    </w:p>
    <w:p w:rsidR="00E377E9" w:rsidRPr="00631EBA" w:rsidRDefault="00E377E9" w:rsidP="00E377E9">
      <w:pPr>
        <w:autoSpaceDE w:val="0"/>
        <w:autoSpaceDN w:val="0"/>
        <w:adjustRightInd w:val="0"/>
        <w:spacing w:after="0" w:line="240" w:lineRule="auto"/>
        <w:jc w:val="both"/>
        <w:rPr>
          <w:rFonts w:ascii="Times New Roman" w:hAnsi="Times New Roman" w:cs="Times New Roman"/>
          <w:b/>
          <w:bCs/>
          <w:noProof/>
          <w:sz w:val="24"/>
          <w:szCs w:val="24"/>
          <w:u w:val="single"/>
          <w:lang w:val="en-US"/>
        </w:rPr>
      </w:pPr>
      <w:r w:rsidRPr="00631EBA">
        <w:rPr>
          <w:rFonts w:ascii="Times New Roman" w:hAnsi="Times New Roman" w:cs="Times New Roman"/>
          <w:b/>
          <w:bCs/>
          <w:noProof/>
          <w:sz w:val="24"/>
          <w:szCs w:val="24"/>
          <w:u w:val="single"/>
          <w:lang w:val="en-US"/>
        </w:rPr>
        <w:t>Financial Resources under the 11</w:t>
      </w:r>
      <w:r w:rsidRPr="00631EBA">
        <w:rPr>
          <w:rFonts w:ascii="Times New Roman" w:hAnsi="Times New Roman" w:cs="Times New Roman"/>
          <w:b/>
          <w:bCs/>
          <w:noProof/>
          <w:sz w:val="24"/>
          <w:szCs w:val="24"/>
          <w:u w:val="single"/>
          <w:vertAlign w:val="superscript"/>
          <w:lang w:val="en-US"/>
        </w:rPr>
        <w:t>th</w:t>
      </w:r>
      <w:r w:rsidR="004651C9">
        <w:rPr>
          <w:rFonts w:ascii="Times New Roman" w:hAnsi="Times New Roman" w:cs="Times New Roman"/>
          <w:b/>
          <w:bCs/>
          <w:noProof/>
          <w:sz w:val="24"/>
          <w:szCs w:val="24"/>
          <w:u w:val="single"/>
          <w:lang w:val="en-US"/>
        </w:rPr>
        <w:t xml:space="preserve"> EDF for </w:t>
      </w:r>
      <w:r w:rsidRPr="00631EBA">
        <w:rPr>
          <w:rFonts w:ascii="Times New Roman" w:hAnsi="Times New Roman" w:cs="Times New Roman"/>
          <w:b/>
          <w:bCs/>
          <w:noProof/>
          <w:sz w:val="24"/>
          <w:szCs w:val="24"/>
          <w:u w:val="single"/>
          <w:lang w:val="en-US"/>
        </w:rPr>
        <w:t>OCT</w:t>
      </w:r>
      <w:r w:rsidR="004651C9">
        <w:rPr>
          <w:rFonts w:ascii="Times New Roman" w:hAnsi="Times New Roman" w:cs="Times New Roman"/>
          <w:b/>
          <w:bCs/>
          <w:noProof/>
          <w:sz w:val="24"/>
          <w:szCs w:val="24"/>
          <w:u w:val="single"/>
          <w:lang w:val="en-US"/>
        </w:rPr>
        <w:t>s (former Decision)</w:t>
      </w:r>
      <w:r w:rsidRPr="00631EBA">
        <w:rPr>
          <w:rFonts w:ascii="Times New Roman" w:hAnsi="Times New Roman" w:cs="Times New Roman"/>
          <w:b/>
          <w:bCs/>
          <w:noProof/>
          <w:sz w:val="24"/>
          <w:szCs w:val="24"/>
          <w:u w:val="single"/>
          <w:lang w:val="en-US"/>
        </w:rPr>
        <w:t xml:space="preserve"> </w:t>
      </w:r>
    </w:p>
    <w:p w:rsidR="00E377E9" w:rsidRPr="00631EBA" w:rsidRDefault="00E377E9" w:rsidP="00E377E9">
      <w:pPr>
        <w:autoSpaceDE w:val="0"/>
        <w:autoSpaceDN w:val="0"/>
        <w:adjustRightInd w:val="0"/>
        <w:spacing w:after="0" w:line="240" w:lineRule="auto"/>
        <w:jc w:val="both"/>
        <w:rPr>
          <w:rFonts w:ascii="Times New Roman" w:hAnsi="Times New Roman" w:cs="Times New Roman"/>
          <w:noProof/>
          <w:sz w:val="24"/>
          <w:szCs w:val="24"/>
          <w:lang w:val="en-US"/>
        </w:rPr>
      </w:pPr>
    </w:p>
    <w:p w:rsidR="00E377E9" w:rsidRPr="00631EBA" w:rsidRDefault="00E377E9" w:rsidP="00E377E9">
      <w:pPr>
        <w:autoSpaceDE w:val="0"/>
        <w:autoSpaceDN w:val="0"/>
        <w:adjustRightInd w:val="0"/>
        <w:spacing w:after="0" w:line="240" w:lineRule="auto"/>
        <w:jc w:val="both"/>
        <w:rPr>
          <w:rFonts w:ascii="Times New Roman" w:hAnsi="Times New Roman" w:cs="Times New Roman"/>
          <w:noProof/>
          <w:sz w:val="24"/>
          <w:szCs w:val="24"/>
          <w:lang w:val="en-US"/>
        </w:rPr>
      </w:pPr>
      <w:r w:rsidRPr="00631EBA">
        <w:rPr>
          <w:rFonts w:ascii="Times New Roman" w:hAnsi="Times New Roman" w:cs="Times New Roman"/>
          <w:noProof/>
          <w:sz w:val="24"/>
          <w:szCs w:val="24"/>
          <w:lang w:val="en-US"/>
        </w:rPr>
        <w:t>The 11</w:t>
      </w:r>
      <w:r w:rsidRPr="00631EBA">
        <w:rPr>
          <w:rFonts w:ascii="Times New Roman" w:hAnsi="Times New Roman" w:cs="Times New Roman"/>
          <w:noProof/>
          <w:sz w:val="24"/>
          <w:szCs w:val="24"/>
          <w:vertAlign w:val="superscript"/>
          <w:lang w:val="en-US"/>
        </w:rPr>
        <w:t>th</w:t>
      </w:r>
      <w:r w:rsidRPr="00631EBA">
        <w:rPr>
          <w:rFonts w:ascii="Times New Roman" w:hAnsi="Times New Roman" w:cs="Times New Roman"/>
          <w:noProof/>
          <w:sz w:val="24"/>
          <w:szCs w:val="24"/>
          <w:lang w:val="en-US"/>
        </w:rPr>
        <w:t xml:space="preserve"> EDF resources available to OCTs in the period 2014-2020 were </w:t>
      </w:r>
      <w:r w:rsidR="008A43C6">
        <w:rPr>
          <w:rFonts w:ascii="Times New Roman" w:hAnsi="Times New Roman" w:cs="Times New Roman"/>
          <w:noProof/>
          <w:sz w:val="24"/>
          <w:szCs w:val="24"/>
          <w:lang w:val="en-US"/>
        </w:rPr>
        <w:t xml:space="preserve">allocated as follows in line with </w:t>
      </w:r>
      <w:r w:rsidRPr="00631EBA">
        <w:rPr>
          <w:rFonts w:ascii="Times New Roman" w:hAnsi="Times New Roman" w:cs="Times New Roman"/>
          <w:noProof/>
          <w:sz w:val="24"/>
          <w:szCs w:val="24"/>
          <w:lang w:val="en-US"/>
        </w:rPr>
        <w:t xml:space="preserve">Annex 2 of the former Overseas Association Decision: </w:t>
      </w:r>
    </w:p>
    <w:p w:rsidR="00631EBA" w:rsidRPr="00631EBA" w:rsidRDefault="00631EBA" w:rsidP="00631EBA">
      <w:pPr>
        <w:autoSpaceDE w:val="0"/>
        <w:autoSpaceDN w:val="0"/>
        <w:adjustRightInd w:val="0"/>
        <w:spacing w:after="120" w:line="240" w:lineRule="auto"/>
        <w:ind w:left="714"/>
        <w:jc w:val="both"/>
        <w:rPr>
          <w:rFonts w:ascii="Times New Roman" w:hAnsi="Times New Roman" w:cs="Times New Roman"/>
          <w:noProof/>
          <w:sz w:val="12"/>
          <w:szCs w:val="12"/>
          <w:lang w:val="en-US"/>
        </w:rPr>
      </w:pPr>
    </w:p>
    <w:p w:rsidR="00E377E9" w:rsidRPr="00631EBA" w:rsidRDefault="00E377E9" w:rsidP="00631EBA">
      <w:pPr>
        <w:numPr>
          <w:ilvl w:val="0"/>
          <w:numId w:val="1"/>
        </w:numPr>
        <w:autoSpaceDE w:val="0"/>
        <w:autoSpaceDN w:val="0"/>
        <w:adjustRightInd w:val="0"/>
        <w:spacing w:after="120" w:line="240" w:lineRule="auto"/>
        <w:ind w:left="714" w:hanging="357"/>
        <w:jc w:val="both"/>
        <w:rPr>
          <w:rFonts w:ascii="Times New Roman" w:hAnsi="Times New Roman" w:cs="Times New Roman"/>
          <w:noProof/>
          <w:sz w:val="24"/>
          <w:szCs w:val="24"/>
          <w:lang w:val="en-US"/>
        </w:rPr>
      </w:pPr>
      <w:r w:rsidRPr="00631EBA">
        <w:rPr>
          <w:rFonts w:ascii="Times New Roman" w:hAnsi="Times New Roman" w:cs="Times New Roman"/>
          <w:noProof/>
          <w:sz w:val="24"/>
          <w:szCs w:val="24"/>
          <w:lang w:val="en-US"/>
        </w:rPr>
        <w:t xml:space="preserve">EUR 229.5 million for territorial (bilateral) </w:t>
      </w:r>
      <w:r w:rsidR="008A43C6">
        <w:rPr>
          <w:rFonts w:ascii="Times New Roman" w:hAnsi="Times New Roman" w:cs="Times New Roman"/>
          <w:noProof/>
          <w:sz w:val="24"/>
          <w:szCs w:val="24"/>
          <w:lang w:val="en-US"/>
        </w:rPr>
        <w:t>cooperation</w:t>
      </w:r>
      <w:r w:rsidRPr="00631EBA">
        <w:rPr>
          <w:rFonts w:ascii="Times New Roman" w:hAnsi="Times New Roman" w:cs="Times New Roman"/>
          <w:noProof/>
          <w:sz w:val="24"/>
          <w:szCs w:val="24"/>
          <w:lang w:val="en-US"/>
        </w:rPr>
        <w:t xml:space="preserve">; </w:t>
      </w:r>
    </w:p>
    <w:p w:rsidR="00E377E9" w:rsidRPr="00631EBA" w:rsidRDefault="00E377E9" w:rsidP="00631EBA">
      <w:pPr>
        <w:numPr>
          <w:ilvl w:val="0"/>
          <w:numId w:val="1"/>
        </w:numPr>
        <w:autoSpaceDE w:val="0"/>
        <w:autoSpaceDN w:val="0"/>
        <w:adjustRightInd w:val="0"/>
        <w:spacing w:after="120" w:line="240" w:lineRule="auto"/>
        <w:ind w:left="714" w:hanging="357"/>
        <w:jc w:val="both"/>
        <w:rPr>
          <w:rFonts w:ascii="Times New Roman" w:hAnsi="Times New Roman" w:cs="Times New Roman"/>
          <w:noProof/>
          <w:sz w:val="24"/>
          <w:szCs w:val="24"/>
          <w:lang w:val="en-US"/>
        </w:rPr>
      </w:pPr>
      <w:r w:rsidRPr="00631EBA">
        <w:rPr>
          <w:rFonts w:ascii="Times New Roman" w:hAnsi="Times New Roman" w:cs="Times New Roman"/>
          <w:noProof/>
          <w:sz w:val="24"/>
          <w:szCs w:val="24"/>
          <w:lang w:val="en-US"/>
        </w:rPr>
        <w:t xml:space="preserve">EUR 100 million for regional and “all OCT” cooperation; </w:t>
      </w:r>
    </w:p>
    <w:p w:rsidR="00E377E9" w:rsidRPr="00631EBA" w:rsidRDefault="00E377E9" w:rsidP="00631EBA">
      <w:pPr>
        <w:numPr>
          <w:ilvl w:val="0"/>
          <w:numId w:val="1"/>
        </w:numPr>
        <w:autoSpaceDE w:val="0"/>
        <w:autoSpaceDN w:val="0"/>
        <w:adjustRightInd w:val="0"/>
        <w:spacing w:after="120" w:line="240" w:lineRule="auto"/>
        <w:ind w:left="714" w:hanging="357"/>
        <w:jc w:val="both"/>
        <w:rPr>
          <w:rFonts w:ascii="Times New Roman" w:hAnsi="Times New Roman" w:cs="Times New Roman"/>
          <w:noProof/>
          <w:sz w:val="24"/>
          <w:szCs w:val="24"/>
          <w:lang w:val="en-US"/>
        </w:rPr>
      </w:pPr>
      <w:r w:rsidRPr="00631EBA">
        <w:rPr>
          <w:rFonts w:ascii="Times New Roman" w:hAnsi="Times New Roman" w:cs="Times New Roman"/>
          <w:noProof/>
          <w:sz w:val="24"/>
          <w:szCs w:val="24"/>
          <w:lang w:val="en-US"/>
        </w:rPr>
        <w:t xml:space="preserve">EUR 21.5 million to finance humanitarian and emergency assistance; </w:t>
      </w:r>
    </w:p>
    <w:p w:rsidR="00E377E9" w:rsidRPr="00631EBA" w:rsidRDefault="00E377E9" w:rsidP="00631EBA">
      <w:pPr>
        <w:numPr>
          <w:ilvl w:val="0"/>
          <w:numId w:val="1"/>
        </w:numPr>
        <w:autoSpaceDE w:val="0"/>
        <w:autoSpaceDN w:val="0"/>
        <w:adjustRightInd w:val="0"/>
        <w:spacing w:after="120" w:line="240" w:lineRule="auto"/>
        <w:ind w:left="714" w:hanging="357"/>
        <w:jc w:val="both"/>
        <w:rPr>
          <w:rFonts w:ascii="Times New Roman" w:hAnsi="Times New Roman" w:cs="Times New Roman"/>
          <w:noProof/>
          <w:sz w:val="24"/>
          <w:szCs w:val="24"/>
          <w:lang w:val="en-US"/>
        </w:rPr>
      </w:pPr>
      <w:r w:rsidRPr="00631EBA">
        <w:rPr>
          <w:rFonts w:ascii="Times New Roman" w:hAnsi="Times New Roman" w:cs="Times New Roman"/>
          <w:noProof/>
          <w:sz w:val="24"/>
          <w:szCs w:val="24"/>
          <w:lang w:val="en-US"/>
        </w:rPr>
        <w:t xml:space="preserve">EUR 5 million to finance interest subsidies and technical assistance linked to the OCT Investment Facility; </w:t>
      </w:r>
    </w:p>
    <w:p w:rsidR="00E377E9" w:rsidRPr="00631EBA" w:rsidRDefault="00E377E9" w:rsidP="00631EBA">
      <w:pPr>
        <w:numPr>
          <w:ilvl w:val="0"/>
          <w:numId w:val="1"/>
        </w:numPr>
        <w:autoSpaceDE w:val="0"/>
        <w:autoSpaceDN w:val="0"/>
        <w:adjustRightInd w:val="0"/>
        <w:spacing w:after="120" w:line="240" w:lineRule="auto"/>
        <w:ind w:left="714" w:hanging="357"/>
        <w:jc w:val="both"/>
        <w:rPr>
          <w:rFonts w:ascii="Times New Roman" w:hAnsi="Times New Roman" w:cs="Times New Roman"/>
          <w:noProof/>
          <w:sz w:val="24"/>
          <w:szCs w:val="24"/>
          <w:lang w:val="en-US"/>
        </w:rPr>
      </w:pPr>
      <w:r w:rsidRPr="00631EBA">
        <w:rPr>
          <w:rFonts w:ascii="Times New Roman" w:hAnsi="Times New Roman" w:cs="Times New Roman"/>
          <w:noProof/>
          <w:sz w:val="24"/>
          <w:szCs w:val="24"/>
          <w:lang w:val="en-US"/>
        </w:rPr>
        <w:t xml:space="preserve">EUR 8.5 million for studies and technical assistance. </w:t>
      </w:r>
    </w:p>
    <w:p w:rsidR="00E377E9" w:rsidRPr="00631EBA" w:rsidRDefault="00E377E9" w:rsidP="00E377E9">
      <w:pPr>
        <w:autoSpaceDE w:val="0"/>
        <w:autoSpaceDN w:val="0"/>
        <w:adjustRightInd w:val="0"/>
        <w:spacing w:after="0" w:line="240" w:lineRule="auto"/>
        <w:jc w:val="both"/>
        <w:rPr>
          <w:rFonts w:ascii="Times New Roman" w:hAnsi="Times New Roman" w:cs="Times New Roman"/>
          <w:noProof/>
          <w:sz w:val="24"/>
          <w:szCs w:val="24"/>
          <w:lang w:val="en-US"/>
        </w:rPr>
      </w:pPr>
    </w:p>
    <w:p w:rsidR="00E377E9" w:rsidRDefault="00E377E9" w:rsidP="00E377E9">
      <w:pPr>
        <w:spacing w:line="240" w:lineRule="auto"/>
        <w:jc w:val="both"/>
        <w:rPr>
          <w:rFonts w:ascii="Times New Roman" w:hAnsi="Times New Roman" w:cs="Times New Roman"/>
          <w:bCs/>
          <w:noProof/>
          <w:sz w:val="24"/>
          <w:szCs w:val="24"/>
          <w:lang w:val="en-US"/>
        </w:rPr>
      </w:pPr>
      <w:r w:rsidRPr="00631EBA">
        <w:rPr>
          <w:rFonts w:ascii="Times New Roman" w:hAnsi="Times New Roman" w:cs="Times New Roman"/>
          <w:bCs/>
          <w:noProof/>
          <w:sz w:val="24"/>
          <w:szCs w:val="24"/>
          <w:lang w:val="en-US"/>
        </w:rPr>
        <w:t>Under the 11</w:t>
      </w:r>
      <w:r w:rsidRPr="00631EBA">
        <w:rPr>
          <w:rFonts w:ascii="Times New Roman" w:hAnsi="Times New Roman" w:cs="Times New Roman"/>
          <w:bCs/>
          <w:noProof/>
          <w:sz w:val="24"/>
          <w:szCs w:val="24"/>
          <w:vertAlign w:val="superscript"/>
          <w:lang w:val="en-US"/>
        </w:rPr>
        <w:t>th</w:t>
      </w:r>
      <w:r w:rsidRPr="00631EBA">
        <w:rPr>
          <w:rFonts w:ascii="Times New Roman" w:hAnsi="Times New Roman" w:cs="Times New Roman"/>
          <w:bCs/>
          <w:noProof/>
          <w:sz w:val="24"/>
          <w:szCs w:val="24"/>
          <w:lang w:val="en-US"/>
        </w:rPr>
        <w:t xml:space="preserve"> EDF, 16 OCTs were eligible for a territorial allocation. In addition to three regional programmes, a single thematic ‘all-OCTs’ programme </w:t>
      </w:r>
      <w:r w:rsidR="002D6B90">
        <w:rPr>
          <w:rFonts w:ascii="Times New Roman" w:hAnsi="Times New Roman" w:cs="Times New Roman"/>
          <w:bCs/>
          <w:noProof/>
          <w:sz w:val="24"/>
          <w:szCs w:val="24"/>
          <w:lang w:val="en-US"/>
        </w:rPr>
        <w:t xml:space="preserve">(Green Overseas) </w:t>
      </w:r>
      <w:r w:rsidRPr="00631EBA">
        <w:rPr>
          <w:rFonts w:ascii="Times New Roman" w:hAnsi="Times New Roman" w:cs="Times New Roman"/>
          <w:bCs/>
          <w:noProof/>
          <w:sz w:val="24"/>
          <w:szCs w:val="24"/>
          <w:lang w:val="en-US"/>
        </w:rPr>
        <w:t>foster</w:t>
      </w:r>
      <w:r w:rsidR="002D6B90">
        <w:rPr>
          <w:rFonts w:ascii="Times New Roman" w:hAnsi="Times New Roman" w:cs="Times New Roman"/>
          <w:bCs/>
          <w:noProof/>
          <w:sz w:val="24"/>
          <w:szCs w:val="24"/>
          <w:lang w:val="en-US"/>
        </w:rPr>
        <w:t>s</w:t>
      </w:r>
      <w:r w:rsidRPr="00631EBA">
        <w:rPr>
          <w:rFonts w:ascii="Times New Roman" w:hAnsi="Times New Roman" w:cs="Times New Roman"/>
          <w:bCs/>
          <w:noProof/>
          <w:sz w:val="24"/>
          <w:szCs w:val="24"/>
          <w:lang w:val="en-US"/>
        </w:rPr>
        <w:t xml:space="preserve"> inter-OCT cooperation.</w:t>
      </w:r>
    </w:p>
    <w:p w:rsidR="00B45FEB" w:rsidRPr="005C4240" w:rsidRDefault="008A43C6" w:rsidP="00E377E9">
      <w:pPr>
        <w:spacing w:line="240" w:lineRule="auto"/>
        <w:jc w:val="both"/>
        <w:rPr>
          <w:rFonts w:ascii="Times New Roman" w:hAnsi="Times New Roman" w:cs="Times New Roman"/>
          <w:noProof/>
          <w:color w:val="000000"/>
          <w:sz w:val="24"/>
          <w:szCs w:val="24"/>
          <w:lang w:val="en-US"/>
        </w:rPr>
      </w:pPr>
      <w:r>
        <w:rPr>
          <w:rFonts w:ascii="Times New Roman" w:hAnsi="Times New Roman" w:cs="Times New Roman"/>
          <w:bCs/>
          <w:noProof/>
          <w:sz w:val="24"/>
          <w:szCs w:val="24"/>
          <w:lang w:val="en-US"/>
        </w:rPr>
        <w:t>F</w:t>
      </w:r>
      <w:r w:rsidR="00B45FEB">
        <w:rPr>
          <w:rFonts w:ascii="Times New Roman" w:hAnsi="Times New Roman" w:cs="Times New Roman"/>
          <w:bCs/>
          <w:noProof/>
          <w:sz w:val="24"/>
          <w:szCs w:val="24"/>
          <w:lang w:val="en-US"/>
        </w:rPr>
        <w:t xml:space="preserve">ormer UK OCTs </w:t>
      </w:r>
      <w:r w:rsidR="00631EBA">
        <w:rPr>
          <w:rFonts w:ascii="Times New Roman" w:hAnsi="Times New Roman" w:cs="Times New Roman"/>
          <w:bCs/>
          <w:noProof/>
          <w:sz w:val="24"/>
          <w:szCs w:val="24"/>
          <w:lang w:val="en-US"/>
        </w:rPr>
        <w:t>remain</w:t>
      </w:r>
      <w:r w:rsidR="00B45FEB">
        <w:rPr>
          <w:rFonts w:ascii="Times New Roman" w:hAnsi="Times New Roman" w:cs="Times New Roman"/>
          <w:bCs/>
          <w:noProof/>
          <w:sz w:val="24"/>
          <w:szCs w:val="24"/>
          <w:lang w:val="en-US"/>
        </w:rPr>
        <w:t xml:space="preserve"> eligible </w:t>
      </w:r>
      <w:r w:rsidR="00631EBA">
        <w:rPr>
          <w:rFonts w:ascii="Times New Roman" w:hAnsi="Times New Roman" w:cs="Times New Roman"/>
          <w:bCs/>
          <w:noProof/>
          <w:sz w:val="24"/>
          <w:szCs w:val="24"/>
          <w:lang w:val="en-US"/>
        </w:rPr>
        <w:t>for and benefit from</w:t>
      </w:r>
      <w:r w:rsidR="00B45FEB">
        <w:rPr>
          <w:rFonts w:ascii="Times New Roman" w:hAnsi="Times New Roman" w:cs="Times New Roman"/>
          <w:bCs/>
          <w:noProof/>
          <w:sz w:val="24"/>
          <w:szCs w:val="24"/>
          <w:lang w:val="en-US"/>
        </w:rPr>
        <w:t xml:space="preserve"> EDF funds </w:t>
      </w:r>
      <w:r w:rsidR="00631EBA">
        <w:rPr>
          <w:rFonts w:ascii="Times New Roman" w:hAnsi="Times New Roman" w:cs="Times New Roman"/>
          <w:bCs/>
          <w:noProof/>
          <w:sz w:val="24"/>
          <w:szCs w:val="24"/>
          <w:lang w:val="en-US"/>
        </w:rPr>
        <w:t>until</w:t>
      </w:r>
      <w:r w:rsidR="00B45FEB">
        <w:rPr>
          <w:rFonts w:ascii="Times New Roman" w:hAnsi="Times New Roman" w:cs="Times New Roman"/>
          <w:bCs/>
          <w:noProof/>
          <w:sz w:val="24"/>
          <w:szCs w:val="24"/>
          <w:lang w:val="en-US"/>
        </w:rPr>
        <w:t xml:space="preserve"> the </w:t>
      </w:r>
      <w:r w:rsidR="00631EBA">
        <w:rPr>
          <w:rFonts w:ascii="Times New Roman" w:hAnsi="Times New Roman" w:cs="Times New Roman"/>
          <w:bCs/>
          <w:noProof/>
          <w:sz w:val="24"/>
          <w:szCs w:val="24"/>
          <w:lang w:val="en-US"/>
        </w:rPr>
        <w:t xml:space="preserve">closure of the relevant ongoing programmes. </w:t>
      </w:r>
    </w:p>
    <w:p w:rsidR="00E377E9" w:rsidRPr="00064F0B" w:rsidRDefault="00E377E9" w:rsidP="00E377E9">
      <w:pPr>
        <w:autoSpaceDE w:val="0"/>
        <w:autoSpaceDN w:val="0"/>
        <w:adjustRightInd w:val="0"/>
        <w:spacing w:after="0" w:line="240" w:lineRule="auto"/>
        <w:jc w:val="both"/>
        <w:rPr>
          <w:rFonts w:ascii="Times New Roman" w:hAnsi="Times New Roman" w:cs="Times New Roman"/>
          <w:noProof/>
          <w:color w:val="000000"/>
          <w:sz w:val="24"/>
          <w:szCs w:val="24"/>
          <w:lang w:val="en-US"/>
        </w:rPr>
      </w:pPr>
    </w:p>
    <w:p w:rsidR="00E377E9" w:rsidRPr="00631EBA" w:rsidRDefault="00E377E9" w:rsidP="00E377E9">
      <w:pPr>
        <w:autoSpaceDE w:val="0"/>
        <w:autoSpaceDN w:val="0"/>
        <w:adjustRightInd w:val="0"/>
        <w:spacing w:after="0" w:line="240" w:lineRule="auto"/>
        <w:rPr>
          <w:rFonts w:ascii="Times New Roman" w:hAnsi="Times New Roman" w:cs="Times New Roman"/>
          <w:b/>
          <w:bCs/>
          <w:noProof/>
          <w:color w:val="000000"/>
          <w:sz w:val="24"/>
          <w:szCs w:val="24"/>
          <w:u w:val="single"/>
          <w:lang w:val="en-US"/>
        </w:rPr>
      </w:pPr>
      <w:r w:rsidRPr="00631EBA">
        <w:rPr>
          <w:rFonts w:ascii="Times New Roman" w:hAnsi="Times New Roman" w:cs="Times New Roman"/>
          <w:b/>
          <w:bCs/>
          <w:noProof/>
          <w:color w:val="000000"/>
          <w:sz w:val="24"/>
          <w:szCs w:val="24"/>
          <w:u w:val="single"/>
          <w:lang w:val="en-US"/>
        </w:rPr>
        <w:t>Situation in 2021</w:t>
      </w:r>
    </w:p>
    <w:p w:rsidR="00E377E9" w:rsidRPr="00631EBA" w:rsidRDefault="00E377E9" w:rsidP="00E377E9">
      <w:pPr>
        <w:autoSpaceDE w:val="0"/>
        <w:autoSpaceDN w:val="0"/>
        <w:adjustRightInd w:val="0"/>
        <w:spacing w:after="0" w:line="240" w:lineRule="auto"/>
        <w:rPr>
          <w:rFonts w:ascii="Times New Roman" w:hAnsi="Times New Roman" w:cs="Times New Roman"/>
          <w:noProof/>
          <w:color w:val="000000"/>
          <w:sz w:val="24"/>
          <w:szCs w:val="24"/>
          <w:u w:val="single"/>
          <w:lang w:val="en-US"/>
        </w:rPr>
      </w:pPr>
    </w:p>
    <w:p w:rsidR="00E377E9" w:rsidRPr="00CA2BF5" w:rsidRDefault="00E377E9" w:rsidP="00E377E9">
      <w:pPr>
        <w:pStyle w:val="ListParagraph"/>
        <w:numPr>
          <w:ilvl w:val="0"/>
          <w:numId w:val="3"/>
        </w:numPr>
        <w:autoSpaceDE w:val="0"/>
        <w:autoSpaceDN w:val="0"/>
        <w:adjustRightInd w:val="0"/>
        <w:spacing w:after="0" w:line="240" w:lineRule="auto"/>
        <w:rPr>
          <w:rFonts w:ascii="Times New Roman" w:hAnsi="Times New Roman" w:cs="Times New Roman"/>
          <w:noProof/>
          <w:color w:val="000000"/>
          <w:sz w:val="24"/>
          <w:szCs w:val="24"/>
          <w:lang w:val="en-US"/>
        </w:rPr>
      </w:pPr>
      <w:r w:rsidRPr="00CA2BF5">
        <w:rPr>
          <w:rFonts w:ascii="Times New Roman" w:hAnsi="Times New Roman" w:cs="Times New Roman"/>
          <w:b/>
          <w:bCs/>
          <w:noProof/>
          <w:color w:val="000000"/>
          <w:sz w:val="24"/>
          <w:szCs w:val="24"/>
          <w:lang w:val="en-US"/>
        </w:rPr>
        <w:t xml:space="preserve">Territorial cooperation </w:t>
      </w:r>
    </w:p>
    <w:p w:rsidR="00E377E9" w:rsidRPr="00631EBA" w:rsidRDefault="00E377E9" w:rsidP="00E377E9">
      <w:pPr>
        <w:autoSpaceDE w:val="0"/>
        <w:autoSpaceDN w:val="0"/>
        <w:adjustRightInd w:val="0"/>
        <w:spacing w:after="0" w:line="240" w:lineRule="auto"/>
        <w:rPr>
          <w:rFonts w:ascii="Times New Roman" w:hAnsi="Times New Roman" w:cs="Times New Roman"/>
          <w:noProof/>
          <w:color w:val="000000"/>
          <w:sz w:val="24"/>
          <w:szCs w:val="24"/>
          <w:lang w:val="en-US"/>
        </w:rPr>
      </w:pPr>
    </w:p>
    <w:p w:rsidR="00E377E9" w:rsidRPr="00631EBA" w:rsidRDefault="008A43C6" w:rsidP="003C6942">
      <w:pPr>
        <w:spacing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A number of territorial programmes </w:t>
      </w:r>
      <w:r w:rsidR="003C6942">
        <w:rPr>
          <w:rFonts w:ascii="Times New Roman" w:hAnsi="Times New Roman" w:cs="Times New Roman"/>
          <w:noProof/>
          <w:color w:val="000000"/>
          <w:sz w:val="24"/>
          <w:szCs w:val="24"/>
          <w:lang w:val="en-US"/>
        </w:rPr>
        <w:t>conti</w:t>
      </w:r>
      <w:r w:rsidR="004E38DB">
        <w:rPr>
          <w:rFonts w:ascii="Times New Roman" w:hAnsi="Times New Roman" w:cs="Times New Roman"/>
          <w:noProof/>
          <w:color w:val="000000"/>
          <w:sz w:val="24"/>
          <w:szCs w:val="24"/>
          <w:lang w:val="en-US"/>
        </w:rPr>
        <w:t>n</w:t>
      </w:r>
      <w:r w:rsidR="003C6942">
        <w:rPr>
          <w:rFonts w:ascii="Times New Roman" w:hAnsi="Times New Roman" w:cs="Times New Roman"/>
          <w:noProof/>
          <w:color w:val="000000"/>
          <w:sz w:val="24"/>
          <w:szCs w:val="24"/>
          <w:lang w:val="en-US"/>
        </w:rPr>
        <w:t>u</w:t>
      </w:r>
      <w:r w:rsidR="004E38DB">
        <w:rPr>
          <w:rFonts w:ascii="Times New Roman" w:hAnsi="Times New Roman" w:cs="Times New Roman"/>
          <w:noProof/>
          <w:color w:val="000000"/>
          <w:sz w:val="24"/>
          <w:szCs w:val="24"/>
          <w:lang w:val="en-US"/>
        </w:rPr>
        <w:t xml:space="preserve">ed to be </w:t>
      </w:r>
      <w:r w:rsidR="00805EE6">
        <w:rPr>
          <w:rFonts w:ascii="Times New Roman" w:hAnsi="Times New Roman" w:cs="Times New Roman"/>
          <w:noProof/>
          <w:color w:val="000000"/>
          <w:sz w:val="24"/>
          <w:szCs w:val="24"/>
          <w:lang w:val="en-US"/>
        </w:rPr>
        <w:t>under implementation</w:t>
      </w:r>
      <w:r>
        <w:rPr>
          <w:rFonts w:ascii="Times New Roman" w:hAnsi="Times New Roman" w:cs="Times New Roman"/>
          <w:noProof/>
          <w:color w:val="000000"/>
          <w:sz w:val="24"/>
          <w:szCs w:val="24"/>
          <w:lang w:val="en-US"/>
        </w:rPr>
        <w:t xml:space="preserve"> i</w:t>
      </w:r>
      <w:r w:rsidR="00FE5E72">
        <w:rPr>
          <w:rFonts w:ascii="Times New Roman" w:hAnsi="Times New Roman" w:cs="Times New Roman"/>
          <w:noProof/>
          <w:color w:val="000000"/>
          <w:sz w:val="24"/>
          <w:szCs w:val="24"/>
          <w:lang w:val="en-US"/>
        </w:rPr>
        <w:t>n 2021</w:t>
      </w:r>
      <w:r w:rsidR="003C6942">
        <w:rPr>
          <w:rFonts w:ascii="Times New Roman" w:hAnsi="Times New Roman" w:cs="Times New Roman"/>
          <w:noProof/>
          <w:color w:val="000000"/>
          <w:sz w:val="24"/>
          <w:szCs w:val="24"/>
          <w:lang w:val="en-US"/>
        </w:rPr>
        <w:t>.</w:t>
      </w:r>
      <w:r w:rsidR="00FE5E72">
        <w:rPr>
          <w:rFonts w:ascii="Times New Roman" w:hAnsi="Times New Roman" w:cs="Times New Roman"/>
          <w:noProof/>
          <w:color w:val="000000"/>
          <w:sz w:val="24"/>
          <w:szCs w:val="24"/>
          <w:lang w:val="en-US"/>
        </w:rPr>
        <w:t xml:space="preserve"> </w:t>
      </w:r>
      <w:r>
        <w:rPr>
          <w:rFonts w:ascii="Times New Roman" w:hAnsi="Times New Roman" w:cs="Times New Roman"/>
          <w:noProof/>
          <w:color w:val="000000"/>
          <w:sz w:val="24"/>
          <w:szCs w:val="24"/>
          <w:lang w:val="en-US"/>
        </w:rPr>
        <w:t>In the Caribbean region</w:t>
      </w:r>
      <w:r w:rsidR="003C6942">
        <w:rPr>
          <w:rFonts w:ascii="Times New Roman" w:hAnsi="Times New Roman" w:cs="Times New Roman"/>
          <w:noProof/>
          <w:color w:val="000000"/>
          <w:sz w:val="24"/>
          <w:szCs w:val="24"/>
          <w:lang w:val="en-US"/>
        </w:rPr>
        <w:t>,</w:t>
      </w:r>
      <w:r>
        <w:rPr>
          <w:rFonts w:ascii="Times New Roman" w:hAnsi="Times New Roman" w:cs="Times New Roman"/>
          <w:noProof/>
          <w:color w:val="000000"/>
          <w:sz w:val="24"/>
          <w:szCs w:val="24"/>
          <w:lang w:val="en-US"/>
        </w:rPr>
        <w:t xml:space="preserve"> this inculded Aruba, Anguilla, Bonaire, Montserrat, while cooperation in Sint Maarten and Curaçao s</w:t>
      </w:r>
      <w:r w:rsidR="00132C93">
        <w:rPr>
          <w:rFonts w:ascii="Times New Roman" w:hAnsi="Times New Roman" w:cs="Times New Roman"/>
          <w:noProof/>
          <w:color w:val="000000"/>
          <w:sz w:val="24"/>
          <w:szCs w:val="24"/>
          <w:lang w:val="en-US"/>
        </w:rPr>
        <w:t>tarted up</w:t>
      </w:r>
      <w:r>
        <w:rPr>
          <w:rFonts w:ascii="Times New Roman" w:hAnsi="Times New Roman" w:cs="Times New Roman"/>
          <w:noProof/>
          <w:color w:val="000000"/>
          <w:sz w:val="24"/>
          <w:szCs w:val="24"/>
          <w:lang w:val="en-US"/>
        </w:rPr>
        <w:t>. In the Atlantic region</w:t>
      </w:r>
      <w:r w:rsidR="003C6942">
        <w:rPr>
          <w:rFonts w:ascii="Times New Roman" w:hAnsi="Times New Roman" w:cs="Times New Roman"/>
          <w:noProof/>
          <w:color w:val="000000"/>
          <w:sz w:val="24"/>
          <w:szCs w:val="24"/>
          <w:lang w:val="en-US"/>
        </w:rPr>
        <w:t>, work with Saint Helena conti</w:t>
      </w:r>
      <w:r>
        <w:rPr>
          <w:rFonts w:ascii="Times New Roman" w:hAnsi="Times New Roman" w:cs="Times New Roman"/>
          <w:noProof/>
          <w:color w:val="000000"/>
          <w:sz w:val="24"/>
          <w:szCs w:val="24"/>
          <w:lang w:val="en-US"/>
        </w:rPr>
        <w:t>n</w:t>
      </w:r>
      <w:r w:rsidR="003C6942">
        <w:rPr>
          <w:rFonts w:ascii="Times New Roman" w:hAnsi="Times New Roman" w:cs="Times New Roman"/>
          <w:noProof/>
          <w:color w:val="000000"/>
          <w:sz w:val="24"/>
          <w:szCs w:val="24"/>
          <w:lang w:val="en-US"/>
        </w:rPr>
        <w:t>u</w:t>
      </w:r>
      <w:r>
        <w:rPr>
          <w:rFonts w:ascii="Times New Roman" w:hAnsi="Times New Roman" w:cs="Times New Roman"/>
          <w:noProof/>
          <w:color w:val="000000"/>
          <w:sz w:val="24"/>
          <w:szCs w:val="24"/>
          <w:lang w:val="en-US"/>
        </w:rPr>
        <w:t xml:space="preserve">ed while the programme with Saint-Pierre-et-Miquelon was </w:t>
      </w:r>
      <w:r w:rsidR="00132C93">
        <w:rPr>
          <w:rFonts w:ascii="Times New Roman" w:hAnsi="Times New Roman" w:cs="Times New Roman"/>
          <w:noProof/>
          <w:color w:val="000000"/>
          <w:sz w:val="24"/>
          <w:szCs w:val="24"/>
          <w:lang w:val="en-US"/>
        </w:rPr>
        <w:t xml:space="preserve">sucessfully </w:t>
      </w:r>
      <w:r>
        <w:rPr>
          <w:rFonts w:ascii="Times New Roman" w:hAnsi="Times New Roman" w:cs="Times New Roman"/>
          <w:noProof/>
          <w:color w:val="000000"/>
          <w:sz w:val="24"/>
          <w:szCs w:val="24"/>
          <w:lang w:val="en-US"/>
        </w:rPr>
        <w:t xml:space="preserve">completed. </w:t>
      </w:r>
      <w:r w:rsidR="00BB6FBB">
        <w:rPr>
          <w:rFonts w:ascii="Times New Roman" w:hAnsi="Times New Roman" w:cs="Times New Roman"/>
          <w:noProof/>
          <w:color w:val="000000"/>
          <w:sz w:val="24"/>
          <w:szCs w:val="24"/>
          <w:lang w:val="en-US"/>
        </w:rPr>
        <w:t xml:space="preserve">In the Pacific region, </w:t>
      </w:r>
      <w:r w:rsidR="00132C93">
        <w:rPr>
          <w:rFonts w:ascii="Times New Roman" w:hAnsi="Times New Roman" w:cs="Times New Roman"/>
          <w:noProof/>
          <w:color w:val="000000"/>
          <w:sz w:val="24"/>
          <w:szCs w:val="24"/>
          <w:lang w:val="en-US"/>
        </w:rPr>
        <w:t xml:space="preserve">the </w:t>
      </w:r>
      <w:r>
        <w:rPr>
          <w:rFonts w:ascii="Times New Roman" w:hAnsi="Times New Roman" w:cs="Times New Roman"/>
          <w:noProof/>
          <w:color w:val="000000"/>
          <w:sz w:val="24"/>
          <w:szCs w:val="24"/>
          <w:lang w:val="en-US"/>
        </w:rPr>
        <w:t>programm</w:t>
      </w:r>
      <w:r w:rsidR="00132C93">
        <w:rPr>
          <w:rFonts w:ascii="Times New Roman" w:hAnsi="Times New Roman" w:cs="Times New Roman"/>
          <w:noProof/>
          <w:color w:val="000000"/>
          <w:sz w:val="24"/>
          <w:szCs w:val="24"/>
          <w:lang w:val="en-US"/>
        </w:rPr>
        <w:t xml:space="preserve">e for </w:t>
      </w:r>
      <w:r>
        <w:rPr>
          <w:rFonts w:ascii="Times New Roman" w:hAnsi="Times New Roman" w:cs="Times New Roman"/>
          <w:noProof/>
          <w:color w:val="000000"/>
          <w:sz w:val="24"/>
          <w:szCs w:val="24"/>
          <w:lang w:val="en-US"/>
        </w:rPr>
        <w:t xml:space="preserve"> </w:t>
      </w:r>
      <w:r w:rsidR="00132C93">
        <w:rPr>
          <w:rFonts w:ascii="Times New Roman" w:hAnsi="Times New Roman" w:cs="Times New Roman"/>
          <w:noProof/>
          <w:color w:val="000000"/>
          <w:sz w:val="24"/>
          <w:szCs w:val="24"/>
          <w:lang w:val="en-US"/>
        </w:rPr>
        <w:t xml:space="preserve">French Polynesia reached its goals while the initiatives </w:t>
      </w:r>
      <w:r>
        <w:rPr>
          <w:rFonts w:ascii="Times New Roman" w:hAnsi="Times New Roman" w:cs="Times New Roman"/>
          <w:noProof/>
          <w:color w:val="000000"/>
          <w:sz w:val="24"/>
          <w:szCs w:val="24"/>
          <w:lang w:val="en-US"/>
        </w:rPr>
        <w:t xml:space="preserve">for </w:t>
      </w:r>
      <w:r w:rsidR="00BB6FBB">
        <w:rPr>
          <w:rFonts w:ascii="Times New Roman" w:hAnsi="Times New Roman" w:cs="Times New Roman"/>
          <w:noProof/>
          <w:color w:val="000000"/>
          <w:sz w:val="24"/>
          <w:szCs w:val="24"/>
          <w:lang w:val="en-US"/>
        </w:rPr>
        <w:t xml:space="preserve">New Caledonia and Wallis-et-Futuna </w:t>
      </w:r>
      <w:r>
        <w:rPr>
          <w:rFonts w:ascii="Times New Roman" w:hAnsi="Times New Roman" w:cs="Times New Roman"/>
          <w:noProof/>
          <w:color w:val="000000"/>
          <w:sz w:val="24"/>
          <w:szCs w:val="24"/>
          <w:lang w:val="en-US"/>
        </w:rPr>
        <w:t>advanced well</w:t>
      </w:r>
      <w:r w:rsidR="00BB6FBB">
        <w:rPr>
          <w:rFonts w:ascii="Times New Roman" w:hAnsi="Times New Roman" w:cs="Times New Roman"/>
          <w:noProof/>
          <w:color w:val="000000"/>
          <w:sz w:val="24"/>
          <w:szCs w:val="24"/>
          <w:lang w:val="en-US"/>
        </w:rPr>
        <w:t>.</w:t>
      </w:r>
    </w:p>
    <w:p w:rsidR="00E377E9" w:rsidRPr="00631EBA" w:rsidRDefault="00E377E9" w:rsidP="00E377E9">
      <w:pPr>
        <w:autoSpaceDE w:val="0"/>
        <w:autoSpaceDN w:val="0"/>
        <w:adjustRightInd w:val="0"/>
        <w:spacing w:after="0" w:line="240" w:lineRule="auto"/>
        <w:jc w:val="both"/>
        <w:rPr>
          <w:rFonts w:ascii="Times New Roman" w:hAnsi="Times New Roman" w:cs="Times New Roman"/>
          <w:noProof/>
          <w:color w:val="000000"/>
          <w:sz w:val="24"/>
          <w:szCs w:val="24"/>
          <w:lang w:val="en-US"/>
        </w:rPr>
      </w:pPr>
      <w:r w:rsidRPr="00631EBA">
        <w:rPr>
          <w:rFonts w:ascii="Times New Roman" w:hAnsi="Times New Roman" w:cs="Times New Roman"/>
          <w:noProof/>
          <w:color w:val="000000"/>
          <w:sz w:val="24"/>
          <w:szCs w:val="24"/>
          <w:lang w:val="en-US"/>
        </w:rPr>
        <w:t xml:space="preserve">The COVID-19 pandemic had significant consequences for OCTs. It led to an unprecedented strain on their economies, many of which depend on tourism. They also suffered from disrupted global supply chains (with negative effects on their imports, especially food) and </w:t>
      </w:r>
      <w:r w:rsidR="003C6942">
        <w:rPr>
          <w:rFonts w:ascii="Times New Roman" w:hAnsi="Times New Roman" w:cs="Times New Roman"/>
          <w:noProof/>
          <w:color w:val="000000"/>
          <w:sz w:val="24"/>
          <w:szCs w:val="24"/>
          <w:lang w:val="en-US"/>
        </w:rPr>
        <w:t>price and</w:t>
      </w:r>
      <w:r w:rsidRPr="00631EBA">
        <w:rPr>
          <w:rFonts w:ascii="Times New Roman" w:hAnsi="Times New Roman" w:cs="Times New Roman"/>
          <w:noProof/>
          <w:color w:val="000000"/>
          <w:sz w:val="24"/>
          <w:szCs w:val="24"/>
          <w:lang w:val="en-US"/>
        </w:rPr>
        <w:t xml:space="preserve"> demand fluctuations for their main exports. Limited fiscal margin created additional strain. As a result, structural socio-economic challenges are likely to deepen, exposing the fragility of the most vulnerable groups. </w:t>
      </w:r>
    </w:p>
    <w:p w:rsidR="00E377E9" w:rsidRPr="00631EBA" w:rsidRDefault="00E377E9" w:rsidP="00E377E9">
      <w:pPr>
        <w:autoSpaceDE w:val="0"/>
        <w:autoSpaceDN w:val="0"/>
        <w:adjustRightInd w:val="0"/>
        <w:spacing w:after="0" w:line="240" w:lineRule="auto"/>
        <w:jc w:val="both"/>
        <w:rPr>
          <w:rFonts w:ascii="Times New Roman" w:hAnsi="Times New Roman" w:cs="Times New Roman"/>
          <w:noProof/>
          <w:color w:val="000000"/>
          <w:sz w:val="24"/>
          <w:szCs w:val="24"/>
          <w:lang w:val="en-US"/>
        </w:rPr>
      </w:pPr>
    </w:p>
    <w:p w:rsidR="00E377E9" w:rsidRPr="00631EBA" w:rsidRDefault="00E377E9" w:rsidP="00E377E9">
      <w:pPr>
        <w:autoSpaceDE w:val="0"/>
        <w:autoSpaceDN w:val="0"/>
        <w:adjustRightInd w:val="0"/>
        <w:spacing w:after="0" w:line="240" w:lineRule="auto"/>
        <w:jc w:val="both"/>
        <w:rPr>
          <w:rFonts w:ascii="Times New Roman" w:hAnsi="Times New Roman" w:cs="Times New Roman"/>
          <w:noProof/>
          <w:color w:val="000000"/>
          <w:sz w:val="24"/>
          <w:szCs w:val="24"/>
          <w:lang w:val="en-US"/>
        </w:rPr>
      </w:pPr>
      <w:r w:rsidRPr="00631EBA">
        <w:rPr>
          <w:rFonts w:ascii="Times New Roman" w:hAnsi="Times New Roman" w:cs="Times New Roman"/>
          <w:noProof/>
          <w:color w:val="000000"/>
          <w:sz w:val="24"/>
          <w:szCs w:val="24"/>
          <w:lang w:val="en-US"/>
        </w:rPr>
        <w:t xml:space="preserve">Against this backdrop, the </w:t>
      </w:r>
      <w:r w:rsidR="00132C93">
        <w:rPr>
          <w:rFonts w:ascii="Times New Roman" w:hAnsi="Times New Roman" w:cs="Times New Roman"/>
          <w:noProof/>
          <w:color w:val="000000"/>
          <w:sz w:val="24"/>
          <w:szCs w:val="24"/>
          <w:lang w:val="en-US"/>
        </w:rPr>
        <w:t xml:space="preserve">following </w:t>
      </w:r>
      <w:r w:rsidR="00D749F6">
        <w:rPr>
          <w:rFonts w:ascii="Times New Roman" w:hAnsi="Times New Roman" w:cs="Times New Roman"/>
          <w:noProof/>
          <w:color w:val="000000"/>
          <w:sz w:val="24"/>
          <w:szCs w:val="24"/>
          <w:lang w:val="en-US"/>
        </w:rPr>
        <w:t>achiev</w:t>
      </w:r>
      <w:r w:rsidR="003C6942">
        <w:rPr>
          <w:rFonts w:ascii="Times New Roman" w:hAnsi="Times New Roman" w:cs="Times New Roman"/>
          <w:noProof/>
          <w:color w:val="000000"/>
          <w:sz w:val="24"/>
          <w:szCs w:val="24"/>
          <w:lang w:val="en-US"/>
        </w:rPr>
        <w:t>e</w:t>
      </w:r>
      <w:r w:rsidR="00D749F6">
        <w:rPr>
          <w:rFonts w:ascii="Times New Roman" w:hAnsi="Times New Roman" w:cs="Times New Roman"/>
          <w:noProof/>
          <w:color w:val="000000"/>
          <w:sz w:val="24"/>
          <w:szCs w:val="24"/>
          <w:lang w:val="en-US"/>
        </w:rPr>
        <w:t xml:space="preserve">ments </w:t>
      </w:r>
      <w:r w:rsidRPr="00631EBA">
        <w:rPr>
          <w:rFonts w:ascii="Times New Roman" w:hAnsi="Times New Roman" w:cs="Times New Roman"/>
          <w:noProof/>
          <w:color w:val="000000"/>
          <w:sz w:val="24"/>
          <w:szCs w:val="24"/>
          <w:lang w:val="en-US"/>
        </w:rPr>
        <w:t xml:space="preserve">in 2021 </w:t>
      </w:r>
      <w:r w:rsidR="00132C93">
        <w:rPr>
          <w:rFonts w:ascii="Times New Roman" w:hAnsi="Times New Roman" w:cs="Times New Roman"/>
          <w:noProof/>
          <w:color w:val="000000"/>
          <w:sz w:val="24"/>
          <w:szCs w:val="24"/>
          <w:lang w:val="en-US"/>
        </w:rPr>
        <w:t>are highlighted</w:t>
      </w:r>
      <w:r w:rsidRPr="00631EBA">
        <w:rPr>
          <w:rFonts w:ascii="Times New Roman" w:hAnsi="Times New Roman" w:cs="Times New Roman"/>
          <w:noProof/>
          <w:color w:val="000000"/>
          <w:sz w:val="24"/>
          <w:szCs w:val="24"/>
          <w:lang w:val="en-US"/>
        </w:rPr>
        <w:t xml:space="preserve">: </w:t>
      </w:r>
    </w:p>
    <w:p w:rsidR="00E377E9" w:rsidRPr="00D32B88" w:rsidRDefault="00E377E9" w:rsidP="00E377E9">
      <w:pPr>
        <w:autoSpaceDE w:val="0"/>
        <w:autoSpaceDN w:val="0"/>
        <w:adjustRightInd w:val="0"/>
        <w:spacing w:after="0" w:line="240" w:lineRule="auto"/>
        <w:rPr>
          <w:rFonts w:ascii="Times New Roman" w:hAnsi="Times New Roman" w:cs="Times New Roman"/>
          <w:noProof/>
          <w:color w:val="000000"/>
          <w:sz w:val="24"/>
          <w:szCs w:val="24"/>
          <w:highlight w:val="lightGray"/>
          <w:lang w:val="en-US"/>
        </w:rPr>
      </w:pPr>
    </w:p>
    <w:p w:rsidR="00080240" w:rsidRPr="00E46201" w:rsidRDefault="00080240" w:rsidP="00080240">
      <w:pPr>
        <w:pStyle w:val="paragraph"/>
        <w:numPr>
          <w:ilvl w:val="0"/>
          <w:numId w:val="15"/>
        </w:numPr>
        <w:spacing w:before="0" w:beforeAutospacing="0" w:after="0" w:afterAutospacing="0"/>
        <w:jc w:val="both"/>
        <w:textAlignment w:val="baseline"/>
        <w:rPr>
          <w:rFonts w:ascii="Segoe UI" w:hAnsi="Segoe UI" w:cs="Segoe UI"/>
          <w:noProof/>
          <w:sz w:val="18"/>
          <w:szCs w:val="18"/>
        </w:rPr>
      </w:pPr>
      <w:r w:rsidRPr="00E46201">
        <w:rPr>
          <w:rStyle w:val="normaltextrun"/>
          <w:noProof/>
          <w:u w:val="single"/>
          <w:lang w:val="en-US"/>
        </w:rPr>
        <w:t>Caribbean region:</w:t>
      </w:r>
      <w:r w:rsidRPr="00E46201">
        <w:rPr>
          <w:rStyle w:val="eop"/>
          <w:noProof/>
        </w:rPr>
        <w:t> </w:t>
      </w:r>
    </w:p>
    <w:p w:rsidR="00080240" w:rsidRDefault="00080240" w:rsidP="00080240">
      <w:pPr>
        <w:pStyle w:val="paragraph"/>
        <w:spacing w:before="0" w:beforeAutospacing="0" w:after="0" w:afterAutospacing="0"/>
        <w:jc w:val="both"/>
        <w:textAlignment w:val="baseline"/>
        <w:rPr>
          <w:rFonts w:ascii="Segoe UI" w:hAnsi="Segoe UI" w:cs="Segoe UI"/>
          <w:noProof/>
          <w:sz w:val="18"/>
          <w:szCs w:val="18"/>
        </w:rPr>
      </w:pPr>
    </w:p>
    <w:p w:rsidR="00080240" w:rsidRPr="00E46201" w:rsidRDefault="00080240" w:rsidP="0008495B">
      <w:pPr>
        <w:spacing w:line="240" w:lineRule="auto"/>
        <w:jc w:val="both"/>
        <w:rPr>
          <w:rFonts w:ascii="Times New Roman" w:hAnsi="Times New Roman" w:cs="Times New Roman"/>
          <w:noProof/>
          <w:color w:val="000000"/>
          <w:sz w:val="24"/>
          <w:szCs w:val="24"/>
          <w:lang w:val="en-US"/>
        </w:rPr>
      </w:pPr>
      <w:r w:rsidRPr="00E46201">
        <w:rPr>
          <w:rFonts w:ascii="Times New Roman" w:hAnsi="Times New Roman" w:cs="Times New Roman"/>
          <w:noProof/>
          <w:color w:val="000000"/>
          <w:sz w:val="24"/>
          <w:szCs w:val="24"/>
        </w:rPr>
        <w:t xml:space="preserve">In the education sector, </w:t>
      </w:r>
      <w:r w:rsidR="003C6942" w:rsidRPr="0008495B">
        <w:rPr>
          <w:rFonts w:ascii="Times New Roman" w:hAnsi="Times New Roman" w:cs="Times New Roman"/>
          <w:b/>
          <w:noProof/>
          <w:color w:val="000000"/>
          <w:sz w:val="24"/>
          <w:szCs w:val="24"/>
        </w:rPr>
        <w:t>Aruba</w:t>
      </w:r>
      <w:r w:rsidR="003C6942" w:rsidRPr="00E46201">
        <w:rPr>
          <w:rFonts w:ascii="Times New Roman" w:hAnsi="Times New Roman" w:cs="Times New Roman"/>
          <w:noProof/>
          <w:color w:val="000000"/>
          <w:sz w:val="24"/>
          <w:szCs w:val="24"/>
        </w:rPr>
        <w:t xml:space="preserve"> continued the implementation of its programme on higher education (EUR 9.5 </w:t>
      </w:r>
      <w:r w:rsidR="003C6942">
        <w:rPr>
          <w:rFonts w:ascii="Times New Roman" w:hAnsi="Times New Roman" w:cs="Times New Roman"/>
          <w:noProof/>
          <w:color w:val="000000"/>
          <w:sz w:val="24"/>
          <w:szCs w:val="24"/>
        </w:rPr>
        <w:t>million</w:t>
      </w:r>
      <w:r w:rsidR="003C6942" w:rsidRPr="00E46201">
        <w:rPr>
          <w:rFonts w:ascii="Times New Roman" w:hAnsi="Times New Roman" w:cs="Times New Roman"/>
          <w:noProof/>
          <w:color w:val="000000"/>
          <w:sz w:val="24"/>
          <w:szCs w:val="24"/>
        </w:rPr>
        <w:t xml:space="preserve"> </w:t>
      </w:r>
      <w:r w:rsidR="003C6942">
        <w:rPr>
          <w:rFonts w:ascii="Times New Roman" w:hAnsi="Times New Roman" w:cs="Times New Roman"/>
          <w:noProof/>
          <w:color w:val="000000"/>
          <w:sz w:val="24"/>
          <w:szCs w:val="24"/>
        </w:rPr>
        <w:t xml:space="preserve">disbursed by </w:t>
      </w:r>
      <w:r w:rsidR="003C6942" w:rsidRPr="00E46201">
        <w:rPr>
          <w:rFonts w:ascii="Times New Roman" w:hAnsi="Times New Roman" w:cs="Times New Roman"/>
          <w:noProof/>
          <w:color w:val="000000"/>
          <w:sz w:val="24"/>
          <w:szCs w:val="24"/>
        </w:rPr>
        <w:t>end 2021) with the rollout of the innovative curriculum in the domain of Science Technology, Engineering and Mathematics (STEM).</w:t>
      </w:r>
      <w:r w:rsidR="003C6942">
        <w:rPr>
          <w:rFonts w:ascii="Times New Roman" w:hAnsi="Times New Roman" w:cs="Times New Roman"/>
          <w:noProof/>
          <w:color w:val="000000"/>
          <w:sz w:val="24"/>
          <w:szCs w:val="24"/>
        </w:rPr>
        <w:t xml:space="preserve"> T</w:t>
      </w:r>
      <w:r w:rsidRPr="00E46201">
        <w:rPr>
          <w:rFonts w:ascii="Times New Roman" w:hAnsi="Times New Roman" w:cs="Times New Roman"/>
          <w:noProof/>
          <w:color w:val="000000"/>
          <w:sz w:val="24"/>
          <w:szCs w:val="24"/>
        </w:rPr>
        <w:t xml:space="preserve">he budget support programme for </w:t>
      </w:r>
      <w:r w:rsidRPr="0008495B">
        <w:rPr>
          <w:rFonts w:ascii="Times New Roman" w:hAnsi="Times New Roman" w:cs="Times New Roman"/>
          <w:b/>
          <w:noProof/>
          <w:color w:val="000000"/>
          <w:sz w:val="24"/>
          <w:szCs w:val="24"/>
        </w:rPr>
        <w:t>Anguilla</w:t>
      </w:r>
      <w:r w:rsidRPr="00E46201">
        <w:rPr>
          <w:rFonts w:ascii="Times New Roman" w:hAnsi="Times New Roman" w:cs="Times New Roman"/>
          <w:noProof/>
          <w:color w:val="000000"/>
          <w:sz w:val="24"/>
          <w:szCs w:val="24"/>
        </w:rPr>
        <w:t xml:space="preserve"> supported the conduct of the first labour market survey</w:t>
      </w:r>
      <w:r w:rsidR="0062082D">
        <w:rPr>
          <w:rFonts w:ascii="Times New Roman" w:hAnsi="Times New Roman" w:cs="Times New Roman"/>
          <w:noProof/>
          <w:color w:val="000000"/>
          <w:sz w:val="24"/>
          <w:szCs w:val="24"/>
        </w:rPr>
        <w:t xml:space="preserve"> on the island</w:t>
      </w:r>
      <w:r w:rsidRPr="00E46201">
        <w:rPr>
          <w:rFonts w:ascii="Times New Roman" w:hAnsi="Times New Roman" w:cs="Times New Roman"/>
          <w:noProof/>
          <w:color w:val="000000"/>
          <w:sz w:val="24"/>
          <w:szCs w:val="24"/>
        </w:rPr>
        <w:t xml:space="preserve"> and the drafting of the Strategy for Education 2020 to 2025 (with the disbursement of the third variable tranche of EUR 0.90 </w:t>
      </w:r>
      <w:r w:rsidR="0062082D">
        <w:rPr>
          <w:rFonts w:ascii="Times New Roman" w:hAnsi="Times New Roman" w:cs="Times New Roman"/>
          <w:noProof/>
          <w:color w:val="000000"/>
          <w:sz w:val="24"/>
          <w:szCs w:val="24"/>
        </w:rPr>
        <w:t>million</w:t>
      </w:r>
      <w:r w:rsidRPr="00E46201">
        <w:rPr>
          <w:rFonts w:ascii="Times New Roman" w:hAnsi="Times New Roman" w:cs="Times New Roman"/>
          <w:noProof/>
          <w:color w:val="000000"/>
          <w:sz w:val="24"/>
          <w:szCs w:val="24"/>
        </w:rPr>
        <w:t xml:space="preserve">). </w:t>
      </w:r>
    </w:p>
    <w:p w:rsidR="004E38DB" w:rsidRPr="00E46201" w:rsidRDefault="004E38DB" w:rsidP="004E38DB">
      <w:pPr>
        <w:autoSpaceDE w:val="0"/>
        <w:autoSpaceDN w:val="0"/>
        <w:adjustRightInd w:val="0"/>
        <w:spacing w:after="0" w:line="240" w:lineRule="auto"/>
        <w:jc w:val="both"/>
        <w:rPr>
          <w:rFonts w:ascii="Times New Roman" w:hAnsi="Times New Roman" w:cs="Times New Roman"/>
          <w:noProof/>
          <w:color w:val="000000"/>
          <w:sz w:val="24"/>
          <w:szCs w:val="24"/>
          <w:lang w:val="en-US"/>
        </w:rPr>
      </w:pPr>
      <w:r w:rsidRPr="00E46201">
        <w:rPr>
          <w:rFonts w:ascii="Times New Roman" w:hAnsi="Times New Roman" w:cs="Times New Roman"/>
          <w:noProof/>
          <w:color w:val="000000"/>
          <w:sz w:val="24"/>
          <w:szCs w:val="24"/>
        </w:rPr>
        <w:t xml:space="preserve">The budget support programme for </w:t>
      </w:r>
      <w:r w:rsidRPr="0035529D">
        <w:rPr>
          <w:rFonts w:ascii="Times New Roman" w:hAnsi="Times New Roman" w:cs="Times New Roman"/>
          <w:b/>
          <w:noProof/>
          <w:color w:val="000000"/>
          <w:sz w:val="24"/>
          <w:szCs w:val="24"/>
        </w:rPr>
        <w:t>Bonaire</w:t>
      </w:r>
      <w:r w:rsidRPr="00E46201">
        <w:rPr>
          <w:rFonts w:ascii="Times New Roman" w:hAnsi="Times New Roman" w:cs="Times New Roman"/>
          <w:noProof/>
          <w:color w:val="000000"/>
          <w:sz w:val="24"/>
          <w:szCs w:val="24"/>
        </w:rPr>
        <w:t xml:space="preserve"> advanced well in the field of youth</w:t>
      </w:r>
      <w:r w:rsidR="003C6942">
        <w:rPr>
          <w:rFonts w:ascii="Times New Roman" w:hAnsi="Times New Roman" w:cs="Times New Roman"/>
          <w:noProof/>
          <w:color w:val="000000"/>
          <w:sz w:val="24"/>
          <w:szCs w:val="24"/>
        </w:rPr>
        <w:t>,</w:t>
      </w:r>
      <w:r w:rsidRPr="00E46201">
        <w:rPr>
          <w:rFonts w:ascii="Times New Roman" w:hAnsi="Times New Roman" w:cs="Times New Roman"/>
          <w:noProof/>
          <w:color w:val="000000"/>
          <w:sz w:val="24"/>
          <w:szCs w:val="24"/>
        </w:rPr>
        <w:t xml:space="preserve"> with the set-up of a childcare regulation and comprehensive child development centres. The first fixed tranche (EUR </w:t>
      </w:r>
      <w:r w:rsidRPr="00E46201">
        <w:rPr>
          <w:rFonts w:ascii="Times New Roman" w:hAnsi="Times New Roman" w:cs="Times New Roman"/>
          <w:noProof/>
          <w:color w:val="000000"/>
          <w:sz w:val="24"/>
          <w:szCs w:val="24"/>
          <w:lang w:val="en-US"/>
        </w:rPr>
        <w:t>2.16 M) was disbursed. </w:t>
      </w:r>
    </w:p>
    <w:p w:rsidR="00805EE6" w:rsidRDefault="00805EE6" w:rsidP="00E46201">
      <w:pPr>
        <w:autoSpaceDE w:val="0"/>
        <w:autoSpaceDN w:val="0"/>
        <w:adjustRightInd w:val="0"/>
        <w:spacing w:after="0" w:line="240" w:lineRule="auto"/>
        <w:jc w:val="both"/>
        <w:rPr>
          <w:rFonts w:ascii="Times New Roman" w:hAnsi="Times New Roman" w:cs="Times New Roman"/>
          <w:noProof/>
          <w:color w:val="000000"/>
          <w:sz w:val="24"/>
          <w:szCs w:val="24"/>
          <w:lang w:val="en-US"/>
        </w:rPr>
      </w:pPr>
    </w:p>
    <w:p w:rsidR="00080240" w:rsidRDefault="00805EE6" w:rsidP="00E46201">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 xml:space="preserve">In the water and sanitation sector, in </w:t>
      </w:r>
      <w:r w:rsidRPr="00757F73">
        <w:rPr>
          <w:rFonts w:ascii="Times New Roman" w:hAnsi="Times New Roman" w:cs="Times New Roman"/>
          <w:b/>
          <w:noProof/>
          <w:color w:val="000000"/>
          <w:sz w:val="24"/>
          <w:szCs w:val="24"/>
          <w:lang w:val="en-US"/>
        </w:rPr>
        <w:t>Sint Maarten</w:t>
      </w:r>
      <w:r w:rsidRPr="00631EBA">
        <w:rPr>
          <w:rFonts w:ascii="Times New Roman" w:hAnsi="Times New Roman" w:cs="Times New Roman"/>
          <w:noProof/>
          <w:color w:val="000000"/>
          <w:sz w:val="24"/>
          <w:szCs w:val="24"/>
          <w:lang w:val="en-US"/>
        </w:rPr>
        <w:t xml:space="preserve"> </w:t>
      </w:r>
      <w:r w:rsidRPr="00631EBA">
        <w:rPr>
          <w:rFonts w:ascii="Times New Roman" w:hAnsi="Times New Roman" w:cs="Times New Roman"/>
          <w:noProof/>
          <w:color w:val="000000"/>
          <w:sz w:val="24"/>
          <w:szCs w:val="24"/>
        </w:rPr>
        <w:t xml:space="preserve">implementation started </w:t>
      </w:r>
      <w:r>
        <w:rPr>
          <w:rFonts w:ascii="Times New Roman" w:hAnsi="Times New Roman" w:cs="Times New Roman"/>
          <w:noProof/>
          <w:color w:val="000000"/>
          <w:sz w:val="24"/>
          <w:szCs w:val="24"/>
        </w:rPr>
        <w:t xml:space="preserve">with the signature of the Financing Agreement and </w:t>
      </w:r>
      <w:r w:rsidR="003C6942">
        <w:rPr>
          <w:rFonts w:ascii="Times New Roman" w:hAnsi="Times New Roman" w:cs="Times New Roman"/>
          <w:noProof/>
          <w:color w:val="000000"/>
          <w:sz w:val="24"/>
          <w:szCs w:val="24"/>
          <w:lang w:val="en-US"/>
        </w:rPr>
        <w:t>the</w:t>
      </w:r>
      <w:r>
        <w:rPr>
          <w:rFonts w:ascii="Times New Roman" w:hAnsi="Times New Roman" w:cs="Times New Roman"/>
          <w:noProof/>
          <w:color w:val="000000"/>
          <w:sz w:val="24"/>
          <w:szCs w:val="24"/>
          <w:lang w:val="en-US"/>
        </w:rPr>
        <w:t xml:space="preserve"> launch</w:t>
      </w:r>
      <w:r w:rsidR="003C6942">
        <w:rPr>
          <w:rFonts w:ascii="Times New Roman" w:hAnsi="Times New Roman" w:cs="Times New Roman"/>
          <w:noProof/>
          <w:color w:val="000000"/>
          <w:sz w:val="24"/>
          <w:szCs w:val="24"/>
          <w:lang w:val="en-US"/>
        </w:rPr>
        <w:t xml:space="preserve"> of the procurement</w:t>
      </w:r>
      <w:r>
        <w:rPr>
          <w:rFonts w:ascii="Times New Roman" w:hAnsi="Times New Roman" w:cs="Times New Roman"/>
          <w:noProof/>
          <w:color w:val="000000"/>
          <w:sz w:val="24"/>
          <w:szCs w:val="24"/>
          <w:lang w:val="en-US"/>
        </w:rPr>
        <w:t xml:space="preserve"> for</w:t>
      </w:r>
      <w:r w:rsidR="003C6942">
        <w:rPr>
          <w:rFonts w:ascii="Times New Roman" w:hAnsi="Times New Roman" w:cs="Times New Roman"/>
          <w:noProof/>
          <w:color w:val="000000"/>
          <w:sz w:val="24"/>
          <w:szCs w:val="24"/>
          <w:lang w:val="en-US"/>
        </w:rPr>
        <w:t xml:space="preserve"> the</w:t>
      </w:r>
      <w:r>
        <w:rPr>
          <w:rFonts w:ascii="Times New Roman" w:hAnsi="Times New Roman" w:cs="Times New Roman"/>
          <w:noProof/>
          <w:color w:val="000000"/>
          <w:sz w:val="24"/>
          <w:szCs w:val="24"/>
          <w:lang w:val="en-US"/>
        </w:rPr>
        <w:t xml:space="preserve"> </w:t>
      </w:r>
      <w:r w:rsidRPr="00E5326F">
        <w:rPr>
          <w:rFonts w:ascii="Times New Roman" w:hAnsi="Times New Roman" w:cs="Times New Roman"/>
          <w:noProof/>
          <w:color w:val="000000"/>
          <w:sz w:val="24"/>
          <w:szCs w:val="24"/>
          <w:lang w:val="en-US"/>
        </w:rPr>
        <w:t xml:space="preserve">technical assistance of EUR 880 000 to </w:t>
      </w:r>
      <w:r w:rsidR="003C6942">
        <w:rPr>
          <w:rFonts w:ascii="Times New Roman" w:hAnsi="Times New Roman" w:cs="Times New Roman"/>
          <w:noProof/>
          <w:color w:val="000000"/>
          <w:sz w:val="24"/>
          <w:szCs w:val="24"/>
          <w:lang w:val="en-US"/>
        </w:rPr>
        <w:t xml:space="preserve">develop </w:t>
      </w:r>
      <w:r w:rsidRPr="00E5326F">
        <w:rPr>
          <w:rFonts w:ascii="Times New Roman" w:hAnsi="Times New Roman" w:cs="Times New Roman"/>
          <w:noProof/>
          <w:color w:val="000000"/>
          <w:sz w:val="24"/>
          <w:szCs w:val="24"/>
          <w:lang w:val="en-US"/>
        </w:rPr>
        <w:t>cross-border</w:t>
      </w:r>
      <w:r>
        <w:rPr>
          <w:rFonts w:ascii="Times New Roman" w:hAnsi="Times New Roman" w:cs="Times New Roman"/>
          <w:noProof/>
          <w:color w:val="000000"/>
          <w:sz w:val="24"/>
          <w:szCs w:val="24"/>
          <w:lang w:val="en-US"/>
        </w:rPr>
        <w:t xml:space="preserve"> cooperation</w:t>
      </w:r>
      <w:r w:rsidRPr="00E5326F">
        <w:rPr>
          <w:rFonts w:ascii="Times New Roman" w:hAnsi="Times New Roman" w:cs="Times New Roman"/>
          <w:noProof/>
          <w:color w:val="000000"/>
          <w:sz w:val="24"/>
          <w:szCs w:val="24"/>
          <w:lang w:val="en-US"/>
        </w:rPr>
        <w:t>. Sint Maarten also benefit</w:t>
      </w:r>
      <w:r>
        <w:rPr>
          <w:rFonts w:ascii="Times New Roman" w:hAnsi="Times New Roman" w:cs="Times New Roman"/>
          <w:noProof/>
          <w:color w:val="000000"/>
          <w:sz w:val="24"/>
          <w:szCs w:val="24"/>
          <w:lang w:val="en-US"/>
        </w:rPr>
        <w:t>ted</w:t>
      </w:r>
      <w:r w:rsidRPr="00E5326F">
        <w:rPr>
          <w:rFonts w:ascii="Times New Roman" w:hAnsi="Times New Roman" w:cs="Times New Roman"/>
          <w:noProof/>
          <w:color w:val="000000"/>
          <w:sz w:val="24"/>
          <w:szCs w:val="24"/>
          <w:lang w:val="en-US"/>
        </w:rPr>
        <w:t xml:space="preserve"> from the resilience building and disaster respo</w:t>
      </w:r>
      <w:r w:rsidR="003C6942">
        <w:rPr>
          <w:rFonts w:ascii="Times New Roman" w:hAnsi="Times New Roman" w:cs="Times New Roman"/>
          <w:noProof/>
          <w:color w:val="000000"/>
          <w:sz w:val="24"/>
          <w:szCs w:val="24"/>
          <w:lang w:val="en-US"/>
        </w:rPr>
        <w:t>nse under the 11</w:t>
      </w:r>
      <w:r w:rsidR="003C6942" w:rsidRPr="003C6942">
        <w:rPr>
          <w:rFonts w:ascii="Times New Roman" w:hAnsi="Times New Roman" w:cs="Times New Roman"/>
          <w:noProof/>
          <w:color w:val="000000"/>
          <w:sz w:val="24"/>
          <w:szCs w:val="24"/>
          <w:vertAlign w:val="superscript"/>
          <w:lang w:val="en-US"/>
        </w:rPr>
        <w:t>th</w:t>
      </w:r>
      <w:r w:rsidRPr="00E5326F">
        <w:rPr>
          <w:rFonts w:ascii="Times New Roman" w:hAnsi="Times New Roman" w:cs="Times New Roman"/>
          <w:noProof/>
          <w:color w:val="000000"/>
          <w:sz w:val="24"/>
          <w:szCs w:val="24"/>
          <w:lang w:val="en-US"/>
        </w:rPr>
        <w:t xml:space="preserve"> EDF emergency envelope</w:t>
      </w:r>
      <w:r>
        <w:rPr>
          <w:rFonts w:ascii="Times New Roman" w:hAnsi="Times New Roman" w:cs="Times New Roman"/>
          <w:noProof/>
          <w:color w:val="000000"/>
          <w:sz w:val="24"/>
          <w:szCs w:val="24"/>
          <w:lang w:val="en-US"/>
        </w:rPr>
        <w:t xml:space="preserve"> (EUR 4.34 million disbursed in 2021) and completed the </w:t>
      </w:r>
      <w:r w:rsidRPr="00E5326F">
        <w:rPr>
          <w:rFonts w:ascii="Times New Roman" w:hAnsi="Times New Roman" w:cs="Times New Roman"/>
          <w:noProof/>
          <w:color w:val="000000"/>
          <w:sz w:val="24"/>
          <w:szCs w:val="24"/>
          <w:lang w:val="en-US"/>
        </w:rPr>
        <w:t>selection</w:t>
      </w:r>
      <w:r>
        <w:rPr>
          <w:rFonts w:ascii="Times New Roman" w:hAnsi="Times New Roman" w:cs="Times New Roman"/>
          <w:noProof/>
          <w:color w:val="000000"/>
          <w:sz w:val="24"/>
          <w:szCs w:val="24"/>
          <w:lang w:val="en-US"/>
        </w:rPr>
        <w:t xml:space="preserve"> </w:t>
      </w:r>
      <w:r w:rsidRPr="00E5326F">
        <w:rPr>
          <w:rFonts w:ascii="Times New Roman" w:hAnsi="Times New Roman" w:cs="Times New Roman"/>
          <w:noProof/>
          <w:color w:val="000000"/>
          <w:sz w:val="24"/>
          <w:szCs w:val="24"/>
          <w:lang w:val="en-US"/>
        </w:rPr>
        <w:t xml:space="preserve">of two </w:t>
      </w:r>
      <w:r>
        <w:rPr>
          <w:rFonts w:ascii="Times New Roman" w:hAnsi="Times New Roman" w:cs="Times New Roman"/>
          <w:noProof/>
          <w:color w:val="000000"/>
          <w:sz w:val="24"/>
          <w:szCs w:val="24"/>
          <w:lang w:val="en-US"/>
        </w:rPr>
        <w:t xml:space="preserve">critical construction </w:t>
      </w:r>
      <w:r w:rsidRPr="00E5326F">
        <w:rPr>
          <w:rFonts w:ascii="Times New Roman" w:hAnsi="Times New Roman" w:cs="Times New Roman"/>
          <w:noProof/>
          <w:color w:val="000000"/>
          <w:sz w:val="24"/>
          <w:szCs w:val="24"/>
          <w:lang w:val="en-US"/>
        </w:rPr>
        <w:t xml:space="preserve">sites for shelters </w:t>
      </w:r>
      <w:r w:rsidR="0074667F">
        <w:rPr>
          <w:rFonts w:ascii="Times New Roman" w:hAnsi="Times New Roman" w:cs="Times New Roman"/>
          <w:noProof/>
          <w:color w:val="000000"/>
          <w:sz w:val="24"/>
          <w:szCs w:val="24"/>
          <w:lang w:val="en-US"/>
        </w:rPr>
        <w:t xml:space="preserve">which will allow </w:t>
      </w:r>
      <w:r w:rsidRPr="00E5326F">
        <w:rPr>
          <w:rFonts w:ascii="Times New Roman" w:hAnsi="Times New Roman" w:cs="Times New Roman"/>
          <w:noProof/>
          <w:color w:val="000000"/>
          <w:sz w:val="24"/>
          <w:szCs w:val="24"/>
          <w:lang w:val="en-US"/>
        </w:rPr>
        <w:t xml:space="preserve">better preparedness </w:t>
      </w:r>
      <w:r>
        <w:rPr>
          <w:rFonts w:ascii="Times New Roman" w:hAnsi="Times New Roman" w:cs="Times New Roman"/>
          <w:noProof/>
          <w:color w:val="000000"/>
          <w:sz w:val="24"/>
          <w:szCs w:val="24"/>
          <w:lang w:val="en-US"/>
        </w:rPr>
        <w:t xml:space="preserve">of the island to cope with natural </w:t>
      </w:r>
      <w:r w:rsidRPr="00E5326F">
        <w:rPr>
          <w:rFonts w:ascii="Times New Roman" w:hAnsi="Times New Roman" w:cs="Times New Roman"/>
          <w:noProof/>
          <w:color w:val="000000"/>
          <w:sz w:val="24"/>
          <w:szCs w:val="24"/>
          <w:lang w:val="en-US"/>
        </w:rPr>
        <w:t>disasters</w:t>
      </w:r>
      <w:r>
        <w:rPr>
          <w:rFonts w:ascii="Times New Roman" w:hAnsi="Times New Roman" w:cs="Times New Roman"/>
          <w:noProof/>
          <w:color w:val="000000"/>
          <w:sz w:val="24"/>
          <w:szCs w:val="24"/>
          <w:lang w:val="en-US"/>
        </w:rPr>
        <w:t>.</w:t>
      </w:r>
      <w:r w:rsidRPr="00522A9C">
        <w:rPr>
          <w:rFonts w:ascii="Times New Roman" w:hAnsi="Times New Roman" w:cs="Times New Roman"/>
          <w:noProof/>
          <w:color w:val="000000"/>
          <w:sz w:val="24"/>
          <w:szCs w:val="24"/>
          <w:lang w:val="en-US"/>
        </w:rPr>
        <w:t xml:space="preserve"> </w:t>
      </w:r>
      <w:r>
        <w:rPr>
          <w:rFonts w:ascii="Times New Roman" w:hAnsi="Times New Roman" w:cs="Times New Roman"/>
          <w:noProof/>
          <w:color w:val="000000"/>
          <w:sz w:val="24"/>
          <w:szCs w:val="24"/>
          <w:lang w:val="en-US"/>
        </w:rPr>
        <w:t xml:space="preserve">Also </w:t>
      </w:r>
      <w:r w:rsidRPr="0002141C">
        <w:rPr>
          <w:rFonts w:ascii="Times New Roman" w:hAnsi="Times New Roman" w:cs="Times New Roman"/>
          <w:b/>
          <w:noProof/>
          <w:color w:val="000000"/>
          <w:sz w:val="24"/>
          <w:szCs w:val="24"/>
          <w:lang w:val="en-US"/>
        </w:rPr>
        <w:t>Curacao</w:t>
      </w:r>
      <w:r>
        <w:rPr>
          <w:rFonts w:ascii="Times New Roman" w:hAnsi="Times New Roman" w:cs="Times New Roman"/>
          <w:noProof/>
          <w:color w:val="000000"/>
          <w:sz w:val="24"/>
          <w:szCs w:val="24"/>
          <w:lang w:val="en-US"/>
        </w:rPr>
        <w:t xml:space="preserve"> advanced its programme to enchance the island’s resillience, </w:t>
      </w:r>
      <w:r>
        <w:rPr>
          <w:rFonts w:ascii="Times New Roman" w:hAnsi="Times New Roman" w:cs="Times New Roman"/>
          <w:noProof/>
          <w:color w:val="000000"/>
          <w:sz w:val="24"/>
          <w:szCs w:val="24"/>
        </w:rPr>
        <w:t>with the signature of the Financing Agreement</w:t>
      </w:r>
      <w:r w:rsidRPr="0062082D">
        <w:rPr>
          <w:rFonts w:ascii="Times New Roman" w:hAnsi="Times New Roman" w:cs="Times New Roman"/>
          <w:noProof/>
          <w:color w:val="000000"/>
          <w:sz w:val="24"/>
          <w:szCs w:val="24"/>
        </w:rPr>
        <w:t xml:space="preserve"> </w:t>
      </w:r>
      <w:r w:rsidRPr="00631EBA">
        <w:rPr>
          <w:rFonts w:ascii="Times New Roman" w:hAnsi="Times New Roman" w:cs="Times New Roman"/>
          <w:noProof/>
          <w:color w:val="000000"/>
          <w:sz w:val="24"/>
          <w:szCs w:val="24"/>
        </w:rPr>
        <w:t>in 2021</w:t>
      </w:r>
      <w:r w:rsidRPr="00631EBA">
        <w:rPr>
          <w:rFonts w:ascii="Times New Roman" w:hAnsi="Times New Roman" w:cs="Times New Roman"/>
          <w:b/>
          <w:noProof/>
          <w:vertAlign w:val="superscript"/>
        </w:rPr>
        <w:footnoteReference w:id="6"/>
      </w:r>
      <w:r>
        <w:rPr>
          <w:rFonts w:ascii="Times New Roman" w:hAnsi="Times New Roman" w:cs="Times New Roman"/>
          <w:noProof/>
          <w:color w:val="000000"/>
          <w:sz w:val="24"/>
          <w:szCs w:val="24"/>
        </w:rPr>
        <w:t>.</w:t>
      </w:r>
    </w:p>
    <w:p w:rsidR="00101049" w:rsidRDefault="00101049" w:rsidP="00E46201">
      <w:pPr>
        <w:autoSpaceDE w:val="0"/>
        <w:autoSpaceDN w:val="0"/>
        <w:adjustRightInd w:val="0"/>
        <w:spacing w:after="0" w:line="240" w:lineRule="auto"/>
        <w:jc w:val="both"/>
        <w:rPr>
          <w:rFonts w:ascii="Times New Roman" w:hAnsi="Times New Roman" w:cs="Times New Roman"/>
          <w:noProof/>
          <w:color w:val="000000"/>
          <w:sz w:val="24"/>
          <w:szCs w:val="24"/>
        </w:rPr>
      </w:pPr>
    </w:p>
    <w:p w:rsidR="00101049" w:rsidRPr="00E46201" w:rsidRDefault="00101049" w:rsidP="00101049">
      <w:pPr>
        <w:autoSpaceDE w:val="0"/>
        <w:autoSpaceDN w:val="0"/>
        <w:adjustRightInd w:val="0"/>
        <w:spacing w:after="0" w:line="240" w:lineRule="auto"/>
        <w:jc w:val="both"/>
        <w:rPr>
          <w:rFonts w:ascii="Times New Roman" w:hAnsi="Times New Roman" w:cs="Times New Roman"/>
          <w:noProof/>
          <w:color w:val="000000"/>
          <w:sz w:val="24"/>
          <w:szCs w:val="24"/>
          <w:lang w:val="en-US"/>
        </w:rPr>
      </w:pPr>
      <w:r w:rsidRPr="00E46201">
        <w:rPr>
          <w:rFonts w:ascii="Times New Roman" w:hAnsi="Times New Roman" w:cs="Times New Roman"/>
          <w:noProof/>
          <w:color w:val="000000"/>
          <w:sz w:val="24"/>
          <w:szCs w:val="24"/>
        </w:rPr>
        <w:t xml:space="preserve">Progress was also </w:t>
      </w:r>
      <w:r>
        <w:rPr>
          <w:rFonts w:ascii="Times New Roman" w:hAnsi="Times New Roman" w:cs="Times New Roman"/>
          <w:noProof/>
          <w:color w:val="000000"/>
          <w:sz w:val="24"/>
          <w:szCs w:val="24"/>
        </w:rPr>
        <w:t xml:space="preserve">observed </w:t>
      </w:r>
      <w:r w:rsidRPr="00E46201">
        <w:rPr>
          <w:rFonts w:ascii="Times New Roman" w:hAnsi="Times New Roman" w:cs="Times New Roman"/>
          <w:noProof/>
          <w:color w:val="000000"/>
          <w:sz w:val="24"/>
          <w:szCs w:val="24"/>
        </w:rPr>
        <w:t xml:space="preserve">on sustainable growth through the ongoing budget support programme for </w:t>
      </w:r>
      <w:r w:rsidRPr="0008495B">
        <w:rPr>
          <w:rFonts w:ascii="Times New Roman" w:hAnsi="Times New Roman" w:cs="Times New Roman"/>
          <w:b/>
          <w:noProof/>
          <w:color w:val="000000"/>
          <w:sz w:val="24"/>
          <w:szCs w:val="24"/>
        </w:rPr>
        <w:t>Montserrat</w:t>
      </w:r>
      <w:r w:rsidRPr="00E46201">
        <w:rPr>
          <w:rFonts w:ascii="Times New Roman" w:hAnsi="Times New Roman" w:cs="Times New Roman"/>
          <w:noProof/>
          <w:color w:val="000000"/>
          <w:sz w:val="24"/>
          <w:szCs w:val="24"/>
        </w:rPr>
        <w:t xml:space="preserve"> with the disbursement of the fourth fixed tranch</w:t>
      </w:r>
      <w:r>
        <w:rPr>
          <w:rFonts w:ascii="Times New Roman" w:hAnsi="Times New Roman" w:cs="Times New Roman"/>
          <w:noProof/>
          <w:color w:val="000000"/>
          <w:sz w:val="24"/>
          <w:szCs w:val="24"/>
        </w:rPr>
        <w:t xml:space="preserve">e (EUR 2 M). This programme supported </w:t>
      </w:r>
      <w:r w:rsidR="00C57422">
        <w:rPr>
          <w:rFonts w:ascii="Times New Roman" w:hAnsi="Times New Roman" w:cs="Times New Roman"/>
          <w:noProof/>
          <w:color w:val="000000"/>
          <w:sz w:val="24"/>
          <w:szCs w:val="24"/>
        </w:rPr>
        <w:t>an higher</w:t>
      </w:r>
      <w:r w:rsidRPr="00E46201">
        <w:rPr>
          <w:rFonts w:ascii="Times New Roman" w:hAnsi="Times New Roman" w:cs="Times New Roman"/>
          <w:noProof/>
          <w:color w:val="000000"/>
          <w:sz w:val="24"/>
          <w:szCs w:val="24"/>
        </w:rPr>
        <w:t xml:space="preserve"> share of renewable energy sources to the national grid (both solar and geo</w:t>
      </w:r>
      <w:r>
        <w:rPr>
          <w:rFonts w:ascii="Times New Roman" w:hAnsi="Times New Roman" w:cs="Times New Roman"/>
          <w:noProof/>
          <w:color w:val="000000"/>
          <w:sz w:val="24"/>
          <w:szCs w:val="24"/>
        </w:rPr>
        <w:t>thermal) and increased accessibility through the improvement of the airport facilities</w:t>
      </w:r>
      <w:r w:rsidRPr="00E46201">
        <w:rPr>
          <w:rFonts w:ascii="Times New Roman" w:hAnsi="Times New Roman" w:cs="Times New Roman"/>
          <w:noProof/>
          <w:color w:val="000000"/>
          <w:sz w:val="24"/>
          <w:szCs w:val="24"/>
        </w:rPr>
        <w:t>.</w:t>
      </w:r>
      <w:r w:rsidRPr="00E46201">
        <w:rPr>
          <w:rFonts w:ascii="Times New Roman" w:hAnsi="Times New Roman" w:cs="Times New Roman"/>
          <w:noProof/>
          <w:color w:val="000000"/>
          <w:sz w:val="24"/>
          <w:szCs w:val="24"/>
          <w:lang w:val="en-US"/>
        </w:rPr>
        <w:t> </w:t>
      </w:r>
    </w:p>
    <w:p w:rsidR="00805EE6" w:rsidRPr="00E46201" w:rsidRDefault="00805EE6" w:rsidP="00E46201">
      <w:pPr>
        <w:autoSpaceDE w:val="0"/>
        <w:autoSpaceDN w:val="0"/>
        <w:adjustRightInd w:val="0"/>
        <w:spacing w:after="0" w:line="240" w:lineRule="auto"/>
        <w:jc w:val="both"/>
        <w:rPr>
          <w:rFonts w:ascii="Times New Roman" w:hAnsi="Times New Roman" w:cs="Times New Roman"/>
          <w:noProof/>
          <w:color w:val="000000"/>
          <w:sz w:val="24"/>
          <w:szCs w:val="24"/>
          <w:lang w:val="en-US"/>
        </w:rPr>
      </w:pPr>
    </w:p>
    <w:p w:rsidR="00080240" w:rsidRPr="00E46201" w:rsidRDefault="00080240" w:rsidP="00080240">
      <w:pPr>
        <w:pStyle w:val="paragraph"/>
        <w:numPr>
          <w:ilvl w:val="0"/>
          <w:numId w:val="15"/>
        </w:numPr>
        <w:spacing w:before="0" w:beforeAutospacing="0" w:after="0" w:afterAutospacing="0"/>
        <w:jc w:val="both"/>
        <w:textAlignment w:val="baseline"/>
        <w:rPr>
          <w:rFonts w:ascii="Segoe UI" w:hAnsi="Segoe UI" w:cs="Segoe UI"/>
          <w:noProof/>
          <w:sz w:val="18"/>
          <w:szCs w:val="18"/>
        </w:rPr>
      </w:pPr>
      <w:r w:rsidRPr="00E46201">
        <w:rPr>
          <w:rStyle w:val="normaltextrun"/>
          <w:noProof/>
          <w:u w:val="single"/>
          <w:lang w:val="en-US"/>
        </w:rPr>
        <w:t>Pacific region:</w:t>
      </w:r>
      <w:r w:rsidRPr="00E46201">
        <w:rPr>
          <w:rStyle w:val="eop"/>
          <w:noProof/>
        </w:rPr>
        <w:t> </w:t>
      </w:r>
    </w:p>
    <w:p w:rsidR="00080240" w:rsidRDefault="00080240" w:rsidP="00080240">
      <w:pPr>
        <w:pStyle w:val="paragraph"/>
        <w:spacing w:before="0" w:beforeAutospacing="0" w:after="0" w:afterAutospacing="0"/>
        <w:jc w:val="both"/>
        <w:textAlignment w:val="baseline"/>
        <w:rPr>
          <w:rFonts w:ascii="Segoe UI" w:hAnsi="Segoe UI" w:cs="Segoe UI"/>
          <w:noProof/>
          <w:sz w:val="18"/>
          <w:szCs w:val="18"/>
        </w:rPr>
      </w:pPr>
    </w:p>
    <w:p w:rsidR="002D69F0" w:rsidRDefault="002D69F0" w:rsidP="00E46201">
      <w:pPr>
        <w:spacing w:after="0" w:line="240" w:lineRule="auto"/>
        <w:jc w:val="both"/>
        <w:textAlignment w:val="baseline"/>
        <w:rPr>
          <w:rFonts w:ascii="Times New Roman" w:eastAsia="Times New Roman" w:hAnsi="Times New Roman" w:cs="Times New Roman"/>
          <w:noProof/>
          <w:sz w:val="24"/>
          <w:szCs w:val="24"/>
          <w:lang w:val="en-IE"/>
        </w:rPr>
      </w:pPr>
      <w:r w:rsidRPr="00E46201">
        <w:rPr>
          <w:rFonts w:ascii="Times New Roman" w:hAnsi="Times New Roman" w:cs="Times New Roman"/>
          <w:noProof/>
          <w:color w:val="000000"/>
          <w:sz w:val="24"/>
          <w:szCs w:val="24"/>
        </w:rPr>
        <w:t xml:space="preserve">In </w:t>
      </w:r>
      <w:r w:rsidRPr="0008495B">
        <w:rPr>
          <w:rFonts w:ascii="Times New Roman" w:hAnsi="Times New Roman" w:cs="Times New Roman"/>
          <w:b/>
          <w:noProof/>
          <w:color w:val="000000"/>
          <w:sz w:val="24"/>
          <w:szCs w:val="24"/>
        </w:rPr>
        <w:t>New Caledonia</w:t>
      </w:r>
      <w:r w:rsidRPr="00E46201">
        <w:rPr>
          <w:rFonts w:ascii="Times New Roman" w:hAnsi="Times New Roman" w:cs="Times New Roman"/>
          <w:noProof/>
          <w:color w:val="000000"/>
          <w:sz w:val="24"/>
          <w:szCs w:val="24"/>
        </w:rPr>
        <w:t xml:space="preserve">, the budget support programme for employment and professional integration continued to </w:t>
      </w:r>
      <w:r w:rsidR="00522A9C">
        <w:rPr>
          <w:rFonts w:ascii="Times New Roman" w:hAnsi="Times New Roman" w:cs="Times New Roman"/>
          <w:noProof/>
          <w:color w:val="000000"/>
          <w:sz w:val="24"/>
          <w:szCs w:val="24"/>
        </w:rPr>
        <w:t xml:space="preserve">enhance </w:t>
      </w:r>
      <w:r w:rsidRPr="00E46201">
        <w:rPr>
          <w:rFonts w:ascii="Times New Roman" w:hAnsi="Times New Roman" w:cs="Times New Roman"/>
          <w:noProof/>
          <w:color w:val="000000"/>
          <w:sz w:val="24"/>
          <w:szCs w:val="24"/>
        </w:rPr>
        <w:t>better access to training programmes. The budget support</w:t>
      </w:r>
      <w:r w:rsidRPr="2FD5D0F2">
        <w:rPr>
          <w:rFonts w:ascii="Times New Roman" w:eastAsia="Times New Roman" w:hAnsi="Times New Roman" w:cs="Times New Roman"/>
          <w:noProof/>
          <w:sz w:val="24"/>
          <w:szCs w:val="24"/>
        </w:rPr>
        <w:t xml:space="preserve"> programme for the tourism sector in </w:t>
      </w:r>
      <w:r w:rsidRPr="2FD5D0F2">
        <w:rPr>
          <w:rFonts w:ascii="Times New Roman" w:eastAsia="Times New Roman" w:hAnsi="Times New Roman" w:cs="Times New Roman"/>
          <w:b/>
          <w:bCs/>
          <w:noProof/>
          <w:sz w:val="24"/>
          <w:szCs w:val="24"/>
        </w:rPr>
        <w:t>French Polynesia</w:t>
      </w:r>
      <w:r w:rsidR="0074667F">
        <w:rPr>
          <w:rFonts w:ascii="Times New Roman" w:eastAsia="Times New Roman" w:hAnsi="Times New Roman" w:cs="Times New Roman"/>
          <w:noProof/>
          <w:sz w:val="24"/>
          <w:szCs w:val="24"/>
        </w:rPr>
        <w:t xml:space="preserve"> contributed to</w:t>
      </w:r>
      <w:r w:rsidRPr="2FD5D0F2">
        <w:rPr>
          <w:rFonts w:ascii="Times New Roman" w:eastAsia="Times New Roman" w:hAnsi="Times New Roman" w:cs="Times New Roman"/>
          <w:noProof/>
          <w:sz w:val="24"/>
          <w:szCs w:val="24"/>
        </w:rPr>
        <w:t xml:space="preserve"> mitigating </w:t>
      </w:r>
      <w:r w:rsidR="0074667F">
        <w:rPr>
          <w:rFonts w:ascii="Times New Roman" w:eastAsia="Times New Roman" w:hAnsi="Times New Roman" w:cs="Times New Roman"/>
          <w:noProof/>
          <w:sz w:val="24"/>
          <w:szCs w:val="24"/>
        </w:rPr>
        <w:t xml:space="preserve">the </w:t>
      </w:r>
      <w:r w:rsidRPr="2FD5D0F2">
        <w:rPr>
          <w:rFonts w:ascii="Times New Roman" w:eastAsia="Times New Roman" w:hAnsi="Times New Roman" w:cs="Times New Roman"/>
          <w:noProof/>
          <w:sz w:val="24"/>
          <w:szCs w:val="24"/>
        </w:rPr>
        <w:t>adverse effects of the</w:t>
      </w:r>
      <w:r w:rsidR="0074667F">
        <w:rPr>
          <w:rFonts w:ascii="Times New Roman" w:eastAsia="Times New Roman" w:hAnsi="Times New Roman" w:cs="Times New Roman"/>
          <w:noProof/>
          <w:sz w:val="24"/>
          <w:szCs w:val="24"/>
        </w:rPr>
        <w:t xml:space="preserve"> pandemic</w:t>
      </w:r>
      <w:r w:rsidRPr="2FD5D0F2">
        <w:rPr>
          <w:rFonts w:ascii="Times New Roman" w:eastAsia="Times New Roman" w:hAnsi="Times New Roman" w:cs="Times New Roman"/>
          <w:noProof/>
          <w:sz w:val="24"/>
          <w:szCs w:val="24"/>
        </w:rPr>
        <w:t xml:space="preserve">. </w:t>
      </w:r>
      <w:r w:rsidR="0074667F">
        <w:rPr>
          <w:rFonts w:ascii="Times New Roman" w:eastAsia="Times New Roman" w:hAnsi="Times New Roman" w:cs="Times New Roman"/>
          <w:noProof/>
          <w:sz w:val="24"/>
          <w:szCs w:val="24"/>
        </w:rPr>
        <w:t>A</w:t>
      </w:r>
      <w:r>
        <w:rPr>
          <w:rFonts w:ascii="Times New Roman" w:eastAsia="Times New Roman" w:hAnsi="Times New Roman" w:cs="Times New Roman"/>
          <w:noProof/>
          <w:sz w:val="24"/>
          <w:szCs w:val="24"/>
        </w:rPr>
        <w:t xml:space="preserve"> follow-up strategy intended</w:t>
      </w:r>
      <w:r w:rsidRPr="2FD5D0F2">
        <w:rPr>
          <w:rFonts w:ascii="Times New Roman" w:eastAsia="Times New Roman" w:hAnsi="Times New Roman" w:cs="Times New Roman"/>
          <w:noProof/>
          <w:sz w:val="24"/>
          <w:szCs w:val="24"/>
        </w:rPr>
        <w:t xml:space="preserve"> to increase sustainabili</w:t>
      </w:r>
      <w:r>
        <w:rPr>
          <w:rFonts w:ascii="Times New Roman" w:eastAsia="Times New Roman" w:hAnsi="Times New Roman" w:cs="Times New Roman"/>
          <w:noProof/>
          <w:sz w:val="24"/>
          <w:szCs w:val="24"/>
        </w:rPr>
        <w:t>ty and resilience of the sector</w:t>
      </w:r>
      <w:r w:rsidR="0074667F">
        <w:rPr>
          <w:rFonts w:ascii="Times New Roman" w:eastAsia="Times New Roman" w:hAnsi="Times New Roman" w:cs="Times New Roman"/>
          <w:noProof/>
          <w:sz w:val="24"/>
          <w:szCs w:val="24"/>
        </w:rPr>
        <w:t xml:space="preserve"> was prepared</w:t>
      </w:r>
      <w:r w:rsidRPr="2FD5D0F2">
        <w:rPr>
          <w:rFonts w:ascii="Times New Roman" w:eastAsia="Times New Roman" w:hAnsi="Times New Roman" w:cs="Times New Roman"/>
          <w:noProof/>
          <w:sz w:val="24"/>
          <w:szCs w:val="24"/>
        </w:rPr>
        <w:t>. The fifth and final fixed tranche (EUR 2.5 M) was disbursed in 2021. The budget sup</w:t>
      </w:r>
      <w:r w:rsidR="0074667F">
        <w:rPr>
          <w:rFonts w:ascii="Times New Roman" w:eastAsia="Times New Roman" w:hAnsi="Times New Roman" w:cs="Times New Roman"/>
          <w:noProof/>
          <w:sz w:val="24"/>
          <w:szCs w:val="24"/>
        </w:rPr>
        <w:t xml:space="preserve">port programme for the </w:t>
      </w:r>
      <w:r w:rsidRPr="2FD5D0F2">
        <w:rPr>
          <w:rFonts w:ascii="Times New Roman" w:eastAsia="Times New Roman" w:hAnsi="Times New Roman" w:cs="Times New Roman"/>
          <w:noProof/>
          <w:sz w:val="24"/>
          <w:szCs w:val="24"/>
        </w:rPr>
        <w:t xml:space="preserve">digital development strategy of </w:t>
      </w:r>
      <w:r w:rsidRPr="2FD5D0F2">
        <w:rPr>
          <w:rFonts w:ascii="Times New Roman" w:eastAsia="Times New Roman" w:hAnsi="Times New Roman" w:cs="Times New Roman"/>
          <w:b/>
          <w:bCs/>
          <w:noProof/>
          <w:sz w:val="24"/>
          <w:szCs w:val="24"/>
        </w:rPr>
        <w:t xml:space="preserve">Wallis and Futuna </w:t>
      </w:r>
      <w:r w:rsidR="0074667F" w:rsidRPr="0074667F">
        <w:rPr>
          <w:rFonts w:ascii="Times New Roman" w:eastAsia="Times New Roman" w:hAnsi="Times New Roman" w:cs="Times New Roman"/>
          <w:bCs/>
          <w:noProof/>
          <w:sz w:val="24"/>
          <w:szCs w:val="24"/>
        </w:rPr>
        <w:t xml:space="preserve">contributed to </w:t>
      </w:r>
      <w:r w:rsidR="0074667F">
        <w:rPr>
          <w:rFonts w:ascii="Times New Roman" w:eastAsia="Times New Roman" w:hAnsi="Times New Roman" w:cs="Times New Roman"/>
          <w:bCs/>
          <w:noProof/>
          <w:sz w:val="24"/>
          <w:szCs w:val="24"/>
        </w:rPr>
        <w:t xml:space="preserve">the </w:t>
      </w:r>
      <w:r w:rsidR="0074667F">
        <w:rPr>
          <w:rFonts w:ascii="Times New Roman" w:eastAsia="Times New Roman" w:hAnsi="Times New Roman" w:cs="Times New Roman"/>
          <w:noProof/>
          <w:sz w:val="24"/>
          <w:szCs w:val="24"/>
          <w:lang w:val="en-IE"/>
        </w:rPr>
        <w:t>expansion of</w:t>
      </w:r>
      <w:r w:rsidRPr="2FD5D0F2">
        <w:rPr>
          <w:rFonts w:ascii="Times New Roman" w:eastAsia="Times New Roman" w:hAnsi="Times New Roman" w:cs="Times New Roman"/>
          <w:noProof/>
          <w:sz w:val="24"/>
          <w:szCs w:val="24"/>
          <w:lang w:val="en-IE"/>
        </w:rPr>
        <w:t xml:space="preserve"> digital services linked to the Tui-Samoa broadband cable, improving </w:t>
      </w:r>
      <w:r w:rsidR="0074667F">
        <w:rPr>
          <w:rFonts w:ascii="Times New Roman" w:eastAsia="Times New Roman" w:hAnsi="Times New Roman" w:cs="Times New Roman"/>
          <w:noProof/>
          <w:sz w:val="24"/>
          <w:szCs w:val="24"/>
          <w:lang w:val="en-IE"/>
        </w:rPr>
        <w:t xml:space="preserve">in particular </w:t>
      </w:r>
      <w:r w:rsidRPr="2FD5D0F2">
        <w:rPr>
          <w:rFonts w:ascii="Times New Roman" w:eastAsia="Times New Roman" w:hAnsi="Times New Roman" w:cs="Times New Roman"/>
          <w:noProof/>
          <w:sz w:val="24"/>
          <w:szCs w:val="24"/>
          <w:lang w:val="en-IE"/>
        </w:rPr>
        <w:t>tele-medicine facilities in the territory.</w:t>
      </w:r>
      <w:r w:rsidR="00D536F0">
        <w:rPr>
          <w:rFonts w:ascii="Times New Roman" w:eastAsia="Times New Roman" w:hAnsi="Times New Roman" w:cs="Times New Roman"/>
          <w:noProof/>
          <w:sz w:val="24"/>
          <w:szCs w:val="24"/>
          <w:lang w:val="en-IE"/>
        </w:rPr>
        <w:t xml:space="preserve"> </w:t>
      </w:r>
    </w:p>
    <w:p w:rsidR="002D69F0" w:rsidRDefault="002D69F0" w:rsidP="00080240">
      <w:pPr>
        <w:pStyle w:val="paragraph"/>
        <w:spacing w:before="0" w:beforeAutospacing="0" w:after="0" w:afterAutospacing="0"/>
        <w:jc w:val="both"/>
        <w:textAlignment w:val="baseline"/>
        <w:rPr>
          <w:rStyle w:val="normaltextrun"/>
          <w:noProof/>
          <w:color w:val="D13438"/>
          <w:u w:val="single"/>
          <w:lang w:val="en-IE"/>
        </w:rPr>
      </w:pPr>
    </w:p>
    <w:p w:rsidR="00F16E8D" w:rsidRDefault="00F16E8D" w:rsidP="00080240">
      <w:pPr>
        <w:pStyle w:val="paragraph"/>
        <w:spacing w:before="0" w:beforeAutospacing="0" w:after="0" w:afterAutospacing="0"/>
        <w:jc w:val="both"/>
        <w:textAlignment w:val="baseline"/>
        <w:rPr>
          <w:rStyle w:val="normaltextrun"/>
          <w:noProof/>
          <w:color w:val="D13438"/>
          <w:u w:val="single"/>
          <w:lang w:val="en-IE"/>
        </w:rPr>
      </w:pPr>
    </w:p>
    <w:p w:rsidR="00F16E8D" w:rsidRDefault="00F16E8D" w:rsidP="00080240">
      <w:pPr>
        <w:pStyle w:val="paragraph"/>
        <w:spacing w:before="0" w:beforeAutospacing="0" w:after="0" w:afterAutospacing="0"/>
        <w:jc w:val="both"/>
        <w:textAlignment w:val="baseline"/>
        <w:rPr>
          <w:rStyle w:val="normaltextrun"/>
          <w:noProof/>
          <w:color w:val="D13438"/>
          <w:u w:val="single"/>
          <w:lang w:val="en-IE"/>
        </w:rPr>
      </w:pPr>
    </w:p>
    <w:p w:rsidR="00080240" w:rsidRPr="00E46201" w:rsidRDefault="002D69F0" w:rsidP="00080240">
      <w:pPr>
        <w:pStyle w:val="paragraph"/>
        <w:spacing w:before="0" w:beforeAutospacing="0" w:after="0" w:afterAutospacing="0"/>
        <w:jc w:val="both"/>
        <w:textAlignment w:val="baseline"/>
        <w:rPr>
          <w:rFonts w:ascii="Segoe UI" w:hAnsi="Segoe UI" w:cs="Segoe UI"/>
          <w:noProof/>
          <w:sz w:val="18"/>
          <w:szCs w:val="18"/>
        </w:rPr>
      </w:pPr>
      <w:r w:rsidRPr="00E46201">
        <w:rPr>
          <w:rStyle w:val="normaltextrun"/>
          <w:noProof/>
          <w:lang w:val="en-US"/>
        </w:rPr>
        <w:t>In addition, a</w:t>
      </w:r>
      <w:r w:rsidR="00080240" w:rsidRPr="00E46201">
        <w:rPr>
          <w:rStyle w:val="normaltextrun"/>
          <w:noProof/>
          <w:lang w:val="en-US"/>
        </w:rPr>
        <w:t xml:space="preserve">ll remaining funds from the B-envelope for OCTs in the Pacific were committed in the form of COVID-19 support to </w:t>
      </w:r>
      <w:r w:rsidR="00080240" w:rsidRPr="0008495B">
        <w:rPr>
          <w:rStyle w:val="normaltextrun"/>
          <w:noProof/>
          <w:lang w:val="en-US"/>
        </w:rPr>
        <w:t>French Polynesia</w:t>
      </w:r>
      <w:r w:rsidR="00080240" w:rsidRPr="00285FA5">
        <w:rPr>
          <w:rStyle w:val="normaltextrun"/>
          <w:noProof/>
          <w:lang w:val="en-US"/>
        </w:rPr>
        <w:t xml:space="preserve"> (EUR 0.85 M), </w:t>
      </w:r>
      <w:r w:rsidR="00080240" w:rsidRPr="0008495B">
        <w:rPr>
          <w:rStyle w:val="normaltextrun"/>
          <w:noProof/>
          <w:lang w:val="en-US"/>
        </w:rPr>
        <w:t>New Caledonia</w:t>
      </w:r>
      <w:r w:rsidR="00F16E8D">
        <w:rPr>
          <w:rStyle w:val="normaltextrun"/>
          <w:noProof/>
          <w:lang w:val="en-US"/>
        </w:rPr>
        <w:t xml:space="preserve"> (EUR </w:t>
      </w:r>
      <w:r w:rsidR="00080240" w:rsidRPr="00285FA5">
        <w:rPr>
          <w:rStyle w:val="normaltextrun"/>
          <w:noProof/>
          <w:lang w:val="en-US"/>
        </w:rPr>
        <w:t xml:space="preserve">0.85 M) and </w:t>
      </w:r>
      <w:r w:rsidR="00080240" w:rsidRPr="0008495B">
        <w:rPr>
          <w:rStyle w:val="normaltextrun"/>
          <w:noProof/>
          <w:lang w:val="en-US"/>
        </w:rPr>
        <w:t>Wallis and Futuna</w:t>
      </w:r>
      <w:r w:rsidR="00080240" w:rsidRPr="00285FA5">
        <w:rPr>
          <w:rStyle w:val="normaltextrun"/>
          <w:noProof/>
          <w:lang w:val="en-US"/>
        </w:rPr>
        <w:t xml:space="preserve"> (EU</w:t>
      </w:r>
      <w:r w:rsidR="00080240" w:rsidRPr="00E46201">
        <w:rPr>
          <w:rStyle w:val="normaltextrun"/>
          <w:noProof/>
          <w:lang w:val="en-US"/>
        </w:rPr>
        <w:t>R 0.56 M) as top-ups to their existing programmes, and were disbursed in 2021.</w:t>
      </w:r>
      <w:r w:rsidR="00080240" w:rsidRPr="00E46201">
        <w:rPr>
          <w:rStyle w:val="eop"/>
          <w:noProof/>
        </w:rPr>
        <w:t> </w:t>
      </w:r>
    </w:p>
    <w:p w:rsidR="00080240" w:rsidRPr="00E46201" w:rsidRDefault="00080240" w:rsidP="00080240">
      <w:pPr>
        <w:pStyle w:val="paragraph"/>
        <w:spacing w:before="0" w:beforeAutospacing="0" w:after="0" w:afterAutospacing="0"/>
        <w:jc w:val="both"/>
        <w:textAlignment w:val="baseline"/>
        <w:rPr>
          <w:rFonts w:ascii="Segoe UI" w:hAnsi="Segoe UI" w:cs="Segoe UI"/>
          <w:noProof/>
          <w:sz w:val="18"/>
          <w:szCs w:val="18"/>
        </w:rPr>
      </w:pPr>
    </w:p>
    <w:p w:rsidR="00080240" w:rsidRPr="00E46201" w:rsidRDefault="00080240" w:rsidP="00080240">
      <w:pPr>
        <w:pStyle w:val="paragraph"/>
        <w:numPr>
          <w:ilvl w:val="0"/>
          <w:numId w:val="15"/>
        </w:numPr>
        <w:spacing w:before="0" w:beforeAutospacing="0" w:after="0" w:afterAutospacing="0"/>
        <w:jc w:val="both"/>
        <w:textAlignment w:val="baseline"/>
        <w:rPr>
          <w:rFonts w:ascii="Segoe UI" w:hAnsi="Segoe UI" w:cs="Segoe UI"/>
          <w:noProof/>
          <w:sz w:val="18"/>
          <w:szCs w:val="18"/>
        </w:rPr>
      </w:pPr>
      <w:r w:rsidRPr="00E46201">
        <w:rPr>
          <w:rStyle w:val="normaltextrun"/>
          <w:noProof/>
          <w:u w:val="single"/>
          <w:lang w:val="en-US"/>
        </w:rPr>
        <w:t>Other OCTs</w:t>
      </w:r>
      <w:r w:rsidRPr="00E46201">
        <w:rPr>
          <w:rStyle w:val="normaltextrun"/>
          <w:noProof/>
          <w:lang w:val="en-US"/>
        </w:rPr>
        <w:t>:</w:t>
      </w:r>
      <w:r w:rsidRPr="00E46201">
        <w:rPr>
          <w:rStyle w:val="eop"/>
          <w:noProof/>
        </w:rPr>
        <w:t> </w:t>
      </w:r>
    </w:p>
    <w:p w:rsidR="00080240" w:rsidRPr="00E46201" w:rsidRDefault="00080240" w:rsidP="00080240">
      <w:pPr>
        <w:pStyle w:val="paragraph"/>
        <w:spacing w:before="0" w:beforeAutospacing="0" w:after="0" w:afterAutospacing="0"/>
        <w:jc w:val="both"/>
        <w:textAlignment w:val="baseline"/>
        <w:rPr>
          <w:rFonts w:ascii="Segoe UI" w:hAnsi="Segoe UI" w:cs="Segoe UI"/>
          <w:noProof/>
          <w:sz w:val="18"/>
          <w:szCs w:val="18"/>
        </w:rPr>
      </w:pPr>
    </w:p>
    <w:p w:rsidR="00080240" w:rsidRPr="00E46201" w:rsidRDefault="00080240" w:rsidP="00080240">
      <w:pPr>
        <w:pStyle w:val="paragraph"/>
        <w:spacing w:before="0" w:beforeAutospacing="0" w:after="0" w:afterAutospacing="0"/>
        <w:jc w:val="both"/>
        <w:textAlignment w:val="baseline"/>
        <w:rPr>
          <w:rFonts w:ascii="Segoe UI" w:hAnsi="Segoe UI" w:cs="Segoe UI"/>
          <w:noProof/>
          <w:sz w:val="18"/>
          <w:szCs w:val="18"/>
        </w:rPr>
      </w:pPr>
      <w:r w:rsidRPr="00E46201">
        <w:rPr>
          <w:rStyle w:val="normaltextrun"/>
          <w:b/>
          <w:bCs/>
          <w:noProof/>
          <w:lang w:val="en-US"/>
        </w:rPr>
        <w:t>Saint Helena</w:t>
      </w:r>
      <w:r w:rsidRPr="00E46201">
        <w:rPr>
          <w:rStyle w:val="normaltextrun"/>
          <w:noProof/>
          <w:lang w:val="en-US"/>
        </w:rPr>
        <w:t xml:space="preserve"> benefits from a conne</w:t>
      </w:r>
      <w:r w:rsidR="0074667F">
        <w:rPr>
          <w:rStyle w:val="normaltextrun"/>
          <w:noProof/>
          <w:lang w:val="en-US"/>
        </w:rPr>
        <w:t>ctivity programme under the 11</w:t>
      </w:r>
      <w:r w:rsidR="0074667F" w:rsidRPr="0074667F">
        <w:rPr>
          <w:rStyle w:val="normaltextrun"/>
          <w:noProof/>
          <w:vertAlign w:val="superscript"/>
          <w:lang w:val="en-US"/>
        </w:rPr>
        <w:t>th</w:t>
      </w:r>
      <w:r w:rsidRPr="00E46201">
        <w:rPr>
          <w:rStyle w:val="normaltextrun"/>
          <w:noProof/>
          <w:lang w:val="en-US"/>
        </w:rPr>
        <w:t xml:space="preserve"> EDF. In 2021, an important milestone was reached regarding the </w:t>
      </w:r>
      <w:r w:rsidR="0074667F" w:rsidRPr="00E46201">
        <w:rPr>
          <w:rStyle w:val="normaltextrun"/>
          <w:noProof/>
          <w:lang w:val="en-US"/>
        </w:rPr>
        <w:t>fiber</w:t>
      </w:r>
      <w:r w:rsidRPr="00E46201">
        <w:rPr>
          <w:rStyle w:val="normaltextrun"/>
          <w:noProof/>
          <w:lang w:val="en-US"/>
        </w:rPr>
        <w:t xml:space="preserve"> optic cable project with the installation of the modular cable landing station</w:t>
      </w:r>
      <w:r w:rsidRPr="00E46201">
        <w:rPr>
          <w:rStyle w:val="normaltextrun"/>
          <w:rFonts w:ascii="Calibri" w:hAnsi="Calibri" w:cs="Calibri"/>
          <w:noProof/>
          <w:sz w:val="22"/>
          <w:szCs w:val="22"/>
        </w:rPr>
        <w:t xml:space="preserve"> </w:t>
      </w:r>
      <w:r w:rsidRPr="00E46201">
        <w:rPr>
          <w:rStyle w:val="normaltextrun"/>
          <w:noProof/>
          <w:lang w:val="en-US"/>
        </w:rPr>
        <w:t xml:space="preserve">and the landing of the cable on the island. </w:t>
      </w:r>
      <w:r w:rsidR="00522A9C">
        <w:rPr>
          <w:rStyle w:val="normaltextrun"/>
          <w:noProof/>
          <w:lang w:val="en-US"/>
        </w:rPr>
        <w:t>T</w:t>
      </w:r>
      <w:r w:rsidRPr="00E46201">
        <w:rPr>
          <w:rStyle w:val="normaltextrun"/>
          <w:noProof/>
          <w:lang w:val="en-US"/>
        </w:rPr>
        <w:t xml:space="preserve">he </w:t>
      </w:r>
      <w:r w:rsidR="0074667F" w:rsidRPr="00E46201">
        <w:rPr>
          <w:rStyle w:val="normaltextrun"/>
          <w:noProof/>
          <w:lang w:val="en-US"/>
        </w:rPr>
        <w:t>fiber</w:t>
      </w:r>
      <w:r w:rsidRPr="00E46201">
        <w:rPr>
          <w:rStyle w:val="normaltextrun"/>
          <w:noProof/>
          <w:lang w:val="en-US"/>
        </w:rPr>
        <w:t xml:space="preserve"> optic cable will deliver fast broadband to St Helena, allowing the island to achieve </w:t>
      </w:r>
      <w:r w:rsidR="00522A9C">
        <w:rPr>
          <w:rStyle w:val="normaltextrun"/>
          <w:noProof/>
          <w:lang w:val="en-US"/>
        </w:rPr>
        <w:t xml:space="preserve">significantly </w:t>
      </w:r>
      <w:r w:rsidRPr="00E46201">
        <w:rPr>
          <w:rStyle w:val="normaltextrun"/>
          <w:noProof/>
          <w:lang w:val="en-US"/>
        </w:rPr>
        <w:t xml:space="preserve">cheaper and faster </w:t>
      </w:r>
      <w:r w:rsidR="00522A9C">
        <w:rPr>
          <w:rStyle w:val="normaltextrun"/>
          <w:noProof/>
          <w:lang w:val="en-US"/>
        </w:rPr>
        <w:t xml:space="preserve">reliable </w:t>
      </w:r>
      <w:r w:rsidRPr="00E46201">
        <w:rPr>
          <w:rStyle w:val="normaltextrun"/>
          <w:noProof/>
          <w:lang w:val="en-US"/>
        </w:rPr>
        <w:t>internet connection. The fourth fixed tranche (EUR 0.61 M) committed from the B-envelope as COVID-19 support was disbursed in 2021.</w:t>
      </w:r>
      <w:r w:rsidRPr="00E46201">
        <w:rPr>
          <w:rStyle w:val="eop"/>
          <w:noProof/>
        </w:rPr>
        <w:t> </w:t>
      </w:r>
    </w:p>
    <w:p w:rsidR="00080240" w:rsidRPr="00E46201" w:rsidRDefault="00080240" w:rsidP="00080240">
      <w:pPr>
        <w:pStyle w:val="paragraph"/>
        <w:spacing w:before="0" w:beforeAutospacing="0" w:after="0" w:afterAutospacing="0"/>
        <w:jc w:val="both"/>
        <w:textAlignment w:val="baseline"/>
        <w:rPr>
          <w:rFonts w:ascii="Segoe UI" w:hAnsi="Segoe UI" w:cs="Segoe UI"/>
          <w:noProof/>
          <w:sz w:val="18"/>
          <w:szCs w:val="18"/>
        </w:rPr>
      </w:pPr>
    </w:p>
    <w:p w:rsidR="00080240" w:rsidRPr="00E46201" w:rsidRDefault="002D69F0" w:rsidP="00080240">
      <w:pPr>
        <w:pStyle w:val="paragraph"/>
        <w:spacing w:before="0" w:beforeAutospacing="0" w:after="0" w:afterAutospacing="0"/>
        <w:jc w:val="both"/>
        <w:textAlignment w:val="baseline"/>
        <w:rPr>
          <w:rFonts w:ascii="Segoe UI" w:hAnsi="Segoe UI" w:cs="Segoe UI"/>
          <w:noProof/>
          <w:sz w:val="18"/>
          <w:szCs w:val="18"/>
          <w:lang w:val="en-US"/>
        </w:rPr>
      </w:pPr>
      <w:r w:rsidRPr="00E46201">
        <w:rPr>
          <w:rStyle w:val="normaltextrun"/>
          <w:noProof/>
          <w:lang w:val="en-US"/>
        </w:rPr>
        <w:t xml:space="preserve">In </w:t>
      </w:r>
      <w:r w:rsidRPr="0008495B">
        <w:rPr>
          <w:rStyle w:val="normaltextrun"/>
          <w:b/>
          <w:noProof/>
          <w:lang w:val="en-US"/>
        </w:rPr>
        <w:t>Saint-Pierre et Miquelon</w:t>
      </w:r>
      <w:r w:rsidRPr="00E46201">
        <w:rPr>
          <w:rStyle w:val="normaltextrun"/>
          <w:noProof/>
          <w:lang w:val="en-US"/>
        </w:rPr>
        <w:t xml:space="preserve">, the EU supported the implementation of the government’s Strategic Development Plan, </w:t>
      </w:r>
      <w:r w:rsidR="0074667F" w:rsidRPr="00E46201">
        <w:rPr>
          <w:rStyle w:val="normaltextrun"/>
          <w:noProof/>
          <w:lang w:val="en-US"/>
        </w:rPr>
        <w:t>favoring</w:t>
      </w:r>
      <w:r w:rsidRPr="00E46201">
        <w:rPr>
          <w:rStyle w:val="normaltextrun"/>
          <w:noProof/>
          <w:lang w:val="en-US"/>
        </w:rPr>
        <w:t xml:space="preserve"> economic diversification and demographic stability. </w:t>
      </w:r>
      <w:r w:rsidR="0074667F">
        <w:rPr>
          <w:rStyle w:val="normaltextrun"/>
          <w:noProof/>
          <w:lang w:val="en-US"/>
        </w:rPr>
        <w:t>R</w:t>
      </w:r>
      <w:r w:rsidRPr="00E46201">
        <w:rPr>
          <w:rStyle w:val="normaltextrun"/>
          <w:noProof/>
          <w:lang w:val="en-US"/>
        </w:rPr>
        <w:t>ecently, the COVID-19 pandemic has put significant socio-economic pressure on the tourism sector, but measures were undertaken to mitigate the impacts of this crisis and the fifth fixed tranche as COVID-19 support of EUR 1.1 M was disbursed in 2021</w:t>
      </w:r>
      <w:r w:rsidR="00080240" w:rsidRPr="00E46201">
        <w:rPr>
          <w:rStyle w:val="normaltextrun"/>
          <w:noProof/>
          <w:lang w:val="en-US"/>
        </w:rPr>
        <w:t>.</w:t>
      </w:r>
    </w:p>
    <w:p w:rsidR="00080240" w:rsidRDefault="00080240" w:rsidP="00631EBA">
      <w:pPr>
        <w:autoSpaceDE w:val="0"/>
        <w:autoSpaceDN w:val="0"/>
        <w:spacing w:after="0" w:line="240" w:lineRule="auto"/>
        <w:jc w:val="both"/>
        <w:rPr>
          <w:rFonts w:ascii="Times New Roman" w:hAnsi="Times New Roman" w:cs="Times New Roman"/>
          <w:iCs/>
          <w:noProof/>
          <w:color w:val="000000"/>
          <w:sz w:val="24"/>
          <w:szCs w:val="24"/>
        </w:rPr>
      </w:pPr>
    </w:p>
    <w:p w:rsidR="00631EBA" w:rsidRDefault="00631EBA" w:rsidP="00631EBA">
      <w:pPr>
        <w:autoSpaceDE w:val="0"/>
        <w:autoSpaceDN w:val="0"/>
        <w:spacing w:after="0" w:line="240" w:lineRule="auto"/>
        <w:jc w:val="both"/>
        <w:rPr>
          <w:rFonts w:ascii="Times New Roman" w:hAnsi="Times New Roman" w:cs="Times New Roman"/>
          <w:iCs/>
          <w:noProof/>
          <w:color w:val="000000"/>
          <w:sz w:val="24"/>
          <w:szCs w:val="24"/>
          <w:lang w:val="en-US"/>
        </w:rPr>
      </w:pPr>
    </w:p>
    <w:p w:rsidR="00E377E9" w:rsidRPr="00ED4350" w:rsidRDefault="00E377E9" w:rsidP="00E377E9">
      <w:pPr>
        <w:pStyle w:val="ListParagraph"/>
        <w:numPr>
          <w:ilvl w:val="0"/>
          <w:numId w:val="3"/>
        </w:numPr>
        <w:autoSpaceDE w:val="0"/>
        <w:autoSpaceDN w:val="0"/>
        <w:adjustRightInd w:val="0"/>
        <w:spacing w:after="0" w:line="240" w:lineRule="auto"/>
        <w:rPr>
          <w:rFonts w:ascii="Times New Roman" w:hAnsi="Times New Roman" w:cs="Times New Roman"/>
          <w:noProof/>
          <w:color w:val="000000"/>
          <w:sz w:val="24"/>
          <w:szCs w:val="24"/>
          <w:lang w:val="en-US"/>
        </w:rPr>
      </w:pPr>
      <w:r w:rsidRPr="00ED4350">
        <w:rPr>
          <w:rFonts w:ascii="Times New Roman" w:hAnsi="Times New Roman" w:cs="Times New Roman"/>
          <w:b/>
          <w:bCs/>
          <w:noProof/>
          <w:color w:val="000000"/>
          <w:sz w:val="24"/>
          <w:szCs w:val="24"/>
          <w:lang w:val="en-US"/>
        </w:rPr>
        <w:t xml:space="preserve">Regional cooperation </w:t>
      </w:r>
    </w:p>
    <w:p w:rsidR="008434D0" w:rsidRDefault="008434D0" w:rsidP="00E377E9">
      <w:pPr>
        <w:autoSpaceDE w:val="0"/>
        <w:autoSpaceDN w:val="0"/>
        <w:adjustRightInd w:val="0"/>
        <w:spacing w:after="0" w:line="240" w:lineRule="auto"/>
        <w:rPr>
          <w:rFonts w:ascii="Times New Roman" w:hAnsi="Times New Roman" w:cs="Times New Roman"/>
          <w:noProof/>
          <w:color w:val="000000"/>
          <w:sz w:val="24"/>
          <w:szCs w:val="24"/>
          <w:lang w:val="en-US"/>
        </w:rPr>
      </w:pPr>
    </w:p>
    <w:p w:rsidR="008434D0" w:rsidRDefault="0008495B" w:rsidP="0008495B">
      <w:pPr>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At regional level, </w:t>
      </w:r>
      <w:r w:rsidR="008434D0" w:rsidRPr="008434D0">
        <w:rPr>
          <w:rFonts w:ascii="Times New Roman" w:hAnsi="Times New Roman" w:cs="Times New Roman"/>
          <w:noProof/>
          <w:color w:val="000000"/>
          <w:sz w:val="24"/>
          <w:szCs w:val="24"/>
          <w:lang w:val="en-US"/>
        </w:rPr>
        <w:t xml:space="preserve">cooperation with </w:t>
      </w:r>
      <w:r w:rsidR="008434D0">
        <w:rPr>
          <w:rFonts w:ascii="Times New Roman" w:hAnsi="Times New Roman" w:cs="Times New Roman"/>
          <w:noProof/>
          <w:color w:val="000000"/>
          <w:sz w:val="24"/>
          <w:szCs w:val="24"/>
          <w:lang w:val="en-US"/>
        </w:rPr>
        <w:t xml:space="preserve">OCTs </w:t>
      </w:r>
      <w:r w:rsidR="004F188B">
        <w:rPr>
          <w:rFonts w:ascii="Times New Roman" w:hAnsi="Times New Roman" w:cs="Times New Roman"/>
          <w:noProof/>
          <w:color w:val="000000"/>
          <w:sz w:val="24"/>
          <w:szCs w:val="24"/>
          <w:lang w:val="en-US"/>
        </w:rPr>
        <w:t xml:space="preserve">advanced </w:t>
      </w:r>
      <w:r w:rsidR="008434D0">
        <w:rPr>
          <w:rFonts w:ascii="Times New Roman" w:hAnsi="Times New Roman" w:cs="Times New Roman"/>
          <w:noProof/>
          <w:color w:val="000000"/>
          <w:sz w:val="24"/>
          <w:szCs w:val="24"/>
          <w:lang w:val="en-US"/>
        </w:rPr>
        <w:t xml:space="preserve">through </w:t>
      </w:r>
      <w:r w:rsidR="004F188B">
        <w:rPr>
          <w:rFonts w:ascii="Times New Roman" w:hAnsi="Times New Roman" w:cs="Times New Roman"/>
          <w:noProof/>
          <w:color w:val="000000"/>
          <w:sz w:val="24"/>
          <w:szCs w:val="24"/>
          <w:lang w:val="en-US"/>
        </w:rPr>
        <w:t xml:space="preserve">the three </w:t>
      </w:r>
      <w:r w:rsidR="008434D0">
        <w:rPr>
          <w:rFonts w:ascii="Times New Roman" w:hAnsi="Times New Roman" w:cs="Times New Roman"/>
          <w:noProof/>
          <w:color w:val="000000"/>
          <w:sz w:val="24"/>
          <w:szCs w:val="24"/>
          <w:lang w:val="en-US"/>
        </w:rPr>
        <w:t xml:space="preserve">regional </w:t>
      </w:r>
      <w:r w:rsidR="004F188B">
        <w:rPr>
          <w:rFonts w:ascii="Times New Roman" w:hAnsi="Times New Roman" w:cs="Times New Roman"/>
          <w:noProof/>
          <w:color w:val="000000"/>
          <w:sz w:val="24"/>
          <w:szCs w:val="24"/>
          <w:lang w:val="en-US"/>
        </w:rPr>
        <w:t xml:space="preserve">programmes </w:t>
      </w:r>
      <w:r w:rsidR="008434D0">
        <w:rPr>
          <w:rFonts w:ascii="Times New Roman" w:hAnsi="Times New Roman" w:cs="Times New Roman"/>
          <w:noProof/>
          <w:color w:val="000000"/>
          <w:sz w:val="24"/>
          <w:szCs w:val="24"/>
          <w:lang w:val="en-US"/>
        </w:rPr>
        <w:t xml:space="preserve">and </w:t>
      </w:r>
      <w:r w:rsidR="004F188B">
        <w:rPr>
          <w:rFonts w:ascii="Times New Roman" w:hAnsi="Times New Roman" w:cs="Times New Roman"/>
          <w:noProof/>
          <w:color w:val="000000"/>
          <w:sz w:val="24"/>
          <w:szCs w:val="24"/>
          <w:lang w:val="en-US"/>
        </w:rPr>
        <w:t>the</w:t>
      </w:r>
      <w:r w:rsidR="004E38DB">
        <w:rPr>
          <w:rFonts w:ascii="Times New Roman" w:hAnsi="Times New Roman" w:cs="Times New Roman"/>
          <w:noProof/>
          <w:color w:val="000000"/>
          <w:sz w:val="24"/>
          <w:szCs w:val="24"/>
          <w:lang w:val="en-US"/>
        </w:rPr>
        <w:t xml:space="preserve"> </w:t>
      </w:r>
      <w:r w:rsidR="00C57422">
        <w:rPr>
          <w:rFonts w:ascii="Times New Roman" w:hAnsi="Times New Roman" w:cs="Times New Roman"/>
          <w:noProof/>
          <w:color w:val="000000"/>
          <w:sz w:val="24"/>
          <w:szCs w:val="24"/>
          <w:lang w:val="en-US"/>
        </w:rPr>
        <w:t>inception phase of the</w:t>
      </w:r>
      <w:r w:rsidR="004F188B">
        <w:rPr>
          <w:rFonts w:ascii="Times New Roman" w:hAnsi="Times New Roman" w:cs="Times New Roman"/>
          <w:noProof/>
          <w:color w:val="000000"/>
          <w:sz w:val="24"/>
          <w:szCs w:val="24"/>
          <w:lang w:val="en-US"/>
        </w:rPr>
        <w:t xml:space="preserve"> </w:t>
      </w:r>
      <w:r w:rsidR="008434D0">
        <w:rPr>
          <w:rFonts w:ascii="Times New Roman" w:hAnsi="Times New Roman" w:cs="Times New Roman"/>
          <w:noProof/>
          <w:color w:val="000000"/>
          <w:sz w:val="24"/>
          <w:szCs w:val="24"/>
          <w:lang w:val="en-US"/>
        </w:rPr>
        <w:t>thematic programme</w:t>
      </w:r>
      <w:r w:rsidR="004E38DB">
        <w:rPr>
          <w:rFonts w:ascii="Times New Roman" w:hAnsi="Times New Roman" w:cs="Times New Roman"/>
          <w:noProof/>
          <w:color w:val="000000"/>
          <w:sz w:val="24"/>
          <w:szCs w:val="24"/>
          <w:lang w:val="en-US"/>
        </w:rPr>
        <w:t>.</w:t>
      </w:r>
      <w:r w:rsidR="004F188B">
        <w:rPr>
          <w:rFonts w:ascii="Times New Roman" w:hAnsi="Times New Roman" w:cs="Times New Roman"/>
          <w:noProof/>
          <w:color w:val="000000"/>
          <w:sz w:val="24"/>
          <w:szCs w:val="24"/>
          <w:lang w:val="en-US"/>
        </w:rPr>
        <w:t xml:space="preserve"> The</w:t>
      </w:r>
      <w:r w:rsidR="00D96A5F">
        <w:rPr>
          <w:rFonts w:ascii="Times New Roman" w:hAnsi="Times New Roman" w:cs="Times New Roman"/>
          <w:noProof/>
          <w:color w:val="000000"/>
          <w:sz w:val="24"/>
          <w:szCs w:val="24"/>
          <w:lang w:val="en-US"/>
        </w:rPr>
        <w:t>se programmes will continue to be implemented in the coming years (see Annex for further details)</w:t>
      </w:r>
      <w:r w:rsidR="00651E9C">
        <w:rPr>
          <w:rFonts w:ascii="Times New Roman" w:hAnsi="Times New Roman" w:cs="Times New Roman"/>
          <w:noProof/>
          <w:color w:val="000000"/>
          <w:sz w:val="24"/>
          <w:szCs w:val="24"/>
          <w:lang w:val="en-US"/>
        </w:rPr>
        <w:t>.</w:t>
      </w:r>
    </w:p>
    <w:p w:rsidR="002D6B90" w:rsidRDefault="002D6B90" w:rsidP="00E377E9">
      <w:pPr>
        <w:autoSpaceDE w:val="0"/>
        <w:autoSpaceDN w:val="0"/>
        <w:adjustRightInd w:val="0"/>
        <w:spacing w:after="0" w:line="240" w:lineRule="auto"/>
        <w:rPr>
          <w:rFonts w:ascii="Times New Roman" w:hAnsi="Times New Roman" w:cs="Times New Roman"/>
          <w:noProof/>
          <w:color w:val="000000"/>
          <w:sz w:val="24"/>
          <w:szCs w:val="24"/>
          <w:lang w:val="en-US"/>
        </w:rPr>
      </w:pPr>
    </w:p>
    <w:p w:rsidR="00E377E9" w:rsidRPr="00E46201" w:rsidRDefault="00D96A5F" w:rsidP="00E377E9">
      <w:pPr>
        <w:autoSpaceDE w:val="0"/>
        <w:autoSpaceDN w:val="0"/>
        <w:adjustRightInd w:val="0"/>
        <w:spacing w:after="0" w:line="240" w:lineRule="auto"/>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The following acheivements for </w:t>
      </w:r>
      <w:r w:rsidR="00E377E9" w:rsidRPr="00E46201">
        <w:rPr>
          <w:rFonts w:ascii="Times New Roman" w:hAnsi="Times New Roman" w:cs="Times New Roman"/>
          <w:noProof/>
          <w:color w:val="000000"/>
          <w:sz w:val="24"/>
          <w:szCs w:val="24"/>
          <w:lang w:val="en-US"/>
        </w:rPr>
        <w:t>2021</w:t>
      </w:r>
      <w:r>
        <w:rPr>
          <w:rFonts w:ascii="Times New Roman" w:hAnsi="Times New Roman" w:cs="Times New Roman"/>
          <w:noProof/>
          <w:color w:val="000000"/>
          <w:sz w:val="24"/>
          <w:szCs w:val="24"/>
          <w:lang w:val="en-US"/>
        </w:rPr>
        <w:t xml:space="preserve"> are highligthed</w:t>
      </w:r>
      <w:r w:rsidR="00E377E9" w:rsidRPr="00E46201">
        <w:rPr>
          <w:rFonts w:ascii="Times New Roman" w:hAnsi="Times New Roman" w:cs="Times New Roman"/>
          <w:noProof/>
          <w:color w:val="000000"/>
          <w:sz w:val="24"/>
          <w:szCs w:val="24"/>
          <w:lang w:val="en-US"/>
        </w:rPr>
        <w:t>:</w:t>
      </w:r>
    </w:p>
    <w:p w:rsidR="00E377E9" w:rsidRPr="00E377E9" w:rsidRDefault="00E377E9" w:rsidP="00E377E9">
      <w:pPr>
        <w:autoSpaceDE w:val="0"/>
        <w:autoSpaceDN w:val="0"/>
        <w:adjustRightInd w:val="0"/>
        <w:spacing w:after="0" w:line="240" w:lineRule="auto"/>
        <w:rPr>
          <w:rFonts w:ascii="Times New Roman" w:hAnsi="Times New Roman" w:cs="Times New Roman"/>
          <w:noProof/>
          <w:color w:val="000000"/>
          <w:sz w:val="24"/>
          <w:szCs w:val="24"/>
          <w:highlight w:val="yellow"/>
          <w:lang w:val="en-US"/>
        </w:rPr>
      </w:pPr>
    </w:p>
    <w:p w:rsidR="00E377E9" w:rsidRDefault="002D69F0" w:rsidP="002D69F0">
      <w:pPr>
        <w:pStyle w:val="ListParagraph"/>
        <w:numPr>
          <w:ilvl w:val="0"/>
          <w:numId w:val="15"/>
        </w:numPr>
        <w:autoSpaceDE w:val="0"/>
        <w:autoSpaceDN w:val="0"/>
        <w:adjustRightInd w:val="0"/>
        <w:spacing w:after="167" w:line="240" w:lineRule="auto"/>
        <w:jc w:val="both"/>
        <w:rPr>
          <w:rFonts w:ascii="Times New Roman" w:hAnsi="Times New Roman" w:cs="Times New Roman"/>
          <w:noProof/>
          <w:sz w:val="24"/>
          <w:szCs w:val="24"/>
        </w:rPr>
      </w:pPr>
      <w:r w:rsidRPr="00205CEC">
        <w:rPr>
          <w:rFonts w:ascii="Times New Roman" w:hAnsi="Times New Roman" w:cs="Times New Roman"/>
          <w:noProof/>
          <w:sz w:val="24"/>
          <w:szCs w:val="24"/>
        </w:rPr>
        <w:t xml:space="preserve">In the </w:t>
      </w:r>
      <w:r w:rsidRPr="00205CEC">
        <w:rPr>
          <w:rFonts w:ascii="Times New Roman" w:hAnsi="Times New Roman" w:cs="Times New Roman"/>
          <w:b/>
          <w:bCs/>
          <w:noProof/>
          <w:sz w:val="24"/>
          <w:szCs w:val="24"/>
        </w:rPr>
        <w:t>Pacific</w:t>
      </w:r>
      <w:r w:rsidRPr="00205CEC">
        <w:rPr>
          <w:rFonts w:ascii="Times New Roman" w:hAnsi="Times New Roman" w:cs="Times New Roman"/>
          <w:noProof/>
          <w:sz w:val="24"/>
          <w:szCs w:val="24"/>
        </w:rPr>
        <w:t>, the Regional Programme ‘PROTEGE’ (</w:t>
      </w:r>
      <w:r w:rsidRPr="00205CEC">
        <w:rPr>
          <w:rFonts w:ascii="Times New Roman" w:hAnsi="Times New Roman" w:cs="Times New Roman"/>
          <w:i/>
          <w:iCs/>
          <w:noProof/>
          <w:sz w:val="24"/>
          <w:szCs w:val="24"/>
        </w:rPr>
        <w:t>Projet régional océanien des territoires pour la gestion durable des écosystèmes</w:t>
      </w:r>
      <w:r w:rsidRPr="00205CEC">
        <w:rPr>
          <w:rFonts w:ascii="Times New Roman" w:hAnsi="Times New Roman" w:cs="Times New Roman"/>
          <w:noProof/>
          <w:sz w:val="24"/>
          <w:szCs w:val="24"/>
        </w:rPr>
        <w:t xml:space="preserve">, EUR 36 million), supports sustainable </w:t>
      </w:r>
      <w:r w:rsidR="00C57422">
        <w:rPr>
          <w:rFonts w:ascii="Times New Roman" w:hAnsi="Times New Roman" w:cs="Times New Roman"/>
          <w:noProof/>
          <w:sz w:val="24"/>
          <w:szCs w:val="24"/>
        </w:rPr>
        <w:t>and resilient development</w:t>
      </w:r>
      <w:r w:rsidRPr="00205CEC">
        <w:rPr>
          <w:rFonts w:ascii="Times New Roman" w:hAnsi="Times New Roman" w:cs="Times New Roman"/>
          <w:noProof/>
          <w:sz w:val="24"/>
          <w:szCs w:val="24"/>
        </w:rPr>
        <w:t xml:space="preserve"> by protecting biodiversity and renewable natural </w:t>
      </w:r>
      <w:r w:rsidR="00730859">
        <w:rPr>
          <w:rFonts w:ascii="Times New Roman" w:hAnsi="Times New Roman" w:cs="Times New Roman"/>
          <w:noProof/>
          <w:sz w:val="24"/>
          <w:szCs w:val="24"/>
        </w:rPr>
        <w:t>resources. Throughout</w:t>
      </w:r>
      <w:r w:rsidR="00730859" w:rsidRPr="2FD5D0F2">
        <w:rPr>
          <w:rFonts w:ascii="Times New Roman" w:hAnsi="Times New Roman" w:cs="Times New Roman"/>
          <w:noProof/>
          <w:sz w:val="24"/>
          <w:szCs w:val="24"/>
        </w:rPr>
        <w:t xml:space="preserve"> </w:t>
      </w:r>
      <w:r w:rsidR="00730859">
        <w:rPr>
          <w:rFonts w:ascii="Times New Roman" w:hAnsi="Times New Roman" w:cs="Times New Roman"/>
          <w:noProof/>
          <w:sz w:val="24"/>
          <w:szCs w:val="24"/>
        </w:rPr>
        <w:t>2021</w:t>
      </w:r>
      <w:r w:rsidR="00730859" w:rsidRPr="2FD5D0F2">
        <w:rPr>
          <w:rFonts w:ascii="Times New Roman" w:hAnsi="Times New Roman" w:cs="Times New Roman"/>
          <w:noProof/>
          <w:sz w:val="24"/>
          <w:szCs w:val="24"/>
        </w:rPr>
        <w:t>, the Pacific regional programme advanced notably with the sharing of best agricultural practices among the OCTs. In particular, the second PROTEGE agroecology demonstration farm meeting was held in Moorea and Tahiti in November 2021 with the objective of training in crop bio-protection.</w:t>
      </w:r>
      <w:r w:rsidR="00730859">
        <w:rPr>
          <w:rFonts w:ascii="Times New Roman" w:hAnsi="Times New Roman" w:cs="Times New Roman"/>
          <w:noProof/>
          <w:sz w:val="24"/>
          <w:szCs w:val="24"/>
        </w:rPr>
        <w:t xml:space="preserve"> The pandemic however caused some delay </w:t>
      </w:r>
      <w:r w:rsidRPr="2FD5D0F2">
        <w:rPr>
          <w:rFonts w:ascii="Times New Roman" w:hAnsi="Times New Roman" w:cs="Times New Roman"/>
          <w:noProof/>
          <w:sz w:val="24"/>
          <w:szCs w:val="24"/>
        </w:rPr>
        <w:t>o</w:t>
      </w:r>
      <w:r w:rsidR="00730859">
        <w:rPr>
          <w:rFonts w:ascii="Times New Roman" w:hAnsi="Times New Roman" w:cs="Times New Roman"/>
          <w:noProof/>
          <w:sz w:val="24"/>
          <w:szCs w:val="24"/>
        </w:rPr>
        <w:t>n implementation</w:t>
      </w:r>
      <w:r w:rsidRPr="2FD5D0F2">
        <w:rPr>
          <w:rFonts w:ascii="Times New Roman" w:hAnsi="Times New Roman" w:cs="Times New Roman"/>
          <w:noProof/>
          <w:sz w:val="24"/>
          <w:szCs w:val="24"/>
        </w:rPr>
        <w:t>, and therefore the Financing Agree</w:t>
      </w:r>
      <w:r w:rsidR="00730859">
        <w:rPr>
          <w:rFonts w:ascii="Times New Roman" w:hAnsi="Times New Roman" w:cs="Times New Roman"/>
          <w:noProof/>
          <w:sz w:val="24"/>
          <w:szCs w:val="24"/>
        </w:rPr>
        <w:t xml:space="preserve">ment was </w:t>
      </w:r>
      <w:r w:rsidR="00C57422">
        <w:rPr>
          <w:rFonts w:ascii="Times New Roman" w:hAnsi="Times New Roman" w:cs="Times New Roman"/>
          <w:noProof/>
          <w:sz w:val="24"/>
          <w:szCs w:val="24"/>
        </w:rPr>
        <w:t xml:space="preserve">extended until </w:t>
      </w:r>
      <w:r w:rsidRPr="2FD5D0F2">
        <w:rPr>
          <w:rFonts w:ascii="Times New Roman" w:hAnsi="Times New Roman" w:cs="Times New Roman"/>
          <w:noProof/>
          <w:sz w:val="24"/>
          <w:szCs w:val="24"/>
        </w:rPr>
        <w:t>Octobe</w:t>
      </w:r>
      <w:r w:rsidR="00C57422">
        <w:rPr>
          <w:rFonts w:ascii="Times New Roman" w:hAnsi="Times New Roman" w:cs="Times New Roman"/>
          <w:noProof/>
          <w:sz w:val="24"/>
          <w:szCs w:val="24"/>
        </w:rPr>
        <w:t xml:space="preserve">r 2024 (from </w:t>
      </w:r>
      <w:r w:rsidR="00730859">
        <w:rPr>
          <w:rFonts w:ascii="Times New Roman" w:hAnsi="Times New Roman" w:cs="Times New Roman"/>
          <w:noProof/>
          <w:sz w:val="24"/>
          <w:szCs w:val="24"/>
        </w:rPr>
        <w:t>September 2023)</w:t>
      </w:r>
      <w:r w:rsidRPr="2FD5D0F2">
        <w:rPr>
          <w:rFonts w:ascii="Times New Roman" w:hAnsi="Times New Roman" w:cs="Times New Roman"/>
          <w:noProof/>
          <w:sz w:val="24"/>
          <w:szCs w:val="24"/>
        </w:rPr>
        <w:t xml:space="preserve"> in response to th</w:t>
      </w:r>
      <w:r w:rsidR="00730859">
        <w:rPr>
          <w:rFonts w:ascii="Times New Roman" w:hAnsi="Times New Roman" w:cs="Times New Roman"/>
          <w:noProof/>
          <w:sz w:val="24"/>
          <w:szCs w:val="24"/>
        </w:rPr>
        <w:t xml:space="preserve">e request received </w:t>
      </w:r>
      <w:r w:rsidRPr="2FD5D0F2">
        <w:rPr>
          <w:rFonts w:ascii="Times New Roman" w:hAnsi="Times New Roman" w:cs="Times New Roman"/>
          <w:noProof/>
          <w:sz w:val="24"/>
          <w:szCs w:val="24"/>
        </w:rPr>
        <w:t xml:space="preserve">from the implementing body (Pacific Community - </w:t>
      </w:r>
      <w:r w:rsidRPr="00205CEC">
        <w:rPr>
          <w:rFonts w:ascii="Times New Roman" w:hAnsi="Times New Roman" w:cs="Times New Roman"/>
          <w:noProof/>
          <w:sz w:val="24"/>
          <w:szCs w:val="24"/>
        </w:rPr>
        <w:t>SPC</w:t>
      </w:r>
      <w:r w:rsidRPr="2FD5D0F2">
        <w:rPr>
          <w:rFonts w:ascii="Times New Roman" w:hAnsi="Times New Roman" w:cs="Times New Roman"/>
          <w:noProof/>
          <w:sz w:val="24"/>
          <w:szCs w:val="24"/>
        </w:rPr>
        <w:t>)</w:t>
      </w:r>
      <w:r w:rsidRPr="00205CEC">
        <w:rPr>
          <w:rFonts w:ascii="Times New Roman" w:hAnsi="Times New Roman" w:cs="Times New Roman"/>
          <w:noProof/>
          <w:sz w:val="24"/>
          <w:szCs w:val="24"/>
        </w:rPr>
        <w:t>.</w:t>
      </w:r>
      <w:r w:rsidRPr="2FD5D0F2">
        <w:rPr>
          <w:rFonts w:ascii="Times New Roman" w:hAnsi="Times New Roman" w:cs="Times New Roman"/>
          <w:noProof/>
          <w:sz w:val="24"/>
          <w:szCs w:val="24"/>
        </w:rPr>
        <w:t xml:space="preserve"> </w:t>
      </w:r>
    </w:p>
    <w:p w:rsidR="002D69F0" w:rsidRPr="00730859" w:rsidRDefault="002D69F0" w:rsidP="00E377E9">
      <w:pPr>
        <w:pStyle w:val="ListParagraph"/>
        <w:autoSpaceDE w:val="0"/>
        <w:autoSpaceDN w:val="0"/>
        <w:adjustRightInd w:val="0"/>
        <w:spacing w:after="167" w:line="240" w:lineRule="auto"/>
        <w:jc w:val="both"/>
        <w:rPr>
          <w:rFonts w:ascii="Times New Roman" w:hAnsi="Times New Roman" w:cs="Times New Roman"/>
          <w:noProof/>
          <w:color w:val="000000"/>
          <w:sz w:val="24"/>
          <w:szCs w:val="24"/>
          <w:lang w:val="en-US"/>
        </w:rPr>
      </w:pPr>
    </w:p>
    <w:p w:rsidR="00E377E9" w:rsidRPr="00730859" w:rsidRDefault="00E377E9" w:rsidP="00857917">
      <w:pPr>
        <w:pStyle w:val="ListParagraph"/>
        <w:numPr>
          <w:ilvl w:val="0"/>
          <w:numId w:val="7"/>
        </w:numPr>
        <w:autoSpaceDE w:val="0"/>
        <w:autoSpaceDN w:val="0"/>
        <w:adjustRightInd w:val="0"/>
        <w:spacing w:after="167" w:line="240" w:lineRule="auto"/>
        <w:jc w:val="both"/>
        <w:rPr>
          <w:rFonts w:ascii="Times New Roman" w:hAnsi="Times New Roman" w:cs="Times New Roman"/>
          <w:noProof/>
          <w:color w:val="000000"/>
          <w:sz w:val="24"/>
          <w:szCs w:val="24"/>
          <w:lang w:val="en-US"/>
        </w:rPr>
      </w:pPr>
      <w:r w:rsidRPr="00730859">
        <w:rPr>
          <w:rFonts w:ascii="Times New Roman" w:hAnsi="Times New Roman" w:cs="Times New Roman"/>
          <w:noProof/>
          <w:sz w:val="24"/>
          <w:szCs w:val="24"/>
        </w:rPr>
        <w:t xml:space="preserve">In the </w:t>
      </w:r>
      <w:r w:rsidRPr="00730859">
        <w:rPr>
          <w:rFonts w:ascii="Times New Roman" w:hAnsi="Times New Roman" w:cs="Times New Roman"/>
          <w:b/>
          <w:bCs/>
          <w:noProof/>
          <w:sz w:val="24"/>
          <w:szCs w:val="24"/>
        </w:rPr>
        <w:t>Caribbean</w:t>
      </w:r>
      <w:r w:rsidRPr="00730859">
        <w:rPr>
          <w:rFonts w:ascii="Times New Roman" w:hAnsi="Times New Roman" w:cs="Times New Roman"/>
          <w:noProof/>
          <w:sz w:val="24"/>
          <w:szCs w:val="24"/>
        </w:rPr>
        <w:t xml:space="preserve">, the ‘RESEMBID’ </w:t>
      </w:r>
      <w:r w:rsidRPr="00730859">
        <w:rPr>
          <w:rFonts w:ascii="Times New Roman" w:hAnsi="Times New Roman" w:cs="Times New Roman"/>
          <w:iCs/>
          <w:noProof/>
          <w:sz w:val="24"/>
          <w:szCs w:val="24"/>
        </w:rPr>
        <w:t>Programme</w:t>
      </w:r>
      <w:r w:rsidRPr="00730859">
        <w:rPr>
          <w:rFonts w:ascii="Times New Roman" w:hAnsi="Times New Roman" w:cs="Times New Roman"/>
          <w:noProof/>
          <w:sz w:val="24"/>
          <w:szCs w:val="24"/>
        </w:rPr>
        <w:t xml:space="preserve"> (</w:t>
      </w:r>
      <w:r w:rsidRPr="00730859">
        <w:rPr>
          <w:rFonts w:ascii="Times New Roman" w:hAnsi="Times New Roman" w:cs="Times New Roman"/>
          <w:i/>
          <w:iCs/>
          <w:noProof/>
          <w:sz w:val="24"/>
          <w:szCs w:val="24"/>
        </w:rPr>
        <w:t xml:space="preserve">Resilience, Sustainable Energy and Marine Biodiversity Regional, </w:t>
      </w:r>
      <w:r w:rsidRPr="00730859">
        <w:rPr>
          <w:rFonts w:ascii="Times New Roman" w:hAnsi="Times New Roman" w:cs="Times New Roman"/>
          <w:iCs/>
          <w:noProof/>
          <w:sz w:val="24"/>
          <w:szCs w:val="24"/>
        </w:rPr>
        <w:t>EUR 42.67 million</w:t>
      </w:r>
      <w:r w:rsidR="00285FA5" w:rsidRPr="00730859">
        <w:rPr>
          <w:rFonts w:ascii="Times New Roman" w:hAnsi="Times New Roman" w:cs="Times New Roman"/>
          <w:iCs/>
          <w:noProof/>
          <w:sz w:val="24"/>
          <w:szCs w:val="24"/>
        </w:rPr>
        <w:t xml:space="preserve"> of which </w:t>
      </w:r>
      <w:r w:rsidRPr="00730859">
        <w:rPr>
          <w:rFonts w:ascii="Times New Roman" w:hAnsi="Times New Roman" w:cs="Times New Roman"/>
          <w:noProof/>
          <w:sz w:val="24"/>
          <w:szCs w:val="24"/>
        </w:rPr>
        <w:t>EUR 2.67 million from the B-envelope as COVID-19 support</w:t>
      </w:r>
      <w:r w:rsidR="00285FA5" w:rsidRPr="00730859">
        <w:rPr>
          <w:rFonts w:ascii="Times New Roman" w:hAnsi="Times New Roman" w:cs="Times New Roman"/>
          <w:noProof/>
          <w:sz w:val="24"/>
          <w:szCs w:val="24"/>
        </w:rPr>
        <w:t>)</w:t>
      </w:r>
      <w:r w:rsidR="00730859" w:rsidRPr="00730859">
        <w:rPr>
          <w:rFonts w:ascii="Times New Roman" w:hAnsi="Times New Roman" w:cs="Times New Roman"/>
          <w:noProof/>
          <w:sz w:val="24"/>
          <w:szCs w:val="24"/>
        </w:rPr>
        <w:t xml:space="preserve"> focuses</w:t>
      </w:r>
      <w:r w:rsidRPr="00730859">
        <w:rPr>
          <w:rFonts w:ascii="Times New Roman" w:hAnsi="Times New Roman" w:cs="Times New Roman"/>
          <w:noProof/>
          <w:sz w:val="24"/>
          <w:szCs w:val="24"/>
        </w:rPr>
        <w:t xml:space="preserve"> on resilience</w:t>
      </w:r>
      <w:r w:rsidR="00730859" w:rsidRPr="00730859">
        <w:rPr>
          <w:rFonts w:ascii="Times New Roman" w:hAnsi="Times New Roman" w:cs="Times New Roman"/>
          <w:noProof/>
          <w:sz w:val="24"/>
          <w:szCs w:val="24"/>
        </w:rPr>
        <w:t xml:space="preserve"> building</w:t>
      </w:r>
      <w:r w:rsidRPr="00730859">
        <w:rPr>
          <w:rFonts w:ascii="Times New Roman" w:hAnsi="Times New Roman" w:cs="Times New Roman"/>
          <w:noProof/>
          <w:sz w:val="24"/>
          <w:szCs w:val="24"/>
        </w:rPr>
        <w:t xml:space="preserve">, sustainable energy and marine biodiversity. The objective is to </w:t>
      </w:r>
      <w:r w:rsidR="00730859" w:rsidRPr="00730859">
        <w:rPr>
          <w:rFonts w:ascii="Times New Roman" w:hAnsi="Times New Roman" w:cs="Times New Roman"/>
          <w:noProof/>
          <w:sz w:val="24"/>
          <w:szCs w:val="24"/>
        </w:rPr>
        <w:t xml:space="preserve">increase resilience to extreme and recurrent natural events, </w:t>
      </w:r>
      <w:r w:rsidRPr="00730859">
        <w:rPr>
          <w:rFonts w:ascii="Times New Roman" w:hAnsi="Times New Roman" w:cs="Times New Roman"/>
          <w:noProof/>
          <w:sz w:val="24"/>
          <w:szCs w:val="24"/>
        </w:rPr>
        <w:t>upgrade outdated</w:t>
      </w:r>
      <w:r w:rsidR="00730859" w:rsidRPr="00730859">
        <w:rPr>
          <w:rFonts w:ascii="Times New Roman" w:hAnsi="Times New Roman" w:cs="Times New Roman"/>
          <w:noProof/>
          <w:sz w:val="24"/>
          <w:szCs w:val="24"/>
        </w:rPr>
        <w:t xml:space="preserve"> infrastructure and increase</w:t>
      </w:r>
      <w:r w:rsidRPr="00730859">
        <w:rPr>
          <w:rFonts w:ascii="Times New Roman" w:hAnsi="Times New Roman" w:cs="Times New Roman"/>
          <w:noProof/>
          <w:sz w:val="24"/>
          <w:szCs w:val="24"/>
        </w:rPr>
        <w:t xml:space="preserve"> energy efficiency,</w:t>
      </w:r>
      <w:r w:rsidR="00730859" w:rsidRPr="00730859">
        <w:rPr>
          <w:rFonts w:ascii="Times New Roman" w:hAnsi="Times New Roman" w:cs="Times New Roman"/>
          <w:noProof/>
          <w:sz w:val="24"/>
          <w:szCs w:val="24"/>
        </w:rPr>
        <w:t xml:space="preserve"> and</w:t>
      </w:r>
      <w:r w:rsidRPr="00730859">
        <w:rPr>
          <w:rFonts w:ascii="Times New Roman" w:hAnsi="Times New Roman" w:cs="Times New Roman"/>
          <w:noProof/>
          <w:sz w:val="24"/>
          <w:szCs w:val="24"/>
        </w:rPr>
        <w:t xml:space="preserve"> improve protection and sustainable management o</w:t>
      </w:r>
      <w:r w:rsidR="00730859" w:rsidRPr="00730859">
        <w:rPr>
          <w:rFonts w:ascii="Times New Roman" w:hAnsi="Times New Roman" w:cs="Times New Roman"/>
          <w:noProof/>
          <w:sz w:val="24"/>
          <w:szCs w:val="24"/>
        </w:rPr>
        <w:t>f marine biodiversity</w:t>
      </w:r>
      <w:r w:rsidRPr="00730859">
        <w:rPr>
          <w:rFonts w:ascii="Times New Roman" w:hAnsi="Times New Roman" w:cs="Times New Roman"/>
          <w:noProof/>
          <w:sz w:val="24"/>
          <w:szCs w:val="24"/>
        </w:rPr>
        <w:t xml:space="preserve">. </w:t>
      </w:r>
      <w:r w:rsidR="00080240" w:rsidRPr="00730859">
        <w:rPr>
          <w:rFonts w:ascii="Times New Roman" w:hAnsi="Times New Roman" w:cs="Times New Roman"/>
          <w:noProof/>
          <w:sz w:val="24"/>
          <w:szCs w:val="24"/>
        </w:rPr>
        <w:t xml:space="preserve">In 2021, implementation accelerated with all grants projects in the process of being contracted and carried out by the beneficiaries. The programme also achieved significant results in the field of </w:t>
      </w:r>
      <w:r w:rsidR="002D69F0" w:rsidRPr="00730859">
        <w:rPr>
          <w:rFonts w:ascii="Times New Roman" w:hAnsi="Times New Roman" w:cs="Times New Roman"/>
          <w:noProof/>
          <w:sz w:val="24"/>
          <w:szCs w:val="24"/>
        </w:rPr>
        <w:t xml:space="preserve">resilience and </w:t>
      </w:r>
      <w:r w:rsidR="00080240" w:rsidRPr="00730859">
        <w:rPr>
          <w:rFonts w:ascii="Times New Roman" w:hAnsi="Times New Roman" w:cs="Times New Roman"/>
          <w:noProof/>
          <w:sz w:val="24"/>
          <w:szCs w:val="24"/>
        </w:rPr>
        <w:t xml:space="preserve">disaster risk </w:t>
      </w:r>
      <w:r w:rsidR="002D69F0" w:rsidRPr="00730859">
        <w:rPr>
          <w:rFonts w:ascii="Times New Roman" w:hAnsi="Times New Roman" w:cs="Times New Roman"/>
          <w:noProof/>
          <w:sz w:val="24"/>
          <w:szCs w:val="24"/>
        </w:rPr>
        <w:t>preparedness</w:t>
      </w:r>
      <w:r w:rsidR="00080240" w:rsidRPr="00730859">
        <w:rPr>
          <w:rFonts w:ascii="Times New Roman" w:hAnsi="Times New Roman" w:cs="Times New Roman"/>
          <w:noProof/>
          <w:sz w:val="24"/>
          <w:szCs w:val="24"/>
        </w:rPr>
        <w:t xml:space="preserve">, notably </w:t>
      </w:r>
      <w:r w:rsidR="002D69F0" w:rsidRPr="00730859">
        <w:rPr>
          <w:rFonts w:ascii="Times New Roman" w:hAnsi="Times New Roman" w:cs="Times New Roman"/>
          <w:noProof/>
          <w:sz w:val="24"/>
          <w:szCs w:val="24"/>
        </w:rPr>
        <w:t xml:space="preserve">with the diagnostic reports on emergency preparedness and disaster response in 12 OCTs and </w:t>
      </w:r>
      <w:r w:rsidR="00080240" w:rsidRPr="00730859">
        <w:rPr>
          <w:rFonts w:ascii="Times New Roman" w:hAnsi="Times New Roman" w:cs="Times New Roman"/>
          <w:noProof/>
          <w:sz w:val="24"/>
          <w:szCs w:val="24"/>
        </w:rPr>
        <w:t>with the certificate course</w:t>
      </w:r>
      <w:r w:rsidR="00631FB8" w:rsidRPr="00730859">
        <w:rPr>
          <w:rFonts w:ascii="Times New Roman" w:hAnsi="Times New Roman" w:cs="Times New Roman"/>
          <w:noProof/>
          <w:sz w:val="24"/>
          <w:szCs w:val="24"/>
        </w:rPr>
        <w:t xml:space="preserve"> </w:t>
      </w:r>
      <w:r w:rsidR="002D69F0" w:rsidRPr="00730859">
        <w:rPr>
          <w:rFonts w:ascii="Times New Roman" w:hAnsi="Times New Roman" w:cs="Times New Roman"/>
          <w:noProof/>
          <w:sz w:val="24"/>
          <w:szCs w:val="24"/>
        </w:rPr>
        <w:t xml:space="preserve">on disaster risk financing and analytics. </w:t>
      </w:r>
      <w:r w:rsidR="00730859" w:rsidRPr="00730859">
        <w:rPr>
          <w:rFonts w:ascii="Times New Roman" w:hAnsi="Times New Roman" w:cs="Times New Roman"/>
          <w:noProof/>
          <w:sz w:val="24"/>
          <w:szCs w:val="24"/>
        </w:rPr>
        <w:t xml:space="preserve">EUR 8.2 million has been disbursed so far </w:t>
      </w:r>
      <w:r w:rsidR="00730859" w:rsidRPr="00730859">
        <w:rPr>
          <w:rFonts w:ascii="Times New Roman" w:eastAsia="Times New Roman" w:hAnsi="Times New Roman" w:cs="Times New Roman"/>
          <w:noProof/>
          <w:sz w:val="24"/>
          <w:szCs w:val="24"/>
        </w:rPr>
        <w:t>and is expected to be scaled up as of 2022</w:t>
      </w:r>
      <w:r w:rsidR="00730859" w:rsidRPr="00730859">
        <w:rPr>
          <w:rFonts w:ascii="Times New Roman" w:hAnsi="Times New Roman" w:cs="Times New Roman"/>
          <w:noProof/>
          <w:sz w:val="24"/>
          <w:szCs w:val="24"/>
        </w:rPr>
        <w:t>.</w:t>
      </w:r>
    </w:p>
    <w:p w:rsidR="00730859" w:rsidRPr="00730859" w:rsidRDefault="00730859" w:rsidP="00730859">
      <w:pPr>
        <w:pStyle w:val="ListParagraph"/>
        <w:autoSpaceDE w:val="0"/>
        <w:autoSpaceDN w:val="0"/>
        <w:adjustRightInd w:val="0"/>
        <w:spacing w:after="167" w:line="240" w:lineRule="auto"/>
        <w:jc w:val="both"/>
        <w:rPr>
          <w:rFonts w:ascii="Times New Roman" w:hAnsi="Times New Roman" w:cs="Times New Roman"/>
          <w:noProof/>
          <w:color w:val="000000"/>
          <w:sz w:val="24"/>
          <w:szCs w:val="24"/>
          <w:lang w:val="en-US"/>
        </w:rPr>
      </w:pPr>
    </w:p>
    <w:p w:rsidR="00E155B3" w:rsidRPr="00E155B3" w:rsidRDefault="00E46201" w:rsidP="00E155B3">
      <w:pPr>
        <w:pStyle w:val="ListParagraph"/>
        <w:numPr>
          <w:ilvl w:val="0"/>
          <w:numId w:val="7"/>
        </w:numPr>
        <w:autoSpaceDE w:val="0"/>
        <w:autoSpaceDN w:val="0"/>
        <w:adjustRightInd w:val="0"/>
        <w:spacing w:after="167" w:line="240" w:lineRule="auto"/>
        <w:jc w:val="both"/>
        <w:rPr>
          <w:rFonts w:eastAsiaTheme="minorEastAsia"/>
          <w:noProof/>
          <w:sz w:val="24"/>
          <w:szCs w:val="24"/>
        </w:rPr>
      </w:pPr>
      <w:r w:rsidRPr="00205CEC">
        <w:rPr>
          <w:rFonts w:ascii="Times New Roman" w:hAnsi="Times New Roman" w:cs="Times New Roman"/>
          <w:noProof/>
          <w:sz w:val="24"/>
          <w:szCs w:val="24"/>
        </w:rPr>
        <w:t xml:space="preserve">The </w:t>
      </w:r>
      <w:r w:rsidRPr="00205CEC">
        <w:rPr>
          <w:rFonts w:ascii="Times New Roman" w:hAnsi="Times New Roman" w:cs="Times New Roman"/>
          <w:b/>
          <w:bCs/>
          <w:noProof/>
          <w:sz w:val="24"/>
          <w:szCs w:val="24"/>
        </w:rPr>
        <w:t>Indian Ocean</w:t>
      </w:r>
      <w:r w:rsidRPr="00205CEC">
        <w:rPr>
          <w:rFonts w:ascii="Times New Roman" w:hAnsi="Times New Roman" w:cs="Times New Roman"/>
          <w:noProof/>
          <w:sz w:val="24"/>
          <w:szCs w:val="24"/>
        </w:rPr>
        <w:t xml:space="preserve"> Regional Programme “RECI” </w:t>
      </w:r>
      <w:r w:rsidRPr="00205CEC">
        <w:rPr>
          <w:rFonts w:ascii="Times New Roman" w:eastAsia="Times New Roman" w:hAnsi="Times New Roman" w:cs="Times New Roman"/>
          <w:noProof/>
          <w:sz w:val="24"/>
          <w:szCs w:val="24"/>
        </w:rPr>
        <w:t>(</w:t>
      </w:r>
      <w:r w:rsidRPr="00205CEC">
        <w:rPr>
          <w:rFonts w:ascii="Times New Roman" w:eastAsia="Times New Roman" w:hAnsi="Times New Roman" w:cs="Times New Roman"/>
          <w:i/>
          <w:iCs/>
          <w:noProof/>
          <w:sz w:val="24"/>
          <w:szCs w:val="24"/>
        </w:rPr>
        <w:t>Projet de Restauration des Ecosystèmes Insulaires de l’Océan Indien</w:t>
      </w:r>
      <w:r w:rsidRPr="00205CEC">
        <w:rPr>
          <w:rFonts w:ascii="Times New Roman" w:eastAsia="Times New Roman" w:hAnsi="Times New Roman" w:cs="Times New Roman"/>
          <w:noProof/>
          <w:sz w:val="24"/>
          <w:szCs w:val="24"/>
        </w:rPr>
        <w:t xml:space="preserve">, EUR 4 </w:t>
      </w:r>
      <w:r w:rsidR="00D96A5F">
        <w:rPr>
          <w:rFonts w:ascii="Times New Roman" w:eastAsia="Times New Roman" w:hAnsi="Times New Roman" w:cs="Times New Roman"/>
          <w:noProof/>
          <w:sz w:val="24"/>
          <w:szCs w:val="24"/>
        </w:rPr>
        <w:t>million</w:t>
      </w:r>
      <w:r w:rsidRPr="00205CEC">
        <w:rPr>
          <w:rFonts w:ascii="Times New Roman" w:eastAsia="Times New Roman" w:hAnsi="Times New Roman" w:cs="Times New Roman"/>
          <w:noProof/>
          <w:sz w:val="24"/>
          <w:szCs w:val="24"/>
        </w:rPr>
        <w:t>) aims to restore island ecosystems in the French Southern and Antarctic Lands. Technical operations progressed well and important activities have were carried out in 2021</w:t>
      </w:r>
      <w:r>
        <w:rPr>
          <w:rFonts w:ascii="Times New Roman" w:eastAsia="Times New Roman" w:hAnsi="Times New Roman" w:cs="Times New Roman"/>
          <w:noProof/>
          <w:sz w:val="24"/>
          <w:szCs w:val="24"/>
        </w:rPr>
        <w:t>, i</w:t>
      </w:r>
      <w:r w:rsidRPr="00205CEC">
        <w:rPr>
          <w:rFonts w:ascii="Times New Roman" w:eastAsia="Times New Roman" w:hAnsi="Times New Roman" w:cs="Times New Roman"/>
          <w:noProof/>
          <w:sz w:val="24"/>
          <w:szCs w:val="24"/>
        </w:rPr>
        <w:t>n particular environmental monitoring and the preparation of eradication operations</w:t>
      </w:r>
      <w:r w:rsidR="00730859">
        <w:rPr>
          <w:rFonts w:ascii="Times New Roman" w:eastAsia="Times New Roman" w:hAnsi="Times New Roman" w:cs="Times New Roman"/>
          <w:noProof/>
          <w:sz w:val="24"/>
          <w:szCs w:val="24"/>
        </w:rPr>
        <w:t xml:space="preserve">. </w:t>
      </w:r>
    </w:p>
    <w:p w:rsidR="00E155B3" w:rsidRPr="00E155B3" w:rsidRDefault="00E155B3" w:rsidP="00E155B3">
      <w:pPr>
        <w:pStyle w:val="ListParagraph"/>
        <w:rPr>
          <w:rFonts w:ascii="Times New Roman" w:hAnsi="Times New Roman" w:cs="Times New Roman"/>
          <w:noProof/>
          <w:sz w:val="24"/>
          <w:szCs w:val="24"/>
        </w:rPr>
      </w:pPr>
    </w:p>
    <w:p w:rsidR="00E377E9" w:rsidRPr="00E155B3" w:rsidRDefault="00730859" w:rsidP="00E155B3">
      <w:pPr>
        <w:pStyle w:val="ListParagraph"/>
        <w:numPr>
          <w:ilvl w:val="0"/>
          <w:numId w:val="7"/>
        </w:numPr>
        <w:autoSpaceDE w:val="0"/>
        <w:autoSpaceDN w:val="0"/>
        <w:adjustRightInd w:val="0"/>
        <w:spacing w:after="167" w:line="240" w:lineRule="auto"/>
        <w:jc w:val="both"/>
        <w:rPr>
          <w:rFonts w:eastAsiaTheme="minorEastAsia"/>
          <w:noProof/>
          <w:sz w:val="24"/>
          <w:szCs w:val="24"/>
        </w:rPr>
      </w:pPr>
      <w:r>
        <w:rPr>
          <w:rFonts w:ascii="Times New Roman" w:hAnsi="Times New Roman" w:cs="Times New Roman"/>
          <w:noProof/>
          <w:sz w:val="24"/>
          <w:szCs w:val="24"/>
        </w:rPr>
        <w:t>The</w:t>
      </w:r>
      <w:r w:rsidR="00E155B3" w:rsidRPr="00E155B3">
        <w:rPr>
          <w:rFonts w:ascii="Times New Roman" w:hAnsi="Times New Roman" w:cs="Times New Roman"/>
          <w:noProof/>
          <w:sz w:val="24"/>
          <w:szCs w:val="24"/>
        </w:rPr>
        <w:t xml:space="preserve"> </w:t>
      </w:r>
      <w:r w:rsidR="00E155B3" w:rsidRPr="00E155B3">
        <w:rPr>
          <w:rFonts w:ascii="Times New Roman" w:hAnsi="Times New Roman" w:cs="Times New Roman"/>
          <w:b/>
          <w:noProof/>
          <w:sz w:val="24"/>
          <w:szCs w:val="24"/>
        </w:rPr>
        <w:t>all-OCTs thematic programme</w:t>
      </w:r>
      <w:r w:rsidR="00E155B3" w:rsidRPr="00E155B3">
        <w:rPr>
          <w:rFonts w:ascii="Times New Roman" w:hAnsi="Times New Roman" w:cs="Times New Roman"/>
          <w:noProof/>
          <w:sz w:val="24"/>
          <w:szCs w:val="24"/>
        </w:rPr>
        <w:t xml:space="preserve"> </w:t>
      </w:r>
      <w:r w:rsidR="00432F75" w:rsidRPr="00E155B3">
        <w:rPr>
          <w:rFonts w:ascii="Times New Roman" w:hAnsi="Times New Roman" w:cs="Times New Roman"/>
          <w:b/>
          <w:noProof/>
          <w:sz w:val="24"/>
          <w:szCs w:val="24"/>
        </w:rPr>
        <w:t>Green Overseas</w:t>
      </w:r>
      <w:r w:rsidR="00432F75">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w:t>
      </w:r>
      <w:r w:rsidR="00432F75">
        <w:rPr>
          <w:rFonts w:ascii="Times New Roman" w:hAnsi="Times New Roman" w:cs="Times New Roman"/>
          <w:b/>
          <w:noProof/>
          <w:sz w:val="24"/>
          <w:szCs w:val="24"/>
        </w:rPr>
        <w:t xml:space="preserve">GO </w:t>
      </w:r>
      <w:r w:rsidR="00432F75" w:rsidRPr="00E155B3">
        <w:rPr>
          <w:rFonts w:ascii="Times New Roman" w:hAnsi="Times New Roman" w:cs="Times New Roman"/>
          <w:noProof/>
          <w:sz w:val="24"/>
          <w:szCs w:val="24"/>
        </w:rPr>
        <w:t xml:space="preserve"> </w:t>
      </w:r>
      <w:r w:rsidR="00E155B3" w:rsidRPr="00E155B3">
        <w:rPr>
          <w:rFonts w:ascii="Times New Roman" w:hAnsi="Times New Roman" w:cs="Times New Roman"/>
          <w:noProof/>
          <w:sz w:val="24"/>
          <w:szCs w:val="24"/>
        </w:rPr>
        <w:t>(EUR 17.8 mil</w:t>
      </w:r>
      <w:r w:rsidR="00E155B3">
        <w:rPr>
          <w:rFonts w:ascii="Times New Roman" w:hAnsi="Times New Roman" w:cs="Times New Roman"/>
          <w:noProof/>
          <w:sz w:val="24"/>
          <w:szCs w:val="24"/>
        </w:rPr>
        <w:t>lion</w:t>
      </w:r>
      <w:r>
        <w:rPr>
          <w:rFonts w:ascii="Times New Roman" w:hAnsi="Times New Roman" w:cs="Times New Roman"/>
          <w:noProof/>
          <w:sz w:val="24"/>
          <w:szCs w:val="24"/>
        </w:rPr>
        <w:t>- 11</w:t>
      </w:r>
      <w:r w:rsidRPr="00730859">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EDF)</w:t>
      </w:r>
      <w:r w:rsidR="00E155B3" w:rsidRPr="00E155B3">
        <w:rPr>
          <w:rFonts w:ascii="Times New Roman" w:hAnsi="Times New Roman" w:cs="Times New Roman"/>
          <w:noProof/>
          <w:sz w:val="24"/>
          <w:szCs w:val="24"/>
        </w:rPr>
        <w:t xml:space="preserve"> focus</w:t>
      </w:r>
      <w:r w:rsidR="00182A89">
        <w:rPr>
          <w:rFonts w:ascii="Times New Roman" w:hAnsi="Times New Roman" w:cs="Times New Roman"/>
          <w:noProof/>
          <w:sz w:val="24"/>
          <w:szCs w:val="24"/>
        </w:rPr>
        <w:t>es</w:t>
      </w:r>
      <w:r w:rsidR="00E155B3" w:rsidRPr="00E155B3">
        <w:rPr>
          <w:rFonts w:ascii="Times New Roman" w:hAnsi="Times New Roman" w:cs="Times New Roman"/>
          <w:noProof/>
          <w:sz w:val="24"/>
          <w:szCs w:val="24"/>
        </w:rPr>
        <w:t xml:space="preserve"> on </w:t>
      </w:r>
      <w:r w:rsidR="00182A89">
        <w:rPr>
          <w:rFonts w:ascii="Times New Roman" w:hAnsi="Times New Roman" w:cs="Times New Roman"/>
          <w:noProof/>
          <w:sz w:val="24"/>
          <w:szCs w:val="24"/>
        </w:rPr>
        <w:t xml:space="preserve">advancing </w:t>
      </w:r>
      <w:r w:rsidR="00E155B3" w:rsidRPr="00E155B3">
        <w:rPr>
          <w:rFonts w:ascii="Times New Roman" w:hAnsi="Times New Roman" w:cs="Times New Roman"/>
          <w:noProof/>
          <w:sz w:val="24"/>
          <w:szCs w:val="24"/>
        </w:rPr>
        <w:t>sustainable energy</w:t>
      </w:r>
      <w:r w:rsidR="00182A89">
        <w:rPr>
          <w:rFonts w:ascii="Times New Roman" w:hAnsi="Times New Roman" w:cs="Times New Roman"/>
          <w:noProof/>
          <w:sz w:val="24"/>
          <w:szCs w:val="24"/>
        </w:rPr>
        <w:t xml:space="preserve"> and</w:t>
      </w:r>
      <w:r w:rsidR="002E57AA">
        <w:rPr>
          <w:rFonts w:ascii="Times New Roman" w:hAnsi="Times New Roman" w:cs="Times New Roman"/>
          <w:noProof/>
          <w:sz w:val="24"/>
          <w:szCs w:val="24"/>
        </w:rPr>
        <w:t xml:space="preserve"> </w:t>
      </w:r>
      <w:r w:rsidR="00182A89">
        <w:rPr>
          <w:rFonts w:ascii="Times New Roman" w:hAnsi="Times New Roman" w:cs="Times New Roman"/>
          <w:noProof/>
          <w:sz w:val="24"/>
          <w:szCs w:val="24"/>
        </w:rPr>
        <w:t xml:space="preserve">enhanced </w:t>
      </w:r>
      <w:r w:rsidR="002E57AA">
        <w:rPr>
          <w:rFonts w:ascii="Times New Roman" w:hAnsi="Times New Roman" w:cs="Times New Roman"/>
          <w:noProof/>
          <w:sz w:val="24"/>
          <w:szCs w:val="24"/>
        </w:rPr>
        <w:t>r</w:t>
      </w:r>
      <w:r w:rsidR="00E155B3" w:rsidRPr="00E155B3">
        <w:rPr>
          <w:rFonts w:ascii="Times New Roman" w:hAnsi="Times New Roman" w:cs="Times New Roman"/>
          <w:noProof/>
          <w:sz w:val="24"/>
          <w:szCs w:val="24"/>
        </w:rPr>
        <w:t xml:space="preserve">esilience </w:t>
      </w:r>
      <w:r w:rsidR="00E155B3">
        <w:rPr>
          <w:rFonts w:ascii="Times New Roman" w:hAnsi="Times New Roman" w:cs="Times New Roman"/>
          <w:noProof/>
          <w:sz w:val="24"/>
          <w:szCs w:val="24"/>
        </w:rPr>
        <w:t>to climate change</w:t>
      </w:r>
      <w:r w:rsidR="00E155B3" w:rsidRPr="00E155B3">
        <w:rPr>
          <w:rFonts w:ascii="Times New Roman" w:hAnsi="Times New Roman" w:cs="Times New Roman"/>
          <w:noProof/>
          <w:sz w:val="24"/>
          <w:szCs w:val="24"/>
        </w:rPr>
        <w:t>.</w:t>
      </w:r>
      <w:r>
        <w:rPr>
          <w:rFonts w:ascii="Times New Roman" w:hAnsi="Times New Roman" w:cs="Times New Roman"/>
          <w:noProof/>
          <w:sz w:val="24"/>
          <w:szCs w:val="24"/>
        </w:rPr>
        <w:t xml:space="preserve"> </w:t>
      </w:r>
      <w:r w:rsidR="00E155B3" w:rsidRPr="00E155B3">
        <w:rPr>
          <w:rFonts w:ascii="Times New Roman" w:hAnsi="Times New Roman" w:cs="Times New Roman"/>
          <w:noProof/>
          <w:sz w:val="24"/>
          <w:szCs w:val="24"/>
        </w:rPr>
        <w:t>Implementation started in 2021</w:t>
      </w:r>
      <w:r w:rsidR="00182A89">
        <w:rPr>
          <w:rFonts w:ascii="Times New Roman" w:hAnsi="Times New Roman" w:cs="Times New Roman"/>
          <w:noProof/>
          <w:sz w:val="24"/>
          <w:szCs w:val="24"/>
        </w:rPr>
        <w:t xml:space="preserve"> with setting up the programme implementation structure, </w:t>
      </w:r>
      <w:r w:rsidR="00E155B3" w:rsidRPr="00E155B3">
        <w:rPr>
          <w:rFonts w:ascii="Times New Roman" w:hAnsi="Times New Roman" w:cs="Times New Roman"/>
          <w:noProof/>
          <w:sz w:val="24"/>
          <w:szCs w:val="24"/>
        </w:rPr>
        <w:t xml:space="preserve"> </w:t>
      </w:r>
      <w:r w:rsidR="00182A89">
        <w:rPr>
          <w:rFonts w:ascii="Times New Roman" w:hAnsi="Times New Roman" w:cs="Times New Roman"/>
          <w:noProof/>
          <w:sz w:val="24"/>
          <w:szCs w:val="24"/>
        </w:rPr>
        <w:t xml:space="preserve">in-depth </w:t>
      </w:r>
      <w:r w:rsidR="00E155B3" w:rsidRPr="00E155B3">
        <w:rPr>
          <w:rFonts w:ascii="Times New Roman" w:hAnsi="Times New Roman" w:cs="Times New Roman"/>
          <w:noProof/>
          <w:sz w:val="24"/>
          <w:szCs w:val="24"/>
        </w:rPr>
        <w:t>consultations with beneficiaries</w:t>
      </w:r>
      <w:r w:rsidR="00182A89">
        <w:rPr>
          <w:rFonts w:ascii="Times New Roman" w:hAnsi="Times New Roman" w:cs="Times New Roman"/>
          <w:noProof/>
          <w:sz w:val="24"/>
          <w:szCs w:val="24"/>
        </w:rPr>
        <w:t xml:space="preserve"> on specific topics for the interventions and the organisation of a first round of seminars</w:t>
      </w:r>
      <w:r w:rsidR="00E155B3" w:rsidRPr="00E155B3">
        <w:rPr>
          <w:rFonts w:ascii="Times New Roman" w:hAnsi="Times New Roman" w:cs="Times New Roman"/>
          <w:noProof/>
          <w:sz w:val="24"/>
          <w:szCs w:val="24"/>
        </w:rPr>
        <w:t xml:space="preserve">. </w:t>
      </w:r>
      <w:r>
        <w:rPr>
          <w:rFonts w:ascii="Times New Roman" w:hAnsi="Times New Roman" w:cs="Times New Roman"/>
          <w:noProof/>
          <w:sz w:val="24"/>
          <w:szCs w:val="24"/>
        </w:rPr>
        <w:t>The roll-</w:t>
      </w:r>
      <w:r w:rsidR="00182A89">
        <w:rPr>
          <w:rFonts w:ascii="Times New Roman" w:hAnsi="Times New Roman" w:cs="Times New Roman"/>
          <w:noProof/>
          <w:sz w:val="24"/>
          <w:szCs w:val="24"/>
        </w:rPr>
        <w:t>out of a</w:t>
      </w:r>
      <w:r w:rsidR="00E155B3" w:rsidRPr="00E155B3">
        <w:rPr>
          <w:rFonts w:ascii="Times New Roman" w:hAnsi="Times New Roman" w:cs="Times New Roman"/>
          <w:noProof/>
          <w:sz w:val="24"/>
          <w:szCs w:val="24"/>
        </w:rPr>
        <w:t xml:space="preserve">ctivities </w:t>
      </w:r>
      <w:r w:rsidR="00182A89">
        <w:rPr>
          <w:rFonts w:ascii="Times New Roman" w:hAnsi="Times New Roman" w:cs="Times New Roman"/>
          <w:noProof/>
          <w:sz w:val="24"/>
          <w:szCs w:val="24"/>
        </w:rPr>
        <w:t xml:space="preserve">including </w:t>
      </w:r>
      <w:r w:rsidR="00E155B3" w:rsidRPr="00E155B3">
        <w:rPr>
          <w:rFonts w:ascii="Times New Roman" w:hAnsi="Times New Roman" w:cs="Times New Roman"/>
          <w:noProof/>
          <w:sz w:val="24"/>
          <w:szCs w:val="24"/>
        </w:rPr>
        <w:t>technical assistance and pilot projects will start in the second semester of 2022.</w:t>
      </w:r>
    </w:p>
    <w:p w:rsidR="00E155B3" w:rsidRPr="00E155B3" w:rsidRDefault="00E155B3" w:rsidP="00E377E9">
      <w:pPr>
        <w:autoSpaceDE w:val="0"/>
        <w:autoSpaceDN w:val="0"/>
        <w:adjustRightInd w:val="0"/>
        <w:spacing w:after="0" w:line="240" w:lineRule="auto"/>
        <w:jc w:val="both"/>
        <w:rPr>
          <w:rFonts w:ascii="Times New Roman" w:hAnsi="Times New Roman" w:cs="Times New Roman"/>
          <w:noProof/>
          <w:color w:val="000000"/>
          <w:sz w:val="20"/>
          <w:szCs w:val="24"/>
          <w:highlight w:val="lightGray"/>
          <w:lang w:val="en-US"/>
        </w:rPr>
      </w:pPr>
    </w:p>
    <w:p w:rsidR="00730859" w:rsidRPr="00730859" w:rsidRDefault="00730859" w:rsidP="00730859">
      <w:pPr>
        <w:pStyle w:val="ListParagraph"/>
        <w:numPr>
          <w:ilvl w:val="0"/>
          <w:numId w:val="3"/>
        </w:numPr>
        <w:spacing w:after="0" w:line="240" w:lineRule="auto"/>
        <w:jc w:val="both"/>
        <w:rPr>
          <w:rFonts w:ascii="Times New Roman" w:hAnsi="Times New Roman" w:cs="Times New Roman"/>
          <w:b/>
          <w:noProof/>
          <w:color w:val="000000"/>
          <w:sz w:val="24"/>
          <w:szCs w:val="24"/>
          <w:lang w:val="en-US"/>
        </w:rPr>
      </w:pPr>
      <w:r w:rsidRPr="00730859">
        <w:rPr>
          <w:rFonts w:ascii="Times New Roman" w:hAnsi="Times New Roman" w:cs="Times New Roman"/>
          <w:b/>
          <w:noProof/>
          <w:color w:val="000000"/>
          <w:sz w:val="24"/>
          <w:szCs w:val="24"/>
          <w:lang w:val="en-US"/>
        </w:rPr>
        <w:t>Technical assistance and institutional support</w:t>
      </w:r>
    </w:p>
    <w:p w:rsidR="00730859" w:rsidRDefault="00730859" w:rsidP="00730859">
      <w:pPr>
        <w:spacing w:after="0" w:line="240" w:lineRule="auto"/>
        <w:ind w:left="360"/>
        <w:jc w:val="both"/>
        <w:rPr>
          <w:rFonts w:ascii="Times New Roman" w:hAnsi="Times New Roman" w:cs="Times New Roman"/>
          <w:iCs/>
          <w:noProof/>
          <w:color w:val="000000"/>
          <w:sz w:val="24"/>
          <w:szCs w:val="24"/>
          <w:highlight w:val="yellow"/>
          <w:lang w:val="en-US"/>
        </w:rPr>
      </w:pPr>
    </w:p>
    <w:p w:rsidR="00730859" w:rsidRPr="00730859" w:rsidRDefault="00730859" w:rsidP="00730859">
      <w:pPr>
        <w:spacing w:after="0" w:line="240" w:lineRule="auto"/>
        <w:jc w:val="both"/>
        <w:rPr>
          <w:rFonts w:ascii="Times New Roman" w:hAnsi="Times New Roman" w:cs="Times New Roman"/>
          <w:noProof/>
          <w:color w:val="000000"/>
          <w:sz w:val="24"/>
          <w:szCs w:val="24"/>
          <w:lang w:val="en-US"/>
        </w:rPr>
      </w:pPr>
      <w:r w:rsidRPr="00730859">
        <w:rPr>
          <w:rFonts w:ascii="Times New Roman" w:hAnsi="Times New Roman" w:cs="Times New Roman"/>
          <w:iCs/>
          <w:noProof/>
          <w:color w:val="000000"/>
          <w:sz w:val="24"/>
          <w:szCs w:val="24"/>
          <w:lang w:val="en-US"/>
        </w:rPr>
        <w:t xml:space="preserve">The year 2021 saw the continued mobilisation of </w:t>
      </w:r>
      <w:r w:rsidRPr="00730859">
        <w:rPr>
          <w:rFonts w:ascii="Times New Roman" w:hAnsi="Times New Roman" w:cs="Times New Roman"/>
          <w:b/>
          <w:iCs/>
          <w:noProof/>
          <w:color w:val="000000"/>
          <w:sz w:val="24"/>
          <w:szCs w:val="24"/>
          <w:lang w:val="en-US"/>
        </w:rPr>
        <w:t>Technical Assistance</w:t>
      </w:r>
      <w:r w:rsidRPr="00730859">
        <w:rPr>
          <w:rFonts w:ascii="Times New Roman" w:hAnsi="Times New Roman" w:cs="Times New Roman"/>
          <w:iCs/>
          <w:noProof/>
          <w:color w:val="000000"/>
          <w:sz w:val="24"/>
          <w:szCs w:val="24"/>
          <w:lang w:val="en-US"/>
        </w:rPr>
        <w:t xml:space="preserve"> in particular to support OCTs’ authorities in the programming </w:t>
      </w:r>
      <w:r w:rsidR="00D30F65">
        <w:rPr>
          <w:rFonts w:ascii="Times New Roman" w:hAnsi="Times New Roman" w:cs="Times New Roman"/>
          <w:iCs/>
          <w:noProof/>
          <w:color w:val="000000"/>
          <w:sz w:val="24"/>
          <w:szCs w:val="24"/>
          <w:lang w:val="en-US"/>
        </w:rPr>
        <w:t xml:space="preserve">and formulation </w:t>
      </w:r>
      <w:r w:rsidRPr="00730859">
        <w:rPr>
          <w:rFonts w:ascii="Times New Roman" w:hAnsi="Times New Roman" w:cs="Times New Roman"/>
          <w:iCs/>
          <w:noProof/>
          <w:color w:val="000000"/>
          <w:sz w:val="24"/>
          <w:szCs w:val="24"/>
          <w:lang w:val="en-US"/>
        </w:rPr>
        <w:t>process. A total amount of EUR 2.074.075 was disbursed in 2021 under the 11</w:t>
      </w:r>
      <w:r w:rsidRPr="00730859">
        <w:rPr>
          <w:rFonts w:ascii="Times New Roman" w:hAnsi="Times New Roman" w:cs="Times New Roman"/>
          <w:iCs/>
          <w:noProof/>
          <w:color w:val="000000"/>
          <w:sz w:val="24"/>
          <w:szCs w:val="24"/>
          <w:vertAlign w:val="superscript"/>
          <w:lang w:val="en-US"/>
        </w:rPr>
        <w:t>th</w:t>
      </w:r>
      <w:r w:rsidRPr="00730859">
        <w:rPr>
          <w:rFonts w:ascii="Times New Roman" w:hAnsi="Times New Roman" w:cs="Times New Roman"/>
          <w:iCs/>
          <w:noProof/>
          <w:color w:val="000000"/>
          <w:sz w:val="24"/>
          <w:szCs w:val="24"/>
          <w:lang w:val="en-US"/>
        </w:rPr>
        <w:t xml:space="preserve"> EDF Technical Cooperation Facilities III and IV. This covered TA contracts or studies to help defining OCTs’ programming and the design of new programmes.  </w:t>
      </w:r>
    </w:p>
    <w:p w:rsidR="00730859" w:rsidRPr="00730859" w:rsidRDefault="00730859" w:rsidP="00730859">
      <w:pPr>
        <w:spacing w:after="0" w:line="240" w:lineRule="auto"/>
        <w:ind w:left="360"/>
        <w:jc w:val="both"/>
        <w:rPr>
          <w:rFonts w:ascii="Times New Roman" w:hAnsi="Times New Roman" w:cs="Times New Roman"/>
          <w:noProof/>
          <w:color w:val="000000"/>
          <w:sz w:val="24"/>
          <w:szCs w:val="24"/>
          <w:lang w:val="en-US"/>
        </w:rPr>
      </w:pPr>
    </w:p>
    <w:p w:rsidR="00643DA1" w:rsidRDefault="00643DA1" w:rsidP="00730859">
      <w:pPr>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More specifically, a new initiative in favor of youth, the </w:t>
      </w:r>
      <w:r w:rsidRPr="00643DA1">
        <w:rPr>
          <w:rFonts w:ascii="Times New Roman" w:hAnsi="Times New Roman" w:cs="Times New Roman"/>
          <w:b/>
          <w:noProof/>
          <w:color w:val="000000"/>
          <w:sz w:val="24"/>
          <w:szCs w:val="24"/>
          <w:lang w:val="en-US"/>
        </w:rPr>
        <w:t>OCT Youth Network</w:t>
      </w:r>
      <w:r>
        <w:rPr>
          <w:rFonts w:ascii="Times New Roman" w:hAnsi="Times New Roman" w:cs="Times New Roman"/>
          <w:noProof/>
          <w:color w:val="000000"/>
          <w:sz w:val="24"/>
          <w:szCs w:val="24"/>
          <w:lang w:val="en-US"/>
        </w:rPr>
        <w:t xml:space="preserve">, was </w:t>
      </w:r>
      <w:r w:rsidR="00A70F72">
        <w:rPr>
          <w:rFonts w:ascii="Times New Roman" w:hAnsi="Times New Roman" w:cs="Times New Roman"/>
          <w:noProof/>
          <w:color w:val="000000"/>
          <w:sz w:val="24"/>
          <w:szCs w:val="24"/>
          <w:lang w:val="en-US"/>
        </w:rPr>
        <w:t xml:space="preserve">initiated </w:t>
      </w:r>
      <w:r>
        <w:rPr>
          <w:rFonts w:ascii="Times New Roman" w:hAnsi="Times New Roman" w:cs="Times New Roman"/>
          <w:noProof/>
          <w:color w:val="000000"/>
          <w:sz w:val="24"/>
          <w:szCs w:val="24"/>
          <w:lang w:val="en-US"/>
        </w:rPr>
        <w:t>during 2021</w:t>
      </w:r>
      <w:r w:rsidR="00607B2D">
        <w:rPr>
          <w:rFonts w:ascii="Times New Roman" w:hAnsi="Times New Roman" w:cs="Times New Roman"/>
          <w:noProof/>
          <w:color w:val="000000"/>
          <w:sz w:val="24"/>
          <w:szCs w:val="24"/>
          <w:lang w:val="en-US"/>
        </w:rPr>
        <w:t>, with the support of the</w:t>
      </w:r>
      <w:r w:rsidRPr="00730859">
        <w:rPr>
          <w:rFonts w:ascii="Times New Roman" w:hAnsi="Times New Roman" w:cs="Times New Roman"/>
          <w:iCs/>
          <w:noProof/>
          <w:color w:val="000000"/>
          <w:sz w:val="24"/>
          <w:szCs w:val="24"/>
          <w:lang w:val="en-US"/>
        </w:rPr>
        <w:t xml:space="preserve"> T</w:t>
      </w:r>
      <w:r>
        <w:rPr>
          <w:rFonts w:ascii="Times New Roman" w:hAnsi="Times New Roman" w:cs="Times New Roman"/>
          <w:iCs/>
          <w:noProof/>
          <w:color w:val="000000"/>
          <w:sz w:val="24"/>
          <w:szCs w:val="24"/>
          <w:lang w:val="en-US"/>
        </w:rPr>
        <w:t>echnical Cooperation Facility. This initiative is due</w:t>
      </w:r>
      <w:r w:rsidR="00607B2D">
        <w:rPr>
          <w:rFonts w:ascii="Times New Roman" w:hAnsi="Times New Roman" w:cs="Times New Roman"/>
          <w:iCs/>
          <w:noProof/>
          <w:color w:val="000000"/>
          <w:sz w:val="24"/>
          <w:szCs w:val="24"/>
          <w:lang w:val="en-US"/>
        </w:rPr>
        <w:t xml:space="preserve"> to be effectively launched mid-</w:t>
      </w:r>
      <w:r>
        <w:rPr>
          <w:rFonts w:ascii="Times New Roman" w:hAnsi="Times New Roman" w:cs="Times New Roman"/>
          <w:iCs/>
          <w:noProof/>
          <w:color w:val="000000"/>
          <w:sz w:val="24"/>
          <w:szCs w:val="24"/>
          <w:lang w:val="en-US"/>
        </w:rPr>
        <w:t xml:space="preserve">2022. It will gather young representatives of OCTs to engage in dialogue with the Commission and other relevant </w:t>
      </w:r>
      <w:r w:rsidR="00A70F72">
        <w:rPr>
          <w:rFonts w:ascii="Times New Roman" w:hAnsi="Times New Roman" w:cs="Times New Roman"/>
          <w:iCs/>
          <w:noProof/>
          <w:color w:val="000000"/>
          <w:sz w:val="24"/>
          <w:szCs w:val="24"/>
          <w:lang w:val="en-US"/>
        </w:rPr>
        <w:t xml:space="preserve">institutions and </w:t>
      </w:r>
      <w:r>
        <w:rPr>
          <w:rFonts w:ascii="Times New Roman" w:hAnsi="Times New Roman" w:cs="Times New Roman"/>
          <w:iCs/>
          <w:noProof/>
          <w:color w:val="000000"/>
          <w:sz w:val="24"/>
          <w:szCs w:val="24"/>
          <w:lang w:val="en-US"/>
        </w:rPr>
        <w:t>partners on the EU-OCT partnership and cooperation.</w:t>
      </w:r>
    </w:p>
    <w:p w:rsidR="00643DA1" w:rsidRDefault="00643DA1" w:rsidP="00730859">
      <w:pPr>
        <w:spacing w:after="0" w:line="240" w:lineRule="auto"/>
        <w:jc w:val="both"/>
        <w:rPr>
          <w:rFonts w:ascii="Times New Roman" w:hAnsi="Times New Roman" w:cs="Times New Roman"/>
          <w:noProof/>
          <w:color w:val="000000"/>
          <w:sz w:val="24"/>
          <w:szCs w:val="24"/>
          <w:lang w:val="en-US"/>
        </w:rPr>
      </w:pPr>
    </w:p>
    <w:p w:rsidR="008367CD" w:rsidRDefault="00D30F65" w:rsidP="00730859">
      <w:pPr>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Additionnally</w:t>
      </w:r>
      <w:r w:rsidR="00E377E9" w:rsidRPr="00730859">
        <w:rPr>
          <w:rFonts w:ascii="Times New Roman" w:hAnsi="Times New Roman" w:cs="Times New Roman"/>
          <w:noProof/>
          <w:color w:val="000000"/>
          <w:sz w:val="24"/>
          <w:szCs w:val="24"/>
          <w:lang w:val="en-US"/>
        </w:rPr>
        <w:t>, in 20</w:t>
      </w:r>
      <w:r w:rsidR="005B6BFB" w:rsidRPr="00730859">
        <w:rPr>
          <w:rFonts w:ascii="Times New Roman" w:hAnsi="Times New Roman" w:cs="Times New Roman"/>
          <w:noProof/>
          <w:color w:val="000000"/>
          <w:sz w:val="24"/>
          <w:szCs w:val="24"/>
          <w:lang w:val="en-US"/>
        </w:rPr>
        <w:t>21</w:t>
      </w:r>
      <w:r w:rsidR="00E377E9" w:rsidRPr="00730859">
        <w:rPr>
          <w:rFonts w:ascii="Times New Roman" w:hAnsi="Times New Roman" w:cs="Times New Roman"/>
          <w:noProof/>
          <w:color w:val="000000"/>
          <w:sz w:val="24"/>
          <w:szCs w:val="24"/>
          <w:lang w:val="en-US"/>
        </w:rPr>
        <w:t xml:space="preserve">, the EU supported the </w:t>
      </w:r>
      <w:r w:rsidR="00E377E9" w:rsidRPr="00730859">
        <w:rPr>
          <w:rFonts w:ascii="Times New Roman" w:hAnsi="Times New Roman" w:cs="Times New Roman"/>
          <w:b/>
          <w:bCs/>
          <w:noProof/>
          <w:color w:val="000000"/>
          <w:sz w:val="24"/>
          <w:szCs w:val="24"/>
          <w:lang w:val="en-US"/>
        </w:rPr>
        <w:t xml:space="preserve">Overseas Countries and Territories Association (OCTA) through an operating grant </w:t>
      </w:r>
      <w:r w:rsidR="00E377E9" w:rsidRPr="00730859">
        <w:rPr>
          <w:rFonts w:ascii="Times New Roman" w:hAnsi="Times New Roman" w:cs="Times New Roman"/>
          <w:noProof/>
          <w:color w:val="000000"/>
          <w:sz w:val="24"/>
          <w:szCs w:val="24"/>
          <w:lang w:val="en-US"/>
        </w:rPr>
        <w:t>(EUR 550,000).</w:t>
      </w:r>
      <w:r>
        <w:rPr>
          <w:rFonts w:ascii="Times New Roman" w:hAnsi="Times New Roman" w:cs="Times New Roman"/>
          <w:noProof/>
          <w:color w:val="000000"/>
          <w:sz w:val="24"/>
          <w:szCs w:val="24"/>
          <w:lang w:val="en-US"/>
        </w:rPr>
        <w:t xml:space="preserve"> It improved the Association’s </w:t>
      </w:r>
      <w:r w:rsidR="00E377E9" w:rsidRPr="00730859">
        <w:rPr>
          <w:rFonts w:ascii="Times New Roman" w:hAnsi="Times New Roman" w:cs="Times New Roman"/>
          <w:noProof/>
          <w:color w:val="000000"/>
          <w:sz w:val="24"/>
          <w:szCs w:val="24"/>
          <w:lang w:val="en-US"/>
        </w:rPr>
        <w:t xml:space="preserve">capacity to fulfil its mandate, in particular to coordinate OCT partners to facilitate dialogue with the EU, promote the partnership and support the collective work of its members in several </w:t>
      </w:r>
      <w:r>
        <w:rPr>
          <w:rFonts w:ascii="Times New Roman" w:hAnsi="Times New Roman" w:cs="Times New Roman"/>
          <w:noProof/>
          <w:color w:val="000000"/>
          <w:sz w:val="24"/>
          <w:szCs w:val="24"/>
          <w:lang w:val="en-US"/>
        </w:rPr>
        <w:t>areas of commun interest</w:t>
      </w:r>
      <w:r w:rsidR="00E377E9" w:rsidRPr="00730859">
        <w:rPr>
          <w:rFonts w:ascii="Times New Roman" w:hAnsi="Times New Roman" w:cs="Times New Roman"/>
          <w:noProof/>
          <w:color w:val="000000"/>
          <w:sz w:val="24"/>
          <w:szCs w:val="24"/>
          <w:lang w:val="en-US"/>
        </w:rPr>
        <w:t>.</w:t>
      </w:r>
    </w:p>
    <w:p w:rsidR="00CF5298" w:rsidRDefault="00CF5298" w:rsidP="00CF5298">
      <w:pPr>
        <w:spacing w:after="0" w:line="240" w:lineRule="auto"/>
        <w:jc w:val="both"/>
        <w:rPr>
          <w:rFonts w:ascii="Times New Roman" w:hAnsi="Times New Roman" w:cs="Times New Roman"/>
          <w:b/>
          <w:bCs/>
          <w:noProof/>
          <w:color w:val="000000"/>
          <w:sz w:val="24"/>
          <w:szCs w:val="24"/>
          <w:lang w:val="en-US"/>
        </w:rPr>
      </w:pPr>
    </w:p>
    <w:p w:rsidR="00E377E9" w:rsidRPr="005B6BFB" w:rsidRDefault="00E377E9" w:rsidP="00E377E9">
      <w:pPr>
        <w:pStyle w:val="ListParagraph"/>
        <w:numPr>
          <w:ilvl w:val="0"/>
          <w:numId w:val="3"/>
        </w:numPr>
        <w:autoSpaceDE w:val="0"/>
        <w:autoSpaceDN w:val="0"/>
        <w:adjustRightInd w:val="0"/>
        <w:spacing w:after="0" w:line="240" w:lineRule="auto"/>
        <w:rPr>
          <w:rFonts w:ascii="Times New Roman" w:hAnsi="Times New Roman" w:cs="Times New Roman"/>
          <w:b/>
          <w:bCs/>
          <w:noProof/>
          <w:color w:val="000000"/>
          <w:sz w:val="24"/>
          <w:szCs w:val="24"/>
          <w:lang w:val="en-US"/>
        </w:rPr>
      </w:pPr>
      <w:r w:rsidRPr="005B6BFB">
        <w:rPr>
          <w:rFonts w:ascii="Times New Roman" w:hAnsi="Times New Roman" w:cs="Times New Roman"/>
          <w:b/>
          <w:bCs/>
          <w:noProof/>
          <w:color w:val="000000"/>
          <w:sz w:val="24"/>
          <w:szCs w:val="24"/>
          <w:lang w:val="en-US"/>
        </w:rPr>
        <w:t xml:space="preserve">European Investment Bank  </w:t>
      </w:r>
    </w:p>
    <w:p w:rsidR="00E377E9" w:rsidRPr="005B6BFB" w:rsidRDefault="00E377E9" w:rsidP="00E377E9">
      <w:pPr>
        <w:autoSpaceDE w:val="0"/>
        <w:autoSpaceDN w:val="0"/>
        <w:adjustRightInd w:val="0"/>
        <w:spacing w:after="0" w:line="240" w:lineRule="auto"/>
        <w:rPr>
          <w:rFonts w:ascii="Times New Roman" w:hAnsi="Times New Roman" w:cs="Times New Roman"/>
          <w:noProof/>
          <w:color w:val="000000"/>
          <w:sz w:val="24"/>
          <w:szCs w:val="24"/>
          <w:lang w:val="en-US"/>
        </w:rPr>
      </w:pPr>
    </w:p>
    <w:p w:rsidR="00E377E9" w:rsidRPr="005B6BFB" w:rsidRDefault="005B6BFB" w:rsidP="00E377E9">
      <w:pPr>
        <w:autoSpaceDE w:val="0"/>
        <w:autoSpaceDN w:val="0"/>
        <w:adjustRightInd w:val="0"/>
        <w:spacing w:after="0" w:line="240" w:lineRule="auto"/>
        <w:jc w:val="both"/>
        <w:rPr>
          <w:rFonts w:ascii="Times New Roman" w:hAnsi="Times New Roman" w:cs="Times New Roman"/>
          <w:noProof/>
          <w:lang w:val="en-US"/>
        </w:rPr>
      </w:pPr>
      <w:r w:rsidRPr="005B6BFB">
        <w:rPr>
          <w:rFonts w:ascii="Times New Roman" w:hAnsi="Times New Roman" w:cs="Times New Roman"/>
          <w:noProof/>
          <w:color w:val="000000"/>
          <w:sz w:val="24"/>
          <w:szCs w:val="24"/>
          <w:lang w:val="en-US"/>
        </w:rPr>
        <w:t>The OAD provided</w:t>
      </w:r>
      <w:r w:rsidR="00E377E9" w:rsidRPr="005B6BFB">
        <w:rPr>
          <w:rFonts w:ascii="Times New Roman" w:hAnsi="Times New Roman" w:cs="Times New Roman"/>
          <w:noProof/>
          <w:color w:val="000000"/>
          <w:sz w:val="24"/>
          <w:szCs w:val="24"/>
          <w:lang w:val="en-US"/>
        </w:rPr>
        <w:t xml:space="preserve"> financial assistance to the O</w:t>
      </w:r>
      <w:r w:rsidR="00382BFD">
        <w:rPr>
          <w:rFonts w:ascii="Times New Roman" w:hAnsi="Times New Roman" w:cs="Times New Roman"/>
          <w:noProof/>
          <w:color w:val="000000"/>
          <w:sz w:val="24"/>
          <w:szCs w:val="24"/>
          <w:lang w:val="en-US"/>
        </w:rPr>
        <w:t>CTs through financial instruments</w:t>
      </w:r>
      <w:r w:rsidR="00E377E9" w:rsidRPr="005B6BFB">
        <w:rPr>
          <w:rFonts w:ascii="Times New Roman" w:hAnsi="Times New Roman" w:cs="Times New Roman"/>
          <w:noProof/>
          <w:color w:val="000000"/>
          <w:sz w:val="24"/>
          <w:szCs w:val="24"/>
          <w:lang w:val="en-US"/>
        </w:rPr>
        <w:t xml:space="preserve"> managed by the </w:t>
      </w:r>
      <w:r w:rsidR="00E377E9" w:rsidRPr="005B6BFB">
        <w:rPr>
          <w:rFonts w:ascii="Times New Roman" w:hAnsi="Times New Roman" w:cs="Times New Roman"/>
          <w:noProof/>
          <w:color w:val="000000"/>
          <w:sz w:val="24"/>
          <w:szCs w:val="24"/>
        </w:rPr>
        <w:t>European Investment Bank</w:t>
      </w:r>
      <w:r w:rsidR="00E377E9" w:rsidRPr="005B6BFB">
        <w:rPr>
          <w:rFonts w:ascii="Times New Roman" w:hAnsi="Times New Roman" w:cs="Times New Roman"/>
          <w:noProof/>
          <w:color w:val="000000"/>
          <w:sz w:val="24"/>
          <w:szCs w:val="24"/>
          <w:lang w:val="en-US"/>
        </w:rPr>
        <w:t xml:space="preserve"> (EIB) </w:t>
      </w:r>
      <w:r w:rsidR="00E377E9" w:rsidRPr="005B6BFB">
        <w:rPr>
          <w:rFonts w:ascii="Times New Roman" w:hAnsi="Times New Roman" w:cs="Times New Roman"/>
          <w:noProof/>
          <w:sz w:val="24"/>
          <w:szCs w:val="24"/>
          <w:lang w:val="en-US"/>
        </w:rPr>
        <w:t>over the period 2014-2020, under the 3rd Financial Protocol</w:t>
      </w:r>
      <w:r w:rsidR="00E377E9" w:rsidRPr="005B6BFB">
        <w:rPr>
          <w:rFonts w:ascii="Times New Roman" w:hAnsi="Times New Roman" w:cs="Times New Roman"/>
          <w:noProof/>
          <w:color w:val="000000"/>
          <w:sz w:val="24"/>
          <w:szCs w:val="24"/>
          <w:lang w:val="en-US"/>
        </w:rPr>
        <w:t xml:space="preserve">. These mechanisms </w:t>
      </w:r>
      <w:r w:rsidRPr="005B6BFB">
        <w:rPr>
          <w:rFonts w:ascii="Times New Roman" w:hAnsi="Times New Roman" w:cs="Times New Roman"/>
          <w:noProof/>
          <w:color w:val="000000"/>
          <w:sz w:val="24"/>
          <w:szCs w:val="24"/>
          <w:lang w:val="en-US"/>
        </w:rPr>
        <w:t>were</w:t>
      </w:r>
      <w:r w:rsidR="00E377E9" w:rsidRPr="005B6BFB">
        <w:rPr>
          <w:rFonts w:ascii="Times New Roman" w:hAnsi="Times New Roman" w:cs="Times New Roman"/>
          <w:noProof/>
          <w:color w:val="000000"/>
          <w:sz w:val="24"/>
          <w:szCs w:val="24"/>
          <w:lang w:val="en-US"/>
        </w:rPr>
        <w:t>: the OCT Inv</w:t>
      </w:r>
      <w:r w:rsidR="00F16E8D">
        <w:rPr>
          <w:rFonts w:ascii="Times New Roman" w:hAnsi="Times New Roman" w:cs="Times New Roman"/>
          <w:noProof/>
          <w:color w:val="000000"/>
          <w:sz w:val="24"/>
          <w:szCs w:val="24"/>
          <w:lang w:val="en-US"/>
        </w:rPr>
        <w:t>estment Facility (endowment EUR 48.5 </w:t>
      </w:r>
      <w:r w:rsidR="00E377E9" w:rsidRPr="005B6BFB">
        <w:rPr>
          <w:rFonts w:ascii="Times New Roman" w:hAnsi="Times New Roman" w:cs="Times New Roman"/>
          <w:noProof/>
          <w:color w:val="000000"/>
          <w:sz w:val="24"/>
          <w:szCs w:val="24"/>
          <w:lang w:val="en-US"/>
        </w:rPr>
        <w:t>million), the funding for interest rate subsidie</w:t>
      </w:r>
      <w:r w:rsidR="00F16E8D">
        <w:rPr>
          <w:rFonts w:ascii="Times New Roman" w:hAnsi="Times New Roman" w:cs="Times New Roman"/>
          <w:noProof/>
          <w:color w:val="000000"/>
          <w:sz w:val="24"/>
          <w:szCs w:val="24"/>
          <w:lang w:val="en-US"/>
        </w:rPr>
        <w:t>s and technical assistance (EUR 5 </w:t>
      </w:r>
      <w:r w:rsidR="00E377E9" w:rsidRPr="005B6BFB">
        <w:rPr>
          <w:rFonts w:ascii="Times New Roman" w:hAnsi="Times New Roman" w:cs="Times New Roman"/>
          <w:noProof/>
          <w:color w:val="000000"/>
          <w:sz w:val="24"/>
          <w:szCs w:val="24"/>
          <w:lang w:val="en-US"/>
        </w:rPr>
        <w:t>million) and the EIB’s Own Resources (up to EUR 100 million).</w:t>
      </w:r>
      <w:r w:rsidR="00E377E9" w:rsidRPr="005B6BFB">
        <w:rPr>
          <w:rFonts w:ascii="Times New Roman" w:hAnsi="Times New Roman" w:cs="Times New Roman"/>
          <w:noProof/>
          <w:lang w:val="en-US"/>
        </w:rPr>
        <w:t xml:space="preserve"> </w:t>
      </w:r>
    </w:p>
    <w:p w:rsidR="00E377E9" w:rsidRPr="005B6BFB" w:rsidRDefault="00E377E9" w:rsidP="00E377E9">
      <w:pPr>
        <w:autoSpaceDE w:val="0"/>
        <w:autoSpaceDN w:val="0"/>
        <w:adjustRightInd w:val="0"/>
        <w:spacing w:after="0" w:line="240" w:lineRule="auto"/>
        <w:jc w:val="both"/>
        <w:rPr>
          <w:rFonts w:ascii="Times New Roman" w:hAnsi="Times New Roman" w:cs="Times New Roman"/>
          <w:noProof/>
          <w:lang w:val="en-US"/>
        </w:rPr>
      </w:pPr>
    </w:p>
    <w:p w:rsidR="00E377E9" w:rsidRPr="005B6BFB" w:rsidRDefault="00E377E9" w:rsidP="00E377E9">
      <w:pPr>
        <w:autoSpaceDE w:val="0"/>
        <w:autoSpaceDN w:val="0"/>
        <w:adjustRightInd w:val="0"/>
        <w:spacing w:after="0" w:line="240" w:lineRule="auto"/>
        <w:jc w:val="both"/>
        <w:rPr>
          <w:rFonts w:ascii="Times New Roman" w:hAnsi="Times New Roman" w:cs="Times New Roman"/>
          <w:noProof/>
          <w:color w:val="000000"/>
          <w:sz w:val="24"/>
          <w:szCs w:val="24"/>
          <w:lang w:val="en-US"/>
        </w:rPr>
      </w:pPr>
      <w:r w:rsidRPr="005B6BFB">
        <w:rPr>
          <w:rFonts w:ascii="Times New Roman" w:hAnsi="Times New Roman" w:cs="Times New Roman"/>
          <w:noProof/>
          <w:color w:val="000000"/>
          <w:sz w:val="24"/>
          <w:szCs w:val="24"/>
          <w:lang w:val="en-US"/>
        </w:rPr>
        <w:t>No ne</w:t>
      </w:r>
      <w:r w:rsidR="005B6BFB" w:rsidRPr="005B6BFB">
        <w:rPr>
          <w:rFonts w:ascii="Times New Roman" w:hAnsi="Times New Roman" w:cs="Times New Roman"/>
          <w:noProof/>
          <w:color w:val="000000"/>
          <w:sz w:val="24"/>
          <w:szCs w:val="24"/>
          <w:lang w:val="en-US"/>
        </w:rPr>
        <w:t>w operations were signed in 2021</w:t>
      </w:r>
      <w:r w:rsidRPr="005B6BFB">
        <w:rPr>
          <w:rFonts w:ascii="Times New Roman" w:hAnsi="Times New Roman" w:cs="Times New Roman"/>
          <w:noProof/>
          <w:color w:val="000000"/>
          <w:sz w:val="24"/>
          <w:szCs w:val="24"/>
          <w:lang w:val="en-US"/>
        </w:rPr>
        <w:t xml:space="preserve"> under the </w:t>
      </w:r>
      <w:r w:rsidRPr="005B6BFB">
        <w:rPr>
          <w:rFonts w:ascii="Times New Roman" w:hAnsi="Times New Roman" w:cs="Times New Roman"/>
          <w:b/>
          <w:noProof/>
          <w:color w:val="000000"/>
          <w:sz w:val="24"/>
          <w:szCs w:val="24"/>
          <w:lang w:val="en-US"/>
        </w:rPr>
        <w:t>EIB OCT Investment Facility</w:t>
      </w:r>
      <w:r w:rsidR="005B6BFB" w:rsidRPr="005B6BFB">
        <w:rPr>
          <w:rFonts w:ascii="Times New Roman" w:hAnsi="Times New Roman" w:cs="Times New Roman"/>
          <w:noProof/>
          <w:color w:val="000000"/>
          <w:sz w:val="24"/>
          <w:szCs w:val="24"/>
          <w:lang w:val="en-US"/>
        </w:rPr>
        <w:t>, which ceased to exist under the new DOAG</w:t>
      </w:r>
      <w:r w:rsidRPr="005B6BFB">
        <w:rPr>
          <w:rFonts w:ascii="Times New Roman" w:hAnsi="Times New Roman" w:cs="Times New Roman"/>
          <w:noProof/>
          <w:color w:val="000000"/>
          <w:sz w:val="24"/>
          <w:szCs w:val="24"/>
          <w:lang w:val="en-US"/>
        </w:rPr>
        <w:t xml:space="preserve">. Previously signed operations </w:t>
      </w:r>
      <w:r w:rsidR="005B6BFB" w:rsidRPr="005B6BFB">
        <w:rPr>
          <w:rFonts w:ascii="Times New Roman" w:hAnsi="Times New Roman" w:cs="Times New Roman"/>
          <w:noProof/>
          <w:color w:val="000000"/>
          <w:sz w:val="24"/>
          <w:szCs w:val="24"/>
          <w:lang w:val="en-US"/>
        </w:rPr>
        <w:t>were</w:t>
      </w:r>
      <w:r w:rsidRPr="005B6BFB">
        <w:rPr>
          <w:rFonts w:ascii="Times New Roman" w:hAnsi="Times New Roman" w:cs="Times New Roman"/>
          <w:noProof/>
          <w:color w:val="000000"/>
          <w:sz w:val="24"/>
          <w:szCs w:val="24"/>
          <w:lang w:val="en-US"/>
        </w:rPr>
        <w:t xml:space="preserve"> ongoing</w:t>
      </w:r>
      <w:r w:rsidR="005B6BFB" w:rsidRPr="005B6BFB">
        <w:rPr>
          <w:rFonts w:ascii="Times New Roman" w:hAnsi="Times New Roman" w:cs="Times New Roman"/>
          <w:noProof/>
          <w:color w:val="000000"/>
          <w:sz w:val="24"/>
          <w:szCs w:val="24"/>
          <w:lang w:val="en-US"/>
        </w:rPr>
        <w:t xml:space="preserve"> in 2021</w:t>
      </w:r>
      <w:r w:rsidRPr="005B6BFB">
        <w:rPr>
          <w:rFonts w:ascii="Times New Roman" w:hAnsi="Times New Roman" w:cs="Times New Roman"/>
          <w:noProof/>
          <w:color w:val="000000"/>
          <w:sz w:val="24"/>
          <w:szCs w:val="24"/>
          <w:lang w:val="en-US"/>
        </w:rPr>
        <w:t xml:space="preserve">, totalling EUR 85.39 </w:t>
      </w:r>
      <w:r w:rsidR="00E46201">
        <w:rPr>
          <w:rFonts w:ascii="Times New Roman" w:hAnsi="Times New Roman" w:cs="Times New Roman"/>
          <w:noProof/>
          <w:color w:val="000000"/>
          <w:sz w:val="24"/>
          <w:szCs w:val="24"/>
          <w:lang w:val="en-US"/>
        </w:rPr>
        <w:t>M</w:t>
      </w:r>
      <w:r w:rsidRPr="00E46201">
        <w:rPr>
          <w:rFonts w:ascii="Times New Roman" w:hAnsi="Times New Roman" w:cs="Times New Roman"/>
          <w:noProof/>
          <w:color w:val="000000"/>
          <w:sz w:val="24"/>
          <w:szCs w:val="24"/>
          <w:lang w:val="en-US"/>
        </w:rPr>
        <w:t xml:space="preserve"> (of which </w:t>
      </w:r>
      <w:r w:rsidR="00E46201" w:rsidRPr="00E46201">
        <w:rPr>
          <w:rFonts w:ascii="Times New Roman" w:hAnsi="Times New Roman" w:cs="Times New Roman"/>
          <w:noProof/>
          <w:color w:val="000000"/>
          <w:sz w:val="24"/>
          <w:szCs w:val="24"/>
          <w:lang w:val="en-US"/>
        </w:rPr>
        <w:t xml:space="preserve">all </w:t>
      </w:r>
      <w:r w:rsidRPr="00E46201">
        <w:rPr>
          <w:rFonts w:ascii="Times New Roman" w:hAnsi="Times New Roman" w:cs="Times New Roman"/>
          <w:noProof/>
          <w:color w:val="000000"/>
          <w:sz w:val="24"/>
          <w:szCs w:val="24"/>
          <w:lang w:val="en-US"/>
        </w:rPr>
        <w:t xml:space="preserve">EUR </w:t>
      </w:r>
      <w:r w:rsidR="00E46201" w:rsidRPr="00E46201">
        <w:rPr>
          <w:rFonts w:ascii="Times New Roman" w:hAnsi="Times New Roman" w:cs="Times New Roman"/>
          <w:noProof/>
          <w:color w:val="000000"/>
          <w:sz w:val="24"/>
          <w:szCs w:val="24"/>
          <w:lang w:val="en-US"/>
        </w:rPr>
        <w:t>85.39</w:t>
      </w:r>
      <w:r w:rsidRPr="00E46201">
        <w:rPr>
          <w:rFonts w:ascii="Times New Roman" w:hAnsi="Times New Roman" w:cs="Times New Roman"/>
          <w:noProof/>
          <w:color w:val="000000"/>
          <w:sz w:val="24"/>
          <w:szCs w:val="24"/>
          <w:lang w:val="en-US"/>
        </w:rPr>
        <w:t xml:space="preserve"> </w:t>
      </w:r>
      <w:r w:rsidR="00E46201" w:rsidRPr="00E46201">
        <w:rPr>
          <w:rFonts w:ascii="Times New Roman" w:hAnsi="Times New Roman" w:cs="Times New Roman"/>
          <w:noProof/>
          <w:color w:val="000000"/>
          <w:sz w:val="24"/>
          <w:szCs w:val="24"/>
          <w:lang w:val="en-US"/>
        </w:rPr>
        <w:t>M</w:t>
      </w:r>
      <w:r w:rsidRPr="00E46201">
        <w:rPr>
          <w:rFonts w:ascii="Times New Roman" w:hAnsi="Times New Roman" w:cs="Times New Roman"/>
          <w:noProof/>
          <w:color w:val="000000"/>
          <w:sz w:val="24"/>
          <w:szCs w:val="24"/>
          <w:lang w:val="en-US"/>
        </w:rPr>
        <w:t xml:space="preserve"> </w:t>
      </w:r>
      <w:r w:rsidR="00E46201">
        <w:rPr>
          <w:rFonts w:ascii="Times New Roman" w:hAnsi="Times New Roman" w:cs="Times New Roman"/>
          <w:noProof/>
          <w:color w:val="000000"/>
          <w:sz w:val="24"/>
          <w:szCs w:val="24"/>
          <w:lang w:val="en-US"/>
        </w:rPr>
        <w:t>were disbursed</w:t>
      </w:r>
      <w:r w:rsidRPr="00E46201">
        <w:rPr>
          <w:rFonts w:ascii="Times New Roman" w:hAnsi="Times New Roman" w:cs="Times New Roman"/>
          <w:noProof/>
          <w:color w:val="000000"/>
          <w:sz w:val="24"/>
          <w:szCs w:val="24"/>
          <w:lang w:val="en-US"/>
        </w:rPr>
        <w:t xml:space="preserve"> </w:t>
      </w:r>
      <w:r w:rsidR="00E46201">
        <w:rPr>
          <w:rFonts w:ascii="Times New Roman" w:hAnsi="Times New Roman" w:cs="Times New Roman"/>
          <w:noProof/>
          <w:color w:val="000000"/>
          <w:sz w:val="24"/>
          <w:szCs w:val="24"/>
          <w:lang w:val="en-US"/>
        </w:rPr>
        <w:t>by</w:t>
      </w:r>
      <w:r w:rsidRPr="00E46201">
        <w:rPr>
          <w:rFonts w:ascii="Times New Roman" w:hAnsi="Times New Roman" w:cs="Times New Roman"/>
          <w:noProof/>
          <w:color w:val="000000"/>
          <w:sz w:val="24"/>
          <w:szCs w:val="24"/>
          <w:lang w:val="en-US"/>
        </w:rPr>
        <w:t xml:space="preserve"> end 202</w:t>
      </w:r>
      <w:r w:rsidR="00E46201" w:rsidRPr="00E46201">
        <w:rPr>
          <w:rFonts w:ascii="Times New Roman" w:hAnsi="Times New Roman" w:cs="Times New Roman"/>
          <w:noProof/>
          <w:color w:val="000000"/>
          <w:sz w:val="24"/>
          <w:szCs w:val="24"/>
          <w:lang w:val="en-US"/>
        </w:rPr>
        <w:t>1</w:t>
      </w:r>
      <w:r w:rsidR="002E57AA">
        <w:rPr>
          <w:rFonts w:ascii="Times New Roman" w:hAnsi="Times New Roman" w:cs="Times New Roman"/>
          <w:noProof/>
          <w:color w:val="000000"/>
          <w:sz w:val="24"/>
          <w:szCs w:val="24"/>
          <w:lang w:val="en-US"/>
        </w:rPr>
        <w:t>)</w:t>
      </w:r>
      <w:r w:rsidRPr="00E46201">
        <w:rPr>
          <w:rFonts w:ascii="Times New Roman" w:hAnsi="Times New Roman" w:cs="Times New Roman"/>
          <w:noProof/>
          <w:color w:val="000000"/>
          <w:sz w:val="24"/>
          <w:szCs w:val="24"/>
          <w:lang w:val="en-US"/>
        </w:rPr>
        <w:t>.</w:t>
      </w:r>
      <w:r w:rsidR="005B6BFB" w:rsidRPr="00E46201">
        <w:rPr>
          <w:rFonts w:ascii="Times New Roman" w:hAnsi="Times New Roman" w:cs="Times New Roman"/>
          <w:noProof/>
          <w:color w:val="000000"/>
          <w:sz w:val="24"/>
          <w:szCs w:val="24"/>
          <w:lang w:val="en-US"/>
        </w:rPr>
        <w:t xml:space="preserve"> This sum exceeded</w:t>
      </w:r>
      <w:r w:rsidRPr="00E46201">
        <w:rPr>
          <w:rFonts w:ascii="Times New Roman" w:hAnsi="Times New Roman" w:cs="Times New Roman"/>
          <w:noProof/>
          <w:color w:val="000000"/>
          <w:sz w:val="24"/>
          <w:szCs w:val="24"/>
          <w:lang w:val="en-US"/>
        </w:rPr>
        <w:t xml:space="preserve"> the initial capital endowment because the fund </w:t>
      </w:r>
      <w:r w:rsidR="005B6BFB" w:rsidRPr="00E46201">
        <w:rPr>
          <w:rFonts w:ascii="Times New Roman" w:hAnsi="Times New Roman" w:cs="Times New Roman"/>
          <w:noProof/>
          <w:color w:val="000000"/>
          <w:sz w:val="24"/>
          <w:szCs w:val="24"/>
          <w:lang w:val="en-US"/>
        </w:rPr>
        <w:t>was</w:t>
      </w:r>
      <w:r w:rsidRPr="00E46201">
        <w:rPr>
          <w:rFonts w:ascii="Times New Roman" w:hAnsi="Times New Roman" w:cs="Times New Roman"/>
          <w:noProof/>
          <w:color w:val="000000"/>
          <w:sz w:val="24"/>
          <w:szCs w:val="24"/>
          <w:lang w:val="en-US"/>
        </w:rPr>
        <w:t xml:space="preserve"> revolving and some reflows</w:t>
      </w:r>
      <w:r w:rsidRPr="005B6BFB">
        <w:rPr>
          <w:rFonts w:ascii="Times New Roman" w:hAnsi="Times New Roman" w:cs="Times New Roman"/>
          <w:noProof/>
          <w:color w:val="000000"/>
          <w:sz w:val="24"/>
          <w:szCs w:val="24"/>
          <w:lang w:val="en-US"/>
        </w:rPr>
        <w:t xml:space="preserve"> </w:t>
      </w:r>
      <w:r w:rsidR="005B6BFB" w:rsidRPr="005B6BFB">
        <w:rPr>
          <w:rFonts w:ascii="Times New Roman" w:hAnsi="Times New Roman" w:cs="Times New Roman"/>
          <w:noProof/>
          <w:color w:val="000000"/>
          <w:sz w:val="24"/>
          <w:szCs w:val="24"/>
          <w:lang w:val="en-US"/>
        </w:rPr>
        <w:t>had</w:t>
      </w:r>
      <w:r w:rsidRPr="005B6BFB">
        <w:rPr>
          <w:rFonts w:ascii="Times New Roman" w:hAnsi="Times New Roman" w:cs="Times New Roman"/>
          <w:noProof/>
          <w:color w:val="000000"/>
          <w:sz w:val="24"/>
          <w:szCs w:val="24"/>
          <w:lang w:val="en-US"/>
        </w:rPr>
        <w:t xml:space="preserve"> been lent out again. </w:t>
      </w:r>
    </w:p>
    <w:p w:rsidR="00E377E9" w:rsidRPr="005B6BFB" w:rsidRDefault="00E377E9" w:rsidP="00E377E9">
      <w:pPr>
        <w:autoSpaceDE w:val="0"/>
        <w:autoSpaceDN w:val="0"/>
        <w:adjustRightInd w:val="0"/>
        <w:spacing w:after="0" w:line="240" w:lineRule="auto"/>
        <w:jc w:val="both"/>
        <w:rPr>
          <w:rFonts w:ascii="Times New Roman" w:hAnsi="Times New Roman" w:cs="Times New Roman"/>
          <w:noProof/>
          <w:color w:val="000000"/>
          <w:sz w:val="24"/>
          <w:szCs w:val="24"/>
          <w:lang w:val="en-US"/>
        </w:rPr>
      </w:pPr>
    </w:p>
    <w:p w:rsidR="00382BFD" w:rsidRDefault="00B77BF8" w:rsidP="00382BFD">
      <w:pPr>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Regarding the EUR</w:t>
      </w:r>
      <w:r w:rsidR="00E377E9" w:rsidRPr="005B6BFB">
        <w:rPr>
          <w:rFonts w:ascii="Times New Roman" w:hAnsi="Times New Roman" w:cs="Times New Roman"/>
          <w:noProof/>
          <w:color w:val="000000"/>
          <w:sz w:val="24"/>
          <w:szCs w:val="24"/>
          <w:lang w:val="en-US"/>
        </w:rPr>
        <w:t xml:space="preserve"> 5 </w:t>
      </w:r>
      <w:r w:rsidR="00E46201">
        <w:rPr>
          <w:rFonts w:ascii="Times New Roman" w:hAnsi="Times New Roman" w:cs="Times New Roman"/>
          <w:noProof/>
          <w:color w:val="000000"/>
          <w:sz w:val="24"/>
          <w:szCs w:val="24"/>
          <w:lang w:val="en-US"/>
        </w:rPr>
        <w:t>M</w:t>
      </w:r>
      <w:r w:rsidR="00E377E9" w:rsidRPr="005B6BFB">
        <w:rPr>
          <w:rFonts w:ascii="Times New Roman" w:hAnsi="Times New Roman" w:cs="Times New Roman"/>
          <w:noProof/>
          <w:color w:val="000000"/>
          <w:sz w:val="24"/>
          <w:szCs w:val="24"/>
          <w:lang w:val="en-US"/>
        </w:rPr>
        <w:t xml:space="preserve"> envelope for </w:t>
      </w:r>
      <w:r w:rsidR="00E377E9" w:rsidRPr="005B6BFB">
        <w:rPr>
          <w:rFonts w:ascii="Times New Roman" w:hAnsi="Times New Roman" w:cs="Times New Roman"/>
          <w:b/>
          <w:noProof/>
          <w:color w:val="000000"/>
          <w:sz w:val="24"/>
          <w:szCs w:val="24"/>
          <w:lang w:val="en-US"/>
        </w:rPr>
        <w:t>interest rate subsidies and technical assistance</w:t>
      </w:r>
      <w:r w:rsidR="00E377E9" w:rsidRPr="005B6BFB">
        <w:rPr>
          <w:rFonts w:ascii="Times New Roman" w:hAnsi="Times New Roman" w:cs="Times New Roman"/>
          <w:noProof/>
          <w:color w:val="000000"/>
          <w:sz w:val="24"/>
          <w:szCs w:val="24"/>
          <w:lang w:val="en-US"/>
        </w:rPr>
        <w:t>,</w:t>
      </w:r>
      <w:r w:rsidR="00E377E9" w:rsidRPr="005B6BFB">
        <w:rPr>
          <w:rFonts w:ascii="Times New Roman" w:hAnsi="Times New Roman" w:cs="Times New Roman"/>
          <w:b/>
          <w:noProof/>
          <w:color w:val="000000"/>
          <w:sz w:val="24"/>
          <w:szCs w:val="24"/>
          <w:lang w:val="en-US"/>
        </w:rPr>
        <w:t xml:space="preserve"> </w:t>
      </w:r>
      <w:r w:rsidR="005B6BFB" w:rsidRPr="005B6BFB">
        <w:rPr>
          <w:rFonts w:ascii="Times New Roman" w:hAnsi="Times New Roman" w:cs="Times New Roman"/>
          <w:noProof/>
          <w:color w:val="000000"/>
          <w:sz w:val="24"/>
          <w:szCs w:val="24"/>
          <w:lang w:val="en-US"/>
        </w:rPr>
        <w:t>t</w:t>
      </w:r>
      <w:r w:rsidR="00E377E9" w:rsidRPr="005B6BFB">
        <w:rPr>
          <w:rFonts w:ascii="Times New Roman" w:hAnsi="Times New Roman" w:cs="Times New Roman"/>
          <w:noProof/>
          <w:color w:val="000000"/>
          <w:sz w:val="24"/>
          <w:szCs w:val="24"/>
          <w:lang w:val="en-US"/>
        </w:rPr>
        <w:t xml:space="preserve">his envelope </w:t>
      </w:r>
      <w:r w:rsidR="005B6BFB" w:rsidRPr="005B6BFB">
        <w:rPr>
          <w:rFonts w:ascii="Times New Roman" w:hAnsi="Times New Roman" w:cs="Times New Roman"/>
          <w:noProof/>
          <w:color w:val="000000"/>
          <w:sz w:val="24"/>
          <w:szCs w:val="24"/>
          <w:lang w:val="en-US"/>
        </w:rPr>
        <w:t>was</w:t>
      </w:r>
      <w:r w:rsidR="00E377E9" w:rsidRPr="005B6BFB">
        <w:rPr>
          <w:rFonts w:ascii="Times New Roman" w:hAnsi="Times New Roman" w:cs="Times New Roman"/>
          <w:noProof/>
          <w:color w:val="000000"/>
          <w:sz w:val="24"/>
          <w:szCs w:val="24"/>
          <w:lang w:val="en-US"/>
        </w:rPr>
        <w:t xml:space="preserve"> committed in full</w:t>
      </w:r>
      <w:r w:rsidR="005B6BFB" w:rsidRPr="005B6BFB">
        <w:rPr>
          <w:rFonts w:ascii="Times New Roman" w:hAnsi="Times New Roman" w:cs="Times New Roman"/>
          <w:noProof/>
          <w:color w:val="000000"/>
          <w:sz w:val="24"/>
          <w:szCs w:val="24"/>
          <w:lang w:val="en-US"/>
        </w:rPr>
        <w:t xml:space="preserve"> still in 2020</w:t>
      </w:r>
      <w:r w:rsidR="00E377E9" w:rsidRPr="005B6BFB">
        <w:rPr>
          <w:rFonts w:ascii="Times New Roman" w:hAnsi="Times New Roman" w:cs="Times New Roman"/>
          <w:noProof/>
          <w:color w:val="000000"/>
          <w:sz w:val="24"/>
          <w:szCs w:val="24"/>
          <w:lang w:val="en-US"/>
        </w:rPr>
        <w:t xml:space="preserve">. </w:t>
      </w:r>
    </w:p>
    <w:p w:rsidR="00382BFD" w:rsidRDefault="00382BFD" w:rsidP="00382BFD">
      <w:pPr>
        <w:spacing w:after="0" w:line="240" w:lineRule="auto"/>
        <w:jc w:val="both"/>
        <w:rPr>
          <w:rFonts w:ascii="Times New Roman" w:hAnsi="Times New Roman" w:cs="Times New Roman"/>
          <w:noProof/>
          <w:color w:val="000000"/>
          <w:sz w:val="24"/>
          <w:szCs w:val="24"/>
          <w:lang w:val="en-US"/>
        </w:rPr>
      </w:pPr>
    </w:p>
    <w:p w:rsidR="00E377E9" w:rsidRPr="00382BFD" w:rsidRDefault="00382BFD" w:rsidP="00382BFD">
      <w:pPr>
        <w:spacing w:after="0" w:line="240" w:lineRule="auto"/>
        <w:jc w:val="both"/>
        <w:rPr>
          <w:rFonts w:ascii="Times New Roman" w:hAnsi="Times New Roman" w:cs="Times New Roman"/>
          <w:noProof/>
          <w:color w:val="000000"/>
          <w:sz w:val="24"/>
          <w:szCs w:val="24"/>
          <w:lang w:val="en-US"/>
        </w:rPr>
      </w:pPr>
      <w:r w:rsidRPr="00382BFD">
        <w:rPr>
          <w:rFonts w:ascii="Times New Roman" w:hAnsi="Times New Roman" w:cs="Times New Roman"/>
          <w:b/>
          <w:noProof/>
          <w:sz w:val="24"/>
          <w:szCs w:val="24"/>
          <w:lang w:val="en-US"/>
        </w:rPr>
        <w:t>Full use</w:t>
      </w:r>
      <w:r w:rsidRPr="00382BFD">
        <w:rPr>
          <w:rFonts w:ascii="Times New Roman" w:hAnsi="Times New Roman" w:cs="Times New Roman"/>
          <w:noProof/>
          <w:sz w:val="24"/>
          <w:szCs w:val="24"/>
          <w:lang w:val="en-US"/>
        </w:rPr>
        <w:t xml:space="preserve"> was made of the funds available for</w:t>
      </w:r>
      <w:r>
        <w:rPr>
          <w:rFonts w:ascii="Times New Roman" w:hAnsi="Times New Roman" w:cs="Times New Roman"/>
          <w:noProof/>
          <w:sz w:val="24"/>
          <w:szCs w:val="24"/>
          <w:lang w:val="en-US"/>
        </w:rPr>
        <w:t xml:space="preserve"> these two</w:t>
      </w:r>
      <w:r w:rsidRPr="00382BFD">
        <w:rPr>
          <w:rFonts w:ascii="Times New Roman" w:hAnsi="Times New Roman" w:cs="Times New Roman"/>
          <w:noProof/>
          <w:sz w:val="24"/>
          <w:szCs w:val="24"/>
          <w:lang w:val="en-US"/>
        </w:rPr>
        <w:t xml:space="preserve"> investment support</w:t>
      </w:r>
      <w:r>
        <w:rPr>
          <w:rFonts w:ascii="Times New Roman" w:hAnsi="Times New Roman" w:cs="Times New Roman"/>
          <w:noProof/>
          <w:sz w:val="24"/>
          <w:szCs w:val="24"/>
          <w:lang w:val="en-US"/>
        </w:rPr>
        <w:t>s</w:t>
      </w:r>
      <w:r w:rsidRPr="00382BFD">
        <w:rPr>
          <w:rFonts w:ascii="Times New Roman" w:hAnsi="Times New Roman" w:cs="Times New Roman"/>
          <w:noProof/>
          <w:sz w:val="24"/>
          <w:szCs w:val="24"/>
          <w:lang w:val="en-US"/>
        </w:rPr>
        <w:t xml:space="preserve"> in the 2014-2021 period.  </w:t>
      </w:r>
    </w:p>
    <w:p w:rsidR="00382BFD" w:rsidRDefault="00382BFD" w:rsidP="00E377E9">
      <w:pPr>
        <w:spacing w:after="0" w:line="240" w:lineRule="auto"/>
        <w:jc w:val="both"/>
        <w:rPr>
          <w:rFonts w:ascii="Times New Roman" w:hAnsi="Times New Roman" w:cs="Times New Roman"/>
          <w:noProof/>
          <w:color w:val="000000"/>
          <w:sz w:val="24"/>
          <w:szCs w:val="24"/>
          <w:lang w:val="en-US"/>
        </w:rPr>
      </w:pPr>
    </w:p>
    <w:p w:rsidR="00E377E9" w:rsidRPr="005B6BFB" w:rsidRDefault="00E377E9" w:rsidP="00E377E9">
      <w:pPr>
        <w:spacing w:after="0" w:line="240" w:lineRule="auto"/>
        <w:jc w:val="both"/>
        <w:rPr>
          <w:noProof/>
          <w:lang w:val="en-IE"/>
        </w:rPr>
      </w:pPr>
      <w:r w:rsidRPr="005B6BFB">
        <w:rPr>
          <w:rFonts w:ascii="Times New Roman" w:hAnsi="Times New Roman" w:cs="Times New Roman"/>
          <w:noProof/>
          <w:color w:val="000000"/>
          <w:sz w:val="24"/>
          <w:szCs w:val="24"/>
          <w:lang w:val="en-US"/>
        </w:rPr>
        <w:t xml:space="preserve">Under the </w:t>
      </w:r>
      <w:r w:rsidRPr="005B6BFB">
        <w:rPr>
          <w:rFonts w:ascii="Times New Roman" w:hAnsi="Times New Roman" w:cs="Times New Roman"/>
          <w:b/>
          <w:noProof/>
          <w:color w:val="000000"/>
          <w:sz w:val="24"/>
          <w:szCs w:val="24"/>
          <w:lang w:val="en-US"/>
        </w:rPr>
        <w:t xml:space="preserve">EIB </w:t>
      </w:r>
      <w:r w:rsidR="00382BFD">
        <w:rPr>
          <w:rFonts w:ascii="Times New Roman" w:hAnsi="Times New Roman" w:cs="Times New Roman"/>
          <w:b/>
          <w:noProof/>
          <w:color w:val="000000"/>
          <w:sz w:val="24"/>
          <w:szCs w:val="24"/>
          <w:lang w:val="en-US"/>
        </w:rPr>
        <w:t>Own Resources envelope for OCTs</w:t>
      </w:r>
      <w:r w:rsidRPr="005B6BFB">
        <w:rPr>
          <w:rFonts w:ascii="Times New Roman" w:hAnsi="Times New Roman" w:cs="Times New Roman"/>
          <w:noProof/>
          <w:color w:val="000000"/>
          <w:sz w:val="24"/>
          <w:szCs w:val="24"/>
          <w:lang w:val="en-US"/>
        </w:rPr>
        <w:t xml:space="preserve">, </w:t>
      </w:r>
      <w:r w:rsidR="005B6BFB" w:rsidRPr="005B6BFB">
        <w:rPr>
          <w:rFonts w:ascii="Times New Roman" w:hAnsi="Times New Roman" w:cs="Times New Roman"/>
          <w:noProof/>
          <w:color w:val="000000"/>
          <w:sz w:val="24"/>
          <w:szCs w:val="24"/>
          <w:lang w:val="en-US"/>
        </w:rPr>
        <w:t>no new operations were signed in 2021</w:t>
      </w:r>
      <w:r w:rsidRPr="005B6BFB">
        <w:rPr>
          <w:rFonts w:ascii="Times New Roman" w:hAnsi="Times New Roman" w:cs="Times New Roman"/>
          <w:noProof/>
          <w:color w:val="000000"/>
          <w:sz w:val="24"/>
          <w:szCs w:val="24"/>
          <w:lang w:val="en-US"/>
        </w:rPr>
        <w:t>.</w:t>
      </w:r>
      <w:r w:rsidRPr="005B6BFB">
        <w:rPr>
          <w:noProof/>
          <w:color w:val="1F497D"/>
        </w:rPr>
        <w:t xml:space="preserve"> </w:t>
      </w:r>
    </w:p>
    <w:p w:rsidR="00E377E9" w:rsidRDefault="00E377E9" w:rsidP="00004E65">
      <w:pPr>
        <w:pStyle w:val="Default"/>
        <w:jc w:val="both"/>
        <w:rPr>
          <w:rFonts w:ascii="Times New Roman" w:hAnsi="Times New Roman" w:cs="Times New Roman"/>
          <w:noProof/>
          <w:color w:val="auto"/>
          <w:lang w:val="en-US"/>
        </w:rPr>
      </w:pPr>
    </w:p>
    <w:p w:rsidR="00631EBA" w:rsidRDefault="00631EBA" w:rsidP="00004E65">
      <w:pPr>
        <w:pStyle w:val="Default"/>
        <w:jc w:val="both"/>
        <w:rPr>
          <w:rFonts w:ascii="Times New Roman" w:hAnsi="Times New Roman" w:cs="Times New Roman"/>
          <w:noProof/>
          <w:color w:val="auto"/>
          <w:lang w:val="en-US"/>
        </w:rPr>
      </w:pPr>
    </w:p>
    <w:p w:rsidR="00631EBA" w:rsidRPr="00E377E9" w:rsidRDefault="00382BFD" w:rsidP="00631EBA">
      <w:pPr>
        <w:pStyle w:val="ListParagraph"/>
        <w:numPr>
          <w:ilvl w:val="0"/>
          <w:numId w:val="13"/>
        </w:numPr>
        <w:autoSpaceDE w:val="0"/>
        <w:autoSpaceDN w:val="0"/>
        <w:adjustRightInd w:val="0"/>
        <w:spacing w:after="0" w:line="240" w:lineRule="auto"/>
        <w:jc w:val="both"/>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COOPERATION UNDER THE NEW OCT DECISION</w:t>
      </w:r>
      <w:r w:rsidR="00631EBA">
        <w:rPr>
          <w:rFonts w:ascii="Times New Roman" w:hAnsi="Times New Roman" w:cs="Times New Roman"/>
          <w:b/>
          <w:bCs/>
          <w:noProof/>
          <w:sz w:val="24"/>
          <w:szCs w:val="24"/>
          <w:lang w:val="en-US"/>
        </w:rPr>
        <w:t xml:space="preserve"> FROM </w:t>
      </w:r>
      <w:r w:rsidR="00631EBA" w:rsidRPr="00E377E9">
        <w:rPr>
          <w:rFonts w:ascii="Times New Roman" w:hAnsi="Times New Roman" w:cs="Times New Roman"/>
          <w:b/>
          <w:bCs/>
          <w:noProof/>
          <w:sz w:val="24"/>
          <w:szCs w:val="24"/>
          <w:lang w:val="en-US"/>
        </w:rPr>
        <w:t>OCTOBER TO DECEMBER</w:t>
      </w:r>
      <w:r w:rsidR="00631EBA">
        <w:rPr>
          <w:rFonts w:ascii="Times New Roman" w:hAnsi="Times New Roman" w:cs="Times New Roman"/>
          <w:b/>
          <w:bCs/>
          <w:noProof/>
          <w:sz w:val="24"/>
          <w:szCs w:val="24"/>
          <w:lang w:val="en-US"/>
        </w:rPr>
        <w:t xml:space="preserve"> 2021</w:t>
      </w:r>
    </w:p>
    <w:p w:rsidR="00631EBA" w:rsidRDefault="00631EBA" w:rsidP="00631EBA">
      <w:pPr>
        <w:autoSpaceDE w:val="0"/>
        <w:autoSpaceDN w:val="0"/>
        <w:adjustRightInd w:val="0"/>
        <w:spacing w:after="0" w:line="240" w:lineRule="auto"/>
        <w:jc w:val="both"/>
        <w:rPr>
          <w:rFonts w:ascii="Times New Roman" w:hAnsi="Times New Roman" w:cs="Times New Roman"/>
          <w:b/>
          <w:bCs/>
          <w:noProof/>
          <w:sz w:val="24"/>
          <w:szCs w:val="24"/>
          <w:u w:val="single"/>
          <w:lang w:val="en-US"/>
        </w:rPr>
      </w:pPr>
    </w:p>
    <w:p w:rsidR="00631EBA" w:rsidRPr="00E377E9" w:rsidRDefault="00631EBA" w:rsidP="00631EBA">
      <w:pPr>
        <w:autoSpaceDE w:val="0"/>
        <w:autoSpaceDN w:val="0"/>
        <w:adjustRightInd w:val="0"/>
        <w:spacing w:after="0" w:line="240" w:lineRule="auto"/>
        <w:jc w:val="both"/>
        <w:rPr>
          <w:rFonts w:ascii="Times New Roman" w:hAnsi="Times New Roman" w:cs="Times New Roman"/>
          <w:b/>
          <w:bCs/>
          <w:noProof/>
          <w:sz w:val="24"/>
          <w:szCs w:val="24"/>
          <w:u w:val="single"/>
          <w:lang w:val="en-US"/>
        </w:rPr>
      </w:pPr>
      <w:r w:rsidRPr="00E377E9">
        <w:rPr>
          <w:rFonts w:ascii="Times New Roman" w:hAnsi="Times New Roman" w:cs="Times New Roman"/>
          <w:b/>
          <w:bCs/>
          <w:noProof/>
          <w:sz w:val="24"/>
          <w:szCs w:val="24"/>
          <w:u w:val="single"/>
          <w:lang w:val="en-US"/>
        </w:rPr>
        <w:t xml:space="preserve">Financial Resources under the DOAG </w:t>
      </w:r>
    </w:p>
    <w:p w:rsidR="00631EBA" w:rsidRPr="002A3914" w:rsidRDefault="00631EBA" w:rsidP="00631EBA">
      <w:pPr>
        <w:autoSpaceDE w:val="0"/>
        <w:autoSpaceDN w:val="0"/>
        <w:adjustRightInd w:val="0"/>
        <w:spacing w:after="0" w:line="240" w:lineRule="auto"/>
        <w:jc w:val="both"/>
        <w:rPr>
          <w:rFonts w:ascii="Times New Roman" w:hAnsi="Times New Roman" w:cs="Times New Roman"/>
          <w:noProof/>
          <w:sz w:val="24"/>
          <w:szCs w:val="24"/>
          <w:lang w:val="en-US"/>
        </w:rPr>
      </w:pPr>
    </w:p>
    <w:p w:rsidR="00631EBA" w:rsidRDefault="00631EBA" w:rsidP="00631EBA">
      <w:pPr>
        <w:autoSpaceDE w:val="0"/>
        <w:autoSpaceDN w:val="0"/>
        <w:adjustRightInd w:val="0"/>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EUR 500 million available to OCTs for the period 2021-2027 are split into the following allocatio</w:t>
      </w:r>
      <w:r w:rsidR="00382BFD">
        <w:rPr>
          <w:rFonts w:ascii="Times New Roman" w:hAnsi="Times New Roman" w:cs="Times New Roman"/>
          <w:noProof/>
          <w:sz w:val="24"/>
          <w:szCs w:val="24"/>
          <w:lang w:val="en-US"/>
        </w:rPr>
        <w:t>ns, based on Annex 1 of the Decision</w:t>
      </w:r>
      <w:r>
        <w:rPr>
          <w:rFonts w:ascii="Times New Roman" w:hAnsi="Times New Roman" w:cs="Times New Roman"/>
          <w:noProof/>
          <w:sz w:val="24"/>
          <w:szCs w:val="24"/>
          <w:lang w:val="en-US"/>
        </w:rPr>
        <w:t>:</w:t>
      </w:r>
    </w:p>
    <w:p w:rsidR="00631EBA" w:rsidRDefault="00631EBA" w:rsidP="00631EBA">
      <w:pPr>
        <w:autoSpaceDE w:val="0"/>
        <w:autoSpaceDN w:val="0"/>
        <w:adjustRightInd w:val="0"/>
        <w:spacing w:after="0" w:line="240" w:lineRule="auto"/>
        <w:jc w:val="both"/>
        <w:rPr>
          <w:rFonts w:ascii="Times New Roman" w:hAnsi="Times New Roman" w:cs="Times New Roman"/>
          <w:noProof/>
          <w:sz w:val="24"/>
          <w:szCs w:val="24"/>
          <w:lang w:val="en-US"/>
        </w:rPr>
      </w:pPr>
    </w:p>
    <w:p w:rsidR="00631EBA" w:rsidRPr="006300A3" w:rsidRDefault="00631EBA" w:rsidP="00631EBA">
      <w:pPr>
        <w:numPr>
          <w:ilvl w:val="0"/>
          <w:numId w:val="1"/>
        </w:numPr>
        <w:autoSpaceDE w:val="0"/>
        <w:autoSpaceDN w:val="0"/>
        <w:adjustRightInd w:val="0"/>
        <w:spacing w:after="120" w:line="240" w:lineRule="auto"/>
        <w:ind w:left="714" w:hanging="357"/>
        <w:jc w:val="both"/>
        <w:rPr>
          <w:rFonts w:ascii="Times New Roman" w:hAnsi="Times New Roman" w:cs="Times New Roman"/>
          <w:noProof/>
          <w:sz w:val="24"/>
          <w:szCs w:val="24"/>
          <w:lang w:val="en-US"/>
        </w:rPr>
      </w:pPr>
      <w:r w:rsidRPr="006300A3">
        <w:rPr>
          <w:rFonts w:ascii="Times New Roman" w:hAnsi="Times New Roman" w:cs="Times New Roman"/>
          <w:noProof/>
          <w:sz w:val="24"/>
          <w:szCs w:val="24"/>
          <w:lang w:val="en-US"/>
        </w:rPr>
        <w:t xml:space="preserve">EUR 164 million for the territorial (bilateral) allocations to OCTs other than Greenland; </w:t>
      </w:r>
    </w:p>
    <w:p w:rsidR="00631EBA" w:rsidRPr="006300A3" w:rsidRDefault="00631EBA" w:rsidP="00631EBA">
      <w:pPr>
        <w:numPr>
          <w:ilvl w:val="0"/>
          <w:numId w:val="1"/>
        </w:numPr>
        <w:autoSpaceDE w:val="0"/>
        <w:autoSpaceDN w:val="0"/>
        <w:adjustRightInd w:val="0"/>
        <w:spacing w:after="120" w:line="240" w:lineRule="auto"/>
        <w:ind w:left="714" w:hanging="357"/>
        <w:jc w:val="both"/>
        <w:rPr>
          <w:rFonts w:ascii="Times New Roman" w:hAnsi="Times New Roman" w:cs="Times New Roman"/>
          <w:noProof/>
          <w:sz w:val="24"/>
          <w:szCs w:val="24"/>
          <w:lang w:val="en-US"/>
        </w:rPr>
      </w:pPr>
      <w:r w:rsidRPr="006300A3">
        <w:rPr>
          <w:rFonts w:ascii="Times New Roman" w:hAnsi="Times New Roman" w:cs="Times New Roman"/>
          <w:noProof/>
          <w:sz w:val="24"/>
          <w:szCs w:val="24"/>
          <w:lang w:val="en-US"/>
        </w:rPr>
        <w:t>EUR 225 million for the territorial (bilateral) allocation to Greenland;</w:t>
      </w:r>
    </w:p>
    <w:p w:rsidR="00631EBA" w:rsidRPr="00ED5595" w:rsidRDefault="00631EBA" w:rsidP="00631EBA">
      <w:pPr>
        <w:numPr>
          <w:ilvl w:val="0"/>
          <w:numId w:val="1"/>
        </w:numPr>
        <w:autoSpaceDE w:val="0"/>
        <w:autoSpaceDN w:val="0"/>
        <w:adjustRightInd w:val="0"/>
        <w:spacing w:after="120" w:line="240" w:lineRule="auto"/>
        <w:ind w:left="714" w:hanging="357"/>
        <w:jc w:val="both"/>
        <w:rPr>
          <w:rFonts w:ascii="Times New Roman" w:hAnsi="Times New Roman" w:cs="Times New Roman"/>
          <w:noProof/>
          <w:sz w:val="24"/>
          <w:szCs w:val="24"/>
          <w:lang w:val="en-US"/>
        </w:rPr>
      </w:pPr>
      <w:r w:rsidRPr="00ED5595">
        <w:rPr>
          <w:rFonts w:ascii="Times New Roman" w:hAnsi="Times New Roman" w:cs="Times New Roman"/>
          <w:noProof/>
          <w:sz w:val="24"/>
          <w:szCs w:val="24"/>
          <w:lang w:val="en-US"/>
        </w:rPr>
        <w:t>EUR 76 million for regional</w:t>
      </w:r>
      <w:r>
        <w:rPr>
          <w:rFonts w:ascii="Times New Roman" w:hAnsi="Times New Roman" w:cs="Times New Roman"/>
          <w:noProof/>
          <w:sz w:val="24"/>
          <w:szCs w:val="24"/>
          <w:lang w:val="en-US"/>
        </w:rPr>
        <w:t xml:space="preserve"> cooperation,</w:t>
      </w:r>
      <w:r w:rsidRPr="00ED5595">
        <w:rPr>
          <w:rFonts w:ascii="Times New Roman" w:hAnsi="Times New Roman" w:cs="Times New Roman"/>
          <w:noProof/>
          <w:sz w:val="24"/>
          <w:szCs w:val="24"/>
          <w:lang w:val="en-US"/>
        </w:rPr>
        <w:t xml:space="preserve"> of which EUR 15 million for intra-regional cooperation of OCT</w:t>
      </w:r>
      <w:r w:rsidR="00382BFD">
        <w:rPr>
          <w:rFonts w:ascii="Times New Roman" w:hAnsi="Times New Roman" w:cs="Times New Roman"/>
          <w:noProof/>
          <w:sz w:val="24"/>
          <w:szCs w:val="24"/>
          <w:lang w:val="en-US"/>
        </w:rPr>
        <w:t>s with their non-OCT neighbours</w:t>
      </w:r>
      <w:r>
        <w:rPr>
          <w:rFonts w:ascii="Times New Roman" w:hAnsi="Times New Roman" w:cs="Times New Roman"/>
          <w:noProof/>
          <w:sz w:val="24"/>
          <w:szCs w:val="24"/>
          <w:lang w:val="en-US"/>
        </w:rPr>
        <w:t>;</w:t>
      </w:r>
    </w:p>
    <w:p w:rsidR="00631EBA" w:rsidRPr="00ED5595" w:rsidRDefault="00631EBA" w:rsidP="00631EBA">
      <w:pPr>
        <w:numPr>
          <w:ilvl w:val="0"/>
          <w:numId w:val="1"/>
        </w:numPr>
        <w:autoSpaceDE w:val="0"/>
        <w:autoSpaceDN w:val="0"/>
        <w:adjustRightInd w:val="0"/>
        <w:spacing w:after="120" w:line="240" w:lineRule="auto"/>
        <w:ind w:left="714" w:hanging="357"/>
        <w:jc w:val="both"/>
        <w:rPr>
          <w:rFonts w:ascii="Times New Roman" w:hAnsi="Times New Roman" w:cs="Times New Roman"/>
          <w:noProof/>
          <w:sz w:val="24"/>
          <w:szCs w:val="24"/>
          <w:lang w:val="en-US"/>
        </w:rPr>
      </w:pPr>
      <w:r w:rsidRPr="00ED5595">
        <w:rPr>
          <w:rFonts w:ascii="Times New Roman" w:hAnsi="Times New Roman" w:cs="Times New Roman"/>
          <w:noProof/>
          <w:sz w:val="24"/>
          <w:szCs w:val="24"/>
          <w:lang w:val="en-US"/>
        </w:rPr>
        <w:t xml:space="preserve">EUR 22 million </w:t>
      </w:r>
      <w:r>
        <w:rPr>
          <w:rFonts w:ascii="Times New Roman" w:hAnsi="Times New Roman" w:cs="Times New Roman"/>
          <w:noProof/>
          <w:sz w:val="24"/>
          <w:szCs w:val="24"/>
          <w:lang w:val="en-US"/>
        </w:rPr>
        <w:t>for</w:t>
      </w:r>
      <w:r w:rsidRPr="00ED5595">
        <w:rPr>
          <w:rFonts w:ascii="Times New Roman" w:hAnsi="Times New Roman" w:cs="Times New Roman"/>
          <w:noProof/>
          <w:sz w:val="24"/>
          <w:szCs w:val="24"/>
          <w:lang w:val="en-US"/>
        </w:rPr>
        <w:t xml:space="preserve"> studies and technical assistance measures</w:t>
      </w:r>
      <w:r w:rsidR="00C84F80">
        <w:rPr>
          <w:rFonts w:ascii="Times New Roman" w:hAnsi="Times New Roman" w:cs="Times New Roman"/>
          <w:noProof/>
          <w:sz w:val="24"/>
          <w:szCs w:val="24"/>
          <w:lang w:val="en-US"/>
        </w:rPr>
        <w:t>;</w:t>
      </w:r>
      <w:r w:rsidRPr="00ED5595">
        <w:rPr>
          <w:rFonts w:ascii="Times New Roman" w:hAnsi="Times New Roman" w:cs="Times New Roman"/>
          <w:noProof/>
          <w:sz w:val="24"/>
          <w:szCs w:val="24"/>
          <w:lang w:val="en-US"/>
        </w:rPr>
        <w:t xml:space="preserve"> </w:t>
      </w:r>
    </w:p>
    <w:p w:rsidR="00631EBA" w:rsidRPr="00ED5595" w:rsidRDefault="00631EBA" w:rsidP="00ED4350">
      <w:pPr>
        <w:numPr>
          <w:ilvl w:val="0"/>
          <w:numId w:val="1"/>
        </w:numPr>
        <w:autoSpaceDE w:val="0"/>
        <w:autoSpaceDN w:val="0"/>
        <w:adjustRightInd w:val="0"/>
        <w:spacing w:after="0" w:line="240" w:lineRule="auto"/>
        <w:ind w:left="714" w:hanging="357"/>
        <w:jc w:val="both"/>
        <w:rPr>
          <w:rFonts w:ascii="Times New Roman" w:hAnsi="Times New Roman" w:cs="Times New Roman"/>
          <w:noProof/>
          <w:sz w:val="24"/>
          <w:szCs w:val="24"/>
          <w:lang w:val="en-US"/>
        </w:rPr>
      </w:pPr>
      <w:r w:rsidRPr="00ED5595">
        <w:rPr>
          <w:rFonts w:ascii="Times New Roman" w:hAnsi="Times New Roman" w:cs="Times New Roman"/>
          <w:noProof/>
          <w:sz w:val="24"/>
          <w:szCs w:val="24"/>
          <w:lang w:val="en-US"/>
        </w:rPr>
        <w:t xml:space="preserve">EUR 13 million </w:t>
      </w:r>
      <w:r>
        <w:rPr>
          <w:rFonts w:ascii="Times New Roman" w:hAnsi="Times New Roman" w:cs="Times New Roman"/>
          <w:noProof/>
          <w:sz w:val="24"/>
          <w:szCs w:val="24"/>
          <w:lang w:val="en-US"/>
        </w:rPr>
        <w:t xml:space="preserve">in a non-allocated fund </w:t>
      </w:r>
      <w:r w:rsidRPr="00ED5595">
        <w:rPr>
          <w:rFonts w:ascii="Times New Roman" w:hAnsi="Times New Roman" w:cs="Times New Roman"/>
          <w:noProof/>
          <w:sz w:val="24"/>
          <w:szCs w:val="24"/>
          <w:lang w:val="en-US"/>
        </w:rPr>
        <w:t>for unforeseen circumstances, emerging challenges and new international priorities</w:t>
      </w:r>
      <w:r w:rsidR="002E57AA">
        <w:rPr>
          <w:rFonts w:ascii="Times New Roman" w:hAnsi="Times New Roman" w:cs="Times New Roman"/>
          <w:noProof/>
          <w:sz w:val="24"/>
          <w:szCs w:val="24"/>
          <w:lang w:val="en-US"/>
        </w:rPr>
        <w:t>.</w:t>
      </w:r>
    </w:p>
    <w:p w:rsidR="00ED4350" w:rsidRDefault="00ED4350" w:rsidP="00ED4350">
      <w:pPr>
        <w:autoSpaceDE w:val="0"/>
        <w:autoSpaceDN w:val="0"/>
        <w:adjustRightInd w:val="0"/>
        <w:spacing w:after="120" w:line="240" w:lineRule="auto"/>
        <w:jc w:val="both"/>
        <w:rPr>
          <w:rFonts w:ascii="Times New Roman" w:hAnsi="Times New Roman" w:cs="Times New Roman"/>
          <w:noProof/>
          <w:sz w:val="24"/>
          <w:szCs w:val="24"/>
          <w:lang w:val="en-US"/>
        </w:rPr>
      </w:pPr>
    </w:p>
    <w:p w:rsidR="00F31761" w:rsidRDefault="00631EBA" w:rsidP="00ED4350">
      <w:pPr>
        <w:autoSpaceDE w:val="0"/>
        <w:autoSpaceDN w:val="0"/>
        <w:adjustRightInd w:val="0"/>
        <w:spacing w:after="120" w:line="240" w:lineRule="auto"/>
        <w:jc w:val="both"/>
        <w:rPr>
          <w:rFonts w:ascii="Times New Roman" w:hAnsi="Times New Roman" w:cs="Times New Roman"/>
          <w:noProof/>
          <w:sz w:val="24"/>
          <w:szCs w:val="24"/>
          <w:lang w:val="en-US"/>
        </w:rPr>
      </w:pPr>
      <w:r w:rsidRPr="008849D4">
        <w:rPr>
          <w:rFonts w:ascii="Times New Roman" w:hAnsi="Times New Roman" w:cs="Times New Roman"/>
          <w:noProof/>
          <w:sz w:val="24"/>
          <w:szCs w:val="24"/>
          <w:lang w:val="en-US"/>
        </w:rPr>
        <w:t>Reflows from the now defunct OCT Investment Facility will be added, as they arrive, to th</w:t>
      </w:r>
      <w:r w:rsidR="002E57AA">
        <w:rPr>
          <w:rFonts w:ascii="Times New Roman" w:hAnsi="Times New Roman" w:cs="Times New Roman"/>
          <w:noProof/>
          <w:sz w:val="24"/>
          <w:szCs w:val="24"/>
          <w:lang w:val="en-US"/>
        </w:rPr>
        <w:t>e</w:t>
      </w:r>
      <w:r w:rsidRPr="008849D4">
        <w:rPr>
          <w:rFonts w:ascii="Times New Roman" w:hAnsi="Times New Roman" w:cs="Times New Roman"/>
          <w:noProof/>
          <w:sz w:val="24"/>
          <w:szCs w:val="24"/>
          <w:lang w:val="en-US"/>
        </w:rPr>
        <w:t xml:space="preserve"> non-allocated reserve. </w:t>
      </w:r>
    </w:p>
    <w:p w:rsidR="00ED4350" w:rsidRDefault="00631EBA" w:rsidP="00ED4350">
      <w:pPr>
        <w:autoSpaceDE w:val="0"/>
        <w:autoSpaceDN w:val="0"/>
        <w:adjustRightInd w:val="0"/>
        <w:spacing w:after="0" w:line="240" w:lineRule="auto"/>
        <w:jc w:val="both"/>
        <w:rPr>
          <w:rFonts w:ascii="Times New Roman" w:hAnsi="Times New Roman" w:cs="Times New Roman"/>
          <w:noProof/>
          <w:sz w:val="24"/>
          <w:szCs w:val="24"/>
          <w:lang w:val="en-US"/>
        </w:rPr>
      </w:pPr>
      <w:r w:rsidRPr="008849D4">
        <w:rPr>
          <w:rFonts w:ascii="Times New Roman" w:hAnsi="Times New Roman" w:cs="Times New Roman"/>
          <w:noProof/>
          <w:sz w:val="24"/>
          <w:szCs w:val="24"/>
          <w:lang w:val="en-US"/>
        </w:rPr>
        <w:t>Following a mid-term review, an</w:t>
      </w:r>
      <w:r w:rsidR="00382BFD">
        <w:rPr>
          <w:rFonts w:ascii="Times New Roman" w:hAnsi="Times New Roman" w:cs="Times New Roman"/>
          <w:noProof/>
          <w:sz w:val="24"/>
          <w:szCs w:val="24"/>
          <w:lang w:val="en-US"/>
        </w:rPr>
        <w:t xml:space="preserve">y non-allocated funds remaining </w:t>
      </w:r>
      <w:r w:rsidRPr="008849D4">
        <w:rPr>
          <w:rFonts w:ascii="Times New Roman" w:hAnsi="Times New Roman" w:cs="Times New Roman"/>
          <w:noProof/>
          <w:sz w:val="24"/>
          <w:szCs w:val="24"/>
          <w:lang w:val="en-US"/>
        </w:rPr>
        <w:t xml:space="preserve">may be allocated to a different DOAG envelope, on the initiative of the Commission and following a consultation of the Member States in the OCT Committee. </w:t>
      </w:r>
    </w:p>
    <w:p w:rsidR="00ED4350" w:rsidRDefault="00ED4350" w:rsidP="00ED4350">
      <w:pPr>
        <w:autoSpaceDE w:val="0"/>
        <w:autoSpaceDN w:val="0"/>
        <w:adjustRightInd w:val="0"/>
        <w:spacing w:after="120" w:line="240" w:lineRule="auto"/>
        <w:jc w:val="both"/>
        <w:rPr>
          <w:rFonts w:ascii="Times New Roman" w:hAnsi="Times New Roman" w:cs="Times New Roman"/>
          <w:b/>
          <w:bCs/>
          <w:noProof/>
          <w:sz w:val="24"/>
          <w:szCs w:val="24"/>
          <w:lang w:val="en-US"/>
        </w:rPr>
      </w:pPr>
    </w:p>
    <w:p w:rsidR="00626C19" w:rsidRDefault="00631EBA" w:rsidP="00ED4350">
      <w:pPr>
        <w:autoSpaceDE w:val="0"/>
        <w:autoSpaceDN w:val="0"/>
        <w:adjustRightInd w:val="0"/>
        <w:spacing w:after="120" w:line="240" w:lineRule="auto"/>
        <w:jc w:val="both"/>
        <w:rPr>
          <w:rFonts w:ascii="Times New Roman" w:hAnsi="Times New Roman" w:cs="Times New Roman"/>
          <w:noProof/>
          <w:sz w:val="24"/>
          <w:szCs w:val="24"/>
          <w:lang w:val="en-US"/>
        </w:rPr>
      </w:pPr>
      <w:r>
        <w:rPr>
          <w:rFonts w:ascii="Times New Roman" w:hAnsi="Times New Roman" w:cs="Times New Roman"/>
          <w:b/>
          <w:bCs/>
          <w:noProof/>
          <w:sz w:val="24"/>
          <w:szCs w:val="24"/>
          <w:lang w:val="en-US"/>
        </w:rPr>
        <w:t>Twelve</w:t>
      </w:r>
      <w:r w:rsidRPr="002A3914">
        <w:rPr>
          <w:rFonts w:ascii="Times New Roman" w:hAnsi="Times New Roman" w:cs="Times New Roman"/>
          <w:b/>
          <w:bCs/>
          <w:noProof/>
          <w:sz w:val="24"/>
          <w:szCs w:val="24"/>
          <w:lang w:val="en-US"/>
        </w:rPr>
        <w:t xml:space="preserve"> </w:t>
      </w:r>
      <w:r>
        <w:rPr>
          <w:rFonts w:ascii="Times New Roman" w:hAnsi="Times New Roman" w:cs="Times New Roman"/>
          <w:b/>
          <w:bCs/>
          <w:noProof/>
          <w:sz w:val="24"/>
          <w:szCs w:val="24"/>
          <w:lang w:val="en-US"/>
        </w:rPr>
        <w:t xml:space="preserve">(of 13) </w:t>
      </w:r>
      <w:r w:rsidRPr="002A3914">
        <w:rPr>
          <w:rFonts w:ascii="Times New Roman" w:hAnsi="Times New Roman" w:cs="Times New Roman"/>
          <w:b/>
          <w:bCs/>
          <w:noProof/>
          <w:sz w:val="24"/>
          <w:szCs w:val="24"/>
          <w:lang w:val="en-US"/>
        </w:rPr>
        <w:t xml:space="preserve">OCTs are eligible for a </w:t>
      </w:r>
      <w:r w:rsidR="00327674">
        <w:rPr>
          <w:rFonts w:ascii="Times New Roman" w:hAnsi="Times New Roman" w:cs="Times New Roman"/>
          <w:b/>
          <w:bCs/>
          <w:noProof/>
          <w:sz w:val="24"/>
          <w:szCs w:val="24"/>
          <w:lang w:val="en-US"/>
        </w:rPr>
        <w:t>bilateral</w:t>
      </w:r>
      <w:r w:rsidR="00327674" w:rsidRPr="002A3914">
        <w:rPr>
          <w:rFonts w:ascii="Times New Roman" w:hAnsi="Times New Roman" w:cs="Times New Roman"/>
          <w:b/>
          <w:bCs/>
          <w:noProof/>
          <w:sz w:val="24"/>
          <w:szCs w:val="24"/>
          <w:lang w:val="en-US"/>
        </w:rPr>
        <w:t xml:space="preserve"> </w:t>
      </w:r>
      <w:r w:rsidRPr="002A3914">
        <w:rPr>
          <w:rFonts w:ascii="Times New Roman" w:hAnsi="Times New Roman" w:cs="Times New Roman"/>
          <w:b/>
          <w:bCs/>
          <w:noProof/>
          <w:sz w:val="24"/>
          <w:szCs w:val="24"/>
          <w:lang w:val="en-US"/>
        </w:rPr>
        <w:t xml:space="preserve">allocation under the </w:t>
      </w:r>
      <w:r>
        <w:rPr>
          <w:rFonts w:ascii="Times New Roman" w:hAnsi="Times New Roman" w:cs="Times New Roman"/>
          <w:b/>
          <w:bCs/>
          <w:noProof/>
          <w:sz w:val="24"/>
          <w:szCs w:val="24"/>
          <w:lang w:val="en-US"/>
        </w:rPr>
        <w:t>DOAG</w:t>
      </w:r>
      <w:r w:rsidRPr="00ED5595">
        <w:rPr>
          <w:rFonts w:ascii="Times New Roman" w:hAnsi="Times New Roman" w:cs="Times New Roman"/>
          <w:bCs/>
          <w:noProof/>
          <w:sz w:val="24"/>
          <w:szCs w:val="24"/>
          <w:lang w:val="en-US"/>
        </w:rPr>
        <w:t xml:space="preserve">, </w:t>
      </w:r>
      <w:r w:rsidRPr="002A3914">
        <w:rPr>
          <w:rFonts w:ascii="Times New Roman" w:hAnsi="Times New Roman" w:cs="Times New Roman"/>
          <w:bCs/>
          <w:noProof/>
          <w:sz w:val="24"/>
          <w:szCs w:val="24"/>
          <w:lang w:val="en-US"/>
        </w:rPr>
        <w:t xml:space="preserve">defined according to criteria established in </w:t>
      </w:r>
      <w:r>
        <w:rPr>
          <w:rFonts w:ascii="Times New Roman" w:hAnsi="Times New Roman" w:cs="Times New Roman"/>
          <w:bCs/>
          <w:noProof/>
          <w:sz w:val="24"/>
          <w:szCs w:val="24"/>
          <w:lang w:val="en-US"/>
        </w:rPr>
        <w:t xml:space="preserve">the </w:t>
      </w:r>
      <w:r w:rsidRPr="002A3914">
        <w:rPr>
          <w:rFonts w:ascii="Times New Roman" w:hAnsi="Times New Roman" w:cs="Times New Roman"/>
          <w:bCs/>
          <w:noProof/>
          <w:sz w:val="24"/>
          <w:szCs w:val="24"/>
          <w:lang w:val="en-US"/>
        </w:rPr>
        <w:t>Decision</w:t>
      </w:r>
      <w:r>
        <w:rPr>
          <w:rFonts w:ascii="Times New Roman" w:hAnsi="Times New Roman" w:cs="Times New Roman"/>
          <w:bCs/>
          <w:noProof/>
          <w:sz w:val="24"/>
          <w:szCs w:val="24"/>
          <w:lang w:val="en-US"/>
        </w:rPr>
        <w:t xml:space="preserve">. </w:t>
      </w:r>
      <w:r w:rsidR="0014517A">
        <w:rPr>
          <w:rFonts w:ascii="Times New Roman" w:hAnsi="Times New Roman" w:cs="Times New Roman"/>
          <w:bCs/>
          <w:noProof/>
          <w:sz w:val="24"/>
          <w:szCs w:val="24"/>
          <w:lang w:val="en-US"/>
        </w:rPr>
        <w:t>St Barthélemy now also benefits from a territorial allocation for the first time.</w:t>
      </w:r>
      <w:r w:rsidR="0014517A">
        <w:rPr>
          <w:rFonts w:ascii="Times New Roman" w:hAnsi="Times New Roman" w:cs="Times New Roman"/>
          <w:noProof/>
          <w:sz w:val="24"/>
          <w:szCs w:val="24"/>
          <w:lang w:val="en-US"/>
        </w:rPr>
        <w:t xml:space="preserve"> </w:t>
      </w:r>
      <w:r>
        <w:rPr>
          <w:rFonts w:ascii="Times New Roman" w:hAnsi="Times New Roman" w:cs="Times New Roman"/>
          <w:bCs/>
          <w:noProof/>
          <w:sz w:val="24"/>
          <w:szCs w:val="24"/>
          <w:lang w:val="en-US"/>
        </w:rPr>
        <w:t>The French Southern and Antarctic Lands (TAAF)</w:t>
      </w:r>
      <w:r w:rsidR="00327674">
        <w:rPr>
          <w:rFonts w:ascii="Times New Roman" w:hAnsi="Times New Roman" w:cs="Times New Roman"/>
          <w:bCs/>
          <w:noProof/>
          <w:sz w:val="24"/>
          <w:szCs w:val="24"/>
          <w:lang w:val="en-US"/>
        </w:rPr>
        <w:t xml:space="preserve">, </w:t>
      </w:r>
      <w:r w:rsidR="0014517A">
        <w:rPr>
          <w:rFonts w:ascii="Times New Roman" w:hAnsi="Times New Roman" w:cs="Times New Roman"/>
          <w:bCs/>
          <w:noProof/>
          <w:sz w:val="24"/>
          <w:szCs w:val="24"/>
          <w:lang w:val="en-US"/>
        </w:rPr>
        <w:t xml:space="preserve">which is the only uninhabited </w:t>
      </w:r>
      <w:r w:rsidR="0014517A" w:rsidRPr="00E46201">
        <w:rPr>
          <w:rFonts w:ascii="Times New Roman" w:hAnsi="Times New Roman" w:cs="Times New Roman"/>
          <w:bCs/>
          <w:noProof/>
          <w:sz w:val="24"/>
          <w:szCs w:val="24"/>
          <w:lang w:val="en-US"/>
        </w:rPr>
        <w:t>OCT</w:t>
      </w:r>
      <w:r w:rsidR="00327674" w:rsidRPr="00E46201">
        <w:rPr>
          <w:rFonts w:ascii="Times New Roman" w:hAnsi="Times New Roman" w:cs="Times New Roman"/>
          <w:bCs/>
          <w:noProof/>
          <w:sz w:val="24"/>
          <w:szCs w:val="24"/>
          <w:lang w:val="en-US"/>
        </w:rPr>
        <w:t>,</w:t>
      </w:r>
      <w:r w:rsidR="0014517A" w:rsidRPr="00E46201">
        <w:rPr>
          <w:rFonts w:ascii="Times New Roman" w:hAnsi="Times New Roman" w:cs="Times New Roman"/>
          <w:bCs/>
          <w:noProof/>
          <w:sz w:val="24"/>
          <w:szCs w:val="24"/>
          <w:lang w:val="en-US"/>
        </w:rPr>
        <w:t xml:space="preserve"> are considered as a region for the purpose of </w:t>
      </w:r>
      <w:r w:rsidR="00E46201" w:rsidRPr="00E46201">
        <w:rPr>
          <w:rFonts w:ascii="Times New Roman" w:hAnsi="Times New Roman" w:cs="Times New Roman"/>
          <w:bCs/>
          <w:noProof/>
          <w:sz w:val="24"/>
          <w:szCs w:val="24"/>
          <w:lang w:val="en-US"/>
        </w:rPr>
        <w:t>eligibility for financing, as per Article 84(1) DOAG</w:t>
      </w:r>
      <w:r w:rsidR="00D96A5F">
        <w:rPr>
          <w:rFonts w:ascii="Times New Roman" w:hAnsi="Times New Roman" w:cs="Times New Roman"/>
          <w:bCs/>
          <w:noProof/>
          <w:sz w:val="24"/>
          <w:szCs w:val="24"/>
          <w:lang w:val="en-US"/>
        </w:rPr>
        <w:t>,</w:t>
      </w:r>
      <w:r w:rsidR="002E57AA">
        <w:rPr>
          <w:rFonts w:ascii="Times New Roman" w:hAnsi="Times New Roman" w:cs="Times New Roman"/>
          <w:bCs/>
          <w:noProof/>
          <w:sz w:val="24"/>
          <w:szCs w:val="24"/>
          <w:lang w:val="en-US"/>
        </w:rPr>
        <w:t xml:space="preserve"> thus benefiting from a dedicated regional programme instead of a bilateral allocation</w:t>
      </w:r>
      <w:r w:rsidR="00E46201" w:rsidRPr="00E46201">
        <w:rPr>
          <w:rFonts w:ascii="Times New Roman" w:hAnsi="Times New Roman" w:cs="Times New Roman"/>
          <w:bCs/>
          <w:noProof/>
          <w:sz w:val="24"/>
          <w:szCs w:val="24"/>
          <w:lang w:val="en-US"/>
        </w:rPr>
        <w:t>.</w:t>
      </w:r>
      <w:r>
        <w:rPr>
          <w:rFonts w:ascii="Times New Roman" w:hAnsi="Times New Roman" w:cs="Times New Roman"/>
          <w:bCs/>
          <w:noProof/>
          <w:sz w:val="24"/>
          <w:szCs w:val="24"/>
          <w:lang w:val="en-US"/>
        </w:rPr>
        <w:t xml:space="preserve"> </w:t>
      </w:r>
    </w:p>
    <w:p w:rsidR="00626C19" w:rsidRDefault="00626C19" w:rsidP="00626C19">
      <w:pPr>
        <w:autoSpaceDE w:val="0"/>
        <w:autoSpaceDN w:val="0"/>
        <w:adjustRightInd w:val="0"/>
        <w:spacing w:after="0" w:line="240" w:lineRule="auto"/>
        <w:jc w:val="both"/>
        <w:rPr>
          <w:rFonts w:ascii="Times New Roman" w:hAnsi="Times New Roman" w:cs="Times New Roman"/>
          <w:noProof/>
          <w:sz w:val="24"/>
          <w:szCs w:val="24"/>
          <w:lang w:val="en-US"/>
        </w:rPr>
      </w:pPr>
    </w:p>
    <w:p w:rsidR="00631EBA" w:rsidRPr="00626C19" w:rsidRDefault="00631EBA" w:rsidP="00626C19">
      <w:pPr>
        <w:autoSpaceDE w:val="0"/>
        <w:autoSpaceDN w:val="0"/>
        <w:adjustRightInd w:val="0"/>
        <w:spacing w:after="0" w:line="240" w:lineRule="auto"/>
        <w:jc w:val="both"/>
        <w:rPr>
          <w:rFonts w:ascii="Times New Roman" w:hAnsi="Times New Roman" w:cs="Times New Roman"/>
          <w:noProof/>
          <w:sz w:val="24"/>
          <w:szCs w:val="24"/>
          <w:lang w:val="en-US"/>
        </w:rPr>
      </w:pPr>
      <w:r>
        <w:rPr>
          <w:rFonts w:ascii="Times New Roman" w:hAnsi="Times New Roman" w:cs="Times New Roman"/>
          <w:b/>
          <w:bCs/>
          <w:noProof/>
          <w:color w:val="000000"/>
          <w:sz w:val="24"/>
          <w:szCs w:val="24"/>
          <w:lang w:val="en-US"/>
        </w:rPr>
        <w:t xml:space="preserve">The three regional programmes </w:t>
      </w:r>
      <w:r w:rsidR="00AE67CA">
        <w:rPr>
          <w:rFonts w:ascii="Times New Roman" w:hAnsi="Times New Roman" w:cs="Times New Roman"/>
          <w:bCs/>
          <w:noProof/>
          <w:color w:val="000000"/>
          <w:sz w:val="24"/>
          <w:szCs w:val="24"/>
        </w:rPr>
        <w:t xml:space="preserve">for the Caribbean, Pacific and Indian Oceans, respectively, </w:t>
      </w:r>
      <w:r w:rsidRPr="002A3914">
        <w:rPr>
          <w:rFonts w:ascii="Times New Roman" w:hAnsi="Times New Roman" w:cs="Times New Roman"/>
          <w:noProof/>
          <w:color w:val="000000"/>
          <w:sz w:val="24"/>
          <w:szCs w:val="24"/>
          <w:lang w:val="en-US"/>
        </w:rPr>
        <w:t>seek to foster cooperation among OCTs of the same region sharing similar challenges and priorities. Actions financed under the regional allocation</w:t>
      </w:r>
      <w:r>
        <w:rPr>
          <w:rFonts w:ascii="Times New Roman" w:hAnsi="Times New Roman" w:cs="Times New Roman"/>
          <w:noProof/>
          <w:color w:val="000000"/>
          <w:sz w:val="24"/>
          <w:szCs w:val="24"/>
          <w:lang w:val="en-US"/>
        </w:rPr>
        <w:t>s</w:t>
      </w:r>
      <w:r w:rsidRPr="002A3914">
        <w:rPr>
          <w:rFonts w:ascii="Times New Roman" w:hAnsi="Times New Roman" w:cs="Times New Roman"/>
          <w:noProof/>
          <w:color w:val="000000"/>
          <w:sz w:val="24"/>
          <w:szCs w:val="24"/>
          <w:lang w:val="en-US"/>
        </w:rPr>
        <w:t xml:space="preserve"> support the elaboration and implementation of comprehensive regional programmes and projects for addressing these challenges. Partnerships with other funding sources, including other European Union financial instruments, are encouraged through cooperation with the neighboring </w:t>
      </w:r>
      <w:r w:rsidRPr="002A3914">
        <w:rPr>
          <w:rFonts w:ascii="Times New Roman" w:hAnsi="Times New Roman" w:cs="Times New Roman"/>
          <w:noProof/>
          <w:color w:val="000000"/>
          <w:sz w:val="24"/>
          <w:szCs w:val="24"/>
        </w:rPr>
        <w:t>African, Caribbean and Pacific (</w:t>
      </w:r>
      <w:r w:rsidRPr="002A3914">
        <w:rPr>
          <w:rFonts w:ascii="Times New Roman" w:hAnsi="Times New Roman" w:cs="Times New Roman"/>
          <w:noProof/>
          <w:color w:val="000000"/>
          <w:sz w:val="24"/>
          <w:szCs w:val="24"/>
          <w:lang w:val="en-US"/>
        </w:rPr>
        <w:t xml:space="preserve">ACP) and/or third countries, as well as </w:t>
      </w:r>
      <w:r>
        <w:rPr>
          <w:rFonts w:ascii="Times New Roman" w:hAnsi="Times New Roman" w:cs="Times New Roman"/>
          <w:noProof/>
          <w:color w:val="000000"/>
          <w:sz w:val="24"/>
          <w:szCs w:val="24"/>
          <w:lang w:val="en-US"/>
        </w:rPr>
        <w:t>the Outermost Regions of the EU</w:t>
      </w:r>
      <w:r w:rsidRPr="002A3914">
        <w:rPr>
          <w:rFonts w:ascii="Times New Roman" w:hAnsi="Times New Roman" w:cs="Times New Roman"/>
          <w:noProof/>
          <w:color w:val="000000"/>
          <w:sz w:val="24"/>
          <w:szCs w:val="24"/>
          <w:lang w:val="en-US"/>
        </w:rPr>
        <w:t xml:space="preserve">. </w:t>
      </w:r>
      <w:r>
        <w:rPr>
          <w:rFonts w:ascii="Times New Roman" w:hAnsi="Times New Roman" w:cs="Times New Roman"/>
          <w:noProof/>
          <w:color w:val="000000"/>
          <w:sz w:val="24"/>
          <w:szCs w:val="24"/>
          <w:lang w:val="en-US"/>
        </w:rPr>
        <w:t xml:space="preserve">A major novelty of the DOAG is </w:t>
      </w:r>
      <w:r w:rsidRPr="00382BFD">
        <w:rPr>
          <w:rFonts w:ascii="Times New Roman" w:hAnsi="Times New Roman" w:cs="Times New Roman"/>
          <w:b/>
          <w:noProof/>
          <w:color w:val="000000"/>
          <w:sz w:val="24"/>
          <w:szCs w:val="24"/>
          <w:lang w:val="en-US"/>
        </w:rPr>
        <w:t>the intra-regional envelope</w:t>
      </w:r>
      <w:r>
        <w:rPr>
          <w:rFonts w:ascii="Times New Roman" w:hAnsi="Times New Roman" w:cs="Times New Roman"/>
          <w:noProof/>
          <w:color w:val="000000"/>
          <w:sz w:val="24"/>
          <w:szCs w:val="24"/>
          <w:lang w:val="en-US"/>
        </w:rPr>
        <w:t xml:space="preserve"> which sets aside funds precisely to encourage such cooperation with non-OCT neighbours. </w:t>
      </w:r>
    </w:p>
    <w:p w:rsidR="00631EBA" w:rsidRPr="002A3914" w:rsidRDefault="00631EBA" w:rsidP="00631EBA">
      <w:pPr>
        <w:autoSpaceDE w:val="0"/>
        <w:autoSpaceDN w:val="0"/>
        <w:adjustRightInd w:val="0"/>
        <w:spacing w:after="0" w:line="240" w:lineRule="auto"/>
        <w:jc w:val="both"/>
        <w:rPr>
          <w:rFonts w:ascii="Times New Roman" w:hAnsi="Times New Roman" w:cs="Times New Roman"/>
          <w:noProof/>
          <w:color w:val="000000"/>
          <w:sz w:val="24"/>
          <w:szCs w:val="24"/>
          <w:lang w:val="en-US"/>
        </w:rPr>
      </w:pPr>
    </w:p>
    <w:p w:rsidR="00382BFD" w:rsidRDefault="00382BFD" w:rsidP="00382BFD">
      <w:pPr>
        <w:rPr>
          <w:rFonts w:ascii="Times New Roman" w:hAnsi="Times New Roman" w:cs="Times New Roman"/>
          <w:b/>
          <w:bCs/>
          <w:noProof/>
          <w:color w:val="000000"/>
          <w:sz w:val="24"/>
          <w:szCs w:val="24"/>
          <w:u w:val="single"/>
          <w:lang w:val="en-US"/>
        </w:rPr>
      </w:pPr>
      <w:r>
        <w:rPr>
          <w:rFonts w:ascii="Times New Roman" w:hAnsi="Times New Roman" w:cs="Times New Roman"/>
          <w:b/>
          <w:bCs/>
          <w:noProof/>
          <w:color w:val="000000"/>
          <w:sz w:val="24"/>
          <w:szCs w:val="24"/>
          <w:u w:val="single"/>
          <w:lang w:val="en-US"/>
        </w:rPr>
        <w:t>Programming process for the 2021-2027 period:</w:t>
      </w:r>
    </w:p>
    <w:p w:rsidR="00631EBA" w:rsidRPr="0040213A" w:rsidRDefault="0040213A" w:rsidP="0040213A">
      <w:pPr>
        <w:pStyle w:val="Default"/>
        <w:jc w:val="both"/>
        <w:rPr>
          <w:rFonts w:ascii="Times New Roman" w:hAnsi="Times New Roman" w:cs="Times New Roman"/>
          <w:noProof/>
          <w:lang w:val="en-US"/>
        </w:rPr>
      </w:pPr>
      <w:r>
        <w:rPr>
          <w:rFonts w:ascii="Times New Roman" w:hAnsi="Times New Roman" w:cs="Times New Roman"/>
          <w:noProof/>
          <w:lang w:val="en-US"/>
        </w:rPr>
        <w:t>Multiannual indicative programmes (MIP) are adopted by t</w:t>
      </w:r>
      <w:r w:rsidRPr="00864453">
        <w:rPr>
          <w:rFonts w:ascii="Times New Roman" w:hAnsi="Times New Roman" w:cs="Times New Roman"/>
          <w:noProof/>
          <w:lang w:val="en-US"/>
        </w:rPr>
        <w:t>he Commission in the form of</w:t>
      </w:r>
      <w:r>
        <w:rPr>
          <w:rFonts w:ascii="Times New Roman" w:hAnsi="Times New Roman" w:cs="Times New Roman"/>
          <w:noProof/>
          <w:lang w:val="en-US"/>
        </w:rPr>
        <w:t xml:space="preserve"> ‘single programming documents’. </w:t>
      </w:r>
      <w:r w:rsidRPr="00864453">
        <w:rPr>
          <w:rFonts w:ascii="Times New Roman" w:hAnsi="Times New Roman" w:cs="Times New Roman"/>
          <w:noProof/>
          <w:lang w:val="en-US"/>
        </w:rPr>
        <w:t>The</w:t>
      </w:r>
      <w:r>
        <w:rPr>
          <w:rFonts w:ascii="Times New Roman" w:hAnsi="Times New Roman" w:cs="Times New Roman"/>
          <w:noProof/>
          <w:lang w:val="en-US"/>
        </w:rPr>
        <w:t>se</w:t>
      </w:r>
      <w:r w:rsidRPr="00864453">
        <w:rPr>
          <w:rFonts w:ascii="Times New Roman" w:hAnsi="Times New Roman" w:cs="Times New Roman"/>
          <w:noProof/>
          <w:lang w:val="en-US"/>
        </w:rPr>
        <w:t xml:space="preserve"> take into account the territorial development plans or other plans agreed upon between the OCTs and the Member States to which they are linked</w:t>
      </w:r>
      <w:r>
        <w:rPr>
          <w:rFonts w:ascii="Times New Roman" w:hAnsi="Times New Roman" w:cs="Times New Roman"/>
          <w:noProof/>
          <w:lang w:val="en-US"/>
        </w:rPr>
        <w:t xml:space="preserve"> as well as EU priorities</w:t>
      </w:r>
      <w:r w:rsidRPr="00864453">
        <w:rPr>
          <w:rFonts w:ascii="Times New Roman" w:hAnsi="Times New Roman" w:cs="Times New Roman"/>
          <w:noProof/>
          <w:lang w:val="en-US"/>
        </w:rPr>
        <w:t>.</w:t>
      </w:r>
      <w:r>
        <w:rPr>
          <w:rFonts w:ascii="Times New Roman" w:hAnsi="Times New Roman" w:cs="Times New Roman"/>
          <w:noProof/>
          <w:lang w:val="en-US"/>
        </w:rPr>
        <w:t xml:space="preserve"> </w:t>
      </w:r>
      <w:r w:rsidRPr="00864453">
        <w:rPr>
          <w:rFonts w:ascii="Times New Roman" w:hAnsi="Times New Roman" w:cs="Times New Roman"/>
          <w:noProof/>
          <w:lang w:val="en-US"/>
        </w:rPr>
        <w:t xml:space="preserve">The </w:t>
      </w:r>
      <w:r>
        <w:rPr>
          <w:rFonts w:ascii="Times New Roman" w:hAnsi="Times New Roman" w:cs="Times New Roman"/>
          <w:noProof/>
          <w:lang w:val="en-US"/>
        </w:rPr>
        <w:t>MIPs</w:t>
      </w:r>
      <w:r w:rsidRPr="00864453">
        <w:rPr>
          <w:rFonts w:ascii="Times New Roman" w:hAnsi="Times New Roman" w:cs="Times New Roman"/>
          <w:noProof/>
          <w:lang w:val="en-US"/>
        </w:rPr>
        <w:t xml:space="preserve"> </w:t>
      </w:r>
      <w:r>
        <w:rPr>
          <w:rFonts w:ascii="Times New Roman" w:hAnsi="Times New Roman" w:cs="Times New Roman"/>
          <w:noProof/>
          <w:lang w:val="en-US"/>
        </w:rPr>
        <w:t>are</w:t>
      </w:r>
      <w:r w:rsidRPr="00864453">
        <w:rPr>
          <w:rFonts w:ascii="Times New Roman" w:hAnsi="Times New Roman" w:cs="Times New Roman"/>
          <w:noProof/>
          <w:lang w:val="en-US"/>
        </w:rPr>
        <w:t xml:space="preserve"> adopted in accordance with the </w:t>
      </w:r>
      <w:r>
        <w:rPr>
          <w:rFonts w:ascii="Times New Roman" w:hAnsi="Times New Roman" w:cs="Times New Roman"/>
          <w:noProof/>
          <w:lang w:val="en-US"/>
        </w:rPr>
        <w:t xml:space="preserve">OCT Committee procedure. </w:t>
      </w:r>
      <w:r w:rsidRPr="00864453">
        <w:rPr>
          <w:rFonts w:ascii="Times New Roman" w:hAnsi="Times New Roman" w:cs="Times New Roman"/>
          <w:noProof/>
          <w:lang w:val="en-US"/>
        </w:rPr>
        <w:t>Action plan</w:t>
      </w:r>
      <w:r>
        <w:rPr>
          <w:rFonts w:ascii="Times New Roman" w:hAnsi="Times New Roman" w:cs="Times New Roman"/>
          <w:noProof/>
          <w:lang w:val="en-US"/>
        </w:rPr>
        <w:t>s</w:t>
      </w:r>
      <w:r w:rsidRPr="00864453">
        <w:rPr>
          <w:rFonts w:ascii="Times New Roman" w:hAnsi="Times New Roman" w:cs="Times New Roman"/>
          <w:noProof/>
          <w:lang w:val="en-US"/>
        </w:rPr>
        <w:t xml:space="preserve"> and measures </w:t>
      </w:r>
      <w:r>
        <w:rPr>
          <w:rFonts w:ascii="Times New Roman" w:hAnsi="Times New Roman" w:cs="Times New Roman"/>
          <w:noProof/>
          <w:lang w:val="en-US"/>
        </w:rPr>
        <w:t xml:space="preserve">are </w:t>
      </w:r>
      <w:r w:rsidRPr="00864453">
        <w:rPr>
          <w:rFonts w:ascii="Times New Roman" w:hAnsi="Times New Roman" w:cs="Times New Roman"/>
          <w:noProof/>
          <w:lang w:val="en-US"/>
        </w:rPr>
        <w:t xml:space="preserve">adopted separately from the </w:t>
      </w:r>
      <w:r>
        <w:rPr>
          <w:rFonts w:ascii="Times New Roman" w:hAnsi="Times New Roman" w:cs="Times New Roman"/>
          <w:noProof/>
          <w:lang w:val="en-US"/>
        </w:rPr>
        <w:t>MIPs, also in accordance with the OCT Committee procedure.</w:t>
      </w:r>
      <w:r w:rsidRPr="00864453">
        <w:rPr>
          <w:rFonts w:ascii="Times New Roman" w:hAnsi="Times New Roman" w:cs="Times New Roman"/>
          <w:noProof/>
          <w:lang w:val="en-US"/>
        </w:rPr>
        <w:t xml:space="preserve"> </w:t>
      </w:r>
      <w:r w:rsidRPr="00CF3677">
        <w:rPr>
          <w:rFonts w:ascii="Times New Roman" w:hAnsi="Times New Roman" w:cs="Times New Roman"/>
          <w:noProof/>
          <w:lang w:val="en-US"/>
        </w:rPr>
        <w:t>Upon request from OCTs, technical assistance has been made available to accompany the OCTs in the programming process, in line with Article 80 DOAG.</w:t>
      </w:r>
      <w:r>
        <w:rPr>
          <w:rFonts w:ascii="Times New Roman" w:hAnsi="Times New Roman" w:cs="Times New Roman"/>
          <w:noProof/>
          <w:lang w:val="en-US"/>
        </w:rPr>
        <w:t xml:space="preserve"> </w:t>
      </w:r>
      <w:r w:rsidR="00631EBA">
        <w:rPr>
          <w:rFonts w:ascii="Times New Roman" w:eastAsia="Times New Roman" w:hAnsi="Times New Roman" w:cs="Times New Roman"/>
          <w:noProof/>
          <w:lang w:val="en-US"/>
        </w:rPr>
        <w:t>The main specificities</w:t>
      </w:r>
      <w:r w:rsidR="00382BFD">
        <w:rPr>
          <w:rFonts w:ascii="Times New Roman" w:eastAsia="Times New Roman" w:hAnsi="Times New Roman" w:cs="Times New Roman"/>
          <w:noProof/>
          <w:lang w:val="en-US"/>
        </w:rPr>
        <w:t xml:space="preserve"> are</w:t>
      </w:r>
      <w:r>
        <w:rPr>
          <w:rFonts w:ascii="Times New Roman" w:eastAsia="Times New Roman" w:hAnsi="Times New Roman" w:cs="Times New Roman"/>
          <w:noProof/>
          <w:lang w:val="en-US"/>
        </w:rPr>
        <w:t xml:space="preserve"> that </w:t>
      </w:r>
      <w:r w:rsidR="00631EBA" w:rsidRPr="0040213A">
        <w:rPr>
          <w:rFonts w:ascii="Times New Roman" w:eastAsia="Times New Roman" w:hAnsi="Times New Roman" w:cs="Times New Roman"/>
          <w:noProof/>
          <w:szCs w:val="20"/>
          <w:lang w:val="en-GB"/>
        </w:rPr>
        <w:t>OCT cooperation in principle focuses on a single priority area</w:t>
      </w:r>
      <w:r w:rsidR="00061837" w:rsidRPr="0040213A">
        <w:rPr>
          <w:rFonts w:ascii="Times New Roman" w:eastAsia="Times New Roman" w:hAnsi="Times New Roman" w:cs="Times New Roman"/>
          <w:noProof/>
          <w:szCs w:val="20"/>
          <w:lang w:val="en-GB"/>
        </w:rPr>
        <w:t>, informed by mutual interests of the OCT and the EU,</w:t>
      </w:r>
      <w:r w:rsidR="00631EBA" w:rsidRPr="0040213A">
        <w:rPr>
          <w:rFonts w:ascii="Times New Roman" w:eastAsia="Times New Roman" w:hAnsi="Times New Roman" w:cs="Times New Roman"/>
          <w:noProof/>
          <w:szCs w:val="20"/>
          <w:lang w:val="en-GB"/>
        </w:rPr>
        <w:t xml:space="preserve"> to ensure impact commen</w:t>
      </w:r>
      <w:r w:rsidR="00382BFD" w:rsidRPr="0040213A">
        <w:rPr>
          <w:rFonts w:ascii="Times New Roman" w:eastAsia="Times New Roman" w:hAnsi="Times New Roman" w:cs="Times New Roman"/>
          <w:noProof/>
          <w:szCs w:val="20"/>
          <w:lang w:val="en-GB"/>
        </w:rPr>
        <w:t>surate with available resources and</w:t>
      </w:r>
      <w:r w:rsidR="00382BFD">
        <w:rPr>
          <w:rFonts w:ascii="Times New Roman" w:eastAsia="Times New Roman" w:hAnsi="Times New Roman" w:cs="Times New Roman"/>
          <w:noProof/>
          <w:lang w:val="en-US"/>
        </w:rPr>
        <w:t xml:space="preserve"> promoting a ‘</w:t>
      </w:r>
      <w:r w:rsidR="00382BFD" w:rsidRPr="00CF3677">
        <w:rPr>
          <w:rFonts w:ascii="Times New Roman" w:eastAsia="Times New Roman" w:hAnsi="Times New Roman" w:cs="Times New Roman"/>
          <w:noProof/>
          <w:lang w:val="en-US"/>
        </w:rPr>
        <w:t xml:space="preserve">policy </w:t>
      </w:r>
      <w:r w:rsidR="00382BFD">
        <w:rPr>
          <w:rFonts w:ascii="Times New Roman" w:eastAsia="Times New Roman" w:hAnsi="Times New Roman" w:cs="Times New Roman"/>
          <w:noProof/>
          <w:lang w:val="en-US"/>
        </w:rPr>
        <w:t>first’</w:t>
      </w:r>
      <w:r>
        <w:rPr>
          <w:rFonts w:ascii="Times New Roman" w:eastAsia="Times New Roman" w:hAnsi="Times New Roman" w:cs="Times New Roman"/>
          <w:noProof/>
          <w:lang w:val="en-US"/>
        </w:rPr>
        <w:t xml:space="preserve"> approach. Also, </w:t>
      </w:r>
      <w:r w:rsidR="00631EBA" w:rsidRPr="0040213A">
        <w:rPr>
          <w:rFonts w:ascii="Times New Roman" w:eastAsia="Times New Roman" w:hAnsi="Times New Roman" w:cs="Times New Roman"/>
          <w:noProof/>
          <w:szCs w:val="20"/>
          <w:lang w:val="en-GB"/>
        </w:rPr>
        <w:t xml:space="preserve">OCT MIPs are not subject to a mandatory mid-term review </w:t>
      </w:r>
      <w:r w:rsidR="00ED4350" w:rsidRPr="0040213A">
        <w:rPr>
          <w:rFonts w:ascii="Times New Roman" w:eastAsia="Times New Roman" w:hAnsi="Times New Roman" w:cs="Times New Roman"/>
          <w:noProof/>
          <w:szCs w:val="20"/>
          <w:lang w:val="en-GB"/>
        </w:rPr>
        <w:t>of their bilateral</w:t>
      </w:r>
      <w:r w:rsidR="0014517A" w:rsidRPr="0040213A">
        <w:rPr>
          <w:rFonts w:ascii="Times New Roman" w:eastAsia="Times New Roman" w:hAnsi="Times New Roman" w:cs="Times New Roman"/>
          <w:noProof/>
          <w:szCs w:val="20"/>
          <w:lang w:val="en-GB"/>
        </w:rPr>
        <w:t xml:space="preserve"> env</w:t>
      </w:r>
      <w:r w:rsidR="00ED4350" w:rsidRPr="0040213A">
        <w:rPr>
          <w:rFonts w:ascii="Times New Roman" w:eastAsia="Times New Roman" w:hAnsi="Times New Roman" w:cs="Times New Roman"/>
          <w:noProof/>
          <w:szCs w:val="20"/>
          <w:lang w:val="en-GB"/>
        </w:rPr>
        <w:t xml:space="preserve">elopes </w:t>
      </w:r>
      <w:r w:rsidR="00631EBA" w:rsidRPr="0040213A">
        <w:rPr>
          <w:rFonts w:ascii="Times New Roman" w:eastAsia="Times New Roman" w:hAnsi="Times New Roman" w:cs="Times New Roman"/>
          <w:noProof/>
          <w:szCs w:val="20"/>
          <w:lang w:val="en-GB"/>
        </w:rPr>
        <w:t>because of the small size of the</w:t>
      </w:r>
      <w:r w:rsidR="00382BFD" w:rsidRPr="0040213A">
        <w:rPr>
          <w:rFonts w:ascii="Times New Roman" w:eastAsia="Times New Roman" w:hAnsi="Times New Roman" w:cs="Times New Roman"/>
          <w:noProof/>
          <w:szCs w:val="20"/>
          <w:lang w:val="en-GB"/>
        </w:rPr>
        <w:t>ir</w:t>
      </w:r>
      <w:r w:rsidR="00631EBA" w:rsidRPr="0040213A">
        <w:rPr>
          <w:rFonts w:ascii="Times New Roman" w:eastAsia="Times New Roman" w:hAnsi="Times New Roman" w:cs="Times New Roman"/>
          <w:noProof/>
          <w:szCs w:val="20"/>
          <w:lang w:val="en-GB"/>
        </w:rPr>
        <w:t xml:space="preserve"> envelopes</w:t>
      </w:r>
      <w:r w:rsidR="00382BFD" w:rsidRPr="0040213A">
        <w:rPr>
          <w:rFonts w:ascii="Times New Roman" w:eastAsia="Times New Roman" w:hAnsi="Times New Roman" w:cs="Times New Roman"/>
          <w:noProof/>
          <w:szCs w:val="20"/>
          <w:lang w:val="en-GB"/>
        </w:rPr>
        <w:t>,</w:t>
      </w:r>
      <w:r w:rsidR="0014517A" w:rsidRPr="0040213A">
        <w:rPr>
          <w:rFonts w:ascii="Times New Roman" w:eastAsia="Times New Roman" w:hAnsi="Times New Roman" w:cs="Times New Roman"/>
          <w:noProof/>
          <w:szCs w:val="20"/>
          <w:lang w:val="en-GB"/>
        </w:rPr>
        <w:t xml:space="preserve"> while there will be a MTR of the instrument as fore</w:t>
      </w:r>
      <w:r>
        <w:rPr>
          <w:rFonts w:ascii="Times New Roman" w:eastAsia="Times New Roman" w:hAnsi="Times New Roman" w:cs="Times New Roman"/>
          <w:noProof/>
          <w:szCs w:val="20"/>
          <w:lang w:val="en-GB"/>
        </w:rPr>
        <w:t xml:space="preserve">seen in Annex 1 of the Decision. Finally, </w:t>
      </w:r>
      <w:r w:rsidR="00631EBA" w:rsidRPr="0040213A">
        <w:rPr>
          <w:rFonts w:ascii="Times New Roman" w:eastAsia="Times New Roman" w:hAnsi="Times New Roman" w:cs="Times New Roman"/>
          <w:noProof/>
          <w:szCs w:val="20"/>
          <w:lang w:val="en-GB"/>
        </w:rPr>
        <w:t xml:space="preserve">OCT </w:t>
      </w:r>
      <w:r w:rsidR="0014517A" w:rsidRPr="0040213A">
        <w:rPr>
          <w:rFonts w:ascii="Times New Roman" w:eastAsia="Times New Roman" w:hAnsi="Times New Roman" w:cs="Times New Roman"/>
          <w:noProof/>
          <w:szCs w:val="20"/>
          <w:lang w:val="en-GB"/>
        </w:rPr>
        <w:t>are</w:t>
      </w:r>
      <w:r>
        <w:rPr>
          <w:rFonts w:ascii="Times New Roman" w:eastAsia="Times New Roman" w:hAnsi="Times New Roman" w:cs="Times New Roman"/>
          <w:noProof/>
          <w:szCs w:val="20"/>
          <w:lang w:val="en-GB"/>
        </w:rPr>
        <w:t xml:space="preserve"> eligible to</w:t>
      </w:r>
      <w:r w:rsidR="00631EBA" w:rsidRPr="0040213A">
        <w:rPr>
          <w:rFonts w:ascii="Times New Roman" w:eastAsia="Times New Roman" w:hAnsi="Times New Roman" w:cs="Times New Roman"/>
          <w:noProof/>
          <w:szCs w:val="20"/>
          <w:lang w:val="en-GB"/>
        </w:rPr>
        <w:t xml:space="preserve"> InvestEU </w:t>
      </w:r>
      <w:r w:rsidR="00285FA5" w:rsidRPr="0040213A">
        <w:rPr>
          <w:rFonts w:ascii="Times New Roman" w:eastAsia="Times New Roman" w:hAnsi="Times New Roman" w:cs="Times New Roman"/>
          <w:noProof/>
          <w:szCs w:val="20"/>
          <w:lang w:val="en-GB"/>
        </w:rPr>
        <w:t xml:space="preserve">to </w:t>
      </w:r>
      <w:r w:rsidR="0014517A" w:rsidRPr="0040213A">
        <w:rPr>
          <w:rFonts w:ascii="Times New Roman" w:eastAsia="Times New Roman" w:hAnsi="Times New Roman" w:cs="Times New Roman"/>
          <w:noProof/>
          <w:szCs w:val="20"/>
          <w:lang w:val="en-GB"/>
        </w:rPr>
        <w:t>support investment</w:t>
      </w:r>
      <w:r w:rsidRPr="0040213A">
        <w:rPr>
          <w:rFonts w:ascii="Times New Roman" w:eastAsia="Times New Roman" w:hAnsi="Times New Roman" w:cs="Times New Roman"/>
          <w:noProof/>
          <w:szCs w:val="20"/>
          <w:lang w:val="en-GB"/>
        </w:rPr>
        <w:t>s.</w:t>
      </w:r>
    </w:p>
    <w:p w:rsidR="0014517A" w:rsidRDefault="0014517A" w:rsidP="00631EBA">
      <w:pPr>
        <w:autoSpaceDE w:val="0"/>
        <w:autoSpaceDN w:val="0"/>
        <w:adjustRightInd w:val="0"/>
        <w:spacing w:after="0" w:line="240" w:lineRule="auto"/>
        <w:jc w:val="both"/>
        <w:rPr>
          <w:rFonts w:ascii="Times New Roman" w:hAnsi="Times New Roman" w:cs="Times New Roman"/>
          <w:b/>
          <w:bCs/>
          <w:noProof/>
          <w:color w:val="000000"/>
          <w:sz w:val="24"/>
          <w:szCs w:val="24"/>
          <w:u w:val="single"/>
          <w:lang w:val="en-US"/>
        </w:rPr>
      </w:pPr>
    </w:p>
    <w:p w:rsidR="00631EBA" w:rsidRDefault="00631EBA" w:rsidP="00631EBA">
      <w:pPr>
        <w:autoSpaceDE w:val="0"/>
        <w:autoSpaceDN w:val="0"/>
        <w:adjustRightInd w:val="0"/>
        <w:spacing w:after="0" w:line="240" w:lineRule="auto"/>
        <w:rPr>
          <w:rFonts w:ascii="Times New Roman" w:hAnsi="Times New Roman" w:cs="Times New Roman"/>
          <w:b/>
          <w:bCs/>
          <w:noProof/>
          <w:color w:val="000000"/>
          <w:sz w:val="24"/>
          <w:szCs w:val="24"/>
          <w:u w:val="single"/>
          <w:lang w:val="en-US"/>
        </w:rPr>
      </w:pPr>
      <w:r>
        <w:rPr>
          <w:rFonts w:ascii="Times New Roman" w:hAnsi="Times New Roman" w:cs="Times New Roman"/>
          <w:b/>
          <w:bCs/>
          <w:noProof/>
          <w:color w:val="000000"/>
          <w:sz w:val="24"/>
          <w:szCs w:val="24"/>
          <w:u w:val="single"/>
          <w:lang w:val="en-US"/>
        </w:rPr>
        <w:t>Situation in 2021</w:t>
      </w:r>
    </w:p>
    <w:p w:rsidR="00631EBA" w:rsidRDefault="00631EBA" w:rsidP="00631EBA">
      <w:pPr>
        <w:autoSpaceDE w:val="0"/>
        <w:autoSpaceDN w:val="0"/>
        <w:adjustRightInd w:val="0"/>
        <w:spacing w:after="0" w:line="240" w:lineRule="auto"/>
        <w:rPr>
          <w:rFonts w:ascii="Times New Roman" w:hAnsi="Times New Roman" w:cs="Times New Roman"/>
          <w:noProof/>
          <w:color w:val="000000"/>
          <w:sz w:val="24"/>
          <w:szCs w:val="24"/>
          <w:u w:val="single"/>
          <w:lang w:val="en-US"/>
        </w:rPr>
      </w:pPr>
    </w:p>
    <w:p w:rsidR="00631EBA" w:rsidRPr="006A4EE2" w:rsidRDefault="00631EBA" w:rsidP="006A4EE2">
      <w:pPr>
        <w:pStyle w:val="ListParagraph"/>
        <w:numPr>
          <w:ilvl w:val="0"/>
          <w:numId w:val="17"/>
        </w:numPr>
        <w:autoSpaceDE w:val="0"/>
        <w:autoSpaceDN w:val="0"/>
        <w:adjustRightInd w:val="0"/>
        <w:spacing w:after="0" w:line="240" w:lineRule="auto"/>
        <w:rPr>
          <w:rFonts w:ascii="Times New Roman" w:hAnsi="Times New Roman" w:cs="Times New Roman"/>
          <w:noProof/>
          <w:color w:val="000000"/>
          <w:sz w:val="24"/>
          <w:szCs w:val="24"/>
          <w:lang w:val="en-US"/>
        </w:rPr>
      </w:pPr>
      <w:r w:rsidRPr="006A4EE2">
        <w:rPr>
          <w:rFonts w:ascii="Times New Roman" w:hAnsi="Times New Roman" w:cs="Times New Roman"/>
          <w:b/>
          <w:bCs/>
          <w:noProof/>
          <w:color w:val="000000"/>
          <w:sz w:val="24"/>
          <w:szCs w:val="24"/>
          <w:lang w:val="en-US"/>
        </w:rPr>
        <w:t xml:space="preserve">Territorial cooperation </w:t>
      </w:r>
      <w:r w:rsidRPr="006A4EE2">
        <w:rPr>
          <w:rFonts w:ascii="Times New Roman" w:hAnsi="Times New Roman" w:cs="Times New Roman"/>
          <w:b/>
          <w:noProof/>
          <w:color w:val="000000"/>
          <w:sz w:val="24"/>
          <w:szCs w:val="24"/>
          <w:lang w:val="en-US"/>
        </w:rPr>
        <w:t>from October to December 2021</w:t>
      </w:r>
    </w:p>
    <w:p w:rsidR="00631EBA" w:rsidRDefault="00631EBA" w:rsidP="00631EBA">
      <w:pPr>
        <w:spacing w:before="100" w:beforeAutospacing="1" w:after="100" w:afterAutospacing="1" w:line="240" w:lineRule="auto"/>
        <w:jc w:val="both"/>
        <w:rPr>
          <w:rFonts w:ascii="Times New Roman" w:eastAsia="Times New Roman" w:hAnsi="Times New Roman" w:cs="Times New Roman"/>
          <w:noProof/>
          <w:sz w:val="24"/>
          <w:szCs w:val="24"/>
        </w:rPr>
      </w:pPr>
      <w:r w:rsidRPr="002C3858">
        <w:rPr>
          <w:rFonts w:ascii="Times New Roman" w:eastAsia="Times New Roman" w:hAnsi="Times New Roman" w:cs="Times New Roman"/>
          <w:noProof/>
          <w:sz w:val="24"/>
          <w:szCs w:val="24"/>
        </w:rPr>
        <w:t xml:space="preserve">Programming dialogues and consultations </w:t>
      </w:r>
      <w:r>
        <w:rPr>
          <w:rFonts w:ascii="Times New Roman" w:eastAsia="Times New Roman" w:hAnsi="Times New Roman" w:cs="Times New Roman"/>
          <w:noProof/>
          <w:sz w:val="24"/>
          <w:szCs w:val="24"/>
        </w:rPr>
        <w:t>throughout</w:t>
      </w:r>
      <w:r w:rsidRPr="002C3858">
        <w:rPr>
          <w:rFonts w:ascii="Times New Roman" w:eastAsia="Times New Roman" w:hAnsi="Times New Roman" w:cs="Times New Roman"/>
          <w:noProof/>
          <w:sz w:val="24"/>
          <w:szCs w:val="24"/>
        </w:rPr>
        <w:t xml:space="preserve"> </w:t>
      </w:r>
      <w:r w:rsidRPr="0040213A">
        <w:rPr>
          <w:rFonts w:ascii="Times New Roman" w:eastAsia="Times New Roman" w:hAnsi="Times New Roman" w:cs="Times New Roman"/>
          <w:b/>
          <w:noProof/>
          <w:sz w:val="24"/>
          <w:szCs w:val="24"/>
        </w:rPr>
        <w:t xml:space="preserve">2021 resulted in the </w:t>
      </w:r>
      <w:r w:rsidR="00F16E8D">
        <w:rPr>
          <w:rFonts w:ascii="Times New Roman" w:eastAsia="Times New Roman" w:hAnsi="Times New Roman" w:cs="Times New Roman"/>
          <w:b/>
          <w:noProof/>
          <w:sz w:val="24"/>
          <w:szCs w:val="24"/>
        </w:rPr>
        <w:t>adoption of 11 </w:t>
      </w:r>
      <w:r w:rsidRPr="0040213A">
        <w:rPr>
          <w:rFonts w:ascii="Times New Roman" w:eastAsia="Times New Roman" w:hAnsi="Times New Roman" w:cs="Times New Roman"/>
          <w:b/>
          <w:noProof/>
          <w:sz w:val="24"/>
          <w:szCs w:val="24"/>
        </w:rPr>
        <w:t>MIPs for EU-OCT cooperation</w:t>
      </w:r>
      <w:r w:rsidRPr="002C3858">
        <w:rPr>
          <w:rFonts w:ascii="Times New Roman" w:eastAsia="Times New Roman" w:hAnsi="Times New Roman" w:cs="Times New Roman"/>
          <w:noProof/>
          <w:sz w:val="24"/>
          <w:szCs w:val="24"/>
        </w:rPr>
        <w:t xml:space="preserve"> in December 2021</w:t>
      </w:r>
      <w:r w:rsidR="0040213A">
        <w:rPr>
          <w:rFonts w:ascii="Times New Roman" w:eastAsia="Times New Roman" w:hAnsi="Times New Roman" w:cs="Times New Roman"/>
          <w:noProof/>
          <w:sz w:val="24"/>
          <w:szCs w:val="24"/>
        </w:rPr>
        <w:t>, out of 15 foreseen</w:t>
      </w:r>
      <w:r w:rsidRPr="002C3858">
        <w:rPr>
          <w:rFonts w:ascii="Times New Roman" w:eastAsia="Times New Roman" w:hAnsi="Times New Roman" w:cs="Times New Roman"/>
          <w:noProof/>
          <w:sz w:val="24"/>
          <w:szCs w:val="24"/>
        </w:rPr>
        <w:t xml:space="preserve">. </w:t>
      </w:r>
    </w:p>
    <w:p w:rsidR="00631EBA" w:rsidRPr="004727FC" w:rsidRDefault="00631EBA" w:rsidP="00631EBA">
      <w:pPr>
        <w:spacing w:before="100" w:beforeAutospacing="1" w:after="100" w:afterAutospacing="1" w:line="240" w:lineRule="auto"/>
        <w:jc w:val="both"/>
        <w:rPr>
          <w:rFonts w:ascii="Times New Roman" w:eastAsia="Times New Roman" w:hAnsi="Times New Roman" w:cs="Times New Roman"/>
          <w:noProof/>
          <w:sz w:val="24"/>
          <w:szCs w:val="24"/>
        </w:rPr>
      </w:pPr>
      <w:r w:rsidRPr="004727FC">
        <w:rPr>
          <w:rFonts w:ascii="Times New Roman" w:eastAsia="Times New Roman" w:hAnsi="Times New Roman" w:cs="Times New Roman"/>
          <w:noProof/>
          <w:sz w:val="24"/>
          <w:szCs w:val="24"/>
        </w:rPr>
        <w:t>Green Deal related topics are a priority of EU-OCT cooperation, as reflected in 7 of the 11 ado</w:t>
      </w:r>
      <w:r w:rsidR="00DB0B0D">
        <w:rPr>
          <w:rFonts w:ascii="Times New Roman" w:eastAsia="Times New Roman" w:hAnsi="Times New Roman" w:cs="Times New Roman"/>
          <w:noProof/>
          <w:sz w:val="24"/>
          <w:szCs w:val="24"/>
        </w:rPr>
        <w:t>pted bilateral MIPs (</w:t>
      </w:r>
      <w:r w:rsidRPr="004727FC">
        <w:rPr>
          <w:rFonts w:ascii="Times New Roman" w:eastAsia="Times New Roman" w:hAnsi="Times New Roman" w:cs="Times New Roman"/>
          <w:noProof/>
          <w:sz w:val="24"/>
          <w:szCs w:val="24"/>
        </w:rPr>
        <w:t xml:space="preserve">New Caledonia, </w:t>
      </w:r>
      <w:r w:rsidR="00DB0B0D" w:rsidRPr="004727FC">
        <w:rPr>
          <w:rFonts w:ascii="Times New Roman" w:eastAsia="Times New Roman" w:hAnsi="Times New Roman" w:cs="Times New Roman"/>
          <w:noProof/>
          <w:sz w:val="24"/>
          <w:szCs w:val="24"/>
        </w:rPr>
        <w:t>Sint Maarten</w:t>
      </w:r>
      <w:r w:rsidR="00DB0B0D">
        <w:rPr>
          <w:rFonts w:ascii="Times New Roman" w:eastAsia="Times New Roman" w:hAnsi="Times New Roman" w:cs="Times New Roman"/>
          <w:noProof/>
          <w:sz w:val="24"/>
          <w:szCs w:val="24"/>
        </w:rPr>
        <w:t xml:space="preserve">, </w:t>
      </w:r>
      <w:r w:rsidR="00DB0B0D" w:rsidRPr="004727FC">
        <w:rPr>
          <w:rFonts w:ascii="Times New Roman" w:eastAsia="Times New Roman" w:hAnsi="Times New Roman" w:cs="Times New Roman"/>
          <w:noProof/>
          <w:sz w:val="24"/>
          <w:szCs w:val="24"/>
        </w:rPr>
        <w:t>Sint Eustatius, French Polynesia</w:t>
      </w:r>
      <w:r w:rsidR="00DB0B0D">
        <w:rPr>
          <w:rFonts w:ascii="Times New Roman" w:eastAsia="Times New Roman" w:hAnsi="Times New Roman" w:cs="Times New Roman"/>
          <w:noProof/>
          <w:sz w:val="24"/>
          <w:szCs w:val="24"/>
        </w:rPr>
        <w:t xml:space="preserve">, </w:t>
      </w:r>
      <w:r w:rsidRPr="004727FC">
        <w:rPr>
          <w:rFonts w:ascii="Times New Roman" w:eastAsia="Times New Roman" w:hAnsi="Times New Roman" w:cs="Times New Roman"/>
          <w:noProof/>
          <w:sz w:val="24"/>
          <w:szCs w:val="24"/>
        </w:rPr>
        <w:t xml:space="preserve">Saint Barthélemy, Saba, </w:t>
      </w:r>
      <w:r w:rsidR="00DB0B0D">
        <w:rPr>
          <w:rFonts w:ascii="Times New Roman" w:eastAsia="Times New Roman" w:hAnsi="Times New Roman" w:cs="Times New Roman"/>
          <w:noProof/>
          <w:sz w:val="24"/>
          <w:szCs w:val="24"/>
        </w:rPr>
        <w:t>Greenland</w:t>
      </w:r>
      <w:r w:rsidRPr="004727FC">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as well as </w:t>
      </w:r>
      <w:r w:rsidRPr="004727FC">
        <w:rPr>
          <w:rFonts w:ascii="Times New Roman" w:eastAsia="Times New Roman" w:hAnsi="Times New Roman" w:cs="Times New Roman"/>
          <w:noProof/>
          <w:sz w:val="24"/>
          <w:szCs w:val="24"/>
        </w:rPr>
        <w:t>the Indian Ocean regional MIP</w:t>
      </w:r>
      <w:r w:rsidR="0040213A">
        <w:rPr>
          <w:rFonts w:ascii="Times New Roman" w:eastAsia="Times New Roman" w:hAnsi="Times New Roman" w:cs="Times New Roman"/>
          <w:noProof/>
          <w:sz w:val="24"/>
          <w:szCs w:val="24"/>
        </w:rPr>
        <w:t>. Around 40% of the overall</w:t>
      </w:r>
      <w:r w:rsidRPr="004727FC">
        <w:rPr>
          <w:rFonts w:ascii="Times New Roman" w:eastAsia="Times New Roman" w:hAnsi="Times New Roman" w:cs="Times New Roman"/>
          <w:noProof/>
          <w:sz w:val="24"/>
          <w:szCs w:val="24"/>
        </w:rPr>
        <w:t xml:space="preserve"> r</w:t>
      </w:r>
      <w:r w:rsidR="0040213A">
        <w:rPr>
          <w:rFonts w:ascii="Times New Roman" w:eastAsia="Times New Roman" w:hAnsi="Times New Roman" w:cs="Times New Roman"/>
          <w:noProof/>
          <w:sz w:val="24"/>
          <w:szCs w:val="24"/>
        </w:rPr>
        <w:t>esources will be mobilized for green d</w:t>
      </w:r>
      <w:r w:rsidRPr="004727FC">
        <w:rPr>
          <w:rFonts w:ascii="Times New Roman" w:eastAsia="Times New Roman" w:hAnsi="Times New Roman" w:cs="Times New Roman"/>
          <w:noProof/>
          <w:sz w:val="24"/>
          <w:szCs w:val="24"/>
        </w:rPr>
        <w:t xml:space="preserve">eal cooperation, such as renewable energy, </w:t>
      </w:r>
      <w:r w:rsidR="00DB0B0D">
        <w:rPr>
          <w:rFonts w:ascii="Times New Roman" w:eastAsia="Times New Roman" w:hAnsi="Times New Roman" w:cs="Times New Roman"/>
          <w:noProof/>
          <w:sz w:val="24"/>
          <w:szCs w:val="24"/>
        </w:rPr>
        <w:t>water,</w:t>
      </w:r>
      <w:r w:rsidRPr="004727FC">
        <w:rPr>
          <w:rFonts w:ascii="Times New Roman" w:eastAsia="Times New Roman" w:hAnsi="Times New Roman" w:cs="Times New Roman"/>
          <w:noProof/>
          <w:sz w:val="24"/>
          <w:szCs w:val="24"/>
        </w:rPr>
        <w:t xml:space="preserve"> disaster risk reduction, sustainable agriculture and green growth</w:t>
      </w:r>
      <w:r>
        <w:rPr>
          <w:rFonts w:ascii="Times New Roman" w:eastAsia="Times New Roman" w:hAnsi="Times New Roman" w:cs="Times New Roman"/>
          <w:noProof/>
          <w:sz w:val="24"/>
          <w:szCs w:val="24"/>
        </w:rPr>
        <w:t>.</w:t>
      </w:r>
    </w:p>
    <w:p w:rsidR="0040213A" w:rsidRDefault="00DB0B0D" w:rsidP="00631EBA">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Additional</w:t>
      </w:r>
      <w:r w:rsidR="00631EBA" w:rsidRPr="004727FC">
        <w:rPr>
          <w:rFonts w:ascii="Times New Roman" w:eastAsia="Times New Roman" w:hAnsi="Times New Roman" w:cs="Times New Roman"/>
          <w:noProof/>
          <w:sz w:val="24"/>
          <w:szCs w:val="24"/>
        </w:rPr>
        <w:t xml:space="preserve"> bilateral MIPs </w:t>
      </w:r>
      <w:r>
        <w:rPr>
          <w:rFonts w:ascii="Times New Roman" w:eastAsia="Times New Roman" w:hAnsi="Times New Roman" w:cs="Times New Roman"/>
          <w:noProof/>
          <w:sz w:val="24"/>
          <w:szCs w:val="24"/>
        </w:rPr>
        <w:t xml:space="preserve">will </w:t>
      </w:r>
      <w:r w:rsidR="00631EBA" w:rsidRPr="004727FC">
        <w:rPr>
          <w:rFonts w:ascii="Times New Roman" w:eastAsia="Times New Roman" w:hAnsi="Times New Roman" w:cs="Times New Roman"/>
          <w:noProof/>
          <w:sz w:val="24"/>
          <w:szCs w:val="24"/>
        </w:rPr>
        <w:t>focus on digitalisation (Aruba), sustainable tourism (St Pierre et Miquelon</w:t>
      </w:r>
      <w:r w:rsidR="00631EBA">
        <w:rPr>
          <w:rFonts w:ascii="Times New Roman" w:eastAsia="Times New Roman" w:hAnsi="Times New Roman" w:cs="Times New Roman"/>
          <w:noProof/>
          <w:sz w:val="24"/>
          <w:szCs w:val="24"/>
        </w:rPr>
        <w:t>)</w:t>
      </w:r>
      <w:r w:rsidR="00631EBA" w:rsidRPr="004727FC">
        <w:rPr>
          <w:rFonts w:ascii="Times New Roman" w:eastAsia="Times New Roman" w:hAnsi="Times New Roman" w:cs="Times New Roman"/>
          <w:noProof/>
          <w:sz w:val="24"/>
          <w:szCs w:val="24"/>
        </w:rPr>
        <w:t xml:space="preserve"> and education</w:t>
      </w:r>
      <w:r w:rsidR="0040213A">
        <w:rPr>
          <w:rFonts w:ascii="Times New Roman" w:eastAsia="Times New Roman" w:hAnsi="Times New Roman" w:cs="Times New Roman"/>
          <w:noProof/>
          <w:sz w:val="24"/>
          <w:szCs w:val="24"/>
        </w:rPr>
        <w:t xml:space="preserve"> (remaining the main priority sector of Greenland, resulting in 40% of the global envelope being allocated to this sector).</w:t>
      </w:r>
      <w:r w:rsidR="00631EBA" w:rsidRPr="004727FC">
        <w:rPr>
          <w:rFonts w:ascii="Times New Roman" w:eastAsia="Times New Roman" w:hAnsi="Times New Roman" w:cs="Times New Roman"/>
          <w:noProof/>
          <w:sz w:val="24"/>
          <w:szCs w:val="24"/>
        </w:rPr>
        <w:t xml:space="preserve"> </w:t>
      </w:r>
    </w:p>
    <w:p w:rsidR="0040213A" w:rsidRDefault="0040213A" w:rsidP="00631EBA">
      <w:pPr>
        <w:spacing w:before="100" w:beforeAutospacing="1" w:after="100" w:afterAutospacing="1" w:line="240" w:lineRule="auto"/>
        <w:jc w:val="both"/>
        <w:rPr>
          <w:rFonts w:ascii="Times New Roman" w:eastAsia="Times New Roman" w:hAnsi="Times New Roman" w:cs="Times New Roman"/>
          <w:noProof/>
          <w:sz w:val="24"/>
          <w:szCs w:val="24"/>
        </w:rPr>
      </w:pPr>
      <w:r w:rsidRPr="002C3858">
        <w:rPr>
          <w:rFonts w:ascii="Times New Roman" w:eastAsia="Times New Roman" w:hAnsi="Times New Roman" w:cs="Times New Roman"/>
          <w:noProof/>
          <w:sz w:val="24"/>
          <w:szCs w:val="24"/>
        </w:rPr>
        <w:t>The remaining four MIPs require further dialogue wi</w:t>
      </w:r>
      <w:r>
        <w:rPr>
          <w:rFonts w:ascii="Times New Roman" w:eastAsia="Times New Roman" w:hAnsi="Times New Roman" w:cs="Times New Roman"/>
          <w:noProof/>
          <w:sz w:val="24"/>
          <w:szCs w:val="24"/>
        </w:rPr>
        <w:t xml:space="preserve">th the OCT authorities and are expected to </w:t>
      </w:r>
      <w:r w:rsidRPr="002C3858">
        <w:rPr>
          <w:rFonts w:ascii="Times New Roman" w:eastAsia="Times New Roman" w:hAnsi="Times New Roman" w:cs="Times New Roman"/>
          <w:noProof/>
          <w:sz w:val="24"/>
          <w:szCs w:val="24"/>
        </w:rPr>
        <w:t xml:space="preserve">be adopted in 2022. </w:t>
      </w:r>
      <w:r>
        <w:rPr>
          <w:rFonts w:ascii="Times New Roman" w:eastAsia="Times New Roman" w:hAnsi="Times New Roman" w:cs="Times New Roman"/>
          <w:noProof/>
          <w:sz w:val="24"/>
          <w:szCs w:val="24"/>
        </w:rPr>
        <w:t xml:space="preserve">These are the MIPs for: </w:t>
      </w:r>
      <w:r w:rsidRPr="002C3858">
        <w:rPr>
          <w:rFonts w:ascii="Times New Roman" w:eastAsia="Times New Roman" w:hAnsi="Times New Roman" w:cs="Times New Roman"/>
          <w:noProof/>
          <w:sz w:val="24"/>
          <w:szCs w:val="24"/>
        </w:rPr>
        <w:t>Bonaire</w:t>
      </w:r>
      <w:r>
        <w:rPr>
          <w:rFonts w:ascii="Times New Roman" w:eastAsia="Times New Roman" w:hAnsi="Times New Roman" w:cs="Times New Roman"/>
          <w:noProof/>
          <w:sz w:val="24"/>
          <w:szCs w:val="24"/>
        </w:rPr>
        <w:t>, Cura</w:t>
      </w:r>
      <w:r w:rsidRPr="002C3858">
        <w:rPr>
          <w:rFonts w:ascii="Times New Roman" w:eastAsia="Times New Roman" w:hAnsi="Times New Roman" w:cs="Times New Roman"/>
          <w:noProof/>
          <w:sz w:val="24"/>
          <w:szCs w:val="24"/>
        </w:rPr>
        <w:t>ç</w:t>
      </w:r>
      <w:r>
        <w:rPr>
          <w:rFonts w:ascii="Times New Roman" w:eastAsia="Times New Roman" w:hAnsi="Times New Roman" w:cs="Times New Roman"/>
          <w:noProof/>
          <w:sz w:val="24"/>
          <w:szCs w:val="24"/>
        </w:rPr>
        <w:t>a</w:t>
      </w:r>
      <w:r w:rsidRPr="002C3858">
        <w:rPr>
          <w:rFonts w:ascii="Times New Roman" w:eastAsia="Times New Roman" w:hAnsi="Times New Roman" w:cs="Times New Roman"/>
          <w:noProof/>
          <w:sz w:val="24"/>
          <w:szCs w:val="24"/>
        </w:rPr>
        <w:t>o, Wallis et Futuna</w:t>
      </w:r>
      <w:r>
        <w:rPr>
          <w:rFonts w:ascii="Times New Roman" w:eastAsia="Times New Roman" w:hAnsi="Times New Roman" w:cs="Times New Roman"/>
          <w:noProof/>
          <w:sz w:val="24"/>
          <w:szCs w:val="24"/>
        </w:rPr>
        <w:t>,</w:t>
      </w:r>
      <w:r w:rsidRPr="002C3858">
        <w:rPr>
          <w:rFonts w:ascii="Times New Roman" w:eastAsia="Times New Roman" w:hAnsi="Times New Roman" w:cs="Times New Roman"/>
          <w:noProof/>
          <w:sz w:val="24"/>
          <w:szCs w:val="24"/>
        </w:rPr>
        <w:t xml:space="preserve"> and </w:t>
      </w:r>
      <w:r>
        <w:rPr>
          <w:rFonts w:ascii="Times New Roman" w:eastAsia="Times New Roman" w:hAnsi="Times New Roman" w:cs="Times New Roman"/>
          <w:noProof/>
          <w:sz w:val="24"/>
          <w:szCs w:val="24"/>
        </w:rPr>
        <w:t xml:space="preserve">the </w:t>
      </w:r>
      <w:r w:rsidRPr="002C3858">
        <w:rPr>
          <w:rFonts w:ascii="Times New Roman" w:eastAsia="Times New Roman" w:hAnsi="Times New Roman" w:cs="Times New Roman"/>
          <w:noProof/>
          <w:sz w:val="24"/>
          <w:szCs w:val="24"/>
        </w:rPr>
        <w:t>Caribbe</w:t>
      </w:r>
      <w:r w:rsidR="00DB0B0D">
        <w:rPr>
          <w:rFonts w:ascii="Times New Roman" w:eastAsia="Times New Roman" w:hAnsi="Times New Roman" w:cs="Times New Roman"/>
          <w:noProof/>
          <w:sz w:val="24"/>
          <w:szCs w:val="24"/>
        </w:rPr>
        <w:t>an Region</w:t>
      </w:r>
      <w:r>
        <w:rPr>
          <w:rFonts w:ascii="Times New Roman" w:eastAsia="Times New Roman" w:hAnsi="Times New Roman" w:cs="Times New Roman"/>
          <w:noProof/>
          <w:sz w:val="24"/>
          <w:szCs w:val="24"/>
        </w:rPr>
        <w:t>.</w:t>
      </w:r>
    </w:p>
    <w:p w:rsidR="00631EBA" w:rsidRDefault="00631EBA" w:rsidP="00631EBA">
      <w:pPr>
        <w:spacing w:before="100" w:beforeAutospacing="1" w:after="100" w:afterAutospacing="1" w:line="240" w:lineRule="auto"/>
        <w:jc w:val="both"/>
        <w:rPr>
          <w:rFonts w:ascii="Times New Roman" w:eastAsia="Times New Roman" w:hAnsi="Times New Roman" w:cs="Times New Roman"/>
          <w:noProof/>
          <w:sz w:val="24"/>
          <w:szCs w:val="24"/>
        </w:rPr>
      </w:pPr>
      <w:r w:rsidRPr="00D41E63">
        <w:rPr>
          <w:rFonts w:ascii="Times New Roman" w:eastAsia="Times New Roman" w:hAnsi="Times New Roman" w:cs="Times New Roman"/>
          <w:b/>
          <w:noProof/>
          <w:sz w:val="24"/>
          <w:szCs w:val="24"/>
        </w:rPr>
        <w:t>Implementation</w:t>
      </w:r>
      <w:r w:rsidRPr="002C3858">
        <w:rPr>
          <w:rFonts w:ascii="Times New Roman" w:eastAsia="Times New Roman" w:hAnsi="Times New Roman" w:cs="Times New Roman"/>
          <w:noProof/>
          <w:sz w:val="24"/>
          <w:szCs w:val="24"/>
        </w:rPr>
        <w:t xml:space="preserve"> of the new 2021-2027 cooperation started with three Annual Action Plans</w:t>
      </w:r>
      <w:r w:rsidR="0014517A">
        <w:rPr>
          <w:rFonts w:ascii="Times New Roman" w:eastAsia="Times New Roman" w:hAnsi="Times New Roman" w:cs="Times New Roman"/>
          <w:noProof/>
          <w:sz w:val="24"/>
          <w:szCs w:val="24"/>
        </w:rPr>
        <w:t xml:space="preserve"> approved in December 2021</w:t>
      </w:r>
      <w:r>
        <w:rPr>
          <w:rFonts w:ascii="Times New Roman" w:eastAsia="Times New Roman" w:hAnsi="Times New Roman" w:cs="Times New Roman"/>
          <w:noProof/>
          <w:sz w:val="24"/>
          <w:szCs w:val="24"/>
        </w:rPr>
        <w:t xml:space="preserve">: the </w:t>
      </w:r>
      <w:r w:rsidRPr="002C3858">
        <w:rPr>
          <w:rFonts w:ascii="Times New Roman" w:eastAsia="Times New Roman" w:hAnsi="Times New Roman" w:cs="Times New Roman"/>
          <w:noProof/>
          <w:sz w:val="24"/>
          <w:szCs w:val="24"/>
        </w:rPr>
        <w:t>EU-</w:t>
      </w:r>
      <w:r>
        <w:rPr>
          <w:rFonts w:ascii="Times New Roman" w:eastAsia="Times New Roman" w:hAnsi="Times New Roman" w:cs="Times New Roman"/>
          <w:noProof/>
          <w:sz w:val="24"/>
          <w:szCs w:val="24"/>
        </w:rPr>
        <w:t>Greenland education partnership</w:t>
      </w:r>
      <w:r w:rsidR="0014517A">
        <w:rPr>
          <w:rFonts w:ascii="Times New Roman" w:eastAsia="Times New Roman" w:hAnsi="Times New Roman" w:cs="Times New Roman"/>
          <w:noProof/>
          <w:sz w:val="24"/>
          <w:szCs w:val="24"/>
        </w:rPr>
        <w:t xml:space="preserve"> (</w:t>
      </w:r>
      <w:r w:rsidR="00ED4350">
        <w:rPr>
          <w:rFonts w:ascii="Times New Roman" w:eastAsia="Times New Roman" w:hAnsi="Times New Roman" w:cs="Times New Roman"/>
          <w:noProof/>
          <w:sz w:val="24"/>
          <w:szCs w:val="24"/>
        </w:rPr>
        <w:t xml:space="preserve">EUR </w:t>
      </w:r>
      <w:r w:rsidR="0014517A">
        <w:rPr>
          <w:rFonts w:ascii="Times New Roman" w:eastAsia="Times New Roman" w:hAnsi="Times New Roman" w:cs="Times New Roman"/>
          <w:noProof/>
          <w:sz w:val="24"/>
          <w:szCs w:val="24"/>
        </w:rPr>
        <w:t xml:space="preserve">60 </w:t>
      </w:r>
      <w:r w:rsidR="00DA7C45">
        <w:rPr>
          <w:rFonts w:ascii="Times New Roman" w:eastAsia="Times New Roman" w:hAnsi="Times New Roman" w:cs="Times New Roman"/>
          <w:noProof/>
          <w:sz w:val="24"/>
          <w:szCs w:val="24"/>
        </w:rPr>
        <w:t>million</w:t>
      </w:r>
      <w:r w:rsidR="0014517A">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w:t>
      </w:r>
      <w:r w:rsidRPr="002C3858">
        <w:rPr>
          <w:rFonts w:ascii="Times New Roman" w:eastAsia="Times New Roman" w:hAnsi="Times New Roman" w:cs="Times New Roman"/>
          <w:noProof/>
          <w:sz w:val="24"/>
          <w:szCs w:val="24"/>
        </w:rPr>
        <w:t xml:space="preserve"> support to the OCT Association</w:t>
      </w:r>
      <w:r w:rsidR="00B77BF8">
        <w:rPr>
          <w:rFonts w:ascii="Times New Roman" w:eastAsia="Times New Roman" w:hAnsi="Times New Roman" w:cs="Times New Roman"/>
          <w:noProof/>
          <w:sz w:val="24"/>
          <w:szCs w:val="24"/>
        </w:rPr>
        <w:t xml:space="preserve"> (OCTA;</w:t>
      </w:r>
      <w:r w:rsidR="00B77BF8" w:rsidRPr="00B77BF8">
        <w:rPr>
          <w:rFonts w:ascii="Times New Roman" w:eastAsia="Times New Roman" w:hAnsi="Times New Roman" w:cs="Times New Roman"/>
          <w:noProof/>
          <w:sz w:val="24"/>
          <w:szCs w:val="24"/>
        </w:rPr>
        <w:t xml:space="preserve"> </w:t>
      </w:r>
      <w:r w:rsidR="00B77BF8">
        <w:rPr>
          <w:rFonts w:ascii="Times New Roman" w:eastAsia="Times New Roman" w:hAnsi="Times New Roman" w:cs="Times New Roman"/>
          <w:noProof/>
          <w:sz w:val="24"/>
          <w:szCs w:val="24"/>
        </w:rPr>
        <w:t xml:space="preserve">EUR 1 </w:t>
      </w:r>
      <w:r w:rsidR="00DA7C45">
        <w:rPr>
          <w:rFonts w:ascii="Times New Roman" w:eastAsia="Times New Roman" w:hAnsi="Times New Roman" w:cs="Times New Roman"/>
          <w:noProof/>
          <w:sz w:val="24"/>
          <w:szCs w:val="24"/>
        </w:rPr>
        <w:t>million</w:t>
      </w:r>
      <w:r w:rsidR="00B77BF8">
        <w:rPr>
          <w:rFonts w:ascii="Times New Roman" w:eastAsia="Times New Roman" w:hAnsi="Times New Roman" w:cs="Times New Roman"/>
          <w:noProof/>
          <w:sz w:val="24"/>
          <w:szCs w:val="24"/>
        </w:rPr>
        <w:t xml:space="preserve"> for support in 2022 and 2023</w:t>
      </w:r>
      <w:r w:rsidR="00B77BF8" w:rsidRPr="00B77BF8">
        <w:rPr>
          <w:rFonts w:ascii="Times New Roman" w:eastAsia="Times New Roman" w:hAnsi="Times New Roman" w:cs="Times New Roman"/>
          <w:noProof/>
          <w:sz w:val="24"/>
          <w:szCs w:val="24"/>
        </w:rPr>
        <w:t>)</w:t>
      </w:r>
      <w:r w:rsidRPr="00B77BF8">
        <w:rPr>
          <w:rFonts w:ascii="Times New Roman" w:eastAsia="Times New Roman" w:hAnsi="Times New Roman" w:cs="Times New Roman"/>
          <w:noProof/>
          <w:sz w:val="24"/>
          <w:szCs w:val="24"/>
        </w:rPr>
        <w:t>;</w:t>
      </w:r>
      <w:r w:rsidRPr="002C3858">
        <w:rPr>
          <w:rFonts w:ascii="Times New Roman" w:eastAsia="Times New Roman" w:hAnsi="Times New Roman" w:cs="Times New Roman"/>
          <w:noProof/>
          <w:sz w:val="24"/>
          <w:szCs w:val="24"/>
        </w:rPr>
        <w:t xml:space="preserve"> and </w:t>
      </w:r>
      <w:r>
        <w:rPr>
          <w:rFonts w:ascii="Times New Roman" w:eastAsia="Times New Roman" w:hAnsi="Times New Roman" w:cs="Times New Roman"/>
          <w:noProof/>
          <w:sz w:val="24"/>
          <w:szCs w:val="24"/>
        </w:rPr>
        <w:t xml:space="preserve">the Technical Cooperation </w:t>
      </w:r>
      <w:r w:rsidRPr="00B77BF8">
        <w:rPr>
          <w:rFonts w:ascii="Times New Roman" w:eastAsia="Times New Roman" w:hAnsi="Times New Roman" w:cs="Times New Roman"/>
          <w:noProof/>
          <w:sz w:val="24"/>
          <w:szCs w:val="24"/>
        </w:rPr>
        <w:t>Facility</w:t>
      </w:r>
      <w:r w:rsidR="00B77BF8" w:rsidRPr="00B77BF8">
        <w:rPr>
          <w:rFonts w:ascii="Times New Roman" w:eastAsia="Times New Roman" w:hAnsi="Times New Roman" w:cs="Times New Roman"/>
          <w:noProof/>
          <w:sz w:val="24"/>
          <w:szCs w:val="24"/>
        </w:rPr>
        <w:t xml:space="preserve"> (EUR 1.5 </w:t>
      </w:r>
      <w:r w:rsidR="00DA7C45">
        <w:rPr>
          <w:rFonts w:ascii="Times New Roman" w:eastAsia="Times New Roman" w:hAnsi="Times New Roman" w:cs="Times New Roman"/>
          <w:noProof/>
          <w:sz w:val="24"/>
          <w:szCs w:val="24"/>
        </w:rPr>
        <w:t xml:space="preserve">million </w:t>
      </w:r>
      <w:r w:rsidR="00B77BF8" w:rsidRPr="00B77BF8">
        <w:rPr>
          <w:rFonts w:ascii="Times New Roman" w:eastAsia="Times New Roman" w:hAnsi="Times New Roman" w:cs="Times New Roman"/>
          <w:noProof/>
          <w:sz w:val="24"/>
          <w:szCs w:val="24"/>
        </w:rPr>
        <w:t>for 2022)</w:t>
      </w:r>
      <w:r w:rsidRPr="00B77BF8">
        <w:rPr>
          <w:rFonts w:ascii="Times New Roman" w:eastAsia="Times New Roman" w:hAnsi="Times New Roman" w:cs="Times New Roman"/>
          <w:noProof/>
          <w:sz w:val="24"/>
          <w:szCs w:val="24"/>
        </w:rPr>
        <w:t>.</w:t>
      </w:r>
    </w:p>
    <w:p w:rsidR="00F16E8D" w:rsidRDefault="00F16E8D" w:rsidP="00631EBA">
      <w:pPr>
        <w:spacing w:before="100" w:beforeAutospacing="1" w:after="100" w:afterAutospacing="1" w:line="240" w:lineRule="auto"/>
        <w:jc w:val="both"/>
        <w:rPr>
          <w:rFonts w:ascii="Times New Roman" w:eastAsia="Times New Roman" w:hAnsi="Times New Roman" w:cs="Times New Roman"/>
          <w:noProof/>
          <w:sz w:val="24"/>
          <w:szCs w:val="24"/>
        </w:rPr>
      </w:pPr>
    </w:p>
    <w:p w:rsidR="00F16E8D" w:rsidRPr="002C3858" w:rsidRDefault="00F16E8D" w:rsidP="00631EBA">
      <w:pPr>
        <w:spacing w:before="100" w:beforeAutospacing="1" w:after="100" w:afterAutospacing="1" w:line="240" w:lineRule="auto"/>
        <w:jc w:val="both"/>
        <w:rPr>
          <w:rFonts w:ascii="Times New Roman" w:eastAsia="Times New Roman" w:hAnsi="Times New Roman" w:cs="Times New Roman"/>
          <w:noProof/>
          <w:sz w:val="24"/>
          <w:szCs w:val="24"/>
        </w:rPr>
      </w:pPr>
    </w:p>
    <w:p w:rsidR="00631EBA" w:rsidRPr="00D2047F" w:rsidRDefault="00631EBA" w:rsidP="006A4EE2">
      <w:pPr>
        <w:pStyle w:val="ListParagraph"/>
        <w:numPr>
          <w:ilvl w:val="0"/>
          <w:numId w:val="17"/>
        </w:numPr>
        <w:autoSpaceDE w:val="0"/>
        <w:autoSpaceDN w:val="0"/>
        <w:adjustRightInd w:val="0"/>
        <w:spacing w:after="0" w:line="240" w:lineRule="auto"/>
        <w:rPr>
          <w:rFonts w:ascii="Times New Roman" w:hAnsi="Times New Roman" w:cs="Times New Roman"/>
          <w:noProof/>
          <w:color w:val="000000"/>
          <w:sz w:val="24"/>
          <w:szCs w:val="24"/>
          <w:lang w:val="en-US"/>
        </w:rPr>
      </w:pPr>
      <w:r>
        <w:rPr>
          <w:rFonts w:ascii="Times New Roman" w:hAnsi="Times New Roman" w:cs="Times New Roman"/>
          <w:b/>
          <w:bCs/>
          <w:noProof/>
          <w:color w:val="000000"/>
          <w:sz w:val="24"/>
          <w:szCs w:val="24"/>
          <w:lang w:val="en-US"/>
        </w:rPr>
        <w:t xml:space="preserve">Regional cooperation </w:t>
      </w:r>
      <w:r w:rsidRPr="00E377E9">
        <w:rPr>
          <w:rFonts w:ascii="Times New Roman" w:hAnsi="Times New Roman" w:cs="Times New Roman"/>
          <w:b/>
          <w:noProof/>
          <w:color w:val="000000"/>
          <w:sz w:val="24"/>
          <w:szCs w:val="24"/>
          <w:lang w:val="en-US"/>
        </w:rPr>
        <w:t>fr</w:t>
      </w:r>
      <w:r>
        <w:rPr>
          <w:rFonts w:ascii="Times New Roman" w:hAnsi="Times New Roman" w:cs="Times New Roman"/>
          <w:b/>
          <w:noProof/>
          <w:color w:val="000000"/>
          <w:sz w:val="24"/>
          <w:szCs w:val="24"/>
          <w:lang w:val="en-US"/>
        </w:rPr>
        <w:t>om October to December 2021</w:t>
      </w:r>
    </w:p>
    <w:p w:rsidR="00631EBA" w:rsidRDefault="00631EBA" w:rsidP="00631EBA">
      <w:pPr>
        <w:autoSpaceDE w:val="0"/>
        <w:autoSpaceDN w:val="0"/>
        <w:adjustRightInd w:val="0"/>
        <w:spacing w:after="0" w:line="240" w:lineRule="auto"/>
        <w:rPr>
          <w:rFonts w:ascii="Times New Roman" w:hAnsi="Times New Roman" w:cs="Times New Roman"/>
          <w:b/>
          <w:noProof/>
          <w:color w:val="000000"/>
          <w:sz w:val="24"/>
          <w:szCs w:val="24"/>
          <w:lang w:val="en-US"/>
        </w:rPr>
      </w:pPr>
    </w:p>
    <w:p w:rsidR="00631EBA" w:rsidRPr="00D41E63" w:rsidRDefault="0040213A" w:rsidP="00631EBA">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new Decision</w:t>
      </w:r>
      <w:r w:rsidR="00631EBA" w:rsidRPr="00D32B88">
        <w:rPr>
          <w:rFonts w:ascii="Times New Roman" w:eastAsia="Times New Roman" w:hAnsi="Times New Roman" w:cs="Times New Roman"/>
          <w:noProof/>
          <w:sz w:val="24"/>
          <w:szCs w:val="24"/>
        </w:rPr>
        <w:t xml:space="preserve"> expands the possible areas of cooperation to include food and nutrition security</w:t>
      </w:r>
      <w:r w:rsidR="00631EBA">
        <w:rPr>
          <w:rFonts w:ascii="Times New Roman" w:eastAsia="Times New Roman" w:hAnsi="Times New Roman" w:cs="Times New Roman"/>
          <w:noProof/>
          <w:sz w:val="24"/>
          <w:szCs w:val="24"/>
        </w:rPr>
        <w:t xml:space="preserve">, as </w:t>
      </w:r>
      <w:r>
        <w:rPr>
          <w:rFonts w:ascii="Times New Roman" w:eastAsia="Times New Roman" w:hAnsi="Times New Roman" w:cs="Times New Roman"/>
          <w:noProof/>
          <w:sz w:val="24"/>
          <w:szCs w:val="24"/>
        </w:rPr>
        <w:t>reflected in the</w:t>
      </w:r>
      <w:r w:rsidR="00631EBA" w:rsidRPr="00D41E63">
        <w:rPr>
          <w:rFonts w:ascii="Times New Roman" w:eastAsia="Times New Roman" w:hAnsi="Times New Roman" w:cs="Times New Roman"/>
          <w:noProof/>
          <w:sz w:val="24"/>
          <w:szCs w:val="24"/>
        </w:rPr>
        <w:t xml:space="preserve"> Pacific Regional MIP</w:t>
      </w:r>
      <w:r>
        <w:rPr>
          <w:rFonts w:ascii="Times New Roman" w:eastAsia="Times New Roman" w:hAnsi="Times New Roman" w:cs="Times New Roman"/>
          <w:noProof/>
          <w:sz w:val="24"/>
          <w:szCs w:val="24"/>
        </w:rPr>
        <w:t xml:space="preserve"> adopted end 2021 (with the focus on greening a</w:t>
      </w:r>
      <w:r w:rsidR="00CD10EE">
        <w:rPr>
          <w:rFonts w:ascii="Times New Roman" w:eastAsia="Times New Roman" w:hAnsi="Times New Roman" w:cs="Times New Roman"/>
          <w:noProof/>
          <w:sz w:val="24"/>
          <w:szCs w:val="24"/>
        </w:rPr>
        <w:t xml:space="preserve">nd blueing </w:t>
      </w:r>
      <w:r>
        <w:rPr>
          <w:rFonts w:ascii="Times New Roman" w:eastAsia="Times New Roman" w:hAnsi="Times New Roman" w:cs="Times New Roman"/>
          <w:noProof/>
          <w:sz w:val="24"/>
          <w:szCs w:val="24"/>
        </w:rPr>
        <w:t>food system</w:t>
      </w:r>
      <w:r w:rsidR="00CD10EE">
        <w:rPr>
          <w:rFonts w:ascii="Times New Roman" w:eastAsia="Times New Roman" w:hAnsi="Times New Roman" w:cs="Times New Roman"/>
          <w:noProof/>
          <w:sz w:val="24"/>
          <w:szCs w:val="24"/>
        </w:rPr>
        <w:t>s</w:t>
      </w:r>
      <w:r>
        <w:rPr>
          <w:rFonts w:ascii="Times New Roman" w:eastAsia="Times New Roman" w:hAnsi="Times New Roman" w:cs="Times New Roman"/>
          <w:noProof/>
          <w:sz w:val="24"/>
          <w:szCs w:val="24"/>
        </w:rPr>
        <w:t>)</w:t>
      </w:r>
      <w:r w:rsidR="00631EBA" w:rsidRPr="00D41E63">
        <w:rPr>
          <w:rFonts w:ascii="Times New Roman" w:eastAsia="Times New Roman" w:hAnsi="Times New Roman" w:cs="Times New Roman"/>
          <w:noProof/>
          <w:sz w:val="24"/>
          <w:szCs w:val="24"/>
        </w:rPr>
        <w:t>.</w:t>
      </w:r>
    </w:p>
    <w:p w:rsidR="00631EBA" w:rsidRPr="00D41E63" w:rsidRDefault="00631EBA" w:rsidP="00631EBA">
      <w:pPr>
        <w:autoSpaceDE w:val="0"/>
        <w:autoSpaceDN w:val="0"/>
        <w:adjustRightInd w:val="0"/>
        <w:spacing w:after="0" w:line="240" w:lineRule="auto"/>
        <w:rPr>
          <w:rFonts w:ascii="Times New Roman" w:eastAsia="Times New Roman" w:hAnsi="Times New Roman" w:cs="Times New Roman"/>
          <w:noProof/>
          <w:sz w:val="24"/>
          <w:szCs w:val="24"/>
        </w:rPr>
      </w:pPr>
    </w:p>
    <w:p w:rsidR="00631EBA" w:rsidRDefault="00DB0B0D" w:rsidP="00631EBA">
      <w:pPr>
        <w:autoSpaceDE w:val="0"/>
        <w:autoSpaceDN w:val="0"/>
        <w:adjustRightInd w:val="0"/>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w:t>
      </w:r>
      <w:r w:rsidRPr="00D32B88">
        <w:rPr>
          <w:rFonts w:ascii="Times New Roman" w:hAnsi="Times New Roman" w:cs="Times New Roman"/>
          <w:noProof/>
          <w:sz w:val="24"/>
          <w:szCs w:val="24"/>
          <w:lang w:val="en-US"/>
        </w:rPr>
        <w:t xml:space="preserve"> French South</w:t>
      </w:r>
      <w:r>
        <w:rPr>
          <w:rFonts w:ascii="Times New Roman" w:hAnsi="Times New Roman" w:cs="Times New Roman"/>
          <w:noProof/>
          <w:sz w:val="24"/>
          <w:szCs w:val="24"/>
          <w:lang w:val="en-US"/>
        </w:rPr>
        <w:t>ern and Antarctic Lands Regional MIP</w:t>
      </w:r>
      <w:r w:rsidR="00631EBA" w:rsidRPr="00D32B88">
        <w:rPr>
          <w:rFonts w:ascii="Times New Roman" w:hAnsi="Times New Roman" w:cs="Times New Roman"/>
          <w:noProof/>
          <w:sz w:val="24"/>
          <w:szCs w:val="24"/>
          <w:lang w:val="en-US"/>
        </w:rPr>
        <w:t xml:space="preserve"> </w:t>
      </w:r>
      <w:r w:rsidR="001116CA">
        <w:rPr>
          <w:rFonts w:ascii="Times New Roman" w:hAnsi="Times New Roman" w:cs="Times New Roman"/>
          <w:noProof/>
          <w:sz w:val="24"/>
          <w:szCs w:val="24"/>
          <w:lang w:val="en-US"/>
        </w:rPr>
        <w:t>(TAAF)</w:t>
      </w:r>
      <w:r w:rsidR="0040213A">
        <w:rPr>
          <w:rFonts w:ascii="Times New Roman" w:hAnsi="Times New Roman" w:cs="Times New Roman"/>
          <w:noProof/>
          <w:sz w:val="24"/>
          <w:szCs w:val="24"/>
          <w:lang w:val="en-US"/>
        </w:rPr>
        <w:t>,</w:t>
      </w:r>
      <w:r w:rsidR="001116CA">
        <w:rPr>
          <w:rFonts w:ascii="Times New Roman" w:hAnsi="Times New Roman" w:cs="Times New Roman"/>
          <w:noProof/>
          <w:sz w:val="24"/>
          <w:szCs w:val="24"/>
          <w:lang w:val="en-US"/>
        </w:rPr>
        <w:t xml:space="preserve"> </w:t>
      </w:r>
      <w:r w:rsidR="0040213A">
        <w:rPr>
          <w:rFonts w:ascii="Times New Roman" w:hAnsi="Times New Roman" w:cs="Times New Roman"/>
          <w:noProof/>
          <w:sz w:val="24"/>
          <w:szCs w:val="24"/>
          <w:lang w:val="en-US"/>
        </w:rPr>
        <w:t>also adopted end 2021, will focus</w:t>
      </w:r>
      <w:r w:rsidR="00631EBA" w:rsidRPr="00D32B88">
        <w:rPr>
          <w:rFonts w:ascii="Times New Roman" w:hAnsi="Times New Roman" w:cs="Times New Roman"/>
          <w:noProof/>
          <w:sz w:val="24"/>
          <w:szCs w:val="24"/>
          <w:lang w:val="en-US"/>
        </w:rPr>
        <w:t xml:space="preserve"> on </w:t>
      </w:r>
      <w:r w:rsidRPr="00DB0B0D">
        <w:rPr>
          <w:rFonts w:ascii="Times New Roman" w:hAnsi="Times New Roman" w:cs="Times New Roman"/>
          <w:noProof/>
          <w:sz w:val="24"/>
          <w:szCs w:val="24"/>
          <w:lang w:val="en-US"/>
        </w:rPr>
        <w:t>preserving the biodiversity and ecological functions of the marine environments of the TAAF and the South West Indian Ocean.</w:t>
      </w:r>
    </w:p>
    <w:p w:rsidR="00631EBA" w:rsidRDefault="00631EBA" w:rsidP="00631EBA">
      <w:pPr>
        <w:autoSpaceDE w:val="0"/>
        <w:autoSpaceDN w:val="0"/>
        <w:adjustRightInd w:val="0"/>
        <w:spacing w:after="0" w:line="240" w:lineRule="auto"/>
        <w:jc w:val="both"/>
        <w:rPr>
          <w:rFonts w:ascii="Times New Roman" w:hAnsi="Times New Roman" w:cs="Times New Roman"/>
          <w:noProof/>
          <w:sz w:val="24"/>
          <w:szCs w:val="24"/>
          <w:lang w:val="en-US"/>
        </w:rPr>
      </w:pPr>
    </w:p>
    <w:p w:rsidR="00631EBA" w:rsidRPr="00D32B88" w:rsidRDefault="00631EBA" w:rsidP="00631EBA">
      <w:pPr>
        <w:autoSpaceDE w:val="0"/>
        <w:autoSpaceDN w:val="0"/>
        <w:adjustRightInd w:val="0"/>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As noted above, </w:t>
      </w:r>
      <w:r>
        <w:rPr>
          <w:rFonts w:ascii="Times New Roman" w:eastAsia="Times New Roman" w:hAnsi="Times New Roman" w:cs="Times New Roman"/>
          <w:noProof/>
          <w:sz w:val="24"/>
          <w:szCs w:val="24"/>
        </w:rPr>
        <w:t xml:space="preserve">the </w:t>
      </w:r>
      <w:r w:rsidRPr="002C3858">
        <w:rPr>
          <w:rFonts w:ascii="Times New Roman" w:eastAsia="Times New Roman" w:hAnsi="Times New Roman" w:cs="Times New Roman"/>
          <w:noProof/>
          <w:sz w:val="24"/>
          <w:szCs w:val="24"/>
        </w:rPr>
        <w:t>Caribbean Regional</w:t>
      </w:r>
      <w:r w:rsidR="00DB0B0D">
        <w:rPr>
          <w:rFonts w:ascii="Times New Roman" w:eastAsia="Times New Roman" w:hAnsi="Times New Roman" w:cs="Times New Roman"/>
          <w:noProof/>
          <w:sz w:val="24"/>
          <w:szCs w:val="24"/>
        </w:rPr>
        <w:t xml:space="preserve"> MIP required</w:t>
      </w:r>
      <w:r>
        <w:rPr>
          <w:rFonts w:ascii="Times New Roman" w:eastAsia="Times New Roman" w:hAnsi="Times New Roman" w:cs="Times New Roman"/>
          <w:noProof/>
          <w:sz w:val="24"/>
          <w:szCs w:val="24"/>
        </w:rPr>
        <w:t xml:space="preserve"> further consultations</w:t>
      </w:r>
      <w:r w:rsidR="001116CA">
        <w:rPr>
          <w:rFonts w:ascii="Times New Roman" w:eastAsia="Times New Roman" w:hAnsi="Times New Roman" w:cs="Times New Roman"/>
          <w:noProof/>
          <w:sz w:val="24"/>
          <w:szCs w:val="24"/>
        </w:rPr>
        <w:t xml:space="preserve"> with the relevant OCTs at end 2021</w:t>
      </w:r>
      <w:r>
        <w:rPr>
          <w:rFonts w:ascii="Times New Roman" w:eastAsia="Times New Roman" w:hAnsi="Times New Roman" w:cs="Times New Roman"/>
          <w:noProof/>
          <w:sz w:val="24"/>
          <w:szCs w:val="24"/>
        </w:rPr>
        <w:t xml:space="preserve"> and </w:t>
      </w:r>
      <w:r w:rsidR="001116CA">
        <w:rPr>
          <w:rFonts w:ascii="Times New Roman" w:eastAsia="Times New Roman" w:hAnsi="Times New Roman" w:cs="Times New Roman"/>
          <w:noProof/>
          <w:sz w:val="24"/>
          <w:szCs w:val="24"/>
        </w:rPr>
        <w:t>is expected to b</w:t>
      </w:r>
      <w:r>
        <w:rPr>
          <w:rFonts w:ascii="Times New Roman" w:eastAsia="Times New Roman" w:hAnsi="Times New Roman" w:cs="Times New Roman"/>
          <w:noProof/>
          <w:sz w:val="24"/>
          <w:szCs w:val="24"/>
        </w:rPr>
        <w:t>e adopted in 2022.</w:t>
      </w:r>
    </w:p>
    <w:p w:rsidR="00631EBA" w:rsidRPr="00D2047F" w:rsidRDefault="00631EBA" w:rsidP="00631EBA">
      <w:pPr>
        <w:autoSpaceDE w:val="0"/>
        <w:autoSpaceDN w:val="0"/>
        <w:adjustRightInd w:val="0"/>
        <w:spacing w:after="0" w:line="240" w:lineRule="auto"/>
        <w:rPr>
          <w:rFonts w:ascii="Times New Roman" w:hAnsi="Times New Roman" w:cs="Times New Roman"/>
          <w:b/>
          <w:noProof/>
          <w:color w:val="000000"/>
          <w:sz w:val="24"/>
          <w:szCs w:val="24"/>
          <w:lang w:val="en-US"/>
        </w:rPr>
      </w:pPr>
    </w:p>
    <w:p w:rsidR="00631EBA" w:rsidRPr="00D00EAF" w:rsidRDefault="00631EBA" w:rsidP="00ED4350">
      <w:pPr>
        <w:pStyle w:val="ListParagraph"/>
        <w:autoSpaceDE w:val="0"/>
        <w:autoSpaceDN w:val="0"/>
        <w:adjustRightInd w:val="0"/>
        <w:spacing w:after="0" w:line="240" w:lineRule="auto"/>
        <w:rPr>
          <w:rFonts w:ascii="Times New Roman" w:hAnsi="Times New Roman" w:cs="Times New Roman"/>
          <w:b/>
          <w:bCs/>
          <w:noProof/>
          <w:color w:val="000000"/>
          <w:sz w:val="24"/>
          <w:szCs w:val="24"/>
          <w:lang w:val="en-US"/>
        </w:rPr>
      </w:pPr>
    </w:p>
    <w:p w:rsidR="00E47BF4" w:rsidRDefault="00E47BF4" w:rsidP="00E47BF4">
      <w:pPr>
        <w:pStyle w:val="ListParagraph"/>
        <w:numPr>
          <w:ilvl w:val="0"/>
          <w:numId w:val="13"/>
        </w:numPr>
        <w:autoSpaceDE w:val="0"/>
        <w:autoSpaceDN w:val="0"/>
        <w:adjustRightInd w:val="0"/>
        <w:spacing w:after="0" w:line="240" w:lineRule="auto"/>
        <w:rPr>
          <w:rFonts w:ascii="Times New Roman" w:hAnsi="Times New Roman" w:cs="Times New Roman"/>
          <w:b/>
          <w:bCs/>
          <w:noProof/>
          <w:color w:val="000000"/>
          <w:sz w:val="24"/>
          <w:szCs w:val="24"/>
          <w:u w:val="single"/>
          <w:lang w:val="en-US"/>
        </w:rPr>
      </w:pPr>
      <w:r>
        <w:rPr>
          <w:rFonts w:ascii="Times New Roman" w:hAnsi="Times New Roman" w:cs="Times New Roman"/>
          <w:b/>
          <w:bCs/>
          <w:noProof/>
          <w:color w:val="000000"/>
          <w:sz w:val="24"/>
          <w:szCs w:val="24"/>
          <w:u w:val="single"/>
          <w:lang w:val="en-US"/>
        </w:rPr>
        <w:t>INSTITUTIONAL DIALOGUE IN 2021</w:t>
      </w:r>
    </w:p>
    <w:p w:rsidR="00E47BF4" w:rsidRDefault="00E47BF4" w:rsidP="00631EBA">
      <w:pPr>
        <w:autoSpaceDE w:val="0"/>
        <w:autoSpaceDN w:val="0"/>
        <w:adjustRightInd w:val="0"/>
        <w:spacing w:after="0" w:line="240" w:lineRule="auto"/>
        <w:jc w:val="both"/>
        <w:rPr>
          <w:rFonts w:ascii="Times New Roman" w:hAnsi="Times New Roman" w:cs="Times New Roman"/>
          <w:noProof/>
          <w:color w:val="000000"/>
          <w:sz w:val="24"/>
          <w:szCs w:val="24"/>
          <w:highlight w:val="cyan"/>
          <w:lang w:val="en-US"/>
        </w:rPr>
      </w:pPr>
    </w:p>
    <w:p w:rsidR="00631EBA" w:rsidRDefault="00631EBA" w:rsidP="00631EBA">
      <w:pPr>
        <w:autoSpaceDE w:val="0"/>
        <w:autoSpaceDN w:val="0"/>
        <w:adjustRightInd w:val="0"/>
        <w:spacing w:after="0" w:line="240" w:lineRule="auto"/>
        <w:jc w:val="both"/>
        <w:rPr>
          <w:rFonts w:ascii="Times New Roman" w:hAnsi="Times New Roman" w:cs="Times New Roman"/>
          <w:noProof/>
          <w:color w:val="000000"/>
          <w:sz w:val="24"/>
          <w:szCs w:val="24"/>
          <w:lang w:val="en-US"/>
        </w:rPr>
      </w:pPr>
      <w:r w:rsidRPr="00ED4350">
        <w:rPr>
          <w:rFonts w:ascii="Times New Roman" w:hAnsi="Times New Roman" w:cs="Times New Roman"/>
          <w:noProof/>
          <w:color w:val="000000"/>
          <w:sz w:val="24"/>
          <w:szCs w:val="24"/>
          <w:lang w:val="en-US"/>
        </w:rPr>
        <w:t>Three instances of dialogue of the EU-OCT Asso</w:t>
      </w:r>
      <w:r w:rsidR="00626C19" w:rsidRPr="00ED4350">
        <w:rPr>
          <w:rFonts w:ascii="Times New Roman" w:hAnsi="Times New Roman" w:cs="Times New Roman"/>
          <w:noProof/>
          <w:color w:val="000000"/>
          <w:sz w:val="24"/>
          <w:szCs w:val="24"/>
          <w:lang w:val="en-US"/>
        </w:rPr>
        <w:t>ciation are defined in the DOAG</w:t>
      </w:r>
      <w:r w:rsidRPr="00ED4350">
        <w:rPr>
          <w:rFonts w:ascii="Times New Roman" w:hAnsi="Times New Roman" w:cs="Times New Roman"/>
          <w:noProof/>
          <w:color w:val="000000"/>
          <w:sz w:val="24"/>
          <w:szCs w:val="24"/>
          <w:lang w:val="en-US"/>
        </w:rPr>
        <w:t xml:space="preserve"> and remain unchanged compared to the previous OCT Decision</w:t>
      </w:r>
      <w:r w:rsidR="00E47BF4" w:rsidRPr="00ED4350">
        <w:rPr>
          <w:rFonts w:ascii="Times New Roman" w:hAnsi="Times New Roman" w:cs="Times New Roman"/>
          <w:noProof/>
          <w:color w:val="000000"/>
          <w:sz w:val="24"/>
          <w:szCs w:val="24"/>
          <w:lang w:val="en-US"/>
        </w:rPr>
        <w:t>:</w:t>
      </w:r>
    </w:p>
    <w:p w:rsidR="00631EBA" w:rsidRDefault="00631EBA" w:rsidP="00631EBA">
      <w:pPr>
        <w:autoSpaceDE w:val="0"/>
        <w:autoSpaceDN w:val="0"/>
        <w:adjustRightInd w:val="0"/>
        <w:spacing w:after="0" w:line="240" w:lineRule="auto"/>
        <w:jc w:val="both"/>
        <w:rPr>
          <w:rFonts w:ascii="Times New Roman" w:hAnsi="Times New Roman" w:cs="Times New Roman"/>
          <w:noProof/>
          <w:color w:val="000000"/>
          <w:sz w:val="24"/>
          <w:szCs w:val="24"/>
          <w:lang w:val="en-US"/>
        </w:rPr>
      </w:pPr>
    </w:p>
    <w:p w:rsidR="00631EBA" w:rsidRDefault="00631EBA" w:rsidP="00631EBA">
      <w:pPr>
        <w:autoSpaceDE w:val="0"/>
        <w:autoSpaceDN w:val="0"/>
        <w:adjustRightInd w:val="0"/>
        <w:spacing w:after="0" w:line="240" w:lineRule="auto"/>
        <w:jc w:val="both"/>
        <w:rPr>
          <w:rFonts w:ascii="Times New Roman" w:hAnsi="Times New Roman" w:cs="Times New Roman"/>
          <w:noProof/>
          <w:color w:val="000000"/>
          <w:sz w:val="24"/>
          <w:szCs w:val="24"/>
          <w:u w:val="single"/>
          <w:lang w:val="en-US"/>
        </w:rPr>
      </w:pPr>
      <w:r>
        <w:rPr>
          <w:rFonts w:ascii="Times New Roman" w:hAnsi="Times New Roman" w:cs="Times New Roman"/>
          <w:noProof/>
          <w:color w:val="000000"/>
          <w:sz w:val="24"/>
          <w:szCs w:val="24"/>
          <w:u w:val="single"/>
          <w:lang w:val="en-US"/>
        </w:rPr>
        <w:t xml:space="preserve">OCT-EU Forum </w:t>
      </w:r>
    </w:p>
    <w:p w:rsidR="00631EBA" w:rsidRDefault="00631EBA" w:rsidP="00631EBA">
      <w:pPr>
        <w:autoSpaceDE w:val="0"/>
        <w:autoSpaceDN w:val="0"/>
        <w:adjustRightInd w:val="0"/>
        <w:spacing w:after="0" w:line="240" w:lineRule="auto"/>
        <w:jc w:val="both"/>
        <w:rPr>
          <w:rFonts w:ascii="Times New Roman" w:hAnsi="Times New Roman" w:cs="Times New Roman"/>
          <w:noProof/>
          <w:color w:val="000000"/>
          <w:sz w:val="24"/>
          <w:szCs w:val="24"/>
          <w:u w:val="single"/>
          <w:lang w:val="en-US"/>
        </w:rPr>
      </w:pPr>
    </w:p>
    <w:p w:rsidR="00631EBA" w:rsidRDefault="00183D25" w:rsidP="00631EBA">
      <w:pPr>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The annual F</w:t>
      </w:r>
      <w:r w:rsidR="00631EBA">
        <w:rPr>
          <w:rFonts w:ascii="Times New Roman" w:hAnsi="Times New Roman" w:cs="Times New Roman"/>
          <w:noProof/>
          <w:color w:val="000000"/>
          <w:sz w:val="24"/>
          <w:szCs w:val="24"/>
          <w:lang w:val="en-US"/>
        </w:rPr>
        <w:t xml:space="preserve">orum is the highest political instance of EU-OCT dialogue. The </w:t>
      </w:r>
      <w:r w:rsidR="00631EBA" w:rsidRPr="007D5A71">
        <w:rPr>
          <w:rFonts w:ascii="Times New Roman" w:hAnsi="Times New Roman" w:cs="Times New Roman"/>
          <w:b/>
          <w:noProof/>
          <w:color w:val="000000"/>
          <w:sz w:val="24"/>
          <w:szCs w:val="24"/>
          <w:lang w:val="en-US"/>
        </w:rPr>
        <w:t>2021 edition</w:t>
      </w:r>
      <w:r w:rsidR="00631EBA">
        <w:rPr>
          <w:rFonts w:ascii="Times New Roman" w:hAnsi="Times New Roman" w:cs="Times New Roman"/>
          <w:noProof/>
          <w:color w:val="000000"/>
          <w:sz w:val="24"/>
          <w:szCs w:val="24"/>
          <w:lang w:val="en-US"/>
        </w:rPr>
        <w:t xml:space="preserve"> was planned to take place phys</w:t>
      </w:r>
      <w:r>
        <w:rPr>
          <w:rFonts w:ascii="Times New Roman" w:hAnsi="Times New Roman" w:cs="Times New Roman"/>
          <w:noProof/>
          <w:color w:val="000000"/>
          <w:sz w:val="24"/>
          <w:szCs w:val="24"/>
          <w:lang w:val="en-US"/>
        </w:rPr>
        <w:t>ically in New Caledonia which ho</w:t>
      </w:r>
      <w:r w:rsidR="00631EBA">
        <w:rPr>
          <w:rFonts w:ascii="Times New Roman" w:hAnsi="Times New Roman" w:cs="Times New Roman"/>
          <w:noProof/>
          <w:color w:val="000000"/>
          <w:sz w:val="24"/>
          <w:szCs w:val="24"/>
          <w:lang w:val="en-US"/>
        </w:rPr>
        <w:t>ld</w:t>
      </w:r>
      <w:r>
        <w:rPr>
          <w:rFonts w:ascii="Times New Roman" w:hAnsi="Times New Roman" w:cs="Times New Roman"/>
          <w:noProof/>
          <w:color w:val="000000"/>
          <w:sz w:val="24"/>
          <w:szCs w:val="24"/>
          <w:lang w:val="en-US"/>
        </w:rPr>
        <w:t>s</w:t>
      </w:r>
      <w:r w:rsidR="00631EBA">
        <w:rPr>
          <w:rFonts w:ascii="Times New Roman" w:hAnsi="Times New Roman" w:cs="Times New Roman"/>
          <w:noProof/>
          <w:color w:val="000000"/>
          <w:sz w:val="24"/>
          <w:szCs w:val="24"/>
          <w:lang w:val="en-US"/>
        </w:rPr>
        <w:t xml:space="preserve"> the rotating chair of the OCT Association (OCTA) since December 2020. However, the COVID-19 pandemic circumstances have caused the 2021 Forum to be postponed </w:t>
      </w:r>
      <w:r w:rsidR="00061837">
        <w:rPr>
          <w:rFonts w:ascii="Times New Roman" w:hAnsi="Times New Roman" w:cs="Times New Roman"/>
          <w:noProof/>
          <w:color w:val="000000"/>
          <w:sz w:val="24"/>
          <w:szCs w:val="24"/>
          <w:lang w:val="en-US"/>
        </w:rPr>
        <w:t>to</w:t>
      </w:r>
      <w:r w:rsidR="00631EBA">
        <w:rPr>
          <w:rFonts w:ascii="Times New Roman" w:hAnsi="Times New Roman" w:cs="Times New Roman"/>
          <w:noProof/>
          <w:color w:val="000000"/>
          <w:sz w:val="24"/>
          <w:szCs w:val="24"/>
          <w:lang w:val="en-US"/>
        </w:rPr>
        <w:t xml:space="preserve"> 2022</w:t>
      </w:r>
      <w:r w:rsidR="00CF5298">
        <w:rPr>
          <w:rFonts w:ascii="Times New Roman" w:hAnsi="Times New Roman" w:cs="Times New Roman"/>
          <w:noProof/>
          <w:color w:val="000000"/>
          <w:sz w:val="24"/>
          <w:szCs w:val="24"/>
          <w:lang w:val="en-US"/>
        </w:rPr>
        <w:t xml:space="preserve">, at the request of the OCTA Chair and following an online Forum held at the end of 2020. </w:t>
      </w:r>
      <w:r w:rsidR="00ED4350">
        <w:rPr>
          <w:rFonts w:ascii="Times New Roman" w:hAnsi="Times New Roman" w:cs="Times New Roman"/>
          <w:noProof/>
          <w:color w:val="000000"/>
          <w:sz w:val="24"/>
          <w:szCs w:val="24"/>
          <w:lang w:val="en-US"/>
        </w:rPr>
        <w:t xml:space="preserve">In order </w:t>
      </w:r>
      <w:r w:rsidR="00CF5298">
        <w:rPr>
          <w:rFonts w:ascii="Times New Roman" w:hAnsi="Times New Roman" w:cs="Times New Roman"/>
          <w:noProof/>
          <w:color w:val="000000"/>
          <w:sz w:val="24"/>
          <w:szCs w:val="24"/>
          <w:lang w:val="en-US"/>
        </w:rPr>
        <w:t>to ensure the best possible quality of the next Forum, the Commission is preparing</w:t>
      </w:r>
      <w:r w:rsidR="001116CA">
        <w:rPr>
          <w:rFonts w:ascii="Times New Roman" w:hAnsi="Times New Roman" w:cs="Times New Roman"/>
          <w:noProof/>
          <w:color w:val="000000"/>
          <w:sz w:val="24"/>
          <w:szCs w:val="24"/>
          <w:lang w:val="en-US"/>
        </w:rPr>
        <w:t>, with the host OCT</w:t>
      </w:r>
      <w:r w:rsidR="00CF5298">
        <w:rPr>
          <w:rFonts w:ascii="Times New Roman" w:hAnsi="Times New Roman" w:cs="Times New Roman"/>
          <w:noProof/>
          <w:color w:val="000000"/>
          <w:sz w:val="24"/>
          <w:szCs w:val="24"/>
          <w:lang w:val="en-US"/>
        </w:rPr>
        <w:t xml:space="preserve">, for a physical Forum </w:t>
      </w:r>
      <w:r w:rsidR="00DA7C45">
        <w:rPr>
          <w:rFonts w:ascii="Times New Roman" w:hAnsi="Times New Roman" w:cs="Times New Roman"/>
          <w:noProof/>
          <w:color w:val="000000"/>
          <w:sz w:val="24"/>
          <w:szCs w:val="24"/>
          <w:lang w:val="en-US"/>
        </w:rPr>
        <w:t xml:space="preserve">possibly </w:t>
      </w:r>
      <w:r w:rsidR="00CF5298">
        <w:rPr>
          <w:rFonts w:ascii="Times New Roman" w:hAnsi="Times New Roman" w:cs="Times New Roman"/>
          <w:noProof/>
          <w:color w:val="000000"/>
          <w:sz w:val="24"/>
          <w:szCs w:val="24"/>
          <w:lang w:val="en-US"/>
        </w:rPr>
        <w:t xml:space="preserve">to take place in the </w:t>
      </w:r>
      <w:r w:rsidR="00061837">
        <w:rPr>
          <w:rFonts w:ascii="Times New Roman" w:hAnsi="Times New Roman" w:cs="Times New Roman"/>
          <w:noProof/>
          <w:color w:val="000000"/>
          <w:sz w:val="24"/>
          <w:szCs w:val="24"/>
          <w:lang w:val="en-US"/>
        </w:rPr>
        <w:t xml:space="preserve">second </w:t>
      </w:r>
      <w:r w:rsidR="00CF5298">
        <w:rPr>
          <w:rFonts w:ascii="Times New Roman" w:hAnsi="Times New Roman" w:cs="Times New Roman"/>
          <w:noProof/>
          <w:color w:val="000000"/>
          <w:sz w:val="24"/>
          <w:szCs w:val="24"/>
          <w:lang w:val="en-US"/>
        </w:rPr>
        <w:t>semester of 2022</w:t>
      </w:r>
      <w:r w:rsidR="00631EBA">
        <w:rPr>
          <w:rFonts w:ascii="Times New Roman" w:hAnsi="Times New Roman" w:cs="Times New Roman"/>
          <w:noProof/>
          <w:color w:val="000000"/>
          <w:sz w:val="24"/>
          <w:szCs w:val="24"/>
          <w:lang w:val="en-US"/>
        </w:rPr>
        <w:t xml:space="preserve">. </w:t>
      </w:r>
    </w:p>
    <w:p w:rsidR="001116CA" w:rsidRPr="001116CA" w:rsidRDefault="001116CA" w:rsidP="00631EBA">
      <w:pPr>
        <w:autoSpaceDE w:val="0"/>
        <w:autoSpaceDN w:val="0"/>
        <w:adjustRightInd w:val="0"/>
        <w:spacing w:after="0" w:line="240" w:lineRule="auto"/>
        <w:jc w:val="both"/>
        <w:rPr>
          <w:rFonts w:ascii="Times New Roman" w:hAnsi="Times New Roman" w:cs="Times New Roman"/>
          <w:noProof/>
          <w:color w:val="000000"/>
          <w:sz w:val="24"/>
          <w:szCs w:val="24"/>
          <w:lang w:val="en-US"/>
        </w:rPr>
      </w:pPr>
    </w:p>
    <w:p w:rsidR="00631EBA" w:rsidRDefault="00631EBA" w:rsidP="00631EBA">
      <w:pPr>
        <w:autoSpaceDE w:val="0"/>
        <w:autoSpaceDN w:val="0"/>
        <w:adjustRightInd w:val="0"/>
        <w:spacing w:after="0" w:line="240" w:lineRule="auto"/>
        <w:rPr>
          <w:rFonts w:ascii="Times New Roman" w:hAnsi="Times New Roman" w:cs="Times New Roman"/>
          <w:noProof/>
          <w:color w:val="000000"/>
          <w:sz w:val="24"/>
          <w:szCs w:val="24"/>
          <w:u w:val="single"/>
          <w:lang w:val="en-US"/>
        </w:rPr>
      </w:pPr>
      <w:r>
        <w:rPr>
          <w:rFonts w:ascii="Times New Roman" w:hAnsi="Times New Roman" w:cs="Times New Roman"/>
          <w:noProof/>
          <w:color w:val="000000"/>
          <w:sz w:val="24"/>
          <w:szCs w:val="24"/>
          <w:u w:val="single"/>
          <w:lang w:val="en-US"/>
        </w:rPr>
        <w:t>Trilateral consultations (tripartite meetings)</w:t>
      </w:r>
    </w:p>
    <w:p w:rsidR="00631EBA" w:rsidRDefault="00631EBA" w:rsidP="00631EBA">
      <w:pPr>
        <w:autoSpaceDE w:val="0"/>
        <w:autoSpaceDN w:val="0"/>
        <w:adjustRightInd w:val="0"/>
        <w:spacing w:after="0" w:line="240" w:lineRule="auto"/>
        <w:rPr>
          <w:rFonts w:ascii="Times New Roman" w:hAnsi="Times New Roman" w:cs="Times New Roman"/>
          <w:noProof/>
          <w:color w:val="000000"/>
          <w:sz w:val="24"/>
          <w:szCs w:val="24"/>
          <w:lang w:val="en-US"/>
        </w:rPr>
      </w:pPr>
    </w:p>
    <w:p w:rsidR="00631EBA" w:rsidRDefault="00631EBA" w:rsidP="00631EBA">
      <w:pPr>
        <w:pStyle w:val="Default"/>
        <w:jc w:val="both"/>
        <w:rPr>
          <w:rFonts w:ascii="Times New Roman" w:hAnsi="Times New Roman" w:cs="Times New Roman"/>
          <w:noProof/>
          <w:lang w:val="en-US"/>
        </w:rPr>
      </w:pPr>
      <w:r>
        <w:rPr>
          <w:rFonts w:ascii="Times New Roman" w:hAnsi="Times New Roman" w:cs="Times New Roman"/>
          <w:b/>
          <w:bCs/>
          <w:noProof/>
          <w:lang w:val="en-US"/>
        </w:rPr>
        <w:t xml:space="preserve">Four tripartite meetings between the Commission (chair), OCT representatives and the Member States to which OCTs are linked were organised in 2021 </w:t>
      </w:r>
      <w:r>
        <w:rPr>
          <w:rFonts w:ascii="Times New Roman" w:hAnsi="Times New Roman" w:cs="Times New Roman"/>
          <w:bCs/>
          <w:noProof/>
          <w:lang w:val="en-US"/>
        </w:rPr>
        <w:t>in Brussels</w:t>
      </w:r>
      <w:r>
        <w:rPr>
          <w:rFonts w:ascii="Times New Roman" w:hAnsi="Times New Roman" w:cs="Times New Roman"/>
          <w:b/>
          <w:bCs/>
          <w:noProof/>
          <w:lang w:val="en-US"/>
        </w:rPr>
        <w:t xml:space="preserve"> </w:t>
      </w:r>
      <w:r>
        <w:rPr>
          <w:rFonts w:ascii="Times New Roman" w:hAnsi="Times New Roman" w:cs="Times New Roman"/>
          <w:noProof/>
          <w:lang w:val="en-US"/>
        </w:rPr>
        <w:t xml:space="preserve">(in April, July, October and December, all online due to COVID-19 circumstances). They offered a platform for </w:t>
      </w:r>
      <w:r w:rsidR="00061837">
        <w:rPr>
          <w:rFonts w:ascii="Times New Roman" w:hAnsi="Times New Roman" w:cs="Times New Roman"/>
          <w:noProof/>
          <w:lang w:val="en-US"/>
        </w:rPr>
        <w:t xml:space="preserve">policy </w:t>
      </w:r>
      <w:r>
        <w:rPr>
          <w:rFonts w:ascii="Times New Roman" w:hAnsi="Times New Roman" w:cs="Times New Roman"/>
          <w:noProof/>
          <w:lang w:val="en-US"/>
        </w:rPr>
        <w:t>dialogue to exchange relevant information, reflect on priority topics of common interest</w:t>
      </w:r>
      <w:r w:rsidR="001116CA">
        <w:rPr>
          <w:rFonts w:ascii="Times New Roman" w:hAnsi="Times New Roman" w:cs="Times New Roman"/>
          <w:noProof/>
          <w:lang w:val="en-US"/>
        </w:rPr>
        <w:t xml:space="preserve"> </w:t>
      </w:r>
      <w:r>
        <w:rPr>
          <w:rFonts w:ascii="Times New Roman" w:hAnsi="Times New Roman" w:cs="Times New Roman"/>
          <w:noProof/>
          <w:lang w:val="en-US"/>
        </w:rPr>
        <w:t>and monitor progress on the implementation of the association Decision.</w:t>
      </w:r>
    </w:p>
    <w:p w:rsidR="00631EBA" w:rsidRDefault="00631EBA" w:rsidP="00631EBA">
      <w:pPr>
        <w:pStyle w:val="Default"/>
        <w:jc w:val="both"/>
        <w:rPr>
          <w:rFonts w:ascii="Times New Roman" w:hAnsi="Times New Roman" w:cs="Times New Roman"/>
          <w:noProof/>
          <w:lang w:val="en-US"/>
        </w:rPr>
      </w:pPr>
    </w:p>
    <w:p w:rsidR="00631EBA" w:rsidRDefault="00631EBA" w:rsidP="00631EBA">
      <w:pPr>
        <w:autoSpaceDE w:val="0"/>
        <w:autoSpaceDN w:val="0"/>
        <w:adjustRightInd w:val="0"/>
        <w:spacing w:after="0" w:line="240" w:lineRule="auto"/>
        <w:rPr>
          <w:rFonts w:ascii="Times New Roman" w:hAnsi="Times New Roman" w:cs="Times New Roman"/>
          <w:noProof/>
          <w:color w:val="000000"/>
          <w:sz w:val="24"/>
          <w:szCs w:val="24"/>
          <w:u w:val="single"/>
          <w:lang w:val="en-US"/>
        </w:rPr>
      </w:pPr>
      <w:r>
        <w:rPr>
          <w:rFonts w:ascii="Times New Roman" w:hAnsi="Times New Roman" w:cs="Times New Roman"/>
          <w:noProof/>
          <w:color w:val="000000"/>
          <w:sz w:val="24"/>
          <w:szCs w:val="24"/>
          <w:u w:val="single"/>
          <w:lang w:val="en-US"/>
        </w:rPr>
        <w:t>Ad-hoc partnership working parties</w:t>
      </w:r>
    </w:p>
    <w:p w:rsidR="00631EBA" w:rsidRDefault="00631EBA" w:rsidP="00631EBA">
      <w:pPr>
        <w:autoSpaceDE w:val="0"/>
        <w:autoSpaceDN w:val="0"/>
        <w:adjustRightInd w:val="0"/>
        <w:spacing w:after="0" w:line="240" w:lineRule="auto"/>
        <w:rPr>
          <w:rFonts w:ascii="Times New Roman" w:hAnsi="Times New Roman" w:cs="Times New Roman"/>
          <w:noProof/>
          <w:color w:val="000000"/>
          <w:sz w:val="24"/>
          <w:szCs w:val="24"/>
          <w:u w:val="single"/>
          <w:lang w:val="en-US"/>
        </w:rPr>
      </w:pPr>
    </w:p>
    <w:p w:rsidR="00631EBA" w:rsidRDefault="00631EBA" w:rsidP="00631EBA">
      <w:pPr>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b/>
          <w:noProof/>
          <w:color w:val="000000"/>
          <w:sz w:val="24"/>
          <w:szCs w:val="24"/>
          <w:lang w:val="en-US"/>
        </w:rPr>
        <w:t>Two partnership working parties (PWPs) were organised in 2021 in Brussels</w:t>
      </w:r>
      <w:r w:rsidRPr="007D5A71">
        <w:rPr>
          <w:rFonts w:ascii="Times New Roman" w:hAnsi="Times New Roman" w:cs="Times New Roman"/>
          <w:noProof/>
          <w:color w:val="000000"/>
          <w:sz w:val="24"/>
          <w:szCs w:val="24"/>
          <w:lang w:val="en-US"/>
        </w:rPr>
        <w:t>.</w:t>
      </w:r>
      <w:r>
        <w:rPr>
          <w:rFonts w:ascii="Times New Roman" w:hAnsi="Times New Roman" w:cs="Times New Roman"/>
          <w:b/>
          <w:noProof/>
          <w:color w:val="000000"/>
          <w:sz w:val="24"/>
          <w:szCs w:val="24"/>
          <w:lang w:val="en-US"/>
        </w:rPr>
        <w:t xml:space="preserve"> </w:t>
      </w:r>
      <w:r>
        <w:rPr>
          <w:rFonts w:ascii="Times New Roman" w:hAnsi="Times New Roman" w:cs="Times New Roman"/>
          <w:noProof/>
          <w:color w:val="000000"/>
          <w:sz w:val="24"/>
          <w:szCs w:val="24"/>
          <w:lang w:val="en-US"/>
        </w:rPr>
        <w:t>The PWPs are ad-hoc technical level meetings allowing the Commission (chair), OCT representatives and the Member States to which OCTs are linked</w:t>
      </w:r>
      <w:r w:rsidR="0008495B">
        <w:rPr>
          <w:rFonts w:ascii="Times New Roman" w:hAnsi="Times New Roman" w:cs="Times New Roman"/>
          <w:noProof/>
          <w:color w:val="000000"/>
          <w:sz w:val="24"/>
          <w:szCs w:val="24"/>
          <w:lang w:val="en-US"/>
        </w:rPr>
        <w:t>,</w:t>
      </w:r>
      <w:r>
        <w:rPr>
          <w:rFonts w:ascii="Times New Roman" w:hAnsi="Times New Roman" w:cs="Times New Roman"/>
          <w:noProof/>
          <w:color w:val="000000"/>
          <w:sz w:val="24"/>
          <w:szCs w:val="24"/>
          <w:lang w:val="en-US"/>
        </w:rPr>
        <w:t xml:space="preserve"> to explore and discuss certain topics of mutual interest in further detail compared to the setting of the regular trilateral consultations.</w:t>
      </w:r>
    </w:p>
    <w:p w:rsidR="00631EBA" w:rsidRDefault="00631EBA" w:rsidP="00631EBA">
      <w:pPr>
        <w:autoSpaceDE w:val="0"/>
        <w:autoSpaceDN w:val="0"/>
        <w:adjustRightInd w:val="0"/>
        <w:spacing w:after="0" w:line="240" w:lineRule="auto"/>
        <w:jc w:val="both"/>
        <w:rPr>
          <w:rFonts w:ascii="Times New Roman" w:hAnsi="Times New Roman" w:cs="Times New Roman"/>
          <w:noProof/>
          <w:color w:val="000000"/>
          <w:sz w:val="24"/>
          <w:szCs w:val="24"/>
          <w:lang w:val="en-US"/>
        </w:rPr>
      </w:pPr>
    </w:p>
    <w:p w:rsidR="00631EBA" w:rsidRPr="007D5A71" w:rsidRDefault="00631EBA" w:rsidP="00631EBA">
      <w:pPr>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One PWP dedicated to </w:t>
      </w:r>
      <w:r w:rsidRPr="007D5A71">
        <w:rPr>
          <w:rFonts w:ascii="Times New Roman" w:hAnsi="Times New Roman" w:cs="Times New Roman"/>
          <w:b/>
          <w:noProof/>
          <w:color w:val="000000"/>
          <w:sz w:val="24"/>
          <w:szCs w:val="24"/>
          <w:lang w:val="en-US"/>
        </w:rPr>
        <w:t>environment and climate change</w:t>
      </w:r>
      <w:r>
        <w:rPr>
          <w:rFonts w:ascii="Times New Roman" w:hAnsi="Times New Roman" w:cs="Times New Roman"/>
          <w:noProof/>
          <w:color w:val="000000"/>
          <w:sz w:val="24"/>
          <w:szCs w:val="24"/>
          <w:lang w:val="en-US"/>
        </w:rPr>
        <w:t xml:space="preserve"> was organised in June 2021, and one dedicated to </w:t>
      </w:r>
      <w:r w:rsidRPr="007D5A71">
        <w:rPr>
          <w:rFonts w:ascii="Times New Roman" w:hAnsi="Times New Roman" w:cs="Times New Roman"/>
          <w:b/>
          <w:noProof/>
          <w:color w:val="000000"/>
          <w:sz w:val="24"/>
          <w:szCs w:val="24"/>
          <w:lang w:val="en-US"/>
        </w:rPr>
        <w:t>trade and regional integration</w:t>
      </w:r>
      <w:r>
        <w:rPr>
          <w:rFonts w:ascii="Times New Roman" w:hAnsi="Times New Roman" w:cs="Times New Roman"/>
          <w:noProof/>
          <w:color w:val="000000"/>
          <w:sz w:val="24"/>
          <w:szCs w:val="24"/>
          <w:lang w:val="en-US"/>
        </w:rPr>
        <w:t xml:space="preserve"> in November 2021.</w:t>
      </w:r>
    </w:p>
    <w:p w:rsidR="00631EBA" w:rsidRDefault="00631EBA" w:rsidP="00004E65">
      <w:pPr>
        <w:pStyle w:val="Default"/>
        <w:jc w:val="both"/>
        <w:rPr>
          <w:rFonts w:ascii="Times New Roman" w:hAnsi="Times New Roman" w:cs="Times New Roman"/>
          <w:noProof/>
          <w:color w:val="auto"/>
          <w:lang w:val="en-US"/>
        </w:rPr>
      </w:pPr>
    </w:p>
    <w:p w:rsidR="008367CD" w:rsidRDefault="008367CD" w:rsidP="008367CD">
      <w:pPr>
        <w:pStyle w:val="ListParagraph"/>
        <w:autoSpaceDE w:val="0"/>
        <w:autoSpaceDN w:val="0"/>
        <w:adjustRightInd w:val="0"/>
        <w:spacing w:after="0" w:line="240" w:lineRule="auto"/>
        <w:ind w:left="1080"/>
        <w:rPr>
          <w:rFonts w:ascii="Times New Roman" w:hAnsi="Times New Roman" w:cs="Times New Roman"/>
          <w:b/>
          <w:bCs/>
          <w:noProof/>
          <w:color w:val="000000"/>
          <w:sz w:val="24"/>
          <w:szCs w:val="24"/>
          <w:u w:val="single"/>
          <w:lang w:val="en-US"/>
        </w:rPr>
      </w:pPr>
    </w:p>
    <w:p w:rsidR="00F16E8D" w:rsidRDefault="00F16E8D" w:rsidP="008367CD">
      <w:pPr>
        <w:pStyle w:val="ListParagraph"/>
        <w:autoSpaceDE w:val="0"/>
        <w:autoSpaceDN w:val="0"/>
        <w:adjustRightInd w:val="0"/>
        <w:spacing w:after="0" w:line="240" w:lineRule="auto"/>
        <w:ind w:left="1080"/>
        <w:rPr>
          <w:rFonts w:ascii="Times New Roman" w:hAnsi="Times New Roman" w:cs="Times New Roman"/>
          <w:b/>
          <w:bCs/>
          <w:noProof/>
          <w:color w:val="000000"/>
          <w:sz w:val="24"/>
          <w:szCs w:val="24"/>
          <w:u w:val="single"/>
          <w:lang w:val="en-US"/>
        </w:rPr>
      </w:pPr>
    </w:p>
    <w:p w:rsidR="00F16E8D" w:rsidRDefault="00F16E8D" w:rsidP="008367CD">
      <w:pPr>
        <w:pStyle w:val="ListParagraph"/>
        <w:autoSpaceDE w:val="0"/>
        <w:autoSpaceDN w:val="0"/>
        <w:adjustRightInd w:val="0"/>
        <w:spacing w:after="0" w:line="240" w:lineRule="auto"/>
        <w:ind w:left="1080"/>
        <w:rPr>
          <w:rFonts w:ascii="Times New Roman" w:hAnsi="Times New Roman" w:cs="Times New Roman"/>
          <w:b/>
          <w:bCs/>
          <w:noProof/>
          <w:color w:val="000000"/>
          <w:sz w:val="24"/>
          <w:szCs w:val="24"/>
          <w:u w:val="single"/>
          <w:lang w:val="en-US"/>
        </w:rPr>
      </w:pPr>
    </w:p>
    <w:p w:rsidR="00004E65" w:rsidRPr="005B6BFB" w:rsidRDefault="005B6BFB" w:rsidP="005B6BFB">
      <w:pPr>
        <w:pStyle w:val="ListParagraph"/>
        <w:numPr>
          <w:ilvl w:val="0"/>
          <w:numId w:val="13"/>
        </w:numPr>
        <w:autoSpaceDE w:val="0"/>
        <w:autoSpaceDN w:val="0"/>
        <w:adjustRightInd w:val="0"/>
        <w:spacing w:after="0" w:line="240" w:lineRule="auto"/>
        <w:rPr>
          <w:rFonts w:ascii="Times New Roman" w:hAnsi="Times New Roman" w:cs="Times New Roman"/>
          <w:b/>
          <w:bCs/>
          <w:noProof/>
          <w:color w:val="000000"/>
          <w:sz w:val="24"/>
          <w:szCs w:val="24"/>
          <w:u w:val="single"/>
          <w:lang w:val="en-US"/>
        </w:rPr>
      </w:pPr>
      <w:r>
        <w:rPr>
          <w:rFonts w:ascii="Times New Roman" w:hAnsi="Times New Roman" w:cs="Times New Roman"/>
          <w:b/>
          <w:bCs/>
          <w:noProof/>
          <w:color w:val="000000"/>
          <w:sz w:val="24"/>
          <w:szCs w:val="24"/>
          <w:u w:val="single"/>
          <w:lang w:val="en-US"/>
        </w:rPr>
        <w:t>LOOKING AHEAD</w:t>
      </w:r>
    </w:p>
    <w:p w:rsidR="00004E65" w:rsidRDefault="00004E65" w:rsidP="00004E65">
      <w:pPr>
        <w:autoSpaceDE w:val="0"/>
        <w:autoSpaceDN w:val="0"/>
        <w:adjustRightInd w:val="0"/>
        <w:spacing w:after="0" w:line="240" w:lineRule="auto"/>
        <w:rPr>
          <w:rFonts w:ascii="Times New Roman" w:hAnsi="Times New Roman" w:cs="Times New Roman"/>
          <w:noProof/>
          <w:color w:val="000000"/>
          <w:sz w:val="24"/>
          <w:szCs w:val="24"/>
          <w:u w:val="single"/>
          <w:lang w:val="en-US"/>
        </w:rPr>
      </w:pPr>
    </w:p>
    <w:p w:rsidR="00004E65" w:rsidRDefault="00643DA1" w:rsidP="00004E65">
      <w:pPr>
        <w:autoSpaceDE w:val="0"/>
        <w:autoSpaceDN w:val="0"/>
        <w:adjustRightInd w:val="0"/>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After a dense</w:t>
      </w:r>
      <w:r w:rsidR="00327674">
        <w:rPr>
          <w:rFonts w:ascii="Times New Roman" w:hAnsi="Times New Roman" w:cs="Times New Roman"/>
          <w:noProof/>
          <w:color w:val="000000"/>
          <w:sz w:val="24"/>
          <w:szCs w:val="24"/>
          <w:lang w:val="en-US"/>
        </w:rPr>
        <w:t xml:space="preserve"> year 2021 in te</w:t>
      </w:r>
      <w:r>
        <w:rPr>
          <w:rFonts w:ascii="Times New Roman" w:hAnsi="Times New Roman" w:cs="Times New Roman"/>
          <w:noProof/>
          <w:color w:val="000000"/>
          <w:sz w:val="24"/>
          <w:szCs w:val="24"/>
          <w:lang w:val="en-US"/>
        </w:rPr>
        <w:t>rms of renewing the partnership</w:t>
      </w:r>
      <w:r w:rsidR="00327674">
        <w:rPr>
          <w:rFonts w:ascii="Times New Roman" w:hAnsi="Times New Roman" w:cs="Times New Roman"/>
          <w:noProof/>
          <w:color w:val="000000"/>
          <w:sz w:val="24"/>
          <w:szCs w:val="24"/>
          <w:lang w:val="en-US"/>
        </w:rPr>
        <w:t xml:space="preserve"> with the 13 OCTs associated with the EU, focused on setting in place the new legal basis and approving most of the programming</w:t>
      </w:r>
      <w:r w:rsidR="00061837">
        <w:rPr>
          <w:rFonts w:ascii="Times New Roman" w:hAnsi="Times New Roman" w:cs="Times New Roman"/>
          <w:noProof/>
          <w:color w:val="000000"/>
          <w:sz w:val="24"/>
          <w:szCs w:val="24"/>
          <w:lang w:val="en-US"/>
        </w:rPr>
        <w:t xml:space="preserve"> documents</w:t>
      </w:r>
      <w:r w:rsidR="00327674">
        <w:rPr>
          <w:rFonts w:ascii="Times New Roman" w:hAnsi="Times New Roman" w:cs="Times New Roman"/>
          <w:noProof/>
          <w:color w:val="000000"/>
          <w:sz w:val="24"/>
          <w:szCs w:val="24"/>
          <w:lang w:val="en-US"/>
        </w:rPr>
        <w:t>, t</w:t>
      </w:r>
      <w:r w:rsidR="007D5A71">
        <w:rPr>
          <w:rFonts w:ascii="Times New Roman" w:hAnsi="Times New Roman" w:cs="Times New Roman"/>
          <w:noProof/>
          <w:color w:val="000000"/>
          <w:sz w:val="24"/>
          <w:szCs w:val="24"/>
          <w:lang w:val="en-US"/>
        </w:rPr>
        <w:t>he year 2022</w:t>
      </w:r>
      <w:r w:rsidR="00004E65">
        <w:rPr>
          <w:rFonts w:ascii="Times New Roman" w:hAnsi="Times New Roman" w:cs="Times New Roman"/>
          <w:noProof/>
          <w:color w:val="000000"/>
          <w:sz w:val="24"/>
          <w:szCs w:val="24"/>
          <w:lang w:val="en-US"/>
        </w:rPr>
        <w:t xml:space="preserve"> </w:t>
      </w:r>
      <w:r w:rsidR="007D5A71">
        <w:rPr>
          <w:rFonts w:ascii="Times New Roman" w:hAnsi="Times New Roman" w:cs="Times New Roman"/>
          <w:noProof/>
          <w:color w:val="000000"/>
          <w:sz w:val="24"/>
          <w:szCs w:val="24"/>
          <w:lang w:val="en-US"/>
        </w:rPr>
        <w:t xml:space="preserve">will see the start of implementation of the 11 adopted MIPs and the adoption of the remaining four. The implementation of activities still outstanding under the </w:t>
      </w:r>
      <w:r>
        <w:rPr>
          <w:rFonts w:ascii="Times New Roman" w:hAnsi="Times New Roman" w:cs="Times New Roman"/>
          <w:noProof/>
          <w:color w:val="000000"/>
          <w:sz w:val="24"/>
          <w:szCs w:val="24"/>
          <w:lang w:val="en-US"/>
        </w:rPr>
        <w:t>previous OCT Decision (</w:t>
      </w:r>
      <w:r w:rsidR="00631EBA">
        <w:rPr>
          <w:rFonts w:ascii="Times New Roman" w:hAnsi="Times New Roman" w:cs="Times New Roman"/>
          <w:noProof/>
          <w:color w:val="000000"/>
          <w:sz w:val="24"/>
          <w:szCs w:val="24"/>
          <w:lang w:val="en-US"/>
        </w:rPr>
        <w:t>10</w:t>
      </w:r>
      <w:r w:rsidR="00631EBA" w:rsidRPr="00631EBA">
        <w:rPr>
          <w:rFonts w:ascii="Times New Roman" w:hAnsi="Times New Roman" w:cs="Times New Roman"/>
          <w:noProof/>
          <w:color w:val="000000"/>
          <w:sz w:val="24"/>
          <w:szCs w:val="24"/>
          <w:vertAlign w:val="superscript"/>
          <w:lang w:val="en-US"/>
        </w:rPr>
        <w:t>th</w:t>
      </w:r>
      <w:r w:rsidR="00631EBA">
        <w:rPr>
          <w:rFonts w:ascii="Times New Roman" w:hAnsi="Times New Roman" w:cs="Times New Roman"/>
          <w:noProof/>
          <w:color w:val="000000"/>
          <w:sz w:val="24"/>
          <w:szCs w:val="24"/>
          <w:lang w:val="en-US"/>
        </w:rPr>
        <w:t xml:space="preserve"> and </w:t>
      </w:r>
      <w:r w:rsidR="007D5A71">
        <w:rPr>
          <w:rFonts w:ascii="Times New Roman" w:hAnsi="Times New Roman" w:cs="Times New Roman"/>
          <w:noProof/>
          <w:color w:val="000000"/>
          <w:sz w:val="24"/>
          <w:szCs w:val="24"/>
          <w:lang w:val="en-US"/>
        </w:rPr>
        <w:t>11</w:t>
      </w:r>
      <w:r w:rsidR="007D5A71" w:rsidRPr="007D5A71">
        <w:rPr>
          <w:rFonts w:ascii="Times New Roman" w:hAnsi="Times New Roman" w:cs="Times New Roman"/>
          <w:noProof/>
          <w:color w:val="000000"/>
          <w:sz w:val="24"/>
          <w:szCs w:val="24"/>
          <w:vertAlign w:val="superscript"/>
          <w:lang w:val="en-US"/>
        </w:rPr>
        <w:t>th</w:t>
      </w:r>
      <w:r w:rsidR="007D5A71">
        <w:rPr>
          <w:rFonts w:ascii="Times New Roman" w:hAnsi="Times New Roman" w:cs="Times New Roman"/>
          <w:noProof/>
          <w:color w:val="000000"/>
          <w:sz w:val="24"/>
          <w:szCs w:val="24"/>
          <w:lang w:val="en-US"/>
        </w:rPr>
        <w:t xml:space="preserve"> EDF</w:t>
      </w:r>
      <w:r w:rsidR="00631EBA">
        <w:rPr>
          <w:rFonts w:ascii="Times New Roman" w:hAnsi="Times New Roman" w:cs="Times New Roman"/>
          <w:noProof/>
          <w:color w:val="000000"/>
          <w:sz w:val="24"/>
          <w:szCs w:val="24"/>
          <w:lang w:val="en-US"/>
        </w:rPr>
        <w:t>s</w:t>
      </w:r>
      <w:r>
        <w:rPr>
          <w:rFonts w:ascii="Times New Roman" w:hAnsi="Times New Roman" w:cs="Times New Roman"/>
          <w:noProof/>
          <w:color w:val="000000"/>
          <w:sz w:val="24"/>
          <w:szCs w:val="24"/>
          <w:lang w:val="en-US"/>
        </w:rPr>
        <w:t>)</w:t>
      </w:r>
      <w:r w:rsidR="00631EBA">
        <w:rPr>
          <w:rFonts w:ascii="Times New Roman" w:hAnsi="Times New Roman" w:cs="Times New Roman"/>
          <w:noProof/>
          <w:color w:val="000000"/>
          <w:sz w:val="24"/>
          <w:szCs w:val="24"/>
          <w:lang w:val="en-US"/>
        </w:rPr>
        <w:t xml:space="preserve"> </w:t>
      </w:r>
      <w:r w:rsidR="007D5A71">
        <w:rPr>
          <w:rFonts w:ascii="Times New Roman" w:hAnsi="Times New Roman" w:cs="Times New Roman"/>
          <w:noProof/>
          <w:color w:val="000000"/>
          <w:sz w:val="24"/>
          <w:szCs w:val="24"/>
          <w:lang w:val="en-US"/>
        </w:rPr>
        <w:t>will continue until their closure.</w:t>
      </w:r>
      <w:r w:rsidR="00F31761">
        <w:rPr>
          <w:rFonts w:ascii="Times New Roman" w:hAnsi="Times New Roman" w:cs="Times New Roman"/>
          <w:noProof/>
          <w:color w:val="000000"/>
          <w:sz w:val="24"/>
          <w:szCs w:val="24"/>
          <w:lang w:val="en-US"/>
        </w:rPr>
        <w:t xml:space="preserve"> </w:t>
      </w:r>
      <w:r w:rsidR="00DA7C45">
        <w:rPr>
          <w:rFonts w:ascii="Times New Roman" w:hAnsi="Times New Roman" w:cs="Times New Roman"/>
          <w:noProof/>
          <w:color w:val="000000"/>
          <w:sz w:val="24"/>
          <w:szCs w:val="24"/>
          <w:lang w:val="en-US"/>
        </w:rPr>
        <w:t xml:space="preserve">The next EU-OCT Forum </w:t>
      </w:r>
      <w:r>
        <w:rPr>
          <w:rFonts w:ascii="Times New Roman" w:hAnsi="Times New Roman" w:cs="Times New Roman"/>
          <w:noProof/>
          <w:color w:val="000000"/>
          <w:sz w:val="24"/>
          <w:szCs w:val="24"/>
          <w:lang w:val="en-US"/>
        </w:rPr>
        <w:t>foresee</w:t>
      </w:r>
      <w:r w:rsidR="0008495B">
        <w:rPr>
          <w:rFonts w:ascii="Times New Roman" w:hAnsi="Times New Roman" w:cs="Times New Roman"/>
          <w:noProof/>
          <w:color w:val="000000"/>
          <w:sz w:val="24"/>
          <w:szCs w:val="24"/>
          <w:lang w:val="en-US"/>
        </w:rPr>
        <w:t xml:space="preserve">n in </w:t>
      </w:r>
      <w:r>
        <w:rPr>
          <w:rFonts w:ascii="Times New Roman" w:hAnsi="Times New Roman" w:cs="Times New Roman"/>
          <w:noProof/>
          <w:color w:val="000000"/>
          <w:sz w:val="24"/>
          <w:szCs w:val="24"/>
          <w:lang w:val="en-US"/>
        </w:rPr>
        <w:t>the sec</w:t>
      </w:r>
      <w:r w:rsidR="00BE3C90">
        <w:rPr>
          <w:rFonts w:ascii="Times New Roman" w:hAnsi="Times New Roman" w:cs="Times New Roman"/>
          <w:noProof/>
          <w:color w:val="000000"/>
          <w:sz w:val="24"/>
          <w:szCs w:val="24"/>
          <w:lang w:val="en-US"/>
        </w:rPr>
        <w:t>o</w:t>
      </w:r>
      <w:r>
        <w:rPr>
          <w:rFonts w:ascii="Times New Roman" w:hAnsi="Times New Roman" w:cs="Times New Roman"/>
          <w:noProof/>
          <w:color w:val="000000"/>
          <w:sz w:val="24"/>
          <w:szCs w:val="24"/>
          <w:lang w:val="en-US"/>
        </w:rPr>
        <w:t xml:space="preserve">nd Semester of </w:t>
      </w:r>
      <w:r w:rsidR="0008495B">
        <w:rPr>
          <w:rFonts w:ascii="Times New Roman" w:hAnsi="Times New Roman" w:cs="Times New Roman"/>
          <w:noProof/>
          <w:color w:val="000000"/>
          <w:sz w:val="24"/>
          <w:szCs w:val="24"/>
          <w:lang w:val="en-US"/>
        </w:rPr>
        <w:t xml:space="preserve">2022 </w:t>
      </w:r>
      <w:r w:rsidR="00DA7C45">
        <w:rPr>
          <w:rFonts w:ascii="Times New Roman" w:hAnsi="Times New Roman" w:cs="Times New Roman"/>
          <w:noProof/>
          <w:color w:val="000000"/>
          <w:sz w:val="24"/>
          <w:szCs w:val="24"/>
          <w:lang w:val="en-US"/>
        </w:rPr>
        <w:t>will allow to take s</w:t>
      </w:r>
      <w:r w:rsidR="00327674">
        <w:rPr>
          <w:rFonts w:ascii="Times New Roman" w:hAnsi="Times New Roman" w:cs="Times New Roman"/>
          <w:noProof/>
          <w:color w:val="000000"/>
          <w:sz w:val="24"/>
          <w:szCs w:val="24"/>
          <w:lang w:val="en-US"/>
        </w:rPr>
        <w:t>tock</w:t>
      </w:r>
      <w:r>
        <w:rPr>
          <w:rFonts w:ascii="Times New Roman" w:hAnsi="Times New Roman" w:cs="Times New Roman"/>
          <w:noProof/>
          <w:color w:val="000000"/>
          <w:sz w:val="24"/>
          <w:szCs w:val="24"/>
          <w:lang w:val="en-US"/>
        </w:rPr>
        <w:t xml:space="preserve"> of the implementation so far, to jointly look ahead at priorities and challenges,</w:t>
      </w:r>
      <w:r w:rsidR="00DA7C45">
        <w:rPr>
          <w:rFonts w:ascii="Times New Roman" w:hAnsi="Times New Roman" w:cs="Times New Roman"/>
          <w:noProof/>
          <w:color w:val="000000"/>
          <w:sz w:val="24"/>
          <w:szCs w:val="24"/>
          <w:lang w:val="en-US"/>
        </w:rPr>
        <w:t xml:space="preserve"> and to deepen </w:t>
      </w:r>
      <w:r w:rsidR="0008495B">
        <w:rPr>
          <w:rFonts w:ascii="Times New Roman" w:hAnsi="Times New Roman" w:cs="Times New Roman"/>
          <w:noProof/>
          <w:color w:val="000000"/>
          <w:sz w:val="24"/>
          <w:szCs w:val="24"/>
          <w:lang w:val="en-US"/>
        </w:rPr>
        <w:t xml:space="preserve">further </w:t>
      </w:r>
      <w:r w:rsidR="00DA7C45">
        <w:rPr>
          <w:rFonts w:ascii="Times New Roman" w:hAnsi="Times New Roman" w:cs="Times New Roman"/>
          <w:noProof/>
          <w:color w:val="000000"/>
          <w:sz w:val="24"/>
          <w:szCs w:val="24"/>
          <w:lang w:val="en-US"/>
        </w:rPr>
        <w:t xml:space="preserve">the high level </w:t>
      </w:r>
      <w:r w:rsidR="00F31761">
        <w:rPr>
          <w:rFonts w:ascii="Times New Roman" w:hAnsi="Times New Roman" w:cs="Times New Roman"/>
          <w:noProof/>
          <w:color w:val="000000"/>
          <w:sz w:val="24"/>
          <w:szCs w:val="24"/>
          <w:lang w:val="en-US"/>
        </w:rPr>
        <w:t xml:space="preserve">political dialogue </w:t>
      </w:r>
      <w:r>
        <w:rPr>
          <w:rFonts w:ascii="Times New Roman" w:hAnsi="Times New Roman" w:cs="Times New Roman"/>
          <w:noProof/>
          <w:color w:val="000000"/>
          <w:sz w:val="24"/>
          <w:szCs w:val="24"/>
          <w:lang w:val="en-US"/>
        </w:rPr>
        <w:t>of our EU-OCT partnership.</w:t>
      </w:r>
    </w:p>
    <w:p w:rsidR="00004E65" w:rsidRDefault="00004E65" w:rsidP="00004E65">
      <w:pPr>
        <w:autoSpaceDE w:val="0"/>
        <w:autoSpaceDN w:val="0"/>
        <w:adjustRightInd w:val="0"/>
        <w:spacing w:after="0" w:line="240" w:lineRule="auto"/>
        <w:jc w:val="both"/>
        <w:rPr>
          <w:rFonts w:ascii="Times New Roman" w:hAnsi="Times New Roman" w:cs="Times New Roman"/>
          <w:noProof/>
          <w:color w:val="000000"/>
          <w:sz w:val="24"/>
          <w:szCs w:val="24"/>
          <w:lang w:val="en-US"/>
        </w:rPr>
      </w:pPr>
    </w:p>
    <w:p w:rsidR="00327674" w:rsidRPr="00E86CA9" w:rsidRDefault="00327674" w:rsidP="00075844">
      <w:pPr>
        <w:rPr>
          <w:b/>
          <w:noProof/>
          <w:lang w:val="en-US"/>
        </w:rPr>
      </w:pPr>
    </w:p>
    <w:sectPr w:rsidR="00327674" w:rsidRPr="00E86CA9" w:rsidSect="00DB70C6">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0D6" w:rsidRDefault="002730D6" w:rsidP="00075844">
      <w:pPr>
        <w:spacing w:after="0" w:line="240" w:lineRule="auto"/>
      </w:pPr>
      <w:r>
        <w:separator/>
      </w:r>
    </w:p>
  </w:endnote>
  <w:endnote w:type="continuationSeparator" w:id="0">
    <w:p w:rsidR="002730D6" w:rsidRDefault="002730D6" w:rsidP="0007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BCE" w:rsidRPr="00407BCE" w:rsidRDefault="00407BCE" w:rsidP="00407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BCE" w:rsidRPr="00407BCE" w:rsidRDefault="00407BCE" w:rsidP="00407BCE">
    <w:pPr>
      <w:pStyle w:val="FooterCoverPage"/>
      <w:rPr>
        <w:rFonts w:ascii="Arial" w:hAnsi="Arial" w:cs="Arial"/>
        <w:b/>
        <w:sz w:val="48"/>
      </w:rPr>
    </w:pPr>
    <w:r w:rsidRPr="00407BCE">
      <w:rPr>
        <w:rFonts w:ascii="Arial" w:hAnsi="Arial" w:cs="Arial"/>
        <w:b/>
        <w:sz w:val="48"/>
      </w:rPr>
      <w:t>EN</w:t>
    </w:r>
    <w:r w:rsidRPr="00407BCE">
      <w:rPr>
        <w:rFonts w:ascii="Arial" w:hAnsi="Arial" w:cs="Arial"/>
        <w:b/>
        <w:sz w:val="48"/>
      </w:rPr>
      <w:tab/>
    </w:r>
    <w:r w:rsidRPr="00407BCE">
      <w:rPr>
        <w:rFonts w:ascii="Arial" w:hAnsi="Arial" w:cs="Arial"/>
        <w:b/>
        <w:sz w:val="48"/>
      </w:rPr>
      <w:tab/>
    </w:r>
    <w:r w:rsidRPr="00407BCE">
      <w:tab/>
    </w:r>
    <w:r w:rsidRPr="00407BC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BCE" w:rsidRPr="00407BCE" w:rsidRDefault="00407BCE" w:rsidP="00407BC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0C6" w:rsidRDefault="00DB70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538403"/>
      <w:docPartObj>
        <w:docPartGallery w:val="Page Numbers (Bottom of Page)"/>
        <w:docPartUnique/>
      </w:docPartObj>
    </w:sdtPr>
    <w:sdtEndPr>
      <w:rPr>
        <w:noProof/>
      </w:rPr>
    </w:sdtEndPr>
    <w:sdtContent>
      <w:p w:rsidR="00DB70C6" w:rsidRDefault="00DB70C6">
        <w:pPr>
          <w:pStyle w:val="Footer"/>
          <w:jc w:val="right"/>
        </w:pPr>
        <w:r>
          <w:fldChar w:fldCharType="begin"/>
        </w:r>
        <w:r>
          <w:instrText xml:space="preserve"> PAGE   \* MERGEFORMAT </w:instrText>
        </w:r>
        <w:r>
          <w:fldChar w:fldCharType="separate"/>
        </w:r>
        <w:r w:rsidR="00407BCE">
          <w:rPr>
            <w:noProof/>
          </w:rPr>
          <w:t>1</w:t>
        </w:r>
        <w:r>
          <w:rPr>
            <w:noProof/>
          </w:rPr>
          <w:fldChar w:fldCharType="end"/>
        </w:r>
      </w:p>
    </w:sdtContent>
  </w:sdt>
  <w:p w:rsidR="00DB70C6" w:rsidRDefault="00DB70C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0C6" w:rsidRDefault="00DB7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0D6" w:rsidRDefault="002730D6" w:rsidP="00075844">
      <w:pPr>
        <w:spacing w:after="0" w:line="240" w:lineRule="auto"/>
      </w:pPr>
      <w:r>
        <w:separator/>
      </w:r>
    </w:p>
  </w:footnote>
  <w:footnote w:type="continuationSeparator" w:id="0">
    <w:p w:rsidR="002730D6" w:rsidRDefault="002730D6" w:rsidP="00075844">
      <w:pPr>
        <w:spacing w:after="0" w:line="240" w:lineRule="auto"/>
      </w:pPr>
      <w:r>
        <w:continuationSeparator/>
      </w:r>
    </w:p>
  </w:footnote>
  <w:footnote w:id="1">
    <w:p w:rsidR="008F6228" w:rsidRDefault="008F6228" w:rsidP="008F6228">
      <w:pPr>
        <w:pStyle w:val="FootnoteText"/>
        <w:ind w:left="240" w:hanging="240"/>
        <w:jc w:val="both"/>
        <w:rPr>
          <w:rFonts w:ascii="Times New Roman" w:hAnsi="Times New Roman" w:cs="Times New Roman"/>
          <w:vertAlign w:val="superscript"/>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vertAlign w:val="superscript"/>
        </w:rPr>
        <w:tab/>
      </w:r>
      <w:r w:rsidRPr="008F6228">
        <w:rPr>
          <w:rFonts w:ascii="Times New Roman" w:hAnsi="Times New Roman" w:cs="Times New Roman"/>
        </w:rPr>
        <w:t>The United Kingdom’s withdrawal from the EU on 31 January 2020 resulted in 12 now former UK OCTs leaving the group. As a result, 13 OCTs remain:</w:t>
      </w:r>
      <w:r>
        <w:rPr>
          <w:rFonts w:ascii="Times New Roman" w:hAnsi="Times New Roman" w:cs="Times New Roman"/>
          <w:vertAlign w:val="superscript"/>
        </w:rPr>
        <w:t xml:space="preserve"> </w:t>
      </w:r>
      <w:r>
        <w:rPr>
          <w:rFonts w:ascii="Times New Roman" w:hAnsi="Times New Roman" w:cs="Times New Roman"/>
        </w:rPr>
        <w:t>Greenland (DK), French Polynesia (FR), French Southern and Antarctic Territories (FR), New Caledonia (FR), Saint Barthélemy (FR), St. Pierre and Miquelon (FR), Wallis and Futuna Islands (FR), Aruba (NL), Bonaire (NL), Curaçao (NL), Saba (NL), Sint Eustatius (NL), Sint Maarten (NL).</w:t>
      </w:r>
      <w:r>
        <w:rPr>
          <w:rFonts w:ascii="Times New Roman" w:hAnsi="Times New Roman" w:cs="Times New Roman"/>
          <w:vertAlign w:val="superscript"/>
        </w:rPr>
        <w:t xml:space="preserve"> </w:t>
      </w:r>
    </w:p>
  </w:footnote>
  <w:footnote w:id="2">
    <w:p w:rsidR="002809C2" w:rsidRPr="001D5642" w:rsidRDefault="002809C2" w:rsidP="001D5642">
      <w:pPr>
        <w:pStyle w:val="FootnoteText"/>
        <w:ind w:left="240" w:hanging="24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vertAlign w:val="superscript"/>
        </w:rPr>
        <w:tab/>
      </w:r>
      <w:r w:rsidR="001D5642">
        <w:rPr>
          <w:rFonts w:ascii="Times New Roman" w:hAnsi="Times New Roman" w:cs="Times New Roman"/>
        </w:rPr>
        <w:t xml:space="preserve">Council Decision 2021/1764 of 5 October 2021 </w:t>
      </w:r>
      <w:r w:rsidR="001D5642" w:rsidRPr="001D5642">
        <w:rPr>
          <w:rFonts w:ascii="Times New Roman" w:hAnsi="Times New Roman" w:cs="Times New Roman"/>
        </w:rPr>
        <w:t>on the association of the Overseas Countries and Territories wit</w:t>
      </w:r>
      <w:r w:rsidR="001D5642">
        <w:rPr>
          <w:rFonts w:ascii="Times New Roman" w:hAnsi="Times New Roman" w:cs="Times New Roman"/>
        </w:rPr>
        <w:t xml:space="preserve">h the European Union including </w:t>
      </w:r>
      <w:r w:rsidR="001D5642" w:rsidRPr="001D5642">
        <w:rPr>
          <w:rFonts w:ascii="Times New Roman" w:hAnsi="Times New Roman" w:cs="Times New Roman"/>
        </w:rPr>
        <w:t>relations between the European Union on the one hand, and Greenland and the</w:t>
      </w:r>
      <w:r w:rsidR="001D5642">
        <w:rPr>
          <w:rFonts w:ascii="Times New Roman" w:hAnsi="Times New Roman" w:cs="Times New Roman"/>
        </w:rPr>
        <w:t xml:space="preserve"> Kingdom of </w:t>
      </w:r>
      <w:r w:rsidR="001D5642" w:rsidRPr="001D5642">
        <w:rPr>
          <w:rFonts w:ascii="Times New Roman" w:hAnsi="Times New Roman" w:cs="Times New Roman"/>
        </w:rPr>
        <w:t>Denmark on the other (Decision on the Overseas Association, including Greenland)</w:t>
      </w:r>
      <w:r>
        <w:rPr>
          <w:rFonts w:ascii="Times New Roman" w:hAnsi="Times New Roman" w:cs="Times New Roman"/>
        </w:rPr>
        <w:t>.</w:t>
      </w:r>
    </w:p>
  </w:footnote>
  <w:footnote w:id="3">
    <w:p w:rsidR="00075844" w:rsidRDefault="00075844" w:rsidP="009E12A7">
      <w:pPr>
        <w:pStyle w:val="FootnoteText"/>
        <w:ind w:left="240" w:hanging="240"/>
        <w:jc w:val="both"/>
        <w:rPr>
          <w:rFonts w:ascii="Times New Roman" w:hAnsi="Times New Roman" w:cs="Times New Roman"/>
          <w:vertAlign w:val="superscript"/>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sidR="009E12A7">
        <w:rPr>
          <w:rFonts w:ascii="Times New Roman" w:hAnsi="Times New Roman" w:cs="Times New Roman"/>
          <w:vertAlign w:val="superscript"/>
        </w:rPr>
        <w:tab/>
      </w:r>
      <w:r>
        <w:rPr>
          <w:rFonts w:ascii="Times New Roman" w:hAnsi="Times New Roman" w:cs="Times New Roman"/>
        </w:rPr>
        <w:t>Part Four of the Treaty on the Functioning of the European Union (C 326/47 of 26.10.2012).</w:t>
      </w:r>
      <w:r>
        <w:rPr>
          <w:rFonts w:ascii="Times New Roman" w:hAnsi="Times New Roman" w:cs="Times New Roman"/>
          <w:vertAlign w:val="superscript"/>
        </w:rPr>
        <w:t xml:space="preserve"> </w:t>
      </w:r>
    </w:p>
  </w:footnote>
  <w:footnote w:id="4">
    <w:p w:rsidR="001D5642" w:rsidRPr="001D5642" w:rsidRDefault="001D5642" w:rsidP="001D5642">
      <w:pPr>
        <w:pStyle w:val="FootnoteText"/>
        <w:ind w:left="240" w:hanging="240"/>
        <w:jc w:val="both"/>
        <w:rPr>
          <w:rFonts w:ascii="Times New Roman" w:hAnsi="Times New Roman" w:cs="Times New Roman"/>
          <w:vertAlign w:val="superscript"/>
          <w:lang w:val="en-US"/>
        </w:rPr>
      </w:pPr>
      <w:r>
        <w:rPr>
          <w:rStyle w:val="FootnoteReference"/>
        </w:rPr>
        <w:footnoteRef/>
      </w:r>
      <w:r>
        <w:rPr>
          <w:rFonts w:ascii="Times New Roman" w:hAnsi="Times New Roman" w:cs="Times New Roman"/>
          <w:vertAlign w:val="superscript"/>
        </w:rPr>
        <w:tab/>
      </w:r>
      <w:r w:rsidRPr="001D5642">
        <w:rPr>
          <w:rFonts w:ascii="Times New Roman" w:hAnsi="Times New Roman" w:cs="Times New Roman"/>
        </w:rPr>
        <w:t>Council Decision 2013/755/EU on the Association of the Overseas Countries and Territories with the European Union.</w:t>
      </w:r>
    </w:p>
  </w:footnote>
  <w:footnote w:id="5">
    <w:p w:rsidR="001D5642" w:rsidRDefault="001D5642" w:rsidP="001D5642">
      <w:pPr>
        <w:pStyle w:val="FootnoteText"/>
        <w:ind w:left="240" w:hanging="240"/>
        <w:jc w:val="both"/>
        <w:rPr>
          <w:vertAlign w:val="superscript"/>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vertAlign w:val="superscript"/>
        </w:rPr>
        <w:tab/>
      </w:r>
      <w:r>
        <w:rPr>
          <w:rFonts w:ascii="Times New Roman" w:hAnsi="Times New Roman" w:cs="Times New Roman"/>
        </w:rPr>
        <w:t>Council Decision 2014/137/EU on relations between the EU on the one hand and Greenland and the Kingdom of Denmark on the other, allocates EUR 217.8 million for the period 2014-2020 to cooperation between the Union and Greenland in an area of mutual interest.</w:t>
      </w:r>
      <w:r>
        <w:rPr>
          <w:vertAlign w:val="superscript"/>
        </w:rPr>
        <w:t xml:space="preserve">  </w:t>
      </w:r>
    </w:p>
  </w:footnote>
  <w:footnote w:id="6">
    <w:p w:rsidR="00805EE6" w:rsidRDefault="00805EE6" w:rsidP="00805EE6">
      <w:pPr>
        <w:pStyle w:val="FootnoteText"/>
        <w:ind w:left="240" w:hanging="240"/>
        <w:jc w:val="both"/>
        <w:rPr>
          <w:vertAlign w:val="superscript"/>
          <w:lang w:val="en-US"/>
        </w:rPr>
      </w:pPr>
      <w:r>
        <w:rPr>
          <w:rFonts w:ascii="Times New Roman" w:hAnsi="Times New Roman" w:cs="Times New Roman"/>
          <w:vertAlign w:val="superscript"/>
          <w:lang w:val="en-US"/>
        </w:rPr>
        <w:footnoteRef/>
      </w:r>
      <w:r>
        <w:rPr>
          <w:rFonts w:ascii="Times New Roman" w:hAnsi="Times New Roman" w:cs="Times New Roman"/>
          <w:lang w:val="en-US"/>
        </w:rPr>
        <w:t xml:space="preserve"> </w:t>
      </w:r>
      <w:r>
        <w:rPr>
          <w:rFonts w:ascii="Times New Roman" w:hAnsi="Times New Roman" w:cs="Times New Roman"/>
          <w:lang w:val="en-US"/>
        </w:rPr>
        <w:tab/>
        <w:t>The territorial programmes for Sint Maarten (EUR 7 million) and Curaçao (EUR 16.95 million) were adopted on 19 November and 10 December 2020.</w:t>
      </w:r>
      <w:r>
        <w:rPr>
          <w:rFonts w:ascii="Times New Roman" w:hAnsi="Times New Roman" w:cs="Times New Roman"/>
          <w:sz w:val="13"/>
          <w:szCs w:val="13"/>
          <w:vertAlign w:val="superscript"/>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BCE" w:rsidRPr="00407BCE" w:rsidRDefault="00407BCE" w:rsidP="00407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BCE" w:rsidRPr="00407BCE" w:rsidRDefault="00407BCE" w:rsidP="00407BC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BCE" w:rsidRPr="00407BCE" w:rsidRDefault="00407BCE" w:rsidP="00407BC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0C6" w:rsidRDefault="00DB70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0C6" w:rsidRDefault="00DB70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0C6" w:rsidRDefault="00DB7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17E7"/>
    <w:multiLevelType w:val="hybridMultilevel"/>
    <w:tmpl w:val="D07E1A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EA28F2"/>
    <w:multiLevelType w:val="hybridMultilevel"/>
    <w:tmpl w:val="16F4E6E8"/>
    <w:lvl w:ilvl="0" w:tplc="21E0F024">
      <w:start w:val="81"/>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9475D04"/>
    <w:multiLevelType w:val="hybridMultilevel"/>
    <w:tmpl w:val="7D86E6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ADB04E9"/>
    <w:multiLevelType w:val="hybridMultilevel"/>
    <w:tmpl w:val="8A28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E202C"/>
    <w:multiLevelType w:val="hybridMultilevel"/>
    <w:tmpl w:val="AB24EE3C"/>
    <w:lvl w:ilvl="0" w:tplc="FBF48C1C">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722D7"/>
    <w:multiLevelType w:val="hybridMultilevel"/>
    <w:tmpl w:val="BB985CA6"/>
    <w:lvl w:ilvl="0" w:tplc="3BB61D8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A077F6"/>
    <w:multiLevelType w:val="hybridMultilevel"/>
    <w:tmpl w:val="C11241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B22F37"/>
    <w:multiLevelType w:val="hybridMultilevel"/>
    <w:tmpl w:val="DE6A2FA8"/>
    <w:lvl w:ilvl="0" w:tplc="7DDE1A50">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616560F"/>
    <w:multiLevelType w:val="hybridMultilevel"/>
    <w:tmpl w:val="77D0D8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FF626F0"/>
    <w:multiLevelType w:val="hybridMultilevel"/>
    <w:tmpl w:val="9856896A"/>
    <w:lvl w:ilvl="0" w:tplc="11D0BB6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A505E5"/>
    <w:multiLevelType w:val="hybridMultilevel"/>
    <w:tmpl w:val="854E65FE"/>
    <w:lvl w:ilvl="0" w:tplc="080C0001">
      <w:start w:val="1"/>
      <w:numFmt w:val="bullet"/>
      <w:lvlText w:val=""/>
      <w:lvlJc w:val="left"/>
      <w:pPr>
        <w:ind w:left="778" w:hanging="360"/>
      </w:pPr>
      <w:rPr>
        <w:rFonts w:ascii="Symbol" w:hAnsi="Symbol" w:hint="default"/>
      </w:rPr>
    </w:lvl>
    <w:lvl w:ilvl="1" w:tplc="080C0003" w:tentative="1">
      <w:start w:val="1"/>
      <w:numFmt w:val="bullet"/>
      <w:lvlText w:val="o"/>
      <w:lvlJc w:val="left"/>
      <w:pPr>
        <w:ind w:left="1498" w:hanging="360"/>
      </w:pPr>
      <w:rPr>
        <w:rFonts w:ascii="Courier New" w:hAnsi="Courier New" w:cs="Courier New" w:hint="default"/>
      </w:rPr>
    </w:lvl>
    <w:lvl w:ilvl="2" w:tplc="080C0005" w:tentative="1">
      <w:start w:val="1"/>
      <w:numFmt w:val="bullet"/>
      <w:lvlText w:val=""/>
      <w:lvlJc w:val="left"/>
      <w:pPr>
        <w:ind w:left="2218" w:hanging="360"/>
      </w:pPr>
      <w:rPr>
        <w:rFonts w:ascii="Wingdings" w:hAnsi="Wingdings" w:hint="default"/>
      </w:rPr>
    </w:lvl>
    <w:lvl w:ilvl="3" w:tplc="080C0001" w:tentative="1">
      <w:start w:val="1"/>
      <w:numFmt w:val="bullet"/>
      <w:lvlText w:val=""/>
      <w:lvlJc w:val="left"/>
      <w:pPr>
        <w:ind w:left="2938" w:hanging="360"/>
      </w:pPr>
      <w:rPr>
        <w:rFonts w:ascii="Symbol" w:hAnsi="Symbol" w:hint="default"/>
      </w:rPr>
    </w:lvl>
    <w:lvl w:ilvl="4" w:tplc="080C0003" w:tentative="1">
      <w:start w:val="1"/>
      <w:numFmt w:val="bullet"/>
      <w:lvlText w:val="o"/>
      <w:lvlJc w:val="left"/>
      <w:pPr>
        <w:ind w:left="3658" w:hanging="360"/>
      </w:pPr>
      <w:rPr>
        <w:rFonts w:ascii="Courier New" w:hAnsi="Courier New" w:cs="Courier New" w:hint="default"/>
      </w:rPr>
    </w:lvl>
    <w:lvl w:ilvl="5" w:tplc="080C0005" w:tentative="1">
      <w:start w:val="1"/>
      <w:numFmt w:val="bullet"/>
      <w:lvlText w:val=""/>
      <w:lvlJc w:val="left"/>
      <w:pPr>
        <w:ind w:left="4378" w:hanging="360"/>
      </w:pPr>
      <w:rPr>
        <w:rFonts w:ascii="Wingdings" w:hAnsi="Wingdings" w:hint="default"/>
      </w:rPr>
    </w:lvl>
    <w:lvl w:ilvl="6" w:tplc="080C0001" w:tentative="1">
      <w:start w:val="1"/>
      <w:numFmt w:val="bullet"/>
      <w:lvlText w:val=""/>
      <w:lvlJc w:val="left"/>
      <w:pPr>
        <w:ind w:left="5098" w:hanging="360"/>
      </w:pPr>
      <w:rPr>
        <w:rFonts w:ascii="Symbol" w:hAnsi="Symbol" w:hint="default"/>
      </w:rPr>
    </w:lvl>
    <w:lvl w:ilvl="7" w:tplc="080C0003" w:tentative="1">
      <w:start w:val="1"/>
      <w:numFmt w:val="bullet"/>
      <w:lvlText w:val="o"/>
      <w:lvlJc w:val="left"/>
      <w:pPr>
        <w:ind w:left="5818" w:hanging="360"/>
      </w:pPr>
      <w:rPr>
        <w:rFonts w:ascii="Courier New" w:hAnsi="Courier New" w:cs="Courier New" w:hint="default"/>
      </w:rPr>
    </w:lvl>
    <w:lvl w:ilvl="8" w:tplc="080C0005" w:tentative="1">
      <w:start w:val="1"/>
      <w:numFmt w:val="bullet"/>
      <w:lvlText w:val=""/>
      <w:lvlJc w:val="left"/>
      <w:pPr>
        <w:ind w:left="6538" w:hanging="360"/>
      </w:pPr>
      <w:rPr>
        <w:rFonts w:ascii="Wingdings" w:hAnsi="Wingdings" w:hint="default"/>
      </w:rPr>
    </w:lvl>
  </w:abstractNum>
  <w:abstractNum w:abstractNumId="11" w15:restartNumberingAfterBreak="0">
    <w:nsid w:val="40717682"/>
    <w:multiLevelType w:val="hybridMultilevel"/>
    <w:tmpl w:val="23AE514A"/>
    <w:lvl w:ilvl="0" w:tplc="4BD6C71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135FA2"/>
    <w:multiLevelType w:val="hybridMultilevel"/>
    <w:tmpl w:val="2D0EF0B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F6D3284"/>
    <w:multiLevelType w:val="hybridMultilevel"/>
    <w:tmpl w:val="BD142BCC"/>
    <w:lvl w:ilvl="0" w:tplc="9E00DCF8">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5D02DC"/>
    <w:multiLevelType w:val="hybridMultilevel"/>
    <w:tmpl w:val="428E99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D331B77"/>
    <w:multiLevelType w:val="hybridMultilevel"/>
    <w:tmpl w:val="9856896A"/>
    <w:lvl w:ilvl="0" w:tplc="11D0BB6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670230"/>
    <w:multiLevelType w:val="hybridMultilevel"/>
    <w:tmpl w:val="F236C3D6"/>
    <w:lvl w:ilvl="0" w:tplc="7DDE1A50">
      <w:start w:val="1"/>
      <w:numFmt w:val="lowerLetter"/>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2"/>
  </w:num>
  <w:num w:numId="2">
    <w:abstractNumId w:val="1"/>
  </w:num>
  <w:num w:numId="3">
    <w:abstractNumId w:val="16"/>
  </w:num>
  <w:num w:numId="4">
    <w:abstractNumId w:val="10"/>
  </w:num>
  <w:num w:numId="5">
    <w:abstractNumId w:val="8"/>
  </w:num>
  <w:num w:numId="6">
    <w:abstractNumId w:val="14"/>
  </w:num>
  <w:num w:numId="7">
    <w:abstractNumId w:val="0"/>
  </w:num>
  <w:num w:numId="8">
    <w:abstractNumId w:val="2"/>
  </w:num>
  <w:num w:numId="9">
    <w:abstractNumId w:val="7"/>
  </w:num>
  <w:num w:numId="10">
    <w:abstractNumId w:val="6"/>
  </w:num>
  <w:num w:numId="11">
    <w:abstractNumId w:val="4"/>
  </w:num>
  <w:num w:numId="12">
    <w:abstractNumId w:val="5"/>
  </w:num>
  <w:num w:numId="13">
    <w:abstractNumId w:val="9"/>
  </w:num>
  <w:num w:numId="14">
    <w:abstractNumId w:val="15"/>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1764030-AE5D-4D6F-9C6A-931955A1E8F5"/>
    <w:docVar w:name="LW_COVERPAGE_TYPE" w:val="1"/>
    <w:docVar w:name="LW_CROSSREFERENCE" w:val="&lt;UNUSED&gt;"/>
    <w:docVar w:name="LW_DocType" w:val="NORMAL"/>
    <w:docVar w:name="LW_EMISSION" w:val="15.6.2022"/>
    <w:docVar w:name="LW_EMISSION_ISODATE" w:val="2022-06-15"/>
    <w:docVar w:name="LW_EMISSION_LOCATION" w:val="BRX"/>
    <w:docVar w:name="LW_EMISSION_PREFIX" w:val="Brussels, "/>
    <w:docVar w:name="LW_EMISSION_SUFFIX" w:val=" "/>
    <w:docVar w:name="LW_ID_DOCTYPE_NONLW" w:val="CP-00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2) 2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implementation of the financial assistance provided to the &lt;/FMT&gt;_x000b_&lt;FMT:Bold&gt;Overseas Countries and Territories under &lt;/FMT&gt;_x000b_&lt;FMT:Bold&gt;the Decision on the Overseas Association, including Greenland and &lt;/FMT&gt;_x000b_&lt;FMT:Bold&gt;under the 11th European Development Fund in 2021&lt;/FMT&gt;"/>
    <w:docVar w:name="LW_TYPE.DOC.CP" w:val="REPORT FROM THE COMMISSION TO THE COUNCIL"/>
    <w:docVar w:name="LwApiVersions" w:val="LW4CoDe 1.23.2.0; LW 8.0, Build 20211117"/>
  </w:docVars>
  <w:rsids>
    <w:rsidRoot w:val="003B0CEE"/>
    <w:rsid w:val="00004E65"/>
    <w:rsid w:val="00023A81"/>
    <w:rsid w:val="0002543C"/>
    <w:rsid w:val="00034BB7"/>
    <w:rsid w:val="000507E7"/>
    <w:rsid w:val="000567AC"/>
    <w:rsid w:val="00061837"/>
    <w:rsid w:val="00064F0B"/>
    <w:rsid w:val="00067D0E"/>
    <w:rsid w:val="00075844"/>
    <w:rsid w:val="00080240"/>
    <w:rsid w:val="0008495B"/>
    <w:rsid w:val="00091E69"/>
    <w:rsid w:val="000933CC"/>
    <w:rsid w:val="000A5078"/>
    <w:rsid w:val="000E0E45"/>
    <w:rsid w:val="000E1F0C"/>
    <w:rsid w:val="000E5E56"/>
    <w:rsid w:val="000E75AD"/>
    <w:rsid w:val="000F0272"/>
    <w:rsid w:val="000F1092"/>
    <w:rsid w:val="00101049"/>
    <w:rsid w:val="00106CB3"/>
    <w:rsid w:val="001116CA"/>
    <w:rsid w:val="00112DBB"/>
    <w:rsid w:val="00131793"/>
    <w:rsid w:val="00132C93"/>
    <w:rsid w:val="0014517A"/>
    <w:rsid w:val="00154B4F"/>
    <w:rsid w:val="00162A70"/>
    <w:rsid w:val="00182A89"/>
    <w:rsid w:val="00183D25"/>
    <w:rsid w:val="001A3060"/>
    <w:rsid w:val="001A38C8"/>
    <w:rsid w:val="001A4E94"/>
    <w:rsid w:val="001B2F2A"/>
    <w:rsid w:val="001D5642"/>
    <w:rsid w:val="001E5B42"/>
    <w:rsid w:val="00210975"/>
    <w:rsid w:val="002730D6"/>
    <w:rsid w:val="002809C2"/>
    <w:rsid w:val="00285FA5"/>
    <w:rsid w:val="0029564A"/>
    <w:rsid w:val="002B0D78"/>
    <w:rsid w:val="002C3858"/>
    <w:rsid w:val="002C5759"/>
    <w:rsid w:val="002D0D72"/>
    <w:rsid w:val="002D4AD0"/>
    <w:rsid w:val="002D69F0"/>
    <w:rsid w:val="002D6B90"/>
    <w:rsid w:val="002E57AA"/>
    <w:rsid w:val="00316736"/>
    <w:rsid w:val="00322925"/>
    <w:rsid w:val="00327674"/>
    <w:rsid w:val="003354D4"/>
    <w:rsid w:val="0034655C"/>
    <w:rsid w:val="0036471B"/>
    <w:rsid w:val="003749E0"/>
    <w:rsid w:val="00382BFD"/>
    <w:rsid w:val="003B0CEE"/>
    <w:rsid w:val="003B5519"/>
    <w:rsid w:val="003B71F3"/>
    <w:rsid w:val="003C21DE"/>
    <w:rsid w:val="003C2FF0"/>
    <w:rsid w:val="003C4FDA"/>
    <w:rsid w:val="003C6942"/>
    <w:rsid w:val="003D4BCA"/>
    <w:rsid w:val="003F39BD"/>
    <w:rsid w:val="0040213A"/>
    <w:rsid w:val="00407BCE"/>
    <w:rsid w:val="0042539E"/>
    <w:rsid w:val="00432F75"/>
    <w:rsid w:val="004372C3"/>
    <w:rsid w:val="004651C9"/>
    <w:rsid w:val="004726D0"/>
    <w:rsid w:val="004727FC"/>
    <w:rsid w:val="004C135D"/>
    <w:rsid w:val="004C5D67"/>
    <w:rsid w:val="004E38DB"/>
    <w:rsid w:val="004F188B"/>
    <w:rsid w:val="005042D1"/>
    <w:rsid w:val="005138AB"/>
    <w:rsid w:val="00522A9C"/>
    <w:rsid w:val="00533994"/>
    <w:rsid w:val="00576078"/>
    <w:rsid w:val="005903E0"/>
    <w:rsid w:val="00596CFE"/>
    <w:rsid w:val="005B6BFB"/>
    <w:rsid w:val="005C4240"/>
    <w:rsid w:val="005D5B6E"/>
    <w:rsid w:val="00606161"/>
    <w:rsid w:val="00607B2D"/>
    <w:rsid w:val="00610D27"/>
    <w:rsid w:val="006133B8"/>
    <w:rsid w:val="00615765"/>
    <w:rsid w:val="0062082D"/>
    <w:rsid w:val="00626C19"/>
    <w:rsid w:val="006300A3"/>
    <w:rsid w:val="00631EBA"/>
    <w:rsid w:val="00631FB8"/>
    <w:rsid w:val="00643DA1"/>
    <w:rsid w:val="00645226"/>
    <w:rsid w:val="00651E9C"/>
    <w:rsid w:val="00652243"/>
    <w:rsid w:val="006610D1"/>
    <w:rsid w:val="00682B57"/>
    <w:rsid w:val="006A4EE2"/>
    <w:rsid w:val="006B017F"/>
    <w:rsid w:val="006B18BA"/>
    <w:rsid w:val="006B1F16"/>
    <w:rsid w:val="006D6104"/>
    <w:rsid w:val="00703B89"/>
    <w:rsid w:val="00710A4F"/>
    <w:rsid w:val="00723FAA"/>
    <w:rsid w:val="00725554"/>
    <w:rsid w:val="00730859"/>
    <w:rsid w:val="00731E4C"/>
    <w:rsid w:val="007323CB"/>
    <w:rsid w:val="0073385A"/>
    <w:rsid w:val="00733F09"/>
    <w:rsid w:val="0074667F"/>
    <w:rsid w:val="0075381B"/>
    <w:rsid w:val="0076582F"/>
    <w:rsid w:val="00780258"/>
    <w:rsid w:val="00786679"/>
    <w:rsid w:val="007A6606"/>
    <w:rsid w:val="007B1EB5"/>
    <w:rsid w:val="007B3313"/>
    <w:rsid w:val="007C6482"/>
    <w:rsid w:val="007D5A71"/>
    <w:rsid w:val="007F3A6C"/>
    <w:rsid w:val="007F64A8"/>
    <w:rsid w:val="00805EE6"/>
    <w:rsid w:val="008121F1"/>
    <w:rsid w:val="008123D8"/>
    <w:rsid w:val="008367CD"/>
    <w:rsid w:val="008434D0"/>
    <w:rsid w:val="008528DE"/>
    <w:rsid w:val="00852CE6"/>
    <w:rsid w:val="00864453"/>
    <w:rsid w:val="0087440F"/>
    <w:rsid w:val="008849D4"/>
    <w:rsid w:val="008A20BB"/>
    <w:rsid w:val="008A43C6"/>
    <w:rsid w:val="008B2525"/>
    <w:rsid w:val="008D0A37"/>
    <w:rsid w:val="008D45EB"/>
    <w:rsid w:val="008F10EE"/>
    <w:rsid w:val="008F6228"/>
    <w:rsid w:val="009211E2"/>
    <w:rsid w:val="009344FD"/>
    <w:rsid w:val="00942C44"/>
    <w:rsid w:val="00944A22"/>
    <w:rsid w:val="00953CC7"/>
    <w:rsid w:val="0095675C"/>
    <w:rsid w:val="009701FB"/>
    <w:rsid w:val="00991C72"/>
    <w:rsid w:val="009A3D30"/>
    <w:rsid w:val="009A41F6"/>
    <w:rsid w:val="009B336E"/>
    <w:rsid w:val="009B46AE"/>
    <w:rsid w:val="009C286D"/>
    <w:rsid w:val="009D3361"/>
    <w:rsid w:val="009D660B"/>
    <w:rsid w:val="009E12A7"/>
    <w:rsid w:val="009E51D9"/>
    <w:rsid w:val="00A0043D"/>
    <w:rsid w:val="00A0426D"/>
    <w:rsid w:val="00A546A4"/>
    <w:rsid w:val="00A70F72"/>
    <w:rsid w:val="00A77ED7"/>
    <w:rsid w:val="00A9785F"/>
    <w:rsid w:val="00AA6122"/>
    <w:rsid w:val="00AB0553"/>
    <w:rsid w:val="00AB0652"/>
    <w:rsid w:val="00AB652E"/>
    <w:rsid w:val="00AC2A99"/>
    <w:rsid w:val="00AD5F1E"/>
    <w:rsid w:val="00AE67CA"/>
    <w:rsid w:val="00AF4316"/>
    <w:rsid w:val="00B30D01"/>
    <w:rsid w:val="00B3117F"/>
    <w:rsid w:val="00B45FEB"/>
    <w:rsid w:val="00B77BF8"/>
    <w:rsid w:val="00B90ACC"/>
    <w:rsid w:val="00BA48CA"/>
    <w:rsid w:val="00BB6FBB"/>
    <w:rsid w:val="00BD1582"/>
    <w:rsid w:val="00BE3516"/>
    <w:rsid w:val="00BE3C90"/>
    <w:rsid w:val="00BF68E8"/>
    <w:rsid w:val="00C10AEB"/>
    <w:rsid w:val="00C136D2"/>
    <w:rsid w:val="00C4614E"/>
    <w:rsid w:val="00C57422"/>
    <w:rsid w:val="00C70A3F"/>
    <w:rsid w:val="00C84F80"/>
    <w:rsid w:val="00C8539B"/>
    <w:rsid w:val="00CA2BF5"/>
    <w:rsid w:val="00CA5EAA"/>
    <w:rsid w:val="00CC0CBF"/>
    <w:rsid w:val="00CD10EE"/>
    <w:rsid w:val="00CD6212"/>
    <w:rsid w:val="00CE5A71"/>
    <w:rsid w:val="00CF3677"/>
    <w:rsid w:val="00CF5298"/>
    <w:rsid w:val="00D00EAF"/>
    <w:rsid w:val="00D0455F"/>
    <w:rsid w:val="00D05949"/>
    <w:rsid w:val="00D2047F"/>
    <w:rsid w:val="00D30F65"/>
    <w:rsid w:val="00D32B88"/>
    <w:rsid w:val="00D35A4B"/>
    <w:rsid w:val="00D36423"/>
    <w:rsid w:val="00D41E63"/>
    <w:rsid w:val="00D536F0"/>
    <w:rsid w:val="00D576E1"/>
    <w:rsid w:val="00D72EF6"/>
    <w:rsid w:val="00D749F6"/>
    <w:rsid w:val="00D82AB3"/>
    <w:rsid w:val="00D83120"/>
    <w:rsid w:val="00D93E2D"/>
    <w:rsid w:val="00D96A5F"/>
    <w:rsid w:val="00D9777B"/>
    <w:rsid w:val="00DA7C45"/>
    <w:rsid w:val="00DB0B0D"/>
    <w:rsid w:val="00DB60B0"/>
    <w:rsid w:val="00DB70C6"/>
    <w:rsid w:val="00DC231A"/>
    <w:rsid w:val="00DF05EB"/>
    <w:rsid w:val="00DF1CFC"/>
    <w:rsid w:val="00DF61C9"/>
    <w:rsid w:val="00E155B3"/>
    <w:rsid w:val="00E30E48"/>
    <w:rsid w:val="00E377E9"/>
    <w:rsid w:val="00E46201"/>
    <w:rsid w:val="00E47BF4"/>
    <w:rsid w:val="00E5326F"/>
    <w:rsid w:val="00E624D0"/>
    <w:rsid w:val="00E77448"/>
    <w:rsid w:val="00E86CA9"/>
    <w:rsid w:val="00EB1D78"/>
    <w:rsid w:val="00EB7078"/>
    <w:rsid w:val="00ED4350"/>
    <w:rsid w:val="00ED5595"/>
    <w:rsid w:val="00EF1CAB"/>
    <w:rsid w:val="00F16E8D"/>
    <w:rsid w:val="00F25452"/>
    <w:rsid w:val="00F31761"/>
    <w:rsid w:val="00F373BC"/>
    <w:rsid w:val="00F52475"/>
    <w:rsid w:val="00F61C05"/>
    <w:rsid w:val="00FE1A34"/>
    <w:rsid w:val="00FE5E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69A4DF2-715A-4E47-A2FC-11B975CF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9D4"/>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t,Footnote Text Char1 Char,Footnote Text Char Char Char,Footnote Text Char1 Char Char Char,Footnote Text Char Char Char Char Char,Footnote Text Char1 Char1 Char,Footnote Text Char Char Char1 Char,Footnote Text Char1,fn,5_G,Ch,single space"/>
    <w:basedOn w:val="Normal"/>
    <w:link w:val="FootnoteTextChar"/>
    <w:uiPriority w:val="99"/>
    <w:unhideWhenUsed/>
    <w:qFormat/>
    <w:rsid w:val="00075844"/>
    <w:pPr>
      <w:spacing w:after="0" w:line="240" w:lineRule="auto"/>
    </w:pPr>
    <w:rPr>
      <w:sz w:val="20"/>
      <w:szCs w:val="20"/>
    </w:rPr>
  </w:style>
  <w:style w:type="character" w:customStyle="1" w:styleId="FootnoteTextChar">
    <w:name w:val="Footnote Text Char"/>
    <w:aliases w:val="ft Char,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qFormat/>
    <w:rsid w:val="00075844"/>
    <w:rPr>
      <w:sz w:val="20"/>
      <w:szCs w:val="20"/>
      <w:lang w:val="en-GB"/>
    </w:rPr>
  </w:style>
  <w:style w:type="paragraph" w:styleId="ListParagraph">
    <w:name w:val="List Paragraph"/>
    <w:basedOn w:val="Normal"/>
    <w:uiPriority w:val="34"/>
    <w:qFormat/>
    <w:rsid w:val="00075844"/>
    <w:pPr>
      <w:ind w:left="720"/>
      <w:contextualSpacing/>
    </w:pPr>
  </w:style>
  <w:style w:type="paragraph" w:customStyle="1" w:styleId="Default">
    <w:name w:val="Default"/>
    <w:link w:val="DefaultChar"/>
    <w:rsid w:val="00075844"/>
    <w:pPr>
      <w:autoSpaceDE w:val="0"/>
      <w:autoSpaceDN w:val="0"/>
      <w:adjustRightInd w:val="0"/>
      <w:spacing w:after="0" w:line="240" w:lineRule="auto"/>
    </w:pPr>
    <w:rPr>
      <w:rFonts w:ascii="Arial" w:hAnsi="Arial" w:cs="Arial"/>
      <w:color w:val="000000"/>
      <w:sz w:val="24"/>
      <w:szCs w:val="24"/>
      <w:lang w:val="fr-BE"/>
    </w:rPr>
  </w:style>
  <w:style w:type="character" w:styleId="FootnoteReference">
    <w:name w:val="footnote reference"/>
    <w:aliases w:val="BVI fnr,EN Footnote Reference,-E Fußnotenzeichen,Footnote,Footnote symbol,Footnote number,Footnote Reference Number,Footnote reference number,Times 10 Point,Exposant 3 Point,Footnote Reference Superscript, BVI fnr,ftre,Exposant 3 Poi"/>
    <w:basedOn w:val="DefaultParagraphFont"/>
    <w:link w:val="BVIfnrCarCarCarCarCharCharCharChar"/>
    <w:uiPriority w:val="99"/>
    <w:unhideWhenUsed/>
    <w:qFormat/>
    <w:rsid w:val="00075844"/>
    <w:rPr>
      <w:vertAlign w:val="superscript"/>
    </w:rPr>
  </w:style>
  <w:style w:type="paragraph" w:customStyle="1" w:styleId="BVIfnrCarCarCarCarCharCharCharChar">
    <w:name w:val="BVI fnr Car Car Car Car Char Char Char Char"/>
    <w:basedOn w:val="Normal"/>
    <w:link w:val="FootnoteReference"/>
    <w:uiPriority w:val="99"/>
    <w:rsid w:val="00075844"/>
    <w:pPr>
      <w:spacing w:after="160" w:line="240" w:lineRule="exact"/>
      <w:jc w:val="both"/>
    </w:pPr>
    <w:rPr>
      <w:vertAlign w:val="superscript"/>
      <w:lang w:val="it-IT"/>
    </w:rPr>
  </w:style>
  <w:style w:type="character" w:customStyle="1" w:styleId="DefaultChar">
    <w:name w:val="Default Char"/>
    <w:basedOn w:val="DefaultParagraphFont"/>
    <w:link w:val="Default"/>
    <w:rsid w:val="00075844"/>
    <w:rPr>
      <w:rFonts w:ascii="Arial" w:hAnsi="Arial" w:cs="Arial"/>
      <w:color w:val="000000"/>
      <w:sz w:val="24"/>
      <w:szCs w:val="24"/>
      <w:lang w:val="fr-BE"/>
    </w:rPr>
  </w:style>
  <w:style w:type="character" w:styleId="CommentReference">
    <w:name w:val="annotation reference"/>
    <w:basedOn w:val="DefaultParagraphFont"/>
    <w:uiPriority w:val="99"/>
    <w:semiHidden/>
    <w:unhideWhenUsed/>
    <w:rsid w:val="00064F0B"/>
    <w:rPr>
      <w:sz w:val="16"/>
      <w:szCs w:val="16"/>
    </w:rPr>
  </w:style>
  <w:style w:type="paragraph" w:styleId="CommentText">
    <w:name w:val="annotation text"/>
    <w:basedOn w:val="Normal"/>
    <w:link w:val="CommentTextChar"/>
    <w:uiPriority w:val="99"/>
    <w:unhideWhenUsed/>
    <w:rsid w:val="00064F0B"/>
    <w:pPr>
      <w:spacing w:line="240" w:lineRule="auto"/>
    </w:pPr>
    <w:rPr>
      <w:sz w:val="20"/>
      <w:szCs w:val="20"/>
    </w:rPr>
  </w:style>
  <w:style w:type="character" w:customStyle="1" w:styleId="CommentTextChar">
    <w:name w:val="Comment Text Char"/>
    <w:basedOn w:val="DefaultParagraphFont"/>
    <w:link w:val="CommentText"/>
    <w:uiPriority w:val="99"/>
    <w:rsid w:val="00064F0B"/>
    <w:rPr>
      <w:sz w:val="20"/>
      <w:szCs w:val="20"/>
      <w:lang w:val="en-GB"/>
    </w:rPr>
  </w:style>
  <w:style w:type="paragraph" w:styleId="CommentSubject">
    <w:name w:val="annotation subject"/>
    <w:basedOn w:val="CommentText"/>
    <w:next w:val="CommentText"/>
    <w:link w:val="CommentSubjectChar"/>
    <w:uiPriority w:val="99"/>
    <w:semiHidden/>
    <w:unhideWhenUsed/>
    <w:rsid w:val="00064F0B"/>
    <w:rPr>
      <w:b/>
      <w:bCs/>
    </w:rPr>
  </w:style>
  <w:style w:type="character" w:customStyle="1" w:styleId="CommentSubjectChar">
    <w:name w:val="Comment Subject Char"/>
    <w:basedOn w:val="CommentTextChar"/>
    <w:link w:val="CommentSubject"/>
    <w:uiPriority w:val="99"/>
    <w:semiHidden/>
    <w:rsid w:val="00064F0B"/>
    <w:rPr>
      <w:b/>
      <w:bCs/>
      <w:sz w:val="20"/>
      <w:szCs w:val="20"/>
      <w:lang w:val="en-GB"/>
    </w:rPr>
  </w:style>
  <w:style w:type="paragraph" w:styleId="BalloonText">
    <w:name w:val="Balloon Text"/>
    <w:basedOn w:val="Normal"/>
    <w:link w:val="BalloonTextChar"/>
    <w:uiPriority w:val="99"/>
    <w:semiHidden/>
    <w:unhideWhenUsed/>
    <w:rsid w:val="00064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F0B"/>
    <w:rPr>
      <w:rFonts w:ascii="Segoe UI" w:hAnsi="Segoe UI" w:cs="Segoe UI"/>
      <w:sz w:val="18"/>
      <w:szCs w:val="18"/>
      <w:lang w:val="en-GB"/>
    </w:rPr>
  </w:style>
  <w:style w:type="paragraph" w:styleId="Revision">
    <w:name w:val="Revision"/>
    <w:hidden/>
    <w:uiPriority w:val="99"/>
    <w:semiHidden/>
    <w:rsid w:val="00D36423"/>
    <w:pPr>
      <w:spacing w:after="0" w:line="240" w:lineRule="auto"/>
    </w:pPr>
    <w:rPr>
      <w:lang w:val="en-GB"/>
    </w:rPr>
  </w:style>
  <w:style w:type="paragraph" w:styleId="Header">
    <w:name w:val="header"/>
    <w:basedOn w:val="Normal"/>
    <w:link w:val="HeaderChar"/>
    <w:uiPriority w:val="99"/>
    <w:unhideWhenUsed/>
    <w:rsid w:val="008A2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0BB"/>
    <w:rPr>
      <w:lang w:val="en-GB"/>
    </w:rPr>
  </w:style>
  <w:style w:type="paragraph" w:styleId="Footer">
    <w:name w:val="footer"/>
    <w:basedOn w:val="Normal"/>
    <w:link w:val="FooterChar"/>
    <w:uiPriority w:val="99"/>
    <w:unhideWhenUsed/>
    <w:rsid w:val="008A2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0BB"/>
    <w:rPr>
      <w:lang w:val="en-GB"/>
    </w:rPr>
  </w:style>
  <w:style w:type="character" w:customStyle="1" w:styleId="Marker">
    <w:name w:val="Marker"/>
    <w:basedOn w:val="DefaultParagraphFont"/>
    <w:rsid w:val="00DB70C6"/>
    <w:rPr>
      <w:color w:val="0000FF"/>
      <w:shd w:val="clear" w:color="auto" w:fill="auto"/>
    </w:rPr>
  </w:style>
  <w:style w:type="paragraph" w:customStyle="1" w:styleId="Pagedecouverture">
    <w:name w:val="Page de couverture"/>
    <w:basedOn w:val="Normal"/>
    <w:next w:val="Normal"/>
    <w:rsid w:val="00DB70C6"/>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DB70C6"/>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DB70C6"/>
    <w:rPr>
      <w:rFonts w:ascii="Times New Roman" w:hAnsi="Times New Roman" w:cs="Times New Roman"/>
      <w:sz w:val="24"/>
      <w:lang w:val="en-GB"/>
    </w:rPr>
  </w:style>
  <w:style w:type="paragraph" w:customStyle="1" w:styleId="FooterSensitivity">
    <w:name w:val="Footer Sensitivity"/>
    <w:basedOn w:val="Normal"/>
    <w:link w:val="FooterSensitivityChar"/>
    <w:rsid w:val="00DB70C6"/>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DB70C6"/>
    <w:rPr>
      <w:rFonts w:ascii="Times New Roman" w:hAnsi="Times New Roman" w:cs="Times New Roman"/>
      <w:b/>
      <w:sz w:val="32"/>
      <w:lang w:val="en-GB"/>
    </w:rPr>
  </w:style>
  <w:style w:type="paragraph" w:customStyle="1" w:styleId="HeaderCoverPage">
    <w:name w:val="Header Cover Page"/>
    <w:basedOn w:val="Normal"/>
    <w:link w:val="HeaderCoverPageChar"/>
    <w:rsid w:val="00DB70C6"/>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DB70C6"/>
    <w:rPr>
      <w:rFonts w:ascii="Times New Roman" w:hAnsi="Times New Roman" w:cs="Times New Roman"/>
      <w:sz w:val="24"/>
      <w:lang w:val="en-GB"/>
    </w:rPr>
  </w:style>
  <w:style w:type="paragraph" w:customStyle="1" w:styleId="HeaderSensitivity">
    <w:name w:val="Header Sensitivity"/>
    <w:basedOn w:val="Normal"/>
    <w:link w:val="HeaderSensitivityChar"/>
    <w:rsid w:val="00DB70C6"/>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DB70C6"/>
    <w:rPr>
      <w:rFonts w:ascii="Times New Roman" w:hAnsi="Times New Roman" w:cs="Times New Roman"/>
      <w:b/>
      <w:sz w:val="32"/>
      <w:lang w:val="en-GB"/>
    </w:rPr>
  </w:style>
  <w:style w:type="paragraph" w:customStyle="1" w:styleId="HeaderSensitivityRight">
    <w:name w:val="Header Sensitivity Right"/>
    <w:basedOn w:val="Normal"/>
    <w:link w:val="HeaderSensitivityRightChar"/>
    <w:rsid w:val="00DB70C6"/>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DB70C6"/>
    <w:rPr>
      <w:rFonts w:ascii="Times New Roman" w:hAnsi="Times New Roman" w:cs="Times New Roman"/>
      <w:sz w:val="28"/>
      <w:lang w:val="en-GB"/>
    </w:rPr>
  </w:style>
  <w:style w:type="paragraph" w:customStyle="1" w:styleId="paragraph">
    <w:name w:val="paragraph"/>
    <w:basedOn w:val="Normal"/>
    <w:rsid w:val="000802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0240"/>
  </w:style>
  <w:style w:type="character" w:customStyle="1" w:styleId="eop">
    <w:name w:val="eop"/>
    <w:basedOn w:val="DefaultParagraphFont"/>
    <w:rsid w:val="00080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47195">
      <w:bodyDiv w:val="1"/>
      <w:marLeft w:val="0"/>
      <w:marRight w:val="0"/>
      <w:marTop w:val="0"/>
      <w:marBottom w:val="0"/>
      <w:divBdr>
        <w:top w:val="none" w:sz="0" w:space="0" w:color="auto"/>
        <w:left w:val="none" w:sz="0" w:space="0" w:color="auto"/>
        <w:bottom w:val="none" w:sz="0" w:space="0" w:color="auto"/>
        <w:right w:val="none" w:sz="0" w:space="0" w:color="auto"/>
      </w:divBdr>
    </w:div>
    <w:div w:id="732892230">
      <w:bodyDiv w:val="1"/>
      <w:marLeft w:val="0"/>
      <w:marRight w:val="0"/>
      <w:marTop w:val="0"/>
      <w:marBottom w:val="0"/>
      <w:divBdr>
        <w:top w:val="none" w:sz="0" w:space="0" w:color="auto"/>
        <w:left w:val="none" w:sz="0" w:space="0" w:color="auto"/>
        <w:bottom w:val="none" w:sz="0" w:space="0" w:color="auto"/>
        <w:right w:val="none" w:sz="0" w:space="0" w:color="auto"/>
      </w:divBdr>
    </w:div>
    <w:div w:id="1616011801">
      <w:bodyDiv w:val="1"/>
      <w:marLeft w:val="0"/>
      <w:marRight w:val="0"/>
      <w:marTop w:val="0"/>
      <w:marBottom w:val="0"/>
      <w:divBdr>
        <w:top w:val="none" w:sz="0" w:space="0" w:color="auto"/>
        <w:left w:val="none" w:sz="0" w:space="0" w:color="auto"/>
        <w:bottom w:val="none" w:sz="0" w:space="0" w:color="auto"/>
        <w:right w:val="none" w:sz="0" w:space="0" w:color="auto"/>
      </w:divBdr>
      <w:divsChild>
        <w:div w:id="1902445915">
          <w:marLeft w:val="0"/>
          <w:marRight w:val="0"/>
          <w:marTop w:val="0"/>
          <w:marBottom w:val="0"/>
          <w:divBdr>
            <w:top w:val="none" w:sz="0" w:space="0" w:color="auto"/>
            <w:left w:val="none" w:sz="0" w:space="0" w:color="auto"/>
            <w:bottom w:val="none" w:sz="0" w:space="0" w:color="auto"/>
            <w:right w:val="none" w:sz="0" w:space="0" w:color="auto"/>
          </w:divBdr>
        </w:div>
        <w:div w:id="200824116">
          <w:marLeft w:val="0"/>
          <w:marRight w:val="0"/>
          <w:marTop w:val="0"/>
          <w:marBottom w:val="0"/>
          <w:divBdr>
            <w:top w:val="none" w:sz="0" w:space="0" w:color="auto"/>
            <w:left w:val="none" w:sz="0" w:space="0" w:color="auto"/>
            <w:bottom w:val="none" w:sz="0" w:space="0" w:color="auto"/>
            <w:right w:val="none" w:sz="0" w:space="0" w:color="auto"/>
          </w:divBdr>
        </w:div>
        <w:div w:id="1380397405">
          <w:marLeft w:val="0"/>
          <w:marRight w:val="0"/>
          <w:marTop w:val="0"/>
          <w:marBottom w:val="0"/>
          <w:divBdr>
            <w:top w:val="none" w:sz="0" w:space="0" w:color="auto"/>
            <w:left w:val="none" w:sz="0" w:space="0" w:color="auto"/>
            <w:bottom w:val="none" w:sz="0" w:space="0" w:color="auto"/>
            <w:right w:val="none" w:sz="0" w:space="0" w:color="auto"/>
          </w:divBdr>
        </w:div>
        <w:div w:id="1120609451">
          <w:marLeft w:val="0"/>
          <w:marRight w:val="0"/>
          <w:marTop w:val="0"/>
          <w:marBottom w:val="0"/>
          <w:divBdr>
            <w:top w:val="none" w:sz="0" w:space="0" w:color="auto"/>
            <w:left w:val="none" w:sz="0" w:space="0" w:color="auto"/>
            <w:bottom w:val="none" w:sz="0" w:space="0" w:color="auto"/>
            <w:right w:val="none" w:sz="0" w:space="0" w:color="auto"/>
          </w:divBdr>
        </w:div>
        <w:div w:id="1447774765">
          <w:marLeft w:val="0"/>
          <w:marRight w:val="0"/>
          <w:marTop w:val="0"/>
          <w:marBottom w:val="0"/>
          <w:divBdr>
            <w:top w:val="none" w:sz="0" w:space="0" w:color="auto"/>
            <w:left w:val="none" w:sz="0" w:space="0" w:color="auto"/>
            <w:bottom w:val="none" w:sz="0" w:space="0" w:color="auto"/>
            <w:right w:val="none" w:sz="0" w:space="0" w:color="auto"/>
          </w:divBdr>
        </w:div>
        <w:div w:id="860970676">
          <w:marLeft w:val="0"/>
          <w:marRight w:val="0"/>
          <w:marTop w:val="0"/>
          <w:marBottom w:val="0"/>
          <w:divBdr>
            <w:top w:val="none" w:sz="0" w:space="0" w:color="auto"/>
            <w:left w:val="none" w:sz="0" w:space="0" w:color="auto"/>
            <w:bottom w:val="none" w:sz="0" w:space="0" w:color="auto"/>
            <w:right w:val="none" w:sz="0" w:space="0" w:color="auto"/>
          </w:divBdr>
        </w:div>
        <w:div w:id="1181356243">
          <w:marLeft w:val="0"/>
          <w:marRight w:val="0"/>
          <w:marTop w:val="0"/>
          <w:marBottom w:val="0"/>
          <w:divBdr>
            <w:top w:val="none" w:sz="0" w:space="0" w:color="auto"/>
            <w:left w:val="none" w:sz="0" w:space="0" w:color="auto"/>
            <w:bottom w:val="none" w:sz="0" w:space="0" w:color="auto"/>
            <w:right w:val="none" w:sz="0" w:space="0" w:color="auto"/>
          </w:divBdr>
        </w:div>
        <w:div w:id="1834443962">
          <w:marLeft w:val="0"/>
          <w:marRight w:val="0"/>
          <w:marTop w:val="0"/>
          <w:marBottom w:val="0"/>
          <w:divBdr>
            <w:top w:val="none" w:sz="0" w:space="0" w:color="auto"/>
            <w:left w:val="none" w:sz="0" w:space="0" w:color="auto"/>
            <w:bottom w:val="none" w:sz="0" w:space="0" w:color="auto"/>
            <w:right w:val="none" w:sz="0" w:space="0" w:color="auto"/>
          </w:divBdr>
        </w:div>
        <w:div w:id="1677459615">
          <w:marLeft w:val="0"/>
          <w:marRight w:val="0"/>
          <w:marTop w:val="0"/>
          <w:marBottom w:val="0"/>
          <w:divBdr>
            <w:top w:val="none" w:sz="0" w:space="0" w:color="auto"/>
            <w:left w:val="none" w:sz="0" w:space="0" w:color="auto"/>
            <w:bottom w:val="none" w:sz="0" w:space="0" w:color="auto"/>
            <w:right w:val="none" w:sz="0" w:space="0" w:color="auto"/>
          </w:divBdr>
        </w:div>
        <w:div w:id="1349915420">
          <w:marLeft w:val="0"/>
          <w:marRight w:val="0"/>
          <w:marTop w:val="0"/>
          <w:marBottom w:val="0"/>
          <w:divBdr>
            <w:top w:val="none" w:sz="0" w:space="0" w:color="auto"/>
            <w:left w:val="none" w:sz="0" w:space="0" w:color="auto"/>
            <w:bottom w:val="none" w:sz="0" w:space="0" w:color="auto"/>
            <w:right w:val="none" w:sz="0" w:space="0" w:color="auto"/>
          </w:divBdr>
        </w:div>
        <w:div w:id="730275917">
          <w:marLeft w:val="0"/>
          <w:marRight w:val="0"/>
          <w:marTop w:val="0"/>
          <w:marBottom w:val="0"/>
          <w:divBdr>
            <w:top w:val="none" w:sz="0" w:space="0" w:color="auto"/>
            <w:left w:val="none" w:sz="0" w:space="0" w:color="auto"/>
            <w:bottom w:val="none" w:sz="0" w:space="0" w:color="auto"/>
            <w:right w:val="none" w:sz="0" w:space="0" w:color="auto"/>
          </w:divBdr>
        </w:div>
        <w:div w:id="1228490039">
          <w:marLeft w:val="0"/>
          <w:marRight w:val="0"/>
          <w:marTop w:val="0"/>
          <w:marBottom w:val="0"/>
          <w:divBdr>
            <w:top w:val="none" w:sz="0" w:space="0" w:color="auto"/>
            <w:left w:val="none" w:sz="0" w:space="0" w:color="auto"/>
            <w:bottom w:val="none" w:sz="0" w:space="0" w:color="auto"/>
            <w:right w:val="none" w:sz="0" w:space="0" w:color="auto"/>
          </w:divBdr>
        </w:div>
        <w:div w:id="1844857782">
          <w:marLeft w:val="0"/>
          <w:marRight w:val="0"/>
          <w:marTop w:val="0"/>
          <w:marBottom w:val="0"/>
          <w:divBdr>
            <w:top w:val="none" w:sz="0" w:space="0" w:color="auto"/>
            <w:left w:val="none" w:sz="0" w:space="0" w:color="auto"/>
            <w:bottom w:val="none" w:sz="0" w:space="0" w:color="auto"/>
            <w:right w:val="none" w:sz="0" w:space="0" w:color="auto"/>
          </w:divBdr>
        </w:div>
        <w:div w:id="870413458">
          <w:marLeft w:val="0"/>
          <w:marRight w:val="0"/>
          <w:marTop w:val="0"/>
          <w:marBottom w:val="0"/>
          <w:divBdr>
            <w:top w:val="none" w:sz="0" w:space="0" w:color="auto"/>
            <w:left w:val="none" w:sz="0" w:space="0" w:color="auto"/>
            <w:bottom w:val="none" w:sz="0" w:space="0" w:color="auto"/>
            <w:right w:val="none" w:sz="0" w:space="0" w:color="auto"/>
          </w:divBdr>
        </w:div>
        <w:div w:id="882988250">
          <w:marLeft w:val="0"/>
          <w:marRight w:val="0"/>
          <w:marTop w:val="0"/>
          <w:marBottom w:val="0"/>
          <w:divBdr>
            <w:top w:val="none" w:sz="0" w:space="0" w:color="auto"/>
            <w:left w:val="none" w:sz="0" w:space="0" w:color="auto"/>
            <w:bottom w:val="none" w:sz="0" w:space="0" w:color="auto"/>
            <w:right w:val="none" w:sz="0" w:space="0" w:color="auto"/>
          </w:divBdr>
        </w:div>
        <w:div w:id="1362239429">
          <w:marLeft w:val="0"/>
          <w:marRight w:val="0"/>
          <w:marTop w:val="0"/>
          <w:marBottom w:val="0"/>
          <w:divBdr>
            <w:top w:val="none" w:sz="0" w:space="0" w:color="auto"/>
            <w:left w:val="none" w:sz="0" w:space="0" w:color="auto"/>
            <w:bottom w:val="none" w:sz="0" w:space="0" w:color="auto"/>
            <w:right w:val="none" w:sz="0" w:space="0" w:color="auto"/>
          </w:divBdr>
        </w:div>
        <w:div w:id="1215966424">
          <w:marLeft w:val="0"/>
          <w:marRight w:val="0"/>
          <w:marTop w:val="0"/>
          <w:marBottom w:val="0"/>
          <w:divBdr>
            <w:top w:val="none" w:sz="0" w:space="0" w:color="auto"/>
            <w:left w:val="none" w:sz="0" w:space="0" w:color="auto"/>
            <w:bottom w:val="none" w:sz="0" w:space="0" w:color="auto"/>
            <w:right w:val="none" w:sz="0" w:space="0" w:color="auto"/>
          </w:divBdr>
        </w:div>
      </w:divsChild>
    </w:div>
    <w:div w:id="181564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08668-01F1-486D-BB28-2DD9915C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3348</Words>
  <Characters>18587</Characters>
  <Application>Microsoft Office Word</Application>
  <DocSecurity>0</DocSecurity>
  <Lines>387</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28</cp:revision>
  <dcterms:created xsi:type="dcterms:W3CDTF">2022-05-18T06:36:00Z</dcterms:created>
  <dcterms:modified xsi:type="dcterms:W3CDTF">2022-06-13T12:23:00Z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CP-004</vt:lpwstr>
  </property>
  <property fmtid="{D5CDD505-2E9C-101B-9397-08002B2CF9AE}" pid="7" name="Last edited using">
    <vt:lpwstr>LW 8.0, Build 20220128</vt:lpwstr>
  </property>
  <property fmtid="{D5CDD505-2E9C-101B-9397-08002B2CF9AE}" pid="8" name="Created using">
    <vt:lpwstr>LW 7.0.1, Build 20190916</vt:lpwstr>
  </property>
</Properties>
</file>