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03FA4" w14:textId="199BAA47" w:rsidR="009E791F" w:rsidRPr="000309CC" w:rsidRDefault="0002599D" w:rsidP="0002599D">
      <w:pPr>
        <w:pStyle w:val="Pagedecouverture"/>
        <w:rPr>
          <w:noProof/>
        </w:rPr>
      </w:pPr>
      <w:bookmarkStart w:id="0" w:name="LW_BM_COVERPAGE"/>
      <w:r>
        <w:rPr>
          <w:noProof/>
        </w:rPr>
        <w:pict w14:anchorId="41356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85836AB-A776-42FE-8455-C1BDAADAF57A" style="width:455.25pt;height:310.5pt">
            <v:imagedata r:id="rId11" o:title=""/>
          </v:shape>
        </w:pict>
      </w:r>
    </w:p>
    <w:bookmarkEnd w:id="0"/>
    <w:p w14:paraId="3F566A58" w14:textId="77777777" w:rsidR="009E791F" w:rsidRPr="000309CC" w:rsidRDefault="009E791F" w:rsidP="009E791F">
      <w:pPr>
        <w:rPr>
          <w:noProof/>
        </w:rPr>
        <w:sectPr w:rsidR="009E791F" w:rsidRPr="000309CC" w:rsidSect="0002599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13A7DCB" w14:textId="77777777" w:rsidR="00474DA2" w:rsidRPr="000309CC" w:rsidRDefault="00474DA2" w:rsidP="00474DA2">
      <w:pPr>
        <w:pStyle w:val="ListParagraph"/>
        <w:numPr>
          <w:ilvl w:val="0"/>
          <w:numId w:val="1"/>
        </w:numPr>
        <w:spacing w:before="360" w:after="240"/>
        <w:ind w:left="567" w:hanging="567"/>
        <w:jc w:val="both"/>
        <w:rPr>
          <w:rFonts w:ascii="Times New Roman" w:hAnsi="Times New Roman" w:cs="Times New Roman"/>
          <w:b/>
          <w:bCs/>
          <w:noProof/>
          <w:sz w:val="24"/>
          <w:szCs w:val="24"/>
        </w:rPr>
      </w:pPr>
      <w:bookmarkStart w:id="1" w:name="_GoBack"/>
      <w:bookmarkEnd w:id="1"/>
      <w:r w:rsidRPr="000309CC">
        <w:rPr>
          <w:rFonts w:ascii="Times New Roman" w:hAnsi="Times New Roman"/>
          <w:b/>
          <w:noProof/>
          <w:sz w:val="24"/>
        </w:rPr>
        <w:lastRenderedPageBreak/>
        <w:t>WPROWADZENIE</w:t>
      </w:r>
    </w:p>
    <w:p w14:paraId="6BF8CE0D" w14:textId="01D4F875" w:rsidR="00474DA2" w:rsidRPr="000309CC" w:rsidRDefault="00474DA2" w:rsidP="00474DA2">
      <w:pPr>
        <w:spacing w:line="240" w:lineRule="auto"/>
        <w:jc w:val="both"/>
        <w:rPr>
          <w:rFonts w:ascii="Times New Roman" w:hAnsi="Times New Roman" w:cs="Times New Roman"/>
          <w:bCs/>
          <w:noProof/>
          <w:sz w:val="24"/>
          <w:szCs w:val="24"/>
        </w:rPr>
      </w:pPr>
      <w:r w:rsidRPr="000309CC">
        <w:rPr>
          <w:rFonts w:ascii="Times New Roman" w:hAnsi="Times New Roman"/>
          <w:noProof/>
          <w:sz w:val="24"/>
        </w:rPr>
        <w:t>Rosyjska agresja na Ukrainę zdominowała obecnie agendę bezpieczeństwa UE. Wojna ta nie tylko zagraża Ukrainie, ale ma na celu naruszenie stabilności</w:t>
      </w:r>
      <w:r w:rsidR="000309CC" w:rsidRPr="000309CC">
        <w:rPr>
          <w:rFonts w:ascii="Times New Roman" w:hAnsi="Times New Roman"/>
          <w:noProof/>
          <w:sz w:val="24"/>
        </w:rPr>
        <w:t xml:space="preserve"> i bez</w:t>
      </w:r>
      <w:r w:rsidRPr="000309CC">
        <w:rPr>
          <w:rFonts w:ascii="Times New Roman" w:hAnsi="Times New Roman"/>
          <w:noProof/>
          <w:sz w:val="24"/>
        </w:rPr>
        <w:t>pieczeństwa na świecie. W UE stwarza ona szereg zagrożeń dla bezpieczeństwa obywateli. Istnieje nowa niepewność co do dostaw energii</w:t>
      </w:r>
      <w:r w:rsidR="000309CC" w:rsidRPr="000309CC">
        <w:rPr>
          <w:rFonts w:ascii="Times New Roman" w:hAnsi="Times New Roman"/>
          <w:noProof/>
          <w:sz w:val="24"/>
        </w:rPr>
        <w:t xml:space="preserve"> i inn</w:t>
      </w:r>
      <w:r w:rsidRPr="000309CC">
        <w:rPr>
          <w:rFonts w:ascii="Times New Roman" w:hAnsi="Times New Roman"/>
          <w:noProof/>
          <w:sz w:val="24"/>
        </w:rPr>
        <w:t>ych surowców,</w:t>
      </w:r>
      <w:r w:rsidR="000309CC" w:rsidRPr="000309CC">
        <w:rPr>
          <w:rFonts w:ascii="Times New Roman" w:hAnsi="Times New Roman"/>
          <w:noProof/>
          <w:sz w:val="24"/>
        </w:rPr>
        <w:t xml:space="preserve"> a inf</w:t>
      </w:r>
      <w:r w:rsidRPr="000309CC">
        <w:rPr>
          <w:rFonts w:ascii="Times New Roman" w:hAnsi="Times New Roman"/>
          <w:noProof/>
          <w:sz w:val="24"/>
        </w:rPr>
        <w:t>rastruktura krytyczna może stać się celem cyberataków. Wewnętrzne bezpieczeństwo</w:t>
      </w:r>
      <w:r w:rsidR="000309CC" w:rsidRPr="000309CC">
        <w:rPr>
          <w:rFonts w:ascii="Times New Roman" w:hAnsi="Times New Roman"/>
          <w:noProof/>
          <w:sz w:val="24"/>
        </w:rPr>
        <w:t xml:space="preserve"> i och</w:t>
      </w:r>
      <w:r w:rsidRPr="000309CC">
        <w:rPr>
          <w:rFonts w:ascii="Times New Roman" w:hAnsi="Times New Roman"/>
          <w:noProof/>
          <w:sz w:val="24"/>
        </w:rPr>
        <w:t>rona UE są zagrożone potencjalnymi atakami</w:t>
      </w:r>
      <w:r w:rsidR="000309CC" w:rsidRPr="000309CC">
        <w:rPr>
          <w:rFonts w:ascii="Times New Roman" w:hAnsi="Times New Roman"/>
          <w:noProof/>
          <w:sz w:val="24"/>
        </w:rPr>
        <w:t xml:space="preserve"> z uży</w:t>
      </w:r>
      <w:r w:rsidRPr="000309CC">
        <w:rPr>
          <w:rFonts w:ascii="Times New Roman" w:hAnsi="Times New Roman"/>
          <w:noProof/>
          <w:sz w:val="24"/>
        </w:rPr>
        <w:t>ciem czynników chemicznych, biologicznych lub radiologicznych</w:t>
      </w:r>
      <w:r w:rsidR="000309CC" w:rsidRPr="000309CC">
        <w:rPr>
          <w:rFonts w:ascii="Times New Roman" w:hAnsi="Times New Roman"/>
          <w:noProof/>
          <w:sz w:val="24"/>
        </w:rPr>
        <w:t xml:space="preserve"> w str</w:t>
      </w:r>
      <w:r w:rsidRPr="000309CC">
        <w:rPr>
          <w:rFonts w:ascii="Times New Roman" w:hAnsi="Times New Roman"/>
          <w:noProof/>
          <w:sz w:val="24"/>
        </w:rPr>
        <w:t>efie wojennej oraz wypadkami związanymi</w:t>
      </w:r>
      <w:r w:rsidR="000309CC" w:rsidRPr="000309CC">
        <w:rPr>
          <w:rFonts w:ascii="Times New Roman" w:hAnsi="Times New Roman"/>
          <w:noProof/>
          <w:sz w:val="24"/>
        </w:rPr>
        <w:t xml:space="preserve"> z tym</w:t>
      </w:r>
      <w:r w:rsidRPr="000309CC">
        <w:rPr>
          <w:rFonts w:ascii="Times New Roman" w:hAnsi="Times New Roman"/>
          <w:noProof/>
          <w:sz w:val="24"/>
        </w:rPr>
        <w:t>i czynnikami. Podatność milionów osób, które uciekły przed wojną, na zagrożenia może zostać szybko wykorzystana przez zorganizowane grupy przestępcze poprzez handel kobietami</w:t>
      </w:r>
      <w:r w:rsidR="000309CC" w:rsidRPr="000309CC">
        <w:rPr>
          <w:rFonts w:ascii="Times New Roman" w:hAnsi="Times New Roman"/>
          <w:noProof/>
          <w:sz w:val="24"/>
        </w:rPr>
        <w:t xml:space="preserve"> i dzi</w:t>
      </w:r>
      <w:r w:rsidRPr="000309CC">
        <w:rPr>
          <w:rFonts w:ascii="Times New Roman" w:hAnsi="Times New Roman"/>
          <w:noProof/>
          <w:sz w:val="24"/>
        </w:rPr>
        <w:t xml:space="preserve">ećmi, które są szczególnie narażone. </w:t>
      </w:r>
    </w:p>
    <w:p w14:paraId="4305CBEC" w14:textId="175C6E91" w:rsidR="00474DA2" w:rsidRPr="000309CC" w:rsidRDefault="00474DA2" w:rsidP="00474DA2">
      <w:pPr>
        <w:spacing w:line="240" w:lineRule="auto"/>
        <w:jc w:val="both"/>
        <w:rPr>
          <w:rFonts w:ascii="Times New Roman" w:hAnsi="Times New Roman" w:cs="Times New Roman"/>
          <w:bCs/>
          <w:noProof/>
          <w:sz w:val="24"/>
          <w:szCs w:val="24"/>
        </w:rPr>
      </w:pPr>
      <w:r w:rsidRPr="000309CC">
        <w:rPr>
          <w:rFonts w:ascii="Times New Roman" w:hAnsi="Times New Roman"/>
          <w:noProof/>
          <w:sz w:val="24"/>
        </w:rPr>
        <w:t>W obliczu tych nowych</w:t>
      </w:r>
      <w:r w:rsidR="000309CC" w:rsidRPr="000309CC">
        <w:rPr>
          <w:rFonts w:ascii="Times New Roman" w:hAnsi="Times New Roman"/>
          <w:noProof/>
          <w:sz w:val="24"/>
        </w:rPr>
        <w:t xml:space="preserve"> i pot</w:t>
      </w:r>
      <w:r w:rsidRPr="000309CC">
        <w:rPr>
          <w:rFonts w:ascii="Times New Roman" w:hAnsi="Times New Roman"/>
          <w:noProof/>
          <w:sz w:val="24"/>
        </w:rPr>
        <w:t>encjalnych zagrożeń UE pozostała stanowcza</w:t>
      </w:r>
      <w:r w:rsidR="000309CC" w:rsidRPr="000309CC">
        <w:rPr>
          <w:rFonts w:ascii="Times New Roman" w:hAnsi="Times New Roman"/>
          <w:noProof/>
          <w:sz w:val="24"/>
        </w:rPr>
        <w:t xml:space="preserve"> i zje</w:t>
      </w:r>
      <w:r w:rsidRPr="000309CC">
        <w:rPr>
          <w:rFonts w:ascii="Times New Roman" w:hAnsi="Times New Roman"/>
          <w:noProof/>
          <w:sz w:val="24"/>
        </w:rPr>
        <w:t xml:space="preserve">dnoczona. Chociaż wpływ wojny jest jak dotąd ograniczony głównie do terytorium Ukrainy, UE zwiększyła </w:t>
      </w:r>
      <w:r w:rsidRPr="000309CC">
        <w:rPr>
          <w:rFonts w:ascii="Times New Roman" w:hAnsi="Times New Roman"/>
          <w:i/>
          <w:noProof/>
          <w:sz w:val="24"/>
        </w:rPr>
        <w:t>czujność</w:t>
      </w:r>
      <w:r w:rsidR="000309CC" w:rsidRPr="000309CC">
        <w:rPr>
          <w:rFonts w:ascii="Times New Roman" w:hAnsi="Times New Roman"/>
          <w:i/>
          <w:noProof/>
          <w:sz w:val="24"/>
        </w:rPr>
        <w:t xml:space="preserve"> i koo</w:t>
      </w:r>
      <w:r w:rsidRPr="000309CC">
        <w:rPr>
          <w:rFonts w:ascii="Times New Roman" w:hAnsi="Times New Roman"/>
          <w:i/>
          <w:noProof/>
          <w:sz w:val="24"/>
        </w:rPr>
        <w:t xml:space="preserve">rdynację </w:t>
      </w:r>
      <w:r w:rsidRPr="000309CC">
        <w:rPr>
          <w:rFonts w:ascii="Times New Roman" w:hAnsi="Times New Roman"/>
          <w:noProof/>
          <w:sz w:val="24"/>
        </w:rPr>
        <w:t>poprzez lepsze monitorowanie krajobrazu zagrożeń,</w:t>
      </w:r>
      <w:r w:rsidR="000309CC" w:rsidRPr="000309CC">
        <w:rPr>
          <w:rFonts w:ascii="Times New Roman" w:hAnsi="Times New Roman"/>
          <w:noProof/>
          <w:sz w:val="24"/>
        </w:rPr>
        <w:t xml:space="preserve"> a tak</w:t>
      </w:r>
      <w:r w:rsidRPr="000309CC">
        <w:rPr>
          <w:rFonts w:ascii="Times New Roman" w:hAnsi="Times New Roman"/>
          <w:noProof/>
          <w:sz w:val="24"/>
        </w:rPr>
        <w:t xml:space="preserve">że pracowała nad wzmocnieniem odporności, aby zapewnić </w:t>
      </w:r>
      <w:r w:rsidRPr="000309CC">
        <w:rPr>
          <w:rFonts w:ascii="Times New Roman" w:hAnsi="Times New Roman"/>
          <w:i/>
          <w:noProof/>
          <w:sz w:val="24"/>
        </w:rPr>
        <w:t>gotowość</w:t>
      </w:r>
      <w:r w:rsidRPr="000309CC">
        <w:rPr>
          <w:rFonts w:ascii="Times New Roman" w:hAnsi="Times New Roman"/>
          <w:noProof/>
          <w:sz w:val="24"/>
        </w:rPr>
        <w:t xml:space="preserve">. </w:t>
      </w:r>
    </w:p>
    <w:p w14:paraId="506CF8AC" w14:textId="19A19D44" w:rsidR="00474DA2" w:rsidRPr="000309CC" w:rsidRDefault="00474DA2" w:rsidP="00474DA2">
      <w:pPr>
        <w:spacing w:line="240" w:lineRule="auto"/>
        <w:jc w:val="both"/>
        <w:rPr>
          <w:rFonts w:ascii="Times New Roman" w:hAnsi="Times New Roman" w:cs="Times New Roman"/>
          <w:bCs/>
          <w:noProof/>
          <w:sz w:val="24"/>
          <w:szCs w:val="24"/>
        </w:rPr>
      </w:pPr>
      <w:r w:rsidRPr="000309CC">
        <w:rPr>
          <w:rFonts w:ascii="Times New Roman" w:hAnsi="Times New Roman"/>
          <w:noProof/>
          <w:sz w:val="24"/>
        </w:rPr>
        <w:t>W Deklaracji wersalskiej przyjętej na posiedzeniu, które odbyło się</w:t>
      </w:r>
      <w:r w:rsidR="000309CC" w:rsidRPr="000309CC">
        <w:rPr>
          <w:rFonts w:ascii="Times New Roman" w:hAnsi="Times New Roman"/>
          <w:noProof/>
          <w:sz w:val="24"/>
        </w:rPr>
        <w:t> </w:t>
      </w:r>
      <w:r w:rsidRPr="000309CC">
        <w:rPr>
          <w:rFonts w:ascii="Times New Roman" w:hAnsi="Times New Roman"/>
          <w:noProof/>
          <w:sz w:val="24"/>
        </w:rPr>
        <w:t>10–11 marca 2022</w:t>
      </w:r>
      <w:r w:rsidR="000309CC" w:rsidRPr="000309CC">
        <w:rPr>
          <w:rFonts w:ascii="Times New Roman" w:hAnsi="Times New Roman"/>
          <w:noProof/>
          <w:sz w:val="24"/>
        </w:rPr>
        <w:t> </w:t>
      </w:r>
      <w:r w:rsidRPr="000309CC">
        <w:rPr>
          <w:rFonts w:ascii="Times New Roman" w:hAnsi="Times New Roman"/>
          <w:noProof/>
          <w:sz w:val="24"/>
        </w:rPr>
        <w:t>r.</w:t>
      </w:r>
      <w:r w:rsidRPr="000309CC">
        <w:rPr>
          <w:rStyle w:val="FootnoteReference"/>
          <w:rFonts w:ascii="Times New Roman" w:hAnsi="Times New Roman" w:cs="Times New Roman"/>
          <w:bCs/>
          <w:noProof/>
          <w:sz w:val="24"/>
          <w:szCs w:val="24"/>
        </w:rPr>
        <w:footnoteReference w:id="2"/>
      </w:r>
      <w:r w:rsidRPr="000309CC">
        <w:rPr>
          <w:rFonts w:ascii="Times New Roman" w:hAnsi="Times New Roman"/>
          <w:noProof/>
          <w:sz w:val="24"/>
        </w:rPr>
        <w:t>, przywódcy europejscy podkreślili konieczność przygotowania się na szybko pojawiające się wyzwania poprzez „zabezpieczanie się przed stale nasilającą się wojną hybrydową, wzmacnianie naszej cyberodporności, ochronę naszej infrastruktury – szczególnie naszej infrastruktury krytycznej – oraz zwalczanie dezinformacji”.</w:t>
      </w:r>
    </w:p>
    <w:p w14:paraId="7F8CB373" w14:textId="72B5CEAF" w:rsidR="00474DA2" w:rsidRPr="000309CC" w:rsidRDefault="00474DA2" w:rsidP="00474DA2">
      <w:pPr>
        <w:spacing w:line="240" w:lineRule="auto"/>
        <w:jc w:val="both"/>
        <w:rPr>
          <w:rFonts w:ascii="Times New Roman" w:hAnsi="Times New Roman" w:cs="Times New Roman"/>
          <w:noProof/>
          <w:sz w:val="24"/>
        </w:rPr>
      </w:pPr>
      <w:r w:rsidRPr="000309CC">
        <w:rPr>
          <w:rFonts w:ascii="Times New Roman" w:hAnsi="Times New Roman"/>
          <w:noProof/>
          <w:sz w:val="24"/>
        </w:rPr>
        <w:t>Ramy unii bezpieczeństwa mają zasadnicze znaczenie dla zapewnienia bezpieczeństwa</w:t>
      </w:r>
      <w:r w:rsidR="000309CC" w:rsidRPr="000309CC">
        <w:rPr>
          <w:rFonts w:ascii="Times New Roman" w:hAnsi="Times New Roman"/>
          <w:noProof/>
          <w:sz w:val="24"/>
        </w:rPr>
        <w:t xml:space="preserve"> w cał</w:t>
      </w:r>
      <w:r w:rsidRPr="000309CC">
        <w:rPr>
          <w:rFonts w:ascii="Times New Roman" w:hAnsi="Times New Roman"/>
          <w:noProof/>
          <w:sz w:val="24"/>
        </w:rPr>
        <w:t>ej UE. Cztery priorytety strategiczne określone</w:t>
      </w:r>
      <w:r w:rsidR="000309CC" w:rsidRPr="000309CC">
        <w:rPr>
          <w:rFonts w:ascii="Times New Roman" w:hAnsi="Times New Roman"/>
          <w:noProof/>
          <w:sz w:val="24"/>
        </w:rPr>
        <w:t xml:space="preserve"> w str</w:t>
      </w:r>
      <w:r w:rsidRPr="000309CC">
        <w:rPr>
          <w:rFonts w:ascii="Times New Roman" w:hAnsi="Times New Roman"/>
          <w:noProof/>
          <w:sz w:val="24"/>
        </w:rPr>
        <w:t>ategii</w:t>
      </w:r>
      <w:r w:rsidR="000309CC" w:rsidRPr="000309CC">
        <w:rPr>
          <w:rFonts w:ascii="Times New Roman" w:hAnsi="Times New Roman"/>
          <w:noProof/>
          <w:sz w:val="24"/>
        </w:rPr>
        <w:t xml:space="preserve"> w zak</w:t>
      </w:r>
      <w:r w:rsidRPr="000309CC">
        <w:rPr>
          <w:rFonts w:ascii="Times New Roman" w:hAnsi="Times New Roman"/>
          <w:noProof/>
          <w:sz w:val="24"/>
        </w:rPr>
        <w:t>resie unii bezpieczeństwa</w:t>
      </w:r>
      <w:r w:rsidRPr="000309CC">
        <w:rPr>
          <w:rStyle w:val="FootnoteReference"/>
          <w:rFonts w:ascii="Times New Roman" w:hAnsi="Times New Roman" w:cs="Times New Roman"/>
          <w:bCs/>
          <w:noProof/>
          <w:sz w:val="24"/>
          <w:szCs w:val="24"/>
        </w:rPr>
        <w:footnoteReference w:id="3"/>
      </w:r>
      <w:r w:rsidRPr="000309CC">
        <w:rPr>
          <w:rFonts w:ascii="Times New Roman" w:hAnsi="Times New Roman"/>
          <w:noProof/>
          <w:sz w:val="24"/>
        </w:rPr>
        <w:t xml:space="preserve"> pozostają bezpośrednio związane</w:t>
      </w:r>
      <w:r w:rsidR="000309CC" w:rsidRPr="000309CC">
        <w:rPr>
          <w:rFonts w:ascii="Times New Roman" w:hAnsi="Times New Roman"/>
          <w:noProof/>
          <w:sz w:val="24"/>
        </w:rPr>
        <w:t xml:space="preserve"> z tym</w:t>
      </w:r>
      <w:r w:rsidRPr="000309CC">
        <w:rPr>
          <w:rFonts w:ascii="Times New Roman" w:hAnsi="Times New Roman"/>
          <w:noProof/>
          <w:sz w:val="24"/>
        </w:rPr>
        <w:t xml:space="preserve"> zadaniem</w:t>
      </w:r>
      <w:r w:rsidR="000309CC" w:rsidRPr="000309CC">
        <w:rPr>
          <w:rFonts w:ascii="Times New Roman" w:hAnsi="Times New Roman"/>
          <w:noProof/>
          <w:sz w:val="24"/>
        </w:rPr>
        <w:t xml:space="preserve"> w obe</w:t>
      </w:r>
      <w:r w:rsidRPr="000309CC">
        <w:rPr>
          <w:rFonts w:ascii="Times New Roman" w:hAnsi="Times New Roman"/>
          <w:noProof/>
          <w:sz w:val="24"/>
        </w:rPr>
        <w:t>cnym kontekście geopolitycznym: (i) środowisko bezpieczeństwa, które wytrzyma próbę czasu; (ii) działanie</w:t>
      </w:r>
      <w:r w:rsidR="000309CC" w:rsidRPr="000309CC">
        <w:rPr>
          <w:rFonts w:ascii="Times New Roman" w:hAnsi="Times New Roman"/>
          <w:noProof/>
          <w:sz w:val="24"/>
        </w:rPr>
        <w:t xml:space="preserve"> w obl</w:t>
      </w:r>
      <w:r w:rsidRPr="000309CC">
        <w:rPr>
          <w:rFonts w:ascii="Times New Roman" w:hAnsi="Times New Roman"/>
          <w:noProof/>
          <w:sz w:val="24"/>
        </w:rPr>
        <w:t>iczu zmieniających się zagrożeń; (iii) ochrona Europejczyków przed terroryzmem</w:t>
      </w:r>
      <w:r w:rsidR="000309CC" w:rsidRPr="000309CC">
        <w:rPr>
          <w:rFonts w:ascii="Times New Roman" w:hAnsi="Times New Roman"/>
          <w:noProof/>
          <w:sz w:val="24"/>
        </w:rPr>
        <w:t xml:space="preserve"> i prz</w:t>
      </w:r>
      <w:r w:rsidRPr="000309CC">
        <w:rPr>
          <w:rFonts w:ascii="Times New Roman" w:hAnsi="Times New Roman"/>
          <w:noProof/>
          <w:sz w:val="24"/>
        </w:rPr>
        <w:t>estępczością zorganizowaną oraz (iv) silny europejski ekosystem bezpieczeństwa. Wojna uwydatniła potrzebę pełnego wykorzystania przez UE</w:t>
      </w:r>
      <w:r w:rsidR="000309CC" w:rsidRPr="000309CC">
        <w:rPr>
          <w:rFonts w:ascii="Times New Roman" w:hAnsi="Times New Roman"/>
          <w:noProof/>
          <w:sz w:val="24"/>
        </w:rPr>
        <w:t xml:space="preserve"> i jej</w:t>
      </w:r>
      <w:r w:rsidRPr="000309CC">
        <w:rPr>
          <w:rFonts w:ascii="Times New Roman" w:hAnsi="Times New Roman"/>
          <w:noProof/>
          <w:sz w:val="24"/>
        </w:rPr>
        <w:t xml:space="preserve"> państwa członkowskie instrumentów prawnych</w:t>
      </w:r>
      <w:r w:rsidR="000309CC" w:rsidRPr="000309CC">
        <w:rPr>
          <w:rFonts w:ascii="Times New Roman" w:hAnsi="Times New Roman"/>
          <w:noProof/>
          <w:sz w:val="24"/>
        </w:rPr>
        <w:t xml:space="preserve"> i pol</w:t>
      </w:r>
      <w:r w:rsidRPr="000309CC">
        <w:rPr>
          <w:rFonts w:ascii="Times New Roman" w:hAnsi="Times New Roman"/>
          <w:noProof/>
          <w:sz w:val="24"/>
        </w:rPr>
        <w:t>itycznych dostępnych już</w:t>
      </w:r>
      <w:r w:rsidR="000309CC" w:rsidRPr="000309CC">
        <w:rPr>
          <w:rFonts w:ascii="Times New Roman" w:hAnsi="Times New Roman"/>
          <w:noProof/>
          <w:sz w:val="24"/>
        </w:rPr>
        <w:t xml:space="preserve"> w ram</w:t>
      </w:r>
      <w:r w:rsidRPr="000309CC">
        <w:rPr>
          <w:rFonts w:ascii="Times New Roman" w:hAnsi="Times New Roman"/>
          <w:noProof/>
          <w:sz w:val="24"/>
        </w:rPr>
        <w:t>ach strategii</w:t>
      </w:r>
      <w:r w:rsidR="000309CC" w:rsidRPr="000309CC">
        <w:rPr>
          <w:rFonts w:ascii="Times New Roman" w:hAnsi="Times New Roman"/>
          <w:noProof/>
          <w:sz w:val="24"/>
        </w:rPr>
        <w:t xml:space="preserve"> w zak</w:t>
      </w:r>
      <w:r w:rsidRPr="000309CC">
        <w:rPr>
          <w:rFonts w:ascii="Times New Roman" w:hAnsi="Times New Roman"/>
          <w:noProof/>
          <w:sz w:val="24"/>
        </w:rPr>
        <w:t>resie unii bezpieczeństwa, które stanowią podstawę skoordynowanego wsparcia UE dla państw członkowskich</w:t>
      </w:r>
      <w:r w:rsidR="000309CC" w:rsidRPr="000309CC">
        <w:rPr>
          <w:rFonts w:ascii="Times New Roman" w:hAnsi="Times New Roman"/>
          <w:noProof/>
          <w:sz w:val="24"/>
        </w:rPr>
        <w:t xml:space="preserve"> w kwe</w:t>
      </w:r>
      <w:r w:rsidRPr="000309CC">
        <w:rPr>
          <w:rFonts w:ascii="Times New Roman" w:hAnsi="Times New Roman"/>
          <w:noProof/>
          <w:sz w:val="24"/>
        </w:rPr>
        <w:t>stiach takich jak przestępczość zorganizowana</w:t>
      </w:r>
      <w:r w:rsidR="000309CC" w:rsidRPr="000309CC">
        <w:rPr>
          <w:rFonts w:ascii="Times New Roman" w:hAnsi="Times New Roman"/>
          <w:noProof/>
          <w:sz w:val="24"/>
        </w:rPr>
        <w:t xml:space="preserve"> i ter</w:t>
      </w:r>
      <w:r w:rsidRPr="000309CC">
        <w:rPr>
          <w:rFonts w:ascii="Times New Roman" w:hAnsi="Times New Roman"/>
          <w:noProof/>
          <w:sz w:val="24"/>
        </w:rPr>
        <w:t>roryzm, cyberbezpieczeństwo</w:t>
      </w:r>
      <w:r w:rsidR="000309CC" w:rsidRPr="000309CC">
        <w:rPr>
          <w:rFonts w:ascii="Times New Roman" w:hAnsi="Times New Roman"/>
          <w:noProof/>
          <w:sz w:val="24"/>
        </w:rPr>
        <w:t xml:space="preserve"> i zag</w:t>
      </w:r>
      <w:r w:rsidRPr="000309CC">
        <w:rPr>
          <w:rFonts w:ascii="Times New Roman" w:hAnsi="Times New Roman"/>
          <w:noProof/>
          <w:sz w:val="24"/>
        </w:rPr>
        <w:t xml:space="preserve">rożenia hybrydowe. </w:t>
      </w:r>
    </w:p>
    <w:p w14:paraId="53CD423B" w14:textId="7E7DE056" w:rsidR="00474DA2" w:rsidRPr="000309CC" w:rsidRDefault="00474DA2" w:rsidP="00474DA2">
      <w:pPr>
        <w:spacing w:line="240" w:lineRule="auto"/>
        <w:jc w:val="both"/>
        <w:rPr>
          <w:rFonts w:ascii="Times New Roman" w:hAnsi="Times New Roman" w:cs="Times New Roman"/>
          <w:noProof/>
          <w:sz w:val="24"/>
        </w:rPr>
      </w:pPr>
      <w:r w:rsidRPr="000309CC">
        <w:rPr>
          <w:rFonts w:ascii="Times New Roman" w:hAnsi="Times New Roman"/>
          <w:noProof/>
          <w:sz w:val="24"/>
        </w:rPr>
        <w:t>Europejskie agencje działające</w:t>
      </w:r>
      <w:r w:rsidR="000309CC" w:rsidRPr="000309CC">
        <w:rPr>
          <w:rFonts w:ascii="Times New Roman" w:hAnsi="Times New Roman"/>
          <w:noProof/>
          <w:sz w:val="24"/>
        </w:rPr>
        <w:t xml:space="preserve"> w obs</w:t>
      </w:r>
      <w:r w:rsidRPr="000309CC">
        <w:rPr>
          <w:rFonts w:ascii="Times New Roman" w:hAnsi="Times New Roman"/>
          <w:noProof/>
          <w:sz w:val="24"/>
        </w:rPr>
        <w:t>zarze wymiaru sprawiedliwości</w:t>
      </w:r>
      <w:r w:rsidR="000309CC" w:rsidRPr="000309CC">
        <w:rPr>
          <w:rFonts w:ascii="Times New Roman" w:hAnsi="Times New Roman"/>
          <w:noProof/>
          <w:sz w:val="24"/>
        </w:rPr>
        <w:t xml:space="preserve"> i spr</w:t>
      </w:r>
      <w:r w:rsidRPr="000309CC">
        <w:rPr>
          <w:rFonts w:ascii="Times New Roman" w:hAnsi="Times New Roman"/>
          <w:noProof/>
          <w:sz w:val="24"/>
        </w:rPr>
        <w:t>aw wewnętrznych również zintensyfikowały swoje starania</w:t>
      </w:r>
      <w:r w:rsidR="000309CC" w:rsidRPr="000309CC">
        <w:rPr>
          <w:rFonts w:ascii="Times New Roman" w:hAnsi="Times New Roman"/>
          <w:noProof/>
          <w:sz w:val="24"/>
        </w:rPr>
        <w:t xml:space="preserve"> w odp</w:t>
      </w:r>
      <w:r w:rsidRPr="000309CC">
        <w:rPr>
          <w:rFonts w:ascii="Times New Roman" w:hAnsi="Times New Roman"/>
          <w:noProof/>
          <w:sz w:val="24"/>
        </w:rPr>
        <w:t>owiedzi na wojnę</w:t>
      </w:r>
      <w:r w:rsidR="000309CC" w:rsidRPr="000309CC">
        <w:rPr>
          <w:rFonts w:ascii="Times New Roman" w:hAnsi="Times New Roman"/>
          <w:noProof/>
          <w:sz w:val="24"/>
        </w:rPr>
        <w:t xml:space="preserve"> w Ukr</w:t>
      </w:r>
      <w:r w:rsidRPr="000309CC">
        <w:rPr>
          <w:rFonts w:ascii="Times New Roman" w:hAnsi="Times New Roman"/>
          <w:noProof/>
          <w:sz w:val="24"/>
        </w:rPr>
        <w:t>ainie, odgrywając główną rolę</w:t>
      </w:r>
      <w:r w:rsidR="000309CC" w:rsidRPr="000309CC">
        <w:rPr>
          <w:rFonts w:ascii="Times New Roman" w:hAnsi="Times New Roman"/>
          <w:noProof/>
          <w:sz w:val="24"/>
        </w:rPr>
        <w:t xml:space="preserve"> w prz</w:t>
      </w:r>
      <w:r w:rsidRPr="000309CC">
        <w:rPr>
          <w:rFonts w:ascii="Times New Roman" w:hAnsi="Times New Roman"/>
          <w:noProof/>
          <w:sz w:val="24"/>
        </w:rPr>
        <w:t>eprowadzaniu oceny zagrożeń</w:t>
      </w:r>
      <w:r w:rsidR="000309CC" w:rsidRPr="000309CC">
        <w:rPr>
          <w:rFonts w:ascii="Times New Roman" w:hAnsi="Times New Roman"/>
          <w:noProof/>
          <w:sz w:val="24"/>
        </w:rPr>
        <w:t xml:space="preserve"> i wsp</w:t>
      </w:r>
      <w:r w:rsidRPr="000309CC">
        <w:rPr>
          <w:rFonts w:ascii="Times New Roman" w:hAnsi="Times New Roman"/>
          <w:noProof/>
          <w:sz w:val="24"/>
        </w:rPr>
        <w:t>ieraniu reakcji operacyjnych</w:t>
      </w:r>
      <w:r w:rsidRPr="000309CC">
        <w:rPr>
          <w:rStyle w:val="FootnoteReference"/>
          <w:rFonts w:ascii="Times New Roman" w:hAnsi="Times New Roman" w:cs="Times New Roman"/>
          <w:noProof/>
          <w:sz w:val="24"/>
        </w:rPr>
        <w:footnoteReference w:id="4"/>
      </w:r>
      <w:r w:rsidRPr="000309CC">
        <w:rPr>
          <w:rFonts w:ascii="Times New Roman" w:hAnsi="Times New Roman"/>
          <w:noProof/>
          <w:sz w:val="24"/>
        </w:rPr>
        <w:t>. Innym istotnym czynnikiem jest nieustanne wzmacnianie praktyki operacyjnej</w:t>
      </w:r>
      <w:r w:rsidR="000309CC" w:rsidRPr="000309CC">
        <w:rPr>
          <w:rFonts w:ascii="Times New Roman" w:hAnsi="Times New Roman"/>
          <w:noProof/>
          <w:sz w:val="24"/>
        </w:rPr>
        <w:t xml:space="preserve"> i zar</w:t>
      </w:r>
      <w:r w:rsidRPr="000309CC">
        <w:rPr>
          <w:rFonts w:ascii="Times New Roman" w:hAnsi="Times New Roman"/>
          <w:noProof/>
          <w:sz w:val="24"/>
        </w:rPr>
        <w:t>ządzania</w:t>
      </w:r>
      <w:r w:rsidR="000309CC" w:rsidRPr="000309CC">
        <w:rPr>
          <w:rFonts w:ascii="Times New Roman" w:hAnsi="Times New Roman"/>
          <w:noProof/>
          <w:sz w:val="24"/>
        </w:rPr>
        <w:t xml:space="preserve"> w str</w:t>
      </w:r>
      <w:r w:rsidRPr="000309CC">
        <w:rPr>
          <w:rFonts w:ascii="Times New Roman" w:hAnsi="Times New Roman"/>
          <w:noProof/>
          <w:sz w:val="24"/>
        </w:rPr>
        <w:t xml:space="preserve">efie Schengen. </w:t>
      </w:r>
    </w:p>
    <w:p w14:paraId="3DF92FEA" w14:textId="03EB2A0D" w:rsidR="00474DA2" w:rsidRPr="000309CC" w:rsidRDefault="00474DA2" w:rsidP="00474DA2">
      <w:pPr>
        <w:spacing w:line="240" w:lineRule="auto"/>
        <w:jc w:val="both"/>
        <w:rPr>
          <w:rFonts w:ascii="Times New Roman" w:hAnsi="Times New Roman" w:cs="Times New Roman"/>
          <w:noProof/>
          <w:sz w:val="24"/>
        </w:rPr>
      </w:pPr>
      <w:r w:rsidRPr="000309CC">
        <w:rPr>
          <w:rFonts w:ascii="Times New Roman" w:hAnsi="Times New Roman"/>
          <w:noProof/>
          <w:sz w:val="24"/>
        </w:rPr>
        <w:t>W niniejszym, czwartym sprawozdaniu</w:t>
      </w:r>
      <w:r w:rsidR="000309CC" w:rsidRPr="000309CC">
        <w:rPr>
          <w:rFonts w:ascii="Times New Roman" w:hAnsi="Times New Roman"/>
          <w:noProof/>
          <w:sz w:val="24"/>
        </w:rPr>
        <w:t xml:space="preserve"> z pos</w:t>
      </w:r>
      <w:r w:rsidRPr="000309CC">
        <w:rPr>
          <w:rFonts w:ascii="Times New Roman" w:hAnsi="Times New Roman"/>
          <w:noProof/>
          <w:sz w:val="24"/>
        </w:rPr>
        <w:t>tępów prac</w:t>
      </w:r>
      <w:r w:rsidR="000309CC" w:rsidRPr="000309CC">
        <w:rPr>
          <w:rFonts w:ascii="Times New Roman" w:hAnsi="Times New Roman"/>
          <w:noProof/>
          <w:sz w:val="24"/>
        </w:rPr>
        <w:t xml:space="preserve"> w zak</w:t>
      </w:r>
      <w:r w:rsidRPr="000309CC">
        <w:rPr>
          <w:rFonts w:ascii="Times New Roman" w:hAnsi="Times New Roman"/>
          <w:noProof/>
          <w:sz w:val="24"/>
        </w:rPr>
        <w:t>resie unii bezpieczeństwa skoncentrowano się na wydarzeniach, które miały miejsce</w:t>
      </w:r>
      <w:r w:rsidR="000309CC" w:rsidRPr="000309CC">
        <w:rPr>
          <w:rFonts w:ascii="Times New Roman" w:hAnsi="Times New Roman"/>
          <w:noProof/>
          <w:sz w:val="24"/>
        </w:rPr>
        <w:t xml:space="preserve"> w cią</w:t>
      </w:r>
      <w:r w:rsidRPr="000309CC">
        <w:rPr>
          <w:rFonts w:ascii="Times New Roman" w:hAnsi="Times New Roman"/>
          <w:noProof/>
          <w:sz w:val="24"/>
        </w:rPr>
        <w:t>gu ostatnich kilku miesięcy po rosyjskiej agresji na Ukrainę. Przedstawiono</w:t>
      </w:r>
      <w:r w:rsidR="000309CC" w:rsidRPr="000309CC">
        <w:rPr>
          <w:rFonts w:ascii="Times New Roman" w:hAnsi="Times New Roman"/>
          <w:noProof/>
          <w:sz w:val="24"/>
        </w:rPr>
        <w:t xml:space="preserve"> w nim</w:t>
      </w:r>
      <w:r w:rsidRPr="000309CC">
        <w:rPr>
          <w:rFonts w:ascii="Times New Roman" w:hAnsi="Times New Roman"/>
          <w:noProof/>
          <w:sz w:val="24"/>
        </w:rPr>
        <w:t xml:space="preserve"> przegląd działań podjętych we wszystkich aspektach Unii Bezpieczeństwa oraz rozważono potrzeby dotyczące gotowości wynikające</w:t>
      </w:r>
      <w:r w:rsidR="000309CC" w:rsidRPr="000309CC">
        <w:rPr>
          <w:rFonts w:ascii="Times New Roman" w:hAnsi="Times New Roman"/>
          <w:noProof/>
          <w:sz w:val="24"/>
        </w:rPr>
        <w:t xml:space="preserve"> z pot</w:t>
      </w:r>
      <w:r w:rsidRPr="000309CC">
        <w:rPr>
          <w:rFonts w:ascii="Times New Roman" w:hAnsi="Times New Roman"/>
          <w:noProof/>
          <w:sz w:val="24"/>
        </w:rPr>
        <w:t>encjalnych zagrożeń bezpieczeństwa związanych</w:t>
      </w:r>
      <w:r w:rsidR="000309CC" w:rsidRPr="000309CC">
        <w:rPr>
          <w:rFonts w:ascii="Times New Roman" w:hAnsi="Times New Roman"/>
          <w:noProof/>
          <w:sz w:val="24"/>
        </w:rPr>
        <w:t xml:space="preserve"> z woj</w:t>
      </w:r>
      <w:r w:rsidRPr="000309CC">
        <w:rPr>
          <w:rFonts w:ascii="Times New Roman" w:hAnsi="Times New Roman"/>
          <w:noProof/>
          <w:sz w:val="24"/>
        </w:rPr>
        <w:t>ną</w:t>
      </w:r>
      <w:r w:rsidR="000309CC" w:rsidRPr="000309CC">
        <w:rPr>
          <w:rFonts w:ascii="Times New Roman" w:hAnsi="Times New Roman"/>
          <w:noProof/>
          <w:sz w:val="24"/>
        </w:rPr>
        <w:t xml:space="preserve"> w Ukr</w:t>
      </w:r>
      <w:r w:rsidRPr="000309CC">
        <w:rPr>
          <w:rFonts w:ascii="Times New Roman" w:hAnsi="Times New Roman"/>
          <w:noProof/>
          <w:sz w:val="24"/>
        </w:rPr>
        <w:t>ainie. Informacje na temat postępu prac</w:t>
      </w:r>
      <w:r w:rsidR="000309CC" w:rsidRPr="000309CC">
        <w:rPr>
          <w:rFonts w:ascii="Times New Roman" w:hAnsi="Times New Roman"/>
          <w:noProof/>
          <w:sz w:val="24"/>
        </w:rPr>
        <w:t xml:space="preserve"> w zak</w:t>
      </w:r>
      <w:r w:rsidRPr="000309CC">
        <w:rPr>
          <w:rFonts w:ascii="Times New Roman" w:hAnsi="Times New Roman"/>
          <w:noProof/>
          <w:sz w:val="24"/>
        </w:rPr>
        <w:t>resie innych dokumentów dotyczących unii bezpieczeństwa znajdują się</w:t>
      </w:r>
      <w:r w:rsidR="000309CC" w:rsidRPr="000309CC">
        <w:rPr>
          <w:rFonts w:ascii="Times New Roman" w:hAnsi="Times New Roman"/>
          <w:noProof/>
          <w:sz w:val="24"/>
        </w:rPr>
        <w:t xml:space="preserve"> w zał</w:t>
      </w:r>
      <w:r w:rsidRPr="000309CC">
        <w:rPr>
          <w:rFonts w:ascii="Times New Roman" w:hAnsi="Times New Roman"/>
          <w:noProof/>
          <w:sz w:val="24"/>
        </w:rPr>
        <w:t xml:space="preserve">ączniku. </w:t>
      </w:r>
    </w:p>
    <w:p w14:paraId="4835D6A5" w14:textId="77777777" w:rsidR="000754B3" w:rsidRPr="000309CC" w:rsidRDefault="000754B3" w:rsidP="00474DA2">
      <w:pPr>
        <w:spacing w:line="240" w:lineRule="auto"/>
        <w:jc w:val="both"/>
        <w:rPr>
          <w:rFonts w:ascii="Times New Roman" w:hAnsi="Times New Roman" w:cs="Times New Roman"/>
          <w:noProof/>
          <w:sz w:val="24"/>
        </w:rPr>
      </w:pPr>
    </w:p>
    <w:p w14:paraId="1BAFEA5E" w14:textId="070363DC" w:rsidR="009363CA" w:rsidRPr="000309CC" w:rsidRDefault="009363CA" w:rsidP="00474DA2">
      <w:pPr>
        <w:spacing w:line="240" w:lineRule="auto"/>
        <w:jc w:val="both"/>
        <w:rPr>
          <w:rFonts w:ascii="Times New Roman" w:hAnsi="Times New Roman" w:cs="Times New Roman"/>
          <w:noProof/>
          <w:sz w:val="24"/>
        </w:rPr>
      </w:pPr>
    </w:p>
    <w:p w14:paraId="281AA326" w14:textId="77777777" w:rsidR="005D3EE1" w:rsidRPr="000309CC" w:rsidRDefault="005D3EE1" w:rsidP="00474DA2">
      <w:pPr>
        <w:spacing w:line="240" w:lineRule="auto"/>
        <w:jc w:val="both"/>
        <w:rPr>
          <w:rFonts w:ascii="Times New Roman" w:hAnsi="Times New Roman" w:cs="Times New Roman"/>
          <w:noProof/>
          <w:sz w:val="24"/>
        </w:rPr>
      </w:pPr>
    </w:p>
    <w:p w14:paraId="46BEE121" w14:textId="77777777" w:rsidR="00474DA2" w:rsidRPr="000309CC" w:rsidRDefault="00474DA2" w:rsidP="00474DA2">
      <w:pPr>
        <w:spacing w:before="360" w:after="240"/>
        <w:jc w:val="both"/>
        <w:rPr>
          <w:rFonts w:ascii="Times New Roman" w:hAnsi="Times New Roman" w:cs="Times New Roman"/>
          <w:b/>
          <w:bCs/>
          <w:noProof/>
          <w:sz w:val="24"/>
          <w:szCs w:val="24"/>
        </w:rPr>
      </w:pPr>
      <w:r w:rsidRPr="000309CC">
        <w:rPr>
          <w:rFonts w:ascii="Times New Roman" w:hAnsi="Times New Roman"/>
          <w:b/>
          <w:noProof/>
          <w:sz w:val="24"/>
        </w:rPr>
        <w:t>II.</w:t>
      </w:r>
      <w:r w:rsidRPr="000309CC">
        <w:rPr>
          <w:rFonts w:ascii="Times New Roman" w:hAnsi="Times New Roman"/>
          <w:b/>
          <w:noProof/>
          <w:sz w:val="24"/>
        </w:rPr>
        <w:tab/>
        <w:t xml:space="preserve">CYBERBEZPIECZEŃSTWO I INFRASTRUKTURA KRYTYCZNA </w:t>
      </w:r>
    </w:p>
    <w:p w14:paraId="23CF85AF" w14:textId="7D72A690" w:rsidR="00826711" w:rsidRPr="000309CC" w:rsidRDefault="00474DA2" w:rsidP="00E8374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Od wybuchu wojny podmioty prywatne</w:t>
      </w:r>
      <w:r w:rsidR="000309CC" w:rsidRPr="000309CC">
        <w:rPr>
          <w:rFonts w:ascii="Times New Roman" w:hAnsi="Times New Roman"/>
          <w:noProof/>
          <w:sz w:val="24"/>
        </w:rPr>
        <w:t xml:space="preserve"> i org</w:t>
      </w:r>
      <w:r w:rsidRPr="000309CC">
        <w:rPr>
          <w:rFonts w:ascii="Times New Roman" w:hAnsi="Times New Roman"/>
          <w:noProof/>
          <w:sz w:val="24"/>
        </w:rPr>
        <w:t>anizacje przestępcze upubliczniają fakt, że podejmują działania</w:t>
      </w:r>
      <w:r w:rsidR="000309CC" w:rsidRPr="000309CC">
        <w:rPr>
          <w:rFonts w:ascii="Times New Roman" w:hAnsi="Times New Roman"/>
          <w:noProof/>
          <w:sz w:val="24"/>
        </w:rPr>
        <w:t xml:space="preserve"> w cyb</w:t>
      </w:r>
      <w:r w:rsidRPr="000309CC">
        <w:rPr>
          <w:rFonts w:ascii="Times New Roman" w:hAnsi="Times New Roman"/>
          <w:noProof/>
          <w:sz w:val="24"/>
        </w:rPr>
        <w:t>erprzestrzeni wspierające jedną lub drugą stronę konfliktu. Haktywizm</w:t>
      </w:r>
      <w:r w:rsidRPr="000309CC">
        <w:rPr>
          <w:rFonts w:ascii="Times New Roman" w:hAnsi="Times New Roman" w:cs="Times New Roman"/>
          <w:bCs/>
          <w:noProof/>
          <w:sz w:val="24"/>
          <w:szCs w:val="24"/>
          <w:vertAlign w:val="superscript"/>
        </w:rPr>
        <w:footnoteReference w:id="5"/>
      </w:r>
      <w:r w:rsidRPr="000309CC">
        <w:rPr>
          <w:rFonts w:ascii="Times New Roman" w:hAnsi="Times New Roman"/>
          <w:noProof/>
          <w:sz w:val="24"/>
        </w:rPr>
        <w:t xml:space="preserve"> stanowi zagrożenie ze względu na ryzyko wystąpienia w UE skutków ubocznych dla usług krytycznych, ryzyko ataków ze strony oficjalnych sieci lub innych nieprzewidzianych skutków ubocznych. Chociaż jak dotąd wojna toczyła się głównie przy użyciu środków konwencjonalnych,</w:t>
      </w:r>
      <w:r w:rsidR="000309CC" w:rsidRPr="000309CC">
        <w:rPr>
          <w:rFonts w:ascii="Times New Roman" w:hAnsi="Times New Roman"/>
          <w:noProof/>
          <w:sz w:val="24"/>
        </w:rPr>
        <w:t xml:space="preserve"> a jej</w:t>
      </w:r>
      <w:r w:rsidRPr="000309CC">
        <w:rPr>
          <w:rFonts w:ascii="Times New Roman" w:hAnsi="Times New Roman"/>
          <w:noProof/>
          <w:sz w:val="24"/>
        </w:rPr>
        <w:t xml:space="preserve"> skutki uboczne były ograniczone, ryzyko eskalacji</w:t>
      </w:r>
      <w:r w:rsidR="000309CC" w:rsidRPr="000309CC">
        <w:rPr>
          <w:rFonts w:ascii="Times New Roman" w:hAnsi="Times New Roman"/>
          <w:noProof/>
          <w:sz w:val="24"/>
        </w:rPr>
        <w:t xml:space="preserve"> w tym</w:t>
      </w:r>
      <w:r w:rsidRPr="000309CC">
        <w:rPr>
          <w:rFonts w:ascii="Times New Roman" w:hAnsi="Times New Roman"/>
          <w:noProof/>
          <w:sz w:val="24"/>
        </w:rPr>
        <w:t xml:space="preserve"> obszarze jest realne.</w:t>
      </w:r>
      <w:r w:rsidR="000309CC" w:rsidRPr="000309CC">
        <w:rPr>
          <w:rFonts w:ascii="Times New Roman" w:hAnsi="Times New Roman"/>
          <w:noProof/>
          <w:sz w:val="24"/>
        </w:rPr>
        <w:t xml:space="preserve"> </w:t>
      </w:r>
    </w:p>
    <w:p w14:paraId="6B48441E" w14:textId="77777777" w:rsidR="00826711" w:rsidRPr="000309CC" w:rsidRDefault="00826711" w:rsidP="00E83742">
      <w:pPr>
        <w:spacing w:after="0" w:line="240" w:lineRule="auto"/>
        <w:jc w:val="both"/>
        <w:rPr>
          <w:rFonts w:ascii="Times New Roman" w:hAnsi="Times New Roman" w:cs="Times New Roman"/>
          <w:noProof/>
          <w:sz w:val="24"/>
          <w:szCs w:val="24"/>
        </w:rPr>
      </w:pPr>
    </w:p>
    <w:p w14:paraId="4E6A1FEB" w14:textId="7DB9DAA5" w:rsidR="005E50B9" w:rsidRPr="000309CC" w:rsidRDefault="00474DA2" w:rsidP="00E8374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W związku</w:t>
      </w:r>
      <w:r w:rsidR="000309CC" w:rsidRPr="000309CC">
        <w:rPr>
          <w:rFonts w:ascii="Times New Roman" w:hAnsi="Times New Roman"/>
          <w:noProof/>
          <w:sz w:val="24"/>
        </w:rPr>
        <w:t xml:space="preserve"> z tym</w:t>
      </w:r>
      <w:r w:rsidRPr="000309CC">
        <w:rPr>
          <w:rFonts w:ascii="Times New Roman" w:hAnsi="Times New Roman"/>
          <w:noProof/>
          <w:sz w:val="24"/>
        </w:rPr>
        <w:t xml:space="preserve"> UE zintensyfikowała koordynację</w:t>
      </w:r>
      <w:r w:rsidR="000309CC" w:rsidRPr="000309CC">
        <w:rPr>
          <w:rFonts w:ascii="Times New Roman" w:hAnsi="Times New Roman"/>
          <w:noProof/>
          <w:sz w:val="24"/>
        </w:rPr>
        <w:t xml:space="preserve"> i got</w:t>
      </w:r>
      <w:r w:rsidRPr="000309CC">
        <w:rPr>
          <w:rFonts w:ascii="Times New Roman" w:hAnsi="Times New Roman"/>
          <w:noProof/>
          <w:sz w:val="24"/>
        </w:rPr>
        <w:t>owość. Zagrożenia wynikające</w:t>
      </w:r>
      <w:r w:rsidR="000309CC" w:rsidRPr="000309CC">
        <w:rPr>
          <w:rFonts w:ascii="Times New Roman" w:hAnsi="Times New Roman"/>
          <w:noProof/>
          <w:sz w:val="24"/>
        </w:rPr>
        <w:t xml:space="preserve"> z woj</w:t>
      </w:r>
      <w:r w:rsidRPr="000309CC">
        <w:rPr>
          <w:rFonts w:ascii="Times New Roman" w:hAnsi="Times New Roman"/>
          <w:noProof/>
          <w:sz w:val="24"/>
        </w:rPr>
        <w:t>ny uwydatniają konieczność wypracowania kultury wymiany informacji</w:t>
      </w:r>
      <w:r w:rsidR="000309CC" w:rsidRPr="000309CC">
        <w:rPr>
          <w:rFonts w:ascii="Times New Roman" w:hAnsi="Times New Roman"/>
          <w:noProof/>
          <w:sz w:val="24"/>
        </w:rPr>
        <w:t xml:space="preserve"> i wie</w:t>
      </w:r>
      <w:r w:rsidRPr="000309CC">
        <w:rPr>
          <w:rFonts w:ascii="Times New Roman" w:hAnsi="Times New Roman"/>
          <w:noProof/>
          <w:sz w:val="24"/>
        </w:rPr>
        <w:t>dzy fachowej między UE, państwami członkowskimi</w:t>
      </w:r>
      <w:r w:rsidR="000309CC" w:rsidRPr="000309CC">
        <w:rPr>
          <w:rFonts w:ascii="Times New Roman" w:hAnsi="Times New Roman"/>
          <w:noProof/>
          <w:sz w:val="24"/>
        </w:rPr>
        <w:t xml:space="preserve"> i śro</w:t>
      </w:r>
      <w:r w:rsidRPr="000309CC">
        <w:rPr>
          <w:rFonts w:ascii="Times New Roman" w:hAnsi="Times New Roman"/>
          <w:noProof/>
          <w:sz w:val="24"/>
        </w:rPr>
        <w:t>dowiskami zajmującymi się cyberbezpieczeństwem. Obejmuje to stworzenie orientacji sytuacyjnej wspólnej dla instytucji, organów</w:t>
      </w:r>
      <w:r w:rsidR="000309CC" w:rsidRPr="000309CC">
        <w:rPr>
          <w:rFonts w:ascii="Times New Roman" w:hAnsi="Times New Roman"/>
          <w:noProof/>
          <w:sz w:val="24"/>
        </w:rPr>
        <w:t xml:space="preserve"> i age</w:t>
      </w:r>
      <w:r w:rsidRPr="000309CC">
        <w:rPr>
          <w:rFonts w:ascii="Times New Roman" w:hAnsi="Times New Roman"/>
          <w:noProof/>
          <w:sz w:val="24"/>
        </w:rPr>
        <w:t>ncji UE oraz państw członkowskich,</w:t>
      </w:r>
      <w:r w:rsidR="000309CC" w:rsidRPr="000309CC">
        <w:rPr>
          <w:rFonts w:ascii="Times New Roman" w:hAnsi="Times New Roman"/>
          <w:noProof/>
          <w:sz w:val="24"/>
        </w:rPr>
        <w:t xml:space="preserve"> w szc</w:t>
      </w:r>
      <w:r w:rsidRPr="000309CC">
        <w:rPr>
          <w:rFonts w:ascii="Times New Roman" w:hAnsi="Times New Roman"/>
          <w:noProof/>
          <w:sz w:val="24"/>
        </w:rPr>
        <w:t>zególności</w:t>
      </w:r>
      <w:r w:rsidR="000309CC" w:rsidRPr="000309CC">
        <w:rPr>
          <w:rFonts w:ascii="Times New Roman" w:hAnsi="Times New Roman"/>
          <w:noProof/>
          <w:sz w:val="24"/>
        </w:rPr>
        <w:t xml:space="preserve"> w odn</w:t>
      </w:r>
      <w:r w:rsidRPr="000309CC">
        <w:rPr>
          <w:rFonts w:ascii="Times New Roman" w:hAnsi="Times New Roman"/>
          <w:noProof/>
          <w:sz w:val="24"/>
        </w:rPr>
        <w:t>iesieniu do infrastruktury krytycznej, od której zależy sprawne funkcjonowanie rynku wewnętrznego.</w:t>
      </w:r>
      <w:r w:rsidR="000309CC" w:rsidRPr="000309CC">
        <w:rPr>
          <w:rFonts w:ascii="Times New Roman" w:hAnsi="Times New Roman"/>
          <w:noProof/>
          <w:sz w:val="24"/>
        </w:rPr>
        <w:t xml:space="preserve"> </w:t>
      </w:r>
    </w:p>
    <w:p w14:paraId="58575F4C" w14:textId="77777777" w:rsidR="00474DA2" w:rsidRPr="000309CC" w:rsidRDefault="00474DA2" w:rsidP="00474DA2">
      <w:pPr>
        <w:spacing w:after="0" w:line="240" w:lineRule="auto"/>
        <w:jc w:val="both"/>
        <w:rPr>
          <w:rFonts w:ascii="Times New Roman" w:hAnsi="Times New Roman" w:cs="Times New Roman"/>
          <w:bCs/>
          <w:noProof/>
          <w:sz w:val="24"/>
          <w:szCs w:val="24"/>
        </w:rPr>
      </w:pPr>
    </w:p>
    <w:p w14:paraId="2AEFDA27" w14:textId="77777777" w:rsidR="005E50B9" w:rsidRPr="000309CC" w:rsidRDefault="005E50B9"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bCs/>
          <w:noProof/>
          <w:sz w:val="24"/>
          <w:szCs w:val="24"/>
        </w:rPr>
      </w:pPr>
      <w:r w:rsidRPr="000309CC">
        <w:rPr>
          <w:rFonts w:ascii="Times New Roman" w:hAnsi="Times New Roman"/>
          <w:b/>
          <w:noProof/>
          <w:sz w:val="24"/>
        </w:rPr>
        <w:t>Odpowiedzialność za cyberataki na Ukrainę</w:t>
      </w:r>
    </w:p>
    <w:p w14:paraId="4E90C117" w14:textId="77777777" w:rsidR="00F72F72" w:rsidRPr="000309CC" w:rsidRDefault="00F72F72"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p>
    <w:p w14:paraId="224C6EAB" w14:textId="4DFF8E4B" w:rsidR="00F72F72" w:rsidRPr="000309CC" w:rsidRDefault="00F72F72"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Same cyberataki na Ukrainę rozpoczęły się przed rosyjską agresją oraz</w:t>
      </w:r>
      <w:r w:rsidR="000309CC" w:rsidRPr="000309CC">
        <w:rPr>
          <w:rFonts w:ascii="Times New Roman" w:hAnsi="Times New Roman"/>
          <w:noProof/>
          <w:sz w:val="24"/>
        </w:rPr>
        <w:t xml:space="preserve"> w pie</w:t>
      </w:r>
      <w:r w:rsidRPr="000309CC">
        <w:rPr>
          <w:rFonts w:ascii="Times New Roman" w:hAnsi="Times New Roman"/>
          <w:noProof/>
          <w:sz w:val="24"/>
        </w:rPr>
        <w:t>rwszych dniach wojny</w:t>
      </w:r>
      <w:r w:rsidRPr="000309CC">
        <w:rPr>
          <w:rStyle w:val="FootnoteReference"/>
          <w:rFonts w:ascii="Times New Roman" w:hAnsi="Times New Roman" w:cs="Times New Roman"/>
          <w:bCs/>
          <w:noProof/>
          <w:sz w:val="24"/>
          <w:szCs w:val="24"/>
        </w:rPr>
        <w:footnoteReference w:id="6"/>
      </w:r>
      <w:r w:rsidR="000309CC" w:rsidRPr="000309CC">
        <w:rPr>
          <w:rFonts w:ascii="Times New Roman" w:hAnsi="Times New Roman"/>
          <w:noProof/>
          <w:sz w:val="24"/>
        </w:rPr>
        <w:t xml:space="preserve"> i mia</w:t>
      </w:r>
      <w:r w:rsidRPr="000309CC">
        <w:rPr>
          <w:rFonts w:ascii="Times New Roman" w:hAnsi="Times New Roman"/>
          <w:noProof/>
          <w:sz w:val="24"/>
        </w:rPr>
        <w:t>ły na celu przejęcie kont użytkowników ukraińskiego personelu wojskowego oraz zakłócenie funkcjonowania podstawowych usług,</w:t>
      </w:r>
      <w:r w:rsidR="000309CC" w:rsidRPr="000309CC">
        <w:rPr>
          <w:rFonts w:ascii="Times New Roman" w:hAnsi="Times New Roman"/>
          <w:noProof/>
          <w:sz w:val="24"/>
        </w:rPr>
        <w:t xml:space="preserve"> w tym</w:t>
      </w:r>
      <w:r w:rsidRPr="000309CC">
        <w:rPr>
          <w:rFonts w:ascii="Times New Roman" w:hAnsi="Times New Roman"/>
          <w:noProof/>
          <w:sz w:val="24"/>
        </w:rPr>
        <w:t xml:space="preserve"> kontroli granicznej</w:t>
      </w:r>
      <w:r w:rsidR="000309CC" w:rsidRPr="000309CC">
        <w:rPr>
          <w:rFonts w:ascii="Times New Roman" w:hAnsi="Times New Roman"/>
          <w:noProof/>
          <w:sz w:val="24"/>
        </w:rPr>
        <w:t xml:space="preserve"> i tel</w:t>
      </w:r>
      <w:r w:rsidRPr="000309CC">
        <w:rPr>
          <w:rFonts w:ascii="Times New Roman" w:hAnsi="Times New Roman"/>
          <w:noProof/>
          <w:sz w:val="24"/>
        </w:rPr>
        <w:t>ekomunikacji.</w:t>
      </w:r>
    </w:p>
    <w:p w14:paraId="693E4B65" w14:textId="77777777" w:rsidR="00F83504" w:rsidRPr="000309CC" w:rsidRDefault="00F83504"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p>
    <w:p w14:paraId="15DF4127" w14:textId="24662328" w:rsidR="00615262" w:rsidRPr="000309CC" w:rsidRDefault="005E50B9"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14 stycznia 2022</w:t>
      </w:r>
      <w:r w:rsidR="000309CC" w:rsidRPr="000309CC">
        <w:rPr>
          <w:rFonts w:ascii="Times New Roman" w:hAnsi="Times New Roman"/>
          <w:noProof/>
          <w:sz w:val="24"/>
        </w:rPr>
        <w:t> </w:t>
      </w:r>
      <w:r w:rsidRPr="000309CC">
        <w:rPr>
          <w:rFonts w:ascii="Times New Roman" w:hAnsi="Times New Roman"/>
          <w:noProof/>
          <w:sz w:val="24"/>
        </w:rPr>
        <w:t>r. wysoki przedstawiciel wydał</w:t>
      </w:r>
      <w:r w:rsidR="000309CC" w:rsidRPr="000309CC">
        <w:rPr>
          <w:rFonts w:ascii="Times New Roman" w:hAnsi="Times New Roman"/>
          <w:noProof/>
          <w:sz w:val="24"/>
        </w:rPr>
        <w:t xml:space="preserve"> w imi</w:t>
      </w:r>
      <w:r w:rsidRPr="000309CC">
        <w:rPr>
          <w:rFonts w:ascii="Times New Roman" w:hAnsi="Times New Roman"/>
          <w:noProof/>
          <w:sz w:val="24"/>
        </w:rPr>
        <w:t>eniu Unii Europejskiej oświadczenie</w:t>
      </w:r>
      <w:r w:rsidR="00615262" w:rsidRPr="000309CC">
        <w:rPr>
          <w:rStyle w:val="FootnoteReference"/>
          <w:rFonts w:ascii="Times New Roman" w:hAnsi="Times New Roman" w:cs="Times New Roman"/>
          <w:bCs/>
          <w:noProof/>
          <w:sz w:val="24"/>
          <w:szCs w:val="24"/>
        </w:rPr>
        <w:footnoteReference w:id="7"/>
      </w:r>
      <w:r w:rsidRPr="000309CC">
        <w:rPr>
          <w:rFonts w:ascii="Times New Roman" w:hAnsi="Times New Roman"/>
          <w:noProof/>
          <w:sz w:val="24"/>
        </w:rPr>
        <w:t>,</w:t>
      </w:r>
      <w:r w:rsidR="000309CC" w:rsidRPr="000309CC">
        <w:rPr>
          <w:rFonts w:ascii="Times New Roman" w:hAnsi="Times New Roman"/>
          <w:noProof/>
          <w:sz w:val="24"/>
        </w:rPr>
        <w:t xml:space="preserve"> w któ</w:t>
      </w:r>
      <w:r w:rsidRPr="000309CC">
        <w:rPr>
          <w:rFonts w:ascii="Times New Roman" w:hAnsi="Times New Roman"/>
          <w:noProof/>
          <w:sz w:val="24"/>
        </w:rPr>
        <w:t>rym potępił cyberataki na Ukrainę</w:t>
      </w:r>
      <w:r w:rsidR="000309CC" w:rsidRPr="000309CC">
        <w:rPr>
          <w:rFonts w:ascii="Times New Roman" w:hAnsi="Times New Roman"/>
          <w:noProof/>
          <w:sz w:val="24"/>
        </w:rPr>
        <w:t xml:space="preserve"> i pot</w:t>
      </w:r>
      <w:r w:rsidRPr="000309CC">
        <w:rPr>
          <w:rFonts w:ascii="Times New Roman" w:hAnsi="Times New Roman"/>
          <w:noProof/>
          <w:sz w:val="24"/>
        </w:rPr>
        <w:t>wierdził jednoznaczne poparcie UE dla Ukrainy.</w:t>
      </w:r>
    </w:p>
    <w:p w14:paraId="30D33861" w14:textId="77777777" w:rsidR="00514E1C" w:rsidRPr="000309CC" w:rsidRDefault="00514E1C"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p>
    <w:p w14:paraId="3226B875" w14:textId="53E68082" w:rsidR="005E50B9" w:rsidRPr="000309CC" w:rsidRDefault="00615262"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10 maja Unia Europejska</w:t>
      </w:r>
      <w:r w:rsidR="000309CC" w:rsidRPr="000309CC">
        <w:rPr>
          <w:rFonts w:ascii="Times New Roman" w:hAnsi="Times New Roman"/>
          <w:noProof/>
          <w:sz w:val="24"/>
        </w:rPr>
        <w:t xml:space="preserve"> i jej</w:t>
      </w:r>
      <w:r w:rsidRPr="000309CC">
        <w:rPr>
          <w:rFonts w:ascii="Times New Roman" w:hAnsi="Times New Roman"/>
          <w:noProof/>
          <w:sz w:val="24"/>
        </w:rPr>
        <w:t xml:space="preserve"> państwa członkowskie, wraz</w:t>
      </w:r>
      <w:r w:rsidR="000309CC" w:rsidRPr="000309CC">
        <w:rPr>
          <w:rFonts w:ascii="Times New Roman" w:hAnsi="Times New Roman"/>
          <w:noProof/>
          <w:sz w:val="24"/>
        </w:rPr>
        <w:t xml:space="preserve"> z par</w:t>
      </w:r>
      <w:r w:rsidRPr="000309CC">
        <w:rPr>
          <w:rFonts w:ascii="Times New Roman" w:hAnsi="Times New Roman"/>
          <w:noProof/>
          <w:sz w:val="24"/>
        </w:rPr>
        <w:t>tnerami międzynarodowymi, zdecydowanie potępiły</w:t>
      </w:r>
      <w:r w:rsidR="00390FB6" w:rsidRPr="000309CC">
        <w:rPr>
          <w:rStyle w:val="FootnoteReference"/>
          <w:rFonts w:ascii="Times New Roman" w:hAnsi="Times New Roman" w:cs="Times New Roman"/>
          <w:bCs/>
          <w:noProof/>
          <w:sz w:val="24"/>
          <w:szCs w:val="24"/>
        </w:rPr>
        <w:footnoteReference w:id="8"/>
      </w:r>
      <w:r w:rsidRPr="000309CC">
        <w:rPr>
          <w:rFonts w:ascii="Times New Roman" w:hAnsi="Times New Roman"/>
          <w:noProof/>
          <w:sz w:val="24"/>
        </w:rPr>
        <w:t xml:space="preserve"> szkodliwe działania</w:t>
      </w:r>
      <w:r w:rsidR="000309CC" w:rsidRPr="000309CC">
        <w:rPr>
          <w:rFonts w:ascii="Times New Roman" w:hAnsi="Times New Roman"/>
          <w:noProof/>
          <w:sz w:val="24"/>
        </w:rPr>
        <w:t xml:space="preserve"> w cyb</w:t>
      </w:r>
      <w:r w:rsidRPr="000309CC">
        <w:rPr>
          <w:rFonts w:ascii="Times New Roman" w:hAnsi="Times New Roman"/>
          <w:noProof/>
          <w:sz w:val="24"/>
        </w:rPr>
        <w:t>erprzestrzeni przeciwko Ukrainie przeprowadzone 24 lutego, wymierzone</w:t>
      </w:r>
      <w:r w:rsidR="000309CC" w:rsidRPr="000309CC">
        <w:rPr>
          <w:rFonts w:ascii="Times New Roman" w:hAnsi="Times New Roman"/>
          <w:noProof/>
          <w:sz w:val="24"/>
        </w:rPr>
        <w:t xml:space="preserve"> w sie</w:t>
      </w:r>
      <w:r w:rsidRPr="000309CC">
        <w:rPr>
          <w:rFonts w:ascii="Times New Roman" w:hAnsi="Times New Roman"/>
          <w:noProof/>
          <w:sz w:val="24"/>
        </w:rPr>
        <w:t>ć satelitarną KA-SAT będącą własnością Viasat</w:t>
      </w:r>
      <w:r w:rsidR="000309CC" w:rsidRPr="000309CC">
        <w:rPr>
          <w:rFonts w:ascii="Times New Roman" w:hAnsi="Times New Roman"/>
          <w:noProof/>
          <w:sz w:val="24"/>
        </w:rPr>
        <w:t xml:space="preserve"> i bez</w:t>
      </w:r>
      <w:r w:rsidRPr="000309CC">
        <w:rPr>
          <w:rFonts w:ascii="Times New Roman" w:hAnsi="Times New Roman"/>
          <w:noProof/>
          <w:sz w:val="24"/>
        </w:rPr>
        <w:t>pośrednio przypisały odpowiedzialność za ten atak Federacji Rosyjskiej. Cyberatak ten miał istotne konsekwencje oraz spowodował masowe przerwy</w:t>
      </w:r>
      <w:r w:rsidR="000309CC" w:rsidRPr="000309CC">
        <w:rPr>
          <w:rFonts w:ascii="Times New Roman" w:hAnsi="Times New Roman"/>
          <w:noProof/>
          <w:sz w:val="24"/>
        </w:rPr>
        <w:t xml:space="preserve"> i zak</w:t>
      </w:r>
      <w:r w:rsidRPr="000309CC">
        <w:rPr>
          <w:rFonts w:ascii="Times New Roman" w:hAnsi="Times New Roman"/>
          <w:noProof/>
          <w:sz w:val="24"/>
        </w:rPr>
        <w:t>łócenia</w:t>
      </w:r>
      <w:r w:rsidR="000309CC" w:rsidRPr="000309CC">
        <w:rPr>
          <w:rFonts w:ascii="Times New Roman" w:hAnsi="Times New Roman"/>
          <w:noProof/>
          <w:sz w:val="24"/>
        </w:rPr>
        <w:t xml:space="preserve"> w kom</w:t>
      </w:r>
      <w:r w:rsidRPr="000309CC">
        <w:rPr>
          <w:rFonts w:ascii="Times New Roman" w:hAnsi="Times New Roman"/>
          <w:noProof/>
          <w:sz w:val="24"/>
        </w:rPr>
        <w:t>unikacji między kilkoma organami publicznymi, przedsiębiorstwami</w:t>
      </w:r>
      <w:r w:rsidR="000309CC" w:rsidRPr="000309CC">
        <w:rPr>
          <w:rFonts w:ascii="Times New Roman" w:hAnsi="Times New Roman"/>
          <w:noProof/>
          <w:sz w:val="24"/>
        </w:rPr>
        <w:t xml:space="preserve"> i uży</w:t>
      </w:r>
      <w:r w:rsidRPr="000309CC">
        <w:rPr>
          <w:rFonts w:ascii="Times New Roman" w:hAnsi="Times New Roman"/>
          <w:noProof/>
          <w:sz w:val="24"/>
        </w:rPr>
        <w:t>tkownikami</w:t>
      </w:r>
      <w:r w:rsidR="000309CC" w:rsidRPr="000309CC">
        <w:rPr>
          <w:rFonts w:ascii="Times New Roman" w:hAnsi="Times New Roman"/>
          <w:noProof/>
          <w:sz w:val="24"/>
        </w:rPr>
        <w:t xml:space="preserve"> w Ukr</w:t>
      </w:r>
      <w:r w:rsidRPr="000309CC">
        <w:rPr>
          <w:rFonts w:ascii="Times New Roman" w:hAnsi="Times New Roman"/>
          <w:noProof/>
          <w:sz w:val="24"/>
        </w:rPr>
        <w:t>ainie,</w:t>
      </w:r>
      <w:r w:rsidR="000309CC" w:rsidRPr="000309CC">
        <w:rPr>
          <w:rFonts w:ascii="Times New Roman" w:hAnsi="Times New Roman"/>
          <w:noProof/>
          <w:sz w:val="24"/>
        </w:rPr>
        <w:t xml:space="preserve"> a tak</w:t>
      </w:r>
      <w:r w:rsidRPr="000309CC">
        <w:rPr>
          <w:rFonts w:ascii="Times New Roman" w:hAnsi="Times New Roman"/>
          <w:noProof/>
          <w:sz w:val="24"/>
        </w:rPr>
        <w:t>że dotknął kilka państw członkowskich UE.</w:t>
      </w:r>
    </w:p>
    <w:p w14:paraId="127F2478" w14:textId="77777777" w:rsidR="003870FA" w:rsidRPr="000309CC" w:rsidRDefault="003870FA" w:rsidP="005E50B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Cs/>
          <w:noProof/>
          <w:sz w:val="24"/>
          <w:szCs w:val="24"/>
        </w:rPr>
      </w:pPr>
    </w:p>
    <w:p w14:paraId="32A6B968" w14:textId="77777777" w:rsidR="005E50B9" w:rsidRPr="000309CC" w:rsidRDefault="005E50B9" w:rsidP="005E50B9">
      <w:pPr>
        <w:spacing w:after="0" w:line="240" w:lineRule="auto"/>
        <w:jc w:val="both"/>
        <w:rPr>
          <w:rFonts w:ascii="Times New Roman" w:hAnsi="Times New Roman" w:cs="Times New Roman"/>
          <w:bCs/>
          <w:noProof/>
          <w:sz w:val="24"/>
          <w:szCs w:val="24"/>
        </w:rPr>
      </w:pPr>
    </w:p>
    <w:p w14:paraId="41238BE5" w14:textId="77777777" w:rsidR="00F83504" w:rsidRPr="000309CC" w:rsidRDefault="00F83504" w:rsidP="00474DA2">
      <w:pPr>
        <w:spacing w:after="0" w:line="240" w:lineRule="auto"/>
        <w:jc w:val="both"/>
        <w:rPr>
          <w:rFonts w:ascii="Times New Roman" w:hAnsi="Times New Roman" w:cs="Times New Roman"/>
          <w:bCs/>
          <w:noProof/>
          <w:sz w:val="24"/>
          <w:szCs w:val="24"/>
        </w:rPr>
      </w:pPr>
    </w:p>
    <w:p w14:paraId="0BBAA41D" w14:textId="47E7DF3F" w:rsidR="00474DA2" w:rsidRPr="000309CC" w:rsidRDefault="00474DA2" w:rsidP="00474DA2">
      <w:pPr>
        <w:spacing w:after="120" w:line="240" w:lineRule="auto"/>
        <w:jc w:val="both"/>
        <w:rPr>
          <w:rFonts w:ascii="Times New Roman" w:hAnsi="Times New Roman" w:cs="Times New Roman"/>
          <w:b/>
          <w:bCs/>
          <w:i/>
          <w:noProof/>
          <w:sz w:val="24"/>
          <w:szCs w:val="24"/>
        </w:rPr>
      </w:pPr>
      <w:r w:rsidRPr="000309CC">
        <w:rPr>
          <w:rFonts w:ascii="Times New Roman" w:hAnsi="Times New Roman"/>
          <w:b/>
          <w:i/>
          <w:noProof/>
          <w:sz w:val="24"/>
        </w:rPr>
        <w:t>Czujność</w:t>
      </w:r>
      <w:r w:rsidR="000309CC" w:rsidRPr="000309CC">
        <w:rPr>
          <w:rFonts w:ascii="Times New Roman" w:hAnsi="Times New Roman"/>
          <w:b/>
          <w:i/>
          <w:noProof/>
          <w:sz w:val="24"/>
        </w:rPr>
        <w:t xml:space="preserve"> i koo</w:t>
      </w:r>
      <w:r w:rsidRPr="000309CC">
        <w:rPr>
          <w:rFonts w:ascii="Times New Roman" w:hAnsi="Times New Roman"/>
          <w:b/>
          <w:i/>
          <w:noProof/>
          <w:sz w:val="24"/>
        </w:rPr>
        <w:t>rdynacja</w:t>
      </w:r>
    </w:p>
    <w:p w14:paraId="1236B0CC" w14:textId="532F8EA2" w:rsidR="005E50B9" w:rsidRPr="000309CC" w:rsidRDefault="0044264B" w:rsidP="005E50B9">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Od czasu rosyjskiej agresji na Ukrainę wzmożono monitorowanie sytuacji związanej</w:t>
      </w:r>
      <w:r w:rsidR="000309CC" w:rsidRPr="000309CC">
        <w:rPr>
          <w:rFonts w:ascii="Times New Roman" w:hAnsi="Times New Roman"/>
          <w:noProof/>
          <w:sz w:val="24"/>
        </w:rPr>
        <w:t xml:space="preserve"> z cyb</w:t>
      </w:r>
      <w:r w:rsidRPr="000309CC">
        <w:rPr>
          <w:rFonts w:ascii="Times New Roman" w:hAnsi="Times New Roman"/>
          <w:noProof/>
          <w:sz w:val="24"/>
        </w:rPr>
        <w:t>erbezpieczeństwem</w:t>
      </w:r>
      <w:r w:rsidR="000309CC" w:rsidRPr="000309CC">
        <w:rPr>
          <w:rFonts w:ascii="Times New Roman" w:hAnsi="Times New Roman"/>
          <w:noProof/>
          <w:sz w:val="24"/>
        </w:rPr>
        <w:t xml:space="preserve"> w pań</w:t>
      </w:r>
      <w:r w:rsidRPr="000309CC">
        <w:rPr>
          <w:rFonts w:ascii="Times New Roman" w:hAnsi="Times New Roman"/>
          <w:noProof/>
          <w:sz w:val="24"/>
        </w:rPr>
        <w:t>stwach członkowskich</w:t>
      </w:r>
      <w:r w:rsidR="000309CC" w:rsidRPr="000309CC">
        <w:rPr>
          <w:rFonts w:ascii="Times New Roman" w:hAnsi="Times New Roman"/>
          <w:noProof/>
          <w:sz w:val="24"/>
        </w:rPr>
        <w:t xml:space="preserve"> i ins</w:t>
      </w:r>
      <w:r w:rsidRPr="000309CC">
        <w:rPr>
          <w:rFonts w:ascii="Times New Roman" w:hAnsi="Times New Roman"/>
          <w:noProof/>
          <w:sz w:val="24"/>
        </w:rPr>
        <w:t>tytucjach Unii. ENISA – Agencja Unii Europejskiej ds. Cyberbezpieczeństwa – Europejskie Centrum ds. Walki</w:t>
      </w:r>
      <w:r w:rsidR="000309CC" w:rsidRPr="000309CC">
        <w:rPr>
          <w:rFonts w:ascii="Times New Roman" w:hAnsi="Times New Roman"/>
          <w:noProof/>
          <w:sz w:val="24"/>
        </w:rPr>
        <w:t xml:space="preserve"> z Cyb</w:t>
      </w:r>
      <w:r w:rsidRPr="000309CC">
        <w:rPr>
          <w:rFonts w:ascii="Times New Roman" w:hAnsi="Times New Roman"/>
          <w:noProof/>
          <w:sz w:val="24"/>
        </w:rPr>
        <w:t>erprzestępczością działające przy Europolu i CERT-UE – zespół reagowania na incydenty komputerowe</w:t>
      </w:r>
      <w:r w:rsidR="000309CC" w:rsidRPr="000309CC">
        <w:rPr>
          <w:rFonts w:ascii="Times New Roman" w:hAnsi="Times New Roman"/>
          <w:noProof/>
          <w:sz w:val="24"/>
        </w:rPr>
        <w:t xml:space="preserve"> w ins</w:t>
      </w:r>
      <w:r w:rsidRPr="000309CC">
        <w:rPr>
          <w:rFonts w:ascii="Times New Roman" w:hAnsi="Times New Roman"/>
          <w:noProof/>
          <w:sz w:val="24"/>
        </w:rPr>
        <w:t>tytucjach, organach</w:t>
      </w:r>
      <w:r w:rsidR="000309CC" w:rsidRPr="000309CC">
        <w:rPr>
          <w:rFonts w:ascii="Times New Roman" w:hAnsi="Times New Roman"/>
          <w:noProof/>
          <w:sz w:val="24"/>
        </w:rPr>
        <w:t xml:space="preserve"> i age</w:t>
      </w:r>
      <w:r w:rsidRPr="000309CC">
        <w:rPr>
          <w:rFonts w:ascii="Times New Roman" w:hAnsi="Times New Roman"/>
          <w:noProof/>
          <w:sz w:val="24"/>
        </w:rPr>
        <w:t>ncjach UE – oraz Centrum Analiz Wywiadowczych Unii Europejskiej (INTCEN) przyczyniły się do zwiększenia wspólnej orientacji sytuacyjnej UE, m.in. regularnie monitorując podejrzane działania</w:t>
      </w:r>
      <w:r w:rsidR="000309CC" w:rsidRPr="000309CC">
        <w:rPr>
          <w:rFonts w:ascii="Times New Roman" w:hAnsi="Times New Roman"/>
          <w:noProof/>
          <w:sz w:val="24"/>
        </w:rPr>
        <w:t xml:space="preserve"> w cyb</w:t>
      </w:r>
      <w:r w:rsidRPr="000309CC">
        <w:rPr>
          <w:rFonts w:ascii="Times New Roman" w:hAnsi="Times New Roman"/>
          <w:noProof/>
          <w:sz w:val="24"/>
        </w:rPr>
        <w:t>erprzestrzeni,</w:t>
      </w:r>
      <w:r w:rsidR="000309CC" w:rsidRPr="000309CC">
        <w:rPr>
          <w:rFonts w:ascii="Times New Roman" w:hAnsi="Times New Roman"/>
          <w:noProof/>
          <w:sz w:val="24"/>
        </w:rPr>
        <w:t xml:space="preserve"> w tym w okr</w:t>
      </w:r>
      <w:r w:rsidRPr="000309CC">
        <w:rPr>
          <w:rFonts w:ascii="Times New Roman" w:hAnsi="Times New Roman"/>
          <w:noProof/>
          <w:sz w:val="24"/>
        </w:rPr>
        <w:t>eślonych sektorach, takich jak energetyka, transport</w:t>
      </w:r>
      <w:r w:rsidR="000309CC" w:rsidRPr="000309CC">
        <w:rPr>
          <w:rFonts w:ascii="Times New Roman" w:hAnsi="Times New Roman"/>
          <w:noProof/>
          <w:sz w:val="24"/>
        </w:rPr>
        <w:t xml:space="preserve"> i lot</w:t>
      </w:r>
      <w:r w:rsidRPr="000309CC">
        <w:rPr>
          <w:rFonts w:ascii="Times New Roman" w:hAnsi="Times New Roman"/>
          <w:noProof/>
          <w:sz w:val="24"/>
        </w:rPr>
        <w:t xml:space="preserve">nictwo, oraz przedstawiły oceny służące ukierunkowaniu działań zapobiegawczych. </w:t>
      </w:r>
    </w:p>
    <w:p w14:paraId="572947CB" w14:textId="77777777" w:rsidR="005E50B9" w:rsidRPr="000309CC" w:rsidRDefault="005E50B9" w:rsidP="00E83742">
      <w:pPr>
        <w:spacing w:after="0" w:line="240" w:lineRule="auto"/>
        <w:jc w:val="both"/>
        <w:rPr>
          <w:rFonts w:ascii="Times New Roman" w:hAnsi="Times New Roman" w:cs="Times New Roman"/>
          <w:bCs/>
          <w:noProof/>
          <w:sz w:val="24"/>
          <w:szCs w:val="24"/>
        </w:rPr>
      </w:pPr>
    </w:p>
    <w:p w14:paraId="65B40DBC" w14:textId="404A7BBC" w:rsidR="00E83742" w:rsidRPr="000309CC" w:rsidRDefault="00474DA2" w:rsidP="00E8374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Zintensyfikowano również koordynację</w:t>
      </w:r>
      <w:r w:rsidR="000309CC" w:rsidRPr="000309CC">
        <w:rPr>
          <w:rFonts w:ascii="Times New Roman" w:hAnsi="Times New Roman"/>
          <w:noProof/>
          <w:sz w:val="24"/>
        </w:rPr>
        <w:t xml:space="preserve"> i wym</w:t>
      </w:r>
      <w:r w:rsidRPr="000309CC">
        <w:rPr>
          <w:rFonts w:ascii="Times New Roman" w:hAnsi="Times New Roman"/>
          <w:noProof/>
          <w:sz w:val="24"/>
        </w:rPr>
        <w:t>ianę informacji</w:t>
      </w:r>
      <w:r w:rsidR="000309CC" w:rsidRPr="000309CC">
        <w:rPr>
          <w:rFonts w:ascii="Times New Roman" w:hAnsi="Times New Roman"/>
          <w:noProof/>
          <w:sz w:val="24"/>
        </w:rPr>
        <w:t xml:space="preserve"> z sie</w:t>
      </w:r>
      <w:r w:rsidRPr="000309CC">
        <w:rPr>
          <w:rFonts w:ascii="Times New Roman" w:hAnsi="Times New Roman"/>
          <w:noProof/>
          <w:sz w:val="24"/>
        </w:rPr>
        <w:t>ciami zajmującymi się cyberbezpieczeństwem, takimi jak europejska sieć organizacji łącznikowych do spraw kryzysów cyberbezpieczeństwa (EU-CyCLONe), do której należą krajowe agencje ds. cyberbezpieczeństwa, Komisja i ENISA. Aby odzwierciedlić to podejście wewnątrz instytucji UE, mechanizm koordynujący – grupa zadaniowa ds. kryzysów cyberbezpieczeństwa – umożliwia wymianę informacji między wszystkimi odpowiednimi służbami, organami</w:t>
      </w:r>
      <w:r w:rsidR="000309CC" w:rsidRPr="000309CC">
        <w:rPr>
          <w:rFonts w:ascii="Times New Roman" w:hAnsi="Times New Roman"/>
          <w:noProof/>
          <w:sz w:val="24"/>
        </w:rPr>
        <w:t xml:space="preserve"> i age</w:t>
      </w:r>
      <w:r w:rsidRPr="000309CC">
        <w:rPr>
          <w:rFonts w:ascii="Times New Roman" w:hAnsi="Times New Roman"/>
          <w:noProof/>
          <w:sz w:val="24"/>
        </w:rPr>
        <w:t>ncjami, takimi jak ENISA, Europejskie Centrum ds. Walki</w:t>
      </w:r>
      <w:r w:rsidR="000309CC" w:rsidRPr="000309CC">
        <w:rPr>
          <w:rFonts w:ascii="Times New Roman" w:hAnsi="Times New Roman"/>
          <w:noProof/>
          <w:sz w:val="24"/>
        </w:rPr>
        <w:t xml:space="preserve"> z Cyb</w:t>
      </w:r>
      <w:r w:rsidRPr="000309CC">
        <w:rPr>
          <w:rFonts w:ascii="Times New Roman" w:hAnsi="Times New Roman"/>
          <w:noProof/>
          <w:sz w:val="24"/>
        </w:rPr>
        <w:t>erprzestępczością działające przy Europolu oraz CERT-UE. Niezbędne są nieustanne starania, aby zapewnić kanały komunikacji między podmiotami ze szczebla politycznego, operacyjnego</w:t>
      </w:r>
      <w:r w:rsidR="000309CC" w:rsidRPr="000309CC">
        <w:rPr>
          <w:rFonts w:ascii="Times New Roman" w:hAnsi="Times New Roman"/>
          <w:noProof/>
          <w:sz w:val="24"/>
        </w:rPr>
        <w:t xml:space="preserve"> i tec</w:t>
      </w:r>
      <w:r w:rsidRPr="000309CC">
        <w:rPr>
          <w:rFonts w:ascii="Times New Roman" w:hAnsi="Times New Roman"/>
          <w:noProof/>
          <w:sz w:val="24"/>
        </w:rPr>
        <w:t>hnicznego,</w:t>
      </w:r>
      <w:r w:rsidR="000309CC" w:rsidRPr="000309CC">
        <w:rPr>
          <w:rFonts w:ascii="Times New Roman" w:hAnsi="Times New Roman"/>
          <w:noProof/>
          <w:sz w:val="24"/>
        </w:rPr>
        <w:t xml:space="preserve"> a tak</w:t>
      </w:r>
      <w:r w:rsidRPr="000309CC">
        <w:rPr>
          <w:rFonts w:ascii="Times New Roman" w:hAnsi="Times New Roman"/>
          <w:noProof/>
          <w:sz w:val="24"/>
        </w:rPr>
        <w:t>że zacieśnić współpracę</w:t>
      </w:r>
      <w:r w:rsidR="000309CC" w:rsidRPr="000309CC">
        <w:rPr>
          <w:rFonts w:ascii="Times New Roman" w:hAnsi="Times New Roman"/>
          <w:noProof/>
          <w:sz w:val="24"/>
        </w:rPr>
        <w:t xml:space="preserve"> z sie</w:t>
      </w:r>
      <w:r w:rsidRPr="000309CC">
        <w:rPr>
          <w:rFonts w:ascii="Times New Roman" w:hAnsi="Times New Roman"/>
          <w:noProof/>
          <w:sz w:val="24"/>
        </w:rPr>
        <w:t>cią zespołów reagowania na incydenty bezpieczeństwa komputerowego (CSIRT).</w:t>
      </w:r>
      <w:r w:rsidR="000309CC" w:rsidRPr="000309CC">
        <w:rPr>
          <w:rFonts w:ascii="Times New Roman" w:hAnsi="Times New Roman"/>
          <w:noProof/>
          <w:sz w:val="24"/>
        </w:rPr>
        <w:t xml:space="preserve"> </w:t>
      </w:r>
    </w:p>
    <w:p w14:paraId="477FE114" w14:textId="77777777" w:rsidR="00474DA2" w:rsidRPr="000309CC" w:rsidRDefault="00474DA2" w:rsidP="00474DA2">
      <w:pPr>
        <w:spacing w:after="0" w:line="240" w:lineRule="auto"/>
        <w:jc w:val="both"/>
        <w:rPr>
          <w:rFonts w:ascii="Times New Roman" w:hAnsi="Times New Roman" w:cs="Times New Roman"/>
          <w:bCs/>
          <w:noProof/>
          <w:sz w:val="24"/>
          <w:szCs w:val="24"/>
        </w:rPr>
      </w:pPr>
    </w:p>
    <w:p w14:paraId="0FEA98CE" w14:textId="25A13BF7" w:rsidR="00590E2E" w:rsidRPr="000309CC" w:rsidRDefault="003801BC" w:rsidP="00474D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Europol uruchomił również protokół działań UE</w:t>
      </w:r>
      <w:r w:rsidR="000309CC" w:rsidRPr="000309CC">
        <w:rPr>
          <w:rFonts w:ascii="Times New Roman" w:hAnsi="Times New Roman"/>
          <w:noProof/>
          <w:sz w:val="24"/>
        </w:rPr>
        <w:t xml:space="preserve"> w zak</w:t>
      </w:r>
      <w:r w:rsidRPr="000309CC">
        <w:rPr>
          <w:rFonts w:ascii="Times New Roman" w:hAnsi="Times New Roman"/>
          <w:noProof/>
          <w:sz w:val="24"/>
        </w:rPr>
        <w:t>resie egzekwowania prawa</w:t>
      </w:r>
      <w:r w:rsidR="000309CC" w:rsidRPr="000309CC">
        <w:rPr>
          <w:rFonts w:ascii="Times New Roman" w:hAnsi="Times New Roman"/>
          <w:noProof/>
          <w:sz w:val="24"/>
        </w:rPr>
        <w:t xml:space="preserve"> w syt</w:t>
      </w:r>
      <w:r w:rsidRPr="000309CC">
        <w:rPr>
          <w:rFonts w:ascii="Times New Roman" w:hAnsi="Times New Roman"/>
          <w:noProof/>
          <w:sz w:val="24"/>
        </w:rPr>
        <w:t>uacjach kryzysowych, który umożliwia wzmocnione monitorowanie zagrożeń cyberbezpieczeństwa</w:t>
      </w:r>
      <w:r w:rsidR="000309CC" w:rsidRPr="000309CC">
        <w:rPr>
          <w:rFonts w:ascii="Times New Roman" w:hAnsi="Times New Roman"/>
          <w:noProof/>
          <w:sz w:val="24"/>
        </w:rPr>
        <w:t xml:space="preserve"> i wym</w:t>
      </w:r>
      <w:r w:rsidRPr="000309CC">
        <w:rPr>
          <w:rFonts w:ascii="Times New Roman" w:hAnsi="Times New Roman"/>
          <w:noProof/>
          <w:sz w:val="24"/>
        </w:rPr>
        <w:t>ianę informacji między wieloma zainteresowanymi stronami</w:t>
      </w:r>
      <w:r w:rsidR="000309CC" w:rsidRPr="000309CC">
        <w:rPr>
          <w:rFonts w:ascii="Times New Roman" w:hAnsi="Times New Roman"/>
          <w:noProof/>
          <w:sz w:val="24"/>
        </w:rPr>
        <w:t xml:space="preserve"> z myś</w:t>
      </w:r>
      <w:r w:rsidRPr="000309CC">
        <w:rPr>
          <w:rFonts w:ascii="Times New Roman" w:hAnsi="Times New Roman"/>
          <w:noProof/>
          <w:sz w:val="24"/>
        </w:rPr>
        <w:t>lą</w:t>
      </w:r>
      <w:r w:rsidR="000309CC" w:rsidRPr="000309CC">
        <w:rPr>
          <w:rFonts w:ascii="Times New Roman" w:hAnsi="Times New Roman"/>
          <w:noProof/>
          <w:sz w:val="24"/>
        </w:rPr>
        <w:t xml:space="preserve"> o stw</w:t>
      </w:r>
      <w:r w:rsidRPr="000309CC">
        <w:rPr>
          <w:rFonts w:ascii="Times New Roman" w:hAnsi="Times New Roman"/>
          <w:noProof/>
          <w:sz w:val="24"/>
        </w:rPr>
        <w:t xml:space="preserve">orzeniu kompleksowego obrazu wywiadu cybernetycznego. </w:t>
      </w:r>
    </w:p>
    <w:p w14:paraId="35F4D6D3" w14:textId="77777777" w:rsidR="00590E2E" w:rsidRPr="000309CC" w:rsidRDefault="00590E2E" w:rsidP="00474DA2">
      <w:pPr>
        <w:spacing w:after="0" w:line="240" w:lineRule="auto"/>
        <w:jc w:val="both"/>
        <w:rPr>
          <w:rFonts w:ascii="Times New Roman" w:hAnsi="Times New Roman" w:cs="Times New Roman"/>
          <w:bCs/>
          <w:noProof/>
          <w:sz w:val="24"/>
          <w:szCs w:val="24"/>
        </w:rPr>
      </w:pPr>
    </w:p>
    <w:p w14:paraId="0CE23B24" w14:textId="3425CDF6" w:rsidR="00590E2E" w:rsidRPr="000309CC" w:rsidRDefault="00590E2E" w:rsidP="00590E2E">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Poza zagrożeniami cyberbezpieczeństwa państwa członkowskie, ESDZ</w:t>
      </w:r>
      <w:r w:rsidR="000309CC" w:rsidRPr="000309CC">
        <w:rPr>
          <w:rFonts w:ascii="Times New Roman" w:hAnsi="Times New Roman"/>
          <w:noProof/>
          <w:sz w:val="24"/>
        </w:rPr>
        <w:t xml:space="preserve"> i słu</w:t>
      </w:r>
      <w:r w:rsidRPr="000309CC">
        <w:rPr>
          <w:rFonts w:ascii="Times New Roman" w:hAnsi="Times New Roman"/>
          <w:noProof/>
          <w:sz w:val="24"/>
        </w:rPr>
        <w:t>żby Komisji wzmogły czujność</w:t>
      </w:r>
      <w:r w:rsidR="000309CC" w:rsidRPr="000309CC">
        <w:rPr>
          <w:rFonts w:ascii="Times New Roman" w:hAnsi="Times New Roman"/>
          <w:noProof/>
          <w:sz w:val="24"/>
        </w:rPr>
        <w:t xml:space="preserve"> w odn</w:t>
      </w:r>
      <w:r w:rsidRPr="000309CC">
        <w:rPr>
          <w:rFonts w:ascii="Times New Roman" w:hAnsi="Times New Roman"/>
          <w:noProof/>
          <w:sz w:val="24"/>
        </w:rPr>
        <w:t>iesieniu do narażenia infrastruktury krytycznej na inne niż cybernetyczne, fizyczne zagrożenia. Infrastruktura krytyczna</w:t>
      </w:r>
      <w:r w:rsidR="000309CC" w:rsidRPr="000309CC">
        <w:rPr>
          <w:rFonts w:ascii="Times New Roman" w:hAnsi="Times New Roman"/>
          <w:noProof/>
          <w:sz w:val="24"/>
        </w:rPr>
        <w:t xml:space="preserve"> i obs</w:t>
      </w:r>
      <w:r w:rsidRPr="000309CC">
        <w:rPr>
          <w:rFonts w:ascii="Times New Roman" w:hAnsi="Times New Roman"/>
          <w:noProof/>
          <w:sz w:val="24"/>
        </w:rPr>
        <w:t>ługujące ją podmioty mogą być narażone na zagrożenia fizyczne, takie jak sabotaż ze strony państwa lub podmiotów sponsorowanych przez państwo</w:t>
      </w:r>
      <w:r w:rsidR="000309CC" w:rsidRPr="000309CC">
        <w:rPr>
          <w:rFonts w:ascii="Times New Roman" w:hAnsi="Times New Roman"/>
          <w:noProof/>
          <w:sz w:val="24"/>
        </w:rPr>
        <w:t xml:space="preserve"> w ram</w:t>
      </w:r>
      <w:r w:rsidRPr="000309CC">
        <w:rPr>
          <w:rFonts w:ascii="Times New Roman" w:hAnsi="Times New Roman"/>
          <w:noProof/>
          <w:sz w:val="24"/>
        </w:rPr>
        <w:t xml:space="preserve">ach ewentualnych środków odwetowych wymierzonych w UE. </w:t>
      </w:r>
    </w:p>
    <w:p w14:paraId="5E03896D" w14:textId="77777777" w:rsidR="00474DA2" w:rsidRPr="000309CC" w:rsidRDefault="00474DA2" w:rsidP="00474DA2">
      <w:pPr>
        <w:spacing w:after="0" w:line="240" w:lineRule="auto"/>
        <w:jc w:val="both"/>
        <w:rPr>
          <w:rFonts w:ascii="Times New Roman" w:hAnsi="Times New Roman" w:cs="Times New Roman"/>
          <w:bCs/>
          <w:noProof/>
          <w:sz w:val="24"/>
          <w:szCs w:val="24"/>
        </w:rPr>
      </w:pPr>
    </w:p>
    <w:p w14:paraId="48BC0106" w14:textId="77777777" w:rsidR="0044264B" w:rsidRPr="000309CC" w:rsidRDefault="0044264B" w:rsidP="00474DA2">
      <w:pPr>
        <w:spacing w:after="0" w:line="240" w:lineRule="auto"/>
        <w:jc w:val="both"/>
        <w:rPr>
          <w:rFonts w:ascii="Times New Roman" w:hAnsi="Times New Roman" w:cs="Times New Roman"/>
          <w:b/>
          <w:bCs/>
          <w:i/>
          <w:noProof/>
          <w:sz w:val="24"/>
          <w:szCs w:val="24"/>
        </w:rPr>
      </w:pPr>
    </w:p>
    <w:p w14:paraId="6F8028A1" w14:textId="77777777" w:rsidR="00474DA2" w:rsidRPr="000309CC" w:rsidRDefault="00474DA2" w:rsidP="00474DA2">
      <w:pPr>
        <w:spacing w:after="120" w:line="240" w:lineRule="auto"/>
        <w:jc w:val="both"/>
        <w:rPr>
          <w:rFonts w:ascii="Times New Roman" w:hAnsi="Times New Roman" w:cs="Times New Roman"/>
          <w:b/>
          <w:bCs/>
          <w:i/>
          <w:noProof/>
          <w:sz w:val="24"/>
          <w:szCs w:val="24"/>
        </w:rPr>
      </w:pPr>
      <w:r w:rsidRPr="000309CC">
        <w:rPr>
          <w:rFonts w:ascii="Times New Roman" w:hAnsi="Times New Roman"/>
          <w:b/>
          <w:i/>
          <w:noProof/>
          <w:sz w:val="24"/>
        </w:rPr>
        <w:t>Gotowość</w:t>
      </w:r>
    </w:p>
    <w:p w14:paraId="22A3A672" w14:textId="088647FA" w:rsidR="004F5CD9" w:rsidRPr="000309CC" w:rsidRDefault="004F5CD9" w:rsidP="003801BC">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Gotowość</w:t>
      </w:r>
      <w:r w:rsidR="000309CC" w:rsidRPr="000309CC">
        <w:rPr>
          <w:rFonts w:ascii="Times New Roman" w:hAnsi="Times New Roman"/>
          <w:noProof/>
          <w:sz w:val="24"/>
        </w:rPr>
        <w:t xml:space="preserve"> w obs</w:t>
      </w:r>
      <w:r w:rsidRPr="000309CC">
        <w:rPr>
          <w:rFonts w:ascii="Times New Roman" w:hAnsi="Times New Roman"/>
          <w:noProof/>
          <w:sz w:val="24"/>
        </w:rPr>
        <w:t>zarze cyberbezpieczeństwa</w:t>
      </w:r>
      <w:r w:rsidR="000309CC" w:rsidRPr="000309CC">
        <w:rPr>
          <w:rFonts w:ascii="Times New Roman" w:hAnsi="Times New Roman"/>
          <w:noProof/>
          <w:sz w:val="24"/>
        </w:rPr>
        <w:t xml:space="preserve"> i bez</w:t>
      </w:r>
      <w:r w:rsidRPr="000309CC">
        <w:rPr>
          <w:rFonts w:ascii="Times New Roman" w:hAnsi="Times New Roman"/>
          <w:noProof/>
          <w:sz w:val="24"/>
        </w:rPr>
        <w:t>pieczeństwa infrastruktury krytycznej jest ważniejsza niż kiedykolwiek, biorąc pod uwagę zwiększone narażenie Europy na nagromadzenie zagrożeń</w:t>
      </w:r>
      <w:r w:rsidR="000309CC" w:rsidRPr="000309CC">
        <w:rPr>
          <w:rFonts w:ascii="Times New Roman" w:hAnsi="Times New Roman"/>
          <w:noProof/>
          <w:sz w:val="24"/>
        </w:rPr>
        <w:t xml:space="preserve"> w zwi</w:t>
      </w:r>
      <w:r w:rsidRPr="000309CC">
        <w:rPr>
          <w:rFonts w:ascii="Times New Roman" w:hAnsi="Times New Roman"/>
          <w:noProof/>
          <w:sz w:val="24"/>
        </w:rPr>
        <w:t>ązku</w:t>
      </w:r>
      <w:r w:rsidR="000309CC" w:rsidRPr="000309CC">
        <w:rPr>
          <w:rFonts w:ascii="Times New Roman" w:hAnsi="Times New Roman"/>
          <w:noProof/>
          <w:sz w:val="24"/>
        </w:rPr>
        <w:t xml:space="preserve"> z woj</w:t>
      </w:r>
      <w:r w:rsidRPr="000309CC">
        <w:rPr>
          <w:rFonts w:ascii="Times New Roman" w:hAnsi="Times New Roman"/>
          <w:noProof/>
          <w:sz w:val="24"/>
        </w:rPr>
        <w:t>ną. Starania na rzecz zwiększenia gotowości obejmowały szereg działań bezpośrednich,</w:t>
      </w:r>
      <w:r w:rsidR="000309CC" w:rsidRPr="000309CC">
        <w:rPr>
          <w:rFonts w:ascii="Times New Roman" w:hAnsi="Times New Roman"/>
          <w:noProof/>
          <w:sz w:val="24"/>
        </w:rPr>
        <w:t xml:space="preserve"> w tym</w:t>
      </w:r>
      <w:r w:rsidRPr="000309CC">
        <w:rPr>
          <w:rFonts w:ascii="Times New Roman" w:hAnsi="Times New Roman"/>
          <w:noProof/>
          <w:sz w:val="24"/>
        </w:rPr>
        <w:t xml:space="preserve"> działania przewidziane jeszcze przed rosyjską agresją na Ukrainę. Do działań tych należą ćwiczenia, wytyczne, środki legislacyjne, zwiększanie odporności</w:t>
      </w:r>
      <w:r w:rsidR="000309CC" w:rsidRPr="000309CC">
        <w:rPr>
          <w:rFonts w:ascii="Times New Roman" w:hAnsi="Times New Roman"/>
          <w:noProof/>
          <w:sz w:val="24"/>
        </w:rPr>
        <w:t xml:space="preserve"> w sek</w:t>
      </w:r>
      <w:r w:rsidRPr="000309CC">
        <w:rPr>
          <w:rFonts w:ascii="Times New Roman" w:hAnsi="Times New Roman"/>
          <w:noProof/>
          <w:sz w:val="24"/>
        </w:rPr>
        <w:t>torach krytycznych oraz współpraca</w:t>
      </w:r>
      <w:r w:rsidR="000309CC" w:rsidRPr="000309CC">
        <w:rPr>
          <w:rFonts w:ascii="Times New Roman" w:hAnsi="Times New Roman"/>
          <w:noProof/>
          <w:sz w:val="24"/>
        </w:rPr>
        <w:t xml:space="preserve"> z par</w:t>
      </w:r>
      <w:r w:rsidRPr="000309CC">
        <w:rPr>
          <w:rFonts w:ascii="Times New Roman" w:hAnsi="Times New Roman"/>
          <w:noProof/>
          <w:sz w:val="24"/>
        </w:rPr>
        <w:t xml:space="preserve">tnerami.    </w:t>
      </w:r>
    </w:p>
    <w:p w14:paraId="7B3523ED" w14:textId="77777777" w:rsidR="004F5CD9" w:rsidRPr="000309CC" w:rsidRDefault="004F5CD9" w:rsidP="003801BC">
      <w:pPr>
        <w:spacing w:after="0" w:line="240" w:lineRule="auto"/>
        <w:jc w:val="both"/>
        <w:rPr>
          <w:rFonts w:ascii="Times New Roman" w:hAnsi="Times New Roman" w:cs="Times New Roman"/>
          <w:noProof/>
          <w:sz w:val="24"/>
          <w:szCs w:val="24"/>
        </w:rPr>
      </w:pPr>
    </w:p>
    <w:p w14:paraId="40B023FF" w14:textId="02872A49" w:rsidR="003801BC" w:rsidRPr="000309CC" w:rsidRDefault="003801BC"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Francuska prezydencja</w:t>
      </w:r>
      <w:r w:rsidR="000309CC" w:rsidRPr="000309CC">
        <w:rPr>
          <w:rFonts w:ascii="Times New Roman" w:hAnsi="Times New Roman"/>
          <w:noProof/>
          <w:sz w:val="24"/>
        </w:rPr>
        <w:t xml:space="preserve"> w Rad</w:t>
      </w:r>
      <w:r w:rsidRPr="000309CC">
        <w:rPr>
          <w:rFonts w:ascii="Times New Roman" w:hAnsi="Times New Roman"/>
          <w:noProof/>
          <w:sz w:val="24"/>
        </w:rPr>
        <w:t>zie Unii Europejskiej wraz</w:t>
      </w:r>
      <w:r w:rsidR="000309CC" w:rsidRPr="000309CC">
        <w:rPr>
          <w:rFonts w:ascii="Times New Roman" w:hAnsi="Times New Roman"/>
          <w:noProof/>
          <w:sz w:val="24"/>
        </w:rPr>
        <w:t xml:space="preserve"> z Eur</w:t>
      </w:r>
      <w:r w:rsidRPr="000309CC">
        <w:rPr>
          <w:rFonts w:ascii="Times New Roman" w:hAnsi="Times New Roman"/>
          <w:noProof/>
          <w:sz w:val="24"/>
        </w:rPr>
        <w:t>opejską Służbą Działań Zewnętrznych (ESDZ)</w:t>
      </w:r>
      <w:r w:rsidR="000309CC" w:rsidRPr="000309CC">
        <w:rPr>
          <w:rFonts w:ascii="Times New Roman" w:hAnsi="Times New Roman"/>
          <w:noProof/>
          <w:sz w:val="24"/>
        </w:rPr>
        <w:t xml:space="preserve"> i Age</w:t>
      </w:r>
      <w:r w:rsidRPr="000309CC">
        <w:rPr>
          <w:rFonts w:ascii="Times New Roman" w:hAnsi="Times New Roman"/>
          <w:noProof/>
          <w:sz w:val="24"/>
        </w:rPr>
        <w:t>ncją Unii Europejskiej ds. Cyberbezpieczeństwa (ENISA) zorganizowała na początku 2022</w:t>
      </w:r>
      <w:r w:rsidR="000309CC" w:rsidRPr="000309CC">
        <w:rPr>
          <w:rFonts w:ascii="Times New Roman" w:hAnsi="Times New Roman"/>
          <w:noProof/>
          <w:sz w:val="24"/>
        </w:rPr>
        <w:t> </w:t>
      </w:r>
      <w:r w:rsidRPr="000309CC">
        <w:rPr>
          <w:rFonts w:ascii="Times New Roman" w:hAnsi="Times New Roman"/>
          <w:noProof/>
          <w:sz w:val="24"/>
        </w:rPr>
        <w:t>r. oparte na scenariuszu ćwiczenie pod nazwą EU CyCLES (Cyber Crisis Linking Exercise on Solidarity), którego celem było zwiększenie świadomości na szczeblu politycznym oraz zacieśnienie współpracy między podmiotami szczebla operacyjnego</w:t>
      </w:r>
      <w:r w:rsidR="000309CC" w:rsidRPr="000309CC">
        <w:rPr>
          <w:rFonts w:ascii="Times New Roman" w:hAnsi="Times New Roman"/>
          <w:noProof/>
          <w:sz w:val="24"/>
        </w:rPr>
        <w:t xml:space="preserve"> i pol</w:t>
      </w:r>
      <w:r w:rsidRPr="000309CC">
        <w:rPr>
          <w:rFonts w:ascii="Times New Roman" w:hAnsi="Times New Roman"/>
          <w:noProof/>
          <w:sz w:val="24"/>
        </w:rPr>
        <w:t xml:space="preserve">itycznego na wypadek cyberataku na dużą skalę.   </w:t>
      </w:r>
    </w:p>
    <w:p w14:paraId="4061D2DD" w14:textId="77777777" w:rsidR="003F6846" w:rsidRPr="000309CC" w:rsidRDefault="003F6846" w:rsidP="00474DA2">
      <w:pPr>
        <w:spacing w:after="0" w:line="240" w:lineRule="auto"/>
        <w:jc w:val="both"/>
        <w:rPr>
          <w:rFonts w:ascii="Times New Roman" w:hAnsi="Times New Roman" w:cs="Times New Roman"/>
          <w:bCs/>
          <w:noProof/>
          <w:sz w:val="24"/>
          <w:szCs w:val="24"/>
        </w:rPr>
      </w:pPr>
    </w:p>
    <w:p w14:paraId="03E35157" w14:textId="5C3A3214" w:rsidR="001B04A8" w:rsidRPr="000309CC" w:rsidRDefault="00474DA2" w:rsidP="00551E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ENISA i CERT-UE opublikowali</w:t>
      </w:r>
      <w:r w:rsidR="000309CC" w:rsidRPr="000309CC">
        <w:rPr>
          <w:rFonts w:ascii="Times New Roman" w:hAnsi="Times New Roman"/>
          <w:noProof/>
          <w:sz w:val="24"/>
        </w:rPr>
        <w:t xml:space="preserve"> w lut</w:t>
      </w:r>
      <w:r w:rsidRPr="000309CC">
        <w:rPr>
          <w:rFonts w:ascii="Times New Roman" w:hAnsi="Times New Roman"/>
          <w:noProof/>
          <w:sz w:val="24"/>
        </w:rPr>
        <w:t xml:space="preserve">ym </w:t>
      </w:r>
      <w:r w:rsidRPr="000309CC">
        <w:rPr>
          <w:rFonts w:ascii="Times New Roman" w:hAnsi="Times New Roman"/>
          <w:b/>
          <w:noProof/>
          <w:sz w:val="24"/>
        </w:rPr>
        <w:t>wytyczne</w:t>
      </w:r>
      <w:r w:rsidRPr="000309CC">
        <w:rPr>
          <w:rFonts w:ascii="Times New Roman" w:hAnsi="Times New Roman"/>
          <w:noProof/>
          <w:sz w:val="24"/>
        </w:rPr>
        <w:t xml:space="preserve"> dotyczące sposobów zwiększenia odporności</w:t>
      </w:r>
      <w:r w:rsidR="000309CC" w:rsidRPr="000309CC">
        <w:rPr>
          <w:rFonts w:ascii="Times New Roman" w:hAnsi="Times New Roman"/>
          <w:noProof/>
          <w:sz w:val="24"/>
        </w:rPr>
        <w:t xml:space="preserve"> i got</w:t>
      </w:r>
      <w:r w:rsidRPr="000309CC">
        <w:rPr>
          <w:rFonts w:ascii="Times New Roman" w:hAnsi="Times New Roman"/>
          <w:noProof/>
          <w:sz w:val="24"/>
        </w:rPr>
        <w:t>owości w UE</w:t>
      </w:r>
      <w:r w:rsidRPr="000309CC">
        <w:rPr>
          <w:rStyle w:val="FootnoteReference"/>
          <w:rFonts w:ascii="Times New Roman" w:hAnsi="Times New Roman" w:cs="Times New Roman"/>
          <w:bCs/>
          <w:noProof/>
          <w:sz w:val="24"/>
          <w:szCs w:val="24"/>
        </w:rPr>
        <w:footnoteReference w:id="9"/>
      </w:r>
      <w:r w:rsidR="000309CC" w:rsidRPr="000309CC">
        <w:rPr>
          <w:rFonts w:ascii="Times New Roman" w:hAnsi="Times New Roman"/>
          <w:noProof/>
          <w:sz w:val="24"/>
        </w:rPr>
        <w:t>. W wyt</w:t>
      </w:r>
      <w:r w:rsidRPr="000309CC">
        <w:rPr>
          <w:rFonts w:ascii="Times New Roman" w:hAnsi="Times New Roman"/>
          <w:noProof/>
          <w:sz w:val="24"/>
        </w:rPr>
        <w:t>ycznych tych zachęca się wszystkie organizacje sektora publicznego</w:t>
      </w:r>
      <w:r w:rsidR="000309CC" w:rsidRPr="000309CC">
        <w:rPr>
          <w:rFonts w:ascii="Times New Roman" w:hAnsi="Times New Roman"/>
          <w:noProof/>
          <w:sz w:val="24"/>
        </w:rPr>
        <w:t xml:space="preserve"> i pry</w:t>
      </w:r>
      <w:r w:rsidRPr="000309CC">
        <w:rPr>
          <w:rFonts w:ascii="Times New Roman" w:hAnsi="Times New Roman"/>
          <w:noProof/>
          <w:sz w:val="24"/>
        </w:rPr>
        <w:t>watnego w UE do przyjęcia minimalnego zbioru najlepszych praktyk</w:t>
      </w:r>
      <w:r w:rsidR="000309CC" w:rsidRPr="000309CC">
        <w:rPr>
          <w:rFonts w:ascii="Times New Roman" w:hAnsi="Times New Roman"/>
          <w:noProof/>
          <w:sz w:val="24"/>
        </w:rPr>
        <w:t xml:space="preserve"> w zak</w:t>
      </w:r>
      <w:r w:rsidRPr="000309CC">
        <w:rPr>
          <w:rFonts w:ascii="Times New Roman" w:hAnsi="Times New Roman"/>
          <w:noProof/>
          <w:sz w:val="24"/>
        </w:rPr>
        <w:t>resie cyberbezpieczeństwa</w:t>
      </w:r>
      <w:r w:rsidR="000309CC" w:rsidRPr="000309CC">
        <w:rPr>
          <w:rFonts w:ascii="Times New Roman" w:hAnsi="Times New Roman"/>
          <w:noProof/>
          <w:sz w:val="24"/>
        </w:rPr>
        <w:t xml:space="preserve"> z myś</w:t>
      </w:r>
      <w:r w:rsidRPr="000309CC">
        <w:rPr>
          <w:rFonts w:ascii="Times New Roman" w:hAnsi="Times New Roman"/>
          <w:noProof/>
          <w:sz w:val="24"/>
        </w:rPr>
        <w:t>lą</w:t>
      </w:r>
      <w:r w:rsidR="000309CC" w:rsidRPr="000309CC">
        <w:rPr>
          <w:rFonts w:ascii="Times New Roman" w:hAnsi="Times New Roman"/>
          <w:noProof/>
          <w:sz w:val="24"/>
        </w:rPr>
        <w:t xml:space="preserve"> o zna</w:t>
      </w:r>
      <w:r w:rsidRPr="000309CC">
        <w:rPr>
          <w:rFonts w:ascii="Times New Roman" w:hAnsi="Times New Roman"/>
          <w:noProof/>
          <w:sz w:val="24"/>
        </w:rPr>
        <w:t>cznej poprawie kultury cyberbezpieczeństwa</w:t>
      </w:r>
      <w:r w:rsidR="000309CC" w:rsidRPr="000309CC">
        <w:rPr>
          <w:rFonts w:ascii="Times New Roman" w:hAnsi="Times New Roman"/>
          <w:noProof/>
          <w:sz w:val="24"/>
        </w:rPr>
        <w:t>. W mar</w:t>
      </w:r>
      <w:r w:rsidRPr="000309CC">
        <w:rPr>
          <w:rFonts w:ascii="Times New Roman" w:hAnsi="Times New Roman"/>
          <w:noProof/>
          <w:sz w:val="24"/>
        </w:rPr>
        <w:t>cu CERT-UE opublikował przy wsparciu ENISA</w:t>
      </w:r>
      <w:r w:rsidR="001B04A8" w:rsidRPr="000309CC">
        <w:rPr>
          <w:rStyle w:val="FootnoteReference"/>
          <w:rFonts w:ascii="Times New Roman" w:hAnsi="Times New Roman" w:cs="Times New Roman"/>
          <w:bCs/>
          <w:noProof/>
          <w:sz w:val="24"/>
          <w:szCs w:val="24"/>
        </w:rPr>
        <w:footnoteReference w:id="10"/>
      </w:r>
      <w:r w:rsidRPr="000309CC">
        <w:rPr>
          <w:rFonts w:ascii="Times New Roman" w:hAnsi="Times New Roman"/>
          <w:noProof/>
          <w:sz w:val="24"/>
        </w:rPr>
        <w:t xml:space="preserve"> dalsze wytyczne techniczne,</w:t>
      </w:r>
      <w:r w:rsidR="000309CC" w:rsidRPr="000309CC">
        <w:rPr>
          <w:rFonts w:ascii="Times New Roman" w:hAnsi="Times New Roman"/>
          <w:noProof/>
          <w:sz w:val="24"/>
        </w:rPr>
        <w:t xml:space="preserve"> a tak</w:t>
      </w:r>
      <w:r w:rsidRPr="000309CC">
        <w:rPr>
          <w:rFonts w:ascii="Times New Roman" w:hAnsi="Times New Roman"/>
          <w:noProof/>
          <w:sz w:val="24"/>
        </w:rPr>
        <w:t>że wytyczne dotyczące bezpieczeństwa</w:t>
      </w:r>
      <w:r w:rsidR="000309CC" w:rsidRPr="000309CC">
        <w:rPr>
          <w:rFonts w:ascii="Times New Roman" w:hAnsi="Times New Roman"/>
          <w:noProof/>
          <w:sz w:val="24"/>
        </w:rPr>
        <w:t xml:space="preserve"> w cel</w:t>
      </w:r>
      <w:r w:rsidRPr="000309CC">
        <w:rPr>
          <w:rFonts w:ascii="Times New Roman" w:hAnsi="Times New Roman"/>
          <w:noProof/>
          <w:sz w:val="24"/>
        </w:rPr>
        <w:t>u wzmocnienia konfiguracji aplikacji Signal</w:t>
      </w:r>
      <w:r w:rsidR="003801BC" w:rsidRPr="000309CC">
        <w:rPr>
          <w:rStyle w:val="FootnoteReference"/>
          <w:rFonts w:ascii="Times New Roman" w:hAnsi="Times New Roman" w:cs="Times New Roman"/>
          <w:bCs/>
          <w:noProof/>
          <w:sz w:val="24"/>
          <w:szCs w:val="24"/>
        </w:rPr>
        <w:footnoteReference w:id="11"/>
      </w:r>
      <w:r w:rsidRPr="000309CC">
        <w:rPr>
          <w:rFonts w:ascii="Times New Roman" w:hAnsi="Times New Roman"/>
          <w:noProof/>
          <w:sz w:val="24"/>
        </w:rPr>
        <w:t>, zawierające szereg praktycznych zaleceń dla organizacji służących poprawie ich podejścia do cyberbezpieczeństwa.</w:t>
      </w:r>
    </w:p>
    <w:p w14:paraId="42B41D0B" w14:textId="77777777" w:rsidR="003F6846" w:rsidRPr="000309CC" w:rsidRDefault="003F6846" w:rsidP="00551EA2">
      <w:pPr>
        <w:spacing w:after="0" w:line="240" w:lineRule="auto"/>
        <w:jc w:val="both"/>
        <w:rPr>
          <w:rFonts w:ascii="Times New Roman" w:hAnsi="Times New Roman" w:cs="Times New Roman"/>
          <w:bCs/>
          <w:noProof/>
          <w:sz w:val="24"/>
          <w:szCs w:val="24"/>
        </w:rPr>
      </w:pPr>
    </w:p>
    <w:p w14:paraId="12CB0FCE" w14:textId="77777777" w:rsidR="00AB7A5A" w:rsidRPr="000309CC" w:rsidRDefault="00FB5B4F" w:rsidP="00474DA2">
      <w:pPr>
        <w:spacing w:after="0" w:line="240" w:lineRule="auto"/>
        <w:jc w:val="both"/>
        <w:rPr>
          <w:rFonts w:ascii="Times New Roman" w:hAnsi="Times New Roman" w:cs="Times New Roman"/>
          <w:i/>
          <w:noProof/>
          <w:color w:val="333333"/>
          <w:sz w:val="24"/>
          <w:szCs w:val="24"/>
        </w:rPr>
      </w:pPr>
      <w:r w:rsidRPr="000309CC">
        <w:rPr>
          <w:rFonts w:ascii="Times New Roman" w:hAnsi="Times New Roman"/>
          <w:i/>
          <w:noProof/>
          <w:color w:val="333333"/>
          <w:sz w:val="24"/>
        </w:rPr>
        <w:t>Inicjatywy ustawodawcze</w:t>
      </w:r>
    </w:p>
    <w:p w14:paraId="132A1F64" w14:textId="77777777" w:rsidR="00FB5B4F" w:rsidRPr="000309CC" w:rsidRDefault="00FB5B4F" w:rsidP="00474DA2">
      <w:pPr>
        <w:spacing w:after="0" w:line="240" w:lineRule="auto"/>
        <w:jc w:val="both"/>
        <w:rPr>
          <w:rFonts w:ascii="Times New Roman" w:hAnsi="Times New Roman" w:cs="Times New Roman"/>
          <w:bCs/>
          <w:noProof/>
          <w:sz w:val="24"/>
          <w:szCs w:val="24"/>
        </w:rPr>
      </w:pPr>
    </w:p>
    <w:p w14:paraId="5202F2BA" w14:textId="4284DF35" w:rsidR="009631D7" w:rsidRPr="000309CC" w:rsidRDefault="00474DA2" w:rsidP="00474D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 xml:space="preserve">Obecna sytuacja wskazuje na pilną konieczność </w:t>
      </w:r>
      <w:r w:rsidRPr="000309CC">
        <w:rPr>
          <w:rFonts w:ascii="Times New Roman" w:hAnsi="Times New Roman"/>
          <w:b/>
          <w:noProof/>
          <w:sz w:val="24"/>
        </w:rPr>
        <w:t>wdrożenia obowiązującego prawodawstwa</w:t>
      </w:r>
      <w:r w:rsidR="000309CC" w:rsidRPr="000309CC">
        <w:rPr>
          <w:rFonts w:ascii="Times New Roman" w:hAnsi="Times New Roman"/>
          <w:noProof/>
          <w:sz w:val="24"/>
        </w:rPr>
        <w:t xml:space="preserve"> i </w:t>
      </w:r>
      <w:r w:rsidR="000309CC" w:rsidRPr="000309CC">
        <w:rPr>
          <w:rFonts w:ascii="Times New Roman" w:hAnsi="Times New Roman"/>
          <w:b/>
          <w:noProof/>
          <w:sz w:val="24"/>
        </w:rPr>
        <w:t>prz</w:t>
      </w:r>
      <w:r w:rsidRPr="000309CC">
        <w:rPr>
          <w:rFonts w:ascii="Times New Roman" w:hAnsi="Times New Roman"/>
          <w:b/>
          <w:noProof/>
          <w:sz w:val="24"/>
        </w:rPr>
        <w:t>yspieszenia przyjęcia oczekiwanych inicjatyw</w:t>
      </w:r>
      <w:r w:rsidRPr="000309CC">
        <w:rPr>
          <w:rFonts w:ascii="Times New Roman" w:hAnsi="Times New Roman"/>
          <w:noProof/>
          <w:sz w:val="24"/>
        </w:rPr>
        <w:t xml:space="preserve">. </w:t>
      </w:r>
    </w:p>
    <w:p w14:paraId="5626BAA3" w14:textId="77777777" w:rsidR="009631D7" w:rsidRPr="000309CC" w:rsidRDefault="009631D7" w:rsidP="00474DA2">
      <w:pPr>
        <w:spacing w:after="0" w:line="240" w:lineRule="auto"/>
        <w:jc w:val="both"/>
        <w:rPr>
          <w:rFonts w:ascii="Times New Roman" w:hAnsi="Times New Roman" w:cs="Times New Roman"/>
          <w:bCs/>
          <w:noProof/>
          <w:sz w:val="24"/>
          <w:szCs w:val="24"/>
        </w:rPr>
      </w:pPr>
    </w:p>
    <w:p w14:paraId="26D2DCBA" w14:textId="1A01645C" w:rsidR="00E30C36" w:rsidRPr="000309CC" w:rsidRDefault="00474DA2"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 xml:space="preserve">Komisja wspiera państwa członkowskie we wdrażaniu </w:t>
      </w:r>
      <w:r w:rsidRPr="000309CC">
        <w:rPr>
          <w:rFonts w:ascii="Times New Roman" w:hAnsi="Times New Roman"/>
          <w:b/>
          <w:noProof/>
          <w:sz w:val="24"/>
        </w:rPr>
        <w:t>dyrektywy dotyczącej cyberbezpieczeństwa</w:t>
      </w:r>
      <w:r w:rsidRPr="000309CC">
        <w:rPr>
          <w:rStyle w:val="FootnoteReference"/>
          <w:rFonts w:ascii="Times New Roman" w:hAnsi="Times New Roman" w:cs="Times New Roman"/>
          <w:bCs/>
          <w:noProof/>
          <w:sz w:val="24"/>
          <w:szCs w:val="24"/>
        </w:rPr>
        <w:footnoteReference w:id="12"/>
      </w:r>
      <w:r w:rsidRPr="000309CC">
        <w:rPr>
          <w:rFonts w:ascii="Times New Roman" w:hAnsi="Times New Roman"/>
          <w:noProof/>
          <w:sz w:val="24"/>
        </w:rPr>
        <w:t>,</w:t>
      </w:r>
      <w:r w:rsidR="000309CC" w:rsidRPr="000309CC">
        <w:rPr>
          <w:rFonts w:ascii="Times New Roman" w:hAnsi="Times New Roman"/>
          <w:noProof/>
          <w:sz w:val="24"/>
        </w:rPr>
        <w:t xml:space="preserve"> w któ</w:t>
      </w:r>
      <w:r w:rsidRPr="000309CC">
        <w:rPr>
          <w:rFonts w:ascii="Times New Roman" w:hAnsi="Times New Roman"/>
          <w:noProof/>
          <w:sz w:val="24"/>
        </w:rPr>
        <w:t>rej przewidziano wymóg dla państw członkowskich, by były odpowiednio przygotowane, np. dysponowały zespołem reagowania na incydenty bezpieczeństwa komputerowego (CSIRT) oraz określiły właściwe organy. Dyrektywa ta stanowi podstawę skutecznej współpracy między państwami członkowskimi. Porozumienie polityczne osiągnięte przez współprawodawców</w:t>
      </w:r>
      <w:r w:rsidR="000309CC" w:rsidRPr="000309CC">
        <w:rPr>
          <w:rFonts w:ascii="Times New Roman" w:hAnsi="Times New Roman"/>
          <w:noProof/>
          <w:sz w:val="24"/>
        </w:rPr>
        <w:t xml:space="preserve"> w spr</w:t>
      </w:r>
      <w:r w:rsidRPr="000309CC">
        <w:rPr>
          <w:rFonts w:ascii="Times New Roman" w:hAnsi="Times New Roman"/>
          <w:noProof/>
          <w:sz w:val="24"/>
        </w:rPr>
        <w:t xml:space="preserve">awie </w:t>
      </w:r>
      <w:r w:rsidRPr="000309CC">
        <w:rPr>
          <w:rFonts w:ascii="Times New Roman" w:hAnsi="Times New Roman"/>
          <w:b/>
          <w:noProof/>
          <w:sz w:val="24"/>
        </w:rPr>
        <w:t>dyrektywy NIS 2</w:t>
      </w:r>
      <w:r w:rsidRPr="000309CC">
        <w:rPr>
          <w:rStyle w:val="FootnoteReference"/>
          <w:rFonts w:ascii="Times New Roman" w:hAnsi="Times New Roman" w:cs="Times New Roman"/>
          <w:bCs/>
          <w:noProof/>
          <w:sz w:val="24"/>
          <w:szCs w:val="24"/>
        </w:rPr>
        <w:footnoteReference w:id="13"/>
      </w:r>
      <w:r w:rsidRPr="000309CC">
        <w:rPr>
          <w:rFonts w:ascii="Times New Roman" w:hAnsi="Times New Roman"/>
          <w:noProof/>
          <w:sz w:val="24"/>
        </w:rPr>
        <w:t xml:space="preserve"> jest kolejnym przełomem</w:t>
      </w:r>
      <w:r w:rsidR="000309CC" w:rsidRPr="000309CC">
        <w:rPr>
          <w:rFonts w:ascii="Times New Roman" w:hAnsi="Times New Roman"/>
          <w:noProof/>
          <w:sz w:val="24"/>
        </w:rPr>
        <w:t xml:space="preserve"> w two</w:t>
      </w:r>
      <w:r w:rsidRPr="000309CC">
        <w:rPr>
          <w:rFonts w:ascii="Times New Roman" w:hAnsi="Times New Roman"/>
          <w:noProof/>
          <w:sz w:val="24"/>
        </w:rPr>
        <w:t>rzeniu solidnych unijnych ram gotowości.</w:t>
      </w:r>
    </w:p>
    <w:p w14:paraId="026A996D" w14:textId="77777777" w:rsidR="00E30C36" w:rsidRPr="000309CC" w:rsidRDefault="00E30C36" w:rsidP="00474DA2">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166"/>
      </w:tblGrid>
      <w:tr w:rsidR="00E30C36" w:rsidRPr="000309CC" w14:paraId="42C2550A" w14:textId="77777777" w:rsidTr="00E30C36">
        <w:tc>
          <w:tcPr>
            <w:tcW w:w="9166" w:type="dxa"/>
          </w:tcPr>
          <w:p w14:paraId="4E8C9382" w14:textId="77777777" w:rsidR="00E30C36" w:rsidRPr="000309CC" w:rsidRDefault="00810A11" w:rsidP="00E30C36">
            <w:pPr>
              <w:jc w:val="both"/>
              <w:rPr>
                <w:rFonts w:ascii="Times New Roman" w:hAnsi="Times New Roman" w:cs="Times New Roman"/>
                <w:b/>
                <w:noProof/>
                <w:sz w:val="24"/>
                <w:szCs w:val="24"/>
              </w:rPr>
            </w:pPr>
            <w:r w:rsidRPr="000309CC">
              <w:rPr>
                <w:rFonts w:ascii="Times New Roman" w:hAnsi="Times New Roman"/>
                <w:b/>
                <w:noProof/>
                <w:sz w:val="24"/>
              </w:rPr>
              <w:t xml:space="preserve">NIS 2 – dalsze wzmacnianie gotowości </w:t>
            </w:r>
          </w:p>
          <w:p w14:paraId="0203C2D1" w14:textId="2D197032" w:rsidR="009F1711" w:rsidRPr="000309CC" w:rsidRDefault="00E30C36" w:rsidP="000910B3">
            <w:pPr>
              <w:pStyle w:val="NormalWeb"/>
              <w:numPr>
                <w:ilvl w:val="0"/>
                <w:numId w:val="7"/>
              </w:numPr>
              <w:spacing w:before="0" w:after="0"/>
              <w:jc w:val="both"/>
              <w:rPr>
                <w:noProof/>
              </w:rPr>
            </w:pPr>
            <w:r w:rsidRPr="000309CC">
              <w:rPr>
                <w:noProof/>
              </w:rPr>
              <w:t>W nowej dyrektywie</w:t>
            </w:r>
            <w:r w:rsidR="000309CC" w:rsidRPr="000309CC">
              <w:rPr>
                <w:noProof/>
              </w:rPr>
              <w:t xml:space="preserve"> w spr</w:t>
            </w:r>
            <w:r w:rsidRPr="000309CC">
              <w:rPr>
                <w:noProof/>
              </w:rPr>
              <w:t>awie bezpieczeństwa sieci</w:t>
            </w:r>
            <w:r w:rsidR="000309CC" w:rsidRPr="000309CC">
              <w:rPr>
                <w:noProof/>
              </w:rPr>
              <w:t xml:space="preserve"> i sys</w:t>
            </w:r>
            <w:r w:rsidRPr="000309CC">
              <w:rPr>
                <w:noProof/>
              </w:rPr>
              <w:t>temów informatycznych zostaną usunięte niedociągnięcia</w:t>
            </w:r>
            <w:r w:rsidR="000309CC" w:rsidRPr="000309CC">
              <w:rPr>
                <w:noProof/>
              </w:rPr>
              <w:t xml:space="preserve"> z pop</w:t>
            </w:r>
            <w:r w:rsidRPr="000309CC">
              <w:rPr>
                <w:noProof/>
              </w:rPr>
              <w:t xml:space="preserve">rzedniej </w:t>
            </w:r>
            <w:hyperlink r:id="rId18" w:history="1">
              <w:r w:rsidRPr="000309CC">
                <w:rPr>
                  <w:noProof/>
                </w:rPr>
                <w:t>dyrektywy dotyczącej cyberbezpieczeństwa</w:t>
              </w:r>
            </w:hyperlink>
            <w:r w:rsidRPr="000309CC">
              <w:rPr>
                <w:noProof/>
              </w:rPr>
              <w:t>, aby dostosować ją do obecnych potrzeb</w:t>
            </w:r>
            <w:r w:rsidR="000309CC" w:rsidRPr="000309CC">
              <w:rPr>
                <w:noProof/>
              </w:rPr>
              <w:t xml:space="preserve"> i spr</w:t>
            </w:r>
            <w:r w:rsidRPr="000309CC">
              <w:rPr>
                <w:noProof/>
              </w:rPr>
              <w:t>awić, by nie ulegała dezaktualizacji. Określa ona minimalne przepisy dotyczące ram regulacyjnych</w:t>
            </w:r>
            <w:r w:rsidR="000309CC" w:rsidRPr="000309CC">
              <w:rPr>
                <w:noProof/>
              </w:rPr>
              <w:t xml:space="preserve"> i ust</w:t>
            </w:r>
            <w:r w:rsidRPr="000309CC">
              <w:rPr>
                <w:noProof/>
              </w:rPr>
              <w:t>anawia mechanizmy skutecznej współpracy między odpowiednimi organami</w:t>
            </w:r>
            <w:r w:rsidR="000309CC" w:rsidRPr="000309CC">
              <w:rPr>
                <w:noProof/>
              </w:rPr>
              <w:t xml:space="preserve"> w każ</w:t>
            </w:r>
            <w:r w:rsidRPr="000309CC">
              <w:rPr>
                <w:noProof/>
              </w:rPr>
              <w:t xml:space="preserve">dym państwie członkowskim. </w:t>
            </w:r>
          </w:p>
          <w:p w14:paraId="65557536" w14:textId="36154E3B" w:rsidR="006D0A0A" w:rsidRPr="000309CC" w:rsidRDefault="00995E53" w:rsidP="000910B3">
            <w:pPr>
              <w:pStyle w:val="NormalWeb"/>
              <w:numPr>
                <w:ilvl w:val="0"/>
                <w:numId w:val="7"/>
              </w:numPr>
              <w:spacing w:before="0" w:after="0"/>
              <w:jc w:val="both"/>
              <w:rPr>
                <w:noProof/>
              </w:rPr>
            </w:pPr>
            <w:r w:rsidRPr="000309CC">
              <w:rPr>
                <w:noProof/>
              </w:rPr>
              <w:t>Rozszerzono</w:t>
            </w:r>
            <w:r w:rsidR="000309CC" w:rsidRPr="000309CC">
              <w:rPr>
                <w:noProof/>
              </w:rPr>
              <w:t xml:space="preserve"> w nie</w:t>
            </w:r>
            <w:r w:rsidRPr="000309CC">
              <w:rPr>
                <w:noProof/>
              </w:rPr>
              <w:t>j zakres przepisów, dodając nowe sektory</w:t>
            </w:r>
            <w:r w:rsidR="000309CC" w:rsidRPr="000309CC">
              <w:rPr>
                <w:noProof/>
              </w:rPr>
              <w:t xml:space="preserve"> o kry</w:t>
            </w:r>
            <w:r w:rsidRPr="000309CC">
              <w:rPr>
                <w:noProof/>
              </w:rPr>
              <w:t>tycznym znaczeniu dla gospodarki</w:t>
            </w:r>
            <w:r w:rsidR="000309CC" w:rsidRPr="000309CC">
              <w:rPr>
                <w:noProof/>
              </w:rPr>
              <w:t xml:space="preserve"> i spo</w:t>
            </w:r>
            <w:r w:rsidRPr="000309CC">
              <w:rPr>
                <w:noProof/>
              </w:rPr>
              <w:t>łeczeństwa (np. sektor farmaceutyczny</w:t>
            </w:r>
            <w:r w:rsidR="000309CC" w:rsidRPr="000309CC">
              <w:rPr>
                <w:noProof/>
              </w:rPr>
              <w:t xml:space="preserve"> i sek</w:t>
            </w:r>
            <w:r w:rsidRPr="000309CC">
              <w:rPr>
                <w:noProof/>
              </w:rPr>
              <w:t>tor wyrobów medycznych czy sektor produkcji żywności). Wszystkie średnie</w:t>
            </w:r>
            <w:r w:rsidR="000309CC" w:rsidRPr="000309CC">
              <w:rPr>
                <w:noProof/>
              </w:rPr>
              <w:t xml:space="preserve"> i duż</w:t>
            </w:r>
            <w:r w:rsidRPr="000309CC">
              <w:rPr>
                <w:noProof/>
              </w:rPr>
              <w:t>e podmioty działające</w:t>
            </w:r>
            <w:r w:rsidR="000309CC" w:rsidRPr="000309CC">
              <w:rPr>
                <w:noProof/>
              </w:rPr>
              <w:t xml:space="preserve"> w sek</w:t>
            </w:r>
            <w:r w:rsidRPr="000309CC">
              <w:rPr>
                <w:noProof/>
              </w:rPr>
              <w:t>torach objętych zakresem dyrektywy lub świadczące usługi nim objęte będą wchodziły</w:t>
            </w:r>
            <w:r w:rsidR="000309CC" w:rsidRPr="000309CC">
              <w:rPr>
                <w:noProof/>
              </w:rPr>
              <w:t xml:space="preserve"> w jej</w:t>
            </w:r>
            <w:r w:rsidRPr="000309CC">
              <w:rPr>
                <w:noProof/>
              </w:rPr>
              <w:t xml:space="preserve"> zakres. Zakresem tym objęte są również podmioty administracji publicznej</w:t>
            </w:r>
            <w:r w:rsidR="000309CC" w:rsidRPr="000309CC">
              <w:rPr>
                <w:noProof/>
              </w:rPr>
              <w:t xml:space="preserve"> w ram</w:t>
            </w:r>
            <w:r w:rsidRPr="000309CC">
              <w:rPr>
                <w:noProof/>
              </w:rPr>
              <w:t>ach instytucji rządowych na szczeblu centralnym (z wyłączeniem sądownictwa, parlamentów</w:t>
            </w:r>
            <w:r w:rsidR="000309CC" w:rsidRPr="000309CC">
              <w:rPr>
                <w:noProof/>
              </w:rPr>
              <w:t xml:space="preserve"> i ban</w:t>
            </w:r>
            <w:r w:rsidRPr="000309CC">
              <w:rPr>
                <w:noProof/>
              </w:rPr>
              <w:t>ków centralnych) oraz na szczeblu regionalnym. Ponadto państwa członkowskie mogą postanowić, że dyrektywa będzie miała zastosowanie do takich podmiotów na szczeblu lokalnym.</w:t>
            </w:r>
          </w:p>
          <w:p w14:paraId="1A7E75AF" w14:textId="7D6501D2" w:rsidR="005F41F7" w:rsidRPr="000309CC" w:rsidRDefault="005F41F7" w:rsidP="000910B3">
            <w:pPr>
              <w:pStyle w:val="NormalWeb"/>
              <w:numPr>
                <w:ilvl w:val="0"/>
                <w:numId w:val="7"/>
              </w:numPr>
              <w:spacing w:before="0" w:after="0"/>
              <w:jc w:val="both"/>
              <w:rPr>
                <w:noProof/>
              </w:rPr>
            </w:pPr>
            <w:r w:rsidRPr="000309CC">
              <w:rPr>
                <w:noProof/>
              </w:rPr>
              <w:t>W dyrektywie NIS2 określone zostaną podstawy środków zarządzania ryzykiem</w:t>
            </w:r>
            <w:r w:rsidR="000309CC" w:rsidRPr="000309CC">
              <w:rPr>
                <w:noProof/>
              </w:rPr>
              <w:t xml:space="preserve"> w cyb</w:t>
            </w:r>
            <w:r w:rsidRPr="000309CC">
              <w:rPr>
                <w:noProof/>
              </w:rPr>
              <w:t>erprzestrzeni oraz formalnie ustanowiona zostanie europejska sieć organizacji łącznikowych do spraw kryzysów cyberbezpieczeństwa, EU-CyCLONe, która będzie wspierać skoordynowane zarządzanie cyberincydentami na dużą skalę.</w:t>
            </w:r>
          </w:p>
          <w:p w14:paraId="0075759F" w14:textId="476426EC" w:rsidR="00B3233C" w:rsidRPr="000309CC" w:rsidRDefault="00E30C36" w:rsidP="000910B3">
            <w:pPr>
              <w:pStyle w:val="NormalWeb"/>
              <w:numPr>
                <w:ilvl w:val="0"/>
                <w:numId w:val="7"/>
              </w:numPr>
              <w:spacing w:before="0" w:after="0"/>
              <w:jc w:val="both"/>
              <w:rPr>
                <w:b/>
                <w:noProof/>
              </w:rPr>
            </w:pPr>
            <w:r w:rsidRPr="000309CC">
              <w:rPr>
                <w:noProof/>
              </w:rPr>
              <w:t>Za pomocą wniosku wprowadza się także bardziej precyzyjne przepisy dotyczące procesu zgłaszania incydentów, treści zgłoszeń</w:t>
            </w:r>
            <w:r w:rsidR="000309CC" w:rsidRPr="000309CC">
              <w:rPr>
                <w:noProof/>
              </w:rPr>
              <w:t xml:space="preserve"> i ter</w:t>
            </w:r>
            <w:r w:rsidRPr="000309CC">
              <w:rPr>
                <w:noProof/>
              </w:rPr>
              <w:t>minów,</w:t>
            </w:r>
            <w:r w:rsidR="000309CC" w:rsidRPr="000309CC">
              <w:rPr>
                <w:noProof/>
              </w:rPr>
              <w:t xml:space="preserve"> a tak</w:t>
            </w:r>
            <w:r w:rsidRPr="000309CC">
              <w:rPr>
                <w:noProof/>
              </w:rPr>
              <w:t>że przewiduje się środki naprawcze</w:t>
            </w:r>
            <w:r w:rsidR="000309CC" w:rsidRPr="000309CC">
              <w:rPr>
                <w:noProof/>
              </w:rPr>
              <w:t xml:space="preserve"> i san</w:t>
            </w:r>
            <w:r w:rsidRPr="000309CC">
              <w:rPr>
                <w:noProof/>
              </w:rPr>
              <w:t>kcje</w:t>
            </w:r>
            <w:r w:rsidR="000309CC" w:rsidRPr="000309CC">
              <w:rPr>
                <w:noProof/>
              </w:rPr>
              <w:t xml:space="preserve"> w cel</w:t>
            </w:r>
            <w:r w:rsidRPr="000309CC">
              <w:rPr>
                <w:noProof/>
              </w:rPr>
              <w:t xml:space="preserve">u zapewnienia egzekwowania przepisów. </w:t>
            </w:r>
          </w:p>
          <w:p w14:paraId="352E0D55" w14:textId="3C4D022F" w:rsidR="00E30C36" w:rsidRPr="000309CC" w:rsidRDefault="00B3233C" w:rsidP="000910B3">
            <w:pPr>
              <w:pStyle w:val="NormalWeb"/>
              <w:numPr>
                <w:ilvl w:val="0"/>
                <w:numId w:val="7"/>
              </w:numPr>
              <w:spacing w:before="0" w:after="0"/>
              <w:jc w:val="both"/>
              <w:rPr>
                <w:b/>
                <w:noProof/>
              </w:rPr>
            </w:pPr>
            <w:r w:rsidRPr="000309CC">
              <w:rPr>
                <w:noProof/>
              </w:rPr>
              <w:t>Państwa członkowskie będą miały 21 miesięcy od wejścia</w:t>
            </w:r>
            <w:r w:rsidR="000309CC" w:rsidRPr="000309CC">
              <w:rPr>
                <w:noProof/>
              </w:rPr>
              <w:t xml:space="preserve"> w życ</w:t>
            </w:r>
            <w:r w:rsidRPr="000309CC">
              <w:rPr>
                <w:noProof/>
              </w:rPr>
              <w:t xml:space="preserve">ie dyrektywy na włączenie jej przepisów do swojego prawa krajowego.  </w:t>
            </w:r>
          </w:p>
        </w:tc>
      </w:tr>
    </w:tbl>
    <w:p w14:paraId="344539D6" w14:textId="77777777" w:rsidR="00E30C36" w:rsidRPr="000309CC" w:rsidRDefault="00E30C36" w:rsidP="00474DA2">
      <w:pPr>
        <w:spacing w:after="0" w:line="240" w:lineRule="auto"/>
        <w:jc w:val="both"/>
        <w:rPr>
          <w:rFonts w:ascii="Times New Roman" w:hAnsi="Times New Roman" w:cs="Times New Roman"/>
          <w:noProof/>
          <w:sz w:val="24"/>
          <w:szCs w:val="24"/>
        </w:rPr>
      </w:pPr>
    </w:p>
    <w:p w14:paraId="5EC896C4" w14:textId="4D6C07D5" w:rsidR="00474DA2" w:rsidRPr="000309CC" w:rsidRDefault="00F231D0"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Po postępach związanych</w:t>
      </w:r>
      <w:r w:rsidR="000309CC" w:rsidRPr="000309CC">
        <w:rPr>
          <w:rFonts w:ascii="Times New Roman" w:hAnsi="Times New Roman"/>
          <w:noProof/>
          <w:sz w:val="24"/>
        </w:rPr>
        <w:t xml:space="preserve"> z dyr</w:t>
      </w:r>
      <w:r w:rsidRPr="000309CC">
        <w:rPr>
          <w:rFonts w:ascii="Times New Roman" w:hAnsi="Times New Roman"/>
          <w:noProof/>
          <w:sz w:val="24"/>
        </w:rPr>
        <w:t xml:space="preserve">ektywą NIS 2 należy jak najszybciej zakończyć negocjacje dotyczące proponowanej </w:t>
      </w:r>
      <w:r w:rsidRPr="000309CC">
        <w:rPr>
          <w:rFonts w:ascii="Times New Roman" w:hAnsi="Times New Roman"/>
          <w:b/>
          <w:noProof/>
          <w:sz w:val="24"/>
        </w:rPr>
        <w:t>dyrektywy</w:t>
      </w:r>
      <w:r w:rsidR="000309CC" w:rsidRPr="000309CC">
        <w:rPr>
          <w:rFonts w:ascii="Times New Roman" w:hAnsi="Times New Roman"/>
          <w:b/>
          <w:noProof/>
          <w:sz w:val="24"/>
        </w:rPr>
        <w:t xml:space="preserve"> w spr</w:t>
      </w:r>
      <w:r w:rsidRPr="000309CC">
        <w:rPr>
          <w:rFonts w:ascii="Times New Roman" w:hAnsi="Times New Roman"/>
          <w:b/>
          <w:noProof/>
          <w:sz w:val="24"/>
        </w:rPr>
        <w:t>awie odporności podmiotów krytycznych</w:t>
      </w:r>
      <w:r w:rsidR="00474DA2" w:rsidRPr="000309CC">
        <w:rPr>
          <w:rStyle w:val="FootnoteReference"/>
          <w:rFonts w:ascii="Times New Roman" w:hAnsi="Times New Roman" w:cs="Times New Roman"/>
          <w:bCs/>
          <w:noProof/>
          <w:sz w:val="24"/>
          <w:szCs w:val="24"/>
        </w:rPr>
        <w:footnoteReference w:id="14"/>
      </w:r>
      <w:r w:rsidRPr="000309CC">
        <w:rPr>
          <w:rFonts w:ascii="Times New Roman" w:hAnsi="Times New Roman"/>
          <w:noProof/>
          <w:sz w:val="24"/>
        </w:rPr>
        <w:t xml:space="preserve"> („dyrektywa CER”), która po przyjęciu</w:t>
      </w:r>
      <w:r w:rsidR="000309CC" w:rsidRPr="000309CC">
        <w:rPr>
          <w:rFonts w:ascii="Times New Roman" w:hAnsi="Times New Roman"/>
          <w:noProof/>
          <w:sz w:val="24"/>
        </w:rPr>
        <w:t xml:space="preserve"> i wdr</w:t>
      </w:r>
      <w:r w:rsidRPr="000309CC">
        <w:rPr>
          <w:rFonts w:ascii="Times New Roman" w:hAnsi="Times New Roman"/>
          <w:noProof/>
          <w:sz w:val="24"/>
        </w:rPr>
        <w:t>ożeniu powinna zwiększyć odporność podmiotów krytycznych na szereg zagrożeń,</w:t>
      </w:r>
      <w:r w:rsidR="000309CC" w:rsidRPr="000309CC">
        <w:rPr>
          <w:rFonts w:ascii="Times New Roman" w:hAnsi="Times New Roman"/>
          <w:noProof/>
          <w:sz w:val="24"/>
        </w:rPr>
        <w:t xml:space="preserve"> w tym</w:t>
      </w:r>
      <w:r w:rsidRPr="000309CC">
        <w:rPr>
          <w:rFonts w:ascii="Times New Roman" w:hAnsi="Times New Roman"/>
          <w:noProof/>
          <w:sz w:val="24"/>
        </w:rPr>
        <w:t xml:space="preserve"> ataki terrorystyczne, zagrożenia wewnętrzne lub sabotaż. Istotne jest również, aby poziom ambicji wyznaczony</w:t>
      </w:r>
      <w:r w:rsidR="000309CC" w:rsidRPr="000309CC">
        <w:rPr>
          <w:rFonts w:ascii="Times New Roman" w:hAnsi="Times New Roman"/>
          <w:noProof/>
          <w:sz w:val="24"/>
        </w:rPr>
        <w:t xml:space="preserve"> w dyr</w:t>
      </w:r>
      <w:r w:rsidRPr="000309CC">
        <w:rPr>
          <w:rFonts w:ascii="Times New Roman" w:hAnsi="Times New Roman"/>
          <w:noProof/>
          <w:sz w:val="24"/>
        </w:rPr>
        <w:t>ektywie</w:t>
      </w:r>
      <w:r w:rsidR="000309CC" w:rsidRPr="000309CC">
        <w:rPr>
          <w:rFonts w:ascii="Times New Roman" w:hAnsi="Times New Roman"/>
          <w:noProof/>
          <w:sz w:val="24"/>
        </w:rPr>
        <w:t xml:space="preserve"> w spr</w:t>
      </w:r>
      <w:r w:rsidRPr="000309CC">
        <w:rPr>
          <w:rFonts w:ascii="Times New Roman" w:hAnsi="Times New Roman"/>
          <w:noProof/>
          <w:sz w:val="24"/>
        </w:rPr>
        <w:t>awie odporności podmiotów krytycznych odpowiadał poziomowi wyznaczonemu we wniosku Komisji oraz aby zachowana została spójność</w:t>
      </w:r>
      <w:r w:rsidR="000309CC" w:rsidRPr="000309CC">
        <w:rPr>
          <w:rFonts w:ascii="Times New Roman" w:hAnsi="Times New Roman"/>
          <w:noProof/>
          <w:sz w:val="24"/>
        </w:rPr>
        <w:t xml:space="preserve"> z kom</w:t>
      </w:r>
      <w:r w:rsidRPr="000309CC">
        <w:rPr>
          <w:rFonts w:ascii="Times New Roman" w:hAnsi="Times New Roman"/>
          <w:noProof/>
          <w:sz w:val="24"/>
        </w:rPr>
        <w:t>promisem politycznym osiągniętym</w:t>
      </w:r>
      <w:r w:rsidR="000309CC" w:rsidRPr="000309CC">
        <w:rPr>
          <w:rFonts w:ascii="Times New Roman" w:hAnsi="Times New Roman"/>
          <w:noProof/>
          <w:sz w:val="24"/>
        </w:rPr>
        <w:t xml:space="preserve"> w kwe</w:t>
      </w:r>
      <w:r w:rsidRPr="000309CC">
        <w:rPr>
          <w:rFonts w:ascii="Times New Roman" w:hAnsi="Times New Roman"/>
          <w:noProof/>
          <w:sz w:val="24"/>
        </w:rPr>
        <w:t>stii dyrektywy NIS 2. Razem środki te zwiększą odporność</w:t>
      </w:r>
      <w:r w:rsidR="000309CC" w:rsidRPr="000309CC">
        <w:rPr>
          <w:rFonts w:ascii="Times New Roman" w:hAnsi="Times New Roman"/>
          <w:noProof/>
          <w:sz w:val="24"/>
        </w:rPr>
        <w:t xml:space="preserve"> i got</w:t>
      </w:r>
      <w:r w:rsidRPr="000309CC">
        <w:rPr>
          <w:rFonts w:ascii="Times New Roman" w:hAnsi="Times New Roman"/>
          <w:noProof/>
          <w:sz w:val="24"/>
        </w:rPr>
        <w:t>owość dzięki wprowadzeniu bardziej spójnego</w:t>
      </w:r>
      <w:r w:rsidR="000309CC" w:rsidRPr="000309CC">
        <w:rPr>
          <w:rFonts w:ascii="Times New Roman" w:hAnsi="Times New Roman"/>
          <w:noProof/>
          <w:sz w:val="24"/>
        </w:rPr>
        <w:t xml:space="preserve"> i sol</w:t>
      </w:r>
      <w:r w:rsidRPr="000309CC">
        <w:rPr>
          <w:rFonts w:ascii="Times New Roman" w:hAnsi="Times New Roman"/>
          <w:noProof/>
          <w:sz w:val="24"/>
        </w:rPr>
        <w:t>idnego systemu,</w:t>
      </w:r>
      <w:r w:rsidR="000309CC" w:rsidRPr="000309CC">
        <w:rPr>
          <w:rFonts w:ascii="Times New Roman" w:hAnsi="Times New Roman"/>
          <w:noProof/>
          <w:sz w:val="24"/>
        </w:rPr>
        <w:t xml:space="preserve"> w tym</w:t>
      </w:r>
      <w:r w:rsidRPr="000309CC">
        <w:rPr>
          <w:rFonts w:ascii="Times New Roman" w:hAnsi="Times New Roman"/>
          <w:noProof/>
          <w:sz w:val="24"/>
        </w:rPr>
        <w:t xml:space="preserve"> za pośrednictwem krajowych planów reagowania na incydenty</w:t>
      </w:r>
      <w:r w:rsidR="000309CC" w:rsidRPr="000309CC">
        <w:rPr>
          <w:rFonts w:ascii="Times New Roman" w:hAnsi="Times New Roman"/>
          <w:noProof/>
          <w:sz w:val="24"/>
        </w:rPr>
        <w:t xml:space="preserve"> i syt</w:t>
      </w:r>
      <w:r w:rsidRPr="000309CC">
        <w:rPr>
          <w:rFonts w:ascii="Times New Roman" w:hAnsi="Times New Roman"/>
          <w:noProof/>
          <w:sz w:val="24"/>
        </w:rPr>
        <w:t>uacje kryzysowe. Były one również częścią wydanego</w:t>
      </w:r>
      <w:r w:rsidR="000309CC" w:rsidRPr="000309CC">
        <w:rPr>
          <w:rFonts w:ascii="Times New Roman" w:hAnsi="Times New Roman"/>
          <w:noProof/>
          <w:sz w:val="24"/>
        </w:rPr>
        <w:t xml:space="preserve"> w ubi</w:t>
      </w:r>
      <w:r w:rsidRPr="000309CC">
        <w:rPr>
          <w:rFonts w:ascii="Times New Roman" w:hAnsi="Times New Roman"/>
          <w:noProof/>
          <w:sz w:val="24"/>
        </w:rPr>
        <w:t>egłym roku zalecenia Komisji</w:t>
      </w:r>
      <w:r w:rsidR="00474DA2" w:rsidRPr="000309CC">
        <w:rPr>
          <w:rStyle w:val="FootnoteReference"/>
          <w:rFonts w:ascii="Times New Roman" w:hAnsi="Times New Roman" w:cs="Times New Roman"/>
          <w:noProof/>
          <w:sz w:val="24"/>
          <w:szCs w:val="24"/>
        </w:rPr>
        <w:footnoteReference w:id="15"/>
      </w:r>
      <w:r w:rsidR="000309CC" w:rsidRPr="000309CC">
        <w:rPr>
          <w:rFonts w:ascii="Times New Roman" w:hAnsi="Times New Roman"/>
          <w:noProof/>
          <w:sz w:val="24"/>
        </w:rPr>
        <w:t xml:space="preserve"> w spr</w:t>
      </w:r>
      <w:r w:rsidRPr="000309CC">
        <w:rPr>
          <w:rFonts w:ascii="Times New Roman" w:hAnsi="Times New Roman"/>
          <w:noProof/>
          <w:sz w:val="24"/>
        </w:rPr>
        <w:t xml:space="preserve">awie utworzenia </w:t>
      </w:r>
      <w:r w:rsidRPr="000309CC">
        <w:rPr>
          <w:rFonts w:ascii="Times New Roman" w:hAnsi="Times New Roman"/>
          <w:b/>
          <w:noProof/>
          <w:sz w:val="24"/>
        </w:rPr>
        <w:t>wspólnej jednostki ds. cyberprzestrzeni</w:t>
      </w:r>
      <w:r w:rsidRPr="000309CC">
        <w:rPr>
          <w:rFonts w:ascii="Times New Roman" w:hAnsi="Times New Roman"/>
          <w:noProof/>
          <w:sz w:val="24"/>
        </w:rPr>
        <w:t>,</w:t>
      </w:r>
      <w:r w:rsidR="000309CC" w:rsidRPr="000309CC">
        <w:rPr>
          <w:rFonts w:ascii="Times New Roman" w:hAnsi="Times New Roman"/>
          <w:noProof/>
          <w:sz w:val="24"/>
        </w:rPr>
        <w:t xml:space="preserve"> w któ</w:t>
      </w:r>
      <w:r w:rsidRPr="000309CC">
        <w:rPr>
          <w:rFonts w:ascii="Times New Roman" w:hAnsi="Times New Roman"/>
          <w:noProof/>
          <w:sz w:val="24"/>
        </w:rPr>
        <w:t>rym określono sposób współpracy na szczeblu operacyjnym poszczególnych podmiotów ekosystemu cyberbezpieczeństwa (dyplomatycznych, policyjnych, cywilnych i,</w:t>
      </w:r>
      <w:r w:rsidR="000309CC" w:rsidRPr="000309CC">
        <w:rPr>
          <w:rFonts w:ascii="Times New Roman" w:hAnsi="Times New Roman"/>
          <w:noProof/>
          <w:sz w:val="24"/>
        </w:rPr>
        <w:t xml:space="preserve"> w sto</w:t>
      </w:r>
      <w:r w:rsidRPr="000309CC">
        <w:rPr>
          <w:rFonts w:ascii="Times New Roman" w:hAnsi="Times New Roman"/>
          <w:noProof/>
          <w:sz w:val="24"/>
        </w:rPr>
        <w:t>sownych przypadkach, obronnych). Obecny krajobraz zagrożeń uwydatnia wartość takiej skutecznej współpracy między głównymi podmiotami.</w:t>
      </w:r>
    </w:p>
    <w:p w14:paraId="504CB6BE" w14:textId="77777777" w:rsidR="007B5383" w:rsidRPr="000309CC" w:rsidRDefault="007B5383" w:rsidP="00474DA2">
      <w:pPr>
        <w:spacing w:after="0" w:line="240" w:lineRule="auto"/>
        <w:jc w:val="both"/>
        <w:rPr>
          <w:rFonts w:ascii="Times New Roman" w:hAnsi="Times New Roman" w:cs="Times New Roman"/>
          <w:noProof/>
          <w:sz w:val="24"/>
          <w:szCs w:val="24"/>
        </w:rPr>
      </w:pPr>
    </w:p>
    <w:p w14:paraId="2A0B7330" w14:textId="18F794FC" w:rsidR="00F72F72" w:rsidRPr="000309CC" w:rsidRDefault="00F72F72" w:rsidP="00F72F72">
      <w:pPr>
        <w:spacing w:after="0" w:line="240" w:lineRule="auto"/>
        <w:jc w:val="both"/>
        <w:rPr>
          <w:rFonts w:ascii="Times New Roman" w:hAnsi="Times New Roman" w:cs="Times New Roman"/>
          <w:noProof/>
          <w:sz w:val="24"/>
          <w:szCs w:val="24"/>
        </w:rPr>
      </w:pPr>
      <w:bookmarkStart w:id="2" w:name="_Hlk103170101"/>
      <w:r w:rsidRPr="000309CC">
        <w:rPr>
          <w:rFonts w:ascii="Times New Roman" w:hAnsi="Times New Roman"/>
          <w:noProof/>
          <w:sz w:val="24"/>
        </w:rPr>
        <w:t>Komisja</w:t>
      </w:r>
      <w:r w:rsidR="000309CC" w:rsidRPr="000309CC">
        <w:rPr>
          <w:rFonts w:ascii="Times New Roman" w:hAnsi="Times New Roman"/>
          <w:noProof/>
          <w:sz w:val="24"/>
        </w:rPr>
        <w:t xml:space="preserve"> w dal</w:t>
      </w:r>
      <w:r w:rsidRPr="000309CC">
        <w:rPr>
          <w:rFonts w:ascii="Times New Roman" w:hAnsi="Times New Roman"/>
          <w:noProof/>
          <w:sz w:val="24"/>
        </w:rPr>
        <w:t xml:space="preserve">szym ciągu monitoruje wdrażanie unijnego zestawu narzędzi na potrzeby cyberbezpieczeństwa sieci </w:t>
      </w:r>
      <w:r w:rsidRPr="000309CC">
        <w:rPr>
          <w:rFonts w:ascii="Times New Roman" w:hAnsi="Times New Roman"/>
          <w:b/>
          <w:noProof/>
          <w:sz w:val="24"/>
        </w:rPr>
        <w:t>5G</w:t>
      </w:r>
      <w:r w:rsidRPr="000309CC">
        <w:rPr>
          <w:rStyle w:val="FootnoteReference"/>
          <w:rFonts w:ascii="Times New Roman" w:hAnsi="Times New Roman" w:cs="Times New Roman"/>
          <w:noProof/>
          <w:sz w:val="24"/>
          <w:szCs w:val="24"/>
        </w:rPr>
        <w:footnoteReference w:id="16"/>
      </w:r>
      <w:r w:rsidR="000309CC" w:rsidRPr="000309CC">
        <w:rPr>
          <w:rFonts w:ascii="Times New Roman" w:hAnsi="Times New Roman"/>
          <w:noProof/>
          <w:sz w:val="24"/>
        </w:rPr>
        <w:t>. W tym</w:t>
      </w:r>
      <w:r w:rsidRPr="000309CC">
        <w:rPr>
          <w:rFonts w:ascii="Times New Roman" w:hAnsi="Times New Roman"/>
          <w:noProof/>
          <w:sz w:val="24"/>
        </w:rPr>
        <w:t xml:space="preserve"> kontekście 11 maja grupa współpracy NIS przyjęła sprawozdanie na temat bezpieczeństwa otwartej sieci dostępu radiowego</w:t>
      </w:r>
      <w:r w:rsidRPr="000309CC">
        <w:rPr>
          <w:rStyle w:val="FootnoteReference"/>
          <w:rFonts w:ascii="Times New Roman" w:hAnsi="Times New Roman" w:cs="Times New Roman"/>
          <w:noProof/>
          <w:sz w:val="24"/>
          <w:szCs w:val="24"/>
        </w:rPr>
        <w:footnoteReference w:id="17"/>
      </w:r>
      <w:r w:rsidRPr="000309CC">
        <w:rPr>
          <w:rFonts w:ascii="Times New Roman" w:hAnsi="Times New Roman"/>
          <w:noProof/>
          <w:sz w:val="24"/>
        </w:rPr>
        <w:t>. Ponadto wciąż współpracuje ona</w:t>
      </w:r>
      <w:r w:rsidR="000309CC" w:rsidRPr="000309CC">
        <w:rPr>
          <w:rFonts w:ascii="Times New Roman" w:hAnsi="Times New Roman"/>
          <w:noProof/>
          <w:sz w:val="24"/>
        </w:rPr>
        <w:t xml:space="preserve"> z pań</w:t>
      </w:r>
      <w:r w:rsidRPr="000309CC">
        <w:rPr>
          <w:rFonts w:ascii="Times New Roman" w:hAnsi="Times New Roman"/>
          <w:noProof/>
          <w:sz w:val="24"/>
        </w:rPr>
        <w:t>stwami członkowskimi</w:t>
      </w:r>
      <w:r w:rsidR="000309CC" w:rsidRPr="000309CC">
        <w:rPr>
          <w:rFonts w:ascii="Times New Roman" w:hAnsi="Times New Roman"/>
          <w:noProof/>
          <w:sz w:val="24"/>
        </w:rPr>
        <w:t xml:space="preserve"> w cel</w:t>
      </w:r>
      <w:r w:rsidRPr="000309CC">
        <w:rPr>
          <w:rFonts w:ascii="Times New Roman" w:hAnsi="Times New Roman"/>
          <w:noProof/>
          <w:sz w:val="24"/>
        </w:rPr>
        <w:t>u zapewnienia pełnej operacyjności Europejskiego Centrum Kompetencji</w:t>
      </w:r>
      <w:r w:rsidR="000309CC" w:rsidRPr="000309CC">
        <w:rPr>
          <w:rFonts w:ascii="Times New Roman" w:hAnsi="Times New Roman"/>
          <w:noProof/>
          <w:sz w:val="24"/>
        </w:rPr>
        <w:t xml:space="preserve"> w dzi</w:t>
      </w:r>
      <w:r w:rsidRPr="000309CC">
        <w:rPr>
          <w:rFonts w:ascii="Times New Roman" w:hAnsi="Times New Roman"/>
          <w:noProof/>
          <w:sz w:val="24"/>
        </w:rPr>
        <w:t xml:space="preserve">edzinie Cyberbezpieczeństwa. </w:t>
      </w:r>
    </w:p>
    <w:bookmarkEnd w:id="2"/>
    <w:p w14:paraId="144EBBF3" w14:textId="77777777" w:rsidR="00F72F72" w:rsidRPr="000309CC" w:rsidRDefault="00F72F72" w:rsidP="00474DA2">
      <w:pPr>
        <w:spacing w:after="0" w:line="240" w:lineRule="auto"/>
        <w:jc w:val="both"/>
        <w:rPr>
          <w:rFonts w:ascii="Times New Roman" w:hAnsi="Times New Roman" w:cs="Times New Roman"/>
          <w:bCs/>
          <w:noProof/>
          <w:sz w:val="24"/>
          <w:szCs w:val="24"/>
        </w:rPr>
      </w:pPr>
    </w:p>
    <w:p w14:paraId="2B8D2601" w14:textId="7133E2AF" w:rsidR="00474DA2" w:rsidRPr="000309CC" w:rsidRDefault="00474DA2" w:rsidP="00474D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22 marca 2022</w:t>
      </w:r>
      <w:r w:rsidR="000309CC" w:rsidRPr="000309CC">
        <w:rPr>
          <w:rFonts w:ascii="Times New Roman" w:hAnsi="Times New Roman"/>
          <w:noProof/>
          <w:sz w:val="24"/>
        </w:rPr>
        <w:t> </w:t>
      </w:r>
      <w:r w:rsidRPr="000309CC">
        <w:rPr>
          <w:rFonts w:ascii="Times New Roman" w:hAnsi="Times New Roman"/>
          <w:noProof/>
          <w:sz w:val="24"/>
        </w:rPr>
        <w:t xml:space="preserve">r. Komisja zaproponowała </w:t>
      </w:r>
      <w:r w:rsidRPr="000309CC">
        <w:rPr>
          <w:rFonts w:ascii="Times New Roman" w:hAnsi="Times New Roman"/>
          <w:b/>
          <w:noProof/>
          <w:sz w:val="24"/>
        </w:rPr>
        <w:t>nowe przepisy mające na celu ustanowienie wspólnych środków</w:t>
      </w:r>
      <w:r w:rsidR="000309CC" w:rsidRPr="000309CC">
        <w:rPr>
          <w:rFonts w:ascii="Times New Roman" w:hAnsi="Times New Roman"/>
          <w:b/>
          <w:noProof/>
          <w:sz w:val="24"/>
        </w:rPr>
        <w:t xml:space="preserve"> w zak</w:t>
      </w:r>
      <w:r w:rsidRPr="000309CC">
        <w:rPr>
          <w:rFonts w:ascii="Times New Roman" w:hAnsi="Times New Roman"/>
          <w:b/>
          <w:noProof/>
          <w:sz w:val="24"/>
        </w:rPr>
        <w:t>resie cyberbezpieczeństwa</w:t>
      </w:r>
      <w:r w:rsidR="000309CC" w:rsidRPr="000309CC">
        <w:rPr>
          <w:rFonts w:ascii="Times New Roman" w:hAnsi="Times New Roman"/>
          <w:b/>
          <w:noProof/>
          <w:sz w:val="24"/>
        </w:rPr>
        <w:t xml:space="preserve"> i bez</w:t>
      </w:r>
      <w:r w:rsidRPr="000309CC">
        <w:rPr>
          <w:rFonts w:ascii="Times New Roman" w:hAnsi="Times New Roman"/>
          <w:b/>
          <w:noProof/>
          <w:sz w:val="24"/>
        </w:rPr>
        <w:t>pieczeństwa informacji we wszystkich instytucjach, organach</w:t>
      </w:r>
      <w:r w:rsidR="000309CC" w:rsidRPr="000309CC">
        <w:rPr>
          <w:rFonts w:ascii="Times New Roman" w:hAnsi="Times New Roman"/>
          <w:b/>
          <w:noProof/>
          <w:sz w:val="24"/>
        </w:rPr>
        <w:t xml:space="preserve"> i age</w:t>
      </w:r>
      <w:r w:rsidRPr="000309CC">
        <w:rPr>
          <w:rFonts w:ascii="Times New Roman" w:hAnsi="Times New Roman"/>
          <w:b/>
          <w:noProof/>
          <w:sz w:val="24"/>
        </w:rPr>
        <w:t>ncjach UE</w:t>
      </w:r>
      <w:r w:rsidRPr="000309CC">
        <w:rPr>
          <w:rFonts w:ascii="Times New Roman" w:hAnsi="Times New Roman"/>
          <w:noProof/>
          <w:sz w:val="24"/>
        </w:rPr>
        <w:t>. Przepisy te zwiększą odporność administracji UE</w:t>
      </w:r>
      <w:r w:rsidR="000309CC" w:rsidRPr="000309CC">
        <w:rPr>
          <w:rFonts w:ascii="Times New Roman" w:hAnsi="Times New Roman"/>
          <w:noProof/>
          <w:sz w:val="24"/>
        </w:rPr>
        <w:t xml:space="preserve"> i jej</w:t>
      </w:r>
      <w:r w:rsidRPr="000309CC">
        <w:rPr>
          <w:rFonts w:ascii="Times New Roman" w:hAnsi="Times New Roman"/>
          <w:noProof/>
          <w:sz w:val="24"/>
        </w:rPr>
        <w:t xml:space="preserve"> zdolność do reagowania na zagrożenia cyberbezpieczeństwa</w:t>
      </w:r>
      <w:r w:rsidR="000309CC" w:rsidRPr="000309CC">
        <w:rPr>
          <w:rFonts w:ascii="Times New Roman" w:hAnsi="Times New Roman"/>
          <w:noProof/>
          <w:sz w:val="24"/>
        </w:rPr>
        <w:t xml:space="preserve"> i cyb</w:t>
      </w:r>
      <w:r w:rsidRPr="000309CC">
        <w:rPr>
          <w:rFonts w:ascii="Times New Roman" w:hAnsi="Times New Roman"/>
          <w:noProof/>
          <w:sz w:val="24"/>
        </w:rPr>
        <w:t>erincydenty. Dzięki ujęciu tych działań we wspólne ramy zacieśniona zostanie współpraca międzyinstytucjonalna,</w:t>
      </w:r>
      <w:r w:rsidR="000309CC" w:rsidRPr="000309CC">
        <w:rPr>
          <w:rFonts w:ascii="Times New Roman" w:hAnsi="Times New Roman"/>
          <w:noProof/>
          <w:sz w:val="24"/>
        </w:rPr>
        <w:t xml:space="preserve"> a nar</w:t>
      </w:r>
      <w:r w:rsidRPr="000309CC">
        <w:rPr>
          <w:rFonts w:ascii="Times New Roman" w:hAnsi="Times New Roman"/>
          <w:noProof/>
          <w:sz w:val="24"/>
        </w:rPr>
        <w:t xml:space="preserve">ażenie na ryzyko zostanie zminimalizowane. Za pośrednictwem proponowanego </w:t>
      </w:r>
      <w:r w:rsidRPr="000309CC">
        <w:rPr>
          <w:rFonts w:ascii="Times New Roman" w:hAnsi="Times New Roman"/>
          <w:b/>
          <w:noProof/>
          <w:sz w:val="24"/>
        </w:rPr>
        <w:t>rozporządzenia</w:t>
      </w:r>
      <w:r w:rsidR="000309CC" w:rsidRPr="000309CC">
        <w:rPr>
          <w:rFonts w:ascii="Times New Roman" w:hAnsi="Times New Roman"/>
          <w:b/>
          <w:noProof/>
          <w:sz w:val="24"/>
        </w:rPr>
        <w:t xml:space="preserve"> w spr</w:t>
      </w:r>
      <w:r w:rsidRPr="000309CC">
        <w:rPr>
          <w:rFonts w:ascii="Times New Roman" w:hAnsi="Times New Roman"/>
          <w:b/>
          <w:noProof/>
          <w:sz w:val="24"/>
        </w:rPr>
        <w:t>awie cyberbezpieczeństwa</w:t>
      </w:r>
      <w:r w:rsidR="000309CC" w:rsidRPr="000309CC">
        <w:rPr>
          <w:rFonts w:ascii="Times New Roman" w:hAnsi="Times New Roman"/>
          <w:b/>
          <w:noProof/>
          <w:sz w:val="24"/>
        </w:rPr>
        <w:t xml:space="preserve"> w ins</w:t>
      </w:r>
      <w:r w:rsidRPr="000309CC">
        <w:rPr>
          <w:rFonts w:ascii="Times New Roman" w:hAnsi="Times New Roman"/>
          <w:b/>
          <w:noProof/>
          <w:sz w:val="24"/>
        </w:rPr>
        <w:t>tytucjach, organach</w:t>
      </w:r>
      <w:r w:rsidR="000309CC" w:rsidRPr="000309CC">
        <w:rPr>
          <w:rFonts w:ascii="Times New Roman" w:hAnsi="Times New Roman"/>
          <w:b/>
          <w:noProof/>
          <w:sz w:val="24"/>
        </w:rPr>
        <w:t xml:space="preserve"> i age</w:t>
      </w:r>
      <w:r w:rsidRPr="000309CC">
        <w:rPr>
          <w:rFonts w:ascii="Times New Roman" w:hAnsi="Times New Roman"/>
          <w:b/>
          <w:noProof/>
          <w:sz w:val="24"/>
        </w:rPr>
        <w:t>ncjach UE</w:t>
      </w:r>
      <w:r w:rsidRPr="000309CC">
        <w:rPr>
          <w:rStyle w:val="FootnoteReference"/>
          <w:rFonts w:ascii="Times New Roman" w:hAnsi="Times New Roman" w:cs="Times New Roman"/>
          <w:bCs/>
          <w:noProof/>
          <w:sz w:val="24"/>
          <w:szCs w:val="24"/>
        </w:rPr>
        <w:footnoteReference w:id="18"/>
      </w:r>
      <w:r w:rsidRPr="000309CC">
        <w:rPr>
          <w:rFonts w:ascii="Times New Roman" w:hAnsi="Times New Roman"/>
          <w:noProof/>
          <w:sz w:val="24"/>
        </w:rPr>
        <w:t xml:space="preserve"> wzmocniony zostanie mandat CERT-UE</w:t>
      </w:r>
      <w:r w:rsidR="000309CC" w:rsidRPr="000309CC">
        <w:rPr>
          <w:rFonts w:ascii="Times New Roman" w:hAnsi="Times New Roman"/>
          <w:noProof/>
          <w:sz w:val="24"/>
        </w:rPr>
        <w:t xml:space="preserve"> i pow</w:t>
      </w:r>
      <w:r w:rsidRPr="000309CC">
        <w:rPr>
          <w:rFonts w:ascii="Times New Roman" w:hAnsi="Times New Roman"/>
          <w:noProof/>
          <w:sz w:val="24"/>
        </w:rPr>
        <w:t>stanie nowa Międzyinstytucjonalna Rada ds. Cyberbezpieczeństwa, zwiększone zostaną zdolności</w:t>
      </w:r>
      <w:r w:rsidR="000309CC" w:rsidRPr="000309CC">
        <w:rPr>
          <w:rFonts w:ascii="Times New Roman" w:hAnsi="Times New Roman"/>
          <w:noProof/>
          <w:sz w:val="24"/>
        </w:rPr>
        <w:t xml:space="preserve"> w zak</w:t>
      </w:r>
      <w:r w:rsidRPr="000309CC">
        <w:rPr>
          <w:rFonts w:ascii="Times New Roman" w:hAnsi="Times New Roman"/>
          <w:noProof/>
          <w:sz w:val="24"/>
        </w:rPr>
        <w:t>resie cyberbezpieczeństwa,</w:t>
      </w:r>
      <w:r w:rsidR="000309CC" w:rsidRPr="000309CC">
        <w:rPr>
          <w:rFonts w:ascii="Times New Roman" w:hAnsi="Times New Roman"/>
          <w:noProof/>
          <w:sz w:val="24"/>
        </w:rPr>
        <w:t xml:space="preserve"> a tak</w:t>
      </w:r>
      <w:r w:rsidRPr="000309CC">
        <w:rPr>
          <w:rFonts w:ascii="Times New Roman" w:hAnsi="Times New Roman"/>
          <w:noProof/>
          <w:sz w:val="24"/>
        </w:rPr>
        <w:t>że propagowane będą regularne oceny dojrzałości</w:t>
      </w:r>
      <w:r w:rsidR="000309CC" w:rsidRPr="000309CC">
        <w:rPr>
          <w:rFonts w:ascii="Times New Roman" w:hAnsi="Times New Roman"/>
          <w:noProof/>
          <w:sz w:val="24"/>
        </w:rPr>
        <w:t xml:space="preserve"> i lep</w:t>
      </w:r>
      <w:r w:rsidRPr="000309CC">
        <w:rPr>
          <w:rFonts w:ascii="Times New Roman" w:hAnsi="Times New Roman"/>
          <w:noProof/>
          <w:sz w:val="24"/>
        </w:rPr>
        <w:t xml:space="preserve">sza higiena cyberbezpieczeństwa. Na mocy proponowanego </w:t>
      </w:r>
      <w:r w:rsidRPr="000309CC">
        <w:rPr>
          <w:rFonts w:ascii="Times New Roman" w:hAnsi="Times New Roman"/>
          <w:b/>
          <w:noProof/>
          <w:sz w:val="24"/>
        </w:rPr>
        <w:t>rozporządzenia</w:t>
      </w:r>
      <w:r w:rsidR="000309CC" w:rsidRPr="000309CC">
        <w:rPr>
          <w:rFonts w:ascii="Times New Roman" w:hAnsi="Times New Roman"/>
          <w:b/>
          <w:noProof/>
          <w:sz w:val="24"/>
        </w:rPr>
        <w:t xml:space="preserve"> w spr</w:t>
      </w:r>
      <w:r w:rsidRPr="000309CC">
        <w:rPr>
          <w:rFonts w:ascii="Times New Roman" w:hAnsi="Times New Roman"/>
          <w:b/>
          <w:noProof/>
          <w:sz w:val="24"/>
        </w:rPr>
        <w:t>awie bezpieczeństwa informacji</w:t>
      </w:r>
      <w:r w:rsidRPr="000309CC">
        <w:rPr>
          <w:rStyle w:val="FootnoteReference"/>
          <w:rFonts w:ascii="Times New Roman" w:hAnsi="Times New Roman" w:cs="Times New Roman"/>
          <w:bCs/>
          <w:noProof/>
          <w:sz w:val="24"/>
          <w:szCs w:val="24"/>
        </w:rPr>
        <w:footnoteReference w:id="19"/>
      </w:r>
      <w:r w:rsidRPr="000309CC">
        <w:rPr>
          <w:rFonts w:ascii="Times New Roman" w:hAnsi="Times New Roman"/>
          <w:noProof/>
          <w:sz w:val="24"/>
        </w:rPr>
        <w:t xml:space="preserve"> ustanowiony zostanie minimalny zestaw przepisów</w:t>
      </w:r>
      <w:r w:rsidR="000309CC" w:rsidRPr="000309CC">
        <w:rPr>
          <w:rFonts w:ascii="Times New Roman" w:hAnsi="Times New Roman"/>
          <w:noProof/>
          <w:sz w:val="24"/>
        </w:rPr>
        <w:t xml:space="preserve"> i nor</w:t>
      </w:r>
      <w:r w:rsidRPr="000309CC">
        <w:rPr>
          <w:rFonts w:ascii="Times New Roman" w:hAnsi="Times New Roman"/>
          <w:noProof/>
          <w:sz w:val="24"/>
        </w:rPr>
        <w:t>m bezpieczeństwa informacji</w:t>
      </w:r>
      <w:r w:rsidR="000309CC" w:rsidRPr="000309CC">
        <w:rPr>
          <w:rFonts w:ascii="Times New Roman" w:hAnsi="Times New Roman"/>
          <w:noProof/>
          <w:sz w:val="24"/>
        </w:rPr>
        <w:t xml:space="preserve"> z myś</w:t>
      </w:r>
      <w:r w:rsidRPr="000309CC">
        <w:rPr>
          <w:rFonts w:ascii="Times New Roman" w:hAnsi="Times New Roman"/>
          <w:noProof/>
          <w:sz w:val="24"/>
        </w:rPr>
        <w:t>lą</w:t>
      </w:r>
      <w:r w:rsidR="000309CC" w:rsidRPr="000309CC">
        <w:rPr>
          <w:rFonts w:ascii="Times New Roman" w:hAnsi="Times New Roman"/>
          <w:noProof/>
          <w:sz w:val="24"/>
        </w:rPr>
        <w:t xml:space="preserve"> o zab</w:t>
      </w:r>
      <w:r w:rsidRPr="000309CC">
        <w:rPr>
          <w:rFonts w:ascii="Times New Roman" w:hAnsi="Times New Roman"/>
          <w:noProof/>
          <w:sz w:val="24"/>
        </w:rPr>
        <w:t>ezpieczeniu przetwarzania</w:t>
      </w:r>
      <w:r w:rsidR="000309CC" w:rsidRPr="000309CC">
        <w:rPr>
          <w:rFonts w:ascii="Times New Roman" w:hAnsi="Times New Roman"/>
          <w:noProof/>
          <w:sz w:val="24"/>
        </w:rPr>
        <w:t xml:space="preserve"> i wym</w:t>
      </w:r>
      <w:r w:rsidRPr="000309CC">
        <w:rPr>
          <w:rFonts w:ascii="Times New Roman" w:hAnsi="Times New Roman"/>
          <w:noProof/>
          <w:sz w:val="24"/>
        </w:rPr>
        <w:t>iany informacji</w:t>
      </w:r>
      <w:r w:rsidR="000309CC" w:rsidRPr="000309CC">
        <w:rPr>
          <w:rFonts w:ascii="Times New Roman" w:hAnsi="Times New Roman"/>
          <w:noProof/>
          <w:sz w:val="24"/>
        </w:rPr>
        <w:t xml:space="preserve"> w prz</w:t>
      </w:r>
      <w:r w:rsidRPr="000309CC">
        <w:rPr>
          <w:rFonts w:ascii="Times New Roman" w:hAnsi="Times New Roman"/>
          <w:noProof/>
          <w:sz w:val="24"/>
        </w:rPr>
        <w:t>ypadku wszystkich instytucji, organów</w:t>
      </w:r>
      <w:r w:rsidR="000309CC" w:rsidRPr="000309CC">
        <w:rPr>
          <w:rFonts w:ascii="Times New Roman" w:hAnsi="Times New Roman"/>
          <w:noProof/>
          <w:sz w:val="24"/>
        </w:rPr>
        <w:t xml:space="preserve"> i age</w:t>
      </w:r>
      <w:r w:rsidRPr="000309CC">
        <w:rPr>
          <w:rFonts w:ascii="Times New Roman" w:hAnsi="Times New Roman"/>
          <w:noProof/>
          <w:sz w:val="24"/>
        </w:rPr>
        <w:t>ncji UE, aby zapewnić lepszą</w:t>
      </w:r>
      <w:r w:rsidR="000309CC" w:rsidRPr="000309CC">
        <w:rPr>
          <w:rFonts w:ascii="Times New Roman" w:hAnsi="Times New Roman"/>
          <w:noProof/>
          <w:sz w:val="24"/>
        </w:rPr>
        <w:t xml:space="preserve"> i spó</w:t>
      </w:r>
      <w:r w:rsidRPr="000309CC">
        <w:rPr>
          <w:rFonts w:ascii="Times New Roman" w:hAnsi="Times New Roman"/>
          <w:noProof/>
          <w:sz w:val="24"/>
        </w:rPr>
        <w:t>jną ochronę przed zmieniającymi się zagrożeniami, na jakie narażone są ich informacje. Komisja wzywa Parlament Europejski</w:t>
      </w:r>
      <w:r w:rsidR="000309CC" w:rsidRPr="000309CC">
        <w:rPr>
          <w:rFonts w:ascii="Times New Roman" w:hAnsi="Times New Roman"/>
          <w:noProof/>
          <w:sz w:val="24"/>
        </w:rPr>
        <w:t xml:space="preserve"> i Rad</w:t>
      </w:r>
      <w:r w:rsidRPr="000309CC">
        <w:rPr>
          <w:rFonts w:ascii="Times New Roman" w:hAnsi="Times New Roman"/>
          <w:noProof/>
          <w:sz w:val="24"/>
        </w:rPr>
        <w:t>ę do szybkiego przyjęcia tych środków.</w:t>
      </w:r>
    </w:p>
    <w:p w14:paraId="60F7CE33" w14:textId="77777777" w:rsidR="00474DA2" w:rsidRPr="000309CC" w:rsidRDefault="00474DA2" w:rsidP="00474DA2">
      <w:pPr>
        <w:spacing w:after="0" w:line="240" w:lineRule="auto"/>
        <w:jc w:val="both"/>
        <w:rPr>
          <w:rFonts w:ascii="Times New Roman" w:hAnsi="Times New Roman" w:cs="Times New Roman"/>
          <w:bCs/>
          <w:noProof/>
          <w:sz w:val="24"/>
          <w:szCs w:val="24"/>
        </w:rPr>
      </w:pPr>
    </w:p>
    <w:p w14:paraId="1DAE7291" w14:textId="0B6D475D" w:rsidR="00390FB6" w:rsidRPr="000309CC" w:rsidRDefault="00390FB6" w:rsidP="00390FB6">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Komisja zakończyła już konsultacje publiczne</w:t>
      </w:r>
      <w:r w:rsidR="000309CC" w:rsidRPr="000309CC">
        <w:rPr>
          <w:rFonts w:ascii="Times New Roman" w:hAnsi="Times New Roman"/>
          <w:noProof/>
          <w:sz w:val="24"/>
        </w:rPr>
        <w:t xml:space="preserve"> w spr</w:t>
      </w:r>
      <w:r w:rsidRPr="000309CC">
        <w:rPr>
          <w:rFonts w:ascii="Times New Roman" w:hAnsi="Times New Roman"/>
          <w:noProof/>
          <w:sz w:val="24"/>
        </w:rPr>
        <w:t xml:space="preserve">awie środków służących zwiększeniu </w:t>
      </w:r>
      <w:r w:rsidRPr="000309CC">
        <w:rPr>
          <w:rFonts w:ascii="Times New Roman" w:hAnsi="Times New Roman"/>
          <w:b/>
          <w:noProof/>
          <w:sz w:val="24"/>
        </w:rPr>
        <w:t xml:space="preserve">cyberodporności </w:t>
      </w:r>
      <w:r w:rsidRPr="000309CC">
        <w:rPr>
          <w:rFonts w:ascii="Times New Roman" w:hAnsi="Times New Roman"/>
          <w:noProof/>
          <w:sz w:val="24"/>
        </w:rPr>
        <w:t>produktów cyfrowych</w:t>
      </w:r>
      <w:r w:rsidR="000309CC" w:rsidRPr="000309CC">
        <w:rPr>
          <w:rFonts w:ascii="Times New Roman" w:hAnsi="Times New Roman"/>
          <w:noProof/>
          <w:sz w:val="24"/>
        </w:rPr>
        <w:t xml:space="preserve"> i prz</w:t>
      </w:r>
      <w:r w:rsidRPr="000309CC">
        <w:rPr>
          <w:rFonts w:ascii="Times New Roman" w:hAnsi="Times New Roman"/>
          <w:noProof/>
          <w:sz w:val="24"/>
        </w:rPr>
        <w:t>ygotowuje wniosek, który ma zostać opublikowany tej jesieni</w:t>
      </w:r>
      <w:r w:rsidRPr="000309CC">
        <w:rPr>
          <w:rStyle w:val="FootnoteReference"/>
          <w:rFonts w:ascii="Times New Roman" w:hAnsi="Times New Roman" w:cs="Times New Roman"/>
          <w:noProof/>
          <w:sz w:val="24"/>
          <w:szCs w:val="24"/>
        </w:rPr>
        <w:footnoteReference w:id="20"/>
      </w:r>
      <w:r w:rsidRPr="000309CC">
        <w:rPr>
          <w:rFonts w:ascii="Times New Roman" w:hAnsi="Times New Roman"/>
          <w:noProof/>
          <w:sz w:val="24"/>
        </w:rPr>
        <w:t>. Wniosek ten będzie odnosił się do podatności na zagrożenia produktów cyfrowych</w:t>
      </w:r>
      <w:r w:rsidR="000309CC" w:rsidRPr="000309CC">
        <w:rPr>
          <w:rFonts w:ascii="Times New Roman" w:hAnsi="Times New Roman"/>
          <w:noProof/>
          <w:sz w:val="24"/>
        </w:rPr>
        <w:t xml:space="preserve"> i usł</w:t>
      </w:r>
      <w:r w:rsidRPr="000309CC">
        <w:rPr>
          <w:rFonts w:ascii="Times New Roman" w:hAnsi="Times New Roman"/>
          <w:noProof/>
          <w:sz w:val="24"/>
        </w:rPr>
        <w:t>ug pomocniczych, które – chociaż stwarzają możliwości dla gospodarek</w:t>
      </w:r>
      <w:r w:rsidR="000309CC" w:rsidRPr="000309CC">
        <w:rPr>
          <w:rFonts w:ascii="Times New Roman" w:hAnsi="Times New Roman"/>
          <w:noProof/>
          <w:sz w:val="24"/>
        </w:rPr>
        <w:t xml:space="preserve"> i spo</w:t>
      </w:r>
      <w:r w:rsidRPr="000309CC">
        <w:rPr>
          <w:rFonts w:ascii="Times New Roman" w:hAnsi="Times New Roman"/>
          <w:noProof/>
          <w:sz w:val="24"/>
        </w:rPr>
        <w:t>łeczeństw UE – powodują również nowe wyzwania, ponieważ im więcej urządzeń jest podłączonych do sieci, tym łatwiej o to, by cyberincydent miał wpływ na cały system,</w:t>
      </w:r>
      <w:r w:rsidR="000309CC" w:rsidRPr="000309CC">
        <w:rPr>
          <w:rFonts w:ascii="Times New Roman" w:hAnsi="Times New Roman"/>
          <w:noProof/>
          <w:sz w:val="24"/>
        </w:rPr>
        <w:t xml:space="preserve"> a tym</w:t>
      </w:r>
      <w:r w:rsidRPr="000309CC">
        <w:rPr>
          <w:rFonts w:ascii="Times New Roman" w:hAnsi="Times New Roman"/>
          <w:noProof/>
          <w:sz w:val="24"/>
        </w:rPr>
        <w:t xml:space="preserve"> samym zakłócił działalność gospodarczą</w:t>
      </w:r>
      <w:r w:rsidR="000309CC" w:rsidRPr="000309CC">
        <w:rPr>
          <w:rFonts w:ascii="Times New Roman" w:hAnsi="Times New Roman"/>
          <w:noProof/>
          <w:sz w:val="24"/>
        </w:rPr>
        <w:t xml:space="preserve"> i spo</w:t>
      </w:r>
      <w:r w:rsidRPr="000309CC">
        <w:rPr>
          <w:rFonts w:ascii="Times New Roman" w:hAnsi="Times New Roman"/>
          <w:noProof/>
          <w:sz w:val="24"/>
        </w:rPr>
        <w:t xml:space="preserve">łeczną. </w:t>
      </w:r>
    </w:p>
    <w:p w14:paraId="486DD7B4" w14:textId="77777777" w:rsidR="00390FB6" w:rsidRPr="000309CC" w:rsidRDefault="00390FB6" w:rsidP="00474DA2">
      <w:pPr>
        <w:spacing w:after="0" w:line="240" w:lineRule="auto"/>
        <w:jc w:val="both"/>
        <w:rPr>
          <w:rFonts w:ascii="Times New Roman" w:hAnsi="Times New Roman" w:cs="Times New Roman"/>
          <w:bCs/>
          <w:noProof/>
          <w:sz w:val="24"/>
          <w:szCs w:val="24"/>
        </w:rPr>
      </w:pPr>
    </w:p>
    <w:p w14:paraId="38F8E29E" w14:textId="58597912" w:rsidR="00474DA2" w:rsidRPr="000309CC" w:rsidRDefault="00474DA2" w:rsidP="00474D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9 marca 2022</w:t>
      </w:r>
      <w:r w:rsidR="000309CC" w:rsidRPr="000309CC">
        <w:rPr>
          <w:rFonts w:ascii="Times New Roman" w:hAnsi="Times New Roman"/>
          <w:noProof/>
          <w:sz w:val="24"/>
        </w:rPr>
        <w:t> </w:t>
      </w:r>
      <w:r w:rsidRPr="000309CC">
        <w:rPr>
          <w:rFonts w:ascii="Times New Roman" w:hAnsi="Times New Roman"/>
          <w:noProof/>
          <w:sz w:val="24"/>
        </w:rPr>
        <w:t>r. ministrowie UE odpowiedzialni za telekomunikację jednogłośnie przyjęli wezwanie</w:t>
      </w:r>
      <w:r w:rsidR="000309CC" w:rsidRPr="000309CC">
        <w:rPr>
          <w:rFonts w:ascii="Times New Roman" w:hAnsi="Times New Roman"/>
          <w:noProof/>
          <w:sz w:val="24"/>
        </w:rPr>
        <w:t xml:space="preserve"> z Nev</w:t>
      </w:r>
      <w:r w:rsidRPr="000309CC">
        <w:rPr>
          <w:rFonts w:ascii="Times New Roman" w:hAnsi="Times New Roman"/>
          <w:noProof/>
          <w:sz w:val="24"/>
        </w:rPr>
        <w:t>ers do wzmocnienia zdolności UE</w:t>
      </w:r>
      <w:r w:rsidR="000309CC" w:rsidRPr="000309CC">
        <w:rPr>
          <w:rFonts w:ascii="Times New Roman" w:hAnsi="Times New Roman"/>
          <w:noProof/>
          <w:sz w:val="24"/>
        </w:rPr>
        <w:t xml:space="preserve"> w zak</w:t>
      </w:r>
      <w:r w:rsidRPr="000309CC">
        <w:rPr>
          <w:rFonts w:ascii="Times New Roman" w:hAnsi="Times New Roman"/>
          <w:noProof/>
          <w:sz w:val="24"/>
        </w:rPr>
        <w:t>resie cyberbezpieczeństwa, które obejmuje „wdrożenie nowego funduszu pomocy</w:t>
      </w:r>
      <w:r w:rsidR="000309CC" w:rsidRPr="000309CC">
        <w:rPr>
          <w:rFonts w:ascii="Times New Roman" w:hAnsi="Times New Roman"/>
          <w:noProof/>
          <w:sz w:val="24"/>
        </w:rPr>
        <w:t xml:space="preserve"> w syt</w:t>
      </w:r>
      <w:r w:rsidRPr="000309CC">
        <w:rPr>
          <w:rFonts w:ascii="Times New Roman" w:hAnsi="Times New Roman"/>
          <w:noProof/>
          <w:sz w:val="24"/>
        </w:rPr>
        <w:t>uacjach kryzysowych związanych</w:t>
      </w:r>
      <w:r w:rsidR="000309CC" w:rsidRPr="000309CC">
        <w:rPr>
          <w:rFonts w:ascii="Times New Roman" w:hAnsi="Times New Roman"/>
          <w:noProof/>
          <w:sz w:val="24"/>
        </w:rPr>
        <w:t xml:space="preserve"> z cyb</w:t>
      </w:r>
      <w:r w:rsidRPr="000309CC">
        <w:rPr>
          <w:rFonts w:ascii="Times New Roman" w:hAnsi="Times New Roman"/>
          <w:noProof/>
          <w:sz w:val="24"/>
        </w:rPr>
        <w:t>erbezpieczeństwem, który ma zostać ustanowiony przez Komisję”</w:t>
      </w:r>
      <w:r w:rsidRPr="000309CC">
        <w:rPr>
          <w:rStyle w:val="FootnoteReference"/>
          <w:rFonts w:ascii="Times New Roman" w:hAnsi="Times New Roman" w:cs="Times New Roman"/>
          <w:bCs/>
          <w:noProof/>
          <w:sz w:val="24"/>
          <w:szCs w:val="24"/>
        </w:rPr>
        <w:footnoteReference w:id="21"/>
      </w:r>
      <w:r w:rsidRPr="000309CC">
        <w:rPr>
          <w:rFonts w:ascii="Times New Roman" w:hAnsi="Times New Roman"/>
          <w:noProof/>
          <w:sz w:val="24"/>
        </w:rPr>
        <w:t>. Komisja zastanawia się nad najlepszym sposobem wykorzystania istniejących funduszy do wspierania działań zapobiegawczych</w:t>
      </w:r>
      <w:r w:rsidR="000309CC" w:rsidRPr="000309CC">
        <w:rPr>
          <w:rFonts w:ascii="Times New Roman" w:hAnsi="Times New Roman"/>
          <w:noProof/>
          <w:sz w:val="24"/>
        </w:rPr>
        <w:t xml:space="preserve"> i pom</w:t>
      </w:r>
      <w:r w:rsidRPr="000309CC">
        <w:rPr>
          <w:rFonts w:ascii="Times New Roman" w:hAnsi="Times New Roman"/>
          <w:noProof/>
          <w:sz w:val="24"/>
        </w:rPr>
        <w:t xml:space="preserve">ocowych. </w:t>
      </w:r>
    </w:p>
    <w:p w14:paraId="3F1A9327" w14:textId="77777777" w:rsidR="0044264B" w:rsidRPr="000309CC" w:rsidRDefault="0044264B" w:rsidP="00474DA2">
      <w:pPr>
        <w:spacing w:after="0" w:line="240" w:lineRule="auto"/>
        <w:jc w:val="both"/>
        <w:rPr>
          <w:rFonts w:ascii="Times New Roman" w:hAnsi="Times New Roman" w:cs="Times New Roman"/>
          <w:bCs/>
          <w:i/>
          <w:noProof/>
          <w:sz w:val="24"/>
          <w:szCs w:val="24"/>
        </w:rPr>
      </w:pPr>
    </w:p>
    <w:p w14:paraId="0C946B54" w14:textId="77777777" w:rsidR="00FB5B4F" w:rsidRPr="000309CC" w:rsidRDefault="00FB5B4F" w:rsidP="00474DA2">
      <w:pPr>
        <w:spacing w:after="0" w:line="240" w:lineRule="auto"/>
        <w:jc w:val="both"/>
        <w:rPr>
          <w:rFonts w:ascii="Times New Roman" w:hAnsi="Times New Roman" w:cs="Times New Roman"/>
          <w:bCs/>
          <w:i/>
          <w:noProof/>
          <w:sz w:val="24"/>
          <w:szCs w:val="24"/>
        </w:rPr>
      </w:pPr>
      <w:r w:rsidRPr="000309CC">
        <w:rPr>
          <w:rFonts w:ascii="Times New Roman" w:hAnsi="Times New Roman"/>
          <w:i/>
          <w:noProof/>
          <w:sz w:val="24"/>
        </w:rPr>
        <w:t xml:space="preserve">Sektory krytyczne </w:t>
      </w:r>
    </w:p>
    <w:p w14:paraId="34E623BF" w14:textId="77777777" w:rsidR="0099171C" w:rsidRPr="000309CC" w:rsidRDefault="0099171C" w:rsidP="00474DA2">
      <w:pPr>
        <w:spacing w:after="0" w:line="240" w:lineRule="auto"/>
        <w:jc w:val="both"/>
        <w:rPr>
          <w:rFonts w:ascii="Times New Roman" w:hAnsi="Times New Roman" w:cs="Times New Roman"/>
          <w:bCs/>
          <w:i/>
          <w:noProof/>
          <w:sz w:val="24"/>
          <w:szCs w:val="24"/>
        </w:rPr>
      </w:pPr>
    </w:p>
    <w:p w14:paraId="7BF632FF" w14:textId="4B87D764" w:rsidR="00535952" w:rsidRPr="000309CC" w:rsidRDefault="00535952" w:rsidP="0053595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 xml:space="preserve">Bezpieczeństwo dostaw </w:t>
      </w:r>
      <w:r w:rsidRPr="000309CC">
        <w:rPr>
          <w:rFonts w:ascii="Times New Roman" w:hAnsi="Times New Roman"/>
          <w:b/>
          <w:noProof/>
          <w:sz w:val="24"/>
        </w:rPr>
        <w:t>energii</w:t>
      </w:r>
      <w:r w:rsidRPr="000309CC">
        <w:rPr>
          <w:rFonts w:ascii="Times New Roman" w:hAnsi="Times New Roman"/>
          <w:noProof/>
          <w:sz w:val="24"/>
        </w:rPr>
        <w:t xml:space="preserve"> do UE ma krytyczne znaczenie dla dobrostanu obywateli</w:t>
      </w:r>
      <w:r w:rsidR="000309CC" w:rsidRPr="000309CC">
        <w:rPr>
          <w:rFonts w:ascii="Times New Roman" w:hAnsi="Times New Roman"/>
          <w:noProof/>
          <w:sz w:val="24"/>
        </w:rPr>
        <w:t xml:space="preserve"> i spr</w:t>
      </w:r>
      <w:r w:rsidRPr="000309CC">
        <w:rPr>
          <w:rFonts w:ascii="Times New Roman" w:hAnsi="Times New Roman"/>
          <w:noProof/>
          <w:sz w:val="24"/>
        </w:rPr>
        <w:t>awnego funkcjonowania naszych gospodarek,</w:t>
      </w:r>
      <w:r w:rsidR="000309CC" w:rsidRPr="000309CC">
        <w:rPr>
          <w:rFonts w:ascii="Times New Roman" w:hAnsi="Times New Roman"/>
          <w:noProof/>
          <w:sz w:val="24"/>
        </w:rPr>
        <w:t xml:space="preserve"> a obe</w:t>
      </w:r>
      <w:r w:rsidRPr="000309CC">
        <w:rPr>
          <w:rFonts w:ascii="Times New Roman" w:hAnsi="Times New Roman"/>
          <w:noProof/>
          <w:sz w:val="24"/>
        </w:rPr>
        <w:t>cna sytuacja uwydatniła konieczność wprowadzenia przejrzystych przepisów dotyczących cyberbezpieczeństwa</w:t>
      </w:r>
      <w:r w:rsidR="000309CC" w:rsidRPr="000309CC">
        <w:rPr>
          <w:rFonts w:ascii="Times New Roman" w:hAnsi="Times New Roman"/>
          <w:noProof/>
          <w:sz w:val="24"/>
        </w:rPr>
        <w:t xml:space="preserve"> w tym</w:t>
      </w:r>
      <w:r w:rsidRPr="000309CC">
        <w:rPr>
          <w:rFonts w:ascii="Times New Roman" w:hAnsi="Times New Roman"/>
          <w:noProof/>
          <w:sz w:val="24"/>
        </w:rPr>
        <w:t xml:space="preserve"> sektorze. Komisja pracuje nad kodeksem sieci dotyczącym cyberbezpieczeństwa transgranicznych przepływów energii elektrycznej wymaganym na mocy rozporządzenia</w:t>
      </w:r>
      <w:r w:rsidR="000309CC" w:rsidRPr="000309CC">
        <w:rPr>
          <w:rFonts w:ascii="Times New Roman" w:hAnsi="Times New Roman"/>
          <w:noProof/>
          <w:sz w:val="24"/>
        </w:rPr>
        <w:t xml:space="preserve"> w spr</w:t>
      </w:r>
      <w:r w:rsidRPr="000309CC">
        <w:rPr>
          <w:rFonts w:ascii="Times New Roman" w:hAnsi="Times New Roman"/>
          <w:noProof/>
          <w:sz w:val="24"/>
        </w:rPr>
        <w:t>awie energii elektrycznej</w:t>
      </w:r>
      <w:r w:rsidR="00390FB6" w:rsidRPr="000309CC">
        <w:rPr>
          <w:rStyle w:val="FootnoteReference"/>
          <w:rFonts w:ascii="Times New Roman" w:hAnsi="Times New Roman" w:cs="Times New Roman"/>
          <w:bCs/>
          <w:noProof/>
          <w:sz w:val="24"/>
          <w:szCs w:val="24"/>
        </w:rPr>
        <w:footnoteReference w:id="22"/>
      </w:r>
      <w:r w:rsidRPr="000309CC">
        <w:rPr>
          <w:rFonts w:ascii="Times New Roman" w:hAnsi="Times New Roman"/>
          <w:noProof/>
          <w:sz w:val="24"/>
        </w:rPr>
        <w:t>, aby zapewnić zasady dotyczące ocen ryzyka, wspólnych wymogów minimalnych, planowania, monitorowania, sprawozdawczości</w:t>
      </w:r>
      <w:r w:rsidR="000309CC" w:rsidRPr="000309CC">
        <w:rPr>
          <w:rFonts w:ascii="Times New Roman" w:hAnsi="Times New Roman"/>
          <w:noProof/>
          <w:sz w:val="24"/>
        </w:rPr>
        <w:t xml:space="preserve"> i zar</w:t>
      </w:r>
      <w:r w:rsidRPr="000309CC">
        <w:rPr>
          <w:rFonts w:ascii="Times New Roman" w:hAnsi="Times New Roman"/>
          <w:noProof/>
          <w:sz w:val="24"/>
        </w:rPr>
        <w:t>ządzania kryzysowego. Od czasu rosyjskiej agresji na Ukrainę cele kodeksu sieci dotyczącego cyberbezpieczeństwa są jeszcze bardziej istotne. Komisja rozpoczęła również współpracę strukturalną między ENISA, ENTSO-E</w:t>
      </w:r>
      <w:r w:rsidRPr="000309CC">
        <w:rPr>
          <w:rStyle w:val="FootnoteReference"/>
          <w:rFonts w:ascii="Times New Roman" w:hAnsi="Times New Roman" w:cs="Times New Roman"/>
          <w:bCs/>
          <w:noProof/>
          <w:sz w:val="24"/>
          <w:szCs w:val="24"/>
        </w:rPr>
        <w:footnoteReference w:id="23"/>
      </w:r>
      <w:r w:rsidRPr="000309CC">
        <w:rPr>
          <w:rFonts w:ascii="Times New Roman" w:hAnsi="Times New Roman"/>
          <w:noProof/>
          <w:sz w:val="24"/>
        </w:rPr>
        <w:t>, ENTSO gazu</w:t>
      </w:r>
      <w:r w:rsidRPr="000309CC">
        <w:rPr>
          <w:rStyle w:val="FootnoteReference"/>
          <w:rFonts w:ascii="Times New Roman" w:hAnsi="Times New Roman" w:cs="Times New Roman"/>
          <w:bCs/>
          <w:noProof/>
          <w:sz w:val="24"/>
          <w:szCs w:val="24"/>
        </w:rPr>
        <w:footnoteReference w:id="24"/>
      </w:r>
      <w:r w:rsidR="000309CC" w:rsidRPr="000309CC">
        <w:rPr>
          <w:rFonts w:ascii="Times New Roman" w:hAnsi="Times New Roman"/>
          <w:noProof/>
          <w:sz w:val="24"/>
        </w:rPr>
        <w:t xml:space="preserve"> i Wsp</w:t>
      </w:r>
      <w:r w:rsidRPr="000309CC">
        <w:rPr>
          <w:rFonts w:ascii="Times New Roman" w:hAnsi="Times New Roman"/>
          <w:noProof/>
          <w:sz w:val="24"/>
        </w:rPr>
        <w:t>ólnotą Energetyczną</w:t>
      </w:r>
      <w:r w:rsidR="000309CC" w:rsidRPr="000309CC">
        <w:rPr>
          <w:rFonts w:ascii="Times New Roman" w:hAnsi="Times New Roman"/>
          <w:noProof/>
          <w:sz w:val="24"/>
        </w:rPr>
        <w:t xml:space="preserve"> w zak</w:t>
      </w:r>
      <w:r w:rsidRPr="000309CC">
        <w:rPr>
          <w:rFonts w:ascii="Times New Roman" w:hAnsi="Times New Roman"/>
          <w:noProof/>
          <w:sz w:val="24"/>
        </w:rPr>
        <w:t>resie regularnego monitorowania sytuacji związanej</w:t>
      </w:r>
      <w:r w:rsidR="000309CC" w:rsidRPr="000309CC">
        <w:rPr>
          <w:rFonts w:ascii="Times New Roman" w:hAnsi="Times New Roman"/>
          <w:noProof/>
          <w:sz w:val="24"/>
        </w:rPr>
        <w:t xml:space="preserve"> z cyb</w:t>
      </w:r>
      <w:r w:rsidRPr="000309CC">
        <w:rPr>
          <w:rFonts w:ascii="Times New Roman" w:hAnsi="Times New Roman"/>
          <w:noProof/>
          <w:sz w:val="24"/>
        </w:rPr>
        <w:t>erbezpieczeństwem</w:t>
      </w:r>
      <w:r w:rsidR="000309CC" w:rsidRPr="000309CC">
        <w:rPr>
          <w:rFonts w:ascii="Times New Roman" w:hAnsi="Times New Roman"/>
          <w:noProof/>
          <w:sz w:val="24"/>
        </w:rPr>
        <w:t xml:space="preserve"> w sek</w:t>
      </w:r>
      <w:r w:rsidRPr="000309CC">
        <w:rPr>
          <w:rFonts w:ascii="Times New Roman" w:hAnsi="Times New Roman"/>
          <w:noProof/>
          <w:sz w:val="24"/>
        </w:rPr>
        <w:t>torze energetycznym.</w:t>
      </w:r>
    </w:p>
    <w:p w14:paraId="2F0F4DF5" w14:textId="77777777" w:rsidR="00535952" w:rsidRPr="000309CC" w:rsidRDefault="00535952" w:rsidP="00390FB6">
      <w:pPr>
        <w:spacing w:after="0" w:line="240" w:lineRule="auto"/>
        <w:jc w:val="both"/>
        <w:rPr>
          <w:rFonts w:ascii="Times New Roman" w:hAnsi="Times New Roman" w:cs="Times New Roman"/>
          <w:bCs/>
          <w:noProof/>
          <w:sz w:val="24"/>
          <w:szCs w:val="24"/>
        </w:rPr>
      </w:pPr>
    </w:p>
    <w:p w14:paraId="792E8A70" w14:textId="638F2DAA" w:rsidR="00826711" w:rsidRPr="000309CC" w:rsidRDefault="00B25289" w:rsidP="00390FB6">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UE pracuje nad zapewnieniem bezpieczeństwa swoich partnerów, nie stwarzając dla siebie nowego ryzyka. Nadzwyczajna synchronizacja sieci elektroenergetycznych Ukrainy</w:t>
      </w:r>
      <w:r w:rsidR="000309CC" w:rsidRPr="000309CC">
        <w:rPr>
          <w:rFonts w:ascii="Times New Roman" w:hAnsi="Times New Roman"/>
          <w:noProof/>
          <w:sz w:val="24"/>
        </w:rPr>
        <w:t xml:space="preserve"> i Moł</w:t>
      </w:r>
      <w:r w:rsidRPr="000309CC">
        <w:rPr>
          <w:rFonts w:ascii="Times New Roman" w:hAnsi="Times New Roman"/>
          <w:noProof/>
          <w:sz w:val="24"/>
        </w:rPr>
        <w:t>dawii</w:t>
      </w:r>
      <w:r w:rsidR="000309CC" w:rsidRPr="000309CC">
        <w:rPr>
          <w:rFonts w:ascii="Times New Roman" w:hAnsi="Times New Roman"/>
          <w:noProof/>
          <w:sz w:val="24"/>
        </w:rPr>
        <w:t xml:space="preserve"> z sie</w:t>
      </w:r>
      <w:r w:rsidRPr="000309CC">
        <w:rPr>
          <w:rFonts w:ascii="Times New Roman" w:hAnsi="Times New Roman"/>
          <w:noProof/>
          <w:sz w:val="24"/>
        </w:rPr>
        <w:t>cią Europy kontynentalnej nastąpiła</w:t>
      </w:r>
      <w:r w:rsidR="000309CC" w:rsidRPr="000309CC">
        <w:rPr>
          <w:rFonts w:ascii="Times New Roman" w:hAnsi="Times New Roman"/>
          <w:noProof/>
          <w:sz w:val="24"/>
        </w:rPr>
        <w:t xml:space="preserve"> w mar</w:t>
      </w:r>
      <w:r w:rsidRPr="000309CC">
        <w:rPr>
          <w:rFonts w:ascii="Times New Roman" w:hAnsi="Times New Roman"/>
          <w:noProof/>
          <w:sz w:val="24"/>
        </w:rPr>
        <w:t>cu 2022</w:t>
      </w:r>
      <w:r w:rsidR="000309CC" w:rsidRPr="000309CC">
        <w:rPr>
          <w:rFonts w:ascii="Times New Roman" w:hAnsi="Times New Roman"/>
          <w:noProof/>
          <w:sz w:val="24"/>
        </w:rPr>
        <w:t> </w:t>
      </w:r>
      <w:r w:rsidRPr="000309CC">
        <w:rPr>
          <w:rFonts w:ascii="Times New Roman" w:hAnsi="Times New Roman"/>
          <w:noProof/>
          <w:sz w:val="24"/>
        </w:rPr>
        <w:t>r. po przyjęciu środków ograniczających ryzyko,</w:t>
      </w:r>
      <w:r w:rsidR="000309CC" w:rsidRPr="000309CC">
        <w:rPr>
          <w:rFonts w:ascii="Times New Roman" w:hAnsi="Times New Roman"/>
          <w:noProof/>
          <w:sz w:val="24"/>
        </w:rPr>
        <w:t xml:space="preserve"> w szc</w:t>
      </w:r>
      <w:r w:rsidRPr="000309CC">
        <w:rPr>
          <w:rFonts w:ascii="Times New Roman" w:hAnsi="Times New Roman"/>
          <w:noProof/>
          <w:sz w:val="24"/>
        </w:rPr>
        <w:t>zególności</w:t>
      </w:r>
      <w:r w:rsidR="000309CC" w:rsidRPr="000309CC">
        <w:rPr>
          <w:rFonts w:ascii="Times New Roman" w:hAnsi="Times New Roman"/>
          <w:noProof/>
          <w:sz w:val="24"/>
        </w:rPr>
        <w:t xml:space="preserve"> w odn</w:t>
      </w:r>
      <w:r w:rsidRPr="000309CC">
        <w:rPr>
          <w:rFonts w:ascii="Times New Roman" w:hAnsi="Times New Roman"/>
          <w:noProof/>
          <w:sz w:val="24"/>
        </w:rPr>
        <w:t xml:space="preserve">iesieniu do cyberbezpieczeństwa. </w:t>
      </w:r>
    </w:p>
    <w:p w14:paraId="0981F41C" w14:textId="77777777" w:rsidR="002938EC" w:rsidRPr="000309CC" w:rsidRDefault="002938EC" w:rsidP="00390FB6">
      <w:pPr>
        <w:spacing w:after="0" w:line="240" w:lineRule="auto"/>
        <w:jc w:val="both"/>
        <w:rPr>
          <w:rFonts w:ascii="Times New Roman" w:hAnsi="Times New Roman" w:cs="Times New Roman"/>
          <w:bCs/>
          <w:noProof/>
          <w:sz w:val="24"/>
          <w:szCs w:val="24"/>
        </w:rPr>
      </w:pPr>
    </w:p>
    <w:p w14:paraId="597E8EBE" w14:textId="69342AA5" w:rsidR="002938EC" w:rsidRPr="000309CC" w:rsidRDefault="002938EC" w:rsidP="00AB7A5A">
      <w:pPr>
        <w:spacing w:line="240" w:lineRule="auto"/>
        <w:jc w:val="both"/>
        <w:rPr>
          <w:rFonts w:ascii="Times New Roman" w:hAnsi="Times New Roman" w:cs="Times New Roman"/>
          <w:noProof/>
          <w:sz w:val="24"/>
        </w:rPr>
      </w:pPr>
      <w:r w:rsidRPr="000309CC">
        <w:rPr>
          <w:rFonts w:ascii="Times New Roman" w:hAnsi="Times New Roman"/>
          <w:noProof/>
          <w:sz w:val="24"/>
        </w:rPr>
        <w:t>Wojna</w:t>
      </w:r>
      <w:r w:rsidR="000309CC" w:rsidRPr="000309CC">
        <w:rPr>
          <w:rFonts w:ascii="Times New Roman" w:hAnsi="Times New Roman"/>
          <w:noProof/>
          <w:sz w:val="24"/>
        </w:rPr>
        <w:t xml:space="preserve"> i san</w:t>
      </w:r>
      <w:r w:rsidRPr="000309CC">
        <w:rPr>
          <w:rFonts w:ascii="Times New Roman" w:hAnsi="Times New Roman"/>
          <w:noProof/>
          <w:sz w:val="24"/>
        </w:rPr>
        <w:t>kcje spowodowały również wiele wyzwań związanych</w:t>
      </w:r>
      <w:r w:rsidR="000309CC" w:rsidRPr="000309CC">
        <w:rPr>
          <w:rFonts w:ascii="Times New Roman" w:hAnsi="Times New Roman"/>
          <w:noProof/>
          <w:sz w:val="24"/>
        </w:rPr>
        <w:t xml:space="preserve"> z uni</w:t>
      </w:r>
      <w:r w:rsidRPr="000309CC">
        <w:rPr>
          <w:rFonts w:ascii="Times New Roman" w:hAnsi="Times New Roman"/>
          <w:noProof/>
          <w:sz w:val="24"/>
        </w:rPr>
        <w:t xml:space="preserve">jnym </w:t>
      </w:r>
      <w:r w:rsidRPr="000309CC">
        <w:rPr>
          <w:rFonts w:ascii="Times New Roman" w:hAnsi="Times New Roman"/>
          <w:b/>
          <w:noProof/>
          <w:sz w:val="24"/>
        </w:rPr>
        <w:t>transportem</w:t>
      </w:r>
      <w:r w:rsidRPr="000309CC">
        <w:rPr>
          <w:rFonts w:ascii="Times New Roman" w:hAnsi="Times New Roman"/>
          <w:noProof/>
          <w:sz w:val="24"/>
        </w:rPr>
        <w:t>, począwszy od ryzyka dla bezpieczeństwa unijnego lotnictwa cywilnego</w:t>
      </w:r>
      <w:r w:rsidR="000309CC" w:rsidRPr="000309CC">
        <w:rPr>
          <w:rFonts w:ascii="Times New Roman" w:hAnsi="Times New Roman"/>
          <w:noProof/>
          <w:sz w:val="24"/>
        </w:rPr>
        <w:t xml:space="preserve"> i kie</w:t>
      </w:r>
      <w:r w:rsidRPr="000309CC">
        <w:rPr>
          <w:rFonts w:ascii="Times New Roman" w:hAnsi="Times New Roman"/>
          <w:noProof/>
          <w:sz w:val="24"/>
        </w:rPr>
        <w:t>rowców ciężarówek, którzy utknęli</w:t>
      </w:r>
      <w:r w:rsidR="000309CC" w:rsidRPr="000309CC">
        <w:rPr>
          <w:rFonts w:ascii="Times New Roman" w:hAnsi="Times New Roman"/>
          <w:noProof/>
          <w:sz w:val="24"/>
        </w:rPr>
        <w:t xml:space="preserve"> w str</w:t>
      </w:r>
      <w:r w:rsidRPr="000309CC">
        <w:rPr>
          <w:rFonts w:ascii="Times New Roman" w:hAnsi="Times New Roman"/>
          <w:noProof/>
          <w:sz w:val="24"/>
        </w:rPr>
        <w:t>efach konfliktu, po zniszczenie ukraińskiej infrastruktury transportowej, odcięcie łańcuchów dostaw</w:t>
      </w:r>
      <w:r w:rsidR="000309CC" w:rsidRPr="000309CC">
        <w:rPr>
          <w:rFonts w:ascii="Times New Roman" w:hAnsi="Times New Roman"/>
          <w:noProof/>
          <w:sz w:val="24"/>
        </w:rPr>
        <w:t xml:space="preserve"> i zag</w:t>
      </w:r>
      <w:r w:rsidRPr="000309CC">
        <w:rPr>
          <w:rFonts w:ascii="Times New Roman" w:hAnsi="Times New Roman"/>
          <w:noProof/>
          <w:sz w:val="24"/>
        </w:rPr>
        <w:t>rożenie dla światowego bezpieczeństwa żywnościowego. Agencja Unii Europejskiej ds. Bezpieczeństwa Lotniczego,</w:t>
      </w:r>
      <w:r w:rsidR="000309CC" w:rsidRPr="000309CC">
        <w:rPr>
          <w:rFonts w:ascii="Times New Roman" w:hAnsi="Times New Roman"/>
          <w:noProof/>
          <w:sz w:val="24"/>
        </w:rPr>
        <w:t xml:space="preserve"> w ści</w:t>
      </w:r>
      <w:r w:rsidRPr="000309CC">
        <w:rPr>
          <w:rFonts w:ascii="Times New Roman" w:hAnsi="Times New Roman"/>
          <w:noProof/>
          <w:sz w:val="24"/>
        </w:rPr>
        <w:t>słej współpracy</w:t>
      </w:r>
      <w:r w:rsidR="000309CC" w:rsidRPr="000309CC">
        <w:rPr>
          <w:rFonts w:ascii="Times New Roman" w:hAnsi="Times New Roman"/>
          <w:noProof/>
          <w:sz w:val="24"/>
        </w:rPr>
        <w:t xml:space="preserve"> z Kom</w:t>
      </w:r>
      <w:r w:rsidRPr="000309CC">
        <w:rPr>
          <w:rFonts w:ascii="Times New Roman" w:hAnsi="Times New Roman"/>
          <w:noProof/>
          <w:sz w:val="24"/>
        </w:rPr>
        <w:t>isją</w:t>
      </w:r>
      <w:r w:rsidR="000309CC" w:rsidRPr="000309CC">
        <w:rPr>
          <w:rFonts w:ascii="Times New Roman" w:hAnsi="Times New Roman"/>
          <w:noProof/>
          <w:sz w:val="24"/>
        </w:rPr>
        <w:t xml:space="preserve"> i Eur</w:t>
      </w:r>
      <w:r w:rsidRPr="000309CC">
        <w:rPr>
          <w:rFonts w:ascii="Times New Roman" w:hAnsi="Times New Roman"/>
          <w:noProof/>
          <w:sz w:val="24"/>
        </w:rPr>
        <w:t>ocontrol – Europejską Organizacją ds. Bezpieczeństwa Żeglugi Powietrznej – od początku wojny zaleca operatorom, aby nie wykonywali lotów</w:t>
      </w:r>
      <w:r w:rsidR="000309CC" w:rsidRPr="000309CC">
        <w:rPr>
          <w:rFonts w:ascii="Times New Roman" w:hAnsi="Times New Roman"/>
          <w:noProof/>
          <w:sz w:val="24"/>
        </w:rPr>
        <w:t xml:space="preserve"> w prz</w:t>
      </w:r>
      <w:r w:rsidRPr="000309CC">
        <w:rPr>
          <w:rFonts w:ascii="Times New Roman" w:hAnsi="Times New Roman"/>
          <w:noProof/>
          <w:sz w:val="24"/>
        </w:rPr>
        <w:t>estrzeni powietrznej Ukrainy</w:t>
      </w:r>
      <w:r w:rsidR="000309CC" w:rsidRPr="000309CC">
        <w:rPr>
          <w:rFonts w:ascii="Times New Roman" w:hAnsi="Times New Roman"/>
          <w:noProof/>
          <w:sz w:val="24"/>
        </w:rPr>
        <w:t xml:space="preserve"> i uni</w:t>
      </w:r>
      <w:r w:rsidRPr="000309CC">
        <w:rPr>
          <w:rFonts w:ascii="Times New Roman" w:hAnsi="Times New Roman"/>
          <w:noProof/>
          <w:sz w:val="24"/>
        </w:rPr>
        <w:t>kali korzystania</w:t>
      </w:r>
      <w:r w:rsidR="000309CC" w:rsidRPr="000309CC">
        <w:rPr>
          <w:rFonts w:ascii="Times New Roman" w:hAnsi="Times New Roman"/>
          <w:noProof/>
          <w:sz w:val="24"/>
        </w:rPr>
        <w:t xml:space="preserve"> z prz</w:t>
      </w:r>
      <w:r w:rsidRPr="000309CC">
        <w:rPr>
          <w:rFonts w:ascii="Times New Roman" w:hAnsi="Times New Roman"/>
          <w:noProof/>
          <w:sz w:val="24"/>
        </w:rPr>
        <w:t>estrzeni powietrznej</w:t>
      </w:r>
      <w:r w:rsidR="000309CC" w:rsidRPr="000309CC">
        <w:rPr>
          <w:rFonts w:ascii="Times New Roman" w:hAnsi="Times New Roman"/>
          <w:noProof/>
          <w:sz w:val="24"/>
        </w:rPr>
        <w:t xml:space="preserve"> w pro</w:t>
      </w:r>
      <w:r w:rsidRPr="000309CC">
        <w:rPr>
          <w:rFonts w:ascii="Times New Roman" w:hAnsi="Times New Roman"/>
          <w:noProof/>
          <w:sz w:val="24"/>
        </w:rPr>
        <w:t>mieniu 100 mil morskich od granicy białorusko-</w:t>
      </w:r>
      <w:r w:rsidR="000309CC" w:rsidRPr="000309CC">
        <w:rPr>
          <w:rFonts w:ascii="Times New Roman" w:hAnsi="Times New Roman"/>
          <w:noProof/>
          <w:sz w:val="24"/>
        </w:rPr>
        <w:t xml:space="preserve"> i ros</w:t>
      </w:r>
      <w:r w:rsidRPr="000309CC">
        <w:rPr>
          <w:rFonts w:ascii="Times New Roman" w:hAnsi="Times New Roman"/>
          <w:noProof/>
          <w:sz w:val="24"/>
        </w:rPr>
        <w:t>yjsko-ukraińskiej.</w:t>
      </w:r>
    </w:p>
    <w:p w14:paraId="6736EE2E" w14:textId="121A7C1B" w:rsidR="00AB7A5A" w:rsidRPr="000309CC" w:rsidRDefault="002938EC" w:rsidP="00AB7A5A">
      <w:pPr>
        <w:spacing w:line="240" w:lineRule="auto"/>
        <w:jc w:val="both"/>
        <w:rPr>
          <w:rFonts w:ascii="Times New Roman" w:hAnsi="Times New Roman" w:cs="Times New Roman"/>
          <w:noProof/>
          <w:sz w:val="24"/>
        </w:rPr>
      </w:pPr>
      <w:r w:rsidRPr="000309CC">
        <w:rPr>
          <w:rFonts w:ascii="Times New Roman" w:hAnsi="Times New Roman"/>
          <w:noProof/>
          <w:sz w:val="24"/>
        </w:rPr>
        <w:t>Komisja pracuje również nad zwiększeniem gotowości</w:t>
      </w:r>
      <w:r w:rsidR="000309CC" w:rsidRPr="000309CC">
        <w:rPr>
          <w:rFonts w:ascii="Times New Roman" w:hAnsi="Times New Roman"/>
          <w:noProof/>
          <w:sz w:val="24"/>
        </w:rPr>
        <w:t xml:space="preserve"> i odp</w:t>
      </w:r>
      <w:r w:rsidRPr="000309CC">
        <w:rPr>
          <w:rFonts w:ascii="Times New Roman" w:hAnsi="Times New Roman"/>
          <w:noProof/>
          <w:sz w:val="24"/>
        </w:rPr>
        <w:t>orności unijnego sektora transportu</w:t>
      </w:r>
      <w:r w:rsidR="000309CC" w:rsidRPr="000309CC">
        <w:rPr>
          <w:rFonts w:ascii="Times New Roman" w:hAnsi="Times New Roman"/>
          <w:noProof/>
          <w:sz w:val="24"/>
        </w:rPr>
        <w:t>. W szc</w:t>
      </w:r>
      <w:r w:rsidRPr="000309CC">
        <w:rPr>
          <w:rFonts w:ascii="Times New Roman" w:hAnsi="Times New Roman"/>
          <w:noProof/>
          <w:sz w:val="24"/>
        </w:rPr>
        <w:t>zególności</w:t>
      </w:r>
      <w:r w:rsidR="000309CC" w:rsidRPr="000309CC">
        <w:rPr>
          <w:rFonts w:ascii="Times New Roman" w:hAnsi="Times New Roman"/>
          <w:noProof/>
          <w:sz w:val="24"/>
        </w:rPr>
        <w:t xml:space="preserve"> w now</w:t>
      </w:r>
      <w:r w:rsidRPr="000309CC">
        <w:rPr>
          <w:rFonts w:ascii="Times New Roman" w:hAnsi="Times New Roman"/>
          <w:noProof/>
          <w:sz w:val="24"/>
        </w:rPr>
        <w:t>ym planie awaryjnym dla transportu</w:t>
      </w:r>
      <w:r w:rsidR="00537FD3" w:rsidRPr="000309CC">
        <w:rPr>
          <w:rStyle w:val="FootnoteReference"/>
          <w:rFonts w:ascii="Times New Roman" w:hAnsi="Times New Roman" w:cs="Times New Roman"/>
          <w:noProof/>
          <w:sz w:val="24"/>
        </w:rPr>
        <w:footnoteReference w:id="25"/>
      </w:r>
      <w:r w:rsidRPr="000309CC">
        <w:rPr>
          <w:rFonts w:ascii="Times New Roman" w:hAnsi="Times New Roman"/>
          <w:noProof/>
          <w:sz w:val="24"/>
        </w:rPr>
        <w:t>, przyjętym 23 maja, wykorzystano doświadczenia zdobyte zarówno</w:t>
      </w:r>
      <w:r w:rsidR="000309CC" w:rsidRPr="000309CC">
        <w:rPr>
          <w:rFonts w:ascii="Times New Roman" w:hAnsi="Times New Roman"/>
          <w:noProof/>
          <w:sz w:val="24"/>
        </w:rPr>
        <w:t xml:space="preserve"> w zwi</w:t>
      </w:r>
      <w:r w:rsidRPr="000309CC">
        <w:rPr>
          <w:rFonts w:ascii="Times New Roman" w:hAnsi="Times New Roman"/>
          <w:noProof/>
          <w:sz w:val="24"/>
        </w:rPr>
        <w:t>ązku</w:t>
      </w:r>
      <w:r w:rsidR="000309CC" w:rsidRPr="000309CC">
        <w:rPr>
          <w:rFonts w:ascii="Times New Roman" w:hAnsi="Times New Roman"/>
          <w:noProof/>
          <w:sz w:val="24"/>
        </w:rPr>
        <w:t xml:space="preserve"> z pan</w:t>
      </w:r>
      <w:r w:rsidRPr="000309CC">
        <w:rPr>
          <w:rFonts w:ascii="Times New Roman" w:hAnsi="Times New Roman"/>
          <w:noProof/>
          <w:sz w:val="24"/>
        </w:rPr>
        <w:t>demią COVID-19, jak</w:t>
      </w:r>
      <w:r w:rsidR="000309CC" w:rsidRPr="000309CC">
        <w:rPr>
          <w:rFonts w:ascii="Times New Roman" w:hAnsi="Times New Roman"/>
          <w:noProof/>
          <w:sz w:val="24"/>
        </w:rPr>
        <w:t xml:space="preserve"> i agr</w:t>
      </w:r>
      <w:r w:rsidRPr="000309CC">
        <w:rPr>
          <w:rFonts w:ascii="Times New Roman" w:hAnsi="Times New Roman"/>
          <w:noProof/>
          <w:sz w:val="24"/>
        </w:rPr>
        <w:t>esją wojskową Rosji wobec Ukrainy</w:t>
      </w:r>
      <w:r w:rsidR="000309CC" w:rsidRPr="000309CC">
        <w:rPr>
          <w:rFonts w:ascii="Times New Roman" w:hAnsi="Times New Roman"/>
          <w:noProof/>
          <w:sz w:val="24"/>
        </w:rPr>
        <w:t>. W pla</w:t>
      </w:r>
      <w:r w:rsidRPr="000309CC">
        <w:rPr>
          <w:rFonts w:ascii="Times New Roman" w:hAnsi="Times New Roman"/>
          <w:noProof/>
          <w:sz w:val="24"/>
        </w:rPr>
        <w:t>nie tym przewidziano zestaw 10 narzędzi, którymi UE</w:t>
      </w:r>
      <w:r w:rsidR="000309CC" w:rsidRPr="000309CC">
        <w:rPr>
          <w:rFonts w:ascii="Times New Roman" w:hAnsi="Times New Roman"/>
          <w:noProof/>
          <w:sz w:val="24"/>
        </w:rPr>
        <w:t xml:space="preserve"> i jej</w:t>
      </w:r>
      <w:r w:rsidRPr="000309CC">
        <w:rPr>
          <w:rFonts w:ascii="Times New Roman" w:hAnsi="Times New Roman"/>
          <w:noProof/>
          <w:sz w:val="24"/>
        </w:rPr>
        <w:t xml:space="preserve"> państwa członkowskie powinny się kierować przy wprowadzaniu nadzwyczajnych środków reagowania kryzysowego,</w:t>
      </w:r>
      <w:r w:rsidR="000309CC" w:rsidRPr="000309CC">
        <w:rPr>
          <w:rFonts w:ascii="Times New Roman" w:hAnsi="Times New Roman"/>
          <w:noProof/>
          <w:sz w:val="24"/>
        </w:rPr>
        <w:t xml:space="preserve"> w tym</w:t>
      </w:r>
      <w:r w:rsidRPr="000309CC">
        <w:rPr>
          <w:rFonts w:ascii="Times New Roman" w:hAnsi="Times New Roman"/>
          <w:noProof/>
          <w:sz w:val="24"/>
        </w:rPr>
        <w:t xml:space="preserve"> zapewnienie minimalnej jakości sieci połączeń, stworzenie odporności na zagrożenia cyberbezpieczeństwa</w:t>
      </w:r>
      <w:r w:rsidR="000309CC" w:rsidRPr="000309CC">
        <w:rPr>
          <w:rFonts w:ascii="Times New Roman" w:hAnsi="Times New Roman"/>
          <w:noProof/>
          <w:sz w:val="24"/>
        </w:rPr>
        <w:t xml:space="preserve"> i zag</w:t>
      </w:r>
      <w:r w:rsidRPr="000309CC">
        <w:rPr>
          <w:rFonts w:ascii="Times New Roman" w:hAnsi="Times New Roman"/>
          <w:noProof/>
          <w:sz w:val="24"/>
        </w:rPr>
        <w:t>rożenia hybrydowe oraz zacieśnienie współpracy</w:t>
      </w:r>
      <w:r w:rsidR="000309CC" w:rsidRPr="000309CC">
        <w:rPr>
          <w:rFonts w:ascii="Times New Roman" w:hAnsi="Times New Roman"/>
          <w:noProof/>
          <w:sz w:val="24"/>
        </w:rPr>
        <w:t xml:space="preserve"> z par</w:t>
      </w:r>
      <w:r w:rsidRPr="000309CC">
        <w:rPr>
          <w:rFonts w:ascii="Times New Roman" w:hAnsi="Times New Roman"/>
          <w:noProof/>
          <w:sz w:val="24"/>
        </w:rPr>
        <w:t>tnerami międzynarodowymi</w:t>
      </w:r>
      <w:r w:rsidR="000309CC" w:rsidRPr="000309CC">
        <w:rPr>
          <w:rFonts w:ascii="Times New Roman" w:hAnsi="Times New Roman"/>
          <w:noProof/>
          <w:sz w:val="24"/>
        </w:rPr>
        <w:t xml:space="preserve"> w zak</w:t>
      </w:r>
      <w:r w:rsidRPr="000309CC">
        <w:rPr>
          <w:rFonts w:ascii="Times New Roman" w:hAnsi="Times New Roman"/>
          <w:noProof/>
          <w:sz w:val="24"/>
        </w:rPr>
        <w:t>resie gotowości na wypadek sytuacji kryzysowej</w:t>
      </w:r>
      <w:r w:rsidR="000309CC" w:rsidRPr="000309CC">
        <w:rPr>
          <w:rFonts w:ascii="Times New Roman" w:hAnsi="Times New Roman"/>
          <w:noProof/>
          <w:sz w:val="24"/>
        </w:rPr>
        <w:t xml:space="preserve"> i rea</w:t>
      </w:r>
      <w:r w:rsidRPr="000309CC">
        <w:rPr>
          <w:rFonts w:ascii="Times New Roman" w:hAnsi="Times New Roman"/>
          <w:noProof/>
          <w:sz w:val="24"/>
        </w:rPr>
        <w:t>gowania kryzysowego. Podkreślono</w:t>
      </w:r>
      <w:r w:rsidR="000309CC" w:rsidRPr="000309CC">
        <w:rPr>
          <w:rFonts w:ascii="Times New Roman" w:hAnsi="Times New Roman"/>
          <w:noProof/>
          <w:sz w:val="24"/>
        </w:rPr>
        <w:t xml:space="preserve"> w nim</w:t>
      </w:r>
      <w:r w:rsidRPr="000309CC">
        <w:rPr>
          <w:rFonts w:ascii="Times New Roman" w:hAnsi="Times New Roman"/>
          <w:noProof/>
          <w:sz w:val="24"/>
        </w:rPr>
        <w:t xml:space="preserve"> również znaczenie regularnego testowania odporności na różne scenariusze kryzysowe wraz</w:t>
      </w:r>
      <w:r w:rsidR="000309CC" w:rsidRPr="000309CC">
        <w:rPr>
          <w:rFonts w:ascii="Times New Roman" w:hAnsi="Times New Roman"/>
          <w:noProof/>
          <w:sz w:val="24"/>
        </w:rPr>
        <w:t xml:space="preserve"> z odp</w:t>
      </w:r>
      <w:r w:rsidRPr="000309CC">
        <w:rPr>
          <w:rFonts w:ascii="Times New Roman" w:hAnsi="Times New Roman"/>
          <w:noProof/>
          <w:sz w:val="24"/>
        </w:rPr>
        <w:t>owiednimi agencjami UE lub innymi podmiotami oraz</w:t>
      </w:r>
      <w:r w:rsidR="000309CC" w:rsidRPr="000309CC">
        <w:rPr>
          <w:rFonts w:ascii="Times New Roman" w:hAnsi="Times New Roman"/>
          <w:noProof/>
          <w:sz w:val="24"/>
        </w:rPr>
        <w:t xml:space="preserve"> w opa</w:t>
      </w:r>
      <w:r w:rsidRPr="000309CC">
        <w:rPr>
          <w:rFonts w:ascii="Times New Roman" w:hAnsi="Times New Roman"/>
          <w:noProof/>
          <w:sz w:val="24"/>
        </w:rPr>
        <w:t>rciu</w:t>
      </w:r>
      <w:r w:rsidR="000309CC" w:rsidRPr="000309CC">
        <w:rPr>
          <w:rFonts w:ascii="Times New Roman" w:hAnsi="Times New Roman"/>
          <w:noProof/>
          <w:sz w:val="24"/>
        </w:rPr>
        <w:t xml:space="preserve"> o ist</w:t>
      </w:r>
      <w:r w:rsidRPr="000309CC">
        <w:rPr>
          <w:rFonts w:ascii="Times New Roman" w:hAnsi="Times New Roman"/>
          <w:noProof/>
          <w:sz w:val="24"/>
        </w:rPr>
        <w:t>niejące procesy.</w:t>
      </w:r>
    </w:p>
    <w:p w14:paraId="7CB2EC76" w14:textId="1D8EBAEA" w:rsidR="00A9308B" w:rsidRPr="000309CC" w:rsidRDefault="00534528" w:rsidP="00A9308B">
      <w:pPr>
        <w:spacing w:after="120" w:line="240" w:lineRule="auto"/>
        <w:jc w:val="both"/>
        <w:rPr>
          <w:rFonts w:ascii="Times New Roman" w:hAnsi="Times New Roman" w:cs="Times New Roman"/>
          <w:noProof/>
          <w:sz w:val="24"/>
        </w:rPr>
      </w:pPr>
      <w:r w:rsidRPr="000309CC">
        <w:rPr>
          <w:rFonts w:ascii="Times New Roman" w:hAnsi="Times New Roman"/>
          <w:noProof/>
          <w:sz w:val="24"/>
        </w:rPr>
        <w:t>Zgodnie</w:t>
      </w:r>
      <w:r w:rsidR="000309CC" w:rsidRPr="000309CC">
        <w:rPr>
          <w:rFonts w:ascii="Times New Roman" w:hAnsi="Times New Roman"/>
          <w:noProof/>
          <w:sz w:val="24"/>
        </w:rPr>
        <w:t xml:space="preserve"> z ram</w:t>
      </w:r>
      <w:r w:rsidRPr="000309CC">
        <w:rPr>
          <w:rFonts w:ascii="Times New Roman" w:hAnsi="Times New Roman"/>
          <w:noProof/>
          <w:sz w:val="24"/>
        </w:rPr>
        <w:t>ami</w:t>
      </w:r>
      <w:r w:rsidRPr="000309CC">
        <w:rPr>
          <w:rFonts w:ascii="Times New Roman" w:hAnsi="Times New Roman"/>
          <w:b/>
          <w:noProof/>
          <w:sz w:val="24"/>
        </w:rPr>
        <w:t xml:space="preserve"> bezpieczeństwa zdrowotnego w UE </w:t>
      </w:r>
      <w:r w:rsidRPr="000309CC">
        <w:rPr>
          <w:rFonts w:ascii="Times New Roman" w:hAnsi="Times New Roman"/>
          <w:noProof/>
          <w:sz w:val="24"/>
        </w:rPr>
        <w:t>wymiana informacji oparta na systemie wczesnego ostrzegania</w:t>
      </w:r>
      <w:r w:rsidR="000309CC" w:rsidRPr="000309CC">
        <w:rPr>
          <w:rFonts w:ascii="Times New Roman" w:hAnsi="Times New Roman"/>
          <w:noProof/>
          <w:sz w:val="24"/>
        </w:rPr>
        <w:t xml:space="preserve"> i rea</w:t>
      </w:r>
      <w:r w:rsidRPr="000309CC">
        <w:rPr>
          <w:rFonts w:ascii="Times New Roman" w:hAnsi="Times New Roman"/>
          <w:noProof/>
          <w:sz w:val="24"/>
        </w:rPr>
        <w:t>gowania,</w:t>
      </w:r>
      <w:r w:rsidR="000309CC" w:rsidRPr="000309CC">
        <w:rPr>
          <w:rFonts w:ascii="Times New Roman" w:hAnsi="Times New Roman"/>
          <w:noProof/>
          <w:sz w:val="24"/>
        </w:rPr>
        <w:t xml:space="preserve"> w tym</w:t>
      </w:r>
      <w:r w:rsidRPr="000309CC">
        <w:rPr>
          <w:rFonts w:ascii="Times New Roman" w:hAnsi="Times New Roman"/>
          <w:noProof/>
          <w:sz w:val="24"/>
        </w:rPr>
        <w:t xml:space="preserve"> wsparcie ewakuacji medycznej</w:t>
      </w:r>
      <w:r w:rsidR="000309CC" w:rsidRPr="000309CC">
        <w:rPr>
          <w:rFonts w:ascii="Times New Roman" w:hAnsi="Times New Roman"/>
          <w:noProof/>
          <w:sz w:val="24"/>
        </w:rPr>
        <w:t xml:space="preserve"> z Ukr</w:t>
      </w:r>
      <w:r w:rsidRPr="000309CC">
        <w:rPr>
          <w:rFonts w:ascii="Times New Roman" w:hAnsi="Times New Roman"/>
          <w:noProof/>
          <w:sz w:val="24"/>
        </w:rPr>
        <w:t>ainy, musi być chroniona przed cyberatakami,</w:t>
      </w:r>
      <w:r w:rsidR="000309CC" w:rsidRPr="000309CC">
        <w:rPr>
          <w:rFonts w:ascii="Times New Roman" w:hAnsi="Times New Roman"/>
          <w:noProof/>
          <w:sz w:val="24"/>
        </w:rPr>
        <w:t xml:space="preserve"> w zwi</w:t>
      </w:r>
      <w:r w:rsidRPr="000309CC">
        <w:rPr>
          <w:rFonts w:ascii="Times New Roman" w:hAnsi="Times New Roman"/>
          <w:noProof/>
          <w:sz w:val="24"/>
        </w:rPr>
        <w:t>ązku</w:t>
      </w:r>
      <w:r w:rsidR="000309CC" w:rsidRPr="000309CC">
        <w:rPr>
          <w:rFonts w:ascii="Times New Roman" w:hAnsi="Times New Roman"/>
          <w:noProof/>
          <w:sz w:val="24"/>
        </w:rPr>
        <w:t xml:space="preserve"> z czy</w:t>
      </w:r>
      <w:r w:rsidRPr="000309CC">
        <w:rPr>
          <w:rFonts w:ascii="Times New Roman" w:hAnsi="Times New Roman"/>
          <w:noProof/>
          <w:sz w:val="24"/>
        </w:rPr>
        <w:t>m wzmacniane jest bezpieczeństwo systemu.</w:t>
      </w:r>
    </w:p>
    <w:p w14:paraId="747DAE4F" w14:textId="00D974CB" w:rsidR="00474DA2" w:rsidRPr="000309CC" w:rsidRDefault="00FD6EBE" w:rsidP="00A9308B">
      <w:pPr>
        <w:spacing w:after="120" w:line="240" w:lineRule="auto"/>
        <w:jc w:val="both"/>
        <w:rPr>
          <w:rFonts w:ascii="Times New Roman" w:hAnsi="Times New Roman" w:cs="Times New Roman"/>
          <w:bCs/>
          <w:i/>
          <w:noProof/>
          <w:sz w:val="24"/>
          <w:szCs w:val="24"/>
        </w:rPr>
      </w:pPr>
      <w:r w:rsidRPr="000309CC">
        <w:rPr>
          <w:rFonts w:ascii="Times New Roman" w:hAnsi="Times New Roman"/>
          <w:i/>
          <w:noProof/>
          <w:sz w:val="24"/>
        </w:rPr>
        <w:t>Współpraca</w:t>
      </w:r>
      <w:r w:rsidR="000309CC" w:rsidRPr="000309CC">
        <w:rPr>
          <w:rFonts w:ascii="Times New Roman" w:hAnsi="Times New Roman"/>
          <w:i/>
          <w:noProof/>
          <w:sz w:val="24"/>
        </w:rPr>
        <w:t xml:space="preserve"> z par</w:t>
      </w:r>
      <w:r w:rsidRPr="000309CC">
        <w:rPr>
          <w:rFonts w:ascii="Times New Roman" w:hAnsi="Times New Roman"/>
          <w:i/>
          <w:noProof/>
          <w:sz w:val="24"/>
        </w:rPr>
        <w:t>tnerami</w:t>
      </w:r>
    </w:p>
    <w:p w14:paraId="14951153" w14:textId="52212B85" w:rsidR="00C95B39" w:rsidRPr="000309CC" w:rsidRDefault="00FD6EBE" w:rsidP="00FD6EBE">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UE nieustannie współpracuje ze swoimi partnerami międzynarodowymi, aby zapobiegać szkodliwym zachowaniom</w:t>
      </w:r>
      <w:r w:rsidR="000309CC" w:rsidRPr="000309CC">
        <w:rPr>
          <w:rFonts w:ascii="Times New Roman" w:hAnsi="Times New Roman"/>
          <w:noProof/>
          <w:sz w:val="24"/>
        </w:rPr>
        <w:t xml:space="preserve"> w cyb</w:t>
      </w:r>
      <w:r w:rsidRPr="000309CC">
        <w:rPr>
          <w:rFonts w:ascii="Times New Roman" w:hAnsi="Times New Roman"/>
          <w:noProof/>
          <w:sz w:val="24"/>
        </w:rPr>
        <w:t>erprzestrzeni, zniechęcać do nich, powstrzymywać przed nimi</w:t>
      </w:r>
      <w:r w:rsidR="000309CC" w:rsidRPr="000309CC">
        <w:rPr>
          <w:rFonts w:ascii="Times New Roman" w:hAnsi="Times New Roman"/>
          <w:noProof/>
          <w:sz w:val="24"/>
        </w:rPr>
        <w:t xml:space="preserve"> i rea</w:t>
      </w:r>
      <w:r w:rsidRPr="000309CC">
        <w:rPr>
          <w:rFonts w:ascii="Times New Roman" w:hAnsi="Times New Roman"/>
          <w:noProof/>
          <w:sz w:val="24"/>
        </w:rPr>
        <w:t>gować na nie. Rosyjska agresja na Ukrainę sprawiła, że współpraca</w:t>
      </w:r>
      <w:r w:rsidR="000309CC" w:rsidRPr="000309CC">
        <w:rPr>
          <w:rFonts w:ascii="Times New Roman" w:hAnsi="Times New Roman"/>
          <w:noProof/>
          <w:sz w:val="24"/>
        </w:rPr>
        <w:t xml:space="preserve"> w tej</w:t>
      </w:r>
      <w:r w:rsidRPr="000309CC">
        <w:rPr>
          <w:rFonts w:ascii="Times New Roman" w:hAnsi="Times New Roman"/>
          <w:noProof/>
          <w:sz w:val="24"/>
        </w:rPr>
        <w:t xml:space="preserve"> dziedzinie stała się ważniejsza niż kiedykolwiek</w:t>
      </w:r>
      <w:r w:rsidR="000309CC" w:rsidRPr="000309CC">
        <w:rPr>
          <w:rFonts w:ascii="Times New Roman" w:hAnsi="Times New Roman"/>
          <w:noProof/>
          <w:sz w:val="24"/>
        </w:rPr>
        <w:t>. W zwi</w:t>
      </w:r>
      <w:r w:rsidRPr="000309CC">
        <w:rPr>
          <w:rFonts w:ascii="Times New Roman" w:hAnsi="Times New Roman"/>
          <w:noProof/>
          <w:sz w:val="24"/>
        </w:rPr>
        <w:t>ązku</w:t>
      </w:r>
      <w:r w:rsidR="000309CC" w:rsidRPr="000309CC">
        <w:rPr>
          <w:rFonts w:ascii="Times New Roman" w:hAnsi="Times New Roman"/>
          <w:noProof/>
          <w:sz w:val="24"/>
        </w:rPr>
        <w:t xml:space="preserve"> z tym</w:t>
      </w:r>
      <w:r w:rsidRPr="000309CC">
        <w:rPr>
          <w:rFonts w:ascii="Times New Roman" w:hAnsi="Times New Roman"/>
          <w:noProof/>
          <w:sz w:val="24"/>
        </w:rPr>
        <w:t xml:space="preserve"> ESDZ pracuje nad wymianą wiedzy na temat orientacji sytuacyjnej</w:t>
      </w:r>
      <w:r w:rsidR="000309CC" w:rsidRPr="000309CC">
        <w:rPr>
          <w:rFonts w:ascii="Times New Roman" w:hAnsi="Times New Roman"/>
          <w:noProof/>
          <w:sz w:val="24"/>
        </w:rPr>
        <w:t xml:space="preserve"> i koo</w:t>
      </w:r>
      <w:r w:rsidRPr="000309CC">
        <w:rPr>
          <w:rFonts w:ascii="Times New Roman" w:hAnsi="Times New Roman"/>
          <w:noProof/>
          <w:sz w:val="24"/>
        </w:rPr>
        <w:t>rdynacją reakcji na szkodliwe działania</w:t>
      </w:r>
      <w:r w:rsidR="000309CC" w:rsidRPr="000309CC">
        <w:rPr>
          <w:rFonts w:ascii="Times New Roman" w:hAnsi="Times New Roman"/>
          <w:noProof/>
          <w:sz w:val="24"/>
        </w:rPr>
        <w:t xml:space="preserve"> w cyb</w:t>
      </w:r>
      <w:r w:rsidRPr="000309CC">
        <w:rPr>
          <w:rFonts w:ascii="Times New Roman" w:hAnsi="Times New Roman"/>
          <w:noProof/>
          <w:sz w:val="24"/>
        </w:rPr>
        <w:t>erprzestrzeni wymierzone</w:t>
      </w:r>
      <w:r w:rsidR="000309CC" w:rsidRPr="000309CC">
        <w:rPr>
          <w:rFonts w:ascii="Times New Roman" w:hAnsi="Times New Roman"/>
          <w:noProof/>
          <w:sz w:val="24"/>
        </w:rPr>
        <w:t xml:space="preserve"> w Ukr</w:t>
      </w:r>
      <w:r w:rsidRPr="000309CC">
        <w:rPr>
          <w:rFonts w:ascii="Times New Roman" w:hAnsi="Times New Roman"/>
          <w:noProof/>
          <w:sz w:val="24"/>
        </w:rPr>
        <w:t>ainę,</w:t>
      </w:r>
      <w:r w:rsidR="000309CC" w:rsidRPr="000309CC">
        <w:rPr>
          <w:rFonts w:ascii="Times New Roman" w:hAnsi="Times New Roman"/>
          <w:noProof/>
          <w:sz w:val="24"/>
        </w:rPr>
        <w:t xml:space="preserve"> a tak</w:t>
      </w:r>
      <w:r w:rsidRPr="000309CC">
        <w:rPr>
          <w:rFonts w:ascii="Times New Roman" w:hAnsi="Times New Roman"/>
          <w:noProof/>
          <w:sz w:val="24"/>
        </w:rPr>
        <w:t>że nad wsparciem dla Ukrainy</w:t>
      </w:r>
      <w:r w:rsidR="000309CC" w:rsidRPr="000309CC">
        <w:rPr>
          <w:rFonts w:ascii="Times New Roman" w:hAnsi="Times New Roman"/>
          <w:noProof/>
          <w:sz w:val="24"/>
        </w:rPr>
        <w:t xml:space="preserve"> i inn</w:t>
      </w:r>
      <w:r w:rsidRPr="000309CC">
        <w:rPr>
          <w:rFonts w:ascii="Times New Roman" w:hAnsi="Times New Roman"/>
          <w:noProof/>
          <w:sz w:val="24"/>
        </w:rPr>
        <w:t>ych państw</w:t>
      </w:r>
      <w:r w:rsidR="000309CC" w:rsidRPr="000309CC">
        <w:rPr>
          <w:rFonts w:ascii="Times New Roman" w:hAnsi="Times New Roman"/>
          <w:noProof/>
          <w:sz w:val="24"/>
        </w:rPr>
        <w:t xml:space="preserve"> w reg</w:t>
      </w:r>
      <w:r w:rsidRPr="000309CC">
        <w:rPr>
          <w:rFonts w:ascii="Times New Roman" w:hAnsi="Times New Roman"/>
          <w:noProof/>
          <w:sz w:val="24"/>
        </w:rPr>
        <w:t>ionie, współpracując</w:t>
      </w:r>
      <w:r w:rsidR="000309CC" w:rsidRPr="000309CC">
        <w:rPr>
          <w:rFonts w:ascii="Times New Roman" w:hAnsi="Times New Roman"/>
          <w:noProof/>
          <w:sz w:val="24"/>
        </w:rPr>
        <w:t xml:space="preserve"> z par</w:t>
      </w:r>
      <w:r w:rsidRPr="000309CC">
        <w:rPr>
          <w:rFonts w:ascii="Times New Roman" w:hAnsi="Times New Roman"/>
          <w:noProof/>
          <w:sz w:val="24"/>
        </w:rPr>
        <w:t>tnerami,</w:t>
      </w:r>
      <w:r w:rsidR="000309CC" w:rsidRPr="000309CC">
        <w:rPr>
          <w:rFonts w:ascii="Times New Roman" w:hAnsi="Times New Roman"/>
          <w:noProof/>
          <w:sz w:val="24"/>
        </w:rPr>
        <w:t xml:space="preserve"> w tym</w:t>
      </w:r>
      <w:r w:rsidRPr="000309CC">
        <w:rPr>
          <w:rFonts w:ascii="Times New Roman" w:hAnsi="Times New Roman"/>
          <w:noProof/>
          <w:sz w:val="24"/>
        </w:rPr>
        <w:t xml:space="preserve"> USA i NATO, aby zapewnić komplementarność</w:t>
      </w:r>
      <w:r w:rsidR="000309CC" w:rsidRPr="000309CC">
        <w:rPr>
          <w:rFonts w:ascii="Times New Roman" w:hAnsi="Times New Roman"/>
          <w:noProof/>
          <w:sz w:val="24"/>
        </w:rPr>
        <w:t xml:space="preserve"> i uni</w:t>
      </w:r>
      <w:r w:rsidRPr="000309CC">
        <w:rPr>
          <w:rFonts w:ascii="Times New Roman" w:hAnsi="Times New Roman"/>
          <w:noProof/>
          <w:sz w:val="24"/>
        </w:rPr>
        <w:t xml:space="preserve">knąć nakładania się działań. </w:t>
      </w:r>
    </w:p>
    <w:p w14:paraId="35C6641C" w14:textId="77777777" w:rsidR="00DD419E" w:rsidRPr="000309CC" w:rsidRDefault="00DD419E" w:rsidP="00FD6EBE">
      <w:pPr>
        <w:spacing w:after="0" w:line="240" w:lineRule="auto"/>
        <w:jc w:val="both"/>
        <w:rPr>
          <w:rFonts w:ascii="Times New Roman" w:hAnsi="Times New Roman" w:cs="Times New Roman"/>
          <w:bCs/>
          <w:noProof/>
          <w:sz w:val="24"/>
          <w:szCs w:val="24"/>
        </w:rPr>
      </w:pPr>
    </w:p>
    <w:p w14:paraId="16FB608A" w14:textId="41E73370" w:rsidR="00FD6EBE" w:rsidRPr="000309CC" w:rsidRDefault="0043676D" w:rsidP="00FD6EBE">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Ścisła współpraca z USA pogłębiła się również</w:t>
      </w:r>
      <w:r w:rsidR="000309CC" w:rsidRPr="000309CC">
        <w:rPr>
          <w:rFonts w:ascii="Times New Roman" w:hAnsi="Times New Roman"/>
          <w:noProof/>
          <w:sz w:val="24"/>
        </w:rPr>
        <w:t xml:space="preserve"> w ram</w:t>
      </w:r>
      <w:r w:rsidRPr="000309CC">
        <w:rPr>
          <w:rFonts w:ascii="Times New Roman" w:hAnsi="Times New Roman"/>
          <w:noProof/>
          <w:sz w:val="24"/>
        </w:rPr>
        <w:t>ach Rady UE–USA ds. Handlu</w:t>
      </w:r>
      <w:r w:rsidR="000309CC" w:rsidRPr="000309CC">
        <w:rPr>
          <w:rFonts w:ascii="Times New Roman" w:hAnsi="Times New Roman"/>
          <w:noProof/>
          <w:sz w:val="24"/>
        </w:rPr>
        <w:t xml:space="preserve"> i Tec</w:t>
      </w:r>
      <w:r w:rsidRPr="000309CC">
        <w:rPr>
          <w:rFonts w:ascii="Times New Roman" w:hAnsi="Times New Roman"/>
          <w:noProof/>
          <w:sz w:val="24"/>
        </w:rPr>
        <w:t>hnologii. We wspólnym oświadczeniu</w:t>
      </w:r>
      <w:r w:rsidRPr="000309CC">
        <w:rPr>
          <w:rStyle w:val="FootnoteReference"/>
          <w:rFonts w:ascii="Times New Roman" w:hAnsi="Times New Roman" w:cs="Times New Roman"/>
          <w:bCs/>
          <w:noProof/>
          <w:sz w:val="24"/>
          <w:szCs w:val="24"/>
        </w:rPr>
        <w:footnoteReference w:id="26"/>
      </w:r>
      <w:r w:rsidRPr="000309CC">
        <w:rPr>
          <w:rFonts w:ascii="Times New Roman" w:hAnsi="Times New Roman"/>
          <w:noProof/>
          <w:sz w:val="24"/>
        </w:rPr>
        <w:t xml:space="preserve"> wydanym po majowym posiedzeniu ministerialnym</w:t>
      </w:r>
      <w:r w:rsidR="000309CC" w:rsidRPr="000309CC">
        <w:rPr>
          <w:rFonts w:ascii="Times New Roman" w:hAnsi="Times New Roman"/>
          <w:noProof/>
          <w:sz w:val="24"/>
        </w:rPr>
        <w:t xml:space="preserve"> w Par</w:t>
      </w:r>
      <w:r w:rsidRPr="000309CC">
        <w:rPr>
          <w:rFonts w:ascii="Times New Roman" w:hAnsi="Times New Roman"/>
          <w:noProof/>
          <w:sz w:val="24"/>
        </w:rPr>
        <w:t>yżu podkreślono główną rolę Rady UE–USA ds. Handlu</w:t>
      </w:r>
      <w:r w:rsidR="000309CC" w:rsidRPr="000309CC">
        <w:rPr>
          <w:rFonts w:ascii="Times New Roman" w:hAnsi="Times New Roman"/>
          <w:noProof/>
          <w:sz w:val="24"/>
        </w:rPr>
        <w:t xml:space="preserve"> i Tec</w:t>
      </w:r>
      <w:r w:rsidRPr="000309CC">
        <w:rPr>
          <w:rFonts w:ascii="Times New Roman" w:hAnsi="Times New Roman"/>
          <w:noProof/>
          <w:sz w:val="24"/>
        </w:rPr>
        <w:t>hnologii</w:t>
      </w:r>
      <w:r w:rsidR="000309CC" w:rsidRPr="000309CC">
        <w:rPr>
          <w:rFonts w:ascii="Times New Roman" w:hAnsi="Times New Roman"/>
          <w:noProof/>
          <w:sz w:val="24"/>
        </w:rPr>
        <w:t xml:space="preserve"> w odn</w:t>
      </w:r>
      <w:r w:rsidRPr="000309CC">
        <w:rPr>
          <w:rFonts w:ascii="Times New Roman" w:hAnsi="Times New Roman"/>
          <w:noProof/>
          <w:sz w:val="24"/>
        </w:rPr>
        <w:t>owionym partnerstwie transatlantyckim, które służy koordynacji wspólnych środków stosowanych przez UE i USA</w:t>
      </w:r>
      <w:r w:rsidR="000309CC" w:rsidRPr="000309CC">
        <w:rPr>
          <w:rFonts w:ascii="Times New Roman" w:hAnsi="Times New Roman"/>
          <w:noProof/>
          <w:sz w:val="24"/>
        </w:rPr>
        <w:t xml:space="preserve"> w obl</w:t>
      </w:r>
      <w:r w:rsidRPr="000309CC">
        <w:rPr>
          <w:rFonts w:ascii="Times New Roman" w:hAnsi="Times New Roman"/>
          <w:noProof/>
          <w:sz w:val="24"/>
        </w:rPr>
        <w:t>iczu rosyjskiej agresji na Ukrainę. Obie strony zgodziły się, że ścisła współpraca na rzecz zwiększenia odporności łańcuchów dostaw ma większe znaczenie niż kiedykolwiek wcześniej. Ponadto utworzono specjalną grupę zadaniową ds. publicznego finansowania bezpiecznej</w:t>
      </w:r>
      <w:r w:rsidR="000309CC" w:rsidRPr="000309CC">
        <w:rPr>
          <w:rFonts w:ascii="Times New Roman" w:hAnsi="Times New Roman"/>
          <w:noProof/>
          <w:sz w:val="24"/>
        </w:rPr>
        <w:t xml:space="preserve"> i odp</w:t>
      </w:r>
      <w:r w:rsidRPr="000309CC">
        <w:rPr>
          <w:rFonts w:ascii="Times New Roman" w:hAnsi="Times New Roman"/>
          <w:noProof/>
          <w:sz w:val="24"/>
        </w:rPr>
        <w:t>ornej infrastruktury cyfrowej</w:t>
      </w:r>
      <w:r w:rsidR="000309CC" w:rsidRPr="000309CC">
        <w:rPr>
          <w:rFonts w:ascii="Times New Roman" w:hAnsi="Times New Roman"/>
          <w:noProof/>
          <w:sz w:val="24"/>
        </w:rPr>
        <w:t xml:space="preserve"> w pań</w:t>
      </w:r>
      <w:r w:rsidRPr="000309CC">
        <w:rPr>
          <w:rFonts w:ascii="Times New Roman" w:hAnsi="Times New Roman"/>
          <w:noProof/>
          <w:sz w:val="24"/>
        </w:rPr>
        <w:t>stwach trzecich, aby utorować drogę do wspólnego publicznego finansowania przez USA i UE projektów</w:t>
      </w:r>
      <w:r w:rsidR="000309CC" w:rsidRPr="000309CC">
        <w:rPr>
          <w:rFonts w:ascii="Times New Roman" w:hAnsi="Times New Roman"/>
          <w:noProof/>
          <w:sz w:val="24"/>
        </w:rPr>
        <w:t xml:space="preserve"> w zak</w:t>
      </w:r>
      <w:r w:rsidRPr="000309CC">
        <w:rPr>
          <w:rFonts w:ascii="Times New Roman" w:hAnsi="Times New Roman"/>
          <w:noProof/>
          <w:sz w:val="24"/>
        </w:rPr>
        <w:t>resie technologii cyfrowych</w:t>
      </w:r>
      <w:r w:rsidR="000309CC" w:rsidRPr="000309CC">
        <w:rPr>
          <w:rFonts w:ascii="Times New Roman" w:hAnsi="Times New Roman"/>
          <w:noProof/>
          <w:sz w:val="24"/>
        </w:rPr>
        <w:t xml:space="preserve"> w pań</w:t>
      </w:r>
      <w:r w:rsidRPr="000309CC">
        <w:rPr>
          <w:rFonts w:ascii="Times New Roman" w:hAnsi="Times New Roman"/>
          <w:noProof/>
          <w:sz w:val="24"/>
        </w:rPr>
        <w:t>stwach trzecich</w:t>
      </w:r>
      <w:r w:rsidR="000309CC" w:rsidRPr="000309CC">
        <w:rPr>
          <w:rFonts w:ascii="Times New Roman" w:hAnsi="Times New Roman"/>
          <w:noProof/>
          <w:sz w:val="24"/>
        </w:rPr>
        <w:t xml:space="preserve"> w opa</w:t>
      </w:r>
      <w:r w:rsidRPr="000309CC">
        <w:rPr>
          <w:rFonts w:ascii="Times New Roman" w:hAnsi="Times New Roman"/>
          <w:noProof/>
          <w:sz w:val="24"/>
        </w:rPr>
        <w:t>rciu</w:t>
      </w:r>
      <w:r w:rsidR="000309CC" w:rsidRPr="000309CC">
        <w:rPr>
          <w:rFonts w:ascii="Times New Roman" w:hAnsi="Times New Roman"/>
          <w:noProof/>
          <w:sz w:val="24"/>
        </w:rPr>
        <w:t xml:space="preserve"> o zbi</w:t>
      </w:r>
      <w:r w:rsidRPr="000309CC">
        <w:rPr>
          <w:rFonts w:ascii="Times New Roman" w:hAnsi="Times New Roman"/>
          <w:noProof/>
          <w:sz w:val="24"/>
        </w:rPr>
        <w:t xml:space="preserve">ór wspólnych, nadrzędnych zasad. </w:t>
      </w:r>
    </w:p>
    <w:p w14:paraId="44B343DB" w14:textId="77777777" w:rsidR="00DD419E" w:rsidRPr="000309CC" w:rsidRDefault="00DD419E" w:rsidP="00474DA2">
      <w:pPr>
        <w:spacing w:after="0" w:line="240" w:lineRule="auto"/>
        <w:jc w:val="both"/>
        <w:rPr>
          <w:rFonts w:ascii="Times New Roman" w:hAnsi="Times New Roman" w:cs="Times New Roman"/>
          <w:noProof/>
          <w:sz w:val="24"/>
          <w:szCs w:val="24"/>
        </w:rPr>
      </w:pPr>
    </w:p>
    <w:p w14:paraId="2C3F0B77" w14:textId="01F85675" w:rsidR="00474DA2" w:rsidRPr="000309CC" w:rsidRDefault="00474DA2"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Strategiczny kompas przyjęty</w:t>
      </w:r>
      <w:r w:rsidR="000309CC" w:rsidRPr="000309CC">
        <w:rPr>
          <w:rFonts w:ascii="Times New Roman" w:hAnsi="Times New Roman"/>
          <w:noProof/>
          <w:sz w:val="24"/>
        </w:rPr>
        <w:t xml:space="preserve"> w mar</w:t>
      </w:r>
      <w:r w:rsidRPr="000309CC">
        <w:rPr>
          <w:rFonts w:ascii="Times New Roman" w:hAnsi="Times New Roman"/>
          <w:noProof/>
          <w:sz w:val="24"/>
        </w:rPr>
        <w:t>cu 2022</w:t>
      </w:r>
      <w:r w:rsidR="000309CC" w:rsidRPr="000309CC">
        <w:rPr>
          <w:rFonts w:ascii="Times New Roman" w:hAnsi="Times New Roman"/>
          <w:noProof/>
          <w:sz w:val="24"/>
        </w:rPr>
        <w:t> </w:t>
      </w:r>
      <w:r w:rsidRPr="000309CC">
        <w:rPr>
          <w:rFonts w:ascii="Times New Roman" w:hAnsi="Times New Roman"/>
          <w:noProof/>
          <w:sz w:val="24"/>
        </w:rPr>
        <w:t>r. (zob. sekcja VII) przyczyni się do dalszego wzmocnienia unijnego zestawu narzędzi dla dyplomacji cyfrowej</w:t>
      </w:r>
      <w:r w:rsidR="000309CC" w:rsidRPr="000309CC">
        <w:rPr>
          <w:rFonts w:ascii="Times New Roman" w:hAnsi="Times New Roman"/>
          <w:noProof/>
          <w:sz w:val="24"/>
        </w:rPr>
        <w:t xml:space="preserve"> i poz</w:t>
      </w:r>
      <w:r w:rsidRPr="000309CC">
        <w:rPr>
          <w:rFonts w:ascii="Times New Roman" w:hAnsi="Times New Roman"/>
          <w:noProof/>
          <w:sz w:val="24"/>
        </w:rPr>
        <w:t>woli nadal pracować nad polityką UE</w:t>
      </w:r>
      <w:r w:rsidR="000309CC" w:rsidRPr="000309CC">
        <w:rPr>
          <w:rFonts w:ascii="Times New Roman" w:hAnsi="Times New Roman"/>
          <w:noProof/>
          <w:sz w:val="24"/>
        </w:rPr>
        <w:t xml:space="preserve"> w zak</w:t>
      </w:r>
      <w:r w:rsidRPr="000309CC">
        <w:rPr>
          <w:rFonts w:ascii="Times New Roman" w:hAnsi="Times New Roman"/>
          <w:noProof/>
          <w:sz w:val="24"/>
        </w:rPr>
        <w:t>resie cyberobrony, by lepiej przygotować się na cyberataki</w:t>
      </w:r>
      <w:r w:rsidR="000309CC" w:rsidRPr="000309CC">
        <w:rPr>
          <w:rFonts w:ascii="Times New Roman" w:hAnsi="Times New Roman"/>
          <w:noProof/>
          <w:sz w:val="24"/>
        </w:rPr>
        <w:t xml:space="preserve"> i lep</w:t>
      </w:r>
      <w:r w:rsidRPr="000309CC">
        <w:rPr>
          <w:rFonts w:ascii="Times New Roman" w:hAnsi="Times New Roman"/>
          <w:noProof/>
          <w:sz w:val="24"/>
        </w:rPr>
        <w:t>iej na nie reagować,</w:t>
      </w:r>
      <w:r w:rsidR="000309CC" w:rsidRPr="000309CC">
        <w:rPr>
          <w:rFonts w:ascii="Times New Roman" w:hAnsi="Times New Roman"/>
          <w:noProof/>
          <w:sz w:val="24"/>
        </w:rPr>
        <w:t xml:space="preserve"> w ram</w:t>
      </w:r>
      <w:r w:rsidRPr="000309CC">
        <w:rPr>
          <w:rFonts w:ascii="Times New Roman" w:hAnsi="Times New Roman"/>
          <w:noProof/>
          <w:sz w:val="24"/>
        </w:rPr>
        <w:t>ach szerszej strategii mającej na celu zwiększenie zdolności UE do działania</w:t>
      </w:r>
      <w:r w:rsidR="000309CC" w:rsidRPr="000309CC">
        <w:rPr>
          <w:rFonts w:ascii="Times New Roman" w:hAnsi="Times New Roman"/>
          <w:noProof/>
          <w:sz w:val="24"/>
        </w:rPr>
        <w:t xml:space="preserve"> w syt</w:t>
      </w:r>
      <w:r w:rsidRPr="000309CC">
        <w:rPr>
          <w:rFonts w:ascii="Times New Roman" w:hAnsi="Times New Roman"/>
          <w:noProof/>
          <w:sz w:val="24"/>
        </w:rPr>
        <w:t>uacjach kryzysowych</w:t>
      </w:r>
      <w:r w:rsidR="000309CC" w:rsidRPr="000309CC">
        <w:rPr>
          <w:rFonts w:ascii="Times New Roman" w:hAnsi="Times New Roman"/>
          <w:noProof/>
          <w:sz w:val="24"/>
        </w:rPr>
        <w:t xml:space="preserve"> i obr</w:t>
      </w:r>
      <w:r w:rsidRPr="000309CC">
        <w:rPr>
          <w:rFonts w:ascii="Times New Roman" w:hAnsi="Times New Roman"/>
          <w:noProof/>
          <w:sz w:val="24"/>
        </w:rPr>
        <w:t xml:space="preserve">ony swoich interesów. </w:t>
      </w:r>
    </w:p>
    <w:p w14:paraId="09A7A515" w14:textId="77777777" w:rsidR="00474DA2" w:rsidRPr="000309CC" w:rsidRDefault="00474DA2" w:rsidP="00474DA2">
      <w:pPr>
        <w:spacing w:after="0" w:line="240" w:lineRule="auto"/>
        <w:jc w:val="both"/>
        <w:rPr>
          <w:rFonts w:ascii="Times New Roman" w:hAnsi="Times New Roman" w:cs="Times New Roman"/>
          <w:bCs/>
          <w:noProof/>
          <w:sz w:val="24"/>
          <w:szCs w:val="24"/>
        </w:rPr>
      </w:pPr>
    </w:p>
    <w:p w14:paraId="7F74C9BA" w14:textId="792F739A" w:rsidR="00474DA2" w:rsidRPr="000309CC" w:rsidRDefault="00474DA2" w:rsidP="00474DA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noProof/>
          <w:sz w:val="24"/>
          <w:szCs w:val="24"/>
        </w:rPr>
      </w:pPr>
      <w:r w:rsidRPr="000309CC">
        <w:rPr>
          <w:rFonts w:ascii="Times New Roman" w:hAnsi="Times New Roman"/>
          <w:b/>
          <w:noProof/>
          <w:sz w:val="24"/>
        </w:rPr>
        <w:t>Wsparcie</w:t>
      </w:r>
      <w:r w:rsidR="000309CC" w:rsidRPr="000309CC">
        <w:rPr>
          <w:rFonts w:ascii="Times New Roman" w:hAnsi="Times New Roman"/>
          <w:b/>
          <w:noProof/>
          <w:sz w:val="24"/>
        </w:rPr>
        <w:t xml:space="preserve"> w zak</w:t>
      </w:r>
      <w:r w:rsidRPr="000309CC">
        <w:rPr>
          <w:rFonts w:ascii="Times New Roman" w:hAnsi="Times New Roman"/>
          <w:b/>
          <w:noProof/>
          <w:sz w:val="24"/>
        </w:rPr>
        <w:t>resie cyberbezpieczeństwa dla Ukrainy</w:t>
      </w:r>
      <w:r w:rsidR="000309CC" w:rsidRPr="000309CC">
        <w:rPr>
          <w:rFonts w:ascii="Times New Roman" w:hAnsi="Times New Roman"/>
          <w:b/>
          <w:noProof/>
          <w:sz w:val="24"/>
        </w:rPr>
        <w:t xml:space="preserve"> i pań</w:t>
      </w:r>
      <w:r w:rsidRPr="000309CC">
        <w:rPr>
          <w:rFonts w:ascii="Times New Roman" w:hAnsi="Times New Roman"/>
          <w:b/>
          <w:noProof/>
          <w:sz w:val="24"/>
        </w:rPr>
        <w:t>stw sąsiadujących</w:t>
      </w:r>
    </w:p>
    <w:p w14:paraId="3E6BE021" w14:textId="5F0D4D8A" w:rsidR="00551EA2" w:rsidRPr="000309CC" w:rsidRDefault="00FB5B4F" w:rsidP="00551EA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rPr>
      </w:pPr>
      <w:r w:rsidRPr="000309CC">
        <w:rPr>
          <w:rFonts w:ascii="Times New Roman" w:hAnsi="Times New Roman"/>
          <w:noProof/>
          <w:sz w:val="24"/>
        </w:rPr>
        <w:t>UE jeszcze przed wojną wspierała cyberodporność Ukrainy. Już</w:t>
      </w:r>
      <w:r w:rsidR="000309CC" w:rsidRPr="000309CC">
        <w:rPr>
          <w:rFonts w:ascii="Times New Roman" w:hAnsi="Times New Roman"/>
          <w:noProof/>
          <w:sz w:val="24"/>
        </w:rPr>
        <w:t xml:space="preserve"> w cze</w:t>
      </w:r>
      <w:r w:rsidRPr="000309CC">
        <w:rPr>
          <w:rFonts w:ascii="Times New Roman" w:hAnsi="Times New Roman"/>
          <w:noProof/>
          <w:sz w:val="24"/>
        </w:rPr>
        <w:t>rwcu 2021</w:t>
      </w:r>
      <w:r w:rsidR="000309CC" w:rsidRPr="000309CC">
        <w:rPr>
          <w:rFonts w:ascii="Times New Roman" w:hAnsi="Times New Roman"/>
          <w:noProof/>
          <w:sz w:val="24"/>
        </w:rPr>
        <w:t> </w:t>
      </w:r>
      <w:r w:rsidRPr="000309CC">
        <w:rPr>
          <w:rFonts w:ascii="Times New Roman" w:hAnsi="Times New Roman"/>
          <w:noProof/>
          <w:sz w:val="24"/>
        </w:rPr>
        <w:t>r. UE</w:t>
      </w:r>
      <w:r w:rsidR="000309CC" w:rsidRPr="000309CC">
        <w:rPr>
          <w:rFonts w:ascii="Times New Roman" w:hAnsi="Times New Roman"/>
          <w:noProof/>
          <w:sz w:val="24"/>
        </w:rPr>
        <w:t xml:space="preserve"> i Ukr</w:t>
      </w:r>
      <w:r w:rsidRPr="000309CC">
        <w:rPr>
          <w:rFonts w:ascii="Times New Roman" w:hAnsi="Times New Roman"/>
          <w:noProof/>
          <w:sz w:val="24"/>
        </w:rPr>
        <w:t>aina przeprowadziły pierwszy dialog</w:t>
      </w:r>
      <w:r w:rsidR="000309CC" w:rsidRPr="000309CC">
        <w:rPr>
          <w:rFonts w:ascii="Times New Roman" w:hAnsi="Times New Roman"/>
          <w:noProof/>
          <w:sz w:val="24"/>
        </w:rPr>
        <w:t xml:space="preserve"> w spr</w:t>
      </w:r>
      <w:r w:rsidRPr="000309CC">
        <w:rPr>
          <w:rFonts w:ascii="Times New Roman" w:hAnsi="Times New Roman"/>
          <w:noProof/>
          <w:sz w:val="24"/>
        </w:rPr>
        <w:t>awach cyberprzestrzeni i UE udzieliła wsparcia na rzecz cyberbezpieczeństwa</w:t>
      </w:r>
      <w:r w:rsidR="000309CC" w:rsidRPr="000309CC">
        <w:rPr>
          <w:rFonts w:ascii="Times New Roman" w:hAnsi="Times New Roman"/>
          <w:noProof/>
          <w:sz w:val="24"/>
        </w:rPr>
        <w:t xml:space="preserve"> i prę</w:t>
      </w:r>
      <w:r w:rsidRPr="000309CC">
        <w:rPr>
          <w:rFonts w:ascii="Times New Roman" w:hAnsi="Times New Roman"/>
          <w:noProof/>
          <w:sz w:val="24"/>
        </w:rPr>
        <w:t>żnej transformacji cyfrowej</w:t>
      </w:r>
      <w:r w:rsidR="000309CC" w:rsidRPr="000309CC">
        <w:rPr>
          <w:rFonts w:ascii="Times New Roman" w:hAnsi="Times New Roman"/>
          <w:noProof/>
          <w:sz w:val="24"/>
        </w:rPr>
        <w:t xml:space="preserve"> w ram</w:t>
      </w:r>
      <w:r w:rsidRPr="000309CC">
        <w:rPr>
          <w:rFonts w:ascii="Times New Roman" w:hAnsi="Times New Roman"/>
          <w:noProof/>
          <w:sz w:val="24"/>
        </w:rPr>
        <w:t>ach programu EU4Digital Ukraine</w:t>
      </w:r>
      <w:r w:rsidR="000309CC" w:rsidRPr="000309CC">
        <w:rPr>
          <w:rFonts w:ascii="Times New Roman" w:hAnsi="Times New Roman"/>
          <w:noProof/>
          <w:sz w:val="24"/>
        </w:rPr>
        <w:t xml:space="preserve"> o war</w:t>
      </w:r>
      <w:r w:rsidRPr="000309CC">
        <w:rPr>
          <w:rFonts w:ascii="Times New Roman" w:hAnsi="Times New Roman"/>
          <w:noProof/>
          <w:sz w:val="24"/>
        </w:rPr>
        <w:t>tości 25 mln EUR. Inny program partnerski</w:t>
      </w:r>
      <w:r w:rsidR="000309CC" w:rsidRPr="000309CC">
        <w:rPr>
          <w:rFonts w:ascii="Times New Roman" w:hAnsi="Times New Roman"/>
          <w:noProof/>
          <w:sz w:val="24"/>
        </w:rPr>
        <w:t xml:space="preserve"> o war</w:t>
      </w:r>
      <w:r w:rsidRPr="000309CC">
        <w:rPr>
          <w:rFonts w:ascii="Times New Roman" w:hAnsi="Times New Roman"/>
          <w:noProof/>
          <w:sz w:val="24"/>
        </w:rPr>
        <w:t xml:space="preserve">tości 1,5 mln EUR opracowano, aby pomóc ukraińskim instytucjom zajmującym się cyberbezpieczeństwem dostosować się do norm unijnych. </w:t>
      </w:r>
    </w:p>
    <w:p w14:paraId="4B8219B2" w14:textId="6F8D5347" w:rsidR="00474DA2" w:rsidRPr="000309CC" w:rsidRDefault="00551EA2" w:rsidP="00474DA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rPr>
      </w:pPr>
      <w:r w:rsidRPr="000309CC">
        <w:rPr>
          <w:rFonts w:ascii="Times New Roman" w:hAnsi="Times New Roman"/>
          <w:noProof/>
          <w:sz w:val="24"/>
        </w:rPr>
        <w:t>Po wybuchu wojny UE propaguje współpracę między unijnymi</w:t>
      </w:r>
      <w:r w:rsidR="000309CC" w:rsidRPr="000309CC">
        <w:rPr>
          <w:rFonts w:ascii="Times New Roman" w:hAnsi="Times New Roman"/>
          <w:noProof/>
          <w:sz w:val="24"/>
        </w:rPr>
        <w:t xml:space="preserve"> i ukr</w:t>
      </w:r>
      <w:r w:rsidRPr="000309CC">
        <w:rPr>
          <w:rFonts w:ascii="Times New Roman" w:hAnsi="Times New Roman"/>
          <w:noProof/>
          <w:sz w:val="24"/>
        </w:rPr>
        <w:t>aińskimi ekspertami ds. cyberbezpieczeństwa oraz koordynuje zapewnianie pomocy technicznej, sprzętu, oprogramowania</w:t>
      </w:r>
      <w:r w:rsidR="000309CC" w:rsidRPr="000309CC">
        <w:rPr>
          <w:rFonts w:ascii="Times New Roman" w:hAnsi="Times New Roman"/>
          <w:noProof/>
          <w:sz w:val="24"/>
        </w:rPr>
        <w:t xml:space="preserve"> i odp</w:t>
      </w:r>
      <w:r w:rsidRPr="000309CC">
        <w:rPr>
          <w:rFonts w:ascii="Times New Roman" w:hAnsi="Times New Roman"/>
          <w:noProof/>
          <w:sz w:val="24"/>
        </w:rPr>
        <w:t>owiednich usług</w:t>
      </w:r>
      <w:r w:rsidR="000309CC" w:rsidRPr="000309CC">
        <w:rPr>
          <w:rFonts w:ascii="Times New Roman" w:hAnsi="Times New Roman"/>
          <w:noProof/>
          <w:sz w:val="24"/>
        </w:rPr>
        <w:t xml:space="preserve"> w cel</w:t>
      </w:r>
      <w:r w:rsidRPr="000309CC">
        <w:rPr>
          <w:rFonts w:ascii="Times New Roman" w:hAnsi="Times New Roman"/>
          <w:noProof/>
          <w:sz w:val="24"/>
        </w:rPr>
        <w:t>u zwiększenia cyberodporności</w:t>
      </w:r>
      <w:r w:rsidR="000309CC" w:rsidRPr="000309CC">
        <w:rPr>
          <w:rFonts w:ascii="Times New Roman" w:hAnsi="Times New Roman"/>
          <w:noProof/>
          <w:sz w:val="24"/>
        </w:rPr>
        <w:t xml:space="preserve"> i cyb</w:t>
      </w:r>
      <w:r w:rsidRPr="000309CC">
        <w:rPr>
          <w:rFonts w:ascii="Times New Roman" w:hAnsi="Times New Roman"/>
          <w:noProof/>
          <w:sz w:val="24"/>
        </w:rPr>
        <w:t>erobrony Ukrainy.</w:t>
      </w:r>
      <w:r w:rsidR="000309CC" w:rsidRPr="000309CC">
        <w:rPr>
          <w:rFonts w:ascii="Times New Roman" w:hAnsi="Times New Roman"/>
          <w:noProof/>
          <w:sz w:val="24"/>
        </w:rPr>
        <w:t xml:space="preserve"> </w:t>
      </w:r>
    </w:p>
    <w:p w14:paraId="592094FC" w14:textId="0AFA5B6F" w:rsidR="003F6846" w:rsidRPr="000309CC" w:rsidRDefault="00474DA2" w:rsidP="00474DA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rPr>
      </w:pPr>
      <w:r w:rsidRPr="000309CC">
        <w:rPr>
          <w:rFonts w:ascii="Times New Roman" w:hAnsi="Times New Roman"/>
          <w:noProof/>
          <w:sz w:val="24"/>
        </w:rPr>
        <w:t>Ponadto UE pracuje nad oceną możliwości udzielenia średnioterminowego wsparcia dla Mołdawii, Gruzji</w:t>
      </w:r>
      <w:r w:rsidR="000309CC" w:rsidRPr="000309CC">
        <w:rPr>
          <w:rFonts w:ascii="Times New Roman" w:hAnsi="Times New Roman"/>
          <w:noProof/>
          <w:sz w:val="24"/>
        </w:rPr>
        <w:t xml:space="preserve"> i Bał</w:t>
      </w:r>
      <w:r w:rsidRPr="000309CC">
        <w:rPr>
          <w:rFonts w:ascii="Times New Roman" w:hAnsi="Times New Roman"/>
          <w:noProof/>
          <w:sz w:val="24"/>
        </w:rPr>
        <w:t>kanów Zachodnich. Wspólna misja oceny potrzeb</w:t>
      </w:r>
      <w:r w:rsidR="000309CC" w:rsidRPr="000309CC">
        <w:rPr>
          <w:rFonts w:ascii="Times New Roman" w:hAnsi="Times New Roman"/>
          <w:noProof/>
          <w:sz w:val="24"/>
        </w:rPr>
        <w:t xml:space="preserve"> w zak</w:t>
      </w:r>
      <w:r w:rsidRPr="000309CC">
        <w:rPr>
          <w:rFonts w:ascii="Times New Roman" w:hAnsi="Times New Roman"/>
          <w:noProof/>
          <w:sz w:val="24"/>
        </w:rPr>
        <w:t>resie cyberbezpieczeństwa</w:t>
      </w:r>
      <w:r w:rsidR="000309CC" w:rsidRPr="000309CC">
        <w:rPr>
          <w:rFonts w:ascii="Times New Roman" w:hAnsi="Times New Roman"/>
          <w:noProof/>
          <w:sz w:val="24"/>
        </w:rPr>
        <w:t xml:space="preserve"> w Moł</w:t>
      </w:r>
      <w:r w:rsidRPr="000309CC">
        <w:rPr>
          <w:rFonts w:ascii="Times New Roman" w:hAnsi="Times New Roman"/>
          <w:noProof/>
          <w:sz w:val="24"/>
        </w:rPr>
        <w:t>dawii została przeprowadzona 3–4 marca 2022</w:t>
      </w:r>
      <w:r w:rsidR="000309CC" w:rsidRPr="000309CC">
        <w:rPr>
          <w:rFonts w:ascii="Times New Roman" w:hAnsi="Times New Roman"/>
          <w:noProof/>
          <w:sz w:val="24"/>
        </w:rPr>
        <w:t> </w:t>
      </w:r>
      <w:r w:rsidRPr="000309CC">
        <w:rPr>
          <w:rFonts w:ascii="Times New Roman" w:hAnsi="Times New Roman"/>
          <w:noProof/>
          <w:sz w:val="24"/>
        </w:rPr>
        <w:t>r.</w:t>
      </w:r>
      <w:r w:rsidR="000309CC" w:rsidRPr="000309CC">
        <w:rPr>
          <w:rFonts w:ascii="Times New Roman" w:hAnsi="Times New Roman"/>
          <w:noProof/>
          <w:sz w:val="24"/>
        </w:rPr>
        <w:t xml:space="preserve"> i dop</w:t>
      </w:r>
      <w:r w:rsidRPr="000309CC">
        <w:rPr>
          <w:rFonts w:ascii="Times New Roman" w:hAnsi="Times New Roman"/>
          <w:noProof/>
          <w:sz w:val="24"/>
        </w:rPr>
        <w:t>rowadziła do przyjęcia specjalnego środka reagowania kryzysowego służącego szybkiemu zwiększeniu cyberbezpieczeństwa</w:t>
      </w:r>
      <w:r w:rsidR="000309CC" w:rsidRPr="000309CC">
        <w:rPr>
          <w:rFonts w:ascii="Times New Roman" w:hAnsi="Times New Roman"/>
          <w:noProof/>
          <w:sz w:val="24"/>
        </w:rPr>
        <w:t xml:space="preserve"> w tym</w:t>
      </w:r>
      <w:r w:rsidRPr="000309CC">
        <w:rPr>
          <w:rFonts w:ascii="Times New Roman" w:hAnsi="Times New Roman"/>
          <w:noProof/>
          <w:sz w:val="24"/>
        </w:rPr>
        <w:t xml:space="preserve"> państwie. Podobne wsparcie szybkiego reagowania przygotowywane jest dla szeregu wybranych państw Bałkanów Zachodnich uznawanych za szczególnie narażone na ryzyko</w:t>
      </w:r>
      <w:r w:rsidR="000309CC" w:rsidRPr="000309CC">
        <w:rPr>
          <w:rFonts w:ascii="Times New Roman" w:hAnsi="Times New Roman"/>
          <w:noProof/>
          <w:sz w:val="24"/>
        </w:rPr>
        <w:t xml:space="preserve"> w zwi</w:t>
      </w:r>
      <w:r w:rsidRPr="000309CC">
        <w:rPr>
          <w:rFonts w:ascii="Times New Roman" w:hAnsi="Times New Roman"/>
          <w:noProof/>
          <w:sz w:val="24"/>
        </w:rPr>
        <w:t>ązku</w:t>
      </w:r>
      <w:r w:rsidR="000309CC" w:rsidRPr="000309CC">
        <w:rPr>
          <w:rFonts w:ascii="Times New Roman" w:hAnsi="Times New Roman"/>
          <w:noProof/>
          <w:sz w:val="24"/>
        </w:rPr>
        <w:t xml:space="preserve"> z ich</w:t>
      </w:r>
      <w:r w:rsidRPr="000309CC">
        <w:rPr>
          <w:rFonts w:ascii="Times New Roman" w:hAnsi="Times New Roman"/>
          <w:noProof/>
          <w:sz w:val="24"/>
        </w:rPr>
        <w:t xml:space="preserve"> dostosowaniem się do sankcji UE. Prowadzona jest również ocena ewentualnej dodatkowej pomocy dla Mołdawii</w:t>
      </w:r>
      <w:r w:rsidR="000309CC" w:rsidRPr="000309CC">
        <w:rPr>
          <w:rFonts w:ascii="Times New Roman" w:hAnsi="Times New Roman"/>
          <w:noProof/>
          <w:sz w:val="24"/>
        </w:rPr>
        <w:t xml:space="preserve"> w ram</w:t>
      </w:r>
      <w:r w:rsidRPr="000309CC">
        <w:rPr>
          <w:rFonts w:ascii="Times New Roman" w:hAnsi="Times New Roman"/>
          <w:noProof/>
          <w:sz w:val="24"/>
        </w:rPr>
        <w:t xml:space="preserve">ach Europejskiego Instrumentu na rzecz Pokoju. </w:t>
      </w:r>
    </w:p>
    <w:p w14:paraId="520060C9" w14:textId="77777777" w:rsidR="00615262" w:rsidRPr="000309CC" w:rsidRDefault="00474DA2" w:rsidP="00474DA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rPr>
      </w:pPr>
      <w:r w:rsidRPr="000309CC">
        <w:rPr>
          <w:rFonts w:ascii="Times New Roman" w:hAnsi="Times New Roman"/>
          <w:noProof/>
          <w:sz w:val="24"/>
        </w:rPr>
        <w:t xml:space="preserve"> </w:t>
      </w:r>
    </w:p>
    <w:p w14:paraId="738DE5AB" w14:textId="77777777" w:rsidR="00474DA2" w:rsidRPr="000309CC"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sidRPr="000309CC">
        <w:rPr>
          <w:rFonts w:ascii="Times New Roman" w:hAnsi="Times New Roman"/>
          <w:b/>
          <w:noProof/>
          <w:sz w:val="24"/>
        </w:rPr>
        <w:t>PRZESTĘPCZOŚĆ ZORGANIZOWANA I TERRORYZM</w:t>
      </w:r>
    </w:p>
    <w:p w14:paraId="25B0CB7B" w14:textId="5947B721" w:rsidR="000E74DC" w:rsidRPr="000309CC" w:rsidRDefault="00474DA2" w:rsidP="00901F6A">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Rosyjska agresja na Ukrainę zmusiła miliony osób do opuszczenia swoich domów, co znacznie zwiększyło ruch na granicach zewnętrznych UE. Do 18 maja niemal 6 mln osób przybyło do UE</w:t>
      </w:r>
      <w:r w:rsidR="000309CC" w:rsidRPr="000309CC">
        <w:rPr>
          <w:rFonts w:ascii="Times New Roman" w:hAnsi="Times New Roman"/>
          <w:noProof/>
          <w:sz w:val="24"/>
        </w:rPr>
        <w:t xml:space="preserve"> z Ukr</w:t>
      </w:r>
      <w:r w:rsidRPr="000309CC">
        <w:rPr>
          <w:rFonts w:ascii="Times New Roman" w:hAnsi="Times New Roman"/>
          <w:noProof/>
          <w:sz w:val="24"/>
        </w:rPr>
        <w:t>ainy</w:t>
      </w:r>
      <w:r w:rsidR="000309CC" w:rsidRPr="000309CC">
        <w:rPr>
          <w:rFonts w:ascii="Times New Roman" w:hAnsi="Times New Roman"/>
          <w:noProof/>
          <w:sz w:val="24"/>
        </w:rPr>
        <w:t xml:space="preserve"> i Moł</w:t>
      </w:r>
      <w:r w:rsidRPr="000309CC">
        <w:rPr>
          <w:rFonts w:ascii="Times New Roman" w:hAnsi="Times New Roman"/>
          <w:noProof/>
          <w:sz w:val="24"/>
        </w:rPr>
        <w:t>dawii</w:t>
      </w:r>
      <w:r w:rsidR="000309CC" w:rsidRPr="000309CC">
        <w:rPr>
          <w:rFonts w:ascii="Times New Roman" w:hAnsi="Times New Roman"/>
          <w:noProof/>
          <w:sz w:val="24"/>
        </w:rPr>
        <w:t xml:space="preserve"> i jak</w:t>
      </w:r>
      <w:r w:rsidRPr="000309CC">
        <w:rPr>
          <w:rFonts w:ascii="Times New Roman" w:hAnsi="Times New Roman"/>
          <w:noProof/>
          <w:sz w:val="24"/>
        </w:rPr>
        <w:t xml:space="preserve"> dotąd 2,8 mln osób zarejestrowało się</w:t>
      </w:r>
      <w:r w:rsidR="000309CC" w:rsidRPr="000309CC">
        <w:rPr>
          <w:rFonts w:ascii="Times New Roman" w:hAnsi="Times New Roman"/>
          <w:noProof/>
          <w:sz w:val="24"/>
        </w:rPr>
        <w:t xml:space="preserve"> w cel</w:t>
      </w:r>
      <w:r w:rsidRPr="000309CC">
        <w:rPr>
          <w:rFonts w:ascii="Times New Roman" w:hAnsi="Times New Roman"/>
          <w:noProof/>
          <w:sz w:val="24"/>
        </w:rPr>
        <w:t>u uzyskania tymczasowej ochrony w UE. UE usiłowała zapewnić jak najszybsze</w:t>
      </w:r>
      <w:r w:rsidR="000309CC" w:rsidRPr="000309CC">
        <w:rPr>
          <w:rFonts w:ascii="Times New Roman" w:hAnsi="Times New Roman"/>
          <w:noProof/>
          <w:sz w:val="24"/>
        </w:rPr>
        <w:t xml:space="preserve"> i jak</w:t>
      </w:r>
      <w:r w:rsidRPr="000309CC">
        <w:rPr>
          <w:rFonts w:ascii="Times New Roman" w:hAnsi="Times New Roman"/>
          <w:noProof/>
          <w:sz w:val="24"/>
        </w:rPr>
        <w:t xml:space="preserve"> najbardziej elastyczne przyjęcie osób uciekających przed wojną, nie naruszając przy tym bezpieczeństwa na granicach zewnętrznych UE. UE zastosowała bezprecedensowe środki</w:t>
      </w:r>
      <w:r w:rsidR="000309CC" w:rsidRPr="000309CC">
        <w:rPr>
          <w:rFonts w:ascii="Times New Roman" w:hAnsi="Times New Roman"/>
          <w:noProof/>
          <w:sz w:val="24"/>
        </w:rPr>
        <w:t xml:space="preserve"> w cel</w:t>
      </w:r>
      <w:r w:rsidRPr="000309CC">
        <w:rPr>
          <w:rFonts w:ascii="Times New Roman" w:hAnsi="Times New Roman"/>
          <w:noProof/>
          <w:sz w:val="24"/>
        </w:rPr>
        <w:t>u zapewnienia osobom uciekającym przed wojną tymczasowej ochrony</w:t>
      </w:r>
      <w:r w:rsidR="000309CC" w:rsidRPr="000309CC">
        <w:rPr>
          <w:rFonts w:ascii="Times New Roman" w:hAnsi="Times New Roman"/>
          <w:noProof/>
          <w:sz w:val="24"/>
        </w:rPr>
        <w:t xml:space="preserve"> i zal</w:t>
      </w:r>
      <w:r w:rsidRPr="000309CC">
        <w:rPr>
          <w:rFonts w:ascii="Times New Roman" w:hAnsi="Times New Roman"/>
          <w:noProof/>
          <w:sz w:val="24"/>
        </w:rPr>
        <w:t>eży jej, aby wszystkie nowo przybyłe osoby były traktowane</w:t>
      </w:r>
      <w:r w:rsidR="000309CC" w:rsidRPr="000309CC">
        <w:rPr>
          <w:rFonts w:ascii="Times New Roman" w:hAnsi="Times New Roman"/>
          <w:noProof/>
          <w:sz w:val="24"/>
        </w:rPr>
        <w:t xml:space="preserve"> w spo</w:t>
      </w:r>
      <w:r w:rsidRPr="000309CC">
        <w:rPr>
          <w:rFonts w:ascii="Times New Roman" w:hAnsi="Times New Roman"/>
          <w:noProof/>
          <w:sz w:val="24"/>
        </w:rPr>
        <w:t>sób niedyskryminujący. Jednocześnie nie można lekceważyć potencjalnego ryzyka, które może wyniknąć przemieszczania się tak dużej liczby osób,</w:t>
      </w:r>
      <w:r w:rsidR="000309CC" w:rsidRPr="000309CC">
        <w:rPr>
          <w:rFonts w:ascii="Times New Roman" w:hAnsi="Times New Roman"/>
          <w:noProof/>
          <w:sz w:val="24"/>
        </w:rPr>
        <w:t xml:space="preserve"> i Uni</w:t>
      </w:r>
      <w:r w:rsidRPr="000309CC">
        <w:rPr>
          <w:rFonts w:ascii="Times New Roman" w:hAnsi="Times New Roman"/>
          <w:noProof/>
          <w:sz w:val="24"/>
        </w:rPr>
        <w:t>a, przy znacznym wsparciu odpowiednich agencji UE, pozostaje czujna na nowe zjawiska związane</w:t>
      </w:r>
      <w:r w:rsidR="000309CC" w:rsidRPr="000309CC">
        <w:rPr>
          <w:rFonts w:ascii="Times New Roman" w:hAnsi="Times New Roman"/>
          <w:noProof/>
          <w:sz w:val="24"/>
        </w:rPr>
        <w:t xml:space="preserve"> z prz</w:t>
      </w:r>
      <w:r w:rsidRPr="000309CC">
        <w:rPr>
          <w:rFonts w:ascii="Times New Roman" w:hAnsi="Times New Roman"/>
          <w:noProof/>
          <w:sz w:val="24"/>
        </w:rPr>
        <w:t>estępczością zorganizowaną</w:t>
      </w:r>
      <w:r w:rsidR="000309CC" w:rsidRPr="000309CC">
        <w:rPr>
          <w:rFonts w:ascii="Times New Roman" w:hAnsi="Times New Roman"/>
          <w:noProof/>
          <w:sz w:val="24"/>
        </w:rPr>
        <w:t xml:space="preserve"> i ter</w:t>
      </w:r>
      <w:r w:rsidRPr="000309CC">
        <w:rPr>
          <w:rFonts w:ascii="Times New Roman" w:hAnsi="Times New Roman"/>
          <w:noProof/>
          <w:sz w:val="24"/>
        </w:rPr>
        <w:t xml:space="preserve">roryzmem. </w:t>
      </w:r>
    </w:p>
    <w:p w14:paraId="0A7AF8FD" w14:textId="77777777" w:rsidR="0099171C" w:rsidRPr="000309CC" w:rsidRDefault="0099171C" w:rsidP="00901F6A">
      <w:pPr>
        <w:spacing w:after="0" w:line="240" w:lineRule="auto"/>
        <w:jc w:val="both"/>
        <w:rPr>
          <w:rFonts w:ascii="Times New Roman" w:hAnsi="Times New Roman" w:cs="Times New Roman"/>
          <w:bCs/>
          <w:noProof/>
          <w:sz w:val="24"/>
          <w:szCs w:val="24"/>
        </w:rPr>
      </w:pPr>
    </w:p>
    <w:p w14:paraId="2AAECA71" w14:textId="77777777" w:rsidR="00F77E07" w:rsidRPr="000309CC" w:rsidRDefault="00F77E07" w:rsidP="00901F6A">
      <w:pPr>
        <w:spacing w:after="0" w:line="240" w:lineRule="auto"/>
        <w:jc w:val="both"/>
        <w:rPr>
          <w:rFonts w:ascii="Times New Roman" w:hAnsi="Times New Roman" w:cs="Times New Roman"/>
          <w:bCs/>
          <w:noProof/>
          <w:sz w:val="24"/>
          <w:szCs w:val="24"/>
        </w:rPr>
      </w:pPr>
    </w:p>
    <w:tbl>
      <w:tblPr>
        <w:tblStyle w:val="TableGrid"/>
        <w:tblW w:w="0" w:type="auto"/>
        <w:tblLook w:val="04A0" w:firstRow="1" w:lastRow="0" w:firstColumn="1" w:lastColumn="0" w:noHBand="0" w:noVBand="1"/>
      </w:tblPr>
      <w:tblGrid>
        <w:gridCol w:w="9166"/>
      </w:tblGrid>
      <w:tr w:rsidR="00897669" w:rsidRPr="000309CC" w14:paraId="36E895C2" w14:textId="77777777" w:rsidTr="00897669">
        <w:tc>
          <w:tcPr>
            <w:tcW w:w="9166" w:type="dxa"/>
          </w:tcPr>
          <w:p w14:paraId="0E99244D" w14:textId="735C244B" w:rsidR="00897669" w:rsidRPr="000309CC" w:rsidRDefault="00897669" w:rsidP="00897669">
            <w:pPr>
              <w:jc w:val="both"/>
              <w:rPr>
                <w:rFonts w:ascii="Times New Roman" w:hAnsi="Times New Roman" w:cs="Times New Roman"/>
                <w:b/>
                <w:bCs/>
                <w:noProof/>
                <w:sz w:val="24"/>
                <w:szCs w:val="24"/>
              </w:rPr>
            </w:pPr>
            <w:r w:rsidRPr="000309CC">
              <w:rPr>
                <w:rFonts w:ascii="Times New Roman" w:hAnsi="Times New Roman"/>
                <w:b/>
                <w:noProof/>
                <w:sz w:val="24"/>
              </w:rPr>
              <w:t>Silna strefa Schengen</w:t>
            </w:r>
            <w:r w:rsidR="000309CC" w:rsidRPr="000309CC">
              <w:rPr>
                <w:rFonts w:ascii="Times New Roman" w:hAnsi="Times New Roman"/>
                <w:b/>
                <w:noProof/>
                <w:sz w:val="24"/>
              </w:rPr>
              <w:t xml:space="preserve"> w obl</w:t>
            </w:r>
            <w:r w:rsidRPr="000309CC">
              <w:rPr>
                <w:rFonts w:ascii="Times New Roman" w:hAnsi="Times New Roman"/>
                <w:b/>
                <w:noProof/>
                <w:sz w:val="24"/>
              </w:rPr>
              <w:t xml:space="preserve">iczu zwiększonego zagrożenia </w:t>
            </w:r>
          </w:p>
          <w:p w14:paraId="241249E2" w14:textId="77777777" w:rsidR="00897669" w:rsidRPr="000309CC" w:rsidRDefault="00897669" w:rsidP="00897669">
            <w:pPr>
              <w:jc w:val="both"/>
              <w:rPr>
                <w:rFonts w:ascii="Times New Roman" w:hAnsi="Times New Roman" w:cs="Times New Roman"/>
                <w:bCs/>
                <w:noProof/>
                <w:sz w:val="24"/>
                <w:szCs w:val="24"/>
              </w:rPr>
            </w:pPr>
          </w:p>
          <w:p w14:paraId="6CA92782" w14:textId="4B27FCF2" w:rsidR="00897669" w:rsidRPr="000309CC" w:rsidRDefault="00897669" w:rsidP="00897669">
            <w:pPr>
              <w:jc w:val="both"/>
              <w:rPr>
                <w:rFonts w:ascii="Times New Roman" w:hAnsi="Times New Roman" w:cs="Times New Roman"/>
                <w:bCs/>
                <w:noProof/>
                <w:sz w:val="24"/>
                <w:szCs w:val="24"/>
              </w:rPr>
            </w:pPr>
            <w:r w:rsidRPr="000309CC">
              <w:rPr>
                <w:rFonts w:ascii="Times New Roman" w:hAnsi="Times New Roman"/>
                <w:noProof/>
                <w:sz w:val="24"/>
              </w:rPr>
              <w:t>Zapewnienie wysokiego poziomu bezpieczeństwa</w:t>
            </w:r>
            <w:r w:rsidR="000309CC" w:rsidRPr="000309CC">
              <w:rPr>
                <w:rFonts w:ascii="Times New Roman" w:hAnsi="Times New Roman"/>
                <w:noProof/>
                <w:sz w:val="24"/>
              </w:rPr>
              <w:t xml:space="preserve"> w str</w:t>
            </w:r>
            <w:r w:rsidRPr="000309CC">
              <w:rPr>
                <w:rFonts w:ascii="Times New Roman" w:hAnsi="Times New Roman"/>
                <w:noProof/>
                <w:sz w:val="24"/>
              </w:rPr>
              <w:t xml:space="preserve">efie </w:t>
            </w:r>
            <w:r w:rsidRPr="000309CC">
              <w:rPr>
                <w:rFonts w:ascii="Times New Roman" w:hAnsi="Times New Roman"/>
                <w:b/>
                <w:noProof/>
                <w:sz w:val="24"/>
              </w:rPr>
              <w:t>Schengen</w:t>
            </w:r>
            <w:r w:rsidRPr="000309CC">
              <w:rPr>
                <w:rFonts w:ascii="Times New Roman" w:hAnsi="Times New Roman"/>
                <w:noProof/>
                <w:sz w:val="24"/>
              </w:rPr>
              <w:t xml:space="preserve"> i w UE nigdy nie było tak ważne jak</w:t>
            </w:r>
            <w:r w:rsidR="000309CC" w:rsidRPr="000309CC">
              <w:rPr>
                <w:rFonts w:ascii="Times New Roman" w:hAnsi="Times New Roman"/>
                <w:noProof/>
                <w:sz w:val="24"/>
              </w:rPr>
              <w:t xml:space="preserve"> w syt</w:t>
            </w:r>
            <w:r w:rsidRPr="000309CC">
              <w:rPr>
                <w:rFonts w:ascii="Times New Roman" w:hAnsi="Times New Roman"/>
                <w:noProof/>
                <w:sz w:val="24"/>
              </w:rPr>
              <w:t>uacji podwyższonego zagrożenia wynikającego</w:t>
            </w:r>
            <w:r w:rsidR="000309CC" w:rsidRPr="000309CC">
              <w:rPr>
                <w:rFonts w:ascii="Times New Roman" w:hAnsi="Times New Roman"/>
                <w:noProof/>
                <w:sz w:val="24"/>
              </w:rPr>
              <w:t xml:space="preserve"> z woj</w:t>
            </w:r>
            <w:r w:rsidRPr="000309CC">
              <w:rPr>
                <w:rFonts w:ascii="Times New Roman" w:hAnsi="Times New Roman"/>
                <w:noProof/>
                <w:sz w:val="24"/>
              </w:rPr>
              <w:t>ny toczącej się tuż za granicą zewnętrzną UE.</w:t>
            </w:r>
            <w:r w:rsidR="000309CC" w:rsidRPr="000309CC">
              <w:rPr>
                <w:rFonts w:ascii="Times New Roman" w:hAnsi="Times New Roman"/>
                <w:noProof/>
                <w:sz w:val="24"/>
              </w:rPr>
              <w:t xml:space="preserve"> </w:t>
            </w:r>
          </w:p>
          <w:p w14:paraId="305DA036" w14:textId="77777777" w:rsidR="00897669" w:rsidRPr="000309CC" w:rsidRDefault="00897669" w:rsidP="00897669">
            <w:pPr>
              <w:jc w:val="both"/>
              <w:rPr>
                <w:rFonts w:ascii="Times New Roman" w:hAnsi="Times New Roman" w:cs="Times New Roman"/>
                <w:bCs/>
                <w:noProof/>
                <w:sz w:val="24"/>
                <w:szCs w:val="24"/>
              </w:rPr>
            </w:pPr>
          </w:p>
          <w:p w14:paraId="12D8065F" w14:textId="01AA81BC" w:rsidR="00897669" w:rsidRPr="000309CC" w:rsidRDefault="00897669" w:rsidP="00897669">
            <w:pPr>
              <w:jc w:val="both"/>
              <w:rPr>
                <w:rFonts w:ascii="Times New Roman" w:hAnsi="Times New Roman" w:cs="Times New Roman"/>
                <w:bCs/>
                <w:noProof/>
                <w:sz w:val="24"/>
                <w:szCs w:val="24"/>
              </w:rPr>
            </w:pPr>
            <w:r w:rsidRPr="000309CC">
              <w:rPr>
                <w:rFonts w:ascii="Times New Roman" w:hAnsi="Times New Roman"/>
                <w:noProof/>
                <w:sz w:val="24"/>
              </w:rPr>
              <w:t>Realizując ambitny program dotyczący strefy Schengen, określony</w:t>
            </w:r>
            <w:r w:rsidR="000309CC" w:rsidRPr="000309CC">
              <w:rPr>
                <w:rFonts w:ascii="Times New Roman" w:hAnsi="Times New Roman"/>
                <w:noProof/>
                <w:sz w:val="24"/>
              </w:rPr>
              <w:t xml:space="preserve"> w str</w:t>
            </w:r>
            <w:r w:rsidRPr="000309CC">
              <w:rPr>
                <w:rFonts w:ascii="Times New Roman" w:hAnsi="Times New Roman"/>
                <w:noProof/>
                <w:sz w:val="24"/>
              </w:rPr>
              <w:t>ategii</w:t>
            </w:r>
            <w:r w:rsidR="000309CC" w:rsidRPr="000309CC">
              <w:rPr>
                <w:rFonts w:ascii="Times New Roman" w:hAnsi="Times New Roman"/>
                <w:noProof/>
                <w:sz w:val="24"/>
              </w:rPr>
              <w:t xml:space="preserve"> z cze</w:t>
            </w:r>
            <w:r w:rsidRPr="000309CC">
              <w:rPr>
                <w:rFonts w:ascii="Times New Roman" w:hAnsi="Times New Roman"/>
                <w:noProof/>
                <w:sz w:val="24"/>
              </w:rPr>
              <w:t>rwca 2021</w:t>
            </w:r>
            <w:r w:rsidR="000309CC" w:rsidRPr="000309CC">
              <w:rPr>
                <w:rFonts w:ascii="Times New Roman" w:hAnsi="Times New Roman"/>
                <w:noProof/>
                <w:sz w:val="24"/>
              </w:rPr>
              <w:t> </w:t>
            </w:r>
            <w:r w:rsidRPr="000309CC">
              <w:rPr>
                <w:rFonts w:ascii="Times New Roman" w:hAnsi="Times New Roman"/>
                <w:noProof/>
                <w:sz w:val="24"/>
              </w:rPr>
              <w:t>r., Komisja przyjęła</w:t>
            </w:r>
            <w:r w:rsidR="000309CC" w:rsidRPr="000309CC">
              <w:rPr>
                <w:rFonts w:ascii="Times New Roman" w:hAnsi="Times New Roman"/>
                <w:noProof/>
                <w:sz w:val="24"/>
              </w:rPr>
              <w:t xml:space="preserve"> w maj</w:t>
            </w:r>
            <w:r w:rsidRPr="000309CC">
              <w:rPr>
                <w:rFonts w:ascii="Times New Roman" w:hAnsi="Times New Roman"/>
                <w:noProof/>
                <w:sz w:val="24"/>
              </w:rPr>
              <w:t>u pierwsze sprawozdanie</w:t>
            </w:r>
            <w:r w:rsidR="000309CC" w:rsidRPr="000309CC">
              <w:rPr>
                <w:rFonts w:ascii="Times New Roman" w:hAnsi="Times New Roman"/>
                <w:noProof/>
                <w:sz w:val="24"/>
              </w:rPr>
              <w:t xml:space="preserve"> w spr</w:t>
            </w:r>
            <w:r w:rsidRPr="000309CC">
              <w:rPr>
                <w:rFonts w:ascii="Times New Roman" w:hAnsi="Times New Roman"/>
                <w:noProof/>
                <w:sz w:val="24"/>
              </w:rPr>
              <w:t>awie stanu strefy Schengen</w:t>
            </w:r>
            <w:r w:rsidR="00537FD3" w:rsidRPr="000309CC">
              <w:rPr>
                <w:rStyle w:val="FootnoteReference"/>
                <w:rFonts w:ascii="Times New Roman" w:hAnsi="Times New Roman" w:cs="Times New Roman"/>
                <w:bCs/>
                <w:noProof/>
                <w:sz w:val="24"/>
                <w:szCs w:val="24"/>
              </w:rPr>
              <w:footnoteReference w:id="27"/>
            </w:r>
            <w:r w:rsidRPr="000309CC">
              <w:rPr>
                <w:rFonts w:ascii="Times New Roman" w:hAnsi="Times New Roman"/>
                <w:noProof/>
                <w:sz w:val="24"/>
              </w:rPr>
              <w:t>. Coroczny cykl Schengen jest nowym modelem zarządzania strefą Schengen,</w:t>
            </w:r>
            <w:r w:rsidR="000309CC" w:rsidRPr="000309CC">
              <w:rPr>
                <w:rFonts w:ascii="Times New Roman" w:hAnsi="Times New Roman"/>
                <w:noProof/>
                <w:sz w:val="24"/>
              </w:rPr>
              <w:t xml:space="preserve"> w ram</w:t>
            </w:r>
            <w:r w:rsidRPr="000309CC">
              <w:rPr>
                <w:rFonts w:ascii="Times New Roman" w:hAnsi="Times New Roman"/>
                <w:noProof/>
                <w:sz w:val="24"/>
              </w:rPr>
              <w:t>ach którego dokonuje się regularnych ocen jej stanu. Pomoże to</w:t>
            </w:r>
            <w:r w:rsidR="000309CC" w:rsidRPr="000309CC">
              <w:rPr>
                <w:rFonts w:ascii="Times New Roman" w:hAnsi="Times New Roman"/>
                <w:noProof/>
                <w:sz w:val="24"/>
              </w:rPr>
              <w:t xml:space="preserve"> w szy</w:t>
            </w:r>
            <w:r w:rsidRPr="000309CC">
              <w:rPr>
                <w:rFonts w:ascii="Times New Roman" w:hAnsi="Times New Roman"/>
                <w:noProof/>
                <w:sz w:val="24"/>
              </w:rPr>
              <w:t>bkim wykrywaniu niedociągnięć</w:t>
            </w:r>
            <w:r w:rsidR="000309CC" w:rsidRPr="000309CC">
              <w:rPr>
                <w:rFonts w:ascii="Times New Roman" w:hAnsi="Times New Roman"/>
                <w:noProof/>
                <w:sz w:val="24"/>
              </w:rPr>
              <w:t xml:space="preserve"> i zap</w:t>
            </w:r>
            <w:r w:rsidRPr="000309CC">
              <w:rPr>
                <w:rFonts w:ascii="Times New Roman" w:hAnsi="Times New Roman"/>
                <w:noProof/>
                <w:sz w:val="24"/>
              </w:rPr>
              <w:t>ewni skuteczne procedury działań następczych, tak aby strefa Schengen stała się silniejsza</w:t>
            </w:r>
            <w:r w:rsidR="000309CC" w:rsidRPr="000309CC">
              <w:rPr>
                <w:rFonts w:ascii="Times New Roman" w:hAnsi="Times New Roman"/>
                <w:noProof/>
                <w:sz w:val="24"/>
              </w:rPr>
              <w:t xml:space="preserve"> i bar</w:t>
            </w:r>
            <w:r w:rsidRPr="000309CC">
              <w:rPr>
                <w:rFonts w:ascii="Times New Roman" w:hAnsi="Times New Roman"/>
                <w:noProof/>
                <w:sz w:val="24"/>
              </w:rPr>
              <w:t xml:space="preserve">dziej odporna. </w:t>
            </w:r>
          </w:p>
          <w:p w14:paraId="04791A52" w14:textId="77777777" w:rsidR="00897669" w:rsidRPr="000309CC" w:rsidRDefault="00897669" w:rsidP="00897669">
            <w:pPr>
              <w:jc w:val="both"/>
              <w:rPr>
                <w:rFonts w:ascii="Times New Roman" w:hAnsi="Times New Roman" w:cs="Times New Roman"/>
                <w:bCs/>
                <w:noProof/>
                <w:sz w:val="24"/>
                <w:szCs w:val="24"/>
              </w:rPr>
            </w:pPr>
          </w:p>
          <w:p w14:paraId="34F36AEC" w14:textId="58AD8BA6" w:rsidR="003F6846" w:rsidRPr="000309CC" w:rsidRDefault="00897669" w:rsidP="00897669">
            <w:pPr>
              <w:jc w:val="both"/>
              <w:rPr>
                <w:rFonts w:ascii="Times New Roman" w:hAnsi="Times New Roman" w:cs="Times New Roman"/>
                <w:bCs/>
                <w:noProof/>
                <w:sz w:val="24"/>
                <w:szCs w:val="24"/>
              </w:rPr>
            </w:pPr>
            <w:r w:rsidRPr="000309CC">
              <w:rPr>
                <w:rFonts w:ascii="Times New Roman" w:hAnsi="Times New Roman"/>
                <w:noProof/>
                <w:sz w:val="24"/>
              </w:rPr>
              <w:t>W tym pierwszym sprawozdaniu uznano konieczność zwiększenia starań na rzecz realizacji najważniejszych inicjatyw na szczeblu UE,</w:t>
            </w:r>
            <w:r w:rsidR="000309CC" w:rsidRPr="000309CC">
              <w:rPr>
                <w:rFonts w:ascii="Times New Roman" w:hAnsi="Times New Roman"/>
                <w:noProof/>
                <w:sz w:val="24"/>
              </w:rPr>
              <w:t xml:space="preserve"> w tym</w:t>
            </w:r>
            <w:r w:rsidRPr="000309CC">
              <w:rPr>
                <w:rFonts w:ascii="Times New Roman" w:hAnsi="Times New Roman"/>
                <w:noProof/>
                <w:sz w:val="24"/>
              </w:rPr>
              <w:t xml:space="preserve"> prowadzenia systematycznych kontroli wszystkich podróżnych na granicach zewnętrznych, przy pełnym wykorzystaniu mandatów Fronteksu</w:t>
            </w:r>
            <w:r w:rsidR="000309CC" w:rsidRPr="000309CC">
              <w:rPr>
                <w:rFonts w:ascii="Times New Roman" w:hAnsi="Times New Roman"/>
                <w:noProof/>
                <w:sz w:val="24"/>
              </w:rPr>
              <w:t xml:space="preserve"> i Eur</w:t>
            </w:r>
            <w:r w:rsidRPr="000309CC">
              <w:rPr>
                <w:rFonts w:ascii="Times New Roman" w:hAnsi="Times New Roman"/>
                <w:noProof/>
                <w:sz w:val="24"/>
              </w:rPr>
              <w:t>opolu,</w:t>
            </w:r>
            <w:r w:rsidR="000309CC" w:rsidRPr="000309CC">
              <w:rPr>
                <w:rFonts w:ascii="Times New Roman" w:hAnsi="Times New Roman"/>
                <w:noProof/>
                <w:sz w:val="24"/>
              </w:rPr>
              <w:t xml:space="preserve"> a tak</w:t>
            </w:r>
            <w:r w:rsidRPr="000309CC">
              <w:rPr>
                <w:rFonts w:ascii="Times New Roman" w:hAnsi="Times New Roman"/>
                <w:noProof/>
                <w:sz w:val="24"/>
              </w:rPr>
              <w:t>że proponowanych</w:t>
            </w:r>
            <w:r w:rsidR="000309CC" w:rsidRPr="000309CC">
              <w:rPr>
                <w:rFonts w:ascii="Times New Roman" w:hAnsi="Times New Roman"/>
                <w:noProof/>
                <w:sz w:val="24"/>
              </w:rPr>
              <w:t xml:space="preserve"> i dos</w:t>
            </w:r>
            <w:r w:rsidRPr="000309CC">
              <w:rPr>
                <w:rFonts w:ascii="Times New Roman" w:hAnsi="Times New Roman"/>
                <w:noProof/>
                <w:sz w:val="24"/>
              </w:rPr>
              <w:t>tępnych narzędzi transgranicznej współpracy policyjnej.</w:t>
            </w:r>
          </w:p>
          <w:p w14:paraId="79599CDF" w14:textId="77777777" w:rsidR="000F6193" w:rsidRPr="000309CC" w:rsidRDefault="000F6193" w:rsidP="00897669">
            <w:pPr>
              <w:jc w:val="both"/>
              <w:rPr>
                <w:rFonts w:ascii="Times New Roman" w:hAnsi="Times New Roman" w:cs="Times New Roman"/>
                <w:bCs/>
                <w:noProof/>
                <w:sz w:val="24"/>
                <w:szCs w:val="24"/>
              </w:rPr>
            </w:pPr>
          </w:p>
          <w:p w14:paraId="7DE41F9A" w14:textId="2B6A1C2F" w:rsidR="00897669" w:rsidRPr="000309CC" w:rsidRDefault="000F6193" w:rsidP="00897669">
            <w:pPr>
              <w:jc w:val="both"/>
              <w:rPr>
                <w:rFonts w:ascii="Times New Roman" w:hAnsi="Times New Roman" w:cs="Times New Roman"/>
                <w:bCs/>
                <w:noProof/>
                <w:sz w:val="24"/>
                <w:szCs w:val="24"/>
              </w:rPr>
            </w:pPr>
            <w:r w:rsidRPr="000309CC">
              <w:rPr>
                <w:rFonts w:ascii="Times New Roman" w:hAnsi="Times New Roman"/>
                <w:noProof/>
                <w:sz w:val="24"/>
              </w:rPr>
              <w:t>W szczególności nowa architektura unijnych systemów informacyjnych dotyczących granic, migracji</w:t>
            </w:r>
            <w:r w:rsidR="000309CC" w:rsidRPr="000309CC">
              <w:rPr>
                <w:rFonts w:ascii="Times New Roman" w:hAnsi="Times New Roman"/>
                <w:noProof/>
                <w:sz w:val="24"/>
              </w:rPr>
              <w:t xml:space="preserve"> i bez</w:t>
            </w:r>
            <w:r w:rsidRPr="000309CC">
              <w:rPr>
                <w:rFonts w:ascii="Times New Roman" w:hAnsi="Times New Roman"/>
                <w:noProof/>
                <w:sz w:val="24"/>
              </w:rPr>
              <w:t>pieczeństwa oraz ich interoperacyjność stanowią podstawę starań na rzecz zwiększenia bezpieczeństwa wewnętrznego</w:t>
            </w:r>
            <w:r w:rsidR="000309CC" w:rsidRPr="000309CC">
              <w:rPr>
                <w:rFonts w:ascii="Times New Roman" w:hAnsi="Times New Roman"/>
                <w:noProof/>
                <w:sz w:val="24"/>
              </w:rPr>
              <w:t xml:space="preserve"> i usp</w:t>
            </w:r>
            <w:r w:rsidRPr="000309CC">
              <w:rPr>
                <w:rFonts w:ascii="Times New Roman" w:hAnsi="Times New Roman"/>
                <w:noProof/>
                <w:sz w:val="24"/>
              </w:rPr>
              <w:t>rawnienia zarządzania granicami. Zasadnicze znaczenie będzie miało skuteczne wdrożenie wszystkich elementów ram interoperacyjności zgodnie</w:t>
            </w:r>
            <w:r w:rsidR="000309CC" w:rsidRPr="000309CC">
              <w:rPr>
                <w:rFonts w:ascii="Times New Roman" w:hAnsi="Times New Roman"/>
                <w:noProof/>
                <w:sz w:val="24"/>
              </w:rPr>
              <w:t xml:space="preserve"> z ust</w:t>
            </w:r>
            <w:r w:rsidRPr="000309CC">
              <w:rPr>
                <w:rFonts w:ascii="Times New Roman" w:hAnsi="Times New Roman"/>
                <w:noProof/>
                <w:sz w:val="24"/>
              </w:rPr>
              <w:t xml:space="preserve">alonymi terminami. </w:t>
            </w:r>
          </w:p>
          <w:p w14:paraId="339D5C3E" w14:textId="77777777" w:rsidR="002730F3" w:rsidRPr="000309CC" w:rsidRDefault="002730F3" w:rsidP="00897669">
            <w:pPr>
              <w:jc w:val="both"/>
              <w:rPr>
                <w:rFonts w:ascii="Times New Roman" w:hAnsi="Times New Roman" w:cs="Times New Roman"/>
                <w:bCs/>
                <w:noProof/>
                <w:sz w:val="24"/>
                <w:szCs w:val="24"/>
              </w:rPr>
            </w:pPr>
          </w:p>
        </w:tc>
      </w:tr>
    </w:tbl>
    <w:p w14:paraId="13C60826" w14:textId="77777777" w:rsidR="00897669" w:rsidRPr="000309CC" w:rsidRDefault="00897669" w:rsidP="00901F6A">
      <w:pPr>
        <w:spacing w:after="0" w:line="240" w:lineRule="auto"/>
        <w:jc w:val="both"/>
        <w:rPr>
          <w:rFonts w:ascii="Times New Roman" w:hAnsi="Times New Roman" w:cs="Times New Roman"/>
          <w:bCs/>
          <w:noProof/>
          <w:sz w:val="24"/>
          <w:szCs w:val="24"/>
        </w:rPr>
      </w:pPr>
    </w:p>
    <w:p w14:paraId="5F9E4404" w14:textId="175C0D8D" w:rsidR="00474DA2" w:rsidRPr="000309CC" w:rsidRDefault="00474DA2" w:rsidP="00A04B9E">
      <w:pPr>
        <w:spacing w:after="120"/>
        <w:jc w:val="both"/>
        <w:rPr>
          <w:rFonts w:ascii="Times New Roman" w:hAnsi="Times New Roman" w:cs="Times New Roman"/>
          <w:b/>
          <w:i/>
          <w:noProof/>
          <w:sz w:val="24"/>
          <w:szCs w:val="24"/>
        </w:rPr>
      </w:pPr>
      <w:r w:rsidRPr="000309CC">
        <w:rPr>
          <w:rFonts w:ascii="Times New Roman" w:hAnsi="Times New Roman"/>
          <w:b/>
          <w:i/>
          <w:noProof/>
          <w:sz w:val="24"/>
        </w:rPr>
        <w:t>Czujność</w:t>
      </w:r>
      <w:r w:rsidR="000309CC" w:rsidRPr="000309CC">
        <w:rPr>
          <w:rFonts w:ascii="Times New Roman" w:hAnsi="Times New Roman"/>
          <w:b/>
          <w:i/>
          <w:noProof/>
          <w:sz w:val="24"/>
        </w:rPr>
        <w:t xml:space="preserve"> i koo</w:t>
      </w:r>
      <w:r w:rsidRPr="000309CC">
        <w:rPr>
          <w:rFonts w:ascii="Times New Roman" w:hAnsi="Times New Roman"/>
          <w:b/>
          <w:i/>
          <w:noProof/>
          <w:sz w:val="24"/>
        </w:rPr>
        <w:t>rdynacja</w:t>
      </w:r>
    </w:p>
    <w:p w14:paraId="55A42831" w14:textId="59D94DBA" w:rsidR="00A04B9E" w:rsidRPr="000309CC" w:rsidRDefault="00474DA2" w:rsidP="00A9308B">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Ściślejsza współpraca organów ścigania państw członkowskich</w:t>
      </w:r>
      <w:r w:rsidR="000309CC" w:rsidRPr="000309CC">
        <w:rPr>
          <w:rFonts w:ascii="Times New Roman" w:hAnsi="Times New Roman"/>
          <w:noProof/>
          <w:sz w:val="24"/>
        </w:rPr>
        <w:t xml:space="preserve"> i pań</w:t>
      </w:r>
      <w:r w:rsidRPr="000309CC">
        <w:rPr>
          <w:rFonts w:ascii="Times New Roman" w:hAnsi="Times New Roman"/>
          <w:noProof/>
          <w:sz w:val="24"/>
        </w:rPr>
        <w:t>stw trzecich ma istotne znaczenie dla zapewnienia wiedzy na temat pojawiających się zagrożeń związanych</w:t>
      </w:r>
      <w:r w:rsidR="000309CC" w:rsidRPr="000309CC">
        <w:rPr>
          <w:rFonts w:ascii="Times New Roman" w:hAnsi="Times New Roman"/>
          <w:noProof/>
          <w:sz w:val="24"/>
        </w:rPr>
        <w:t xml:space="preserve"> z prz</w:t>
      </w:r>
      <w:r w:rsidRPr="000309CC">
        <w:rPr>
          <w:rFonts w:ascii="Times New Roman" w:hAnsi="Times New Roman"/>
          <w:noProof/>
          <w:sz w:val="24"/>
        </w:rPr>
        <w:t>estępczością</w:t>
      </w:r>
      <w:r w:rsidR="000309CC" w:rsidRPr="000309CC">
        <w:rPr>
          <w:rFonts w:ascii="Times New Roman" w:hAnsi="Times New Roman"/>
          <w:noProof/>
          <w:sz w:val="24"/>
        </w:rPr>
        <w:t xml:space="preserve"> i ter</w:t>
      </w:r>
      <w:r w:rsidRPr="000309CC">
        <w:rPr>
          <w:rFonts w:ascii="Times New Roman" w:hAnsi="Times New Roman"/>
          <w:noProof/>
          <w:sz w:val="24"/>
        </w:rPr>
        <w:t>roryzmem oraz podejmowania działań przeciwko siatkom przestępczym</w:t>
      </w:r>
      <w:r w:rsidR="000309CC" w:rsidRPr="000309CC">
        <w:rPr>
          <w:rFonts w:ascii="Times New Roman" w:hAnsi="Times New Roman"/>
          <w:noProof/>
          <w:sz w:val="24"/>
        </w:rPr>
        <w:t xml:space="preserve"> i oso</w:t>
      </w:r>
      <w:r w:rsidRPr="000309CC">
        <w:rPr>
          <w:rFonts w:ascii="Times New Roman" w:hAnsi="Times New Roman"/>
          <w:noProof/>
          <w:sz w:val="24"/>
        </w:rPr>
        <w:t>bom, które mogą próbować wykorzystać wojnę</w:t>
      </w:r>
      <w:r w:rsidR="000309CC" w:rsidRPr="000309CC">
        <w:rPr>
          <w:rFonts w:ascii="Times New Roman" w:hAnsi="Times New Roman"/>
          <w:noProof/>
          <w:sz w:val="24"/>
        </w:rPr>
        <w:t xml:space="preserve"> z Ukr</w:t>
      </w:r>
      <w:r w:rsidRPr="000309CC">
        <w:rPr>
          <w:rFonts w:ascii="Times New Roman" w:hAnsi="Times New Roman"/>
          <w:noProof/>
          <w:sz w:val="24"/>
        </w:rPr>
        <w:t>ainą</w:t>
      </w:r>
      <w:r w:rsidRPr="000309CC">
        <w:rPr>
          <w:rFonts w:ascii="Calibri" w:hAnsi="Calibri"/>
          <w:noProof/>
        </w:rPr>
        <w:t xml:space="preserve">. </w:t>
      </w:r>
      <w:r w:rsidRPr="000309CC">
        <w:rPr>
          <w:rFonts w:ascii="Times New Roman" w:hAnsi="Times New Roman"/>
          <w:noProof/>
          <w:sz w:val="24"/>
        </w:rPr>
        <w:t>Państwa członkowskie</w:t>
      </w:r>
      <w:r w:rsidR="000309CC" w:rsidRPr="000309CC">
        <w:rPr>
          <w:rFonts w:ascii="Times New Roman" w:hAnsi="Times New Roman"/>
          <w:noProof/>
          <w:sz w:val="24"/>
        </w:rPr>
        <w:t xml:space="preserve"> i par</w:t>
      </w:r>
      <w:r w:rsidRPr="000309CC">
        <w:rPr>
          <w:rFonts w:ascii="Times New Roman" w:hAnsi="Times New Roman"/>
          <w:noProof/>
          <w:sz w:val="24"/>
        </w:rPr>
        <w:t>tnerzy operacyjni prowadzą aktywną wymianę istotnych</w:t>
      </w:r>
      <w:r w:rsidR="000309CC" w:rsidRPr="000309CC">
        <w:rPr>
          <w:rFonts w:ascii="Times New Roman" w:hAnsi="Times New Roman"/>
          <w:noProof/>
          <w:sz w:val="24"/>
        </w:rPr>
        <w:t xml:space="preserve"> i dos</w:t>
      </w:r>
      <w:r w:rsidRPr="000309CC">
        <w:rPr>
          <w:rFonts w:ascii="Times New Roman" w:hAnsi="Times New Roman"/>
          <w:noProof/>
          <w:sz w:val="24"/>
        </w:rPr>
        <w:t>tępnych informacji oraz danych wywiadowczych dotyczących przestępstw</w:t>
      </w:r>
      <w:r w:rsidR="000309CC" w:rsidRPr="000309CC">
        <w:rPr>
          <w:rFonts w:ascii="Times New Roman" w:hAnsi="Times New Roman"/>
          <w:noProof/>
          <w:sz w:val="24"/>
        </w:rPr>
        <w:t xml:space="preserve"> z Eur</w:t>
      </w:r>
      <w:r w:rsidRPr="000309CC">
        <w:rPr>
          <w:rFonts w:ascii="Times New Roman" w:hAnsi="Times New Roman"/>
          <w:noProof/>
          <w:sz w:val="24"/>
        </w:rPr>
        <w:t>opolem, który przeprowadza kontrolę krzyżową</w:t>
      </w:r>
      <w:r w:rsidR="000309CC" w:rsidRPr="000309CC">
        <w:rPr>
          <w:rFonts w:ascii="Times New Roman" w:hAnsi="Times New Roman"/>
          <w:noProof/>
          <w:sz w:val="24"/>
        </w:rPr>
        <w:t xml:space="preserve"> i ana</w:t>
      </w:r>
      <w:r w:rsidRPr="000309CC">
        <w:rPr>
          <w:rFonts w:ascii="Times New Roman" w:hAnsi="Times New Roman"/>
          <w:noProof/>
          <w:sz w:val="24"/>
        </w:rPr>
        <w:t>lizę tych informacji,</w:t>
      </w:r>
      <w:r w:rsidR="000309CC" w:rsidRPr="000309CC">
        <w:rPr>
          <w:rFonts w:ascii="Times New Roman" w:hAnsi="Times New Roman"/>
          <w:noProof/>
          <w:sz w:val="24"/>
        </w:rPr>
        <w:t xml:space="preserve"> a nas</w:t>
      </w:r>
      <w:r w:rsidRPr="000309CC">
        <w:rPr>
          <w:rFonts w:ascii="Times New Roman" w:hAnsi="Times New Roman"/>
          <w:noProof/>
          <w:sz w:val="24"/>
        </w:rPr>
        <w:t>tępnie przekształca je</w:t>
      </w:r>
      <w:r w:rsidR="000309CC" w:rsidRPr="000309CC">
        <w:rPr>
          <w:rFonts w:ascii="Times New Roman" w:hAnsi="Times New Roman"/>
          <w:noProof/>
          <w:sz w:val="24"/>
        </w:rPr>
        <w:t xml:space="preserve"> w uży</w:t>
      </w:r>
      <w:r w:rsidRPr="000309CC">
        <w:rPr>
          <w:rFonts w:ascii="Times New Roman" w:hAnsi="Times New Roman"/>
          <w:noProof/>
          <w:sz w:val="24"/>
        </w:rPr>
        <w:t>teczne operacyjne powiadomienia wywiadowcze, takie jak powiadomienia wczesnego ostrzegania</w:t>
      </w:r>
      <w:r w:rsidR="000309CC" w:rsidRPr="000309CC">
        <w:rPr>
          <w:rFonts w:ascii="Times New Roman" w:hAnsi="Times New Roman"/>
          <w:noProof/>
          <w:sz w:val="24"/>
        </w:rPr>
        <w:t xml:space="preserve"> i oce</w:t>
      </w:r>
      <w:r w:rsidRPr="000309CC">
        <w:rPr>
          <w:rFonts w:ascii="Times New Roman" w:hAnsi="Times New Roman"/>
          <w:noProof/>
          <w:sz w:val="24"/>
        </w:rPr>
        <w:t>ny zagrożenia, które są udostępniane partnerom.</w:t>
      </w:r>
      <w:r w:rsidRPr="000309CC">
        <w:rPr>
          <w:rFonts w:ascii="Arial" w:hAnsi="Arial"/>
          <w:noProof/>
          <w:color w:val="333333"/>
          <w:sz w:val="29"/>
        </w:rPr>
        <w:t> </w:t>
      </w:r>
    </w:p>
    <w:p w14:paraId="15A6B85E" w14:textId="77777777" w:rsidR="00474DA2" w:rsidRPr="000309CC" w:rsidRDefault="00474DA2" w:rsidP="00474DA2">
      <w:pPr>
        <w:spacing w:after="0" w:line="240" w:lineRule="auto"/>
        <w:jc w:val="both"/>
        <w:rPr>
          <w:rFonts w:ascii="Calibri" w:eastAsia="Calibri" w:hAnsi="Calibri" w:cs="Calibri"/>
          <w:noProof/>
        </w:rPr>
      </w:pPr>
    </w:p>
    <w:p w14:paraId="6D760BC7" w14:textId="77777777" w:rsidR="00E567A9" w:rsidRPr="000309CC" w:rsidRDefault="00E567A9" w:rsidP="00474DA2">
      <w:pPr>
        <w:spacing w:after="0" w:line="240" w:lineRule="auto"/>
        <w:jc w:val="both"/>
        <w:rPr>
          <w:rFonts w:ascii="Calibri" w:eastAsia="Calibri" w:hAnsi="Calibri" w:cs="Calibri"/>
          <w:noProof/>
        </w:rPr>
      </w:pPr>
    </w:p>
    <w:p w14:paraId="4F795A7F" w14:textId="77777777" w:rsidR="00551EA2" w:rsidRPr="000309CC" w:rsidRDefault="00551EA2" w:rsidP="00474DA2">
      <w:pPr>
        <w:spacing w:after="0" w:line="240" w:lineRule="auto"/>
        <w:jc w:val="both"/>
        <w:rPr>
          <w:rFonts w:ascii="Times New Roman" w:hAnsi="Times New Roman" w:cs="Times New Roman"/>
          <w:bCs/>
          <w:i/>
          <w:noProof/>
          <w:sz w:val="24"/>
          <w:szCs w:val="24"/>
        </w:rPr>
      </w:pPr>
      <w:r w:rsidRPr="000309CC">
        <w:rPr>
          <w:rFonts w:ascii="Times New Roman" w:hAnsi="Times New Roman"/>
          <w:i/>
          <w:noProof/>
          <w:sz w:val="24"/>
        </w:rPr>
        <w:t>Przestępczość zorganizowana</w:t>
      </w:r>
    </w:p>
    <w:p w14:paraId="7D91A85A" w14:textId="77777777" w:rsidR="0099171C" w:rsidRPr="000309CC" w:rsidRDefault="0099171C" w:rsidP="00474DA2">
      <w:pPr>
        <w:spacing w:after="0" w:line="240" w:lineRule="auto"/>
        <w:jc w:val="both"/>
        <w:rPr>
          <w:rFonts w:ascii="Times New Roman" w:hAnsi="Times New Roman" w:cs="Times New Roman"/>
          <w:bCs/>
          <w:i/>
          <w:noProof/>
          <w:sz w:val="24"/>
          <w:szCs w:val="24"/>
        </w:rPr>
      </w:pPr>
    </w:p>
    <w:p w14:paraId="57F48C50" w14:textId="3DB55B28" w:rsidR="00A04B9E" w:rsidRPr="000309CC" w:rsidRDefault="00A04B9E" w:rsidP="00A04B9E">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Zorganizowane grupy przestępcze już znajdują sposoby na wykorzystanie obecnej sytuacji. Wstępna analiza danych wywiadowczych pozwoliła zidentyfikować schematy popełniania przestępstw</w:t>
      </w:r>
      <w:r w:rsidR="000309CC" w:rsidRPr="000309CC">
        <w:rPr>
          <w:rFonts w:ascii="Times New Roman" w:hAnsi="Times New Roman"/>
          <w:noProof/>
          <w:sz w:val="24"/>
        </w:rPr>
        <w:t xml:space="preserve"> w wie</w:t>
      </w:r>
      <w:r w:rsidRPr="000309CC">
        <w:rPr>
          <w:rFonts w:ascii="Times New Roman" w:hAnsi="Times New Roman"/>
          <w:noProof/>
          <w:sz w:val="24"/>
        </w:rPr>
        <w:t>lu obszarach, takich jak handel ludźmi, podrobione zgłoszenia przywozowe</w:t>
      </w:r>
      <w:r w:rsidR="000309CC" w:rsidRPr="000309CC">
        <w:rPr>
          <w:rFonts w:ascii="Times New Roman" w:hAnsi="Times New Roman"/>
          <w:noProof/>
          <w:sz w:val="24"/>
        </w:rPr>
        <w:t xml:space="preserve"> i wyw</w:t>
      </w:r>
      <w:r w:rsidRPr="000309CC">
        <w:rPr>
          <w:rFonts w:ascii="Times New Roman" w:hAnsi="Times New Roman"/>
          <w:noProof/>
          <w:sz w:val="24"/>
        </w:rPr>
        <w:t>ozowe towarów, oszustwa internetowe, cyberprzestępczość</w:t>
      </w:r>
      <w:r w:rsidR="000309CC" w:rsidRPr="000309CC">
        <w:rPr>
          <w:rFonts w:ascii="Times New Roman" w:hAnsi="Times New Roman"/>
          <w:noProof/>
          <w:sz w:val="24"/>
        </w:rPr>
        <w:t xml:space="preserve"> i nie</w:t>
      </w:r>
      <w:r w:rsidRPr="000309CC">
        <w:rPr>
          <w:rFonts w:ascii="Times New Roman" w:hAnsi="Times New Roman"/>
          <w:noProof/>
          <w:sz w:val="24"/>
        </w:rPr>
        <w:t>legalny handel bronią palną. Istnieją również dowody na to, że cyberprzestępcy, podając się za osoby zbierające fundusze dla Ukrainy, kradną pieniądze</w:t>
      </w:r>
      <w:r w:rsidR="000309CC" w:rsidRPr="000309CC">
        <w:rPr>
          <w:rFonts w:ascii="Times New Roman" w:hAnsi="Times New Roman"/>
          <w:noProof/>
          <w:sz w:val="24"/>
        </w:rPr>
        <w:t xml:space="preserve"> i kry</w:t>
      </w:r>
      <w:r w:rsidRPr="000309CC">
        <w:rPr>
          <w:rFonts w:ascii="Times New Roman" w:hAnsi="Times New Roman"/>
          <w:noProof/>
          <w:sz w:val="24"/>
        </w:rPr>
        <w:t>ptowaluty</w:t>
      </w:r>
      <w:r w:rsidRPr="000309CC">
        <w:rPr>
          <w:rStyle w:val="FootnoteReference"/>
          <w:rFonts w:ascii="Times New Roman" w:hAnsi="Times New Roman" w:cs="Times New Roman"/>
          <w:bCs/>
          <w:noProof/>
          <w:sz w:val="24"/>
          <w:szCs w:val="24"/>
        </w:rPr>
        <w:footnoteReference w:id="28"/>
      </w:r>
      <w:r w:rsidR="000309CC" w:rsidRPr="000309CC">
        <w:rPr>
          <w:rFonts w:ascii="Times New Roman" w:hAnsi="Times New Roman"/>
          <w:noProof/>
          <w:sz w:val="24"/>
        </w:rPr>
        <w:t>. Z uwa</w:t>
      </w:r>
      <w:r w:rsidRPr="000309CC">
        <w:rPr>
          <w:rFonts w:ascii="Times New Roman" w:hAnsi="Times New Roman"/>
          <w:noProof/>
          <w:sz w:val="24"/>
        </w:rPr>
        <w:t>gi na obecną sytuację organizacje przestępcze</w:t>
      </w:r>
      <w:r w:rsidR="000309CC" w:rsidRPr="000309CC">
        <w:rPr>
          <w:rFonts w:ascii="Times New Roman" w:hAnsi="Times New Roman"/>
          <w:noProof/>
          <w:sz w:val="24"/>
        </w:rPr>
        <w:t xml:space="preserve"> z Ukr</w:t>
      </w:r>
      <w:r w:rsidRPr="000309CC">
        <w:rPr>
          <w:rFonts w:ascii="Times New Roman" w:hAnsi="Times New Roman"/>
          <w:noProof/>
          <w:sz w:val="24"/>
        </w:rPr>
        <w:t>ainy mogą próbować przenieść się</w:t>
      </w:r>
      <w:r w:rsidR="000309CC" w:rsidRPr="000309CC">
        <w:rPr>
          <w:rFonts w:ascii="Times New Roman" w:hAnsi="Times New Roman"/>
          <w:noProof/>
          <w:sz w:val="24"/>
        </w:rPr>
        <w:t xml:space="preserve"> w inn</w:t>
      </w:r>
      <w:r w:rsidRPr="000309CC">
        <w:rPr>
          <w:rFonts w:ascii="Times New Roman" w:hAnsi="Times New Roman"/>
          <w:noProof/>
          <w:sz w:val="24"/>
        </w:rPr>
        <w:t>e miejsce</w:t>
      </w:r>
      <w:r w:rsidR="000309CC" w:rsidRPr="000309CC">
        <w:rPr>
          <w:rFonts w:ascii="Times New Roman" w:hAnsi="Times New Roman"/>
          <w:noProof/>
          <w:sz w:val="24"/>
        </w:rPr>
        <w:t xml:space="preserve"> i kon</w:t>
      </w:r>
      <w:r w:rsidRPr="000309CC">
        <w:rPr>
          <w:rFonts w:ascii="Times New Roman" w:hAnsi="Times New Roman"/>
          <w:noProof/>
          <w:sz w:val="24"/>
        </w:rPr>
        <w:t xml:space="preserve">tynuować swoją działalność w UE. </w:t>
      </w:r>
    </w:p>
    <w:p w14:paraId="5BB7D092" w14:textId="77777777" w:rsidR="00A04B9E" w:rsidRPr="000309CC" w:rsidRDefault="00A04B9E" w:rsidP="00474DA2">
      <w:pPr>
        <w:spacing w:after="0" w:line="240" w:lineRule="auto"/>
        <w:jc w:val="both"/>
        <w:rPr>
          <w:rFonts w:ascii="Times New Roman" w:hAnsi="Times New Roman" w:cs="Times New Roman"/>
          <w:bCs/>
          <w:i/>
          <w:noProof/>
          <w:sz w:val="24"/>
          <w:szCs w:val="24"/>
        </w:rPr>
      </w:pPr>
    </w:p>
    <w:p w14:paraId="35C96661" w14:textId="05C091EA" w:rsidR="00474DA2" w:rsidRPr="000309CC" w:rsidRDefault="00474DA2" w:rsidP="00474D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Komisja</w:t>
      </w:r>
      <w:r w:rsidR="000309CC" w:rsidRPr="000309CC">
        <w:rPr>
          <w:rFonts w:ascii="Times New Roman" w:hAnsi="Times New Roman"/>
          <w:noProof/>
          <w:sz w:val="24"/>
        </w:rPr>
        <w:t xml:space="preserve"> i fra</w:t>
      </w:r>
      <w:r w:rsidRPr="000309CC">
        <w:rPr>
          <w:rFonts w:ascii="Times New Roman" w:hAnsi="Times New Roman"/>
          <w:noProof/>
          <w:sz w:val="24"/>
        </w:rPr>
        <w:t>ncuska prezydencja</w:t>
      </w:r>
      <w:r w:rsidR="000309CC" w:rsidRPr="000309CC">
        <w:rPr>
          <w:rFonts w:ascii="Times New Roman" w:hAnsi="Times New Roman"/>
          <w:noProof/>
          <w:sz w:val="24"/>
        </w:rPr>
        <w:t xml:space="preserve"> w Rad</w:t>
      </w:r>
      <w:r w:rsidRPr="000309CC">
        <w:rPr>
          <w:rFonts w:ascii="Times New Roman" w:hAnsi="Times New Roman"/>
          <w:noProof/>
          <w:sz w:val="24"/>
        </w:rPr>
        <w:t>zie UE pracowały wspólnie,</w:t>
      </w:r>
      <w:r w:rsidR="000309CC" w:rsidRPr="000309CC">
        <w:rPr>
          <w:rFonts w:ascii="Times New Roman" w:hAnsi="Times New Roman"/>
          <w:noProof/>
          <w:sz w:val="24"/>
        </w:rPr>
        <w:t xml:space="preserve"> a tak</w:t>
      </w:r>
      <w:r w:rsidRPr="000309CC">
        <w:rPr>
          <w:rFonts w:ascii="Times New Roman" w:hAnsi="Times New Roman"/>
          <w:noProof/>
          <w:sz w:val="24"/>
        </w:rPr>
        <w:t>że</w:t>
      </w:r>
      <w:r w:rsidR="000309CC" w:rsidRPr="000309CC">
        <w:rPr>
          <w:rFonts w:ascii="Times New Roman" w:hAnsi="Times New Roman"/>
          <w:noProof/>
          <w:sz w:val="24"/>
        </w:rPr>
        <w:t xml:space="preserve"> z age</w:t>
      </w:r>
      <w:r w:rsidRPr="000309CC">
        <w:rPr>
          <w:rFonts w:ascii="Times New Roman" w:hAnsi="Times New Roman"/>
          <w:noProof/>
          <w:sz w:val="24"/>
        </w:rPr>
        <w:t>ncjami WSiSW UE,</w:t>
      </w:r>
      <w:r w:rsidR="000309CC" w:rsidRPr="000309CC">
        <w:rPr>
          <w:rFonts w:ascii="Times New Roman" w:hAnsi="Times New Roman"/>
          <w:noProof/>
          <w:sz w:val="24"/>
        </w:rPr>
        <w:t xml:space="preserve"> w szc</w:t>
      </w:r>
      <w:r w:rsidRPr="000309CC">
        <w:rPr>
          <w:rFonts w:ascii="Times New Roman" w:hAnsi="Times New Roman"/>
          <w:noProof/>
          <w:sz w:val="24"/>
        </w:rPr>
        <w:t>zególności</w:t>
      </w:r>
      <w:r w:rsidR="000309CC" w:rsidRPr="000309CC">
        <w:rPr>
          <w:rFonts w:ascii="Times New Roman" w:hAnsi="Times New Roman"/>
          <w:noProof/>
          <w:sz w:val="24"/>
        </w:rPr>
        <w:t xml:space="preserve"> z Eur</w:t>
      </w:r>
      <w:r w:rsidRPr="000309CC">
        <w:rPr>
          <w:rFonts w:ascii="Times New Roman" w:hAnsi="Times New Roman"/>
          <w:noProof/>
          <w:sz w:val="24"/>
        </w:rPr>
        <w:t>opolem, nad uruchomieniem europejskiej multidyscyplinarnej platformy przeciwko zagrożeniom przestępstwami (</w:t>
      </w:r>
      <w:r w:rsidRPr="000309CC">
        <w:rPr>
          <w:rFonts w:ascii="Times New Roman" w:hAnsi="Times New Roman"/>
          <w:b/>
          <w:noProof/>
          <w:sz w:val="24"/>
        </w:rPr>
        <w:t>EMPACT</w:t>
      </w:r>
      <w:r w:rsidRPr="000309CC">
        <w:rPr>
          <w:rFonts w:ascii="Times New Roman" w:hAnsi="Times New Roman"/>
          <w:noProof/>
          <w:sz w:val="24"/>
        </w:rPr>
        <w:t>), aby oceniać</w:t>
      </w:r>
      <w:r w:rsidR="000309CC" w:rsidRPr="000309CC">
        <w:rPr>
          <w:rFonts w:ascii="Times New Roman" w:hAnsi="Times New Roman"/>
          <w:noProof/>
          <w:sz w:val="24"/>
        </w:rPr>
        <w:t xml:space="preserve"> i prz</w:t>
      </w:r>
      <w:r w:rsidRPr="000309CC">
        <w:rPr>
          <w:rFonts w:ascii="Times New Roman" w:hAnsi="Times New Roman"/>
          <w:noProof/>
          <w:sz w:val="24"/>
        </w:rPr>
        <w:t>ewidywać istniejące lub pojawiające się zagrożenia poważną</w:t>
      </w:r>
      <w:r w:rsidR="000309CC" w:rsidRPr="000309CC">
        <w:rPr>
          <w:rFonts w:ascii="Times New Roman" w:hAnsi="Times New Roman"/>
          <w:noProof/>
          <w:sz w:val="24"/>
        </w:rPr>
        <w:t xml:space="preserve"> i zor</w:t>
      </w:r>
      <w:r w:rsidRPr="000309CC">
        <w:rPr>
          <w:rFonts w:ascii="Times New Roman" w:hAnsi="Times New Roman"/>
          <w:noProof/>
          <w:sz w:val="24"/>
        </w:rPr>
        <w:t>ganizowaną przestępczością oraz zapobiegać tym zagrożeniom</w:t>
      </w:r>
      <w:r w:rsidR="000309CC" w:rsidRPr="000309CC">
        <w:rPr>
          <w:rFonts w:ascii="Times New Roman" w:hAnsi="Times New Roman"/>
          <w:noProof/>
          <w:sz w:val="24"/>
        </w:rPr>
        <w:t xml:space="preserve"> i zwa</w:t>
      </w:r>
      <w:r w:rsidRPr="000309CC">
        <w:rPr>
          <w:rFonts w:ascii="Times New Roman" w:hAnsi="Times New Roman"/>
          <w:noProof/>
          <w:sz w:val="24"/>
        </w:rPr>
        <w:t>lczać je.</w:t>
      </w:r>
      <w:r w:rsidR="000309CC" w:rsidRPr="000309CC">
        <w:rPr>
          <w:rFonts w:ascii="Times New Roman" w:hAnsi="Times New Roman"/>
          <w:noProof/>
          <w:sz w:val="24"/>
        </w:rPr>
        <w:t> </w:t>
      </w:r>
      <w:r w:rsidRPr="000309CC">
        <w:rPr>
          <w:rFonts w:ascii="Times New Roman" w:hAnsi="Times New Roman"/>
          <w:noProof/>
          <w:sz w:val="24"/>
        </w:rPr>
        <w:t>7 kwietnia 2022</w:t>
      </w:r>
      <w:r w:rsidR="000309CC" w:rsidRPr="000309CC">
        <w:rPr>
          <w:rFonts w:ascii="Times New Roman" w:hAnsi="Times New Roman"/>
          <w:noProof/>
          <w:sz w:val="24"/>
        </w:rPr>
        <w:t> </w:t>
      </w:r>
      <w:r w:rsidRPr="000309CC">
        <w:rPr>
          <w:rFonts w:ascii="Times New Roman" w:hAnsi="Times New Roman"/>
          <w:noProof/>
          <w:sz w:val="24"/>
        </w:rPr>
        <w:t>r. Europol zorganizował posiedzenie EMPACT,</w:t>
      </w:r>
      <w:r w:rsidR="000309CC" w:rsidRPr="000309CC">
        <w:rPr>
          <w:rFonts w:ascii="Times New Roman" w:hAnsi="Times New Roman"/>
          <w:noProof/>
          <w:sz w:val="24"/>
        </w:rPr>
        <w:t xml:space="preserve"> w któ</w:t>
      </w:r>
      <w:r w:rsidRPr="000309CC">
        <w:rPr>
          <w:rFonts w:ascii="Times New Roman" w:hAnsi="Times New Roman"/>
          <w:noProof/>
          <w:sz w:val="24"/>
        </w:rPr>
        <w:t>rym uczestniczyli przedstawiciele</w:t>
      </w:r>
      <w:r w:rsidR="000309CC" w:rsidRPr="000309CC">
        <w:rPr>
          <w:rFonts w:ascii="Times New Roman" w:hAnsi="Times New Roman"/>
          <w:noProof/>
          <w:sz w:val="24"/>
        </w:rPr>
        <w:t xml:space="preserve"> i eks</w:t>
      </w:r>
      <w:r w:rsidRPr="000309CC">
        <w:rPr>
          <w:rFonts w:ascii="Times New Roman" w:hAnsi="Times New Roman"/>
          <w:noProof/>
          <w:sz w:val="24"/>
        </w:rPr>
        <w:t>perci</w:t>
      </w:r>
      <w:r w:rsidR="000309CC" w:rsidRPr="000309CC">
        <w:rPr>
          <w:rFonts w:ascii="Times New Roman" w:hAnsi="Times New Roman"/>
          <w:noProof/>
          <w:sz w:val="24"/>
        </w:rPr>
        <w:t xml:space="preserve"> z pań</w:t>
      </w:r>
      <w:r w:rsidRPr="000309CC">
        <w:rPr>
          <w:rFonts w:ascii="Times New Roman" w:hAnsi="Times New Roman"/>
          <w:noProof/>
          <w:sz w:val="24"/>
        </w:rPr>
        <w:t>stw członkowskich UE</w:t>
      </w:r>
      <w:r w:rsidR="000309CC" w:rsidRPr="000309CC">
        <w:rPr>
          <w:rFonts w:ascii="Times New Roman" w:hAnsi="Times New Roman"/>
          <w:noProof/>
          <w:sz w:val="24"/>
        </w:rPr>
        <w:t xml:space="preserve"> i uni</w:t>
      </w:r>
      <w:r w:rsidRPr="000309CC">
        <w:rPr>
          <w:rFonts w:ascii="Times New Roman" w:hAnsi="Times New Roman"/>
          <w:noProof/>
          <w:sz w:val="24"/>
        </w:rPr>
        <w:t>jnej wspólnoty bezpieczeństwa</w:t>
      </w:r>
      <w:r w:rsidR="000309CC" w:rsidRPr="000309CC">
        <w:rPr>
          <w:rFonts w:ascii="Times New Roman" w:hAnsi="Times New Roman"/>
          <w:noProof/>
          <w:sz w:val="24"/>
        </w:rPr>
        <w:t xml:space="preserve"> i któ</w:t>
      </w:r>
      <w:r w:rsidRPr="000309CC">
        <w:rPr>
          <w:rFonts w:ascii="Times New Roman" w:hAnsi="Times New Roman"/>
          <w:noProof/>
          <w:sz w:val="24"/>
        </w:rPr>
        <w:t>re poświęcone było zagrożeniom poważną</w:t>
      </w:r>
      <w:r w:rsidR="000309CC" w:rsidRPr="000309CC">
        <w:rPr>
          <w:rFonts w:ascii="Times New Roman" w:hAnsi="Times New Roman"/>
          <w:noProof/>
          <w:sz w:val="24"/>
        </w:rPr>
        <w:t xml:space="preserve"> i zor</w:t>
      </w:r>
      <w:r w:rsidRPr="000309CC">
        <w:rPr>
          <w:rFonts w:ascii="Times New Roman" w:hAnsi="Times New Roman"/>
          <w:noProof/>
          <w:sz w:val="24"/>
        </w:rPr>
        <w:t>ganizowaną przestępczością, które pojawiły się</w:t>
      </w:r>
      <w:r w:rsidR="000309CC" w:rsidRPr="000309CC">
        <w:rPr>
          <w:rFonts w:ascii="Times New Roman" w:hAnsi="Times New Roman"/>
          <w:noProof/>
          <w:sz w:val="24"/>
        </w:rPr>
        <w:t xml:space="preserve"> w wyn</w:t>
      </w:r>
      <w:r w:rsidRPr="000309CC">
        <w:rPr>
          <w:rFonts w:ascii="Times New Roman" w:hAnsi="Times New Roman"/>
          <w:noProof/>
          <w:sz w:val="24"/>
        </w:rPr>
        <w:t>iku wojny</w:t>
      </w:r>
      <w:r w:rsidR="000309CC" w:rsidRPr="000309CC">
        <w:rPr>
          <w:rFonts w:ascii="Times New Roman" w:hAnsi="Times New Roman"/>
          <w:noProof/>
          <w:sz w:val="24"/>
        </w:rPr>
        <w:t xml:space="preserve"> w Ukr</w:t>
      </w:r>
      <w:r w:rsidRPr="000309CC">
        <w:rPr>
          <w:rFonts w:ascii="Times New Roman" w:hAnsi="Times New Roman"/>
          <w:noProof/>
          <w:sz w:val="24"/>
        </w:rPr>
        <w:t>ainie. Omówiono na nim konkretne kroki, takie jak gromadzenie większej ilości danych wywiadowczych, realizacja nadzwyczajnych działań operacyjnych</w:t>
      </w:r>
      <w:r w:rsidR="000309CC" w:rsidRPr="000309CC">
        <w:rPr>
          <w:rFonts w:ascii="Times New Roman" w:hAnsi="Times New Roman"/>
          <w:noProof/>
          <w:sz w:val="24"/>
        </w:rPr>
        <w:t xml:space="preserve"> i prz</w:t>
      </w:r>
      <w:r w:rsidRPr="000309CC">
        <w:rPr>
          <w:rFonts w:ascii="Times New Roman" w:hAnsi="Times New Roman"/>
          <w:noProof/>
          <w:sz w:val="24"/>
        </w:rPr>
        <w:t>eformułowanie istniejących,</w:t>
      </w:r>
      <w:r w:rsidR="000309CC" w:rsidRPr="000309CC">
        <w:rPr>
          <w:rFonts w:ascii="Times New Roman" w:hAnsi="Times New Roman"/>
          <w:noProof/>
          <w:sz w:val="24"/>
        </w:rPr>
        <w:t xml:space="preserve"> a tak</w:t>
      </w:r>
      <w:r w:rsidRPr="000309CC">
        <w:rPr>
          <w:rFonts w:ascii="Times New Roman" w:hAnsi="Times New Roman"/>
          <w:noProof/>
          <w:sz w:val="24"/>
        </w:rPr>
        <w:t xml:space="preserve">że dni wspólnych działań </w:t>
      </w:r>
      <w:r w:rsidRPr="000309CC">
        <w:rPr>
          <w:rFonts w:ascii="Times New Roman" w:hAnsi="Times New Roman"/>
          <w:i/>
          <w:iCs/>
          <w:noProof/>
          <w:sz w:val="24"/>
        </w:rPr>
        <w:t>ad hoc</w:t>
      </w:r>
      <w:r w:rsidRPr="000309CC">
        <w:rPr>
          <w:rFonts w:ascii="Times New Roman" w:hAnsi="Times New Roman"/>
          <w:noProof/>
          <w:sz w:val="24"/>
        </w:rPr>
        <w:t xml:space="preserve">. </w:t>
      </w:r>
    </w:p>
    <w:p w14:paraId="0A695BF3" w14:textId="77777777" w:rsidR="00BE1F24" w:rsidRPr="000309CC" w:rsidRDefault="00BE1F24" w:rsidP="00BE1F24">
      <w:pPr>
        <w:spacing w:after="0" w:line="240" w:lineRule="auto"/>
        <w:jc w:val="both"/>
        <w:rPr>
          <w:rFonts w:ascii="Times New Roman" w:hAnsi="Times New Roman" w:cs="Times New Roman"/>
          <w:noProof/>
          <w:sz w:val="24"/>
          <w:szCs w:val="24"/>
        </w:rPr>
      </w:pPr>
    </w:p>
    <w:p w14:paraId="06F94269" w14:textId="69E6B1C0" w:rsidR="00E760BC" w:rsidRPr="000309CC" w:rsidRDefault="002A7BB8" w:rsidP="00474DA2">
      <w:pPr>
        <w:spacing w:after="0" w:line="240" w:lineRule="auto"/>
        <w:jc w:val="both"/>
        <w:rPr>
          <w:rFonts w:ascii="Times New Roman" w:hAnsi="Times New Roman" w:cs="Times New Roman"/>
          <w:noProof/>
          <w:sz w:val="24"/>
          <w:szCs w:val="24"/>
        </w:rPr>
      </w:pPr>
      <w:r w:rsidRPr="000309CC">
        <w:rPr>
          <w:rFonts w:ascii="Times New Roman" w:hAnsi="Times New Roman"/>
          <w:b/>
          <w:noProof/>
          <w:sz w:val="24"/>
        </w:rPr>
        <w:t>CELBET</w:t>
      </w:r>
      <w:r w:rsidRPr="000309CC">
        <w:rPr>
          <w:rFonts w:ascii="Times New Roman" w:hAnsi="Times New Roman"/>
          <w:noProof/>
          <w:sz w:val="24"/>
        </w:rPr>
        <w:t xml:space="preserve"> (Zespół Ekspertów Celnych ds. Wschodniej</w:t>
      </w:r>
      <w:r w:rsidR="000309CC" w:rsidRPr="000309CC">
        <w:rPr>
          <w:rFonts w:ascii="Times New Roman" w:hAnsi="Times New Roman"/>
          <w:noProof/>
          <w:sz w:val="24"/>
        </w:rPr>
        <w:t xml:space="preserve"> i Poł</w:t>
      </w:r>
      <w:r w:rsidRPr="000309CC">
        <w:rPr>
          <w:rFonts w:ascii="Times New Roman" w:hAnsi="Times New Roman"/>
          <w:noProof/>
          <w:sz w:val="24"/>
        </w:rPr>
        <w:t>udniowo-Wschodniej Granicy Lądowej) – projekt współpracy finansowany przez Komisję Europejską – obserwuje rozwój sytuacji na granicy</w:t>
      </w:r>
      <w:r w:rsidR="000309CC" w:rsidRPr="000309CC">
        <w:rPr>
          <w:rFonts w:ascii="Times New Roman" w:hAnsi="Times New Roman"/>
          <w:noProof/>
          <w:sz w:val="24"/>
        </w:rPr>
        <w:t xml:space="preserve"> w ram</w:t>
      </w:r>
      <w:r w:rsidRPr="000309CC">
        <w:rPr>
          <w:rFonts w:ascii="Times New Roman" w:hAnsi="Times New Roman"/>
          <w:noProof/>
          <w:sz w:val="24"/>
        </w:rPr>
        <w:t>ach swojej misji zapewniania wsparcia operacyjnego</w:t>
      </w:r>
      <w:r w:rsidR="000309CC" w:rsidRPr="000309CC">
        <w:rPr>
          <w:rFonts w:ascii="Times New Roman" w:hAnsi="Times New Roman"/>
          <w:noProof/>
          <w:sz w:val="24"/>
        </w:rPr>
        <w:t xml:space="preserve"> i wyt</w:t>
      </w:r>
      <w:r w:rsidRPr="000309CC">
        <w:rPr>
          <w:rFonts w:ascii="Times New Roman" w:hAnsi="Times New Roman"/>
          <w:noProof/>
          <w:sz w:val="24"/>
        </w:rPr>
        <w:t>ycznych dla funkcjonariuszy celnych oraz monitoruje zajęcia celne na przejściach granicznych na granicy UE (Polski, Słowacji, Węgier</w:t>
      </w:r>
      <w:r w:rsidR="000309CC" w:rsidRPr="000309CC">
        <w:rPr>
          <w:rFonts w:ascii="Times New Roman" w:hAnsi="Times New Roman"/>
          <w:noProof/>
          <w:sz w:val="24"/>
        </w:rPr>
        <w:t xml:space="preserve"> i Rum</w:t>
      </w:r>
      <w:r w:rsidRPr="000309CC">
        <w:rPr>
          <w:rFonts w:ascii="Times New Roman" w:hAnsi="Times New Roman"/>
          <w:noProof/>
          <w:sz w:val="24"/>
        </w:rPr>
        <w:t>unii)</w:t>
      </w:r>
      <w:r w:rsidR="000309CC" w:rsidRPr="000309CC">
        <w:rPr>
          <w:rFonts w:ascii="Times New Roman" w:hAnsi="Times New Roman"/>
          <w:noProof/>
          <w:sz w:val="24"/>
        </w:rPr>
        <w:t xml:space="preserve"> z Ukr</w:t>
      </w:r>
      <w:r w:rsidRPr="000309CC">
        <w:rPr>
          <w:rFonts w:ascii="Times New Roman" w:hAnsi="Times New Roman"/>
          <w:noProof/>
          <w:sz w:val="24"/>
        </w:rPr>
        <w:t xml:space="preserve">ainą. </w:t>
      </w:r>
    </w:p>
    <w:p w14:paraId="23757469" w14:textId="77777777" w:rsidR="00BE1F24" w:rsidRPr="000309CC" w:rsidRDefault="00BE1F24" w:rsidP="00BE1F24">
      <w:pPr>
        <w:spacing w:after="0" w:line="240" w:lineRule="auto"/>
        <w:jc w:val="both"/>
        <w:rPr>
          <w:rFonts w:ascii="Times New Roman" w:hAnsi="Times New Roman" w:cs="Times New Roman"/>
          <w:noProof/>
          <w:sz w:val="24"/>
          <w:szCs w:val="24"/>
        </w:rPr>
      </w:pPr>
    </w:p>
    <w:p w14:paraId="4C3B6DF8" w14:textId="13832158" w:rsidR="009764F5" w:rsidRPr="000309CC" w:rsidRDefault="003C6CFE" w:rsidP="006348C7">
      <w:pPr>
        <w:spacing w:after="0" w:line="240" w:lineRule="auto"/>
        <w:jc w:val="both"/>
        <w:rPr>
          <w:rFonts w:ascii="Times New Roman" w:hAnsi="Times New Roman" w:cs="Times New Roman"/>
          <w:i/>
          <w:noProof/>
          <w:sz w:val="24"/>
          <w:szCs w:val="24"/>
        </w:rPr>
      </w:pPr>
      <w:r w:rsidRPr="000309CC">
        <w:rPr>
          <w:rFonts w:ascii="Times New Roman" w:hAnsi="Times New Roman"/>
          <w:i/>
          <w:noProof/>
          <w:sz w:val="24"/>
        </w:rPr>
        <w:t>Działalność przestępcza</w:t>
      </w:r>
      <w:r w:rsidR="000309CC" w:rsidRPr="000309CC">
        <w:rPr>
          <w:rFonts w:ascii="Times New Roman" w:hAnsi="Times New Roman"/>
          <w:i/>
          <w:noProof/>
          <w:sz w:val="24"/>
        </w:rPr>
        <w:t xml:space="preserve"> i ter</w:t>
      </w:r>
      <w:r w:rsidRPr="000309CC">
        <w:rPr>
          <w:rFonts w:ascii="Times New Roman" w:hAnsi="Times New Roman"/>
          <w:i/>
          <w:noProof/>
          <w:sz w:val="24"/>
        </w:rPr>
        <w:t>rorystyczna</w:t>
      </w:r>
    </w:p>
    <w:p w14:paraId="1EF6A0FB" w14:textId="77777777" w:rsidR="0099171C" w:rsidRPr="000309CC" w:rsidRDefault="0099171C" w:rsidP="006348C7">
      <w:pPr>
        <w:spacing w:after="0" w:line="240" w:lineRule="auto"/>
        <w:jc w:val="both"/>
        <w:rPr>
          <w:rFonts w:ascii="Times New Roman" w:hAnsi="Times New Roman" w:cs="Times New Roman"/>
          <w:i/>
          <w:noProof/>
          <w:sz w:val="24"/>
          <w:szCs w:val="24"/>
        </w:rPr>
      </w:pPr>
    </w:p>
    <w:p w14:paraId="768A8782" w14:textId="72B6CED0" w:rsidR="00474DA2" w:rsidRPr="000309CC" w:rsidRDefault="009764F5"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Chociaż jak dotąd w UE nie pojawiło się bezpośrednie zagrożenie terrorystyczne</w:t>
      </w:r>
      <w:r w:rsidR="000309CC" w:rsidRPr="000309CC">
        <w:rPr>
          <w:rFonts w:ascii="Times New Roman" w:hAnsi="Times New Roman"/>
          <w:noProof/>
          <w:sz w:val="24"/>
        </w:rPr>
        <w:t xml:space="preserve"> w zwi</w:t>
      </w:r>
      <w:r w:rsidRPr="000309CC">
        <w:rPr>
          <w:rFonts w:ascii="Times New Roman" w:hAnsi="Times New Roman"/>
          <w:noProof/>
          <w:sz w:val="24"/>
        </w:rPr>
        <w:t>ązku</w:t>
      </w:r>
      <w:r w:rsidR="000309CC" w:rsidRPr="000309CC">
        <w:rPr>
          <w:rFonts w:ascii="Times New Roman" w:hAnsi="Times New Roman"/>
          <w:noProof/>
          <w:sz w:val="24"/>
        </w:rPr>
        <w:t xml:space="preserve"> z inw</w:t>
      </w:r>
      <w:r w:rsidRPr="000309CC">
        <w:rPr>
          <w:rFonts w:ascii="Times New Roman" w:hAnsi="Times New Roman"/>
          <w:noProof/>
          <w:sz w:val="24"/>
        </w:rPr>
        <w:t xml:space="preserve">azją Rosji na Ukrainę, konieczność zachowania czujności jest oczywista. </w:t>
      </w:r>
    </w:p>
    <w:p w14:paraId="3B7D8D9F" w14:textId="77777777" w:rsidR="00474DA2" w:rsidRPr="000309CC" w:rsidRDefault="00474DA2" w:rsidP="00474DA2">
      <w:pPr>
        <w:spacing w:after="0" w:line="240" w:lineRule="auto"/>
        <w:jc w:val="both"/>
        <w:rPr>
          <w:rFonts w:ascii="Times New Roman" w:hAnsi="Times New Roman" w:cs="Times New Roman"/>
          <w:bCs/>
          <w:noProof/>
          <w:sz w:val="24"/>
          <w:szCs w:val="24"/>
        </w:rPr>
      </w:pPr>
    </w:p>
    <w:p w14:paraId="5AAEEF4B" w14:textId="1772DD19" w:rsidR="00474DA2" w:rsidRPr="000309CC" w:rsidRDefault="00474DA2" w:rsidP="00474D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Zwiększone ryzyko działalności przestępczej</w:t>
      </w:r>
      <w:r w:rsidR="000309CC" w:rsidRPr="000309CC">
        <w:rPr>
          <w:rFonts w:ascii="Times New Roman" w:hAnsi="Times New Roman"/>
          <w:noProof/>
          <w:sz w:val="24"/>
        </w:rPr>
        <w:t xml:space="preserve"> i ter</w:t>
      </w:r>
      <w:r w:rsidRPr="000309CC">
        <w:rPr>
          <w:rFonts w:ascii="Times New Roman" w:hAnsi="Times New Roman"/>
          <w:noProof/>
          <w:sz w:val="24"/>
        </w:rPr>
        <w:t>rorystycznej uwydatnia, jak istotne jest, by państwa członkowskie korzystały</w:t>
      </w:r>
      <w:r w:rsidR="000309CC" w:rsidRPr="000309CC">
        <w:rPr>
          <w:rFonts w:ascii="Times New Roman" w:hAnsi="Times New Roman"/>
          <w:noProof/>
          <w:sz w:val="24"/>
        </w:rPr>
        <w:t xml:space="preserve"> z odp</w:t>
      </w:r>
      <w:r w:rsidRPr="000309CC">
        <w:rPr>
          <w:rFonts w:ascii="Times New Roman" w:hAnsi="Times New Roman"/>
          <w:noProof/>
          <w:sz w:val="24"/>
        </w:rPr>
        <w:t>owiednich baz danych UE, takich jak System Informacyjny Schengen, by</w:t>
      </w:r>
      <w:r w:rsidR="000309CC" w:rsidRPr="000309CC">
        <w:rPr>
          <w:rFonts w:ascii="Times New Roman" w:hAnsi="Times New Roman"/>
          <w:noProof/>
          <w:sz w:val="24"/>
        </w:rPr>
        <w:t xml:space="preserve"> w sto</w:t>
      </w:r>
      <w:r w:rsidRPr="000309CC">
        <w:rPr>
          <w:rFonts w:ascii="Times New Roman" w:hAnsi="Times New Roman"/>
          <w:noProof/>
          <w:sz w:val="24"/>
        </w:rPr>
        <w:t>sownych przypadkach wprowadzały do nich dane oraz by sprawdzały je podczas kontroli osób wjeżdżających do UE. Pomoże to zapewnić, aby osoby, które stanowią zagrożenie dla bezpieczeństwa wewnętrznego UE, były wykrywane na granicach zewnętrznych. Eu-LISA – Agencja Unii Europejskiej ds. Zarządzania Operacyjnego Wielkoskalowymi Systemami Informatycznymi</w:t>
      </w:r>
      <w:r w:rsidR="000309CC" w:rsidRPr="000309CC">
        <w:rPr>
          <w:rFonts w:ascii="Times New Roman" w:hAnsi="Times New Roman"/>
          <w:noProof/>
          <w:sz w:val="24"/>
        </w:rPr>
        <w:t xml:space="preserve"> w Prz</w:t>
      </w:r>
      <w:r w:rsidRPr="000309CC">
        <w:rPr>
          <w:rFonts w:ascii="Times New Roman" w:hAnsi="Times New Roman"/>
          <w:noProof/>
          <w:sz w:val="24"/>
        </w:rPr>
        <w:t>estrzeni Wolności, Bezpieczeństwa</w:t>
      </w:r>
      <w:r w:rsidR="000309CC" w:rsidRPr="000309CC">
        <w:rPr>
          <w:rFonts w:ascii="Times New Roman" w:hAnsi="Times New Roman"/>
          <w:noProof/>
          <w:sz w:val="24"/>
        </w:rPr>
        <w:t xml:space="preserve"> i Spr</w:t>
      </w:r>
      <w:r w:rsidRPr="000309CC">
        <w:rPr>
          <w:rFonts w:ascii="Times New Roman" w:hAnsi="Times New Roman"/>
          <w:noProof/>
          <w:sz w:val="24"/>
        </w:rPr>
        <w:t>awiedliwości – nieustannie dba</w:t>
      </w:r>
      <w:r w:rsidR="000309CC" w:rsidRPr="000309CC">
        <w:rPr>
          <w:rFonts w:ascii="Times New Roman" w:hAnsi="Times New Roman"/>
          <w:noProof/>
          <w:sz w:val="24"/>
        </w:rPr>
        <w:t xml:space="preserve"> o peł</w:t>
      </w:r>
      <w:r w:rsidRPr="000309CC">
        <w:rPr>
          <w:rFonts w:ascii="Times New Roman" w:hAnsi="Times New Roman"/>
          <w:noProof/>
          <w:sz w:val="24"/>
        </w:rPr>
        <w:t>ną dostępność</w:t>
      </w:r>
      <w:r w:rsidR="000309CC" w:rsidRPr="000309CC">
        <w:rPr>
          <w:rFonts w:ascii="Times New Roman" w:hAnsi="Times New Roman"/>
          <w:noProof/>
          <w:sz w:val="24"/>
        </w:rPr>
        <w:t xml:space="preserve"> i wyd</w:t>
      </w:r>
      <w:r w:rsidRPr="000309CC">
        <w:rPr>
          <w:rFonts w:ascii="Times New Roman" w:hAnsi="Times New Roman"/>
          <w:noProof/>
          <w:sz w:val="24"/>
        </w:rPr>
        <w:t>ajność systemów zarządzania granicami UE</w:t>
      </w:r>
      <w:r w:rsidR="000309CC" w:rsidRPr="000309CC">
        <w:rPr>
          <w:rFonts w:ascii="Times New Roman" w:hAnsi="Times New Roman"/>
          <w:noProof/>
          <w:sz w:val="24"/>
        </w:rPr>
        <w:t>. W wyt</w:t>
      </w:r>
      <w:r w:rsidRPr="000309CC">
        <w:rPr>
          <w:rFonts w:ascii="Times New Roman" w:hAnsi="Times New Roman"/>
          <w:noProof/>
          <w:sz w:val="24"/>
        </w:rPr>
        <w:t>ycznych</w:t>
      </w:r>
      <w:r w:rsidRPr="000309CC">
        <w:rPr>
          <w:rStyle w:val="FootnoteReference"/>
          <w:rFonts w:ascii="Times New Roman" w:hAnsi="Times New Roman" w:cs="Times New Roman"/>
          <w:bCs/>
          <w:noProof/>
          <w:sz w:val="24"/>
          <w:szCs w:val="24"/>
        </w:rPr>
        <w:footnoteReference w:id="29"/>
      </w:r>
      <w:r w:rsidRPr="000309CC">
        <w:rPr>
          <w:rFonts w:ascii="Times New Roman" w:hAnsi="Times New Roman"/>
          <w:noProof/>
          <w:sz w:val="24"/>
        </w:rPr>
        <w:t xml:space="preserve"> dla państw członkowskich wyjaśniono, jak zrównoważyć konieczność zapewnienia sprawnej odprawy osób przybywających na granicę zewnętrzną przy jednoczesnym przeprowadzaniu niezbędnych kontroli bezpieczeństwa. </w:t>
      </w:r>
    </w:p>
    <w:p w14:paraId="041EE49F" w14:textId="77777777" w:rsidR="00474DA2" w:rsidRPr="000309CC" w:rsidRDefault="00474DA2" w:rsidP="00474DA2">
      <w:pPr>
        <w:spacing w:after="0" w:line="240" w:lineRule="auto"/>
        <w:jc w:val="both"/>
        <w:rPr>
          <w:rFonts w:ascii="Times New Roman" w:hAnsi="Times New Roman" w:cs="Times New Roman"/>
          <w:noProof/>
          <w:sz w:val="24"/>
          <w:szCs w:val="24"/>
        </w:rPr>
      </w:pPr>
    </w:p>
    <w:p w14:paraId="3035491B" w14:textId="77777777" w:rsidR="00474DA2" w:rsidRPr="000309CC" w:rsidRDefault="00474DA2" w:rsidP="00474DA2">
      <w:pPr>
        <w:spacing w:before="240" w:after="120" w:line="240" w:lineRule="auto"/>
        <w:jc w:val="both"/>
        <w:rPr>
          <w:rFonts w:ascii="Times New Roman" w:hAnsi="Times New Roman" w:cs="Times New Roman"/>
          <w:b/>
          <w:bCs/>
          <w:i/>
          <w:noProof/>
          <w:sz w:val="24"/>
          <w:szCs w:val="24"/>
        </w:rPr>
      </w:pPr>
      <w:r w:rsidRPr="000309CC">
        <w:rPr>
          <w:rFonts w:ascii="Times New Roman" w:hAnsi="Times New Roman"/>
          <w:b/>
          <w:i/>
          <w:noProof/>
          <w:sz w:val="24"/>
        </w:rPr>
        <w:t>Gotowość</w:t>
      </w:r>
    </w:p>
    <w:p w14:paraId="07426422" w14:textId="767EC873" w:rsidR="00B44FC4" w:rsidRPr="000309CC" w:rsidRDefault="00474DA2" w:rsidP="00C9274A">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Oprócz zapewnienia wytycznych</w:t>
      </w:r>
      <w:r w:rsidR="000309CC" w:rsidRPr="000309CC">
        <w:rPr>
          <w:rFonts w:ascii="Times New Roman" w:hAnsi="Times New Roman"/>
          <w:noProof/>
          <w:sz w:val="24"/>
        </w:rPr>
        <w:t xml:space="preserve"> i koo</w:t>
      </w:r>
      <w:r w:rsidRPr="000309CC">
        <w:rPr>
          <w:rFonts w:ascii="Times New Roman" w:hAnsi="Times New Roman"/>
          <w:noProof/>
          <w:sz w:val="24"/>
        </w:rPr>
        <w:t>rdynacji zwiększono gotowość UE poprzez oddelegowanie pracowników agencji UE.</w:t>
      </w:r>
    </w:p>
    <w:p w14:paraId="19081F3B" w14:textId="77777777" w:rsidR="00B44FC4" w:rsidRPr="000309CC" w:rsidRDefault="00B44FC4" w:rsidP="00C9274A">
      <w:pPr>
        <w:spacing w:after="0" w:line="240" w:lineRule="auto"/>
        <w:jc w:val="both"/>
        <w:rPr>
          <w:rFonts w:ascii="Times New Roman" w:hAnsi="Times New Roman" w:cs="Times New Roman"/>
          <w:bCs/>
          <w:noProof/>
          <w:sz w:val="24"/>
          <w:szCs w:val="24"/>
        </w:rPr>
      </w:pPr>
    </w:p>
    <w:p w14:paraId="67A2DAB8" w14:textId="26F5AA4B" w:rsidR="00474DA2" w:rsidRPr="000309CC" w:rsidRDefault="00474DA2" w:rsidP="00474DA2">
      <w:pPr>
        <w:spacing w:after="0" w:line="240" w:lineRule="auto"/>
        <w:jc w:val="both"/>
        <w:rPr>
          <w:rFonts w:ascii="Times New Roman" w:hAnsi="Times New Roman" w:cs="Times New Roman"/>
          <w:bCs/>
          <w:noProof/>
          <w:sz w:val="24"/>
          <w:szCs w:val="24"/>
        </w:rPr>
      </w:pPr>
      <w:r w:rsidRPr="000309CC">
        <w:rPr>
          <w:rFonts w:ascii="Times New Roman" w:hAnsi="Times New Roman"/>
          <w:b/>
          <w:noProof/>
          <w:sz w:val="24"/>
        </w:rPr>
        <w:t>Europol</w:t>
      </w:r>
      <w:r w:rsidRPr="000309CC">
        <w:rPr>
          <w:rFonts w:ascii="Times New Roman" w:hAnsi="Times New Roman"/>
          <w:noProof/>
          <w:sz w:val="24"/>
        </w:rPr>
        <w:t xml:space="preserve"> oddelegował zespoły operacyjne do państw członkowskich UE sąsiadujących</w:t>
      </w:r>
      <w:r w:rsidR="000309CC" w:rsidRPr="000309CC">
        <w:rPr>
          <w:rFonts w:ascii="Times New Roman" w:hAnsi="Times New Roman"/>
          <w:noProof/>
          <w:sz w:val="24"/>
        </w:rPr>
        <w:t xml:space="preserve"> z Ukr</w:t>
      </w:r>
      <w:r w:rsidRPr="000309CC">
        <w:rPr>
          <w:rFonts w:ascii="Times New Roman" w:hAnsi="Times New Roman"/>
          <w:noProof/>
          <w:sz w:val="24"/>
        </w:rPr>
        <w:t>ainą. Zespoły te składały się</w:t>
      </w:r>
      <w:r w:rsidR="000309CC" w:rsidRPr="000309CC">
        <w:rPr>
          <w:rFonts w:ascii="Times New Roman" w:hAnsi="Times New Roman"/>
          <w:noProof/>
          <w:sz w:val="24"/>
        </w:rPr>
        <w:t xml:space="preserve"> z zap</w:t>
      </w:r>
      <w:r w:rsidRPr="000309CC">
        <w:rPr>
          <w:rFonts w:ascii="Times New Roman" w:hAnsi="Times New Roman"/>
          <w:noProof/>
          <w:sz w:val="24"/>
        </w:rPr>
        <w:t>roszonych funkcjonariuszy Europolu</w:t>
      </w:r>
      <w:r w:rsidR="000309CC" w:rsidRPr="000309CC">
        <w:rPr>
          <w:rFonts w:ascii="Times New Roman" w:hAnsi="Times New Roman"/>
          <w:noProof/>
          <w:sz w:val="24"/>
        </w:rPr>
        <w:t xml:space="preserve"> z pań</w:t>
      </w:r>
      <w:r w:rsidRPr="000309CC">
        <w:rPr>
          <w:rFonts w:ascii="Times New Roman" w:hAnsi="Times New Roman"/>
          <w:noProof/>
          <w:sz w:val="24"/>
        </w:rPr>
        <w:t>stw członkowskich</w:t>
      </w:r>
      <w:r w:rsidR="000309CC" w:rsidRPr="000309CC">
        <w:rPr>
          <w:rFonts w:ascii="Times New Roman" w:hAnsi="Times New Roman"/>
          <w:noProof/>
          <w:sz w:val="24"/>
        </w:rPr>
        <w:t xml:space="preserve"> i eks</w:t>
      </w:r>
      <w:r w:rsidRPr="000309CC">
        <w:rPr>
          <w:rFonts w:ascii="Times New Roman" w:hAnsi="Times New Roman"/>
          <w:noProof/>
          <w:sz w:val="24"/>
        </w:rPr>
        <w:t>pertów Europolu na Węgrzech, Litwie,</w:t>
      </w:r>
      <w:r w:rsidR="000309CC" w:rsidRPr="000309CC">
        <w:rPr>
          <w:rFonts w:ascii="Times New Roman" w:hAnsi="Times New Roman"/>
          <w:noProof/>
          <w:sz w:val="24"/>
        </w:rPr>
        <w:t xml:space="preserve"> w Pol</w:t>
      </w:r>
      <w:r w:rsidRPr="000309CC">
        <w:rPr>
          <w:rFonts w:ascii="Times New Roman" w:hAnsi="Times New Roman"/>
          <w:noProof/>
          <w:sz w:val="24"/>
        </w:rPr>
        <w:t>sce, Rumunii i na Słowacji oraz</w:t>
      </w:r>
      <w:r w:rsidR="000309CC" w:rsidRPr="000309CC">
        <w:rPr>
          <w:rFonts w:ascii="Times New Roman" w:hAnsi="Times New Roman"/>
          <w:noProof/>
          <w:sz w:val="24"/>
        </w:rPr>
        <w:t xml:space="preserve"> w Moł</w:t>
      </w:r>
      <w:r w:rsidRPr="000309CC">
        <w:rPr>
          <w:rFonts w:ascii="Times New Roman" w:hAnsi="Times New Roman"/>
          <w:noProof/>
          <w:sz w:val="24"/>
        </w:rPr>
        <w:t>dawii</w:t>
      </w:r>
      <w:r w:rsidR="00C9274A" w:rsidRPr="000309CC">
        <w:rPr>
          <w:rStyle w:val="FootnoteReference"/>
          <w:rFonts w:ascii="Times New Roman" w:hAnsi="Times New Roman" w:cs="Times New Roman"/>
          <w:bCs/>
          <w:noProof/>
          <w:sz w:val="24"/>
          <w:szCs w:val="24"/>
        </w:rPr>
        <w:footnoteReference w:id="30"/>
      </w:r>
      <w:r w:rsidRPr="000309CC">
        <w:rPr>
          <w:rFonts w:ascii="Times New Roman" w:hAnsi="Times New Roman"/>
          <w:noProof/>
          <w:sz w:val="24"/>
        </w:rPr>
        <w:t>. Zaproszeni funkcjonariusze Europolu wspierają organy krajowe</w:t>
      </w:r>
      <w:r w:rsidR="000309CC" w:rsidRPr="000309CC">
        <w:rPr>
          <w:rFonts w:ascii="Times New Roman" w:hAnsi="Times New Roman"/>
          <w:noProof/>
          <w:sz w:val="24"/>
        </w:rPr>
        <w:t xml:space="preserve"> w prz</w:t>
      </w:r>
      <w:r w:rsidRPr="000309CC">
        <w:rPr>
          <w:rFonts w:ascii="Times New Roman" w:hAnsi="Times New Roman"/>
          <w:noProof/>
          <w:sz w:val="24"/>
        </w:rPr>
        <w:t>eprowadzaniu kontroli bezpieczeństwa drugiej linii na zewnętrznych granicach UE. Eksperci Europolu udzielają wsparcia polegającego na gromadzeniu</w:t>
      </w:r>
      <w:r w:rsidR="000309CC" w:rsidRPr="000309CC">
        <w:rPr>
          <w:rFonts w:ascii="Times New Roman" w:hAnsi="Times New Roman"/>
          <w:noProof/>
          <w:sz w:val="24"/>
        </w:rPr>
        <w:t xml:space="preserve"> i oce</w:t>
      </w:r>
      <w:r w:rsidRPr="000309CC">
        <w:rPr>
          <w:rFonts w:ascii="Times New Roman" w:hAnsi="Times New Roman"/>
          <w:noProof/>
          <w:sz w:val="24"/>
        </w:rPr>
        <w:t>nie informacji</w:t>
      </w:r>
      <w:r w:rsidR="000309CC" w:rsidRPr="000309CC">
        <w:rPr>
          <w:rFonts w:ascii="Times New Roman" w:hAnsi="Times New Roman"/>
          <w:noProof/>
          <w:sz w:val="24"/>
        </w:rPr>
        <w:t xml:space="preserve"> w cel</w:t>
      </w:r>
      <w:r w:rsidRPr="000309CC">
        <w:rPr>
          <w:rFonts w:ascii="Times New Roman" w:hAnsi="Times New Roman"/>
          <w:noProof/>
          <w:sz w:val="24"/>
        </w:rPr>
        <w:t>u wykrywania zagrożeń terroryzmem</w:t>
      </w:r>
      <w:r w:rsidR="000309CC" w:rsidRPr="000309CC">
        <w:rPr>
          <w:rFonts w:ascii="Times New Roman" w:hAnsi="Times New Roman"/>
          <w:noProof/>
          <w:sz w:val="24"/>
        </w:rPr>
        <w:t xml:space="preserve"> i prz</w:t>
      </w:r>
      <w:r w:rsidRPr="000309CC">
        <w:rPr>
          <w:rFonts w:ascii="Times New Roman" w:hAnsi="Times New Roman"/>
          <w:noProof/>
          <w:sz w:val="24"/>
        </w:rPr>
        <w:t>estępczością, pomocy</w:t>
      </w:r>
      <w:r w:rsidR="000309CC" w:rsidRPr="000309CC">
        <w:rPr>
          <w:rFonts w:ascii="Times New Roman" w:hAnsi="Times New Roman"/>
          <w:noProof/>
          <w:sz w:val="24"/>
        </w:rPr>
        <w:t xml:space="preserve"> w pro</w:t>
      </w:r>
      <w:r w:rsidRPr="000309CC">
        <w:rPr>
          <w:rFonts w:ascii="Times New Roman" w:hAnsi="Times New Roman"/>
          <w:noProof/>
          <w:sz w:val="24"/>
        </w:rPr>
        <w:t>wadzeniu postępowań oraz identyfikacji osób stwarzających zagrożenie poprzez próby wjazdu do UE. Wspomniane zespoły operacyjne gromadzą informacje, które są wykorzystywane</w:t>
      </w:r>
      <w:r w:rsidR="000309CC" w:rsidRPr="000309CC">
        <w:rPr>
          <w:rFonts w:ascii="Times New Roman" w:hAnsi="Times New Roman"/>
          <w:noProof/>
          <w:sz w:val="24"/>
        </w:rPr>
        <w:t xml:space="preserve"> w oce</w:t>
      </w:r>
      <w:r w:rsidRPr="000309CC">
        <w:rPr>
          <w:rFonts w:ascii="Times New Roman" w:hAnsi="Times New Roman"/>
          <w:noProof/>
          <w:sz w:val="24"/>
        </w:rPr>
        <w:t>nach zagrożenia przestępczością, udostępnianych państwom członkowskim. Takie czynności</w:t>
      </w:r>
      <w:r w:rsidR="000309CC" w:rsidRPr="000309CC">
        <w:rPr>
          <w:rFonts w:ascii="Times New Roman" w:hAnsi="Times New Roman"/>
          <w:noProof/>
          <w:sz w:val="24"/>
        </w:rPr>
        <w:t xml:space="preserve"> w zak</w:t>
      </w:r>
      <w:r w:rsidRPr="000309CC">
        <w:rPr>
          <w:rFonts w:ascii="Times New Roman" w:hAnsi="Times New Roman"/>
          <w:noProof/>
          <w:sz w:val="24"/>
        </w:rPr>
        <w:t>resie gromadzenia danych wywiadowczych pozwalają Europolowi przewidywać rozwój sytuacji</w:t>
      </w:r>
      <w:r w:rsidR="000309CC" w:rsidRPr="000309CC">
        <w:rPr>
          <w:rFonts w:ascii="Times New Roman" w:hAnsi="Times New Roman"/>
          <w:noProof/>
          <w:sz w:val="24"/>
        </w:rPr>
        <w:t xml:space="preserve"> i koo</w:t>
      </w:r>
      <w:r w:rsidRPr="000309CC">
        <w:rPr>
          <w:rFonts w:ascii="Times New Roman" w:hAnsi="Times New Roman"/>
          <w:noProof/>
          <w:sz w:val="24"/>
        </w:rPr>
        <w:t>rdynować działania operacyjne</w:t>
      </w:r>
      <w:r w:rsidR="000309CC" w:rsidRPr="000309CC">
        <w:rPr>
          <w:rFonts w:ascii="Times New Roman" w:hAnsi="Times New Roman"/>
          <w:noProof/>
          <w:sz w:val="24"/>
        </w:rPr>
        <w:t xml:space="preserve"> z pań</w:t>
      </w:r>
      <w:r w:rsidRPr="000309CC">
        <w:rPr>
          <w:rFonts w:ascii="Times New Roman" w:hAnsi="Times New Roman"/>
          <w:noProof/>
          <w:sz w:val="24"/>
        </w:rPr>
        <w:t>stwami członkowskimi UE, aby reagować na działalność grup przestępczych próbujących wykorzystać wojnę</w:t>
      </w:r>
      <w:r w:rsidR="000309CC" w:rsidRPr="000309CC">
        <w:rPr>
          <w:rFonts w:ascii="Times New Roman" w:hAnsi="Times New Roman"/>
          <w:noProof/>
          <w:sz w:val="24"/>
        </w:rPr>
        <w:t xml:space="preserve"> w Ukr</w:t>
      </w:r>
      <w:r w:rsidRPr="000309CC">
        <w:rPr>
          <w:rFonts w:ascii="Times New Roman" w:hAnsi="Times New Roman"/>
          <w:noProof/>
          <w:sz w:val="24"/>
        </w:rPr>
        <w:t>ainie, oraz opierać się na aktywnej współpracy Europolu</w:t>
      </w:r>
      <w:r w:rsidR="000309CC" w:rsidRPr="000309CC">
        <w:rPr>
          <w:rFonts w:ascii="Times New Roman" w:hAnsi="Times New Roman"/>
          <w:noProof/>
          <w:sz w:val="24"/>
        </w:rPr>
        <w:t xml:space="preserve"> z ukr</w:t>
      </w:r>
      <w:r w:rsidRPr="000309CC">
        <w:rPr>
          <w:rFonts w:ascii="Times New Roman" w:hAnsi="Times New Roman"/>
          <w:noProof/>
          <w:sz w:val="24"/>
        </w:rPr>
        <w:t>aińskimi organami ścigania za pośrednictwem ukraińskiego urzędnika łącznikowego obecnego</w:t>
      </w:r>
      <w:r w:rsidR="000309CC" w:rsidRPr="000309CC">
        <w:rPr>
          <w:rFonts w:ascii="Times New Roman" w:hAnsi="Times New Roman"/>
          <w:noProof/>
          <w:sz w:val="24"/>
        </w:rPr>
        <w:t xml:space="preserve"> w głó</w:t>
      </w:r>
      <w:r w:rsidRPr="000309CC">
        <w:rPr>
          <w:rFonts w:ascii="Times New Roman" w:hAnsi="Times New Roman"/>
          <w:noProof/>
          <w:sz w:val="24"/>
        </w:rPr>
        <w:t>wnej siedzibie Europolu</w:t>
      </w:r>
      <w:r w:rsidR="000309CC" w:rsidRPr="000309CC">
        <w:rPr>
          <w:rFonts w:ascii="Times New Roman" w:hAnsi="Times New Roman"/>
          <w:noProof/>
          <w:sz w:val="24"/>
        </w:rPr>
        <w:t xml:space="preserve"> w Nid</w:t>
      </w:r>
      <w:r w:rsidRPr="000309CC">
        <w:rPr>
          <w:rFonts w:ascii="Times New Roman" w:hAnsi="Times New Roman"/>
          <w:noProof/>
          <w:sz w:val="24"/>
        </w:rPr>
        <w:t>erlandach.</w:t>
      </w:r>
      <w:r w:rsidR="000309CC" w:rsidRPr="000309CC">
        <w:rPr>
          <w:rFonts w:ascii="Times New Roman" w:hAnsi="Times New Roman"/>
          <w:noProof/>
          <w:sz w:val="24"/>
        </w:rPr>
        <w:t xml:space="preserve"> </w:t>
      </w:r>
    </w:p>
    <w:p w14:paraId="6DADBF33" w14:textId="77777777" w:rsidR="00C36272" w:rsidRPr="000309CC" w:rsidRDefault="00C36272" w:rsidP="00474DA2">
      <w:pPr>
        <w:spacing w:after="0" w:line="240" w:lineRule="auto"/>
        <w:jc w:val="both"/>
        <w:rPr>
          <w:rFonts w:ascii="Times New Roman" w:hAnsi="Times New Roman" w:cs="Times New Roman"/>
          <w:bCs/>
          <w:noProof/>
          <w:sz w:val="24"/>
          <w:szCs w:val="24"/>
        </w:rPr>
      </w:pPr>
    </w:p>
    <w:p w14:paraId="3D8CF91E" w14:textId="740A033C" w:rsidR="00312C5F" w:rsidRPr="000309CC" w:rsidRDefault="00C36272" w:rsidP="00474DA2">
      <w:pPr>
        <w:spacing w:after="0" w:line="240" w:lineRule="auto"/>
        <w:jc w:val="both"/>
        <w:rPr>
          <w:rFonts w:ascii="Times New Roman" w:hAnsi="Times New Roman" w:cs="Times New Roman"/>
          <w:noProof/>
          <w:sz w:val="24"/>
          <w:szCs w:val="24"/>
        </w:rPr>
      </w:pPr>
      <w:r w:rsidRPr="000309CC">
        <w:rPr>
          <w:rFonts w:ascii="Times New Roman" w:hAnsi="Times New Roman"/>
          <w:b/>
          <w:noProof/>
          <w:sz w:val="24"/>
        </w:rPr>
        <w:t>Europejska Agencja Straży Granicznej</w:t>
      </w:r>
      <w:r w:rsidR="000309CC" w:rsidRPr="000309CC">
        <w:rPr>
          <w:rFonts w:ascii="Times New Roman" w:hAnsi="Times New Roman"/>
          <w:b/>
          <w:noProof/>
          <w:sz w:val="24"/>
        </w:rPr>
        <w:t xml:space="preserve"> i Prz</w:t>
      </w:r>
      <w:r w:rsidRPr="000309CC">
        <w:rPr>
          <w:rFonts w:ascii="Times New Roman" w:hAnsi="Times New Roman"/>
          <w:b/>
          <w:noProof/>
          <w:sz w:val="24"/>
        </w:rPr>
        <w:t>ybrzeżnej</w:t>
      </w:r>
      <w:r w:rsidRPr="000309CC">
        <w:rPr>
          <w:rFonts w:ascii="Times New Roman" w:hAnsi="Times New Roman"/>
          <w:noProof/>
          <w:sz w:val="24"/>
        </w:rPr>
        <w:t xml:space="preserve"> (</w:t>
      </w:r>
      <w:r w:rsidRPr="000309CC">
        <w:rPr>
          <w:rFonts w:ascii="Times New Roman" w:hAnsi="Times New Roman"/>
          <w:b/>
          <w:noProof/>
          <w:sz w:val="24"/>
        </w:rPr>
        <w:t>Frontex</w:t>
      </w:r>
      <w:r w:rsidRPr="000309CC">
        <w:rPr>
          <w:rFonts w:ascii="Times New Roman" w:hAnsi="Times New Roman"/>
          <w:noProof/>
          <w:sz w:val="24"/>
        </w:rPr>
        <w:t>) również jest obecna</w:t>
      </w:r>
      <w:r w:rsidR="000309CC" w:rsidRPr="000309CC">
        <w:rPr>
          <w:rFonts w:ascii="Times New Roman" w:hAnsi="Times New Roman"/>
          <w:noProof/>
          <w:sz w:val="24"/>
        </w:rPr>
        <w:t xml:space="preserve"> w pań</w:t>
      </w:r>
      <w:r w:rsidRPr="000309CC">
        <w:rPr>
          <w:rFonts w:ascii="Times New Roman" w:hAnsi="Times New Roman"/>
          <w:noProof/>
          <w:sz w:val="24"/>
        </w:rPr>
        <w:t>stwach członkowskich</w:t>
      </w:r>
      <w:r w:rsidR="000309CC" w:rsidRPr="000309CC">
        <w:rPr>
          <w:rFonts w:ascii="Times New Roman" w:hAnsi="Times New Roman"/>
          <w:noProof/>
          <w:sz w:val="24"/>
        </w:rPr>
        <w:t xml:space="preserve"> i pań</w:t>
      </w:r>
      <w:r w:rsidRPr="000309CC">
        <w:rPr>
          <w:rFonts w:ascii="Times New Roman" w:hAnsi="Times New Roman"/>
          <w:noProof/>
          <w:sz w:val="24"/>
        </w:rPr>
        <w:t>stwach sąsiadujących z UE, aby wspierać czynności związane</w:t>
      </w:r>
      <w:r w:rsidR="000309CC" w:rsidRPr="000309CC">
        <w:rPr>
          <w:rFonts w:ascii="Times New Roman" w:hAnsi="Times New Roman"/>
          <w:noProof/>
          <w:sz w:val="24"/>
        </w:rPr>
        <w:t xml:space="preserve"> z kon</w:t>
      </w:r>
      <w:r w:rsidRPr="000309CC">
        <w:rPr>
          <w:rFonts w:ascii="Times New Roman" w:hAnsi="Times New Roman"/>
          <w:noProof/>
          <w:sz w:val="24"/>
        </w:rPr>
        <w:t>trolą graniczną: obecnie</w:t>
      </w:r>
      <w:r w:rsidR="000309CC" w:rsidRPr="000309CC">
        <w:rPr>
          <w:rFonts w:ascii="Times New Roman" w:hAnsi="Times New Roman"/>
          <w:noProof/>
          <w:sz w:val="24"/>
        </w:rPr>
        <w:t xml:space="preserve"> w cał</w:t>
      </w:r>
      <w:r w:rsidRPr="000309CC">
        <w:rPr>
          <w:rFonts w:ascii="Times New Roman" w:hAnsi="Times New Roman"/>
          <w:noProof/>
          <w:sz w:val="24"/>
        </w:rPr>
        <w:t>ej UE, na Bałkanach Zachodnich</w:t>
      </w:r>
      <w:r w:rsidR="000309CC" w:rsidRPr="000309CC">
        <w:rPr>
          <w:rFonts w:ascii="Times New Roman" w:hAnsi="Times New Roman"/>
          <w:noProof/>
          <w:sz w:val="24"/>
        </w:rPr>
        <w:t xml:space="preserve"> i w Moł</w:t>
      </w:r>
      <w:r w:rsidRPr="000309CC">
        <w:rPr>
          <w:rFonts w:ascii="Times New Roman" w:hAnsi="Times New Roman"/>
          <w:noProof/>
          <w:sz w:val="24"/>
        </w:rPr>
        <w:t xml:space="preserve">dawii znajduje się ponad 2 100 oddelegowanych funkcjonariuszy straży granicznej. </w:t>
      </w:r>
      <w:r w:rsidRPr="000309CC">
        <w:rPr>
          <w:rFonts w:ascii="Times New Roman" w:hAnsi="Times New Roman"/>
          <w:b/>
          <w:noProof/>
          <w:sz w:val="24"/>
        </w:rPr>
        <w:t>Europejski Urząd Wsparcia</w:t>
      </w:r>
      <w:r w:rsidR="000309CC" w:rsidRPr="000309CC">
        <w:rPr>
          <w:rFonts w:ascii="Times New Roman" w:hAnsi="Times New Roman"/>
          <w:b/>
          <w:noProof/>
          <w:sz w:val="24"/>
        </w:rPr>
        <w:t xml:space="preserve"> w dzi</w:t>
      </w:r>
      <w:r w:rsidRPr="000309CC">
        <w:rPr>
          <w:rFonts w:ascii="Times New Roman" w:hAnsi="Times New Roman"/>
          <w:b/>
          <w:noProof/>
          <w:sz w:val="24"/>
        </w:rPr>
        <w:t>edzinie Azylu</w:t>
      </w:r>
      <w:r w:rsidRPr="000309CC">
        <w:rPr>
          <w:rFonts w:ascii="Times New Roman" w:hAnsi="Times New Roman"/>
          <w:noProof/>
          <w:sz w:val="24"/>
        </w:rPr>
        <w:t xml:space="preserve"> </w:t>
      </w:r>
      <w:r w:rsidRPr="000309CC">
        <w:rPr>
          <w:rFonts w:ascii="Times New Roman" w:hAnsi="Times New Roman"/>
          <w:b/>
          <w:noProof/>
          <w:sz w:val="24"/>
        </w:rPr>
        <w:t>(EASO)</w:t>
      </w:r>
      <w:r w:rsidRPr="000309CC">
        <w:rPr>
          <w:rFonts w:ascii="Times New Roman" w:hAnsi="Times New Roman"/>
          <w:noProof/>
          <w:sz w:val="24"/>
        </w:rPr>
        <w:t xml:space="preserve"> oddelegował niemal 750 pracowników do południowych państw członkowskich UE i na Litwę, aby wesprzeć działania operacyjne, zwiększyć zdolności przyjmowania</w:t>
      </w:r>
      <w:r w:rsidR="000309CC" w:rsidRPr="000309CC">
        <w:rPr>
          <w:rFonts w:ascii="Times New Roman" w:hAnsi="Times New Roman"/>
          <w:noProof/>
          <w:sz w:val="24"/>
        </w:rPr>
        <w:t xml:space="preserve"> i pom</w:t>
      </w:r>
      <w:r w:rsidRPr="000309CC">
        <w:rPr>
          <w:rFonts w:ascii="Times New Roman" w:hAnsi="Times New Roman"/>
          <w:noProof/>
          <w:sz w:val="24"/>
        </w:rPr>
        <w:t>óc przy procedurach azylowych.</w:t>
      </w:r>
    </w:p>
    <w:p w14:paraId="643DDBD2" w14:textId="77777777" w:rsidR="003F6846" w:rsidRPr="000309CC" w:rsidRDefault="003F6846" w:rsidP="009D4A4E">
      <w:pPr>
        <w:spacing w:after="0" w:line="240" w:lineRule="auto"/>
        <w:jc w:val="both"/>
        <w:rPr>
          <w:rFonts w:ascii="Times New Roman" w:hAnsi="Times New Roman" w:cs="Times New Roman"/>
          <w:bCs/>
          <w:noProof/>
          <w:sz w:val="24"/>
          <w:szCs w:val="24"/>
        </w:rPr>
      </w:pPr>
    </w:p>
    <w:p w14:paraId="34270505" w14:textId="2771AF54" w:rsidR="009D4A4E" w:rsidRPr="000309CC" w:rsidRDefault="009D4A4E" w:rsidP="009D4A4E">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 xml:space="preserve">Na podstawie obowiązującej </w:t>
      </w:r>
      <w:r w:rsidRPr="000309CC">
        <w:rPr>
          <w:rFonts w:ascii="Times New Roman" w:hAnsi="Times New Roman"/>
          <w:b/>
          <w:noProof/>
          <w:sz w:val="24"/>
        </w:rPr>
        <w:t>decyzji</w:t>
      </w:r>
      <w:r w:rsidR="000309CC" w:rsidRPr="000309CC">
        <w:rPr>
          <w:rFonts w:ascii="Times New Roman" w:hAnsi="Times New Roman"/>
          <w:b/>
          <w:noProof/>
          <w:sz w:val="24"/>
        </w:rPr>
        <w:t xml:space="preserve"> w spr</w:t>
      </w:r>
      <w:r w:rsidRPr="000309CC">
        <w:rPr>
          <w:rFonts w:ascii="Times New Roman" w:hAnsi="Times New Roman"/>
          <w:b/>
          <w:noProof/>
          <w:sz w:val="24"/>
        </w:rPr>
        <w:t>awie konwencji</w:t>
      </w:r>
      <w:r w:rsidR="000309CC" w:rsidRPr="000309CC">
        <w:rPr>
          <w:rFonts w:ascii="Times New Roman" w:hAnsi="Times New Roman"/>
          <w:b/>
          <w:noProof/>
          <w:sz w:val="24"/>
        </w:rPr>
        <w:t xml:space="preserve"> z Prü</w:t>
      </w:r>
      <w:r w:rsidRPr="000309CC">
        <w:rPr>
          <w:rFonts w:ascii="Times New Roman" w:hAnsi="Times New Roman"/>
          <w:b/>
          <w:noProof/>
          <w:sz w:val="24"/>
        </w:rPr>
        <w:t>m</w:t>
      </w:r>
      <w:r w:rsidRPr="000309CC">
        <w:rPr>
          <w:rStyle w:val="FootnoteReference"/>
          <w:rFonts w:ascii="Times New Roman" w:hAnsi="Times New Roman" w:cs="Times New Roman"/>
          <w:bCs/>
          <w:noProof/>
          <w:sz w:val="24"/>
          <w:szCs w:val="24"/>
        </w:rPr>
        <w:footnoteReference w:id="31"/>
      </w:r>
      <w:r w:rsidRPr="000309CC">
        <w:rPr>
          <w:rFonts w:ascii="Times New Roman" w:hAnsi="Times New Roman"/>
          <w:noProof/>
          <w:sz w:val="24"/>
        </w:rPr>
        <w:t>, która zapewnia państwom członkowskim ramy do oddelegowania funkcjonariuszy organów ścigania do wspólnych operacji, takich jak wspólne patrole, Komisja</w:t>
      </w:r>
      <w:r w:rsidR="000309CC" w:rsidRPr="000309CC">
        <w:rPr>
          <w:rFonts w:ascii="Times New Roman" w:hAnsi="Times New Roman"/>
          <w:noProof/>
          <w:sz w:val="24"/>
        </w:rPr>
        <w:t xml:space="preserve"> i fra</w:t>
      </w:r>
      <w:r w:rsidRPr="000309CC">
        <w:rPr>
          <w:rFonts w:ascii="Times New Roman" w:hAnsi="Times New Roman"/>
          <w:noProof/>
          <w:sz w:val="24"/>
        </w:rPr>
        <w:t>ncuska prezydencja</w:t>
      </w:r>
      <w:r w:rsidR="000309CC" w:rsidRPr="000309CC">
        <w:rPr>
          <w:rFonts w:ascii="Times New Roman" w:hAnsi="Times New Roman"/>
          <w:noProof/>
          <w:sz w:val="24"/>
        </w:rPr>
        <w:t xml:space="preserve"> w Rad</w:t>
      </w:r>
      <w:r w:rsidRPr="000309CC">
        <w:rPr>
          <w:rFonts w:ascii="Times New Roman" w:hAnsi="Times New Roman"/>
          <w:noProof/>
          <w:sz w:val="24"/>
        </w:rPr>
        <w:t>zie Unii Europejskiej wystosowały wspólne pismo do wszystkich państw członkowskich, aby określić potrzeby</w:t>
      </w:r>
      <w:r w:rsidR="000309CC" w:rsidRPr="000309CC">
        <w:rPr>
          <w:rFonts w:ascii="Times New Roman" w:hAnsi="Times New Roman"/>
          <w:noProof/>
          <w:sz w:val="24"/>
        </w:rPr>
        <w:t xml:space="preserve"> i zwr</w:t>
      </w:r>
      <w:r w:rsidRPr="000309CC">
        <w:rPr>
          <w:rFonts w:ascii="Times New Roman" w:hAnsi="Times New Roman"/>
          <w:noProof/>
          <w:sz w:val="24"/>
        </w:rPr>
        <w:t>ócić się</w:t>
      </w:r>
      <w:r w:rsidR="000309CC" w:rsidRPr="000309CC">
        <w:rPr>
          <w:rFonts w:ascii="Times New Roman" w:hAnsi="Times New Roman"/>
          <w:noProof/>
          <w:sz w:val="24"/>
        </w:rPr>
        <w:t xml:space="preserve"> o odd</w:t>
      </w:r>
      <w:r w:rsidRPr="000309CC">
        <w:rPr>
          <w:rFonts w:ascii="Times New Roman" w:hAnsi="Times New Roman"/>
          <w:noProof/>
          <w:sz w:val="24"/>
        </w:rPr>
        <w:t>elegowanie funkcjonariuszy policji</w:t>
      </w:r>
      <w:r w:rsidR="000309CC" w:rsidRPr="000309CC">
        <w:rPr>
          <w:rFonts w:ascii="Times New Roman" w:hAnsi="Times New Roman"/>
          <w:noProof/>
          <w:sz w:val="24"/>
        </w:rPr>
        <w:t xml:space="preserve"> w cel</w:t>
      </w:r>
      <w:r w:rsidRPr="000309CC">
        <w:rPr>
          <w:rFonts w:ascii="Times New Roman" w:hAnsi="Times New Roman"/>
          <w:noProof/>
          <w:sz w:val="24"/>
        </w:rPr>
        <w:t>u rozpoczęcia wspólnych patroli</w:t>
      </w:r>
      <w:r w:rsidR="000309CC" w:rsidRPr="000309CC">
        <w:rPr>
          <w:rFonts w:ascii="Times New Roman" w:hAnsi="Times New Roman"/>
          <w:noProof/>
          <w:sz w:val="24"/>
        </w:rPr>
        <w:t xml:space="preserve"> w pań</w:t>
      </w:r>
      <w:r w:rsidRPr="000309CC">
        <w:rPr>
          <w:rFonts w:ascii="Times New Roman" w:hAnsi="Times New Roman"/>
          <w:noProof/>
          <w:sz w:val="24"/>
        </w:rPr>
        <w:t>stwach członkowskich UE pierwszej linii, na które masowe przekraczanie granicy</w:t>
      </w:r>
      <w:r w:rsidR="000309CC" w:rsidRPr="000309CC">
        <w:rPr>
          <w:rFonts w:ascii="Times New Roman" w:hAnsi="Times New Roman"/>
          <w:noProof/>
          <w:sz w:val="24"/>
        </w:rPr>
        <w:t xml:space="preserve"> w zwi</w:t>
      </w:r>
      <w:r w:rsidRPr="000309CC">
        <w:rPr>
          <w:rFonts w:ascii="Times New Roman" w:hAnsi="Times New Roman"/>
          <w:noProof/>
          <w:sz w:val="24"/>
        </w:rPr>
        <w:t>ązku</w:t>
      </w:r>
      <w:r w:rsidR="000309CC" w:rsidRPr="000309CC">
        <w:rPr>
          <w:rFonts w:ascii="Times New Roman" w:hAnsi="Times New Roman"/>
          <w:noProof/>
          <w:sz w:val="24"/>
        </w:rPr>
        <w:t xml:space="preserve"> z woj</w:t>
      </w:r>
      <w:r w:rsidRPr="000309CC">
        <w:rPr>
          <w:rFonts w:ascii="Times New Roman" w:hAnsi="Times New Roman"/>
          <w:noProof/>
          <w:sz w:val="24"/>
        </w:rPr>
        <w:t>ną ma największy wpływ. Komisja będzie finansować te oddelegowania</w:t>
      </w:r>
      <w:r w:rsidR="000309CC" w:rsidRPr="000309CC">
        <w:rPr>
          <w:rFonts w:ascii="Times New Roman" w:hAnsi="Times New Roman"/>
          <w:noProof/>
          <w:sz w:val="24"/>
        </w:rPr>
        <w:t xml:space="preserve"> w ram</w:t>
      </w:r>
      <w:r w:rsidRPr="000309CC">
        <w:rPr>
          <w:rFonts w:ascii="Times New Roman" w:hAnsi="Times New Roman"/>
          <w:noProof/>
          <w:sz w:val="24"/>
        </w:rPr>
        <w:t>ach Funduszu Bezpieczeństwa Wewnętrznego – części dotyczącej współpracy policyjnej.</w:t>
      </w:r>
    </w:p>
    <w:p w14:paraId="6EEFCE69" w14:textId="77777777" w:rsidR="00312C5F" w:rsidRPr="000309CC" w:rsidRDefault="00312C5F" w:rsidP="00474DA2">
      <w:pPr>
        <w:spacing w:after="0" w:line="240" w:lineRule="auto"/>
        <w:jc w:val="both"/>
        <w:rPr>
          <w:rFonts w:ascii="Times New Roman" w:hAnsi="Times New Roman" w:cs="Times New Roman"/>
          <w:noProof/>
          <w:sz w:val="24"/>
          <w:szCs w:val="24"/>
        </w:rPr>
      </w:pPr>
    </w:p>
    <w:p w14:paraId="00CE7A60" w14:textId="77777777" w:rsidR="00FE32D6" w:rsidRPr="000309CC" w:rsidRDefault="00FE32D6" w:rsidP="00FE32D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sidRPr="000309CC">
        <w:rPr>
          <w:rFonts w:ascii="Times New Roman" w:hAnsi="Times New Roman"/>
          <w:b/>
          <w:noProof/>
          <w:sz w:val="24"/>
        </w:rPr>
        <w:t>Rozwiązanie problemu handlu ludźmi</w:t>
      </w:r>
    </w:p>
    <w:p w14:paraId="0C395B77" w14:textId="77777777" w:rsidR="00E9368B" w:rsidRPr="000309CC" w:rsidRDefault="00E9368B" w:rsidP="00FE32D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14:paraId="0F76AC9E" w14:textId="61B41E0B" w:rsidR="00D95DF6" w:rsidRPr="000309CC" w:rsidRDefault="00D95DF6"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0309CC">
        <w:rPr>
          <w:rFonts w:ascii="Times New Roman" w:hAnsi="Times New Roman"/>
          <w:noProof/>
          <w:sz w:val="24"/>
        </w:rPr>
        <w:t>Już od pierwszych dni wojny UE była czujna, jeśli chodzi</w:t>
      </w:r>
      <w:r w:rsidR="000309CC" w:rsidRPr="000309CC">
        <w:rPr>
          <w:rFonts w:ascii="Times New Roman" w:hAnsi="Times New Roman"/>
          <w:noProof/>
          <w:sz w:val="24"/>
        </w:rPr>
        <w:t xml:space="preserve"> o ryz</w:t>
      </w:r>
      <w:r w:rsidRPr="000309CC">
        <w:rPr>
          <w:rFonts w:ascii="Times New Roman" w:hAnsi="Times New Roman"/>
          <w:noProof/>
          <w:sz w:val="24"/>
        </w:rPr>
        <w:t>yko związane</w:t>
      </w:r>
      <w:r w:rsidR="000309CC" w:rsidRPr="000309CC">
        <w:rPr>
          <w:rFonts w:ascii="Times New Roman" w:hAnsi="Times New Roman"/>
          <w:noProof/>
          <w:sz w:val="24"/>
        </w:rPr>
        <w:t xml:space="preserve"> z jed</w:t>
      </w:r>
      <w:r w:rsidRPr="000309CC">
        <w:rPr>
          <w:rFonts w:ascii="Times New Roman" w:hAnsi="Times New Roman"/>
          <w:noProof/>
          <w:sz w:val="24"/>
        </w:rPr>
        <w:t xml:space="preserve">nym konkretnym obszarem działalności przestępczej, który może skorzystać na ogromnych przepływach osób szukających bezpieczeństwa w UE. Istotne znaczenie ma uniemożliwianie działań handlarzom ludźmi, którzy obierają sobie za cel bezbronne osoby przemieszczające się, którymi są głównie </w:t>
      </w:r>
      <w:r w:rsidRPr="000309CC">
        <w:rPr>
          <w:rFonts w:ascii="Times New Roman" w:hAnsi="Times New Roman"/>
          <w:b/>
          <w:noProof/>
          <w:sz w:val="24"/>
        </w:rPr>
        <w:t>kobiety</w:t>
      </w:r>
      <w:r w:rsidR="000309CC" w:rsidRPr="000309CC">
        <w:rPr>
          <w:rFonts w:ascii="Times New Roman" w:hAnsi="Times New Roman"/>
          <w:b/>
          <w:noProof/>
          <w:sz w:val="24"/>
        </w:rPr>
        <w:t xml:space="preserve"> i dzi</w:t>
      </w:r>
      <w:r w:rsidRPr="000309CC">
        <w:rPr>
          <w:rFonts w:ascii="Times New Roman" w:hAnsi="Times New Roman"/>
          <w:b/>
          <w:noProof/>
          <w:sz w:val="24"/>
        </w:rPr>
        <w:t>eci</w:t>
      </w:r>
      <w:r w:rsidRPr="000309CC">
        <w:rPr>
          <w:rFonts w:ascii="Times New Roman" w:hAnsi="Times New Roman"/>
          <w:noProof/>
          <w:sz w:val="24"/>
        </w:rPr>
        <w:t>, wykorzystując na przykład fałszywe oferty transportu lub zakwaterowania.</w:t>
      </w:r>
    </w:p>
    <w:p w14:paraId="56C8D3D8" w14:textId="77777777" w:rsidR="00D95DF6" w:rsidRPr="000309CC" w:rsidRDefault="00D95DF6"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14:paraId="7173EEA1" w14:textId="26D20A7C" w:rsidR="004B710F" w:rsidRPr="000309CC" w:rsidRDefault="00D95DF6"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0309CC">
        <w:rPr>
          <w:rFonts w:ascii="Times New Roman" w:hAnsi="Times New Roman"/>
          <w:noProof/>
          <w:sz w:val="24"/>
        </w:rPr>
        <w:t>W marcu Europol</w:t>
      </w:r>
      <w:r w:rsidR="000309CC" w:rsidRPr="000309CC">
        <w:rPr>
          <w:rFonts w:ascii="Times New Roman" w:hAnsi="Times New Roman"/>
          <w:noProof/>
          <w:sz w:val="24"/>
        </w:rPr>
        <w:t xml:space="preserve"> i Eur</w:t>
      </w:r>
      <w:r w:rsidRPr="000309CC">
        <w:rPr>
          <w:rFonts w:ascii="Times New Roman" w:hAnsi="Times New Roman"/>
          <w:noProof/>
          <w:sz w:val="24"/>
        </w:rPr>
        <w:t>ojust skierowały do odpowiednich organów krajowych powiadomienia wczesnego ostrzegania dotyczące potencjalnego handlu ludźmi</w:t>
      </w:r>
      <w:r w:rsidR="000309CC" w:rsidRPr="000309CC">
        <w:rPr>
          <w:rFonts w:ascii="Times New Roman" w:hAnsi="Times New Roman"/>
          <w:noProof/>
          <w:sz w:val="24"/>
        </w:rPr>
        <w:t xml:space="preserve"> i wyk</w:t>
      </w:r>
      <w:r w:rsidRPr="000309CC">
        <w:rPr>
          <w:rFonts w:ascii="Times New Roman" w:hAnsi="Times New Roman"/>
          <w:noProof/>
          <w:sz w:val="24"/>
        </w:rPr>
        <w:t>orzystywania ofiar przybywających</w:t>
      </w:r>
      <w:r w:rsidR="000309CC" w:rsidRPr="000309CC">
        <w:rPr>
          <w:rFonts w:ascii="Times New Roman" w:hAnsi="Times New Roman"/>
          <w:noProof/>
          <w:sz w:val="24"/>
        </w:rPr>
        <w:t xml:space="preserve"> z Ukr</w:t>
      </w:r>
      <w:r w:rsidRPr="000309CC">
        <w:rPr>
          <w:rFonts w:ascii="Times New Roman" w:hAnsi="Times New Roman"/>
          <w:noProof/>
          <w:sz w:val="24"/>
        </w:rPr>
        <w:t>ainy. Eurojust pomaga usprawnić wymianę informacji</w:t>
      </w:r>
      <w:r w:rsidR="000309CC" w:rsidRPr="000309CC">
        <w:rPr>
          <w:rFonts w:ascii="Times New Roman" w:hAnsi="Times New Roman"/>
          <w:noProof/>
          <w:sz w:val="24"/>
        </w:rPr>
        <w:t xml:space="preserve"> i prz</w:t>
      </w:r>
      <w:r w:rsidRPr="000309CC">
        <w:rPr>
          <w:rFonts w:ascii="Times New Roman" w:hAnsi="Times New Roman"/>
          <w:noProof/>
          <w:sz w:val="24"/>
        </w:rPr>
        <w:t>yspieszyć współpracę sądową,</w:t>
      </w:r>
      <w:r w:rsidR="000309CC" w:rsidRPr="000309CC">
        <w:rPr>
          <w:rFonts w:ascii="Times New Roman" w:hAnsi="Times New Roman"/>
          <w:noProof/>
          <w:sz w:val="24"/>
        </w:rPr>
        <w:t xml:space="preserve"> w tym z Ukr</w:t>
      </w:r>
      <w:r w:rsidRPr="000309CC">
        <w:rPr>
          <w:rFonts w:ascii="Times New Roman" w:hAnsi="Times New Roman"/>
          <w:noProof/>
          <w:sz w:val="24"/>
        </w:rPr>
        <w:t>ainą,</w:t>
      </w:r>
      <w:r w:rsidR="000309CC" w:rsidRPr="000309CC">
        <w:rPr>
          <w:rFonts w:ascii="Times New Roman" w:hAnsi="Times New Roman"/>
          <w:noProof/>
          <w:sz w:val="24"/>
        </w:rPr>
        <w:t xml:space="preserve"> a pos</w:t>
      </w:r>
      <w:r w:rsidRPr="000309CC">
        <w:rPr>
          <w:rFonts w:ascii="Times New Roman" w:hAnsi="Times New Roman"/>
          <w:noProof/>
          <w:sz w:val="24"/>
        </w:rPr>
        <w:t>tępowania</w:t>
      </w:r>
      <w:r w:rsidR="000309CC" w:rsidRPr="000309CC">
        <w:rPr>
          <w:rFonts w:ascii="Times New Roman" w:hAnsi="Times New Roman"/>
          <w:noProof/>
          <w:sz w:val="24"/>
        </w:rPr>
        <w:t xml:space="preserve"> w spr</w:t>
      </w:r>
      <w:r w:rsidRPr="000309CC">
        <w:rPr>
          <w:rFonts w:ascii="Times New Roman" w:hAnsi="Times New Roman"/>
          <w:noProof/>
          <w:sz w:val="24"/>
        </w:rPr>
        <w:t>awach handlu ludźmi zostały przekazane agencji</w:t>
      </w:r>
      <w:r w:rsidR="000309CC" w:rsidRPr="000309CC">
        <w:rPr>
          <w:rFonts w:ascii="Times New Roman" w:hAnsi="Times New Roman"/>
          <w:noProof/>
          <w:sz w:val="24"/>
        </w:rPr>
        <w:t xml:space="preserve"> w cel</w:t>
      </w:r>
      <w:r w:rsidRPr="000309CC">
        <w:rPr>
          <w:rFonts w:ascii="Times New Roman" w:hAnsi="Times New Roman"/>
          <w:noProof/>
          <w:sz w:val="24"/>
        </w:rPr>
        <w:t>u koordynacji.</w:t>
      </w:r>
    </w:p>
    <w:p w14:paraId="079680E4" w14:textId="77777777" w:rsidR="00962498" w:rsidRPr="000309CC" w:rsidRDefault="00962498"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14:paraId="33DB5B9C" w14:textId="72C52740" w:rsidR="00D95DF6" w:rsidRPr="000309CC" w:rsidRDefault="0086083B"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0309CC">
        <w:rPr>
          <w:rFonts w:ascii="Times New Roman" w:hAnsi="Times New Roman"/>
          <w:noProof/>
          <w:sz w:val="24"/>
        </w:rPr>
        <w:t>Koordynator ds. zwalczania handlu ludźmi odbył posiedzenia</w:t>
      </w:r>
      <w:r w:rsidR="000309CC" w:rsidRPr="000309CC">
        <w:rPr>
          <w:rFonts w:ascii="Times New Roman" w:hAnsi="Times New Roman"/>
          <w:noProof/>
          <w:sz w:val="24"/>
        </w:rPr>
        <w:t xml:space="preserve"> z uni</w:t>
      </w:r>
      <w:r w:rsidRPr="000309CC">
        <w:rPr>
          <w:rFonts w:ascii="Times New Roman" w:hAnsi="Times New Roman"/>
          <w:noProof/>
          <w:sz w:val="24"/>
        </w:rPr>
        <w:t>jną siecią sprawozdawców krajowych</w:t>
      </w:r>
      <w:r w:rsidR="000309CC" w:rsidRPr="000309CC">
        <w:rPr>
          <w:rFonts w:ascii="Times New Roman" w:hAnsi="Times New Roman"/>
          <w:noProof/>
          <w:sz w:val="24"/>
        </w:rPr>
        <w:t xml:space="preserve"> i rów</w:t>
      </w:r>
      <w:r w:rsidRPr="000309CC">
        <w:rPr>
          <w:rFonts w:ascii="Times New Roman" w:hAnsi="Times New Roman"/>
          <w:noProof/>
          <w:sz w:val="24"/>
        </w:rPr>
        <w:t>noważnych struktur, agencjami wymiaru sprawiedliwości</w:t>
      </w:r>
      <w:r w:rsidR="000309CC" w:rsidRPr="000309CC">
        <w:rPr>
          <w:rFonts w:ascii="Times New Roman" w:hAnsi="Times New Roman"/>
          <w:noProof/>
          <w:sz w:val="24"/>
        </w:rPr>
        <w:t xml:space="preserve"> i spr</w:t>
      </w:r>
      <w:r w:rsidRPr="000309CC">
        <w:rPr>
          <w:rFonts w:ascii="Times New Roman" w:hAnsi="Times New Roman"/>
          <w:noProof/>
          <w:sz w:val="24"/>
        </w:rPr>
        <w:t>aw wewnętrznych oraz unijną platformą społeczeństwa obywatelskiego przeciwko handlowi ludźmi</w:t>
      </w:r>
      <w:r w:rsidR="000309CC" w:rsidRPr="000309CC">
        <w:rPr>
          <w:rFonts w:ascii="Times New Roman" w:hAnsi="Times New Roman"/>
          <w:noProof/>
          <w:sz w:val="24"/>
        </w:rPr>
        <w:t xml:space="preserve"> w cel</w:t>
      </w:r>
      <w:r w:rsidRPr="000309CC">
        <w:rPr>
          <w:rFonts w:ascii="Times New Roman" w:hAnsi="Times New Roman"/>
          <w:noProof/>
          <w:sz w:val="24"/>
        </w:rPr>
        <w:t>u wymiany informacji na temat działań niezbędnych do zapobiegania nadużyciom</w:t>
      </w:r>
      <w:r w:rsidR="000309CC" w:rsidRPr="000309CC">
        <w:rPr>
          <w:rFonts w:ascii="Times New Roman" w:hAnsi="Times New Roman"/>
          <w:noProof/>
          <w:sz w:val="24"/>
        </w:rPr>
        <w:t xml:space="preserve"> i ich</w:t>
      </w:r>
      <w:r w:rsidRPr="000309CC">
        <w:rPr>
          <w:rFonts w:ascii="Times New Roman" w:hAnsi="Times New Roman"/>
          <w:noProof/>
          <w:sz w:val="24"/>
        </w:rPr>
        <w:t xml:space="preserve"> zwalczania oraz ochrony ofiar</w:t>
      </w:r>
      <w:r w:rsidR="000309CC" w:rsidRPr="000309CC">
        <w:rPr>
          <w:rFonts w:ascii="Times New Roman" w:hAnsi="Times New Roman"/>
          <w:noProof/>
          <w:sz w:val="24"/>
        </w:rPr>
        <w:t>. W kil</w:t>
      </w:r>
      <w:r w:rsidRPr="000309CC">
        <w:rPr>
          <w:rFonts w:ascii="Times New Roman" w:hAnsi="Times New Roman"/>
          <w:noProof/>
          <w:sz w:val="24"/>
        </w:rPr>
        <w:t>ku państwach członkowskich wszczęto postępowania dotyczące potencjalnych spraw.</w:t>
      </w:r>
      <w:r w:rsidR="000309CC" w:rsidRPr="000309CC">
        <w:rPr>
          <w:rFonts w:ascii="Times New Roman" w:hAnsi="Times New Roman"/>
          <w:noProof/>
          <w:sz w:val="24"/>
        </w:rPr>
        <w:t xml:space="preserve"> </w:t>
      </w:r>
    </w:p>
    <w:p w14:paraId="01562CAB" w14:textId="77777777" w:rsidR="00962498" w:rsidRPr="000309CC" w:rsidRDefault="00962498" w:rsidP="00D95DF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14:paraId="61FC4A0D" w14:textId="4A3A098C" w:rsidR="00474DA2" w:rsidRPr="000309CC" w:rsidRDefault="00020272" w:rsidP="00FE32D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sidRPr="000309CC">
        <w:rPr>
          <w:rFonts w:ascii="Times New Roman" w:hAnsi="Times New Roman"/>
          <w:noProof/>
          <w:sz w:val="24"/>
        </w:rPr>
        <w:t>UE szybko</w:t>
      </w:r>
      <w:r w:rsidR="000309CC" w:rsidRPr="000309CC">
        <w:rPr>
          <w:rFonts w:ascii="Times New Roman" w:hAnsi="Times New Roman"/>
          <w:noProof/>
          <w:sz w:val="24"/>
        </w:rPr>
        <w:t xml:space="preserve"> i spr</w:t>
      </w:r>
      <w:r w:rsidRPr="000309CC">
        <w:rPr>
          <w:rFonts w:ascii="Times New Roman" w:hAnsi="Times New Roman"/>
          <w:noProof/>
          <w:sz w:val="24"/>
        </w:rPr>
        <w:t>awnie zapewniła skoordynowaną reakcję na to realne zagrożenie dla osób, które potrzebują jej pomocy. Państwom członkowskim wykonującym dyrektywę</w:t>
      </w:r>
      <w:r w:rsidR="000309CC" w:rsidRPr="000309CC">
        <w:rPr>
          <w:rFonts w:ascii="Times New Roman" w:hAnsi="Times New Roman"/>
          <w:noProof/>
          <w:sz w:val="24"/>
        </w:rPr>
        <w:t xml:space="preserve"> w spr</w:t>
      </w:r>
      <w:r w:rsidRPr="000309CC">
        <w:rPr>
          <w:rFonts w:ascii="Times New Roman" w:hAnsi="Times New Roman"/>
          <w:noProof/>
          <w:sz w:val="24"/>
        </w:rPr>
        <w:t>awie tymczasowej ochrony szybko zapewniono wytyczne operacyjne</w:t>
      </w:r>
      <w:r w:rsidR="00474DA2" w:rsidRPr="000309CC">
        <w:rPr>
          <w:rStyle w:val="FootnoteReference"/>
          <w:rFonts w:ascii="Times New Roman" w:hAnsi="Times New Roman" w:cs="Times New Roman"/>
          <w:noProof/>
          <w:sz w:val="24"/>
          <w:szCs w:val="24"/>
        </w:rPr>
        <w:footnoteReference w:id="32"/>
      </w:r>
      <w:r w:rsidRPr="000309CC">
        <w:rPr>
          <w:rFonts w:ascii="Times New Roman" w:hAnsi="Times New Roman"/>
          <w:noProof/>
          <w:sz w:val="24"/>
        </w:rPr>
        <w:t>,</w:t>
      </w:r>
      <w:r w:rsidR="000309CC" w:rsidRPr="000309CC">
        <w:rPr>
          <w:rFonts w:ascii="Times New Roman" w:hAnsi="Times New Roman"/>
          <w:noProof/>
          <w:sz w:val="24"/>
        </w:rPr>
        <w:t xml:space="preserve"> w tym</w:t>
      </w:r>
      <w:r w:rsidRPr="000309CC">
        <w:rPr>
          <w:rFonts w:ascii="Times New Roman" w:hAnsi="Times New Roman"/>
          <w:noProof/>
          <w:sz w:val="24"/>
        </w:rPr>
        <w:t xml:space="preserve"> dotyczące problemu handlu ludźmi, aby pomóc osobom uciekającym przed wojną</w:t>
      </w:r>
      <w:r w:rsidR="000309CC" w:rsidRPr="000309CC">
        <w:rPr>
          <w:rFonts w:ascii="Times New Roman" w:hAnsi="Times New Roman"/>
          <w:noProof/>
          <w:sz w:val="24"/>
        </w:rPr>
        <w:t xml:space="preserve"> w Ukr</w:t>
      </w:r>
      <w:r w:rsidRPr="000309CC">
        <w:rPr>
          <w:rFonts w:ascii="Times New Roman" w:hAnsi="Times New Roman"/>
          <w:noProof/>
          <w:sz w:val="24"/>
        </w:rPr>
        <w:t>ainie</w:t>
      </w:r>
      <w:r w:rsidR="000309CC" w:rsidRPr="000309CC">
        <w:rPr>
          <w:rFonts w:ascii="Times New Roman" w:hAnsi="Times New Roman"/>
          <w:noProof/>
          <w:sz w:val="24"/>
        </w:rPr>
        <w:t>. W ram</w:t>
      </w:r>
      <w:r w:rsidRPr="000309CC">
        <w:rPr>
          <w:rFonts w:ascii="Times New Roman" w:hAnsi="Times New Roman"/>
          <w:noProof/>
          <w:sz w:val="24"/>
        </w:rPr>
        <w:t>ach 10-punktowego planu wzmocnienia europejskiej koordynacji przyjmowania osób uciekających przed wojną</w:t>
      </w:r>
      <w:r w:rsidR="000309CC" w:rsidRPr="000309CC">
        <w:rPr>
          <w:rFonts w:ascii="Times New Roman" w:hAnsi="Times New Roman"/>
          <w:noProof/>
          <w:sz w:val="24"/>
        </w:rPr>
        <w:t xml:space="preserve"> w Ukr</w:t>
      </w:r>
      <w:r w:rsidRPr="000309CC">
        <w:rPr>
          <w:rFonts w:ascii="Times New Roman" w:hAnsi="Times New Roman"/>
          <w:noProof/>
          <w:sz w:val="24"/>
        </w:rPr>
        <w:t>ainie</w:t>
      </w:r>
      <w:r w:rsidR="009C35ED" w:rsidRPr="000309CC">
        <w:rPr>
          <w:rStyle w:val="FootnoteReference"/>
          <w:rFonts w:ascii="Times New Roman" w:hAnsi="Times New Roman" w:cs="Times New Roman"/>
          <w:noProof/>
          <w:sz w:val="24"/>
          <w:szCs w:val="24"/>
        </w:rPr>
        <w:footnoteReference w:id="33"/>
      </w:r>
      <w:r w:rsidRPr="000309CC">
        <w:rPr>
          <w:rFonts w:ascii="Times New Roman" w:hAnsi="Times New Roman"/>
          <w:noProof/>
          <w:sz w:val="24"/>
        </w:rPr>
        <w:t>, przedstawionego na posiedzeniu Rady ds. Wymiaru Sprawiedliwości</w:t>
      </w:r>
      <w:r w:rsidR="000309CC" w:rsidRPr="000309CC">
        <w:rPr>
          <w:rFonts w:ascii="Times New Roman" w:hAnsi="Times New Roman"/>
          <w:noProof/>
          <w:sz w:val="24"/>
        </w:rPr>
        <w:t xml:space="preserve"> i Spr</w:t>
      </w:r>
      <w:r w:rsidRPr="000309CC">
        <w:rPr>
          <w:rFonts w:ascii="Times New Roman" w:hAnsi="Times New Roman"/>
          <w:noProof/>
          <w:sz w:val="24"/>
        </w:rPr>
        <w:t>aw Wewnętrznych 28 marca 2022</w:t>
      </w:r>
      <w:r w:rsidR="000309CC" w:rsidRPr="000309CC">
        <w:rPr>
          <w:rFonts w:ascii="Times New Roman" w:hAnsi="Times New Roman"/>
          <w:noProof/>
          <w:sz w:val="24"/>
        </w:rPr>
        <w:t> </w:t>
      </w:r>
      <w:r w:rsidRPr="000309CC">
        <w:rPr>
          <w:rFonts w:ascii="Times New Roman" w:hAnsi="Times New Roman"/>
          <w:noProof/>
          <w:sz w:val="24"/>
        </w:rPr>
        <w:t>r., koordynator ds. zwalczania handlu ludźmi, we współpracy</w:t>
      </w:r>
      <w:r w:rsidR="000309CC" w:rsidRPr="000309CC">
        <w:rPr>
          <w:rFonts w:ascii="Times New Roman" w:hAnsi="Times New Roman"/>
          <w:noProof/>
          <w:sz w:val="24"/>
        </w:rPr>
        <w:t xml:space="preserve"> z age</w:t>
      </w:r>
      <w:r w:rsidRPr="000309CC">
        <w:rPr>
          <w:rFonts w:ascii="Times New Roman" w:hAnsi="Times New Roman"/>
          <w:noProof/>
          <w:sz w:val="24"/>
        </w:rPr>
        <w:t>ncjami UE</w:t>
      </w:r>
      <w:r w:rsidR="000309CC" w:rsidRPr="000309CC">
        <w:rPr>
          <w:rFonts w:ascii="Times New Roman" w:hAnsi="Times New Roman"/>
          <w:noProof/>
          <w:sz w:val="24"/>
        </w:rPr>
        <w:t xml:space="preserve"> i pań</w:t>
      </w:r>
      <w:r w:rsidRPr="000309CC">
        <w:rPr>
          <w:rFonts w:ascii="Times New Roman" w:hAnsi="Times New Roman"/>
          <w:noProof/>
          <w:sz w:val="24"/>
        </w:rPr>
        <w:t>stwami członkowskimi, opracował wspólny plan zwalczania handlu ludźmi</w:t>
      </w:r>
      <w:r w:rsidR="00DB0AD8" w:rsidRPr="000309CC">
        <w:rPr>
          <w:rStyle w:val="FootnoteReference"/>
          <w:rFonts w:ascii="Times New Roman" w:hAnsi="Times New Roman" w:cs="Times New Roman"/>
          <w:noProof/>
          <w:sz w:val="24"/>
          <w:szCs w:val="24"/>
        </w:rPr>
        <w:footnoteReference w:id="34"/>
      </w:r>
      <w:r w:rsidRPr="000309CC">
        <w:rPr>
          <w:rFonts w:ascii="Times New Roman" w:hAnsi="Times New Roman"/>
          <w:noProof/>
          <w:sz w:val="24"/>
        </w:rPr>
        <w:t xml:space="preserve"> dotyczący zapobiegania handlowi ludźmi</w:t>
      </w:r>
      <w:r w:rsidR="000309CC" w:rsidRPr="000309CC">
        <w:rPr>
          <w:rFonts w:ascii="Times New Roman" w:hAnsi="Times New Roman"/>
          <w:noProof/>
          <w:sz w:val="24"/>
        </w:rPr>
        <w:t xml:space="preserve"> i pom</w:t>
      </w:r>
      <w:r w:rsidRPr="000309CC">
        <w:rPr>
          <w:rFonts w:ascii="Times New Roman" w:hAnsi="Times New Roman"/>
          <w:noProof/>
          <w:sz w:val="24"/>
        </w:rPr>
        <w:t>ocy ofiarom</w:t>
      </w:r>
      <w:r w:rsidR="000309CC" w:rsidRPr="000309CC">
        <w:rPr>
          <w:rFonts w:ascii="Times New Roman" w:hAnsi="Times New Roman"/>
          <w:noProof/>
          <w:sz w:val="24"/>
        </w:rPr>
        <w:t>. W szc</w:t>
      </w:r>
      <w:r w:rsidRPr="000309CC">
        <w:rPr>
          <w:rFonts w:ascii="Times New Roman" w:hAnsi="Times New Roman"/>
          <w:noProof/>
          <w:sz w:val="24"/>
        </w:rPr>
        <w:t>zególności skoncentrowano się na rejestrowaniu podmiotów</w:t>
      </w:r>
      <w:r w:rsidR="000309CC" w:rsidRPr="000309CC">
        <w:rPr>
          <w:rFonts w:ascii="Times New Roman" w:hAnsi="Times New Roman"/>
          <w:noProof/>
          <w:sz w:val="24"/>
        </w:rPr>
        <w:t xml:space="preserve"> i osó</w:t>
      </w:r>
      <w:r w:rsidRPr="000309CC">
        <w:rPr>
          <w:rFonts w:ascii="Times New Roman" w:hAnsi="Times New Roman"/>
          <w:noProof/>
          <w:sz w:val="24"/>
        </w:rPr>
        <w:t>b fizycznych (w tym wolontariuszy), które zamierzają zapewnić zakwaterowanie, transport</w:t>
      </w:r>
      <w:r w:rsidR="000309CC" w:rsidRPr="000309CC">
        <w:rPr>
          <w:rFonts w:ascii="Times New Roman" w:hAnsi="Times New Roman"/>
          <w:noProof/>
          <w:sz w:val="24"/>
        </w:rPr>
        <w:t xml:space="preserve"> i inn</w:t>
      </w:r>
      <w:r w:rsidRPr="000309CC">
        <w:rPr>
          <w:rFonts w:ascii="Times New Roman" w:hAnsi="Times New Roman"/>
          <w:noProof/>
          <w:sz w:val="24"/>
        </w:rPr>
        <w:t>e rodzaje pomocy,</w:t>
      </w:r>
      <w:r w:rsidR="000309CC" w:rsidRPr="000309CC">
        <w:rPr>
          <w:rFonts w:ascii="Times New Roman" w:hAnsi="Times New Roman"/>
          <w:noProof/>
          <w:sz w:val="24"/>
        </w:rPr>
        <w:t xml:space="preserve"> a tak</w:t>
      </w:r>
      <w:r w:rsidRPr="000309CC">
        <w:rPr>
          <w:rFonts w:ascii="Times New Roman" w:hAnsi="Times New Roman"/>
          <w:noProof/>
          <w:sz w:val="24"/>
        </w:rPr>
        <w:t>że na sprawdzaniu przeszłości. Komisja nawiązała również współpracę z AUEA, aby pomóc</w:t>
      </w:r>
      <w:r w:rsidR="000309CC" w:rsidRPr="000309CC">
        <w:rPr>
          <w:rFonts w:ascii="Times New Roman" w:hAnsi="Times New Roman"/>
          <w:noProof/>
          <w:sz w:val="24"/>
        </w:rPr>
        <w:t xml:space="preserve"> w wyk</w:t>
      </w:r>
      <w:r w:rsidRPr="000309CC">
        <w:rPr>
          <w:rFonts w:ascii="Times New Roman" w:hAnsi="Times New Roman"/>
          <w:noProof/>
          <w:sz w:val="24"/>
        </w:rPr>
        <w:t>rywaniu ofiar handlu ludźmi podczas przeprowadzania kontroli stanu zdrowia</w:t>
      </w:r>
      <w:r w:rsidR="000309CC" w:rsidRPr="000309CC">
        <w:rPr>
          <w:rFonts w:ascii="Times New Roman" w:hAnsi="Times New Roman"/>
          <w:noProof/>
          <w:sz w:val="24"/>
        </w:rPr>
        <w:t xml:space="preserve"> w ośr</w:t>
      </w:r>
      <w:r w:rsidRPr="000309CC">
        <w:rPr>
          <w:rFonts w:ascii="Times New Roman" w:hAnsi="Times New Roman"/>
          <w:noProof/>
          <w:sz w:val="24"/>
        </w:rPr>
        <w:t>odkach recepcyjnych. Małoletni bez opieki lub odseparowani od rodziców są szczególnie narażeni na znęcanie, wykorzystywanie seksualne lub przymusową przestępczość. Wspomniane wyżej wytyczne operacyjne zawierają także wskazówki mające pomóc państwom członkowskim</w:t>
      </w:r>
      <w:r w:rsidR="000309CC" w:rsidRPr="000309CC">
        <w:rPr>
          <w:rFonts w:ascii="Times New Roman" w:hAnsi="Times New Roman"/>
          <w:noProof/>
          <w:sz w:val="24"/>
        </w:rPr>
        <w:t xml:space="preserve"> w pos</w:t>
      </w:r>
      <w:r w:rsidRPr="000309CC">
        <w:rPr>
          <w:rFonts w:ascii="Times New Roman" w:hAnsi="Times New Roman"/>
          <w:noProof/>
          <w:sz w:val="24"/>
        </w:rPr>
        <w:t>tępowaniu</w:t>
      </w:r>
      <w:r w:rsidR="000309CC" w:rsidRPr="000309CC">
        <w:rPr>
          <w:rFonts w:ascii="Times New Roman" w:hAnsi="Times New Roman"/>
          <w:noProof/>
          <w:sz w:val="24"/>
        </w:rPr>
        <w:t xml:space="preserve"> w prz</w:t>
      </w:r>
      <w:r w:rsidRPr="000309CC">
        <w:rPr>
          <w:rFonts w:ascii="Times New Roman" w:hAnsi="Times New Roman"/>
          <w:noProof/>
          <w:sz w:val="24"/>
        </w:rPr>
        <w:t>ypadku przybycia dzieci,</w:t>
      </w:r>
      <w:r w:rsidR="000309CC" w:rsidRPr="000309CC">
        <w:rPr>
          <w:rFonts w:ascii="Times New Roman" w:hAnsi="Times New Roman"/>
          <w:noProof/>
          <w:sz w:val="24"/>
        </w:rPr>
        <w:t xml:space="preserve"> a w szc</w:t>
      </w:r>
      <w:r w:rsidRPr="000309CC">
        <w:rPr>
          <w:rFonts w:ascii="Times New Roman" w:hAnsi="Times New Roman"/>
          <w:noProof/>
          <w:sz w:val="24"/>
        </w:rPr>
        <w:t>zególności małoletnich bez opieki,</w:t>
      </w:r>
      <w:r w:rsidR="000309CC" w:rsidRPr="000309CC">
        <w:rPr>
          <w:rFonts w:ascii="Times New Roman" w:hAnsi="Times New Roman"/>
          <w:noProof/>
          <w:sz w:val="24"/>
        </w:rPr>
        <w:t xml:space="preserve"> a tak</w:t>
      </w:r>
      <w:r w:rsidRPr="000309CC">
        <w:rPr>
          <w:rFonts w:ascii="Times New Roman" w:hAnsi="Times New Roman"/>
          <w:noProof/>
          <w:sz w:val="24"/>
        </w:rPr>
        <w:t>że przyjmowania ich</w:t>
      </w:r>
      <w:r w:rsidR="000309CC" w:rsidRPr="000309CC">
        <w:rPr>
          <w:rFonts w:ascii="Times New Roman" w:hAnsi="Times New Roman"/>
          <w:noProof/>
          <w:sz w:val="24"/>
        </w:rPr>
        <w:t xml:space="preserve"> i udz</w:t>
      </w:r>
      <w:r w:rsidRPr="000309CC">
        <w:rPr>
          <w:rFonts w:ascii="Times New Roman" w:hAnsi="Times New Roman"/>
          <w:noProof/>
          <w:sz w:val="24"/>
        </w:rPr>
        <w:t>ielania im pomocy. Aby zwiększyć świadomość wśród osób zagrożonych, Komisja uruchomiła również specjalną stronę internetową</w:t>
      </w:r>
      <w:r w:rsidR="000309CC" w:rsidRPr="000309CC">
        <w:rPr>
          <w:rFonts w:ascii="Times New Roman" w:hAnsi="Times New Roman"/>
          <w:noProof/>
          <w:sz w:val="24"/>
        </w:rPr>
        <w:t xml:space="preserve"> z sek</w:t>
      </w:r>
      <w:r w:rsidRPr="000309CC">
        <w:rPr>
          <w:rFonts w:ascii="Times New Roman" w:hAnsi="Times New Roman"/>
          <w:noProof/>
          <w:sz w:val="24"/>
        </w:rPr>
        <w:t>cją zawierającą praktyczne porady dotyczące sposobu unikania handlarzy ludźmi.</w:t>
      </w:r>
    </w:p>
    <w:p w14:paraId="26B1BBD4" w14:textId="77777777" w:rsidR="003F6846" w:rsidRPr="000309CC" w:rsidRDefault="003F6846" w:rsidP="00FE32D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14:paraId="0B7F7090" w14:textId="77777777" w:rsidR="00474DA2" w:rsidRPr="000309CC" w:rsidRDefault="00474DA2" w:rsidP="00474DA2">
      <w:pPr>
        <w:spacing w:after="0" w:line="240" w:lineRule="auto"/>
        <w:jc w:val="both"/>
        <w:rPr>
          <w:rFonts w:ascii="Times New Roman" w:hAnsi="Times New Roman" w:cs="Times New Roman"/>
          <w:noProof/>
          <w:sz w:val="24"/>
          <w:szCs w:val="24"/>
        </w:rPr>
      </w:pPr>
    </w:p>
    <w:p w14:paraId="330DEECC" w14:textId="0A387220" w:rsidR="00474DA2" w:rsidRPr="000309CC" w:rsidRDefault="00474DA2" w:rsidP="00474D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Niektóre działania mające na celu zwiększenie gotowości zostały podjęte konkretnie</w:t>
      </w:r>
      <w:r w:rsidR="000309CC" w:rsidRPr="000309CC">
        <w:rPr>
          <w:rFonts w:ascii="Times New Roman" w:hAnsi="Times New Roman"/>
          <w:noProof/>
          <w:sz w:val="24"/>
        </w:rPr>
        <w:t xml:space="preserve"> w odp</w:t>
      </w:r>
      <w:r w:rsidRPr="000309CC">
        <w:rPr>
          <w:rFonts w:ascii="Times New Roman" w:hAnsi="Times New Roman"/>
          <w:noProof/>
          <w:sz w:val="24"/>
        </w:rPr>
        <w:t>owiedzi na nowe warunki wynikające</w:t>
      </w:r>
      <w:r w:rsidR="000309CC" w:rsidRPr="000309CC">
        <w:rPr>
          <w:rFonts w:ascii="Times New Roman" w:hAnsi="Times New Roman"/>
          <w:noProof/>
          <w:sz w:val="24"/>
        </w:rPr>
        <w:t xml:space="preserve"> z woj</w:t>
      </w:r>
      <w:r w:rsidRPr="000309CC">
        <w:rPr>
          <w:rFonts w:ascii="Times New Roman" w:hAnsi="Times New Roman"/>
          <w:noProof/>
          <w:sz w:val="24"/>
        </w:rPr>
        <w:t>ny, natomiast inne ważne środki wywodzą się</w:t>
      </w:r>
      <w:r w:rsidR="000309CC" w:rsidRPr="000309CC">
        <w:rPr>
          <w:rFonts w:ascii="Times New Roman" w:hAnsi="Times New Roman"/>
          <w:noProof/>
          <w:sz w:val="24"/>
        </w:rPr>
        <w:t xml:space="preserve"> z </w:t>
      </w:r>
      <w:r w:rsidR="000309CC" w:rsidRPr="000309CC">
        <w:rPr>
          <w:rFonts w:ascii="Times New Roman" w:hAnsi="Times New Roman"/>
          <w:b/>
          <w:noProof/>
          <w:sz w:val="24"/>
        </w:rPr>
        <w:t>ini</w:t>
      </w:r>
      <w:r w:rsidRPr="000309CC">
        <w:rPr>
          <w:rFonts w:ascii="Times New Roman" w:hAnsi="Times New Roman"/>
          <w:b/>
          <w:noProof/>
          <w:sz w:val="24"/>
        </w:rPr>
        <w:t>cjatyw ustawodawczych</w:t>
      </w:r>
      <w:r w:rsidRPr="000309CC">
        <w:rPr>
          <w:rFonts w:ascii="Times New Roman" w:hAnsi="Times New Roman"/>
          <w:noProof/>
          <w:sz w:val="24"/>
        </w:rPr>
        <w:t xml:space="preserve">, które były przygotowywane jeszcze przed rosyjską agresją na Ukrainę. </w:t>
      </w:r>
    </w:p>
    <w:p w14:paraId="388EE193" w14:textId="77777777" w:rsidR="00C21B26" w:rsidRPr="000309CC" w:rsidRDefault="00C21B26" w:rsidP="00474DA2">
      <w:pPr>
        <w:spacing w:after="0" w:line="240" w:lineRule="auto"/>
        <w:jc w:val="both"/>
        <w:rPr>
          <w:rFonts w:ascii="Times New Roman" w:hAnsi="Times New Roman" w:cs="Times New Roman"/>
          <w:bCs/>
          <w:noProof/>
          <w:sz w:val="24"/>
          <w:szCs w:val="24"/>
        </w:rPr>
      </w:pPr>
    </w:p>
    <w:p w14:paraId="5C709998" w14:textId="79546361" w:rsidR="00474DA2" w:rsidRPr="000309CC" w:rsidRDefault="00474DA2" w:rsidP="00474D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Komisja</w:t>
      </w:r>
      <w:r w:rsidR="000309CC" w:rsidRPr="000309CC">
        <w:rPr>
          <w:rFonts w:ascii="Times New Roman" w:hAnsi="Times New Roman"/>
          <w:noProof/>
          <w:sz w:val="24"/>
        </w:rPr>
        <w:t xml:space="preserve"> z zad</w:t>
      </w:r>
      <w:r w:rsidRPr="000309CC">
        <w:rPr>
          <w:rFonts w:ascii="Times New Roman" w:hAnsi="Times New Roman"/>
          <w:noProof/>
          <w:sz w:val="24"/>
        </w:rPr>
        <w:t>owoleniem przyjmuje porozumienie osiągnięte</w:t>
      </w:r>
      <w:r w:rsidR="000309CC" w:rsidRPr="000309CC">
        <w:rPr>
          <w:rFonts w:ascii="Times New Roman" w:hAnsi="Times New Roman"/>
          <w:noProof/>
          <w:sz w:val="24"/>
        </w:rPr>
        <w:t xml:space="preserve"> w lut</w:t>
      </w:r>
      <w:r w:rsidRPr="000309CC">
        <w:rPr>
          <w:rFonts w:ascii="Times New Roman" w:hAnsi="Times New Roman"/>
          <w:noProof/>
          <w:sz w:val="24"/>
        </w:rPr>
        <w:t>ym 2022</w:t>
      </w:r>
      <w:r w:rsidR="000309CC" w:rsidRPr="000309CC">
        <w:rPr>
          <w:rFonts w:ascii="Times New Roman" w:hAnsi="Times New Roman"/>
          <w:noProof/>
          <w:sz w:val="24"/>
        </w:rPr>
        <w:t> </w:t>
      </w:r>
      <w:r w:rsidRPr="000309CC">
        <w:rPr>
          <w:rFonts w:ascii="Times New Roman" w:hAnsi="Times New Roman"/>
          <w:noProof/>
          <w:sz w:val="24"/>
        </w:rPr>
        <w:t>r.</w:t>
      </w:r>
      <w:r w:rsidR="000309CC" w:rsidRPr="000309CC">
        <w:rPr>
          <w:rFonts w:ascii="Times New Roman" w:hAnsi="Times New Roman"/>
          <w:noProof/>
          <w:sz w:val="24"/>
        </w:rPr>
        <w:t xml:space="preserve"> w spr</w:t>
      </w:r>
      <w:r w:rsidRPr="000309CC">
        <w:rPr>
          <w:rFonts w:ascii="Times New Roman" w:hAnsi="Times New Roman"/>
          <w:noProof/>
          <w:sz w:val="24"/>
        </w:rPr>
        <w:t>awie zmienionego mandatu</w:t>
      </w:r>
      <w:r w:rsidR="0099171C" w:rsidRPr="000309CC">
        <w:rPr>
          <w:rStyle w:val="FootnoteReference"/>
          <w:rFonts w:ascii="Times New Roman" w:hAnsi="Times New Roman" w:cs="Times New Roman"/>
          <w:bCs/>
          <w:noProof/>
          <w:sz w:val="24"/>
          <w:szCs w:val="24"/>
        </w:rPr>
        <w:footnoteReference w:id="35"/>
      </w:r>
      <w:r w:rsidRPr="000309CC">
        <w:rPr>
          <w:rFonts w:ascii="Times New Roman" w:hAnsi="Times New Roman"/>
          <w:noProof/>
          <w:sz w:val="24"/>
        </w:rPr>
        <w:t xml:space="preserve"> </w:t>
      </w:r>
      <w:r w:rsidRPr="000309CC">
        <w:rPr>
          <w:rFonts w:ascii="Times New Roman" w:hAnsi="Times New Roman"/>
          <w:b/>
          <w:noProof/>
          <w:sz w:val="24"/>
        </w:rPr>
        <w:t xml:space="preserve">Europolu, </w:t>
      </w:r>
      <w:r w:rsidRPr="000309CC">
        <w:rPr>
          <w:rFonts w:ascii="Times New Roman" w:hAnsi="Times New Roman"/>
          <w:noProof/>
          <w:sz w:val="24"/>
        </w:rPr>
        <w:t>który po wejściu</w:t>
      </w:r>
      <w:r w:rsidR="000309CC" w:rsidRPr="000309CC">
        <w:rPr>
          <w:rFonts w:ascii="Times New Roman" w:hAnsi="Times New Roman"/>
          <w:noProof/>
          <w:sz w:val="24"/>
        </w:rPr>
        <w:t xml:space="preserve"> w życ</w:t>
      </w:r>
      <w:r w:rsidRPr="000309CC">
        <w:rPr>
          <w:rFonts w:ascii="Times New Roman" w:hAnsi="Times New Roman"/>
          <w:noProof/>
          <w:sz w:val="24"/>
        </w:rPr>
        <w:t>ie pozwoli Europolowi lepiej wspierać państwa członkowskie</w:t>
      </w:r>
      <w:r w:rsidR="000309CC" w:rsidRPr="000309CC">
        <w:rPr>
          <w:rFonts w:ascii="Times New Roman" w:hAnsi="Times New Roman"/>
          <w:noProof/>
          <w:sz w:val="24"/>
        </w:rPr>
        <w:t xml:space="preserve"> w zwa</w:t>
      </w:r>
      <w:r w:rsidRPr="000309CC">
        <w:rPr>
          <w:rFonts w:ascii="Times New Roman" w:hAnsi="Times New Roman"/>
          <w:noProof/>
          <w:sz w:val="24"/>
        </w:rPr>
        <w:t>lczaniu przestępczości zorganizowanej</w:t>
      </w:r>
      <w:r w:rsidR="000309CC" w:rsidRPr="000309CC">
        <w:rPr>
          <w:rFonts w:ascii="Times New Roman" w:hAnsi="Times New Roman"/>
          <w:noProof/>
          <w:sz w:val="24"/>
        </w:rPr>
        <w:t xml:space="preserve"> i ter</w:t>
      </w:r>
      <w:r w:rsidRPr="000309CC">
        <w:rPr>
          <w:rFonts w:ascii="Times New Roman" w:hAnsi="Times New Roman"/>
          <w:noProof/>
          <w:sz w:val="24"/>
        </w:rPr>
        <w:t>roryzmu. Agencja będzie wówczas dysponować odpowiednimi narzędziami</w:t>
      </w:r>
      <w:r w:rsidR="000309CC" w:rsidRPr="000309CC">
        <w:rPr>
          <w:rFonts w:ascii="Times New Roman" w:hAnsi="Times New Roman"/>
          <w:noProof/>
          <w:sz w:val="24"/>
        </w:rPr>
        <w:t xml:space="preserve"> i zab</w:t>
      </w:r>
      <w:r w:rsidRPr="000309CC">
        <w:rPr>
          <w:rFonts w:ascii="Times New Roman" w:hAnsi="Times New Roman"/>
          <w:noProof/>
          <w:sz w:val="24"/>
        </w:rPr>
        <w:t>ezpieczeniami, aby wspierać siły policyjne</w:t>
      </w:r>
      <w:r w:rsidR="000309CC" w:rsidRPr="000309CC">
        <w:rPr>
          <w:rFonts w:ascii="Times New Roman" w:hAnsi="Times New Roman"/>
          <w:noProof/>
          <w:sz w:val="24"/>
        </w:rPr>
        <w:t xml:space="preserve"> w ana</w:t>
      </w:r>
      <w:r w:rsidRPr="000309CC">
        <w:rPr>
          <w:rFonts w:ascii="Times New Roman" w:hAnsi="Times New Roman"/>
          <w:noProof/>
          <w:sz w:val="24"/>
        </w:rPr>
        <w:t>lizowaniu dużych zbiorów danych na potrzeby prowadzenia postępowań</w:t>
      </w:r>
      <w:r w:rsidR="000309CC" w:rsidRPr="000309CC">
        <w:rPr>
          <w:rFonts w:ascii="Times New Roman" w:hAnsi="Times New Roman"/>
          <w:noProof/>
          <w:sz w:val="24"/>
        </w:rPr>
        <w:t xml:space="preserve"> w spr</w:t>
      </w:r>
      <w:r w:rsidRPr="000309CC">
        <w:rPr>
          <w:rFonts w:ascii="Times New Roman" w:hAnsi="Times New Roman"/>
          <w:noProof/>
          <w:sz w:val="24"/>
        </w:rPr>
        <w:t>awie przestępstw oraz</w:t>
      </w:r>
      <w:r w:rsidR="000309CC" w:rsidRPr="000309CC">
        <w:rPr>
          <w:rFonts w:ascii="Times New Roman" w:hAnsi="Times New Roman"/>
          <w:noProof/>
          <w:sz w:val="24"/>
        </w:rPr>
        <w:t xml:space="preserve"> w opr</w:t>
      </w:r>
      <w:r w:rsidRPr="000309CC">
        <w:rPr>
          <w:rFonts w:ascii="Times New Roman" w:hAnsi="Times New Roman"/>
          <w:noProof/>
          <w:sz w:val="24"/>
        </w:rPr>
        <w:t>acowywaniu pionierskich metod walki</w:t>
      </w:r>
      <w:r w:rsidR="000309CC" w:rsidRPr="000309CC">
        <w:rPr>
          <w:rFonts w:ascii="Times New Roman" w:hAnsi="Times New Roman"/>
          <w:noProof/>
          <w:sz w:val="24"/>
        </w:rPr>
        <w:t xml:space="preserve"> z cyb</w:t>
      </w:r>
      <w:r w:rsidRPr="000309CC">
        <w:rPr>
          <w:rFonts w:ascii="Times New Roman" w:hAnsi="Times New Roman"/>
          <w:noProof/>
          <w:sz w:val="24"/>
        </w:rPr>
        <w:t>erprzestępczością. Zmiany te wiążą się ze wzmocnieniem ram ochrony danych,</w:t>
      </w:r>
      <w:r w:rsidR="000309CC" w:rsidRPr="000309CC">
        <w:rPr>
          <w:rFonts w:ascii="Times New Roman" w:hAnsi="Times New Roman"/>
          <w:noProof/>
          <w:sz w:val="24"/>
        </w:rPr>
        <w:t xml:space="preserve"> a tak</w:t>
      </w:r>
      <w:r w:rsidRPr="000309CC">
        <w:rPr>
          <w:rFonts w:ascii="Times New Roman" w:hAnsi="Times New Roman"/>
          <w:noProof/>
          <w:sz w:val="24"/>
        </w:rPr>
        <w:t>że ze wzmocnionymi nadzorem parlamentarnym</w:t>
      </w:r>
      <w:r w:rsidR="000309CC" w:rsidRPr="000309CC">
        <w:rPr>
          <w:rFonts w:ascii="Times New Roman" w:hAnsi="Times New Roman"/>
          <w:noProof/>
          <w:sz w:val="24"/>
        </w:rPr>
        <w:t xml:space="preserve"> i roz</w:t>
      </w:r>
      <w:r w:rsidRPr="000309CC">
        <w:rPr>
          <w:rFonts w:ascii="Times New Roman" w:hAnsi="Times New Roman"/>
          <w:noProof/>
          <w:sz w:val="24"/>
        </w:rPr>
        <w:t>liczalnością.</w:t>
      </w:r>
    </w:p>
    <w:p w14:paraId="66C14A36" w14:textId="77777777" w:rsidR="00C21B26" w:rsidRPr="000309CC" w:rsidRDefault="00C21B26" w:rsidP="00474DA2">
      <w:pPr>
        <w:spacing w:after="0" w:line="240" w:lineRule="auto"/>
        <w:jc w:val="both"/>
        <w:rPr>
          <w:rFonts w:ascii="Times New Roman" w:hAnsi="Times New Roman" w:cs="Times New Roman"/>
          <w:bCs/>
          <w:noProof/>
          <w:sz w:val="24"/>
          <w:szCs w:val="24"/>
        </w:rPr>
      </w:pPr>
    </w:p>
    <w:p w14:paraId="2048EC56" w14:textId="59E9096C" w:rsidR="00E9332D" w:rsidRPr="000309CC" w:rsidRDefault="00474DA2" w:rsidP="00E9332D">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 xml:space="preserve">Pakiet dotyczący </w:t>
      </w:r>
      <w:r w:rsidRPr="000309CC">
        <w:rPr>
          <w:rFonts w:ascii="Times New Roman" w:hAnsi="Times New Roman"/>
          <w:b/>
          <w:noProof/>
          <w:sz w:val="24"/>
        </w:rPr>
        <w:t>współpracy policyjnej</w:t>
      </w:r>
      <w:r w:rsidRPr="000309CC">
        <w:rPr>
          <w:rFonts w:ascii="Times New Roman" w:hAnsi="Times New Roman"/>
          <w:noProof/>
          <w:sz w:val="24"/>
        </w:rPr>
        <w:t>, przedstawiony przez Komisję 8 grudnia 2021</w:t>
      </w:r>
      <w:r w:rsidR="000309CC" w:rsidRPr="000309CC">
        <w:rPr>
          <w:rFonts w:ascii="Times New Roman" w:hAnsi="Times New Roman"/>
          <w:noProof/>
          <w:sz w:val="24"/>
        </w:rPr>
        <w:t> </w:t>
      </w:r>
      <w:r w:rsidRPr="000309CC">
        <w:rPr>
          <w:rFonts w:ascii="Times New Roman" w:hAnsi="Times New Roman"/>
          <w:noProof/>
          <w:sz w:val="24"/>
        </w:rPr>
        <w:t>r.</w:t>
      </w:r>
      <w:r w:rsidRPr="000309CC">
        <w:rPr>
          <w:rStyle w:val="FootnoteReference"/>
          <w:rFonts w:ascii="Times New Roman" w:hAnsi="Times New Roman" w:cs="Times New Roman"/>
          <w:noProof/>
          <w:sz w:val="24"/>
          <w:szCs w:val="24"/>
        </w:rPr>
        <w:footnoteReference w:id="36"/>
      </w:r>
      <w:r w:rsidR="000309CC" w:rsidRPr="000309CC">
        <w:rPr>
          <w:rFonts w:ascii="Times New Roman" w:hAnsi="Times New Roman"/>
          <w:noProof/>
          <w:sz w:val="24"/>
        </w:rPr>
        <w:t xml:space="preserve"> i obe</w:t>
      </w:r>
      <w:r w:rsidRPr="000309CC">
        <w:rPr>
          <w:rFonts w:ascii="Times New Roman" w:hAnsi="Times New Roman"/>
          <w:noProof/>
          <w:sz w:val="24"/>
        </w:rPr>
        <w:t>cnie będący przedmiotem negocjacji, wzmocni współpracę między funkcjonariuszami organów ścigania</w:t>
      </w:r>
      <w:r w:rsidR="000309CC" w:rsidRPr="000309CC">
        <w:rPr>
          <w:rFonts w:ascii="Times New Roman" w:hAnsi="Times New Roman"/>
          <w:noProof/>
          <w:sz w:val="24"/>
        </w:rPr>
        <w:t xml:space="preserve"> w pań</w:t>
      </w:r>
      <w:r w:rsidRPr="000309CC">
        <w:rPr>
          <w:rFonts w:ascii="Times New Roman" w:hAnsi="Times New Roman"/>
          <w:noProof/>
          <w:sz w:val="24"/>
        </w:rPr>
        <w:t>stwach członkowskich dzięki szybszej, łatwiejszej</w:t>
      </w:r>
      <w:r w:rsidR="000309CC" w:rsidRPr="000309CC">
        <w:rPr>
          <w:rFonts w:ascii="Times New Roman" w:hAnsi="Times New Roman"/>
          <w:noProof/>
          <w:sz w:val="24"/>
        </w:rPr>
        <w:t xml:space="preserve"> i bez</w:t>
      </w:r>
      <w:r w:rsidRPr="000309CC">
        <w:rPr>
          <w:rFonts w:ascii="Times New Roman" w:hAnsi="Times New Roman"/>
          <w:noProof/>
          <w:sz w:val="24"/>
        </w:rPr>
        <w:t>pieczniejszej wymianie danych,</w:t>
      </w:r>
      <w:r w:rsidR="000309CC" w:rsidRPr="000309CC">
        <w:rPr>
          <w:rFonts w:ascii="Times New Roman" w:hAnsi="Times New Roman"/>
          <w:noProof/>
          <w:sz w:val="24"/>
        </w:rPr>
        <w:t xml:space="preserve"> a tak</w:t>
      </w:r>
      <w:r w:rsidRPr="000309CC">
        <w:rPr>
          <w:rFonts w:ascii="Times New Roman" w:hAnsi="Times New Roman"/>
          <w:noProof/>
          <w:sz w:val="24"/>
        </w:rPr>
        <w:t>że dzięki zacieśnieniu operacyjnej współpracy policyjnej</w:t>
      </w:r>
      <w:r w:rsidR="000309CC" w:rsidRPr="000309CC">
        <w:rPr>
          <w:rFonts w:ascii="Times New Roman" w:hAnsi="Times New Roman"/>
          <w:noProof/>
          <w:sz w:val="24"/>
        </w:rPr>
        <w:t xml:space="preserve"> w ter</w:t>
      </w:r>
      <w:r w:rsidRPr="000309CC">
        <w:rPr>
          <w:rFonts w:ascii="Times New Roman" w:hAnsi="Times New Roman"/>
          <w:noProof/>
          <w:sz w:val="24"/>
        </w:rPr>
        <w:t>enie</w:t>
      </w:r>
      <w:r w:rsidR="000309CC" w:rsidRPr="000309CC">
        <w:rPr>
          <w:rFonts w:ascii="Times New Roman" w:hAnsi="Times New Roman"/>
          <w:noProof/>
          <w:sz w:val="24"/>
        </w:rPr>
        <w:t xml:space="preserve"> i zwi</w:t>
      </w:r>
      <w:r w:rsidRPr="000309CC">
        <w:rPr>
          <w:rFonts w:ascii="Times New Roman" w:hAnsi="Times New Roman"/>
          <w:noProof/>
          <w:sz w:val="24"/>
        </w:rPr>
        <w:t>ększeniu jej skuteczności. Komisja wzywa Parlament Europejski</w:t>
      </w:r>
      <w:r w:rsidR="000309CC" w:rsidRPr="000309CC">
        <w:rPr>
          <w:rFonts w:ascii="Times New Roman" w:hAnsi="Times New Roman"/>
          <w:noProof/>
          <w:sz w:val="24"/>
        </w:rPr>
        <w:t xml:space="preserve"> i Rad</w:t>
      </w:r>
      <w:r w:rsidRPr="000309CC">
        <w:rPr>
          <w:rFonts w:ascii="Times New Roman" w:hAnsi="Times New Roman"/>
          <w:noProof/>
          <w:sz w:val="24"/>
        </w:rPr>
        <w:t>ę do szybkiego przyjęcia tego pakietu.</w:t>
      </w:r>
    </w:p>
    <w:p w14:paraId="289F563E" w14:textId="77777777" w:rsidR="00E9332D" w:rsidRPr="000309CC" w:rsidRDefault="00E9332D" w:rsidP="00474DA2">
      <w:pPr>
        <w:spacing w:after="0" w:line="240" w:lineRule="auto"/>
        <w:jc w:val="both"/>
        <w:rPr>
          <w:rFonts w:ascii="Times New Roman" w:hAnsi="Times New Roman" w:cs="Times New Roman"/>
          <w:noProof/>
          <w:sz w:val="24"/>
          <w:szCs w:val="24"/>
        </w:rPr>
      </w:pPr>
    </w:p>
    <w:p w14:paraId="03BC4871" w14:textId="1A475F1A" w:rsidR="001638AD" w:rsidRPr="000309CC" w:rsidRDefault="001638AD"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Po ich przyjęciu</w:t>
      </w:r>
      <w:r w:rsidR="000309CC" w:rsidRPr="000309CC">
        <w:rPr>
          <w:rFonts w:ascii="Times New Roman" w:hAnsi="Times New Roman"/>
          <w:noProof/>
          <w:sz w:val="24"/>
        </w:rPr>
        <w:t xml:space="preserve"> i wdr</w:t>
      </w:r>
      <w:r w:rsidRPr="000309CC">
        <w:rPr>
          <w:rFonts w:ascii="Times New Roman" w:hAnsi="Times New Roman"/>
          <w:noProof/>
          <w:sz w:val="24"/>
        </w:rPr>
        <w:t>ożeniu wspomniane wnioski ustawodawcze przyczynią się do zapewnienia wsparcia organom ścigania</w:t>
      </w:r>
      <w:r w:rsidR="000309CC" w:rsidRPr="000309CC">
        <w:rPr>
          <w:rFonts w:ascii="Times New Roman" w:hAnsi="Times New Roman"/>
          <w:noProof/>
          <w:sz w:val="24"/>
        </w:rPr>
        <w:t xml:space="preserve"> w zwa</w:t>
      </w:r>
      <w:r w:rsidRPr="000309CC">
        <w:rPr>
          <w:rFonts w:ascii="Times New Roman" w:hAnsi="Times New Roman"/>
          <w:noProof/>
          <w:sz w:val="24"/>
        </w:rPr>
        <w:t>lczaniu transgranicznej przestępczości zorganizowanej. Będzie to szczególnie istotne</w:t>
      </w:r>
      <w:r w:rsidR="000309CC" w:rsidRPr="000309CC">
        <w:rPr>
          <w:rFonts w:ascii="Times New Roman" w:hAnsi="Times New Roman"/>
          <w:noProof/>
          <w:sz w:val="24"/>
        </w:rPr>
        <w:t xml:space="preserve"> w syt</w:t>
      </w:r>
      <w:r w:rsidRPr="000309CC">
        <w:rPr>
          <w:rFonts w:ascii="Times New Roman" w:hAnsi="Times New Roman"/>
          <w:noProof/>
          <w:sz w:val="24"/>
        </w:rPr>
        <w:t>uacjach,</w:t>
      </w:r>
      <w:r w:rsidR="000309CC" w:rsidRPr="000309CC">
        <w:rPr>
          <w:rFonts w:ascii="Times New Roman" w:hAnsi="Times New Roman"/>
          <w:noProof/>
          <w:sz w:val="24"/>
        </w:rPr>
        <w:t xml:space="preserve"> w któ</w:t>
      </w:r>
      <w:r w:rsidRPr="000309CC">
        <w:rPr>
          <w:rFonts w:ascii="Times New Roman" w:hAnsi="Times New Roman"/>
          <w:noProof/>
          <w:sz w:val="24"/>
        </w:rPr>
        <w:t>rych organizacje przestępcze</w:t>
      </w:r>
      <w:r w:rsidR="000309CC" w:rsidRPr="000309CC">
        <w:rPr>
          <w:rFonts w:ascii="Times New Roman" w:hAnsi="Times New Roman"/>
          <w:noProof/>
          <w:sz w:val="24"/>
        </w:rPr>
        <w:t xml:space="preserve"> z Ukr</w:t>
      </w:r>
      <w:r w:rsidRPr="000309CC">
        <w:rPr>
          <w:rFonts w:ascii="Times New Roman" w:hAnsi="Times New Roman"/>
          <w:noProof/>
          <w:sz w:val="24"/>
        </w:rPr>
        <w:t>ainy mogą próbować przenieść się</w:t>
      </w:r>
      <w:r w:rsidR="000309CC" w:rsidRPr="000309CC">
        <w:rPr>
          <w:rFonts w:ascii="Times New Roman" w:hAnsi="Times New Roman"/>
          <w:noProof/>
          <w:sz w:val="24"/>
        </w:rPr>
        <w:t xml:space="preserve"> w inn</w:t>
      </w:r>
      <w:r w:rsidRPr="000309CC">
        <w:rPr>
          <w:rFonts w:ascii="Times New Roman" w:hAnsi="Times New Roman"/>
          <w:noProof/>
          <w:sz w:val="24"/>
        </w:rPr>
        <w:t>e miejsce</w:t>
      </w:r>
      <w:r w:rsidR="000309CC" w:rsidRPr="000309CC">
        <w:rPr>
          <w:rFonts w:ascii="Times New Roman" w:hAnsi="Times New Roman"/>
          <w:noProof/>
          <w:sz w:val="24"/>
        </w:rPr>
        <w:t xml:space="preserve"> i kon</w:t>
      </w:r>
      <w:r w:rsidRPr="000309CC">
        <w:rPr>
          <w:rFonts w:ascii="Times New Roman" w:hAnsi="Times New Roman"/>
          <w:noProof/>
          <w:sz w:val="24"/>
        </w:rPr>
        <w:t>tynuować swoją działalność w UE.</w:t>
      </w:r>
    </w:p>
    <w:p w14:paraId="6933C834" w14:textId="77777777" w:rsidR="00474DA2" w:rsidRPr="000309CC" w:rsidRDefault="00474DA2" w:rsidP="004C381B">
      <w:pPr>
        <w:tabs>
          <w:tab w:val="left" w:pos="284"/>
        </w:tabs>
        <w:spacing w:after="0" w:line="240" w:lineRule="auto"/>
        <w:jc w:val="both"/>
        <w:rPr>
          <w:rFonts w:ascii="Times New Roman" w:hAnsi="Times New Roman" w:cs="Times New Roman"/>
          <w:noProof/>
          <w:sz w:val="24"/>
          <w:szCs w:val="24"/>
        </w:rPr>
      </w:pPr>
    </w:p>
    <w:p w14:paraId="029452BA" w14:textId="4C83B0D1" w:rsidR="0040519E" w:rsidRPr="000309CC" w:rsidRDefault="0040519E" w:rsidP="00474DA2">
      <w:pPr>
        <w:spacing w:after="0" w:line="240" w:lineRule="auto"/>
        <w:jc w:val="both"/>
        <w:rPr>
          <w:rFonts w:ascii="Times New Roman" w:hAnsi="Times New Roman" w:cs="Times New Roman"/>
          <w:noProof/>
          <w:sz w:val="24"/>
          <w:szCs w:val="24"/>
        </w:rPr>
      </w:pPr>
      <w:r w:rsidRPr="000309CC">
        <w:rPr>
          <w:rFonts w:ascii="Times New Roman" w:hAnsi="Times New Roman"/>
          <w:b/>
          <w:noProof/>
          <w:sz w:val="24"/>
        </w:rPr>
        <w:t>Misja doradcza UE</w:t>
      </w:r>
      <w:r w:rsidR="000309CC" w:rsidRPr="000309CC">
        <w:rPr>
          <w:rFonts w:ascii="Times New Roman" w:hAnsi="Times New Roman"/>
          <w:b/>
          <w:noProof/>
          <w:sz w:val="24"/>
        </w:rPr>
        <w:t xml:space="preserve"> w Ukr</w:t>
      </w:r>
      <w:r w:rsidRPr="000309CC">
        <w:rPr>
          <w:rFonts w:ascii="Times New Roman" w:hAnsi="Times New Roman"/>
          <w:b/>
          <w:noProof/>
          <w:sz w:val="24"/>
        </w:rPr>
        <w:t>ainie</w:t>
      </w:r>
      <w:r w:rsidRPr="000309CC">
        <w:rPr>
          <w:rFonts w:ascii="Times New Roman" w:hAnsi="Times New Roman"/>
          <w:noProof/>
          <w:sz w:val="24"/>
        </w:rPr>
        <w:t xml:space="preserve"> wspiera reformę organów ścigania</w:t>
      </w:r>
      <w:r w:rsidR="000309CC" w:rsidRPr="000309CC">
        <w:rPr>
          <w:rFonts w:ascii="Times New Roman" w:hAnsi="Times New Roman"/>
          <w:noProof/>
          <w:sz w:val="24"/>
        </w:rPr>
        <w:t xml:space="preserve"> i pra</w:t>
      </w:r>
      <w:r w:rsidRPr="000309CC">
        <w:rPr>
          <w:rFonts w:ascii="Times New Roman" w:hAnsi="Times New Roman"/>
          <w:noProof/>
          <w:sz w:val="24"/>
        </w:rPr>
        <w:t>worządności</w:t>
      </w:r>
      <w:r w:rsidR="000309CC" w:rsidRPr="000309CC">
        <w:rPr>
          <w:rFonts w:ascii="Times New Roman" w:hAnsi="Times New Roman"/>
          <w:noProof/>
          <w:sz w:val="24"/>
        </w:rPr>
        <w:t xml:space="preserve"> w tym</w:t>
      </w:r>
      <w:r w:rsidRPr="000309CC">
        <w:rPr>
          <w:rFonts w:ascii="Times New Roman" w:hAnsi="Times New Roman"/>
          <w:noProof/>
          <w:sz w:val="24"/>
        </w:rPr>
        <w:t xml:space="preserve"> kraju od</w:t>
      </w:r>
      <w:r w:rsidR="000309CC" w:rsidRPr="000309CC">
        <w:rPr>
          <w:rFonts w:ascii="Times New Roman" w:hAnsi="Times New Roman"/>
          <w:noProof/>
          <w:sz w:val="24"/>
        </w:rPr>
        <w:t> </w:t>
      </w:r>
      <w:r w:rsidRPr="000309CC">
        <w:rPr>
          <w:rFonts w:ascii="Times New Roman" w:hAnsi="Times New Roman"/>
          <w:noProof/>
          <w:sz w:val="24"/>
        </w:rPr>
        <w:t>2014</w:t>
      </w:r>
      <w:r w:rsidR="000309CC" w:rsidRPr="000309CC">
        <w:rPr>
          <w:rFonts w:ascii="Times New Roman" w:hAnsi="Times New Roman"/>
          <w:noProof/>
          <w:sz w:val="24"/>
        </w:rPr>
        <w:t> </w:t>
      </w:r>
      <w:r w:rsidRPr="000309CC">
        <w:rPr>
          <w:rFonts w:ascii="Times New Roman" w:hAnsi="Times New Roman"/>
          <w:noProof/>
          <w:sz w:val="24"/>
        </w:rPr>
        <w:t>r</w:t>
      </w:r>
      <w:r w:rsidR="000309CC" w:rsidRPr="000309CC">
        <w:rPr>
          <w:rFonts w:ascii="Times New Roman" w:hAnsi="Times New Roman"/>
          <w:noProof/>
          <w:sz w:val="24"/>
        </w:rPr>
        <w:t>. W mar</w:t>
      </w:r>
      <w:r w:rsidRPr="000309CC">
        <w:rPr>
          <w:rFonts w:ascii="Times New Roman" w:hAnsi="Times New Roman"/>
          <w:noProof/>
          <w:sz w:val="24"/>
        </w:rPr>
        <w:t>cu 2022</w:t>
      </w:r>
      <w:r w:rsidR="000309CC" w:rsidRPr="000309CC">
        <w:rPr>
          <w:rFonts w:ascii="Times New Roman" w:hAnsi="Times New Roman"/>
          <w:noProof/>
          <w:sz w:val="24"/>
        </w:rPr>
        <w:t> </w:t>
      </w:r>
      <w:r w:rsidRPr="000309CC">
        <w:rPr>
          <w:rFonts w:ascii="Times New Roman" w:hAnsi="Times New Roman"/>
          <w:noProof/>
          <w:sz w:val="24"/>
        </w:rPr>
        <w:t>r. zmieniono mandat misji, co umożliwiło udzielanie wsparcia na przejściach granicznych Ukrainy</w:t>
      </w:r>
      <w:r w:rsidR="000309CC" w:rsidRPr="000309CC">
        <w:rPr>
          <w:rFonts w:ascii="Times New Roman" w:hAnsi="Times New Roman"/>
          <w:noProof/>
          <w:sz w:val="24"/>
        </w:rPr>
        <w:t xml:space="preserve"> z Pol</w:t>
      </w:r>
      <w:r w:rsidRPr="000309CC">
        <w:rPr>
          <w:rFonts w:ascii="Times New Roman" w:hAnsi="Times New Roman"/>
          <w:noProof/>
          <w:sz w:val="24"/>
        </w:rPr>
        <w:t>ską, Rumunią</w:t>
      </w:r>
      <w:r w:rsidR="000309CC" w:rsidRPr="000309CC">
        <w:rPr>
          <w:rFonts w:ascii="Times New Roman" w:hAnsi="Times New Roman"/>
          <w:noProof/>
          <w:sz w:val="24"/>
        </w:rPr>
        <w:t xml:space="preserve"> i Sło</w:t>
      </w:r>
      <w:r w:rsidRPr="000309CC">
        <w:rPr>
          <w:rFonts w:ascii="Times New Roman" w:hAnsi="Times New Roman"/>
          <w:noProof/>
          <w:sz w:val="24"/>
        </w:rPr>
        <w:t>wacją</w:t>
      </w:r>
      <w:r w:rsidR="000309CC" w:rsidRPr="000309CC">
        <w:rPr>
          <w:rFonts w:ascii="Times New Roman" w:hAnsi="Times New Roman"/>
          <w:noProof/>
          <w:sz w:val="24"/>
        </w:rPr>
        <w:t xml:space="preserve"> i prz</w:t>
      </w:r>
      <w:r w:rsidRPr="000309CC">
        <w:rPr>
          <w:rFonts w:ascii="Times New Roman" w:hAnsi="Times New Roman"/>
          <w:noProof/>
          <w:sz w:val="24"/>
        </w:rPr>
        <w:t>yczyniło się do zwiększenia orientacji sytuacyjnej</w:t>
      </w:r>
      <w:r w:rsidR="000309CC" w:rsidRPr="000309CC">
        <w:rPr>
          <w:rFonts w:ascii="Times New Roman" w:hAnsi="Times New Roman"/>
          <w:noProof/>
          <w:sz w:val="24"/>
        </w:rPr>
        <w:t xml:space="preserve"> w zak</w:t>
      </w:r>
      <w:r w:rsidRPr="000309CC">
        <w:rPr>
          <w:rFonts w:ascii="Times New Roman" w:hAnsi="Times New Roman"/>
          <w:noProof/>
          <w:sz w:val="24"/>
        </w:rPr>
        <w:t>resie transgranicznej działalności przestępczej,</w:t>
      </w:r>
      <w:r w:rsidR="000309CC" w:rsidRPr="000309CC">
        <w:rPr>
          <w:rFonts w:ascii="Times New Roman" w:hAnsi="Times New Roman"/>
          <w:noProof/>
          <w:sz w:val="24"/>
        </w:rPr>
        <w:t xml:space="preserve"> w tym</w:t>
      </w:r>
      <w:r w:rsidRPr="000309CC">
        <w:rPr>
          <w:rFonts w:ascii="Times New Roman" w:hAnsi="Times New Roman"/>
          <w:noProof/>
          <w:sz w:val="24"/>
        </w:rPr>
        <w:t xml:space="preserve"> handlu ludźmi, oraz przepływu towarów do Ukrainy</w:t>
      </w:r>
      <w:r w:rsidR="000309CC" w:rsidRPr="000309CC">
        <w:rPr>
          <w:rFonts w:ascii="Times New Roman" w:hAnsi="Times New Roman"/>
          <w:noProof/>
          <w:sz w:val="24"/>
        </w:rPr>
        <w:t xml:space="preserve"> w ram</w:t>
      </w:r>
      <w:r w:rsidRPr="000309CC">
        <w:rPr>
          <w:rFonts w:ascii="Times New Roman" w:hAnsi="Times New Roman"/>
          <w:noProof/>
          <w:sz w:val="24"/>
        </w:rPr>
        <w:t>ach pomocy humanitarnej.</w:t>
      </w:r>
    </w:p>
    <w:p w14:paraId="0F366943" w14:textId="77777777" w:rsidR="0040519E" w:rsidRPr="000309CC" w:rsidRDefault="0040519E" w:rsidP="00474DA2">
      <w:pPr>
        <w:spacing w:after="0" w:line="240" w:lineRule="auto"/>
        <w:jc w:val="both"/>
        <w:rPr>
          <w:rFonts w:ascii="Times New Roman" w:hAnsi="Times New Roman" w:cs="Times New Roman"/>
          <w:noProof/>
          <w:sz w:val="24"/>
          <w:szCs w:val="24"/>
        </w:rPr>
      </w:pPr>
    </w:p>
    <w:p w14:paraId="3570F1F4" w14:textId="77777777" w:rsidR="00474DA2" w:rsidRPr="000309CC"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sidRPr="000309CC">
        <w:rPr>
          <w:rFonts w:ascii="Times New Roman" w:hAnsi="Times New Roman"/>
          <w:b/>
          <w:noProof/>
          <w:sz w:val="24"/>
        </w:rPr>
        <w:t>BROŃ, MATERIAŁY NIEBEZPIECZNE I INCYDENTY KRYTYCZNE</w:t>
      </w:r>
    </w:p>
    <w:p w14:paraId="48FEFA7A" w14:textId="4BB2870A" w:rsidR="00474DA2" w:rsidRPr="000309CC" w:rsidRDefault="00325F2B" w:rsidP="00474DA2">
      <w:pPr>
        <w:spacing w:line="240" w:lineRule="auto"/>
        <w:jc w:val="both"/>
        <w:rPr>
          <w:rFonts w:ascii="Times New Roman" w:hAnsi="Times New Roman" w:cs="Times New Roman"/>
          <w:noProof/>
          <w:sz w:val="24"/>
          <w:szCs w:val="24"/>
        </w:rPr>
      </w:pPr>
      <w:r w:rsidRPr="000309CC">
        <w:rPr>
          <w:rFonts w:ascii="Times New Roman" w:hAnsi="Times New Roman"/>
          <w:noProof/>
          <w:sz w:val="24"/>
        </w:rPr>
        <w:t>Wojna znacznie zwiększyła obrót bronią palną</w:t>
      </w:r>
      <w:r w:rsidR="000309CC" w:rsidRPr="000309CC">
        <w:rPr>
          <w:rFonts w:ascii="Times New Roman" w:hAnsi="Times New Roman"/>
          <w:noProof/>
          <w:sz w:val="24"/>
        </w:rPr>
        <w:t xml:space="preserve"> i inn</w:t>
      </w:r>
      <w:r w:rsidRPr="000309CC">
        <w:rPr>
          <w:rFonts w:ascii="Times New Roman" w:hAnsi="Times New Roman"/>
          <w:noProof/>
          <w:sz w:val="24"/>
        </w:rPr>
        <w:t>ymi rodzajami broni</w:t>
      </w:r>
      <w:r w:rsidR="000309CC" w:rsidRPr="000309CC">
        <w:rPr>
          <w:rFonts w:ascii="Times New Roman" w:hAnsi="Times New Roman"/>
          <w:noProof/>
          <w:sz w:val="24"/>
        </w:rPr>
        <w:t xml:space="preserve"> w sam</w:t>
      </w:r>
      <w:r w:rsidRPr="000309CC">
        <w:rPr>
          <w:rFonts w:ascii="Times New Roman" w:hAnsi="Times New Roman"/>
          <w:noProof/>
          <w:sz w:val="24"/>
        </w:rPr>
        <w:t>ej Ukrainie, co stwarza nowe zagrożenia dla UE</w:t>
      </w:r>
      <w:r w:rsidR="000309CC" w:rsidRPr="000309CC">
        <w:rPr>
          <w:rFonts w:ascii="Times New Roman" w:hAnsi="Times New Roman"/>
          <w:noProof/>
          <w:sz w:val="24"/>
        </w:rPr>
        <w:t xml:space="preserve"> i inn</w:t>
      </w:r>
      <w:r w:rsidRPr="000309CC">
        <w:rPr>
          <w:rFonts w:ascii="Times New Roman" w:hAnsi="Times New Roman"/>
          <w:noProof/>
          <w:sz w:val="24"/>
        </w:rPr>
        <w:t>ych państw sąsiadujących</w:t>
      </w:r>
      <w:r w:rsidR="000309CC" w:rsidRPr="000309CC">
        <w:rPr>
          <w:rFonts w:ascii="Times New Roman" w:hAnsi="Times New Roman"/>
          <w:noProof/>
          <w:sz w:val="24"/>
        </w:rPr>
        <w:t xml:space="preserve"> z Ukr</w:t>
      </w:r>
      <w:r w:rsidRPr="000309CC">
        <w:rPr>
          <w:rFonts w:ascii="Times New Roman" w:hAnsi="Times New Roman"/>
          <w:noProof/>
          <w:sz w:val="24"/>
        </w:rPr>
        <w:t xml:space="preserve">ainą. </w:t>
      </w:r>
    </w:p>
    <w:p w14:paraId="78DBF62E" w14:textId="2DE6F90E" w:rsidR="00474DA2" w:rsidRPr="000309CC" w:rsidRDefault="00474DA2" w:rsidP="00474DA2">
      <w:pPr>
        <w:spacing w:line="240" w:lineRule="auto"/>
        <w:jc w:val="both"/>
        <w:rPr>
          <w:rFonts w:ascii="Times New Roman" w:hAnsi="Times New Roman" w:cs="Times New Roman"/>
          <w:b/>
          <w:i/>
          <w:noProof/>
          <w:sz w:val="24"/>
          <w:szCs w:val="24"/>
        </w:rPr>
      </w:pPr>
      <w:r w:rsidRPr="000309CC">
        <w:rPr>
          <w:rFonts w:ascii="Times New Roman" w:hAnsi="Times New Roman"/>
          <w:b/>
          <w:i/>
          <w:noProof/>
          <w:sz w:val="24"/>
        </w:rPr>
        <w:t>Czujność</w:t>
      </w:r>
      <w:r w:rsidR="000309CC" w:rsidRPr="000309CC">
        <w:rPr>
          <w:rFonts w:ascii="Times New Roman" w:hAnsi="Times New Roman"/>
          <w:b/>
          <w:i/>
          <w:noProof/>
          <w:sz w:val="24"/>
        </w:rPr>
        <w:t xml:space="preserve"> i koo</w:t>
      </w:r>
      <w:r w:rsidRPr="000309CC">
        <w:rPr>
          <w:rFonts w:ascii="Times New Roman" w:hAnsi="Times New Roman"/>
          <w:b/>
          <w:i/>
          <w:noProof/>
          <w:sz w:val="24"/>
        </w:rPr>
        <w:t>rdynacja</w:t>
      </w:r>
    </w:p>
    <w:p w14:paraId="29803714" w14:textId="1256BA37" w:rsidR="00B005B1" w:rsidRPr="000309CC" w:rsidRDefault="00474DA2" w:rsidP="00B005B1">
      <w:pPr>
        <w:spacing w:line="240" w:lineRule="auto"/>
        <w:jc w:val="both"/>
        <w:rPr>
          <w:rFonts w:ascii="Times New Roman" w:eastAsia="Times New Roman" w:hAnsi="Times New Roman" w:cs="Times New Roman"/>
          <w:noProof/>
          <w:sz w:val="24"/>
          <w:szCs w:val="24"/>
        </w:rPr>
      </w:pPr>
      <w:r w:rsidRPr="000309CC">
        <w:rPr>
          <w:rFonts w:ascii="Times New Roman" w:hAnsi="Times New Roman"/>
          <w:noProof/>
          <w:sz w:val="24"/>
        </w:rPr>
        <w:t>W wydanych</w:t>
      </w:r>
      <w:r w:rsidR="000309CC" w:rsidRPr="000309CC">
        <w:rPr>
          <w:rFonts w:ascii="Times New Roman" w:hAnsi="Times New Roman"/>
          <w:noProof/>
          <w:sz w:val="24"/>
        </w:rPr>
        <w:t xml:space="preserve"> w mar</w:t>
      </w:r>
      <w:r w:rsidRPr="000309CC">
        <w:rPr>
          <w:rFonts w:ascii="Times New Roman" w:hAnsi="Times New Roman"/>
          <w:noProof/>
          <w:sz w:val="24"/>
        </w:rPr>
        <w:t>cu wytycznych operacyjnych przedstawiono porady dla państw członkowskich dotyczące sposobów sprostania wyzwaniu, jakim jest zwiększony obrót bronią palną</w:t>
      </w:r>
      <w:r w:rsidR="000309CC" w:rsidRPr="000309CC">
        <w:rPr>
          <w:rFonts w:ascii="Times New Roman" w:hAnsi="Times New Roman"/>
          <w:noProof/>
          <w:sz w:val="24"/>
        </w:rPr>
        <w:t xml:space="preserve"> w okr</w:t>
      </w:r>
      <w:r w:rsidRPr="000309CC">
        <w:rPr>
          <w:rFonts w:ascii="Times New Roman" w:hAnsi="Times New Roman"/>
          <w:noProof/>
          <w:sz w:val="24"/>
        </w:rPr>
        <w:t>esie masowego napływu osób na granicę zewnętrzną UE</w:t>
      </w:r>
      <w:r w:rsidRPr="000309CC">
        <w:rPr>
          <w:rStyle w:val="FootnoteReference"/>
          <w:rFonts w:ascii="Times New Roman" w:hAnsi="Times New Roman" w:cs="Times New Roman"/>
          <w:noProof/>
          <w:sz w:val="24"/>
          <w:szCs w:val="24"/>
        </w:rPr>
        <w:footnoteReference w:id="37"/>
      </w:r>
      <w:r w:rsidR="000309CC" w:rsidRPr="000309CC">
        <w:rPr>
          <w:rFonts w:ascii="Times New Roman" w:hAnsi="Times New Roman"/>
          <w:noProof/>
          <w:sz w:val="24"/>
        </w:rPr>
        <w:t xml:space="preserve">. </w:t>
      </w:r>
      <w:r w:rsidR="000309CC" w:rsidRPr="000309CC">
        <w:rPr>
          <w:rFonts w:ascii="Times New Roman" w:hAnsi="Times New Roman"/>
          <w:noProof/>
          <w:color w:val="000000" w:themeColor="text1"/>
          <w:sz w:val="24"/>
        </w:rPr>
        <w:t>W</w:t>
      </w:r>
      <w:r w:rsidR="000309CC" w:rsidRPr="000309CC">
        <w:rPr>
          <w:rFonts w:ascii="Times New Roman" w:hAnsi="Times New Roman"/>
          <w:noProof/>
          <w:sz w:val="24"/>
        </w:rPr>
        <w:t> </w:t>
      </w:r>
      <w:r w:rsidR="000309CC" w:rsidRPr="000309CC">
        <w:rPr>
          <w:rFonts w:ascii="Times New Roman" w:hAnsi="Times New Roman"/>
          <w:noProof/>
          <w:color w:val="000000" w:themeColor="text1"/>
          <w:sz w:val="24"/>
        </w:rPr>
        <w:t>wyt</w:t>
      </w:r>
      <w:r w:rsidRPr="000309CC">
        <w:rPr>
          <w:rFonts w:ascii="Times New Roman" w:hAnsi="Times New Roman"/>
          <w:noProof/>
          <w:color w:val="000000" w:themeColor="text1"/>
          <w:sz w:val="24"/>
        </w:rPr>
        <w:t>ycznych tych podkreślono, że należy stale kontrolować obecność broni palnej i że nie można dopuścić do sytuacji,</w:t>
      </w:r>
      <w:r w:rsidR="000309CC" w:rsidRPr="000309CC">
        <w:rPr>
          <w:rFonts w:ascii="Times New Roman" w:hAnsi="Times New Roman"/>
          <w:noProof/>
          <w:color w:val="000000" w:themeColor="text1"/>
          <w:sz w:val="24"/>
        </w:rPr>
        <w:t xml:space="preserve"> w któ</w:t>
      </w:r>
      <w:r w:rsidRPr="000309CC">
        <w:rPr>
          <w:rFonts w:ascii="Times New Roman" w:hAnsi="Times New Roman"/>
          <w:noProof/>
          <w:color w:val="000000" w:themeColor="text1"/>
          <w:sz w:val="24"/>
        </w:rPr>
        <w:t>rej osoba bez zezwolenia wjechałaby do UE</w:t>
      </w:r>
      <w:r w:rsidR="000309CC" w:rsidRPr="000309CC">
        <w:rPr>
          <w:rFonts w:ascii="Times New Roman" w:hAnsi="Times New Roman"/>
          <w:noProof/>
          <w:color w:val="000000" w:themeColor="text1"/>
          <w:sz w:val="24"/>
        </w:rPr>
        <w:t xml:space="preserve"> z bro</w:t>
      </w:r>
      <w:r w:rsidRPr="000309CC">
        <w:rPr>
          <w:rFonts w:ascii="Times New Roman" w:hAnsi="Times New Roman"/>
          <w:noProof/>
          <w:color w:val="000000" w:themeColor="text1"/>
          <w:sz w:val="24"/>
        </w:rPr>
        <w:t>nią palną.</w:t>
      </w:r>
      <w:r w:rsidRPr="000309CC">
        <w:rPr>
          <w:rFonts w:ascii="Times New Roman" w:hAnsi="Times New Roman"/>
          <w:noProof/>
          <w:sz w:val="24"/>
        </w:rPr>
        <w:t xml:space="preserve"> Jeżeli organy ukraińskie zgłoszą brak którejkolwiek</w:t>
      </w:r>
      <w:r w:rsidR="000309CC" w:rsidRPr="000309CC">
        <w:rPr>
          <w:rFonts w:ascii="Times New Roman" w:hAnsi="Times New Roman"/>
          <w:noProof/>
          <w:sz w:val="24"/>
        </w:rPr>
        <w:t xml:space="preserve"> z tyc</w:t>
      </w:r>
      <w:r w:rsidRPr="000309CC">
        <w:rPr>
          <w:rFonts w:ascii="Times New Roman" w:hAnsi="Times New Roman"/>
          <w:noProof/>
          <w:sz w:val="24"/>
        </w:rPr>
        <w:t>h sztuk broni palnej, państwa członkowskie powinny zarejestrować je</w:t>
      </w:r>
      <w:r w:rsidR="000309CC" w:rsidRPr="000309CC">
        <w:rPr>
          <w:rFonts w:ascii="Times New Roman" w:hAnsi="Times New Roman"/>
          <w:noProof/>
          <w:sz w:val="24"/>
        </w:rPr>
        <w:t xml:space="preserve"> w Sys</w:t>
      </w:r>
      <w:r w:rsidRPr="000309CC">
        <w:rPr>
          <w:rFonts w:ascii="Times New Roman" w:hAnsi="Times New Roman"/>
          <w:noProof/>
          <w:sz w:val="24"/>
        </w:rPr>
        <w:t>temie Informacyjnym Schengen.</w:t>
      </w:r>
    </w:p>
    <w:p w14:paraId="36CDB130" w14:textId="63667CA6" w:rsidR="00705A6F" w:rsidRPr="000309CC" w:rsidRDefault="00FE28B3" w:rsidP="00474DA2">
      <w:pPr>
        <w:spacing w:line="240" w:lineRule="auto"/>
        <w:jc w:val="both"/>
        <w:rPr>
          <w:rFonts w:ascii="Times New Roman" w:eastAsia="Times New Roman" w:hAnsi="Times New Roman" w:cs="Times New Roman"/>
          <w:noProof/>
          <w:sz w:val="24"/>
          <w:szCs w:val="24"/>
        </w:rPr>
      </w:pPr>
      <w:r w:rsidRPr="000309CC">
        <w:rPr>
          <w:rFonts w:ascii="Times New Roman" w:hAnsi="Times New Roman"/>
          <w:noProof/>
          <w:sz w:val="24"/>
        </w:rPr>
        <w:t>Niezwykle istotne jest, aby wszystkie dostawy broni palnej do Ukrainy były odpowiednio rejestrowane,</w:t>
      </w:r>
      <w:r w:rsidR="000309CC" w:rsidRPr="000309CC">
        <w:rPr>
          <w:rFonts w:ascii="Times New Roman" w:hAnsi="Times New Roman"/>
          <w:noProof/>
          <w:sz w:val="24"/>
        </w:rPr>
        <w:t xml:space="preserve"> z pod</w:t>
      </w:r>
      <w:r w:rsidRPr="000309CC">
        <w:rPr>
          <w:rFonts w:ascii="Times New Roman" w:hAnsi="Times New Roman"/>
          <w:noProof/>
          <w:sz w:val="24"/>
        </w:rPr>
        <w:t>aniem wszystkich istotnych informacji (w tym typu, kraju</w:t>
      </w:r>
      <w:r w:rsidR="000309CC" w:rsidRPr="000309CC">
        <w:rPr>
          <w:rFonts w:ascii="Times New Roman" w:hAnsi="Times New Roman"/>
          <w:noProof/>
          <w:sz w:val="24"/>
        </w:rPr>
        <w:t xml:space="preserve"> i rok</w:t>
      </w:r>
      <w:r w:rsidRPr="000309CC">
        <w:rPr>
          <w:rFonts w:ascii="Times New Roman" w:hAnsi="Times New Roman"/>
          <w:noProof/>
          <w:sz w:val="24"/>
        </w:rPr>
        <w:t>u produkcji, marki, modelu, kalibru, numeru seryjnego)</w:t>
      </w:r>
      <w:r w:rsidR="000309CC" w:rsidRPr="000309CC">
        <w:rPr>
          <w:rFonts w:ascii="Times New Roman" w:hAnsi="Times New Roman"/>
          <w:noProof/>
          <w:sz w:val="24"/>
        </w:rPr>
        <w:t xml:space="preserve"> w cel</w:t>
      </w:r>
      <w:r w:rsidRPr="000309CC">
        <w:rPr>
          <w:rFonts w:ascii="Times New Roman" w:hAnsi="Times New Roman"/>
          <w:noProof/>
          <w:sz w:val="24"/>
        </w:rPr>
        <w:t>u ułatwienia identyfikowalności tej broni palnej zarówno</w:t>
      </w:r>
      <w:r w:rsidR="000309CC" w:rsidRPr="000309CC">
        <w:rPr>
          <w:rFonts w:ascii="Times New Roman" w:hAnsi="Times New Roman"/>
          <w:noProof/>
          <w:sz w:val="24"/>
        </w:rPr>
        <w:t xml:space="preserve"> w Ukr</w:t>
      </w:r>
      <w:r w:rsidRPr="000309CC">
        <w:rPr>
          <w:rFonts w:ascii="Times New Roman" w:hAnsi="Times New Roman"/>
          <w:noProof/>
          <w:sz w:val="24"/>
        </w:rPr>
        <w:t>ainie, jak i w UE.</w:t>
      </w:r>
    </w:p>
    <w:p w14:paraId="0C135DC0" w14:textId="489CBF0F" w:rsidR="005B1191" w:rsidRPr="000309CC" w:rsidRDefault="00BE6DB0" w:rsidP="006A3083">
      <w:pPr>
        <w:pStyle w:val="paragraph"/>
        <w:jc w:val="both"/>
        <w:textAlignment w:val="baseline"/>
        <w:rPr>
          <w:noProof/>
        </w:rPr>
      </w:pPr>
      <w:r w:rsidRPr="000309CC">
        <w:rPr>
          <w:noProof/>
        </w:rPr>
        <w:t>UE publicznie potępiła lekkomyślne wojskowe ataki Rosji na cywilne obiekty jądrowe, biologiczne</w:t>
      </w:r>
      <w:r w:rsidR="000309CC" w:rsidRPr="000309CC">
        <w:rPr>
          <w:noProof/>
        </w:rPr>
        <w:t xml:space="preserve"> i che</w:t>
      </w:r>
      <w:r w:rsidRPr="000309CC">
        <w:rPr>
          <w:noProof/>
        </w:rPr>
        <w:t>miczne</w:t>
      </w:r>
      <w:r w:rsidR="000309CC" w:rsidRPr="000309CC">
        <w:rPr>
          <w:noProof/>
        </w:rPr>
        <w:t xml:space="preserve"> w Ukr</w:t>
      </w:r>
      <w:r w:rsidRPr="000309CC">
        <w:rPr>
          <w:noProof/>
        </w:rPr>
        <w:t>ainie</w:t>
      </w:r>
      <w:r w:rsidR="000309CC" w:rsidRPr="000309CC">
        <w:rPr>
          <w:noProof/>
        </w:rPr>
        <w:t xml:space="preserve"> i w bez</w:t>
      </w:r>
      <w:r w:rsidRPr="000309CC">
        <w:rPr>
          <w:noProof/>
        </w:rPr>
        <w:t>pośrednim sąsiedztwie tych obiektów,</w:t>
      </w:r>
      <w:r w:rsidR="000309CC" w:rsidRPr="000309CC">
        <w:rPr>
          <w:noProof/>
        </w:rPr>
        <w:t xml:space="preserve"> a tak</w:t>
      </w:r>
      <w:r w:rsidRPr="000309CC">
        <w:rPr>
          <w:noProof/>
        </w:rPr>
        <w:t>że wszelkie działania zagrażające bezpieczeństwu tych obiektów. Komisja monitoruje sytuację</w:t>
      </w:r>
      <w:r w:rsidR="000309CC" w:rsidRPr="000309CC">
        <w:rPr>
          <w:noProof/>
        </w:rPr>
        <w:t xml:space="preserve"> w Ukr</w:t>
      </w:r>
      <w:r w:rsidRPr="000309CC">
        <w:rPr>
          <w:noProof/>
        </w:rPr>
        <w:t>ainie, szczególną uwagę zwracając na zagrożenie radiologiczne, które budzi największe obawy</w:t>
      </w:r>
      <w:r w:rsidR="000309CC" w:rsidRPr="000309CC">
        <w:rPr>
          <w:noProof/>
        </w:rPr>
        <w:t xml:space="preserve"> z pun</w:t>
      </w:r>
      <w:r w:rsidRPr="000309CC">
        <w:rPr>
          <w:noProof/>
        </w:rPr>
        <w:t>ktu widzenia bezpieczeństwa wewnętrznego UE</w:t>
      </w:r>
      <w:r w:rsidR="00FE32D6" w:rsidRPr="000309CC">
        <w:rPr>
          <w:rStyle w:val="FootnoteReference"/>
          <w:noProof/>
        </w:rPr>
        <w:footnoteReference w:id="38"/>
      </w:r>
      <w:r w:rsidRPr="000309CC">
        <w:rPr>
          <w:noProof/>
        </w:rPr>
        <w:t>. Komisja monitoruje również potencjalne zagrożenia chemiczne</w:t>
      </w:r>
      <w:r w:rsidR="000309CC" w:rsidRPr="000309CC">
        <w:rPr>
          <w:noProof/>
        </w:rPr>
        <w:t xml:space="preserve"> i ust</w:t>
      </w:r>
      <w:r w:rsidRPr="000309CC">
        <w:rPr>
          <w:noProof/>
        </w:rPr>
        <w:t>anowiła wewnętrzny mechanizm koordynacji na wypadek gdyby konieczne było szybkie przeprowadzenie oceny ryzyka.</w:t>
      </w:r>
      <w:r w:rsidR="000309CC" w:rsidRPr="000309CC">
        <w:rPr>
          <w:noProof/>
        </w:rPr>
        <w:t xml:space="preserve"> </w:t>
      </w:r>
    </w:p>
    <w:p w14:paraId="5E004406" w14:textId="77777777" w:rsidR="00474DA2" w:rsidRPr="000309CC" w:rsidRDefault="00474DA2" w:rsidP="00474DA2">
      <w:pPr>
        <w:spacing w:line="240" w:lineRule="auto"/>
        <w:jc w:val="both"/>
        <w:rPr>
          <w:rFonts w:ascii="Times New Roman" w:hAnsi="Times New Roman" w:cs="Times New Roman"/>
          <w:b/>
          <w:i/>
          <w:noProof/>
          <w:sz w:val="24"/>
          <w:szCs w:val="24"/>
        </w:rPr>
      </w:pPr>
      <w:r w:rsidRPr="000309CC">
        <w:rPr>
          <w:rFonts w:ascii="Times New Roman" w:hAnsi="Times New Roman"/>
          <w:b/>
          <w:i/>
          <w:noProof/>
          <w:sz w:val="24"/>
        </w:rPr>
        <w:t>Gotowość</w:t>
      </w:r>
    </w:p>
    <w:p w14:paraId="4B3E79A3" w14:textId="44770FB3" w:rsidR="00FE28B3" w:rsidRPr="000309CC" w:rsidRDefault="00FE28B3" w:rsidP="00FE28B3">
      <w:pPr>
        <w:spacing w:line="240" w:lineRule="auto"/>
        <w:jc w:val="both"/>
        <w:rPr>
          <w:rFonts w:ascii="Times New Roman" w:eastAsia="Times New Roman" w:hAnsi="Times New Roman" w:cs="Times New Roman"/>
          <w:noProof/>
          <w:color w:val="000000" w:themeColor="text1"/>
          <w:sz w:val="24"/>
          <w:szCs w:val="24"/>
        </w:rPr>
      </w:pPr>
      <w:r w:rsidRPr="000309CC">
        <w:rPr>
          <w:rFonts w:ascii="Times New Roman" w:hAnsi="Times New Roman"/>
          <w:noProof/>
          <w:color w:val="000000" w:themeColor="text1"/>
          <w:sz w:val="24"/>
        </w:rPr>
        <w:t>Ukraina jest już jednym</w:t>
      </w:r>
      <w:r w:rsidR="000309CC" w:rsidRPr="000309CC">
        <w:rPr>
          <w:rFonts w:ascii="Times New Roman" w:hAnsi="Times New Roman"/>
          <w:noProof/>
          <w:color w:val="000000" w:themeColor="text1"/>
          <w:sz w:val="24"/>
        </w:rPr>
        <w:t xml:space="preserve"> z pań</w:t>
      </w:r>
      <w:r w:rsidRPr="000309CC">
        <w:rPr>
          <w:rFonts w:ascii="Times New Roman" w:hAnsi="Times New Roman"/>
          <w:noProof/>
          <w:color w:val="000000" w:themeColor="text1"/>
          <w:sz w:val="24"/>
        </w:rPr>
        <w:t>stw, które</w:t>
      </w:r>
      <w:r w:rsidR="000309CC" w:rsidRPr="000309CC">
        <w:rPr>
          <w:rFonts w:ascii="Times New Roman" w:hAnsi="Times New Roman"/>
          <w:noProof/>
          <w:color w:val="000000" w:themeColor="text1"/>
          <w:sz w:val="24"/>
        </w:rPr>
        <w:t xml:space="preserve"> w Pla</w:t>
      </w:r>
      <w:r w:rsidRPr="000309CC">
        <w:rPr>
          <w:rFonts w:ascii="Times New Roman" w:hAnsi="Times New Roman"/>
          <w:noProof/>
          <w:color w:val="000000" w:themeColor="text1"/>
          <w:sz w:val="24"/>
        </w:rPr>
        <w:t>nie działania UE</w:t>
      </w:r>
      <w:r w:rsidR="000309CC" w:rsidRPr="000309CC">
        <w:rPr>
          <w:rFonts w:ascii="Times New Roman" w:hAnsi="Times New Roman"/>
          <w:noProof/>
          <w:color w:val="000000" w:themeColor="text1"/>
          <w:sz w:val="24"/>
        </w:rPr>
        <w:t xml:space="preserve"> w spr</w:t>
      </w:r>
      <w:r w:rsidRPr="000309CC">
        <w:rPr>
          <w:rFonts w:ascii="Times New Roman" w:hAnsi="Times New Roman"/>
          <w:noProof/>
          <w:color w:val="000000" w:themeColor="text1"/>
          <w:sz w:val="24"/>
        </w:rPr>
        <w:t>awie nielegalnego handlu bronią palną na lata 2020–2025 uznano za kluczowe dla podjęcia konkretnych działań na szczeblu zewnętrznym. Prowadzone jest także specjalne działanie operacyjne</w:t>
      </w:r>
      <w:r w:rsidR="000309CC" w:rsidRPr="000309CC">
        <w:rPr>
          <w:rFonts w:ascii="Times New Roman" w:hAnsi="Times New Roman"/>
          <w:noProof/>
          <w:color w:val="000000" w:themeColor="text1"/>
          <w:sz w:val="24"/>
        </w:rPr>
        <w:t xml:space="preserve"> w reg</w:t>
      </w:r>
      <w:r w:rsidRPr="000309CC">
        <w:rPr>
          <w:rFonts w:ascii="Times New Roman" w:hAnsi="Times New Roman"/>
          <w:noProof/>
          <w:color w:val="000000" w:themeColor="text1"/>
          <w:sz w:val="24"/>
        </w:rPr>
        <w:t>ionie obejmującym Ukrainę</w:t>
      </w:r>
      <w:r w:rsidR="000309CC" w:rsidRPr="000309CC">
        <w:rPr>
          <w:rFonts w:ascii="Times New Roman" w:hAnsi="Times New Roman"/>
          <w:noProof/>
          <w:color w:val="000000" w:themeColor="text1"/>
          <w:sz w:val="24"/>
        </w:rPr>
        <w:t xml:space="preserve"> w ram</w:t>
      </w:r>
      <w:r w:rsidRPr="000309CC">
        <w:rPr>
          <w:rFonts w:ascii="Times New Roman" w:hAnsi="Times New Roman"/>
          <w:noProof/>
          <w:color w:val="000000" w:themeColor="text1"/>
          <w:sz w:val="24"/>
        </w:rPr>
        <w:t>ach komponentu EMPACT dotyczącego broni palnej. Biorąc jednak pod uwagę ryzyko przekierowania broni palnej, niezbędne będzie zrealizowanie konkretnych projektów finansowanych przez UE,</w:t>
      </w:r>
      <w:r w:rsidR="000309CC" w:rsidRPr="000309CC">
        <w:rPr>
          <w:rFonts w:ascii="Times New Roman" w:hAnsi="Times New Roman"/>
          <w:noProof/>
          <w:color w:val="000000" w:themeColor="text1"/>
          <w:sz w:val="24"/>
        </w:rPr>
        <w:t xml:space="preserve"> a tak</w:t>
      </w:r>
      <w:r w:rsidRPr="000309CC">
        <w:rPr>
          <w:rFonts w:ascii="Times New Roman" w:hAnsi="Times New Roman"/>
          <w:noProof/>
          <w:color w:val="000000" w:themeColor="text1"/>
          <w:sz w:val="24"/>
        </w:rPr>
        <w:t>że współpraca operacyjna</w:t>
      </w:r>
      <w:r w:rsidR="000309CC" w:rsidRPr="000309CC">
        <w:rPr>
          <w:rFonts w:ascii="Times New Roman" w:hAnsi="Times New Roman"/>
          <w:noProof/>
          <w:color w:val="000000" w:themeColor="text1"/>
          <w:sz w:val="24"/>
        </w:rPr>
        <w:t xml:space="preserve"> z Eur</w:t>
      </w:r>
      <w:r w:rsidRPr="000309CC">
        <w:rPr>
          <w:rFonts w:ascii="Times New Roman" w:hAnsi="Times New Roman"/>
          <w:noProof/>
          <w:color w:val="000000" w:themeColor="text1"/>
          <w:sz w:val="24"/>
        </w:rPr>
        <w:t>opolem, Fronteksem</w:t>
      </w:r>
      <w:r w:rsidR="000309CC" w:rsidRPr="000309CC">
        <w:rPr>
          <w:rFonts w:ascii="Times New Roman" w:hAnsi="Times New Roman"/>
          <w:noProof/>
          <w:color w:val="000000" w:themeColor="text1"/>
          <w:sz w:val="24"/>
        </w:rPr>
        <w:t xml:space="preserve"> i kom</w:t>
      </w:r>
      <w:r w:rsidRPr="000309CC">
        <w:rPr>
          <w:rFonts w:ascii="Times New Roman" w:hAnsi="Times New Roman"/>
          <w:noProof/>
          <w:color w:val="000000" w:themeColor="text1"/>
          <w:sz w:val="24"/>
        </w:rPr>
        <w:t>ponentem EMPACT dotyczącym broni palnej. Komisja przedstawi wkrótce wniosek dotyczący zmiany rozporządzenia</w:t>
      </w:r>
      <w:r w:rsidR="000309CC" w:rsidRPr="000309CC">
        <w:rPr>
          <w:rFonts w:ascii="Times New Roman" w:hAnsi="Times New Roman"/>
          <w:noProof/>
          <w:color w:val="000000" w:themeColor="text1"/>
          <w:sz w:val="24"/>
        </w:rPr>
        <w:t xml:space="preserve"> w spr</w:t>
      </w:r>
      <w:r w:rsidRPr="000309CC">
        <w:rPr>
          <w:rFonts w:ascii="Times New Roman" w:hAnsi="Times New Roman"/>
          <w:noProof/>
          <w:color w:val="000000" w:themeColor="text1"/>
          <w:sz w:val="24"/>
        </w:rPr>
        <w:t>awie broni palnej</w:t>
      </w:r>
      <w:r w:rsidRPr="000309CC">
        <w:rPr>
          <w:rStyle w:val="FootnoteReference"/>
          <w:rFonts w:ascii="Times New Roman" w:hAnsi="Times New Roman" w:cs="Times New Roman"/>
          <w:noProof/>
          <w:sz w:val="24"/>
          <w:szCs w:val="24"/>
        </w:rPr>
        <w:footnoteReference w:id="39"/>
      </w:r>
      <w:r w:rsidR="000309CC" w:rsidRPr="000309CC">
        <w:rPr>
          <w:rStyle w:val="FootnoteReference"/>
          <w:noProof/>
        </w:rPr>
        <w:t xml:space="preserve"> </w:t>
      </w:r>
      <w:r w:rsidRPr="000309CC">
        <w:rPr>
          <w:rFonts w:ascii="Times New Roman" w:hAnsi="Times New Roman"/>
          <w:noProof/>
          <w:color w:val="000000" w:themeColor="text1"/>
          <w:sz w:val="24"/>
        </w:rPr>
        <w:t>odnoszącej się do wywozu, przywozu</w:t>
      </w:r>
      <w:r w:rsidR="000309CC" w:rsidRPr="000309CC">
        <w:rPr>
          <w:rFonts w:ascii="Times New Roman" w:hAnsi="Times New Roman"/>
          <w:noProof/>
          <w:color w:val="000000" w:themeColor="text1"/>
          <w:sz w:val="24"/>
        </w:rPr>
        <w:t xml:space="preserve"> i tra</w:t>
      </w:r>
      <w:r w:rsidRPr="000309CC">
        <w:rPr>
          <w:rFonts w:ascii="Times New Roman" w:hAnsi="Times New Roman"/>
          <w:noProof/>
          <w:color w:val="000000" w:themeColor="text1"/>
          <w:sz w:val="24"/>
        </w:rPr>
        <w:t>nzytu broni palnej do użytku cywilnego, jako część ogólnych ram prawnych</w:t>
      </w:r>
      <w:r w:rsidR="000309CC" w:rsidRPr="000309CC">
        <w:rPr>
          <w:rFonts w:ascii="Times New Roman" w:hAnsi="Times New Roman"/>
          <w:noProof/>
          <w:color w:val="000000" w:themeColor="text1"/>
          <w:sz w:val="24"/>
        </w:rPr>
        <w:t xml:space="preserve"> i ope</w:t>
      </w:r>
      <w:r w:rsidRPr="000309CC">
        <w:rPr>
          <w:rFonts w:ascii="Times New Roman" w:hAnsi="Times New Roman"/>
          <w:noProof/>
          <w:color w:val="000000" w:themeColor="text1"/>
          <w:sz w:val="24"/>
        </w:rPr>
        <w:t>racyjnych mających na celu zapobieganie handlowi bronią palną, wykrywanie go, prowadzenie postępowań przygotowawczych</w:t>
      </w:r>
      <w:r w:rsidR="000309CC" w:rsidRPr="000309CC">
        <w:rPr>
          <w:rFonts w:ascii="Times New Roman" w:hAnsi="Times New Roman"/>
          <w:noProof/>
          <w:color w:val="000000" w:themeColor="text1"/>
          <w:sz w:val="24"/>
        </w:rPr>
        <w:t xml:space="preserve"> w jeg</w:t>
      </w:r>
      <w:r w:rsidRPr="000309CC">
        <w:rPr>
          <w:rFonts w:ascii="Times New Roman" w:hAnsi="Times New Roman"/>
          <w:noProof/>
          <w:color w:val="000000" w:themeColor="text1"/>
          <w:sz w:val="24"/>
        </w:rPr>
        <w:t>o sprawie</w:t>
      </w:r>
      <w:r w:rsidR="000309CC" w:rsidRPr="000309CC">
        <w:rPr>
          <w:rFonts w:ascii="Times New Roman" w:hAnsi="Times New Roman"/>
          <w:noProof/>
          <w:color w:val="000000" w:themeColor="text1"/>
          <w:sz w:val="24"/>
        </w:rPr>
        <w:t xml:space="preserve"> i ści</w:t>
      </w:r>
      <w:r w:rsidRPr="000309CC">
        <w:rPr>
          <w:rFonts w:ascii="Times New Roman" w:hAnsi="Times New Roman"/>
          <w:noProof/>
          <w:color w:val="000000" w:themeColor="text1"/>
          <w:sz w:val="24"/>
        </w:rPr>
        <w:t xml:space="preserve">ganie go. </w:t>
      </w:r>
    </w:p>
    <w:p w14:paraId="36CD4BCA" w14:textId="58A1CDD3" w:rsidR="00474DA2" w:rsidRPr="000309CC" w:rsidRDefault="00474DA2" w:rsidP="00474DA2">
      <w:pPr>
        <w:spacing w:line="240" w:lineRule="auto"/>
        <w:jc w:val="both"/>
        <w:rPr>
          <w:rFonts w:ascii="Times New Roman" w:hAnsi="Times New Roman" w:cs="Times New Roman"/>
          <w:bCs/>
          <w:noProof/>
          <w:sz w:val="24"/>
          <w:szCs w:val="24"/>
        </w:rPr>
      </w:pPr>
      <w:r w:rsidRPr="000309CC">
        <w:rPr>
          <w:rFonts w:ascii="Times New Roman" w:hAnsi="Times New Roman"/>
          <w:noProof/>
          <w:sz w:val="24"/>
        </w:rPr>
        <w:t>Aby zwiększyć gotowość</w:t>
      </w:r>
      <w:r w:rsidR="000309CC" w:rsidRPr="000309CC">
        <w:rPr>
          <w:rFonts w:ascii="Times New Roman" w:hAnsi="Times New Roman"/>
          <w:noProof/>
          <w:sz w:val="24"/>
        </w:rPr>
        <w:t xml:space="preserve"> i zdo</w:t>
      </w:r>
      <w:r w:rsidRPr="000309CC">
        <w:rPr>
          <w:rFonts w:ascii="Times New Roman" w:hAnsi="Times New Roman"/>
          <w:noProof/>
          <w:sz w:val="24"/>
        </w:rPr>
        <w:t>lność reagowania UE na zagrożenia dla zdrowia publicznego, takie jak zagrożenia CBRJ, Komisja tworzy strategiczne rezerwy zdolności reagowania poprzez Unijny Mechanizm Ochrony Ludności finansowany przez Urząd ds. Gotowości</w:t>
      </w:r>
      <w:r w:rsidR="000309CC" w:rsidRPr="000309CC">
        <w:rPr>
          <w:rFonts w:ascii="Times New Roman" w:hAnsi="Times New Roman"/>
          <w:noProof/>
          <w:sz w:val="24"/>
        </w:rPr>
        <w:t xml:space="preserve"> i Rea</w:t>
      </w:r>
      <w:r w:rsidRPr="000309CC">
        <w:rPr>
          <w:rFonts w:ascii="Times New Roman" w:hAnsi="Times New Roman"/>
          <w:noProof/>
          <w:sz w:val="24"/>
        </w:rPr>
        <w:t>gowania na Stany Zagrożenia Zdrowia (HERA)</w:t>
      </w:r>
      <w:r w:rsidR="00072B12" w:rsidRPr="000309CC">
        <w:rPr>
          <w:rStyle w:val="FootnoteReference"/>
          <w:rFonts w:ascii="Times New Roman" w:hAnsi="Times New Roman" w:cs="Times New Roman"/>
          <w:bCs/>
          <w:noProof/>
          <w:sz w:val="24"/>
          <w:szCs w:val="24"/>
        </w:rPr>
        <w:footnoteReference w:id="40"/>
      </w:r>
      <w:r w:rsidRPr="000309CC">
        <w:rPr>
          <w:rFonts w:ascii="Times New Roman" w:hAnsi="Times New Roman"/>
          <w:noProof/>
          <w:sz w:val="24"/>
        </w:rPr>
        <w:t>. Służby Komisji współpracują nad stworzeniem strategicznych zapasów rescEU wynoszących 540,5 mln EUR. Zapasy te będą obejmować sprzęt, leki, szczepionki</w:t>
      </w:r>
      <w:r w:rsidR="000309CC" w:rsidRPr="000309CC">
        <w:rPr>
          <w:rFonts w:ascii="Times New Roman" w:hAnsi="Times New Roman"/>
          <w:noProof/>
          <w:sz w:val="24"/>
        </w:rPr>
        <w:t xml:space="preserve"> i inn</w:t>
      </w:r>
      <w:r w:rsidRPr="000309CC">
        <w:rPr>
          <w:rFonts w:ascii="Times New Roman" w:hAnsi="Times New Roman"/>
          <w:noProof/>
          <w:sz w:val="24"/>
        </w:rPr>
        <w:t>e środki terapeutyczne stosowane</w:t>
      </w:r>
      <w:r w:rsidR="000309CC" w:rsidRPr="000309CC">
        <w:rPr>
          <w:rFonts w:ascii="Times New Roman" w:hAnsi="Times New Roman"/>
          <w:noProof/>
          <w:sz w:val="24"/>
        </w:rPr>
        <w:t xml:space="preserve"> w lec</w:t>
      </w:r>
      <w:r w:rsidRPr="000309CC">
        <w:rPr>
          <w:rFonts w:ascii="Times New Roman" w:hAnsi="Times New Roman"/>
          <w:noProof/>
          <w:sz w:val="24"/>
        </w:rPr>
        <w:t>zeniu pacjentów narażonych na działanie czynników nadzwyczajnych związanych z CBRJ, jak również rezerwę rescEU na potrzeby dekontaminacji,</w:t>
      </w:r>
      <w:r w:rsidR="000309CC" w:rsidRPr="000309CC">
        <w:rPr>
          <w:rFonts w:ascii="Times New Roman" w:hAnsi="Times New Roman"/>
          <w:noProof/>
          <w:sz w:val="24"/>
        </w:rPr>
        <w:t xml:space="preserve"> w skł</w:t>
      </w:r>
      <w:r w:rsidRPr="000309CC">
        <w:rPr>
          <w:rFonts w:ascii="Times New Roman" w:hAnsi="Times New Roman"/>
          <w:noProof/>
          <w:sz w:val="24"/>
        </w:rPr>
        <w:t>ad której wchodzi sprzęt do dekontaminacji oraz zespoły ekspertów ds. reagowania</w:t>
      </w:r>
      <w:r w:rsidR="000309CC" w:rsidRPr="000309CC">
        <w:rPr>
          <w:rFonts w:ascii="Times New Roman" w:hAnsi="Times New Roman"/>
          <w:noProof/>
          <w:sz w:val="24"/>
        </w:rPr>
        <w:t>. W pie</w:t>
      </w:r>
      <w:r w:rsidRPr="000309CC">
        <w:rPr>
          <w:rFonts w:ascii="Times New Roman" w:hAnsi="Times New Roman"/>
          <w:noProof/>
          <w:sz w:val="24"/>
        </w:rPr>
        <w:t>rwszej kolejności UE bezzwłocznie uruchomiła swoją rezerwę medyczną rescEU, aby zakupić tabletki jodku potasu, które można wykorzystać do ochrony ludzi przed szkodliwymi skutkami promieniowania,</w:t>
      </w:r>
      <w:r w:rsidR="000309CC" w:rsidRPr="000309CC">
        <w:rPr>
          <w:rFonts w:ascii="Times New Roman" w:hAnsi="Times New Roman"/>
          <w:noProof/>
          <w:sz w:val="24"/>
        </w:rPr>
        <w:t xml:space="preserve"> a tak</w:t>
      </w:r>
      <w:r w:rsidRPr="000309CC">
        <w:rPr>
          <w:rFonts w:ascii="Times New Roman" w:hAnsi="Times New Roman"/>
          <w:noProof/>
          <w:sz w:val="24"/>
        </w:rPr>
        <w:t>że</w:t>
      </w:r>
      <w:r w:rsidR="000309CC" w:rsidRPr="000309CC">
        <w:rPr>
          <w:rFonts w:ascii="Times New Roman" w:hAnsi="Times New Roman"/>
          <w:noProof/>
          <w:sz w:val="24"/>
        </w:rPr>
        <w:t xml:space="preserve"> w inn</w:t>
      </w:r>
      <w:r w:rsidRPr="000309CC">
        <w:rPr>
          <w:rFonts w:ascii="Times New Roman" w:hAnsi="Times New Roman"/>
          <w:noProof/>
          <w:sz w:val="24"/>
        </w:rPr>
        <w:t>e artykuły pilnie potrzebne</w:t>
      </w:r>
      <w:r w:rsidR="000309CC" w:rsidRPr="000309CC">
        <w:rPr>
          <w:rFonts w:ascii="Times New Roman" w:hAnsi="Times New Roman"/>
          <w:noProof/>
          <w:sz w:val="24"/>
        </w:rPr>
        <w:t xml:space="preserve"> w Ukr</w:t>
      </w:r>
      <w:r w:rsidRPr="000309CC">
        <w:rPr>
          <w:rFonts w:ascii="Times New Roman" w:hAnsi="Times New Roman"/>
          <w:noProof/>
          <w:sz w:val="24"/>
        </w:rPr>
        <w:t>ainie. Dotychczas za pośrednictwem Unijnego Mechanizmu Ochrony Ludności,</w:t>
      </w:r>
      <w:r w:rsidR="000309CC" w:rsidRPr="000309CC">
        <w:rPr>
          <w:rFonts w:ascii="Times New Roman" w:hAnsi="Times New Roman"/>
          <w:noProof/>
          <w:sz w:val="24"/>
        </w:rPr>
        <w:t xml:space="preserve"> z pom</w:t>
      </w:r>
      <w:r w:rsidRPr="000309CC">
        <w:rPr>
          <w:rFonts w:ascii="Times New Roman" w:hAnsi="Times New Roman"/>
          <w:noProof/>
          <w:sz w:val="24"/>
        </w:rPr>
        <w:t>ocą Francji</w:t>
      </w:r>
      <w:r w:rsidR="000309CC" w:rsidRPr="000309CC">
        <w:rPr>
          <w:rFonts w:ascii="Times New Roman" w:hAnsi="Times New Roman"/>
          <w:noProof/>
          <w:sz w:val="24"/>
        </w:rPr>
        <w:t xml:space="preserve"> i His</w:t>
      </w:r>
      <w:r w:rsidRPr="000309CC">
        <w:rPr>
          <w:rFonts w:ascii="Times New Roman" w:hAnsi="Times New Roman"/>
          <w:noProof/>
          <w:sz w:val="24"/>
        </w:rPr>
        <w:t>zpanii, do Ukrainy dostarczono już niemal 3 mln tabletek jodku.</w:t>
      </w:r>
    </w:p>
    <w:p w14:paraId="7CE15B99" w14:textId="77777777" w:rsidR="00474DA2" w:rsidRPr="000309CC"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sidRPr="000309CC">
        <w:rPr>
          <w:rFonts w:ascii="Times New Roman" w:hAnsi="Times New Roman"/>
          <w:b/>
          <w:noProof/>
          <w:sz w:val="24"/>
        </w:rPr>
        <w:t>SKOORDYNOWANE DZIAŁANIA MAJĄCE NA CELU POCIĄGNIĘCIE DO ODPOWIEDZIALNOŚCI ZA ROSYJSKĄ AGRESJĘ</w:t>
      </w:r>
    </w:p>
    <w:p w14:paraId="6C83E6E7" w14:textId="528224F3" w:rsidR="0091064D" w:rsidRPr="000309CC" w:rsidRDefault="00474DA2" w:rsidP="00474DA2">
      <w:pPr>
        <w:spacing w:after="0" w:line="240" w:lineRule="auto"/>
        <w:jc w:val="both"/>
        <w:rPr>
          <w:rFonts w:ascii="Times New Roman" w:hAnsi="Times New Roman" w:cs="Times New Roman"/>
          <w:bCs/>
          <w:noProof/>
          <w:sz w:val="24"/>
          <w:szCs w:val="24"/>
        </w:rPr>
      </w:pPr>
      <w:bookmarkStart w:id="3" w:name="_Hlk104192221"/>
      <w:r w:rsidRPr="000309CC">
        <w:rPr>
          <w:rFonts w:ascii="Times New Roman" w:hAnsi="Times New Roman"/>
          <w:noProof/>
          <w:sz w:val="24"/>
        </w:rPr>
        <w:t>UE odgrywa zasadniczą rolę</w:t>
      </w:r>
      <w:r w:rsidR="000309CC" w:rsidRPr="000309CC">
        <w:rPr>
          <w:rFonts w:ascii="Times New Roman" w:hAnsi="Times New Roman"/>
          <w:noProof/>
          <w:sz w:val="24"/>
        </w:rPr>
        <w:t xml:space="preserve"> w dzi</w:t>
      </w:r>
      <w:r w:rsidRPr="000309CC">
        <w:rPr>
          <w:rFonts w:ascii="Times New Roman" w:hAnsi="Times New Roman"/>
          <w:noProof/>
          <w:sz w:val="24"/>
        </w:rPr>
        <w:t>ałaniach społeczności międzynarodowej mających na celu wywarcie presji na Rosję, by zaprzestała niedopuszczalnej</w:t>
      </w:r>
      <w:r w:rsidR="000309CC" w:rsidRPr="000309CC">
        <w:rPr>
          <w:rFonts w:ascii="Times New Roman" w:hAnsi="Times New Roman"/>
          <w:noProof/>
          <w:sz w:val="24"/>
        </w:rPr>
        <w:t xml:space="preserve"> i spr</w:t>
      </w:r>
      <w:r w:rsidRPr="000309CC">
        <w:rPr>
          <w:rFonts w:ascii="Times New Roman" w:hAnsi="Times New Roman"/>
          <w:noProof/>
          <w:sz w:val="24"/>
        </w:rPr>
        <w:t>zecznej</w:t>
      </w:r>
      <w:r w:rsidR="000309CC" w:rsidRPr="000309CC">
        <w:rPr>
          <w:rFonts w:ascii="Times New Roman" w:hAnsi="Times New Roman"/>
          <w:noProof/>
          <w:sz w:val="24"/>
        </w:rPr>
        <w:t xml:space="preserve"> z pra</w:t>
      </w:r>
      <w:r w:rsidRPr="000309CC">
        <w:rPr>
          <w:rFonts w:ascii="Times New Roman" w:hAnsi="Times New Roman"/>
          <w:noProof/>
          <w:sz w:val="24"/>
        </w:rPr>
        <w:t>wem międzynarodowym agresji przeciwko państwu ukraińskiemu</w:t>
      </w:r>
      <w:r w:rsidR="000309CC" w:rsidRPr="000309CC">
        <w:rPr>
          <w:rFonts w:ascii="Times New Roman" w:hAnsi="Times New Roman"/>
          <w:noProof/>
          <w:sz w:val="24"/>
        </w:rPr>
        <w:t xml:space="preserve"> i cyw</w:t>
      </w:r>
      <w:r w:rsidRPr="000309CC">
        <w:rPr>
          <w:rFonts w:ascii="Times New Roman" w:hAnsi="Times New Roman"/>
          <w:noProof/>
          <w:sz w:val="24"/>
        </w:rPr>
        <w:t>ilom uwikłanym</w:t>
      </w:r>
      <w:r w:rsidR="000309CC" w:rsidRPr="000309CC">
        <w:rPr>
          <w:rFonts w:ascii="Times New Roman" w:hAnsi="Times New Roman"/>
          <w:noProof/>
          <w:sz w:val="24"/>
        </w:rPr>
        <w:t xml:space="preserve"> w kon</w:t>
      </w:r>
      <w:r w:rsidRPr="000309CC">
        <w:rPr>
          <w:rFonts w:ascii="Times New Roman" w:hAnsi="Times New Roman"/>
          <w:noProof/>
          <w:sz w:val="24"/>
        </w:rPr>
        <w:t>flikt. Presja ta obejmuje środki służące wyciągnięciu konsekwencji wobec sprawców,</w:t>
      </w:r>
      <w:r w:rsidR="000309CC" w:rsidRPr="000309CC">
        <w:rPr>
          <w:rFonts w:ascii="Times New Roman" w:hAnsi="Times New Roman"/>
          <w:noProof/>
          <w:sz w:val="24"/>
        </w:rPr>
        <w:t xml:space="preserve"> w tym</w:t>
      </w:r>
      <w:r w:rsidRPr="000309CC">
        <w:rPr>
          <w:rFonts w:ascii="Times New Roman" w:hAnsi="Times New Roman"/>
          <w:noProof/>
          <w:sz w:val="24"/>
        </w:rPr>
        <w:t xml:space="preserve"> dotkliwe sankcje, oraz działania umożliwiające wykrycie</w:t>
      </w:r>
      <w:r w:rsidR="000309CC" w:rsidRPr="000309CC">
        <w:rPr>
          <w:rFonts w:ascii="Times New Roman" w:hAnsi="Times New Roman"/>
          <w:noProof/>
          <w:sz w:val="24"/>
        </w:rPr>
        <w:t xml:space="preserve"> i uła</w:t>
      </w:r>
      <w:r w:rsidRPr="000309CC">
        <w:rPr>
          <w:rFonts w:ascii="Times New Roman" w:hAnsi="Times New Roman"/>
          <w:noProof/>
          <w:sz w:val="24"/>
        </w:rPr>
        <w:t>twienie ścigania zbrodni wojennych.</w:t>
      </w:r>
    </w:p>
    <w:p w14:paraId="1B3E2288" w14:textId="77777777" w:rsidR="0099171C" w:rsidRPr="000309CC" w:rsidRDefault="0099171C" w:rsidP="00474DA2">
      <w:pPr>
        <w:spacing w:after="0" w:line="240" w:lineRule="auto"/>
        <w:jc w:val="both"/>
        <w:rPr>
          <w:rFonts w:ascii="Times New Roman" w:hAnsi="Times New Roman" w:cs="Times New Roman"/>
          <w:bCs/>
          <w:noProof/>
          <w:sz w:val="24"/>
          <w:szCs w:val="24"/>
        </w:rPr>
      </w:pPr>
    </w:p>
    <w:p w14:paraId="39BF8390" w14:textId="6D659BB4" w:rsidR="0091064D" w:rsidRPr="000309CC" w:rsidRDefault="00DA0EB1" w:rsidP="0091064D">
      <w:pPr>
        <w:spacing w:after="0" w:line="240" w:lineRule="auto"/>
        <w:jc w:val="both"/>
        <w:rPr>
          <w:rFonts w:ascii="Times New Roman" w:hAnsi="Times New Roman" w:cs="Times New Roman"/>
          <w:bCs/>
          <w:i/>
          <w:noProof/>
          <w:sz w:val="24"/>
          <w:szCs w:val="24"/>
        </w:rPr>
      </w:pPr>
      <w:r w:rsidRPr="000309CC">
        <w:rPr>
          <w:rFonts w:ascii="Times New Roman" w:hAnsi="Times New Roman"/>
          <w:i/>
          <w:noProof/>
          <w:sz w:val="24"/>
        </w:rPr>
        <w:t>Środki ograniczające</w:t>
      </w:r>
      <w:r w:rsidR="000309CC" w:rsidRPr="000309CC">
        <w:rPr>
          <w:rFonts w:ascii="Times New Roman" w:hAnsi="Times New Roman"/>
          <w:i/>
          <w:noProof/>
          <w:sz w:val="24"/>
        </w:rPr>
        <w:t xml:space="preserve"> i kon</w:t>
      </w:r>
      <w:r w:rsidRPr="000309CC">
        <w:rPr>
          <w:rFonts w:ascii="Times New Roman" w:hAnsi="Times New Roman"/>
          <w:i/>
          <w:noProof/>
          <w:sz w:val="24"/>
        </w:rPr>
        <w:t>fiskata</w:t>
      </w:r>
    </w:p>
    <w:p w14:paraId="03270215" w14:textId="77777777" w:rsidR="0099171C" w:rsidRPr="000309CC" w:rsidRDefault="0099171C" w:rsidP="0091064D">
      <w:pPr>
        <w:spacing w:after="0" w:line="240" w:lineRule="auto"/>
        <w:jc w:val="both"/>
        <w:rPr>
          <w:rFonts w:ascii="Times New Roman" w:hAnsi="Times New Roman" w:cs="Times New Roman"/>
          <w:bCs/>
          <w:i/>
          <w:noProof/>
          <w:sz w:val="24"/>
          <w:szCs w:val="24"/>
        </w:rPr>
      </w:pPr>
    </w:p>
    <w:p w14:paraId="0A87A025" w14:textId="5F3C7636" w:rsidR="003840C9" w:rsidRPr="000309CC" w:rsidRDefault="007C6F31" w:rsidP="006A3083">
      <w:pPr>
        <w:spacing w:line="240" w:lineRule="auto"/>
        <w:jc w:val="both"/>
        <w:rPr>
          <w:rFonts w:ascii="Times New Roman" w:hAnsi="Times New Roman" w:cs="Times New Roman"/>
          <w:noProof/>
          <w:color w:val="FFFF00"/>
          <w:sz w:val="24"/>
          <w:szCs w:val="24"/>
        </w:rPr>
      </w:pPr>
      <w:r w:rsidRPr="000309CC">
        <w:rPr>
          <w:rFonts w:ascii="Times New Roman" w:hAnsi="Times New Roman"/>
          <w:noProof/>
          <w:sz w:val="24"/>
        </w:rPr>
        <w:t>Po uznaniu przez Rosję 21 lutego 2022</w:t>
      </w:r>
      <w:r w:rsidR="000309CC" w:rsidRPr="000309CC">
        <w:rPr>
          <w:rFonts w:ascii="Times New Roman" w:hAnsi="Times New Roman"/>
          <w:noProof/>
          <w:sz w:val="24"/>
        </w:rPr>
        <w:t> </w:t>
      </w:r>
      <w:r w:rsidRPr="000309CC">
        <w:rPr>
          <w:rFonts w:ascii="Times New Roman" w:hAnsi="Times New Roman"/>
          <w:noProof/>
          <w:sz w:val="24"/>
        </w:rPr>
        <w:t>r. niekontrolowanych przez rząd obszarów</w:t>
      </w:r>
      <w:r w:rsidR="000309CC" w:rsidRPr="000309CC">
        <w:rPr>
          <w:rFonts w:ascii="Times New Roman" w:hAnsi="Times New Roman"/>
          <w:noProof/>
          <w:sz w:val="24"/>
        </w:rPr>
        <w:t xml:space="preserve"> w obw</w:t>
      </w:r>
      <w:r w:rsidRPr="000309CC">
        <w:rPr>
          <w:rFonts w:ascii="Times New Roman" w:hAnsi="Times New Roman"/>
          <w:noProof/>
          <w:sz w:val="24"/>
        </w:rPr>
        <w:t>odzie donieckim</w:t>
      </w:r>
      <w:r w:rsidR="000309CC" w:rsidRPr="000309CC">
        <w:rPr>
          <w:rFonts w:ascii="Times New Roman" w:hAnsi="Times New Roman"/>
          <w:noProof/>
          <w:sz w:val="24"/>
        </w:rPr>
        <w:t xml:space="preserve"> i ług</w:t>
      </w:r>
      <w:r w:rsidRPr="000309CC">
        <w:rPr>
          <w:rFonts w:ascii="Times New Roman" w:hAnsi="Times New Roman"/>
          <w:noProof/>
          <w:sz w:val="24"/>
        </w:rPr>
        <w:t>ańskim</w:t>
      </w:r>
      <w:r w:rsidR="000309CC" w:rsidRPr="000309CC">
        <w:rPr>
          <w:rFonts w:ascii="Times New Roman" w:hAnsi="Times New Roman"/>
          <w:noProof/>
          <w:sz w:val="24"/>
        </w:rPr>
        <w:t xml:space="preserve"> w Ukr</w:t>
      </w:r>
      <w:r w:rsidRPr="000309CC">
        <w:rPr>
          <w:rFonts w:ascii="Times New Roman" w:hAnsi="Times New Roman"/>
          <w:noProof/>
          <w:sz w:val="24"/>
        </w:rPr>
        <w:t>ainie oraz inwazji na Ukrainę 24 lutego 2022</w:t>
      </w:r>
      <w:r w:rsidR="000309CC" w:rsidRPr="000309CC">
        <w:rPr>
          <w:rFonts w:ascii="Times New Roman" w:hAnsi="Times New Roman"/>
          <w:noProof/>
          <w:sz w:val="24"/>
        </w:rPr>
        <w:t> </w:t>
      </w:r>
      <w:r w:rsidRPr="000309CC">
        <w:rPr>
          <w:rFonts w:ascii="Times New Roman" w:hAnsi="Times New Roman"/>
          <w:noProof/>
          <w:sz w:val="24"/>
        </w:rPr>
        <w:t>r. UE nałożyła największą</w:t>
      </w:r>
      <w:r w:rsidR="000309CC" w:rsidRPr="000309CC">
        <w:rPr>
          <w:rFonts w:ascii="Times New Roman" w:hAnsi="Times New Roman"/>
          <w:noProof/>
          <w:sz w:val="24"/>
        </w:rPr>
        <w:t xml:space="preserve"> w his</w:t>
      </w:r>
      <w:r w:rsidRPr="000309CC">
        <w:rPr>
          <w:rFonts w:ascii="Times New Roman" w:hAnsi="Times New Roman"/>
          <w:noProof/>
          <w:sz w:val="24"/>
        </w:rPr>
        <w:t>torii serię środków ograniczających na Rosję. Dotychczas przyjęto pięć pakietów sankcji. Środki te koncentrują się na najważniejszych sektorach,</w:t>
      </w:r>
      <w:r w:rsidR="000309CC" w:rsidRPr="000309CC">
        <w:rPr>
          <w:rFonts w:ascii="Times New Roman" w:hAnsi="Times New Roman"/>
          <w:noProof/>
          <w:sz w:val="24"/>
        </w:rPr>
        <w:t xml:space="preserve"> w tym</w:t>
      </w:r>
      <w:r w:rsidRPr="000309CC">
        <w:rPr>
          <w:rFonts w:ascii="Times New Roman" w:hAnsi="Times New Roman"/>
          <w:noProof/>
          <w:sz w:val="24"/>
        </w:rPr>
        <w:t xml:space="preserve"> na sektorze finansów, handlu, transportu, obrony</w:t>
      </w:r>
      <w:r w:rsidR="000309CC" w:rsidRPr="000309CC">
        <w:rPr>
          <w:rFonts w:ascii="Times New Roman" w:hAnsi="Times New Roman"/>
          <w:noProof/>
          <w:sz w:val="24"/>
        </w:rPr>
        <w:t xml:space="preserve"> i med</w:t>
      </w:r>
      <w:r w:rsidRPr="000309CC">
        <w:rPr>
          <w:rFonts w:ascii="Times New Roman" w:hAnsi="Times New Roman"/>
          <w:noProof/>
          <w:sz w:val="24"/>
        </w:rPr>
        <w:t>iów, i są wymierzone</w:t>
      </w:r>
      <w:r w:rsidR="000309CC" w:rsidRPr="000309CC">
        <w:rPr>
          <w:rFonts w:ascii="Times New Roman" w:hAnsi="Times New Roman"/>
          <w:noProof/>
          <w:sz w:val="24"/>
        </w:rPr>
        <w:t xml:space="preserve"> w eli</w:t>
      </w:r>
      <w:r w:rsidRPr="000309CC">
        <w:rPr>
          <w:rFonts w:ascii="Times New Roman" w:hAnsi="Times New Roman"/>
          <w:noProof/>
          <w:sz w:val="24"/>
        </w:rPr>
        <w:t>ty polityczne</w:t>
      </w:r>
      <w:r w:rsidR="000309CC" w:rsidRPr="000309CC">
        <w:rPr>
          <w:rFonts w:ascii="Times New Roman" w:hAnsi="Times New Roman"/>
          <w:noProof/>
          <w:sz w:val="24"/>
        </w:rPr>
        <w:t xml:space="preserve"> i woj</w:t>
      </w:r>
      <w:r w:rsidRPr="000309CC">
        <w:rPr>
          <w:rFonts w:ascii="Times New Roman" w:hAnsi="Times New Roman"/>
          <w:noProof/>
          <w:sz w:val="24"/>
        </w:rPr>
        <w:t>skowe,</w:t>
      </w:r>
      <w:r w:rsidR="000309CC" w:rsidRPr="000309CC">
        <w:rPr>
          <w:rFonts w:ascii="Times New Roman" w:hAnsi="Times New Roman"/>
          <w:noProof/>
          <w:sz w:val="24"/>
        </w:rPr>
        <w:t xml:space="preserve"> a tak</w:t>
      </w:r>
      <w:r w:rsidRPr="000309CC">
        <w:rPr>
          <w:rFonts w:ascii="Times New Roman" w:hAnsi="Times New Roman"/>
          <w:noProof/>
          <w:sz w:val="24"/>
        </w:rPr>
        <w:t>że znaczących rosyjskich</w:t>
      </w:r>
      <w:r w:rsidR="000309CC" w:rsidRPr="000309CC">
        <w:rPr>
          <w:rFonts w:ascii="Times New Roman" w:hAnsi="Times New Roman"/>
          <w:noProof/>
          <w:sz w:val="24"/>
        </w:rPr>
        <w:t xml:space="preserve"> i bia</w:t>
      </w:r>
      <w:r w:rsidRPr="000309CC">
        <w:rPr>
          <w:rFonts w:ascii="Times New Roman" w:hAnsi="Times New Roman"/>
          <w:noProof/>
          <w:sz w:val="24"/>
        </w:rPr>
        <w:t>łoruskich oligarchów. Na liście znajduje się już ponad 1 000 osób fizycznych</w:t>
      </w:r>
      <w:r w:rsidR="000309CC" w:rsidRPr="000309CC">
        <w:rPr>
          <w:rFonts w:ascii="Times New Roman" w:hAnsi="Times New Roman"/>
          <w:noProof/>
          <w:sz w:val="24"/>
        </w:rPr>
        <w:t xml:space="preserve"> i 8</w:t>
      </w:r>
      <w:r w:rsidRPr="000309CC">
        <w:rPr>
          <w:rFonts w:ascii="Times New Roman" w:hAnsi="Times New Roman"/>
          <w:noProof/>
          <w:sz w:val="24"/>
        </w:rPr>
        <w:t>0 podmiotów. W Radzie toczą się dyskusje nad szóstym pakietem sankcji.</w:t>
      </w:r>
    </w:p>
    <w:p w14:paraId="10176DFC" w14:textId="49968117" w:rsidR="004C21A8" w:rsidRPr="000309CC" w:rsidRDefault="005F0F78" w:rsidP="006A3083">
      <w:pPr>
        <w:spacing w:line="240" w:lineRule="auto"/>
        <w:jc w:val="both"/>
        <w:rPr>
          <w:rFonts w:ascii="Times New Roman" w:hAnsi="Times New Roman" w:cs="Times New Roman"/>
          <w:bCs/>
          <w:noProof/>
          <w:sz w:val="24"/>
          <w:szCs w:val="24"/>
        </w:rPr>
      </w:pPr>
      <w:r w:rsidRPr="000309CC">
        <w:rPr>
          <w:rFonts w:ascii="Times New Roman" w:hAnsi="Times New Roman"/>
          <w:noProof/>
          <w:sz w:val="24"/>
        </w:rPr>
        <w:t>Wpływ tych</w:t>
      </w:r>
      <w:r w:rsidR="000309CC" w:rsidRPr="000309CC">
        <w:rPr>
          <w:rFonts w:ascii="Times New Roman" w:hAnsi="Times New Roman"/>
          <w:noProof/>
          <w:sz w:val="24"/>
        </w:rPr>
        <w:t xml:space="preserve"> i wcz</w:t>
      </w:r>
      <w:r w:rsidRPr="000309CC">
        <w:rPr>
          <w:rFonts w:ascii="Times New Roman" w:hAnsi="Times New Roman"/>
          <w:noProof/>
          <w:sz w:val="24"/>
        </w:rPr>
        <w:t>eśniejszych środków ograniczających przeciwko osobom fizycznym</w:t>
      </w:r>
      <w:r w:rsidR="000309CC" w:rsidRPr="000309CC">
        <w:rPr>
          <w:rFonts w:ascii="Times New Roman" w:hAnsi="Times New Roman"/>
          <w:noProof/>
          <w:sz w:val="24"/>
        </w:rPr>
        <w:t xml:space="preserve"> i prz</w:t>
      </w:r>
      <w:r w:rsidRPr="000309CC">
        <w:rPr>
          <w:rFonts w:ascii="Times New Roman" w:hAnsi="Times New Roman"/>
          <w:noProof/>
          <w:sz w:val="24"/>
        </w:rPr>
        <w:t>edsiębiorstwom rosyjskim</w:t>
      </w:r>
      <w:r w:rsidR="000309CC" w:rsidRPr="000309CC">
        <w:rPr>
          <w:rFonts w:ascii="Times New Roman" w:hAnsi="Times New Roman"/>
          <w:noProof/>
          <w:sz w:val="24"/>
        </w:rPr>
        <w:t xml:space="preserve"> i bia</w:t>
      </w:r>
      <w:r w:rsidRPr="000309CC">
        <w:rPr>
          <w:rFonts w:ascii="Times New Roman" w:hAnsi="Times New Roman"/>
          <w:noProof/>
          <w:sz w:val="24"/>
        </w:rPr>
        <w:t>łoruskim będzie tak silny, jak silne będzie ich egzekwowanie. Koordynacja UE może</w:t>
      </w:r>
      <w:r w:rsidR="000309CC" w:rsidRPr="000309CC">
        <w:rPr>
          <w:rFonts w:ascii="Times New Roman" w:hAnsi="Times New Roman"/>
          <w:noProof/>
          <w:sz w:val="24"/>
        </w:rPr>
        <w:t xml:space="preserve"> w zna</w:t>
      </w:r>
      <w:r w:rsidRPr="000309CC">
        <w:rPr>
          <w:rFonts w:ascii="Times New Roman" w:hAnsi="Times New Roman"/>
          <w:noProof/>
          <w:sz w:val="24"/>
        </w:rPr>
        <w:t>cznym stopniu przyczynić się do zniwelowania potencjalnych luk,</w:t>
      </w:r>
      <w:r w:rsidR="000309CC" w:rsidRPr="000309CC">
        <w:rPr>
          <w:rFonts w:ascii="Times New Roman" w:hAnsi="Times New Roman"/>
          <w:noProof/>
          <w:sz w:val="24"/>
        </w:rPr>
        <w:t xml:space="preserve"> a Kom</w:t>
      </w:r>
      <w:r w:rsidRPr="000309CC">
        <w:rPr>
          <w:rFonts w:ascii="Times New Roman" w:hAnsi="Times New Roman"/>
          <w:noProof/>
          <w:sz w:val="24"/>
        </w:rPr>
        <w:t>isja udziela zainteresowanym stronom wszechstronnego wsparcia</w:t>
      </w:r>
      <w:r w:rsidR="000309CC" w:rsidRPr="000309CC">
        <w:rPr>
          <w:rFonts w:ascii="Times New Roman" w:hAnsi="Times New Roman"/>
          <w:noProof/>
          <w:sz w:val="24"/>
        </w:rPr>
        <w:t xml:space="preserve"> w pos</w:t>
      </w:r>
      <w:r w:rsidRPr="000309CC">
        <w:rPr>
          <w:rFonts w:ascii="Times New Roman" w:hAnsi="Times New Roman"/>
          <w:noProof/>
          <w:sz w:val="24"/>
        </w:rPr>
        <w:t>taci pisemnych wytycznych, spotkań zainteresowanych stron</w:t>
      </w:r>
      <w:r w:rsidR="000309CC" w:rsidRPr="000309CC">
        <w:rPr>
          <w:rFonts w:ascii="Times New Roman" w:hAnsi="Times New Roman"/>
          <w:noProof/>
          <w:sz w:val="24"/>
        </w:rPr>
        <w:t xml:space="preserve"> i spe</w:t>
      </w:r>
      <w:r w:rsidRPr="000309CC">
        <w:rPr>
          <w:rFonts w:ascii="Times New Roman" w:hAnsi="Times New Roman"/>
          <w:noProof/>
          <w:sz w:val="24"/>
        </w:rPr>
        <w:t>cjalnej grupy ekspertów oraz szeregu zasobów ułatwiających zachowanie zgodności.</w:t>
      </w:r>
      <w:r w:rsidR="000309CC" w:rsidRPr="000309CC">
        <w:rPr>
          <w:rFonts w:ascii="Times New Roman" w:hAnsi="Times New Roman"/>
          <w:noProof/>
          <w:sz w:val="24"/>
        </w:rPr>
        <w:t xml:space="preserve"> </w:t>
      </w:r>
    </w:p>
    <w:p w14:paraId="6DE30C0A" w14:textId="38E6A641" w:rsidR="00474DA2" w:rsidRPr="000309CC" w:rsidRDefault="00E56289" w:rsidP="009E6545">
      <w:pPr>
        <w:spacing w:line="240" w:lineRule="auto"/>
        <w:jc w:val="both"/>
        <w:rPr>
          <w:rFonts w:ascii="Times New Roman" w:hAnsi="Times New Roman" w:cs="Times New Roman"/>
          <w:bCs/>
          <w:noProof/>
          <w:sz w:val="24"/>
          <w:szCs w:val="24"/>
        </w:rPr>
      </w:pPr>
      <w:r w:rsidRPr="000309CC">
        <w:rPr>
          <w:rFonts w:ascii="Times New Roman" w:hAnsi="Times New Roman"/>
          <w:noProof/>
          <w:sz w:val="24"/>
        </w:rPr>
        <w:t>Ponadto Komisja utworzyła grupę zadaniową „Freeze and Seize”, do której należą służby Komisji, państwa członkowskie, Eurojust</w:t>
      </w:r>
      <w:r w:rsidR="000309CC" w:rsidRPr="000309CC">
        <w:rPr>
          <w:rFonts w:ascii="Times New Roman" w:hAnsi="Times New Roman"/>
          <w:noProof/>
          <w:sz w:val="24"/>
        </w:rPr>
        <w:t xml:space="preserve"> i Eur</w:t>
      </w:r>
      <w:r w:rsidRPr="000309CC">
        <w:rPr>
          <w:rFonts w:ascii="Times New Roman" w:hAnsi="Times New Roman"/>
          <w:noProof/>
          <w:sz w:val="24"/>
        </w:rPr>
        <w:t>opol. Jak dotąd państwa członkowskie zgłosiły, że zamroziły aktywa</w:t>
      </w:r>
      <w:r w:rsidR="000309CC" w:rsidRPr="000309CC">
        <w:rPr>
          <w:rFonts w:ascii="Times New Roman" w:hAnsi="Times New Roman"/>
          <w:noProof/>
          <w:sz w:val="24"/>
        </w:rPr>
        <w:t xml:space="preserve"> o war</w:t>
      </w:r>
      <w:r w:rsidRPr="000309CC">
        <w:rPr>
          <w:rFonts w:ascii="Times New Roman" w:hAnsi="Times New Roman"/>
          <w:noProof/>
          <w:sz w:val="24"/>
        </w:rPr>
        <w:t>tości 9,89 mld EUR</w:t>
      </w:r>
      <w:r w:rsidR="004F62A1" w:rsidRPr="000309CC">
        <w:rPr>
          <w:rStyle w:val="FootnoteReference"/>
          <w:rFonts w:ascii="Times New Roman" w:hAnsi="Times New Roman" w:cs="Times New Roman"/>
          <w:bCs/>
          <w:noProof/>
          <w:sz w:val="24"/>
          <w:szCs w:val="24"/>
        </w:rPr>
        <w:footnoteReference w:id="41"/>
      </w:r>
      <w:r w:rsidRPr="000309CC">
        <w:rPr>
          <w:rFonts w:ascii="Times New Roman" w:hAnsi="Times New Roman"/>
          <w:noProof/>
          <w:sz w:val="24"/>
        </w:rPr>
        <w:t>. 11 kwietnia Europol, wspólnie</w:t>
      </w:r>
      <w:r w:rsidR="000309CC" w:rsidRPr="000309CC">
        <w:rPr>
          <w:rFonts w:ascii="Times New Roman" w:hAnsi="Times New Roman"/>
          <w:noProof/>
          <w:sz w:val="24"/>
        </w:rPr>
        <w:t xml:space="preserve"> z pań</w:t>
      </w:r>
      <w:r w:rsidRPr="000309CC">
        <w:rPr>
          <w:rFonts w:ascii="Times New Roman" w:hAnsi="Times New Roman"/>
          <w:noProof/>
          <w:sz w:val="24"/>
        </w:rPr>
        <w:t>stwami członkowskimi, Eurojustem</w:t>
      </w:r>
      <w:r w:rsidR="000309CC" w:rsidRPr="000309CC">
        <w:rPr>
          <w:rFonts w:ascii="Times New Roman" w:hAnsi="Times New Roman"/>
          <w:noProof/>
          <w:sz w:val="24"/>
        </w:rPr>
        <w:t xml:space="preserve"> i Fro</w:t>
      </w:r>
      <w:r w:rsidRPr="000309CC">
        <w:rPr>
          <w:rFonts w:ascii="Times New Roman" w:hAnsi="Times New Roman"/>
          <w:noProof/>
          <w:sz w:val="24"/>
        </w:rPr>
        <w:t>nteksem, rozpoczął operację „Oscar” mającą na celu wsparcie prowadzenia dochodzeń finansowych</w:t>
      </w:r>
      <w:r w:rsidR="000309CC" w:rsidRPr="000309CC">
        <w:rPr>
          <w:rFonts w:ascii="Times New Roman" w:hAnsi="Times New Roman"/>
          <w:noProof/>
          <w:sz w:val="24"/>
        </w:rPr>
        <w:t xml:space="preserve"> i pos</w:t>
      </w:r>
      <w:r w:rsidRPr="000309CC">
        <w:rPr>
          <w:rFonts w:ascii="Times New Roman" w:hAnsi="Times New Roman"/>
          <w:noProof/>
          <w:sz w:val="24"/>
        </w:rPr>
        <w:t>tępowań przygotowawczych dotyczących mienia pochodzącego</w:t>
      </w:r>
      <w:r w:rsidR="000309CC" w:rsidRPr="000309CC">
        <w:rPr>
          <w:rFonts w:ascii="Times New Roman" w:hAnsi="Times New Roman"/>
          <w:noProof/>
          <w:sz w:val="24"/>
        </w:rPr>
        <w:t xml:space="preserve"> z prz</w:t>
      </w:r>
      <w:r w:rsidRPr="000309CC">
        <w:rPr>
          <w:rFonts w:ascii="Times New Roman" w:hAnsi="Times New Roman"/>
          <w:noProof/>
          <w:sz w:val="24"/>
        </w:rPr>
        <w:t>estępstwa należącego do osób fizycznych</w:t>
      </w:r>
      <w:r w:rsidR="000309CC" w:rsidRPr="000309CC">
        <w:rPr>
          <w:rFonts w:ascii="Times New Roman" w:hAnsi="Times New Roman"/>
          <w:noProof/>
          <w:sz w:val="24"/>
        </w:rPr>
        <w:t xml:space="preserve"> i pra</w:t>
      </w:r>
      <w:r w:rsidRPr="000309CC">
        <w:rPr>
          <w:rFonts w:ascii="Times New Roman" w:hAnsi="Times New Roman"/>
          <w:noProof/>
          <w:sz w:val="24"/>
        </w:rPr>
        <w:t>wnych objętych sankcjami UE</w:t>
      </w:r>
      <w:r w:rsidR="000309CC" w:rsidRPr="000309CC">
        <w:rPr>
          <w:rFonts w:ascii="Times New Roman" w:hAnsi="Times New Roman"/>
          <w:noProof/>
          <w:sz w:val="24"/>
        </w:rPr>
        <w:t xml:space="preserve"> w zwi</w:t>
      </w:r>
      <w:r w:rsidRPr="000309CC">
        <w:rPr>
          <w:rFonts w:ascii="Times New Roman" w:hAnsi="Times New Roman"/>
          <w:noProof/>
          <w:sz w:val="24"/>
        </w:rPr>
        <w:t>ązku</w:t>
      </w:r>
      <w:r w:rsidR="000309CC" w:rsidRPr="000309CC">
        <w:rPr>
          <w:rFonts w:ascii="Times New Roman" w:hAnsi="Times New Roman"/>
          <w:noProof/>
          <w:sz w:val="24"/>
        </w:rPr>
        <w:t xml:space="preserve"> z woj</w:t>
      </w:r>
      <w:r w:rsidRPr="000309CC">
        <w:rPr>
          <w:rFonts w:ascii="Times New Roman" w:hAnsi="Times New Roman"/>
          <w:noProof/>
          <w:sz w:val="24"/>
        </w:rPr>
        <w:t>ną Rosji przeciwko Ukrainie. Unijna grupa zadaniowa „Freeze and Seize” ściśle współpracuje</w:t>
      </w:r>
      <w:r w:rsidR="000309CC" w:rsidRPr="000309CC">
        <w:rPr>
          <w:rFonts w:ascii="Times New Roman" w:hAnsi="Times New Roman"/>
          <w:noProof/>
          <w:sz w:val="24"/>
        </w:rPr>
        <w:t xml:space="preserve"> z Gru</w:t>
      </w:r>
      <w:r w:rsidRPr="000309CC">
        <w:rPr>
          <w:rFonts w:ascii="Times New Roman" w:hAnsi="Times New Roman"/>
          <w:noProof/>
          <w:sz w:val="24"/>
        </w:rPr>
        <w:t>pą Zadaniową ds. Rosyjskich Elit, Pełnomocników</w:t>
      </w:r>
      <w:r w:rsidR="000309CC" w:rsidRPr="000309CC">
        <w:rPr>
          <w:rFonts w:ascii="Times New Roman" w:hAnsi="Times New Roman"/>
          <w:noProof/>
          <w:sz w:val="24"/>
        </w:rPr>
        <w:t xml:space="preserve"> i Oli</w:t>
      </w:r>
      <w:r w:rsidRPr="000309CC">
        <w:rPr>
          <w:rFonts w:ascii="Times New Roman" w:hAnsi="Times New Roman"/>
          <w:noProof/>
          <w:sz w:val="24"/>
        </w:rPr>
        <w:t>garchów (grupą zadaniową REPO), utworzoną przez państwa grupy G7 (Kanadę, Francję, Niemcy, Włochy, Japonię, Zjednoczone Królestwo, Stany Zjednoczone) oraz partnerów</w:t>
      </w:r>
      <w:r w:rsidR="000309CC" w:rsidRPr="000309CC">
        <w:rPr>
          <w:rFonts w:ascii="Times New Roman" w:hAnsi="Times New Roman"/>
          <w:noProof/>
          <w:sz w:val="24"/>
        </w:rPr>
        <w:t xml:space="preserve"> o pod</w:t>
      </w:r>
      <w:r w:rsidRPr="000309CC">
        <w:rPr>
          <w:rFonts w:ascii="Times New Roman" w:hAnsi="Times New Roman"/>
          <w:noProof/>
          <w:sz w:val="24"/>
        </w:rPr>
        <w:t>obnych poglądach, takich jak Australia,</w:t>
      </w:r>
      <w:r w:rsidR="000309CC" w:rsidRPr="000309CC">
        <w:rPr>
          <w:rFonts w:ascii="Times New Roman" w:hAnsi="Times New Roman"/>
          <w:noProof/>
          <w:sz w:val="24"/>
        </w:rPr>
        <w:t xml:space="preserve"> a tak</w:t>
      </w:r>
      <w:r w:rsidRPr="000309CC">
        <w:rPr>
          <w:rFonts w:ascii="Times New Roman" w:hAnsi="Times New Roman"/>
          <w:noProof/>
          <w:sz w:val="24"/>
        </w:rPr>
        <w:t>że</w:t>
      </w:r>
      <w:r w:rsidR="000309CC" w:rsidRPr="000309CC">
        <w:rPr>
          <w:rFonts w:ascii="Times New Roman" w:hAnsi="Times New Roman"/>
          <w:noProof/>
          <w:sz w:val="24"/>
        </w:rPr>
        <w:t xml:space="preserve"> z gru</w:t>
      </w:r>
      <w:r w:rsidRPr="000309CC">
        <w:rPr>
          <w:rFonts w:ascii="Times New Roman" w:hAnsi="Times New Roman"/>
          <w:noProof/>
          <w:sz w:val="24"/>
        </w:rPr>
        <w:t>pą zadaniową KleptoCapture z USA</w:t>
      </w:r>
      <w:r w:rsidR="000309CC" w:rsidRPr="000309CC">
        <w:rPr>
          <w:rFonts w:ascii="Times New Roman" w:hAnsi="Times New Roman"/>
          <w:noProof/>
          <w:sz w:val="24"/>
        </w:rPr>
        <w:t xml:space="preserve"> i z ukr</w:t>
      </w:r>
      <w:r w:rsidRPr="000309CC">
        <w:rPr>
          <w:rFonts w:ascii="Times New Roman" w:hAnsi="Times New Roman"/>
          <w:noProof/>
          <w:sz w:val="24"/>
        </w:rPr>
        <w:t xml:space="preserve">aińską grupą zadaniową. </w:t>
      </w:r>
    </w:p>
    <w:p w14:paraId="3A51D2BB" w14:textId="20F46B81" w:rsidR="00BC2205" w:rsidRPr="000309CC" w:rsidRDefault="00474DA2" w:rsidP="000A4DDB">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Grupa zadaniowa „Freeze and Seize” służy jako platforma koordynująca</w:t>
      </w:r>
      <w:r w:rsidR="000309CC" w:rsidRPr="000309CC">
        <w:rPr>
          <w:rFonts w:ascii="Times New Roman" w:hAnsi="Times New Roman"/>
          <w:noProof/>
          <w:sz w:val="24"/>
        </w:rPr>
        <w:t xml:space="preserve"> i uła</w:t>
      </w:r>
      <w:r w:rsidRPr="000309CC">
        <w:rPr>
          <w:rFonts w:ascii="Times New Roman" w:hAnsi="Times New Roman"/>
          <w:noProof/>
          <w:sz w:val="24"/>
        </w:rPr>
        <w:t>twiająca wymianę informacji</w:t>
      </w:r>
      <w:r w:rsidR="000309CC" w:rsidRPr="000309CC">
        <w:rPr>
          <w:rFonts w:ascii="Times New Roman" w:hAnsi="Times New Roman"/>
          <w:noProof/>
          <w:sz w:val="24"/>
        </w:rPr>
        <w:t xml:space="preserve"> i doś</w:t>
      </w:r>
      <w:r w:rsidRPr="000309CC">
        <w:rPr>
          <w:rFonts w:ascii="Times New Roman" w:hAnsi="Times New Roman"/>
          <w:noProof/>
          <w:sz w:val="24"/>
        </w:rPr>
        <w:t>wiadczeń między państwami członkowskimi oraz dostarczająca wytycznych dotyczących wdrażania sankcji,</w:t>
      </w:r>
      <w:r w:rsidR="000309CC" w:rsidRPr="000309CC">
        <w:rPr>
          <w:rFonts w:ascii="Times New Roman" w:hAnsi="Times New Roman"/>
          <w:noProof/>
          <w:sz w:val="24"/>
        </w:rPr>
        <w:t xml:space="preserve"> a tak</w:t>
      </w:r>
      <w:r w:rsidRPr="000309CC">
        <w:rPr>
          <w:rFonts w:ascii="Times New Roman" w:hAnsi="Times New Roman"/>
          <w:noProof/>
          <w:sz w:val="24"/>
        </w:rPr>
        <w:t>że usprawniająca wymianę najlepszych praktyk</w:t>
      </w:r>
      <w:r w:rsidR="000309CC" w:rsidRPr="000309CC">
        <w:rPr>
          <w:rFonts w:ascii="Times New Roman" w:hAnsi="Times New Roman"/>
          <w:noProof/>
          <w:sz w:val="24"/>
        </w:rPr>
        <w:t xml:space="preserve"> w zak</w:t>
      </w:r>
      <w:r w:rsidRPr="000309CC">
        <w:rPr>
          <w:rFonts w:ascii="Times New Roman" w:hAnsi="Times New Roman"/>
          <w:noProof/>
          <w:sz w:val="24"/>
        </w:rPr>
        <w:t>resie postępowań przygotowawczych</w:t>
      </w:r>
      <w:r w:rsidR="000309CC" w:rsidRPr="000309CC">
        <w:rPr>
          <w:rFonts w:ascii="Times New Roman" w:hAnsi="Times New Roman"/>
          <w:noProof/>
          <w:sz w:val="24"/>
        </w:rPr>
        <w:t xml:space="preserve"> i kon</w:t>
      </w:r>
      <w:r w:rsidRPr="000309CC">
        <w:rPr>
          <w:rFonts w:ascii="Times New Roman" w:hAnsi="Times New Roman"/>
          <w:noProof/>
          <w:sz w:val="24"/>
        </w:rPr>
        <w:t>fiskaty</w:t>
      </w:r>
      <w:r w:rsidR="000309CC" w:rsidRPr="000309CC">
        <w:rPr>
          <w:rFonts w:ascii="Times New Roman" w:hAnsi="Times New Roman"/>
          <w:noProof/>
          <w:sz w:val="24"/>
        </w:rPr>
        <w:t>. W szc</w:t>
      </w:r>
      <w:r w:rsidRPr="000309CC">
        <w:rPr>
          <w:rFonts w:ascii="Times New Roman" w:hAnsi="Times New Roman"/>
          <w:noProof/>
          <w:sz w:val="24"/>
        </w:rPr>
        <w:t>zególności istotne jest, aby organy ścigania były czujne</w:t>
      </w:r>
      <w:r w:rsidR="000309CC" w:rsidRPr="000309CC">
        <w:rPr>
          <w:rFonts w:ascii="Times New Roman" w:hAnsi="Times New Roman"/>
          <w:noProof/>
          <w:sz w:val="24"/>
        </w:rPr>
        <w:t xml:space="preserve"> i akt</w:t>
      </w:r>
      <w:r w:rsidRPr="000309CC">
        <w:rPr>
          <w:rFonts w:ascii="Times New Roman" w:hAnsi="Times New Roman"/>
          <w:noProof/>
          <w:sz w:val="24"/>
        </w:rPr>
        <w:t>ywne</w:t>
      </w:r>
      <w:r w:rsidR="000309CC" w:rsidRPr="000309CC">
        <w:rPr>
          <w:rFonts w:ascii="Times New Roman" w:hAnsi="Times New Roman"/>
          <w:noProof/>
          <w:sz w:val="24"/>
        </w:rPr>
        <w:t xml:space="preserve"> w odn</w:t>
      </w:r>
      <w:r w:rsidRPr="000309CC">
        <w:rPr>
          <w:rFonts w:ascii="Times New Roman" w:hAnsi="Times New Roman"/>
          <w:noProof/>
          <w:sz w:val="24"/>
        </w:rPr>
        <w:t>iesieniu do potencjalnych przestępstw popełnianych przez osoby fizyczne</w:t>
      </w:r>
      <w:r w:rsidR="000309CC" w:rsidRPr="000309CC">
        <w:rPr>
          <w:rFonts w:ascii="Times New Roman" w:hAnsi="Times New Roman"/>
          <w:noProof/>
          <w:sz w:val="24"/>
        </w:rPr>
        <w:t xml:space="preserve"> i pod</w:t>
      </w:r>
      <w:r w:rsidRPr="000309CC">
        <w:rPr>
          <w:rFonts w:ascii="Times New Roman" w:hAnsi="Times New Roman"/>
          <w:noProof/>
          <w:sz w:val="24"/>
        </w:rPr>
        <w:t>mioty objęte sankcjami. Grupa zadaniowa ma również na celu przyspieszenie dyskusji na temat możliwości wykorzystania skonfiskowanych środków, na przykład jako wkładu</w:t>
      </w:r>
      <w:r w:rsidR="000309CC" w:rsidRPr="000309CC">
        <w:rPr>
          <w:rFonts w:ascii="Times New Roman" w:hAnsi="Times New Roman"/>
          <w:noProof/>
          <w:sz w:val="24"/>
        </w:rPr>
        <w:t xml:space="preserve"> w odb</w:t>
      </w:r>
      <w:r w:rsidRPr="000309CC">
        <w:rPr>
          <w:rFonts w:ascii="Times New Roman" w:hAnsi="Times New Roman"/>
          <w:noProof/>
          <w:sz w:val="24"/>
        </w:rPr>
        <w:t xml:space="preserve">udowę Ukrainy. </w:t>
      </w:r>
    </w:p>
    <w:p w14:paraId="700E3229" w14:textId="77777777" w:rsidR="004C21A8" w:rsidRPr="000309CC" w:rsidRDefault="004C21A8" w:rsidP="000A4DDB">
      <w:pPr>
        <w:spacing w:after="0" w:line="240" w:lineRule="auto"/>
        <w:jc w:val="both"/>
        <w:rPr>
          <w:rFonts w:ascii="Times New Roman" w:hAnsi="Times New Roman" w:cs="Times New Roman"/>
          <w:bCs/>
          <w:noProof/>
          <w:sz w:val="24"/>
          <w:szCs w:val="24"/>
        </w:rPr>
      </w:pPr>
    </w:p>
    <w:p w14:paraId="6BA7541D" w14:textId="2E0412F1" w:rsidR="000A4DDB" w:rsidRPr="000309CC" w:rsidRDefault="00474DA2" w:rsidP="000A4DDB">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 xml:space="preserve">Obecnie Komisja przyjmuje pakiet dotyczący </w:t>
      </w:r>
      <w:r w:rsidRPr="000309CC">
        <w:rPr>
          <w:rFonts w:ascii="Times New Roman" w:hAnsi="Times New Roman"/>
          <w:b/>
          <w:noProof/>
          <w:sz w:val="24"/>
        </w:rPr>
        <w:t>odzyskiwania</w:t>
      </w:r>
      <w:r w:rsidR="000309CC" w:rsidRPr="000309CC">
        <w:rPr>
          <w:rFonts w:ascii="Times New Roman" w:hAnsi="Times New Roman"/>
          <w:b/>
          <w:noProof/>
          <w:sz w:val="24"/>
        </w:rPr>
        <w:t xml:space="preserve"> i kon</w:t>
      </w:r>
      <w:r w:rsidRPr="000309CC">
        <w:rPr>
          <w:rFonts w:ascii="Times New Roman" w:hAnsi="Times New Roman"/>
          <w:b/>
          <w:noProof/>
          <w:sz w:val="24"/>
        </w:rPr>
        <w:t>fiskaty</w:t>
      </w:r>
      <w:r w:rsidRPr="000309CC">
        <w:rPr>
          <w:rFonts w:ascii="Times New Roman" w:hAnsi="Times New Roman"/>
          <w:noProof/>
          <w:sz w:val="24"/>
        </w:rPr>
        <w:t xml:space="preserve"> </w:t>
      </w:r>
      <w:r w:rsidRPr="000309CC">
        <w:rPr>
          <w:rFonts w:ascii="Times New Roman" w:hAnsi="Times New Roman"/>
          <w:b/>
          <w:noProof/>
          <w:sz w:val="24"/>
        </w:rPr>
        <w:t>mienia</w:t>
      </w:r>
      <w:r w:rsidR="00927A65" w:rsidRPr="000309CC">
        <w:rPr>
          <w:rStyle w:val="FootnoteReference"/>
          <w:rFonts w:ascii="Times New Roman" w:hAnsi="Times New Roman" w:cs="Times New Roman"/>
          <w:bCs/>
          <w:noProof/>
          <w:sz w:val="24"/>
          <w:szCs w:val="24"/>
        </w:rPr>
        <w:footnoteReference w:id="42"/>
      </w:r>
      <w:r w:rsidRPr="000309CC">
        <w:rPr>
          <w:rFonts w:ascii="Times New Roman" w:hAnsi="Times New Roman"/>
          <w:noProof/>
          <w:sz w:val="24"/>
        </w:rPr>
        <w:t>,</w:t>
      </w:r>
      <w:r w:rsidR="000309CC" w:rsidRPr="000309CC">
        <w:rPr>
          <w:rFonts w:ascii="Times New Roman" w:hAnsi="Times New Roman"/>
          <w:noProof/>
          <w:sz w:val="24"/>
        </w:rPr>
        <w:t xml:space="preserve"> w któ</w:t>
      </w:r>
      <w:r w:rsidRPr="000309CC">
        <w:rPr>
          <w:rFonts w:ascii="Times New Roman" w:hAnsi="Times New Roman"/>
          <w:noProof/>
          <w:sz w:val="24"/>
        </w:rPr>
        <w:t>rym uwzględniono doświadczenia zdobyte podczas wdrażania unijnych środków ograniczających wobec osób fizycznych</w:t>
      </w:r>
      <w:r w:rsidR="000309CC" w:rsidRPr="000309CC">
        <w:rPr>
          <w:rFonts w:ascii="Times New Roman" w:hAnsi="Times New Roman"/>
          <w:noProof/>
          <w:sz w:val="24"/>
        </w:rPr>
        <w:t xml:space="preserve"> i pod</w:t>
      </w:r>
      <w:r w:rsidRPr="000309CC">
        <w:rPr>
          <w:rFonts w:ascii="Times New Roman" w:hAnsi="Times New Roman"/>
          <w:noProof/>
          <w:sz w:val="24"/>
        </w:rPr>
        <w:t>miotów</w:t>
      </w:r>
      <w:r w:rsidR="000309CC" w:rsidRPr="000309CC">
        <w:rPr>
          <w:rFonts w:ascii="Times New Roman" w:hAnsi="Times New Roman"/>
          <w:noProof/>
          <w:sz w:val="24"/>
        </w:rPr>
        <w:t xml:space="preserve"> z Ros</w:t>
      </w:r>
      <w:r w:rsidRPr="000309CC">
        <w:rPr>
          <w:rFonts w:ascii="Times New Roman" w:hAnsi="Times New Roman"/>
          <w:noProof/>
          <w:sz w:val="24"/>
        </w:rPr>
        <w:t>ji</w:t>
      </w:r>
      <w:r w:rsidR="000309CC" w:rsidRPr="000309CC">
        <w:rPr>
          <w:rFonts w:ascii="Times New Roman" w:hAnsi="Times New Roman"/>
          <w:noProof/>
          <w:sz w:val="24"/>
        </w:rPr>
        <w:t xml:space="preserve"> i Bia</w:t>
      </w:r>
      <w:r w:rsidRPr="000309CC">
        <w:rPr>
          <w:rFonts w:ascii="Times New Roman" w:hAnsi="Times New Roman"/>
          <w:noProof/>
          <w:sz w:val="24"/>
        </w:rPr>
        <w:t>łorusi. Ułatwi on skuteczne wdrażanie unijnych środków ograniczających</w:t>
      </w:r>
      <w:r w:rsidR="000309CC" w:rsidRPr="000309CC">
        <w:rPr>
          <w:rFonts w:ascii="Times New Roman" w:hAnsi="Times New Roman"/>
          <w:noProof/>
          <w:sz w:val="24"/>
        </w:rPr>
        <w:t xml:space="preserve"> w cał</w:t>
      </w:r>
      <w:r w:rsidRPr="000309CC">
        <w:rPr>
          <w:rFonts w:ascii="Times New Roman" w:hAnsi="Times New Roman"/>
          <w:noProof/>
          <w:sz w:val="24"/>
        </w:rPr>
        <w:t>ej Unii, umożliwiając szybkie wykrywanie</w:t>
      </w:r>
      <w:r w:rsidR="000309CC" w:rsidRPr="000309CC">
        <w:rPr>
          <w:rFonts w:ascii="Times New Roman" w:hAnsi="Times New Roman"/>
          <w:noProof/>
          <w:sz w:val="24"/>
        </w:rPr>
        <w:t xml:space="preserve"> i ide</w:t>
      </w:r>
      <w:r w:rsidRPr="000309CC">
        <w:rPr>
          <w:rFonts w:ascii="Times New Roman" w:hAnsi="Times New Roman"/>
          <w:noProof/>
          <w:sz w:val="24"/>
        </w:rPr>
        <w:t>ntyfikowanie mienia będącego własnością osób lub podmiotów objętych takimi środkami lub kontrolowanego przez te osoby lub podmioty. Wzmocnione ramy odzyskiwania</w:t>
      </w:r>
      <w:r w:rsidR="000309CC" w:rsidRPr="000309CC">
        <w:rPr>
          <w:rFonts w:ascii="Times New Roman" w:hAnsi="Times New Roman"/>
          <w:noProof/>
          <w:sz w:val="24"/>
        </w:rPr>
        <w:t xml:space="preserve"> i kon</w:t>
      </w:r>
      <w:r w:rsidRPr="000309CC">
        <w:rPr>
          <w:rFonts w:ascii="Times New Roman" w:hAnsi="Times New Roman"/>
          <w:noProof/>
          <w:sz w:val="24"/>
        </w:rPr>
        <w:t>fiskaty mienia będą miały zastosowanie również do naruszenia środków ograniczających,</w:t>
      </w:r>
      <w:r w:rsidR="000309CC" w:rsidRPr="000309CC">
        <w:rPr>
          <w:rFonts w:ascii="Times New Roman" w:hAnsi="Times New Roman"/>
          <w:noProof/>
          <w:sz w:val="24"/>
        </w:rPr>
        <w:t xml:space="preserve"> a tym</w:t>
      </w:r>
      <w:r w:rsidRPr="000309CC">
        <w:rPr>
          <w:rFonts w:ascii="Times New Roman" w:hAnsi="Times New Roman"/>
          <w:noProof/>
          <w:sz w:val="24"/>
        </w:rPr>
        <w:t xml:space="preserve"> samym zapewnią skuteczne wykrywanie</w:t>
      </w:r>
      <w:r w:rsidR="000309CC" w:rsidRPr="000309CC">
        <w:rPr>
          <w:rFonts w:ascii="Times New Roman" w:hAnsi="Times New Roman"/>
          <w:noProof/>
          <w:sz w:val="24"/>
        </w:rPr>
        <w:t xml:space="preserve"> i zam</w:t>
      </w:r>
      <w:r w:rsidRPr="000309CC">
        <w:rPr>
          <w:rFonts w:ascii="Times New Roman" w:hAnsi="Times New Roman"/>
          <w:noProof/>
          <w:sz w:val="24"/>
        </w:rPr>
        <w:t>rażanie korzyści pozyskanych</w:t>
      </w:r>
      <w:r w:rsidR="000309CC" w:rsidRPr="000309CC">
        <w:rPr>
          <w:rFonts w:ascii="Times New Roman" w:hAnsi="Times New Roman"/>
          <w:noProof/>
          <w:sz w:val="24"/>
        </w:rPr>
        <w:t xml:space="preserve"> w wyn</w:t>
      </w:r>
      <w:r w:rsidRPr="000309CC">
        <w:rPr>
          <w:rFonts w:ascii="Times New Roman" w:hAnsi="Times New Roman"/>
          <w:noProof/>
          <w:sz w:val="24"/>
        </w:rPr>
        <w:t>iku naruszenia środków ograniczających, zarządzanie tymi dochodami</w:t>
      </w:r>
      <w:r w:rsidR="000309CC" w:rsidRPr="000309CC">
        <w:rPr>
          <w:rFonts w:ascii="Times New Roman" w:hAnsi="Times New Roman"/>
          <w:noProof/>
          <w:sz w:val="24"/>
        </w:rPr>
        <w:t xml:space="preserve"> i ich</w:t>
      </w:r>
      <w:r w:rsidRPr="000309CC">
        <w:rPr>
          <w:rFonts w:ascii="Times New Roman" w:hAnsi="Times New Roman"/>
          <w:noProof/>
          <w:sz w:val="24"/>
        </w:rPr>
        <w:t xml:space="preserve"> konfiskatę</w:t>
      </w:r>
      <w:r w:rsidR="000309CC" w:rsidRPr="000309CC">
        <w:rPr>
          <w:rFonts w:ascii="Times New Roman" w:hAnsi="Times New Roman"/>
          <w:noProof/>
          <w:sz w:val="24"/>
        </w:rPr>
        <w:t>. W cel</w:t>
      </w:r>
      <w:r w:rsidRPr="000309CC">
        <w:rPr>
          <w:rFonts w:ascii="Times New Roman" w:hAnsi="Times New Roman"/>
          <w:noProof/>
          <w:sz w:val="24"/>
        </w:rPr>
        <w:t>u zapewnienia, aby mienie osób fizycznych</w:t>
      </w:r>
      <w:r w:rsidR="000309CC" w:rsidRPr="000309CC">
        <w:rPr>
          <w:rFonts w:ascii="Times New Roman" w:hAnsi="Times New Roman"/>
          <w:noProof/>
          <w:sz w:val="24"/>
        </w:rPr>
        <w:t xml:space="preserve"> i pod</w:t>
      </w:r>
      <w:r w:rsidRPr="000309CC">
        <w:rPr>
          <w:rFonts w:ascii="Times New Roman" w:hAnsi="Times New Roman"/>
          <w:noProof/>
          <w:sz w:val="24"/>
        </w:rPr>
        <w:t>miotów naruszających środki ograniczające mogło być rzeczywiście konfiskowane, Komisja przyjmuje obecnie także wnioski dotyczące decyzji Rady</w:t>
      </w:r>
      <w:r w:rsidR="000309CC" w:rsidRPr="000309CC">
        <w:rPr>
          <w:rFonts w:ascii="Times New Roman" w:hAnsi="Times New Roman"/>
          <w:noProof/>
          <w:sz w:val="24"/>
        </w:rPr>
        <w:t xml:space="preserve"> w spr</w:t>
      </w:r>
      <w:r w:rsidRPr="000309CC">
        <w:rPr>
          <w:rFonts w:ascii="Times New Roman" w:hAnsi="Times New Roman"/>
          <w:noProof/>
          <w:sz w:val="24"/>
        </w:rPr>
        <w:t>awie dodania naruszeń sankcji do wykazu przestępstw w UE określonych</w:t>
      </w:r>
      <w:r w:rsidR="000309CC" w:rsidRPr="000309CC">
        <w:rPr>
          <w:rFonts w:ascii="Times New Roman" w:hAnsi="Times New Roman"/>
          <w:noProof/>
          <w:sz w:val="24"/>
        </w:rPr>
        <w:t xml:space="preserve"> w art</w:t>
      </w:r>
      <w:r w:rsidRPr="000309CC">
        <w:rPr>
          <w:rFonts w:ascii="Times New Roman" w:hAnsi="Times New Roman"/>
          <w:noProof/>
          <w:sz w:val="24"/>
        </w:rPr>
        <w:t>.</w:t>
      </w:r>
      <w:r w:rsidR="000309CC" w:rsidRPr="000309CC">
        <w:rPr>
          <w:rFonts w:ascii="Times New Roman" w:hAnsi="Times New Roman"/>
          <w:noProof/>
          <w:sz w:val="24"/>
        </w:rPr>
        <w:t> </w:t>
      </w:r>
      <w:r w:rsidRPr="000309CC">
        <w:rPr>
          <w:rFonts w:ascii="Times New Roman" w:hAnsi="Times New Roman"/>
          <w:noProof/>
          <w:sz w:val="24"/>
        </w:rPr>
        <w:t>83 ust.</w:t>
      </w:r>
      <w:r w:rsidR="000309CC" w:rsidRPr="000309CC">
        <w:rPr>
          <w:rFonts w:ascii="Times New Roman" w:hAnsi="Times New Roman"/>
          <w:noProof/>
          <w:sz w:val="24"/>
        </w:rPr>
        <w:t> </w:t>
      </w:r>
      <w:r w:rsidRPr="000309CC">
        <w:rPr>
          <w:rFonts w:ascii="Times New Roman" w:hAnsi="Times New Roman"/>
          <w:noProof/>
          <w:sz w:val="24"/>
        </w:rPr>
        <w:t>1 TFUE</w:t>
      </w:r>
      <w:r w:rsidR="00FB7633" w:rsidRPr="000309CC">
        <w:rPr>
          <w:rStyle w:val="FootnoteReference"/>
          <w:rFonts w:ascii="Times New Roman" w:hAnsi="Times New Roman" w:cs="Times New Roman"/>
          <w:bCs/>
          <w:noProof/>
          <w:sz w:val="24"/>
          <w:szCs w:val="24"/>
        </w:rPr>
        <w:footnoteReference w:id="43"/>
      </w:r>
      <w:r w:rsidRPr="000309CC">
        <w:rPr>
          <w:rFonts w:ascii="Times New Roman" w:hAnsi="Times New Roman"/>
          <w:noProof/>
          <w:sz w:val="24"/>
        </w:rPr>
        <w:t xml:space="preserve"> wraz</w:t>
      </w:r>
      <w:r w:rsidR="000309CC" w:rsidRPr="000309CC">
        <w:rPr>
          <w:rFonts w:ascii="Times New Roman" w:hAnsi="Times New Roman"/>
          <w:noProof/>
          <w:sz w:val="24"/>
        </w:rPr>
        <w:t xml:space="preserve"> z kom</w:t>
      </w:r>
      <w:r w:rsidRPr="000309CC">
        <w:rPr>
          <w:rFonts w:ascii="Times New Roman" w:hAnsi="Times New Roman"/>
          <w:noProof/>
          <w:sz w:val="24"/>
        </w:rPr>
        <w:t>unikatem</w:t>
      </w:r>
      <w:r w:rsidR="00BA4FCE" w:rsidRPr="000309CC">
        <w:rPr>
          <w:rStyle w:val="FootnoteReference"/>
          <w:rFonts w:ascii="Times New Roman" w:hAnsi="Times New Roman" w:cs="Times New Roman"/>
          <w:bCs/>
          <w:noProof/>
          <w:sz w:val="24"/>
          <w:szCs w:val="24"/>
        </w:rPr>
        <w:footnoteReference w:id="44"/>
      </w:r>
      <w:r w:rsidRPr="000309CC">
        <w:rPr>
          <w:rFonts w:ascii="Times New Roman" w:hAnsi="Times New Roman"/>
          <w:noProof/>
          <w:sz w:val="24"/>
        </w:rPr>
        <w:t>,</w:t>
      </w:r>
      <w:r w:rsidR="000309CC" w:rsidRPr="000309CC">
        <w:rPr>
          <w:rFonts w:ascii="Times New Roman" w:hAnsi="Times New Roman"/>
          <w:noProof/>
          <w:sz w:val="24"/>
        </w:rPr>
        <w:t xml:space="preserve"> z myś</w:t>
      </w:r>
      <w:r w:rsidRPr="000309CC">
        <w:rPr>
          <w:rFonts w:ascii="Times New Roman" w:hAnsi="Times New Roman"/>
          <w:noProof/>
          <w:sz w:val="24"/>
        </w:rPr>
        <w:t>lą</w:t>
      </w:r>
      <w:r w:rsidR="000309CC" w:rsidRPr="000309CC">
        <w:rPr>
          <w:rFonts w:ascii="Times New Roman" w:hAnsi="Times New Roman"/>
          <w:noProof/>
          <w:sz w:val="24"/>
        </w:rPr>
        <w:t xml:space="preserve"> o prz</w:t>
      </w:r>
      <w:r w:rsidRPr="000309CC">
        <w:rPr>
          <w:rFonts w:ascii="Times New Roman" w:hAnsi="Times New Roman"/>
          <w:noProof/>
          <w:sz w:val="24"/>
        </w:rPr>
        <w:t>edstawieniu wniosku dotyczącego dyrektywy</w:t>
      </w:r>
      <w:r w:rsidR="000309CC" w:rsidRPr="000309CC">
        <w:rPr>
          <w:rFonts w:ascii="Times New Roman" w:hAnsi="Times New Roman"/>
          <w:noProof/>
          <w:sz w:val="24"/>
        </w:rPr>
        <w:t xml:space="preserve"> w spr</w:t>
      </w:r>
      <w:r w:rsidRPr="000309CC">
        <w:rPr>
          <w:rFonts w:ascii="Times New Roman" w:hAnsi="Times New Roman"/>
          <w:noProof/>
          <w:sz w:val="24"/>
        </w:rPr>
        <w:t>awie zbliżenia definicji przestępstw</w:t>
      </w:r>
      <w:r w:rsidR="000309CC" w:rsidRPr="000309CC">
        <w:rPr>
          <w:rFonts w:ascii="Times New Roman" w:hAnsi="Times New Roman"/>
          <w:noProof/>
          <w:sz w:val="24"/>
        </w:rPr>
        <w:t xml:space="preserve"> i kar</w:t>
      </w:r>
      <w:r w:rsidRPr="000309CC">
        <w:rPr>
          <w:rFonts w:ascii="Times New Roman" w:hAnsi="Times New Roman"/>
          <w:noProof/>
          <w:sz w:val="24"/>
        </w:rPr>
        <w:t xml:space="preserve"> za naruszenie środków ograniczających. </w:t>
      </w:r>
    </w:p>
    <w:p w14:paraId="0D52DB3E" w14:textId="77777777" w:rsidR="00474DA2" w:rsidRPr="000309CC" w:rsidRDefault="00474DA2" w:rsidP="00474DA2">
      <w:pPr>
        <w:spacing w:after="0" w:line="240" w:lineRule="auto"/>
        <w:jc w:val="both"/>
        <w:rPr>
          <w:rFonts w:ascii="Times New Roman" w:hAnsi="Times New Roman" w:cs="Times New Roman"/>
          <w:bCs/>
          <w:noProof/>
          <w:sz w:val="24"/>
          <w:szCs w:val="24"/>
        </w:rPr>
      </w:pPr>
    </w:p>
    <w:p w14:paraId="3EB192FE" w14:textId="604A5FEC" w:rsidR="0091064D" w:rsidRPr="000309CC" w:rsidRDefault="0091064D" w:rsidP="00474DA2">
      <w:pPr>
        <w:spacing w:after="0" w:line="240" w:lineRule="auto"/>
        <w:jc w:val="both"/>
        <w:rPr>
          <w:rFonts w:ascii="Times New Roman" w:hAnsi="Times New Roman" w:cs="Times New Roman"/>
          <w:bCs/>
          <w:noProof/>
          <w:sz w:val="24"/>
          <w:szCs w:val="24"/>
        </w:rPr>
      </w:pPr>
      <w:r w:rsidRPr="000309CC">
        <w:rPr>
          <w:rFonts w:ascii="Times New Roman" w:hAnsi="Times New Roman"/>
          <w:noProof/>
          <w:sz w:val="24"/>
        </w:rPr>
        <w:t>W bardziej ogólnym ujęciu pakiet ten stanowi istotny etap</w:t>
      </w:r>
      <w:r w:rsidR="000309CC" w:rsidRPr="000309CC">
        <w:rPr>
          <w:rFonts w:ascii="Times New Roman" w:hAnsi="Times New Roman"/>
          <w:noProof/>
          <w:sz w:val="24"/>
        </w:rPr>
        <w:t xml:space="preserve"> w zwa</w:t>
      </w:r>
      <w:r w:rsidRPr="000309CC">
        <w:rPr>
          <w:rFonts w:ascii="Times New Roman" w:hAnsi="Times New Roman"/>
          <w:noProof/>
          <w:sz w:val="24"/>
        </w:rPr>
        <w:t>lczaniu przestępczości zorganizowanej. Jest on zgodny ze zobowiązaniami Komisji podjętymi</w:t>
      </w:r>
      <w:r w:rsidR="000309CC" w:rsidRPr="000309CC">
        <w:rPr>
          <w:rFonts w:ascii="Times New Roman" w:hAnsi="Times New Roman"/>
          <w:noProof/>
          <w:sz w:val="24"/>
        </w:rPr>
        <w:t xml:space="preserve"> w str</w:t>
      </w:r>
      <w:r w:rsidRPr="000309CC">
        <w:rPr>
          <w:rFonts w:ascii="Times New Roman" w:hAnsi="Times New Roman"/>
          <w:noProof/>
          <w:sz w:val="24"/>
        </w:rPr>
        <w:t>ategii</w:t>
      </w:r>
      <w:r w:rsidR="000309CC" w:rsidRPr="000309CC">
        <w:rPr>
          <w:rFonts w:ascii="Times New Roman" w:hAnsi="Times New Roman"/>
          <w:noProof/>
          <w:sz w:val="24"/>
        </w:rPr>
        <w:t xml:space="preserve"> w zak</w:t>
      </w:r>
      <w:r w:rsidRPr="000309CC">
        <w:rPr>
          <w:rFonts w:ascii="Times New Roman" w:hAnsi="Times New Roman"/>
          <w:noProof/>
          <w:sz w:val="24"/>
        </w:rPr>
        <w:t>resie unii bezpieczeństwa oraz strategii zwalczania przestępczości zorganizowanej 2020-2025</w:t>
      </w:r>
      <w:r w:rsidR="00FB7633" w:rsidRPr="000309CC">
        <w:rPr>
          <w:rStyle w:val="FootnoteReference"/>
          <w:rFonts w:ascii="Times New Roman" w:hAnsi="Times New Roman" w:cs="Times New Roman"/>
          <w:bCs/>
          <w:noProof/>
          <w:sz w:val="24"/>
          <w:szCs w:val="24"/>
        </w:rPr>
        <w:footnoteReference w:id="45"/>
      </w:r>
      <w:r w:rsidR="000309CC" w:rsidRPr="000309CC">
        <w:rPr>
          <w:rFonts w:ascii="Times New Roman" w:hAnsi="Times New Roman"/>
          <w:noProof/>
          <w:sz w:val="24"/>
        </w:rPr>
        <w:t>. W jeg</w:t>
      </w:r>
      <w:r w:rsidRPr="000309CC">
        <w:rPr>
          <w:rFonts w:ascii="Times New Roman" w:hAnsi="Times New Roman"/>
          <w:noProof/>
          <w:sz w:val="24"/>
        </w:rPr>
        <w:t>o ramach zmienia się dyrektywę</w:t>
      </w:r>
      <w:r w:rsidR="000309CC" w:rsidRPr="000309CC">
        <w:rPr>
          <w:rFonts w:ascii="Times New Roman" w:hAnsi="Times New Roman"/>
          <w:noProof/>
          <w:sz w:val="24"/>
        </w:rPr>
        <w:t xml:space="preserve"> w spr</w:t>
      </w:r>
      <w:r w:rsidRPr="000309CC">
        <w:rPr>
          <w:rFonts w:ascii="Times New Roman" w:hAnsi="Times New Roman"/>
          <w:noProof/>
          <w:sz w:val="24"/>
        </w:rPr>
        <w:t>awie konfiskaty</w:t>
      </w:r>
      <w:r w:rsidR="000309CC" w:rsidRPr="000309CC">
        <w:rPr>
          <w:rFonts w:ascii="Times New Roman" w:hAnsi="Times New Roman"/>
          <w:noProof/>
          <w:sz w:val="24"/>
        </w:rPr>
        <w:t xml:space="preserve"> z 2</w:t>
      </w:r>
      <w:r w:rsidRPr="000309CC">
        <w:rPr>
          <w:rFonts w:ascii="Times New Roman" w:hAnsi="Times New Roman"/>
          <w:noProof/>
          <w:sz w:val="24"/>
        </w:rPr>
        <w:t>014</w:t>
      </w:r>
      <w:r w:rsidR="000309CC" w:rsidRPr="000309CC">
        <w:rPr>
          <w:rFonts w:ascii="Times New Roman" w:hAnsi="Times New Roman"/>
          <w:noProof/>
          <w:sz w:val="24"/>
        </w:rPr>
        <w:t> </w:t>
      </w:r>
      <w:r w:rsidRPr="000309CC">
        <w:rPr>
          <w:rFonts w:ascii="Times New Roman" w:hAnsi="Times New Roman"/>
          <w:noProof/>
          <w:sz w:val="24"/>
        </w:rPr>
        <w:t>r., decyzję Rady</w:t>
      </w:r>
      <w:r w:rsidR="000309CC" w:rsidRPr="000309CC">
        <w:rPr>
          <w:rFonts w:ascii="Times New Roman" w:hAnsi="Times New Roman"/>
          <w:noProof/>
          <w:sz w:val="24"/>
        </w:rPr>
        <w:t xml:space="preserve"> z 2</w:t>
      </w:r>
      <w:r w:rsidRPr="000309CC">
        <w:rPr>
          <w:rFonts w:ascii="Times New Roman" w:hAnsi="Times New Roman"/>
          <w:noProof/>
          <w:sz w:val="24"/>
        </w:rPr>
        <w:t>007</w:t>
      </w:r>
      <w:r w:rsidR="000309CC" w:rsidRPr="000309CC">
        <w:rPr>
          <w:rFonts w:ascii="Times New Roman" w:hAnsi="Times New Roman"/>
          <w:noProof/>
          <w:sz w:val="24"/>
        </w:rPr>
        <w:t> </w:t>
      </w:r>
      <w:r w:rsidRPr="000309CC">
        <w:rPr>
          <w:rFonts w:ascii="Times New Roman" w:hAnsi="Times New Roman"/>
          <w:noProof/>
          <w:sz w:val="24"/>
        </w:rPr>
        <w:t>r.</w:t>
      </w:r>
      <w:r w:rsidR="000309CC" w:rsidRPr="000309CC">
        <w:rPr>
          <w:rFonts w:ascii="Times New Roman" w:hAnsi="Times New Roman"/>
          <w:noProof/>
          <w:sz w:val="24"/>
        </w:rPr>
        <w:t xml:space="preserve"> w spr</w:t>
      </w:r>
      <w:r w:rsidRPr="000309CC">
        <w:rPr>
          <w:rFonts w:ascii="Times New Roman" w:hAnsi="Times New Roman"/>
          <w:noProof/>
          <w:sz w:val="24"/>
        </w:rPr>
        <w:t>awie biur ds. odzyskiwania mienia oraz decyzję ramową</w:t>
      </w:r>
      <w:r w:rsidR="000309CC" w:rsidRPr="000309CC">
        <w:rPr>
          <w:rFonts w:ascii="Times New Roman" w:hAnsi="Times New Roman"/>
          <w:noProof/>
          <w:sz w:val="24"/>
        </w:rPr>
        <w:t xml:space="preserve"> z 2</w:t>
      </w:r>
      <w:r w:rsidRPr="000309CC">
        <w:rPr>
          <w:rFonts w:ascii="Times New Roman" w:hAnsi="Times New Roman"/>
          <w:noProof/>
          <w:sz w:val="24"/>
        </w:rPr>
        <w:t>005</w:t>
      </w:r>
      <w:r w:rsidR="000309CC" w:rsidRPr="000309CC">
        <w:rPr>
          <w:rFonts w:ascii="Times New Roman" w:hAnsi="Times New Roman"/>
          <w:noProof/>
          <w:sz w:val="24"/>
        </w:rPr>
        <w:t> </w:t>
      </w:r>
      <w:r w:rsidRPr="000309CC">
        <w:rPr>
          <w:rFonts w:ascii="Times New Roman" w:hAnsi="Times New Roman"/>
          <w:noProof/>
          <w:sz w:val="24"/>
        </w:rPr>
        <w:t>r.</w:t>
      </w:r>
      <w:r w:rsidR="000309CC" w:rsidRPr="000309CC">
        <w:rPr>
          <w:rFonts w:ascii="Times New Roman" w:hAnsi="Times New Roman"/>
          <w:noProof/>
          <w:sz w:val="24"/>
        </w:rPr>
        <w:t xml:space="preserve"> w spr</w:t>
      </w:r>
      <w:r w:rsidRPr="000309CC">
        <w:rPr>
          <w:rFonts w:ascii="Times New Roman" w:hAnsi="Times New Roman"/>
          <w:noProof/>
          <w:sz w:val="24"/>
        </w:rPr>
        <w:t>awie konfiskaty korzyści, narzędzi</w:t>
      </w:r>
      <w:r w:rsidR="000309CC" w:rsidRPr="000309CC">
        <w:rPr>
          <w:rFonts w:ascii="Times New Roman" w:hAnsi="Times New Roman"/>
          <w:noProof/>
          <w:sz w:val="24"/>
        </w:rPr>
        <w:t xml:space="preserve"> i mie</w:t>
      </w:r>
      <w:r w:rsidRPr="000309CC">
        <w:rPr>
          <w:rFonts w:ascii="Times New Roman" w:hAnsi="Times New Roman"/>
          <w:noProof/>
          <w:sz w:val="24"/>
        </w:rPr>
        <w:t>nia pochodzących</w:t>
      </w:r>
      <w:r w:rsidR="000309CC" w:rsidRPr="000309CC">
        <w:rPr>
          <w:rFonts w:ascii="Times New Roman" w:hAnsi="Times New Roman"/>
          <w:noProof/>
          <w:sz w:val="24"/>
        </w:rPr>
        <w:t xml:space="preserve"> z prz</w:t>
      </w:r>
      <w:r w:rsidRPr="000309CC">
        <w:rPr>
          <w:rFonts w:ascii="Times New Roman" w:hAnsi="Times New Roman"/>
          <w:noProof/>
          <w:sz w:val="24"/>
        </w:rPr>
        <w:t>estępstwa</w:t>
      </w:r>
      <w:r w:rsidR="000309CC" w:rsidRPr="000309CC">
        <w:rPr>
          <w:rFonts w:ascii="Times New Roman" w:hAnsi="Times New Roman"/>
          <w:noProof/>
          <w:sz w:val="24"/>
        </w:rPr>
        <w:t xml:space="preserve"> w cel</w:t>
      </w:r>
      <w:r w:rsidRPr="000309CC">
        <w:rPr>
          <w:rFonts w:ascii="Times New Roman" w:hAnsi="Times New Roman"/>
          <w:noProof/>
          <w:sz w:val="24"/>
        </w:rPr>
        <w:t>u wzmocnienia zdolności</w:t>
      </w:r>
      <w:r w:rsidR="000309CC" w:rsidRPr="000309CC">
        <w:rPr>
          <w:rFonts w:ascii="Times New Roman" w:hAnsi="Times New Roman"/>
          <w:noProof/>
          <w:sz w:val="24"/>
        </w:rPr>
        <w:t xml:space="preserve"> w zak</w:t>
      </w:r>
      <w:r w:rsidRPr="000309CC">
        <w:rPr>
          <w:rFonts w:ascii="Times New Roman" w:hAnsi="Times New Roman"/>
          <w:noProof/>
          <w:sz w:val="24"/>
        </w:rPr>
        <w:t>resie wykrywania</w:t>
      </w:r>
      <w:r w:rsidR="000309CC" w:rsidRPr="000309CC">
        <w:rPr>
          <w:rFonts w:ascii="Times New Roman" w:hAnsi="Times New Roman"/>
          <w:noProof/>
          <w:sz w:val="24"/>
        </w:rPr>
        <w:t xml:space="preserve"> i ide</w:t>
      </w:r>
      <w:r w:rsidRPr="000309CC">
        <w:rPr>
          <w:rFonts w:ascii="Times New Roman" w:hAnsi="Times New Roman"/>
          <w:noProof/>
          <w:sz w:val="24"/>
        </w:rPr>
        <w:t>ntyfikacji,</w:t>
      </w:r>
      <w:r w:rsidR="000309CC" w:rsidRPr="000309CC">
        <w:rPr>
          <w:rFonts w:ascii="Times New Roman" w:hAnsi="Times New Roman"/>
          <w:noProof/>
          <w:sz w:val="24"/>
        </w:rPr>
        <w:t xml:space="preserve"> a ost</w:t>
      </w:r>
      <w:r w:rsidRPr="000309CC">
        <w:rPr>
          <w:rFonts w:ascii="Times New Roman" w:hAnsi="Times New Roman"/>
          <w:noProof/>
          <w:sz w:val="24"/>
        </w:rPr>
        <w:t>atecznie konfiskaty nielegalnych zysków, co jest odpowiedzią na bardzo niskie wskaźniki konfiskaty w UE</w:t>
      </w:r>
      <w:r w:rsidR="00EE7275" w:rsidRPr="000309CC">
        <w:rPr>
          <w:rStyle w:val="FootnoteReference"/>
          <w:rFonts w:ascii="Times New Roman" w:hAnsi="Times New Roman" w:cs="Times New Roman"/>
          <w:bCs/>
          <w:noProof/>
          <w:sz w:val="24"/>
          <w:szCs w:val="24"/>
        </w:rPr>
        <w:footnoteReference w:id="46"/>
      </w:r>
      <w:r w:rsidRPr="000309CC">
        <w:rPr>
          <w:rFonts w:ascii="Times New Roman" w:hAnsi="Times New Roman"/>
          <w:noProof/>
          <w:sz w:val="24"/>
        </w:rPr>
        <w:t>. Dzięki pakietowi rozszerzono zakres uwzględnionych przestępstw oraz przepisy dotyczące konfiskaty,</w:t>
      </w:r>
      <w:r w:rsidR="000309CC" w:rsidRPr="000309CC">
        <w:rPr>
          <w:rFonts w:ascii="Times New Roman" w:hAnsi="Times New Roman"/>
          <w:noProof/>
          <w:sz w:val="24"/>
        </w:rPr>
        <w:t xml:space="preserve"> w prz</w:t>
      </w:r>
      <w:r w:rsidRPr="000309CC">
        <w:rPr>
          <w:rFonts w:ascii="Times New Roman" w:hAnsi="Times New Roman"/>
          <w:noProof/>
          <w:sz w:val="24"/>
        </w:rPr>
        <w:t>ypadkach gdy wydanie wyroku skazującego za konkretne przestępstwo jest niemożliwe, ale mienie wyraźnie pochodzi</w:t>
      </w:r>
      <w:r w:rsidR="000309CC" w:rsidRPr="000309CC">
        <w:rPr>
          <w:rFonts w:ascii="Times New Roman" w:hAnsi="Times New Roman"/>
          <w:noProof/>
          <w:sz w:val="24"/>
        </w:rPr>
        <w:t xml:space="preserve"> z dzi</w:t>
      </w:r>
      <w:r w:rsidRPr="000309CC">
        <w:rPr>
          <w:rFonts w:ascii="Times New Roman" w:hAnsi="Times New Roman"/>
          <w:noProof/>
          <w:sz w:val="24"/>
        </w:rPr>
        <w:t>ałalności przestępczej. Dzięki tej zmianie wzmocnione zostanie również skuteczne zarządzanie zamrożonym</w:t>
      </w:r>
      <w:r w:rsidR="000309CC" w:rsidRPr="000309CC">
        <w:rPr>
          <w:rFonts w:ascii="Times New Roman" w:hAnsi="Times New Roman"/>
          <w:noProof/>
          <w:sz w:val="24"/>
        </w:rPr>
        <w:t xml:space="preserve"> i sko</w:t>
      </w:r>
      <w:r w:rsidRPr="000309CC">
        <w:rPr>
          <w:rFonts w:ascii="Times New Roman" w:hAnsi="Times New Roman"/>
          <w:noProof/>
          <w:sz w:val="24"/>
        </w:rPr>
        <w:t>nfiskowanym mieniem oraz zwiększone zostaną zdolności biur ds. odzyskiwania mienia do wykrywania</w:t>
      </w:r>
      <w:r w:rsidR="000309CC" w:rsidRPr="000309CC">
        <w:rPr>
          <w:rFonts w:ascii="Times New Roman" w:hAnsi="Times New Roman"/>
          <w:noProof/>
          <w:sz w:val="24"/>
        </w:rPr>
        <w:t xml:space="preserve"> i ide</w:t>
      </w:r>
      <w:r w:rsidRPr="000309CC">
        <w:rPr>
          <w:rFonts w:ascii="Times New Roman" w:hAnsi="Times New Roman"/>
          <w:noProof/>
          <w:sz w:val="24"/>
        </w:rPr>
        <w:t>ntyfikowania nielegalnego mienia. Nowe unijne ramy odzyskiwania mienia zostały opracowane</w:t>
      </w:r>
      <w:r w:rsidR="000309CC" w:rsidRPr="000309CC">
        <w:rPr>
          <w:rFonts w:ascii="Times New Roman" w:hAnsi="Times New Roman"/>
          <w:noProof/>
          <w:sz w:val="24"/>
        </w:rPr>
        <w:t xml:space="preserve"> z myś</w:t>
      </w:r>
      <w:r w:rsidRPr="000309CC">
        <w:rPr>
          <w:rFonts w:ascii="Times New Roman" w:hAnsi="Times New Roman"/>
          <w:noProof/>
          <w:sz w:val="24"/>
        </w:rPr>
        <w:t>lą</w:t>
      </w:r>
      <w:r w:rsidR="000309CC" w:rsidRPr="000309CC">
        <w:rPr>
          <w:rFonts w:ascii="Times New Roman" w:hAnsi="Times New Roman"/>
          <w:noProof/>
          <w:sz w:val="24"/>
        </w:rPr>
        <w:t xml:space="preserve"> o zło</w:t>
      </w:r>
      <w:r w:rsidRPr="000309CC">
        <w:rPr>
          <w:rFonts w:ascii="Times New Roman" w:hAnsi="Times New Roman"/>
          <w:noProof/>
          <w:sz w:val="24"/>
        </w:rPr>
        <w:t>żonych sposobach działania organizacji przestępczych, które często działają</w:t>
      </w:r>
      <w:r w:rsidR="000309CC" w:rsidRPr="000309CC">
        <w:rPr>
          <w:rFonts w:ascii="Times New Roman" w:hAnsi="Times New Roman"/>
          <w:noProof/>
          <w:sz w:val="24"/>
        </w:rPr>
        <w:t xml:space="preserve"> w wym</w:t>
      </w:r>
      <w:r w:rsidRPr="000309CC">
        <w:rPr>
          <w:rFonts w:ascii="Times New Roman" w:hAnsi="Times New Roman"/>
          <w:noProof/>
          <w:sz w:val="24"/>
        </w:rPr>
        <w:t>iarze transgranicznym</w:t>
      </w:r>
      <w:r w:rsidR="000309CC" w:rsidRPr="000309CC">
        <w:rPr>
          <w:rFonts w:ascii="Times New Roman" w:hAnsi="Times New Roman"/>
          <w:noProof/>
          <w:sz w:val="24"/>
        </w:rPr>
        <w:t xml:space="preserve"> i sto</w:t>
      </w:r>
      <w:r w:rsidRPr="000309CC">
        <w:rPr>
          <w:rFonts w:ascii="Times New Roman" w:hAnsi="Times New Roman"/>
          <w:noProof/>
          <w:sz w:val="24"/>
        </w:rPr>
        <w:t>sują różne metody ukrywania swojego mienia,</w:t>
      </w:r>
      <w:r w:rsidR="000309CC" w:rsidRPr="000309CC">
        <w:rPr>
          <w:rFonts w:ascii="Times New Roman" w:hAnsi="Times New Roman"/>
          <w:noProof/>
          <w:sz w:val="24"/>
        </w:rPr>
        <w:t xml:space="preserve"> w tym</w:t>
      </w:r>
      <w:r w:rsidRPr="000309CC">
        <w:rPr>
          <w:rFonts w:ascii="Times New Roman" w:hAnsi="Times New Roman"/>
          <w:noProof/>
          <w:sz w:val="24"/>
        </w:rPr>
        <w:t xml:space="preserve"> za pomocą kryptoaktywów. </w:t>
      </w:r>
    </w:p>
    <w:p w14:paraId="3D610054" w14:textId="77777777" w:rsidR="002730F3" w:rsidRPr="000309CC" w:rsidRDefault="002730F3" w:rsidP="009F7274">
      <w:pPr>
        <w:spacing w:line="240" w:lineRule="auto"/>
        <w:jc w:val="both"/>
        <w:rPr>
          <w:rFonts w:ascii="Times New Roman" w:eastAsia="Times New Roman" w:hAnsi="Times New Roman" w:cs="Times New Roman"/>
          <w:i/>
          <w:noProof/>
          <w:sz w:val="24"/>
          <w:szCs w:val="24"/>
        </w:rPr>
      </w:pPr>
    </w:p>
    <w:p w14:paraId="4D565920" w14:textId="77777777" w:rsidR="004C21A8" w:rsidRPr="000309CC" w:rsidRDefault="004C21A8" w:rsidP="009F7274">
      <w:pPr>
        <w:spacing w:line="240" w:lineRule="auto"/>
        <w:jc w:val="both"/>
        <w:rPr>
          <w:rFonts w:ascii="Times New Roman" w:eastAsia="Times New Roman" w:hAnsi="Times New Roman" w:cs="Times New Roman"/>
          <w:i/>
          <w:noProof/>
          <w:sz w:val="24"/>
          <w:szCs w:val="24"/>
        </w:rPr>
      </w:pPr>
      <w:r w:rsidRPr="000309CC">
        <w:rPr>
          <w:rFonts w:ascii="Times New Roman" w:hAnsi="Times New Roman"/>
          <w:i/>
          <w:noProof/>
          <w:sz w:val="24"/>
        </w:rPr>
        <w:t>Skoordynowana reakcja wymiaru sprawiedliwości</w:t>
      </w:r>
    </w:p>
    <w:p w14:paraId="04A60CD3" w14:textId="10D13B46" w:rsidR="009F7274" w:rsidRPr="000309CC" w:rsidRDefault="009F7274" w:rsidP="009F7274">
      <w:pPr>
        <w:spacing w:line="240" w:lineRule="auto"/>
        <w:jc w:val="both"/>
        <w:rPr>
          <w:rFonts w:ascii="Times New Roman" w:eastAsia="Times New Roman" w:hAnsi="Times New Roman" w:cs="Times New Roman"/>
          <w:noProof/>
          <w:sz w:val="24"/>
          <w:szCs w:val="24"/>
        </w:rPr>
      </w:pPr>
      <w:r w:rsidRPr="000309CC">
        <w:rPr>
          <w:rFonts w:ascii="Times New Roman" w:hAnsi="Times New Roman"/>
          <w:noProof/>
          <w:sz w:val="24"/>
        </w:rPr>
        <w:t xml:space="preserve">Na szczeblu UE prowadzone są również prace nad zapewnieniem skoordynowanej reakcji wymiaru sprawiedliwości na zarzuty popełnienia </w:t>
      </w:r>
      <w:r w:rsidRPr="000309CC">
        <w:rPr>
          <w:rFonts w:ascii="Times New Roman" w:hAnsi="Times New Roman"/>
          <w:b/>
          <w:noProof/>
          <w:sz w:val="24"/>
        </w:rPr>
        <w:t>zbrodni międzynarodowych</w:t>
      </w:r>
      <w:r w:rsidR="000309CC" w:rsidRPr="000309CC">
        <w:rPr>
          <w:rFonts w:ascii="Times New Roman" w:hAnsi="Times New Roman"/>
          <w:b/>
          <w:noProof/>
          <w:sz w:val="24"/>
        </w:rPr>
        <w:t xml:space="preserve"> </w:t>
      </w:r>
      <w:r w:rsidR="000309CC" w:rsidRPr="000309CC">
        <w:rPr>
          <w:rFonts w:ascii="Times New Roman" w:hAnsi="Times New Roman"/>
          <w:noProof/>
          <w:sz w:val="24"/>
        </w:rPr>
        <w:t>w</w:t>
      </w:r>
      <w:r w:rsidR="000309CC" w:rsidRPr="000309CC">
        <w:rPr>
          <w:rFonts w:ascii="Times New Roman" w:hAnsi="Times New Roman"/>
          <w:b/>
          <w:noProof/>
          <w:sz w:val="24"/>
        </w:rPr>
        <w:t> </w:t>
      </w:r>
      <w:r w:rsidR="000309CC" w:rsidRPr="000309CC">
        <w:rPr>
          <w:rFonts w:ascii="Times New Roman" w:hAnsi="Times New Roman"/>
          <w:noProof/>
          <w:sz w:val="24"/>
        </w:rPr>
        <w:t>Ukr</w:t>
      </w:r>
      <w:r w:rsidRPr="000309CC">
        <w:rPr>
          <w:rFonts w:ascii="Times New Roman" w:hAnsi="Times New Roman"/>
          <w:noProof/>
          <w:sz w:val="24"/>
        </w:rPr>
        <w:t>ainie, tak by możliwe było pociągnięcie sprawców do odpowiedzialności.</w:t>
      </w:r>
      <w:r w:rsidR="000309CC" w:rsidRPr="000309CC">
        <w:rPr>
          <w:rFonts w:ascii="Times New Roman" w:hAnsi="Times New Roman"/>
          <w:noProof/>
          <w:sz w:val="24"/>
        </w:rPr>
        <w:t xml:space="preserve"> </w:t>
      </w:r>
    </w:p>
    <w:p w14:paraId="7146B937" w14:textId="27E5E9BB" w:rsidR="004C21A8" w:rsidRPr="000309CC" w:rsidRDefault="004C21A8" w:rsidP="000868C1">
      <w:pPr>
        <w:spacing w:line="240" w:lineRule="auto"/>
        <w:jc w:val="both"/>
        <w:rPr>
          <w:rFonts w:ascii="Times New Roman" w:hAnsi="Times New Roman" w:cs="Times New Roman"/>
          <w:noProof/>
          <w:sz w:val="24"/>
          <w:szCs w:val="24"/>
        </w:rPr>
      </w:pPr>
      <w:r w:rsidRPr="000309CC">
        <w:rPr>
          <w:rFonts w:ascii="Times New Roman" w:hAnsi="Times New Roman"/>
          <w:noProof/>
          <w:sz w:val="24"/>
        </w:rPr>
        <w:t>Dwa państwa członkowskie</w:t>
      </w:r>
      <w:r w:rsidR="000309CC" w:rsidRPr="000309CC">
        <w:rPr>
          <w:rFonts w:ascii="Times New Roman" w:hAnsi="Times New Roman"/>
          <w:noProof/>
          <w:sz w:val="24"/>
        </w:rPr>
        <w:t xml:space="preserve"> i Ukr</w:t>
      </w:r>
      <w:r w:rsidRPr="000309CC">
        <w:rPr>
          <w:rFonts w:ascii="Times New Roman" w:hAnsi="Times New Roman"/>
          <w:noProof/>
          <w:sz w:val="24"/>
        </w:rPr>
        <w:t>aina powołały wspólny zespół dochodzeniowo-śledczy (JIT)</w:t>
      </w:r>
      <w:r w:rsidR="000309CC" w:rsidRPr="000309CC">
        <w:rPr>
          <w:rFonts w:ascii="Times New Roman" w:hAnsi="Times New Roman"/>
          <w:noProof/>
          <w:sz w:val="24"/>
        </w:rPr>
        <w:t xml:space="preserve"> w cel</w:t>
      </w:r>
      <w:r w:rsidRPr="000309CC">
        <w:rPr>
          <w:rFonts w:ascii="Times New Roman" w:hAnsi="Times New Roman"/>
          <w:noProof/>
          <w:sz w:val="24"/>
        </w:rPr>
        <w:t>u przeprowadzenia postępowań przygotowawczych</w:t>
      </w:r>
      <w:r w:rsidR="000309CC" w:rsidRPr="000309CC">
        <w:rPr>
          <w:rFonts w:ascii="Times New Roman" w:hAnsi="Times New Roman"/>
          <w:noProof/>
          <w:sz w:val="24"/>
        </w:rPr>
        <w:t xml:space="preserve"> w spr</w:t>
      </w:r>
      <w:r w:rsidRPr="000309CC">
        <w:rPr>
          <w:rFonts w:ascii="Times New Roman" w:hAnsi="Times New Roman"/>
          <w:noProof/>
          <w:sz w:val="24"/>
        </w:rPr>
        <w:t>awie zbrodni wojennych, zbrodni przeciwko ludzkości</w:t>
      </w:r>
      <w:r w:rsidR="000309CC" w:rsidRPr="000309CC">
        <w:rPr>
          <w:rFonts w:ascii="Times New Roman" w:hAnsi="Times New Roman"/>
          <w:noProof/>
          <w:sz w:val="24"/>
        </w:rPr>
        <w:t xml:space="preserve"> i inn</w:t>
      </w:r>
      <w:r w:rsidRPr="000309CC">
        <w:rPr>
          <w:rFonts w:ascii="Times New Roman" w:hAnsi="Times New Roman"/>
          <w:noProof/>
          <w:sz w:val="24"/>
        </w:rPr>
        <w:t>ych zarzutów popełnienia zbrodni międzynarodowych na terytorium Ukrainy. Eurojust udziela temu zespołowi dochodzeniowo-śledczemu wsparcia prawnego, analitycznego, finansowego</w:t>
      </w:r>
      <w:r w:rsidR="000309CC" w:rsidRPr="000309CC">
        <w:rPr>
          <w:rFonts w:ascii="Times New Roman" w:hAnsi="Times New Roman"/>
          <w:noProof/>
          <w:sz w:val="24"/>
        </w:rPr>
        <w:t xml:space="preserve"> i log</w:t>
      </w:r>
      <w:r w:rsidRPr="000309CC">
        <w:rPr>
          <w:rFonts w:ascii="Times New Roman" w:hAnsi="Times New Roman"/>
          <w:noProof/>
          <w:sz w:val="24"/>
        </w:rPr>
        <w:t>istycznego. 25 kwietnia 2022</w:t>
      </w:r>
      <w:r w:rsidR="000309CC" w:rsidRPr="000309CC">
        <w:rPr>
          <w:rFonts w:ascii="Times New Roman" w:hAnsi="Times New Roman"/>
          <w:noProof/>
          <w:sz w:val="24"/>
        </w:rPr>
        <w:t> </w:t>
      </w:r>
      <w:r w:rsidRPr="000309CC">
        <w:rPr>
          <w:rFonts w:ascii="Times New Roman" w:hAnsi="Times New Roman"/>
          <w:noProof/>
          <w:sz w:val="24"/>
        </w:rPr>
        <w:t>r. Urząd Prokuratora Międzynarodowego Trybunału Karnego dołączył do zespołu dochodzeniowo-śledczego jako uczestnik</w:t>
      </w:r>
      <w:r w:rsidR="003840C9" w:rsidRPr="000309CC">
        <w:rPr>
          <w:rStyle w:val="FootnoteReference"/>
          <w:rFonts w:ascii="Times New Roman" w:eastAsia="Times New Roman" w:hAnsi="Times New Roman" w:cs="Times New Roman"/>
          <w:noProof/>
          <w:sz w:val="24"/>
          <w:szCs w:val="24"/>
        </w:rPr>
        <w:footnoteReference w:id="47"/>
      </w:r>
      <w:r w:rsidR="000309CC" w:rsidRPr="000309CC">
        <w:rPr>
          <w:rFonts w:ascii="Times New Roman" w:hAnsi="Times New Roman"/>
          <w:noProof/>
          <w:sz w:val="24"/>
        </w:rPr>
        <w:t xml:space="preserve"> i ocz</w:t>
      </w:r>
      <w:r w:rsidRPr="000309CC">
        <w:rPr>
          <w:rFonts w:ascii="Times New Roman" w:hAnsi="Times New Roman"/>
          <w:noProof/>
          <w:sz w:val="24"/>
        </w:rPr>
        <w:t>ekuje się, że wkrótce dołączą kolejni uczestnicy.</w:t>
      </w:r>
      <w:r w:rsidRPr="000309CC">
        <w:rPr>
          <w:rFonts w:ascii="Times New Roman" w:hAnsi="Times New Roman"/>
          <w:noProof/>
          <w:sz w:val="24"/>
          <w:highlight w:val="yellow"/>
        </w:rPr>
        <w:t xml:space="preserve"> </w:t>
      </w:r>
    </w:p>
    <w:p w14:paraId="413C6685" w14:textId="0DDFFB54" w:rsidR="009F7274" w:rsidRPr="000309CC" w:rsidRDefault="00F7049E" w:rsidP="009F7274">
      <w:pPr>
        <w:spacing w:line="240" w:lineRule="auto"/>
        <w:jc w:val="both"/>
        <w:rPr>
          <w:rFonts w:ascii="Times New Roman" w:eastAsia="Times New Roman" w:hAnsi="Times New Roman" w:cs="Times New Roman"/>
          <w:noProof/>
          <w:sz w:val="24"/>
          <w:szCs w:val="24"/>
        </w:rPr>
      </w:pPr>
      <w:r w:rsidRPr="000309CC">
        <w:rPr>
          <w:rFonts w:ascii="Times New Roman" w:hAnsi="Times New Roman"/>
          <w:noProof/>
          <w:sz w:val="24"/>
        </w:rPr>
        <w:t>25 kwietnia 2022</w:t>
      </w:r>
      <w:r w:rsidR="000309CC" w:rsidRPr="000309CC">
        <w:rPr>
          <w:rFonts w:ascii="Times New Roman" w:hAnsi="Times New Roman"/>
          <w:noProof/>
          <w:sz w:val="24"/>
        </w:rPr>
        <w:t> </w:t>
      </w:r>
      <w:r w:rsidRPr="000309CC">
        <w:rPr>
          <w:rFonts w:ascii="Times New Roman" w:hAnsi="Times New Roman"/>
          <w:noProof/>
          <w:sz w:val="24"/>
        </w:rPr>
        <w:t>r. Komisja przedstawiła wniosek dotyczący zmiany rozporządzenia</w:t>
      </w:r>
      <w:r w:rsidR="000309CC" w:rsidRPr="000309CC">
        <w:rPr>
          <w:rFonts w:ascii="Times New Roman" w:hAnsi="Times New Roman"/>
          <w:noProof/>
          <w:sz w:val="24"/>
        </w:rPr>
        <w:t xml:space="preserve"> w spr</w:t>
      </w:r>
      <w:r w:rsidRPr="000309CC">
        <w:rPr>
          <w:rFonts w:ascii="Times New Roman" w:hAnsi="Times New Roman"/>
          <w:noProof/>
          <w:sz w:val="24"/>
        </w:rPr>
        <w:t>awie Eurojustu</w:t>
      </w:r>
      <w:r w:rsidR="003840C9" w:rsidRPr="000309CC">
        <w:rPr>
          <w:rStyle w:val="FootnoteReference"/>
          <w:rFonts w:ascii="Times New Roman" w:eastAsia="Times New Roman" w:hAnsi="Times New Roman" w:cs="Times New Roman"/>
          <w:noProof/>
          <w:sz w:val="24"/>
          <w:szCs w:val="24"/>
        </w:rPr>
        <w:footnoteReference w:id="48"/>
      </w:r>
      <w:r w:rsidRPr="000309CC">
        <w:rPr>
          <w:rFonts w:ascii="Times New Roman" w:hAnsi="Times New Roman"/>
          <w:noProof/>
          <w:sz w:val="24"/>
        </w:rPr>
        <w:t>, tak aby Eurojust mógł zabezpieczać, analizować</w:t>
      </w:r>
      <w:r w:rsidR="000309CC" w:rsidRPr="000309CC">
        <w:rPr>
          <w:rFonts w:ascii="Times New Roman" w:hAnsi="Times New Roman"/>
          <w:noProof/>
          <w:sz w:val="24"/>
        </w:rPr>
        <w:t xml:space="preserve"> i prz</w:t>
      </w:r>
      <w:r w:rsidRPr="000309CC">
        <w:rPr>
          <w:rFonts w:ascii="Times New Roman" w:hAnsi="Times New Roman"/>
          <w:noProof/>
          <w:sz w:val="24"/>
        </w:rPr>
        <w:t>echowywać dowody związane</w:t>
      </w:r>
      <w:r w:rsidR="000309CC" w:rsidRPr="000309CC">
        <w:rPr>
          <w:rFonts w:ascii="Times New Roman" w:hAnsi="Times New Roman"/>
          <w:noProof/>
          <w:sz w:val="24"/>
        </w:rPr>
        <w:t xml:space="preserve"> z naj</w:t>
      </w:r>
      <w:r w:rsidRPr="000309CC">
        <w:rPr>
          <w:rFonts w:ascii="Times New Roman" w:hAnsi="Times New Roman"/>
          <w:noProof/>
          <w:sz w:val="24"/>
        </w:rPr>
        <w:t>poważniejszymi zbrodniami wagi międzynarodowej. Eurojust</w:t>
      </w:r>
      <w:r w:rsidR="000309CC" w:rsidRPr="000309CC">
        <w:rPr>
          <w:rFonts w:ascii="Times New Roman" w:hAnsi="Times New Roman"/>
          <w:noProof/>
          <w:sz w:val="24"/>
        </w:rPr>
        <w:t xml:space="preserve"> i Eur</w:t>
      </w:r>
      <w:r w:rsidRPr="000309CC">
        <w:rPr>
          <w:rFonts w:ascii="Times New Roman" w:hAnsi="Times New Roman"/>
          <w:noProof/>
          <w:sz w:val="24"/>
        </w:rPr>
        <w:t>opol będą nieustannie ściśle współpracować przez cały czas realizacji tego procesu. Zasadniczą rolę</w:t>
      </w:r>
      <w:r w:rsidR="000309CC" w:rsidRPr="000309CC">
        <w:rPr>
          <w:rFonts w:ascii="Times New Roman" w:hAnsi="Times New Roman"/>
          <w:noProof/>
          <w:sz w:val="24"/>
        </w:rPr>
        <w:t xml:space="preserve"> w koo</w:t>
      </w:r>
      <w:r w:rsidRPr="000309CC">
        <w:rPr>
          <w:rFonts w:ascii="Times New Roman" w:hAnsi="Times New Roman"/>
          <w:noProof/>
          <w:sz w:val="24"/>
        </w:rPr>
        <w:t>rdynowaniu reakcji wymiaru sprawiedliwości odgrywa również sieć punktów kontaktowych ds. ścigania ludobójstwa, której sekretariat prowadzi Eurojust</w:t>
      </w:r>
      <w:r w:rsidR="000309CC" w:rsidRPr="000309CC">
        <w:rPr>
          <w:rFonts w:ascii="Times New Roman" w:hAnsi="Times New Roman"/>
          <w:noProof/>
          <w:sz w:val="24"/>
        </w:rPr>
        <w:t xml:space="preserve"> i któ</w:t>
      </w:r>
      <w:r w:rsidRPr="000309CC">
        <w:rPr>
          <w:rFonts w:ascii="Times New Roman" w:hAnsi="Times New Roman"/>
          <w:noProof/>
          <w:sz w:val="24"/>
        </w:rPr>
        <w:t>ra przygotowała atlas organizacji pozarządowych działających obecnie</w:t>
      </w:r>
      <w:r w:rsidR="000309CC" w:rsidRPr="000309CC">
        <w:rPr>
          <w:rFonts w:ascii="Times New Roman" w:hAnsi="Times New Roman"/>
          <w:noProof/>
          <w:sz w:val="24"/>
        </w:rPr>
        <w:t xml:space="preserve"> w Ukr</w:t>
      </w:r>
      <w:r w:rsidRPr="000309CC">
        <w:rPr>
          <w:rFonts w:ascii="Times New Roman" w:hAnsi="Times New Roman"/>
          <w:noProof/>
          <w:sz w:val="24"/>
        </w:rPr>
        <w:t>ainie,</w:t>
      </w:r>
      <w:r w:rsidR="000309CC" w:rsidRPr="000309CC">
        <w:rPr>
          <w:rFonts w:ascii="Times New Roman" w:hAnsi="Times New Roman"/>
          <w:noProof/>
          <w:sz w:val="24"/>
        </w:rPr>
        <w:t xml:space="preserve"> a tak</w:t>
      </w:r>
      <w:r w:rsidRPr="000309CC">
        <w:rPr>
          <w:rFonts w:ascii="Times New Roman" w:hAnsi="Times New Roman"/>
          <w:noProof/>
          <w:sz w:val="24"/>
        </w:rPr>
        <w:t>że wspiera praktyków krajowych</w:t>
      </w:r>
      <w:r w:rsidR="000309CC" w:rsidRPr="000309CC">
        <w:rPr>
          <w:rFonts w:ascii="Times New Roman" w:hAnsi="Times New Roman"/>
          <w:noProof/>
          <w:sz w:val="24"/>
        </w:rPr>
        <w:t xml:space="preserve"> z pań</w:t>
      </w:r>
      <w:r w:rsidRPr="000309CC">
        <w:rPr>
          <w:rFonts w:ascii="Times New Roman" w:hAnsi="Times New Roman"/>
          <w:noProof/>
          <w:sz w:val="24"/>
        </w:rPr>
        <w:t>stw członkowskich</w:t>
      </w:r>
      <w:r w:rsidR="000309CC" w:rsidRPr="000309CC">
        <w:rPr>
          <w:rFonts w:ascii="Times New Roman" w:hAnsi="Times New Roman"/>
          <w:noProof/>
          <w:sz w:val="24"/>
        </w:rPr>
        <w:t xml:space="preserve"> i Ukr</w:t>
      </w:r>
      <w:r w:rsidRPr="000309CC">
        <w:rPr>
          <w:rFonts w:ascii="Times New Roman" w:hAnsi="Times New Roman"/>
          <w:noProof/>
          <w:sz w:val="24"/>
        </w:rPr>
        <w:t>ainy prowadzących bieżące sprawy związane</w:t>
      </w:r>
      <w:r w:rsidR="000309CC" w:rsidRPr="000309CC">
        <w:rPr>
          <w:rFonts w:ascii="Times New Roman" w:hAnsi="Times New Roman"/>
          <w:noProof/>
          <w:sz w:val="24"/>
        </w:rPr>
        <w:t xml:space="preserve"> z woj</w:t>
      </w:r>
      <w:r w:rsidRPr="000309CC">
        <w:rPr>
          <w:rFonts w:ascii="Times New Roman" w:hAnsi="Times New Roman"/>
          <w:noProof/>
          <w:sz w:val="24"/>
        </w:rPr>
        <w:t>ną.</w:t>
      </w:r>
    </w:p>
    <w:p w14:paraId="4535D9C1" w14:textId="0EBA364F" w:rsidR="009F7274" w:rsidRPr="000309CC" w:rsidRDefault="009C71A2" w:rsidP="00474DA2">
      <w:pPr>
        <w:spacing w:after="0" w:line="240" w:lineRule="auto"/>
        <w:jc w:val="both"/>
        <w:rPr>
          <w:rFonts w:ascii="Times New Roman" w:hAnsi="Times New Roman" w:cs="Times New Roman"/>
          <w:b/>
          <w:bCs/>
          <w:noProof/>
          <w:sz w:val="24"/>
          <w:szCs w:val="24"/>
        </w:rPr>
      </w:pPr>
      <w:r w:rsidRPr="000309CC">
        <w:rPr>
          <w:rFonts w:ascii="Times New Roman" w:hAnsi="Times New Roman"/>
          <w:noProof/>
          <w:sz w:val="24"/>
        </w:rPr>
        <w:t>W kwietniu 2022</w:t>
      </w:r>
      <w:r w:rsidR="000309CC" w:rsidRPr="000309CC">
        <w:rPr>
          <w:rFonts w:ascii="Times New Roman" w:hAnsi="Times New Roman"/>
          <w:noProof/>
          <w:sz w:val="24"/>
        </w:rPr>
        <w:t> </w:t>
      </w:r>
      <w:r w:rsidRPr="000309CC">
        <w:rPr>
          <w:rFonts w:ascii="Times New Roman" w:hAnsi="Times New Roman"/>
          <w:noProof/>
          <w:sz w:val="24"/>
        </w:rPr>
        <w:t xml:space="preserve">r. Rada dodatkowo zmieniła mandat </w:t>
      </w:r>
      <w:r w:rsidRPr="000309CC">
        <w:rPr>
          <w:rFonts w:ascii="Times New Roman" w:hAnsi="Times New Roman"/>
          <w:b/>
          <w:noProof/>
          <w:sz w:val="24"/>
        </w:rPr>
        <w:t>misji doradczej UE</w:t>
      </w:r>
      <w:r w:rsidR="000309CC" w:rsidRPr="000309CC">
        <w:rPr>
          <w:rFonts w:ascii="Times New Roman" w:hAnsi="Times New Roman"/>
          <w:b/>
          <w:noProof/>
          <w:sz w:val="24"/>
        </w:rPr>
        <w:t xml:space="preserve"> w Ukr</w:t>
      </w:r>
      <w:r w:rsidRPr="000309CC">
        <w:rPr>
          <w:rFonts w:ascii="Times New Roman" w:hAnsi="Times New Roman"/>
          <w:b/>
          <w:noProof/>
          <w:sz w:val="24"/>
        </w:rPr>
        <w:t>ainie</w:t>
      </w:r>
      <w:r w:rsidRPr="000309CC">
        <w:rPr>
          <w:rFonts w:ascii="Times New Roman" w:hAnsi="Times New Roman"/>
          <w:noProof/>
          <w:sz w:val="24"/>
        </w:rPr>
        <w:t>, co umożliwiło udzielenie przez misję wsparcia organom ukraińskim</w:t>
      </w:r>
      <w:r w:rsidR="000309CC" w:rsidRPr="000309CC">
        <w:rPr>
          <w:rFonts w:ascii="Times New Roman" w:hAnsi="Times New Roman"/>
          <w:noProof/>
          <w:sz w:val="24"/>
        </w:rPr>
        <w:t xml:space="preserve"> w pro</w:t>
      </w:r>
      <w:r w:rsidRPr="000309CC">
        <w:rPr>
          <w:rFonts w:ascii="Times New Roman" w:hAnsi="Times New Roman"/>
          <w:noProof/>
          <w:sz w:val="24"/>
        </w:rPr>
        <w:t>wadzeniu dochodzeń</w:t>
      </w:r>
      <w:r w:rsidR="000309CC" w:rsidRPr="000309CC">
        <w:rPr>
          <w:rFonts w:ascii="Times New Roman" w:hAnsi="Times New Roman"/>
          <w:noProof/>
          <w:sz w:val="24"/>
        </w:rPr>
        <w:t xml:space="preserve"> w spr</w:t>
      </w:r>
      <w:r w:rsidRPr="000309CC">
        <w:rPr>
          <w:rFonts w:ascii="Times New Roman" w:hAnsi="Times New Roman"/>
          <w:noProof/>
          <w:sz w:val="24"/>
        </w:rPr>
        <w:t>awie wszelkich zbrodni międzynarodowych popełnionych</w:t>
      </w:r>
      <w:r w:rsidR="000309CC" w:rsidRPr="000309CC">
        <w:rPr>
          <w:rFonts w:ascii="Times New Roman" w:hAnsi="Times New Roman"/>
          <w:noProof/>
          <w:sz w:val="24"/>
        </w:rPr>
        <w:t xml:space="preserve"> w kon</w:t>
      </w:r>
      <w:r w:rsidRPr="000309CC">
        <w:rPr>
          <w:rFonts w:ascii="Times New Roman" w:hAnsi="Times New Roman"/>
          <w:noProof/>
          <w:sz w:val="24"/>
        </w:rPr>
        <w:t>tekście rosyjskiej agresji wojskowej oraz</w:t>
      </w:r>
      <w:r w:rsidR="000309CC" w:rsidRPr="000309CC">
        <w:rPr>
          <w:rFonts w:ascii="Times New Roman" w:hAnsi="Times New Roman"/>
          <w:noProof/>
          <w:sz w:val="24"/>
        </w:rPr>
        <w:t xml:space="preserve"> w ich</w:t>
      </w:r>
      <w:r w:rsidRPr="000309CC">
        <w:rPr>
          <w:rFonts w:ascii="Times New Roman" w:hAnsi="Times New Roman"/>
          <w:noProof/>
          <w:sz w:val="24"/>
        </w:rPr>
        <w:t xml:space="preserve"> ściganiu. Misja zapewni organom ukraińskim doradztwo strategiczne dotyczące prowadzenia dochodzeń</w:t>
      </w:r>
      <w:r w:rsidR="000309CC" w:rsidRPr="000309CC">
        <w:rPr>
          <w:rFonts w:ascii="Times New Roman" w:hAnsi="Times New Roman"/>
          <w:noProof/>
          <w:sz w:val="24"/>
        </w:rPr>
        <w:t xml:space="preserve"> i ści</w:t>
      </w:r>
      <w:r w:rsidRPr="000309CC">
        <w:rPr>
          <w:rFonts w:ascii="Times New Roman" w:hAnsi="Times New Roman"/>
          <w:noProof/>
          <w:sz w:val="24"/>
        </w:rPr>
        <w:t>gania zbrodni międzynarodowych, niezbędnych zmian</w:t>
      </w:r>
      <w:r w:rsidR="000309CC" w:rsidRPr="000309CC">
        <w:rPr>
          <w:rFonts w:ascii="Times New Roman" w:hAnsi="Times New Roman"/>
          <w:noProof/>
          <w:sz w:val="24"/>
        </w:rPr>
        <w:t xml:space="preserve"> w ust</w:t>
      </w:r>
      <w:r w:rsidRPr="000309CC">
        <w:rPr>
          <w:rFonts w:ascii="Times New Roman" w:hAnsi="Times New Roman"/>
          <w:noProof/>
          <w:sz w:val="24"/>
        </w:rPr>
        <w:t>awodawstwie ukraińskim, strategii komunikacji, jak również szkolenia</w:t>
      </w:r>
      <w:r w:rsidR="000309CC" w:rsidRPr="000309CC">
        <w:rPr>
          <w:rFonts w:ascii="Times New Roman" w:hAnsi="Times New Roman"/>
          <w:noProof/>
          <w:sz w:val="24"/>
        </w:rPr>
        <w:t xml:space="preserve"> z zak</w:t>
      </w:r>
      <w:r w:rsidRPr="000309CC">
        <w:rPr>
          <w:rFonts w:ascii="Times New Roman" w:hAnsi="Times New Roman"/>
          <w:noProof/>
          <w:sz w:val="24"/>
        </w:rPr>
        <w:t>resu powiązanych kwestii. Misja uczestniczy</w:t>
      </w:r>
      <w:r w:rsidR="000309CC" w:rsidRPr="000309CC">
        <w:rPr>
          <w:rFonts w:ascii="Times New Roman" w:hAnsi="Times New Roman"/>
          <w:noProof/>
          <w:sz w:val="24"/>
        </w:rPr>
        <w:t xml:space="preserve"> w wie</w:t>
      </w:r>
      <w:r w:rsidRPr="000309CC">
        <w:rPr>
          <w:rFonts w:ascii="Times New Roman" w:hAnsi="Times New Roman"/>
          <w:noProof/>
          <w:sz w:val="24"/>
        </w:rPr>
        <w:t>lu inicjatywach na rzecz koordynacji</w:t>
      </w:r>
      <w:r w:rsidR="000309CC" w:rsidRPr="000309CC">
        <w:rPr>
          <w:rFonts w:ascii="Times New Roman" w:hAnsi="Times New Roman"/>
          <w:noProof/>
          <w:sz w:val="24"/>
        </w:rPr>
        <w:t xml:space="preserve"> w tym</w:t>
      </w:r>
      <w:r w:rsidRPr="000309CC">
        <w:rPr>
          <w:rFonts w:ascii="Times New Roman" w:hAnsi="Times New Roman"/>
          <w:noProof/>
          <w:sz w:val="24"/>
        </w:rPr>
        <w:t xml:space="preserve"> kontekście oraz, wspólnie</w:t>
      </w:r>
      <w:r w:rsidR="000309CC" w:rsidRPr="000309CC">
        <w:rPr>
          <w:rFonts w:ascii="Times New Roman" w:hAnsi="Times New Roman"/>
          <w:noProof/>
          <w:sz w:val="24"/>
        </w:rPr>
        <w:t xml:space="preserve"> z del</w:t>
      </w:r>
      <w:r w:rsidRPr="000309CC">
        <w:rPr>
          <w:rFonts w:ascii="Times New Roman" w:hAnsi="Times New Roman"/>
          <w:noProof/>
          <w:sz w:val="24"/>
        </w:rPr>
        <w:t>egaturą Unii, wchodzi</w:t>
      </w:r>
      <w:r w:rsidR="000309CC" w:rsidRPr="000309CC">
        <w:rPr>
          <w:rFonts w:ascii="Times New Roman" w:hAnsi="Times New Roman"/>
          <w:noProof/>
          <w:sz w:val="24"/>
        </w:rPr>
        <w:t xml:space="preserve"> w skł</w:t>
      </w:r>
      <w:r w:rsidRPr="000309CC">
        <w:rPr>
          <w:rFonts w:ascii="Times New Roman" w:hAnsi="Times New Roman"/>
          <w:noProof/>
          <w:sz w:val="24"/>
        </w:rPr>
        <w:t>ad grupy doradczej USA-UE ds. masowych aktów okrucieństwa</w:t>
      </w:r>
      <w:r w:rsidR="000309CC" w:rsidRPr="000309CC">
        <w:rPr>
          <w:rFonts w:ascii="Times New Roman" w:hAnsi="Times New Roman"/>
          <w:noProof/>
          <w:sz w:val="24"/>
        </w:rPr>
        <w:t xml:space="preserve"> w Ukr</w:t>
      </w:r>
      <w:r w:rsidRPr="000309CC">
        <w:rPr>
          <w:rFonts w:ascii="Times New Roman" w:hAnsi="Times New Roman"/>
          <w:noProof/>
          <w:sz w:val="24"/>
        </w:rPr>
        <w:t xml:space="preserve">ainie. </w:t>
      </w:r>
    </w:p>
    <w:bookmarkEnd w:id="3"/>
    <w:p w14:paraId="3DEF87FF" w14:textId="77777777" w:rsidR="00474DA2" w:rsidRPr="000309CC"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sidRPr="000309CC">
        <w:rPr>
          <w:rFonts w:ascii="Times New Roman" w:hAnsi="Times New Roman"/>
          <w:b/>
          <w:noProof/>
          <w:sz w:val="24"/>
        </w:rPr>
        <w:t>ZAGRANICZNA MANIPULACJA INFORMACJAMI I INGERENCJA W INFORMACJE</w:t>
      </w:r>
    </w:p>
    <w:p w14:paraId="29411509" w14:textId="689B55DA" w:rsidR="00474DA2" w:rsidRPr="000309CC" w:rsidRDefault="00474DA2"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Aktualne wydarzenia geopolityczne uwypukliły ryzyko ingerencji zagranicznej. Agresji wojskowej Rosji wobec Ukrainy towarzyszą działania związane</w:t>
      </w:r>
      <w:r w:rsidR="000309CC" w:rsidRPr="000309CC">
        <w:rPr>
          <w:rFonts w:ascii="Times New Roman" w:hAnsi="Times New Roman"/>
          <w:noProof/>
          <w:sz w:val="24"/>
        </w:rPr>
        <w:t xml:space="preserve"> z zag</w:t>
      </w:r>
      <w:r w:rsidRPr="000309CC">
        <w:rPr>
          <w:rFonts w:ascii="Times New Roman" w:hAnsi="Times New Roman"/>
          <w:noProof/>
          <w:sz w:val="24"/>
        </w:rPr>
        <w:t xml:space="preserve">raniczną </w:t>
      </w:r>
      <w:r w:rsidRPr="000309CC">
        <w:rPr>
          <w:rFonts w:ascii="Times New Roman" w:hAnsi="Times New Roman"/>
          <w:b/>
          <w:noProof/>
          <w:sz w:val="24"/>
        </w:rPr>
        <w:t>manipulacją informacjami</w:t>
      </w:r>
      <w:r w:rsidR="000309CC" w:rsidRPr="000309CC">
        <w:rPr>
          <w:rFonts w:ascii="Times New Roman" w:hAnsi="Times New Roman"/>
          <w:b/>
          <w:noProof/>
          <w:sz w:val="24"/>
        </w:rPr>
        <w:t xml:space="preserve"> i ing</w:t>
      </w:r>
      <w:r w:rsidRPr="000309CC">
        <w:rPr>
          <w:rFonts w:ascii="Times New Roman" w:hAnsi="Times New Roman"/>
          <w:b/>
          <w:noProof/>
          <w:sz w:val="24"/>
        </w:rPr>
        <w:t>erencją</w:t>
      </w:r>
      <w:r w:rsidR="000309CC" w:rsidRPr="000309CC">
        <w:rPr>
          <w:rFonts w:ascii="Times New Roman" w:hAnsi="Times New Roman"/>
          <w:b/>
          <w:noProof/>
          <w:sz w:val="24"/>
        </w:rPr>
        <w:t xml:space="preserve"> w inf</w:t>
      </w:r>
      <w:r w:rsidRPr="000309CC">
        <w:rPr>
          <w:rFonts w:ascii="Times New Roman" w:hAnsi="Times New Roman"/>
          <w:b/>
          <w:noProof/>
          <w:sz w:val="24"/>
        </w:rPr>
        <w:t>ormacje</w:t>
      </w:r>
      <w:r w:rsidRPr="000309CC">
        <w:rPr>
          <w:rFonts w:ascii="Times New Roman" w:hAnsi="Times New Roman"/>
          <w:noProof/>
          <w:sz w:val="24"/>
        </w:rPr>
        <w:t>. Bezpodstawne oskarżenia o „nazizm” i „ludobójstwo” wobec rządu ukraińskiego, działania pod obcą banderą</w:t>
      </w:r>
      <w:r w:rsidR="000309CC" w:rsidRPr="000309CC">
        <w:rPr>
          <w:rFonts w:ascii="Times New Roman" w:hAnsi="Times New Roman"/>
          <w:noProof/>
          <w:sz w:val="24"/>
        </w:rPr>
        <w:t xml:space="preserve"> i nie</w:t>
      </w:r>
      <w:r w:rsidRPr="000309CC">
        <w:rPr>
          <w:rFonts w:ascii="Times New Roman" w:hAnsi="Times New Roman"/>
          <w:noProof/>
          <w:sz w:val="24"/>
        </w:rPr>
        <w:t>uzasadnione zarzuty wobec NATO</w:t>
      </w:r>
      <w:r w:rsidR="000309CC" w:rsidRPr="000309CC">
        <w:rPr>
          <w:rFonts w:ascii="Times New Roman" w:hAnsi="Times New Roman"/>
          <w:noProof/>
          <w:sz w:val="24"/>
        </w:rPr>
        <w:t xml:space="preserve"> i Zac</w:t>
      </w:r>
      <w:r w:rsidRPr="000309CC">
        <w:rPr>
          <w:rFonts w:ascii="Times New Roman" w:hAnsi="Times New Roman"/>
          <w:noProof/>
          <w:sz w:val="24"/>
        </w:rPr>
        <w:t>hodu są wykorzystywane do usprawiedliwienia brutalnych ataków na Ukrainę, natomiast wolność słowa</w:t>
      </w:r>
      <w:r w:rsidR="000309CC" w:rsidRPr="000309CC">
        <w:rPr>
          <w:rFonts w:ascii="Times New Roman" w:hAnsi="Times New Roman"/>
          <w:noProof/>
          <w:sz w:val="24"/>
        </w:rPr>
        <w:t xml:space="preserve"> i nie</w:t>
      </w:r>
      <w:r w:rsidRPr="000309CC">
        <w:rPr>
          <w:rFonts w:ascii="Times New Roman" w:hAnsi="Times New Roman"/>
          <w:noProof/>
          <w:sz w:val="24"/>
        </w:rPr>
        <w:t>zależne doniesienia</w:t>
      </w:r>
      <w:r w:rsidR="000309CC" w:rsidRPr="000309CC">
        <w:rPr>
          <w:rFonts w:ascii="Times New Roman" w:hAnsi="Times New Roman"/>
          <w:noProof/>
          <w:sz w:val="24"/>
        </w:rPr>
        <w:t xml:space="preserve"> w Ros</w:t>
      </w:r>
      <w:r w:rsidRPr="000309CC">
        <w:rPr>
          <w:rFonts w:ascii="Times New Roman" w:hAnsi="Times New Roman"/>
          <w:noProof/>
          <w:sz w:val="24"/>
        </w:rPr>
        <w:t>ji są tłumione. Nieustannie istnieje ryzyko manipulacji materiałami audiowizualnymi</w:t>
      </w:r>
      <w:r w:rsidR="000309CC" w:rsidRPr="000309CC">
        <w:rPr>
          <w:rFonts w:ascii="Times New Roman" w:hAnsi="Times New Roman"/>
          <w:noProof/>
          <w:sz w:val="24"/>
        </w:rPr>
        <w:t xml:space="preserve"> i dez</w:t>
      </w:r>
      <w:r w:rsidRPr="000309CC">
        <w:rPr>
          <w:rFonts w:ascii="Times New Roman" w:hAnsi="Times New Roman"/>
          <w:noProof/>
          <w:sz w:val="24"/>
        </w:rPr>
        <w:t>informacji, które Rosja może próbować wykorzystać jako pretekst do kolejnych ataków wojskowych, do osłabienia zdecydowanego ukraińskiego oporu, do podzielenia społeczności międzynarodowej</w:t>
      </w:r>
      <w:r w:rsidR="000309CC" w:rsidRPr="000309CC">
        <w:rPr>
          <w:rFonts w:ascii="Times New Roman" w:hAnsi="Times New Roman"/>
          <w:noProof/>
          <w:sz w:val="24"/>
        </w:rPr>
        <w:t xml:space="preserve"> w jej</w:t>
      </w:r>
      <w:r w:rsidRPr="000309CC">
        <w:rPr>
          <w:rFonts w:ascii="Times New Roman" w:hAnsi="Times New Roman"/>
          <w:noProof/>
          <w:sz w:val="24"/>
        </w:rPr>
        <w:t xml:space="preserve"> sprzeciwie wobec wojny lub do zasiania wątpliwości co do naruszania przez Rosję prawa międzynarodowego. W Strategicznym kompasie UE zobowiązała się do zdecydowanego reagowania na zagraniczne manipulacje informacjami</w:t>
      </w:r>
      <w:r w:rsidR="000309CC" w:rsidRPr="000309CC">
        <w:rPr>
          <w:rFonts w:ascii="Times New Roman" w:hAnsi="Times New Roman"/>
          <w:noProof/>
          <w:sz w:val="24"/>
        </w:rPr>
        <w:t xml:space="preserve"> i ing</w:t>
      </w:r>
      <w:r w:rsidRPr="000309CC">
        <w:rPr>
          <w:rFonts w:ascii="Times New Roman" w:hAnsi="Times New Roman"/>
          <w:noProof/>
          <w:sz w:val="24"/>
        </w:rPr>
        <w:t>erencje</w:t>
      </w:r>
      <w:r w:rsidR="000309CC" w:rsidRPr="000309CC">
        <w:rPr>
          <w:rFonts w:ascii="Times New Roman" w:hAnsi="Times New Roman"/>
          <w:noProof/>
          <w:sz w:val="24"/>
        </w:rPr>
        <w:t xml:space="preserve"> w inf</w:t>
      </w:r>
      <w:r w:rsidRPr="000309CC">
        <w:rPr>
          <w:rFonts w:ascii="Times New Roman" w:hAnsi="Times New Roman"/>
          <w:noProof/>
          <w:sz w:val="24"/>
        </w:rPr>
        <w:t>ormacje oraz do zwiększenia swojej odporności</w:t>
      </w:r>
      <w:r w:rsidR="000309CC" w:rsidRPr="000309CC">
        <w:rPr>
          <w:rFonts w:ascii="Times New Roman" w:hAnsi="Times New Roman"/>
          <w:noProof/>
          <w:sz w:val="24"/>
        </w:rPr>
        <w:t xml:space="preserve"> i zdo</w:t>
      </w:r>
      <w:r w:rsidRPr="000309CC">
        <w:rPr>
          <w:rFonts w:ascii="Times New Roman" w:hAnsi="Times New Roman"/>
          <w:noProof/>
          <w:sz w:val="24"/>
        </w:rPr>
        <w:t>lności</w:t>
      </w:r>
      <w:r w:rsidR="000309CC" w:rsidRPr="000309CC">
        <w:rPr>
          <w:rFonts w:ascii="Times New Roman" w:hAnsi="Times New Roman"/>
          <w:noProof/>
          <w:sz w:val="24"/>
        </w:rPr>
        <w:t xml:space="preserve"> w zak</w:t>
      </w:r>
      <w:r w:rsidRPr="000309CC">
        <w:rPr>
          <w:rFonts w:ascii="Times New Roman" w:hAnsi="Times New Roman"/>
          <w:noProof/>
          <w:sz w:val="24"/>
        </w:rPr>
        <w:t>resie przeciwdziałania takim zagrożeniom</w:t>
      </w:r>
      <w:r w:rsidR="00C40AFE" w:rsidRPr="000309CC">
        <w:rPr>
          <w:rStyle w:val="FootnoteReference"/>
          <w:rFonts w:ascii="Times New Roman" w:hAnsi="Times New Roman" w:cs="Times New Roman"/>
          <w:noProof/>
          <w:sz w:val="24"/>
          <w:szCs w:val="24"/>
        </w:rPr>
        <w:footnoteReference w:id="49"/>
      </w:r>
      <w:r w:rsidRPr="000309CC">
        <w:rPr>
          <w:rFonts w:ascii="Times New Roman" w:hAnsi="Times New Roman"/>
          <w:noProof/>
          <w:sz w:val="24"/>
        </w:rPr>
        <w:t>. Manipulowanie demokratyczną debatą w UE jest przedmiotem europejskiego planu działania na rzecz demokracji, czyli skoordynowanego planu Komisji mającego na celu przeciwdziałanie dezinformacji</w:t>
      </w:r>
      <w:r w:rsidR="000309CC" w:rsidRPr="000309CC">
        <w:rPr>
          <w:rFonts w:ascii="Times New Roman" w:hAnsi="Times New Roman"/>
          <w:noProof/>
          <w:sz w:val="24"/>
        </w:rPr>
        <w:t xml:space="preserve"> i wzm</w:t>
      </w:r>
      <w:r w:rsidRPr="000309CC">
        <w:rPr>
          <w:rFonts w:ascii="Times New Roman" w:hAnsi="Times New Roman"/>
          <w:noProof/>
          <w:sz w:val="24"/>
        </w:rPr>
        <w:t>ocnienie odporności demokratycznej</w:t>
      </w:r>
      <w:r w:rsidR="003C40F7" w:rsidRPr="000309CC">
        <w:rPr>
          <w:rStyle w:val="FootnoteReference"/>
          <w:rFonts w:ascii="Times New Roman" w:hAnsi="Times New Roman" w:cs="Times New Roman"/>
          <w:noProof/>
          <w:sz w:val="24"/>
          <w:szCs w:val="24"/>
        </w:rPr>
        <w:footnoteReference w:id="50"/>
      </w:r>
      <w:r w:rsidRPr="000309CC">
        <w:rPr>
          <w:rFonts w:ascii="Times New Roman" w:hAnsi="Times New Roman"/>
          <w:noProof/>
          <w:sz w:val="24"/>
        </w:rPr>
        <w:t>.</w:t>
      </w:r>
    </w:p>
    <w:p w14:paraId="40D0B41D" w14:textId="77777777" w:rsidR="00474DA2" w:rsidRPr="000309CC" w:rsidRDefault="00474DA2" w:rsidP="00474DA2">
      <w:pPr>
        <w:spacing w:after="0" w:line="240" w:lineRule="auto"/>
        <w:jc w:val="both"/>
        <w:rPr>
          <w:rFonts w:ascii="Times New Roman" w:hAnsi="Times New Roman" w:cs="Times New Roman"/>
          <w:b/>
          <w:i/>
          <w:noProof/>
          <w:sz w:val="24"/>
          <w:szCs w:val="24"/>
        </w:rPr>
      </w:pPr>
    </w:p>
    <w:p w14:paraId="219A9F11" w14:textId="39AECA0E" w:rsidR="00474DA2" w:rsidRPr="000309CC" w:rsidRDefault="00474DA2" w:rsidP="00474DA2">
      <w:pPr>
        <w:spacing w:after="0" w:line="240" w:lineRule="auto"/>
        <w:jc w:val="both"/>
        <w:rPr>
          <w:rFonts w:ascii="Times New Roman" w:hAnsi="Times New Roman" w:cs="Times New Roman"/>
          <w:b/>
          <w:i/>
          <w:noProof/>
          <w:sz w:val="24"/>
          <w:szCs w:val="24"/>
        </w:rPr>
      </w:pPr>
      <w:r w:rsidRPr="000309CC">
        <w:rPr>
          <w:rFonts w:ascii="Times New Roman" w:hAnsi="Times New Roman"/>
          <w:b/>
          <w:i/>
          <w:noProof/>
          <w:sz w:val="24"/>
        </w:rPr>
        <w:t>Czujność</w:t>
      </w:r>
      <w:r w:rsidR="000309CC" w:rsidRPr="000309CC">
        <w:rPr>
          <w:rFonts w:ascii="Times New Roman" w:hAnsi="Times New Roman"/>
          <w:b/>
          <w:i/>
          <w:noProof/>
          <w:sz w:val="24"/>
        </w:rPr>
        <w:t xml:space="preserve"> i koo</w:t>
      </w:r>
      <w:r w:rsidRPr="000309CC">
        <w:rPr>
          <w:rFonts w:ascii="Times New Roman" w:hAnsi="Times New Roman"/>
          <w:b/>
          <w:i/>
          <w:noProof/>
          <w:sz w:val="24"/>
        </w:rPr>
        <w:t>rdynacja</w:t>
      </w:r>
    </w:p>
    <w:p w14:paraId="43D5238C" w14:textId="77777777" w:rsidR="00B40084" w:rsidRPr="000309CC" w:rsidRDefault="00B40084" w:rsidP="00F72F72">
      <w:pPr>
        <w:spacing w:after="0" w:line="240" w:lineRule="auto"/>
        <w:jc w:val="both"/>
        <w:rPr>
          <w:rFonts w:ascii="Times New Roman" w:hAnsi="Times New Roman" w:cs="Times New Roman"/>
          <w:noProof/>
          <w:sz w:val="24"/>
          <w:szCs w:val="24"/>
        </w:rPr>
      </w:pPr>
    </w:p>
    <w:p w14:paraId="62C17990" w14:textId="7195B15F" w:rsidR="00F72F72" w:rsidRPr="000309CC" w:rsidRDefault="00C40AFE" w:rsidP="00F72F7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Unia Europejska zareagowała zdecydowanymi</w:t>
      </w:r>
      <w:r w:rsidR="000309CC" w:rsidRPr="000309CC">
        <w:rPr>
          <w:rFonts w:ascii="Times New Roman" w:hAnsi="Times New Roman"/>
          <w:noProof/>
          <w:sz w:val="24"/>
        </w:rPr>
        <w:t xml:space="preserve"> i sko</w:t>
      </w:r>
      <w:r w:rsidRPr="000309CC">
        <w:rPr>
          <w:rFonts w:ascii="Times New Roman" w:hAnsi="Times New Roman"/>
          <w:noProof/>
          <w:sz w:val="24"/>
        </w:rPr>
        <w:t>ordynowanymi działaniami na rosyjską kampanię dezinformacyjną prowadzoną</w:t>
      </w:r>
      <w:r w:rsidR="000309CC" w:rsidRPr="000309CC">
        <w:rPr>
          <w:rFonts w:ascii="Times New Roman" w:hAnsi="Times New Roman"/>
          <w:noProof/>
          <w:sz w:val="24"/>
        </w:rPr>
        <w:t xml:space="preserve"> w kon</w:t>
      </w:r>
      <w:r w:rsidRPr="000309CC">
        <w:rPr>
          <w:rFonts w:ascii="Times New Roman" w:hAnsi="Times New Roman"/>
          <w:noProof/>
          <w:sz w:val="24"/>
        </w:rPr>
        <w:t>tekście agresji wojskowej wobec Ukrainy. UE ściśle współpracuje</w:t>
      </w:r>
      <w:r w:rsidR="000309CC" w:rsidRPr="000309CC">
        <w:rPr>
          <w:rFonts w:ascii="Times New Roman" w:hAnsi="Times New Roman"/>
          <w:noProof/>
          <w:sz w:val="24"/>
        </w:rPr>
        <w:t xml:space="preserve"> z pań</w:t>
      </w:r>
      <w:r w:rsidRPr="000309CC">
        <w:rPr>
          <w:rFonts w:ascii="Times New Roman" w:hAnsi="Times New Roman"/>
          <w:noProof/>
          <w:sz w:val="24"/>
        </w:rPr>
        <w:t>stwami członkowskimi za pośrednictwem systemu wczesnego ostrzegania oraz</w:t>
      </w:r>
      <w:r w:rsidR="000309CC" w:rsidRPr="000309CC">
        <w:rPr>
          <w:rFonts w:ascii="Times New Roman" w:hAnsi="Times New Roman"/>
          <w:noProof/>
          <w:sz w:val="24"/>
        </w:rPr>
        <w:t xml:space="preserve"> z par</w:t>
      </w:r>
      <w:r w:rsidRPr="000309CC">
        <w:rPr>
          <w:rFonts w:ascii="Times New Roman" w:hAnsi="Times New Roman"/>
          <w:noProof/>
          <w:sz w:val="24"/>
        </w:rPr>
        <w:t>tnerami międzynarodowymi, takimi jak NATO, USA, Kanada</w:t>
      </w:r>
      <w:r w:rsidR="000309CC" w:rsidRPr="000309CC">
        <w:rPr>
          <w:rFonts w:ascii="Times New Roman" w:hAnsi="Times New Roman"/>
          <w:noProof/>
          <w:sz w:val="24"/>
        </w:rPr>
        <w:t xml:space="preserve"> i mec</w:t>
      </w:r>
      <w:r w:rsidRPr="000309CC">
        <w:rPr>
          <w:rFonts w:ascii="Times New Roman" w:hAnsi="Times New Roman"/>
          <w:noProof/>
          <w:sz w:val="24"/>
        </w:rPr>
        <w:t>hanizm szybkiego reagowania grupy G7, aby wymieniać się spostrzeżeniami na temat tendencji</w:t>
      </w:r>
      <w:r w:rsidR="000309CC" w:rsidRPr="000309CC">
        <w:rPr>
          <w:rFonts w:ascii="Times New Roman" w:hAnsi="Times New Roman"/>
          <w:noProof/>
          <w:sz w:val="24"/>
        </w:rPr>
        <w:t xml:space="preserve"> i tak</w:t>
      </w:r>
      <w:r w:rsidRPr="000309CC">
        <w:rPr>
          <w:rFonts w:ascii="Times New Roman" w:hAnsi="Times New Roman"/>
          <w:noProof/>
          <w:sz w:val="24"/>
        </w:rPr>
        <w:t>tyk manipulacji stosowanych przez Kreml. Prace nad ujawnieniem manipulacji Kremla zostały zintensyfikowane,</w:t>
      </w:r>
      <w:r w:rsidR="000309CC" w:rsidRPr="000309CC">
        <w:rPr>
          <w:rFonts w:ascii="Times New Roman" w:hAnsi="Times New Roman"/>
          <w:noProof/>
          <w:sz w:val="24"/>
        </w:rPr>
        <w:t xml:space="preserve"> w szc</w:t>
      </w:r>
      <w:r w:rsidRPr="000309CC">
        <w:rPr>
          <w:rFonts w:ascii="Times New Roman" w:hAnsi="Times New Roman"/>
          <w:noProof/>
          <w:sz w:val="24"/>
        </w:rPr>
        <w:t>zególności za pomocą strony internetowej EUvsDisinfo, na której publikowane są informacje</w:t>
      </w:r>
      <w:r w:rsidR="000309CC" w:rsidRPr="000309CC">
        <w:rPr>
          <w:rFonts w:ascii="Times New Roman" w:hAnsi="Times New Roman"/>
          <w:noProof/>
          <w:sz w:val="24"/>
        </w:rPr>
        <w:t xml:space="preserve"> w jęz</w:t>
      </w:r>
      <w:r w:rsidRPr="000309CC">
        <w:rPr>
          <w:rFonts w:ascii="Times New Roman" w:hAnsi="Times New Roman"/>
          <w:noProof/>
          <w:sz w:val="24"/>
        </w:rPr>
        <w:t>yku angielskim, rosyjskim, ukraińskim</w:t>
      </w:r>
      <w:r w:rsidR="000309CC" w:rsidRPr="000309CC">
        <w:rPr>
          <w:rFonts w:ascii="Times New Roman" w:hAnsi="Times New Roman"/>
          <w:noProof/>
          <w:sz w:val="24"/>
        </w:rPr>
        <w:t xml:space="preserve"> i inn</w:t>
      </w:r>
      <w:r w:rsidRPr="000309CC">
        <w:rPr>
          <w:rFonts w:ascii="Times New Roman" w:hAnsi="Times New Roman"/>
          <w:noProof/>
          <w:sz w:val="24"/>
        </w:rPr>
        <w:t>ych językach,</w:t>
      </w:r>
      <w:r w:rsidR="000309CC" w:rsidRPr="000309CC">
        <w:rPr>
          <w:rFonts w:ascii="Times New Roman" w:hAnsi="Times New Roman"/>
          <w:noProof/>
          <w:sz w:val="24"/>
        </w:rPr>
        <w:t xml:space="preserve"> z myś</w:t>
      </w:r>
      <w:r w:rsidRPr="000309CC">
        <w:rPr>
          <w:rFonts w:ascii="Times New Roman" w:hAnsi="Times New Roman"/>
          <w:noProof/>
          <w:sz w:val="24"/>
        </w:rPr>
        <w:t>lą</w:t>
      </w:r>
      <w:r w:rsidR="000309CC" w:rsidRPr="000309CC">
        <w:rPr>
          <w:rFonts w:ascii="Times New Roman" w:hAnsi="Times New Roman"/>
          <w:noProof/>
          <w:sz w:val="24"/>
        </w:rPr>
        <w:t xml:space="preserve"> o prz</w:t>
      </w:r>
      <w:r w:rsidRPr="000309CC">
        <w:rPr>
          <w:rFonts w:ascii="Times New Roman" w:hAnsi="Times New Roman"/>
          <w:noProof/>
          <w:sz w:val="24"/>
        </w:rPr>
        <w:t>ekazywaniu faktycznych informacji w UE, Ukrainie</w:t>
      </w:r>
      <w:r w:rsidR="000309CC" w:rsidRPr="000309CC">
        <w:rPr>
          <w:rFonts w:ascii="Times New Roman" w:hAnsi="Times New Roman"/>
          <w:noProof/>
          <w:sz w:val="24"/>
        </w:rPr>
        <w:t xml:space="preserve"> i reg</w:t>
      </w:r>
      <w:r w:rsidRPr="000309CC">
        <w:rPr>
          <w:rFonts w:ascii="Times New Roman" w:hAnsi="Times New Roman"/>
          <w:noProof/>
          <w:sz w:val="24"/>
        </w:rPr>
        <w:t>ionie,</w:t>
      </w:r>
      <w:r w:rsidR="000309CC" w:rsidRPr="000309CC">
        <w:rPr>
          <w:rFonts w:ascii="Times New Roman" w:hAnsi="Times New Roman"/>
          <w:noProof/>
          <w:sz w:val="24"/>
        </w:rPr>
        <w:t xml:space="preserve"> a tak</w:t>
      </w:r>
      <w:r w:rsidRPr="000309CC">
        <w:rPr>
          <w:rFonts w:ascii="Times New Roman" w:hAnsi="Times New Roman"/>
          <w:noProof/>
          <w:sz w:val="24"/>
        </w:rPr>
        <w:t>że</w:t>
      </w:r>
      <w:r w:rsidR="000309CC" w:rsidRPr="000309CC">
        <w:rPr>
          <w:rFonts w:ascii="Times New Roman" w:hAnsi="Times New Roman"/>
          <w:noProof/>
          <w:sz w:val="24"/>
        </w:rPr>
        <w:t xml:space="preserve"> w Ros</w:t>
      </w:r>
      <w:r w:rsidRPr="000309CC">
        <w:rPr>
          <w:rFonts w:ascii="Times New Roman" w:hAnsi="Times New Roman"/>
          <w:noProof/>
          <w:sz w:val="24"/>
        </w:rPr>
        <w:t>ji. Od 2 marca transmisja</w:t>
      </w:r>
      <w:r w:rsidR="000309CC" w:rsidRPr="000309CC">
        <w:rPr>
          <w:rFonts w:ascii="Times New Roman" w:hAnsi="Times New Roman"/>
          <w:noProof/>
          <w:sz w:val="24"/>
        </w:rPr>
        <w:t xml:space="preserve"> i nad</w:t>
      </w:r>
      <w:r w:rsidRPr="000309CC">
        <w:rPr>
          <w:rFonts w:ascii="Times New Roman" w:hAnsi="Times New Roman"/>
          <w:noProof/>
          <w:sz w:val="24"/>
        </w:rPr>
        <w:t>awanie przez kanały rosyjskich mediów państwowych RT</w:t>
      </w:r>
      <w:r w:rsidR="000309CC" w:rsidRPr="000309CC">
        <w:rPr>
          <w:rFonts w:ascii="Times New Roman" w:hAnsi="Times New Roman"/>
          <w:noProof/>
          <w:sz w:val="24"/>
        </w:rPr>
        <w:t xml:space="preserve"> i Spu</w:t>
      </w:r>
      <w:r w:rsidRPr="000309CC">
        <w:rPr>
          <w:rFonts w:ascii="Times New Roman" w:hAnsi="Times New Roman"/>
          <w:noProof/>
          <w:sz w:val="24"/>
        </w:rPr>
        <w:t>tnik w UE lub skierowane do UE są zawieszone</w:t>
      </w:r>
      <w:r w:rsidR="000309CC" w:rsidRPr="000309CC">
        <w:rPr>
          <w:rFonts w:ascii="Times New Roman" w:hAnsi="Times New Roman"/>
          <w:noProof/>
          <w:sz w:val="24"/>
        </w:rPr>
        <w:t xml:space="preserve"> w wyn</w:t>
      </w:r>
      <w:r w:rsidRPr="000309CC">
        <w:rPr>
          <w:rFonts w:ascii="Times New Roman" w:hAnsi="Times New Roman"/>
          <w:noProof/>
          <w:sz w:val="24"/>
        </w:rPr>
        <w:t>iku przyjęcia przez UE środków ograniczających. Sygnatariusze kodeksu postępowania</w:t>
      </w:r>
      <w:r w:rsidR="000309CC" w:rsidRPr="000309CC">
        <w:rPr>
          <w:rFonts w:ascii="Times New Roman" w:hAnsi="Times New Roman"/>
          <w:noProof/>
          <w:sz w:val="24"/>
        </w:rPr>
        <w:t xml:space="preserve"> w zak</w:t>
      </w:r>
      <w:r w:rsidRPr="000309CC">
        <w:rPr>
          <w:rFonts w:ascii="Times New Roman" w:hAnsi="Times New Roman"/>
          <w:noProof/>
          <w:sz w:val="24"/>
        </w:rPr>
        <w:t>resie zwalczania dezinformacji</w:t>
      </w:r>
      <w:r w:rsidR="00474DA2" w:rsidRPr="000309CC">
        <w:rPr>
          <w:rStyle w:val="FootnoteReference"/>
          <w:rFonts w:ascii="Times New Roman" w:hAnsi="Times New Roman" w:cs="Times New Roman"/>
          <w:noProof/>
          <w:sz w:val="24"/>
          <w:szCs w:val="24"/>
        </w:rPr>
        <w:footnoteReference w:id="51"/>
      </w:r>
      <w:r w:rsidRPr="000309CC">
        <w:rPr>
          <w:rFonts w:ascii="Times New Roman" w:hAnsi="Times New Roman"/>
          <w:noProof/>
          <w:sz w:val="24"/>
        </w:rPr>
        <w:t xml:space="preserve"> – platformy internetowe, wiodące sieci społecznościowe, reklamodawcy</w:t>
      </w:r>
      <w:r w:rsidR="000309CC" w:rsidRPr="000309CC">
        <w:rPr>
          <w:rFonts w:ascii="Times New Roman" w:hAnsi="Times New Roman"/>
          <w:noProof/>
          <w:sz w:val="24"/>
        </w:rPr>
        <w:t xml:space="preserve"> i prz</w:t>
      </w:r>
      <w:r w:rsidRPr="000309CC">
        <w:rPr>
          <w:rFonts w:ascii="Times New Roman" w:hAnsi="Times New Roman"/>
          <w:noProof/>
          <w:sz w:val="24"/>
        </w:rPr>
        <w:t>edstawiciele branży reklamowej – podejmują pilne działania</w:t>
      </w:r>
      <w:r w:rsidR="000309CC" w:rsidRPr="000309CC">
        <w:rPr>
          <w:rFonts w:ascii="Times New Roman" w:hAnsi="Times New Roman"/>
          <w:noProof/>
          <w:sz w:val="24"/>
        </w:rPr>
        <w:t xml:space="preserve"> w cel</w:t>
      </w:r>
      <w:r w:rsidRPr="000309CC">
        <w:rPr>
          <w:rFonts w:ascii="Times New Roman" w:hAnsi="Times New Roman"/>
          <w:noProof/>
          <w:sz w:val="24"/>
        </w:rPr>
        <w:t>u ograniczenia dezinformacji związanej</w:t>
      </w:r>
      <w:r w:rsidR="000309CC" w:rsidRPr="000309CC">
        <w:rPr>
          <w:rFonts w:ascii="Times New Roman" w:hAnsi="Times New Roman"/>
          <w:noProof/>
          <w:sz w:val="24"/>
        </w:rPr>
        <w:t xml:space="preserve"> z ros</w:t>
      </w:r>
      <w:r w:rsidRPr="000309CC">
        <w:rPr>
          <w:rFonts w:ascii="Times New Roman" w:hAnsi="Times New Roman"/>
          <w:noProof/>
          <w:sz w:val="24"/>
        </w:rPr>
        <w:t>yjską agresją wobec Ukrainy. Komisja i ESDZ monitorują te starania</w:t>
      </w:r>
      <w:r w:rsidR="000309CC" w:rsidRPr="000309CC">
        <w:rPr>
          <w:rFonts w:ascii="Times New Roman" w:hAnsi="Times New Roman"/>
          <w:noProof/>
          <w:sz w:val="24"/>
        </w:rPr>
        <w:t>. Z prz</w:t>
      </w:r>
      <w:r w:rsidRPr="000309CC">
        <w:rPr>
          <w:rFonts w:ascii="Times New Roman" w:hAnsi="Times New Roman"/>
          <w:noProof/>
          <w:sz w:val="24"/>
        </w:rPr>
        <w:t>ekazanych informacji wynika, że platformy wzmocniły swoje narzędzia monitorowania</w:t>
      </w:r>
      <w:r w:rsidR="000309CC" w:rsidRPr="000309CC">
        <w:rPr>
          <w:rFonts w:ascii="Times New Roman" w:hAnsi="Times New Roman"/>
          <w:noProof/>
          <w:sz w:val="24"/>
        </w:rPr>
        <w:t xml:space="preserve"> i int</w:t>
      </w:r>
      <w:r w:rsidRPr="000309CC">
        <w:rPr>
          <w:rFonts w:ascii="Times New Roman" w:hAnsi="Times New Roman"/>
          <w:noProof/>
          <w:sz w:val="24"/>
        </w:rPr>
        <w:t>erwencji związane</w:t>
      </w:r>
      <w:r w:rsidR="000309CC" w:rsidRPr="000309CC">
        <w:rPr>
          <w:rFonts w:ascii="Times New Roman" w:hAnsi="Times New Roman"/>
          <w:noProof/>
          <w:sz w:val="24"/>
        </w:rPr>
        <w:t xml:space="preserve"> z woj</w:t>
      </w:r>
      <w:r w:rsidRPr="000309CC">
        <w:rPr>
          <w:rFonts w:ascii="Times New Roman" w:hAnsi="Times New Roman"/>
          <w:noProof/>
          <w:sz w:val="24"/>
        </w:rPr>
        <w:t>ną.</w:t>
      </w:r>
    </w:p>
    <w:p w14:paraId="336182FF" w14:textId="77777777" w:rsidR="00F72F72" w:rsidRPr="000309CC" w:rsidRDefault="00F72F72" w:rsidP="00F72F72">
      <w:pPr>
        <w:spacing w:after="0" w:line="240" w:lineRule="auto"/>
        <w:jc w:val="both"/>
        <w:rPr>
          <w:rFonts w:ascii="Times New Roman" w:hAnsi="Times New Roman" w:cs="Times New Roman"/>
          <w:b/>
          <w:i/>
          <w:noProof/>
          <w:sz w:val="24"/>
          <w:szCs w:val="24"/>
        </w:rPr>
      </w:pPr>
    </w:p>
    <w:p w14:paraId="3EEB49E0" w14:textId="22A27173" w:rsidR="00DA4322" w:rsidRPr="000309CC" w:rsidRDefault="00DA4322" w:rsidP="00DA432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Ponadto szybko podejmowane są działania mające na celu wsparcie państw Azji Środkowej</w:t>
      </w:r>
      <w:r w:rsidR="000309CC" w:rsidRPr="000309CC">
        <w:rPr>
          <w:rFonts w:ascii="Times New Roman" w:hAnsi="Times New Roman"/>
          <w:noProof/>
          <w:sz w:val="24"/>
        </w:rPr>
        <w:t xml:space="preserve"> i Bał</w:t>
      </w:r>
      <w:r w:rsidRPr="000309CC">
        <w:rPr>
          <w:rFonts w:ascii="Times New Roman" w:hAnsi="Times New Roman"/>
          <w:noProof/>
          <w:sz w:val="24"/>
        </w:rPr>
        <w:t>kanów Zachodnich</w:t>
      </w:r>
      <w:r w:rsidR="000309CC" w:rsidRPr="000309CC">
        <w:rPr>
          <w:rFonts w:ascii="Times New Roman" w:hAnsi="Times New Roman"/>
          <w:noProof/>
          <w:sz w:val="24"/>
        </w:rPr>
        <w:t xml:space="preserve"> w zwi</w:t>
      </w:r>
      <w:r w:rsidRPr="000309CC">
        <w:rPr>
          <w:rFonts w:ascii="Times New Roman" w:hAnsi="Times New Roman"/>
          <w:noProof/>
          <w:sz w:val="24"/>
        </w:rPr>
        <w:t>ększaniu odporności informacyjnej</w:t>
      </w:r>
      <w:r w:rsidR="000309CC" w:rsidRPr="000309CC">
        <w:rPr>
          <w:rFonts w:ascii="Times New Roman" w:hAnsi="Times New Roman"/>
          <w:noProof/>
          <w:sz w:val="24"/>
        </w:rPr>
        <w:t xml:space="preserve"> i prz</w:t>
      </w:r>
      <w:r w:rsidRPr="000309CC">
        <w:rPr>
          <w:rFonts w:ascii="Times New Roman" w:hAnsi="Times New Roman"/>
          <w:noProof/>
          <w:sz w:val="24"/>
        </w:rPr>
        <w:t>eciwdziałaniu zagranicznym manipulacjom informacjami</w:t>
      </w:r>
      <w:r w:rsidR="000309CC" w:rsidRPr="000309CC">
        <w:rPr>
          <w:rFonts w:ascii="Times New Roman" w:hAnsi="Times New Roman"/>
          <w:noProof/>
          <w:sz w:val="24"/>
        </w:rPr>
        <w:t xml:space="preserve"> i dez</w:t>
      </w:r>
      <w:r w:rsidRPr="000309CC">
        <w:rPr>
          <w:rFonts w:ascii="Times New Roman" w:hAnsi="Times New Roman"/>
          <w:noProof/>
          <w:sz w:val="24"/>
        </w:rPr>
        <w:t>informacji.</w:t>
      </w:r>
    </w:p>
    <w:p w14:paraId="637DFD06" w14:textId="77777777" w:rsidR="00474DA2" w:rsidRPr="000309CC" w:rsidRDefault="00474DA2" w:rsidP="00474DA2">
      <w:pPr>
        <w:spacing w:after="0" w:line="240" w:lineRule="auto"/>
        <w:jc w:val="both"/>
        <w:rPr>
          <w:rFonts w:ascii="Times New Roman" w:hAnsi="Times New Roman" w:cs="Times New Roman"/>
          <w:b/>
          <w:i/>
          <w:noProof/>
          <w:sz w:val="24"/>
          <w:szCs w:val="24"/>
        </w:rPr>
      </w:pPr>
    </w:p>
    <w:p w14:paraId="7360C989" w14:textId="77777777" w:rsidR="00474DA2" w:rsidRPr="000309CC" w:rsidRDefault="00474DA2" w:rsidP="00474DA2">
      <w:pPr>
        <w:spacing w:after="0" w:line="240" w:lineRule="auto"/>
        <w:jc w:val="both"/>
        <w:rPr>
          <w:rFonts w:ascii="Times New Roman" w:hAnsi="Times New Roman" w:cs="Times New Roman"/>
          <w:b/>
          <w:i/>
          <w:noProof/>
          <w:sz w:val="24"/>
          <w:szCs w:val="24"/>
        </w:rPr>
      </w:pPr>
      <w:r w:rsidRPr="000309CC">
        <w:rPr>
          <w:rFonts w:ascii="Times New Roman" w:hAnsi="Times New Roman"/>
          <w:b/>
          <w:i/>
          <w:noProof/>
          <w:sz w:val="24"/>
        </w:rPr>
        <w:t>Gotowość</w:t>
      </w:r>
    </w:p>
    <w:p w14:paraId="63207E5C" w14:textId="77777777" w:rsidR="0099171C" w:rsidRPr="000309CC" w:rsidRDefault="0099171C" w:rsidP="00474DA2">
      <w:pPr>
        <w:spacing w:after="0" w:line="240" w:lineRule="auto"/>
        <w:jc w:val="both"/>
        <w:rPr>
          <w:rFonts w:ascii="Times New Roman" w:hAnsi="Times New Roman" w:cs="Times New Roman"/>
          <w:noProof/>
          <w:sz w:val="24"/>
          <w:szCs w:val="24"/>
        </w:rPr>
      </w:pPr>
    </w:p>
    <w:p w14:paraId="709C7758" w14:textId="41526699" w:rsidR="00474DA2" w:rsidRPr="000309CC" w:rsidRDefault="00474DA2"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Jawne stosowanie zagranicznych manipulacji informacjami</w:t>
      </w:r>
      <w:r w:rsidR="000309CC" w:rsidRPr="000309CC">
        <w:rPr>
          <w:rFonts w:ascii="Times New Roman" w:hAnsi="Times New Roman"/>
          <w:noProof/>
          <w:sz w:val="24"/>
        </w:rPr>
        <w:t xml:space="preserve"> i ing</w:t>
      </w:r>
      <w:r w:rsidRPr="000309CC">
        <w:rPr>
          <w:rFonts w:ascii="Times New Roman" w:hAnsi="Times New Roman"/>
          <w:noProof/>
          <w:sz w:val="24"/>
        </w:rPr>
        <w:t>erencji</w:t>
      </w:r>
      <w:r w:rsidR="000309CC" w:rsidRPr="000309CC">
        <w:rPr>
          <w:rFonts w:ascii="Times New Roman" w:hAnsi="Times New Roman"/>
          <w:noProof/>
          <w:sz w:val="24"/>
        </w:rPr>
        <w:t xml:space="preserve"> w inf</w:t>
      </w:r>
      <w:r w:rsidRPr="000309CC">
        <w:rPr>
          <w:rFonts w:ascii="Times New Roman" w:hAnsi="Times New Roman"/>
          <w:noProof/>
          <w:sz w:val="24"/>
        </w:rPr>
        <w:t>ormacje,</w:t>
      </w:r>
      <w:r w:rsidR="000309CC" w:rsidRPr="000309CC">
        <w:rPr>
          <w:rFonts w:ascii="Times New Roman" w:hAnsi="Times New Roman"/>
          <w:noProof/>
          <w:sz w:val="24"/>
        </w:rPr>
        <w:t xml:space="preserve"> w tym</w:t>
      </w:r>
      <w:r w:rsidRPr="000309CC">
        <w:rPr>
          <w:rFonts w:ascii="Times New Roman" w:hAnsi="Times New Roman"/>
          <w:noProof/>
          <w:sz w:val="24"/>
        </w:rPr>
        <w:t xml:space="preserve"> dezinformacji, jako jednego</w:t>
      </w:r>
      <w:r w:rsidR="000309CC" w:rsidRPr="000309CC">
        <w:rPr>
          <w:rFonts w:ascii="Times New Roman" w:hAnsi="Times New Roman"/>
          <w:noProof/>
          <w:sz w:val="24"/>
        </w:rPr>
        <w:t xml:space="preserve"> z nar</w:t>
      </w:r>
      <w:r w:rsidRPr="000309CC">
        <w:rPr>
          <w:rFonts w:ascii="Times New Roman" w:hAnsi="Times New Roman"/>
          <w:noProof/>
          <w:sz w:val="24"/>
        </w:rPr>
        <w:t>zędzi zagrożeń hybrydowych, sprawiło, że działania następcze</w:t>
      </w:r>
      <w:r w:rsidR="000309CC" w:rsidRPr="000309CC">
        <w:rPr>
          <w:rFonts w:ascii="Times New Roman" w:hAnsi="Times New Roman"/>
          <w:noProof/>
          <w:sz w:val="24"/>
        </w:rPr>
        <w:t xml:space="preserve"> w zwi</w:t>
      </w:r>
      <w:r w:rsidRPr="000309CC">
        <w:rPr>
          <w:rFonts w:ascii="Times New Roman" w:hAnsi="Times New Roman"/>
          <w:noProof/>
          <w:sz w:val="24"/>
        </w:rPr>
        <w:t>ązku</w:t>
      </w:r>
      <w:r w:rsidR="000309CC" w:rsidRPr="000309CC">
        <w:rPr>
          <w:rFonts w:ascii="Times New Roman" w:hAnsi="Times New Roman"/>
          <w:noProof/>
          <w:sz w:val="24"/>
        </w:rPr>
        <w:t xml:space="preserve"> z eur</w:t>
      </w:r>
      <w:r w:rsidRPr="000309CC">
        <w:rPr>
          <w:rFonts w:ascii="Times New Roman" w:hAnsi="Times New Roman"/>
          <w:noProof/>
          <w:sz w:val="24"/>
        </w:rPr>
        <w:t>opejskim planem działania na rzecz demokracji stały się jeszcze pilniejszą kwestią</w:t>
      </w:r>
      <w:r w:rsidR="000309CC" w:rsidRPr="000309CC">
        <w:rPr>
          <w:rFonts w:ascii="Times New Roman" w:hAnsi="Times New Roman"/>
          <w:noProof/>
          <w:sz w:val="24"/>
        </w:rPr>
        <w:t>. W ost</w:t>
      </w:r>
      <w:r w:rsidRPr="000309CC">
        <w:rPr>
          <w:rFonts w:ascii="Times New Roman" w:hAnsi="Times New Roman"/>
          <w:noProof/>
          <w:sz w:val="24"/>
        </w:rPr>
        <w:t>atnich miesiącach instytucje Unii wspierały państwa członkowskie</w:t>
      </w:r>
      <w:r w:rsidR="000309CC" w:rsidRPr="000309CC">
        <w:rPr>
          <w:rFonts w:ascii="Times New Roman" w:hAnsi="Times New Roman"/>
          <w:noProof/>
          <w:sz w:val="24"/>
        </w:rPr>
        <w:t xml:space="preserve"> w zwa</w:t>
      </w:r>
      <w:r w:rsidRPr="000309CC">
        <w:rPr>
          <w:rFonts w:ascii="Times New Roman" w:hAnsi="Times New Roman"/>
          <w:noProof/>
          <w:sz w:val="24"/>
        </w:rPr>
        <w:t>lczaniu zagranicznych manipulacji informacjami</w:t>
      </w:r>
      <w:r w:rsidR="000309CC" w:rsidRPr="000309CC">
        <w:rPr>
          <w:rFonts w:ascii="Times New Roman" w:hAnsi="Times New Roman"/>
          <w:noProof/>
          <w:sz w:val="24"/>
        </w:rPr>
        <w:t xml:space="preserve"> i ing</w:t>
      </w:r>
      <w:r w:rsidRPr="000309CC">
        <w:rPr>
          <w:rFonts w:ascii="Times New Roman" w:hAnsi="Times New Roman"/>
          <w:noProof/>
          <w:sz w:val="24"/>
        </w:rPr>
        <w:t>erencji</w:t>
      </w:r>
      <w:r w:rsidR="000309CC" w:rsidRPr="000309CC">
        <w:rPr>
          <w:rFonts w:ascii="Times New Roman" w:hAnsi="Times New Roman"/>
          <w:noProof/>
          <w:sz w:val="24"/>
        </w:rPr>
        <w:t xml:space="preserve"> w inf</w:t>
      </w:r>
      <w:r w:rsidRPr="000309CC">
        <w:rPr>
          <w:rFonts w:ascii="Times New Roman" w:hAnsi="Times New Roman"/>
          <w:noProof/>
          <w:sz w:val="24"/>
        </w:rPr>
        <w:t>ormacje,</w:t>
      </w:r>
      <w:r w:rsidR="000309CC" w:rsidRPr="000309CC">
        <w:rPr>
          <w:rFonts w:ascii="Times New Roman" w:hAnsi="Times New Roman"/>
          <w:noProof/>
          <w:sz w:val="24"/>
        </w:rPr>
        <w:t xml:space="preserve"> w szc</w:t>
      </w:r>
      <w:r w:rsidRPr="000309CC">
        <w:rPr>
          <w:rFonts w:ascii="Times New Roman" w:hAnsi="Times New Roman"/>
          <w:noProof/>
          <w:sz w:val="24"/>
        </w:rPr>
        <w:t>zególności</w:t>
      </w:r>
      <w:r w:rsidR="000309CC" w:rsidRPr="000309CC">
        <w:rPr>
          <w:rFonts w:ascii="Times New Roman" w:hAnsi="Times New Roman"/>
          <w:noProof/>
          <w:sz w:val="24"/>
        </w:rPr>
        <w:t xml:space="preserve"> w ram</w:t>
      </w:r>
      <w:r w:rsidRPr="000309CC">
        <w:rPr>
          <w:rFonts w:ascii="Times New Roman" w:hAnsi="Times New Roman"/>
          <w:noProof/>
          <w:sz w:val="24"/>
        </w:rPr>
        <w:t>ach systemu szybkiego ostrzegania, udostępniając im swoje spostrzeżenia na temat taktyk wykorzystywanych przez podmioty stosujące takie manipulacje</w:t>
      </w:r>
      <w:r w:rsidR="000309CC" w:rsidRPr="000309CC">
        <w:rPr>
          <w:rFonts w:ascii="Times New Roman" w:hAnsi="Times New Roman"/>
          <w:noProof/>
          <w:sz w:val="24"/>
        </w:rPr>
        <w:t xml:space="preserve"> i ing</w:t>
      </w:r>
      <w:r w:rsidRPr="000309CC">
        <w:rPr>
          <w:rFonts w:ascii="Times New Roman" w:hAnsi="Times New Roman"/>
          <w:noProof/>
          <w:sz w:val="24"/>
        </w:rPr>
        <w:t>erencje oraz na temat strategii reagowania. Prowadzone są dyskusje nad dalszym wzmocnieniem ogólnego reagowania UE na zagraniczne manipulacje informacjami</w:t>
      </w:r>
      <w:r w:rsidR="000309CC" w:rsidRPr="000309CC">
        <w:rPr>
          <w:rFonts w:ascii="Times New Roman" w:hAnsi="Times New Roman"/>
          <w:noProof/>
          <w:sz w:val="24"/>
        </w:rPr>
        <w:t xml:space="preserve"> i ing</w:t>
      </w:r>
      <w:r w:rsidRPr="000309CC">
        <w:rPr>
          <w:rFonts w:ascii="Times New Roman" w:hAnsi="Times New Roman"/>
          <w:noProof/>
          <w:sz w:val="24"/>
        </w:rPr>
        <w:t>erencje</w:t>
      </w:r>
      <w:r w:rsidR="000309CC" w:rsidRPr="000309CC">
        <w:rPr>
          <w:rFonts w:ascii="Times New Roman" w:hAnsi="Times New Roman"/>
          <w:noProof/>
          <w:sz w:val="24"/>
        </w:rPr>
        <w:t xml:space="preserve"> w inf</w:t>
      </w:r>
      <w:r w:rsidRPr="000309CC">
        <w:rPr>
          <w:rFonts w:ascii="Times New Roman" w:hAnsi="Times New Roman"/>
          <w:noProof/>
          <w:sz w:val="24"/>
        </w:rPr>
        <w:t xml:space="preserve">ormacje na podstawie dokumentu koncepcyjnego przedstawionego przez ESDZ, dotyczącego opracowania specjalnego </w:t>
      </w:r>
      <w:r w:rsidRPr="000309CC">
        <w:rPr>
          <w:rFonts w:ascii="Times New Roman" w:hAnsi="Times New Roman"/>
          <w:b/>
          <w:noProof/>
          <w:sz w:val="24"/>
        </w:rPr>
        <w:t>zestawu narzędzi</w:t>
      </w:r>
      <w:r w:rsidRPr="000309CC">
        <w:rPr>
          <w:rFonts w:ascii="Times New Roman" w:hAnsi="Times New Roman"/>
          <w:noProof/>
          <w:sz w:val="24"/>
        </w:rPr>
        <w:t xml:space="preserve"> do walki</w:t>
      </w:r>
      <w:r w:rsidR="000309CC" w:rsidRPr="000309CC">
        <w:rPr>
          <w:rFonts w:ascii="Times New Roman" w:hAnsi="Times New Roman"/>
          <w:noProof/>
          <w:sz w:val="24"/>
        </w:rPr>
        <w:t xml:space="preserve"> z tym</w:t>
      </w:r>
      <w:r w:rsidRPr="000309CC">
        <w:rPr>
          <w:rFonts w:ascii="Times New Roman" w:hAnsi="Times New Roman"/>
          <w:noProof/>
          <w:sz w:val="24"/>
        </w:rPr>
        <w:t xml:space="preserve"> zagrożeniem. Dzięki temu połączone zostaną istniejące środki wewnętrzne</w:t>
      </w:r>
      <w:r w:rsidR="000309CC" w:rsidRPr="000309CC">
        <w:rPr>
          <w:rFonts w:ascii="Times New Roman" w:hAnsi="Times New Roman"/>
          <w:noProof/>
          <w:sz w:val="24"/>
        </w:rPr>
        <w:t xml:space="preserve"> i now</w:t>
      </w:r>
      <w:r w:rsidRPr="000309CC">
        <w:rPr>
          <w:rFonts w:ascii="Times New Roman" w:hAnsi="Times New Roman"/>
          <w:noProof/>
          <w:sz w:val="24"/>
        </w:rPr>
        <w:t>e narzędzia UE</w:t>
      </w:r>
      <w:r w:rsidR="000309CC" w:rsidRPr="000309CC">
        <w:rPr>
          <w:rFonts w:ascii="Times New Roman" w:hAnsi="Times New Roman"/>
          <w:noProof/>
          <w:sz w:val="24"/>
        </w:rPr>
        <w:t xml:space="preserve"> w ram</w:t>
      </w:r>
      <w:r w:rsidRPr="000309CC">
        <w:rPr>
          <w:rFonts w:ascii="Times New Roman" w:hAnsi="Times New Roman"/>
          <w:noProof/>
          <w:sz w:val="24"/>
        </w:rPr>
        <w:t>ach wspólnej polityki zagranicznej</w:t>
      </w:r>
      <w:r w:rsidR="000309CC" w:rsidRPr="000309CC">
        <w:rPr>
          <w:rFonts w:ascii="Times New Roman" w:hAnsi="Times New Roman"/>
          <w:noProof/>
          <w:sz w:val="24"/>
        </w:rPr>
        <w:t xml:space="preserve"> i bez</w:t>
      </w:r>
      <w:r w:rsidRPr="000309CC">
        <w:rPr>
          <w:rFonts w:ascii="Times New Roman" w:hAnsi="Times New Roman"/>
          <w:noProof/>
          <w:sz w:val="24"/>
        </w:rPr>
        <w:t>pieczeństwa. Przyczynią się do tego również zintensyfikowane działania grupy zadaniowej Stratcom powołanej</w:t>
      </w:r>
      <w:r w:rsidR="000309CC" w:rsidRPr="000309CC">
        <w:rPr>
          <w:rFonts w:ascii="Times New Roman" w:hAnsi="Times New Roman"/>
          <w:noProof/>
          <w:sz w:val="24"/>
        </w:rPr>
        <w:t xml:space="preserve"> w ram</w:t>
      </w:r>
      <w:r w:rsidRPr="000309CC">
        <w:rPr>
          <w:rFonts w:ascii="Times New Roman" w:hAnsi="Times New Roman"/>
          <w:noProof/>
          <w:sz w:val="24"/>
        </w:rPr>
        <w:t>ach Europejskiej Służby Działań Zewnętrznych</w:t>
      </w:r>
      <w:r w:rsidRPr="000309CC">
        <w:rPr>
          <w:rStyle w:val="FootnoteReference"/>
          <w:rFonts w:ascii="Times New Roman" w:hAnsi="Times New Roman" w:cs="Times New Roman"/>
          <w:noProof/>
          <w:sz w:val="24"/>
          <w:szCs w:val="24"/>
        </w:rPr>
        <w:footnoteReference w:id="52"/>
      </w:r>
      <w:r w:rsidRPr="000309CC">
        <w:rPr>
          <w:rFonts w:ascii="Times New Roman" w:hAnsi="Times New Roman"/>
          <w:noProof/>
          <w:sz w:val="24"/>
        </w:rPr>
        <w:t xml:space="preserve"> oraz Komisji. </w:t>
      </w:r>
    </w:p>
    <w:p w14:paraId="3D9B68B3" w14:textId="77777777" w:rsidR="00474DA2" w:rsidRPr="000309CC" w:rsidRDefault="00474DA2" w:rsidP="00474DA2">
      <w:pPr>
        <w:spacing w:after="0" w:line="240" w:lineRule="auto"/>
        <w:jc w:val="both"/>
        <w:rPr>
          <w:rFonts w:ascii="Times New Roman" w:hAnsi="Times New Roman" w:cs="Times New Roman"/>
          <w:noProof/>
          <w:sz w:val="24"/>
          <w:szCs w:val="24"/>
        </w:rPr>
      </w:pPr>
    </w:p>
    <w:p w14:paraId="0E0C6D14" w14:textId="0D884458" w:rsidR="00474DA2" w:rsidRPr="000309CC" w:rsidRDefault="00474DA2"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Po wybuchu wojny</w:t>
      </w:r>
      <w:r w:rsidR="000309CC" w:rsidRPr="000309CC">
        <w:rPr>
          <w:rFonts w:ascii="Times New Roman" w:hAnsi="Times New Roman"/>
          <w:noProof/>
          <w:sz w:val="24"/>
        </w:rPr>
        <w:t xml:space="preserve"> w Ukr</w:t>
      </w:r>
      <w:r w:rsidRPr="000309CC">
        <w:rPr>
          <w:rFonts w:ascii="Times New Roman" w:hAnsi="Times New Roman"/>
          <w:noProof/>
          <w:sz w:val="24"/>
        </w:rPr>
        <w:t>ainie Europejskie Obserwatorium Mediów Cyfrowych powołało grupę zadaniową ds. dezinformacji</w:t>
      </w:r>
      <w:r w:rsidR="000309CC" w:rsidRPr="000309CC">
        <w:rPr>
          <w:rFonts w:ascii="Times New Roman" w:hAnsi="Times New Roman"/>
          <w:noProof/>
          <w:sz w:val="24"/>
        </w:rPr>
        <w:t xml:space="preserve"> i koo</w:t>
      </w:r>
      <w:r w:rsidRPr="000309CC">
        <w:rPr>
          <w:rFonts w:ascii="Times New Roman" w:hAnsi="Times New Roman"/>
          <w:noProof/>
          <w:sz w:val="24"/>
        </w:rPr>
        <w:t>rdynuje działania weryfikatorów informacji</w:t>
      </w:r>
      <w:r w:rsidR="000309CC" w:rsidRPr="000309CC">
        <w:rPr>
          <w:rFonts w:ascii="Times New Roman" w:hAnsi="Times New Roman"/>
          <w:noProof/>
          <w:sz w:val="24"/>
        </w:rPr>
        <w:t xml:space="preserve"> i nau</w:t>
      </w:r>
      <w:r w:rsidRPr="000309CC">
        <w:rPr>
          <w:rFonts w:ascii="Times New Roman" w:hAnsi="Times New Roman"/>
          <w:noProof/>
          <w:sz w:val="24"/>
        </w:rPr>
        <w:t>kowców</w:t>
      </w:r>
      <w:r w:rsidR="000309CC" w:rsidRPr="000309CC">
        <w:rPr>
          <w:rFonts w:ascii="Times New Roman" w:hAnsi="Times New Roman"/>
          <w:noProof/>
          <w:sz w:val="24"/>
        </w:rPr>
        <w:t xml:space="preserve"> w swo</w:t>
      </w:r>
      <w:r w:rsidRPr="000309CC">
        <w:rPr>
          <w:rFonts w:ascii="Times New Roman" w:hAnsi="Times New Roman"/>
          <w:noProof/>
          <w:sz w:val="24"/>
        </w:rPr>
        <w:t>jej sieci. Obserwatorium to przeprowadziło analizę dotyczącą tego, jak szybko zwolennicy teorii spiskowych na temat COVID-19 zaczęli rozpowszechniać prorosyjskie fałszywe informacje, co zaobserwowano</w:t>
      </w:r>
      <w:r w:rsidR="000309CC" w:rsidRPr="000309CC">
        <w:rPr>
          <w:rFonts w:ascii="Times New Roman" w:hAnsi="Times New Roman"/>
          <w:noProof/>
          <w:sz w:val="24"/>
        </w:rPr>
        <w:t xml:space="preserve"> w wie</w:t>
      </w:r>
      <w:r w:rsidRPr="000309CC">
        <w:rPr>
          <w:rFonts w:ascii="Times New Roman" w:hAnsi="Times New Roman"/>
          <w:noProof/>
          <w:sz w:val="24"/>
        </w:rPr>
        <w:t>lu państwach członkowskich</w:t>
      </w:r>
      <w:r w:rsidRPr="000309CC">
        <w:rPr>
          <w:rStyle w:val="FootnoteReference"/>
          <w:rFonts w:ascii="Times New Roman" w:hAnsi="Times New Roman" w:cs="Times New Roman"/>
          <w:noProof/>
          <w:sz w:val="24"/>
          <w:szCs w:val="24"/>
        </w:rPr>
        <w:footnoteReference w:id="53"/>
      </w:r>
      <w:r w:rsidRPr="000309CC">
        <w:rPr>
          <w:rFonts w:ascii="Times New Roman" w:hAnsi="Times New Roman"/>
          <w:noProof/>
          <w:sz w:val="24"/>
        </w:rPr>
        <w:t xml:space="preserve">. </w:t>
      </w:r>
    </w:p>
    <w:p w14:paraId="0DC147C6" w14:textId="77777777" w:rsidR="00474DA2" w:rsidRPr="000309CC" w:rsidRDefault="00474DA2" w:rsidP="00474DA2">
      <w:pPr>
        <w:spacing w:after="0" w:line="240" w:lineRule="auto"/>
        <w:jc w:val="both"/>
        <w:rPr>
          <w:rFonts w:ascii="Times New Roman" w:hAnsi="Times New Roman" w:cs="Times New Roman"/>
          <w:noProof/>
          <w:sz w:val="24"/>
          <w:szCs w:val="24"/>
        </w:rPr>
      </w:pPr>
    </w:p>
    <w:p w14:paraId="4AEB308D" w14:textId="68CE38DA" w:rsidR="00474DA2" w:rsidRPr="000309CC" w:rsidRDefault="00474DA2"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Wniosek dotyczący aktu</w:t>
      </w:r>
      <w:r w:rsidR="000309CC" w:rsidRPr="000309CC">
        <w:rPr>
          <w:rFonts w:ascii="Times New Roman" w:hAnsi="Times New Roman"/>
          <w:noProof/>
          <w:sz w:val="24"/>
        </w:rPr>
        <w:t xml:space="preserve"> o usł</w:t>
      </w:r>
      <w:r w:rsidRPr="000309CC">
        <w:rPr>
          <w:rFonts w:ascii="Times New Roman" w:hAnsi="Times New Roman"/>
          <w:noProof/>
          <w:sz w:val="24"/>
        </w:rPr>
        <w:t>ugach cyfrowych ma na celu dostosowanie do szybko rozwijających się technologii cyfrowych oraz określenie, co to oznacza</w:t>
      </w:r>
      <w:r w:rsidR="000309CC" w:rsidRPr="000309CC">
        <w:rPr>
          <w:rFonts w:ascii="Times New Roman" w:hAnsi="Times New Roman"/>
          <w:noProof/>
          <w:sz w:val="24"/>
        </w:rPr>
        <w:t xml:space="preserve"> w odn</w:t>
      </w:r>
      <w:r w:rsidRPr="000309CC">
        <w:rPr>
          <w:rFonts w:ascii="Times New Roman" w:hAnsi="Times New Roman"/>
          <w:noProof/>
          <w:sz w:val="24"/>
        </w:rPr>
        <w:t>iesieniu do wyzwań technologicznych</w:t>
      </w:r>
      <w:r w:rsidR="000309CC" w:rsidRPr="000309CC">
        <w:rPr>
          <w:rFonts w:ascii="Times New Roman" w:hAnsi="Times New Roman"/>
          <w:noProof/>
          <w:sz w:val="24"/>
        </w:rPr>
        <w:t xml:space="preserve"> i dem</w:t>
      </w:r>
      <w:r w:rsidRPr="000309CC">
        <w:rPr>
          <w:rFonts w:ascii="Times New Roman" w:hAnsi="Times New Roman"/>
          <w:noProof/>
          <w:sz w:val="24"/>
        </w:rPr>
        <w:t>okratycznych, takich jak mowa nienawiści, dezinformacje</w:t>
      </w:r>
      <w:r w:rsidR="000309CC" w:rsidRPr="000309CC">
        <w:rPr>
          <w:rFonts w:ascii="Times New Roman" w:hAnsi="Times New Roman"/>
          <w:noProof/>
          <w:sz w:val="24"/>
        </w:rPr>
        <w:t xml:space="preserve"> w int</w:t>
      </w:r>
      <w:r w:rsidRPr="000309CC">
        <w:rPr>
          <w:rFonts w:ascii="Times New Roman" w:hAnsi="Times New Roman"/>
          <w:noProof/>
          <w:sz w:val="24"/>
        </w:rPr>
        <w:t>ernecie</w:t>
      </w:r>
      <w:r w:rsidR="000309CC" w:rsidRPr="000309CC">
        <w:rPr>
          <w:rFonts w:ascii="Times New Roman" w:hAnsi="Times New Roman"/>
          <w:noProof/>
          <w:sz w:val="24"/>
        </w:rPr>
        <w:t xml:space="preserve"> i str</w:t>
      </w:r>
      <w:r w:rsidRPr="000309CC">
        <w:rPr>
          <w:rFonts w:ascii="Times New Roman" w:hAnsi="Times New Roman"/>
          <w:noProof/>
          <w:sz w:val="24"/>
        </w:rPr>
        <w:t>ategie destabilizacji. Znaczne postępy</w:t>
      </w:r>
      <w:r w:rsidR="000309CC" w:rsidRPr="000309CC">
        <w:rPr>
          <w:rFonts w:ascii="Times New Roman" w:hAnsi="Times New Roman"/>
          <w:noProof/>
          <w:sz w:val="24"/>
        </w:rPr>
        <w:t xml:space="preserve"> w neg</w:t>
      </w:r>
      <w:r w:rsidRPr="000309CC">
        <w:rPr>
          <w:rFonts w:ascii="Times New Roman" w:hAnsi="Times New Roman"/>
          <w:noProof/>
          <w:sz w:val="24"/>
        </w:rPr>
        <w:t>ocjacjach prowadzonych przez Parlament Europejski</w:t>
      </w:r>
      <w:r w:rsidR="000309CC" w:rsidRPr="000309CC">
        <w:rPr>
          <w:rFonts w:ascii="Times New Roman" w:hAnsi="Times New Roman"/>
          <w:noProof/>
          <w:sz w:val="24"/>
        </w:rPr>
        <w:t xml:space="preserve"> i Rad</w:t>
      </w:r>
      <w:r w:rsidRPr="000309CC">
        <w:rPr>
          <w:rFonts w:ascii="Times New Roman" w:hAnsi="Times New Roman"/>
          <w:noProof/>
          <w:sz w:val="24"/>
        </w:rPr>
        <w:t xml:space="preserve">ę powinny umożliwić szybkie przyjęcie pakietu. </w:t>
      </w:r>
    </w:p>
    <w:p w14:paraId="3BB25ED9" w14:textId="77777777" w:rsidR="00474DA2" w:rsidRPr="000309CC" w:rsidRDefault="00474DA2" w:rsidP="00474DA2">
      <w:pPr>
        <w:spacing w:after="0" w:line="240" w:lineRule="auto"/>
        <w:jc w:val="both"/>
        <w:rPr>
          <w:rFonts w:ascii="Times New Roman" w:hAnsi="Times New Roman" w:cs="Times New Roman"/>
          <w:noProof/>
          <w:sz w:val="24"/>
          <w:szCs w:val="24"/>
        </w:rPr>
      </w:pPr>
    </w:p>
    <w:p w14:paraId="44ED8B91" w14:textId="77777777" w:rsidR="00474DA2" w:rsidRPr="000309CC" w:rsidRDefault="00474DA2" w:rsidP="00474DA2">
      <w:pPr>
        <w:pStyle w:val="ListParagraph"/>
        <w:numPr>
          <w:ilvl w:val="0"/>
          <w:numId w:val="2"/>
        </w:numPr>
        <w:spacing w:before="360" w:after="240"/>
        <w:jc w:val="both"/>
        <w:rPr>
          <w:rFonts w:ascii="Times New Roman" w:hAnsi="Times New Roman" w:cs="Times New Roman"/>
          <w:b/>
          <w:bCs/>
          <w:noProof/>
          <w:sz w:val="24"/>
          <w:szCs w:val="24"/>
        </w:rPr>
      </w:pPr>
      <w:r w:rsidRPr="000309CC">
        <w:rPr>
          <w:rFonts w:ascii="Times New Roman" w:hAnsi="Times New Roman"/>
          <w:b/>
          <w:noProof/>
          <w:sz w:val="24"/>
        </w:rPr>
        <w:t xml:space="preserve">SZERSZA GOTOWOŚĆ </w:t>
      </w:r>
    </w:p>
    <w:p w14:paraId="68100042" w14:textId="71371A62" w:rsidR="00474DA2" w:rsidRPr="000309CC" w:rsidRDefault="00474DA2"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W czasie, gdy</w:t>
      </w:r>
      <w:r w:rsidR="000309CC" w:rsidRPr="000309CC">
        <w:rPr>
          <w:rFonts w:ascii="Times New Roman" w:hAnsi="Times New Roman"/>
          <w:noProof/>
          <w:sz w:val="24"/>
        </w:rPr>
        <w:t xml:space="preserve"> w Eur</w:t>
      </w:r>
      <w:r w:rsidRPr="000309CC">
        <w:rPr>
          <w:rFonts w:ascii="Times New Roman" w:hAnsi="Times New Roman"/>
          <w:noProof/>
          <w:sz w:val="24"/>
        </w:rPr>
        <w:t>opie znów toczy się wojna,</w:t>
      </w:r>
      <w:r w:rsidR="000309CC" w:rsidRPr="000309CC">
        <w:rPr>
          <w:rFonts w:ascii="Times New Roman" w:hAnsi="Times New Roman"/>
          <w:noProof/>
          <w:sz w:val="24"/>
        </w:rPr>
        <w:t xml:space="preserve"> a tak</w:t>
      </w:r>
      <w:r w:rsidRPr="000309CC">
        <w:rPr>
          <w:rFonts w:ascii="Times New Roman" w:hAnsi="Times New Roman"/>
          <w:noProof/>
          <w:sz w:val="24"/>
        </w:rPr>
        <w:t>że gdy zachodzą poważne zmiany geopolityczne, koordynacja</w:t>
      </w:r>
      <w:r w:rsidR="000309CC" w:rsidRPr="000309CC">
        <w:rPr>
          <w:rFonts w:ascii="Times New Roman" w:hAnsi="Times New Roman"/>
          <w:noProof/>
          <w:sz w:val="24"/>
        </w:rPr>
        <w:t xml:space="preserve"> w zak</w:t>
      </w:r>
      <w:r w:rsidRPr="000309CC">
        <w:rPr>
          <w:rFonts w:ascii="Times New Roman" w:hAnsi="Times New Roman"/>
          <w:noProof/>
          <w:sz w:val="24"/>
        </w:rPr>
        <w:t>resie bezpieczeństwa w UE została zwiększona przy wykorzystaniu inicjatyw, które były przygotowywane jeszcze przed rosyjską agresją na Ukrainę. Inicjatywy dotyczące przede wszystkim bezpieczeństwa zewnętrznego UE mają znaczący wpływ na wewnętrzną agendę unii bezpieczeństwa.</w:t>
      </w:r>
    </w:p>
    <w:p w14:paraId="48E6C1DD" w14:textId="77777777" w:rsidR="00474DA2" w:rsidRPr="000309CC" w:rsidRDefault="00474DA2" w:rsidP="00474DA2">
      <w:pPr>
        <w:spacing w:after="0" w:line="240" w:lineRule="auto"/>
        <w:jc w:val="both"/>
        <w:rPr>
          <w:rFonts w:ascii="Times New Roman" w:hAnsi="Times New Roman" w:cs="Times New Roman"/>
          <w:noProof/>
          <w:sz w:val="24"/>
          <w:szCs w:val="24"/>
        </w:rPr>
      </w:pPr>
    </w:p>
    <w:p w14:paraId="57A8059D" w14:textId="66B89542" w:rsidR="00474DA2" w:rsidRPr="000309CC" w:rsidRDefault="00474DA2" w:rsidP="00474DA2">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15 lutego 2022</w:t>
      </w:r>
      <w:r w:rsidR="000309CC" w:rsidRPr="000309CC">
        <w:rPr>
          <w:rFonts w:ascii="Times New Roman" w:hAnsi="Times New Roman"/>
          <w:noProof/>
          <w:sz w:val="24"/>
        </w:rPr>
        <w:t> </w:t>
      </w:r>
      <w:r w:rsidRPr="000309CC">
        <w:rPr>
          <w:rFonts w:ascii="Times New Roman" w:hAnsi="Times New Roman"/>
          <w:noProof/>
          <w:sz w:val="24"/>
        </w:rPr>
        <w:t xml:space="preserve">r. Komisja przedstawiła </w:t>
      </w:r>
      <w:r w:rsidRPr="000309CC">
        <w:rPr>
          <w:rFonts w:ascii="Times New Roman" w:hAnsi="Times New Roman"/>
          <w:b/>
          <w:noProof/>
          <w:sz w:val="24"/>
        </w:rPr>
        <w:t>pakiet dotyczący obronności</w:t>
      </w:r>
      <w:r w:rsidRPr="000309CC">
        <w:rPr>
          <w:rStyle w:val="FootnoteReference"/>
          <w:rFonts w:ascii="Times New Roman" w:hAnsi="Times New Roman" w:cs="Times New Roman"/>
          <w:bCs/>
          <w:noProof/>
          <w:sz w:val="24"/>
          <w:szCs w:val="24"/>
        </w:rPr>
        <w:footnoteReference w:id="54"/>
      </w:r>
      <w:r w:rsidRPr="000309CC">
        <w:rPr>
          <w:rFonts w:ascii="Times New Roman" w:hAnsi="Times New Roman"/>
          <w:noProof/>
          <w:sz w:val="24"/>
        </w:rPr>
        <w:t xml:space="preserve"> zawierający szereg inicjatyw</w:t>
      </w:r>
      <w:r w:rsidR="000309CC" w:rsidRPr="000309CC">
        <w:rPr>
          <w:rFonts w:ascii="Times New Roman" w:hAnsi="Times New Roman"/>
          <w:noProof/>
          <w:sz w:val="24"/>
        </w:rPr>
        <w:t xml:space="preserve"> w obs</w:t>
      </w:r>
      <w:r w:rsidRPr="000309CC">
        <w:rPr>
          <w:rFonts w:ascii="Times New Roman" w:hAnsi="Times New Roman"/>
          <w:noProof/>
          <w:sz w:val="24"/>
        </w:rPr>
        <w:t>zarach</w:t>
      </w:r>
      <w:r w:rsidR="000309CC" w:rsidRPr="000309CC">
        <w:rPr>
          <w:rFonts w:ascii="Times New Roman" w:hAnsi="Times New Roman"/>
          <w:noProof/>
          <w:sz w:val="24"/>
        </w:rPr>
        <w:t xml:space="preserve"> o zas</w:t>
      </w:r>
      <w:r w:rsidRPr="000309CC">
        <w:rPr>
          <w:rFonts w:ascii="Times New Roman" w:hAnsi="Times New Roman"/>
          <w:noProof/>
          <w:sz w:val="24"/>
        </w:rPr>
        <w:t>adniczym znaczeniu dla obronności</w:t>
      </w:r>
      <w:r w:rsidR="000309CC" w:rsidRPr="000309CC">
        <w:rPr>
          <w:rFonts w:ascii="Times New Roman" w:hAnsi="Times New Roman"/>
          <w:noProof/>
          <w:sz w:val="24"/>
        </w:rPr>
        <w:t xml:space="preserve"> i bez</w:t>
      </w:r>
      <w:r w:rsidRPr="000309CC">
        <w:rPr>
          <w:rFonts w:ascii="Times New Roman" w:hAnsi="Times New Roman"/>
          <w:noProof/>
          <w:sz w:val="24"/>
        </w:rPr>
        <w:t>pieczeństwa w UE. Ten wkład Komisji</w:t>
      </w:r>
      <w:r w:rsidR="000309CC" w:rsidRPr="000309CC">
        <w:rPr>
          <w:rFonts w:ascii="Times New Roman" w:hAnsi="Times New Roman"/>
          <w:noProof/>
          <w:sz w:val="24"/>
        </w:rPr>
        <w:t xml:space="preserve"> w obr</w:t>
      </w:r>
      <w:r w:rsidRPr="000309CC">
        <w:rPr>
          <w:rFonts w:ascii="Times New Roman" w:hAnsi="Times New Roman"/>
          <w:noProof/>
          <w:sz w:val="24"/>
        </w:rPr>
        <w:t>onność</w:t>
      </w:r>
      <w:r w:rsidR="000309CC" w:rsidRPr="000309CC">
        <w:rPr>
          <w:rFonts w:ascii="Times New Roman" w:hAnsi="Times New Roman"/>
          <w:noProof/>
          <w:sz w:val="24"/>
        </w:rPr>
        <w:t xml:space="preserve"> i bez</w:t>
      </w:r>
      <w:r w:rsidRPr="000309CC">
        <w:rPr>
          <w:rFonts w:ascii="Times New Roman" w:hAnsi="Times New Roman"/>
          <w:noProof/>
          <w:sz w:val="24"/>
        </w:rPr>
        <w:t>pieczeństwo</w:t>
      </w:r>
      <w:r w:rsidR="000309CC" w:rsidRPr="000309CC">
        <w:rPr>
          <w:rFonts w:ascii="Times New Roman" w:hAnsi="Times New Roman"/>
          <w:noProof/>
          <w:sz w:val="24"/>
        </w:rPr>
        <w:t xml:space="preserve"> w Eur</w:t>
      </w:r>
      <w:r w:rsidRPr="000309CC">
        <w:rPr>
          <w:rFonts w:ascii="Times New Roman" w:hAnsi="Times New Roman"/>
          <w:noProof/>
          <w:sz w:val="24"/>
        </w:rPr>
        <w:t>opie obejmuje pełen zakres wyzwań. Zaproponowano</w:t>
      </w:r>
      <w:r w:rsidR="000309CC" w:rsidRPr="000309CC">
        <w:rPr>
          <w:rFonts w:ascii="Times New Roman" w:hAnsi="Times New Roman"/>
          <w:noProof/>
          <w:sz w:val="24"/>
        </w:rPr>
        <w:t xml:space="preserve"> w nim</w:t>
      </w:r>
      <w:r w:rsidRPr="000309CC">
        <w:rPr>
          <w:rFonts w:ascii="Times New Roman" w:hAnsi="Times New Roman"/>
          <w:noProof/>
          <w:sz w:val="24"/>
        </w:rPr>
        <w:t xml:space="preserve"> konkretne działania na rzecz bardziej zintegrowanego</w:t>
      </w:r>
      <w:r w:rsidR="000309CC" w:rsidRPr="000309CC">
        <w:rPr>
          <w:rFonts w:ascii="Times New Roman" w:hAnsi="Times New Roman"/>
          <w:noProof/>
          <w:sz w:val="24"/>
        </w:rPr>
        <w:t xml:space="preserve"> i kon</w:t>
      </w:r>
      <w:r w:rsidRPr="000309CC">
        <w:rPr>
          <w:rFonts w:ascii="Times New Roman" w:hAnsi="Times New Roman"/>
          <w:noProof/>
          <w:sz w:val="24"/>
        </w:rPr>
        <w:t>kurencyjnego europejskiego rynku obronnego,</w:t>
      </w:r>
      <w:r w:rsidR="000309CC" w:rsidRPr="000309CC">
        <w:rPr>
          <w:rFonts w:ascii="Times New Roman" w:hAnsi="Times New Roman"/>
          <w:noProof/>
          <w:sz w:val="24"/>
        </w:rPr>
        <w:t xml:space="preserve"> w szc</w:t>
      </w:r>
      <w:r w:rsidRPr="000309CC">
        <w:rPr>
          <w:rFonts w:ascii="Times New Roman" w:hAnsi="Times New Roman"/>
          <w:noProof/>
          <w:sz w:val="24"/>
        </w:rPr>
        <w:t>zególności poprzez zacieśnienie współpracy</w:t>
      </w:r>
      <w:r w:rsidR="000309CC" w:rsidRPr="000309CC">
        <w:rPr>
          <w:rFonts w:ascii="Times New Roman" w:hAnsi="Times New Roman"/>
          <w:noProof/>
          <w:sz w:val="24"/>
        </w:rPr>
        <w:t xml:space="preserve"> w ram</w:t>
      </w:r>
      <w:r w:rsidRPr="000309CC">
        <w:rPr>
          <w:rFonts w:ascii="Times New Roman" w:hAnsi="Times New Roman"/>
          <w:noProof/>
          <w:sz w:val="24"/>
        </w:rPr>
        <w:t>ach UE</w:t>
      </w:r>
      <w:r w:rsidR="000309CC" w:rsidRPr="000309CC">
        <w:rPr>
          <w:rFonts w:ascii="Times New Roman" w:hAnsi="Times New Roman"/>
          <w:noProof/>
          <w:sz w:val="24"/>
        </w:rPr>
        <w:t xml:space="preserve"> i osi</w:t>
      </w:r>
      <w:r w:rsidRPr="000309CC">
        <w:rPr>
          <w:rFonts w:ascii="Times New Roman" w:hAnsi="Times New Roman"/>
          <w:noProof/>
          <w:sz w:val="24"/>
        </w:rPr>
        <w:t>ągnięcie korzyści skali. Obejmuje on również Plan działania</w:t>
      </w:r>
      <w:r w:rsidR="000309CC" w:rsidRPr="000309CC">
        <w:rPr>
          <w:rFonts w:ascii="Times New Roman" w:hAnsi="Times New Roman"/>
          <w:noProof/>
          <w:sz w:val="24"/>
        </w:rPr>
        <w:t xml:space="preserve"> w zak</w:t>
      </w:r>
      <w:r w:rsidRPr="000309CC">
        <w:rPr>
          <w:rFonts w:ascii="Times New Roman" w:hAnsi="Times New Roman"/>
          <w:noProof/>
          <w:sz w:val="24"/>
        </w:rPr>
        <w:t>resie technologii krytycznych dla bezpieczeństwa</w:t>
      </w:r>
      <w:r w:rsidR="000309CC" w:rsidRPr="000309CC">
        <w:rPr>
          <w:rFonts w:ascii="Times New Roman" w:hAnsi="Times New Roman"/>
          <w:noProof/>
          <w:sz w:val="24"/>
        </w:rPr>
        <w:t xml:space="preserve"> i obr</w:t>
      </w:r>
      <w:r w:rsidRPr="000309CC">
        <w:rPr>
          <w:rFonts w:ascii="Times New Roman" w:hAnsi="Times New Roman"/>
          <w:noProof/>
          <w:sz w:val="24"/>
        </w:rPr>
        <w:t>onności mający na celu pobudzenie badań naukowych, rozwoju technologicznego</w:t>
      </w:r>
      <w:r w:rsidR="000309CC" w:rsidRPr="000309CC">
        <w:rPr>
          <w:rFonts w:ascii="Times New Roman" w:hAnsi="Times New Roman"/>
          <w:noProof/>
          <w:sz w:val="24"/>
        </w:rPr>
        <w:t xml:space="preserve"> i inn</w:t>
      </w:r>
      <w:r w:rsidRPr="000309CC">
        <w:rPr>
          <w:rFonts w:ascii="Times New Roman" w:hAnsi="Times New Roman"/>
          <w:noProof/>
          <w:sz w:val="24"/>
        </w:rPr>
        <w:t>owacji</w:t>
      </w:r>
      <w:r w:rsidR="000309CC" w:rsidRPr="000309CC">
        <w:rPr>
          <w:rFonts w:ascii="Times New Roman" w:hAnsi="Times New Roman"/>
          <w:noProof/>
          <w:sz w:val="24"/>
        </w:rPr>
        <w:t xml:space="preserve"> w tyc</w:t>
      </w:r>
      <w:r w:rsidRPr="000309CC">
        <w:rPr>
          <w:rFonts w:ascii="Times New Roman" w:hAnsi="Times New Roman"/>
          <w:noProof/>
          <w:sz w:val="24"/>
        </w:rPr>
        <w:t>h sektorach oraz zmniejszenie zależności</w:t>
      </w:r>
      <w:r w:rsidR="000309CC" w:rsidRPr="000309CC">
        <w:rPr>
          <w:rFonts w:ascii="Times New Roman" w:hAnsi="Times New Roman"/>
          <w:noProof/>
          <w:sz w:val="24"/>
        </w:rPr>
        <w:t xml:space="preserve"> w zak</w:t>
      </w:r>
      <w:r w:rsidRPr="000309CC">
        <w:rPr>
          <w:rFonts w:ascii="Times New Roman" w:hAnsi="Times New Roman"/>
          <w:noProof/>
          <w:sz w:val="24"/>
        </w:rPr>
        <w:t>resie technologii krytycznych</w:t>
      </w:r>
      <w:r w:rsidR="000309CC" w:rsidRPr="000309CC">
        <w:rPr>
          <w:rFonts w:ascii="Times New Roman" w:hAnsi="Times New Roman"/>
          <w:noProof/>
          <w:sz w:val="24"/>
        </w:rPr>
        <w:t xml:space="preserve"> i łań</w:t>
      </w:r>
      <w:r w:rsidRPr="000309CC">
        <w:rPr>
          <w:rFonts w:ascii="Times New Roman" w:hAnsi="Times New Roman"/>
          <w:noProof/>
          <w:sz w:val="24"/>
        </w:rPr>
        <w:t>cuchów wartości. Pakiet ma na celu także wzmocnienie wymiaru obronnego przestrzeni kosmicznej na szczeblu UE Ponadto przeanalizowano</w:t>
      </w:r>
      <w:r w:rsidR="000309CC" w:rsidRPr="000309CC">
        <w:rPr>
          <w:rFonts w:ascii="Times New Roman" w:hAnsi="Times New Roman"/>
          <w:noProof/>
          <w:sz w:val="24"/>
        </w:rPr>
        <w:t xml:space="preserve"> w nim</w:t>
      </w:r>
      <w:r w:rsidRPr="000309CC">
        <w:rPr>
          <w:rFonts w:ascii="Times New Roman" w:hAnsi="Times New Roman"/>
          <w:noProof/>
          <w:sz w:val="24"/>
        </w:rPr>
        <w:t xml:space="preserve"> sposób,</w:t>
      </w:r>
      <w:r w:rsidR="000309CC" w:rsidRPr="000309CC">
        <w:rPr>
          <w:rFonts w:ascii="Times New Roman" w:hAnsi="Times New Roman"/>
          <w:noProof/>
          <w:sz w:val="24"/>
        </w:rPr>
        <w:t xml:space="preserve"> w jak</w:t>
      </w:r>
      <w:r w:rsidRPr="000309CC">
        <w:rPr>
          <w:rFonts w:ascii="Times New Roman" w:hAnsi="Times New Roman"/>
          <w:noProof/>
          <w:sz w:val="24"/>
        </w:rPr>
        <w:t>i Komisja mogłaby zintensyfikować działania na rzecz zwalczania zagrożeń hybrydowych,</w:t>
      </w:r>
      <w:r w:rsidR="000309CC" w:rsidRPr="000309CC">
        <w:rPr>
          <w:rFonts w:ascii="Times New Roman" w:hAnsi="Times New Roman"/>
          <w:noProof/>
          <w:sz w:val="24"/>
        </w:rPr>
        <w:t xml:space="preserve"> w tym w dzi</w:t>
      </w:r>
      <w:r w:rsidRPr="000309CC">
        <w:rPr>
          <w:rFonts w:ascii="Times New Roman" w:hAnsi="Times New Roman"/>
          <w:noProof/>
          <w:sz w:val="24"/>
        </w:rPr>
        <w:t>edzinie cyberbezpieczeństwa, zwiększyć mobilność wojskową</w:t>
      </w:r>
      <w:r w:rsidR="000309CC" w:rsidRPr="000309CC">
        <w:rPr>
          <w:rFonts w:ascii="Times New Roman" w:hAnsi="Times New Roman"/>
          <w:noProof/>
          <w:sz w:val="24"/>
        </w:rPr>
        <w:t xml:space="preserve"> w Eur</w:t>
      </w:r>
      <w:r w:rsidRPr="000309CC">
        <w:rPr>
          <w:rFonts w:ascii="Times New Roman" w:hAnsi="Times New Roman"/>
          <w:noProof/>
          <w:sz w:val="24"/>
        </w:rPr>
        <w:t>opie</w:t>
      </w:r>
      <w:r w:rsidR="000309CC" w:rsidRPr="000309CC">
        <w:rPr>
          <w:rFonts w:ascii="Times New Roman" w:hAnsi="Times New Roman"/>
          <w:noProof/>
          <w:sz w:val="24"/>
        </w:rPr>
        <w:t xml:space="preserve"> i poz</w:t>
      </w:r>
      <w:r w:rsidRPr="000309CC">
        <w:rPr>
          <w:rFonts w:ascii="Times New Roman" w:hAnsi="Times New Roman"/>
          <w:noProof/>
          <w:sz w:val="24"/>
        </w:rPr>
        <w:t>a nią oraz</w:t>
      </w:r>
      <w:r w:rsidR="000309CC" w:rsidRPr="000309CC">
        <w:rPr>
          <w:rFonts w:ascii="Times New Roman" w:hAnsi="Times New Roman"/>
          <w:noProof/>
          <w:sz w:val="24"/>
        </w:rPr>
        <w:t xml:space="preserve"> w dal</w:t>
      </w:r>
      <w:r w:rsidRPr="000309CC">
        <w:rPr>
          <w:rFonts w:ascii="Times New Roman" w:hAnsi="Times New Roman"/>
          <w:noProof/>
          <w:sz w:val="24"/>
        </w:rPr>
        <w:t>szym ciągu dążyć do sprostania wyzwaniom dotyczącym zmiany klimatu związanym</w:t>
      </w:r>
      <w:r w:rsidR="000309CC" w:rsidRPr="000309CC">
        <w:rPr>
          <w:rFonts w:ascii="Times New Roman" w:hAnsi="Times New Roman"/>
          <w:noProof/>
          <w:sz w:val="24"/>
        </w:rPr>
        <w:t xml:space="preserve"> z obr</w:t>
      </w:r>
      <w:r w:rsidRPr="000309CC">
        <w:rPr>
          <w:rFonts w:ascii="Times New Roman" w:hAnsi="Times New Roman"/>
          <w:noProof/>
          <w:sz w:val="24"/>
        </w:rPr>
        <w:t>onnością</w:t>
      </w:r>
      <w:r w:rsidR="000309CC" w:rsidRPr="000309CC">
        <w:rPr>
          <w:rFonts w:ascii="Times New Roman" w:hAnsi="Times New Roman"/>
          <w:noProof/>
          <w:sz w:val="24"/>
        </w:rPr>
        <w:t>. W cel</w:t>
      </w:r>
      <w:r w:rsidRPr="000309CC">
        <w:rPr>
          <w:rFonts w:ascii="Times New Roman" w:hAnsi="Times New Roman"/>
          <w:noProof/>
          <w:sz w:val="24"/>
        </w:rPr>
        <w:t xml:space="preserve">u uzupełnienia tych prac, we wspólnym komunikacie </w:t>
      </w:r>
      <w:r w:rsidRPr="000309CC">
        <w:rPr>
          <w:rFonts w:ascii="Times New Roman" w:hAnsi="Times New Roman"/>
          <w:b/>
          <w:noProof/>
          <w:sz w:val="24"/>
        </w:rPr>
        <w:t>„Analiza luk inwestycyjnych</w:t>
      </w:r>
      <w:r w:rsidR="000309CC" w:rsidRPr="000309CC">
        <w:rPr>
          <w:rFonts w:ascii="Times New Roman" w:hAnsi="Times New Roman"/>
          <w:b/>
          <w:noProof/>
          <w:sz w:val="24"/>
        </w:rPr>
        <w:t xml:space="preserve"> w zak</w:t>
      </w:r>
      <w:r w:rsidRPr="000309CC">
        <w:rPr>
          <w:rFonts w:ascii="Times New Roman" w:hAnsi="Times New Roman"/>
          <w:b/>
          <w:noProof/>
          <w:sz w:val="24"/>
        </w:rPr>
        <w:t>resie obronności</w:t>
      </w:r>
      <w:r w:rsidR="000309CC" w:rsidRPr="000309CC">
        <w:rPr>
          <w:rFonts w:ascii="Times New Roman" w:hAnsi="Times New Roman"/>
          <w:b/>
          <w:noProof/>
          <w:sz w:val="24"/>
        </w:rPr>
        <w:t xml:space="preserve"> i dal</w:t>
      </w:r>
      <w:r w:rsidRPr="000309CC">
        <w:rPr>
          <w:rFonts w:ascii="Times New Roman" w:hAnsi="Times New Roman"/>
          <w:b/>
          <w:noProof/>
          <w:sz w:val="24"/>
        </w:rPr>
        <w:t>sze działania”</w:t>
      </w:r>
      <w:r w:rsidR="00EA12E4" w:rsidRPr="000309CC">
        <w:rPr>
          <w:rStyle w:val="FootnoteReference"/>
          <w:rFonts w:ascii="Times New Roman" w:hAnsi="Times New Roman" w:cs="Times New Roman"/>
          <w:noProof/>
          <w:sz w:val="24"/>
          <w:szCs w:val="24"/>
        </w:rPr>
        <w:footnoteReference w:id="55"/>
      </w:r>
      <w:r w:rsidR="000309CC" w:rsidRPr="000309CC">
        <w:rPr>
          <w:rFonts w:ascii="Times New Roman" w:hAnsi="Times New Roman"/>
          <w:noProof/>
          <w:sz w:val="24"/>
        </w:rPr>
        <w:t xml:space="preserve"> z 1</w:t>
      </w:r>
      <w:r w:rsidRPr="000309CC">
        <w:rPr>
          <w:rFonts w:ascii="Times New Roman" w:hAnsi="Times New Roman"/>
          <w:noProof/>
          <w:sz w:val="24"/>
        </w:rPr>
        <w:t>8 maja rozważono luki</w:t>
      </w:r>
      <w:r w:rsidR="000309CC" w:rsidRPr="000309CC">
        <w:rPr>
          <w:rFonts w:ascii="Times New Roman" w:hAnsi="Times New Roman"/>
          <w:noProof/>
          <w:sz w:val="24"/>
        </w:rPr>
        <w:t xml:space="preserve"> w zdo</w:t>
      </w:r>
      <w:r w:rsidRPr="000309CC">
        <w:rPr>
          <w:rFonts w:ascii="Times New Roman" w:hAnsi="Times New Roman"/>
          <w:noProof/>
          <w:sz w:val="24"/>
        </w:rPr>
        <w:t>lnościach</w:t>
      </w:r>
      <w:r w:rsidR="000309CC" w:rsidRPr="000309CC">
        <w:rPr>
          <w:rFonts w:ascii="Times New Roman" w:hAnsi="Times New Roman"/>
          <w:noProof/>
          <w:sz w:val="24"/>
        </w:rPr>
        <w:t xml:space="preserve"> i prz</w:t>
      </w:r>
      <w:r w:rsidRPr="000309CC">
        <w:rPr>
          <w:rFonts w:ascii="Times New Roman" w:hAnsi="Times New Roman"/>
          <w:noProof/>
          <w:sz w:val="24"/>
        </w:rPr>
        <w:t>emyśle, które należy wyeliminować, aby wesprzeć najbardziej narażone państwa członkowskie UE</w:t>
      </w:r>
      <w:r w:rsidR="000309CC" w:rsidRPr="000309CC">
        <w:rPr>
          <w:rFonts w:ascii="Times New Roman" w:hAnsi="Times New Roman"/>
          <w:noProof/>
          <w:sz w:val="24"/>
        </w:rPr>
        <w:t xml:space="preserve"> i okr</w:t>
      </w:r>
      <w:r w:rsidRPr="000309CC">
        <w:rPr>
          <w:rFonts w:ascii="Times New Roman" w:hAnsi="Times New Roman"/>
          <w:noProof/>
          <w:sz w:val="24"/>
        </w:rPr>
        <w:t xml:space="preserve">eślić środki łagodzące stwierdzone braki. </w:t>
      </w:r>
    </w:p>
    <w:p w14:paraId="63EC3911" w14:textId="77777777" w:rsidR="008343F4" w:rsidRPr="000309CC" w:rsidRDefault="008343F4" w:rsidP="00474DA2">
      <w:pPr>
        <w:spacing w:after="0" w:line="240" w:lineRule="auto"/>
        <w:jc w:val="both"/>
        <w:rPr>
          <w:rFonts w:ascii="Times New Roman" w:hAnsi="Times New Roman" w:cs="Times New Roman"/>
          <w:noProof/>
          <w:sz w:val="24"/>
          <w:szCs w:val="24"/>
        </w:rPr>
      </w:pPr>
    </w:p>
    <w:p w14:paraId="785623A1" w14:textId="20FFB78E" w:rsidR="008343F4" w:rsidRPr="000309CC" w:rsidRDefault="00C71D7B" w:rsidP="008343F4">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Odporność UE na te zagrożenia wymaga również przyjęcia podejść opartych na zdolnościach we wszystkich sektorach bezpieczeństwa, które zaleca się</w:t>
      </w:r>
      <w:r w:rsidR="000309CC" w:rsidRPr="000309CC">
        <w:rPr>
          <w:rFonts w:ascii="Times New Roman" w:hAnsi="Times New Roman"/>
          <w:noProof/>
          <w:sz w:val="24"/>
        </w:rPr>
        <w:t xml:space="preserve"> w pla</w:t>
      </w:r>
      <w:r w:rsidRPr="000309CC">
        <w:rPr>
          <w:rFonts w:ascii="Times New Roman" w:hAnsi="Times New Roman"/>
          <w:noProof/>
          <w:sz w:val="24"/>
        </w:rPr>
        <w:t>nie działania Komisji na rzecz synergii między przemysłem cywilnym, obronnym</w:t>
      </w:r>
      <w:r w:rsidR="000309CC" w:rsidRPr="000309CC">
        <w:rPr>
          <w:rFonts w:ascii="Times New Roman" w:hAnsi="Times New Roman"/>
          <w:noProof/>
          <w:sz w:val="24"/>
        </w:rPr>
        <w:t xml:space="preserve"> i kos</w:t>
      </w:r>
      <w:r w:rsidRPr="000309CC">
        <w:rPr>
          <w:rFonts w:ascii="Times New Roman" w:hAnsi="Times New Roman"/>
          <w:noProof/>
          <w:sz w:val="24"/>
        </w:rPr>
        <w:t>micznym</w:t>
      </w:r>
      <w:r w:rsidR="008343F4" w:rsidRPr="000309CC">
        <w:rPr>
          <w:rStyle w:val="FootnoteReference"/>
          <w:rFonts w:ascii="Times New Roman" w:hAnsi="Times New Roman" w:cs="Times New Roman"/>
          <w:noProof/>
          <w:sz w:val="24"/>
          <w:szCs w:val="24"/>
        </w:rPr>
        <w:footnoteReference w:id="56"/>
      </w:r>
      <w:r w:rsidRPr="000309CC">
        <w:rPr>
          <w:rFonts w:ascii="Times New Roman" w:hAnsi="Times New Roman"/>
          <w:noProof/>
          <w:sz w:val="24"/>
        </w:rPr>
        <w:t>. Trwają prace nad upowszechnianiem podejść opartych na zdolnościach</w:t>
      </w:r>
      <w:r w:rsidR="000309CC" w:rsidRPr="000309CC">
        <w:rPr>
          <w:rFonts w:ascii="Times New Roman" w:hAnsi="Times New Roman"/>
          <w:noProof/>
          <w:sz w:val="24"/>
        </w:rPr>
        <w:t xml:space="preserve"> w dzi</w:t>
      </w:r>
      <w:r w:rsidRPr="000309CC">
        <w:rPr>
          <w:rFonts w:ascii="Times New Roman" w:hAnsi="Times New Roman"/>
          <w:noProof/>
          <w:sz w:val="24"/>
        </w:rPr>
        <w:t>edzinie bezpieczeństwa wewnętrznego</w:t>
      </w:r>
      <w:r w:rsidR="000309CC" w:rsidRPr="000309CC">
        <w:rPr>
          <w:rFonts w:ascii="Times New Roman" w:hAnsi="Times New Roman"/>
          <w:noProof/>
          <w:sz w:val="24"/>
        </w:rPr>
        <w:t xml:space="preserve"> i egz</w:t>
      </w:r>
      <w:r w:rsidRPr="000309CC">
        <w:rPr>
          <w:rFonts w:ascii="Times New Roman" w:hAnsi="Times New Roman"/>
          <w:noProof/>
          <w:sz w:val="24"/>
        </w:rPr>
        <w:t>ekwowania prawa.</w:t>
      </w:r>
    </w:p>
    <w:p w14:paraId="1BA1CB41" w14:textId="77777777" w:rsidR="008343F4" w:rsidRPr="000309CC" w:rsidRDefault="008343F4" w:rsidP="00474DA2">
      <w:pPr>
        <w:spacing w:after="0" w:line="240" w:lineRule="auto"/>
        <w:jc w:val="both"/>
        <w:rPr>
          <w:rFonts w:ascii="Times New Roman" w:hAnsi="Times New Roman" w:cs="Times New Roman"/>
          <w:noProof/>
          <w:sz w:val="24"/>
          <w:szCs w:val="24"/>
        </w:rPr>
      </w:pPr>
    </w:p>
    <w:p w14:paraId="28FF4884" w14:textId="0EDFEAE5" w:rsidR="00474DA2" w:rsidRPr="000309CC" w:rsidRDefault="00474DA2" w:rsidP="00474DA2">
      <w:pPr>
        <w:spacing w:line="240" w:lineRule="auto"/>
        <w:jc w:val="both"/>
        <w:rPr>
          <w:rFonts w:ascii="Times New Roman" w:hAnsi="Times New Roman" w:cs="Times New Roman"/>
          <w:noProof/>
          <w:sz w:val="24"/>
          <w:szCs w:val="24"/>
        </w:rPr>
      </w:pPr>
      <w:r w:rsidRPr="000309CC">
        <w:rPr>
          <w:rFonts w:ascii="Times New Roman" w:hAnsi="Times New Roman"/>
          <w:noProof/>
          <w:sz w:val="24"/>
        </w:rPr>
        <w:t>21 marca 2022</w:t>
      </w:r>
      <w:r w:rsidR="000309CC" w:rsidRPr="000309CC">
        <w:rPr>
          <w:rFonts w:ascii="Times New Roman" w:hAnsi="Times New Roman"/>
          <w:noProof/>
          <w:sz w:val="24"/>
        </w:rPr>
        <w:t> </w:t>
      </w:r>
      <w:r w:rsidRPr="000309CC">
        <w:rPr>
          <w:rFonts w:ascii="Times New Roman" w:hAnsi="Times New Roman"/>
          <w:noProof/>
          <w:sz w:val="24"/>
        </w:rPr>
        <w:t xml:space="preserve">r. Rada przyjęła </w:t>
      </w:r>
      <w:r w:rsidRPr="000309CC">
        <w:rPr>
          <w:rFonts w:ascii="Times New Roman" w:hAnsi="Times New Roman"/>
          <w:b/>
          <w:noProof/>
          <w:sz w:val="24"/>
        </w:rPr>
        <w:t>Strategiczny kompas na rzecz bezpieczeństwa</w:t>
      </w:r>
      <w:r w:rsidR="000309CC" w:rsidRPr="000309CC">
        <w:rPr>
          <w:rFonts w:ascii="Times New Roman" w:hAnsi="Times New Roman"/>
          <w:b/>
          <w:noProof/>
          <w:sz w:val="24"/>
        </w:rPr>
        <w:t xml:space="preserve"> i obr</w:t>
      </w:r>
      <w:r w:rsidRPr="000309CC">
        <w:rPr>
          <w:rFonts w:ascii="Times New Roman" w:hAnsi="Times New Roman"/>
          <w:b/>
          <w:noProof/>
          <w:sz w:val="24"/>
        </w:rPr>
        <w:t>ony</w:t>
      </w:r>
      <w:r w:rsidRPr="000309CC">
        <w:rPr>
          <w:rStyle w:val="FootnoteReference"/>
          <w:rFonts w:ascii="Times New Roman" w:hAnsi="Times New Roman" w:cs="Times New Roman"/>
          <w:noProof/>
          <w:sz w:val="24"/>
          <w:szCs w:val="24"/>
        </w:rPr>
        <w:footnoteReference w:id="57"/>
      </w:r>
      <w:r w:rsidRPr="000309CC">
        <w:rPr>
          <w:rFonts w:ascii="Times New Roman" w:hAnsi="Times New Roman"/>
          <w:noProof/>
          <w:sz w:val="24"/>
        </w:rPr>
        <w:t>, który wkrótce potem został zatwierdzony przez Radę Europejską. W Kompasie przedstawiono ambitny plan działania na rzecz wzmocnienia polityki bezpieczeństwa</w:t>
      </w:r>
      <w:r w:rsidR="000309CC" w:rsidRPr="000309CC">
        <w:rPr>
          <w:rFonts w:ascii="Times New Roman" w:hAnsi="Times New Roman"/>
          <w:noProof/>
          <w:sz w:val="24"/>
        </w:rPr>
        <w:t xml:space="preserve"> i obr</w:t>
      </w:r>
      <w:r w:rsidRPr="000309CC">
        <w:rPr>
          <w:rFonts w:ascii="Times New Roman" w:hAnsi="Times New Roman"/>
          <w:noProof/>
          <w:sz w:val="24"/>
        </w:rPr>
        <w:t>ony UE do</w:t>
      </w:r>
      <w:r w:rsidR="000309CC" w:rsidRPr="000309CC">
        <w:rPr>
          <w:rFonts w:ascii="Times New Roman" w:hAnsi="Times New Roman"/>
          <w:noProof/>
          <w:sz w:val="24"/>
        </w:rPr>
        <w:t> </w:t>
      </w:r>
      <w:r w:rsidRPr="000309CC">
        <w:rPr>
          <w:rFonts w:ascii="Times New Roman" w:hAnsi="Times New Roman"/>
          <w:noProof/>
          <w:sz w:val="24"/>
        </w:rPr>
        <w:t>2030</w:t>
      </w:r>
      <w:r w:rsidR="000309CC" w:rsidRPr="000309CC">
        <w:rPr>
          <w:rFonts w:ascii="Times New Roman" w:hAnsi="Times New Roman"/>
          <w:noProof/>
          <w:sz w:val="24"/>
        </w:rPr>
        <w:t> </w:t>
      </w:r>
      <w:r w:rsidRPr="000309CC">
        <w:rPr>
          <w:rFonts w:ascii="Times New Roman" w:hAnsi="Times New Roman"/>
          <w:noProof/>
          <w:sz w:val="24"/>
        </w:rPr>
        <w:t>r. Ma on na celu uczynienie z UE silniejszego</w:t>
      </w:r>
      <w:r w:rsidR="000309CC" w:rsidRPr="000309CC">
        <w:rPr>
          <w:rFonts w:ascii="Times New Roman" w:hAnsi="Times New Roman"/>
          <w:noProof/>
          <w:sz w:val="24"/>
        </w:rPr>
        <w:t xml:space="preserve"> i dys</w:t>
      </w:r>
      <w:r w:rsidRPr="000309CC">
        <w:rPr>
          <w:rFonts w:ascii="Times New Roman" w:hAnsi="Times New Roman"/>
          <w:noProof/>
          <w:sz w:val="24"/>
        </w:rPr>
        <w:t>ponującego większymi zdolnościami gwaranta bezpieczeństwa, który chroni swoich obywateli</w:t>
      </w:r>
      <w:r w:rsidR="000309CC" w:rsidRPr="000309CC">
        <w:rPr>
          <w:rFonts w:ascii="Times New Roman" w:hAnsi="Times New Roman"/>
          <w:noProof/>
          <w:sz w:val="24"/>
        </w:rPr>
        <w:t xml:space="preserve"> i prz</w:t>
      </w:r>
      <w:r w:rsidRPr="000309CC">
        <w:rPr>
          <w:rFonts w:ascii="Times New Roman" w:hAnsi="Times New Roman"/>
          <w:noProof/>
          <w:sz w:val="24"/>
        </w:rPr>
        <w:t>yczynia się do międzynarodowego pokoju</w:t>
      </w:r>
      <w:r w:rsidR="000309CC" w:rsidRPr="000309CC">
        <w:rPr>
          <w:rFonts w:ascii="Times New Roman" w:hAnsi="Times New Roman"/>
          <w:noProof/>
          <w:sz w:val="24"/>
        </w:rPr>
        <w:t xml:space="preserve"> i bez</w:t>
      </w:r>
      <w:r w:rsidRPr="000309CC">
        <w:rPr>
          <w:rFonts w:ascii="Times New Roman" w:hAnsi="Times New Roman"/>
          <w:noProof/>
          <w:sz w:val="24"/>
        </w:rPr>
        <w:t>pieczeństwa. Określono</w:t>
      </w:r>
      <w:r w:rsidR="000309CC" w:rsidRPr="000309CC">
        <w:rPr>
          <w:rFonts w:ascii="Times New Roman" w:hAnsi="Times New Roman"/>
          <w:noProof/>
          <w:sz w:val="24"/>
        </w:rPr>
        <w:t xml:space="preserve"> w nim</w:t>
      </w:r>
      <w:r w:rsidRPr="000309CC">
        <w:rPr>
          <w:rFonts w:ascii="Times New Roman" w:hAnsi="Times New Roman"/>
          <w:noProof/>
          <w:sz w:val="24"/>
        </w:rPr>
        <w:t xml:space="preserve"> konkretne propozycje, wraz</w:t>
      </w:r>
      <w:r w:rsidR="000309CC" w:rsidRPr="000309CC">
        <w:rPr>
          <w:rFonts w:ascii="Times New Roman" w:hAnsi="Times New Roman"/>
          <w:noProof/>
          <w:sz w:val="24"/>
        </w:rPr>
        <w:t xml:space="preserve"> z bar</w:t>
      </w:r>
      <w:r w:rsidRPr="000309CC">
        <w:rPr>
          <w:rFonts w:ascii="Times New Roman" w:hAnsi="Times New Roman"/>
          <w:noProof/>
          <w:sz w:val="24"/>
        </w:rPr>
        <w:t>dzo dokładnym harmonogramem ich realizacji,</w:t>
      </w:r>
      <w:r w:rsidR="000309CC" w:rsidRPr="000309CC">
        <w:rPr>
          <w:rFonts w:ascii="Times New Roman" w:hAnsi="Times New Roman"/>
          <w:noProof/>
          <w:sz w:val="24"/>
        </w:rPr>
        <w:t xml:space="preserve"> z myś</w:t>
      </w:r>
      <w:r w:rsidRPr="000309CC">
        <w:rPr>
          <w:rFonts w:ascii="Times New Roman" w:hAnsi="Times New Roman"/>
          <w:noProof/>
          <w:sz w:val="24"/>
        </w:rPr>
        <w:t>lą</w:t>
      </w:r>
      <w:r w:rsidR="000309CC" w:rsidRPr="000309CC">
        <w:rPr>
          <w:rFonts w:ascii="Times New Roman" w:hAnsi="Times New Roman"/>
          <w:noProof/>
          <w:sz w:val="24"/>
        </w:rPr>
        <w:t xml:space="preserve"> o zwi</w:t>
      </w:r>
      <w:r w:rsidRPr="000309CC">
        <w:rPr>
          <w:rFonts w:ascii="Times New Roman" w:hAnsi="Times New Roman"/>
          <w:noProof/>
          <w:sz w:val="24"/>
        </w:rPr>
        <w:t>ększeniu zdolności UE do zdecydowanego działania</w:t>
      </w:r>
      <w:r w:rsidR="000309CC" w:rsidRPr="000309CC">
        <w:rPr>
          <w:rFonts w:ascii="Times New Roman" w:hAnsi="Times New Roman"/>
          <w:noProof/>
          <w:sz w:val="24"/>
        </w:rPr>
        <w:t xml:space="preserve"> w prz</w:t>
      </w:r>
      <w:r w:rsidRPr="000309CC">
        <w:rPr>
          <w:rFonts w:ascii="Times New Roman" w:hAnsi="Times New Roman"/>
          <w:noProof/>
          <w:sz w:val="24"/>
        </w:rPr>
        <w:t>ypadku kryzysów.</w:t>
      </w:r>
    </w:p>
    <w:p w14:paraId="648DC9DD" w14:textId="2192CCE8" w:rsidR="00474DA2" w:rsidRPr="000309CC" w:rsidRDefault="00474DA2" w:rsidP="00474DA2">
      <w:pPr>
        <w:spacing w:line="240" w:lineRule="auto"/>
        <w:jc w:val="both"/>
        <w:rPr>
          <w:rFonts w:ascii="Times New Roman" w:hAnsi="Times New Roman" w:cs="Times New Roman"/>
          <w:noProof/>
          <w:sz w:val="24"/>
          <w:szCs w:val="24"/>
        </w:rPr>
      </w:pPr>
      <w:r w:rsidRPr="000309CC">
        <w:rPr>
          <w:rFonts w:ascii="Times New Roman" w:hAnsi="Times New Roman"/>
          <w:noProof/>
          <w:sz w:val="24"/>
        </w:rPr>
        <w:t>Jednym</w:t>
      </w:r>
      <w:r w:rsidR="000309CC" w:rsidRPr="000309CC">
        <w:rPr>
          <w:rFonts w:ascii="Times New Roman" w:hAnsi="Times New Roman"/>
          <w:noProof/>
          <w:sz w:val="24"/>
        </w:rPr>
        <w:t xml:space="preserve"> z osi</w:t>
      </w:r>
      <w:r w:rsidRPr="000309CC">
        <w:rPr>
          <w:rFonts w:ascii="Times New Roman" w:hAnsi="Times New Roman"/>
          <w:noProof/>
          <w:sz w:val="24"/>
        </w:rPr>
        <w:t>ągnięć</w:t>
      </w:r>
      <w:r w:rsidR="000309CC" w:rsidRPr="000309CC">
        <w:rPr>
          <w:rFonts w:ascii="Times New Roman" w:hAnsi="Times New Roman"/>
          <w:noProof/>
          <w:sz w:val="24"/>
        </w:rPr>
        <w:t xml:space="preserve"> w ram</w:t>
      </w:r>
      <w:r w:rsidRPr="000309CC">
        <w:rPr>
          <w:rFonts w:ascii="Times New Roman" w:hAnsi="Times New Roman"/>
          <w:noProof/>
          <w:sz w:val="24"/>
        </w:rPr>
        <w:t xml:space="preserve">ach Strategicznego kompasu jest opracowanie </w:t>
      </w:r>
      <w:r w:rsidRPr="000309CC">
        <w:rPr>
          <w:rFonts w:ascii="Times New Roman" w:hAnsi="Times New Roman"/>
          <w:b/>
          <w:noProof/>
          <w:sz w:val="24"/>
        </w:rPr>
        <w:t>unijnego zestawu narzędzi do przeciwdziałania zagrożeniom hybrydowym</w:t>
      </w:r>
      <w:r w:rsidRPr="000309CC">
        <w:rPr>
          <w:rFonts w:ascii="Times New Roman" w:hAnsi="Times New Roman"/>
          <w:noProof/>
          <w:sz w:val="24"/>
        </w:rPr>
        <w:t>, który powinien zapewnić ramy skoordynowanej reakcji na kampanie hybrydowe mające wpływ na UE</w:t>
      </w:r>
      <w:r w:rsidR="000309CC" w:rsidRPr="000309CC">
        <w:rPr>
          <w:rFonts w:ascii="Times New Roman" w:hAnsi="Times New Roman"/>
          <w:noProof/>
          <w:sz w:val="24"/>
        </w:rPr>
        <w:t xml:space="preserve"> i jej</w:t>
      </w:r>
      <w:r w:rsidRPr="000309CC">
        <w:rPr>
          <w:rFonts w:ascii="Times New Roman" w:hAnsi="Times New Roman"/>
          <w:noProof/>
          <w:sz w:val="24"/>
        </w:rPr>
        <w:t xml:space="preserve"> państwa członkowskie,</w:t>
      </w:r>
      <w:r w:rsidR="000309CC" w:rsidRPr="000309CC">
        <w:rPr>
          <w:rFonts w:ascii="Times New Roman" w:hAnsi="Times New Roman"/>
          <w:noProof/>
          <w:sz w:val="24"/>
        </w:rPr>
        <w:t xml:space="preserve"> w tym</w:t>
      </w:r>
      <w:r w:rsidRPr="000309CC">
        <w:rPr>
          <w:rFonts w:ascii="Times New Roman" w:hAnsi="Times New Roman"/>
          <w:noProof/>
          <w:sz w:val="24"/>
        </w:rPr>
        <w:t xml:space="preserve"> środków wewnętrznych</w:t>
      </w:r>
      <w:r w:rsidR="000309CC" w:rsidRPr="000309CC">
        <w:rPr>
          <w:rFonts w:ascii="Times New Roman" w:hAnsi="Times New Roman"/>
          <w:noProof/>
          <w:sz w:val="24"/>
        </w:rPr>
        <w:t xml:space="preserve"> i zew</w:t>
      </w:r>
      <w:r w:rsidRPr="000309CC">
        <w:rPr>
          <w:rFonts w:ascii="Times New Roman" w:hAnsi="Times New Roman"/>
          <w:noProof/>
          <w:sz w:val="24"/>
        </w:rPr>
        <w:t>nętrznych. Po określeniu wyjściowych poziomów odporności sektorowej, którego dokonano na początku 2022</w:t>
      </w:r>
      <w:r w:rsidR="000309CC" w:rsidRPr="000309CC">
        <w:rPr>
          <w:rFonts w:ascii="Times New Roman" w:hAnsi="Times New Roman"/>
          <w:noProof/>
          <w:sz w:val="24"/>
        </w:rPr>
        <w:t> </w:t>
      </w:r>
      <w:r w:rsidRPr="000309CC">
        <w:rPr>
          <w:rFonts w:ascii="Times New Roman" w:hAnsi="Times New Roman"/>
          <w:noProof/>
          <w:sz w:val="24"/>
        </w:rPr>
        <w:t>r.</w:t>
      </w:r>
      <w:r w:rsidR="000558AC" w:rsidRPr="000309CC">
        <w:rPr>
          <w:rStyle w:val="FootnoteReference"/>
          <w:rFonts w:ascii="Times New Roman" w:eastAsia="Times New Roman" w:hAnsi="Times New Roman" w:cs="Times New Roman"/>
          <w:noProof/>
          <w:sz w:val="24"/>
          <w:szCs w:val="24"/>
        </w:rPr>
        <w:footnoteReference w:id="58"/>
      </w:r>
      <w:r w:rsidRPr="000309CC">
        <w:rPr>
          <w:rFonts w:ascii="Times New Roman" w:hAnsi="Times New Roman"/>
          <w:noProof/>
          <w:sz w:val="24"/>
        </w:rPr>
        <w:t>, zostanie zakończona analiza luk</w:t>
      </w:r>
      <w:r w:rsidR="000309CC" w:rsidRPr="000309CC">
        <w:rPr>
          <w:rFonts w:ascii="Times New Roman" w:hAnsi="Times New Roman"/>
          <w:noProof/>
          <w:sz w:val="24"/>
        </w:rPr>
        <w:t xml:space="preserve"> i pot</w:t>
      </w:r>
      <w:r w:rsidRPr="000309CC">
        <w:rPr>
          <w:rFonts w:ascii="Times New Roman" w:hAnsi="Times New Roman"/>
          <w:noProof/>
          <w:sz w:val="24"/>
        </w:rPr>
        <w:t>rzeb. To właśnie</w:t>
      </w:r>
      <w:r w:rsidR="000309CC" w:rsidRPr="000309CC">
        <w:rPr>
          <w:rFonts w:ascii="Times New Roman" w:hAnsi="Times New Roman"/>
          <w:noProof/>
          <w:sz w:val="24"/>
        </w:rPr>
        <w:t xml:space="preserve"> w tyc</w:t>
      </w:r>
      <w:r w:rsidRPr="000309CC">
        <w:rPr>
          <w:rFonts w:ascii="Times New Roman" w:hAnsi="Times New Roman"/>
          <w:noProof/>
          <w:sz w:val="24"/>
        </w:rPr>
        <w:t>h ramach UE będzie nadal budować gotowość, odporność</w:t>
      </w:r>
      <w:r w:rsidR="000309CC" w:rsidRPr="000309CC">
        <w:rPr>
          <w:rFonts w:ascii="Times New Roman" w:hAnsi="Times New Roman"/>
          <w:noProof/>
          <w:sz w:val="24"/>
        </w:rPr>
        <w:t xml:space="preserve"> i zdo</w:t>
      </w:r>
      <w:r w:rsidRPr="000309CC">
        <w:rPr>
          <w:rFonts w:ascii="Times New Roman" w:hAnsi="Times New Roman"/>
          <w:noProof/>
          <w:sz w:val="24"/>
        </w:rPr>
        <w:t>lność reagowania na zagrożenia wynikające</w:t>
      </w:r>
      <w:r w:rsidR="000309CC" w:rsidRPr="000309CC">
        <w:rPr>
          <w:rFonts w:ascii="Times New Roman" w:hAnsi="Times New Roman"/>
          <w:noProof/>
          <w:sz w:val="24"/>
        </w:rPr>
        <w:t xml:space="preserve"> z agr</w:t>
      </w:r>
      <w:r w:rsidRPr="000309CC">
        <w:rPr>
          <w:rFonts w:ascii="Times New Roman" w:hAnsi="Times New Roman"/>
          <w:noProof/>
          <w:sz w:val="24"/>
        </w:rPr>
        <w:t>esji Rosji</w:t>
      </w:r>
      <w:r w:rsidR="000309CC" w:rsidRPr="000309CC">
        <w:rPr>
          <w:rFonts w:ascii="Times New Roman" w:hAnsi="Times New Roman"/>
          <w:noProof/>
          <w:sz w:val="24"/>
        </w:rPr>
        <w:t xml:space="preserve"> i wsz</w:t>
      </w:r>
      <w:r w:rsidRPr="000309CC">
        <w:rPr>
          <w:rFonts w:ascii="Times New Roman" w:hAnsi="Times New Roman"/>
          <w:noProof/>
          <w:sz w:val="24"/>
        </w:rPr>
        <w:t>elkich innych prób destabilizowania demokracji</w:t>
      </w:r>
      <w:r w:rsidR="000309CC" w:rsidRPr="000309CC">
        <w:rPr>
          <w:rFonts w:ascii="Times New Roman" w:hAnsi="Times New Roman"/>
          <w:noProof/>
          <w:sz w:val="24"/>
        </w:rPr>
        <w:t xml:space="preserve"> i wie</w:t>
      </w:r>
      <w:r w:rsidRPr="000309CC">
        <w:rPr>
          <w:rFonts w:ascii="Times New Roman" w:hAnsi="Times New Roman"/>
          <w:noProof/>
          <w:sz w:val="24"/>
        </w:rPr>
        <w:t xml:space="preserve">lostronnego porządku opartego na zasadach.    </w:t>
      </w:r>
    </w:p>
    <w:p w14:paraId="2E86224A" w14:textId="77777777" w:rsidR="0099171C" w:rsidRPr="000309CC" w:rsidRDefault="0099171C" w:rsidP="00474DA2">
      <w:pPr>
        <w:spacing w:line="240" w:lineRule="auto"/>
        <w:jc w:val="both"/>
        <w:rPr>
          <w:rFonts w:ascii="Times New Roman" w:hAnsi="Times New Roman" w:cs="Times New Roman"/>
          <w:noProof/>
          <w:sz w:val="24"/>
          <w:szCs w:val="24"/>
        </w:rPr>
      </w:pPr>
    </w:p>
    <w:p w14:paraId="6ADE4626" w14:textId="77777777" w:rsidR="00474DA2" w:rsidRPr="000309CC" w:rsidRDefault="00474DA2" w:rsidP="00474DA2">
      <w:pPr>
        <w:pStyle w:val="ListParagraph"/>
        <w:numPr>
          <w:ilvl w:val="0"/>
          <w:numId w:val="2"/>
        </w:numPr>
        <w:spacing w:before="360" w:after="240"/>
        <w:rPr>
          <w:rFonts w:ascii="Times New Roman" w:hAnsi="Times New Roman" w:cs="Times New Roman"/>
          <w:b/>
          <w:noProof/>
          <w:sz w:val="24"/>
          <w:szCs w:val="24"/>
        </w:rPr>
      </w:pPr>
      <w:r w:rsidRPr="000309CC">
        <w:rPr>
          <w:rFonts w:ascii="Times New Roman" w:hAnsi="Times New Roman"/>
          <w:b/>
          <w:noProof/>
          <w:sz w:val="24"/>
        </w:rPr>
        <w:t xml:space="preserve">PERSPEKTYWY </w:t>
      </w:r>
    </w:p>
    <w:p w14:paraId="6C3614C4" w14:textId="0AE7E7AF" w:rsidR="009D223B" w:rsidRPr="000309CC" w:rsidRDefault="00474DA2" w:rsidP="00474DA2">
      <w:pPr>
        <w:spacing w:line="240" w:lineRule="auto"/>
        <w:jc w:val="both"/>
        <w:rPr>
          <w:rFonts w:ascii="Times New Roman" w:hAnsi="Times New Roman" w:cs="Times New Roman"/>
          <w:noProof/>
          <w:sz w:val="24"/>
          <w:szCs w:val="24"/>
        </w:rPr>
      </w:pPr>
      <w:r w:rsidRPr="000309CC">
        <w:rPr>
          <w:rFonts w:ascii="Times New Roman" w:hAnsi="Times New Roman"/>
          <w:noProof/>
          <w:sz w:val="24"/>
        </w:rPr>
        <w:t xml:space="preserve">W przyszłości UE będzie musiała zachować szczególną czujność wobec zmieniających się zagrożeń oraz budować </w:t>
      </w:r>
      <w:r w:rsidRPr="000309CC">
        <w:rPr>
          <w:rFonts w:ascii="Times New Roman" w:hAnsi="Times New Roman"/>
          <w:b/>
          <w:noProof/>
          <w:sz w:val="24"/>
        </w:rPr>
        <w:t>gotowość</w:t>
      </w:r>
      <w:r w:rsidR="000309CC" w:rsidRPr="000309CC">
        <w:rPr>
          <w:rFonts w:ascii="Times New Roman" w:hAnsi="Times New Roman"/>
          <w:b/>
          <w:noProof/>
          <w:sz w:val="24"/>
        </w:rPr>
        <w:t xml:space="preserve"> i odp</w:t>
      </w:r>
      <w:r w:rsidRPr="000309CC">
        <w:rPr>
          <w:rFonts w:ascii="Times New Roman" w:hAnsi="Times New Roman"/>
          <w:b/>
          <w:noProof/>
          <w:sz w:val="24"/>
        </w:rPr>
        <w:t>orność na wszelkie możliwości</w:t>
      </w:r>
      <w:r w:rsidRPr="000309CC">
        <w:rPr>
          <w:rFonts w:ascii="Times New Roman" w:hAnsi="Times New Roman"/>
          <w:noProof/>
          <w:sz w:val="24"/>
        </w:rPr>
        <w:t>. Skutki wojny mogą przybrać różne formy,</w:t>
      </w:r>
      <w:r w:rsidR="000309CC" w:rsidRPr="000309CC">
        <w:rPr>
          <w:rFonts w:ascii="Times New Roman" w:hAnsi="Times New Roman"/>
          <w:noProof/>
          <w:sz w:val="24"/>
        </w:rPr>
        <w:t xml:space="preserve"> z któ</w:t>
      </w:r>
      <w:r w:rsidRPr="000309CC">
        <w:rPr>
          <w:rFonts w:ascii="Times New Roman" w:hAnsi="Times New Roman"/>
          <w:noProof/>
          <w:sz w:val="24"/>
        </w:rPr>
        <w:t xml:space="preserve">rych nie wszystkie można już ocenić. </w:t>
      </w:r>
    </w:p>
    <w:p w14:paraId="71C791DF" w14:textId="59A1F024" w:rsidR="00474DA2" w:rsidRPr="000309CC" w:rsidRDefault="00474DA2" w:rsidP="00474DA2">
      <w:pPr>
        <w:spacing w:line="240" w:lineRule="auto"/>
        <w:jc w:val="both"/>
        <w:rPr>
          <w:rFonts w:ascii="Times New Roman" w:hAnsi="Times New Roman" w:cs="Times New Roman"/>
          <w:noProof/>
          <w:sz w:val="24"/>
          <w:szCs w:val="24"/>
        </w:rPr>
      </w:pPr>
      <w:r w:rsidRPr="000309CC">
        <w:rPr>
          <w:rFonts w:ascii="Times New Roman" w:hAnsi="Times New Roman"/>
          <w:noProof/>
          <w:sz w:val="24"/>
        </w:rPr>
        <w:t>Nie wiadomo jeszcze,</w:t>
      </w:r>
      <w:r w:rsidR="000309CC" w:rsidRPr="000309CC">
        <w:rPr>
          <w:rFonts w:ascii="Times New Roman" w:hAnsi="Times New Roman"/>
          <w:noProof/>
          <w:sz w:val="24"/>
        </w:rPr>
        <w:t xml:space="preserve"> w jak</w:t>
      </w:r>
      <w:r w:rsidRPr="000309CC">
        <w:rPr>
          <w:rFonts w:ascii="Times New Roman" w:hAnsi="Times New Roman"/>
          <w:noProof/>
          <w:sz w:val="24"/>
        </w:rPr>
        <w:t>im stopniu ukraińskie siatki przestępcze przesiedliły się. Sprawy prowadzone dotychczas przez Eurojust wskazują na tendencję</w:t>
      </w:r>
      <w:r w:rsidR="000309CC" w:rsidRPr="000309CC">
        <w:rPr>
          <w:rFonts w:ascii="Times New Roman" w:hAnsi="Times New Roman"/>
          <w:noProof/>
          <w:sz w:val="24"/>
        </w:rPr>
        <w:t xml:space="preserve"> w zak</w:t>
      </w:r>
      <w:r w:rsidRPr="000309CC">
        <w:rPr>
          <w:rFonts w:ascii="Times New Roman" w:hAnsi="Times New Roman"/>
          <w:noProof/>
          <w:sz w:val="24"/>
        </w:rPr>
        <w:t>resie przemytu heroiny</w:t>
      </w:r>
      <w:r w:rsidR="000309CC" w:rsidRPr="000309CC">
        <w:rPr>
          <w:rFonts w:ascii="Times New Roman" w:hAnsi="Times New Roman"/>
          <w:noProof/>
          <w:sz w:val="24"/>
        </w:rPr>
        <w:t xml:space="preserve"> z Afg</w:t>
      </w:r>
      <w:r w:rsidRPr="000309CC">
        <w:rPr>
          <w:rFonts w:ascii="Times New Roman" w:hAnsi="Times New Roman"/>
          <w:noProof/>
          <w:sz w:val="24"/>
        </w:rPr>
        <w:t>anistanu do UE przez Ukrainę, co zostało potwierdzone przez Europejskie Centrum Monitorowania Narkotyków</w:t>
      </w:r>
      <w:r w:rsidR="000309CC" w:rsidRPr="000309CC">
        <w:rPr>
          <w:rFonts w:ascii="Times New Roman" w:hAnsi="Times New Roman"/>
          <w:noProof/>
          <w:sz w:val="24"/>
        </w:rPr>
        <w:t xml:space="preserve"> i Nar</w:t>
      </w:r>
      <w:r w:rsidRPr="000309CC">
        <w:rPr>
          <w:rFonts w:ascii="Times New Roman" w:hAnsi="Times New Roman"/>
          <w:noProof/>
          <w:sz w:val="24"/>
        </w:rPr>
        <w:t>komanii (EMCDDA)</w:t>
      </w:r>
      <w:r w:rsidRPr="000309CC">
        <w:rPr>
          <w:rStyle w:val="FootnoteReference"/>
          <w:rFonts w:ascii="Times New Roman" w:hAnsi="Times New Roman" w:cs="Times New Roman"/>
          <w:noProof/>
          <w:sz w:val="24"/>
          <w:szCs w:val="24"/>
        </w:rPr>
        <w:footnoteReference w:id="59"/>
      </w:r>
      <w:r w:rsidRPr="000309CC">
        <w:rPr>
          <w:rFonts w:ascii="Times New Roman" w:hAnsi="Times New Roman"/>
          <w:noProof/>
          <w:sz w:val="24"/>
        </w:rPr>
        <w:t xml:space="preserve">. Niestabilna sytuacja może utrudnić działania na rzecz zwalczania handlu heroiną prowadzonego tą drogą, co stwarza ryzyko potencjalnego wzrostu napływu narkotyków do UE. </w:t>
      </w:r>
    </w:p>
    <w:p w14:paraId="1033FCCB" w14:textId="34C714BC" w:rsidR="00E9368B" w:rsidRPr="000309CC" w:rsidRDefault="00474DA2" w:rsidP="00E9368B">
      <w:pPr>
        <w:spacing w:after="0" w:line="240" w:lineRule="auto"/>
        <w:jc w:val="both"/>
        <w:rPr>
          <w:rFonts w:ascii="Times New Roman" w:hAnsi="Times New Roman" w:cs="Times New Roman"/>
          <w:noProof/>
          <w:sz w:val="24"/>
          <w:szCs w:val="24"/>
        </w:rPr>
      </w:pPr>
      <w:r w:rsidRPr="000309CC">
        <w:rPr>
          <w:rFonts w:ascii="Times New Roman" w:hAnsi="Times New Roman"/>
          <w:noProof/>
          <w:sz w:val="24"/>
        </w:rPr>
        <w:t>W przypadku niektórych zagrożeń dla UE istnieje większe prawdopodobieństwo ich nasilenia się po zakończeniu walk lub</w:t>
      </w:r>
      <w:r w:rsidR="000309CC" w:rsidRPr="000309CC">
        <w:rPr>
          <w:rFonts w:ascii="Times New Roman" w:hAnsi="Times New Roman"/>
          <w:noProof/>
          <w:sz w:val="24"/>
        </w:rPr>
        <w:t xml:space="preserve"> w cza</w:t>
      </w:r>
      <w:r w:rsidRPr="000309CC">
        <w:rPr>
          <w:rFonts w:ascii="Times New Roman" w:hAnsi="Times New Roman"/>
          <w:noProof/>
          <w:sz w:val="24"/>
        </w:rPr>
        <w:t>sie potencjalnych przerw</w:t>
      </w:r>
      <w:r w:rsidR="000309CC" w:rsidRPr="000309CC">
        <w:rPr>
          <w:rFonts w:ascii="Times New Roman" w:hAnsi="Times New Roman"/>
          <w:noProof/>
          <w:sz w:val="24"/>
        </w:rPr>
        <w:t xml:space="preserve"> w ich</w:t>
      </w:r>
      <w:r w:rsidRPr="000309CC">
        <w:rPr>
          <w:rFonts w:ascii="Times New Roman" w:hAnsi="Times New Roman"/>
          <w:noProof/>
          <w:sz w:val="24"/>
        </w:rPr>
        <w:t xml:space="preserve"> prowadzeniu. Szczególna uwaga zostanie zwrócona na obrót bronią palną, przy czym ryzyko to wzrośnie po ustaniu walk</w:t>
      </w:r>
      <w:r w:rsidR="000309CC" w:rsidRPr="000309CC">
        <w:rPr>
          <w:rFonts w:ascii="Times New Roman" w:hAnsi="Times New Roman"/>
          <w:noProof/>
          <w:sz w:val="24"/>
        </w:rPr>
        <w:t xml:space="preserve"> w Ukr</w:t>
      </w:r>
      <w:r w:rsidRPr="000309CC">
        <w:rPr>
          <w:rFonts w:ascii="Times New Roman" w:hAnsi="Times New Roman"/>
          <w:noProof/>
          <w:sz w:val="24"/>
        </w:rPr>
        <w:t>ainie. Doświadczenia</w:t>
      </w:r>
      <w:r w:rsidR="000309CC" w:rsidRPr="000309CC">
        <w:rPr>
          <w:rFonts w:ascii="Times New Roman" w:hAnsi="Times New Roman"/>
          <w:noProof/>
          <w:sz w:val="24"/>
        </w:rPr>
        <w:t xml:space="preserve"> z prz</w:t>
      </w:r>
      <w:r w:rsidRPr="000309CC">
        <w:rPr>
          <w:rFonts w:ascii="Times New Roman" w:hAnsi="Times New Roman"/>
          <w:noProof/>
          <w:sz w:val="24"/>
        </w:rPr>
        <w:t>eszłości wskazują również na ryzyko, że powrót zagranicznych bojowników, którzy zdobyli doświadczenie bojowe</w:t>
      </w:r>
      <w:r w:rsidR="000309CC" w:rsidRPr="000309CC">
        <w:rPr>
          <w:rFonts w:ascii="Times New Roman" w:hAnsi="Times New Roman"/>
          <w:noProof/>
          <w:sz w:val="24"/>
        </w:rPr>
        <w:t xml:space="preserve"> i mog</w:t>
      </w:r>
      <w:r w:rsidRPr="000309CC">
        <w:rPr>
          <w:rFonts w:ascii="Times New Roman" w:hAnsi="Times New Roman"/>
          <w:noProof/>
          <w:sz w:val="24"/>
        </w:rPr>
        <w:t>li mieć kontakt</w:t>
      </w:r>
      <w:r w:rsidR="000309CC" w:rsidRPr="000309CC">
        <w:rPr>
          <w:rFonts w:ascii="Times New Roman" w:hAnsi="Times New Roman"/>
          <w:noProof/>
          <w:sz w:val="24"/>
        </w:rPr>
        <w:t xml:space="preserve"> z gru</w:t>
      </w:r>
      <w:r w:rsidRPr="000309CC">
        <w:rPr>
          <w:rFonts w:ascii="Times New Roman" w:hAnsi="Times New Roman"/>
          <w:noProof/>
          <w:sz w:val="24"/>
        </w:rPr>
        <w:t>pami ekstremistycznymi, może</w:t>
      </w:r>
      <w:r w:rsidR="000309CC" w:rsidRPr="000309CC">
        <w:rPr>
          <w:rFonts w:ascii="Times New Roman" w:hAnsi="Times New Roman"/>
          <w:noProof/>
          <w:sz w:val="24"/>
        </w:rPr>
        <w:t xml:space="preserve"> w póź</w:t>
      </w:r>
      <w:r w:rsidRPr="000309CC">
        <w:rPr>
          <w:rFonts w:ascii="Times New Roman" w:hAnsi="Times New Roman"/>
          <w:noProof/>
          <w:sz w:val="24"/>
        </w:rPr>
        <w:t>niejszym czasie doprowadzić do działań terrorystycznych w UE. To potencjalne zjawisko należy uważnie monitorować,</w:t>
      </w:r>
      <w:r w:rsidR="000309CC" w:rsidRPr="000309CC">
        <w:rPr>
          <w:rFonts w:ascii="Times New Roman" w:hAnsi="Times New Roman"/>
          <w:noProof/>
          <w:sz w:val="24"/>
        </w:rPr>
        <w:t xml:space="preserve"> a Kom</w:t>
      </w:r>
      <w:r w:rsidRPr="000309CC">
        <w:rPr>
          <w:rFonts w:ascii="Times New Roman" w:hAnsi="Times New Roman"/>
          <w:noProof/>
          <w:sz w:val="24"/>
        </w:rPr>
        <w:t>isja już teraz ułatwia dyskusje między państwami członkowskimi na temat wyzwań wynikających</w:t>
      </w:r>
      <w:r w:rsidR="000309CC" w:rsidRPr="000309CC">
        <w:rPr>
          <w:rFonts w:ascii="Times New Roman" w:hAnsi="Times New Roman"/>
          <w:noProof/>
          <w:sz w:val="24"/>
        </w:rPr>
        <w:t xml:space="preserve"> z pow</w:t>
      </w:r>
      <w:r w:rsidRPr="000309CC">
        <w:rPr>
          <w:rFonts w:ascii="Times New Roman" w:hAnsi="Times New Roman"/>
          <w:noProof/>
          <w:sz w:val="24"/>
        </w:rPr>
        <w:t>rotu zagranicznych ochotników</w:t>
      </w:r>
      <w:r w:rsidR="000309CC" w:rsidRPr="000309CC">
        <w:rPr>
          <w:rFonts w:ascii="Times New Roman" w:hAnsi="Times New Roman"/>
          <w:noProof/>
          <w:sz w:val="24"/>
        </w:rPr>
        <w:t xml:space="preserve"> z prz</w:t>
      </w:r>
      <w:r w:rsidRPr="000309CC">
        <w:rPr>
          <w:rFonts w:ascii="Times New Roman" w:hAnsi="Times New Roman"/>
          <w:noProof/>
          <w:sz w:val="24"/>
        </w:rPr>
        <w:t>eszłością związaną</w:t>
      </w:r>
      <w:r w:rsidR="000309CC" w:rsidRPr="000309CC">
        <w:rPr>
          <w:rFonts w:ascii="Times New Roman" w:hAnsi="Times New Roman"/>
          <w:noProof/>
          <w:sz w:val="24"/>
        </w:rPr>
        <w:t xml:space="preserve"> z bru</w:t>
      </w:r>
      <w:r w:rsidRPr="000309CC">
        <w:rPr>
          <w:rFonts w:ascii="Times New Roman" w:hAnsi="Times New Roman"/>
          <w:noProof/>
          <w:sz w:val="24"/>
        </w:rPr>
        <w:t xml:space="preserve">talnym ekstremizmem. </w:t>
      </w:r>
    </w:p>
    <w:p w14:paraId="3575B710" w14:textId="77777777" w:rsidR="003C40F7" w:rsidRPr="000309CC" w:rsidRDefault="003C40F7" w:rsidP="00E9368B">
      <w:pPr>
        <w:spacing w:after="0" w:line="240" w:lineRule="auto"/>
        <w:jc w:val="both"/>
        <w:rPr>
          <w:rFonts w:ascii="Times New Roman" w:hAnsi="Times New Roman" w:cs="Times New Roman"/>
          <w:noProof/>
          <w:sz w:val="24"/>
          <w:szCs w:val="24"/>
        </w:rPr>
      </w:pPr>
    </w:p>
    <w:p w14:paraId="7FFCA6F1" w14:textId="4B8C7D87" w:rsidR="00474DA2" w:rsidRPr="000309CC" w:rsidRDefault="00474DA2" w:rsidP="00474DA2">
      <w:pPr>
        <w:spacing w:line="240" w:lineRule="auto"/>
        <w:jc w:val="both"/>
        <w:rPr>
          <w:rFonts w:ascii="Times New Roman" w:hAnsi="Times New Roman" w:cs="Times New Roman"/>
          <w:noProof/>
          <w:sz w:val="24"/>
        </w:rPr>
      </w:pPr>
      <w:r w:rsidRPr="000309CC">
        <w:rPr>
          <w:rFonts w:ascii="Times New Roman" w:hAnsi="Times New Roman"/>
          <w:noProof/>
          <w:sz w:val="24"/>
        </w:rPr>
        <w:t>W świetle tych potencjalnych zagrożeń istotne jest, aby</w:t>
      </w:r>
      <w:r w:rsidR="000309CC" w:rsidRPr="000309CC">
        <w:rPr>
          <w:rFonts w:ascii="Times New Roman" w:hAnsi="Times New Roman"/>
          <w:noProof/>
          <w:sz w:val="24"/>
        </w:rPr>
        <w:t xml:space="preserve"> w dal</w:t>
      </w:r>
      <w:r w:rsidRPr="000309CC">
        <w:rPr>
          <w:rFonts w:ascii="Times New Roman" w:hAnsi="Times New Roman"/>
          <w:noProof/>
          <w:sz w:val="24"/>
        </w:rPr>
        <w:t>szym ciągu realizować strategię</w:t>
      </w:r>
      <w:r w:rsidR="000309CC" w:rsidRPr="000309CC">
        <w:rPr>
          <w:rFonts w:ascii="Times New Roman" w:hAnsi="Times New Roman"/>
          <w:noProof/>
          <w:sz w:val="24"/>
        </w:rPr>
        <w:t xml:space="preserve"> w zak</w:t>
      </w:r>
      <w:r w:rsidRPr="000309CC">
        <w:rPr>
          <w:rFonts w:ascii="Times New Roman" w:hAnsi="Times New Roman"/>
          <w:noProof/>
          <w:sz w:val="24"/>
        </w:rPr>
        <w:t>resie unii bezpieczeństwa,</w:t>
      </w:r>
      <w:r w:rsidR="000309CC" w:rsidRPr="000309CC">
        <w:rPr>
          <w:rFonts w:ascii="Times New Roman" w:hAnsi="Times New Roman"/>
          <w:noProof/>
          <w:sz w:val="24"/>
        </w:rPr>
        <w:t xml:space="preserve"> w tym</w:t>
      </w:r>
      <w:r w:rsidRPr="000309CC">
        <w:rPr>
          <w:rFonts w:ascii="Times New Roman" w:hAnsi="Times New Roman"/>
          <w:noProof/>
          <w:sz w:val="24"/>
        </w:rPr>
        <w:t xml:space="preserve"> wdrażać kluczowe strategie, takie jak strategia UE</w:t>
      </w:r>
      <w:r w:rsidR="000309CC" w:rsidRPr="000309CC">
        <w:rPr>
          <w:rFonts w:ascii="Times New Roman" w:hAnsi="Times New Roman"/>
          <w:noProof/>
          <w:sz w:val="24"/>
        </w:rPr>
        <w:t xml:space="preserve"> w zak</w:t>
      </w:r>
      <w:r w:rsidRPr="000309CC">
        <w:rPr>
          <w:rFonts w:ascii="Times New Roman" w:hAnsi="Times New Roman"/>
          <w:noProof/>
          <w:sz w:val="24"/>
        </w:rPr>
        <w:t>resie cyberbezpieczeństwa na cyfrową dekadę, strategia zwalczania przestępczości zorganizowanej (2020–2025), plan dla UE</w:t>
      </w:r>
      <w:r w:rsidR="000309CC" w:rsidRPr="000309CC">
        <w:rPr>
          <w:rFonts w:ascii="Times New Roman" w:hAnsi="Times New Roman"/>
          <w:noProof/>
          <w:sz w:val="24"/>
        </w:rPr>
        <w:t xml:space="preserve"> w dzi</w:t>
      </w:r>
      <w:r w:rsidRPr="000309CC">
        <w:rPr>
          <w:rFonts w:ascii="Times New Roman" w:hAnsi="Times New Roman"/>
          <w:noProof/>
          <w:sz w:val="24"/>
        </w:rPr>
        <w:t>edzinie zwalczania terroryzmu (2020–2025), plan działania UE</w:t>
      </w:r>
      <w:r w:rsidR="000309CC" w:rsidRPr="000309CC">
        <w:rPr>
          <w:rFonts w:ascii="Times New Roman" w:hAnsi="Times New Roman"/>
          <w:noProof/>
          <w:sz w:val="24"/>
        </w:rPr>
        <w:t xml:space="preserve"> w spr</w:t>
      </w:r>
      <w:r w:rsidRPr="000309CC">
        <w:rPr>
          <w:rFonts w:ascii="Times New Roman" w:hAnsi="Times New Roman"/>
          <w:noProof/>
          <w:sz w:val="24"/>
        </w:rPr>
        <w:t>awie nielegalnego handlu bronią palną (2020–2025), strategia UE</w:t>
      </w:r>
      <w:r w:rsidR="000309CC" w:rsidRPr="000309CC">
        <w:rPr>
          <w:rFonts w:ascii="Times New Roman" w:hAnsi="Times New Roman"/>
          <w:noProof/>
          <w:sz w:val="24"/>
        </w:rPr>
        <w:t xml:space="preserve"> w zak</w:t>
      </w:r>
      <w:r w:rsidRPr="000309CC">
        <w:rPr>
          <w:rFonts w:ascii="Times New Roman" w:hAnsi="Times New Roman"/>
          <w:noProof/>
          <w:sz w:val="24"/>
        </w:rPr>
        <w:t>resie zwalczania handlu ludźmi (2021–2025), strategia UE</w:t>
      </w:r>
      <w:r w:rsidR="000309CC" w:rsidRPr="000309CC">
        <w:rPr>
          <w:rFonts w:ascii="Times New Roman" w:hAnsi="Times New Roman"/>
          <w:noProof/>
          <w:sz w:val="24"/>
        </w:rPr>
        <w:t xml:space="preserve"> w dzi</w:t>
      </w:r>
      <w:r w:rsidRPr="000309CC">
        <w:rPr>
          <w:rFonts w:ascii="Times New Roman" w:hAnsi="Times New Roman"/>
          <w:noProof/>
          <w:sz w:val="24"/>
        </w:rPr>
        <w:t>edzinie narkotyków (2021–2025).</w:t>
      </w:r>
    </w:p>
    <w:p w14:paraId="1A9D6C5B" w14:textId="63C2541D" w:rsidR="000910B3" w:rsidRPr="000309CC" w:rsidRDefault="00474DA2" w:rsidP="000910B3">
      <w:pPr>
        <w:spacing w:line="240" w:lineRule="auto"/>
        <w:jc w:val="both"/>
        <w:rPr>
          <w:rFonts w:ascii="Times New Roman" w:hAnsi="Times New Roman" w:cs="Times New Roman"/>
          <w:noProof/>
          <w:sz w:val="24"/>
          <w:szCs w:val="24"/>
        </w:rPr>
      </w:pPr>
      <w:r w:rsidRPr="000309CC">
        <w:rPr>
          <w:rFonts w:ascii="Times New Roman" w:hAnsi="Times New Roman"/>
          <w:noProof/>
          <w:sz w:val="24"/>
        </w:rPr>
        <w:t>Wciąż będą prowadzone starania, aby zapewnić UE niezbędne ramy legislacyjne. Na przykład Komisja przygotowuje ocenę skutków</w:t>
      </w:r>
      <w:r w:rsidR="000309CC" w:rsidRPr="000309CC">
        <w:rPr>
          <w:rFonts w:ascii="Times New Roman" w:hAnsi="Times New Roman"/>
          <w:noProof/>
          <w:sz w:val="24"/>
        </w:rPr>
        <w:t xml:space="preserve"> w odn</w:t>
      </w:r>
      <w:r w:rsidRPr="000309CC">
        <w:rPr>
          <w:rFonts w:ascii="Times New Roman" w:hAnsi="Times New Roman"/>
          <w:noProof/>
          <w:sz w:val="24"/>
        </w:rPr>
        <w:t>iesieniu do wniosku dotyczącego regulacji wprowadzania do obrotu</w:t>
      </w:r>
      <w:r w:rsidR="000309CC" w:rsidRPr="000309CC">
        <w:rPr>
          <w:rFonts w:ascii="Times New Roman" w:hAnsi="Times New Roman"/>
          <w:noProof/>
          <w:sz w:val="24"/>
        </w:rPr>
        <w:t xml:space="preserve"> i sto</w:t>
      </w:r>
      <w:r w:rsidRPr="000309CC">
        <w:rPr>
          <w:rFonts w:ascii="Times New Roman" w:hAnsi="Times New Roman"/>
          <w:noProof/>
          <w:sz w:val="24"/>
        </w:rPr>
        <w:t>sowania chemikaliów wysokiego ryzyka.</w:t>
      </w:r>
      <w:r w:rsidR="000309CC" w:rsidRPr="000309CC">
        <w:rPr>
          <w:rFonts w:ascii="Times New Roman" w:hAnsi="Times New Roman"/>
          <w:noProof/>
          <w:sz w:val="24"/>
        </w:rPr>
        <w:t xml:space="preserve"> </w:t>
      </w:r>
    </w:p>
    <w:p w14:paraId="24529BD4" w14:textId="77777777" w:rsidR="0099171C" w:rsidRPr="000309CC" w:rsidRDefault="0099171C" w:rsidP="000910B3">
      <w:pPr>
        <w:spacing w:line="240" w:lineRule="auto"/>
        <w:jc w:val="both"/>
        <w:rPr>
          <w:rFonts w:ascii="Times New Roman" w:hAnsi="Times New Roman" w:cs="Times New Roman"/>
          <w:noProof/>
          <w:sz w:val="24"/>
          <w:szCs w:val="24"/>
        </w:rPr>
      </w:pPr>
    </w:p>
    <w:p w14:paraId="1030D369" w14:textId="77777777" w:rsidR="00474DA2" w:rsidRPr="000309CC" w:rsidRDefault="00474DA2" w:rsidP="00474DA2">
      <w:pPr>
        <w:pStyle w:val="ListParagraph"/>
        <w:numPr>
          <w:ilvl w:val="0"/>
          <w:numId w:val="2"/>
        </w:numPr>
        <w:spacing w:before="360" w:after="240"/>
        <w:rPr>
          <w:rFonts w:ascii="Times New Roman" w:hAnsi="Times New Roman" w:cs="Times New Roman"/>
          <w:b/>
          <w:noProof/>
          <w:sz w:val="24"/>
          <w:szCs w:val="24"/>
        </w:rPr>
      </w:pPr>
      <w:r w:rsidRPr="000309CC">
        <w:rPr>
          <w:rFonts w:ascii="Times New Roman" w:hAnsi="Times New Roman"/>
          <w:b/>
          <w:noProof/>
          <w:sz w:val="24"/>
        </w:rPr>
        <w:t>WNIOSKI</w:t>
      </w:r>
    </w:p>
    <w:p w14:paraId="3C2B09E2" w14:textId="7A9613E0" w:rsidR="00474DA2" w:rsidRPr="000309CC" w:rsidRDefault="00474DA2" w:rsidP="00474DA2">
      <w:pPr>
        <w:spacing w:line="240" w:lineRule="auto"/>
        <w:jc w:val="both"/>
        <w:rPr>
          <w:rFonts w:ascii="Times New Roman" w:hAnsi="Times New Roman" w:cs="Times New Roman"/>
          <w:noProof/>
          <w:sz w:val="24"/>
        </w:rPr>
      </w:pPr>
      <w:r w:rsidRPr="000309CC">
        <w:rPr>
          <w:rFonts w:ascii="Times New Roman" w:hAnsi="Times New Roman"/>
          <w:noProof/>
          <w:sz w:val="24"/>
        </w:rPr>
        <w:t>Unia bezpieczeństwa nadal spełnia swoją rolę</w:t>
      </w:r>
      <w:r w:rsidR="000309CC" w:rsidRPr="000309CC">
        <w:rPr>
          <w:rFonts w:ascii="Times New Roman" w:hAnsi="Times New Roman"/>
          <w:noProof/>
          <w:sz w:val="24"/>
        </w:rPr>
        <w:t xml:space="preserve"> w prz</w:t>
      </w:r>
      <w:r w:rsidRPr="000309CC">
        <w:rPr>
          <w:rFonts w:ascii="Times New Roman" w:hAnsi="Times New Roman"/>
          <w:noProof/>
          <w:sz w:val="24"/>
        </w:rPr>
        <w:t>ygotowaniu UE</w:t>
      </w:r>
      <w:r w:rsidR="000309CC" w:rsidRPr="000309CC">
        <w:rPr>
          <w:rFonts w:ascii="Times New Roman" w:hAnsi="Times New Roman"/>
          <w:noProof/>
          <w:sz w:val="24"/>
        </w:rPr>
        <w:t xml:space="preserve"> i jej</w:t>
      </w:r>
      <w:r w:rsidRPr="000309CC">
        <w:rPr>
          <w:rFonts w:ascii="Times New Roman" w:hAnsi="Times New Roman"/>
          <w:noProof/>
          <w:sz w:val="24"/>
        </w:rPr>
        <w:t xml:space="preserve"> państw członkowskich do zwalczania istniejących</w:t>
      </w:r>
      <w:r w:rsidR="000309CC" w:rsidRPr="000309CC">
        <w:rPr>
          <w:rFonts w:ascii="Times New Roman" w:hAnsi="Times New Roman"/>
          <w:noProof/>
          <w:sz w:val="24"/>
        </w:rPr>
        <w:t xml:space="preserve"> i pot</w:t>
      </w:r>
      <w:r w:rsidRPr="000309CC">
        <w:rPr>
          <w:rFonts w:ascii="Times New Roman" w:hAnsi="Times New Roman"/>
          <w:noProof/>
          <w:sz w:val="24"/>
        </w:rPr>
        <w:t>encjalnych zagrożeń. Rosyjska agresja na Ukrainę pokazała, jak szybko teoretyczne zagrożenia mogą stać się realne,</w:t>
      </w:r>
      <w:r w:rsidR="000309CC" w:rsidRPr="000309CC">
        <w:rPr>
          <w:rFonts w:ascii="Times New Roman" w:hAnsi="Times New Roman"/>
          <w:noProof/>
          <w:sz w:val="24"/>
        </w:rPr>
        <w:t xml:space="preserve"> i uwy</w:t>
      </w:r>
      <w:r w:rsidRPr="000309CC">
        <w:rPr>
          <w:rFonts w:ascii="Times New Roman" w:hAnsi="Times New Roman"/>
          <w:noProof/>
          <w:sz w:val="24"/>
        </w:rPr>
        <w:t>pukliła znaczenie czujności, koordynacji</w:t>
      </w:r>
      <w:r w:rsidR="000309CC" w:rsidRPr="000309CC">
        <w:rPr>
          <w:rFonts w:ascii="Times New Roman" w:hAnsi="Times New Roman"/>
          <w:noProof/>
          <w:sz w:val="24"/>
        </w:rPr>
        <w:t xml:space="preserve"> i got</w:t>
      </w:r>
      <w:r w:rsidRPr="000309CC">
        <w:rPr>
          <w:rFonts w:ascii="Times New Roman" w:hAnsi="Times New Roman"/>
          <w:noProof/>
          <w:sz w:val="24"/>
        </w:rPr>
        <w:t xml:space="preserve">owości. </w:t>
      </w:r>
    </w:p>
    <w:p w14:paraId="5A26F96B" w14:textId="0D449023" w:rsidR="00474DA2" w:rsidRPr="000309CC" w:rsidRDefault="00474DA2" w:rsidP="00474DA2">
      <w:pPr>
        <w:spacing w:line="240" w:lineRule="auto"/>
        <w:jc w:val="both"/>
        <w:rPr>
          <w:rFonts w:ascii="Times New Roman" w:hAnsi="Times New Roman" w:cs="Times New Roman"/>
          <w:noProof/>
          <w:sz w:val="24"/>
        </w:rPr>
      </w:pPr>
      <w:r w:rsidRPr="000309CC">
        <w:rPr>
          <w:rFonts w:ascii="Times New Roman" w:hAnsi="Times New Roman"/>
          <w:noProof/>
          <w:sz w:val="24"/>
        </w:rPr>
        <w:t>Niniejsze czwarte sprawozdanie</w:t>
      </w:r>
      <w:r w:rsidR="000309CC" w:rsidRPr="000309CC">
        <w:rPr>
          <w:rFonts w:ascii="Times New Roman" w:hAnsi="Times New Roman"/>
          <w:noProof/>
          <w:sz w:val="24"/>
        </w:rPr>
        <w:t xml:space="preserve"> z pos</w:t>
      </w:r>
      <w:r w:rsidRPr="000309CC">
        <w:rPr>
          <w:rFonts w:ascii="Times New Roman" w:hAnsi="Times New Roman"/>
          <w:noProof/>
          <w:sz w:val="24"/>
        </w:rPr>
        <w:t>tępu prac</w:t>
      </w:r>
      <w:r w:rsidR="000309CC" w:rsidRPr="000309CC">
        <w:rPr>
          <w:rFonts w:ascii="Times New Roman" w:hAnsi="Times New Roman"/>
          <w:noProof/>
          <w:sz w:val="24"/>
        </w:rPr>
        <w:t xml:space="preserve"> w rea</w:t>
      </w:r>
      <w:r w:rsidRPr="000309CC">
        <w:rPr>
          <w:rFonts w:ascii="Times New Roman" w:hAnsi="Times New Roman"/>
          <w:noProof/>
          <w:sz w:val="24"/>
        </w:rPr>
        <w:t>lizacji strategii</w:t>
      </w:r>
      <w:r w:rsidR="000309CC" w:rsidRPr="000309CC">
        <w:rPr>
          <w:rFonts w:ascii="Times New Roman" w:hAnsi="Times New Roman"/>
          <w:noProof/>
          <w:sz w:val="24"/>
        </w:rPr>
        <w:t xml:space="preserve"> w zak</w:t>
      </w:r>
      <w:r w:rsidRPr="000309CC">
        <w:rPr>
          <w:rFonts w:ascii="Times New Roman" w:hAnsi="Times New Roman"/>
          <w:noProof/>
          <w:sz w:val="24"/>
        </w:rPr>
        <w:t>resie unii bezpieczeństwa wskazuje, że UE jest</w:t>
      </w:r>
      <w:r w:rsidR="000309CC" w:rsidRPr="000309CC">
        <w:rPr>
          <w:rFonts w:ascii="Times New Roman" w:hAnsi="Times New Roman"/>
          <w:noProof/>
          <w:sz w:val="24"/>
        </w:rPr>
        <w:t xml:space="preserve"> w sta</w:t>
      </w:r>
      <w:r w:rsidRPr="000309CC">
        <w:rPr>
          <w:rFonts w:ascii="Times New Roman" w:hAnsi="Times New Roman"/>
          <w:noProof/>
          <w:sz w:val="24"/>
        </w:rPr>
        <w:t>nie się dostosować, nawet</w:t>
      </w:r>
      <w:r w:rsidR="000309CC" w:rsidRPr="000309CC">
        <w:rPr>
          <w:rFonts w:ascii="Times New Roman" w:hAnsi="Times New Roman"/>
          <w:noProof/>
          <w:sz w:val="24"/>
        </w:rPr>
        <w:t xml:space="preserve"> w obl</w:t>
      </w:r>
      <w:r w:rsidRPr="000309CC">
        <w:rPr>
          <w:rFonts w:ascii="Times New Roman" w:hAnsi="Times New Roman"/>
          <w:noProof/>
          <w:sz w:val="24"/>
        </w:rPr>
        <w:t>iczu wyjątkowych</w:t>
      </w:r>
      <w:r w:rsidR="000309CC" w:rsidRPr="000309CC">
        <w:rPr>
          <w:rFonts w:ascii="Times New Roman" w:hAnsi="Times New Roman"/>
          <w:noProof/>
          <w:sz w:val="24"/>
        </w:rPr>
        <w:t xml:space="preserve"> i nie</w:t>
      </w:r>
      <w:r w:rsidRPr="000309CC">
        <w:rPr>
          <w:rFonts w:ascii="Times New Roman" w:hAnsi="Times New Roman"/>
          <w:noProof/>
          <w:sz w:val="24"/>
        </w:rPr>
        <w:t>oczekiwanych zagrożeń, takich jak rosyjska agresja na Ukrainę. Zdecydowana realizacja strategii</w:t>
      </w:r>
      <w:r w:rsidR="000309CC" w:rsidRPr="000309CC">
        <w:rPr>
          <w:rFonts w:ascii="Times New Roman" w:hAnsi="Times New Roman"/>
          <w:noProof/>
          <w:sz w:val="24"/>
        </w:rPr>
        <w:t xml:space="preserve"> w zak</w:t>
      </w:r>
      <w:r w:rsidRPr="000309CC">
        <w:rPr>
          <w:rFonts w:ascii="Times New Roman" w:hAnsi="Times New Roman"/>
          <w:noProof/>
          <w:sz w:val="24"/>
        </w:rPr>
        <w:t xml:space="preserve">resie unii bezpieczeństwa jest ważniejsza niż kiedykolwiek. </w:t>
      </w:r>
    </w:p>
    <w:sectPr w:rsidR="00474DA2" w:rsidRPr="000309C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67B" w16cex:dateUtc="2022-05-23T07:46:00Z"/>
  <w16cex:commentExtensible w16cex:durableId="2635D5C8" w16cex:dateUtc="2022-05-23T07:43:00Z"/>
  <w16cex:commentExtensible w16cex:durableId="2635D743" w16cex:dateUtc="2022-05-23T07:49:00Z"/>
  <w16cex:commentExtensible w16cex:durableId="2635D7DF" w16cex:dateUtc="2022-05-23T07:52:00Z"/>
  <w16cex:commentExtensible w16cex:durableId="2635DA21" w16cex:dateUtc="2022-05-23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EBDB5" w16cid:durableId="2635D67B"/>
  <w16cid:commentId w16cid:paraId="2D506A73" w16cid:durableId="2635D5C8"/>
  <w16cid:commentId w16cid:paraId="65883505" w16cid:durableId="2635D743"/>
  <w16cid:commentId w16cid:paraId="11D1452D" w16cid:durableId="2635D7DF"/>
  <w16cid:commentId w16cid:paraId="0940F5C9" w16cid:durableId="2635DA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2E59A" w14:textId="77777777" w:rsidR="002C7153" w:rsidRPr="000309CC" w:rsidRDefault="002C7153" w:rsidP="009E791F">
      <w:pPr>
        <w:spacing w:after="0" w:line="240" w:lineRule="auto"/>
      </w:pPr>
      <w:r w:rsidRPr="000309CC">
        <w:separator/>
      </w:r>
    </w:p>
  </w:endnote>
  <w:endnote w:type="continuationSeparator" w:id="0">
    <w:p w14:paraId="6EFAEF93" w14:textId="77777777" w:rsidR="002C7153" w:rsidRPr="000309CC" w:rsidRDefault="002C7153" w:rsidP="009E791F">
      <w:pPr>
        <w:spacing w:after="0" w:line="240" w:lineRule="auto"/>
      </w:pPr>
      <w:r w:rsidRPr="000309CC">
        <w:continuationSeparator/>
      </w:r>
    </w:p>
  </w:endnote>
  <w:endnote w:type="continuationNotice" w:id="1">
    <w:p w14:paraId="60D618AD" w14:textId="77777777" w:rsidR="002C7153" w:rsidRPr="000309CC" w:rsidRDefault="002C7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6546" w14:textId="77777777" w:rsidR="0002599D" w:rsidRPr="0002599D" w:rsidRDefault="0002599D" w:rsidP="00025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CD3A" w14:textId="5C521E9B" w:rsidR="000309CC" w:rsidRPr="0002599D" w:rsidRDefault="0002599D" w:rsidP="0002599D">
    <w:pPr>
      <w:pStyle w:val="FooterCoverPage"/>
      <w:rPr>
        <w:rFonts w:ascii="Arial" w:hAnsi="Arial" w:cs="Arial"/>
        <w:b/>
        <w:sz w:val="48"/>
      </w:rPr>
    </w:pPr>
    <w:r w:rsidRPr="0002599D">
      <w:rPr>
        <w:rFonts w:ascii="Arial" w:hAnsi="Arial" w:cs="Arial"/>
        <w:b/>
        <w:sz w:val="48"/>
      </w:rPr>
      <w:t>PL</w:t>
    </w:r>
    <w:r w:rsidRPr="0002599D">
      <w:rPr>
        <w:rFonts w:ascii="Arial" w:hAnsi="Arial" w:cs="Arial"/>
        <w:b/>
        <w:sz w:val="48"/>
      </w:rPr>
      <w:tab/>
    </w:r>
    <w:r w:rsidRPr="0002599D">
      <w:rPr>
        <w:rFonts w:ascii="Arial" w:hAnsi="Arial" w:cs="Arial"/>
        <w:b/>
        <w:sz w:val="48"/>
      </w:rPr>
      <w:tab/>
    </w:r>
    <w:r w:rsidRPr="0002599D">
      <w:tab/>
    </w:r>
    <w:r w:rsidRPr="0002599D">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252F" w14:textId="77777777" w:rsidR="0002599D" w:rsidRPr="0002599D" w:rsidRDefault="0002599D" w:rsidP="0002599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E119" w14:textId="77777777" w:rsidR="00E54215" w:rsidRDefault="00E542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786917"/>
      <w:docPartObj>
        <w:docPartGallery w:val="Page Numbers (Bottom of Page)"/>
        <w:docPartUnique/>
      </w:docPartObj>
    </w:sdtPr>
    <w:sdtEndPr>
      <w:rPr>
        <w:noProof/>
      </w:rPr>
    </w:sdtEndPr>
    <w:sdtContent>
      <w:p w14:paraId="5F964D71" w14:textId="5E9F9186" w:rsidR="008F378B" w:rsidRDefault="008F378B">
        <w:pPr>
          <w:pStyle w:val="Footer"/>
          <w:jc w:val="center"/>
        </w:pPr>
        <w:r>
          <w:fldChar w:fldCharType="begin"/>
        </w:r>
        <w:r>
          <w:instrText xml:space="preserve"> PAGE   \* MERGEFORMAT </w:instrText>
        </w:r>
        <w:r>
          <w:fldChar w:fldCharType="separate"/>
        </w:r>
        <w:r w:rsidR="0002599D">
          <w:rPr>
            <w:noProof/>
          </w:rPr>
          <w:t>1</w:t>
        </w:r>
        <w:r>
          <w:fldChar w:fldCharType="end"/>
        </w:r>
      </w:p>
    </w:sdtContent>
  </w:sdt>
  <w:p w14:paraId="2425D500" w14:textId="77777777" w:rsidR="008F378B" w:rsidRDefault="008F37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10E4" w14:textId="77777777" w:rsidR="00E54215" w:rsidRDefault="00E54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76403" w14:textId="77777777" w:rsidR="002C7153" w:rsidRPr="000309CC" w:rsidRDefault="002C7153" w:rsidP="009E791F">
      <w:pPr>
        <w:spacing w:after="0" w:line="240" w:lineRule="auto"/>
      </w:pPr>
      <w:r w:rsidRPr="000309CC">
        <w:separator/>
      </w:r>
    </w:p>
  </w:footnote>
  <w:footnote w:type="continuationSeparator" w:id="0">
    <w:p w14:paraId="54F88746" w14:textId="77777777" w:rsidR="002C7153" w:rsidRPr="000309CC" w:rsidRDefault="002C7153" w:rsidP="009E791F">
      <w:pPr>
        <w:spacing w:after="0" w:line="240" w:lineRule="auto"/>
      </w:pPr>
      <w:r w:rsidRPr="000309CC">
        <w:continuationSeparator/>
      </w:r>
    </w:p>
  </w:footnote>
  <w:footnote w:type="continuationNotice" w:id="1">
    <w:p w14:paraId="53E172E7" w14:textId="77777777" w:rsidR="002C7153" w:rsidRPr="000309CC" w:rsidRDefault="002C7153">
      <w:pPr>
        <w:spacing w:after="0" w:line="240" w:lineRule="auto"/>
      </w:pPr>
    </w:p>
  </w:footnote>
  <w:footnote w:id="2">
    <w:p w14:paraId="525408C2" w14:textId="77777777"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1" w:history="1">
        <w:r w:rsidRPr="000309CC">
          <w:rPr>
            <w:rStyle w:val="Hyperlink"/>
            <w:rFonts w:ascii="Times New Roman" w:hAnsi="Times New Roman"/>
          </w:rPr>
          <w:t>https://www.consilium.europa.eu/media/54787/20220311-versailles-declaration-pl.pdf</w:t>
        </w:r>
      </w:hyperlink>
      <w:r w:rsidRPr="000309CC">
        <w:rPr>
          <w:rFonts w:ascii="Times New Roman" w:hAnsi="Times New Roman"/>
        </w:rPr>
        <w:t xml:space="preserve"> </w:t>
      </w:r>
    </w:p>
  </w:footnote>
  <w:footnote w:id="3">
    <w:p w14:paraId="7CE0DCEE" w14:textId="77777777"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COM(2020) 605.</w:t>
      </w:r>
    </w:p>
  </w:footnote>
  <w:footnote w:id="4">
    <w:p w14:paraId="59888A39" w14:textId="4C6F364A"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2" w:history="1">
        <w:r w:rsidRPr="000309CC">
          <w:rPr>
            <w:rStyle w:val="Hyperlink"/>
            <w:rFonts w:ascii="Times New Roman" w:hAnsi="Times New Roman"/>
          </w:rPr>
          <w:t>Wspólne oświadczenie unijnych agencji wymiaru sprawiedliwości</w:t>
        </w:r>
        <w:r w:rsidR="000309CC" w:rsidRPr="000309CC">
          <w:rPr>
            <w:rStyle w:val="Hyperlink"/>
            <w:rFonts w:ascii="Times New Roman" w:hAnsi="Times New Roman"/>
          </w:rPr>
          <w:t xml:space="preserve"> i spr</w:t>
        </w:r>
        <w:r w:rsidRPr="000309CC">
          <w:rPr>
            <w:rStyle w:val="Hyperlink"/>
            <w:rFonts w:ascii="Times New Roman" w:hAnsi="Times New Roman"/>
          </w:rPr>
          <w:t>aw wewnętrznych dotyczące Ukrainy |</w:t>
        </w:r>
      </w:hyperlink>
      <w:hyperlink r:id="rId3" w:history="1">
        <w:r w:rsidRPr="000309CC">
          <w:rPr>
            <w:rStyle w:val="Hyperlink"/>
            <w:rFonts w:ascii="Times New Roman" w:hAnsi="Times New Roman"/>
          </w:rPr>
          <w:t xml:space="preserve"> Agencja Unii Europejskiej ds. Azylu (europa.eu)</w:t>
        </w:r>
      </w:hyperlink>
      <w:r w:rsidRPr="000309CC">
        <w:rPr>
          <w:rFonts w:ascii="Times New Roman" w:hAnsi="Times New Roman"/>
        </w:rPr>
        <w:t xml:space="preserve">  </w:t>
      </w:r>
    </w:p>
  </w:footnote>
  <w:footnote w:id="5">
    <w:p w14:paraId="662B9EF8" w14:textId="261337B6"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Najnowszym przykładem haktywizmu jest wykorzystanie „protestware” do rozprzestrzeniania złośliwego oprogramowania na rosyjskie adresy IP za pośrednictwem popularnego pakietu otwartego oprogramowania, co może spowodować zagrożenia dla łańcucha dostaw</w:t>
      </w:r>
      <w:r w:rsidR="000309CC" w:rsidRPr="000309CC">
        <w:rPr>
          <w:rFonts w:ascii="Times New Roman" w:hAnsi="Times New Roman"/>
        </w:rPr>
        <w:t xml:space="preserve"> i utr</w:t>
      </w:r>
      <w:r w:rsidRPr="000309CC">
        <w:rPr>
          <w:rFonts w:ascii="Times New Roman" w:hAnsi="Times New Roman"/>
        </w:rPr>
        <w:t>atę zaufania do społeczności twórców otwartego oprogramowania</w:t>
      </w:r>
      <w:r w:rsidRPr="000309CC">
        <w:t>.</w:t>
      </w:r>
      <w:r w:rsidRPr="000309CC">
        <w:rPr>
          <w:rFonts w:ascii="Times New Roman" w:hAnsi="Times New Roman"/>
        </w:rPr>
        <w:t xml:space="preserve"> Komisja wyraźnie stwierdziła, że cyberataki na Rosję (nawet te przeprowadzane</w:t>
      </w:r>
      <w:r w:rsidR="000309CC" w:rsidRPr="000309CC">
        <w:rPr>
          <w:rFonts w:ascii="Times New Roman" w:hAnsi="Times New Roman"/>
        </w:rPr>
        <w:t xml:space="preserve"> w dob</w:t>
      </w:r>
      <w:r w:rsidRPr="000309CC">
        <w:rPr>
          <w:rFonts w:ascii="Times New Roman" w:hAnsi="Times New Roman"/>
        </w:rPr>
        <w:t>rej wierze) są nielegalne.</w:t>
      </w:r>
    </w:p>
  </w:footnote>
  <w:footnote w:id="6">
    <w:p w14:paraId="327E905F" w14:textId="5C0FA774" w:rsidR="008F378B" w:rsidRPr="000309CC" w:rsidRDefault="008F378B" w:rsidP="00F72F7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 xml:space="preserve">Sprawozdanie specjalne Microsoft: </w:t>
      </w:r>
      <w:hyperlink r:id="rId4" w:history="1">
        <w:r w:rsidRPr="000309CC">
          <w:rPr>
            <w:rStyle w:val="Hyperlink"/>
            <w:rFonts w:ascii="Times New Roman" w:hAnsi="Times New Roman"/>
          </w:rPr>
          <w:t xml:space="preserve">An overview of Russia’s cyberattack activity in Ukraine </w:t>
        </w:r>
      </w:hyperlink>
      <w:r w:rsidRPr="000309CC">
        <w:rPr>
          <w:rFonts w:ascii="Times New Roman" w:hAnsi="Times New Roman"/>
        </w:rPr>
        <w:t>[Przegląd działań Rosji</w:t>
      </w:r>
      <w:r w:rsidR="000309CC" w:rsidRPr="000309CC">
        <w:rPr>
          <w:rFonts w:ascii="Times New Roman" w:hAnsi="Times New Roman"/>
        </w:rPr>
        <w:t xml:space="preserve"> w zak</w:t>
      </w:r>
      <w:r w:rsidRPr="000309CC">
        <w:rPr>
          <w:rFonts w:ascii="Times New Roman" w:hAnsi="Times New Roman"/>
        </w:rPr>
        <w:t>resie cyberataków</w:t>
      </w:r>
      <w:r w:rsidR="000309CC" w:rsidRPr="000309CC">
        <w:rPr>
          <w:rFonts w:ascii="Times New Roman" w:hAnsi="Times New Roman"/>
        </w:rPr>
        <w:t xml:space="preserve"> w Ukr</w:t>
      </w:r>
      <w:r w:rsidRPr="000309CC">
        <w:rPr>
          <w:rFonts w:ascii="Times New Roman" w:hAnsi="Times New Roman"/>
        </w:rPr>
        <w:t xml:space="preserve">ainie]; </w:t>
      </w:r>
      <w:hyperlink r:id="rId5" w:history="1">
        <w:r w:rsidRPr="000309CC">
          <w:rPr>
            <w:rStyle w:val="Hyperlink"/>
            <w:rFonts w:ascii="Times New Roman" w:hAnsi="Times New Roman"/>
          </w:rPr>
          <w:t xml:space="preserve">The hybrid war in Ukraine </w:t>
        </w:r>
      </w:hyperlink>
      <w:r w:rsidRPr="000309CC">
        <w:rPr>
          <w:rFonts w:ascii="Times New Roman" w:hAnsi="Times New Roman"/>
        </w:rPr>
        <w:t>[Wojna hybrydowa</w:t>
      </w:r>
      <w:r w:rsidR="000309CC" w:rsidRPr="000309CC">
        <w:rPr>
          <w:rFonts w:ascii="Times New Roman" w:hAnsi="Times New Roman"/>
        </w:rPr>
        <w:t xml:space="preserve"> w Ukr</w:t>
      </w:r>
      <w:r w:rsidRPr="000309CC">
        <w:rPr>
          <w:rFonts w:ascii="Times New Roman" w:hAnsi="Times New Roman"/>
        </w:rPr>
        <w:t>ainie] – wpis na blogu</w:t>
      </w:r>
      <w:r w:rsidR="000309CC" w:rsidRPr="000309CC">
        <w:rPr>
          <w:rFonts w:ascii="Times New Roman" w:hAnsi="Times New Roman"/>
        </w:rPr>
        <w:t xml:space="preserve"> w sek</w:t>
      </w:r>
      <w:r w:rsidRPr="000309CC">
        <w:rPr>
          <w:rFonts w:ascii="Times New Roman" w:hAnsi="Times New Roman"/>
        </w:rPr>
        <w:t>cji Microsoft On the Issues.</w:t>
      </w:r>
    </w:p>
  </w:footnote>
  <w:footnote w:id="7">
    <w:p w14:paraId="3C756527" w14:textId="77777777" w:rsidR="008F378B" w:rsidRPr="000309CC" w:rsidRDefault="008F378B" w:rsidP="00206B29">
      <w:pPr>
        <w:pStyle w:val="FootnoteText"/>
        <w:ind w:left="284" w:hanging="284"/>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6" w:history="1">
        <w:r w:rsidRPr="000309CC">
          <w:rPr>
            <w:rStyle w:val="Hyperlink"/>
            <w:rFonts w:ascii="Times New Roman" w:hAnsi="Times New Roman"/>
          </w:rPr>
          <w:t>https://www.consilium.europa.eu/pl/press/press-releases/2022/01/14/ukraine-declaration-by-the-high-representative-on-behalf-of-the-european-union-on-the-cyberattack-against-ukraine/</w:t>
        </w:r>
      </w:hyperlink>
      <w:r w:rsidRPr="000309CC">
        <w:rPr>
          <w:rFonts w:ascii="Times New Roman" w:hAnsi="Times New Roman"/>
        </w:rPr>
        <w:t xml:space="preserve"> </w:t>
      </w:r>
    </w:p>
  </w:footnote>
  <w:footnote w:id="8">
    <w:p w14:paraId="7EB65E6F" w14:textId="103BAB0E" w:rsidR="008F378B" w:rsidRPr="000309CC" w:rsidRDefault="008F378B" w:rsidP="007A3983">
      <w:pPr>
        <w:pStyle w:val="FootnoteText"/>
        <w:ind w:left="284" w:hanging="284"/>
      </w:pPr>
      <w:r w:rsidRPr="000309CC">
        <w:rPr>
          <w:rStyle w:val="FootnoteReference"/>
          <w:rFonts w:ascii="Times New Roman" w:hAnsi="Times New Roman" w:cs="Times New Roman"/>
        </w:rPr>
        <w:footnoteRef/>
      </w:r>
      <w:r w:rsidRPr="000309CC">
        <w:rPr>
          <w:rFonts w:ascii="Times New Roman" w:hAnsi="Times New Roman"/>
        </w:rPr>
        <w:tab/>
      </w:r>
      <w:hyperlink r:id="rId7" w:history="1">
        <w:r w:rsidRPr="000309CC">
          <w:rPr>
            <w:rStyle w:val="Hyperlink"/>
            <w:rFonts w:ascii="Times New Roman" w:hAnsi="Times New Roman"/>
          </w:rPr>
          <w:t>Rosyjskie cyberoperacje przeciwko Ukrainie:</w:t>
        </w:r>
      </w:hyperlink>
      <w:hyperlink r:id="rId8" w:history="1">
        <w:r w:rsidRPr="000309CC">
          <w:rPr>
            <w:rStyle w:val="Hyperlink"/>
            <w:rFonts w:ascii="Times New Roman" w:hAnsi="Times New Roman"/>
          </w:rPr>
          <w:t xml:space="preserve"> oświadczenie wysokiego przedstawiciela wydane</w:t>
        </w:r>
        <w:r w:rsidR="000309CC" w:rsidRPr="000309CC">
          <w:rPr>
            <w:rStyle w:val="Hyperlink"/>
            <w:rFonts w:ascii="Times New Roman" w:hAnsi="Times New Roman"/>
          </w:rPr>
          <w:t xml:space="preserve"> w imi</w:t>
        </w:r>
        <w:r w:rsidRPr="000309CC">
          <w:rPr>
            <w:rStyle w:val="Hyperlink"/>
            <w:rFonts w:ascii="Times New Roman" w:hAnsi="Times New Roman"/>
          </w:rPr>
          <w:t>eniu Unii Europejskiej – Consilium (europa.eu)</w:t>
        </w:r>
      </w:hyperlink>
      <w:r w:rsidRPr="000309CC">
        <w:t xml:space="preserve"> </w:t>
      </w:r>
    </w:p>
  </w:footnote>
  <w:footnote w:id="9">
    <w:p w14:paraId="3551BD4A" w14:textId="001F5ADB"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r w:rsidRPr="000309CC">
        <w:rPr>
          <w:rFonts w:ascii="Times New Roman" w:hAnsi="Times New Roman"/>
          <w:i/>
          <w:iCs/>
        </w:rPr>
        <w:t>Boosting your Organisation's Cyber Resilience</w:t>
      </w:r>
      <w:r w:rsidRPr="000309CC">
        <w:rPr>
          <w:rFonts w:ascii="Times New Roman" w:hAnsi="Times New Roman"/>
        </w:rPr>
        <w:t xml:space="preserve"> [Zwiększanie cyberodporności organizacji] – wspólna publikacja, 14.02.2022</w:t>
      </w:r>
      <w:r w:rsidR="000309CC" w:rsidRPr="000309CC">
        <w:rPr>
          <w:rFonts w:ascii="Times New Roman" w:hAnsi="Times New Roman"/>
        </w:rPr>
        <w:t> </w:t>
      </w:r>
      <w:r w:rsidRPr="000309CC">
        <w:rPr>
          <w:rFonts w:ascii="Times New Roman" w:hAnsi="Times New Roman"/>
        </w:rPr>
        <w:t>r.</w:t>
      </w:r>
    </w:p>
  </w:footnote>
  <w:footnote w:id="10">
    <w:p w14:paraId="1BD78831" w14:textId="77777777" w:rsidR="008F378B" w:rsidRPr="000309CC" w:rsidRDefault="008F378B" w:rsidP="00CB078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r w:rsidRPr="000309CC">
        <w:rPr>
          <w:rFonts w:ascii="Times New Roman" w:hAnsi="Times New Roman"/>
          <w:i/>
          <w:iCs/>
        </w:rPr>
        <w:t>Security Guidance 2022-01 - Cybersecurity mitigation measures against critical threats</w:t>
      </w:r>
      <w:r w:rsidRPr="000309CC">
        <w:rPr>
          <w:rFonts w:ascii="Times New Roman" w:hAnsi="Times New Roman"/>
        </w:rPr>
        <w:t xml:space="preserve"> [Wytyczne dotyczące bezpieczeństwa 2022-01 – Środki łagodzące krytyczne zagrożenia dla cyberbezpieczeństwa]</w:t>
      </w:r>
    </w:p>
  </w:footnote>
  <w:footnote w:id="11">
    <w:p w14:paraId="36907E24" w14:textId="77777777" w:rsidR="008F378B" w:rsidRPr="000309CC" w:rsidRDefault="008F378B" w:rsidP="00CB078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r w:rsidRPr="000309CC">
        <w:rPr>
          <w:rFonts w:ascii="Times New Roman" w:hAnsi="Times New Roman"/>
          <w:i/>
          <w:iCs/>
        </w:rPr>
        <w:t>CERT-EU Security Guidance 22-002 - Hardening Signal</w:t>
      </w:r>
      <w:r w:rsidRPr="000309CC">
        <w:rPr>
          <w:rFonts w:ascii="Times New Roman" w:hAnsi="Times New Roman"/>
        </w:rPr>
        <w:t xml:space="preserve"> [Wytyczne CERT-UE dotyczące 22-002 – wzmacnianie aplikacji Signal].</w:t>
      </w:r>
    </w:p>
  </w:footnote>
  <w:footnote w:id="12">
    <w:p w14:paraId="604409B6" w14:textId="081A01BB"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Dyrektywa Parlamentu Europejskiego</w:t>
      </w:r>
      <w:r w:rsidR="000309CC" w:rsidRPr="000309CC">
        <w:rPr>
          <w:rFonts w:ascii="Times New Roman" w:hAnsi="Times New Roman"/>
        </w:rPr>
        <w:t xml:space="preserve"> i Rad</w:t>
      </w:r>
      <w:r w:rsidRPr="000309CC">
        <w:rPr>
          <w:rFonts w:ascii="Times New Roman" w:hAnsi="Times New Roman"/>
        </w:rPr>
        <w:t>y (UE) 2016/1148</w:t>
      </w:r>
      <w:r w:rsidR="000309CC" w:rsidRPr="000309CC">
        <w:rPr>
          <w:rFonts w:ascii="Times New Roman" w:hAnsi="Times New Roman"/>
        </w:rPr>
        <w:t xml:space="preserve"> z dni</w:t>
      </w:r>
      <w:r w:rsidRPr="000309CC">
        <w:rPr>
          <w:rFonts w:ascii="Times New Roman" w:hAnsi="Times New Roman"/>
        </w:rPr>
        <w:t>a 6 lipca 2016</w:t>
      </w:r>
      <w:r w:rsidR="000309CC" w:rsidRPr="000309CC">
        <w:rPr>
          <w:rFonts w:ascii="Times New Roman" w:hAnsi="Times New Roman"/>
        </w:rPr>
        <w:t> </w:t>
      </w:r>
      <w:r w:rsidRPr="000309CC">
        <w:rPr>
          <w:rFonts w:ascii="Times New Roman" w:hAnsi="Times New Roman"/>
        </w:rPr>
        <w:t>r.</w:t>
      </w:r>
      <w:r w:rsidR="000309CC" w:rsidRPr="000309CC">
        <w:rPr>
          <w:rFonts w:ascii="Times New Roman" w:hAnsi="Times New Roman"/>
        </w:rPr>
        <w:t xml:space="preserve"> w spr</w:t>
      </w:r>
      <w:r w:rsidRPr="000309CC">
        <w:rPr>
          <w:rFonts w:ascii="Times New Roman" w:hAnsi="Times New Roman"/>
        </w:rPr>
        <w:t>awie środków na rzecz wysokiego wspólnego poziomu bezpieczeństwa sieci</w:t>
      </w:r>
      <w:r w:rsidR="000309CC" w:rsidRPr="000309CC">
        <w:rPr>
          <w:rFonts w:ascii="Times New Roman" w:hAnsi="Times New Roman"/>
        </w:rPr>
        <w:t xml:space="preserve"> i sys</w:t>
      </w:r>
      <w:r w:rsidRPr="000309CC">
        <w:rPr>
          <w:rFonts w:ascii="Times New Roman" w:hAnsi="Times New Roman"/>
        </w:rPr>
        <w:t xml:space="preserve">temów informatycznych na terytorium Unii. </w:t>
      </w:r>
    </w:p>
  </w:footnote>
  <w:footnote w:id="13">
    <w:p w14:paraId="2D3574C4" w14:textId="77777777"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COM(2020) 823.</w:t>
      </w:r>
    </w:p>
  </w:footnote>
  <w:footnote w:id="14">
    <w:p w14:paraId="76CD6163" w14:textId="77777777" w:rsidR="008F378B" w:rsidRPr="000309CC" w:rsidRDefault="008F378B" w:rsidP="00474DA2">
      <w:pPr>
        <w:pStyle w:val="FootnoteText"/>
        <w:ind w:left="284" w:hanging="284"/>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COM(2020) 829.</w:t>
      </w:r>
    </w:p>
  </w:footnote>
  <w:footnote w:id="15">
    <w:p w14:paraId="401DF92B" w14:textId="75A82F6F"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9" w:history="1">
        <w:r w:rsidRPr="000309CC">
          <w:rPr>
            <w:rStyle w:val="Hyperlink"/>
            <w:rFonts w:ascii="Times New Roman" w:hAnsi="Times New Roman"/>
          </w:rPr>
          <w:t>Zalecenie</w:t>
        </w:r>
        <w:r w:rsidR="000309CC" w:rsidRPr="000309CC">
          <w:rPr>
            <w:rStyle w:val="Hyperlink"/>
            <w:rFonts w:ascii="Times New Roman" w:hAnsi="Times New Roman"/>
          </w:rPr>
          <w:t xml:space="preserve"> w spr</w:t>
        </w:r>
        <w:r w:rsidRPr="000309CC">
          <w:rPr>
            <w:rStyle w:val="Hyperlink"/>
            <w:rFonts w:ascii="Times New Roman" w:hAnsi="Times New Roman"/>
          </w:rPr>
          <w:t>awie utworzenia wspólnej jednostki ds. cyberprzestrzeni |</w:t>
        </w:r>
      </w:hyperlink>
      <w:hyperlink r:id="rId10" w:history="1">
        <w:r w:rsidRPr="000309CC">
          <w:rPr>
            <w:rStyle w:val="Hyperlink"/>
            <w:rFonts w:ascii="Times New Roman" w:hAnsi="Times New Roman"/>
          </w:rPr>
          <w:t>Kształtowanie cyfrowej przyszłości Europy (europa.eu)</w:t>
        </w:r>
      </w:hyperlink>
    </w:p>
  </w:footnote>
  <w:footnote w:id="16">
    <w:p w14:paraId="58ECB72B" w14:textId="77777777" w:rsidR="008F378B" w:rsidRPr="000309CC" w:rsidRDefault="008F378B" w:rsidP="0021159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11" w:history="1">
        <w:r w:rsidRPr="000309CC">
          <w:rPr>
            <w:rStyle w:val="Hyperlink"/>
            <w:rFonts w:ascii="Times New Roman" w:hAnsi="Times New Roman"/>
          </w:rPr>
          <w:t>https://digital-strategy.ec.europa.eu/en/library/cybersecurity-5g-networks-eu-toolbox-risk-mitigating-</w:t>
        </w:r>
      </w:hyperlink>
      <w:hyperlink r:id="rId12" w:history="1">
        <w:r w:rsidRPr="000309CC">
          <w:rPr>
            <w:rStyle w:val="Hyperlink"/>
            <w:rFonts w:ascii="Times New Roman" w:hAnsi="Times New Roman"/>
            <w:u w:val="none"/>
          </w:rPr>
          <w:tab/>
        </w:r>
        <w:r w:rsidRPr="000309CC">
          <w:rPr>
            <w:rStyle w:val="Hyperlink"/>
            <w:rFonts w:ascii="Times New Roman" w:hAnsi="Times New Roman"/>
          </w:rPr>
          <w:t>measures</w:t>
        </w:r>
      </w:hyperlink>
      <w:r w:rsidRPr="000309CC">
        <w:rPr>
          <w:rFonts w:ascii="Times New Roman" w:hAnsi="Times New Roman"/>
        </w:rPr>
        <w:t xml:space="preserve"> </w:t>
      </w:r>
    </w:p>
  </w:footnote>
  <w:footnote w:id="17">
    <w:p w14:paraId="0C3BD094" w14:textId="453C729C" w:rsidR="008F378B" w:rsidRPr="000309CC" w:rsidRDefault="008F378B" w:rsidP="0021159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 xml:space="preserve">Grupa współpracy NIS, </w:t>
      </w:r>
      <w:r w:rsidRPr="000309CC">
        <w:rPr>
          <w:rFonts w:ascii="Times New Roman" w:hAnsi="Times New Roman"/>
          <w:i/>
          <w:iCs/>
        </w:rPr>
        <w:t>Report on the cybersecurity of Open RAN</w:t>
      </w:r>
      <w:r w:rsidRPr="000309CC">
        <w:rPr>
          <w:rFonts w:ascii="Times New Roman" w:hAnsi="Times New Roman"/>
        </w:rPr>
        <w:t xml:space="preserve"> [Sprawozdanie na temat bezpieczeństwa otwartej sieci dostępu radiowego], 11 maja 2022</w:t>
      </w:r>
      <w:r w:rsidR="000309CC" w:rsidRPr="000309CC">
        <w:rPr>
          <w:rFonts w:ascii="Times New Roman" w:hAnsi="Times New Roman"/>
        </w:rPr>
        <w:t> </w:t>
      </w:r>
      <w:r w:rsidRPr="000309CC">
        <w:rPr>
          <w:rFonts w:ascii="Times New Roman" w:hAnsi="Times New Roman"/>
        </w:rPr>
        <w:t>r.</w:t>
      </w:r>
    </w:p>
  </w:footnote>
  <w:footnote w:id="18">
    <w:p w14:paraId="6DBD7D14" w14:textId="77777777"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COM(2022) 122.</w:t>
      </w:r>
    </w:p>
  </w:footnote>
  <w:footnote w:id="19">
    <w:p w14:paraId="197454C4" w14:textId="77777777"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COM(2022) 119.</w:t>
      </w:r>
    </w:p>
  </w:footnote>
  <w:footnote w:id="20">
    <w:p w14:paraId="1EE49748" w14:textId="65518380" w:rsidR="008F378B" w:rsidRPr="000309CC" w:rsidRDefault="008F378B" w:rsidP="0021159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13" w:history="1">
        <w:r w:rsidRPr="000309CC">
          <w:rPr>
            <w:rStyle w:val="Hyperlink"/>
            <w:rFonts w:ascii="Times New Roman" w:hAnsi="Times New Roman"/>
          </w:rPr>
          <w:t>Akt dotyczący cyberodporności – nowe przepisy dotyczące cyberbezpieczeństwa produktów cyfrowych</w:t>
        </w:r>
        <w:r w:rsidR="000309CC" w:rsidRPr="000309CC">
          <w:rPr>
            <w:rStyle w:val="Hyperlink"/>
            <w:rFonts w:ascii="Times New Roman" w:hAnsi="Times New Roman"/>
          </w:rPr>
          <w:t xml:space="preserve"> i usł</w:t>
        </w:r>
        <w:r w:rsidRPr="000309CC">
          <w:rPr>
            <w:rStyle w:val="Hyperlink"/>
            <w:rFonts w:ascii="Times New Roman" w:hAnsi="Times New Roman"/>
          </w:rPr>
          <w:t>ug pomocniczych (europa.eu)</w:t>
        </w:r>
      </w:hyperlink>
    </w:p>
  </w:footnote>
  <w:footnote w:id="21">
    <w:p w14:paraId="428C61D9" w14:textId="61ECAE1D"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14" w:history="1">
        <w:r w:rsidRPr="000309CC">
          <w:rPr>
            <w:rStyle w:val="Hyperlink"/>
            <w:rFonts w:ascii="Times New Roman" w:hAnsi="Times New Roman"/>
          </w:rPr>
          <w:t>08.03.2022</w:t>
        </w:r>
        <w:r w:rsidR="000309CC" w:rsidRPr="000309CC">
          <w:rPr>
            <w:rStyle w:val="Hyperlink"/>
            <w:rFonts w:ascii="Times New Roman" w:hAnsi="Times New Roman"/>
          </w:rPr>
          <w:t> </w:t>
        </w:r>
        <w:r w:rsidRPr="000309CC">
          <w:rPr>
            <w:rStyle w:val="Hyperlink"/>
            <w:rFonts w:ascii="Times New Roman" w:hAnsi="Times New Roman"/>
          </w:rPr>
          <w:t>r. – Déclaration conjointe des ministres de l'Union européenne chargés du numérique et des communications électroniques adressée au secteur numérique - Presse - Ministère des Finances (economie.gouv.fr)</w:t>
        </w:r>
      </w:hyperlink>
      <w:r w:rsidRPr="000309CC">
        <w:rPr>
          <w:rFonts w:ascii="Times New Roman" w:hAnsi="Times New Roman"/>
        </w:rPr>
        <w:t xml:space="preserve"> </w:t>
      </w:r>
    </w:p>
  </w:footnote>
  <w:footnote w:id="22">
    <w:p w14:paraId="1E92A09E" w14:textId="61066C63" w:rsidR="008F378B" w:rsidRPr="000309CC" w:rsidRDefault="008F378B" w:rsidP="0021159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Rozporządzenie Parlamentu Europejskiego</w:t>
      </w:r>
      <w:r w:rsidR="000309CC" w:rsidRPr="000309CC">
        <w:rPr>
          <w:rFonts w:ascii="Times New Roman" w:hAnsi="Times New Roman"/>
        </w:rPr>
        <w:t xml:space="preserve"> i Rad</w:t>
      </w:r>
      <w:r w:rsidRPr="000309CC">
        <w:rPr>
          <w:rFonts w:ascii="Times New Roman" w:hAnsi="Times New Roman"/>
        </w:rPr>
        <w:t>y (UE) 2019/943</w:t>
      </w:r>
      <w:r w:rsidR="000309CC" w:rsidRPr="000309CC">
        <w:rPr>
          <w:rFonts w:ascii="Times New Roman" w:hAnsi="Times New Roman"/>
        </w:rPr>
        <w:t xml:space="preserve"> z dni</w:t>
      </w:r>
      <w:r w:rsidRPr="000309CC">
        <w:rPr>
          <w:rFonts w:ascii="Times New Roman" w:hAnsi="Times New Roman"/>
        </w:rPr>
        <w:t>a 5 czerwca 2019</w:t>
      </w:r>
      <w:r w:rsidR="000309CC" w:rsidRPr="000309CC">
        <w:rPr>
          <w:rFonts w:ascii="Times New Roman" w:hAnsi="Times New Roman"/>
        </w:rPr>
        <w:t> </w:t>
      </w:r>
      <w:r w:rsidRPr="000309CC">
        <w:rPr>
          <w:rFonts w:ascii="Times New Roman" w:hAnsi="Times New Roman"/>
        </w:rPr>
        <w:t>r.</w:t>
      </w:r>
      <w:r w:rsidR="000309CC" w:rsidRPr="000309CC">
        <w:rPr>
          <w:rFonts w:ascii="Times New Roman" w:hAnsi="Times New Roman"/>
        </w:rPr>
        <w:t xml:space="preserve"> w spr</w:t>
      </w:r>
      <w:r w:rsidRPr="000309CC">
        <w:rPr>
          <w:rFonts w:ascii="Times New Roman" w:hAnsi="Times New Roman"/>
        </w:rPr>
        <w:t xml:space="preserve">awie rynku </w:t>
      </w:r>
      <w:r w:rsidRPr="000309CC">
        <w:rPr>
          <w:rFonts w:ascii="Times New Roman" w:hAnsi="Times New Roman"/>
        </w:rPr>
        <w:tab/>
        <w:t>wewnętrznego energii elektrycznej, Dz.U. L 158</w:t>
      </w:r>
      <w:r w:rsidR="000309CC" w:rsidRPr="000309CC">
        <w:rPr>
          <w:rFonts w:ascii="Times New Roman" w:hAnsi="Times New Roman"/>
        </w:rPr>
        <w:t xml:space="preserve"> z 1</w:t>
      </w:r>
      <w:r w:rsidRPr="000309CC">
        <w:rPr>
          <w:rFonts w:ascii="Times New Roman" w:hAnsi="Times New Roman"/>
        </w:rPr>
        <w:t xml:space="preserve">4.6.2019, s. 54. Wniosek jest obecnie poddawany przeglądowi przez Agencję ds. </w:t>
      </w:r>
      <w:r w:rsidRPr="000309CC">
        <w:rPr>
          <w:rFonts w:ascii="Times New Roman" w:hAnsi="Times New Roman"/>
        </w:rPr>
        <w:tab/>
        <w:t>Współpracy Organów Regulacji Energetyki.</w:t>
      </w:r>
    </w:p>
  </w:footnote>
  <w:footnote w:id="23">
    <w:p w14:paraId="7A289E9E" w14:textId="77777777" w:rsidR="008F378B" w:rsidRPr="000309CC" w:rsidRDefault="008F378B" w:rsidP="007A3983">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Europejska sieć operatorów systemów przesyłowych energii elektrycznej.</w:t>
      </w:r>
    </w:p>
  </w:footnote>
  <w:footnote w:id="24">
    <w:p w14:paraId="035A0FB5" w14:textId="77777777" w:rsidR="008F378B" w:rsidRPr="000309CC" w:rsidRDefault="008F378B" w:rsidP="007A3983">
      <w:pPr>
        <w:pStyle w:val="FootnoteText"/>
        <w:tabs>
          <w:tab w:val="left" w:pos="142"/>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r w:rsidRPr="000309CC">
        <w:rPr>
          <w:rFonts w:ascii="Times New Roman" w:hAnsi="Times New Roman"/>
        </w:rPr>
        <w:tab/>
        <w:t>Europejska sieć operatorów systemów przesyłowych gazu.</w:t>
      </w:r>
    </w:p>
  </w:footnote>
  <w:footnote w:id="25">
    <w:p w14:paraId="3119536B" w14:textId="32CDF685" w:rsidR="00537FD3" w:rsidRPr="000309CC" w:rsidRDefault="00537FD3">
      <w:pPr>
        <w:pStyle w:val="FootnoteText"/>
        <w:rPr>
          <w:rFonts w:ascii="Times New Roman" w:hAnsi="Times New Roman" w:cs="Times New Roman"/>
        </w:rPr>
      </w:pPr>
      <w:r w:rsidRPr="000309CC">
        <w:rPr>
          <w:rStyle w:val="FootnoteReference"/>
          <w:rFonts w:ascii="Times New Roman" w:hAnsi="Times New Roman" w:cs="Times New Roman"/>
        </w:rPr>
        <w:footnoteRef/>
      </w:r>
      <w:r w:rsidRPr="000309CC">
        <w:rPr>
          <w:rStyle w:val="FootnoteReference"/>
        </w:rPr>
        <w:t xml:space="preserve"> </w:t>
      </w:r>
      <w:r w:rsidRPr="000309CC">
        <w:rPr>
          <w:rFonts w:ascii="Times New Roman" w:hAnsi="Times New Roman"/>
        </w:rPr>
        <w:t xml:space="preserve">  COM(2022) 21.</w:t>
      </w:r>
    </w:p>
  </w:footnote>
  <w:footnote w:id="26">
    <w:p w14:paraId="33A20058" w14:textId="77777777" w:rsidR="0043676D" w:rsidRPr="000309CC" w:rsidRDefault="0043676D" w:rsidP="0043676D">
      <w:pPr>
        <w:pStyle w:val="FootnoteText"/>
      </w:pPr>
      <w:r w:rsidRPr="000309CC">
        <w:rPr>
          <w:rStyle w:val="FootnoteReference"/>
        </w:rPr>
        <w:footnoteRef/>
      </w:r>
      <w:r w:rsidRPr="000309CC">
        <w:t xml:space="preserve"> </w:t>
      </w:r>
      <w:hyperlink r:id="rId15" w:history="1">
        <w:r w:rsidRPr="000309CC">
          <w:rPr>
            <w:rStyle w:val="Hyperlink"/>
          </w:rPr>
          <w:t>https://ec.europa.eu/commission/presscorner/detail/en/STATEMENT_22_3108</w:t>
        </w:r>
      </w:hyperlink>
      <w:r w:rsidRPr="000309CC">
        <w:t xml:space="preserve"> </w:t>
      </w:r>
    </w:p>
  </w:footnote>
  <w:footnote w:id="27">
    <w:p w14:paraId="68F40CF4" w14:textId="01412157" w:rsidR="00537FD3" w:rsidRPr="000309CC" w:rsidRDefault="00537FD3">
      <w:pPr>
        <w:pStyle w:val="FootnoteText"/>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 xml:space="preserve"> COM(2022) 301.</w:t>
      </w:r>
    </w:p>
  </w:footnote>
  <w:footnote w:id="28">
    <w:p w14:paraId="75A1D670" w14:textId="2E8FF1DB" w:rsidR="008F378B" w:rsidRPr="000309CC" w:rsidRDefault="008F378B" w:rsidP="00A04B9E">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Grupa Google'a ds. analizy zagrożeń odnotowała rosnącą liczbę podmiotów stwarzających zagrożenie, które wykorzystują wojnę</w:t>
      </w:r>
      <w:r w:rsidR="000309CC" w:rsidRPr="000309CC">
        <w:rPr>
          <w:rFonts w:ascii="Times New Roman" w:hAnsi="Times New Roman"/>
        </w:rPr>
        <w:t xml:space="preserve"> w Ukr</w:t>
      </w:r>
      <w:r w:rsidRPr="000309CC">
        <w:rPr>
          <w:rFonts w:ascii="Times New Roman" w:hAnsi="Times New Roman"/>
        </w:rPr>
        <w:t>ainie jako przynętę</w:t>
      </w:r>
      <w:r w:rsidR="000309CC" w:rsidRPr="000309CC">
        <w:rPr>
          <w:rFonts w:ascii="Times New Roman" w:hAnsi="Times New Roman"/>
        </w:rPr>
        <w:t xml:space="preserve"> w kam</w:t>
      </w:r>
      <w:r w:rsidRPr="000309CC">
        <w:rPr>
          <w:rFonts w:ascii="Times New Roman" w:hAnsi="Times New Roman"/>
        </w:rPr>
        <w:t>paniach związanych</w:t>
      </w:r>
      <w:r w:rsidR="000309CC" w:rsidRPr="000309CC">
        <w:rPr>
          <w:rFonts w:ascii="Times New Roman" w:hAnsi="Times New Roman"/>
        </w:rPr>
        <w:t xml:space="preserve"> z phi</w:t>
      </w:r>
      <w:r w:rsidRPr="000309CC">
        <w:rPr>
          <w:rFonts w:ascii="Times New Roman" w:hAnsi="Times New Roman"/>
        </w:rPr>
        <w:t>shingiem</w:t>
      </w:r>
      <w:r w:rsidR="000309CC" w:rsidRPr="000309CC">
        <w:rPr>
          <w:rFonts w:ascii="Times New Roman" w:hAnsi="Times New Roman"/>
        </w:rPr>
        <w:t xml:space="preserve"> i zło</w:t>
      </w:r>
      <w:r w:rsidRPr="000309CC">
        <w:rPr>
          <w:rFonts w:ascii="Times New Roman" w:hAnsi="Times New Roman"/>
        </w:rPr>
        <w:t>śliwym oprogramowaniem. Analitycy</w:t>
      </w:r>
      <w:r w:rsidR="000309CC" w:rsidRPr="000309CC">
        <w:rPr>
          <w:rFonts w:ascii="Times New Roman" w:hAnsi="Times New Roman"/>
        </w:rPr>
        <w:t xml:space="preserve"> z fir</w:t>
      </w:r>
      <w:r w:rsidRPr="000309CC">
        <w:rPr>
          <w:rFonts w:ascii="Times New Roman" w:hAnsi="Times New Roman"/>
        </w:rPr>
        <w:t>my Cyren, zajmującej się bezpieczeństwem internetowym, donoszą</w:t>
      </w:r>
      <w:r w:rsidR="000309CC" w:rsidRPr="000309CC">
        <w:rPr>
          <w:rFonts w:ascii="Times New Roman" w:hAnsi="Times New Roman"/>
        </w:rPr>
        <w:t xml:space="preserve"> o wzr</w:t>
      </w:r>
      <w:r w:rsidRPr="000309CC">
        <w:rPr>
          <w:rFonts w:ascii="Times New Roman" w:hAnsi="Times New Roman"/>
        </w:rPr>
        <w:t>oście liczby oszustw dotyczących kryptowalut,</w:t>
      </w:r>
      <w:r w:rsidR="000309CC" w:rsidRPr="000309CC">
        <w:rPr>
          <w:rFonts w:ascii="Times New Roman" w:hAnsi="Times New Roman"/>
        </w:rPr>
        <w:t xml:space="preserve"> w któ</w:t>
      </w:r>
      <w:r w:rsidRPr="000309CC">
        <w:rPr>
          <w:rFonts w:ascii="Times New Roman" w:hAnsi="Times New Roman"/>
        </w:rPr>
        <w:t>rych wykorzystuje się konflikt za pomocą fałszywych stron internetowych służących do przekazywania darowizn.</w:t>
      </w:r>
    </w:p>
  </w:footnote>
  <w:footnote w:id="29">
    <w:p w14:paraId="5CAC72CF" w14:textId="5E7705A9" w:rsidR="008F378B" w:rsidRPr="000309CC" w:rsidRDefault="009E06C3" w:rsidP="009E06C3">
      <w:pPr>
        <w:pStyle w:val="FootnoteText"/>
        <w:tabs>
          <w:tab w:val="left" w:pos="284"/>
        </w:tabs>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000309CC" w:rsidRPr="000309CC">
        <w:rPr>
          <w:rStyle w:val="FootnoteReference"/>
          <w:rFonts w:ascii="Times New Roman" w:hAnsi="Times New Roman"/>
        </w:rPr>
        <w:t xml:space="preserve"> </w:t>
      </w:r>
      <w:r w:rsidRPr="000309CC">
        <w:rPr>
          <w:rFonts w:ascii="Times New Roman" w:hAnsi="Times New Roman"/>
        </w:rPr>
        <w:t>Komunikat Komisji zawierający wytyczne operacyjne dotyczące zarządzania granicami zewnętrznymi</w:t>
      </w:r>
      <w:r w:rsidR="000309CC" w:rsidRPr="000309CC">
        <w:rPr>
          <w:rFonts w:ascii="Times New Roman" w:hAnsi="Times New Roman"/>
        </w:rPr>
        <w:t xml:space="preserve"> w cel</w:t>
      </w:r>
      <w:r w:rsidRPr="000309CC">
        <w:rPr>
          <w:rFonts w:ascii="Times New Roman" w:hAnsi="Times New Roman"/>
        </w:rPr>
        <w:t>u ułatwienia przekraczania granicy między UE</w:t>
      </w:r>
      <w:r w:rsidR="000309CC" w:rsidRPr="000309CC">
        <w:rPr>
          <w:rFonts w:ascii="Times New Roman" w:hAnsi="Times New Roman"/>
        </w:rPr>
        <w:t xml:space="preserve"> a Ukr</w:t>
      </w:r>
      <w:r w:rsidRPr="000309CC">
        <w:rPr>
          <w:rFonts w:ascii="Times New Roman" w:hAnsi="Times New Roman"/>
        </w:rPr>
        <w:t>ainą, 2022/C 104 I/01.</w:t>
      </w:r>
    </w:p>
  </w:footnote>
  <w:footnote w:id="30">
    <w:p w14:paraId="5EBD4D3C" w14:textId="3AA214C0" w:rsidR="008F378B" w:rsidRPr="000309CC" w:rsidRDefault="008F378B" w:rsidP="007A3983">
      <w:pPr>
        <w:pStyle w:val="FootnoteText"/>
        <w:ind w:left="284" w:hanging="284"/>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Na dzień 3 maja Europol oddelegował 1 pracownika Europolu</w:t>
      </w:r>
      <w:r w:rsidR="000309CC" w:rsidRPr="000309CC">
        <w:rPr>
          <w:rFonts w:ascii="Times New Roman" w:hAnsi="Times New Roman"/>
        </w:rPr>
        <w:t xml:space="preserve"> i 3</w:t>
      </w:r>
      <w:r w:rsidRPr="000309CC">
        <w:rPr>
          <w:rFonts w:ascii="Times New Roman" w:hAnsi="Times New Roman"/>
        </w:rPr>
        <w:t xml:space="preserve"> zaproszonych funkcjonariuszy na Słowację, 1 funkcjonariusza Europolu do Polski, 1 funkcjonariusza Europolu</w:t>
      </w:r>
      <w:r w:rsidR="000309CC" w:rsidRPr="000309CC">
        <w:rPr>
          <w:rFonts w:ascii="Times New Roman" w:hAnsi="Times New Roman"/>
        </w:rPr>
        <w:t xml:space="preserve"> i 4</w:t>
      </w:r>
      <w:r w:rsidRPr="000309CC">
        <w:rPr>
          <w:rFonts w:ascii="Times New Roman" w:hAnsi="Times New Roman"/>
        </w:rPr>
        <w:t xml:space="preserve"> zaproszonych funkcjonariuszy do Rumunii oraz 2 zaproszonych funkcjonariuszy na Węgry. 1 pracownik Europolu</w:t>
      </w:r>
      <w:r w:rsidR="000309CC" w:rsidRPr="000309CC">
        <w:rPr>
          <w:rFonts w:ascii="Times New Roman" w:hAnsi="Times New Roman"/>
        </w:rPr>
        <w:t xml:space="preserve"> i 2</w:t>
      </w:r>
      <w:r w:rsidRPr="000309CC">
        <w:rPr>
          <w:rFonts w:ascii="Times New Roman" w:hAnsi="Times New Roman"/>
        </w:rPr>
        <w:t xml:space="preserve"> zaproszonych funkcjonariuszy zostało oddelegowanych do Mołdawii.</w:t>
      </w:r>
    </w:p>
  </w:footnote>
  <w:footnote w:id="31">
    <w:p w14:paraId="1F48CF11" w14:textId="77777777" w:rsidR="008F378B" w:rsidRPr="000309CC" w:rsidRDefault="008F378B" w:rsidP="009D4A4E">
      <w:pPr>
        <w:shd w:val="clear" w:color="auto" w:fill="FFFFFF"/>
        <w:spacing w:after="0" w:line="288" w:lineRule="atLeast"/>
        <w:ind w:left="284" w:hanging="284"/>
        <w:jc w:val="both"/>
        <w:textAlignment w:val="baseline"/>
        <w:outlineLvl w:val="0"/>
        <w:rPr>
          <w:rFonts w:ascii="Times New Roman" w:hAnsi="Times New Roman" w:cs="Times New Roman"/>
          <w:sz w:val="20"/>
          <w:szCs w:val="20"/>
        </w:rPr>
      </w:pPr>
      <w:r w:rsidRPr="000309CC">
        <w:rPr>
          <w:rStyle w:val="FootnoteReference"/>
          <w:rFonts w:ascii="Times New Roman" w:hAnsi="Times New Roman" w:cs="Times New Roman"/>
          <w:sz w:val="20"/>
          <w:szCs w:val="20"/>
        </w:rPr>
        <w:footnoteRef/>
      </w:r>
      <w:r w:rsidRPr="000309CC">
        <w:rPr>
          <w:rFonts w:ascii="Times New Roman" w:hAnsi="Times New Roman"/>
          <w:sz w:val="20"/>
        </w:rPr>
        <w:tab/>
      </w:r>
      <w:r w:rsidRPr="000309CC">
        <w:rPr>
          <w:rFonts w:ascii="Times New Roman" w:hAnsi="Times New Roman"/>
          <w:sz w:val="20"/>
          <w:shd w:val="clear" w:color="auto" w:fill="FFFFFF"/>
        </w:rPr>
        <w:t>Decyzje 2008/615/WSiSW 2008/616/WSiSW.</w:t>
      </w:r>
    </w:p>
  </w:footnote>
  <w:footnote w:id="32">
    <w:p w14:paraId="473C719A" w14:textId="77777777"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 xml:space="preserve">C/2022/1806, </w:t>
      </w:r>
      <w:hyperlink r:id="rId16" w:history="1">
        <w:r w:rsidRPr="000309CC">
          <w:rPr>
            <w:rFonts w:ascii="Times New Roman" w:hAnsi="Times New Roman"/>
          </w:rPr>
          <w:t>EUR-Lex - 52022XC0321(03) - PL - EUR-Lex (europa.eu)</w:t>
        </w:r>
      </w:hyperlink>
      <w:r w:rsidRPr="000309CC">
        <w:rPr>
          <w:rFonts w:ascii="Times New Roman" w:hAnsi="Times New Roman"/>
        </w:rPr>
        <w:t>.</w:t>
      </w:r>
    </w:p>
  </w:footnote>
  <w:footnote w:id="33">
    <w:p w14:paraId="74DF0426" w14:textId="77777777" w:rsidR="008F378B" w:rsidRPr="000309CC" w:rsidRDefault="008F378B" w:rsidP="009C35ED">
      <w:pPr>
        <w:pStyle w:val="FootnoteText"/>
        <w:ind w:left="284" w:hanging="284"/>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17" w:history="1">
        <w:r w:rsidRPr="000309CC">
          <w:rPr>
            <w:rStyle w:val="Hyperlink"/>
            <w:rFonts w:ascii="Times New Roman" w:hAnsi="Times New Roman"/>
          </w:rPr>
          <w:t>https://ec.europa.eu/home-affairs/10-point-plan-stronger-european-coordination-welcoming-people-fleeing-war-ukraine_en</w:t>
        </w:r>
      </w:hyperlink>
      <w:r w:rsidRPr="000309CC">
        <w:rPr>
          <w:rFonts w:ascii="Times New Roman" w:hAnsi="Times New Roman"/>
        </w:rPr>
        <w:t xml:space="preserve"> </w:t>
      </w:r>
    </w:p>
  </w:footnote>
  <w:footnote w:id="34">
    <w:p w14:paraId="2AAF1287" w14:textId="77777777" w:rsidR="008F378B" w:rsidRPr="000309CC" w:rsidRDefault="008F378B" w:rsidP="007A3983">
      <w:pPr>
        <w:pStyle w:val="FootnoteText"/>
        <w:ind w:left="284" w:hanging="284"/>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18" w:history="1">
        <w:r w:rsidRPr="000309CC">
          <w:rPr>
            <w:rStyle w:val="Hyperlink"/>
            <w:rFonts w:ascii="Times New Roman" w:hAnsi="Times New Roman"/>
          </w:rPr>
          <w:t>https://ec.europa.eu/home-affairs/news/new-anti-trafficking-plan-protect-people-fleeing-war-ukraine-2022-05-11_en</w:t>
        </w:r>
      </w:hyperlink>
      <w:r w:rsidRPr="000309CC">
        <w:rPr>
          <w:rFonts w:ascii="Times New Roman" w:hAnsi="Times New Roman"/>
        </w:rPr>
        <w:t xml:space="preserve"> </w:t>
      </w:r>
    </w:p>
  </w:footnote>
  <w:footnote w:id="35">
    <w:p w14:paraId="19668E1A" w14:textId="77777777" w:rsidR="008F378B" w:rsidRPr="000309CC" w:rsidRDefault="008F378B" w:rsidP="004C381B">
      <w:pPr>
        <w:pStyle w:val="FootnoteText"/>
        <w:tabs>
          <w:tab w:val="left" w:pos="284"/>
        </w:tabs>
      </w:pPr>
      <w:r w:rsidRPr="000309CC">
        <w:rPr>
          <w:rStyle w:val="FootnoteReference"/>
          <w:rFonts w:ascii="Times New Roman" w:hAnsi="Times New Roman" w:cs="Times New Roman"/>
        </w:rPr>
        <w:footnoteRef/>
      </w:r>
      <w:r w:rsidRPr="000309CC">
        <w:rPr>
          <w:rFonts w:ascii="Times New Roman" w:hAnsi="Times New Roman"/>
        </w:rPr>
        <w:tab/>
        <w:t>COM(2020) 796.</w:t>
      </w:r>
    </w:p>
  </w:footnote>
  <w:footnote w:id="36">
    <w:p w14:paraId="0E6632BF" w14:textId="2F8ECB28" w:rsidR="008F378B" w:rsidRPr="000309CC" w:rsidDel="0040519E" w:rsidRDefault="00D413D8">
      <w:pPr>
        <w:pStyle w:val="FootnoteText"/>
      </w:pPr>
      <w:r w:rsidRPr="000309CC">
        <w:rPr>
          <w:rStyle w:val="FootnoteReference"/>
          <w:rFonts w:ascii="Times New Roman" w:hAnsi="Times New Roman" w:cs="Times New Roman"/>
        </w:rPr>
        <w:footnoteRef/>
      </w:r>
      <w:r w:rsidRPr="000309CC">
        <w:rPr>
          <w:rStyle w:val="FootnoteReference"/>
          <w:rFonts w:ascii="Times New Roman" w:hAnsi="Times New Roman"/>
        </w:rPr>
        <w:t xml:space="preserve"> </w:t>
      </w:r>
      <w:r w:rsidRPr="000309CC">
        <w:rPr>
          <w:rStyle w:val="FootnoteReference"/>
        </w:rPr>
        <w:t xml:space="preserve">  </w:t>
      </w:r>
      <w:r w:rsidRPr="000309CC">
        <w:t xml:space="preserve"> </w:t>
      </w:r>
      <w:r w:rsidRPr="000309CC">
        <w:rPr>
          <w:rFonts w:ascii="Times New Roman" w:hAnsi="Times New Roman"/>
          <w:shd w:val="clear" w:color="auto" w:fill="FFFFFF"/>
        </w:rPr>
        <w:t>COM(2021) 780</w:t>
      </w:r>
      <w:r w:rsidRPr="000309CC">
        <w:rPr>
          <w:rFonts w:ascii="Times New Roman" w:hAnsi="Times New Roman"/>
        </w:rPr>
        <w:t>,</w:t>
      </w:r>
      <w:r w:rsidRPr="000309CC">
        <w:rPr>
          <w:rFonts w:ascii="Times New Roman" w:hAnsi="Times New Roman"/>
          <w:shd w:val="clear" w:color="auto" w:fill="FFFFFF"/>
        </w:rPr>
        <w:t xml:space="preserve"> COM(2021) 782, COM(2021) 784.</w:t>
      </w:r>
    </w:p>
  </w:footnote>
  <w:footnote w:id="37">
    <w:p w14:paraId="2ACEB899" w14:textId="25983FAD" w:rsidR="008F378B" w:rsidRPr="000309CC" w:rsidRDefault="008F378B" w:rsidP="008F378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Komunikat Komisji zawierający wytyczne operacyjne dotyczące zarządzania granicami zewnętrznymi</w:t>
      </w:r>
      <w:r w:rsidR="000309CC" w:rsidRPr="000309CC">
        <w:rPr>
          <w:rFonts w:ascii="Times New Roman" w:hAnsi="Times New Roman"/>
        </w:rPr>
        <w:t xml:space="preserve"> w cel</w:t>
      </w:r>
      <w:r w:rsidRPr="000309CC">
        <w:rPr>
          <w:rFonts w:ascii="Times New Roman" w:hAnsi="Times New Roman"/>
        </w:rPr>
        <w:t>u ułatwienia przekraczania granicy między UE</w:t>
      </w:r>
      <w:r w:rsidR="000309CC" w:rsidRPr="000309CC">
        <w:rPr>
          <w:rFonts w:ascii="Times New Roman" w:hAnsi="Times New Roman"/>
        </w:rPr>
        <w:t xml:space="preserve"> a Ukr</w:t>
      </w:r>
      <w:r w:rsidRPr="000309CC">
        <w:rPr>
          <w:rFonts w:ascii="Times New Roman" w:hAnsi="Times New Roman"/>
        </w:rPr>
        <w:t>ainą, 2022/C 104 I/01.</w:t>
      </w:r>
    </w:p>
  </w:footnote>
  <w:footnote w:id="38">
    <w:p w14:paraId="578C808D" w14:textId="7A194551" w:rsidR="008F378B" w:rsidRPr="000309CC" w:rsidRDefault="008F378B" w:rsidP="007A3983">
      <w:pPr>
        <w:pStyle w:val="FootnoteText"/>
        <w:ind w:left="284" w:hanging="284"/>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Komisja zorganizuje – we współpracy</w:t>
      </w:r>
      <w:r w:rsidR="000309CC" w:rsidRPr="000309CC">
        <w:rPr>
          <w:rFonts w:ascii="Times New Roman" w:hAnsi="Times New Roman"/>
        </w:rPr>
        <w:t xml:space="preserve"> z par</w:t>
      </w:r>
      <w:r w:rsidRPr="000309CC">
        <w:rPr>
          <w:rFonts w:ascii="Times New Roman" w:hAnsi="Times New Roman"/>
        </w:rPr>
        <w:t>tnerami z USA – warsztaty poświęcone zagrożeniom związanym</w:t>
      </w:r>
      <w:r w:rsidR="000309CC" w:rsidRPr="000309CC">
        <w:rPr>
          <w:rFonts w:ascii="Times New Roman" w:hAnsi="Times New Roman"/>
        </w:rPr>
        <w:t xml:space="preserve"> z mat</w:t>
      </w:r>
      <w:r w:rsidRPr="000309CC">
        <w:rPr>
          <w:rFonts w:ascii="Times New Roman" w:hAnsi="Times New Roman"/>
        </w:rPr>
        <w:t>eriałami radiologicznymi znajdującymi się</w:t>
      </w:r>
      <w:r w:rsidR="000309CC" w:rsidRPr="000309CC">
        <w:rPr>
          <w:rFonts w:ascii="Times New Roman" w:hAnsi="Times New Roman"/>
        </w:rPr>
        <w:t xml:space="preserve"> w szp</w:t>
      </w:r>
      <w:r w:rsidRPr="000309CC">
        <w:rPr>
          <w:rFonts w:ascii="Times New Roman" w:hAnsi="Times New Roman"/>
        </w:rPr>
        <w:t xml:space="preserve">italach, nad którymi traci się kontrolę regulacyjną. </w:t>
      </w:r>
    </w:p>
  </w:footnote>
  <w:footnote w:id="39">
    <w:p w14:paraId="655854B0" w14:textId="1E5BFC08" w:rsidR="008F378B" w:rsidRPr="000309CC" w:rsidRDefault="008F378B" w:rsidP="00E54215">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Rozporządzenie Parlamentu Europejskiego</w:t>
      </w:r>
      <w:r w:rsidR="000309CC" w:rsidRPr="000309CC">
        <w:rPr>
          <w:rFonts w:ascii="Times New Roman" w:hAnsi="Times New Roman"/>
        </w:rPr>
        <w:t xml:space="preserve"> i Rad</w:t>
      </w:r>
      <w:r w:rsidRPr="000309CC">
        <w:rPr>
          <w:rFonts w:ascii="Times New Roman" w:hAnsi="Times New Roman"/>
        </w:rPr>
        <w:t>y (UE) nr</w:t>
      </w:r>
      <w:r w:rsidR="000309CC" w:rsidRPr="000309CC">
        <w:rPr>
          <w:rFonts w:ascii="Times New Roman" w:hAnsi="Times New Roman"/>
        </w:rPr>
        <w:t> </w:t>
      </w:r>
      <w:r w:rsidRPr="000309CC">
        <w:rPr>
          <w:rFonts w:ascii="Times New Roman" w:hAnsi="Times New Roman"/>
        </w:rPr>
        <w:t>258/2012</w:t>
      </w:r>
      <w:r w:rsidR="000309CC" w:rsidRPr="000309CC">
        <w:rPr>
          <w:rFonts w:ascii="Times New Roman" w:hAnsi="Times New Roman"/>
        </w:rPr>
        <w:t xml:space="preserve"> z dni</w:t>
      </w:r>
      <w:r w:rsidRPr="000309CC">
        <w:rPr>
          <w:rFonts w:ascii="Times New Roman" w:hAnsi="Times New Roman"/>
        </w:rPr>
        <w:t>a 14 marca 2012</w:t>
      </w:r>
      <w:r w:rsidR="000309CC" w:rsidRPr="000309CC">
        <w:rPr>
          <w:rFonts w:ascii="Times New Roman" w:hAnsi="Times New Roman"/>
        </w:rPr>
        <w:t> </w:t>
      </w:r>
      <w:r w:rsidRPr="000309CC">
        <w:rPr>
          <w:rFonts w:ascii="Times New Roman" w:hAnsi="Times New Roman"/>
        </w:rPr>
        <w:t>r. wdrażające art.</w:t>
      </w:r>
      <w:r w:rsidR="000309CC" w:rsidRPr="000309CC">
        <w:rPr>
          <w:rFonts w:ascii="Times New Roman" w:hAnsi="Times New Roman"/>
        </w:rPr>
        <w:t> </w:t>
      </w:r>
      <w:r w:rsidRPr="000309CC">
        <w:rPr>
          <w:rFonts w:ascii="Times New Roman" w:hAnsi="Times New Roman"/>
        </w:rPr>
        <w:t>10 Protokołu Narodów Zjednoczonych przeciwko nielegalnemu wytwarzaniu</w:t>
      </w:r>
      <w:r w:rsidR="000309CC" w:rsidRPr="000309CC">
        <w:rPr>
          <w:rFonts w:ascii="Times New Roman" w:hAnsi="Times New Roman"/>
        </w:rPr>
        <w:t xml:space="preserve"> i obr</w:t>
      </w:r>
      <w:r w:rsidRPr="000309CC">
        <w:rPr>
          <w:rFonts w:ascii="Times New Roman" w:hAnsi="Times New Roman"/>
        </w:rPr>
        <w:t>otowi</w:t>
      </w:r>
      <w:r w:rsidR="00E54215" w:rsidRPr="000309CC">
        <w:rPr>
          <w:rFonts w:ascii="Times New Roman" w:hAnsi="Times New Roman"/>
        </w:rPr>
        <w:t xml:space="preserve"> </w:t>
      </w:r>
      <w:r w:rsidRPr="000309CC">
        <w:rPr>
          <w:rFonts w:ascii="Times New Roman" w:hAnsi="Times New Roman"/>
        </w:rPr>
        <w:t>bronią palną, jej częściami</w:t>
      </w:r>
      <w:r w:rsidR="000309CC" w:rsidRPr="000309CC">
        <w:rPr>
          <w:rFonts w:ascii="Times New Roman" w:hAnsi="Times New Roman"/>
        </w:rPr>
        <w:t xml:space="preserve"> i kom</w:t>
      </w:r>
      <w:r w:rsidRPr="000309CC">
        <w:rPr>
          <w:rFonts w:ascii="Times New Roman" w:hAnsi="Times New Roman"/>
        </w:rPr>
        <w:t>ponentami oraz amunicją, uzupełniającego Konwencję Narodów Zjednoczonych przeciwko międzynarodowej przestępczości zorganizowanej (protokół NZ</w:t>
      </w:r>
      <w:r w:rsidR="000309CC" w:rsidRPr="000309CC">
        <w:rPr>
          <w:rFonts w:ascii="Times New Roman" w:hAnsi="Times New Roman"/>
        </w:rPr>
        <w:t xml:space="preserve"> w spr</w:t>
      </w:r>
      <w:r w:rsidRPr="000309CC">
        <w:rPr>
          <w:rFonts w:ascii="Times New Roman" w:hAnsi="Times New Roman"/>
        </w:rPr>
        <w:t>awie broni palnej), oraz ustanawiające zezwolenia na wywóz</w:t>
      </w:r>
      <w:r w:rsidR="000309CC" w:rsidRPr="000309CC">
        <w:rPr>
          <w:rFonts w:ascii="Times New Roman" w:hAnsi="Times New Roman"/>
        </w:rPr>
        <w:t xml:space="preserve"> i śro</w:t>
      </w:r>
      <w:r w:rsidRPr="000309CC">
        <w:rPr>
          <w:rFonts w:ascii="Times New Roman" w:hAnsi="Times New Roman"/>
        </w:rPr>
        <w:t>dki dotyczące przywozu</w:t>
      </w:r>
      <w:r w:rsidR="000309CC" w:rsidRPr="000309CC">
        <w:rPr>
          <w:rFonts w:ascii="Times New Roman" w:hAnsi="Times New Roman"/>
        </w:rPr>
        <w:t xml:space="preserve"> i tra</w:t>
      </w:r>
      <w:r w:rsidRPr="000309CC">
        <w:rPr>
          <w:rFonts w:ascii="Times New Roman" w:hAnsi="Times New Roman"/>
        </w:rPr>
        <w:t>nzytu dla broni palnej, jej części</w:t>
      </w:r>
      <w:r w:rsidR="000309CC" w:rsidRPr="000309CC">
        <w:rPr>
          <w:rFonts w:ascii="Times New Roman" w:hAnsi="Times New Roman"/>
        </w:rPr>
        <w:t xml:space="preserve"> i kom</w:t>
      </w:r>
      <w:r w:rsidRPr="000309CC">
        <w:rPr>
          <w:rFonts w:ascii="Times New Roman" w:hAnsi="Times New Roman"/>
        </w:rPr>
        <w:t>ponentów oraz amunicji.</w:t>
      </w:r>
    </w:p>
  </w:footnote>
  <w:footnote w:id="40">
    <w:p w14:paraId="08B5C054" w14:textId="49ABF08C" w:rsidR="008F378B" w:rsidRPr="000309CC" w:rsidRDefault="008F378B" w:rsidP="007A3983">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19" w:history="1">
        <w:r w:rsidRPr="000309CC">
          <w:rPr>
            <w:rStyle w:val="Hyperlink"/>
            <w:rFonts w:ascii="Times New Roman" w:hAnsi="Times New Roman"/>
          </w:rPr>
          <w:t>Plan prac HERA na</w:t>
        </w:r>
        <w:r w:rsidR="000309CC" w:rsidRPr="000309CC">
          <w:rPr>
            <w:rStyle w:val="Hyperlink"/>
            <w:rFonts w:ascii="Times New Roman" w:hAnsi="Times New Roman"/>
          </w:rPr>
          <w:t> </w:t>
        </w:r>
        <w:r w:rsidRPr="000309CC">
          <w:rPr>
            <w:rStyle w:val="Hyperlink"/>
            <w:rFonts w:ascii="Times New Roman" w:hAnsi="Times New Roman"/>
          </w:rPr>
          <w:t>2022</w:t>
        </w:r>
        <w:r w:rsidR="000309CC" w:rsidRPr="000309CC">
          <w:rPr>
            <w:rStyle w:val="Hyperlink"/>
            <w:rFonts w:ascii="Times New Roman" w:hAnsi="Times New Roman"/>
          </w:rPr>
          <w:t> </w:t>
        </w:r>
        <w:r w:rsidRPr="000309CC">
          <w:rPr>
            <w:rStyle w:val="Hyperlink"/>
            <w:rFonts w:ascii="Times New Roman" w:hAnsi="Times New Roman"/>
          </w:rPr>
          <w:t>r. (europa.eu)</w:t>
        </w:r>
      </w:hyperlink>
    </w:p>
  </w:footnote>
  <w:footnote w:id="41">
    <w:p w14:paraId="0207DDA4" w14:textId="31C719DA" w:rsidR="004F62A1" w:rsidRPr="000309CC" w:rsidRDefault="004F62A1">
      <w:pPr>
        <w:pStyle w:val="FootnoteText"/>
      </w:pPr>
      <w:r w:rsidRPr="000309CC">
        <w:rPr>
          <w:rStyle w:val="FootnoteReference"/>
          <w:rFonts w:ascii="Times New Roman" w:hAnsi="Times New Roman" w:cs="Times New Roman"/>
        </w:rPr>
        <w:footnoteRef/>
      </w:r>
      <w:r w:rsidR="000309CC" w:rsidRPr="000309CC">
        <w:rPr>
          <w:rStyle w:val="FootnoteReference"/>
          <w:rFonts w:ascii="Times New Roman" w:hAnsi="Times New Roman"/>
        </w:rPr>
        <w:t xml:space="preserve"> </w:t>
      </w:r>
      <w:r w:rsidRPr="000309CC">
        <w:rPr>
          <w:rFonts w:ascii="Times New Roman" w:hAnsi="Times New Roman"/>
        </w:rPr>
        <w:t>Zablokowano również aktywa rosyjskiego banku centralnego</w:t>
      </w:r>
      <w:r w:rsidR="000309CC" w:rsidRPr="000309CC">
        <w:rPr>
          <w:rFonts w:ascii="Times New Roman" w:hAnsi="Times New Roman"/>
        </w:rPr>
        <w:t xml:space="preserve"> w kwo</w:t>
      </w:r>
      <w:r w:rsidRPr="000309CC">
        <w:rPr>
          <w:rFonts w:ascii="Times New Roman" w:hAnsi="Times New Roman"/>
        </w:rPr>
        <w:t>cie około 23 mld EUR.</w:t>
      </w:r>
    </w:p>
  </w:footnote>
  <w:footnote w:id="42">
    <w:p w14:paraId="3FA00891" w14:textId="77777777" w:rsidR="008F378B" w:rsidRPr="000309CC" w:rsidRDefault="008F378B" w:rsidP="008F378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COM(2022) 245.</w:t>
      </w:r>
    </w:p>
  </w:footnote>
  <w:footnote w:id="43">
    <w:p w14:paraId="79758966" w14:textId="77777777" w:rsidR="008F378B" w:rsidRPr="000309CC" w:rsidRDefault="008F378B" w:rsidP="008F378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COM(2022) 247.</w:t>
      </w:r>
    </w:p>
  </w:footnote>
  <w:footnote w:id="44">
    <w:p w14:paraId="2D250F62" w14:textId="2C3CAEA1" w:rsidR="008F378B" w:rsidRPr="000309CC" w:rsidRDefault="008F378B" w:rsidP="008F378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COM(2022) 249.</w:t>
      </w:r>
    </w:p>
  </w:footnote>
  <w:footnote w:id="45">
    <w:p w14:paraId="01CBE9DD" w14:textId="77777777" w:rsidR="008F378B" w:rsidRPr="000309CC" w:rsidRDefault="008F378B" w:rsidP="008F378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 xml:space="preserve">COM(2021) 170. </w:t>
      </w:r>
    </w:p>
  </w:footnote>
  <w:footnote w:id="46">
    <w:p w14:paraId="06D76CCD" w14:textId="497667F4" w:rsidR="008F378B" w:rsidRPr="000309CC" w:rsidRDefault="008F378B" w:rsidP="008F378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Europol szacuje, że jedynie 2</w:t>
      </w:r>
      <w:r w:rsidR="000309CC" w:rsidRPr="000309CC">
        <w:rPr>
          <w:rFonts w:ascii="Times New Roman" w:hAnsi="Times New Roman"/>
        </w:rPr>
        <w:t> </w:t>
      </w:r>
      <w:r w:rsidRPr="000309CC">
        <w:rPr>
          <w:rFonts w:ascii="Times New Roman" w:hAnsi="Times New Roman"/>
        </w:rPr>
        <w:t>% mienia pochodzącego</w:t>
      </w:r>
      <w:r w:rsidR="000309CC" w:rsidRPr="000309CC">
        <w:rPr>
          <w:rFonts w:ascii="Times New Roman" w:hAnsi="Times New Roman"/>
        </w:rPr>
        <w:t xml:space="preserve"> z prz</w:t>
      </w:r>
      <w:r w:rsidRPr="000309CC">
        <w:rPr>
          <w:rFonts w:ascii="Times New Roman" w:hAnsi="Times New Roman"/>
        </w:rPr>
        <w:t>estępstwa jest zamrożone (2,4 mld EUR),</w:t>
      </w:r>
      <w:r w:rsidR="000309CC" w:rsidRPr="000309CC">
        <w:rPr>
          <w:rFonts w:ascii="Times New Roman" w:hAnsi="Times New Roman"/>
        </w:rPr>
        <w:t xml:space="preserve"> a 1 </w:t>
      </w:r>
      <w:r w:rsidRPr="000309CC">
        <w:rPr>
          <w:rFonts w:ascii="Times New Roman" w:hAnsi="Times New Roman"/>
        </w:rPr>
        <w:t xml:space="preserve">% skonfiskowane (1,2 mld EUR), </w:t>
      </w:r>
      <w:r w:rsidRPr="000309CC">
        <w:rPr>
          <w:rFonts w:ascii="Times New Roman" w:hAnsi="Times New Roman"/>
        </w:rPr>
        <w:tab/>
        <w:t>natomiast dochody</w:t>
      </w:r>
      <w:r w:rsidR="000309CC" w:rsidRPr="000309CC">
        <w:rPr>
          <w:rFonts w:ascii="Times New Roman" w:hAnsi="Times New Roman"/>
        </w:rPr>
        <w:t xml:space="preserve"> z dzi</w:t>
      </w:r>
      <w:r w:rsidRPr="000309CC">
        <w:rPr>
          <w:rFonts w:ascii="Times New Roman" w:hAnsi="Times New Roman"/>
        </w:rPr>
        <w:t>ałalności przestępczej na głównych rynkach przestępczych w UE</w:t>
      </w:r>
      <w:r w:rsidR="000309CC" w:rsidRPr="000309CC">
        <w:rPr>
          <w:rFonts w:ascii="Times New Roman" w:hAnsi="Times New Roman"/>
        </w:rPr>
        <w:t xml:space="preserve"> w 2</w:t>
      </w:r>
      <w:r w:rsidRPr="000309CC">
        <w:rPr>
          <w:rFonts w:ascii="Times New Roman" w:hAnsi="Times New Roman"/>
        </w:rPr>
        <w:t>019</w:t>
      </w:r>
      <w:r w:rsidR="000309CC" w:rsidRPr="000309CC">
        <w:rPr>
          <w:rFonts w:ascii="Times New Roman" w:hAnsi="Times New Roman"/>
        </w:rPr>
        <w:t> </w:t>
      </w:r>
      <w:r w:rsidRPr="000309CC">
        <w:rPr>
          <w:rFonts w:ascii="Times New Roman" w:hAnsi="Times New Roman"/>
        </w:rPr>
        <w:t>r. wyniosły 139 mld EUR (1</w:t>
      </w:r>
      <w:r w:rsidR="000309CC" w:rsidRPr="000309CC">
        <w:rPr>
          <w:rFonts w:ascii="Times New Roman" w:hAnsi="Times New Roman"/>
        </w:rPr>
        <w:t> </w:t>
      </w:r>
      <w:r w:rsidRPr="000309CC">
        <w:rPr>
          <w:rFonts w:ascii="Times New Roman" w:hAnsi="Times New Roman"/>
        </w:rPr>
        <w:t xml:space="preserve">% </w:t>
      </w:r>
      <w:r w:rsidRPr="000309CC">
        <w:rPr>
          <w:rFonts w:ascii="Times New Roman" w:hAnsi="Times New Roman"/>
        </w:rPr>
        <w:tab/>
        <w:t xml:space="preserve">produktu krajowego brutto Unii). </w:t>
      </w:r>
    </w:p>
  </w:footnote>
  <w:footnote w:id="47">
    <w:p w14:paraId="117599B8" w14:textId="77777777" w:rsidR="008F378B" w:rsidRPr="000309CC" w:rsidRDefault="008F378B" w:rsidP="008F378B">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20" w:history="1">
        <w:r w:rsidRPr="000309CC">
          <w:rPr>
            <w:rStyle w:val="Hyperlink"/>
            <w:rFonts w:ascii="Times New Roman" w:hAnsi="Times New Roman"/>
          </w:rPr>
          <w:t>https://www.eurojust.europa.eu/eurojust-and-the-</w:t>
        </w:r>
        <w:r w:rsidRPr="000309CC">
          <w:rPr>
            <w:rStyle w:val="Hyperlink"/>
            <w:rFonts w:ascii="Times New Roman" w:hAnsi="Times New Roman"/>
          </w:rPr>
          <w:tab/>
        </w:r>
      </w:hyperlink>
      <w:hyperlink r:id="rId21" w:history="1">
        <w:r w:rsidRPr="000309CC">
          <w:rPr>
            <w:rStyle w:val="Hyperlink"/>
            <w:rFonts w:ascii="Times New Roman" w:hAnsi="Times New Roman"/>
          </w:rPr>
          <w:t>war-in-ukraine</w:t>
        </w:r>
      </w:hyperlink>
      <w:r w:rsidRPr="000309CC">
        <w:rPr>
          <w:rStyle w:val="Hyperlink"/>
          <w:rFonts w:ascii="Times New Roman" w:hAnsi="Times New Roman"/>
        </w:rPr>
        <w:t xml:space="preserve"> </w:t>
      </w:r>
    </w:p>
  </w:footnote>
  <w:footnote w:id="48">
    <w:p w14:paraId="6796D683" w14:textId="77777777" w:rsidR="008F378B" w:rsidRPr="000309CC" w:rsidRDefault="008F378B" w:rsidP="00975566">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 xml:space="preserve">COM(2022) 187 final. </w:t>
      </w:r>
    </w:p>
  </w:footnote>
  <w:footnote w:id="49">
    <w:p w14:paraId="20B056C4" w14:textId="5CD4267C" w:rsidR="00C40AFE" w:rsidRPr="000309CC" w:rsidRDefault="00C40AFE" w:rsidP="00121626">
      <w:pPr>
        <w:pStyle w:val="FootnoteText"/>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 xml:space="preserve"> https://data.consilium.europa.eu/doc/document/ST-7371-2022-INIT/pl/pdf</w:t>
      </w:r>
    </w:p>
  </w:footnote>
  <w:footnote w:id="50">
    <w:p w14:paraId="27FD600A" w14:textId="77777777" w:rsidR="008F378B" w:rsidRPr="000309CC" w:rsidRDefault="008F378B" w:rsidP="003C40F7">
      <w:pPr>
        <w:pStyle w:val="FootnoteText"/>
        <w:ind w:left="284" w:hanging="284"/>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COM(2020) 790.</w:t>
      </w:r>
    </w:p>
  </w:footnote>
  <w:footnote w:id="51">
    <w:p w14:paraId="3E5A3A5F" w14:textId="77777777"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https://digital-strategy.ec.europa.eu/en/policies/code-practice-disinformation</w:t>
      </w:r>
    </w:p>
  </w:footnote>
  <w:footnote w:id="52">
    <w:p w14:paraId="267E2714" w14:textId="04FC96FE" w:rsidR="008F378B" w:rsidRPr="000309CC" w:rsidRDefault="008F378B" w:rsidP="00975566">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Dział ds. komunikacji strategicznej, grup zadaniowych</w:t>
      </w:r>
      <w:r w:rsidR="000309CC" w:rsidRPr="000309CC">
        <w:rPr>
          <w:rFonts w:ascii="Times New Roman" w:hAnsi="Times New Roman"/>
        </w:rPr>
        <w:t xml:space="preserve"> i ana</w:t>
      </w:r>
      <w:r w:rsidRPr="000309CC">
        <w:rPr>
          <w:rFonts w:ascii="Times New Roman" w:hAnsi="Times New Roman"/>
        </w:rPr>
        <w:t>lizy informacji Europejskiej Służby Działań Zewnętrznych udziela wsparcia</w:t>
      </w:r>
      <w:r w:rsidR="000309CC" w:rsidRPr="000309CC">
        <w:rPr>
          <w:rFonts w:ascii="Times New Roman" w:hAnsi="Times New Roman"/>
        </w:rPr>
        <w:t xml:space="preserve"> w zak</w:t>
      </w:r>
      <w:r w:rsidRPr="000309CC">
        <w:rPr>
          <w:rFonts w:ascii="Times New Roman" w:hAnsi="Times New Roman"/>
        </w:rPr>
        <w:t>resie komunikacji strategicznej przy realizacji polityki zagranicznej</w:t>
      </w:r>
      <w:r w:rsidR="000309CC" w:rsidRPr="000309CC">
        <w:rPr>
          <w:rFonts w:ascii="Times New Roman" w:hAnsi="Times New Roman"/>
        </w:rPr>
        <w:t xml:space="preserve"> i bez</w:t>
      </w:r>
      <w:r w:rsidRPr="000309CC">
        <w:rPr>
          <w:rFonts w:ascii="Times New Roman" w:hAnsi="Times New Roman"/>
        </w:rPr>
        <w:t>pieczeństwa UE</w:t>
      </w:r>
      <w:r w:rsidR="000309CC" w:rsidRPr="000309CC">
        <w:rPr>
          <w:rFonts w:ascii="Times New Roman" w:hAnsi="Times New Roman"/>
        </w:rPr>
        <w:t xml:space="preserve"> w pow</w:t>
      </w:r>
      <w:r w:rsidRPr="000309CC">
        <w:rPr>
          <w:rFonts w:ascii="Times New Roman" w:hAnsi="Times New Roman"/>
        </w:rPr>
        <w:t>iązanych regionach priorytetowych (południowe</w:t>
      </w:r>
      <w:r w:rsidR="000309CC" w:rsidRPr="000309CC">
        <w:rPr>
          <w:rFonts w:ascii="Times New Roman" w:hAnsi="Times New Roman"/>
        </w:rPr>
        <w:t xml:space="preserve"> i wsc</w:t>
      </w:r>
      <w:r w:rsidRPr="000309CC">
        <w:rPr>
          <w:rFonts w:ascii="Times New Roman" w:hAnsi="Times New Roman"/>
        </w:rPr>
        <w:t>hodnie sąsiedztwo, Bałkany Zachodnie) poprzez opracowywanie</w:t>
      </w:r>
      <w:r w:rsidR="000309CC" w:rsidRPr="000309CC">
        <w:rPr>
          <w:rFonts w:ascii="Times New Roman" w:hAnsi="Times New Roman"/>
        </w:rPr>
        <w:t xml:space="preserve"> i wdr</w:t>
      </w:r>
      <w:r w:rsidRPr="000309CC">
        <w:rPr>
          <w:rFonts w:ascii="Times New Roman" w:hAnsi="Times New Roman"/>
        </w:rPr>
        <w:t>ażanie konkretnych działań</w:t>
      </w:r>
      <w:r w:rsidR="000309CC" w:rsidRPr="000309CC">
        <w:rPr>
          <w:rFonts w:ascii="Times New Roman" w:hAnsi="Times New Roman"/>
        </w:rPr>
        <w:t xml:space="preserve"> z zak</w:t>
      </w:r>
      <w:r w:rsidRPr="000309CC">
        <w:rPr>
          <w:rFonts w:ascii="Times New Roman" w:hAnsi="Times New Roman"/>
        </w:rPr>
        <w:t>resu komunikacji strategicznej ukierunkowanych na propagowanie polityki, wartości, celów</w:t>
      </w:r>
      <w:r w:rsidR="000309CC" w:rsidRPr="000309CC">
        <w:rPr>
          <w:rFonts w:ascii="Times New Roman" w:hAnsi="Times New Roman"/>
        </w:rPr>
        <w:t xml:space="preserve"> i int</w:t>
      </w:r>
      <w:r w:rsidRPr="000309CC">
        <w:rPr>
          <w:rFonts w:ascii="Times New Roman" w:hAnsi="Times New Roman"/>
        </w:rPr>
        <w:t xml:space="preserve">eresów UE. </w:t>
      </w:r>
    </w:p>
  </w:footnote>
  <w:footnote w:id="53">
    <w:p w14:paraId="50ADF891" w14:textId="77777777"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hyperlink r:id="rId22" w:history="1">
        <w:r w:rsidRPr="000309CC">
          <w:rPr>
            <w:rStyle w:val="Hyperlink"/>
            <w:rFonts w:ascii="Times New Roman" w:hAnsi="Times New Roman"/>
          </w:rPr>
          <w:t>https://edmo.eu/2022/03/30/how-covid-19-conspiracy-theorists-pivoted-to-pro-russian-hoaxes/</w:t>
        </w:r>
      </w:hyperlink>
      <w:r w:rsidRPr="000309CC">
        <w:rPr>
          <w:rFonts w:ascii="Times New Roman" w:hAnsi="Times New Roman"/>
        </w:rPr>
        <w:t xml:space="preserve"> </w:t>
      </w:r>
    </w:p>
  </w:footnote>
  <w:footnote w:id="54">
    <w:p w14:paraId="3D25A566" w14:textId="77777777" w:rsidR="008F378B" w:rsidRPr="000309CC" w:rsidRDefault="008F378B" w:rsidP="00474DA2">
      <w:pPr>
        <w:pStyle w:val="FootnoteText"/>
        <w:ind w:left="284" w:hanging="284"/>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https://ec.europa.eu/info/strategy/priorities-2019-2024/europe-fit-digital-age/contributing-european-defence_en</w:t>
      </w:r>
    </w:p>
  </w:footnote>
  <w:footnote w:id="55">
    <w:p w14:paraId="684701E9" w14:textId="32341509" w:rsidR="008F378B" w:rsidRPr="000309CC" w:rsidRDefault="008F378B" w:rsidP="000558AC">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JOIN(2022) 24.</w:t>
      </w:r>
    </w:p>
  </w:footnote>
  <w:footnote w:id="56">
    <w:p w14:paraId="072128E8" w14:textId="39028C14" w:rsidR="008F378B" w:rsidRPr="000309CC" w:rsidRDefault="008F378B" w:rsidP="000558AC">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COM(2021) 70.</w:t>
      </w:r>
    </w:p>
  </w:footnote>
  <w:footnote w:id="57">
    <w:p w14:paraId="1E2AF6EB" w14:textId="56011A63" w:rsidR="008F378B" w:rsidRPr="000309CC" w:rsidRDefault="008F378B" w:rsidP="00474DA2">
      <w:pPr>
        <w:pStyle w:val="FootnoteText"/>
        <w:ind w:left="284" w:hanging="284"/>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Strategiczny kompas na rzecz bezpieczeństwa</w:t>
      </w:r>
      <w:r w:rsidR="000309CC" w:rsidRPr="000309CC">
        <w:rPr>
          <w:rFonts w:ascii="Times New Roman" w:hAnsi="Times New Roman"/>
        </w:rPr>
        <w:t xml:space="preserve"> i obr</w:t>
      </w:r>
      <w:r w:rsidRPr="000309CC">
        <w:rPr>
          <w:rFonts w:ascii="Times New Roman" w:hAnsi="Times New Roman"/>
        </w:rPr>
        <w:t>ony – dla Unii Europejskiej, która chroni swoich obywateli, swoje wartości</w:t>
      </w:r>
      <w:r w:rsidR="000309CC" w:rsidRPr="000309CC">
        <w:rPr>
          <w:rFonts w:ascii="Times New Roman" w:hAnsi="Times New Roman"/>
        </w:rPr>
        <w:t xml:space="preserve"> i int</w:t>
      </w:r>
      <w:r w:rsidRPr="000309CC">
        <w:rPr>
          <w:rFonts w:ascii="Times New Roman" w:hAnsi="Times New Roman"/>
        </w:rPr>
        <w:t>eresy oraz przyczynia się do międzynarodowego pokoju</w:t>
      </w:r>
      <w:r w:rsidR="000309CC" w:rsidRPr="000309CC">
        <w:rPr>
          <w:rFonts w:ascii="Times New Roman" w:hAnsi="Times New Roman"/>
        </w:rPr>
        <w:t xml:space="preserve"> i bez</w:t>
      </w:r>
      <w:r w:rsidRPr="000309CC">
        <w:rPr>
          <w:rFonts w:ascii="Times New Roman" w:hAnsi="Times New Roman"/>
        </w:rPr>
        <w:t>pieczeństwa: https://data.consilium.europa.eu/doc/document/ST-7371-2022-INIT/pl/pdf</w:t>
      </w:r>
    </w:p>
  </w:footnote>
  <w:footnote w:id="58">
    <w:p w14:paraId="714F5668" w14:textId="77777777" w:rsidR="000558AC" w:rsidRPr="000309CC" w:rsidRDefault="000558AC" w:rsidP="000558AC">
      <w:pPr>
        <w:pStyle w:val="FootnoteText"/>
        <w:tabs>
          <w:tab w:val="left" w:pos="284"/>
        </w:tabs>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t>SWD(2022) 21 final.</w:t>
      </w:r>
    </w:p>
  </w:footnote>
  <w:footnote w:id="59">
    <w:p w14:paraId="0BB2C719" w14:textId="30D6A293" w:rsidR="008F378B" w:rsidRPr="000309CC" w:rsidRDefault="008F378B" w:rsidP="00474DA2">
      <w:pPr>
        <w:pStyle w:val="FootnoteText"/>
        <w:ind w:left="284" w:hanging="284"/>
        <w:jc w:val="both"/>
        <w:rPr>
          <w:rFonts w:ascii="Times New Roman" w:hAnsi="Times New Roman" w:cs="Times New Roman"/>
        </w:rPr>
      </w:pPr>
      <w:r w:rsidRPr="000309CC">
        <w:rPr>
          <w:rStyle w:val="FootnoteReference"/>
          <w:rFonts w:ascii="Times New Roman" w:hAnsi="Times New Roman" w:cs="Times New Roman"/>
        </w:rPr>
        <w:footnoteRef/>
      </w:r>
      <w:r w:rsidRPr="000309CC">
        <w:rPr>
          <w:rFonts w:ascii="Times New Roman" w:hAnsi="Times New Roman"/>
        </w:rPr>
        <w:tab/>
      </w:r>
      <w:r w:rsidRPr="000309CC">
        <w:rPr>
          <w:rFonts w:ascii="Times New Roman" w:hAnsi="Times New Roman"/>
          <w:i/>
          <w:iCs/>
        </w:rPr>
        <w:t>Report on the drug and alcoholic situation in Ukraine for</w:t>
      </w:r>
      <w:r w:rsidR="000309CC" w:rsidRPr="000309CC">
        <w:rPr>
          <w:rFonts w:ascii="Times New Roman" w:hAnsi="Times New Roman"/>
          <w:i/>
          <w:iCs/>
        </w:rPr>
        <w:t> </w:t>
      </w:r>
      <w:r w:rsidRPr="000309CC">
        <w:rPr>
          <w:rFonts w:ascii="Times New Roman" w:hAnsi="Times New Roman"/>
          <w:i/>
          <w:iCs/>
        </w:rPr>
        <w:t>2020 (according to</w:t>
      </w:r>
      <w:r w:rsidR="000309CC" w:rsidRPr="000309CC">
        <w:rPr>
          <w:rFonts w:ascii="Times New Roman" w:hAnsi="Times New Roman"/>
          <w:i/>
          <w:iCs/>
        </w:rPr>
        <w:t> </w:t>
      </w:r>
      <w:r w:rsidRPr="000309CC">
        <w:rPr>
          <w:rFonts w:ascii="Times New Roman" w:hAnsi="Times New Roman"/>
          <w:i/>
          <w:iCs/>
        </w:rPr>
        <w:t>2019 data)</w:t>
      </w:r>
      <w:r w:rsidRPr="000309CC">
        <w:rPr>
          <w:rFonts w:ascii="Times New Roman" w:hAnsi="Times New Roman"/>
        </w:rPr>
        <w:t xml:space="preserve"> [Sprawozdanie na temat sytuacji związanej</w:t>
      </w:r>
      <w:r w:rsidR="000309CC" w:rsidRPr="000309CC">
        <w:rPr>
          <w:rFonts w:ascii="Times New Roman" w:hAnsi="Times New Roman"/>
        </w:rPr>
        <w:t xml:space="preserve"> z nar</w:t>
      </w:r>
      <w:r w:rsidRPr="000309CC">
        <w:rPr>
          <w:rFonts w:ascii="Times New Roman" w:hAnsi="Times New Roman"/>
        </w:rPr>
        <w:t>kotykami</w:t>
      </w:r>
      <w:r w:rsidR="000309CC" w:rsidRPr="000309CC">
        <w:rPr>
          <w:rFonts w:ascii="Times New Roman" w:hAnsi="Times New Roman"/>
        </w:rPr>
        <w:t xml:space="preserve"> i alk</w:t>
      </w:r>
      <w:r w:rsidRPr="000309CC">
        <w:rPr>
          <w:rFonts w:ascii="Times New Roman" w:hAnsi="Times New Roman"/>
        </w:rPr>
        <w:t>oholem</w:t>
      </w:r>
      <w:r w:rsidR="000309CC" w:rsidRPr="000309CC">
        <w:rPr>
          <w:rFonts w:ascii="Times New Roman" w:hAnsi="Times New Roman"/>
        </w:rPr>
        <w:t xml:space="preserve"> w Ukr</w:t>
      </w:r>
      <w:r w:rsidRPr="000309CC">
        <w:rPr>
          <w:rFonts w:ascii="Times New Roman" w:hAnsi="Times New Roman"/>
        </w:rPr>
        <w:t>ainie za</w:t>
      </w:r>
      <w:r w:rsidR="000309CC" w:rsidRPr="000309CC">
        <w:rPr>
          <w:rFonts w:ascii="Times New Roman" w:hAnsi="Times New Roman"/>
        </w:rPr>
        <w:t> </w:t>
      </w:r>
      <w:r w:rsidRPr="000309CC">
        <w:rPr>
          <w:rFonts w:ascii="Times New Roman" w:hAnsi="Times New Roman"/>
        </w:rPr>
        <w:t>2020</w:t>
      </w:r>
      <w:r w:rsidR="000309CC" w:rsidRPr="000309CC">
        <w:rPr>
          <w:rFonts w:ascii="Times New Roman" w:hAnsi="Times New Roman"/>
        </w:rPr>
        <w:t> </w:t>
      </w:r>
      <w:r w:rsidRPr="000309CC">
        <w:rPr>
          <w:rFonts w:ascii="Times New Roman" w:hAnsi="Times New Roman"/>
        </w:rPr>
        <w:t>r. (według danych</w:t>
      </w:r>
      <w:r w:rsidR="000309CC" w:rsidRPr="000309CC">
        <w:rPr>
          <w:rFonts w:ascii="Times New Roman" w:hAnsi="Times New Roman"/>
        </w:rPr>
        <w:t xml:space="preserve"> z 2</w:t>
      </w:r>
      <w:r w:rsidRPr="000309CC">
        <w:rPr>
          <w:rFonts w:ascii="Times New Roman" w:hAnsi="Times New Roman"/>
        </w:rPr>
        <w:t>019</w:t>
      </w:r>
      <w:r w:rsidR="000309CC" w:rsidRPr="000309CC">
        <w:rPr>
          <w:rFonts w:ascii="Times New Roman" w:hAnsi="Times New Roman"/>
        </w:rPr>
        <w:t> </w:t>
      </w:r>
      <w:r w:rsidRPr="000309CC">
        <w:rPr>
          <w:rFonts w:ascii="Times New Roman" w:hAnsi="Times New Roman"/>
        </w:rPr>
        <w:t xml:space="preserve">r.)], OEDT, </w:t>
      </w:r>
      <w:r w:rsidRPr="000309CC">
        <w:rPr>
          <w:rFonts w:ascii="Times New Roman" w:hAnsi="Times New Roman"/>
          <w:i/>
          <w:iCs/>
        </w:rPr>
        <w:t>Stopping the trafficking of</w:t>
      </w:r>
      <w:r w:rsidR="000309CC" w:rsidRPr="000309CC">
        <w:rPr>
          <w:rFonts w:ascii="Times New Roman" w:hAnsi="Times New Roman"/>
          <w:i/>
          <w:iCs/>
        </w:rPr>
        <w:t xml:space="preserve"> a her</w:t>
      </w:r>
      <w:r w:rsidRPr="000309CC">
        <w:rPr>
          <w:rFonts w:ascii="Times New Roman" w:hAnsi="Times New Roman"/>
          <w:i/>
          <w:iCs/>
        </w:rPr>
        <w:t>oin substitute in France, Poland and Ukraine, including the planning and execution of</w:t>
      </w:r>
      <w:r w:rsidR="000309CC" w:rsidRPr="000309CC">
        <w:rPr>
          <w:rFonts w:ascii="Times New Roman" w:hAnsi="Times New Roman"/>
          <w:i/>
          <w:iCs/>
        </w:rPr>
        <w:t xml:space="preserve"> a con</w:t>
      </w:r>
      <w:r w:rsidRPr="000309CC">
        <w:rPr>
          <w:rFonts w:ascii="Times New Roman" w:hAnsi="Times New Roman"/>
          <w:i/>
          <w:iCs/>
        </w:rPr>
        <w:t>trolled delivery</w:t>
      </w:r>
      <w:r w:rsidRPr="000309CC">
        <w:rPr>
          <w:rFonts w:ascii="Times New Roman" w:hAnsi="Times New Roman"/>
        </w:rPr>
        <w:t xml:space="preserve"> [Powstrzymanie przemytu substytutu heroiny we Francji,</w:t>
      </w:r>
      <w:r w:rsidR="000309CC" w:rsidRPr="000309CC">
        <w:rPr>
          <w:rFonts w:ascii="Times New Roman" w:hAnsi="Times New Roman"/>
        </w:rPr>
        <w:t xml:space="preserve"> w Pol</w:t>
      </w:r>
      <w:r w:rsidRPr="000309CC">
        <w:rPr>
          <w:rFonts w:ascii="Times New Roman" w:hAnsi="Times New Roman"/>
        </w:rPr>
        <w:t>sce</w:t>
      </w:r>
      <w:r w:rsidR="000309CC" w:rsidRPr="000309CC">
        <w:rPr>
          <w:rFonts w:ascii="Times New Roman" w:hAnsi="Times New Roman"/>
        </w:rPr>
        <w:t xml:space="preserve"> i Ukr</w:t>
      </w:r>
      <w:r w:rsidRPr="000309CC">
        <w:rPr>
          <w:rFonts w:ascii="Times New Roman" w:hAnsi="Times New Roman"/>
        </w:rPr>
        <w:t>ainie,</w:t>
      </w:r>
      <w:r w:rsidR="000309CC" w:rsidRPr="000309CC">
        <w:rPr>
          <w:rFonts w:ascii="Times New Roman" w:hAnsi="Times New Roman"/>
        </w:rPr>
        <w:t xml:space="preserve"> w tym</w:t>
      </w:r>
      <w:r w:rsidRPr="000309CC">
        <w:rPr>
          <w:rFonts w:ascii="Times New Roman" w:hAnsi="Times New Roman"/>
        </w:rPr>
        <w:t xml:space="preserve"> planowanie</w:t>
      </w:r>
      <w:r w:rsidR="000309CC" w:rsidRPr="000309CC">
        <w:rPr>
          <w:rFonts w:ascii="Times New Roman" w:hAnsi="Times New Roman"/>
        </w:rPr>
        <w:t xml:space="preserve"> i prz</w:t>
      </w:r>
      <w:r w:rsidRPr="000309CC">
        <w:rPr>
          <w:rFonts w:ascii="Times New Roman" w:hAnsi="Times New Roman"/>
        </w:rPr>
        <w:t>eprowadzenie kontrolowanej dostawy], 2021/00446, Eurojust, maj</w:t>
      </w:r>
      <w:r w:rsidR="000309CC" w:rsidRPr="000309CC">
        <w:rPr>
          <w:rFonts w:ascii="Times New Roman" w:hAnsi="Times New Roman"/>
        </w:rPr>
        <w:t> </w:t>
      </w:r>
      <w:r w:rsidRPr="000309CC">
        <w:rPr>
          <w:rFonts w:ascii="Times New Roman" w:hAnsi="Times New Roman"/>
        </w:rPr>
        <w:t>2020</w:t>
      </w:r>
      <w:r w:rsidR="000309CC" w:rsidRPr="000309CC">
        <w:rPr>
          <w:rFonts w:ascii="Times New Roman" w:hAnsi="Times New Roman"/>
        </w:rPr>
        <w:t> </w:t>
      </w:r>
      <w:r w:rsidRPr="000309CC">
        <w:rPr>
          <w:rFonts w:ascii="Times New Roman" w:hAnsi="Times New Roman"/>
        </w:rPr>
        <w: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3FDD" w14:textId="77777777" w:rsidR="0002599D" w:rsidRPr="0002599D" w:rsidRDefault="0002599D" w:rsidP="00025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00CA" w14:textId="77777777" w:rsidR="0002599D" w:rsidRPr="0002599D" w:rsidRDefault="0002599D" w:rsidP="0002599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944E" w14:textId="77777777" w:rsidR="0002599D" w:rsidRPr="0002599D" w:rsidRDefault="0002599D" w:rsidP="0002599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FC25" w14:textId="77777777" w:rsidR="00E54215" w:rsidRDefault="00E54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8F378B" w14:paraId="75E84E8C" w14:textId="77777777" w:rsidTr="00B005B1">
      <w:tc>
        <w:tcPr>
          <w:tcW w:w="3005" w:type="dxa"/>
        </w:tcPr>
        <w:p w14:paraId="31B7DE7A" w14:textId="77777777" w:rsidR="008F378B" w:rsidRDefault="008F378B" w:rsidP="00B005B1">
          <w:pPr>
            <w:pStyle w:val="Header"/>
            <w:ind w:left="-115"/>
          </w:pPr>
        </w:p>
      </w:tc>
      <w:tc>
        <w:tcPr>
          <w:tcW w:w="3005" w:type="dxa"/>
        </w:tcPr>
        <w:p w14:paraId="75DEAE7E" w14:textId="77777777" w:rsidR="008F378B" w:rsidRDefault="008F378B" w:rsidP="00B005B1">
          <w:pPr>
            <w:pStyle w:val="Header"/>
            <w:jc w:val="center"/>
          </w:pPr>
        </w:p>
      </w:tc>
      <w:tc>
        <w:tcPr>
          <w:tcW w:w="3005" w:type="dxa"/>
        </w:tcPr>
        <w:p w14:paraId="7AD91ADB" w14:textId="77777777" w:rsidR="008F378B" w:rsidRDefault="008F378B" w:rsidP="00B005B1">
          <w:pPr>
            <w:pStyle w:val="Header"/>
            <w:ind w:right="-115"/>
            <w:jc w:val="right"/>
          </w:pPr>
        </w:p>
      </w:tc>
    </w:tr>
  </w:tbl>
  <w:p w14:paraId="6C1A4EF6" w14:textId="77777777" w:rsidR="008F378B" w:rsidRDefault="008F378B" w:rsidP="00B005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98A1B" w14:textId="77777777" w:rsidR="00E54215" w:rsidRDefault="00E54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2079"/>
    <w:multiLevelType w:val="hybridMultilevel"/>
    <w:tmpl w:val="722EB5AA"/>
    <w:lvl w:ilvl="0" w:tplc="A030CE28">
      <w:start w:val="3"/>
      <w:numFmt w:val="upp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4D643583"/>
    <w:multiLevelType w:val="hybridMultilevel"/>
    <w:tmpl w:val="5F56E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C8793F"/>
    <w:multiLevelType w:val="hybridMultilevel"/>
    <w:tmpl w:val="09E4E502"/>
    <w:lvl w:ilvl="0" w:tplc="78A83170">
      <w:start w:val="1"/>
      <w:numFmt w:val="upperRoman"/>
      <w:lvlText w:val="%1."/>
      <w:lvlJc w:val="left"/>
      <w:pPr>
        <w:ind w:left="360" w:hanging="72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55BB4168"/>
    <w:multiLevelType w:val="hybridMultilevel"/>
    <w:tmpl w:val="A83A41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AB5764"/>
    <w:multiLevelType w:val="hybridMultilevel"/>
    <w:tmpl w:val="09E4E502"/>
    <w:lvl w:ilvl="0" w:tplc="78A83170">
      <w:start w:val="1"/>
      <w:numFmt w:val="upperRoman"/>
      <w:lvlText w:val="%1."/>
      <w:lvlJc w:val="left"/>
      <w:pPr>
        <w:ind w:left="360" w:hanging="72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5D5724B4"/>
    <w:multiLevelType w:val="hybridMultilevel"/>
    <w:tmpl w:val="314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E0A0D"/>
    <w:multiLevelType w:val="hybridMultilevel"/>
    <w:tmpl w:val="7FA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85836AB-A776-42FE-8455-C1BDAADAF57A"/>
    <w:docVar w:name="LW_COVERPAGE_TYPE" w:val="1"/>
    <w:docVar w:name="LW_CROSSREFERENCE" w:val="&lt;UNUSED&gt;"/>
    <w:docVar w:name="LW_DocType" w:val="NORMAL"/>
    <w:docVar w:name="LW_EMISSION" w:val="25.5.2022"/>
    <w:docVar w:name="LW_EMISSION_ISODATE" w:val="2022-05-25"/>
    <w:docVar w:name="LW_EMISSION_LOCATION" w:val="BRX"/>
    <w:docVar w:name="LW_EMISSION_PREFIX" w:val="Bruksela, dnia "/>
    <w:docVar w:name="LW_EMISSION_SUFFIX" w:val=" r."/>
    <w:docVar w:name="LW_ID_DOCTYPE_NONLW" w:val="CP-012"/>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2)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w sprawie czwartego sprawozdania z postępu prac w realizacji strategii UE w zakresie unii bezpieczeństwa"/>
    <w:docVar w:name="LW_TYPE.DOC.CP" w:val="KOMUNIKAT KOMISJI DO PARLAMENTU EUROPEJSKIEGO I RADY"/>
    <w:docVar w:name="LW_TYPE.DOC.CP.USERTEXT" w:val="&lt;EMPTY&gt;"/>
    <w:docVar w:name="LwApiVersions" w:val="LW4CoDe 1.23.2.0; LW 8.0, Build 20211117"/>
  </w:docVars>
  <w:rsids>
    <w:rsidRoot w:val="009E791F"/>
    <w:rsid w:val="000064A9"/>
    <w:rsid w:val="00007413"/>
    <w:rsid w:val="000104E5"/>
    <w:rsid w:val="0001684C"/>
    <w:rsid w:val="00020272"/>
    <w:rsid w:val="00022B4C"/>
    <w:rsid w:val="00023B3D"/>
    <w:rsid w:val="00024148"/>
    <w:rsid w:val="0002599D"/>
    <w:rsid w:val="000309CC"/>
    <w:rsid w:val="000351FF"/>
    <w:rsid w:val="00035649"/>
    <w:rsid w:val="00040221"/>
    <w:rsid w:val="00040BD5"/>
    <w:rsid w:val="000421A4"/>
    <w:rsid w:val="000552C5"/>
    <w:rsid w:val="000558AC"/>
    <w:rsid w:val="00055A7A"/>
    <w:rsid w:val="000574C2"/>
    <w:rsid w:val="00070AAB"/>
    <w:rsid w:val="000727B3"/>
    <w:rsid w:val="00072AC7"/>
    <w:rsid w:val="00072B12"/>
    <w:rsid w:val="00072CED"/>
    <w:rsid w:val="0007492B"/>
    <w:rsid w:val="000754B3"/>
    <w:rsid w:val="000773AB"/>
    <w:rsid w:val="00077B92"/>
    <w:rsid w:val="00080043"/>
    <w:rsid w:val="00084584"/>
    <w:rsid w:val="000868C1"/>
    <w:rsid w:val="000910B3"/>
    <w:rsid w:val="000926FC"/>
    <w:rsid w:val="00092FA8"/>
    <w:rsid w:val="00093C53"/>
    <w:rsid w:val="000979B6"/>
    <w:rsid w:val="000A14E5"/>
    <w:rsid w:val="000A3EE3"/>
    <w:rsid w:val="000A4DDB"/>
    <w:rsid w:val="000A6C15"/>
    <w:rsid w:val="000C4A02"/>
    <w:rsid w:val="000E74DC"/>
    <w:rsid w:val="000F6193"/>
    <w:rsid w:val="00104355"/>
    <w:rsid w:val="001103D6"/>
    <w:rsid w:val="00121626"/>
    <w:rsid w:val="00125913"/>
    <w:rsid w:val="00127D1C"/>
    <w:rsid w:val="001336E7"/>
    <w:rsid w:val="001357A6"/>
    <w:rsid w:val="00137035"/>
    <w:rsid w:val="00140C96"/>
    <w:rsid w:val="001455DA"/>
    <w:rsid w:val="001565CF"/>
    <w:rsid w:val="00162C3A"/>
    <w:rsid w:val="0016305E"/>
    <w:rsid w:val="001638AD"/>
    <w:rsid w:val="00163FD4"/>
    <w:rsid w:val="00173122"/>
    <w:rsid w:val="00180E38"/>
    <w:rsid w:val="001812C2"/>
    <w:rsid w:val="00183E4B"/>
    <w:rsid w:val="0018453B"/>
    <w:rsid w:val="00187EED"/>
    <w:rsid w:val="00195034"/>
    <w:rsid w:val="001A5229"/>
    <w:rsid w:val="001A7D8B"/>
    <w:rsid w:val="001B00BA"/>
    <w:rsid w:val="001B04A8"/>
    <w:rsid w:val="001B2604"/>
    <w:rsid w:val="001B4402"/>
    <w:rsid w:val="001B6B18"/>
    <w:rsid w:val="001B78CE"/>
    <w:rsid w:val="001C1040"/>
    <w:rsid w:val="001C1938"/>
    <w:rsid w:val="001C220C"/>
    <w:rsid w:val="001C48E4"/>
    <w:rsid w:val="001D0195"/>
    <w:rsid w:val="001D7D38"/>
    <w:rsid w:val="001E1AC4"/>
    <w:rsid w:val="001E6EAF"/>
    <w:rsid w:val="001E7990"/>
    <w:rsid w:val="00202F1A"/>
    <w:rsid w:val="002040B1"/>
    <w:rsid w:val="00206B29"/>
    <w:rsid w:val="0021159B"/>
    <w:rsid w:val="00217D19"/>
    <w:rsid w:val="00222442"/>
    <w:rsid w:val="00227D28"/>
    <w:rsid w:val="00234DB9"/>
    <w:rsid w:val="00246B40"/>
    <w:rsid w:val="00246D04"/>
    <w:rsid w:val="00247362"/>
    <w:rsid w:val="0025470F"/>
    <w:rsid w:val="00255ABC"/>
    <w:rsid w:val="00261FAF"/>
    <w:rsid w:val="0026223D"/>
    <w:rsid w:val="002730F3"/>
    <w:rsid w:val="002840AB"/>
    <w:rsid w:val="00285029"/>
    <w:rsid w:val="002938EC"/>
    <w:rsid w:val="00294642"/>
    <w:rsid w:val="00296DD1"/>
    <w:rsid w:val="002A062D"/>
    <w:rsid w:val="002A0D22"/>
    <w:rsid w:val="002A3530"/>
    <w:rsid w:val="002A440C"/>
    <w:rsid w:val="002A44C6"/>
    <w:rsid w:val="002A6C1F"/>
    <w:rsid w:val="002A7BB8"/>
    <w:rsid w:val="002B2734"/>
    <w:rsid w:val="002B2DCD"/>
    <w:rsid w:val="002C7153"/>
    <w:rsid w:val="002D2FFA"/>
    <w:rsid w:val="002D465C"/>
    <w:rsid w:val="002E022A"/>
    <w:rsid w:val="002E0288"/>
    <w:rsid w:val="002E18C3"/>
    <w:rsid w:val="002E2E3F"/>
    <w:rsid w:val="002E43C3"/>
    <w:rsid w:val="002F5641"/>
    <w:rsid w:val="00300E6B"/>
    <w:rsid w:val="00307842"/>
    <w:rsid w:val="00312C5F"/>
    <w:rsid w:val="003135B5"/>
    <w:rsid w:val="00313B47"/>
    <w:rsid w:val="00316F1D"/>
    <w:rsid w:val="003206A1"/>
    <w:rsid w:val="00320FD8"/>
    <w:rsid w:val="0032511E"/>
    <w:rsid w:val="0032550F"/>
    <w:rsid w:val="00325562"/>
    <w:rsid w:val="00325F2B"/>
    <w:rsid w:val="003375AB"/>
    <w:rsid w:val="0034124C"/>
    <w:rsid w:val="00342B2B"/>
    <w:rsid w:val="0034567E"/>
    <w:rsid w:val="003475EB"/>
    <w:rsid w:val="00360C97"/>
    <w:rsid w:val="00362F8C"/>
    <w:rsid w:val="0037007D"/>
    <w:rsid w:val="00373981"/>
    <w:rsid w:val="00376CC0"/>
    <w:rsid w:val="003801BC"/>
    <w:rsid w:val="003804B6"/>
    <w:rsid w:val="00380D2B"/>
    <w:rsid w:val="00380F57"/>
    <w:rsid w:val="00383A2E"/>
    <w:rsid w:val="003840C9"/>
    <w:rsid w:val="00384AF1"/>
    <w:rsid w:val="00385D5A"/>
    <w:rsid w:val="003870FA"/>
    <w:rsid w:val="00390FB6"/>
    <w:rsid w:val="00391DAD"/>
    <w:rsid w:val="00395034"/>
    <w:rsid w:val="003A0C4F"/>
    <w:rsid w:val="003A4445"/>
    <w:rsid w:val="003B0D60"/>
    <w:rsid w:val="003B3CEE"/>
    <w:rsid w:val="003B5838"/>
    <w:rsid w:val="003C2482"/>
    <w:rsid w:val="003C40F7"/>
    <w:rsid w:val="003C6CFE"/>
    <w:rsid w:val="003D29E9"/>
    <w:rsid w:val="003D5389"/>
    <w:rsid w:val="003E031D"/>
    <w:rsid w:val="003E5193"/>
    <w:rsid w:val="003F2A08"/>
    <w:rsid w:val="003F6846"/>
    <w:rsid w:val="0040519E"/>
    <w:rsid w:val="00405A9D"/>
    <w:rsid w:val="00407C63"/>
    <w:rsid w:val="004136A7"/>
    <w:rsid w:val="00415516"/>
    <w:rsid w:val="004168D0"/>
    <w:rsid w:val="0041763A"/>
    <w:rsid w:val="00420A83"/>
    <w:rsid w:val="00420D1B"/>
    <w:rsid w:val="00421651"/>
    <w:rsid w:val="00423146"/>
    <w:rsid w:val="00424C74"/>
    <w:rsid w:val="00432EE4"/>
    <w:rsid w:val="0043676D"/>
    <w:rsid w:val="00436969"/>
    <w:rsid w:val="0044264B"/>
    <w:rsid w:val="00443BE2"/>
    <w:rsid w:val="004461A1"/>
    <w:rsid w:val="00451F54"/>
    <w:rsid w:val="004520C8"/>
    <w:rsid w:val="0045662D"/>
    <w:rsid w:val="00465B91"/>
    <w:rsid w:val="00471CA6"/>
    <w:rsid w:val="00472125"/>
    <w:rsid w:val="00474679"/>
    <w:rsid w:val="00474DA2"/>
    <w:rsid w:val="004762E3"/>
    <w:rsid w:val="0047657E"/>
    <w:rsid w:val="00477C69"/>
    <w:rsid w:val="00480635"/>
    <w:rsid w:val="00485B9F"/>
    <w:rsid w:val="00486B2C"/>
    <w:rsid w:val="004A1C0A"/>
    <w:rsid w:val="004A27DC"/>
    <w:rsid w:val="004B0235"/>
    <w:rsid w:val="004B0F32"/>
    <w:rsid w:val="004B1885"/>
    <w:rsid w:val="004B40F6"/>
    <w:rsid w:val="004B710F"/>
    <w:rsid w:val="004C1773"/>
    <w:rsid w:val="004C219B"/>
    <w:rsid w:val="004C21A8"/>
    <w:rsid w:val="004C2886"/>
    <w:rsid w:val="004C381B"/>
    <w:rsid w:val="004D2985"/>
    <w:rsid w:val="004E36FF"/>
    <w:rsid w:val="004E3AC7"/>
    <w:rsid w:val="004E5E9F"/>
    <w:rsid w:val="004F3400"/>
    <w:rsid w:val="004F5CD9"/>
    <w:rsid w:val="004F62A1"/>
    <w:rsid w:val="005018B6"/>
    <w:rsid w:val="005064C8"/>
    <w:rsid w:val="00514E1C"/>
    <w:rsid w:val="00516E8E"/>
    <w:rsid w:val="0052779A"/>
    <w:rsid w:val="00533DCC"/>
    <w:rsid w:val="00534528"/>
    <w:rsid w:val="00535952"/>
    <w:rsid w:val="00537FD3"/>
    <w:rsid w:val="005439F2"/>
    <w:rsid w:val="005510A7"/>
    <w:rsid w:val="00551EA2"/>
    <w:rsid w:val="005534AD"/>
    <w:rsid w:val="00555ACC"/>
    <w:rsid w:val="005608D8"/>
    <w:rsid w:val="00590E2E"/>
    <w:rsid w:val="00591C0F"/>
    <w:rsid w:val="00592D68"/>
    <w:rsid w:val="0059606F"/>
    <w:rsid w:val="005A09C2"/>
    <w:rsid w:val="005A6E87"/>
    <w:rsid w:val="005A7B11"/>
    <w:rsid w:val="005B1191"/>
    <w:rsid w:val="005B47F8"/>
    <w:rsid w:val="005D3EE1"/>
    <w:rsid w:val="005D789B"/>
    <w:rsid w:val="005E1386"/>
    <w:rsid w:val="005E50B9"/>
    <w:rsid w:val="005E52E1"/>
    <w:rsid w:val="005F0F78"/>
    <w:rsid w:val="005F1B1B"/>
    <w:rsid w:val="005F41F7"/>
    <w:rsid w:val="005F5C84"/>
    <w:rsid w:val="00600CB7"/>
    <w:rsid w:val="006024B6"/>
    <w:rsid w:val="00611053"/>
    <w:rsid w:val="00613719"/>
    <w:rsid w:val="00615262"/>
    <w:rsid w:val="00616A08"/>
    <w:rsid w:val="00621DE1"/>
    <w:rsid w:val="00621FFD"/>
    <w:rsid w:val="006240B4"/>
    <w:rsid w:val="006348C7"/>
    <w:rsid w:val="0063709D"/>
    <w:rsid w:val="0064198B"/>
    <w:rsid w:val="00645128"/>
    <w:rsid w:val="00653A4D"/>
    <w:rsid w:val="00660C70"/>
    <w:rsid w:val="00662DEA"/>
    <w:rsid w:val="00664106"/>
    <w:rsid w:val="00675B24"/>
    <w:rsid w:val="006769BF"/>
    <w:rsid w:val="00680483"/>
    <w:rsid w:val="00684E3B"/>
    <w:rsid w:val="00686013"/>
    <w:rsid w:val="00686D4B"/>
    <w:rsid w:val="00695D1E"/>
    <w:rsid w:val="006A0DCB"/>
    <w:rsid w:val="006A1085"/>
    <w:rsid w:val="006A3083"/>
    <w:rsid w:val="006B209D"/>
    <w:rsid w:val="006B6B19"/>
    <w:rsid w:val="006C543B"/>
    <w:rsid w:val="006C6F17"/>
    <w:rsid w:val="006C754D"/>
    <w:rsid w:val="006D0A0A"/>
    <w:rsid w:val="006D0A6B"/>
    <w:rsid w:val="006D4FAD"/>
    <w:rsid w:val="006D567E"/>
    <w:rsid w:val="006D593C"/>
    <w:rsid w:val="006E2D4A"/>
    <w:rsid w:val="006E36C7"/>
    <w:rsid w:val="006F1A7F"/>
    <w:rsid w:val="0070129F"/>
    <w:rsid w:val="007056A2"/>
    <w:rsid w:val="00705A6F"/>
    <w:rsid w:val="00713958"/>
    <w:rsid w:val="00725EF7"/>
    <w:rsid w:val="0072686D"/>
    <w:rsid w:val="00731208"/>
    <w:rsid w:val="00732A5B"/>
    <w:rsid w:val="00736359"/>
    <w:rsid w:val="00741725"/>
    <w:rsid w:val="00744AA7"/>
    <w:rsid w:val="00750F46"/>
    <w:rsid w:val="0075484A"/>
    <w:rsid w:val="007801BC"/>
    <w:rsid w:val="0078024E"/>
    <w:rsid w:val="007833A6"/>
    <w:rsid w:val="00783EA3"/>
    <w:rsid w:val="00783ED2"/>
    <w:rsid w:val="00784325"/>
    <w:rsid w:val="0078698F"/>
    <w:rsid w:val="007964ED"/>
    <w:rsid w:val="007A0F55"/>
    <w:rsid w:val="007A26E9"/>
    <w:rsid w:val="007A3983"/>
    <w:rsid w:val="007A4D4B"/>
    <w:rsid w:val="007B15CC"/>
    <w:rsid w:val="007B5383"/>
    <w:rsid w:val="007B7286"/>
    <w:rsid w:val="007B7ED6"/>
    <w:rsid w:val="007C040E"/>
    <w:rsid w:val="007C2E3C"/>
    <w:rsid w:val="007C6F31"/>
    <w:rsid w:val="007C7586"/>
    <w:rsid w:val="007D5D75"/>
    <w:rsid w:val="007E2954"/>
    <w:rsid w:val="007E2E9E"/>
    <w:rsid w:val="00807205"/>
    <w:rsid w:val="00810A11"/>
    <w:rsid w:val="00812EC8"/>
    <w:rsid w:val="008139E1"/>
    <w:rsid w:val="00814713"/>
    <w:rsid w:val="00815485"/>
    <w:rsid w:val="00817FA5"/>
    <w:rsid w:val="008203B3"/>
    <w:rsid w:val="008233ED"/>
    <w:rsid w:val="0082351E"/>
    <w:rsid w:val="00825CF3"/>
    <w:rsid w:val="00826711"/>
    <w:rsid w:val="008272DD"/>
    <w:rsid w:val="00831827"/>
    <w:rsid w:val="0083243D"/>
    <w:rsid w:val="00834061"/>
    <w:rsid w:val="008343F4"/>
    <w:rsid w:val="00834AA2"/>
    <w:rsid w:val="0083641B"/>
    <w:rsid w:val="0085236F"/>
    <w:rsid w:val="0086083B"/>
    <w:rsid w:val="00863565"/>
    <w:rsid w:val="008635AA"/>
    <w:rsid w:val="0086725F"/>
    <w:rsid w:val="008750CA"/>
    <w:rsid w:val="00875E16"/>
    <w:rsid w:val="00881625"/>
    <w:rsid w:val="008835FE"/>
    <w:rsid w:val="00892700"/>
    <w:rsid w:val="00893B52"/>
    <w:rsid w:val="00897669"/>
    <w:rsid w:val="008A0D0C"/>
    <w:rsid w:val="008A73AF"/>
    <w:rsid w:val="008B2FAC"/>
    <w:rsid w:val="008C417B"/>
    <w:rsid w:val="008C5F8A"/>
    <w:rsid w:val="008C7D86"/>
    <w:rsid w:val="008D1A47"/>
    <w:rsid w:val="008D2AA6"/>
    <w:rsid w:val="008D3014"/>
    <w:rsid w:val="008D4F77"/>
    <w:rsid w:val="008D6D41"/>
    <w:rsid w:val="008F378B"/>
    <w:rsid w:val="008F4312"/>
    <w:rsid w:val="008F4430"/>
    <w:rsid w:val="008F4FCA"/>
    <w:rsid w:val="008F779A"/>
    <w:rsid w:val="00901F6A"/>
    <w:rsid w:val="0091064D"/>
    <w:rsid w:val="0091325F"/>
    <w:rsid w:val="009142F6"/>
    <w:rsid w:val="009155B5"/>
    <w:rsid w:val="009172F4"/>
    <w:rsid w:val="00920DD0"/>
    <w:rsid w:val="00921A25"/>
    <w:rsid w:val="009268FD"/>
    <w:rsid w:val="00926EC3"/>
    <w:rsid w:val="00927A65"/>
    <w:rsid w:val="00934F76"/>
    <w:rsid w:val="009363CA"/>
    <w:rsid w:val="00941221"/>
    <w:rsid w:val="0094426C"/>
    <w:rsid w:val="00945A3B"/>
    <w:rsid w:val="009503B0"/>
    <w:rsid w:val="00961CAA"/>
    <w:rsid w:val="00962498"/>
    <w:rsid w:val="009631D7"/>
    <w:rsid w:val="009669D4"/>
    <w:rsid w:val="00970D1F"/>
    <w:rsid w:val="0097542C"/>
    <w:rsid w:val="00975566"/>
    <w:rsid w:val="009764F5"/>
    <w:rsid w:val="00981ECD"/>
    <w:rsid w:val="00982777"/>
    <w:rsid w:val="0099171C"/>
    <w:rsid w:val="00995E53"/>
    <w:rsid w:val="009A0307"/>
    <w:rsid w:val="009B0FF1"/>
    <w:rsid w:val="009C35ED"/>
    <w:rsid w:val="009C4467"/>
    <w:rsid w:val="009C71A2"/>
    <w:rsid w:val="009C7829"/>
    <w:rsid w:val="009D223B"/>
    <w:rsid w:val="009D409A"/>
    <w:rsid w:val="009D4A4E"/>
    <w:rsid w:val="009D6C13"/>
    <w:rsid w:val="009E06C3"/>
    <w:rsid w:val="009E1D25"/>
    <w:rsid w:val="009E3E60"/>
    <w:rsid w:val="009E4C51"/>
    <w:rsid w:val="009E6545"/>
    <w:rsid w:val="009E791F"/>
    <w:rsid w:val="009F1711"/>
    <w:rsid w:val="009F4FD8"/>
    <w:rsid w:val="009F7274"/>
    <w:rsid w:val="00A04B9E"/>
    <w:rsid w:val="00A04D59"/>
    <w:rsid w:val="00A04DEB"/>
    <w:rsid w:val="00A11DD0"/>
    <w:rsid w:val="00A13E6C"/>
    <w:rsid w:val="00A15CB9"/>
    <w:rsid w:val="00A20952"/>
    <w:rsid w:val="00A362E0"/>
    <w:rsid w:val="00A36AB6"/>
    <w:rsid w:val="00A42305"/>
    <w:rsid w:val="00A465C5"/>
    <w:rsid w:val="00A55F88"/>
    <w:rsid w:val="00A56854"/>
    <w:rsid w:val="00A60EA1"/>
    <w:rsid w:val="00A66C39"/>
    <w:rsid w:val="00A6743D"/>
    <w:rsid w:val="00A70004"/>
    <w:rsid w:val="00A71A22"/>
    <w:rsid w:val="00A81C26"/>
    <w:rsid w:val="00A86EB2"/>
    <w:rsid w:val="00A870CE"/>
    <w:rsid w:val="00A9272A"/>
    <w:rsid w:val="00A9308B"/>
    <w:rsid w:val="00A96864"/>
    <w:rsid w:val="00AA63D3"/>
    <w:rsid w:val="00AB5DF0"/>
    <w:rsid w:val="00AB5F89"/>
    <w:rsid w:val="00AB75DB"/>
    <w:rsid w:val="00AB7A5A"/>
    <w:rsid w:val="00AC22CE"/>
    <w:rsid w:val="00AC4C3B"/>
    <w:rsid w:val="00AC6102"/>
    <w:rsid w:val="00AC7116"/>
    <w:rsid w:val="00AD12C5"/>
    <w:rsid w:val="00AD3F4A"/>
    <w:rsid w:val="00AE44AC"/>
    <w:rsid w:val="00AF3CD4"/>
    <w:rsid w:val="00AF4E48"/>
    <w:rsid w:val="00AF5E4D"/>
    <w:rsid w:val="00B005B1"/>
    <w:rsid w:val="00B07724"/>
    <w:rsid w:val="00B117F6"/>
    <w:rsid w:val="00B25289"/>
    <w:rsid w:val="00B3233C"/>
    <w:rsid w:val="00B369CF"/>
    <w:rsid w:val="00B37C21"/>
    <w:rsid w:val="00B40084"/>
    <w:rsid w:val="00B420C6"/>
    <w:rsid w:val="00B44FC4"/>
    <w:rsid w:val="00B466CF"/>
    <w:rsid w:val="00B5737C"/>
    <w:rsid w:val="00B64AC3"/>
    <w:rsid w:val="00B65840"/>
    <w:rsid w:val="00B82C3E"/>
    <w:rsid w:val="00B955E0"/>
    <w:rsid w:val="00BA1D69"/>
    <w:rsid w:val="00BA3AF1"/>
    <w:rsid w:val="00BA4559"/>
    <w:rsid w:val="00BA4C3E"/>
    <w:rsid w:val="00BA4FCE"/>
    <w:rsid w:val="00BB203C"/>
    <w:rsid w:val="00BB43FE"/>
    <w:rsid w:val="00BC1886"/>
    <w:rsid w:val="00BC2205"/>
    <w:rsid w:val="00BC2206"/>
    <w:rsid w:val="00BC4F21"/>
    <w:rsid w:val="00BC4F93"/>
    <w:rsid w:val="00BC696B"/>
    <w:rsid w:val="00BD1D2E"/>
    <w:rsid w:val="00BD4111"/>
    <w:rsid w:val="00BD4309"/>
    <w:rsid w:val="00BD64D2"/>
    <w:rsid w:val="00BD7C8A"/>
    <w:rsid w:val="00BE1F24"/>
    <w:rsid w:val="00BE2A4A"/>
    <w:rsid w:val="00BE3DFD"/>
    <w:rsid w:val="00BE6DB0"/>
    <w:rsid w:val="00C00045"/>
    <w:rsid w:val="00C01781"/>
    <w:rsid w:val="00C01FD9"/>
    <w:rsid w:val="00C05BAD"/>
    <w:rsid w:val="00C060E9"/>
    <w:rsid w:val="00C12141"/>
    <w:rsid w:val="00C151AF"/>
    <w:rsid w:val="00C15D55"/>
    <w:rsid w:val="00C166F0"/>
    <w:rsid w:val="00C21B26"/>
    <w:rsid w:val="00C23C52"/>
    <w:rsid w:val="00C23CFA"/>
    <w:rsid w:val="00C36272"/>
    <w:rsid w:val="00C40AFE"/>
    <w:rsid w:val="00C41B08"/>
    <w:rsid w:val="00C53F9B"/>
    <w:rsid w:val="00C55185"/>
    <w:rsid w:val="00C573FF"/>
    <w:rsid w:val="00C57B7E"/>
    <w:rsid w:val="00C66632"/>
    <w:rsid w:val="00C71D7B"/>
    <w:rsid w:val="00C7303C"/>
    <w:rsid w:val="00C808CC"/>
    <w:rsid w:val="00C9274A"/>
    <w:rsid w:val="00C929ED"/>
    <w:rsid w:val="00C95B39"/>
    <w:rsid w:val="00C97D2E"/>
    <w:rsid w:val="00CA1196"/>
    <w:rsid w:val="00CA170D"/>
    <w:rsid w:val="00CA362A"/>
    <w:rsid w:val="00CB078B"/>
    <w:rsid w:val="00CB2BF2"/>
    <w:rsid w:val="00CB3D54"/>
    <w:rsid w:val="00CB7282"/>
    <w:rsid w:val="00CC1401"/>
    <w:rsid w:val="00CC1564"/>
    <w:rsid w:val="00CC5A02"/>
    <w:rsid w:val="00CD1125"/>
    <w:rsid w:val="00CD35B7"/>
    <w:rsid w:val="00D12F61"/>
    <w:rsid w:val="00D13FDC"/>
    <w:rsid w:val="00D217B0"/>
    <w:rsid w:val="00D22021"/>
    <w:rsid w:val="00D22867"/>
    <w:rsid w:val="00D237C4"/>
    <w:rsid w:val="00D30BC4"/>
    <w:rsid w:val="00D30D4A"/>
    <w:rsid w:val="00D325EE"/>
    <w:rsid w:val="00D32FF2"/>
    <w:rsid w:val="00D413D8"/>
    <w:rsid w:val="00D4156A"/>
    <w:rsid w:val="00D42821"/>
    <w:rsid w:val="00D43004"/>
    <w:rsid w:val="00D43EE1"/>
    <w:rsid w:val="00D45BBC"/>
    <w:rsid w:val="00D51186"/>
    <w:rsid w:val="00D63CA3"/>
    <w:rsid w:val="00D66109"/>
    <w:rsid w:val="00D67005"/>
    <w:rsid w:val="00D72A66"/>
    <w:rsid w:val="00D83D8A"/>
    <w:rsid w:val="00D84BC8"/>
    <w:rsid w:val="00D93747"/>
    <w:rsid w:val="00D94340"/>
    <w:rsid w:val="00D95DF6"/>
    <w:rsid w:val="00DA0EB1"/>
    <w:rsid w:val="00DA15CE"/>
    <w:rsid w:val="00DA4322"/>
    <w:rsid w:val="00DB0AD8"/>
    <w:rsid w:val="00DB3766"/>
    <w:rsid w:val="00DB42E2"/>
    <w:rsid w:val="00DB4650"/>
    <w:rsid w:val="00DB6F25"/>
    <w:rsid w:val="00DC37DC"/>
    <w:rsid w:val="00DD1AEE"/>
    <w:rsid w:val="00DD2CEE"/>
    <w:rsid w:val="00DD419E"/>
    <w:rsid w:val="00DD74B3"/>
    <w:rsid w:val="00DE397C"/>
    <w:rsid w:val="00DF540B"/>
    <w:rsid w:val="00E0366D"/>
    <w:rsid w:val="00E057C8"/>
    <w:rsid w:val="00E0666A"/>
    <w:rsid w:val="00E22D8E"/>
    <w:rsid w:val="00E30C36"/>
    <w:rsid w:val="00E32DD1"/>
    <w:rsid w:val="00E35DAE"/>
    <w:rsid w:val="00E501FB"/>
    <w:rsid w:val="00E511E2"/>
    <w:rsid w:val="00E52466"/>
    <w:rsid w:val="00E54215"/>
    <w:rsid w:val="00E56289"/>
    <w:rsid w:val="00E567A9"/>
    <w:rsid w:val="00E62DA6"/>
    <w:rsid w:val="00E63329"/>
    <w:rsid w:val="00E672AA"/>
    <w:rsid w:val="00E731B3"/>
    <w:rsid w:val="00E74129"/>
    <w:rsid w:val="00E755C9"/>
    <w:rsid w:val="00E760BC"/>
    <w:rsid w:val="00E81236"/>
    <w:rsid w:val="00E83742"/>
    <w:rsid w:val="00E85BC5"/>
    <w:rsid w:val="00E910E8"/>
    <w:rsid w:val="00E91DDB"/>
    <w:rsid w:val="00E9332D"/>
    <w:rsid w:val="00E9368B"/>
    <w:rsid w:val="00E9470F"/>
    <w:rsid w:val="00E94929"/>
    <w:rsid w:val="00EA12E4"/>
    <w:rsid w:val="00EA51F9"/>
    <w:rsid w:val="00EB32E9"/>
    <w:rsid w:val="00EB3F4B"/>
    <w:rsid w:val="00EB533C"/>
    <w:rsid w:val="00EC4D5E"/>
    <w:rsid w:val="00EC7F33"/>
    <w:rsid w:val="00ED12BD"/>
    <w:rsid w:val="00EE1629"/>
    <w:rsid w:val="00EE3206"/>
    <w:rsid w:val="00EE39BD"/>
    <w:rsid w:val="00EE7275"/>
    <w:rsid w:val="00EF0348"/>
    <w:rsid w:val="00EF3D11"/>
    <w:rsid w:val="00EF5ABB"/>
    <w:rsid w:val="00F00D51"/>
    <w:rsid w:val="00F03FE3"/>
    <w:rsid w:val="00F12827"/>
    <w:rsid w:val="00F128E0"/>
    <w:rsid w:val="00F15052"/>
    <w:rsid w:val="00F150E7"/>
    <w:rsid w:val="00F22FA4"/>
    <w:rsid w:val="00F231D0"/>
    <w:rsid w:val="00F26BD3"/>
    <w:rsid w:val="00F330D5"/>
    <w:rsid w:val="00F3316F"/>
    <w:rsid w:val="00F37AEE"/>
    <w:rsid w:val="00F50535"/>
    <w:rsid w:val="00F53C0F"/>
    <w:rsid w:val="00F5584C"/>
    <w:rsid w:val="00F6627F"/>
    <w:rsid w:val="00F6648D"/>
    <w:rsid w:val="00F7049E"/>
    <w:rsid w:val="00F72F72"/>
    <w:rsid w:val="00F77732"/>
    <w:rsid w:val="00F77E07"/>
    <w:rsid w:val="00F83504"/>
    <w:rsid w:val="00F928DC"/>
    <w:rsid w:val="00F94390"/>
    <w:rsid w:val="00F96DAF"/>
    <w:rsid w:val="00FA48C5"/>
    <w:rsid w:val="00FB5B4F"/>
    <w:rsid w:val="00FB7633"/>
    <w:rsid w:val="00FC2712"/>
    <w:rsid w:val="00FD6EBE"/>
    <w:rsid w:val="00FD709C"/>
    <w:rsid w:val="00FD749B"/>
    <w:rsid w:val="00FD77CC"/>
    <w:rsid w:val="00FE28B3"/>
    <w:rsid w:val="00FE32D6"/>
    <w:rsid w:val="00FE70D3"/>
    <w:rsid w:val="00FF0B4D"/>
    <w:rsid w:val="00FF3633"/>
    <w:rsid w:val="00FF5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FCC68A"/>
  <w15:chartTrackingRefBased/>
  <w15:docId w15:val="{0D169193-7F35-4D6D-8C93-203FBCE7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E791F"/>
    <w:rPr>
      <w:color w:val="0000FF"/>
      <w:shd w:val="clear" w:color="auto" w:fill="auto"/>
    </w:rPr>
  </w:style>
  <w:style w:type="paragraph" w:styleId="Header">
    <w:name w:val="header"/>
    <w:basedOn w:val="Normal"/>
    <w:link w:val="HeaderChar"/>
    <w:uiPriority w:val="99"/>
    <w:unhideWhenUsed/>
    <w:rsid w:val="009E7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91F"/>
  </w:style>
  <w:style w:type="paragraph" w:styleId="Footer">
    <w:name w:val="footer"/>
    <w:basedOn w:val="Normal"/>
    <w:link w:val="FooterChar"/>
    <w:uiPriority w:val="99"/>
    <w:unhideWhenUsed/>
    <w:rsid w:val="009E7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91F"/>
  </w:style>
  <w:style w:type="paragraph" w:customStyle="1" w:styleId="Pagedecouverture">
    <w:name w:val="Page de couverture"/>
    <w:basedOn w:val="Normal"/>
    <w:next w:val="Normal"/>
    <w:rsid w:val="009E791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9E791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E791F"/>
    <w:rPr>
      <w:rFonts w:ascii="Times New Roman" w:hAnsi="Times New Roman" w:cs="Times New Roman"/>
      <w:sz w:val="24"/>
    </w:rPr>
  </w:style>
  <w:style w:type="paragraph" w:customStyle="1" w:styleId="FooterSensitivity">
    <w:name w:val="Footer Sensitivity"/>
    <w:basedOn w:val="Normal"/>
    <w:link w:val="FooterSensitivityChar"/>
    <w:rsid w:val="009E791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E791F"/>
    <w:rPr>
      <w:rFonts w:ascii="Times New Roman" w:hAnsi="Times New Roman" w:cs="Times New Roman"/>
      <w:b/>
      <w:sz w:val="32"/>
    </w:rPr>
  </w:style>
  <w:style w:type="paragraph" w:customStyle="1" w:styleId="HeaderCoverPage">
    <w:name w:val="Header Cover Page"/>
    <w:basedOn w:val="Normal"/>
    <w:link w:val="HeaderCoverPageChar"/>
    <w:rsid w:val="009E791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E791F"/>
    <w:rPr>
      <w:rFonts w:ascii="Times New Roman" w:hAnsi="Times New Roman" w:cs="Times New Roman"/>
      <w:sz w:val="24"/>
    </w:rPr>
  </w:style>
  <w:style w:type="paragraph" w:customStyle="1" w:styleId="HeaderSensitivity">
    <w:name w:val="Header Sensitivity"/>
    <w:basedOn w:val="Normal"/>
    <w:link w:val="HeaderSensitivityChar"/>
    <w:rsid w:val="009E791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E791F"/>
    <w:rPr>
      <w:rFonts w:ascii="Times New Roman" w:hAnsi="Times New Roman" w:cs="Times New Roman"/>
      <w:b/>
      <w:sz w:val="32"/>
    </w:rPr>
  </w:style>
  <w:style w:type="paragraph" w:customStyle="1" w:styleId="HeaderSensitivityRight">
    <w:name w:val="Header Sensitivity Right"/>
    <w:basedOn w:val="Normal"/>
    <w:link w:val="HeaderSensitivityRightChar"/>
    <w:rsid w:val="009E791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E791F"/>
    <w:rPr>
      <w:rFonts w:ascii="Times New Roman" w:hAnsi="Times New Roman" w:cs="Times New Roman"/>
      <w:sz w:val="28"/>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rsid w:val="006B209D"/>
    <w:pPr>
      <w:spacing w:after="0" w:line="240" w:lineRule="auto"/>
      <w:ind w:left="720"/>
    </w:pPr>
    <w:rPr>
      <w:rFonts w:ascii="Calibri" w:hAnsi="Calibri" w:cs="Calibri"/>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rsid w:val="006B209D"/>
    <w:rPr>
      <w:rFonts w:ascii="Calibri" w:hAnsi="Calibri" w:cs="Calibri"/>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ft"/>
    <w:basedOn w:val="Normal"/>
    <w:link w:val="FootnoteTextChar"/>
    <w:uiPriority w:val="99"/>
    <w:unhideWhenUsed/>
    <w:qFormat/>
    <w:rsid w:val="006B209D"/>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sid w:val="006B209D"/>
    <w:rPr>
      <w:sz w:val="20"/>
      <w:szCs w:val="20"/>
    </w:rPr>
  </w:style>
  <w:style w:type="character" w:styleId="FootnoteReference">
    <w:name w:val="footnote reference"/>
    <w:aliases w:val="Char Char,BVI fnr Zchn,BVI fnr Char Zchn,BVI fnr Car Car Car Car Zchn,BVI fnr Car Car Zchn,BVI fnr Car Zchn,BVI fnr Car Car Car Car Char Zchn Zchn,Ref,ftr,Footnote,Footnote number,Footnote symbol,Footnote Reference Number"/>
    <w:basedOn w:val="DefaultParagraphFont"/>
    <w:link w:val="BVIfnrChar"/>
    <w:uiPriority w:val="99"/>
    <w:unhideWhenUsed/>
    <w:qFormat/>
    <w:rsid w:val="006B209D"/>
    <w:rPr>
      <w:vertAlign w:val="superscript"/>
    </w:rPr>
  </w:style>
  <w:style w:type="character" w:styleId="Hyperlink">
    <w:name w:val="Hyperlink"/>
    <w:basedOn w:val="DefaultParagraphFont"/>
    <w:uiPriority w:val="99"/>
    <w:unhideWhenUsed/>
    <w:rsid w:val="006B209D"/>
    <w:rPr>
      <w:color w:val="0563C1"/>
      <w:u w:val="single"/>
    </w:rPr>
  </w:style>
  <w:style w:type="paragraph" w:customStyle="1" w:styleId="BVIfnrChar">
    <w:name w:val="BVI fnr Char"/>
    <w:aliases w:val="Appel note de bas de p.,BVI fnr Car Car Car Car,BVI fnr Car Car,BVI fnr Car,BVI fnr Car Car Car Car Char,BVI fnr,Appel note de bas de p..BVI fnr Car Car Car Car"/>
    <w:basedOn w:val="Normal"/>
    <w:link w:val="FootnoteReference"/>
    <w:uiPriority w:val="99"/>
    <w:rsid w:val="006B209D"/>
    <w:pPr>
      <w:spacing w:after="160" w:line="240" w:lineRule="exact"/>
    </w:pPr>
    <w:rPr>
      <w:vertAlign w:val="superscript"/>
    </w:rPr>
  </w:style>
  <w:style w:type="table" w:styleId="TableGrid">
    <w:name w:val="Table Grid"/>
    <w:basedOn w:val="TableNormal"/>
    <w:uiPriority w:val="39"/>
    <w:rsid w:val="006B2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867"/>
    <w:rPr>
      <w:sz w:val="16"/>
      <w:szCs w:val="16"/>
    </w:rPr>
  </w:style>
  <w:style w:type="paragraph" w:styleId="CommentText">
    <w:name w:val="annotation text"/>
    <w:basedOn w:val="Normal"/>
    <w:link w:val="CommentTextChar"/>
    <w:uiPriority w:val="99"/>
    <w:semiHidden/>
    <w:unhideWhenUsed/>
    <w:rsid w:val="00D22867"/>
    <w:pPr>
      <w:spacing w:line="240" w:lineRule="auto"/>
    </w:pPr>
    <w:rPr>
      <w:sz w:val="20"/>
      <w:szCs w:val="20"/>
    </w:rPr>
  </w:style>
  <w:style w:type="character" w:customStyle="1" w:styleId="CommentTextChar">
    <w:name w:val="Comment Text Char"/>
    <w:basedOn w:val="DefaultParagraphFont"/>
    <w:link w:val="CommentText"/>
    <w:uiPriority w:val="99"/>
    <w:semiHidden/>
    <w:rsid w:val="00D22867"/>
    <w:rPr>
      <w:sz w:val="20"/>
      <w:szCs w:val="20"/>
    </w:rPr>
  </w:style>
  <w:style w:type="paragraph" w:styleId="CommentSubject">
    <w:name w:val="annotation subject"/>
    <w:basedOn w:val="CommentText"/>
    <w:next w:val="CommentText"/>
    <w:link w:val="CommentSubjectChar"/>
    <w:uiPriority w:val="99"/>
    <w:semiHidden/>
    <w:unhideWhenUsed/>
    <w:rsid w:val="00D22867"/>
    <w:rPr>
      <w:b/>
      <w:bCs/>
    </w:rPr>
  </w:style>
  <w:style w:type="character" w:customStyle="1" w:styleId="CommentSubjectChar">
    <w:name w:val="Comment Subject Char"/>
    <w:basedOn w:val="CommentTextChar"/>
    <w:link w:val="CommentSubject"/>
    <w:uiPriority w:val="99"/>
    <w:semiHidden/>
    <w:rsid w:val="00D22867"/>
    <w:rPr>
      <w:b/>
      <w:bCs/>
      <w:sz w:val="20"/>
      <w:szCs w:val="20"/>
    </w:rPr>
  </w:style>
  <w:style w:type="paragraph" w:styleId="BalloonText">
    <w:name w:val="Balloon Text"/>
    <w:basedOn w:val="Normal"/>
    <w:link w:val="BalloonTextChar"/>
    <w:uiPriority w:val="99"/>
    <w:semiHidden/>
    <w:unhideWhenUsed/>
    <w:rsid w:val="00D2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867"/>
    <w:rPr>
      <w:rFonts w:ascii="Segoe UI" w:hAnsi="Segoe UI" w:cs="Segoe UI"/>
      <w:sz w:val="18"/>
      <w:szCs w:val="18"/>
    </w:rPr>
  </w:style>
  <w:style w:type="character" w:customStyle="1" w:styleId="normaltextrun">
    <w:name w:val="normaltextrun"/>
    <w:basedOn w:val="DefaultParagraphFont"/>
    <w:rsid w:val="009C35ED"/>
  </w:style>
  <w:style w:type="paragraph" w:customStyle="1" w:styleId="paragraph">
    <w:name w:val="paragraph"/>
    <w:basedOn w:val="Normal"/>
    <w:rsid w:val="005B1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B1191"/>
  </w:style>
  <w:style w:type="paragraph" w:styleId="Revision">
    <w:name w:val="Revision"/>
    <w:hidden/>
    <w:uiPriority w:val="99"/>
    <w:semiHidden/>
    <w:rsid w:val="00420A83"/>
    <w:pPr>
      <w:spacing w:after="0" w:line="240" w:lineRule="auto"/>
    </w:pPr>
  </w:style>
  <w:style w:type="paragraph" w:styleId="NormalWeb">
    <w:name w:val="Normal (Web)"/>
    <w:basedOn w:val="Normal"/>
    <w:uiPriority w:val="99"/>
    <w:unhideWhenUsed/>
    <w:rsid w:val="00E30C3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D45BBC"/>
    <w:rPr>
      <w:b/>
      <w:bCs/>
    </w:rPr>
  </w:style>
  <w:style w:type="character" w:styleId="FollowedHyperlink">
    <w:name w:val="FollowedHyperlink"/>
    <w:basedOn w:val="DefaultParagraphFont"/>
    <w:uiPriority w:val="99"/>
    <w:semiHidden/>
    <w:unhideWhenUsed/>
    <w:rsid w:val="00DF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9792">
      <w:bodyDiv w:val="1"/>
      <w:marLeft w:val="0"/>
      <w:marRight w:val="0"/>
      <w:marTop w:val="0"/>
      <w:marBottom w:val="0"/>
      <w:divBdr>
        <w:top w:val="none" w:sz="0" w:space="0" w:color="auto"/>
        <w:left w:val="none" w:sz="0" w:space="0" w:color="auto"/>
        <w:bottom w:val="none" w:sz="0" w:space="0" w:color="auto"/>
        <w:right w:val="none" w:sz="0" w:space="0" w:color="auto"/>
      </w:divBdr>
    </w:div>
    <w:div w:id="66004507">
      <w:bodyDiv w:val="1"/>
      <w:marLeft w:val="0"/>
      <w:marRight w:val="0"/>
      <w:marTop w:val="0"/>
      <w:marBottom w:val="0"/>
      <w:divBdr>
        <w:top w:val="none" w:sz="0" w:space="0" w:color="auto"/>
        <w:left w:val="none" w:sz="0" w:space="0" w:color="auto"/>
        <w:bottom w:val="none" w:sz="0" w:space="0" w:color="auto"/>
        <w:right w:val="none" w:sz="0" w:space="0" w:color="auto"/>
      </w:divBdr>
    </w:div>
    <w:div w:id="141164688">
      <w:bodyDiv w:val="1"/>
      <w:marLeft w:val="0"/>
      <w:marRight w:val="0"/>
      <w:marTop w:val="0"/>
      <w:marBottom w:val="0"/>
      <w:divBdr>
        <w:top w:val="none" w:sz="0" w:space="0" w:color="auto"/>
        <w:left w:val="none" w:sz="0" w:space="0" w:color="auto"/>
        <w:bottom w:val="none" w:sz="0" w:space="0" w:color="auto"/>
        <w:right w:val="none" w:sz="0" w:space="0" w:color="auto"/>
      </w:divBdr>
    </w:div>
    <w:div w:id="1720323817">
      <w:bodyDiv w:val="1"/>
      <w:marLeft w:val="0"/>
      <w:marRight w:val="0"/>
      <w:marTop w:val="0"/>
      <w:marBottom w:val="0"/>
      <w:divBdr>
        <w:top w:val="none" w:sz="0" w:space="0" w:color="auto"/>
        <w:left w:val="none" w:sz="0" w:space="0" w:color="auto"/>
        <w:bottom w:val="none" w:sz="0" w:space="0" w:color="auto"/>
        <w:right w:val="none" w:sz="0" w:space="0" w:color="auto"/>
      </w:divBdr>
    </w:div>
    <w:div w:id="20703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digital-single-market/en/network-and-information-security-nis-directiv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pl/press/press-releases/2022/05/10/russian-cyber-operations-against-ukraine-declaration-by-the-high-representative-on-behalf-of-the-european-union/" TargetMode="External"/><Relationship Id="rId13" Type="http://schemas.openxmlformats.org/officeDocument/2006/relationships/hyperlink" Target="https://ec.europa.eu/info/law/better-regulation/have-your-say/initiatives/13410-Cyber-resilience-act-new-cybersecurity-rules-for-digital-products-and-ancillary-services_pl" TargetMode="External"/><Relationship Id="rId18" Type="http://schemas.openxmlformats.org/officeDocument/2006/relationships/hyperlink" Target="https://ec.europa.eu/home-affairs/news/new-anti-trafficking-plan-protect-people-fleeing-war-ukraine-2022-05-11_en" TargetMode="External"/><Relationship Id="rId3" Type="http://schemas.openxmlformats.org/officeDocument/2006/relationships/hyperlink" Target="file:///C:\Users\monticr\AppData\Local\Microsoft\Windows\INetCache\Content.Outlook\60AC4LX2\Joint%20Statement%20from%20EU%20Justice%20and%20Home%20Affairs%20Agencies%20on%20Ukraine%20|%20European%20Union%20Agency%20for%20Asylum%20(europa.eu)" TargetMode="External"/><Relationship Id="rId21" Type="http://schemas.openxmlformats.org/officeDocument/2006/relationships/hyperlink" Target="https://www.eurojust.europa.eu/eurojust-and-the-%09war-in-ukraine" TargetMode="External"/><Relationship Id="rId7" Type="http://schemas.openxmlformats.org/officeDocument/2006/relationships/hyperlink" Target="https://www.consilium.europa.eu/pl/press/press-releases/2022/05/10/russian-cyber-operations-against-ukraine-declaration-by-the-high-representative-on-behalf-of-the-european-union/" TargetMode="External"/><Relationship Id="rId12" Type="http://schemas.openxmlformats.org/officeDocument/2006/relationships/hyperlink" Target="https://digital-strategy.ec.europa.eu/en/library/cybersecurity-5g-networks-eu-toolbox-risk-mitigating-%09measures" TargetMode="External"/><Relationship Id="rId17" Type="http://schemas.openxmlformats.org/officeDocument/2006/relationships/hyperlink" Target="https://ec.europa.eu/home-affairs/10-point-plan-stronger-european-coordination-welcoming-people-fleeing-war-ukraine_en" TargetMode="External"/><Relationship Id="rId2" Type="http://schemas.openxmlformats.org/officeDocument/2006/relationships/hyperlink" Target="file:///C:\Users\monticr\AppData\Local\Microsoft\Windows\INetCache\Content.Outlook\60AC4LX2\Joint%20Statement%20from%20EU%20Justice%20and%20Home%20Affairs%20Agencies%20on%20Ukraine%20|%20European%20Union%20Agency%20for%20Asylum%20(europa.eu)" TargetMode="External"/><Relationship Id="rId16" Type="http://schemas.openxmlformats.org/officeDocument/2006/relationships/hyperlink" Target="https://eur-lex.europa.eu/legal-content/PL/TXT/?uri=CELEX:52022XC0321(03)&amp;qid=1647940863274" TargetMode="External"/><Relationship Id="rId20" Type="http://schemas.openxmlformats.org/officeDocument/2006/relationships/hyperlink" Target="https://www.eurojust.europa.eu/eurojust-and-the-%09war-in-ukraine" TargetMode="External"/><Relationship Id="rId1" Type="http://schemas.openxmlformats.org/officeDocument/2006/relationships/hyperlink" Target="https://www.consilium.europa.eu/media/54787/20220311-versailles-declaration-pl.pdf" TargetMode="External"/><Relationship Id="rId6" Type="http://schemas.openxmlformats.org/officeDocument/2006/relationships/hyperlink" Target="https://www.consilium.europa.eu/pl/press/press-releases/2022/01/14/ukraine-declaration-by-the-high-representative-on-behalf-of-the-european-union-on-the-cyberattack-against-ukraine/" TargetMode="External"/><Relationship Id="rId11" Type="http://schemas.openxmlformats.org/officeDocument/2006/relationships/hyperlink" Target="https://digital-strategy.ec.europa.eu/en/library/cybersecurity-5g-networks-eu-toolbox-risk-mitigating-%09measures" TargetMode="External"/><Relationship Id="rId5" Type="http://schemas.openxmlformats.org/officeDocument/2006/relationships/hyperlink" Target="https://blogs.microsoft.com/on-the-issues/2022/04/27/hybrid-war-ukraine-russia-cyberattacks/" TargetMode="External"/><Relationship Id="rId15" Type="http://schemas.openxmlformats.org/officeDocument/2006/relationships/hyperlink" Target="https://ec.europa.eu/commission/presscorner/detail/en/STATEMENT_22_3108" TargetMode="External"/><Relationship Id="rId10" Type="http://schemas.openxmlformats.org/officeDocument/2006/relationships/hyperlink" Target="https://digital-strategy.ec.europa.eu/en/library/recommendation-building-joint-cyber-unit" TargetMode="External"/><Relationship Id="rId19" Type="http://schemas.openxmlformats.org/officeDocument/2006/relationships/hyperlink" Target="https://ec.europa.eu/health/publications/hera-work-plan-2022_nl" TargetMode="External"/><Relationship Id="rId4" Type="http://schemas.openxmlformats.org/officeDocument/2006/relationships/hyperlink" Target="https://query.prod.cms.rt.microsoft.com/cms/api/am/binary/RE4Vwwd" TargetMode="External"/><Relationship Id="rId9" Type="http://schemas.openxmlformats.org/officeDocument/2006/relationships/hyperlink" Target="https://digital-strategy.ec.europa.eu/en/library/recommendation-building-joint-cyber-unit" TargetMode="External"/><Relationship Id="rId14" Type="http://schemas.openxmlformats.org/officeDocument/2006/relationships/hyperlink" Target="https://presse.economie.gouv.fr/08-03-2022-declaration-conjointe-des-ministres-de-lunion-europeenne-charges-du-numerique-et-des-communications-electroniques-adressee-au-secteur-numerique/" TargetMode="External"/><Relationship Id="rId22" Type="http://schemas.openxmlformats.org/officeDocument/2006/relationships/hyperlink" Target="https://edmo.eu/2022/03/30/how-covid-19-conspiracy-theorists-pivoted-to-pro-russian-hoa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FC48235D507439CDCF0FF51969530" ma:contentTypeVersion="6" ma:contentTypeDescription="Create a new document in this library." ma:contentTypeScope="" ma:versionID="debfed79ac10a8f2927945194b13343d">
  <xsd:schema xmlns:xsd="http://www.w3.org/2001/XMLSchema" xmlns:xs="http://www.w3.org/2001/XMLSchema" xmlns:p="http://schemas.microsoft.com/office/2006/metadata/properties" xmlns:ns3="c830cbf8-5b7c-41e1-a58a-86832c684933" xmlns:ns4="0f9ec030-458b-48fb-9d3d-311e1e2f387e" xmlns:ns5="ff68e62a-ff8e-4f1a-ba0d-eafcc10be831" targetNamespace="http://schemas.microsoft.com/office/2006/metadata/properties" ma:root="true" ma:fieldsID="c7bc984c0a5f40773e068b5d42742b33" ns3:_="" ns4:_="" ns5:_="">
    <xsd:import namespace="c830cbf8-5b7c-41e1-a58a-86832c684933"/>
    <xsd:import namespace="0f9ec030-458b-48fb-9d3d-311e1e2f387e"/>
    <xsd:import namespace="ff68e62a-ff8e-4f1a-ba0d-eafcc10be831"/>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0cbf8-5b7c-41e1-a58a-86832c6849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f9ec030-458b-48fb-9d3d-311e1e2f387e" elementFormDefault="qualified">
    <xsd:import namespace="http://schemas.microsoft.com/office/2006/documentManagement/types"/>
    <xsd:import namespace="http://schemas.microsoft.com/office/infopath/2007/PartnerControls"/>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8e62a-ff8e-4f1a-ba0d-eafcc10be8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NUMBER xmlns="0f9ec030-458b-48fb-9d3d-311e1e2f387e">
      <Url xsi:nil="true"/>
      <Description xsi:nil="true"/>
    </EC_ARES_NUMBER>
    <EC_Collab_Status xmlns="c830cbf8-5b7c-41e1-a58a-86832c684933">Not Started</EC_Collab_Status>
    <EC_Collab_DocumentLanguage xmlns="c830cbf8-5b7c-41e1-a58a-86832c684933">EN</EC_Collab_DocumentLanguage>
    <EC_Collab_Reference xmlns="c830cbf8-5b7c-41e1-a58a-86832c684933" xsi:nil="true"/>
    <EC_ARES_DATE_TRANSFERRED xmlns="0f9ec030-458b-48fb-9d3d-311e1e2f387e" xsi:nil="true"/>
    <EC_ARES_TRANSFERRED_BY xmlns="0f9ec030-458b-48fb-9d3d-311e1e2f38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C033-A81C-418E-B7CB-2497F6BD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0cbf8-5b7c-41e1-a58a-86832c684933"/>
    <ds:schemaRef ds:uri="0f9ec030-458b-48fb-9d3d-311e1e2f387e"/>
    <ds:schemaRef ds:uri="ff68e62a-ff8e-4f1a-ba0d-eafcc10be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98020-AD84-4EBD-96B2-05834FB5F7B1}">
  <ds:schemaRefs>
    <ds:schemaRef ds:uri="http://schemas.microsoft.com/sharepoint/v3/contenttype/forms"/>
  </ds:schemaRefs>
</ds:datastoreItem>
</file>

<file path=customXml/itemProps3.xml><?xml version="1.0" encoding="utf-8"?>
<ds:datastoreItem xmlns:ds="http://schemas.openxmlformats.org/officeDocument/2006/customXml" ds:itemID="{D914D58E-D073-48B4-A55B-D8E4A84784D6}">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f68e62a-ff8e-4f1a-ba0d-eafcc10be831"/>
    <ds:schemaRef ds:uri="http://schemas.microsoft.com/office/2006/documentManagement/types"/>
    <ds:schemaRef ds:uri="0f9ec030-458b-48fb-9d3d-311e1e2f387e"/>
    <ds:schemaRef ds:uri="c830cbf8-5b7c-41e1-a58a-86832c684933"/>
    <ds:schemaRef ds:uri="http://www.w3.org/XML/1998/namespace"/>
    <ds:schemaRef ds:uri="http://purl.org/dc/dcmitype/"/>
  </ds:schemaRefs>
</ds:datastoreItem>
</file>

<file path=customXml/itemProps4.xml><?xml version="1.0" encoding="utf-8"?>
<ds:datastoreItem xmlns:ds="http://schemas.openxmlformats.org/officeDocument/2006/customXml" ds:itemID="{D4DD122B-4217-4F02-AE03-6F769D96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7693</Words>
  <Characters>52780</Characters>
  <Application>Microsoft Office Word</Application>
  <DocSecurity>0</DocSecurity>
  <Lines>879</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cp:lastPrinted>2022-05-13T11:47:00Z</cp:lastPrinted>
  <dcterms:created xsi:type="dcterms:W3CDTF">2022-05-23T10:20:00Z</dcterms:created>
  <dcterms:modified xsi:type="dcterms:W3CDTF">2022-06-21T07:26:00Z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8.0, Build 20220128</vt:lpwstr>
  </property>
  <property fmtid="{D5CDD505-2E9C-101B-9397-08002B2CF9AE}" pid="8" name="Created using">
    <vt:lpwstr>LW 8.0, Build 20220128</vt:lpwstr>
  </property>
  <property fmtid="{D5CDD505-2E9C-101B-9397-08002B2CF9AE}" pid="9" name="ContentTypeId">
    <vt:lpwstr>0x010100258AA79CEB83498886A3A0868112325000C7FFC48235D507439CDCF0FF51969530</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2022-05-23T07:38:05Z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53a47904-d2f7-47eb-8c0f-0f087bb44352</vt:lpwstr>
  </property>
  <property fmtid="{D5CDD505-2E9C-101B-9397-08002B2CF9AE}" pid="16" name="MSIP_Label_6bd9ddd1-4d20-43f6-abfa-fc3c07406f94_ContentBits">
    <vt:lpwstr>0</vt:lpwstr>
  </property>
</Properties>
</file>