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035" w14:textId="68A3A506" w:rsidR="00FA7E56" w:rsidRPr="00C86E2D" w:rsidRDefault="006B0D72" w:rsidP="006B0D72">
      <w:pPr>
        <w:pStyle w:val="Pagedecouverture"/>
        <w:rPr>
          <w:noProof/>
        </w:rPr>
      </w:pPr>
      <w:r>
        <w:rPr>
          <w:noProof/>
        </w:rPr>
        <w:pict w14:anchorId="7C967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D407B5B0-F166-4E18-A627-8C64DAD55386" style="width:455.25pt;height:429pt">
            <v:imagedata r:id="rId16" o:title=""/>
          </v:shape>
        </w:pict>
      </w:r>
    </w:p>
    <w:p w14:paraId="421C9849" w14:textId="77777777" w:rsidR="00FA7E56" w:rsidRPr="00C86E2D" w:rsidRDefault="00FA7E56" w:rsidP="00FA7E56">
      <w:pPr>
        <w:rPr>
          <w:noProof/>
        </w:rPr>
        <w:sectPr w:rsidR="00FA7E56" w:rsidRPr="00C86E2D" w:rsidSect="006B0D7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E0B09DA" w14:textId="2C706D91" w:rsidR="00FA7E56" w:rsidRPr="00C86E2D" w:rsidRDefault="00FA7E56" w:rsidP="00FA7E56">
      <w:pPr>
        <w:pStyle w:val="Annexetitre"/>
        <w:rPr>
          <w:noProof/>
        </w:rPr>
      </w:pPr>
      <w:bookmarkStart w:id="0" w:name="_GoBack"/>
      <w:bookmarkEnd w:id="0"/>
      <w:r w:rsidRPr="00C86E2D">
        <w:rPr>
          <w:noProof/>
        </w:rPr>
        <w:lastRenderedPageBreak/>
        <w:t xml:space="preserve">I. MELLÉKLET </w:t>
      </w:r>
      <w:r w:rsidRPr="00C86E2D">
        <w:rPr>
          <w:noProof/>
        </w:rPr>
        <w:br/>
        <w:t>(lásd a 4. cikket)</w:t>
      </w:r>
    </w:p>
    <w:p w14:paraId="6885C829" w14:textId="33F0A437" w:rsidR="00FA7E56" w:rsidRPr="00C86E2D" w:rsidRDefault="00FA7E56" w:rsidP="00FA7E56">
      <w:pPr>
        <w:jc w:val="center"/>
        <w:rPr>
          <w:b/>
          <w:noProof/>
          <w:szCs w:val="24"/>
        </w:rPr>
      </w:pPr>
      <w:r w:rsidRPr="00C86E2D">
        <w:rPr>
          <w:b/>
          <w:noProof/>
        </w:rPr>
        <w:t>A 2030-RA VONATKOZÓ KÉT UNIÓS ÉS KÉT NEMZETI CSÖKKENTÉSI</w:t>
      </w:r>
      <w:r w:rsidRPr="00C86E2D">
        <w:rPr>
          <w:noProof/>
        </w:rPr>
        <w:t xml:space="preserve"> </w:t>
      </w:r>
      <w:r w:rsidRPr="00C86E2D">
        <w:rPr>
          <w:b/>
          <w:noProof/>
        </w:rPr>
        <w:t xml:space="preserve">CÉL ELÉRÉSE TERÉN TETT ELŐREHALADÁS KISZÁMÍTÁSÁNAK MÓDSZERE </w:t>
      </w:r>
    </w:p>
    <w:p w14:paraId="14501CC1" w14:textId="77777777" w:rsidR="00FA7E56" w:rsidRPr="00C86E2D" w:rsidDel="001E7F82" w:rsidRDefault="00FA7E56" w:rsidP="00EE469D">
      <w:pPr>
        <w:rPr>
          <w:noProof/>
        </w:rPr>
      </w:pPr>
    </w:p>
    <w:p w14:paraId="1DECD132" w14:textId="20D0C4CE" w:rsidR="00EE469D" w:rsidRPr="00C86E2D" w:rsidRDefault="00EE44B7" w:rsidP="00EE469D">
      <w:pPr>
        <w:rPr>
          <w:noProof/>
        </w:rPr>
      </w:pPr>
      <w:r w:rsidRPr="00C86E2D">
        <w:rPr>
          <w:noProof/>
        </w:rPr>
        <w:t>Ez a rendelet „a termelőtől a fogyasztóig” stratégiában foglalt peszticidhasználat-csökkentési célok elérését szolgálja oly módon, hogy minden tagállam számára előírja, hogy járuljon hozzá ahhoz, hogy 2030-ra uniós szinten 50 %-kal csökkenjen mind a vegyi növényvédő szerek használata, mind azok kockázata (a továbbiakban: a 2030-ra vonatkozó 1. uniós csökkentési cél), valamint a veszélyesebb növényvédő szerek használata (a továbbiakban: a 2030-ra vonatkozó 2. uniós csökkentési cél). Ez a rendelet szabályozza azt is, hogy az egyes tagállamok miként járulnak hozzá ezekhez az uniós célokhoz. A 2030-ra vonatkozó 1. uniós csökkentési célhoz való tagállami hozzájárulásokra, amelyek nemzeti célok formájában kerülnek meghatározásra, a továbbiakban „a 2030-ra vonatkozó 1. nemzeti csökkentési célként”, míg a 2030-ra vonatkozó 2. uniós csökkentési célhoz való tagállami hozzájárulásokra a továbbiakban „a 2030-ra vonatkozó 2. nemzeti csökkentési célként” hivatkozunk. Az e célok elérése felé tett előrehaladás kiszámításának módszertana az alábbiakban található:</w:t>
      </w:r>
    </w:p>
    <w:p w14:paraId="3881C7AF" w14:textId="77777777" w:rsidR="00EE469D" w:rsidRPr="00C86E2D" w:rsidRDefault="00EE469D" w:rsidP="00FA7E56">
      <w:pPr>
        <w:jc w:val="center"/>
        <w:rPr>
          <w:noProof/>
          <w:szCs w:val="24"/>
        </w:rPr>
      </w:pPr>
    </w:p>
    <w:p w14:paraId="51DF7BAC" w14:textId="60EB289C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1. SZAKASZ</w:t>
      </w:r>
    </w:p>
    <w:p w14:paraId="1B9C05D1" w14:textId="7E0F27C0" w:rsidR="00EE469D" w:rsidRPr="00C86E2D" w:rsidRDefault="00AA512C" w:rsidP="6B25E89D">
      <w:pPr>
        <w:jc w:val="center"/>
        <w:rPr>
          <w:b/>
          <w:bCs/>
          <w:noProof/>
        </w:rPr>
      </w:pPr>
      <w:r w:rsidRPr="00C86E2D">
        <w:rPr>
          <w:b/>
          <w:noProof/>
        </w:rPr>
        <w:t>A 2030-ra vonatkozó 1. nemzeti csökkentési cél: a vegyi növényvédő szerek használatának és kockázatának csökkentése felé tett előrelépés becslésének módszertana</w:t>
      </w:r>
    </w:p>
    <w:p w14:paraId="41C2D6D2" w14:textId="4350F9F3" w:rsidR="00FA7E56" w:rsidRPr="00C86E2D" w:rsidRDefault="007B3445" w:rsidP="007B3445">
      <w:pPr>
        <w:pStyle w:val="Point0"/>
        <w:rPr>
          <w:noProof/>
        </w:rPr>
      </w:pPr>
      <w:r w:rsidRPr="00C86E2D">
        <w:rPr>
          <w:noProof/>
        </w:rPr>
        <w:t>1.</w:t>
      </w:r>
      <w:r w:rsidRPr="00C86E2D">
        <w:rPr>
          <w:noProof/>
        </w:rPr>
        <w:tab/>
        <w:t>A módszertan az 1107/2009/EK rendelet értelmében a növényvédő szerekben forgalomba hozott vegyi hatóanyagok mennyiségére vonatkozó statisztikákon alapul, amelyeket az 1185/2009/EK európai parlamenti és tanácsi rendelet</w:t>
      </w:r>
      <w:r w:rsidRPr="00C86E2D">
        <w:rPr>
          <w:rStyle w:val="FootnoteReference"/>
          <w:noProof/>
        </w:rPr>
        <w:footnoteReference w:id="2"/>
      </w:r>
      <w:r w:rsidRPr="00C86E2D">
        <w:rPr>
          <w:noProof/>
        </w:rPr>
        <w:t xml:space="preserve"> I. melléklete értelmében bocsátottak a Bizottság (Eurostat) rendelkezésére. </w:t>
      </w:r>
    </w:p>
    <w:p w14:paraId="6AB812AC" w14:textId="3B2160FF" w:rsidR="007B3445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 xml:space="preserve">Az 1. csökkentési cél elérése felé tett előrehaladás kiszámítására a következő általános szabályokat kell alkalmazni: </w:t>
      </w:r>
    </w:p>
    <w:p w14:paraId="32B14F44" w14:textId="0A92F859" w:rsidR="00FA7E56" w:rsidRPr="00C86E2D" w:rsidRDefault="007B3445" w:rsidP="007B3445">
      <w:pPr>
        <w:pStyle w:val="Point1"/>
        <w:rPr>
          <w:noProof/>
          <w:szCs w:val="24"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az előrehaladás kiszámítása a vegyi hatóanyagoknak az e mellékletben szereplő táblázatban meghatározott 4 csoportba való besorolása alapján történik; </w:t>
      </w:r>
    </w:p>
    <w:p w14:paraId="573AA411" w14:textId="434E1C6A" w:rsidR="00FA7E56" w:rsidRPr="00C86E2D" w:rsidRDefault="00FA7E56" w:rsidP="007B3445">
      <w:pPr>
        <w:pStyle w:val="Point1"/>
        <w:rPr>
          <w:noProof/>
        </w:rPr>
      </w:pPr>
      <w:r w:rsidRPr="00C86E2D">
        <w:rPr>
          <w:noProof/>
        </w:rPr>
        <w:t>b)</w:t>
      </w:r>
      <w:r w:rsidRPr="00C86E2D">
        <w:rPr>
          <w:noProof/>
        </w:rPr>
        <w:tab/>
        <w:t>az 1. csoportba tartozó vegyi hatóanyagok az 540/2011/EU bizottsági végrehajtási rendelet</w:t>
      </w:r>
      <w:r w:rsidRPr="00C86E2D">
        <w:rPr>
          <w:rStyle w:val="FootnoteReference"/>
          <w:noProof/>
        </w:rPr>
        <w:footnoteReference w:id="3"/>
      </w:r>
      <w:r w:rsidRPr="00C86E2D">
        <w:rPr>
          <w:noProof/>
        </w:rPr>
        <w:t xml:space="preserve"> mellékletének D. részében felsorolt hatóanyagok; </w:t>
      </w:r>
    </w:p>
    <w:p w14:paraId="7FB4FB23" w14:textId="26A4DD2F" w:rsidR="00FA7E56" w:rsidRPr="00C86E2D" w:rsidRDefault="00FA7E56" w:rsidP="007B3445">
      <w:pPr>
        <w:pStyle w:val="Point1"/>
        <w:rPr>
          <w:noProof/>
          <w:szCs w:val="24"/>
        </w:rPr>
      </w:pPr>
      <w:r w:rsidRPr="00C86E2D">
        <w:rPr>
          <w:noProof/>
        </w:rPr>
        <w:t>c)</w:t>
      </w:r>
      <w:r w:rsidRPr="00C86E2D">
        <w:rPr>
          <w:noProof/>
        </w:rPr>
        <w:tab/>
        <w:t xml:space="preserve">a 2. csoportba tartozó vegyi hatóanyagok az 540/2011/EU végrehajtási rendelet mellékletének A. és B. részében felsorolt hatóanyagok; </w:t>
      </w:r>
    </w:p>
    <w:p w14:paraId="1B8F279B" w14:textId="2A20A130" w:rsidR="00AA512C" w:rsidRPr="00C86E2D" w:rsidRDefault="00AA512C" w:rsidP="007B3445">
      <w:pPr>
        <w:pStyle w:val="Point1"/>
        <w:rPr>
          <w:noProof/>
          <w:szCs w:val="24"/>
        </w:rPr>
      </w:pPr>
      <w:r w:rsidRPr="00C86E2D">
        <w:rPr>
          <w:noProof/>
        </w:rPr>
        <w:t>d)</w:t>
      </w:r>
      <w:r w:rsidRPr="00C86E2D">
        <w:rPr>
          <w:noProof/>
        </w:rPr>
        <w:tab/>
        <w:t xml:space="preserve">a 3. csoportba tartozó vegyi hatóanyagok az 1107/2009/EK rendelet 24. cikkével összhangban helyettesítésre jelölt anyagokként jóváhagyott és az 540/2011/EU végrehajtási rendelet mellékletének E. részében felsorolt, vagy az (EU) 2015/408 végrehajtási rendelet mellékletében felsorolt vegyi hatóanyagok; </w:t>
      </w:r>
    </w:p>
    <w:p w14:paraId="4A9E0273" w14:textId="786A280B" w:rsidR="00FA7E56" w:rsidRPr="00C86E2D" w:rsidRDefault="007B3445" w:rsidP="007B3445">
      <w:pPr>
        <w:pStyle w:val="Point1"/>
        <w:rPr>
          <w:noProof/>
          <w:szCs w:val="24"/>
        </w:rPr>
      </w:pPr>
      <w:r w:rsidRPr="00C86E2D">
        <w:rPr>
          <w:noProof/>
        </w:rPr>
        <w:t>e)</w:t>
      </w:r>
      <w:r w:rsidRPr="00C86E2D">
        <w:rPr>
          <w:noProof/>
        </w:rPr>
        <w:tab/>
        <w:t xml:space="preserve">a 4. csoportba tartozó vegyi hatóanyagok azok a hatóanyagok, amelyeket az 1107/2009/EK végrehajtási rendelet alapján nem hagytak jóvá, és ezért nem szerepelnek az 540/2011/EU rendelet mellékletében; </w:t>
      </w:r>
    </w:p>
    <w:p w14:paraId="2AD0D098" w14:textId="77777777" w:rsidR="00FA7E56" w:rsidRPr="00C86E2D" w:rsidRDefault="007B3445" w:rsidP="007B3445">
      <w:pPr>
        <w:pStyle w:val="Point1"/>
        <w:rPr>
          <w:noProof/>
          <w:szCs w:val="24"/>
        </w:rPr>
      </w:pPr>
      <w:r w:rsidRPr="00C86E2D">
        <w:rPr>
          <w:noProof/>
        </w:rPr>
        <w:t>f)</w:t>
      </w:r>
      <w:r w:rsidRPr="00C86E2D">
        <w:rPr>
          <w:noProof/>
        </w:rPr>
        <w:tab/>
        <w:t xml:space="preserve">az e mellékletben szereplő táblázat iii. sorában szereplő súlyozásokat kell alkalmazni. </w:t>
      </w:r>
    </w:p>
    <w:p w14:paraId="27DF1064" w14:textId="5934C0A8" w:rsidR="00FA7E56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>Az 1. csökkentési cél elérése felé tett előrehaladást úgy kell kiszámítani, hogy az e melléklet táblázatában szereplő egyes csoportok tekintetében a növényvédő szerekben forgalomba hozott vegyi hatóanyagok éves mennyiségét meg kell szorozni az iii. sorban szereplő, vonatkozó veszélyességi súlyokkal, majd ezt követően összesíteni kell a számítások eredményeit.</w:t>
      </w:r>
    </w:p>
    <w:p w14:paraId="2AB71954" w14:textId="77777777" w:rsidR="00E65BCC" w:rsidRPr="00C86E2D" w:rsidRDefault="00E65BCC" w:rsidP="00FA7E56">
      <w:pPr>
        <w:jc w:val="center"/>
        <w:rPr>
          <w:i/>
          <w:iCs/>
          <w:noProof/>
          <w:szCs w:val="24"/>
        </w:rPr>
      </w:pPr>
    </w:p>
    <w:p w14:paraId="33849682" w14:textId="74D1ABC2" w:rsidR="00FA7E56" w:rsidRPr="00C86E2D" w:rsidRDefault="00FA7E56" w:rsidP="00FA7E56">
      <w:pPr>
        <w:jc w:val="center"/>
        <w:rPr>
          <w:i/>
          <w:iCs/>
          <w:noProof/>
          <w:szCs w:val="24"/>
        </w:rPr>
      </w:pPr>
      <w:r w:rsidRPr="00C86E2D">
        <w:rPr>
          <w:i/>
          <w:noProof/>
        </w:rPr>
        <w:t>Táblázat</w:t>
      </w:r>
    </w:p>
    <w:p w14:paraId="008ECC54" w14:textId="40D4667C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A hatóanyagok és veszélyességi súlyok osztályozása a 2030-ra vonatkozó 1. nemzeti csökkentési cél kiszámításához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111"/>
        <w:gridCol w:w="2111"/>
        <w:gridCol w:w="2610"/>
        <w:gridCol w:w="1474"/>
      </w:tblGrid>
      <w:tr w:rsidR="0066509A" w:rsidRPr="00C86E2D" w14:paraId="080B7C30" w14:textId="77777777" w:rsidTr="007B3445">
        <w:tc>
          <w:tcPr>
            <w:tcW w:w="936" w:type="dxa"/>
            <w:vMerge w:val="restart"/>
          </w:tcPr>
          <w:p w14:paraId="0141507E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Sor</w:t>
            </w:r>
          </w:p>
        </w:tc>
        <w:tc>
          <w:tcPr>
            <w:tcW w:w="8306" w:type="dxa"/>
            <w:gridSpan w:val="4"/>
          </w:tcPr>
          <w:p w14:paraId="41B99810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Csoportok</w:t>
            </w:r>
          </w:p>
        </w:tc>
      </w:tr>
      <w:tr w:rsidR="0066509A" w:rsidRPr="00C86E2D" w14:paraId="6BE4B613" w14:textId="77777777" w:rsidTr="007B3445">
        <w:tc>
          <w:tcPr>
            <w:tcW w:w="936" w:type="dxa"/>
            <w:vMerge/>
          </w:tcPr>
          <w:p w14:paraId="3BA7E48D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1" w:type="dxa"/>
          </w:tcPr>
          <w:p w14:paraId="32F7C805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2111" w:type="dxa"/>
          </w:tcPr>
          <w:p w14:paraId="66C136A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2</w:t>
            </w:r>
          </w:p>
        </w:tc>
        <w:tc>
          <w:tcPr>
            <w:tcW w:w="2610" w:type="dxa"/>
          </w:tcPr>
          <w:p w14:paraId="1D5A0EB7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3</w:t>
            </w:r>
          </w:p>
        </w:tc>
        <w:tc>
          <w:tcPr>
            <w:tcW w:w="1474" w:type="dxa"/>
          </w:tcPr>
          <w:p w14:paraId="22F353DB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4</w:t>
            </w:r>
          </w:p>
        </w:tc>
      </w:tr>
      <w:tr w:rsidR="0066509A" w:rsidRPr="00C86E2D" w14:paraId="7A78B9D2" w14:textId="77777777" w:rsidTr="007B3445">
        <w:tc>
          <w:tcPr>
            <w:tcW w:w="936" w:type="dxa"/>
          </w:tcPr>
          <w:p w14:paraId="4029D59D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i.</w:t>
            </w:r>
          </w:p>
        </w:tc>
        <w:tc>
          <w:tcPr>
            <w:tcW w:w="2111" w:type="dxa"/>
          </w:tcPr>
          <w:p w14:paraId="1FF4B24B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Kis kockázatú vegyi hatóanyagok, amelyeket az 1107/2009/EK rendelet 22. cikke alapján jóváhagytak, vagy jóváhagyottnak tekintendők, és amelyek szerepelnek az 540/2011/EU végrehajtási rendelet mellékletének D. részében</w:t>
            </w:r>
          </w:p>
        </w:tc>
        <w:tc>
          <w:tcPr>
            <w:tcW w:w="2111" w:type="dxa"/>
          </w:tcPr>
          <w:p w14:paraId="09689AF3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jóváhagyott, vagy jóváhagyottnak tekintendő vegyi hatóanyagok, amelyek nem tartoznak más kategóriába, és amelyek szerepelnek az 540/2011/EU végrehajtási rendelet mellékletének A. és B. részében</w:t>
            </w:r>
          </w:p>
        </w:tc>
        <w:tc>
          <w:tcPr>
            <w:tcW w:w="2610" w:type="dxa"/>
          </w:tcPr>
          <w:p w14:paraId="0D0D1C7F" w14:textId="2F6C77CB" w:rsidR="001D3834" w:rsidRPr="00C86E2D" w:rsidRDefault="00FA7E56" w:rsidP="001D383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24. cikkével összhangban helyettesítésre jelölt anyagokként jóváhagyott és az 540/2011/EU végrehajtási rendelet mellékletének E. részében felsorolt, vagy az (EU) 2015/408 végrehajtási rendelet mellékletében felsorolt vegyi hatóanyagok</w:t>
            </w:r>
          </w:p>
        </w:tc>
        <w:tc>
          <w:tcPr>
            <w:tcW w:w="1474" w:type="dxa"/>
          </w:tcPr>
          <w:p w14:paraId="4B0ADACD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Azok a vegyi hatóanyagok, amelyeket az 1107/2009/EK rendelet alapján nem hagytak jóvá, és ezért nem szerepelnek az 540/2011/EU végrehajtási rendelet mellékletében</w:t>
            </w:r>
          </w:p>
        </w:tc>
      </w:tr>
      <w:tr w:rsidR="0066509A" w:rsidRPr="00C86E2D" w14:paraId="54217484" w14:textId="77777777" w:rsidTr="007B3445">
        <w:tc>
          <w:tcPr>
            <w:tcW w:w="936" w:type="dxa"/>
          </w:tcPr>
          <w:p w14:paraId="047D94D8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ii.</w:t>
            </w:r>
          </w:p>
        </w:tc>
        <w:tc>
          <w:tcPr>
            <w:tcW w:w="8306" w:type="dxa"/>
            <w:gridSpan w:val="4"/>
          </w:tcPr>
          <w:p w14:paraId="60C3D72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engedélyezett termékekben forgalomba hozott vegyi hatóanyagok mennyiségeire alkalmazandó veszélyességi súlyok</w:t>
            </w:r>
          </w:p>
        </w:tc>
      </w:tr>
      <w:tr w:rsidR="00FA7E56" w:rsidRPr="00C86E2D" w14:paraId="25013707" w14:textId="77777777" w:rsidTr="007B3445">
        <w:tc>
          <w:tcPr>
            <w:tcW w:w="936" w:type="dxa"/>
          </w:tcPr>
          <w:p w14:paraId="227FD022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iii.</w:t>
            </w:r>
          </w:p>
        </w:tc>
        <w:tc>
          <w:tcPr>
            <w:tcW w:w="2111" w:type="dxa"/>
          </w:tcPr>
          <w:p w14:paraId="1C607C93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2111" w:type="dxa"/>
          </w:tcPr>
          <w:p w14:paraId="3C97CD2C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8</w:t>
            </w:r>
          </w:p>
        </w:tc>
        <w:tc>
          <w:tcPr>
            <w:tcW w:w="2610" w:type="dxa"/>
          </w:tcPr>
          <w:p w14:paraId="26A6EC8C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16</w:t>
            </w:r>
          </w:p>
        </w:tc>
        <w:tc>
          <w:tcPr>
            <w:tcW w:w="1474" w:type="dxa"/>
          </w:tcPr>
          <w:p w14:paraId="6CCD8F59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64</w:t>
            </w:r>
          </w:p>
        </w:tc>
      </w:tr>
    </w:tbl>
    <w:p w14:paraId="3AA8DE63" w14:textId="77777777" w:rsidR="00FA7E56" w:rsidRPr="00C86E2D" w:rsidRDefault="00FA7E56" w:rsidP="00FA7E56">
      <w:pPr>
        <w:rPr>
          <w:b/>
          <w:bCs/>
          <w:noProof/>
          <w:szCs w:val="24"/>
        </w:rPr>
      </w:pPr>
    </w:p>
    <w:p w14:paraId="7B684371" w14:textId="28EBCB48" w:rsidR="00FA7E56" w:rsidRPr="00C86E2D" w:rsidRDefault="009F37B9" w:rsidP="007B3445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Az 1. csökkentési cél alapértéke 100, amely megegyezik a fenti számítás átlagos eredményével a 2015–2017-es időszakra. </w:t>
      </w:r>
    </w:p>
    <w:p w14:paraId="69F05131" w14:textId="6F839961" w:rsidR="00FA7E56" w:rsidRPr="00C86E2D" w:rsidRDefault="009F37B9" w:rsidP="007B3445">
      <w:pPr>
        <w:pStyle w:val="Point0"/>
        <w:rPr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 xml:space="preserve">Az 1. csökkentési cél elérése felé tett előrehaladást az alapértékkel való összefüggésben kell kifejezni. </w:t>
      </w:r>
    </w:p>
    <w:p w14:paraId="4367AA7B" w14:textId="03656BF9" w:rsidR="00FA7E56" w:rsidRPr="00C86E2D" w:rsidRDefault="009F37B9" w:rsidP="007B3445">
      <w:pPr>
        <w:pStyle w:val="Point0"/>
        <w:rPr>
          <w:noProof/>
          <w:szCs w:val="24"/>
        </w:rPr>
      </w:pPr>
      <w:r w:rsidRPr="00C86E2D">
        <w:rPr>
          <w:noProof/>
        </w:rPr>
        <w:t>6.</w:t>
      </w:r>
      <w:r w:rsidRPr="00C86E2D">
        <w:rPr>
          <w:noProof/>
        </w:rPr>
        <w:tab/>
        <w:t>A Bizottság minden naptári évre vonatkozóan és legkésőbb 20 hónappal azon év végét követően, amelyre vonatkozóan az 1. csökkentési célt kiszámítja, e rendelet 34. cikkének (2) bekezdésével összhangban kiszámítja az 1. csökkentési cél elérése felé tett előrehaladást.</w:t>
      </w:r>
    </w:p>
    <w:p w14:paraId="7B03F6D0" w14:textId="77777777" w:rsidR="00FA7E56" w:rsidRPr="00C86E2D" w:rsidRDefault="00FA7E56" w:rsidP="00FA7E56">
      <w:pPr>
        <w:jc w:val="center"/>
        <w:rPr>
          <w:noProof/>
          <w:szCs w:val="24"/>
        </w:rPr>
      </w:pPr>
    </w:p>
    <w:p w14:paraId="62208A5D" w14:textId="77777777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2. SZAKASZ</w:t>
      </w:r>
    </w:p>
    <w:p w14:paraId="1568F4EB" w14:textId="73CCD442" w:rsidR="00FA7E56" w:rsidRPr="00C86E2D" w:rsidRDefault="00AA512C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 xml:space="preserve">2. nemzeti csökkentési cél: a veszélyesebb növényvédő szerek használatának csökkentése felé tett előrelépés becslésének módszertana </w:t>
      </w:r>
    </w:p>
    <w:p w14:paraId="76889AC2" w14:textId="7FA3A350" w:rsidR="00FA7E56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A módszertan az 1107/2009/EK rendelet értelmében a növényvédő szerekben forgalomba hozott hatóanyagok mennyiségére vonatkozó statisztikákon alapul, amelyeket az 1185/2009/EK rendelet I. melléklete értelmében bocsátottak a Bizottság rendelkezésére. </w:t>
      </w:r>
    </w:p>
    <w:p w14:paraId="71A5F7F0" w14:textId="1717F9AF" w:rsidR="00FA7E56" w:rsidRPr="00C86E2D" w:rsidRDefault="00FA7E56" w:rsidP="007B3445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 xml:space="preserve">A 2. cél elérése felé tett előrehaladást az évente forgalomba hozott veszélyesebb növényvédő szerekben található vegyi hatóanyagok éves mennyiségének összeadásával kell kiszámítani. </w:t>
      </w:r>
    </w:p>
    <w:p w14:paraId="0725AEF2" w14:textId="082CB3F7" w:rsidR="00FA7E56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 xml:space="preserve">A 2. csökkentési cél alapértéke 100, amely megegyezik a fenti számítás átlagos eredményével a 2015–2017-es időszakra. </w:t>
      </w:r>
    </w:p>
    <w:p w14:paraId="4BB53E06" w14:textId="21D0EF74" w:rsidR="00FA7E56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A 2. csökkentési cél elérése felé tett előrehaladást az alapértékkel való összefüggésben kell kifejezni. </w:t>
      </w:r>
    </w:p>
    <w:p w14:paraId="03194A4B" w14:textId="1B502393" w:rsidR="00FA7E56" w:rsidRPr="00C86E2D" w:rsidRDefault="007B3445" w:rsidP="007B3445">
      <w:pPr>
        <w:pStyle w:val="Point0"/>
        <w:rPr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>A Bizottság minden naptári évre vonatkozóan és legkésőbb 20 hónappal azon év végét követően, amelyre vonatkozóan a 2. csökkentési célt kiszámítja, e rendelet 34. cikkének (2) bekezdésével összhangban kiszámítja a 2. csökkentési cél elérése felé tett előrehaladást.</w:t>
      </w:r>
    </w:p>
    <w:p w14:paraId="7C43D81D" w14:textId="34477C0F" w:rsidR="00FA7E56" w:rsidRPr="00C86E2D" w:rsidRDefault="00FA7E56" w:rsidP="00FA7E56">
      <w:pPr>
        <w:rPr>
          <w:noProof/>
        </w:rPr>
      </w:pPr>
    </w:p>
    <w:p w14:paraId="28AB984E" w14:textId="77777777" w:rsidR="000E60B2" w:rsidRPr="00C86E2D" w:rsidRDefault="000E60B2" w:rsidP="000E60B2">
      <w:pPr>
        <w:jc w:val="center"/>
        <w:rPr>
          <w:noProof/>
          <w:szCs w:val="24"/>
        </w:rPr>
      </w:pPr>
      <w:r w:rsidRPr="00C86E2D">
        <w:rPr>
          <w:noProof/>
        </w:rPr>
        <w:t>3. SZAKASZ</w:t>
      </w:r>
    </w:p>
    <w:p w14:paraId="59FEAF11" w14:textId="6C7190F9" w:rsidR="000E60B2" w:rsidRPr="00C86E2D" w:rsidRDefault="000E60B2" w:rsidP="000E60B2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 xml:space="preserve">Uniós csökkentési célok </w:t>
      </w:r>
    </w:p>
    <w:p w14:paraId="7E5EFD45" w14:textId="5BD380BD" w:rsidR="000E60B2" w:rsidRPr="00C86E2D" w:rsidRDefault="00E65BCC" w:rsidP="00E65BCC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A 2030-ra vonatkozó két uniós csökkentési cél irányába tett előrehaladással kapcsolatos tendencia kiszámítására használt módszernek meg kell egyeznie a nemzeti szintű előrehaladással kapcsolatos tendencia kiszámításának az 1. és 2. szakaszban meghatározott módszerével. </w:t>
      </w:r>
    </w:p>
    <w:p w14:paraId="1D2738EE" w14:textId="3F675A6A" w:rsidR="000E60B2" w:rsidRPr="00C86E2D" w:rsidRDefault="00E65BCC" w:rsidP="00E65BCC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>A nemzeti szintű tendenciát az 1107/2009/EK rendelet értelmében a peszticidekben forgalomba hozott, e rendelet 3. cikkének 3. pontjában meghatározott vegyi hatóanyagok mennyiségére vonatkozó nemzeti statisztikák alapján kell kiszámítani, amelyeket az 1185/2009/EK rendelet I. melléklete (A peszticidek forgalomba hozatalára vonatkozó statisztikák) értelmében bocsátottak a Bizottság rendelkezésére.</w:t>
      </w:r>
    </w:p>
    <w:p w14:paraId="04BFB57E" w14:textId="31B289EF" w:rsidR="000E60B2" w:rsidRPr="00C86E2D" w:rsidRDefault="00E65BCC" w:rsidP="00E65BCC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>Az uniós szintű tendenciát az 1107/2009/EK rendelet értelmében a peszticidekben forgalomba hozott, e rendelet 3. cikkének 3. pontjában meghatározott vegyi hatóanyagok mennyiségére vonatkozó uniós statisztikák alapján kell kiszámítani, amelyeket az 1185/2009/EK rendelet I. melléklete (A peszticidek forgalomba hozatalára vonatkozó statisztikák) értelmében bocsátottak a Bizottság rendelkezésére.</w:t>
      </w:r>
    </w:p>
    <w:p w14:paraId="4910E560" w14:textId="77777777" w:rsidR="000E60B2" w:rsidRPr="00C86E2D" w:rsidRDefault="000E60B2" w:rsidP="00FA7E56">
      <w:pPr>
        <w:rPr>
          <w:noProof/>
        </w:rPr>
        <w:sectPr w:rsidR="000E60B2" w:rsidRPr="00C86E2D" w:rsidSect="006B0D72">
          <w:footerReference w:type="default" r:id="rId23"/>
          <w:footerReference w:type="first" r:id="rId24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51C6CB92" w14:textId="77777777" w:rsidR="00FA7E56" w:rsidRPr="00C86E2D" w:rsidRDefault="00FA7E56" w:rsidP="00FA7E56">
      <w:pPr>
        <w:pStyle w:val="Annexetitre"/>
        <w:rPr>
          <w:noProof/>
        </w:rPr>
      </w:pPr>
      <w:r w:rsidRPr="00C86E2D">
        <w:rPr>
          <w:noProof/>
        </w:rPr>
        <w:t>II. MELLÉKLET</w:t>
      </w:r>
    </w:p>
    <w:p w14:paraId="527C7455" w14:textId="5908DBDD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b/>
          <w:noProof/>
        </w:rPr>
        <w:t>AZ ÉVES EREDMÉNY- ÉS VÉGREHAJTÁSI JELENTÉSEK KERETÉBEN MINDEN NAPTÁRI ÉV AUGUSZTUS 31-IG BENYÚJTANDÓ ADATOK</w:t>
      </w:r>
    </w:p>
    <w:p w14:paraId="0B87C7FC" w14:textId="77777777" w:rsidR="00FA7E56" w:rsidRPr="00C86E2D" w:rsidRDefault="00FA7E56" w:rsidP="00FA7E56">
      <w:pPr>
        <w:rPr>
          <w:noProof/>
          <w:szCs w:val="24"/>
        </w:rPr>
      </w:pPr>
    </w:p>
    <w:p w14:paraId="730FBF9F" w14:textId="73BA093F" w:rsidR="00FA7E56" w:rsidRPr="00C86E2D" w:rsidRDefault="000753DE" w:rsidP="6B25E89D">
      <w:pPr>
        <w:rPr>
          <w:noProof/>
          <w:u w:val="single"/>
        </w:rPr>
      </w:pPr>
      <w:r w:rsidRPr="00C86E2D">
        <w:rPr>
          <w:noProof/>
          <w:u w:val="single"/>
        </w:rPr>
        <w:t>1. rész: A 2030-ra vonatkozó nemzeti csökkentési célok elérésében mutatkozó éves tendenciák</w:t>
      </w:r>
    </w:p>
    <w:p w14:paraId="3E3735FE" w14:textId="0C17CB63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a 10. cikk (2) bekezdésének a) pontjában említett, 2030-ra vonatkozó </w:t>
      </w:r>
      <w:r w:rsidRPr="00C86E2D">
        <w:rPr>
          <w:noProof/>
          <w:shd w:val="clear" w:color="auto" w:fill="FFFFFF"/>
        </w:rPr>
        <w:t xml:space="preserve">nemzeti </w:t>
      </w:r>
      <w:r w:rsidRPr="00C86E2D">
        <w:rPr>
          <w:noProof/>
        </w:rPr>
        <w:t>csökkentési célok elérése felé tett tagállami előrehaladásban mutatkozó tendenciák;</w:t>
      </w:r>
    </w:p>
    <w:p w14:paraId="2E7E6EF9" w14:textId="0FA2E17C" w:rsidR="00FA7E56" w:rsidRPr="00C86E2D" w:rsidRDefault="00CA5657" w:rsidP="000753DE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>a 9. cikk (2) bekezdésének a) pontjában, a 9. cikk (3) bekezdésének a) pontjában, valamint a 9. cikk (4) bekezdésében említett minden más nemzeti célelőirányzat.</w:t>
      </w:r>
    </w:p>
    <w:p w14:paraId="43740792" w14:textId="77777777" w:rsidR="00FA7E56" w:rsidRPr="00C86E2D" w:rsidRDefault="00FA7E56" w:rsidP="00FA7E56">
      <w:pPr>
        <w:rPr>
          <w:noProof/>
          <w:szCs w:val="24"/>
        </w:rPr>
      </w:pPr>
    </w:p>
    <w:p w14:paraId="55533FF5" w14:textId="76B10478" w:rsidR="00FA7E56" w:rsidRPr="00C86E2D" w:rsidRDefault="00FA7E56" w:rsidP="00FA7E56">
      <w:pPr>
        <w:rPr>
          <w:noProof/>
          <w:szCs w:val="24"/>
          <w:u w:val="single"/>
        </w:rPr>
      </w:pPr>
      <w:r w:rsidRPr="00C86E2D">
        <w:rPr>
          <w:noProof/>
          <w:u w:val="single"/>
        </w:rPr>
        <w:t>2. rész: Az e rendelet végrehajtása és a rendeletnek való megfelelés szintje szempontjából releváns minden egyéb mennyiségi adat</w:t>
      </w:r>
    </w:p>
    <w:p w14:paraId="75C984A0" w14:textId="77777777" w:rsidR="00FA7E56" w:rsidRPr="00C86E2D" w:rsidRDefault="00FA7E56" w:rsidP="00FA7E56">
      <w:pPr>
        <w:rPr>
          <w:noProof/>
          <w:szCs w:val="24"/>
        </w:rPr>
      </w:pPr>
      <w:r w:rsidRPr="00C86E2D">
        <w:rPr>
          <w:noProof/>
        </w:rPr>
        <w:t>A növényvédő szerek felhasználása:</w:t>
      </w:r>
    </w:p>
    <w:p w14:paraId="4EF1DA2C" w14:textId="77777777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>az integrált növényvédelem megvalósítása tekintetében ellenőrzött hivatásos felhasználók százalékos aránya;</w:t>
      </w:r>
    </w:p>
    <w:p w14:paraId="2F4BA121" w14:textId="573A5DEF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>azon hivatásos felhasználók százalékos aránya, akik nem tesznek eleget az integrált növényvédelem végrehajtásának elektronikus nyilvántartására vonatkozó kötelezettségüknek;</w:t>
      </w:r>
    </w:p>
    <w:p w14:paraId="03712BFC" w14:textId="2CF64223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>azon hivatásos felhasználók százalékos aránya, akik nem tettek eleget a peszticidek felhasználására vonatkozó adatok elektronikus nyilvántartási kötelezettségének;</w:t>
      </w:r>
    </w:p>
    <w:p w14:paraId="27B1107B" w14:textId="1B38A462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>a légi kijuttatásra vonatkozó engedélyek száma, az engedélyek érvényességi ideje, valamint az érintett területek nagysága és elhelyezkedése, és az engedélyek megadásának indoklása;</w:t>
      </w:r>
    </w:p>
    <w:p w14:paraId="4ED1FF6C" w14:textId="12DF7951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>a hasznosított mezőgazdasági területek és a légi kijuttatásra vonatkozó engedélyek hatálya alá tartozó egyéb területek százalékos aránya;</w:t>
      </w:r>
    </w:p>
    <w:p w14:paraId="6940A9AC" w14:textId="223DDFD6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6.</w:t>
      </w:r>
      <w:r w:rsidRPr="00C86E2D">
        <w:rPr>
          <w:noProof/>
        </w:rPr>
        <w:tab/>
        <w:t>a növényvédő szerek érzékeny területeken történő használatára vonatkozó engedélyek száma;</w:t>
      </w:r>
    </w:p>
    <w:p w14:paraId="70BA2AB6" w14:textId="1166372A" w:rsidR="00FA7E56" w:rsidRPr="00C86E2D" w:rsidRDefault="000753DE" w:rsidP="000753DE">
      <w:pPr>
        <w:pStyle w:val="Point0"/>
        <w:rPr>
          <w:noProof/>
          <w:szCs w:val="24"/>
        </w:rPr>
      </w:pPr>
      <w:r w:rsidRPr="00C86E2D">
        <w:rPr>
          <w:noProof/>
        </w:rPr>
        <w:t>7.</w:t>
      </w:r>
      <w:r w:rsidRPr="00C86E2D">
        <w:rPr>
          <w:noProof/>
        </w:rPr>
        <w:tab/>
        <w:t>a hasznosított mezőgazdasági terület és az egyéb, a növényvédő szerek érzékeny területeken való használatára vonatkozó engedélyek hatálya alá tartozó területek százalékos aránya;</w:t>
      </w:r>
    </w:p>
    <w:p w14:paraId="31667D83" w14:textId="5A147697" w:rsidR="00C12CC9" w:rsidRPr="00C86E2D" w:rsidRDefault="00C12CC9" w:rsidP="000753DE">
      <w:pPr>
        <w:pStyle w:val="Point0"/>
        <w:rPr>
          <w:noProof/>
          <w:szCs w:val="24"/>
        </w:rPr>
      </w:pPr>
      <w:r w:rsidRPr="00C86E2D">
        <w:rPr>
          <w:noProof/>
        </w:rPr>
        <w:t>8.</w:t>
      </w:r>
      <w:r w:rsidRPr="00C86E2D">
        <w:rPr>
          <w:noProof/>
        </w:rPr>
        <w:tab/>
        <w:t xml:space="preserve">a felhasznált illegális növényvédő szerek becsült mennyisége és a felfedezett illegális növényvédő szerek mennyisége;  </w:t>
      </w:r>
    </w:p>
    <w:p w14:paraId="3105724B" w14:textId="7DB915BD" w:rsidR="00FA7E56" w:rsidRPr="00C86E2D" w:rsidRDefault="00C12CC9" w:rsidP="000753DE">
      <w:pPr>
        <w:pStyle w:val="Point0"/>
        <w:rPr>
          <w:noProof/>
          <w:szCs w:val="24"/>
        </w:rPr>
      </w:pPr>
      <w:r w:rsidRPr="00C86E2D">
        <w:rPr>
          <w:noProof/>
        </w:rPr>
        <w:t>9.</w:t>
      </w:r>
      <w:r w:rsidRPr="00C86E2D">
        <w:rPr>
          <w:noProof/>
        </w:rPr>
        <w:tab/>
        <w:t>az, hogy a tagállamok alkalmaztak-e eltéréseket, amelyek lehetővé teszik a következőket:</w:t>
      </w:r>
    </w:p>
    <w:p w14:paraId="38FE698F" w14:textId="3723C3B3" w:rsidR="00FA7E56" w:rsidRPr="00C86E2D" w:rsidRDefault="000753DE" w:rsidP="000753DE">
      <w:pPr>
        <w:pStyle w:val="Point1"/>
        <w:rPr>
          <w:noProof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eltérő vizsgálati követelmények a hivatásos felhasználásban alkalmazott kijuttató berendezésekkel szemben, amelyek használata nagyon csekély arányú; vagy </w:t>
      </w:r>
    </w:p>
    <w:p w14:paraId="13246347" w14:textId="48EF9EC7" w:rsidR="00FA7E56" w:rsidRPr="00C86E2D" w:rsidRDefault="000753DE" w:rsidP="000753DE">
      <w:pPr>
        <w:pStyle w:val="Point1"/>
        <w:rPr>
          <w:noProof/>
          <w:szCs w:val="24"/>
        </w:rPr>
      </w:pPr>
      <w:r w:rsidRPr="00C86E2D">
        <w:rPr>
          <w:noProof/>
        </w:rPr>
        <w:t>b)</w:t>
      </w:r>
      <w:r w:rsidRPr="00C86E2D">
        <w:rPr>
          <w:noProof/>
        </w:rPr>
        <w:tab/>
        <w:t>mentesség a vizsgálat alól a hivatásos felhasználásban alkalmazott, kézi kijuttató berendezések vagy háti permetezők esetén.</w:t>
      </w:r>
    </w:p>
    <w:p w14:paraId="2986915D" w14:textId="77777777" w:rsidR="00FA7E56" w:rsidRPr="00C86E2D" w:rsidRDefault="00FA7E56" w:rsidP="00FA7E56">
      <w:pPr>
        <w:rPr>
          <w:noProof/>
          <w:szCs w:val="24"/>
        </w:rPr>
      </w:pPr>
      <w:r w:rsidRPr="00C86E2D">
        <w:rPr>
          <w:noProof/>
        </w:rPr>
        <w:t>Képzési és tanácsadási szolgáltatások:</w:t>
      </w:r>
    </w:p>
    <w:p w14:paraId="2A8361F2" w14:textId="78EB82ED" w:rsidR="00FA7E56" w:rsidRPr="00C86E2D" w:rsidRDefault="00E65BCC" w:rsidP="000753DE">
      <w:pPr>
        <w:pStyle w:val="Point0"/>
        <w:rPr>
          <w:noProof/>
          <w:szCs w:val="24"/>
        </w:rPr>
      </w:pPr>
      <w:r w:rsidRPr="00C86E2D">
        <w:rPr>
          <w:noProof/>
        </w:rPr>
        <w:t>10.</w:t>
      </w:r>
      <w:r w:rsidRPr="00C86E2D">
        <w:rPr>
          <w:noProof/>
        </w:rPr>
        <w:tab/>
        <w:t>a III. mellékletben felsorolt témákban képzett és a 25. cikk szerinti képzési bizonyítvánnyal rendelkező azon hivatásos felhasználók, tanácsadók és forgalmazók százalékos aránya, akik rendelkeznek a 25. cikk (5) bekezdése szerinti valamely központi elektronikus nyilvántartásba történt felvételre vonatkozó bizonyítékkal (hivatásos felhasználó, tanácsadó és forgalmazó szerinti bontásban);</w:t>
      </w:r>
    </w:p>
    <w:p w14:paraId="0D514D7F" w14:textId="7E0AAD36" w:rsidR="00FA7E56" w:rsidRPr="00C86E2D" w:rsidRDefault="00E65BCC" w:rsidP="000753DE">
      <w:pPr>
        <w:pStyle w:val="Point0"/>
        <w:rPr>
          <w:noProof/>
          <w:szCs w:val="24"/>
        </w:rPr>
      </w:pPr>
      <w:r w:rsidRPr="00C86E2D">
        <w:rPr>
          <w:noProof/>
        </w:rPr>
        <w:t>11.</w:t>
      </w:r>
      <w:r w:rsidRPr="00C86E2D">
        <w:rPr>
          <w:noProof/>
        </w:rPr>
        <w:tab/>
        <w:t>azon hivatásos felhasználók százalékos aránya, akik nem tettek eleget azon kötelezettségüknek, hogy évente legalább egyszer igénybe vegyék a független tanácsadói szolgáltatásokat.</w:t>
      </w:r>
    </w:p>
    <w:p w14:paraId="170514C4" w14:textId="7D20E8E6" w:rsidR="00FA7E56" w:rsidRPr="00C86E2D" w:rsidRDefault="00FA7E56" w:rsidP="00FA7E56">
      <w:pPr>
        <w:rPr>
          <w:noProof/>
          <w:szCs w:val="24"/>
        </w:rPr>
      </w:pPr>
      <w:r w:rsidRPr="00C86E2D">
        <w:rPr>
          <w:noProof/>
        </w:rPr>
        <w:t>Foglalkozásszerű felhasználásban alkalmazott kijuttató berendezések:</w:t>
      </w:r>
    </w:p>
    <w:p w14:paraId="38FA557C" w14:textId="755D25DB" w:rsidR="00FA7E56" w:rsidRPr="00C86E2D" w:rsidRDefault="00E65BCC" w:rsidP="000753DE">
      <w:pPr>
        <w:pStyle w:val="Point0"/>
        <w:rPr>
          <w:noProof/>
          <w:szCs w:val="24"/>
        </w:rPr>
      </w:pPr>
      <w:r w:rsidRPr="00C86E2D">
        <w:rPr>
          <w:noProof/>
        </w:rPr>
        <w:t>12.</w:t>
      </w:r>
      <w:r w:rsidRPr="00C86E2D">
        <w:rPr>
          <w:noProof/>
        </w:rPr>
        <w:tab/>
        <w:t>a foglalkozásszerű felhasználásban alkalmazott azon kijuttató berendezések becsült százalékos aránya, amelyek szerepelnek a hivatásos felhasználásban alkalmazott, növényvédő szerek kijuttatásához használt berendezések elektronikus nyilvántartásában;</w:t>
      </w:r>
    </w:p>
    <w:p w14:paraId="76AE3BF4" w14:textId="175ED64F" w:rsidR="00FA7E56" w:rsidRPr="00C86E2D" w:rsidRDefault="00141CE9" w:rsidP="000753DE">
      <w:pPr>
        <w:pStyle w:val="Point0"/>
        <w:rPr>
          <w:noProof/>
          <w:szCs w:val="24"/>
        </w:rPr>
      </w:pPr>
      <w:r w:rsidRPr="00C86E2D">
        <w:rPr>
          <w:noProof/>
        </w:rPr>
        <w:t>13.</w:t>
      </w:r>
      <w:r w:rsidRPr="00C86E2D">
        <w:rPr>
          <w:noProof/>
        </w:rPr>
        <w:tab/>
        <w:t>a foglalkozásszerű felhasználásban alkalmazott olyan, nyilvántartásba vett kijuttató berendezések százalékos aránya, amelyek esetében esedékes a vizsgálat, és a vizsgálatra sor is került;</w:t>
      </w:r>
    </w:p>
    <w:p w14:paraId="153EEB8A" w14:textId="524F38A1" w:rsidR="00FA7E56" w:rsidRPr="00C86E2D" w:rsidRDefault="00141CE9" w:rsidP="000753DE">
      <w:pPr>
        <w:pStyle w:val="Point0"/>
        <w:rPr>
          <w:noProof/>
          <w:szCs w:val="24"/>
        </w:rPr>
      </w:pPr>
      <w:r w:rsidRPr="00C86E2D">
        <w:rPr>
          <w:noProof/>
        </w:rPr>
        <w:t>14.</w:t>
      </w:r>
      <w:r w:rsidRPr="00C86E2D">
        <w:rPr>
          <w:noProof/>
        </w:rPr>
        <w:tab/>
        <w:t>a foglalkozásszerű felhasználásban alkalmazott olyan kijuttató berendezések százalékos aránya, amelyek a vizsgálat időpontjában fel vannak szerelve kockázatcsökkentő eszközökkel.</w:t>
      </w:r>
    </w:p>
    <w:p w14:paraId="64CBCD19" w14:textId="77777777" w:rsidR="00FA7E56" w:rsidRPr="00C86E2D" w:rsidRDefault="00FA7E56" w:rsidP="00FA7E56">
      <w:pPr>
        <w:rPr>
          <w:noProof/>
          <w:szCs w:val="24"/>
        </w:rPr>
      </w:pPr>
      <w:r w:rsidRPr="00C86E2D">
        <w:rPr>
          <w:noProof/>
        </w:rPr>
        <w:t>További tagállami intézkedések az integrált növényvédelem végrehajtására:</w:t>
      </w:r>
    </w:p>
    <w:p w14:paraId="798813DE" w14:textId="7AA3FF34" w:rsidR="00FA7E56" w:rsidRPr="00C86E2D" w:rsidRDefault="000753DE" w:rsidP="6B25E89D">
      <w:pPr>
        <w:pStyle w:val="Point0"/>
        <w:rPr>
          <w:noProof/>
        </w:rPr>
      </w:pPr>
      <w:r w:rsidRPr="00C86E2D">
        <w:rPr>
          <w:noProof/>
        </w:rPr>
        <w:t>15.</w:t>
      </w:r>
      <w:r w:rsidRPr="00C86E2D">
        <w:rPr>
          <w:noProof/>
        </w:rPr>
        <w:tab/>
        <w:t>az egyes tagállamokban az olyan hasznosított mezőgazdasági terület százalékos aránya, amelyre a nemzeti jogszabályok alapján jogilag kötelező erejű terményspecifikus szabályok vonatkoznak.</w:t>
      </w:r>
    </w:p>
    <w:p w14:paraId="746F190A" w14:textId="77777777" w:rsidR="00FA7E56" w:rsidRPr="00C86E2D" w:rsidRDefault="00FA7E56" w:rsidP="00FA7E56">
      <w:pPr>
        <w:rPr>
          <w:noProof/>
        </w:rPr>
        <w:sectPr w:rsidR="00FA7E56" w:rsidRPr="00C86E2D" w:rsidSect="006B0D72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0E49EE8" w14:textId="71E59021" w:rsidR="00FA7E56" w:rsidRPr="00C86E2D" w:rsidRDefault="6B25E89D" w:rsidP="6B25E89D">
      <w:pPr>
        <w:pStyle w:val="Annexetitre"/>
        <w:rPr>
          <w:noProof/>
        </w:rPr>
      </w:pPr>
      <w:r w:rsidRPr="00C86E2D">
        <w:rPr>
          <w:noProof/>
        </w:rPr>
        <w:t xml:space="preserve">III. MELLÉKLET </w:t>
      </w:r>
    </w:p>
    <w:p w14:paraId="4DB0F5F5" w14:textId="44C4A3FC" w:rsidR="00FA7E56" w:rsidRPr="00C86E2D" w:rsidRDefault="6B25E89D" w:rsidP="6B25E89D">
      <w:pPr>
        <w:shd w:val="clear" w:color="auto" w:fill="FFFFFF" w:themeFill="background1"/>
        <w:spacing w:before="240" w:line="312" w:lineRule="atLeast"/>
        <w:jc w:val="center"/>
        <w:rPr>
          <w:rFonts w:eastAsia="Times New Roman"/>
          <w:b/>
          <w:bCs/>
          <w:noProof/>
        </w:rPr>
      </w:pPr>
      <w:r w:rsidRPr="00C86E2D">
        <w:rPr>
          <w:b/>
          <w:noProof/>
        </w:rPr>
        <w:t>A 25. CIKKBEN EMLÍTETT KÉPZÉSI TÉMÁK</w:t>
      </w:r>
    </w:p>
    <w:p w14:paraId="18D8A361" w14:textId="1E44B82C" w:rsidR="000753DE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>A növényvédő szerekkel és azok felhasználásával és kockázataival kapcsolatos összes vonatkozó jogszabály, és különösen ez a rendelet. A következő jogszabályok irányadóak (nem kizárólagosan):</w:t>
      </w:r>
    </w:p>
    <w:p w14:paraId="178EAA23" w14:textId="4747DAE0" w:rsidR="008F68B9" w:rsidRPr="00C86E2D" w:rsidRDefault="00840C9B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1107/2009/EK rendelete</w:t>
      </w:r>
      <w:r w:rsidRPr="00C86E2D">
        <w:rPr>
          <w:rStyle w:val="FootnoteReference"/>
          <w:noProof/>
          <w:szCs w:val="24"/>
        </w:rPr>
        <w:footnoteReference w:id="4"/>
      </w:r>
    </w:p>
    <w:p w14:paraId="5721C19A" w14:textId="51731FF6" w:rsidR="008F68B9" w:rsidRPr="00C86E2D" w:rsidRDefault="008F68B9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396/2005/EK rendelete</w:t>
      </w:r>
      <w:r w:rsidRPr="00C86E2D">
        <w:rPr>
          <w:rStyle w:val="FootnoteReference"/>
          <w:rFonts w:eastAsia="Calibri"/>
          <w:noProof/>
          <w:szCs w:val="24"/>
        </w:rPr>
        <w:footnoteReference w:id="5"/>
      </w:r>
    </w:p>
    <w:p w14:paraId="450D1653" w14:textId="0DA1FCF7" w:rsidR="008F68B9" w:rsidRPr="00C86E2D" w:rsidRDefault="00840C9B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528/2012/EU rendelete</w:t>
      </w:r>
      <w:r w:rsidRPr="00C86E2D">
        <w:rPr>
          <w:rStyle w:val="FootnoteReference"/>
          <w:noProof/>
          <w:szCs w:val="24"/>
        </w:rPr>
        <w:footnoteReference w:id="6"/>
      </w:r>
    </w:p>
    <w:p w14:paraId="221E3EC7" w14:textId="11AEF893" w:rsidR="008F68B9" w:rsidRPr="00C86E2D" w:rsidRDefault="008F68B9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1185/2009/EK rendelete</w:t>
      </w:r>
      <w:r w:rsidRPr="00C86E2D">
        <w:rPr>
          <w:rStyle w:val="FootnoteReference"/>
          <w:rFonts w:eastAsia="Calibri"/>
          <w:noProof/>
          <w:szCs w:val="24"/>
        </w:rPr>
        <w:footnoteReference w:id="7"/>
      </w:r>
    </w:p>
    <w:p w14:paraId="7D5B1CD9" w14:textId="4B81203F" w:rsidR="008F68B9" w:rsidRPr="00C86E2D" w:rsidRDefault="008F68B9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1272/2008/EK rendelete</w:t>
      </w:r>
      <w:r w:rsidRPr="00C86E2D">
        <w:rPr>
          <w:rStyle w:val="FootnoteReference"/>
          <w:rFonts w:eastAsia="Calibri"/>
          <w:noProof/>
          <w:szCs w:val="24"/>
        </w:rPr>
        <w:footnoteReference w:id="8"/>
      </w:r>
    </w:p>
    <w:p w14:paraId="2B6EB8C1" w14:textId="021604B9" w:rsidR="008F68B9" w:rsidRPr="00C86E2D" w:rsidRDefault="00840C9B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(EU) 2017/625 rendelete</w:t>
      </w:r>
      <w:r w:rsidRPr="00C86E2D">
        <w:rPr>
          <w:rStyle w:val="FootnoteReference"/>
          <w:rFonts w:eastAsia="Times New Roman"/>
          <w:noProof/>
          <w:szCs w:val="24"/>
          <w:lang w:eastAsia="en-IE"/>
        </w:rPr>
        <w:footnoteReference w:id="9"/>
      </w:r>
    </w:p>
    <w:p w14:paraId="783E356E" w14:textId="3F744442" w:rsidR="00BC3914" w:rsidRPr="00C86E2D" w:rsidRDefault="00840C9B" w:rsidP="00E65BCC">
      <w:pPr>
        <w:pStyle w:val="Text1"/>
        <w:rPr>
          <w:rFonts w:eastAsia="Times New Roman"/>
          <w:noProof/>
          <w:szCs w:val="24"/>
        </w:rPr>
      </w:pPr>
      <w:r w:rsidRPr="00C86E2D">
        <w:rPr>
          <w:noProof/>
        </w:rPr>
        <w:t>Az Európai Parlament és a Tanács (EU) 2021/2115 rendelete</w:t>
      </w:r>
      <w:r w:rsidRPr="00C86E2D">
        <w:rPr>
          <w:rStyle w:val="FootnoteReference"/>
          <w:rFonts w:eastAsia="Times New Roman"/>
          <w:noProof/>
          <w:szCs w:val="24"/>
          <w:lang w:eastAsia="en-IE"/>
        </w:rPr>
        <w:footnoteReference w:id="10"/>
      </w:r>
    </w:p>
    <w:p w14:paraId="6A6B6C45" w14:textId="557738C5" w:rsidR="008F35D4" w:rsidRPr="00C86E2D" w:rsidRDefault="008F35D4" w:rsidP="00E65BCC">
      <w:pPr>
        <w:pStyle w:val="Text1"/>
        <w:rPr>
          <w:rFonts w:eastAsia="Times New Roman"/>
          <w:noProof/>
          <w:szCs w:val="24"/>
        </w:rPr>
      </w:pPr>
      <w:r w:rsidRPr="00C86E2D">
        <w:rPr>
          <w:noProof/>
        </w:rPr>
        <w:t>Az Európai Parlament és a Tanács 2006/42/EK irányelve</w:t>
      </w:r>
      <w:r w:rsidRPr="00C86E2D">
        <w:rPr>
          <w:rStyle w:val="FootnoteReference"/>
          <w:noProof/>
        </w:rPr>
        <w:footnoteReference w:id="11"/>
      </w:r>
    </w:p>
    <w:p w14:paraId="3051D172" w14:textId="2CF2C361" w:rsidR="008F68B9" w:rsidRPr="00C86E2D" w:rsidRDefault="00BC3914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2009/127/EK irányelve</w:t>
      </w:r>
      <w:r w:rsidRPr="00C86E2D">
        <w:rPr>
          <w:rStyle w:val="FootnoteReference"/>
          <w:rFonts w:eastAsia="Calibri"/>
          <w:noProof/>
          <w:szCs w:val="24"/>
        </w:rPr>
        <w:footnoteReference w:id="12"/>
      </w:r>
    </w:p>
    <w:p w14:paraId="2E4DA7F9" w14:textId="7D83DBA4" w:rsidR="00BC3914" w:rsidRPr="00C86E2D" w:rsidRDefault="008F68B9" w:rsidP="00E65BCC">
      <w:pPr>
        <w:pStyle w:val="Text1"/>
        <w:rPr>
          <w:noProof/>
          <w:szCs w:val="24"/>
        </w:rPr>
      </w:pPr>
      <w:r w:rsidRPr="00C86E2D">
        <w:rPr>
          <w:noProof/>
        </w:rPr>
        <w:t>Az Európai Parlament és a Tanács 2000/60/EK irányelve</w:t>
      </w:r>
      <w:r w:rsidRPr="00C86E2D">
        <w:rPr>
          <w:rStyle w:val="FootnoteReference"/>
          <w:noProof/>
          <w:szCs w:val="24"/>
          <w:lang w:eastAsia="en-IE"/>
        </w:rPr>
        <w:footnoteReference w:id="13"/>
      </w:r>
    </w:p>
    <w:p w14:paraId="285D1071" w14:textId="17C5A596" w:rsidR="008F68B9" w:rsidRPr="00C86E2D" w:rsidRDefault="00F16582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Tanács 89/391/EGK irányelve</w:t>
      </w:r>
      <w:r w:rsidRPr="00C86E2D">
        <w:rPr>
          <w:rStyle w:val="FootnoteReference"/>
          <w:rFonts w:eastAsia="Calibri"/>
          <w:noProof/>
          <w:szCs w:val="24"/>
        </w:rPr>
        <w:footnoteReference w:id="14"/>
      </w:r>
    </w:p>
    <w:p w14:paraId="7EA6D187" w14:textId="77777777" w:rsidR="00605045" w:rsidRPr="00C86E2D" w:rsidRDefault="00605045" w:rsidP="00605045">
      <w:pPr>
        <w:pStyle w:val="Text1"/>
        <w:rPr>
          <w:noProof/>
        </w:rPr>
      </w:pPr>
      <w:r w:rsidRPr="00C86E2D">
        <w:rPr>
          <w:noProof/>
        </w:rPr>
        <w:t>A Tanács 89/656/EGK irányelve</w:t>
      </w:r>
      <w:r w:rsidRPr="00C86E2D">
        <w:rPr>
          <w:rStyle w:val="FootnoteReference"/>
          <w:noProof/>
        </w:rPr>
        <w:footnoteReference w:id="15"/>
      </w:r>
      <w:r w:rsidRPr="00C86E2D">
        <w:rPr>
          <w:noProof/>
        </w:rPr>
        <w:t xml:space="preserve"> </w:t>
      </w:r>
    </w:p>
    <w:p w14:paraId="60C12B8A" w14:textId="77777777" w:rsidR="00605045" w:rsidRPr="00C86E2D" w:rsidRDefault="00605045" w:rsidP="00605045">
      <w:pPr>
        <w:pStyle w:val="Text1"/>
        <w:rPr>
          <w:noProof/>
        </w:rPr>
      </w:pPr>
      <w:r w:rsidRPr="00C86E2D">
        <w:rPr>
          <w:noProof/>
        </w:rPr>
        <w:t>A Tanács 98/24/EK irányelve</w:t>
      </w:r>
      <w:r w:rsidRPr="00C86E2D">
        <w:rPr>
          <w:rStyle w:val="FootnoteReference"/>
          <w:noProof/>
        </w:rPr>
        <w:footnoteReference w:id="16"/>
      </w:r>
      <w:r w:rsidRPr="00C86E2D">
        <w:rPr>
          <w:noProof/>
        </w:rPr>
        <w:t xml:space="preserve"> </w:t>
      </w:r>
    </w:p>
    <w:p w14:paraId="6DB044F1" w14:textId="77777777" w:rsidR="00605045" w:rsidRPr="00C86E2D" w:rsidRDefault="00605045" w:rsidP="00605045">
      <w:pPr>
        <w:pStyle w:val="Text1"/>
        <w:rPr>
          <w:noProof/>
        </w:rPr>
      </w:pPr>
      <w:r w:rsidRPr="00C86E2D">
        <w:rPr>
          <w:noProof/>
        </w:rPr>
        <w:t>Az Európai Parlament és a Tanács 2004/37/EK irányelve</w:t>
      </w:r>
      <w:r w:rsidRPr="00C86E2D">
        <w:rPr>
          <w:rStyle w:val="FootnoteReference"/>
          <w:noProof/>
        </w:rPr>
        <w:footnoteReference w:id="17"/>
      </w:r>
    </w:p>
    <w:p w14:paraId="6A73D079" w14:textId="1E51BC67" w:rsidR="00605045" w:rsidRPr="00C86E2D" w:rsidRDefault="00605045" w:rsidP="00605045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2009/104/EK irányelve</w:t>
      </w:r>
      <w:r w:rsidRPr="00C86E2D">
        <w:rPr>
          <w:rStyle w:val="FootnoteReference"/>
          <w:noProof/>
        </w:rPr>
        <w:footnoteReference w:id="18"/>
      </w:r>
    </w:p>
    <w:p w14:paraId="154C77D9" w14:textId="2C3ADC09" w:rsidR="008F68B9" w:rsidRPr="00C86E2D" w:rsidRDefault="00BC3914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1907/2006/EK rendelete</w:t>
      </w:r>
      <w:r w:rsidRPr="00C86E2D">
        <w:rPr>
          <w:rStyle w:val="FootnoteReference"/>
          <w:rFonts w:eastAsia="Calibri"/>
          <w:noProof/>
          <w:szCs w:val="24"/>
        </w:rPr>
        <w:footnoteReference w:id="19"/>
      </w:r>
    </w:p>
    <w:p w14:paraId="319E8D89" w14:textId="6918191D" w:rsidR="008F68B9" w:rsidRPr="00C86E2D" w:rsidRDefault="00BC3914" w:rsidP="00E65BCC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Európai Parlament és a Tanács 2008/68/EK irányelve</w:t>
      </w:r>
      <w:r w:rsidRPr="00C86E2D">
        <w:rPr>
          <w:rStyle w:val="FootnoteReference"/>
          <w:rFonts w:eastAsia="Calibri"/>
          <w:noProof/>
          <w:szCs w:val="24"/>
        </w:rPr>
        <w:footnoteReference w:id="20"/>
      </w:r>
    </w:p>
    <w:p w14:paraId="4A007EE1" w14:textId="77777777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>Az illegális és hamisított növényvédő szerek létezése és kockázatai, az ilyen termékek azonosításának módszerei, valamint az illegális növényvédő szerek értékesítésével vagy használatával kapcsolatos szankciók.</w:t>
      </w:r>
    </w:p>
    <w:p w14:paraId="101051E3" w14:textId="3317701F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>A növényvédő szerek használatának veszélyei és kockázatai, illetve ezek felismerése és szabályozása, beleértve az alábbi témákat:</w:t>
      </w:r>
    </w:p>
    <w:p w14:paraId="5D222444" w14:textId="00826136" w:rsidR="00EF27F7" w:rsidRPr="00C86E2D" w:rsidRDefault="00EF27F7" w:rsidP="00EF27F7">
      <w:pPr>
        <w:pStyle w:val="Point1"/>
        <w:rPr>
          <w:rFonts w:eastAsia="Times New Roman"/>
          <w:noProof/>
          <w:szCs w:val="24"/>
        </w:rPr>
      </w:pPr>
      <w:r w:rsidRPr="00C86E2D">
        <w:rPr>
          <w:noProof/>
        </w:rPr>
        <w:t>a)</w:t>
      </w:r>
      <w:r w:rsidRPr="00C86E2D">
        <w:rPr>
          <w:noProof/>
        </w:rPr>
        <w:tab/>
        <w:t>az emberi egészséget fenyegető kockázatok;</w:t>
      </w:r>
    </w:p>
    <w:p w14:paraId="01D62464" w14:textId="4E03CCAD" w:rsidR="00EF27F7" w:rsidRPr="00C86E2D" w:rsidRDefault="00EF27F7" w:rsidP="00EF27F7">
      <w:pPr>
        <w:pStyle w:val="Point1"/>
        <w:rPr>
          <w:rFonts w:eastAsia="Times New Roman"/>
          <w:noProof/>
          <w:szCs w:val="24"/>
        </w:rPr>
      </w:pPr>
      <w:r w:rsidRPr="00C86E2D">
        <w:rPr>
          <w:noProof/>
        </w:rPr>
        <w:t>b)</w:t>
      </w:r>
      <w:r w:rsidRPr="00C86E2D">
        <w:rPr>
          <w:noProof/>
        </w:rPr>
        <w:tab/>
        <w:t>a növényvédőszer-mérgezés tünetei és a megfelelő elsősegélynyújtás ilyen mérgezés esetén;</w:t>
      </w:r>
    </w:p>
    <w:p w14:paraId="0F3EC215" w14:textId="634FDF6D" w:rsidR="00EF27F7" w:rsidRPr="00C86E2D" w:rsidRDefault="00EF27F7" w:rsidP="00EF27F7">
      <w:pPr>
        <w:pStyle w:val="Point1"/>
        <w:rPr>
          <w:noProof/>
        </w:rPr>
      </w:pPr>
      <w:r w:rsidRPr="00C86E2D">
        <w:rPr>
          <w:noProof/>
        </w:rPr>
        <w:t>c)</w:t>
      </w:r>
      <w:r w:rsidRPr="00C86E2D">
        <w:rPr>
          <w:noProof/>
        </w:rPr>
        <w:tab/>
        <w:t>a nem célzott növényeket és rovarokat, vadon élő állatokat és növényeket, a biológiai sokféleséget és általában a környezetet érintő kockázatok.</w:t>
      </w:r>
    </w:p>
    <w:p w14:paraId="75A86A7B" w14:textId="24D7F6B6" w:rsidR="00FA7E56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Integrált növényvédelmi stratégiák és technikák, integrált növénytermesztési stratégiák és technikák, az ökológiai gazdálkodás alapelvei, biológiai károsítók elleni védekezési módszerek, károsító szervezetek elleni védekezési módszerek, az e rendelet 12. és 13. cikkében meghatározott integrált növényvédelem alkalmazásának kötelezettsége, valamint az elektronikus integrált növényvédelmi és növényvédőszer-felhasználási nyilvántartásba történő nyilvántartásba vételi kötelezettség, az e rendelet 14. cikkében meghatározottak szerint. </w:t>
      </w:r>
    </w:p>
    <w:p w14:paraId="5909F322" w14:textId="77777777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>Amikor növényvédő szerre van szükség, hogyan válasszuk ki az engedélyezett termékek közül az adott helyzetben az emberi egészségre, a nem célszervezetekre és a környezetre nézve a legkevesebb mellékhatással járó növényvédő szert.</w:t>
      </w:r>
    </w:p>
    <w:p w14:paraId="6DC14254" w14:textId="2FFE52FA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6.</w:t>
      </w:r>
      <w:r w:rsidRPr="00C86E2D">
        <w:rPr>
          <w:noProof/>
        </w:rPr>
        <w:tab/>
        <w:t>Az embereket, a nem célszervezeteket és a környezetet érintő kockázatok minimalizálására szolgáló intézkedések az alábbiakat foglalják magukban:</w:t>
      </w:r>
    </w:p>
    <w:p w14:paraId="2A1A8EB2" w14:textId="77777777" w:rsidR="00EF27F7" w:rsidRPr="00C86E2D" w:rsidRDefault="00EF27F7" w:rsidP="00EF27F7">
      <w:pPr>
        <w:pStyle w:val="Point1"/>
        <w:rPr>
          <w:noProof/>
          <w:szCs w:val="24"/>
        </w:rPr>
      </w:pPr>
      <w:r w:rsidRPr="00C86E2D">
        <w:rPr>
          <w:noProof/>
        </w:rPr>
        <w:t>a)</w:t>
      </w:r>
      <w:r w:rsidRPr="00C86E2D">
        <w:rPr>
          <w:noProof/>
        </w:rPr>
        <w:tab/>
        <w:t>a növényvédő szerek tárolására, kezelésére és keverésére vonatkozó biztonságos munkamódszerek;</w:t>
      </w:r>
    </w:p>
    <w:p w14:paraId="57E11802" w14:textId="0DA64739" w:rsidR="00EF27F7" w:rsidRPr="00C86E2D" w:rsidRDefault="00EF27F7" w:rsidP="00EF27F7">
      <w:pPr>
        <w:pStyle w:val="Point1"/>
        <w:rPr>
          <w:noProof/>
        </w:rPr>
      </w:pPr>
      <w:r w:rsidRPr="00C86E2D">
        <w:rPr>
          <w:noProof/>
        </w:rPr>
        <w:t>b)</w:t>
      </w:r>
      <w:r w:rsidRPr="00C86E2D">
        <w:rPr>
          <w:noProof/>
        </w:rPr>
        <w:tab/>
        <w:t>biztonságos munkamódszerek az üres csomagolóanyagok, más szennyezett anyagok és a felesleges növényvédő szerek (ideértve a tankkeverékeket is) ártalmatlanítására;</w:t>
      </w:r>
    </w:p>
    <w:p w14:paraId="7162DA4B" w14:textId="0C207066" w:rsidR="00EF27F7" w:rsidRPr="00C86E2D" w:rsidRDefault="00FE35DD" w:rsidP="005B674F">
      <w:pPr>
        <w:pStyle w:val="Point1"/>
        <w:rPr>
          <w:noProof/>
          <w:szCs w:val="24"/>
        </w:rPr>
      </w:pPr>
      <w:r w:rsidRPr="00C86E2D">
        <w:rPr>
          <w:noProof/>
        </w:rPr>
        <w:t>c)</w:t>
      </w:r>
      <w:r w:rsidRPr="00C86E2D">
        <w:rPr>
          <w:noProof/>
        </w:rPr>
        <w:tab/>
        <w:t>a kezelői expozíció szabályozásának ajánlott módja (ideértve az egyéni védőfelszereléseket is);</w:t>
      </w:r>
    </w:p>
    <w:p w14:paraId="72629B73" w14:textId="5384B496" w:rsidR="00105160" w:rsidRPr="00C86E2D" w:rsidRDefault="00105160" w:rsidP="005B674F">
      <w:pPr>
        <w:pStyle w:val="Point1"/>
        <w:rPr>
          <w:noProof/>
        </w:rPr>
      </w:pPr>
      <w:r w:rsidRPr="00C86E2D">
        <w:rPr>
          <w:noProof/>
        </w:rPr>
        <w:t>d)</w:t>
      </w:r>
      <w:r w:rsidRPr="00C86E2D">
        <w:rPr>
          <w:noProof/>
        </w:rPr>
        <w:tab/>
        <w:t>a már nem engedélyezett növényvédő szerek helyes és biztonságos ártalmatlanításáról, valamint a felhasználásukra vonatkozó, az 1107/2009/EK rendelet 20. cikkének (2) bekezdése vagy 46. cikke szerinti esetleges türelmi idő lejártáról szóló tájékoztatás.</w:t>
      </w:r>
    </w:p>
    <w:p w14:paraId="785D59B7" w14:textId="4ECEDE75" w:rsidR="00EF27F7" w:rsidRPr="00C86E2D" w:rsidRDefault="00B75AC6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7.</w:t>
      </w:r>
      <w:r w:rsidRPr="00C86E2D">
        <w:rPr>
          <w:noProof/>
        </w:rPr>
        <w:tab/>
        <w:t>A kijuttató berendezés előkészítésére – beleértve a kalibrálást –, és a felhasználókat, más embereket, a nem célzott állat- és növényfajokat, a biológiai sokféleséget és a környezetet – beleértve a vízforrásokat – veszélyeztető kockázatokat minimalizáló működtetésére vonatkozó eljárások.</w:t>
      </w:r>
    </w:p>
    <w:p w14:paraId="3047C608" w14:textId="5F3D64A5" w:rsidR="00EF27F7" w:rsidRPr="00C86E2D" w:rsidRDefault="00B75AC6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8.</w:t>
      </w:r>
      <w:r w:rsidRPr="00C86E2D">
        <w:rPr>
          <w:noProof/>
        </w:rPr>
        <w:tab/>
        <w:t>A növényvédő szerek kijuttatásához használt berendezések használatával és karbantartásával, a kockázatcsökkentő intézkedésekkel (beleértve a különböző permetezési technikákat és az új technológiákat, többek között a precíziós gazdálkodási technikákat is), valamint a használatban lévő permetezőgépek műszaki ellenőrzésével és a permetezési minőség javításának módjaival kapcsolatos gyakorlati képzés. Ennél a témánál különös figyelmet kell fordítani az elsodródáscsökkentő permetezőfejekre és az azok optimális felhasználási feltételeire vonatkozó gyártói ajánlásokra. A növényvédő szerek kézi permetező felszereléssel vagy háti permetezővel történő felviteléhez kapcsolódó különös kockázatok és az ide vonatkozó kockázatkezelési módszerek. A gyakorlati képzésnek ki kell terjednie a növényvédő szerekkel kezelt vetőmagok vetésével kapcsolatos konkrét kockázatokra is.</w:t>
      </w:r>
    </w:p>
    <w:p w14:paraId="4C84E0D2" w14:textId="0CE2FB84" w:rsidR="00EF27F7" w:rsidRPr="00C86E2D" w:rsidRDefault="00B75AC6" w:rsidP="6B25E89D">
      <w:pPr>
        <w:pStyle w:val="Point0"/>
        <w:rPr>
          <w:rFonts w:eastAsia="Times New Roman"/>
          <w:noProof/>
        </w:rPr>
      </w:pPr>
      <w:r w:rsidRPr="00C86E2D">
        <w:rPr>
          <w:noProof/>
        </w:rPr>
        <w:t>9.</w:t>
      </w:r>
      <w:r w:rsidRPr="00C86E2D">
        <w:rPr>
          <w:noProof/>
        </w:rPr>
        <w:tab/>
        <w:t>Az emberi egészség és a környezet védelmét – beleértve a vízforrások védelmét is – biztosító szükséghelyzeti intézkedések, véletlenszerű kiömlés, szennyeződés és olyan szélsőséges időjárás esetén, amely a növényvédő szerek beszivárgásának kockázatával járhat.</w:t>
      </w:r>
    </w:p>
    <w:p w14:paraId="20B1AFCF" w14:textId="2510B12D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10.</w:t>
      </w:r>
      <w:r w:rsidRPr="00C86E2D">
        <w:rPr>
          <w:noProof/>
        </w:rPr>
        <w:tab/>
        <w:t>Különleges gondosság az e rendelet 2. cikkének (15) bekezdésében meghatározott érzékeny területeken és a 2000/60/EK irányelv 6. és 7. cikke szerint meghatározott védett területeken, valamint az adott régiókban bizonyos növényvédő szerek által okozott szennyeződések ismerete.</w:t>
      </w:r>
    </w:p>
    <w:p w14:paraId="5BB251AB" w14:textId="4E84A672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11.</w:t>
      </w:r>
      <w:r w:rsidRPr="00C86E2D">
        <w:rPr>
          <w:noProof/>
        </w:rPr>
        <w:tab/>
        <w:t>Egészségügyi ellenőrzést és egészségügyi ellátáshoz való hozzáférést biztosító létesítmények, amelyeknél az akut és krónikus mérgezési eseményekre vonatkozó információk bejelenthetők.</w:t>
      </w:r>
    </w:p>
    <w:p w14:paraId="62F3F32C" w14:textId="62991BC7" w:rsidR="00EF27F7" w:rsidRPr="00C86E2D" w:rsidRDefault="00EF27F7" w:rsidP="00EF27F7">
      <w:pPr>
        <w:pStyle w:val="Point0"/>
        <w:rPr>
          <w:rFonts w:eastAsia="Times New Roman"/>
          <w:noProof/>
          <w:szCs w:val="24"/>
        </w:rPr>
      </w:pPr>
      <w:r w:rsidRPr="00C86E2D">
        <w:rPr>
          <w:noProof/>
        </w:rPr>
        <w:t>12.</w:t>
      </w:r>
      <w:r w:rsidRPr="00C86E2D">
        <w:rPr>
          <w:noProof/>
        </w:rPr>
        <w:tab/>
        <w:t>Nyilvántartás vezetése a növényvédő szerek értékesítéséről, vásárlásáról és felhasználásáról, a vonatkozó jogszabályokkal összhangban.</w:t>
      </w:r>
    </w:p>
    <w:p w14:paraId="103C605E" w14:textId="7C0F29E7" w:rsidR="00901CB8" w:rsidRPr="00C86E2D" w:rsidRDefault="00315A18" w:rsidP="00901CB8">
      <w:pPr>
        <w:pStyle w:val="Point0"/>
        <w:rPr>
          <w:rFonts w:eastAsia="Times New Roman"/>
          <w:noProof/>
        </w:rPr>
      </w:pPr>
      <w:r w:rsidRPr="00C86E2D">
        <w:rPr>
          <w:noProof/>
        </w:rPr>
        <w:t>13.</w:t>
      </w:r>
      <w:r w:rsidRPr="00C86E2D">
        <w:rPr>
          <w:noProof/>
        </w:rPr>
        <w:tab/>
        <w:t>Hogyan minimalizálható vagy szüntethető meg az 1272/2008/EK rendelet szerint „ártalmas a vízi élővilágra, hosszan tartó károsodást okoz”, „nagyon mérgező a vízi élővilágra, hosszan tartó károsodást okoz”, vagy „mérgező a vízi élővilágra, hosszan tartó károsodást okoz” besorolású egyes növényvédő szereknek a felszíni vagy felszín alatti vizekhez közeli utakon, vasútvonalakon, különösen nagy áteresztésű felületeken vagy egyéb infrastruktúrákon, illetve ezek mentén, vagy olyan zárt felszínen történő alkalmazása, ahol magas a felszíni vízbe vagy a szennyvízelvezető rendszerbe jutás kockázata.</w:t>
      </w:r>
    </w:p>
    <w:p w14:paraId="2BA156BB" w14:textId="438684A7" w:rsidR="00901CB8" w:rsidRPr="00C86E2D" w:rsidRDefault="00901CB8" w:rsidP="00901CB8">
      <w:pPr>
        <w:pStyle w:val="Point0"/>
        <w:rPr>
          <w:rFonts w:eastAsia="Times New Roman"/>
          <w:noProof/>
        </w:rPr>
      </w:pPr>
      <w:r w:rsidRPr="00C86E2D">
        <w:rPr>
          <w:noProof/>
        </w:rPr>
        <w:t>14.</w:t>
      </w:r>
      <w:r w:rsidRPr="00C86E2D">
        <w:rPr>
          <w:noProof/>
        </w:rPr>
        <w:tab/>
        <w:t xml:space="preserve">A vízi környezet és az ivóvízkészletek védelme a növényvédő szerek hatásával szemben, többek között a következő témákkal kapcsolatban: </w:t>
      </w:r>
    </w:p>
    <w:p w14:paraId="48D3C682" w14:textId="069394B7" w:rsidR="00901CB8" w:rsidRPr="00C86E2D" w:rsidRDefault="00901CB8" w:rsidP="00901CB8">
      <w:pPr>
        <w:pStyle w:val="Point1"/>
        <w:rPr>
          <w:rFonts w:eastAsia="Times New Roman"/>
          <w:noProof/>
          <w:szCs w:val="24"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a növényvédő szerek használata a címkén az 1107/2009/EK rendelet 31. cikke (4) bekezdésének a) pontja szerint feltüntetett korlátozásoknak megfelelően, ugyanakkor előnyben részesítve azokat a növényvédő szereket, amelyek nem minősülnek „(nagyon) perzisztensnek”, „(nagyon) bioakkumulatívnak”, </w:t>
      </w:r>
    </w:p>
    <w:p w14:paraId="743D094C" w14:textId="1A9BC05B" w:rsidR="00704B1E" w:rsidRPr="00C86E2D" w:rsidRDefault="00901CB8" w:rsidP="00E65BCC">
      <w:pPr>
        <w:pStyle w:val="Text2"/>
        <w:rPr>
          <w:noProof/>
        </w:rPr>
      </w:pPr>
      <w:r w:rsidRPr="00C86E2D">
        <w:rPr>
          <w:noProof/>
        </w:rPr>
        <w:t>az 1272/2008/EK rendelet</w:t>
      </w:r>
      <w:r w:rsidRPr="00C86E2D">
        <w:rPr>
          <w:rStyle w:val="FootnoteReference"/>
          <w:rFonts w:eastAsia="Times New Roman"/>
          <w:noProof/>
          <w:lang w:eastAsia="en-IE"/>
        </w:rPr>
        <w:footnoteReference w:id="21"/>
      </w:r>
      <w:r w:rsidRPr="00C86E2D">
        <w:rPr>
          <w:noProof/>
        </w:rPr>
        <w:t xml:space="preserve"> értelmében „nagyon mérgező a vízi élővilágra, hosszan tartó károsodást okoz”, „mérgező a vízi élővilágra, hosszan tartó károsodást okoz” vagy „ártalmas a vízi élővilágra, hosszan tartó károsodást okoz”, vagy olyan elsőbbségi anyagokat tartalmaz, amelyek szerepelnek a Bizottság által a 2008/105/EK és a 2013/39/EU irányelvvel végrehajtott, 2000/60/EK irányelv 16. cikkével összhangban elfogadott listán, vagy olyan peszticidek, amelyeket a 2000/60/EK irányelv V. mellékletének 1.2.6. pontja alapján vízgyűjtő kerületekre jellemző szennyező anyagként azonosítottak, különösen azok, amelyek a 2000/60/EK irányelv 7. cikkével és az (EU) 2020/2184 irányelvvel összhangban ivóvíz kivételére szolgáló vizet érintenek;</w:t>
      </w:r>
    </w:p>
    <w:p w14:paraId="0D4E9FE5" w14:textId="7FA4933D" w:rsidR="00901CB8" w:rsidRPr="00C86E2D" w:rsidRDefault="00901CB8" w:rsidP="6B25E89D">
      <w:pPr>
        <w:pStyle w:val="Point1"/>
        <w:rPr>
          <w:noProof/>
        </w:rPr>
      </w:pPr>
      <w:r w:rsidRPr="00C86E2D">
        <w:rPr>
          <w:noProof/>
        </w:rPr>
        <w:t>b)</w:t>
      </w:r>
      <w:r w:rsidRPr="00C86E2D">
        <w:rPr>
          <w:noProof/>
        </w:rPr>
        <w:tab/>
        <w:t>a növényvédő szerek használatából eredő lehetséges veszélyek és kockázatok az emberi egészségre és a környezetre nézve, valamint a veszélyesebb növényvédő környezetbe történő kibocsátásának és az e szereknek való foglalkozási expozíciónak a minimalizálására szolgáló módszerek;</w:t>
      </w:r>
    </w:p>
    <w:p w14:paraId="1C58DDC6" w14:textId="6CC7D984" w:rsidR="00901CB8" w:rsidRPr="00C86E2D" w:rsidRDefault="00901CB8" w:rsidP="00901CB8">
      <w:pPr>
        <w:pStyle w:val="Point1"/>
        <w:rPr>
          <w:rFonts w:eastAsia="Times New Roman"/>
          <w:noProof/>
        </w:rPr>
      </w:pPr>
      <w:r w:rsidRPr="00C86E2D">
        <w:rPr>
          <w:noProof/>
        </w:rPr>
        <w:t>c)</w:t>
      </w:r>
      <w:r w:rsidRPr="00C86E2D">
        <w:rPr>
          <w:noProof/>
        </w:rPr>
        <w:tab/>
        <w:t xml:space="preserve">permetelsodródást csökkentő technológiák alkalmazása minden szántóföldi növény esetében; </w:t>
      </w:r>
    </w:p>
    <w:p w14:paraId="1840B6A5" w14:textId="22C9B44B" w:rsidR="00901CB8" w:rsidRPr="00C86E2D" w:rsidRDefault="00901CB8" w:rsidP="00901CB8">
      <w:pPr>
        <w:pStyle w:val="Point1"/>
        <w:rPr>
          <w:rFonts w:eastAsia="Times New Roman"/>
          <w:noProof/>
        </w:rPr>
      </w:pPr>
      <w:r w:rsidRPr="00C86E2D">
        <w:rPr>
          <w:noProof/>
        </w:rPr>
        <w:t>d)</w:t>
      </w:r>
      <w:r w:rsidRPr="00C86E2D">
        <w:rPr>
          <w:noProof/>
        </w:rPr>
        <w:tab/>
        <w:t>olyan egyéb kockázatcsökkentési intézkedések alkalmazása, amelyek minimálisra csökkentik a permetelsodródás, csapadékvíz-elvezetés és csurgalékvíz által okozott nem helyszíni szennyezést, ideértve különösen a felszíni vízfolyások, valamint a talajvíz és a víztartó rétegek közelében kötelezően kialakítandó pufferzónákat;</w:t>
      </w:r>
    </w:p>
    <w:p w14:paraId="05AB96E3" w14:textId="642F13AF" w:rsidR="00901CB8" w:rsidRPr="00C86E2D" w:rsidRDefault="00901CB8" w:rsidP="00901CB8">
      <w:pPr>
        <w:pStyle w:val="Point1"/>
        <w:rPr>
          <w:rFonts w:eastAsia="Times New Roman"/>
          <w:noProof/>
          <w:szCs w:val="24"/>
        </w:rPr>
      </w:pPr>
      <w:r w:rsidRPr="00C86E2D">
        <w:rPr>
          <w:noProof/>
        </w:rPr>
        <w:t>e)</w:t>
      </w:r>
      <w:r w:rsidRPr="00C86E2D">
        <w:rPr>
          <w:noProof/>
        </w:rPr>
        <w:tab/>
        <w:t>hogyan lehet megfelelni az 1107/2009/EK rendeletben meghatározott követelményeknek az 1272/2008/EK rendelet szerint „ártalmas a vízi élővilágra, hosszan tartó károsodást okoz”, „nagyon mérgező a vízi élővilágra, hosszan tartó károsodást okoz”, vagy „mérgező a vízi élővilágra, hosszan tartó károsodást okoz” besorolású egyes növényvédő szereknek a felszíni vagy felszín alatti vizekhez közeli utakon, vasútvonalakon, különösen nagy áteresztésű felületeken vagy egyéb infrastruktúrákon, illetve ezek mentén, vagy olyan zárt felszínen történő alkalmazásának minimalizálása vagy helyettesítése érdekében, ahol magas a felszíni vízbe vagy a szennyvízelvezető rendszerbe jutás kockázata.</w:t>
      </w:r>
    </w:p>
    <w:p w14:paraId="6F37EE33" w14:textId="77777777" w:rsidR="00FA7E56" w:rsidRPr="00C86E2D" w:rsidRDefault="00FA7E56" w:rsidP="00FA7E56">
      <w:pPr>
        <w:rPr>
          <w:noProof/>
        </w:rPr>
        <w:sectPr w:rsidR="00FA7E56" w:rsidRPr="00C86E2D" w:rsidSect="006B0D72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FB9FF75" w14:textId="70661298" w:rsidR="00FA7E56" w:rsidRPr="00C86E2D" w:rsidRDefault="6B25E89D" w:rsidP="00FA7E56">
      <w:pPr>
        <w:pStyle w:val="Annexetitre"/>
        <w:rPr>
          <w:noProof/>
        </w:rPr>
      </w:pPr>
      <w:r w:rsidRPr="00C86E2D">
        <w:rPr>
          <w:noProof/>
        </w:rPr>
        <w:t>IV. MELLÉKLET</w:t>
      </w:r>
    </w:p>
    <w:p w14:paraId="2D89F8C2" w14:textId="39494303" w:rsidR="00FA7E56" w:rsidRPr="00C86E2D" w:rsidRDefault="00FA7E56" w:rsidP="00FA7E56"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 w:rsidRPr="00C86E2D">
        <w:rPr>
          <w:b/>
          <w:noProof/>
        </w:rPr>
        <w:t>A HIVATÁSOS FELHASZNÁLÁSBAN ALKALMAZOTT KIJUTTATÓ BERENDEZÉSEK VIZSGÁLATA</w:t>
      </w:r>
    </w:p>
    <w:p w14:paraId="2118E85F" w14:textId="7D131C5A" w:rsidR="00FA7E56" w:rsidRPr="00C86E2D" w:rsidRDefault="00FA7E56" w:rsidP="0009186B">
      <w:pPr>
        <w:rPr>
          <w:rFonts w:eastAsia="Times New Roman"/>
          <w:noProof/>
          <w:szCs w:val="24"/>
        </w:rPr>
      </w:pPr>
      <w:r w:rsidRPr="00C86E2D">
        <w:rPr>
          <w:noProof/>
        </w:rPr>
        <w:t>A hivatásos felhasználásban alkalmazott kijuttató berendezések vizsgálatának ki kell terjednie az emberi egészség és a környezet magas biztonsági és védelmi szintjének biztosításához szükséges összes szempontra. A kijuttatási művelet teljes hatékonyságát és biztonságát minden eszköz vagy készülék megfelelő teljesítménye és a berendezések megfelelő funkciói révén kell biztosítani a következő célok elérésének garantálása érdekében.</w:t>
      </w:r>
    </w:p>
    <w:p w14:paraId="53973956" w14:textId="6133AB98" w:rsidR="00FA7E56" w:rsidRPr="00C86E2D" w:rsidRDefault="00FA7E56" w:rsidP="00FA7E56">
      <w:pPr>
        <w:rPr>
          <w:noProof/>
          <w:szCs w:val="24"/>
        </w:rPr>
      </w:pPr>
      <w:r w:rsidRPr="00C86E2D">
        <w:rPr>
          <w:noProof/>
        </w:rPr>
        <w:t>A hivatásos felhasználásban alkalmazott kijuttató berendezésnek megbízhatóan kell működnie, és csak a használati útmutatójában foglaltaknak megfelelően, rendeltetésszerűen használható, biztosítva, hogy a növényvédő szereket pontosan, a 396/2005/EK európai parlamenti és tanácsi rendelet</w:t>
      </w:r>
      <w:r w:rsidRPr="00C86E2D">
        <w:rPr>
          <w:rStyle w:val="FootnoteReference"/>
          <w:rFonts w:eastAsia="Times New Roman"/>
          <w:noProof/>
          <w:szCs w:val="24"/>
          <w:lang w:eastAsia="en-IE"/>
        </w:rPr>
        <w:footnoteReference w:id="22"/>
      </w:r>
      <w:r w:rsidRPr="00C86E2D">
        <w:rPr>
          <w:noProof/>
        </w:rPr>
        <w:t xml:space="preserve"> 3. cikke (2) bekezdésének a) pontjában meghatározott helyes mezőgazdasági gyakorlattal összhangban lehessen kijuttatni.</w:t>
      </w:r>
    </w:p>
    <w:p w14:paraId="6B7F7440" w14:textId="318E79F0" w:rsidR="00FA7E56" w:rsidRPr="00C86E2D" w:rsidRDefault="00FA7E56" w:rsidP="00FA7E56">
      <w:pPr>
        <w:rPr>
          <w:rFonts w:eastAsia="Times New Roman"/>
          <w:noProof/>
          <w:szCs w:val="24"/>
        </w:rPr>
      </w:pPr>
      <w:r w:rsidRPr="00C86E2D">
        <w:rPr>
          <w:noProof/>
        </w:rPr>
        <w:t>A berendezésnek olyan állapotúnak kell lennie, amely lehetővé teszi, hogy biztonságosan, könnyen és teljes mértékben meg lehessen tölteni és ki lehessen üríteni, és meggátolja a permetező oldat vagy a koncentrált termék bárminemű kiszivárgását. A berendezésnek ezenkívül könnyen és alaposan tisztíthatónak kell lennie. Lehetővé kell tennie továbbá a biztonságos üzemeltetést, és a kezelő pozíciójából azonnal leállíthatónak kell lennie. A szükséges beállítások elvégzésének egyszerűnek kell lennie. Az ilyen beállításoknak pontosnak és reprodukálhatónak kell lenniük.</w:t>
      </w:r>
    </w:p>
    <w:p w14:paraId="6B7290CF" w14:textId="77777777" w:rsidR="00C215E9" w:rsidRPr="00C86E2D" w:rsidRDefault="00C215E9" w:rsidP="00FA7E56">
      <w:pPr>
        <w:rPr>
          <w:rFonts w:eastAsia="Times New Roman"/>
          <w:noProof/>
          <w:szCs w:val="24"/>
          <w:lang w:eastAsia="en-IE"/>
        </w:rPr>
      </w:pPr>
    </w:p>
    <w:p w14:paraId="63C1D3C2" w14:textId="3EC40E10" w:rsidR="00FA7E56" w:rsidRPr="00C86E2D" w:rsidRDefault="00FA7E56" w:rsidP="00FA7E56">
      <w:pPr>
        <w:rPr>
          <w:rFonts w:eastAsia="Times New Roman"/>
          <w:noProof/>
          <w:szCs w:val="24"/>
        </w:rPr>
      </w:pPr>
      <w:r w:rsidRPr="00C86E2D">
        <w:rPr>
          <w:noProof/>
        </w:rPr>
        <w:t>A vizsgálat során az alábbi követelményeknek való megfelelést ellenőrizni kell:</w:t>
      </w:r>
    </w:p>
    <w:p w14:paraId="1DE5B470" w14:textId="77777777" w:rsidR="00FA7E56" w:rsidRPr="00C86E2D" w:rsidRDefault="00315A18" w:rsidP="00315A18">
      <w:pPr>
        <w:pStyle w:val="Point0"/>
        <w:rPr>
          <w:b/>
          <w:noProof/>
        </w:rPr>
      </w:pPr>
      <w:r w:rsidRPr="00C86E2D">
        <w:rPr>
          <w:b/>
          <w:noProof/>
        </w:rPr>
        <w:t>1.</w:t>
      </w:r>
      <w:r w:rsidRPr="00C86E2D">
        <w:rPr>
          <w:noProof/>
        </w:rPr>
        <w:tab/>
      </w:r>
      <w:r w:rsidRPr="00C86E2D">
        <w:rPr>
          <w:b/>
          <w:noProof/>
        </w:rPr>
        <w:t>Biztonság</w:t>
      </w:r>
    </w:p>
    <w:p w14:paraId="1047E2F0" w14:textId="16BA8A32" w:rsidR="00FA7E56" w:rsidRPr="00C86E2D" w:rsidRDefault="00FA7E56" w:rsidP="00315A18">
      <w:pPr>
        <w:pStyle w:val="Text1"/>
        <w:rPr>
          <w:noProof/>
        </w:rPr>
      </w:pPr>
      <w:r w:rsidRPr="00C86E2D">
        <w:rPr>
          <w:noProof/>
        </w:rPr>
        <w:t>A berendezésnek tisztának és biztonságosnak kell lennie a vizsgálat megkezdése előtt.  A következőket kell ellenőrizni:</w:t>
      </w:r>
    </w:p>
    <w:p w14:paraId="30D9D825" w14:textId="77777777" w:rsidR="00FA7E56" w:rsidRPr="00C86E2D" w:rsidRDefault="00315A18" w:rsidP="00315A18">
      <w:pPr>
        <w:pStyle w:val="Point1"/>
        <w:rPr>
          <w:noProof/>
        </w:rPr>
      </w:pPr>
      <w:r w:rsidRPr="00C86E2D">
        <w:rPr>
          <w:noProof/>
        </w:rPr>
        <w:t>●</w:t>
      </w:r>
      <w:r w:rsidRPr="00C86E2D">
        <w:rPr>
          <w:noProof/>
        </w:rPr>
        <w:tab/>
        <w:t xml:space="preserve">a teljesítményleadó hajtótengely védőburkolata és a teljesítményleadó tengely és egyéb forgó erőátviteli alkatrészek összes védőberendezése; </w:t>
      </w:r>
    </w:p>
    <w:p w14:paraId="3045DDCE" w14:textId="77777777" w:rsidR="00FA7E56" w:rsidRPr="00C86E2D" w:rsidRDefault="00315A18" w:rsidP="00315A18">
      <w:pPr>
        <w:pStyle w:val="Point1"/>
        <w:rPr>
          <w:rFonts w:eastAsia="Calibri"/>
          <w:noProof/>
          <w:szCs w:val="24"/>
        </w:rPr>
      </w:pPr>
      <w:r w:rsidRPr="00C86E2D">
        <w:rPr>
          <w:noProof/>
        </w:rPr>
        <w:t>●</w:t>
      </w:r>
      <w:r w:rsidRPr="00C86E2D">
        <w:rPr>
          <w:noProof/>
        </w:rPr>
        <w:tab/>
        <w:t xml:space="preserve">a hidraulikus rendszerből származó szivárgás és a hidraulikus hengerek és csövek általános állapota; </w:t>
      </w:r>
    </w:p>
    <w:p w14:paraId="035B03ED" w14:textId="0D54597D" w:rsidR="00315A18" w:rsidRPr="00C86E2D" w:rsidRDefault="00315A18" w:rsidP="00315A18">
      <w:pPr>
        <w:pStyle w:val="Point1"/>
        <w:rPr>
          <w:rFonts w:eastAsia="Calibri"/>
          <w:noProof/>
          <w:szCs w:val="24"/>
        </w:rPr>
      </w:pPr>
      <w:r w:rsidRPr="00C86E2D">
        <w:rPr>
          <w:noProof/>
        </w:rPr>
        <w:t>●</w:t>
      </w:r>
      <w:r w:rsidRPr="00C86E2D">
        <w:rPr>
          <w:noProof/>
        </w:rPr>
        <w:tab/>
        <w:t>az összes elektromos alkatrész (ideértve a mágneskapcsolókat is) biztonságossága és működése;</w:t>
      </w:r>
    </w:p>
    <w:p w14:paraId="55B257A4" w14:textId="77777777" w:rsidR="00315A18" w:rsidRPr="00C86E2D" w:rsidRDefault="0000669A" w:rsidP="00315A18">
      <w:pPr>
        <w:pStyle w:val="Point1"/>
        <w:rPr>
          <w:rFonts w:eastAsia="Calibri"/>
          <w:noProof/>
          <w:szCs w:val="24"/>
        </w:rPr>
      </w:pPr>
      <w:r w:rsidRPr="00C86E2D">
        <w:rPr>
          <w:noProof/>
        </w:rPr>
        <w:t>●</w:t>
      </w:r>
      <w:r w:rsidRPr="00C86E2D">
        <w:rPr>
          <w:noProof/>
        </w:rPr>
        <w:tab/>
        <w:t>a biztonsági szelepek működése;</w:t>
      </w:r>
    </w:p>
    <w:p w14:paraId="35D8FF6D" w14:textId="2BC200E4" w:rsidR="0000669A" w:rsidRPr="00C86E2D" w:rsidRDefault="0000669A" w:rsidP="00315A18">
      <w:pPr>
        <w:pStyle w:val="Point1"/>
        <w:rPr>
          <w:rFonts w:eastAsia="Calibri"/>
          <w:noProof/>
          <w:szCs w:val="24"/>
        </w:rPr>
      </w:pPr>
      <w:r w:rsidRPr="00C86E2D">
        <w:rPr>
          <w:noProof/>
        </w:rPr>
        <w:t>●</w:t>
      </w:r>
      <w:r w:rsidRPr="00C86E2D">
        <w:rPr>
          <w:noProof/>
        </w:rPr>
        <w:tab/>
        <w:t>szerkezeti részek, keret és szórókeretek/fúvókatartók állapota;</w:t>
      </w:r>
    </w:p>
    <w:p w14:paraId="60CBD20F" w14:textId="1C5A4CC8" w:rsidR="0000669A" w:rsidRPr="00C86E2D" w:rsidRDefault="0000669A" w:rsidP="00315A18">
      <w:pPr>
        <w:pStyle w:val="Point1"/>
        <w:rPr>
          <w:rFonts w:eastAsia="Calibri"/>
          <w:noProof/>
          <w:szCs w:val="24"/>
        </w:rPr>
      </w:pPr>
      <w:r w:rsidRPr="00C86E2D">
        <w:rPr>
          <w:noProof/>
        </w:rPr>
        <w:t>●</w:t>
      </w:r>
      <w:r w:rsidRPr="00C86E2D">
        <w:rPr>
          <w:noProof/>
        </w:rPr>
        <w:tab/>
        <w:t>összecsukható alkatrészek záródása; valamint</w:t>
      </w:r>
    </w:p>
    <w:p w14:paraId="06468503" w14:textId="713796E4" w:rsidR="0000669A" w:rsidRPr="00C86E2D" w:rsidRDefault="0000669A" w:rsidP="6B25E89D">
      <w:pPr>
        <w:pStyle w:val="Point1"/>
        <w:rPr>
          <w:rFonts w:eastAsia="Calibri"/>
          <w:noProof/>
        </w:rPr>
      </w:pPr>
      <w:r w:rsidRPr="00C86E2D">
        <w:rPr>
          <w:noProof/>
        </w:rPr>
        <w:t>●</w:t>
      </w:r>
      <w:r w:rsidRPr="00C86E2D">
        <w:rPr>
          <w:noProof/>
        </w:rPr>
        <w:tab/>
        <w:t>levegőpumpát alkalmazó berendezések esetén a fúvóberendezés védőburkolatai és állapota, beleértve a fúvóegység, a ventilátor és a karmantyúk fizikai állapotát is.</w:t>
      </w:r>
    </w:p>
    <w:p w14:paraId="5A69655B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2.</w:t>
      </w:r>
      <w:r w:rsidRPr="00C86E2D">
        <w:rPr>
          <w:noProof/>
        </w:rPr>
        <w:tab/>
      </w:r>
      <w:r w:rsidRPr="00C86E2D">
        <w:rPr>
          <w:b/>
          <w:noProof/>
        </w:rPr>
        <w:t>Szivárgás</w:t>
      </w:r>
    </w:p>
    <w:p w14:paraId="186246C7" w14:textId="4F43DFB6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 xml:space="preserve">Sem álló helyzetben, sem üzemi körülmények között a berendezés egyetlen része sem szivároghat vagy csöpöghet. A berendezés kikapcsolása után nem lehet csepegés vagy nem kívánt kijuttatás. A folyékony termékek kijuttatására szolgáló berendezéseknél a csövek és a tömlők nem szivároghatnak a legnagyobb elérhető rendszernyomás alkalmazása esetén sem, és nem juttatható folyadék közvetlenül magára a permetezőre. </w:t>
      </w:r>
    </w:p>
    <w:p w14:paraId="0D41F74B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3.</w:t>
      </w:r>
      <w:r w:rsidRPr="00C86E2D">
        <w:rPr>
          <w:noProof/>
        </w:rPr>
        <w:tab/>
      </w:r>
      <w:r w:rsidRPr="00C86E2D">
        <w:rPr>
          <w:b/>
          <w:noProof/>
        </w:rPr>
        <w:t>Szivattyú (folyékony termékek kijuttatására használt berendezések esetében)</w:t>
      </w:r>
    </w:p>
    <w:p w14:paraId="36B8B829" w14:textId="79EA25CD" w:rsidR="00FA7E56" w:rsidRPr="00C86E2D" w:rsidRDefault="00FA7E56" w:rsidP="0000669A">
      <w:pPr>
        <w:pStyle w:val="Text1"/>
        <w:rPr>
          <w:rFonts w:eastAsia="Times New Roman"/>
          <w:noProof/>
          <w:szCs w:val="24"/>
        </w:rPr>
      </w:pPr>
      <w:r w:rsidRPr="00C86E2D">
        <w:rPr>
          <w:noProof/>
        </w:rPr>
        <w:t>A szivattyú kapacitásának meg kell felelnie a kijuttatásra használt berendezés szükségleteinek, valamint a szivattyúnak megfelelően kell működnie a stabil és megbízható szórási fokozat biztosítása érdekében.</w:t>
      </w:r>
    </w:p>
    <w:p w14:paraId="677DD469" w14:textId="7592B91A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4.</w:t>
      </w:r>
      <w:r w:rsidRPr="00C86E2D">
        <w:rPr>
          <w:noProof/>
        </w:rPr>
        <w:tab/>
      </w:r>
      <w:r w:rsidRPr="00C86E2D">
        <w:rPr>
          <w:b/>
          <w:noProof/>
        </w:rPr>
        <w:t>Keverés (folyékony termékek kijuttatására használt berendezések esetében)</w:t>
      </w:r>
    </w:p>
    <w:p w14:paraId="614A9FFA" w14:textId="26B91DC3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keverő berendezéseknek biztosítaniuk kell a megfelelő újrakeringetést a tartályban lévő folyékony permet teljes mennyisége egyenletes koncentrációjának elérése érdekében.</w:t>
      </w:r>
    </w:p>
    <w:p w14:paraId="06E81FE0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5.</w:t>
      </w:r>
      <w:r w:rsidRPr="00C86E2D">
        <w:rPr>
          <w:noProof/>
        </w:rPr>
        <w:tab/>
      </w:r>
      <w:r w:rsidRPr="00C86E2D">
        <w:rPr>
          <w:b/>
          <w:noProof/>
        </w:rPr>
        <w:t>Permetlé-tartály/tölcsér</w:t>
      </w:r>
    </w:p>
    <w:p w14:paraId="121B96FD" w14:textId="26B79816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permetezőtartályoknak és -tölcséreknek – beleértve a töltöttségiszint-jelzőket, a töltőeszközöket, a szűrőket, az ürítő- és öblítőrendszereket és a keverőeszközöket – úgy kell működniük, hogy minimalizálják a véletlenszerű kiömlést, az egyenetlen koncentráció-eloszlást, a kezelői expozíciót és a maradékanyag-tartalmat.</w:t>
      </w:r>
    </w:p>
    <w:p w14:paraId="477C2DBE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6.</w:t>
      </w:r>
      <w:r w:rsidRPr="00C86E2D">
        <w:rPr>
          <w:noProof/>
        </w:rPr>
        <w:tab/>
      </w:r>
      <w:r w:rsidRPr="00C86E2D">
        <w:rPr>
          <w:b/>
          <w:noProof/>
        </w:rPr>
        <w:t>Mérőrendszerek, ellenőrző- és szabályozórendszerek</w:t>
      </w:r>
    </w:p>
    <w:p w14:paraId="01F3B6F5" w14:textId="7A77E7E8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 xml:space="preserve">Minden mérő-, ki- és bekapcsoló, nyomás- vagy áramlásifokozat-szabályozó berendezést megfelelően kell kalibrálni, annak megfelelően kell működnie. A kijuttatási művelet során működtetendő irányítórendszereknek a kezelő pozíciójából működtethetőnek kell lenniük; a berendezésnek rendelkeznie kell a működés vezérléséhez szükséges műszerekkel, és azoknak pontosaknak kell lenniük, valamint a műszerek kijelzőinek a kezelő pozíciójából leolvashatónak kell lenniük. A folyékony termékek kijuttatására szolgáló berendezéseknél a nyomásbeállító eszközök állandó üzemi nyomást biztosítanak a szivattyú állandó fordulatszáma mellett, a stabil mennyiségkijuttatási arány alkalmazása érdekében. A növényvédő szerek adagolására vagy befecskendezésére szolgáló további berendezéseknek pontosan és megfelelően kell működniük. </w:t>
      </w:r>
    </w:p>
    <w:p w14:paraId="7DBE7BD0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7.</w:t>
      </w:r>
      <w:r w:rsidRPr="00C86E2D">
        <w:rPr>
          <w:noProof/>
        </w:rPr>
        <w:tab/>
      </w:r>
      <w:r w:rsidRPr="00C86E2D">
        <w:rPr>
          <w:b/>
          <w:noProof/>
        </w:rPr>
        <w:t xml:space="preserve">Csövek és tömlők </w:t>
      </w:r>
    </w:p>
    <w:p w14:paraId="0FA0DE38" w14:textId="77777777" w:rsidR="00FA7E56" w:rsidRPr="00C86E2D" w:rsidRDefault="00FA7E56" w:rsidP="0000669A">
      <w:pPr>
        <w:pStyle w:val="Text1"/>
        <w:rPr>
          <w:rFonts w:eastAsia="Times New Roman"/>
          <w:strike/>
          <w:noProof/>
          <w:szCs w:val="24"/>
        </w:rPr>
      </w:pPr>
      <w:r w:rsidRPr="00C86E2D">
        <w:rPr>
          <w:noProof/>
        </w:rPr>
        <w:t>A csöveknek és a tömlőknek rendeltetésszerű használatra alkalmas állapotúaknak kell lenniük a termékáramlás zavarainak, vagy a meghibásodás esetén való véletlenszerű kiömlés elkerülésének érdekében. A csövek és tömlők nem lehetnek megtörtek, túlzottan kopottak, vagy olyan helyzetben, amely lehetővé teszi, hogy megnyúljanak.</w:t>
      </w:r>
    </w:p>
    <w:p w14:paraId="2979B3EE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8.</w:t>
      </w:r>
      <w:r w:rsidRPr="00C86E2D">
        <w:rPr>
          <w:noProof/>
        </w:rPr>
        <w:tab/>
      </w:r>
      <w:r w:rsidRPr="00C86E2D">
        <w:rPr>
          <w:b/>
          <w:noProof/>
        </w:rPr>
        <w:t>Szűrés (folyékony termékek kijuttatására használt berendezéseknél)</w:t>
      </w:r>
    </w:p>
    <w:p w14:paraId="3CF88408" w14:textId="5938AF69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Az egyenetlen permetszórás és a turbulencia elkerülése érdekében a berendezésnek rendelkeznie kell szűrőkkel és azoknak jó állapotúnak kell lenniük, valamint a szűrők szemnagyságának összhangban kell lennie a permetezőre szerelt szórófej nagyságával és meg kell felelnie annak. A szűrő eldugulását jelző rendszernek (ha van ilyen) megfelelően kell működnie.</w:t>
      </w:r>
    </w:p>
    <w:p w14:paraId="24EE0731" w14:textId="6508BB78" w:rsidR="00FA7E56" w:rsidRPr="00C86E2D" w:rsidRDefault="0000669A" w:rsidP="0000669A">
      <w:pPr>
        <w:pStyle w:val="Point0"/>
        <w:rPr>
          <w:rFonts w:eastAsia="Calibri"/>
          <w:noProof/>
          <w:szCs w:val="24"/>
        </w:rPr>
      </w:pPr>
      <w:r w:rsidRPr="00C86E2D">
        <w:rPr>
          <w:b/>
          <w:noProof/>
        </w:rPr>
        <w:t>9.</w:t>
      </w:r>
      <w:r w:rsidRPr="00C86E2D">
        <w:rPr>
          <w:noProof/>
        </w:rPr>
        <w:tab/>
      </w:r>
      <w:r w:rsidRPr="00C86E2D">
        <w:rPr>
          <w:b/>
          <w:noProof/>
        </w:rPr>
        <w:t>Szórókeret (olyan berendezésnél, amely a növényvédő szert egy vízszintesen vagy függőlegesen, a terményhez vagy a kezelendő anyaghoz közel elhelyezkedő szórókeret segítségével juttatja ki)</w:t>
      </w:r>
    </w:p>
    <w:p w14:paraId="5A96A5EF" w14:textId="58BDEF9C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szórókeretnek jó állapotúnak és minden irányban stabilnak kell lennie. A rögzítő és szabályozó rendszereknek, valamint a nem szándékolt mozgásokat enyhítő eszközöknek és a lejtéskiegyenlítésnek megfelelően kell működnie.</w:t>
      </w:r>
    </w:p>
    <w:p w14:paraId="6068B86F" w14:textId="1059622D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10.</w:t>
      </w:r>
      <w:r w:rsidRPr="00C86E2D">
        <w:rPr>
          <w:noProof/>
        </w:rPr>
        <w:tab/>
      </w:r>
      <w:r w:rsidRPr="00C86E2D">
        <w:rPr>
          <w:b/>
          <w:noProof/>
        </w:rPr>
        <w:t xml:space="preserve">Fúvókák (folyékony termékek eloszlatására szolgáló berendezéseknél)/Kivezető nyílások (szilárd termékeknél) </w:t>
      </w:r>
    </w:p>
    <w:p w14:paraId="2C7868C5" w14:textId="50182333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fúvókáknak és kivezető nyílásoknak megfelelően kell működnie. Az egyes szórófejek és kivezető nyílások áramlási fokozata nem térhet el jelentősen a gyártó által összeállított táblázatban feltüntetett értékektől.</w:t>
      </w:r>
    </w:p>
    <w:p w14:paraId="22581D5E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11.</w:t>
      </w:r>
      <w:r w:rsidRPr="00C86E2D">
        <w:rPr>
          <w:noProof/>
        </w:rPr>
        <w:tab/>
      </w:r>
      <w:r w:rsidRPr="00C86E2D">
        <w:rPr>
          <w:b/>
          <w:noProof/>
        </w:rPr>
        <w:t>Eloszlatás</w:t>
      </w:r>
    </w:p>
    <w:p w14:paraId="296B63C9" w14:textId="490B46F9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célterületen a termék függőleges (függőlegesen növesztett ültetvénynövények esetében), átlós és vízszintes eloszlásának egyenletesnek kell lennie, adott esetben.</w:t>
      </w:r>
    </w:p>
    <w:p w14:paraId="17DFD82F" w14:textId="77777777" w:rsidR="00FA7E56" w:rsidRPr="00C86E2D" w:rsidRDefault="00FA7E56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12.</w:t>
      </w:r>
      <w:r w:rsidRPr="00C86E2D">
        <w:rPr>
          <w:noProof/>
        </w:rPr>
        <w:tab/>
      </w:r>
      <w:r w:rsidRPr="00C86E2D">
        <w:rPr>
          <w:b/>
          <w:noProof/>
        </w:rPr>
        <w:t>Fúvóberendezés (levegőpumpás permetezőknél)</w:t>
      </w:r>
    </w:p>
    <w:p w14:paraId="01754577" w14:textId="57CD0DFC" w:rsidR="00FA7E56" w:rsidRPr="00C86E2D" w:rsidRDefault="00FA7E56" w:rsidP="0000669A">
      <w:pPr>
        <w:pStyle w:val="Text1"/>
        <w:rPr>
          <w:rFonts w:eastAsia="Calibri"/>
          <w:noProof/>
          <w:szCs w:val="24"/>
        </w:rPr>
      </w:pPr>
      <w:r w:rsidRPr="00C86E2D">
        <w:rPr>
          <w:noProof/>
        </w:rPr>
        <w:t>A fúvóberendezésnek jó állapotban kell lennie, és biztosítania kell a stabil és megbízható légáramot.</w:t>
      </w:r>
    </w:p>
    <w:p w14:paraId="0AF6972A" w14:textId="77777777" w:rsidR="00FA7E56" w:rsidRPr="00C86E2D" w:rsidRDefault="0000669A" w:rsidP="0000669A">
      <w:pPr>
        <w:pStyle w:val="Point0"/>
        <w:rPr>
          <w:rFonts w:eastAsia="Calibri"/>
          <w:b/>
          <w:noProof/>
          <w:szCs w:val="24"/>
        </w:rPr>
      </w:pPr>
      <w:r w:rsidRPr="00C86E2D">
        <w:rPr>
          <w:b/>
          <w:noProof/>
        </w:rPr>
        <w:t>13.</w:t>
      </w:r>
      <w:r w:rsidRPr="00C86E2D">
        <w:rPr>
          <w:noProof/>
        </w:rPr>
        <w:tab/>
      </w:r>
      <w:r w:rsidRPr="00C86E2D">
        <w:rPr>
          <w:b/>
          <w:noProof/>
        </w:rPr>
        <w:t xml:space="preserve">Tisztítás </w:t>
      </w:r>
    </w:p>
    <w:p w14:paraId="3111CAD3" w14:textId="709E5615" w:rsidR="00FA7E56" w:rsidRPr="00C86E2D" w:rsidRDefault="00FA7E56" w:rsidP="0000669A">
      <w:pPr>
        <w:pStyle w:val="Text1"/>
        <w:rPr>
          <w:noProof/>
        </w:rPr>
      </w:pPr>
      <w:r w:rsidRPr="00C86E2D">
        <w:rPr>
          <w:noProof/>
        </w:rPr>
        <w:t>A kiürített tartályok – például a kijuttató berendezés indukciós tartályaira szerelt – öblítő/tisztító rendszereinek (ha vannak ilyenek) megbízhatóan kell működnie. Ezen túlmenően a tartálytisztító eszközöknek, a külső tisztításra szolgáló eszközöknek, az indukciós tartályok tisztítására szolgáló eszközöknek és a kijuttató berendezés teljes belső tisztítására szolgáló eszközöknek (ha vannak ilyenek) megfelelően kell működniük.</w:t>
      </w:r>
    </w:p>
    <w:p w14:paraId="129ED836" w14:textId="77777777" w:rsidR="00FA7E56" w:rsidRPr="00C86E2D" w:rsidRDefault="00FA7E56" w:rsidP="00FA7E56">
      <w:pPr>
        <w:rPr>
          <w:noProof/>
        </w:rPr>
        <w:sectPr w:rsidR="00FA7E56" w:rsidRPr="00C86E2D" w:rsidSect="006B0D72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2D93963" w14:textId="6CF40F12" w:rsidR="00FA7E56" w:rsidRPr="00C86E2D" w:rsidRDefault="6B25E89D" w:rsidP="6B25E89D">
      <w:pPr>
        <w:pStyle w:val="Annexetitre"/>
        <w:rPr>
          <w:noProof/>
        </w:rPr>
      </w:pPr>
      <w:r w:rsidRPr="00C86E2D">
        <w:rPr>
          <w:noProof/>
        </w:rPr>
        <w:t>V. MELLÉKLET</w:t>
      </w:r>
    </w:p>
    <w:p w14:paraId="127B8224" w14:textId="77777777" w:rsidR="00FA7E56" w:rsidRPr="00C86E2D" w:rsidRDefault="00FA7E56" w:rsidP="00FA7E56">
      <w:pPr>
        <w:jc w:val="center"/>
        <w:rPr>
          <w:b/>
          <w:noProof/>
          <w:szCs w:val="24"/>
        </w:rPr>
      </w:pPr>
      <w:r w:rsidRPr="00C86E2D">
        <w:rPr>
          <w:b/>
          <w:noProof/>
        </w:rPr>
        <w:t>ÉRTESÍTÉSI FORMANYOMTATVÁNY</w:t>
      </w:r>
    </w:p>
    <w:tbl>
      <w:tblPr>
        <w:tblStyle w:val="TableGrid"/>
        <w:tblW w:w="100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565"/>
        <w:gridCol w:w="567"/>
        <w:gridCol w:w="709"/>
        <w:gridCol w:w="425"/>
        <w:gridCol w:w="567"/>
        <w:gridCol w:w="851"/>
        <w:gridCol w:w="992"/>
        <w:gridCol w:w="567"/>
        <w:gridCol w:w="283"/>
        <w:gridCol w:w="709"/>
        <w:gridCol w:w="1282"/>
        <w:gridCol w:w="283"/>
        <w:gridCol w:w="276"/>
        <w:gridCol w:w="6"/>
      </w:tblGrid>
      <w:tr w:rsidR="0066509A" w:rsidRPr="00C86E2D" w14:paraId="5288089E" w14:textId="77777777" w:rsidTr="007B3445">
        <w:tc>
          <w:tcPr>
            <w:tcW w:w="10029" w:type="dxa"/>
            <w:gridSpan w:val="15"/>
            <w:tcBorders>
              <w:top w:val="single" w:sz="24" w:space="0" w:color="auto"/>
              <w:bottom w:val="single" w:sz="6" w:space="0" w:color="auto"/>
            </w:tcBorders>
          </w:tcPr>
          <w:p w14:paraId="273C61FE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Az értesítés oka (Kérjük, jelölje be)</w:t>
            </w:r>
          </w:p>
        </w:tc>
      </w:tr>
      <w:tr w:rsidR="0066509A" w:rsidRPr="00C86E2D" w14:paraId="154C5225" w14:textId="77777777" w:rsidTr="007B3445">
        <w:tc>
          <w:tcPr>
            <w:tcW w:w="10029" w:type="dxa"/>
            <w:gridSpan w:val="15"/>
            <w:tcBorders>
              <w:top w:val="single" w:sz="6" w:space="0" w:color="auto"/>
              <w:bottom w:val="nil"/>
            </w:tcBorders>
          </w:tcPr>
          <w:p w14:paraId="47BF69D8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233F0587" w14:textId="77777777" w:rsidTr="007B3445">
        <w:trPr>
          <w:gridAfter w:val="1"/>
          <w:wAfter w:w="6" w:type="dxa"/>
          <w:trHeight w:val="495"/>
        </w:trPr>
        <w:tc>
          <w:tcPr>
            <w:tcW w:w="3082" w:type="dxa"/>
            <w:gridSpan w:val="3"/>
            <w:tcBorders>
              <w:top w:val="nil"/>
              <w:bottom w:val="nil"/>
              <w:right w:val="single" w:sz="24" w:space="0" w:color="auto"/>
            </w:tcBorders>
          </w:tcPr>
          <w:p w14:paraId="2BF824A4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New berendezés vagy használatban lévő berendezés első nyilvántartásba vétele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A28131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A4317EF" w14:textId="77777777" w:rsidR="00FA7E56" w:rsidRPr="00C86E2D" w:rsidRDefault="00FA7E56" w:rsidP="007B3445">
            <w:pPr>
              <w:jc w:val="center"/>
              <w:rPr>
                <w:noProof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AF9EB37" w14:textId="77777777" w:rsidR="00FA7E56" w:rsidRPr="00C86E2D" w:rsidRDefault="00FA7E56" w:rsidP="007B3445">
            <w:pPr>
              <w:ind w:left="-814" w:firstLine="814"/>
              <w:jc w:val="center"/>
              <w:rPr>
                <w:noProof/>
              </w:rPr>
            </w:pPr>
            <w:r w:rsidRPr="00C86E2D">
              <w:rPr>
                <w:noProof/>
              </w:rPr>
              <w:t>Használatból való kivonás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C16A16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27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70F7DF3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5F9058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153166BC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001BEBF0" w14:textId="77777777" w:rsidTr="007B3445">
        <w:trPr>
          <w:gridAfter w:val="1"/>
          <w:wAfter w:w="6" w:type="dxa"/>
          <w:trHeight w:val="77"/>
        </w:trPr>
        <w:tc>
          <w:tcPr>
            <w:tcW w:w="3082" w:type="dxa"/>
            <w:gridSpan w:val="3"/>
            <w:tcBorders>
              <w:top w:val="nil"/>
              <w:bottom w:val="nil"/>
              <w:right w:val="nil"/>
            </w:tcBorders>
          </w:tcPr>
          <w:p w14:paraId="43C3CD9B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9B38AAD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BE0BF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9C752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056A7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9118B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34E2E946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7E932808" w14:textId="77777777" w:rsidTr="007B3445">
        <w:trPr>
          <w:gridAfter w:val="1"/>
          <w:wAfter w:w="6" w:type="dxa"/>
        </w:trPr>
        <w:tc>
          <w:tcPr>
            <w:tcW w:w="3082" w:type="dxa"/>
            <w:gridSpan w:val="3"/>
            <w:tcBorders>
              <w:top w:val="nil"/>
              <w:bottom w:val="nil"/>
              <w:right w:val="single" w:sz="24" w:space="0" w:color="auto"/>
            </w:tcBorders>
          </w:tcPr>
          <w:p w14:paraId="4A3710EE" w14:textId="0041CDDF" w:rsidR="00FA7E56" w:rsidRPr="00C86E2D" w:rsidRDefault="00FA7E56" w:rsidP="00F71E71">
            <w:pPr>
              <w:rPr>
                <w:noProof/>
              </w:rPr>
            </w:pPr>
            <w:r w:rsidRPr="00C86E2D">
              <w:rPr>
                <w:noProof/>
              </w:rPr>
              <w:t>Tulajdonosváltás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9163E3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DB1D322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9FD86C1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Ismételt használatba vétel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79E4A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27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0F0403F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DD6FAD" w14:textId="77777777" w:rsidR="00FA7E56" w:rsidRPr="00C86E2D" w:rsidRDefault="00FA7E56" w:rsidP="007B3445">
            <w:pPr>
              <w:rPr>
                <w:noProof/>
              </w:rPr>
            </w:pPr>
          </w:p>
          <w:p w14:paraId="391221EE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07AC7863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678DA21F" w14:textId="77777777" w:rsidTr="007B3445">
        <w:tc>
          <w:tcPr>
            <w:tcW w:w="10029" w:type="dxa"/>
            <w:gridSpan w:val="15"/>
            <w:tcBorders>
              <w:top w:val="nil"/>
            </w:tcBorders>
          </w:tcPr>
          <w:p w14:paraId="6E73B257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4B60CF13" w14:textId="77777777" w:rsidTr="007B3445">
        <w:tc>
          <w:tcPr>
            <w:tcW w:w="10029" w:type="dxa"/>
            <w:gridSpan w:val="15"/>
          </w:tcPr>
          <w:p w14:paraId="3F917C78" w14:textId="58FCC89C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Jelenlegi tulajdonos</w:t>
            </w:r>
          </w:p>
        </w:tc>
      </w:tr>
      <w:tr w:rsidR="0066509A" w:rsidRPr="00C86E2D" w14:paraId="6A2E24B0" w14:textId="77777777" w:rsidTr="007B3445">
        <w:tc>
          <w:tcPr>
            <w:tcW w:w="1949" w:type="dxa"/>
          </w:tcPr>
          <w:p w14:paraId="5BF4F0AE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Név:</w:t>
            </w:r>
          </w:p>
        </w:tc>
        <w:tc>
          <w:tcPr>
            <w:tcW w:w="2267" w:type="dxa"/>
            <w:gridSpan w:val="4"/>
          </w:tcPr>
          <w:p w14:paraId="5EC228D0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410" w:type="dxa"/>
            <w:gridSpan w:val="3"/>
          </w:tcPr>
          <w:p w14:paraId="59A49917" w14:textId="1A212B26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 xml:space="preserve">Egyedi személyes/vállalati azonosító: </w:t>
            </w:r>
            <w:r w:rsidRPr="00C86E2D">
              <w:rPr>
                <w:noProof/>
              </w:rPr>
              <w:br/>
            </w:r>
            <w:r w:rsidRPr="00C86E2D">
              <w:rPr>
                <w:noProof/>
                <w:sz w:val="16"/>
              </w:rPr>
              <w:t>(adószám)</w:t>
            </w:r>
          </w:p>
        </w:tc>
        <w:tc>
          <w:tcPr>
            <w:tcW w:w="3403" w:type="dxa"/>
            <w:gridSpan w:val="7"/>
          </w:tcPr>
          <w:p w14:paraId="1A91E5EB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2AF09F67" w14:textId="77777777" w:rsidTr="007B3445">
        <w:tc>
          <w:tcPr>
            <w:tcW w:w="1949" w:type="dxa"/>
          </w:tcPr>
          <w:p w14:paraId="0742563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1. címsor:</w:t>
            </w:r>
          </w:p>
        </w:tc>
        <w:tc>
          <w:tcPr>
            <w:tcW w:w="2267" w:type="dxa"/>
            <w:gridSpan w:val="4"/>
          </w:tcPr>
          <w:p w14:paraId="16F36E5B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5813" w:type="dxa"/>
            <w:gridSpan w:val="10"/>
          </w:tcPr>
          <w:p w14:paraId="13DD46C5" w14:textId="5DD0B754" w:rsidR="00FA7E56" w:rsidRPr="00C86E2D" w:rsidRDefault="00FA7E56" w:rsidP="007B3445">
            <w:pPr>
              <w:jc w:val="center"/>
              <w:rPr>
                <w:noProof/>
              </w:rPr>
            </w:pPr>
          </w:p>
        </w:tc>
      </w:tr>
      <w:tr w:rsidR="0066509A" w:rsidRPr="00C86E2D" w14:paraId="42D46F9F" w14:textId="77777777" w:rsidTr="007B3445">
        <w:tc>
          <w:tcPr>
            <w:tcW w:w="1949" w:type="dxa"/>
          </w:tcPr>
          <w:p w14:paraId="6C1FEFDB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2. címsor:</w:t>
            </w:r>
          </w:p>
        </w:tc>
        <w:tc>
          <w:tcPr>
            <w:tcW w:w="2267" w:type="dxa"/>
            <w:gridSpan w:val="4"/>
          </w:tcPr>
          <w:p w14:paraId="2041A2AA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410" w:type="dxa"/>
            <w:gridSpan w:val="3"/>
          </w:tcPr>
          <w:p w14:paraId="110A2236" w14:textId="03282C94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 xml:space="preserve">Foglalkozás: </w:t>
            </w:r>
            <w:r w:rsidRPr="00C86E2D">
              <w:rPr>
                <w:noProof/>
              </w:rPr>
              <w:br/>
            </w:r>
            <w:r w:rsidRPr="00C86E2D">
              <w:rPr>
                <w:noProof/>
                <w:sz w:val="16"/>
              </w:rPr>
              <w:t>(mezőgazdasági termelő, tájépítész, vállalkozó, egyéb – kérjük, nevezze meg)</w:t>
            </w:r>
          </w:p>
        </w:tc>
        <w:tc>
          <w:tcPr>
            <w:tcW w:w="3403" w:type="dxa"/>
            <w:gridSpan w:val="7"/>
          </w:tcPr>
          <w:p w14:paraId="4CCF2BE9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230B9495" w14:textId="77777777" w:rsidTr="007B3445">
        <w:tc>
          <w:tcPr>
            <w:tcW w:w="1949" w:type="dxa"/>
          </w:tcPr>
          <w:p w14:paraId="6ACB08C4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3. címsor:</w:t>
            </w:r>
          </w:p>
        </w:tc>
        <w:tc>
          <w:tcPr>
            <w:tcW w:w="2267" w:type="dxa"/>
            <w:gridSpan w:val="4"/>
          </w:tcPr>
          <w:p w14:paraId="0A1C3786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5813" w:type="dxa"/>
            <w:gridSpan w:val="10"/>
            <w:tcBorders>
              <w:bottom w:val="single" w:sz="6" w:space="0" w:color="auto"/>
            </w:tcBorders>
          </w:tcPr>
          <w:p w14:paraId="778ACDF1" w14:textId="20B2873B" w:rsidR="00FA7E56" w:rsidRPr="00C86E2D" w:rsidRDefault="00FA7E56" w:rsidP="007B3445">
            <w:pPr>
              <w:jc w:val="center"/>
              <w:rPr>
                <w:noProof/>
              </w:rPr>
            </w:pPr>
          </w:p>
        </w:tc>
      </w:tr>
      <w:tr w:rsidR="0066509A" w:rsidRPr="00C86E2D" w14:paraId="23A65C22" w14:textId="77777777" w:rsidTr="007B3445">
        <w:tc>
          <w:tcPr>
            <w:tcW w:w="1949" w:type="dxa"/>
          </w:tcPr>
          <w:p w14:paraId="0E4FDFB0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4. címsor:</w:t>
            </w:r>
          </w:p>
        </w:tc>
        <w:tc>
          <w:tcPr>
            <w:tcW w:w="2267" w:type="dxa"/>
            <w:gridSpan w:val="4"/>
          </w:tcPr>
          <w:p w14:paraId="29452853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5D28B345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nil"/>
              <w:bottom w:val="nil"/>
            </w:tcBorders>
          </w:tcPr>
          <w:p w14:paraId="7D7243F7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139CAE24" w14:textId="77777777" w:rsidTr="007B3445">
        <w:tc>
          <w:tcPr>
            <w:tcW w:w="1949" w:type="dxa"/>
          </w:tcPr>
          <w:p w14:paraId="40295281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Ország:</w:t>
            </w:r>
          </w:p>
        </w:tc>
        <w:tc>
          <w:tcPr>
            <w:tcW w:w="2267" w:type="dxa"/>
            <w:gridSpan w:val="4"/>
          </w:tcPr>
          <w:p w14:paraId="0C4EE3A7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49802767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54747AED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0734F2F0" w14:textId="77777777" w:rsidTr="007B3445">
        <w:tc>
          <w:tcPr>
            <w:tcW w:w="10029" w:type="dxa"/>
            <w:gridSpan w:val="15"/>
          </w:tcPr>
          <w:p w14:paraId="7CD15EF6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04F830A7" w14:textId="77777777" w:rsidTr="007B3445">
        <w:tc>
          <w:tcPr>
            <w:tcW w:w="10029" w:type="dxa"/>
            <w:gridSpan w:val="15"/>
            <w:tcBorders>
              <w:bottom w:val="single" w:sz="4" w:space="0" w:color="auto"/>
            </w:tcBorders>
          </w:tcPr>
          <w:p w14:paraId="1558A680" w14:textId="3F24B46A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Korábbi tulajdonos (adott esetben)</w:t>
            </w:r>
          </w:p>
        </w:tc>
      </w:tr>
      <w:tr w:rsidR="0066509A" w:rsidRPr="00C86E2D" w14:paraId="353E4D4F" w14:textId="77777777" w:rsidTr="007B3445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A54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Név: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D832F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47A7990D" w14:textId="77777777" w:rsidTr="007B3445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1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1. címsor: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0519B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6FC26206" w14:textId="77777777" w:rsidTr="007B3445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73A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2. címsor: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9F4D5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03BCB5F9" w14:textId="77777777" w:rsidTr="007B3445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76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3. címsor: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7CC7D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3ADE6EA0" w14:textId="77777777" w:rsidTr="007B3445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DC5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4. címsor: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C073D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399FA13B" w14:textId="77777777" w:rsidTr="007B3445">
        <w:tc>
          <w:tcPr>
            <w:tcW w:w="194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6C433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Ország: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E1845C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5ED6231B" w14:textId="77777777" w:rsidTr="007B3445">
        <w:tc>
          <w:tcPr>
            <w:tcW w:w="10029" w:type="dxa"/>
            <w:gridSpan w:val="15"/>
            <w:tcBorders>
              <w:top w:val="single" w:sz="6" w:space="0" w:color="auto"/>
            </w:tcBorders>
          </w:tcPr>
          <w:p w14:paraId="3BF91CE4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1CBB23EE" w14:textId="77777777" w:rsidTr="007B3445">
        <w:tc>
          <w:tcPr>
            <w:tcW w:w="10029" w:type="dxa"/>
            <w:gridSpan w:val="15"/>
          </w:tcPr>
          <w:p w14:paraId="580D9933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7DEE9183" w14:textId="77777777" w:rsidTr="007B3445">
        <w:tc>
          <w:tcPr>
            <w:tcW w:w="10029" w:type="dxa"/>
            <w:gridSpan w:val="15"/>
          </w:tcPr>
          <w:p w14:paraId="525E123D" w14:textId="48BE6D6F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A növényvédő szer kijuttatására használt berendezés típusa (kérjük, jelölje be a legmegfelelőbb típust)</w:t>
            </w:r>
          </w:p>
        </w:tc>
      </w:tr>
      <w:tr w:rsidR="0066509A" w:rsidRPr="00C86E2D" w14:paraId="27B743DE" w14:textId="77777777" w:rsidTr="007B3445">
        <w:tc>
          <w:tcPr>
            <w:tcW w:w="1949" w:type="dxa"/>
          </w:tcPr>
          <w:p w14:paraId="4451493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Szórókeret</w:t>
            </w:r>
          </w:p>
        </w:tc>
        <w:tc>
          <w:tcPr>
            <w:tcW w:w="566" w:type="dxa"/>
          </w:tcPr>
          <w:p w14:paraId="7D73DD0F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701" w:type="dxa"/>
            <w:gridSpan w:val="3"/>
          </w:tcPr>
          <w:p w14:paraId="60F48D38" w14:textId="5CB8F5A7" w:rsidR="00FA7E56" w:rsidRPr="00C86E2D" w:rsidRDefault="00563707" w:rsidP="003547A3">
            <w:pPr>
              <w:rPr>
                <w:noProof/>
              </w:rPr>
            </w:pPr>
            <w:r w:rsidRPr="00C86E2D">
              <w:rPr>
                <w:noProof/>
              </w:rPr>
              <w:t>Növényvédő szer kijut</w:t>
            </w:r>
            <w:r w:rsidR="003547A3">
              <w:rPr>
                <w:noProof/>
              </w:rPr>
              <w:t>tatására használt, cseppeket gen</w:t>
            </w:r>
            <w:r w:rsidRPr="00C86E2D">
              <w:rPr>
                <w:noProof/>
              </w:rPr>
              <w:t>e</w:t>
            </w:r>
            <w:r w:rsidR="003547A3">
              <w:rPr>
                <w:noProof/>
              </w:rPr>
              <w:t>r</w:t>
            </w:r>
            <w:r w:rsidRPr="00C86E2D">
              <w:rPr>
                <w:noProof/>
              </w:rPr>
              <w:t>áló, és e cseppeket függőleges és/vagy oldalirányban ventilátorral elosztó berendezés</w:t>
            </w:r>
          </w:p>
        </w:tc>
        <w:tc>
          <w:tcPr>
            <w:tcW w:w="567" w:type="dxa"/>
          </w:tcPr>
          <w:p w14:paraId="20DA9874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2"/>
          </w:tcPr>
          <w:p w14:paraId="7D175E52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  <w:sz w:val="20"/>
              </w:rPr>
              <w:t>(Hidegen vagy melegen)</w:t>
            </w:r>
            <w:r w:rsidRPr="00C86E2D">
              <w:rPr>
                <w:noProof/>
              </w:rPr>
              <w:t xml:space="preserve"> porlasztó berendezés</w:t>
            </w:r>
          </w:p>
        </w:tc>
        <w:tc>
          <w:tcPr>
            <w:tcW w:w="567" w:type="dxa"/>
          </w:tcPr>
          <w:p w14:paraId="048A7B3C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271" w:type="dxa"/>
            <w:gridSpan w:val="3"/>
          </w:tcPr>
          <w:p w14:paraId="4FA6619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Vetőmagcsávázó</w:t>
            </w:r>
          </w:p>
        </w:tc>
        <w:tc>
          <w:tcPr>
            <w:tcW w:w="565" w:type="dxa"/>
            <w:gridSpan w:val="3"/>
          </w:tcPr>
          <w:p w14:paraId="3CFBECC6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51E7C72E" w14:textId="77777777" w:rsidTr="007B3445">
        <w:tc>
          <w:tcPr>
            <w:tcW w:w="1949" w:type="dxa"/>
          </w:tcPr>
          <w:p w14:paraId="3CB3709E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Granulátum kijuttatására szolgáló berendezés</w:t>
            </w:r>
          </w:p>
        </w:tc>
        <w:tc>
          <w:tcPr>
            <w:tcW w:w="566" w:type="dxa"/>
          </w:tcPr>
          <w:p w14:paraId="4AF4367D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701" w:type="dxa"/>
            <w:gridSpan w:val="3"/>
          </w:tcPr>
          <w:p w14:paraId="15DB3221" w14:textId="51B0D031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567" w:type="dxa"/>
          </w:tcPr>
          <w:p w14:paraId="151ED1DD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2"/>
          </w:tcPr>
          <w:p w14:paraId="5A65D5C3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Gőzgenerátor</w:t>
            </w:r>
          </w:p>
        </w:tc>
        <w:tc>
          <w:tcPr>
            <w:tcW w:w="567" w:type="dxa"/>
          </w:tcPr>
          <w:p w14:paraId="0FC688D0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271" w:type="dxa"/>
            <w:gridSpan w:val="3"/>
          </w:tcPr>
          <w:p w14:paraId="4E7B476A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Függőleges permetező</w:t>
            </w:r>
          </w:p>
        </w:tc>
        <w:tc>
          <w:tcPr>
            <w:tcW w:w="565" w:type="dxa"/>
            <w:gridSpan w:val="3"/>
          </w:tcPr>
          <w:p w14:paraId="6A6F7BA8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7A690C87" w14:textId="77777777" w:rsidTr="007B3445">
        <w:tc>
          <w:tcPr>
            <w:tcW w:w="1949" w:type="dxa"/>
          </w:tcPr>
          <w:p w14:paraId="43D0FFC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Légi jármű (rögzített szárnyú)</w:t>
            </w:r>
          </w:p>
        </w:tc>
        <w:tc>
          <w:tcPr>
            <w:tcW w:w="566" w:type="dxa"/>
          </w:tcPr>
          <w:p w14:paraId="43F288B5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701" w:type="dxa"/>
            <w:gridSpan w:val="3"/>
          </w:tcPr>
          <w:p w14:paraId="4A735FCB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Légi jármű (rotoros)</w:t>
            </w:r>
          </w:p>
        </w:tc>
        <w:tc>
          <w:tcPr>
            <w:tcW w:w="567" w:type="dxa"/>
          </w:tcPr>
          <w:p w14:paraId="472ED8FF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1843" w:type="dxa"/>
            <w:gridSpan w:val="2"/>
          </w:tcPr>
          <w:p w14:paraId="6B4777D7" w14:textId="182BCE2C" w:rsidR="00FA7E56" w:rsidRPr="00C86E2D" w:rsidRDefault="00C6189E" w:rsidP="00C6189E">
            <w:pPr>
              <w:rPr>
                <w:noProof/>
              </w:rPr>
            </w:pPr>
            <w:r w:rsidRPr="00C86E2D">
              <w:rPr>
                <w:noProof/>
              </w:rPr>
              <w:t>Pilóta nélküli légi jármű (például drón)</w:t>
            </w:r>
          </w:p>
        </w:tc>
        <w:tc>
          <w:tcPr>
            <w:tcW w:w="567" w:type="dxa"/>
          </w:tcPr>
          <w:p w14:paraId="2FCD5EB4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271" w:type="dxa"/>
            <w:gridSpan w:val="3"/>
          </w:tcPr>
          <w:p w14:paraId="74B6F2E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Növényvédőszer kijuttatásához használt kézi berendezés</w:t>
            </w:r>
          </w:p>
        </w:tc>
        <w:tc>
          <w:tcPr>
            <w:tcW w:w="565" w:type="dxa"/>
            <w:gridSpan w:val="3"/>
          </w:tcPr>
          <w:p w14:paraId="2992A8F8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42D7C48D" w14:textId="77777777" w:rsidTr="007B3445">
        <w:tc>
          <w:tcPr>
            <w:tcW w:w="1949" w:type="dxa"/>
          </w:tcPr>
          <w:p w14:paraId="2B12A077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Egyéb</w:t>
            </w:r>
          </w:p>
        </w:tc>
        <w:tc>
          <w:tcPr>
            <w:tcW w:w="566" w:type="dxa"/>
          </w:tcPr>
          <w:p w14:paraId="04A2ADCE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7514" w:type="dxa"/>
            <w:gridSpan w:val="13"/>
          </w:tcPr>
          <w:p w14:paraId="6FF270A1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  <w:sz w:val="16"/>
              </w:rPr>
              <w:t>Kérjük, fejtse ki:</w:t>
            </w:r>
          </w:p>
        </w:tc>
      </w:tr>
      <w:tr w:rsidR="0066509A" w:rsidRPr="00C86E2D" w14:paraId="654D4019" w14:textId="77777777" w:rsidTr="007B3445">
        <w:tc>
          <w:tcPr>
            <w:tcW w:w="9468" w:type="dxa"/>
            <w:gridSpan w:val="12"/>
          </w:tcPr>
          <w:p w14:paraId="6A9C3CF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A berendezés légrásegítéssel működik?</w:t>
            </w:r>
          </w:p>
        </w:tc>
        <w:tc>
          <w:tcPr>
            <w:tcW w:w="561" w:type="dxa"/>
            <w:gridSpan w:val="3"/>
          </w:tcPr>
          <w:p w14:paraId="06DCF26F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69AFE36A" w14:textId="77777777" w:rsidTr="007B3445">
        <w:tc>
          <w:tcPr>
            <w:tcW w:w="9464" w:type="dxa"/>
            <w:gridSpan w:val="12"/>
          </w:tcPr>
          <w:p w14:paraId="5FA0ECA0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A berendezés el van látva GPS-vezérelt fúvókával vagy szakaszolóval?</w:t>
            </w:r>
          </w:p>
        </w:tc>
        <w:tc>
          <w:tcPr>
            <w:tcW w:w="565" w:type="dxa"/>
            <w:gridSpan w:val="3"/>
          </w:tcPr>
          <w:p w14:paraId="3BA2A565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6CA99D6A" w14:textId="77777777" w:rsidTr="007B3445">
        <w:tc>
          <w:tcPr>
            <w:tcW w:w="10029" w:type="dxa"/>
            <w:gridSpan w:val="15"/>
          </w:tcPr>
          <w:p w14:paraId="1BB43D8A" w14:textId="5B7E6122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 xml:space="preserve">Peszticidek kijuttatásához használt berendezések </w:t>
            </w:r>
          </w:p>
        </w:tc>
      </w:tr>
      <w:tr w:rsidR="0066509A" w:rsidRPr="00C86E2D" w14:paraId="49B3C125" w14:textId="77777777" w:rsidTr="007B3445">
        <w:tc>
          <w:tcPr>
            <w:tcW w:w="1949" w:type="dxa"/>
          </w:tcPr>
          <w:p w14:paraId="4208D3E2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Gyártmány:</w:t>
            </w:r>
          </w:p>
        </w:tc>
        <w:tc>
          <w:tcPr>
            <w:tcW w:w="2267" w:type="dxa"/>
            <w:gridSpan w:val="4"/>
          </w:tcPr>
          <w:p w14:paraId="67B55FFD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977" w:type="dxa"/>
            <w:gridSpan w:val="4"/>
          </w:tcPr>
          <w:p w14:paraId="3430536A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Modell:</w:t>
            </w:r>
          </w:p>
        </w:tc>
        <w:tc>
          <w:tcPr>
            <w:tcW w:w="2836" w:type="dxa"/>
            <w:gridSpan w:val="6"/>
          </w:tcPr>
          <w:p w14:paraId="3CFCCF91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35146329" w14:textId="77777777" w:rsidTr="007B3445">
        <w:tc>
          <w:tcPr>
            <w:tcW w:w="1949" w:type="dxa"/>
          </w:tcPr>
          <w:p w14:paraId="10058F9F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Alvázszám:</w:t>
            </w:r>
          </w:p>
        </w:tc>
        <w:tc>
          <w:tcPr>
            <w:tcW w:w="2267" w:type="dxa"/>
            <w:gridSpan w:val="4"/>
          </w:tcPr>
          <w:p w14:paraId="40637ECF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977" w:type="dxa"/>
            <w:gridSpan w:val="4"/>
          </w:tcPr>
          <w:p w14:paraId="44049FF1" w14:textId="4488EEF5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Tartály/tölcsér kapacitása:</w:t>
            </w:r>
          </w:p>
        </w:tc>
        <w:tc>
          <w:tcPr>
            <w:tcW w:w="2836" w:type="dxa"/>
            <w:gridSpan w:val="6"/>
          </w:tcPr>
          <w:p w14:paraId="0078CB1A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66509A" w:rsidRPr="00C86E2D" w14:paraId="7D7B2A86" w14:textId="77777777" w:rsidTr="007B3445">
        <w:tc>
          <w:tcPr>
            <w:tcW w:w="1949" w:type="dxa"/>
            <w:tcBorders>
              <w:bottom w:val="single" w:sz="6" w:space="0" w:color="auto"/>
            </w:tcBorders>
          </w:tcPr>
          <w:p w14:paraId="6A2CF702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Gyártás éve:</w:t>
            </w:r>
          </w:p>
        </w:tc>
        <w:tc>
          <w:tcPr>
            <w:tcW w:w="2267" w:type="dxa"/>
            <w:gridSpan w:val="4"/>
            <w:tcBorders>
              <w:bottom w:val="single" w:sz="6" w:space="0" w:color="auto"/>
            </w:tcBorders>
          </w:tcPr>
          <w:p w14:paraId="5A0CE845" w14:textId="77777777" w:rsidR="00FA7E56" w:rsidRPr="00C86E2D" w:rsidRDefault="00FA7E56" w:rsidP="007B3445">
            <w:pPr>
              <w:rPr>
                <w:noProof/>
              </w:rPr>
            </w:pP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14:paraId="3C378DD0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Üzemi szélesség:</w:t>
            </w:r>
          </w:p>
        </w:tc>
        <w:tc>
          <w:tcPr>
            <w:tcW w:w="2836" w:type="dxa"/>
            <w:gridSpan w:val="6"/>
            <w:tcBorders>
              <w:bottom w:val="single" w:sz="6" w:space="0" w:color="auto"/>
            </w:tcBorders>
          </w:tcPr>
          <w:p w14:paraId="3A4829DF" w14:textId="77777777" w:rsidR="00FA7E56" w:rsidRPr="00C86E2D" w:rsidRDefault="00FA7E56" w:rsidP="007B3445">
            <w:pPr>
              <w:rPr>
                <w:noProof/>
              </w:rPr>
            </w:pPr>
          </w:p>
        </w:tc>
      </w:tr>
      <w:tr w:rsidR="00FA7E56" w:rsidRPr="00C86E2D" w14:paraId="56A70EA1" w14:textId="77777777" w:rsidTr="007B3445">
        <w:tc>
          <w:tcPr>
            <w:tcW w:w="1949" w:type="dxa"/>
            <w:tcBorders>
              <w:top w:val="single" w:sz="6" w:space="0" w:color="auto"/>
              <w:bottom w:val="single" w:sz="24" w:space="0" w:color="auto"/>
            </w:tcBorders>
          </w:tcPr>
          <w:p w14:paraId="791B40B3" w14:textId="77777777" w:rsidR="00FA7E56" w:rsidRPr="00C86E2D" w:rsidRDefault="00FA7E56" w:rsidP="007B3445">
            <w:pPr>
              <w:rPr>
                <w:noProof/>
              </w:rPr>
            </w:pPr>
            <w:r w:rsidRPr="00C86E2D">
              <w:rPr>
                <w:noProof/>
              </w:rPr>
              <w:t>Egyéb információ:</w:t>
            </w:r>
          </w:p>
        </w:tc>
        <w:tc>
          <w:tcPr>
            <w:tcW w:w="8080" w:type="dxa"/>
            <w:gridSpan w:val="14"/>
            <w:tcBorders>
              <w:top w:val="single" w:sz="6" w:space="0" w:color="auto"/>
              <w:bottom w:val="single" w:sz="24" w:space="0" w:color="auto"/>
            </w:tcBorders>
          </w:tcPr>
          <w:p w14:paraId="258E1421" w14:textId="77777777" w:rsidR="00FA7E56" w:rsidRPr="00C86E2D" w:rsidRDefault="00FA7E56" w:rsidP="007B3445">
            <w:pPr>
              <w:rPr>
                <w:noProof/>
              </w:rPr>
            </w:pPr>
          </w:p>
        </w:tc>
      </w:tr>
    </w:tbl>
    <w:p w14:paraId="61E90BC1" w14:textId="77777777" w:rsidR="00FA7E56" w:rsidRPr="00C86E2D" w:rsidRDefault="00FA7E56" w:rsidP="00FA7E56">
      <w:pPr>
        <w:rPr>
          <w:noProof/>
        </w:rPr>
      </w:pPr>
    </w:p>
    <w:p w14:paraId="4474E014" w14:textId="77777777" w:rsidR="00FA7E56" w:rsidRPr="00C86E2D" w:rsidRDefault="00FA7E56" w:rsidP="00FA7E56">
      <w:pPr>
        <w:rPr>
          <w:noProof/>
        </w:rPr>
        <w:sectPr w:rsidR="00FA7E56" w:rsidRPr="00C86E2D" w:rsidSect="006B0D72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52C5277F" w14:textId="07EB8412" w:rsidR="00FA7E56" w:rsidRPr="00C86E2D" w:rsidRDefault="6B25E89D" w:rsidP="00FA7E56">
      <w:pPr>
        <w:pStyle w:val="Annexetitre"/>
        <w:rPr>
          <w:noProof/>
        </w:rPr>
      </w:pPr>
      <w:r w:rsidRPr="00C86E2D">
        <w:rPr>
          <w:noProof/>
        </w:rPr>
        <w:t xml:space="preserve">VI. MELLÉKLET </w:t>
      </w:r>
      <w:r w:rsidRPr="00C86E2D">
        <w:rPr>
          <w:noProof/>
        </w:rPr>
        <w:br/>
        <w:t>(lásd a 35. cikket)</w:t>
      </w:r>
    </w:p>
    <w:p w14:paraId="708910DF" w14:textId="072FC278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b/>
          <w:noProof/>
        </w:rPr>
        <w:t>A HARMONIZÁLT KOCKÁZATI MUTATÓK UNIÓS ÉS NEMZETI SZINTŰ KISZÁMÍTÁSÁNAK MÓDSZERE</w:t>
      </w:r>
    </w:p>
    <w:p w14:paraId="55591DC4" w14:textId="77777777" w:rsidR="00A94DEB" w:rsidRPr="00C86E2D" w:rsidRDefault="00A94DEB" w:rsidP="00FA7E56">
      <w:pPr>
        <w:jc w:val="center"/>
        <w:rPr>
          <w:noProof/>
          <w:szCs w:val="24"/>
        </w:rPr>
      </w:pPr>
    </w:p>
    <w:p w14:paraId="56D7D1A0" w14:textId="77777777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1. SZAKASZ</w:t>
      </w:r>
    </w:p>
    <w:p w14:paraId="3091D6C5" w14:textId="326FC2B9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Harmonizált kockázati mutatók</w:t>
      </w:r>
    </w:p>
    <w:p w14:paraId="65E90FC4" w14:textId="37D79609" w:rsidR="00FA7E56" w:rsidRPr="00C86E2D" w:rsidRDefault="00FA7E56" w:rsidP="00E65BCC">
      <w:pPr>
        <w:rPr>
          <w:noProof/>
          <w:szCs w:val="24"/>
        </w:rPr>
      </w:pPr>
      <w:r w:rsidRPr="00C86E2D">
        <w:rPr>
          <w:noProof/>
        </w:rPr>
        <w:t>A harmonizált kockázati mutatók mind uniós, minden nemzeti szintű kiszámításának módszerét e melléklet 2–4. szakasza sorolja fel. Noha az uniós és a nemzeti mutató kiszámításának módszertana megegyezik, az előbbi uniós szintű statisztikákon, míg az utóbbi a nemzeti statisztikákon alapul. Ezeket a mutatókat évente kell kiszámítani.</w:t>
      </w:r>
    </w:p>
    <w:p w14:paraId="390EC7FE" w14:textId="77777777" w:rsidR="00A94DEB" w:rsidRPr="00C86E2D" w:rsidRDefault="00A94DEB" w:rsidP="00FA7E56">
      <w:pPr>
        <w:jc w:val="center"/>
        <w:rPr>
          <w:noProof/>
          <w:szCs w:val="24"/>
        </w:rPr>
      </w:pPr>
    </w:p>
    <w:p w14:paraId="071B236F" w14:textId="77777777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2. SZAKASZ</w:t>
      </w:r>
    </w:p>
    <w:p w14:paraId="372B09BB" w14:textId="33C22D33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1. harmonizált kockázati mutató: az 1107/2009/EK rendelet alapján a növényvédő szerekben forgalomba hozott hatóanyagok mennyiségein alapuló, veszélyalapú harmonizált kockázati mutató</w:t>
      </w:r>
    </w:p>
    <w:p w14:paraId="09210B73" w14:textId="19EC5677" w:rsidR="00FA7E56" w:rsidRPr="00C86E2D" w:rsidRDefault="0000669A" w:rsidP="0000669A">
      <w:pPr>
        <w:pStyle w:val="Point0"/>
        <w:rPr>
          <w:noProof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Ez a mutató az 1107/2009/EK rendelet értelmében a növényvédő szerekben forgalomba hozott hatóanyagokra vonatkozó statisztikákon alapul, amelyeket az 1185/2009/EK rendelet I. melléklete értelmében bocsátottak a Bizottság rendelkezésére. Az említett adatok 4 csoportba vannak sorolva. </w:t>
      </w:r>
    </w:p>
    <w:p w14:paraId="53C0FD50" w14:textId="5A1A6395" w:rsidR="00A94DEB" w:rsidRPr="00C86E2D" w:rsidRDefault="0000669A" w:rsidP="0000669A">
      <w:pPr>
        <w:pStyle w:val="Point0"/>
        <w:rPr>
          <w:noProof/>
          <w:szCs w:val="24"/>
        </w:rPr>
      </w:pPr>
      <w:r w:rsidRPr="00C86E2D">
        <w:rPr>
          <w:noProof/>
        </w:rPr>
        <w:t>2</w:t>
      </w:r>
      <w:r w:rsidR="0041354A">
        <w:rPr>
          <w:noProof/>
        </w:rPr>
        <w:t>.</w:t>
      </w:r>
      <w:r w:rsidRPr="00C86E2D">
        <w:rPr>
          <w:noProof/>
        </w:rPr>
        <w:tab/>
        <w:t>Az 1. harmonizált kockázati mutató kiszámításához a következő általános szabályokat kell alkalmazni:</w:t>
      </w:r>
    </w:p>
    <w:p w14:paraId="2DC2CB4B" w14:textId="4EBB1DB2" w:rsidR="00FA7E56" w:rsidRPr="00C86E2D" w:rsidRDefault="00A94DEB" w:rsidP="00A94DEB">
      <w:pPr>
        <w:pStyle w:val="Point1"/>
        <w:rPr>
          <w:noProof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az 1. harmonizált kockázati mutatót az összes hatóanyagnak az 1. táblázatban meghatározott 4 csoportba való besorolása alapján kell kiszámítani; </w:t>
      </w:r>
    </w:p>
    <w:p w14:paraId="24FDBEEF" w14:textId="1179953A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b)</w:t>
      </w:r>
      <w:r w:rsidRPr="00C86E2D">
        <w:rPr>
          <w:noProof/>
        </w:rPr>
        <w:tab/>
        <w:t>az 1. csoportba tartozó hatóanyagok az 540/2011/EU végrehajtási rendelet mellékletének D. részében felsorolt hatóanyagok;</w:t>
      </w:r>
    </w:p>
    <w:p w14:paraId="3592A3A0" w14:textId="44CBC251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c)</w:t>
      </w:r>
      <w:r w:rsidRPr="00C86E2D">
        <w:rPr>
          <w:noProof/>
        </w:rPr>
        <w:tab/>
        <w:t xml:space="preserve">a 2. csoportba tartozó hatóanyagok az 540/2011/EU végrehajtási rendelet mellékletének A. és B. részében felsorolt hatóanyagok; </w:t>
      </w:r>
    </w:p>
    <w:p w14:paraId="559C11EE" w14:textId="64A3A2A5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d)</w:t>
      </w:r>
      <w:r w:rsidRPr="00C86E2D">
        <w:rPr>
          <w:noProof/>
        </w:rPr>
        <w:tab/>
        <w:t xml:space="preserve">a 3. csoportba tartozó hatóanyagok az 1107/2009/EK rendelet 24. cikkével összhangban helyettesítésre jelölt anyagokként jóváhagyott és az 540/2011/EU végrehajtási rendelet mellékletének E. részében felsorolt, vagy az (EU) 2015/408 végrehajtási rendelet mellékletében felsorolt vegyi hatóanyagok; </w:t>
      </w:r>
    </w:p>
    <w:p w14:paraId="5F68CB60" w14:textId="2E202716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e)</w:t>
      </w:r>
      <w:r w:rsidRPr="00C86E2D">
        <w:rPr>
          <w:noProof/>
        </w:rPr>
        <w:tab/>
        <w:t xml:space="preserve">a 4. csoportba tartozó hatóanyagok azok a hatóanyagok, amelyeket az 1107/2009/EK végrehajtási rendelet alapján nem hagytak jóvá, és ezért nem szerepelnek az 540/2011/EU rendelet mellékletében; </w:t>
      </w:r>
    </w:p>
    <w:p w14:paraId="524EFBA3" w14:textId="22883423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f)</w:t>
      </w:r>
      <w:r w:rsidRPr="00C86E2D">
        <w:rPr>
          <w:noProof/>
        </w:rPr>
        <w:tab/>
        <w:t xml:space="preserve">az 1. táblázat iii. sorában szereplő súlyokat alkalmazni kell. </w:t>
      </w:r>
    </w:p>
    <w:p w14:paraId="3B188D48" w14:textId="5154BED5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 xml:space="preserve">Az 1. harmonizált kockázati mutatót úgy kell kiszámítani, hogy az 1. táblázatban szereplő egyes csoportok tekintetében a növényvédő szerekben forgalomba hozott hatóanyagok éves mennyiségét meg kell szorozni a iii. sorban szereplő, vonatkozó veszélyességi súlyokkal, majd ezt követően összesíteni kell a számítások eredményeit. </w:t>
      </w:r>
    </w:p>
    <w:p w14:paraId="37F0E0AB" w14:textId="77777777" w:rsidR="00FA7E56" w:rsidRPr="00C86E2D" w:rsidRDefault="00FA7E56" w:rsidP="00FA7E56">
      <w:pPr>
        <w:rPr>
          <w:noProof/>
          <w:szCs w:val="24"/>
        </w:rPr>
      </w:pPr>
    </w:p>
    <w:p w14:paraId="2EE7CDF9" w14:textId="77777777" w:rsidR="00FA7E56" w:rsidRPr="00C86E2D" w:rsidRDefault="00FA7E56" w:rsidP="00FA7E56">
      <w:pPr>
        <w:jc w:val="center"/>
        <w:rPr>
          <w:i/>
          <w:iCs/>
          <w:noProof/>
          <w:szCs w:val="24"/>
        </w:rPr>
      </w:pPr>
      <w:r w:rsidRPr="00C86E2D">
        <w:rPr>
          <w:i/>
          <w:noProof/>
        </w:rPr>
        <w:t>1. táblázat</w:t>
      </w:r>
    </w:p>
    <w:p w14:paraId="0DD598BC" w14:textId="502B02FD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A hatóanyagok és veszélyességi súlyok osztályozása az 1. harmonizált kockázati mutató kiszámításához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6509A" w:rsidRPr="00C86E2D" w14:paraId="59889F7E" w14:textId="77777777" w:rsidTr="007B3445">
        <w:tc>
          <w:tcPr>
            <w:tcW w:w="1848" w:type="dxa"/>
            <w:vMerge w:val="restart"/>
          </w:tcPr>
          <w:p w14:paraId="56511E8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Sor</w:t>
            </w:r>
          </w:p>
        </w:tc>
        <w:tc>
          <w:tcPr>
            <w:tcW w:w="7394" w:type="dxa"/>
            <w:gridSpan w:val="4"/>
          </w:tcPr>
          <w:p w14:paraId="010C8CF7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Csoportok</w:t>
            </w:r>
          </w:p>
        </w:tc>
      </w:tr>
      <w:tr w:rsidR="0066509A" w:rsidRPr="00C86E2D" w14:paraId="55FFB319" w14:textId="77777777" w:rsidTr="007B3445">
        <w:tc>
          <w:tcPr>
            <w:tcW w:w="1848" w:type="dxa"/>
            <w:vMerge/>
          </w:tcPr>
          <w:p w14:paraId="695B94B7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48" w:type="dxa"/>
          </w:tcPr>
          <w:p w14:paraId="7965240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1848" w:type="dxa"/>
          </w:tcPr>
          <w:p w14:paraId="3823B11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2</w:t>
            </w:r>
          </w:p>
        </w:tc>
        <w:tc>
          <w:tcPr>
            <w:tcW w:w="1849" w:type="dxa"/>
          </w:tcPr>
          <w:p w14:paraId="4C4E11D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3</w:t>
            </w:r>
          </w:p>
        </w:tc>
        <w:tc>
          <w:tcPr>
            <w:tcW w:w="1849" w:type="dxa"/>
          </w:tcPr>
          <w:p w14:paraId="6A0ED49E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4</w:t>
            </w:r>
          </w:p>
        </w:tc>
      </w:tr>
      <w:tr w:rsidR="0066509A" w:rsidRPr="00C86E2D" w14:paraId="6CB9835F" w14:textId="77777777" w:rsidTr="007B3445">
        <w:tc>
          <w:tcPr>
            <w:tcW w:w="1848" w:type="dxa"/>
          </w:tcPr>
          <w:p w14:paraId="4D86B008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i.</w:t>
            </w:r>
          </w:p>
        </w:tc>
        <w:tc>
          <w:tcPr>
            <w:tcW w:w="1848" w:type="dxa"/>
          </w:tcPr>
          <w:p w14:paraId="431BF69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Kis kockázatú hatóanyagok, amelyeket az 1107/2009/EK rendelet 22. cikke alapján jóváhagytak, vagy jóváhagyottnak tekintendők, és amelyek szerepelnek az 540/2011/EU végrehajtási rendelet mellékletének D. részében</w:t>
            </w:r>
          </w:p>
        </w:tc>
        <w:tc>
          <w:tcPr>
            <w:tcW w:w="1848" w:type="dxa"/>
          </w:tcPr>
          <w:p w14:paraId="22D047A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jóváhagyott, vagy jóváhagyottnak tekintendő hatóanyagok, amelyek nem tartoznak más kategóriába és amelyek szerepelnek az 540/2011/EU végrehajtási rendelet mellékletének A. és B. részében</w:t>
            </w:r>
          </w:p>
        </w:tc>
        <w:tc>
          <w:tcPr>
            <w:tcW w:w="1849" w:type="dxa"/>
          </w:tcPr>
          <w:p w14:paraId="2B5A16CE" w14:textId="74A389CD" w:rsidR="00FA7E56" w:rsidRPr="00C86E2D" w:rsidRDefault="00FA7E56" w:rsidP="009870D6"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24. cikkével összhangban helyettesítésre jelölt anyagokként jóváhagyott és az 540/2011/EU végrehajtási rendelet mellékletének E. részében felsorolt, vagy az (EU) 2015/408 végrehajtási rendelet mellékletében felsorolt hatóanyagok</w:t>
            </w:r>
          </w:p>
        </w:tc>
        <w:tc>
          <w:tcPr>
            <w:tcW w:w="1849" w:type="dxa"/>
          </w:tcPr>
          <w:p w14:paraId="3A29B2B4" w14:textId="0BF64E7A" w:rsidR="00FA7E56" w:rsidRPr="00C86E2D" w:rsidRDefault="00FA7E56" w:rsidP="000B05C3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Azok a hatóanyagok, amelyeket az 1107/2009/EK rendelet alapján nem hagytak jóvá, és ezért nem szerepelnek az 540/2011/EU végrehajtási rendelet mellékletében</w:t>
            </w:r>
          </w:p>
        </w:tc>
      </w:tr>
      <w:tr w:rsidR="0066509A" w:rsidRPr="00C86E2D" w14:paraId="77BC2898" w14:textId="77777777" w:rsidTr="007B3445">
        <w:tc>
          <w:tcPr>
            <w:tcW w:w="1848" w:type="dxa"/>
          </w:tcPr>
          <w:p w14:paraId="1FB3ED73" w14:textId="286D4EAD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ii.</w:t>
            </w:r>
          </w:p>
        </w:tc>
        <w:tc>
          <w:tcPr>
            <w:tcW w:w="7394" w:type="dxa"/>
            <w:gridSpan w:val="4"/>
          </w:tcPr>
          <w:p w14:paraId="54A9234D" w14:textId="7FC92C85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engedélyezett termékekben forgalomba hozott hatóanyagok mennyiségeire alkalmazandó veszélyességi súlyok</w:t>
            </w:r>
          </w:p>
        </w:tc>
      </w:tr>
      <w:tr w:rsidR="00FA7E56" w:rsidRPr="00C86E2D" w14:paraId="653671B7" w14:textId="77777777" w:rsidTr="007B3445">
        <w:tc>
          <w:tcPr>
            <w:tcW w:w="1848" w:type="dxa"/>
          </w:tcPr>
          <w:p w14:paraId="086E5771" w14:textId="11EE6BB4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iii.</w:t>
            </w:r>
          </w:p>
        </w:tc>
        <w:tc>
          <w:tcPr>
            <w:tcW w:w="1848" w:type="dxa"/>
          </w:tcPr>
          <w:p w14:paraId="0C1D4639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1848" w:type="dxa"/>
          </w:tcPr>
          <w:p w14:paraId="5A1BA6B6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8</w:t>
            </w:r>
          </w:p>
        </w:tc>
        <w:tc>
          <w:tcPr>
            <w:tcW w:w="1849" w:type="dxa"/>
          </w:tcPr>
          <w:p w14:paraId="71D7822F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16</w:t>
            </w:r>
          </w:p>
        </w:tc>
        <w:tc>
          <w:tcPr>
            <w:tcW w:w="1849" w:type="dxa"/>
          </w:tcPr>
          <w:p w14:paraId="73AA3EC1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64</w:t>
            </w:r>
          </w:p>
        </w:tc>
      </w:tr>
    </w:tbl>
    <w:p w14:paraId="74B56034" w14:textId="77777777" w:rsidR="00FA7E56" w:rsidRPr="00C86E2D" w:rsidRDefault="00FA7E56" w:rsidP="00FA7E56">
      <w:pPr>
        <w:rPr>
          <w:b/>
          <w:bCs/>
          <w:noProof/>
          <w:szCs w:val="24"/>
        </w:rPr>
      </w:pPr>
    </w:p>
    <w:p w14:paraId="6D38AC37" w14:textId="3621CFEA" w:rsidR="00FA7E56" w:rsidRPr="00C86E2D" w:rsidRDefault="00B75AC6" w:rsidP="00A94DEB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Az 1. harmonizált kockázati mutató alapértéke 100, amely megegyezik a fenti számítás átlagos eredményével a 2011–2013-as időszakra. </w:t>
      </w:r>
    </w:p>
    <w:p w14:paraId="31B54062" w14:textId="1539579E" w:rsidR="002D1F12" w:rsidRPr="00C86E2D" w:rsidRDefault="00B75AC6" w:rsidP="00A94DEB">
      <w:pPr>
        <w:pStyle w:val="Point0"/>
        <w:rPr>
          <w:noProof/>
          <w:szCs w:val="24"/>
        </w:rPr>
      </w:pPr>
      <w:r w:rsidRPr="00C86E2D">
        <w:rPr>
          <w:noProof/>
        </w:rPr>
        <w:t>5</w:t>
      </w:r>
      <w:r w:rsidR="003454A6">
        <w:rPr>
          <w:noProof/>
        </w:rPr>
        <w:t>.</w:t>
      </w:r>
      <w:r w:rsidRPr="00C86E2D">
        <w:rPr>
          <w:noProof/>
        </w:rPr>
        <w:tab/>
        <w:t>Az 1. harmonizált kockázati mutató eredményét az alapértékkel való összefüggésben kell kifejezni.</w:t>
      </w:r>
    </w:p>
    <w:p w14:paraId="02B18EE6" w14:textId="222969FF" w:rsidR="00FA7E56" w:rsidRPr="00C86E2D" w:rsidRDefault="00B75AC6" w:rsidP="00A94DEB">
      <w:pPr>
        <w:pStyle w:val="Point0"/>
        <w:rPr>
          <w:noProof/>
          <w:szCs w:val="24"/>
        </w:rPr>
      </w:pPr>
      <w:r w:rsidRPr="00C86E2D">
        <w:rPr>
          <w:noProof/>
        </w:rPr>
        <w:t>6</w:t>
      </w:r>
      <w:r w:rsidR="003454A6">
        <w:rPr>
          <w:noProof/>
        </w:rPr>
        <w:t>.</w:t>
      </w:r>
      <w:r w:rsidRPr="00C86E2D">
        <w:rPr>
          <w:noProof/>
        </w:rPr>
        <w:tab/>
        <w:t>A Bizottság minden naptári évre vonatkozóan és legkésőbb 20 hónappal azon év végét követően, amelyre vonatkozóan az 1. harmonizált kockázati mutatót kiszámítja, e rendelet 35. cikkének (2) bekezdésével összhangban uniós szinten kiszámítja és kihirdeti az 1. harmonizált kockázati mutató eredményeit.</w:t>
      </w:r>
    </w:p>
    <w:p w14:paraId="6B6096C5" w14:textId="651E4316" w:rsidR="00F46430" w:rsidRPr="00C86E2D" w:rsidRDefault="00F46430" w:rsidP="00F46430">
      <w:pPr>
        <w:pStyle w:val="Point0"/>
        <w:rPr>
          <w:noProof/>
          <w:szCs w:val="24"/>
        </w:rPr>
      </w:pPr>
      <w:r w:rsidRPr="00C86E2D">
        <w:rPr>
          <w:noProof/>
        </w:rPr>
        <w:t>7.</w:t>
      </w:r>
      <w:r w:rsidRPr="00C86E2D">
        <w:rPr>
          <w:noProof/>
        </w:rPr>
        <w:tab/>
        <w:t>A tagállamok minden naptári évre vonatkozóan és legkésőbb 20 hónappal azon év végét követően, amelyre vonatkozóan az 1. harmonizált kockázati mutatót kiszámítják, e rendelet 35. cikkének (3) bekezdésével összhangban kiszámítják és kihirdetik az 1. harmonizált kockázati mutató eredményeit.</w:t>
      </w:r>
    </w:p>
    <w:p w14:paraId="70C3B9C2" w14:textId="77777777" w:rsidR="00A94DEB" w:rsidRPr="00C86E2D" w:rsidRDefault="00A94DEB" w:rsidP="00FA7E56">
      <w:pPr>
        <w:jc w:val="center"/>
        <w:rPr>
          <w:noProof/>
          <w:szCs w:val="24"/>
        </w:rPr>
      </w:pPr>
    </w:p>
    <w:p w14:paraId="1FBA4E21" w14:textId="77777777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3. SZAKASZ</w:t>
      </w:r>
    </w:p>
    <w:p w14:paraId="4953FBC3" w14:textId="1BAB095D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2. harmonizált kockázati mutató: Az 1107/2009/EK rendelet 53. cikke alapján kiadott engedélyek számán alapuló harmonizált kockázati mutató</w:t>
      </w:r>
    </w:p>
    <w:p w14:paraId="35EE5563" w14:textId="56C30FB1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Ez a mutató az 1107/2009/EK rendelet 53. cikke alapján a növényvédő szerekre kiadott engedélyek számán alapul, amelyet az említett rendelet 53. cikke (1) bekezdésének megfelelően közölnek a Bizottsággal. Az említett adatok 4 csoportba vannak sorolva. </w:t>
      </w:r>
    </w:p>
    <w:p w14:paraId="134E7FE0" w14:textId="5485ADB4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 xml:space="preserve">A 2. harmonizált kockázati mutató kiszámításához a következő általános szabályokat kell alkalmazni: </w:t>
      </w:r>
    </w:p>
    <w:p w14:paraId="458C5DBC" w14:textId="1B061422" w:rsidR="00FA7E56" w:rsidRPr="00C86E2D" w:rsidRDefault="00A94DEB" w:rsidP="00A94DEB">
      <w:pPr>
        <w:pStyle w:val="Point1"/>
        <w:rPr>
          <w:noProof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a 2. harmonizált kockázati mutató az 1107/2009/EK rendelet 53. cikke alapján kiadott engedélyek számán alapul, és azt a hatóanyagoknak az e szakasz 2. táblázatában meghatározott 4 csoportba való besorolása alapján kell kiszámítani; </w:t>
      </w:r>
    </w:p>
    <w:p w14:paraId="34F4D954" w14:textId="40EA72F6" w:rsidR="00FA7E56" w:rsidRPr="00C86E2D" w:rsidRDefault="00FA7E56" w:rsidP="00A94DEB">
      <w:pPr>
        <w:pStyle w:val="Point1"/>
        <w:rPr>
          <w:noProof/>
          <w:szCs w:val="24"/>
        </w:rPr>
      </w:pPr>
      <w:r w:rsidRPr="00C86E2D">
        <w:rPr>
          <w:noProof/>
        </w:rPr>
        <w:t>b)</w:t>
      </w:r>
      <w:r w:rsidRPr="00C86E2D">
        <w:rPr>
          <w:noProof/>
        </w:rPr>
        <w:tab/>
        <w:t xml:space="preserve">az 1. csoportba tartozó hatóanyagok az 540/2011/EU végrehajtási rendelet mellékletének D. részében felsorolt hatóanyagok; </w:t>
      </w:r>
    </w:p>
    <w:p w14:paraId="304231CD" w14:textId="7D491A02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c)</w:t>
      </w:r>
      <w:r w:rsidRPr="00C86E2D">
        <w:rPr>
          <w:noProof/>
        </w:rPr>
        <w:tab/>
        <w:t xml:space="preserve">a 2. csoportba tartozó hatóanyagok az 540/2011/EU végrehajtási rendelet mellékletének A. és B. részében felsorolt hatóanyagok; </w:t>
      </w:r>
    </w:p>
    <w:p w14:paraId="767D477B" w14:textId="7877CC57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d)</w:t>
      </w:r>
      <w:r w:rsidRPr="00C86E2D">
        <w:rPr>
          <w:noProof/>
        </w:rPr>
        <w:tab/>
        <w:t xml:space="preserve">a 3. csoportba tartozó hatóanyagok az 1107/2009/EK rendelet 24. cikkével összhangban helyettesítésre jelölt anyagokként jóváhagyott és az 540/2011/EU végrehajtási rendelet mellékletének E. részében felsorolt, vagy az (EU) 2015/408 végrehajtási rendelet mellékletében felsorolt vegyi hatóanyagok; </w:t>
      </w:r>
    </w:p>
    <w:p w14:paraId="3F2C3ADC" w14:textId="68B09E69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e)</w:t>
      </w:r>
      <w:r w:rsidRPr="00C86E2D">
        <w:rPr>
          <w:noProof/>
        </w:rPr>
        <w:tab/>
        <w:t xml:space="preserve">a 4. csoportba tartozó hatóanyagok azok a hatóanyagok, amelyeket az 1107/2009/EK végrehajtási rendelet alapján nem hagytak jóvá, és ezért nem szerepelnek az 540/2011/EU rendelet mellékletében; </w:t>
      </w:r>
    </w:p>
    <w:p w14:paraId="1EDAE975" w14:textId="6594EFB3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f)</w:t>
      </w:r>
      <w:r w:rsidRPr="00C86E2D">
        <w:rPr>
          <w:noProof/>
        </w:rPr>
        <w:tab/>
        <w:t xml:space="preserve">az e szakasz 2. táblázatának iii. sorában szereplő súlyokat kell alkalmazni. </w:t>
      </w:r>
    </w:p>
    <w:p w14:paraId="4F3AF7AF" w14:textId="43BF0EAF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 xml:space="preserve">A 2. harmonizált kockázati mutatót úgy kell kiszámítani, hogy a 2. táblázatban szereplő egyes csoportok tekintetében az 1107/2009/EK rendelet 53. cikke alapján a növényvédő szerekre kiadott engedélyek számát meg kell szorozni a iii. sorban meghatározott, vonatkozó veszélyességi súlyokkal, majd ezt követően összesíteni kell a számítások eredményeit. </w:t>
      </w:r>
    </w:p>
    <w:p w14:paraId="45FAA8A5" w14:textId="77777777" w:rsidR="00E65BCC" w:rsidRPr="00C86E2D" w:rsidRDefault="00E65BCC" w:rsidP="00FA7E56">
      <w:pPr>
        <w:jc w:val="center"/>
        <w:rPr>
          <w:i/>
          <w:iCs/>
          <w:noProof/>
          <w:szCs w:val="24"/>
        </w:rPr>
      </w:pPr>
    </w:p>
    <w:p w14:paraId="243CC7AC" w14:textId="5ECEFE32" w:rsidR="00FA7E56" w:rsidRPr="00C86E2D" w:rsidRDefault="00FA7E56" w:rsidP="00FA7E56">
      <w:pPr>
        <w:jc w:val="center"/>
        <w:rPr>
          <w:i/>
          <w:iCs/>
          <w:noProof/>
          <w:szCs w:val="24"/>
        </w:rPr>
      </w:pPr>
      <w:r w:rsidRPr="00C86E2D">
        <w:rPr>
          <w:i/>
          <w:noProof/>
        </w:rPr>
        <w:t>2. táblázat</w:t>
      </w:r>
    </w:p>
    <w:p w14:paraId="4AC4D5D2" w14:textId="01C978BE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A hatóanyagok és veszélyességi súlyok osztályozása a 2. harmonizált kockázati mutató kiszámításához</w:t>
      </w:r>
    </w:p>
    <w:p w14:paraId="7C4BA5F0" w14:textId="77777777" w:rsidR="00FA7E56" w:rsidRPr="00C86E2D" w:rsidRDefault="00FA7E56" w:rsidP="00FA7E56">
      <w:pPr>
        <w:jc w:val="center"/>
        <w:rPr>
          <w:b/>
          <w:bCs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2058"/>
        <w:gridCol w:w="2058"/>
        <w:gridCol w:w="2522"/>
        <w:gridCol w:w="1465"/>
      </w:tblGrid>
      <w:tr w:rsidR="0066509A" w:rsidRPr="00C86E2D" w14:paraId="535B1F60" w14:textId="77777777" w:rsidTr="007B3445">
        <w:tc>
          <w:tcPr>
            <w:tcW w:w="913" w:type="dxa"/>
            <w:vMerge w:val="restart"/>
          </w:tcPr>
          <w:p w14:paraId="7D29E16B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Sor</w:t>
            </w:r>
          </w:p>
        </w:tc>
        <w:tc>
          <w:tcPr>
            <w:tcW w:w="8103" w:type="dxa"/>
            <w:gridSpan w:val="4"/>
          </w:tcPr>
          <w:p w14:paraId="4AB9C22D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Csoportok</w:t>
            </w:r>
          </w:p>
        </w:tc>
      </w:tr>
      <w:tr w:rsidR="0066509A" w:rsidRPr="00C86E2D" w14:paraId="1FB2EA1F" w14:textId="77777777" w:rsidTr="007B3445">
        <w:tc>
          <w:tcPr>
            <w:tcW w:w="913" w:type="dxa"/>
            <w:vMerge/>
          </w:tcPr>
          <w:p w14:paraId="69CF7659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58" w:type="dxa"/>
          </w:tcPr>
          <w:p w14:paraId="56FC1151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2058" w:type="dxa"/>
          </w:tcPr>
          <w:p w14:paraId="1F313A3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2</w:t>
            </w:r>
          </w:p>
        </w:tc>
        <w:tc>
          <w:tcPr>
            <w:tcW w:w="2522" w:type="dxa"/>
          </w:tcPr>
          <w:p w14:paraId="3E9388D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3</w:t>
            </w:r>
          </w:p>
        </w:tc>
        <w:tc>
          <w:tcPr>
            <w:tcW w:w="1465" w:type="dxa"/>
          </w:tcPr>
          <w:p w14:paraId="3CF50AF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4</w:t>
            </w:r>
          </w:p>
        </w:tc>
      </w:tr>
      <w:tr w:rsidR="0066509A" w:rsidRPr="00C86E2D" w14:paraId="18057925" w14:textId="77777777" w:rsidTr="007B3445">
        <w:tc>
          <w:tcPr>
            <w:tcW w:w="913" w:type="dxa"/>
          </w:tcPr>
          <w:p w14:paraId="2DCC5DD0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i.</w:t>
            </w:r>
          </w:p>
        </w:tc>
        <w:tc>
          <w:tcPr>
            <w:tcW w:w="2058" w:type="dxa"/>
          </w:tcPr>
          <w:p w14:paraId="1437B108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Kis kockázatú hatóanyagok, amelyeket az 1107/2009/EK rendelet 22. cikke alapján jóváhagytak, vagy jóváhagyottnak tekintendők, és amelyek szerepelnek az 540/2011/EU végrehajtási rendelet mellékletének D. részében</w:t>
            </w:r>
          </w:p>
        </w:tc>
        <w:tc>
          <w:tcPr>
            <w:tcW w:w="2058" w:type="dxa"/>
          </w:tcPr>
          <w:p w14:paraId="378F49C9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jóváhagyott, vagy jóváhagyottnak tekintendő hatóanyagok, amelyek nem tartoznak más kategóriába és amelyek szerepelnek az 540/2011/EU végrehajtási rendelet mellékletének A. és B. részében</w:t>
            </w:r>
          </w:p>
        </w:tc>
        <w:tc>
          <w:tcPr>
            <w:tcW w:w="2522" w:type="dxa"/>
          </w:tcPr>
          <w:p w14:paraId="0F0E819C" w14:textId="26E70B23" w:rsidR="00FA7E56" w:rsidRPr="00C86E2D" w:rsidRDefault="00F46430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 xml:space="preserve"> Az 1107/2009/EK rendelet 24. cikkével összhangban helyettesítésre jelölt anyagokként jóváhagyott és az 540/2011/EU végrehajtási rendelet mellékletének E. részében felsorolt, vagy az (EU) 2015/408 végrehajtási rendelet mellékletében felsorolt hatóanyagok</w:t>
            </w:r>
          </w:p>
        </w:tc>
        <w:tc>
          <w:tcPr>
            <w:tcW w:w="1465" w:type="dxa"/>
          </w:tcPr>
          <w:p w14:paraId="3A8EEC21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Azok a hatóanyagok, amelyeket az 1107/2009/EK rendelet alapján nem hagytak jóvá, és ezért nem szerepelnek az 540/2011/EU végrehajtási rendelet mellékletében</w:t>
            </w:r>
          </w:p>
        </w:tc>
      </w:tr>
      <w:tr w:rsidR="0066509A" w:rsidRPr="00C86E2D" w14:paraId="7DB51AFF" w14:textId="77777777" w:rsidTr="007B3445">
        <w:tc>
          <w:tcPr>
            <w:tcW w:w="913" w:type="dxa"/>
          </w:tcPr>
          <w:p w14:paraId="25053B0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ii.</w:t>
            </w:r>
          </w:p>
        </w:tc>
        <w:tc>
          <w:tcPr>
            <w:tcW w:w="8103" w:type="dxa"/>
            <w:gridSpan w:val="4"/>
          </w:tcPr>
          <w:p w14:paraId="54B6A3C2" w14:textId="7EB98575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engedélyezett termékekben forgalomba hozott hatóanyagok mennyiségeire alkalmazandó veszélyességi súlyok</w:t>
            </w:r>
          </w:p>
        </w:tc>
      </w:tr>
      <w:tr w:rsidR="00FA7E56" w:rsidRPr="00C86E2D" w14:paraId="2CEBD162" w14:textId="77777777" w:rsidTr="007B3445">
        <w:tc>
          <w:tcPr>
            <w:tcW w:w="913" w:type="dxa"/>
          </w:tcPr>
          <w:p w14:paraId="27D99A7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iii.</w:t>
            </w:r>
          </w:p>
        </w:tc>
        <w:tc>
          <w:tcPr>
            <w:tcW w:w="2058" w:type="dxa"/>
          </w:tcPr>
          <w:p w14:paraId="62072AAE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2058" w:type="dxa"/>
          </w:tcPr>
          <w:p w14:paraId="47FD4D8C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8</w:t>
            </w:r>
          </w:p>
        </w:tc>
        <w:tc>
          <w:tcPr>
            <w:tcW w:w="2522" w:type="dxa"/>
          </w:tcPr>
          <w:p w14:paraId="5B94C2C2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16</w:t>
            </w:r>
          </w:p>
        </w:tc>
        <w:tc>
          <w:tcPr>
            <w:tcW w:w="1465" w:type="dxa"/>
          </w:tcPr>
          <w:p w14:paraId="7500709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64</w:t>
            </w:r>
          </w:p>
        </w:tc>
      </w:tr>
    </w:tbl>
    <w:p w14:paraId="6DCC5A91" w14:textId="77777777" w:rsidR="00FA7E56" w:rsidRPr="00C86E2D" w:rsidRDefault="00FA7E56" w:rsidP="00FA7E56">
      <w:pPr>
        <w:rPr>
          <w:b/>
          <w:bCs/>
          <w:noProof/>
          <w:szCs w:val="24"/>
        </w:rPr>
      </w:pPr>
    </w:p>
    <w:p w14:paraId="53BB4ED5" w14:textId="26694F28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A 2. harmonizált kockázati mutató alapértéke 100, amely megegyezik a fenti számítás átlagos eredményével a 2011–2013-as időszakra. </w:t>
      </w:r>
    </w:p>
    <w:p w14:paraId="53CC196B" w14:textId="4F3A851F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 xml:space="preserve">A 2. harmonizált kockázati mutató eredményét az alapértékkel való összefüggésben kell kifejezni. </w:t>
      </w:r>
    </w:p>
    <w:p w14:paraId="69419037" w14:textId="2708533A" w:rsidR="003269D5" w:rsidRPr="00C86E2D" w:rsidRDefault="003269D5" w:rsidP="003269D5">
      <w:pPr>
        <w:pStyle w:val="Point0"/>
        <w:rPr>
          <w:noProof/>
          <w:szCs w:val="24"/>
        </w:rPr>
      </w:pPr>
      <w:r w:rsidRPr="00C86E2D">
        <w:rPr>
          <w:noProof/>
        </w:rPr>
        <w:t>6.</w:t>
      </w:r>
      <w:r w:rsidRPr="00C86E2D">
        <w:rPr>
          <w:noProof/>
        </w:rPr>
        <w:tab/>
        <w:t>A Bizottság minden naptári évre vonatkozóan és legkésőbb 20 hónappal azon év végét követően, amelyre vonatkozóan a 2. harmonizált kockázati mutatót kiszámítja, e rendelet 35. cikkének (2) bekezdésével összhangban uniós szinten kiszámítja és kihirdeti a 2. harmonizált kockázati mutató eredményeit.</w:t>
      </w:r>
    </w:p>
    <w:p w14:paraId="134670D0" w14:textId="672CC413" w:rsidR="003269D5" w:rsidRPr="00C86E2D" w:rsidRDefault="003269D5" w:rsidP="003269D5">
      <w:pPr>
        <w:pStyle w:val="Point0"/>
        <w:rPr>
          <w:noProof/>
          <w:szCs w:val="24"/>
        </w:rPr>
      </w:pPr>
      <w:r w:rsidRPr="00C86E2D">
        <w:rPr>
          <w:noProof/>
        </w:rPr>
        <w:t>7.</w:t>
      </w:r>
      <w:r w:rsidRPr="00C86E2D">
        <w:rPr>
          <w:noProof/>
        </w:rPr>
        <w:tab/>
        <w:t>A tagállamok minden naptári évre vonatkozóan és legkésőbb 20 hónappal azon év végét követően, amelyre vonatkozóan a 2. harmonizált kockázati mutatót kiszámítják, e rendelet 35. cikkének (3) bekezdésével összhangban kiszámítják és kihirdetik a 2. harmonizált kockázati mutató eredményeit.</w:t>
      </w:r>
    </w:p>
    <w:p w14:paraId="615C5677" w14:textId="63FE9259" w:rsidR="00A94DEB" w:rsidRPr="00C86E2D" w:rsidRDefault="003269D5" w:rsidP="00A94DEB">
      <w:pPr>
        <w:pStyle w:val="Point0"/>
        <w:rPr>
          <w:noProof/>
          <w:szCs w:val="24"/>
        </w:rPr>
      </w:pPr>
      <w:r w:rsidRPr="00C86E2D">
        <w:rPr>
          <w:noProof/>
        </w:rPr>
        <w:t>8.</w:t>
      </w:r>
      <w:r w:rsidRPr="00C86E2D">
        <w:rPr>
          <w:noProof/>
        </w:rPr>
        <w:tab/>
        <w:t xml:space="preserve">2027. január 1-jei hatállyal a 2. harmonizált kockázati mutató kiszámítása módszertanának helyére az e melléklet 4. pontjában szereplő 2a. harmonizált kockázati mutató kiszámításának módszertana lép. </w:t>
      </w:r>
    </w:p>
    <w:p w14:paraId="18BABD0F" w14:textId="77777777" w:rsidR="00E65BCC" w:rsidRPr="00C86E2D" w:rsidRDefault="00E65BCC" w:rsidP="00FA7E56">
      <w:pPr>
        <w:jc w:val="center"/>
        <w:rPr>
          <w:noProof/>
          <w:szCs w:val="24"/>
        </w:rPr>
      </w:pPr>
    </w:p>
    <w:p w14:paraId="2E6DFED4" w14:textId="4C4546D2" w:rsidR="00FA7E56" w:rsidRPr="00C86E2D" w:rsidRDefault="00FA7E56" w:rsidP="00FA7E56">
      <w:pPr>
        <w:jc w:val="center"/>
        <w:rPr>
          <w:noProof/>
          <w:szCs w:val="24"/>
        </w:rPr>
      </w:pPr>
      <w:r w:rsidRPr="00C86E2D">
        <w:rPr>
          <w:noProof/>
        </w:rPr>
        <w:t>4. SZAKASZ</w:t>
      </w:r>
    </w:p>
    <w:p w14:paraId="4CD5DE8F" w14:textId="3841469C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2a. harmonizált kockázati mutató: az 1107/2009/EK rendelet 53. cikke alapján kiadott engedélyek számán, valamint az ezen engedélyek keretében kezelt területeken alapuló harmonizált kockázati mutató</w:t>
      </w:r>
    </w:p>
    <w:p w14:paraId="43C80218" w14:textId="518FCDD9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1.</w:t>
      </w:r>
      <w:r w:rsidRPr="00C86E2D">
        <w:rPr>
          <w:noProof/>
        </w:rPr>
        <w:tab/>
        <w:t xml:space="preserve">Ez a mutató az 1107/2009/EK rendelet 53. cikke alapján a növényvédő szerekre kiadott engedélyek számán, valamint az ezen engedélyek keretében kezelt területek kiterjedésén alapul, amelyet az említett rendelet 53. cikke (1) bekezdésének megfelelően közölnek a Bizottsággal. </w:t>
      </w:r>
    </w:p>
    <w:p w14:paraId="6B052D01" w14:textId="3B3EA630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2.</w:t>
      </w:r>
      <w:r w:rsidRPr="00C86E2D">
        <w:rPr>
          <w:noProof/>
        </w:rPr>
        <w:tab/>
        <w:t xml:space="preserve">A 2a. harmonizált kockázati mutató kiszámításához a következő általános szabályokat kell alkalmazni: </w:t>
      </w:r>
    </w:p>
    <w:p w14:paraId="409C7AD8" w14:textId="0AA5C01F" w:rsidR="00FA7E56" w:rsidRPr="00C86E2D" w:rsidRDefault="00FA7E56" w:rsidP="00A94DEB">
      <w:pPr>
        <w:pStyle w:val="Point1"/>
        <w:rPr>
          <w:noProof/>
        </w:rPr>
      </w:pPr>
      <w:r w:rsidRPr="00C86E2D">
        <w:rPr>
          <w:noProof/>
        </w:rPr>
        <w:t>a)</w:t>
      </w:r>
      <w:r w:rsidRPr="00C86E2D">
        <w:rPr>
          <w:noProof/>
        </w:rPr>
        <w:tab/>
        <w:t xml:space="preserve">a 2a. harmonizált kockázati mutató az 1107/2009/EK rendelet 53. cikke alapján kiadott engedélyek számán, valamint az ezen engedélyek keretében kezelt területek kiterjedésén alapul. Kiszámítása a hatóanyagoknak az e szakasz 3. táblázatában meghatározott 4 csoportba való besorolása alapján történik; </w:t>
      </w:r>
    </w:p>
    <w:p w14:paraId="4E21977F" w14:textId="77777777" w:rsidR="00FA7E56" w:rsidRPr="00C86E2D" w:rsidRDefault="00FA7E56" w:rsidP="00A94DEB">
      <w:pPr>
        <w:pStyle w:val="Point1"/>
        <w:rPr>
          <w:noProof/>
          <w:szCs w:val="24"/>
        </w:rPr>
      </w:pPr>
      <w:r w:rsidRPr="00C86E2D">
        <w:rPr>
          <w:noProof/>
        </w:rPr>
        <w:t>b)</w:t>
      </w:r>
      <w:r w:rsidRPr="00C86E2D">
        <w:rPr>
          <w:noProof/>
        </w:rPr>
        <w:tab/>
        <w:t>a kezelt területek nagyságát hektárban kell megadni;</w:t>
      </w:r>
    </w:p>
    <w:p w14:paraId="79BDB39B" w14:textId="13C82807" w:rsidR="00FA7E56" w:rsidRPr="00C86E2D" w:rsidRDefault="00FA7E56" w:rsidP="00A94DEB">
      <w:pPr>
        <w:pStyle w:val="Point1"/>
        <w:rPr>
          <w:noProof/>
          <w:szCs w:val="24"/>
        </w:rPr>
      </w:pPr>
      <w:r w:rsidRPr="00C86E2D">
        <w:rPr>
          <w:noProof/>
        </w:rPr>
        <w:t>c)</w:t>
      </w:r>
      <w:r w:rsidRPr="00C86E2D">
        <w:rPr>
          <w:noProof/>
        </w:rPr>
        <w:tab/>
        <w:t xml:space="preserve">az 1. csoportba tartozó hatóanyagok az 540/2011/EU végrehajtási rendelet mellékletének D. részében felsorolt hatóanyagok; </w:t>
      </w:r>
    </w:p>
    <w:p w14:paraId="7DA044A8" w14:textId="00B441F4" w:rsidR="00FA7E56" w:rsidRPr="00C86E2D" w:rsidRDefault="00FA7E56" w:rsidP="00A94DEB">
      <w:pPr>
        <w:pStyle w:val="Point1"/>
        <w:rPr>
          <w:noProof/>
          <w:szCs w:val="24"/>
        </w:rPr>
      </w:pPr>
      <w:r w:rsidRPr="00C86E2D">
        <w:rPr>
          <w:noProof/>
        </w:rPr>
        <w:t>d)</w:t>
      </w:r>
      <w:r w:rsidRPr="00C86E2D">
        <w:rPr>
          <w:noProof/>
        </w:rPr>
        <w:tab/>
        <w:t xml:space="preserve">a 2. csoportba tartozó hatóanyagok az 540/2011/EU végrehajtási rendelet mellékletének A. és B. részében felsorolt hatóanyagok; </w:t>
      </w:r>
    </w:p>
    <w:p w14:paraId="0876CAE9" w14:textId="3EF036C7" w:rsidR="00FA7E56" w:rsidRPr="00C86E2D" w:rsidRDefault="00FA7E56" w:rsidP="00A94DEB">
      <w:pPr>
        <w:pStyle w:val="Point1"/>
        <w:rPr>
          <w:noProof/>
          <w:szCs w:val="24"/>
        </w:rPr>
      </w:pPr>
      <w:r w:rsidRPr="00C86E2D">
        <w:rPr>
          <w:noProof/>
        </w:rPr>
        <w:t>e)</w:t>
      </w:r>
      <w:r w:rsidRPr="00C86E2D">
        <w:rPr>
          <w:noProof/>
        </w:rPr>
        <w:tab/>
        <w:t xml:space="preserve">a 3. csoportba tartozó hatóanyagok az 1107/2009/EK rendelet 24. cikkével összhangban helyettesítésre jelölt anyagokként jóváhagyott és az 540/2011/EU végrehajtási rendelet mellékletének E. részében felsorolt, vagy az (EU) 2015/408 végrehajtási rendelet mellékletében felsorolt vegyi hatóanyagok; </w:t>
      </w:r>
    </w:p>
    <w:p w14:paraId="5052F315" w14:textId="20723528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f)</w:t>
      </w:r>
      <w:r w:rsidRPr="00C86E2D">
        <w:rPr>
          <w:noProof/>
        </w:rPr>
        <w:tab/>
        <w:t xml:space="preserve">a 4. csoportba tartozó hatóanyagok azok a hatóanyagok, amelyeket az 1107/2009/EK végrehajtási rendelet alapján nem hagytak jóvá, és ezért nem szerepelnek az 540/2011/EU rendelet mellékletében; </w:t>
      </w:r>
    </w:p>
    <w:p w14:paraId="19444D70" w14:textId="77777777" w:rsidR="00FA7E56" w:rsidRPr="00C86E2D" w:rsidRDefault="00A94DEB" w:rsidP="00A94DEB">
      <w:pPr>
        <w:pStyle w:val="Point1"/>
        <w:rPr>
          <w:noProof/>
          <w:szCs w:val="24"/>
        </w:rPr>
      </w:pPr>
      <w:r w:rsidRPr="00C86E2D">
        <w:rPr>
          <w:noProof/>
        </w:rPr>
        <w:t>g)</w:t>
      </w:r>
      <w:r w:rsidRPr="00C86E2D">
        <w:rPr>
          <w:noProof/>
        </w:rPr>
        <w:tab/>
        <w:t xml:space="preserve">az e szakasz 3. táblázatának iii. sorában szereplő súlyokat kell alkalmazni. </w:t>
      </w:r>
    </w:p>
    <w:p w14:paraId="6C5B8F3C" w14:textId="0CA60A30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3.</w:t>
      </w:r>
      <w:r w:rsidRPr="00C86E2D">
        <w:rPr>
          <w:noProof/>
        </w:rPr>
        <w:tab/>
        <w:t>A 2a. harmonizált kockázati mutatót úgy kell kiszámítani, hogy a 3. táblázatban szereplő egyes csoportok tekintetében az 1107/2009/EK rendelet 53. cikke alapján a növényvédő szerekre kiadott engedélyek számát meg kell szorozni a iii. sorban meghatározott, vonatkozó veszélyességi súlyokkal és az ezen engedélyek keretében kezelt területekkel, majd ezt követően összesíteni kell a számítások eredményeit.</w:t>
      </w:r>
    </w:p>
    <w:p w14:paraId="03271849" w14:textId="77777777" w:rsidR="00E65BCC" w:rsidRPr="00C86E2D" w:rsidRDefault="00E65BCC" w:rsidP="00FA7E56">
      <w:pPr>
        <w:jc w:val="center"/>
        <w:rPr>
          <w:i/>
          <w:iCs/>
          <w:noProof/>
          <w:szCs w:val="24"/>
        </w:rPr>
      </w:pPr>
    </w:p>
    <w:p w14:paraId="0F92F0ED" w14:textId="71F29ABC" w:rsidR="00FA7E56" w:rsidRPr="00C86E2D" w:rsidRDefault="00FA7E56" w:rsidP="00FA7E56">
      <w:pPr>
        <w:jc w:val="center"/>
        <w:rPr>
          <w:i/>
          <w:iCs/>
          <w:noProof/>
          <w:szCs w:val="24"/>
        </w:rPr>
      </w:pPr>
      <w:r w:rsidRPr="00C86E2D">
        <w:rPr>
          <w:i/>
          <w:noProof/>
        </w:rPr>
        <w:t>3. táblázat</w:t>
      </w:r>
    </w:p>
    <w:p w14:paraId="13317EF4" w14:textId="58E1857D" w:rsidR="00FA7E56" w:rsidRPr="00C86E2D" w:rsidRDefault="00FA7E56" w:rsidP="00FA7E56">
      <w:pPr>
        <w:jc w:val="center"/>
        <w:rPr>
          <w:b/>
          <w:bCs/>
          <w:noProof/>
          <w:szCs w:val="24"/>
        </w:rPr>
      </w:pPr>
      <w:r w:rsidRPr="00C86E2D">
        <w:rPr>
          <w:b/>
          <w:noProof/>
        </w:rPr>
        <w:t>A hatóanyagok és veszélyességi súlyok osztályozása a 2a. harmonizált kockázati mutató kiszámításához</w:t>
      </w:r>
    </w:p>
    <w:p w14:paraId="6CE01BB9" w14:textId="77777777" w:rsidR="00FA7E56" w:rsidRPr="00C86E2D" w:rsidRDefault="00FA7E56" w:rsidP="00FA7E56">
      <w:pPr>
        <w:jc w:val="center"/>
        <w:rPr>
          <w:b/>
          <w:bCs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6509A" w:rsidRPr="00C86E2D" w14:paraId="443F5DC8" w14:textId="77777777" w:rsidTr="007B3445">
        <w:tc>
          <w:tcPr>
            <w:tcW w:w="1848" w:type="dxa"/>
            <w:vMerge w:val="restart"/>
          </w:tcPr>
          <w:p w14:paraId="6C94742D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Sor</w:t>
            </w:r>
          </w:p>
        </w:tc>
        <w:tc>
          <w:tcPr>
            <w:tcW w:w="7394" w:type="dxa"/>
            <w:gridSpan w:val="4"/>
          </w:tcPr>
          <w:p w14:paraId="1639D8D0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Csoportok</w:t>
            </w:r>
          </w:p>
        </w:tc>
      </w:tr>
      <w:tr w:rsidR="0066509A" w:rsidRPr="00C86E2D" w14:paraId="42383620" w14:textId="77777777" w:rsidTr="007B3445">
        <w:tc>
          <w:tcPr>
            <w:tcW w:w="1848" w:type="dxa"/>
            <w:vMerge/>
          </w:tcPr>
          <w:p w14:paraId="4DFDA0A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48" w:type="dxa"/>
          </w:tcPr>
          <w:p w14:paraId="16097FE3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1848" w:type="dxa"/>
          </w:tcPr>
          <w:p w14:paraId="057BF10C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2</w:t>
            </w:r>
          </w:p>
        </w:tc>
        <w:tc>
          <w:tcPr>
            <w:tcW w:w="1849" w:type="dxa"/>
          </w:tcPr>
          <w:p w14:paraId="7EDB1B11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3</w:t>
            </w:r>
          </w:p>
        </w:tc>
        <w:tc>
          <w:tcPr>
            <w:tcW w:w="1849" w:type="dxa"/>
          </w:tcPr>
          <w:p w14:paraId="36AA66D8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4</w:t>
            </w:r>
          </w:p>
        </w:tc>
      </w:tr>
      <w:tr w:rsidR="0066509A" w:rsidRPr="00C86E2D" w14:paraId="66103DDE" w14:textId="77777777" w:rsidTr="007B3445">
        <w:tc>
          <w:tcPr>
            <w:tcW w:w="1848" w:type="dxa"/>
          </w:tcPr>
          <w:p w14:paraId="0181324F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i.</w:t>
            </w:r>
          </w:p>
        </w:tc>
        <w:tc>
          <w:tcPr>
            <w:tcW w:w="1848" w:type="dxa"/>
          </w:tcPr>
          <w:p w14:paraId="5473BB84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Kis kockázatú hatóanyagok, amelyeket az 1107/2009/EK rendelet 22. cikke alapján jóváhagytak, vagy jóváhagyottnak tekintendők, és amelyek szerepelnek az 540/2011/EU végrehajtási rendelet mellékletének D. részében</w:t>
            </w:r>
          </w:p>
        </w:tc>
        <w:tc>
          <w:tcPr>
            <w:tcW w:w="1848" w:type="dxa"/>
          </w:tcPr>
          <w:p w14:paraId="76EDA758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jóváhagyott, vagy jóváhagyottnak tekintendő hatóanyagok, amelyek nem tartoznak más kategóriába és amelyek szerepelnek az 540/2011/EU végrehajtási rendelet mellékletének A. és B. részében</w:t>
            </w:r>
          </w:p>
        </w:tc>
        <w:tc>
          <w:tcPr>
            <w:tcW w:w="1849" w:type="dxa"/>
          </w:tcPr>
          <w:p w14:paraId="1639D1F5" w14:textId="5ECAF323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24. cikkével összhangban helyettesítésre jelölt anyagokként jóváhagyott és az 540/2011/EU végrehajtási rendelet mellékletének E. részében felsorolt, vagy az (EU) 2015/408 végrehajtási rendelet mellékletében felsorolt hatóanyagok</w:t>
            </w:r>
          </w:p>
        </w:tc>
        <w:tc>
          <w:tcPr>
            <w:tcW w:w="1849" w:type="dxa"/>
          </w:tcPr>
          <w:p w14:paraId="43386890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Azok a hatóanyagok, amelyeket az 1107/2009/EK rendelet alapján nem hagytak jóvá, és ezért nem szerepelnek az 540/2011/EU végrehajtási rendelet mellékletében</w:t>
            </w:r>
          </w:p>
        </w:tc>
      </w:tr>
      <w:tr w:rsidR="0066509A" w:rsidRPr="00C86E2D" w14:paraId="48A6073F" w14:textId="77777777" w:rsidTr="007B3445">
        <w:tc>
          <w:tcPr>
            <w:tcW w:w="1848" w:type="dxa"/>
          </w:tcPr>
          <w:p w14:paraId="18225A86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ii.</w:t>
            </w:r>
          </w:p>
        </w:tc>
        <w:tc>
          <w:tcPr>
            <w:tcW w:w="7394" w:type="dxa"/>
            <w:gridSpan w:val="4"/>
          </w:tcPr>
          <w:p w14:paraId="78F7773B" w14:textId="726B1E90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noProof/>
                <w:sz w:val="20"/>
              </w:rPr>
              <w:t>Az 1107/2009/EK rendelet alapján engedélyezett termékekben forgalomba hozott hatóanyagok mennyiségeire alkalmazandó veszélyességi súlyok</w:t>
            </w:r>
          </w:p>
        </w:tc>
      </w:tr>
      <w:tr w:rsidR="00FA7E56" w:rsidRPr="00C86E2D" w14:paraId="79F27597" w14:textId="77777777" w:rsidTr="007B3445">
        <w:tc>
          <w:tcPr>
            <w:tcW w:w="1848" w:type="dxa"/>
          </w:tcPr>
          <w:p w14:paraId="2470DC9F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iii.</w:t>
            </w:r>
          </w:p>
        </w:tc>
        <w:tc>
          <w:tcPr>
            <w:tcW w:w="1848" w:type="dxa"/>
          </w:tcPr>
          <w:p w14:paraId="18CC8659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</w:t>
            </w:r>
          </w:p>
        </w:tc>
        <w:tc>
          <w:tcPr>
            <w:tcW w:w="1848" w:type="dxa"/>
          </w:tcPr>
          <w:p w14:paraId="794ABBDA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8</w:t>
            </w:r>
          </w:p>
        </w:tc>
        <w:tc>
          <w:tcPr>
            <w:tcW w:w="1849" w:type="dxa"/>
          </w:tcPr>
          <w:p w14:paraId="43158AE3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16</w:t>
            </w:r>
          </w:p>
        </w:tc>
        <w:tc>
          <w:tcPr>
            <w:tcW w:w="1849" w:type="dxa"/>
          </w:tcPr>
          <w:p w14:paraId="2C7E0780" w14:textId="77777777" w:rsidR="00FA7E56" w:rsidRPr="00C86E2D" w:rsidRDefault="00FA7E56" w:rsidP="007B344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86E2D">
              <w:rPr>
                <w:b/>
                <w:noProof/>
                <w:sz w:val="20"/>
              </w:rPr>
              <w:t>64</w:t>
            </w:r>
          </w:p>
        </w:tc>
      </w:tr>
    </w:tbl>
    <w:p w14:paraId="6596159E" w14:textId="77777777" w:rsidR="00FA7E56" w:rsidRPr="00C86E2D" w:rsidRDefault="00FA7E56" w:rsidP="00FA7E56">
      <w:pPr>
        <w:rPr>
          <w:b/>
          <w:bCs/>
          <w:noProof/>
          <w:szCs w:val="24"/>
        </w:rPr>
      </w:pPr>
    </w:p>
    <w:p w14:paraId="49C840AA" w14:textId="2ADE60AE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4.</w:t>
      </w:r>
      <w:r w:rsidRPr="00C86E2D">
        <w:rPr>
          <w:noProof/>
        </w:rPr>
        <w:tab/>
        <w:t xml:space="preserve">A 2a. harmonizált kockázati mutató alapértéke 100, amely megegyezik a fenti számítás átlagos eredményével a 2022–2024-es időszakra. </w:t>
      </w:r>
    </w:p>
    <w:p w14:paraId="226593AD" w14:textId="302FBA52" w:rsidR="00FA7E56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5.</w:t>
      </w:r>
      <w:r w:rsidRPr="00C86E2D">
        <w:rPr>
          <w:noProof/>
        </w:rPr>
        <w:tab/>
        <w:t xml:space="preserve">A 2a. harmonizált kockázati mutató eredményét az alapértékkel való összefüggésben kell kifejezni. </w:t>
      </w:r>
    </w:p>
    <w:p w14:paraId="2DDF0620" w14:textId="02AEBC6B" w:rsidR="007B3445" w:rsidRPr="00C86E2D" w:rsidRDefault="00A94DEB" w:rsidP="00A94DEB">
      <w:pPr>
        <w:pStyle w:val="Point0"/>
        <w:rPr>
          <w:noProof/>
          <w:szCs w:val="24"/>
        </w:rPr>
      </w:pPr>
      <w:r w:rsidRPr="00C86E2D">
        <w:rPr>
          <w:noProof/>
        </w:rPr>
        <w:t>6.</w:t>
      </w:r>
      <w:r w:rsidRPr="00C86E2D">
        <w:rPr>
          <w:noProof/>
        </w:rPr>
        <w:tab/>
        <w:t>A Bizottság e rendelet 35. cikkének (2) bekezdésével összhangban uniós szinten kiszámítja és kihirdeti a 2a. harmonizált kockázati mutató eredményeit. Ezt először 2027-ben kell megtenni a 2022–2025-ös naptári évek adatainak felhasználásával, majd ezt követően minden naptári évre vonatkozóan és legkésőbb 20 hónappal azon év végét követően, amelyre vonatkozóan a 2a. harmonizált kockázati mutatót kiszámítják.</w:t>
      </w:r>
    </w:p>
    <w:p w14:paraId="7AF5B33B" w14:textId="19E89F11" w:rsidR="00966579" w:rsidRPr="00C86E2D" w:rsidRDefault="003C0119" w:rsidP="003C0119">
      <w:pPr>
        <w:pStyle w:val="Point0"/>
        <w:rPr>
          <w:noProof/>
          <w:szCs w:val="24"/>
        </w:rPr>
      </w:pPr>
      <w:r w:rsidRPr="00C86E2D">
        <w:rPr>
          <w:noProof/>
        </w:rPr>
        <w:t>7.</w:t>
      </w:r>
      <w:r w:rsidRPr="00C86E2D">
        <w:rPr>
          <w:noProof/>
        </w:rPr>
        <w:tab/>
        <w:t>A tagállamok e rendelet 35. cikkének (3) bekezdésével összhangban nemzeti szinten kiszámítják és kihirdetik a 2a. harmonizált kockázati mutató eredményeit. Ezt először 2027-ben kell megtenni a 2022–2025-ös naptári évek adatainak felhasználásával, majd ezt követően minden naptári évre vonatkozóan és legkésőbb 20 hónappal azon év végét követően, amelyre vonatkozóan a 2a. harmonizált kockázati mutatót kiszámítják.</w:t>
      </w:r>
    </w:p>
    <w:p w14:paraId="5FFACEE4" w14:textId="77777777" w:rsidR="007B3445" w:rsidRPr="00C86E2D" w:rsidRDefault="007B3445" w:rsidP="007B3445">
      <w:pPr>
        <w:rPr>
          <w:noProof/>
        </w:rPr>
        <w:sectPr w:rsidR="007B3445" w:rsidRPr="00C86E2D" w:rsidSect="006B0D72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3DFF5CB" w14:textId="2C09D297" w:rsidR="007B3445" w:rsidRPr="00C86E2D" w:rsidRDefault="6B25E89D" w:rsidP="007B3445">
      <w:pPr>
        <w:pStyle w:val="Annexetitre"/>
        <w:rPr>
          <w:noProof/>
        </w:rPr>
      </w:pPr>
      <w:r w:rsidRPr="00C86E2D">
        <w:rPr>
          <w:noProof/>
        </w:rPr>
        <w:t>VII. MELLÉKLET</w:t>
      </w:r>
    </w:p>
    <w:p w14:paraId="31E534FA" w14:textId="2FCAD487" w:rsidR="007B3445" w:rsidRPr="00C86E2D" w:rsidRDefault="007B3445" w:rsidP="007B3445">
      <w:pPr>
        <w:jc w:val="center"/>
        <w:rPr>
          <w:b/>
          <w:noProof/>
          <w:szCs w:val="24"/>
        </w:rPr>
      </w:pPr>
      <w:r w:rsidRPr="00C86E2D">
        <w:rPr>
          <w:b/>
          <w:noProof/>
        </w:rPr>
        <w:t xml:space="preserve">A 43. CIKK (2) BEKEZDÉSÉBEN EMLÍTETT MEGFELELÉSI TÁBLÁZAT </w:t>
      </w:r>
    </w:p>
    <w:p w14:paraId="412E388E" w14:textId="77777777" w:rsidR="007B3445" w:rsidRPr="00C86E2D" w:rsidRDefault="007B3445" w:rsidP="007B3445">
      <w:pPr>
        <w:rPr>
          <w:b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509A" w:rsidRPr="00C86E2D" w14:paraId="511B1C93" w14:textId="77777777" w:rsidTr="00FE35DD">
        <w:tc>
          <w:tcPr>
            <w:tcW w:w="4621" w:type="dxa"/>
          </w:tcPr>
          <w:p w14:paraId="08C7B86A" w14:textId="77777777" w:rsidR="00D866B3" w:rsidRPr="00C86E2D" w:rsidRDefault="00D866B3" w:rsidP="00FE35DD">
            <w:pPr>
              <w:jc w:val="center"/>
              <w:rPr>
                <w:b/>
                <w:noProof/>
              </w:rPr>
            </w:pPr>
            <w:r w:rsidRPr="00C86E2D">
              <w:rPr>
                <w:b/>
                <w:noProof/>
                <w:shd w:val="clear" w:color="auto" w:fill="FFFFFF"/>
              </w:rPr>
              <w:t xml:space="preserve">2009/128/EK </w:t>
            </w:r>
            <w:r w:rsidRPr="00C86E2D">
              <w:rPr>
                <w:rStyle w:val="Emphasis"/>
                <w:b/>
                <w:i w:val="0"/>
                <w:noProof/>
                <w:shd w:val="clear" w:color="auto" w:fill="FFFFFF"/>
              </w:rPr>
              <w:t>irányelv</w:t>
            </w:r>
          </w:p>
        </w:tc>
        <w:tc>
          <w:tcPr>
            <w:tcW w:w="4621" w:type="dxa"/>
          </w:tcPr>
          <w:p w14:paraId="70FA65AA" w14:textId="77777777" w:rsidR="00D866B3" w:rsidRPr="00C86E2D" w:rsidRDefault="00D866B3" w:rsidP="00FE35DD">
            <w:pPr>
              <w:jc w:val="center"/>
              <w:rPr>
                <w:b/>
                <w:noProof/>
              </w:rPr>
            </w:pPr>
            <w:r w:rsidRPr="00C86E2D">
              <w:rPr>
                <w:b/>
                <w:noProof/>
              </w:rPr>
              <w:t>Ez a rendelet</w:t>
            </w:r>
          </w:p>
        </w:tc>
      </w:tr>
      <w:tr w:rsidR="0066509A" w:rsidRPr="00C86E2D" w14:paraId="7D063F84" w14:textId="77777777" w:rsidTr="00FE35DD">
        <w:tc>
          <w:tcPr>
            <w:tcW w:w="4621" w:type="dxa"/>
          </w:tcPr>
          <w:p w14:paraId="0B11855E" w14:textId="20265D60" w:rsidR="00D866B3" w:rsidRPr="00C86E2D" w:rsidRDefault="00D866B3" w:rsidP="00D866B3">
            <w:pPr>
              <w:rPr>
                <w:noProof/>
              </w:rPr>
            </w:pPr>
            <w:r w:rsidRPr="00C86E2D">
              <w:rPr>
                <w:noProof/>
              </w:rPr>
              <w:t>1. cikk</w:t>
            </w:r>
          </w:p>
        </w:tc>
        <w:tc>
          <w:tcPr>
            <w:tcW w:w="4621" w:type="dxa"/>
          </w:tcPr>
          <w:p w14:paraId="4A320C14" w14:textId="77777777" w:rsidR="00D866B3" w:rsidRPr="00C86E2D" w:rsidRDefault="00D866B3" w:rsidP="00FE35DD">
            <w:pPr>
              <w:rPr>
                <w:noProof/>
              </w:rPr>
            </w:pPr>
            <w:r w:rsidRPr="00C86E2D">
              <w:rPr>
                <w:noProof/>
              </w:rPr>
              <w:t>1. cikk</w:t>
            </w:r>
          </w:p>
        </w:tc>
      </w:tr>
      <w:tr w:rsidR="0066509A" w:rsidRPr="00C86E2D" w14:paraId="65CCA4FF" w14:textId="77777777" w:rsidTr="00FE35DD">
        <w:tc>
          <w:tcPr>
            <w:tcW w:w="4621" w:type="dxa"/>
          </w:tcPr>
          <w:p w14:paraId="747CC941" w14:textId="15C761F3" w:rsidR="00D866B3" w:rsidRPr="00C86E2D" w:rsidRDefault="00D866B3" w:rsidP="00D866B3">
            <w:pPr>
              <w:rPr>
                <w:noProof/>
              </w:rPr>
            </w:pPr>
            <w:r w:rsidRPr="00C86E2D">
              <w:rPr>
                <w:noProof/>
              </w:rPr>
              <w:t>2. cikk</w:t>
            </w:r>
          </w:p>
        </w:tc>
        <w:tc>
          <w:tcPr>
            <w:tcW w:w="4621" w:type="dxa"/>
          </w:tcPr>
          <w:p w14:paraId="5F8E0116" w14:textId="0C2B166D" w:rsidR="00D866B3" w:rsidRPr="00C86E2D" w:rsidRDefault="00C00124" w:rsidP="00FE35DD">
            <w:pPr>
              <w:rPr>
                <w:noProof/>
              </w:rPr>
            </w:pPr>
            <w:r w:rsidRPr="00C86E2D">
              <w:rPr>
                <w:noProof/>
              </w:rPr>
              <w:t>2. cikk</w:t>
            </w:r>
          </w:p>
        </w:tc>
      </w:tr>
      <w:tr w:rsidR="0066509A" w:rsidRPr="00C86E2D" w14:paraId="2A4ADF93" w14:textId="77777777" w:rsidTr="00FE35DD">
        <w:tc>
          <w:tcPr>
            <w:tcW w:w="4621" w:type="dxa"/>
          </w:tcPr>
          <w:p w14:paraId="4AE00E4C" w14:textId="54FA70FD" w:rsidR="00D866B3" w:rsidRPr="00C86E2D" w:rsidRDefault="00D866B3" w:rsidP="00D866B3">
            <w:pPr>
              <w:rPr>
                <w:noProof/>
              </w:rPr>
            </w:pPr>
            <w:r w:rsidRPr="00C86E2D">
              <w:rPr>
                <w:noProof/>
              </w:rPr>
              <w:t>3. cikk</w:t>
            </w:r>
          </w:p>
        </w:tc>
        <w:tc>
          <w:tcPr>
            <w:tcW w:w="4621" w:type="dxa"/>
          </w:tcPr>
          <w:p w14:paraId="31FBF74C" w14:textId="6C081439" w:rsidR="00D866B3" w:rsidRPr="00C86E2D" w:rsidRDefault="00D866B3" w:rsidP="00C00124">
            <w:pPr>
              <w:rPr>
                <w:noProof/>
              </w:rPr>
            </w:pPr>
            <w:r w:rsidRPr="00C86E2D">
              <w:rPr>
                <w:noProof/>
              </w:rPr>
              <w:t>3. cikk</w:t>
            </w:r>
          </w:p>
        </w:tc>
      </w:tr>
      <w:tr w:rsidR="0066509A" w:rsidRPr="00C86E2D" w14:paraId="4FD88832" w14:textId="77777777" w:rsidTr="00FE35DD">
        <w:tc>
          <w:tcPr>
            <w:tcW w:w="4621" w:type="dxa"/>
          </w:tcPr>
          <w:p w14:paraId="1F8EEA88" w14:textId="522C462B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4. cikk</w:t>
            </w:r>
          </w:p>
        </w:tc>
        <w:tc>
          <w:tcPr>
            <w:tcW w:w="4621" w:type="dxa"/>
          </w:tcPr>
          <w:p w14:paraId="3FC3A688" w14:textId="0CFCAEE2" w:rsidR="00D866B3" w:rsidRPr="00C86E2D" w:rsidRDefault="00D866B3" w:rsidP="00C00124">
            <w:pPr>
              <w:rPr>
                <w:noProof/>
              </w:rPr>
            </w:pPr>
            <w:r w:rsidRPr="00C86E2D">
              <w:rPr>
                <w:noProof/>
              </w:rPr>
              <w:t>8–9. cikk</w:t>
            </w:r>
          </w:p>
        </w:tc>
      </w:tr>
      <w:tr w:rsidR="0066509A" w:rsidRPr="00C86E2D" w14:paraId="0AA3D0E4" w14:textId="77777777" w:rsidTr="00FE35DD">
        <w:tc>
          <w:tcPr>
            <w:tcW w:w="4621" w:type="dxa"/>
          </w:tcPr>
          <w:p w14:paraId="7561BEFD" w14:textId="54CDB9A4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1FDD5F75" w14:textId="7357A27D" w:rsidR="00D866B3" w:rsidRPr="00C86E2D" w:rsidRDefault="00D866B3" w:rsidP="00C05890">
            <w:pPr>
              <w:rPr>
                <w:noProof/>
              </w:rPr>
            </w:pPr>
          </w:p>
        </w:tc>
      </w:tr>
      <w:tr w:rsidR="0066509A" w:rsidRPr="00C86E2D" w14:paraId="54096D90" w14:textId="77777777" w:rsidTr="00FE35DD">
        <w:tc>
          <w:tcPr>
            <w:tcW w:w="4621" w:type="dxa"/>
          </w:tcPr>
          <w:p w14:paraId="39B3EEF7" w14:textId="0401946B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18496DE3" w14:textId="4BA77BDA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34AB7AC9" w14:textId="77777777" w:rsidTr="00FE35DD">
        <w:tc>
          <w:tcPr>
            <w:tcW w:w="4621" w:type="dxa"/>
          </w:tcPr>
          <w:p w14:paraId="301AC5C4" w14:textId="73472FC3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3ED2B661" w14:textId="0D003651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35B23E02" w14:textId="77777777" w:rsidTr="00FE35DD">
        <w:tc>
          <w:tcPr>
            <w:tcW w:w="4621" w:type="dxa"/>
          </w:tcPr>
          <w:p w14:paraId="18D00FF6" w14:textId="206E4EBE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5. cikk</w:t>
            </w:r>
          </w:p>
        </w:tc>
        <w:tc>
          <w:tcPr>
            <w:tcW w:w="4621" w:type="dxa"/>
          </w:tcPr>
          <w:p w14:paraId="4607D63A" w14:textId="5C30793F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17. cikk, (1) bekezdés, 23. és 25. cikk</w:t>
            </w:r>
          </w:p>
        </w:tc>
      </w:tr>
      <w:tr w:rsidR="0066509A" w:rsidRPr="00C86E2D" w14:paraId="3A081F13" w14:textId="77777777" w:rsidTr="00FE35DD">
        <w:tc>
          <w:tcPr>
            <w:tcW w:w="4621" w:type="dxa"/>
          </w:tcPr>
          <w:p w14:paraId="58A6E5B4" w14:textId="1C2BF810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6. cikk</w:t>
            </w:r>
          </w:p>
        </w:tc>
        <w:tc>
          <w:tcPr>
            <w:tcW w:w="4621" w:type="dxa"/>
          </w:tcPr>
          <w:p w14:paraId="0EE31E25" w14:textId="4AA84C17" w:rsidR="00D866B3" w:rsidRPr="00C86E2D" w:rsidRDefault="00D866B3" w:rsidP="003118DA">
            <w:pPr>
              <w:rPr>
                <w:noProof/>
              </w:rPr>
            </w:pPr>
            <w:r w:rsidRPr="00C86E2D">
              <w:rPr>
                <w:noProof/>
              </w:rPr>
              <w:t>24. cikk</w:t>
            </w:r>
          </w:p>
        </w:tc>
      </w:tr>
      <w:tr w:rsidR="0066509A" w:rsidRPr="00C86E2D" w14:paraId="42EEDAEE" w14:textId="77777777" w:rsidTr="00FE35DD">
        <w:tc>
          <w:tcPr>
            <w:tcW w:w="4621" w:type="dxa"/>
          </w:tcPr>
          <w:p w14:paraId="459E1C60" w14:textId="5E35077E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7. cikk</w:t>
            </w:r>
          </w:p>
        </w:tc>
        <w:tc>
          <w:tcPr>
            <w:tcW w:w="4621" w:type="dxa"/>
          </w:tcPr>
          <w:p w14:paraId="459A139A" w14:textId="357BDEE8" w:rsidR="00D866B3" w:rsidRPr="00C86E2D" w:rsidRDefault="00D866B3" w:rsidP="003118DA">
            <w:pPr>
              <w:rPr>
                <w:noProof/>
              </w:rPr>
            </w:pPr>
            <w:r w:rsidRPr="00C86E2D">
              <w:rPr>
                <w:noProof/>
              </w:rPr>
              <w:t>27. cikk</w:t>
            </w:r>
          </w:p>
        </w:tc>
      </w:tr>
      <w:tr w:rsidR="0066509A" w:rsidRPr="00C86E2D" w14:paraId="671BAC8A" w14:textId="77777777" w:rsidTr="00FE35DD">
        <w:tc>
          <w:tcPr>
            <w:tcW w:w="4621" w:type="dxa"/>
          </w:tcPr>
          <w:p w14:paraId="17311C28" w14:textId="36CE966E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 xml:space="preserve">8. cikk </w:t>
            </w:r>
          </w:p>
        </w:tc>
        <w:tc>
          <w:tcPr>
            <w:tcW w:w="4621" w:type="dxa"/>
          </w:tcPr>
          <w:p w14:paraId="1319FD6B" w14:textId="6C2327DF" w:rsidR="00D866B3" w:rsidRPr="00C86E2D" w:rsidRDefault="00D866B3" w:rsidP="00D276F0">
            <w:pPr>
              <w:rPr>
                <w:noProof/>
              </w:rPr>
            </w:pPr>
            <w:r w:rsidRPr="00C86E2D">
              <w:rPr>
                <w:noProof/>
              </w:rPr>
              <w:t>17. cikk, (3)–(5) bekezdés és 29–33. cikk</w:t>
            </w:r>
          </w:p>
        </w:tc>
      </w:tr>
      <w:tr w:rsidR="0066509A" w:rsidRPr="00C86E2D" w14:paraId="2EE38CC4" w14:textId="77777777" w:rsidTr="00FE35DD">
        <w:tc>
          <w:tcPr>
            <w:tcW w:w="4621" w:type="dxa"/>
          </w:tcPr>
          <w:p w14:paraId="23DE11CE" w14:textId="1BBD7BB1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41387B6B" w14:textId="4F3EFB82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03316C9C" w14:textId="77777777" w:rsidTr="00FE35DD">
        <w:tc>
          <w:tcPr>
            <w:tcW w:w="4621" w:type="dxa"/>
          </w:tcPr>
          <w:p w14:paraId="51CA96C6" w14:textId="3E438BA2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7A680269" w14:textId="4050A4C9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506DC403" w14:textId="77777777" w:rsidTr="00FE35DD">
        <w:tc>
          <w:tcPr>
            <w:tcW w:w="4621" w:type="dxa"/>
          </w:tcPr>
          <w:p w14:paraId="037AD9E0" w14:textId="70CE922D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2FB1BB5E" w14:textId="3FCABC69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2BFE2759" w14:textId="77777777" w:rsidTr="00FE35DD">
        <w:tc>
          <w:tcPr>
            <w:tcW w:w="4621" w:type="dxa"/>
          </w:tcPr>
          <w:p w14:paraId="41BE758C" w14:textId="5FAAEFEB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7FFD1AE8" w14:textId="3BC2FA2A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4C5DBE10" w14:textId="77777777" w:rsidTr="00FE35DD">
        <w:tc>
          <w:tcPr>
            <w:tcW w:w="4621" w:type="dxa"/>
          </w:tcPr>
          <w:p w14:paraId="58F84CF4" w14:textId="4203F766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31EF8212" w14:textId="2D36CB3D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508FE693" w14:textId="77777777" w:rsidTr="00FE35DD">
        <w:tc>
          <w:tcPr>
            <w:tcW w:w="4621" w:type="dxa"/>
          </w:tcPr>
          <w:p w14:paraId="36DA1CFD" w14:textId="40745D4B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 xml:space="preserve">9. cikk </w:t>
            </w:r>
          </w:p>
        </w:tc>
        <w:tc>
          <w:tcPr>
            <w:tcW w:w="4621" w:type="dxa"/>
          </w:tcPr>
          <w:p w14:paraId="0072D632" w14:textId="2A1FAC11" w:rsidR="00D866B3" w:rsidRPr="00C86E2D" w:rsidRDefault="00D866B3" w:rsidP="00C05890">
            <w:pPr>
              <w:rPr>
                <w:noProof/>
              </w:rPr>
            </w:pPr>
            <w:r w:rsidRPr="00C86E2D">
              <w:rPr>
                <w:noProof/>
              </w:rPr>
              <w:t>20–21. cikk</w:t>
            </w:r>
          </w:p>
        </w:tc>
      </w:tr>
      <w:tr w:rsidR="0066509A" w:rsidRPr="00C86E2D" w14:paraId="761CAB07" w14:textId="77777777" w:rsidTr="00FE35DD">
        <w:tc>
          <w:tcPr>
            <w:tcW w:w="4621" w:type="dxa"/>
          </w:tcPr>
          <w:p w14:paraId="0306ED7C" w14:textId="3CA96F71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 xml:space="preserve">10. cikk </w:t>
            </w:r>
          </w:p>
        </w:tc>
        <w:tc>
          <w:tcPr>
            <w:tcW w:w="4621" w:type="dxa"/>
          </w:tcPr>
          <w:p w14:paraId="6C578F2D" w14:textId="1C18D7E7" w:rsidR="00D866B3" w:rsidRPr="00C86E2D" w:rsidRDefault="00D866B3" w:rsidP="007B34A6">
            <w:pPr>
              <w:rPr>
                <w:noProof/>
              </w:rPr>
            </w:pPr>
          </w:p>
        </w:tc>
      </w:tr>
      <w:tr w:rsidR="0066509A" w:rsidRPr="00C86E2D" w14:paraId="536F453C" w14:textId="77777777" w:rsidTr="00FE35DD">
        <w:tc>
          <w:tcPr>
            <w:tcW w:w="4621" w:type="dxa"/>
          </w:tcPr>
          <w:p w14:paraId="63BD7995" w14:textId="138D56BB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11. cikk</w:t>
            </w:r>
          </w:p>
        </w:tc>
        <w:tc>
          <w:tcPr>
            <w:tcW w:w="4621" w:type="dxa"/>
          </w:tcPr>
          <w:p w14:paraId="2BB17F59" w14:textId="001F7697" w:rsidR="00D866B3" w:rsidRPr="00C86E2D" w:rsidRDefault="00D866B3" w:rsidP="007B34A6">
            <w:pPr>
              <w:rPr>
                <w:noProof/>
              </w:rPr>
            </w:pPr>
            <w:r w:rsidRPr="00C86E2D">
              <w:rPr>
                <w:noProof/>
              </w:rPr>
              <w:t>19. cikk</w:t>
            </w:r>
          </w:p>
        </w:tc>
      </w:tr>
      <w:tr w:rsidR="0066509A" w:rsidRPr="00C86E2D" w14:paraId="215A9B05" w14:textId="77777777" w:rsidTr="00FE35DD">
        <w:tc>
          <w:tcPr>
            <w:tcW w:w="4621" w:type="dxa"/>
          </w:tcPr>
          <w:p w14:paraId="2825F5D2" w14:textId="2337F35B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12. cikk</w:t>
            </w:r>
          </w:p>
        </w:tc>
        <w:tc>
          <w:tcPr>
            <w:tcW w:w="4621" w:type="dxa"/>
          </w:tcPr>
          <w:p w14:paraId="64621208" w14:textId="52151EC6" w:rsidR="00D866B3" w:rsidRPr="00C86E2D" w:rsidRDefault="00D866B3" w:rsidP="007B34A6">
            <w:pPr>
              <w:rPr>
                <w:noProof/>
              </w:rPr>
            </w:pPr>
            <w:r w:rsidRPr="00C86E2D">
              <w:rPr>
                <w:noProof/>
              </w:rPr>
              <w:t>18. cikk</w:t>
            </w:r>
          </w:p>
        </w:tc>
      </w:tr>
      <w:tr w:rsidR="0066509A" w:rsidRPr="00C86E2D" w14:paraId="7500B9B3" w14:textId="77777777" w:rsidTr="00FE35DD">
        <w:tc>
          <w:tcPr>
            <w:tcW w:w="4621" w:type="dxa"/>
          </w:tcPr>
          <w:p w14:paraId="322240E4" w14:textId="731462FF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13. cikk</w:t>
            </w:r>
          </w:p>
        </w:tc>
        <w:tc>
          <w:tcPr>
            <w:tcW w:w="4621" w:type="dxa"/>
          </w:tcPr>
          <w:p w14:paraId="5884AD7F" w14:textId="0F4A7A4F" w:rsidR="00D866B3" w:rsidRPr="00C86E2D" w:rsidRDefault="00D866B3" w:rsidP="004F4CE2">
            <w:pPr>
              <w:rPr>
                <w:noProof/>
              </w:rPr>
            </w:pPr>
            <w:r w:rsidRPr="00C86E2D">
              <w:rPr>
                <w:noProof/>
              </w:rPr>
              <w:t>22. cikk</w:t>
            </w:r>
          </w:p>
        </w:tc>
      </w:tr>
      <w:tr w:rsidR="0066509A" w:rsidRPr="00C86E2D" w14:paraId="66F27F67" w14:textId="77777777" w:rsidTr="00FE35DD">
        <w:tc>
          <w:tcPr>
            <w:tcW w:w="4621" w:type="dxa"/>
          </w:tcPr>
          <w:p w14:paraId="4D43BEE8" w14:textId="6AFB2C30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 xml:space="preserve">14. cikk </w:t>
            </w:r>
          </w:p>
        </w:tc>
        <w:tc>
          <w:tcPr>
            <w:tcW w:w="4621" w:type="dxa"/>
          </w:tcPr>
          <w:p w14:paraId="7CC6853D" w14:textId="3742EB89" w:rsidR="00D866B3" w:rsidRPr="00C86E2D" w:rsidRDefault="00D866B3" w:rsidP="004F4CE2">
            <w:pPr>
              <w:rPr>
                <w:noProof/>
              </w:rPr>
            </w:pPr>
            <w:r w:rsidRPr="00C86E2D">
              <w:rPr>
                <w:noProof/>
              </w:rPr>
              <w:t>12–16. cikk</w:t>
            </w:r>
          </w:p>
        </w:tc>
      </w:tr>
      <w:tr w:rsidR="0066509A" w:rsidRPr="00C86E2D" w14:paraId="697F2E08" w14:textId="77777777" w:rsidTr="00FE35DD">
        <w:tc>
          <w:tcPr>
            <w:tcW w:w="4621" w:type="dxa"/>
          </w:tcPr>
          <w:p w14:paraId="0479937C" w14:textId="1D52C183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0A6BED67" w14:textId="0AD670CC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01E4150A" w14:textId="77777777" w:rsidTr="00FE35DD">
        <w:tc>
          <w:tcPr>
            <w:tcW w:w="4621" w:type="dxa"/>
          </w:tcPr>
          <w:p w14:paraId="040D5991" w14:textId="5FB1EA0B" w:rsidR="00D866B3" w:rsidRPr="00C86E2D" w:rsidRDefault="00D866B3" w:rsidP="00D866B3">
            <w:pPr>
              <w:rPr>
                <w:noProof/>
              </w:rPr>
            </w:pPr>
          </w:p>
        </w:tc>
        <w:tc>
          <w:tcPr>
            <w:tcW w:w="4621" w:type="dxa"/>
          </w:tcPr>
          <w:p w14:paraId="00E23A52" w14:textId="476CA115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4FFFF69B" w14:textId="77777777" w:rsidTr="00FE35DD">
        <w:tc>
          <w:tcPr>
            <w:tcW w:w="4621" w:type="dxa"/>
          </w:tcPr>
          <w:p w14:paraId="5047ECB0" w14:textId="4100CFD2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15. cikk</w:t>
            </w:r>
          </w:p>
        </w:tc>
        <w:tc>
          <w:tcPr>
            <w:tcW w:w="4621" w:type="dxa"/>
          </w:tcPr>
          <w:p w14:paraId="7F7F417B" w14:textId="2D6C6A7D" w:rsidR="00D866B3" w:rsidRPr="00C86E2D" w:rsidRDefault="00D866B3" w:rsidP="00AA512C">
            <w:pPr>
              <w:rPr>
                <w:noProof/>
              </w:rPr>
            </w:pPr>
            <w:r w:rsidRPr="00C86E2D">
              <w:rPr>
                <w:noProof/>
              </w:rPr>
              <w:t>35. és 36. cikk</w:t>
            </w:r>
          </w:p>
        </w:tc>
      </w:tr>
      <w:tr w:rsidR="0066509A" w:rsidRPr="00C86E2D" w14:paraId="53CCB874" w14:textId="77777777" w:rsidTr="00FE35DD">
        <w:tc>
          <w:tcPr>
            <w:tcW w:w="4621" w:type="dxa"/>
          </w:tcPr>
          <w:p w14:paraId="252D3F57" w14:textId="2E60DB34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16. cikk</w:t>
            </w:r>
          </w:p>
        </w:tc>
        <w:tc>
          <w:tcPr>
            <w:tcW w:w="4621" w:type="dxa"/>
          </w:tcPr>
          <w:p w14:paraId="629A4818" w14:textId="333DF84E" w:rsidR="00D866B3" w:rsidRPr="00C86E2D" w:rsidRDefault="00D276F0" w:rsidP="00BB4E03">
            <w:pPr>
              <w:rPr>
                <w:noProof/>
              </w:rPr>
            </w:pPr>
            <w:r w:rsidRPr="00C86E2D">
              <w:rPr>
                <w:noProof/>
              </w:rPr>
              <w:t>11. cikk, (7) bekezdés, 15. cikk, (13) bekezdés és 42. cikk, (2) bekezdés</w:t>
            </w:r>
          </w:p>
        </w:tc>
      </w:tr>
      <w:tr w:rsidR="0066509A" w:rsidRPr="00C86E2D" w14:paraId="2E04CDD7" w14:textId="77777777" w:rsidTr="00FE35DD">
        <w:tc>
          <w:tcPr>
            <w:tcW w:w="4621" w:type="dxa"/>
          </w:tcPr>
          <w:p w14:paraId="0DB9F94D" w14:textId="0FA273A3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17. cikk</w:t>
            </w:r>
          </w:p>
        </w:tc>
        <w:tc>
          <w:tcPr>
            <w:tcW w:w="4621" w:type="dxa"/>
          </w:tcPr>
          <w:p w14:paraId="66DC570F" w14:textId="6B6B9955" w:rsidR="00D866B3" w:rsidRPr="00C86E2D" w:rsidRDefault="00D866B3" w:rsidP="00812205">
            <w:pPr>
              <w:rPr>
                <w:noProof/>
              </w:rPr>
            </w:pPr>
            <w:r w:rsidRPr="00C86E2D">
              <w:rPr>
                <w:noProof/>
              </w:rPr>
              <w:t>38. cikk</w:t>
            </w:r>
          </w:p>
        </w:tc>
      </w:tr>
      <w:tr w:rsidR="0066509A" w:rsidRPr="00C86E2D" w14:paraId="11DAB825" w14:textId="77777777" w:rsidTr="00FE35DD">
        <w:tc>
          <w:tcPr>
            <w:tcW w:w="4621" w:type="dxa"/>
          </w:tcPr>
          <w:p w14:paraId="5EC36630" w14:textId="177736A3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18. cikk</w:t>
            </w:r>
          </w:p>
        </w:tc>
        <w:tc>
          <w:tcPr>
            <w:tcW w:w="4621" w:type="dxa"/>
          </w:tcPr>
          <w:p w14:paraId="30A0549C" w14:textId="19E63948" w:rsidR="00D866B3" w:rsidRPr="00C86E2D" w:rsidRDefault="00D866B3" w:rsidP="00FE35DD">
            <w:pPr>
              <w:rPr>
                <w:noProof/>
              </w:rPr>
            </w:pPr>
          </w:p>
        </w:tc>
      </w:tr>
      <w:tr w:rsidR="0066509A" w:rsidRPr="00C86E2D" w14:paraId="136BAFCE" w14:textId="77777777" w:rsidTr="00FE35DD">
        <w:tc>
          <w:tcPr>
            <w:tcW w:w="4621" w:type="dxa"/>
          </w:tcPr>
          <w:p w14:paraId="25EBAAED" w14:textId="36EAA3B5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19. cikk</w:t>
            </w:r>
          </w:p>
        </w:tc>
        <w:tc>
          <w:tcPr>
            <w:tcW w:w="4621" w:type="dxa"/>
          </w:tcPr>
          <w:p w14:paraId="3EDF311B" w14:textId="30304C1C" w:rsidR="00D866B3" w:rsidRPr="00C86E2D" w:rsidRDefault="00D866B3" w:rsidP="00812205">
            <w:pPr>
              <w:rPr>
                <w:noProof/>
              </w:rPr>
            </w:pPr>
            <w:r w:rsidRPr="00C86E2D">
              <w:rPr>
                <w:noProof/>
              </w:rPr>
              <w:t>39. cikk</w:t>
            </w:r>
          </w:p>
        </w:tc>
      </w:tr>
      <w:tr w:rsidR="0066509A" w:rsidRPr="00C86E2D" w14:paraId="65A7D496" w14:textId="77777777" w:rsidTr="00FE35DD">
        <w:tc>
          <w:tcPr>
            <w:tcW w:w="4621" w:type="dxa"/>
          </w:tcPr>
          <w:p w14:paraId="64578123" w14:textId="4F2243FA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 xml:space="preserve">20. cikk </w:t>
            </w:r>
          </w:p>
        </w:tc>
        <w:tc>
          <w:tcPr>
            <w:tcW w:w="4621" w:type="dxa"/>
          </w:tcPr>
          <w:p w14:paraId="42E8523D" w14:textId="47E4968D" w:rsidR="00D866B3" w:rsidRPr="00C86E2D" w:rsidRDefault="002B3821" w:rsidP="00FE35DD">
            <w:pPr>
              <w:rPr>
                <w:noProof/>
              </w:rPr>
            </w:pPr>
            <w:r w:rsidRPr="00C86E2D">
              <w:rPr>
                <w:noProof/>
              </w:rPr>
              <w:t>31. cikk, (11) bekezdés</w:t>
            </w:r>
          </w:p>
        </w:tc>
      </w:tr>
      <w:tr w:rsidR="0066509A" w:rsidRPr="00C86E2D" w14:paraId="1C9FFA79" w14:textId="77777777" w:rsidTr="00FE35DD">
        <w:tc>
          <w:tcPr>
            <w:tcW w:w="4621" w:type="dxa"/>
          </w:tcPr>
          <w:p w14:paraId="68C8C5BD" w14:textId="005BB6FA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21. cikk</w:t>
            </w:r>
          </w:p>
        </w:tc>
        <w:tc>
          <w:tcPr>
            <w:tcW w:w="4621" w:type="dxa"/>
          </w:tcPr>
          <w:p w14:paraId="11F26F2E" w14:textId="27708AE5" w:rsidR="00D866B3" w:rsidRPr="00C86E2D" w:rsidRDefault="00D866B3" w:rsidP="002B3821">
            <w:pPr>
              <w:rPr>
                <w:noProof/>
              </w:rPr>
            </w:pPr>
            <w:r w:rsidRPr="00C86E2D">
              <w:rPr>
                <w:noProof/>
              </w:rPr>
              <w:t>41. cikk</w:t>
            </w:r>
          </w:p>
        </w:tc>
      </w:tr>
      <w:tr w:rsidR="0066509A" w:rsidRPr="00C86E2D" w14:paraId="6B011F71" w14:textId="77777777" w:rsidTr="00FE35DD">
        <w:tc>
          <w:tcPr>
            <w:tcW w:w="4621" w:type="dxa"/>
          </w:tcPr>
          <w:p w14:paraId="0E6A3CE8" w14:textId="18DE2BC3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22. cikk</w:t>
            </w:r>
          </w:p>
        </w:tc>
        <w:tc>
          <w:tcPr>
            <w:tcW w:w="4621" w:type="dxa"/>
          </w:tcPr>
          <w:p w14:paraId="0A3D415C" w14:textId="77777777" w:rsidR="00D866B3" w:rsidRPr="00C86E2D" w:rsidRDefault="00D866B3" w:rsidP="00FE35DD">
            <w:pPr>
              <w:rPr>
                <w:noProof/>
              </w:rPr>
            </w:pPr>
            <w:r w:rsidRPr="00C86E2D">
              <w:rPr>
                <w:noProof/>
              </w:rPr>
              <w:t>–</w:t>
            </w:r>
          </w:p>
        </w:tc>
      </w:tr>
      <w:tr w:rsidR="0066509A" w:rsidRPr="00C86E2D" w14:paraId="5476FB23" w14:textId="77777777" w:rsidTr="00FE35DD">
        <w:tc>
          <w:tcPr>
            <w:tcW w:w="4621" w:type="dxa"/>
          </w:tcPr>
          <w:p w14:paraId="5E0F9C18" w14:textId="7B78D2F5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23. cikk</w:t>
            </w:r>
          </w:p>
        </w:tc>
        <w:tc>
          <w:tcPr>
            <w:tcW w:w="4621" w:type="dxa"/>
          </w:tcPr>
          <w:p w14:paraId="2A492E03" w14:textId="77777777" w:rsidR="00D866B3" w:rsidRPr="00C86E2D" w:rsidRDefault="00D866B3" w:rsidP="00FE35DD">
            <w:pPr>
              <w:rPr>
                <w:noProof/>
              </w:rPr>
            </w:pPr>
            <w:r w:rsidRPr="00C86E2D">
              <w:rPr>
                <w:noProof/>
              </w:rPr>
              <w:t>–</w:t>
            </w:r>
          </w:p>
        </w:tc>
      </w:tr>
      <w:tr w:rsidR="0066509A" w:rsidRPr="00C86E2D" w14:paraId="4E57F1B4" w14:textId="77777777" w:rsidTr="00FE35DD">
        <w:tc>
          <w:tcPr>
            <w:tcW w:w="4621" w:type="dxa"/>
          </w:tcPr>
          <w:p w14:paraId="31F3A53D" w14:textId="1E41A279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24. cikk</w:t>
            </w:r>
          </w:p>
        </w:tc>
        <w:tc>
          <w:tcPr>
            <w:tcW w:w="4621" w:type="dxa"/>
          </w:tcPr>
          <w:p w14:paraId="662FAEF6" w14:textId="238D4DB5" w:rsidR="00D866B3" w:rsidRPr="00C86E2D" w:rsidRDefault="00D866B3" w:rsidP="002B3821">
            <w:pPr>
              <w:rPr>
                <w:noProof/>
              </w:rPr>
            </w:pPr>
            <w:r w:rsidRPr="00C86E2D">
              <w:rPr>
                <w:noProof/>
              </w:rPr>
              <w:t>44. cikk</w:t>
            </w:r>
          </w:p>
        </w:tc>
      </w:tr>
      <w:tr w:rsidR="0066509A" w:rsidRPr="00C86E2D" w14:paraId="148A4BB1" w14:textId="77777777" w:rsidTr="00FE35DD">
        <w:tc>
          <w:tcPr>
            <w:tcW w:w="4621" w:type="dxa"/>
          </w:tcPr>
          <w:p w14:paraId="53C811CD" w14:textId="29DACE6C" w:rsidR="00D866B3" w:rsidRPr="00C86E2D" w:rsidRDefault="00D866B3" w:rsidP="00D866B3">
            <w:pPr>
              <w:rPr>
                <w:noProof/>
              </w:rPr>
            </w:pPr>
            <w:r w:rsidRPr="00C86E2D">
              <w:rPr>
                <w:noProof/>
              </w:rPr>
              <w:t>25. cikk</w:t>
            </w:r>
          </w:p>
        </w:tc>
        <w:tc>
          <w:tcPr>
            <w:tcW w:w="4621" w:type="dxa"/>
          </w:tcPr>
          <w:p w14:paraId="1DF32976" w14:textId="77777777" w:rsidR="00D866B3" w:rsidRPr="00C86E2D" w:rsidRDefault="00D866B3" w:rsidP="00FE35DD">
            <w:pPr>
              <w:rPr>
                <w:noProof/>
              </w:rPr>
            </w:pPr>
            <w:r w:rsidRPr="00C86E2D">
              <w:rPr>
                <w:noProof/>
              </w:rPr>
              <w:t>–</w:t>
            </w:r>
          </w:p>
        </w:tc>
      </w:tr>
      <w:tr w:rsidR="0066509A" w:rsidRPr="00C86E2D" w14:paraId="7746BC72" w14:textId="77777777" w:rsidTr="00FE35DD">
        <w:tc>
          <w:tcPr>
            <w:tcW w:w="4621" w:type="dxa"/>
          </w:tcPr>
          <w:p w14:paraId="716F8C14" w14:textId="1C928CB0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I. melléklet</w:t>
            </w:r>
          </w:p>
        </w:tc>
        <w:tc>
          <w:tcPr>
            <w:tcW w:w="4621" w:type="dxa"/>
          </w:tcPr>
          <w:p w14:paraId="2AC589DD" w14:textId="7EEADC69" w:rsidR="00D866B3" w:rsidRPr="00C86E2D" w:rsidRDefault="00D866B3" w:rsidP="002B3821">
            <w:pPr>
              <w:rPr>
                <w:noProof/>
              </w:rPr>
            </w:pPr>
            <w:r w:rsidRPr="00C86E2D">
              <w:rPr>
                <w:noProof/>
              </w:rPr>
              <w:t>III. melléklet</w:t>
            </w:r>
          </w:p>
        </w:tc>
      </w:tr>
      <w:tr w:rsidR="0066509A" w:rsidRPr="00C86E2D" w14:paraId="4337E68D" w14:textId="77777777" w:rsidTr="00FE35DD">
        <w:tc>
          <w:tcPr>
            <w:tcW w:w="4621" w:type="dxa"/>
          </w:tcPr>
          <w:p w14:paraId="3203FB59" w14:textId="5DA897D8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II. melléklet</w:t>
            </w:r>
          </w:p>
        </w:tc>
        <w:tc>
          <w:tcPr>
            <w:tcW w:w="4621" w:type="dxa"/>
          </w:tcPr>
          <w:p w14:paraId="4E76EB91" w14:textId="1316A92D" w:rsidR="00D866B3" w:rsidRPr="00C86E2D" w:rsidRDefault="00D866B3" w:rsidP="002B3821">
            <w:pPr>
              <w:rPr>
                <w:noProof/>
              </w:rPr>
            </w:pPr>
            <w:r w:rsidRPr="00C86E2D">
              <w:rPr>
                <w:noProof/>
              </w:rPr>
              <w:t>IV. melléklet</w:t>
            </w:r>
          </w:p>
        </w:tc>
      </w:tr>
      <w:tr w:rsidR="0066509A" w:rsidRPr="00C86E2D" w14:paraId="38B3356A" w14:textId="77777777" w:rsidTr="00FE35DD">
        <w:tc>
          <w:tcPr>
            <w:tcW w:w="4621" w:type="dxa"/>
          </w:tcPr>
          <w:p w14:paraId="07BDEA1A" w14:textId="27D62D16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III. melléklet</w:t>
            </w:r>
          </w:p>
        </w:tc>
        <w:tc>
          <w:tcPr>
            <w:tcW w:w="4621" w:type="dxa"/>
          </w:tcPr>
          <w:p w14:paraId="499A1F65" w14:textId="6764CEBB" w:rsidR="00D866B3" w:rsidRPr="00C86E2D" w:rsidRDefault="00D866B3" w:rsidP="00FE35DD">
            <w:pPr>
              <w:rPr>
                <w:noProof/>
              </w:rPr>
            </w:pPr>
          </w:p>
        </w:tc>
      </w:tr>
      <w:tr w:rsidR="00D866B3" w:rsidRPr="00C86E2D" w14:paraId="47FE0AD0" w14:textId="77777777" w:rsidTr="00FE35DD">
        <w:tc>
          <w:tcPr>
            <w:tcW w:w="4621" w:type="dxa"/>
          </w:tcPr>
          <w:p w14:paraId="7B296DE1" w14:textId="4ABA534A" w:rsidR="00D866B3" w:rsidRPr="00C86E2D" w:rsidRDefault="00D866B3" w:rsidP="00931692">
            <w:pPr>
              <w:rPr>
                <w:noProof/>
              </w:rPr>
            </w:pPr>
            <w:r w:rsidRPr="00C86E2D">
              <w:rPr>
                <w:noProof/>
              </w:rPr>
              <w:t>IV. melléklet</w:t>
            </w:r>
          </w:p>
        </w:tc>
        <w:tc>
          <w:tcPr>
            <w:tcW w:w="4621" w:type="dxa"/>
          </w:tcPr>
          <w:p w14:paraId="52A967C0" w14:textId="215BBC4B" w:rsidR="00D866B3" w:rsidRPr="00C86E2D" w:rsidRDefault="00D866B3" w:rsidP="002B3821">
            <w:pPr>
              <w:rPr>
                <w:noProof/>
              </w:rPr>
            </w:pPr>
            <w:r w:rsidRPr="00C86E2D">
              <w:rPr>
                <w:noProof/>
              </w:rPr>
              <w:t>VI. melléklet</w:t>
            </w:r>
          </w:p>
        </w:tc>
      </w:tr>
    </w:tbl>
    <w:p w14:paraId="77F1B423" w14:textId="77777777" w:rsidR="00D866B3" w:rsidRPr="00C86E2D" w:rsidRDefault="00D866B3" w:rsidP="00D866B3">
      <w:pPr>
        <w:rPr>
          <w:noProof/>
        </w:rPr>
      </w:pPr>
    </w:p>
    <w:sectPr w:rsidR="00D866B3" w:rsidRPr="00C86E2D" w:rsidSect="006B0D72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75BB" w14:textId="77777777" w:rsidR="00F16582" w:rsidRDefault="00F16582" w:rsidP="00FA7E56">
      <w:pPr>
        <w:spacing w:before="0" w:after="0"/>
      </w:pPr>
      <w:r>
        <w:separator/>
      </w:r>
    </w:p>
  </w:endnote>
  <w:endnote w:type="continuationSeparator" w:id="0">
    <w:p w14:paraId="7684C220" w14:textId="77777777" w:rsidR="00F16582" w:rsidRDefault="00F16582" w:rsidP="00FA7E56">
      <w:pPr>
        <w:spacing w:before="0" w:after="0"/>
      </w:pPr>
      <w:r>
        <w:continuationSeparator/>
      </w:r>
    </w:p>
  </w:endnote>
  <w:endnote w:type="continuationNotice" w:id="1">
    <w:p w14:paraId="62CBB850" w14:textId="77777777" w:rsidR="00F16582" w:rsidRDefault="00F165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81EF" w14:textId="77777777" w:rsidR="006B0D72" w:rsidRPr="006B0D72" w:rsidRDefault="006B0D72" w:rsidP="006B0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2CC2" w14:textId="0E2789E0" w:rsidR="003E4EBE" w:rsidRPr="006B0D72" w:rsidRDefault="006B0D72" w:rsidP="006B0D72">
    <w:pPr>
      <w:pStyle w:val="Footer"/>
      <w:rPr>
        <w:rFonts w:ascii="Arial" w:hAnsi="Arial" w:cs="Arial"/>
        <w:b/>
        <w:sz w:val="48"/>
      </w:rPr>
    </w:pPr>
    <w:r w:rsidRPr="006B0D72">
      <w:rPr>
        <w:rFonts w:ascii="Arial" w:hAnsi="Arial" w:cs="Arial"/>
        <w:b/>
        <w:sz w:val="48"/>
      </w:rPr>
      <w:t>HU</w:t>
    </w:r>
    <w:r w:rsidRPr="006B0D72">
      <w:rPr>
        <w:rFonts w:ascii="Arial" w:hAnsi="Arial" w:cs="Arial"/>
        <w:b/>
        <w:sz w:val="48"/>
      </w:rPr>
      <w:tab/>
    </w:r>
    <w:r w:rsidRPr="006B0D72">
      <w:rPr>
        <w:rFonts w:ascii="Arial" w:hAnsi="Arial" w:cs="Arial"/>
        <w:b/>
        <w:sz w:val="48"/>
      </w:rPr>
      <w:tab/>
    </w:r>
    <w:r w:rsidRPr="006B0D72">
      <w:tab/>
    </w:r>
    <w:r w:rsidRPr="006B0D72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99A1" w14:textId="77777777" w:rsidR="006B0D72" w:rsidRPr="006B0D72" w:rsidRDefault="006B0D72" w:rsidP="006B0D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51C8" w14:textId="6403A820" w:rsidR="006B0D72" w:rsidRPr="006B0D72" w:rsidRDefault="006B0D72" w:rsidP="006B0D72">
    <w:pPr>
      <w:pStyle w:val="Footer"/>
      <w:rPr>
        <w:rFonts w:ascii="Arial" w:hAnsi="Arial" w:cs="Arial"/>
        <w:b/>
        <w:sz w:val="48"/>
      </w:rPr>
    </w:pPr>
    <w:r w:rsidRPr="006B0D72">
      <w:rPr>
        <w:rFonts w:ascii="Arial" w:hAnsi="Arial" w:cs="Arial"/>
        <w:b/>
        <w:sz w:val="48"/>
      </w:rPr>
      <w:t>HU</w:t>
    </w:r>
    <w:r w:rsidRPr="006B0D7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6B0D72">
      <w:tab/>
    </w:r>
    <w:r w:rsidRPr="006B0D72"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4ED5" w14:textId="77777777" w:rsidR="006B0D72" w:rsidRPr="006B0D72" w:rsidRDefault="006B0D72" w:rsidP="006B0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6AB7" w14:textId="77777777" w:rsidR="00F16582" w:rsidRDefault="00F16582" w:rsidP="00FA7E56">
      <w:pPr>
        <w:spacing w:before="0" w:after="0"/>
      </w:pPr>
      <w:r>
        <w:separator/>
      </w:r>
    </w:p>
  </w:footnote>
  <w:footnote w:type="continuationSeparator" w:id="0">
    <w:p w14:paraId="1217F952" w14:textId="77777777" w:rsidR="00F16582" w:rsidRDefault="00F16582" w:rsidP="00FA7E56">
      <w:pPr>
        <w:spacing w:before="0" w:after="0"/>
      </w:pPr>
      <w:r>
        <w:continuationSeparator/>
      </w:r>
    </w:p>
  </w:footnote>
  <w:footnote w:type="continuationNotice" w:id="1">
    <w:p w14:paraId="583242EF" w14:textId="77777777" w:rsidR="00F16582" w:rsidRDefault="00F16582">
      <w:pPr>
        <w:spacing w:before="0" w:after="0"/>
      </w:pPr>
    </w:p>
  </w:footnote>
  <w:footnote w:id="2">
    <w:p w14:paraId="5B2F640E" w14:textId="5109C9FD" w:rsidR="00F16582" w:rsidRPr="0066509A" w:rsidRDefault="00F16582" w:rsidP="001D2C1D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1185/2009/EK rendelete (2009. november 25.) a peszticidekre vonatkozó statisztikákról (HL L 324., 2009.12.10., 1. o.).</w:t>
      </w:r>
    </w:p>
  </w:footnote>
  <w:footnote w:id="3">
    <w:p w14:paraId="5A2F19C2" w14:textId="4235505A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 Bizottság 540/2011/EU végrehajtási rendelete (2011. május 25.) az 1107/2009/EK európai parlamenti és tanácsi rendeletnek a jóváhagyott hatóanyagok jegyzéke tekintetében történő végrehajtásáról (HL L 153., 2011.6.11., 1. o.).</w:t>
      </w:r>
    </w:p>
  </w:footnote>
  <w:footnote w:id="4">
    <w:p w14:paraId="5BFB73FF" w14:textId="47277D41" w:rsidR="00F16582" w:rsidRPr="0066509A" w:rsidRDefault="00F16582" w:rsidP="00840C9B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hd w:val="clear" w:color="auto" w:fill="FFFFFF"/>
        </w:rPr>
        <w:t>Az Európai Parlament és a Tanács 1107/2009/EK rendelete (2009. október 21.) a növényvédő szerek forgalomba hozataláról, valamint a 79/117/EGK és a 91/414/EGK tanácsi irányelvek hatályon kívül helyezéséről (</w:t>
      </w:r>
      <w:r>
        <w:rPr>
          <w:rStyle w:val="Emphasis"/>
          <w:i w:val="0"/>
          <w:shd w:val="clear" w:color="auto" w:fill="FFFFFF"/>
        </w:rPr>
        <w:t>HL L 309., 2009.11.24., 1. o.).</w:t>
      </w:r>
    </w:p>
  </w:footnote>
  <w:footnote w:id="5">
    <w:p w14:paraId="1BC71291" w14:textId="2CD70F4E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396/2005/EK rendelete (2005. február 23.) a növényi és állati eredetű élelmiszerekben és takarmányokban, illetve azok felületén található megengedett növényvédőszer-maradékok határértékéről, valamint a 91/414/EGK tanácsi irányelv módosításáról (HL L 70., 2005.3.16., 1. o.).</w:t>
      </w:r>
    </w:p>
  </w:footnote>
  <w:footnote w:id="6">
    <w:p w14:paraId="194A231E" w14:textId="77777777" w:rsidR="00F16582" w:rsidRPr="0066509A" w:rsidRDefault="00F16582" w:rsidP="00840C9B">
      <w:pPr>
        <w:pStyle w:val="FootnoteText"/>
      </w:pPr>
      <w:r>
        <w:rPr>
          <w:rStyle w:val="FootnoteReference"/>
        </w:rPr>
        <w:footnoteRef/>
      </w:r>
      <w:r>
        <w:tab/>
        <w:t xml:space="preserve">Az Európai Parlament és a Tanács 528/2012/EU rendelete (2012. május 22.) a biocid termékek forgalmazásáról és felhasználásáról (HL L 167., 2012.6.27., 1. o.). </w:t>
      </w:r>
    </w:p>
  </w:footnote>
  <w:footnote w:id="7">
    <w:p w14:paraId="5F003C8D" w14:textId="38B8D9C8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1185/2009/EK rendelete (2009. november 25.) a peszticidekre vonatkozó statisztikákról (HL L 324., 2009.12.10., 1. o.).</w:t>
      </w:r>
    </w:p>
  </w:footnote>
  <w:footnote w:id="8">
    <w:p w14:paraId="3F927886" w14:textId="6BF40DE7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1272/2008/EK rendelete (2008. december 16.) az anyagok és keverékek osztályozásáról, címkézéséről és csomagolásáról, a 67/548/EGK és az 1999/45/EK irányelv módosításáról és hatályon kívül helyezéséről, valamint az 1907/2006/EK rendelet módosításáról (HL L 353., 2008.12.31., 1. o.).</w:t>
      </w:r>
    </w:p>
  </w:footnote>
  <w:footnote w:id="9">
    <w:p w14:paraId="40E769A4" w14:textId="77777777" w:rsidR="00F16582" w:rsidRPr="0066509A" w:rsidRDefault="00F16582" w:rsidP="00840C9B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(EU) 2017/625 rendelete (2017. március 15.) az élelmiszer- és takarmányjog, valamint az állategészségügyi és állatjóléti szabályok, a növényegészségügyi szabályok, és a növényvédő szerekre vonatkozó szabályok alkalmazásának biztosítása céljából végzett hatósági ellenőrzésekről és más hatósági tevékenységekről, továbbá a 999/2001/EK, a 396/2005/EK, az 1069/2009/EK, az 1107/2009/EK, az 1151/2012/EU, a 652/2014/EU, az (EU) 2016/429 és az (EU) 2016/2031 európai parlamenti és tanácsi rendelet, az 1/2005/EK és az 1099/2009/EK tanácsi rendelet, valamint a 98/58/EK, az 1999/74/EK, a 2007/43/EK, a 2008/119/EK és a 2008/120/EK tanácsi irányelv módosításáról, és a 854/2004/EK és a 882/2004/EK európai parlamenti és tanácsi rendelet, a 89/608/EGK, a 89/662/EGK, a 90/425/EGK, a 91/496/EGK, a 96/23/EK, a 96/93/EK és a 97/78/EK tanácsi irányelv és a 92/438/EGK tanácsi határozat hatályon kívül helyezéséről (a hatósági ellenőrzésekről szóló rendelet) (HL L 95., 2017.4.7., 1. o.).</w:t>
      </w:r>
    </w:p>
  </w:footnote>
  <w:footnote w:id="10">
    <w:p w14:paraId="21A9B354" w14:textId="4B52A859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(EU) 2021/2115 rendelete (2021. december 2.) a közös agrárpolitika keretében a tagállamok által elkészítendő stratégiai tervhez (KAP stratégiai terv) nyújtott, az Európai Mezőgazdasági Garanciaalap (EMGA) és az Európai Mezőgazdasági Vidékfejlesztési Alap (EMVA) által finanszírozott támogatásra vonatkozó szabályok megállapításáról, valamint az 1305/2013/EU és az 1307/2013/EU rendelet hatályon kívül helyezéséről</w:t>
      </w:r>
      <w:r>
        <w:rPr>
          <w:i/>
        </w:rPr>
        <w:t xml:space="preserve"> </w:t>
      </w:r>
      <w:r>
        <w:t>(HL L 435., 2021.12.6., 1. o.).</w:t>
      </w:r>
    </w:p>
  </w:footnote>
  <w:footnote w:id="11">
    <w:p w14:paraId="59C9AE0A" w14:textId="72D63813" w:rsidR="00F16582" w:rsidRPr="0066509A" w:rsidRDefault="00F16582"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shd w:val="clear" w:color="auto" w:fill="FFFFFF"/>
        </w:rPr>
        <w:t>Az Európai Parlament és a Tanács 2006/42/EK irányelve (2006. május 17.) a gépekről és a 95/16/</w:t>
      </w:r>
      <w:r>
        <w:rPr>
          <w:i/>
          <w:shd w:val="clear" w:color="auto" w:fill="FFFFFF"/>
        </w:rPr>
        <w:t>EK irányelv módosításáról (</w:t>
      </w:r>
      <w:r>
        <w:rPr>
          <w:rStyle w:val="Emphasis"/>
          <w:i w:val="0"/>
          <w:shd w:val="clear" w:color="auto" w:fill="FFFFFF"/>
        </w:rPr>
        <w:t>HL L 157., 2006.6.9., 24. o.</w:t>
      </w:r>
      <w:r>
        <w:rPr>
          <w:shd w:val="clear" w:color="auto" w:fill="FFFFFF"/>
        </w:rPr>
        <w:t>).</w:t>
      </w:r>
    </w:p>
  </w:footnote>
  <w:footnote w:id="12">
    <w:p w14:paraId="55F43B96" w14:textId="5670AD1F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2009/127/EK irányelve (2009. október 21.) a 2006/42/EK irányelvnek a peszticidek kijuttatására szolgáló gépek tekintetében történő módosításáról (HL L 310., 2009.11.25., 29. o.).</w:t>
      </w:r>
    </w:p>
  </w:footnote>
  <w:footnote w:id="13">
    <w:p w14:paraId="7DE91F5A" w14:textId="7F1BC4FF" w:rsidR="00F16582" w:rsidRPr="0066509A" w:rsidRDefault="00F16582" w:rsidP="008F68B9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2000/60/EK irányelve (2000. október 23.) a vízpolitika terén a közösségi fellépés kereteinek meghatározásáról (</w:t>
      </w:r>
      <w:r>
        <w:rPr>
          <w:rStyle w:val="Emphasis"/>
          <w:i w:val="0"/>
          <w:shd w:val="clear" w:color="auto" w:fill="FFFFFF"/>
        </w:rPr>
        <w:t>HL L 327., 2000.12.22., 1. o.).</w:t>
      </w:r>
    </w:p>
  </w:footnote>
  <w:footnote w:id="14">
    <w:p w14:paraId="7C41E5A5" w14:textId="392D7D5B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 Tanács 89/391/EGK irányelve (1989. június 12.) a munkavállalók munkahelyi biztonságának és egészségvédelmének javítását ösztönző intézkedések bevezetéséről (HL L 183., 1989.6.29., 1. o.).</w:t>
      </w:r>
    </w:p>
  </w:footnote>
  <w:footnote w:id="15">
    <w:p w14:paraId="40B56FCB" w14:textId="5948580B" w:rsidR="00F16582" w:rsidRPr="0066509A" w:rsidRDefault="00F16582" w:rsidP="00605045">
      <w:pPr>
        <w:pStyle w:val="FootnoteText"/>
      </w:pPr>
      <w:r>
        <w:rPr>
          <w:rStyle w:val="FootnoteReference"/>
        </w:rPr>
        <w:footnoteRef/>
      </w:r>
      <w:r>
        <w:tab/>
        <w:t>A Tanács 89/656/EGK irányelve (1989. november 30.) a munkavállalók által a munkahelyen használt egyéni védőeszközök egészségvédelmi és biztonsági minimumkövetelményeiről (harmadik egyedi irányelv a 89/391/EGK irányelv 16. cikk (1) bekezdése értelmében) (HL L 393., 1989.12.30., 18. o.).</w:t>
      </w:r>
    </w:p>
  </w:footnote>
  <w:footnote w:id="16">
    <w:p w14:paraId="0B8E9751" w14:textId="5545066D" w:rsidR="00F16582" w:rsidRPr="0066509A" w:rsidRDefault="00F16582" w:rsidP="00605045">
      <w:pPr>
        <w:pStyle w:val="FootnoteText"/>
      </w:pPr>
      <w:r>
        <w:rPr>
          <w:rStyle w:val="FootnoteReference"/>
        </w:rPr>
        <w:footnoteRef/>
      </w:r>
      <w:r>
        <w:tab/>
        <w:t>A Tanács 98/24/EK irányelve (1998. április 7.) a munkájuk során vegyi anyagokkal kapcsolatos kockázatoknak kitett munkavállalók egészségének és biztonságának védelméről (HL L 131., 1998.5.5., 11. o.).</w:t>
      </w:r>
    </w:p>
  </w:footnote>
  <w:footnote w:id="17">
    <w:p w14:paraId="784FA65C" w14:textId="1FEB3305" w:rsidR="00F16582" w:rsidRPr="0066509A" w:rsidRDefault="00F16582" w:rsidP="00605045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2004/37/EK irányelve (2004. április 29.) a munkavállalóknak a munkájuk során rákkeltő anyagoknak, mutagéneknek és reprodukciót károsító anyagoknak való expozícióval kapcsolatos kockázatokkal szembeni védelméről (HL L 158., 2004.4.30., 50. o).</w:t>
      </w:r>
    </w:p>
  </w:footnote>
  <w:footnote w:id="18">
    <w:p w14:paraId="22AE1082" w14:textId="3D9A2387" w:rsidR="00F16582" w:rsidRPr="0066509A" w:rsidRDefault="00F16582" w:rsidP="00605045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2009/104/EK irányelve (2009. szeptember 16.) a munkavállalók által a munkájuk során használt munkaeszközök biztonsági és egészségvédelmi minimumkövetelményeiről (második egyedi irányelv a 89/391/EGK irányelv 16. cikkének (1) bekezdése értelmében) (HL L 260., 2009.10.3., 5. o.).</w:t>
      </w:r>
    </w:p>
  </w:footnote>
  <w:footnote w:id="19">
    <w:p w14:paraId="72C0C001" w14:textId="16AB883E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1907/2006/EK rendelete (2006. december 18.)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bizottsági irányelv hatályon kívül helyezéséről (HL L 396., 2006.12.30., 1. o.).</w:t>
      </w:r>
    </w:p>
  </w:footnote>
  <w:footnote w:id="20">
    <w:p w14:paraId="5B1C5F47" w14:textId="6D351CD2" w:rsidR="00F16582" w:rsidRPr="0066509A" w:rsidRDefault="00F16582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2008/68/EK irányelve (2008. szeptember 24.) a veszélyes áruk szárazföldi szállításáról (HL L 260., 2008.9.30., 13. o.).</w:t>
      </w:r>
    </w:p>
  </w:footnote>
  <w:footnote w:id="21">
    <w:p w14:paraId="22C825C2" w14:textId="77777777" w:rsidR="00F16582" w:rsidRPr="0066509A" w:rsidRDefault="00F16582" w:rsidP="00901CB8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1272/2008/EK rendelete (2008. december 16.) az anyagok és keverékek osztályozásáról, címkézéséről és csomagolásáról, a 67/548/EGK és az 1999/45/EK irányelv módosításáról és hatályon kívül helyezéséről, valamint az 1907/2006/EK rendelet módosításáról (HL L 353., 2008.12.31., 1. o.)</w:t>
      </w:r>
      <w:r>
        <w:rPr>
          <w:i/>
        </w:rPr>
        <w:t>.</w:t>
      </w:r>
    </w:p>
  </w:footnote>
  <w:footnote w:id="22">
    <w:p w14:paraId="5308B6DC" w14:textId="77777777" w:rsidR="00F16582" w:rsidRPr="0066509A" w:rsidRDefault="00F16582" w:rsidP="00FA7E56"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  <w:t>Az Európai Parlament és a Tanács 396/2005/EK rendelete (2005. február 23.) a növényi és állati eredetű élelmiszerekben és takarmányokban, illetve azok felületén található megengedett növényvédőszer-maradékok határértékéről, valamint a 91/414/EGK tanácsi irányelv módosításáról (HL L 70., 2005.3.16., 1. o.).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BC59" w14:textId="77777777" w:rsidR="006B0D72" w:rsidRPr="006B0D72" w:rsidRDefault="006B0D72" w:rsidP="006B0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4E3A" w14:textId="77777777" w:rsidR="006B0D72" w:rsidRPr="006B0D72" w:rsidRDefault="006B0D72" w:rsidP="006B0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9184" w14:textId="77777777" w:rsidR="006B0D72" w:rsidRPr="006B0D72" w:rsidRDefault="006B0D72" w:rsidP="006B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47E01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51CFD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3BC78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2842CB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7A66A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366A8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FF48A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B70B6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6-27 12:08:39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a következ\u337?höz:"/>
    <w:docVar w:name="LW_ACCOMPAGNANT.CP" w:val="a következőhöz:"/>
    <w:docVar w:name="LW_ANNEX_NBR_FIRST" w:val="1"/>
    <w:docVar w:name="LW_ANNEX_NBR_LAST" w:val="7"/>
    <w:docVar w:name="LW_ANNEX_UNIQUE" w:val="0"/>
    <w:docVar w:name="LW_CORRIGENDUM" w:val="&lt;UNUSED&gt;"/>
    <w:docVar w:name="LW_COVERPAGE_EXISTS" w:val="True"/>
    <w:docVar w:name="LW_COVERPAGE_GUID" w:val="D407B5B0-F166-4E18-A627-8C64DAD55386"/>
    <w:docVar w:name="LW_COVERPAGE_TYPE" w:val="1"/>
    <w:docVar w:name="LW_CROSSREFERENCE" w:val="{SEC(2022) 257 final} - {SWD(2022) 169 final} - {SWD(2022) 170 final} - {SWD(2022) 171 final}"/>
    <w:docVar w:name="LW_DocType" w:val="ANNEX"/>
    <w:docVar w:name="LW_EMISSION" w:val="2022.6.22."/>
    <w:docVar w:name="LW_EMISSION_ISODATE" w:val="2022-06-22"/>
    <w:docVar w:name="LW_EMISSION_LOCATION" w:val="BRX"/>
    <w:docVar w:name="LW_EMISSION_PREFIX" w:val="Brüsszel, "/>
    <w:docVar w:name="LW_EMISSION_SUFFIX" w:val=" "/>
    <w:docVar w:name="LW_ID_DOCSTRUCTURE" w:val="COM/ANNEX"/>
    <w:docVar w:name="LW_ID_DOCTYPE" w:val="SG-017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" w:val="&lt;FMT:Bold&gt;a növényvéd\u337? szerek fenntartható használatáról és az (EU) 2021/2115 rendelet módosításáról&lt;/FMT&gt;"/>
    <w:docVar w:name="LW_OBJETACTEPRINCIPAL.CP" w:val="&lt;FMT:Bold&gt;a növényvédő szerek fenntartható használatáról és az (EU) 2021/2115 rendelet módosításáról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2) 3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MELLÉKLETEK"/>
    <w:docVar w:name="LW_TYPE.DOC.CP" w:val="MELLÉKLETEK"/>
    <w:docVar w:name="LW_TYPEACTEPRINCIPAL" w:val="Javaslat_x000b_AZ EURÓPAI PARLAMENT ÉS A TANÁCS RENDELETE"/>
    <w:docVar w:name="LW_TYPEACTEPRINCIPAL.CP" w:val="Javaslat_x000b_AZ EURÓPAI PARLAMENT ÉS A TANÁCS RENDELETE"/>
    <w:docVar w:name="LwApiVersions" w:val="LW4CoDe 1.23.2.0; LW 8.0, Build 20211117"/>
  </w:docVars>
  <w:rsids>
    <w:rsidRoot w:val="00FA7E56"/>
    <w:rsid w:val="000035CA"/>
    <w:rsid w:val="00003B1F"/>
    <w:rsid w:val="00003EEA"/>
    <w:rsid w:val="0000669A"/>
    <w:rsid w:val="000121D7"/>
    <w:rsid w:val="0002195F"/>
    <w:rsid w:val="00021A53"/>
    <w:rsid w:val="00027DCF"/>
    <w:rsid w:val="00035AD1"/>
    <w:rsid w:val="0004069E"/>
    <w:rsid w:val="00047A46"/>
    <w:rsid w:val="000509B8"/>
    <w:rsid w:val="00050B0A"/>
    <w:rsid w:val="00051185"/>
    <w:rsid w:val="000615B8"/>
    <w:rsid w:val="0007019C"/>
    <w:rsid w:val="0007049C"/>
    <w:rsid w:val="000720E9"/>
    <w:rsid w:val="00073FDF"/>
    <w:rsid w:val="000753DE"/>
    <w:rsid w:val="00076BB0"/>
    <w:rsid w:val="0008543E"/>
    <w:rsid w:val="0009186B"/>
    <w:rsid w:val="000A0DE0"/>
    <w:rsid w:val="000A2B97"/>
    <w:rsid w:val="000B05C3"/>
    <w:rsid w:val="000C45DA"/>
    <w:rsid w:val="000C6D64"/>
    <w:rsid w:val="000C784A"/>
    <w:rsid w:val="000D5832"/>
    <w:rsid w:val="000D6993"/>
    <w:rsid w:val="000E17D7"/>
    <w:rsid w:val="000E198E"/>
    <w:rsid w:val="000E60B2"/>
    <w:rsid w:val="000E723B"/>
    <w:rsid w:val="000E7C8A"/>
    <w:rsid w:val="000F2916"/>
    <w:rsid w:val="00105160"/>
    <w:rsid w:val="001060A6"/>
    <w:rsid w:val="001073DB"/>
    <w:rsid w:val="00114458"/>
    <w:rsid w:val="00121C8D"/>
    <w:rsid w:val="001261C4"/>
    <w:rsid w:val="001352D1"/>
    <w:rsid w:val="00141CE9"/>
    <w:rsid w:val="00142823"/>
    <w:rsid w:val="001465AD"/>
    <w:rsid w:val="0015139F"/>
    <w:rsid w:val="0015483A"/>
    <w:rsid w:val="0016046D"/>
    <w:rsid w:val="001642B8"/>
    <w:rsid w:val="00166AA9"/>
    <w:rsid w:val="00171BA7"/>
    <w:rsid w:val="0017429C"/>
    <w:rsid w:val="001803FB"/>
    <w:rsid w:val="001849E5"/>
    <w:rsid w:val="00195515"/>
    <w:rsid w:val="00197363"/>
    <w:rsid w:val="001A1843"/>
    <w:rsid w:val="001A508B"/>
    <w:rsid w:val="001C2816"/>
    <w:rsid w:val="001C3DA3"/>
    <w:rsid w:val="001C3E0E"/>
    <w:rsid w:val="001D2C1D"/>
    <w:rsid w:val="001D325F"/>
    <w:rsid w:val="001D3834"/>
    <w:rsid w:val="001D6F25"/>
    <w:rsid w:val="001E6852"/>
    <w:rsid w:val="001E7F82"/>
    <w:rsid w:val="001F1616"/>
    <w:rsid w:val="00200623"/>
    <w:rsid w:val="00201AB1"/>
    <w:rsid w:val="0021329D"/>
    <w:rsid w:val="00214BDD"/>
    <w:rsid w:val="00225E1B"/>
    <w:rsid w:val="00227544"/>
    <w:rsid w:val="0023255B"/>
    <w:rsid w:val="0023570B"/>
    <w:rsid w:val="00237CCF"/>
    <w:rsid w:val="0025243E"/>
    <w:rsid w:val="00265EDE"/>
    <w:rsid w:val="00270518"/>
    <w:rsid w:val="00272E2C"/>
    <w:rsid w:val="00281B00"/>
    <w:rsid w:val="00284F4E"/>
    <w:rsid w:val="0028532C"/>
    <w:rsid w:val="002A3476"/>
    <w:rsid w:val="002A737E"/>
    <w:rsid w:val="002B2A49"/>
    <w:rsid w:val="002B3821"/>
    <w:rsid w:val="002B59E9"/>
    <w:rsid w:val="002C2E2C"/>
    <w:rsid w:val="002C4694"/>
    <w:rsid w:val="002D092D"/>
    <w:rsid w:val="002D135C"/>
    <w:rsid w:val="002D1F12"/>
    <w:rsid w:val="002D29F4"/>
    <w:rsid w:val="002D6E24"/>
    <w:rsid w:val="002D746C"/>
    <w:rsid w:val="002D7FF0"/>
    <w:rsid w:val="002E2D72"/>
    <w:rsid w:val="002E2DAC"/>
    <w:rsid w:val="002E7ECD"/>
    <w:rsid w:val="002F4B5B"/>
    <w:rsid w:val="0030544E"/>
    <w:rsid w:val="00305B87"/>
    <w:rsid w:val="003118DA"/>
    <w:rsid w:val="003153EA"/>
    <w:rsid w:val="00315A18"/>
    <w:rsid w:val="00321877"/>
    <w:rsid w:val="00325226"/>
    <w:rsid w:val="003269D5"/>
    <w:rsid w:val="003301E3"/>
    <w:rsid w:val="0033030E"/>
    <w:rsid w:val="00342E5B"/>
    <w:rsid w:val="003454A6"/>
    <w:rsid w:val="003518BB"/>
    <w:rsid w:val="003547A3"/>
    <w:rsid w:val="00354D69"/>
    <w:rsid w:val="00373B80"/>
    <w:rsid w:val="00375E40"/>
    <w:rsid w:val="00382349"/>
    <w:rsid w:val="00382BAC"/>
    <w:rsid w:val="003926E6"/>
    <w:rsid w:val="00397E36"/>
    <w:rsid w:val="003A171A"/>
    <w:rsid w:val="003A2754"/>
    <w:rsid w:val="003A395C"/>
    <w:rsid w:val="003A6B2E"/>
    <w:rsid w:val="003B52A1"/>
    <w:rsid w:val="003B7C6A"/>
    <w:rsid w:val="003C0119"/>
    <w:rsid w:val="003C5797"/>
    <w:rsid w:val="003D4172"/>
    <w:rsid w:val="003D5672"/>
    <w:rsid w:val="003D5D09"/>
    <w:rsid w:val="003E2C65"/>
    <w:rsid w:val="003E4D36"/>
    <w:rsid w:val="003E4EBE"/>
    <w:rsid w:val="003E5828"/>
    <w:rsid w:val="003F247C"/>
    <w:rsid w:val="003F7DC8"/>
    <w:rsid w:val="00404F5E"/>
    <w:rsid w:val="0041354A"/>
    <w:rsid w:val="00423AED"/>
    <w:rsid w:val="00426FD8"/>
    <w:rsid w:val="0043616C"/>
    <w:rsid w:val="00442CE5"/>
    <w:rsid w:val="00445D9C"/>
    <w:rsid w:val="0046064E"/>
    <w:rsid w:val="00465E0F"/>
    <w:rsid w:val="00466061"/>
    <w:rsid w:val="00467652"/>
    <w:rsid w:val="00473393"/>
    <w:rsid w:val="0048043F"/>
    <w:rsid w:val="00483F58"/>
    <w:rsid w:val="0049383E"/>
    <w:rsid w:val="00494700"/>
    <w:rsid w:val="004950E2"/>
    <w:rsid w:val="004A2148"/>
    <w:rsid w:val="004A6506"/>
    <w:rsid w:val="004C4BEF"/>
    <w:rsid w:val="004D362B"/>
    <w:rsid w:val="004D5C46"/>
    <w:rsid w:val="004E2986"/>
    <w:rsid w:val="004E66DC"/>
    <w:rsid w:val="004F4CE2"/>
    <w:rsid w:val="004F5773"/>
    <w:rsid w:val="005031E3"/>
    <w:rsid w:val="00504586"/>
    <w:rsid w:val="0051326B"/>
    <w:rsid w:val="00513C05"/>
    <w:rsid w:val="005206C4"/>
    <w:rsid w:val="00521E01"/>
    <w:rsid w:val="00522B52"/>
    <w:rsid w:val="00525CBA"/>
    <w:rsid w:val="00531517"/>
    <w:rsid w:val="0054018D"/>
    <w:rsid w:val="00545EFD"/>
    <w:rsid w:val="00556B03"/>
    <w:rsid w:val="00563707"/>
    <w:rsid w:val="00585C1C"/>
    <w:rsid w:val="00585D2C"/>
    <w:rsid w:val="005873C8"/>
    <w:rsid w:val="005902DD"/>
    <w:rsid w:val="005A0A0F"/>
    <w:rsid w:val="005B674F"/>
    <w:rsid w:val="005C0008"/>
    <w:rsid w:val="005C4A17"/>
    <w:rsid w:val="005C7DAA"/>
    <w:rsid w:val="005D02F9"/>
    <w:rsid w:val="005D1FEA"/>
    <w:rsid w:val="005D474E"/>
    <w:rsid w:val="005E0ACF"/>
    <w:rsid w:val="005E1BA6"/>
    <w:rsid w:val="005E5E85"/>
    <w:rsid w:val="005F47AD"/>
    <w:rsid w:val="005F7F89"/>
    <w:rsid w:val="00602BB7"/>
    <w:rsid w:val="00604FC4"/>
    <w:rsid w:val="00605045"/>
    <w:rsid w:val="00614663"/>
    <w:rsid w:val="00615523"/>
    <w:rsid w:val="0062461F"/>
    <w:rsid w:val="00630884"/>
    <w:rsid w:val="00632316"/>
    <w:rsid w:val="00634038"/>
    <w:rsid w:val="00636243"/>
    <w:rsid w:val="00645333"/>
    <w:rsid w:val="00645B80"/>
    <w:rsid w:val="00656F69"/>
    <w:rsid w:val="0066509A"/>
    <w:rsid w:val="00670ADE"/>
    <w:rsid w:val="006916F4"/>
    <w:rsid w:val="00691B29"/>
    <w:rsid w:val="00693D3D"/>
    <w:rsid w:val="006A3CD5"/>
    <w:rsid w:val="006A6EC3"/>
    <w:rsid w:val="006B0D72"/>
    <w:rsid w:val="006B4663"/>
    <w:rsid w:val="006D2D7E"/>
    <w:rsid w:val="006E210D"/>
    <w:rsid w:val="006E2EF5"/>
    <w:rsid w:val="00704B1E"/>
    <w:rsid w:val="00706C27"/>
    <w:rsid w:val="00723D1E"/>
    <w:rsid w:val="007252B8"/>
    <w:rsid w:val="007304A1"/>
    <w:rsid w:val="00731592"/>
    <w:rsid w:val="00731C33"/>
    <w:rsid w:val="00732E57"/>
    <w:rsid w:val="0075113F"/>
    <w:rsid w:val="0075185D"/>
    <w:rsid w:val="00760067"/>
    <w:rsid w:val="00760EBE"/>
    <w:rsid w:val="00761D40"/>
    <w:rsid w:val="00761FD9"/>
    <w:rsid w:val="00785033"/>
    <w:rsid w:val="0078563E"/>
    <w:rsid w:val="00790B89"/>
    <w:rsid w:val="007A065B"/>
    <w:rsid w:val="007A1A5A"/>
    <w:rsid w:val="007B23F7"/>
    <w:rsid w:val="007B3445"/>
    <w:rsid w:val="007B34A6"/>
    <w:rsid w:val="007B62EA"/>
    <w:rsid w:val="007C3860"/>
    <w:rsid w:val="007D0787"/>
    <w:rsid w:val="007E3128"/>
    <w:rsid w:val="007E42D9"/>
    <w:rsid w:val="007F1DB2"/>
    <w:rsid w:val="007F54F7"/>
    <w:rsid w:val="00801A12"/>
    <w:rsid w:val="00802958"/>
    <w:rsid w:val="00805D57"/>
    <w:rsid w:val="00812205"/>
    <w:rsid w:val="008177AA"/>
    <w:rsid w:val="00823AF2"/>
    <w:rsid w:val="00827826"/>
    <w:rsid w:val="008279F7"/>
    <w:rsid w:val="00833B44"/>
    <w:rsid w:val="00837AD5"/>
    <w:rsid w:val="00840C9B"/>
    <w:rsid w:val="008534D1"/>
    <w:rsid w:val="00854EB4"/>
    <w:rsid w:val="00855D30"/>
    <w:rsid w:val="00861FB8"/>
    <w:rsid w:val="0086674F"/>
    <w:rsid w:val="00874A08"/>
    <w:rsid w:val="0089164F"/>
    <w:rsid w:val="008926C3"/>
    <w:rsid w:val="00893B70"/>
    <w:rsid w:val="008A086A"/>
    <w:rsid w:val="008B2450"/>
    <w:rsid w:val="008B25BF"/>
    <w:rsid w:val="008C1752"/>
    <w:rsid w:val="008D46A4"/>
    <w:rsid w:val="008E4CA5"/>
    <w:rsid w:val="008E5C60"/>
    <w:rsid w:val="008F314E"/>
    <w:rsid w:val="008F35D4"/>
    <w:rsid w:val="008F47E8"/>
    <w:rsid w:val="008F68B9"/>
    <w:rsid w:val="00901CB8"/>
    <w:rsid w:val="00916928"/>
    <w:rsid w:val="00925EAE"/>
    <w:rsid w:val="0093011A"/>
    <w:rsid w:val="00931692"/>
    <w:rsid w:val="00932A49"/>
    <w:rsid w:val="00934367"/>
    <w:rsid w:val="0093599E"/>
    <w:rsid w:val="009368EF"/>
    <w:rsid w:val="00937E95"/>
    <w:rsid w:val="00942F11"/>
    <w:rsid w:val="00943C95"/>
    <w:rsid w:val="00945BE7"/>
    <w:rsid w:val="0095125C"/>
    <w:rsid w:val="00964A38"/>
    <w:rsid w:val="00966579"/>
    <w:rsid w:val="0097444C"/>
    <w:rsid w:val="00977E4E"/>
    <w:rsid w:val="0098346F"/>
    <w:rsid w:val="00984F25"/>
    <w:rsid w:val="00986B33"/>
    <w:rsid w:val="009870D6"/>
    <w:rsid w:val="00987AD5"/>
    <w:rsid w:val="00990C1A"/>
    <w:rsid w:val="009A280E"/>
    <w:rsid w:val="009A4EC3"/>
    <w:rsid w:val="009B23D1"/>
    <w:rsid w:val="009C31F0"/>
    <w:rsid w:val="009C5047"/>
    <w:rsid w:val="009C692B"/>
    <w:rsid w:val="009D178A"/>
    <w:rsid w:val="009D28FF"/>
    <w:rsid w:val="009D3292"/>
    <w:rsid w:val="009D40E8"/>
    <w:rsid w:val="009D697F"/>
    <w:rsid w:val="009E459F"/>
    <w:rsid w:val="009F2166"/>
    <w:rsid w:val="009F37B9"/>
    <w:rsid w:val="009F5929"/>
    <w:rsid w:val="00A011C4"/>
    <w:rsid w:val="00A067CB"/>
    <w:rsid w:val="00A1243F"/>
    <w:rsid w:val="00A145EF"/>
    <w:rsid w:val="00A207D3"/>
    <w:rsid w:val="00A31B41"/>
    <w:rsid w:val="00A33078"/>
    <w:rsid w:val="00A347D7"/>
    <w:rsid w:val="00A41149"/>
    <w:rsid w:val="00A462D6"/>
    <w:rsid w:val="00A50A46"/>
    <w:rsid w:val="00A532C2"/>
    <w:rsid w:val="00A5353A"/>
    <w:rsid w:val="00A749D4"/>
    <w:rsid w:val="00A84666"/>
    <w:rsid w:val="00A90F98"/>
    <w:rsid w:val="00A94DEB"/>
    <w:rsid w:val="00A94DFD"/>
    <w:rsid w:val="00A95FA7"/>
    <w:rsid w:val="00AA1FC9"/>
    <w:rsid w:val="00AA512C"/>
    <w:rsid w:val="00AA685C"/>
    <w:rsid w:val="00AA7DEC"/>
    <w:rsid w:val="00AB0652"/>
    <w:rsid w:val="00AB50C0"/>
    <w:rsid w:val="00AD1941"/>
    <w:rsid w:val="00AE20BF"/>
    <w:rsid w:val="00AE2692"/>
    <w:rsid w:val="00AE583C"/>
    <w:rsid w:val="00AE7C8B"/>
    <w:rsid w:val="00B14ABF"/>
    <w:rsid w:val="00B20CA1"/>
    <w:rsid w:val="00B23E0D"/>
    <w:rsid w:val="00B3025D"/>
    <w:rsid w:val="00B303E2"/>
    <w:rsid w:val="00B33516"/>
    <w:rsid w:val="00B403DD"/>
    <w:rsid w:val="00B4135A"/>
    <w:rsid w:val="00B45302"/>
    <w:rsid w:val="00B52C38"/>
    <w:rsid w:val="00B54E23"/>
    <w:rsid w:val="00B600A0"/>
    <w:rsid w:val="00B711EC"/>
    <w:rsid w:val="00B75AC6"/>
    <w:rsid w:val="00B7777F"/>
    <w:rsid w:val="00B8391D"/>
    <w:rsid w:val="00B856AB"/>
    <w:rsid w:val="00B86058"/>
    <w:rsid w:val="00B9567F"/>
    <w:rsid w:val="00B959BC"/>
    <w:rsid w:val="00BA13D0"/>
    <w:rsid w:val="00BA5836"/>
    <w:rsid w:val="00BA655D"/>
    <w:rsid w:val="00BA7883"/>
    <w:rsid w:val="00BB0CF3"/>
    <w:rsid w:val="00BB4E03"/>
    <w:rsid w:val="00BB63D3"/>
    <w:rsid w:val="00BC3230"/>
    <w:rsid w:val="00BC3914"/>
    <w:rsid w:val="00BD58BE"/>
    <w:rsid w:val="00BD78EC"/>
    <w:rsid w:val="00BF17AA"/>
    <w:rsid w:val="00BF4672"/>
    <w:rsid w:val="00C00124"/>
    <w:rsid w:val="00C02EBD"/>
    <w:rsid w:val="00C05890"/>
    <w:rsid w:val="00C12CC9"/>
    <w:rsid w:val="00C17274"/>
    <w:rsid w:val="00C200CC"/>
    <w:rsid w:val="00C215E9"/>
    <w:rsid w:val="00C24064"/>
    <w:rsid w:val="00C24556"/>
    <w:rsid w:val="00C246AB"/>
    <w:rsid w:val="00C27FFE"/>
    <w:rsid w:val="00C30F78"/>
    <w:rsid w:val="00C3184D"/>
    <w:rsid w:val="00C34E4C"/>
    <w:rsid w:val="00C423C2"/>
    <w:rsid w:val="00C47BD6"/>
    <w:rsid w:val="00C527B0"/>
    <w:rsid w:val="00C5352E"/>
    <w:rsid w:val="00C55E6C"/>
    <w:rsid w:val="00C6189E"/>
    <w:rsid w:val="00C66192"/>
    <w:rsid w:val="00C72D6A"/>
    <w:rsid w:val="00C74FCC"/>
    <w:rsid w:val="00C75EE5"/>
    <w:rsid w:val="00C81838"/>
    <w:rsid w:val="00C840F1"/>
    <w:rsid w:val="00C86E2D"/>
    <w:rsid w:val="00C919A8"/>
    <w:rsid w:val="00C9246D"/>
    <w:rsid w:val="00C95F4C"/>
    <w:rsid w:val="00C97537"/>
    <w:rsid w:val="00CA1455"/>
    <w:rsid w:val="00CA2C18"/>
    <w:rsid w:val="00CA5657"/>
    <w:rsid w:val="00CA650C"/>
    <w:rsid w:val="00CB24FF"/>
    <w:rsid w:val="00CB71FA"/>
    <w:rsid w:val="00CC0778"/>
    <w:rsid w:val="00CD0FFC"/>
    <w:rsid w:val="00CD3038"/>
    <w:rsid w:val="00CF11C3"/>
    <w:rsid w:val="00CF152C"/>
    <w:rsid w:val="00CF18A5"/>
    <w:rsid w:val="00CF326A"/>
    <w:rsid w:val="00CF34C3"/>
    <w:rsid w:val="00CF3D65"/>
    <w:rsid w:val="00CF7692"/>
    <w:rsid w:val="00D055C6"/>
    <w:rsid w:val="00D2068F"/>
    <w:rsid w:val="00D213C3"/>
    <w:rsid w:val="00D276F0"/>
    <w:rsid w:val="00D368CD"/>
    <w:rsid w:val="00D42D71"/>
    <w:rsid w:val="00D44E41"/>
    <w:rsid w:val="00D45D28"/>
    <w:rsid w:val="00D536B3"/>
    <w:rsid w:val="00D60A01"/>
    <w:rsid w:val="00D61CD7"/>
    <w:rsid w:val="00D64C85"/>
    <w:rsid w:val="00D66B8C"/>
    <w:rsid w:val="00D75205"/>
    <w:rsid w:val="00D866B3"/>
    <w:rsid w:val="00DA4E27"/>
    <w:rsid w:val="00DA5D18"/>
    <w:rsid w:val="00DB027F"/>
    <w:rsid w:val="00DB37ED"/>
    <w:rsid w:val="00DC1673"/>
    <w:rsid w:val="00DC1B73"/>
    <w:rsid w:val="00DC4246"/>
    <w:rsid w:val="00DC4BD4"/>
    <w:rsid w:val="00DD217A"/>
    <w:rsid w:val="00DD749A"/>
    <w:rsid w:val="00DF2DB7"/>
    <w:rsid w:val="00DF3D05"/>
    <w:rsid w:val="00DF648C"/>
    <w:rsid w:val="00E03C02"/>
    <w:rsid w:val="00E16058"/>
    <w:rsid w:val="00E16A36"/>
    <w:rsid w:val="00E20712"/>
    <w:rsid w:val="00E20A81"/>
    <w:rsid w:val="00E2221B"/>
    <w:rsid w:val="00E26ABD"/>
    <w:rsid w:val="00E4639F"/>
    <w:rsid w:val="00E65BCC"/>
    <w:rsid w:val="00E72D49"/>
    <w:rsid w:val="00E74715"/>
    <w:rsid w:val="00E8561B"/>
    <w:rsid w:val="00E871BC"/>
    <w:rsid w:val="00E87490"/>
    <w:rsid w:val="00E93C27"/>
    <w:rsid w:val="00E960D6"/>
    <w:rsid w:val="00EA1240"/>
    <w:rsid w:val="00EA5C9F"/>
    <w:rsid w:val="00EB0C25"/>
    <w:rsid w:val="00EC4693"/>
    <w:rsid w:val="00EC5685"/>
    <w:rsid w:val="00ED1DDD"/>
    <w:rsid w:val="00EE07FA"/>
    <w:rsid w:val="00EE44B7"/>
    <w:rsid w:val="00EE464F"/>
    <w:rsid w:val="00EE469D"/>
    <w:rsid w:val="00EE7560"/>
    <w:rsid w:val="00EF27F7"/>
    <w:rsid w:val="00EF3BAF"/>
    <w:rsid w:val="00EF3FF8"/>
    <w:rsid w:val="00EF7622"/>
    <w:rsid w:val="00F027E8"/>
    <w:rsid w:val="00F16582"/>
    <w:rsid w:val="00F23926"/>
    <w:rsid w:val="00F27561"/>
    <w:rsid w:val="00F31D1C"/>
    <w:rsid w:val="00F326FB"/>
    <w:rsid w:val="00F35BD9"/>
    <w:rsid w:val="00F46430"/>
    <w:rsid w:val="00F52A12"/>
    <w:rsid w:val="00F57187"/>
    <w:rsid w:val="00F62B65"/>
    <w:rsid w:val="00F670A0"/>
    <w:rsid w:val="00F71E71"/>
    <w:rsid w:val="00F7586A"/>
    <w:rsid w:val="00F90566"/>
    <w:rsid w:val="00F925A4"/>
    <w:rsid w:val="00F96B1C"/>
    <w:rsid w:val="00FA7E56"/>
    <w:rsid w:val="00FB05DD"/>
    <w:rsid w:val="00FB4958"/>
    <w:rsid w:val="00FD3E0E"/>
    <w:rsid w:val="00FD550C"/>
    <w:rsid w:val="00FE35DD"/>
    <w:rsid w:val="00FE7E1A"/>
    <w:rsid w:val="00FF0D22"/>
    <w:rsid w:val="00FF43A3"/>
    <w:rsid w:val="00FF5912"/>
    <w:rsid w:val="00FF5F42"/>
    <w:rsid w:val="6B25E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6E3BEA4"/>
  <w15:docId w15:val="{A3DACE34-AEEF-41E9-BE28-364CE7A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1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1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1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E56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BulletRMCChar">
    <w:name w:val="Bullet (RMC) Char"/>
    <w:basedOn w:val="DefaultParagraphFont"/>
    <w:link w:val="BulletRMC"/>
    <w:locked/>
    <w:rsid w:val="00FA7E56"/>
    <w:rPr>
      <w:rFonts w:ascii="Verdana" w:hAnsi="Verdana"/>
    </w:rPr>
  </w:style>
  <w:style w:type="paragraph" w:customStyle="1" w:styleId="BulletRMC">
    <w:name w:val="Bullet (RMC)"/>
    <w:basedOn w:val="Normal"/>
    <w:link w:val="BulletRMCChar"/>
    <w:rsid w:val="00FA7E56"/>
    <w:pPr>
      <w:spacing w:before="60" w:after="0" w:line="288" w:lineRule="auto"/>
      <w:ind w:left="360" w:hanging="360"/>
      <w:contextualSpacing/>
    </w:pPr>
    <w:rPr>
      <w:rFonts w:ascii="Verdana" w:hAnsi="Verdana" w:cstheme="minorBidi"/>
      <w:sz w:val="22"/>
    </w:rPr>
  </w:style>
  <w:style w:type="character" w:styleId="Emphasis">
    <w:name w:val="Emphasis"/>
    <w:basedOn w:val="DefaultParagraphFont"/>
    <w:uiPriority w:val="20"/>
    <w:qFormat/>
    <w:rsid w:val="00FA7E5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F8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F7F89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CC07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C07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7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778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C077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77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77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77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62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B65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65"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65"/>
    <w:rPr>
      <w:rFonts w:ascii="Segoe UI" w:hAnsi="Segoe UI" w:cs="Segoe UI"/>
      <w:sz w:val="18"/>
      <w:szCs w:val="18"/>
      <w:lang w:val="hu-HU"/>
    </w:rPr>
  </w:style>
  <w:style w:type="character" w:styleId="Hyperlink">
    <w:name w:val="Hyperlink"/>
    <w:basedOn w:val="DefaultParagraphFont"/>
    <w:uiPriority w:val="99"/>
    <w:unhideWhenUsed/>
    <w:rsid w:val="00F62B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1CB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0D72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D72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6B0D7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6B0D72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hu-HU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6B0D72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6B0D7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6B0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6B0D72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6B0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9"/>
      </w:numPr>
    </w:pPr>
  </w:style>
  <w:style w:type="paragraph" w:customStyle="1" w:styleId="Tiret1">
    <w:name w:val="Tiret 1"/>
    <w:basedOn w:val="Point1"/>
    <w:rsid w:val="005365AB"/>
    <w:pPr>
      <w:numPr>
        <w:numId w:val="10"/>
      </w:numPr>
    </w:pPr>
  </w:style>
  <w:style w:type="paragraph" w:customStyle="1" w:styleId="Tiret2">
    <w:name w:val="Tiret 2"/>
    <w:basedOn w:val="Point2"/>
    <w:rsid w:val="005365AB"/>
    <w:pPr>
      <w:numPr>
        <w:numId w:val="11"/>
      </w:numPr>
    </w:pPr>
  </w:style>
  <w:style w:type="paragraph" w:customStyle="1" w:styleId="Tiret3">
    <w:name w:val="Tiret 3"/>
    <w:basedOn w:val="Point3"/>
    <w:rsid w:val="005365AB"/>
    <w:pPr>
      <w:numPr>
        <w:numId w:val="12"/>
      </w:numPr>
    </w:pPr>
  </w:style>
  <w:style w:type="paragraph" w:customStyle="1" w:styleId="Tiret4">
    <w:name w:val="Tiret 4"/>
    <w:basedOn w:val="Point4"/>
    <w:rsid w:val="005365AB"/>
    <w:pPr>
      <w:numPr>
        <w:numId w:val="13"/>
      </w:numPr>
    </w:pPr>
  </w:style>
  <w:style w:type="paragraph" w:customStyle="1" w:styleId="Tiret5">
    <w:name w:val="Tiret 5"/>
    <w:basedOn w:val="Point5"/>
    <w:rsid w:val="005365AB"/>
    <w:pPr>
      <w:numPr>
        <w:numId w:val="14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15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15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15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15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17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5365AB"/>
    <w:pPr>
      <w:numPr>
        <w:numId w:val="18"/>
      </w:numPr>
    </w:pPr>
  </w:style>
  <w:style w:type="paragraph" w:customStyle="1" w:styleId="Bullet1">
    <w:name w:val="Bullet 1"/>
    <w:basedOn w:val="Normal"/>
    <w:rsid w:val="005365AB"/>
    <w:pPr>
      <w:numPr>
        <w:numId w:val="19"/>
      </w:numPr>
    </w:pPr>
  </w:style>
  <w:style w:type="paragraph" w:customStyle="1" w:styleId="Bullet2">
    <w:name w:val="Bullet 2"/>
    <w:basedOn w:val="Normal"/>
    <w:rsid w:val="005365AB"/>
    <w:pPr>
      <w:numPr>
        <w:numId w:val="20"/>
      </w:numPr>
    </w:pPr>
  </w:style>
  <w:style w:type="paragraph" w:customStyle="1" w:styleId="Bullet3">
    <w:name w:val="Bullet 3"/>
    <w:basedOn w:val="Normal"/>
    <w:rsid w:val="005365AB"/>
    <w:pPr>
      <w:numPr>
        <w:numId w:val="21"/>
      </w:numPr>
    </w:pPr>
  </w:style>
  <w:style w:type="paragraph" w:customStyle="1" w:styleId="Bullet4">
    <w:name w:val="Bullet 4"/>
    <w:basedOn w:val="Normal"/>
    <w:rsid w:val="005365AB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4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E0EF0AC8ECBA664E8AC1912BEE748C05000C2AAF5FB404E046A26CB2C725F03C8B" ma:contentTypeVersion="31" ma:contentTypeDescription="Shared Document" ma:contentTypeScope="" ma:versionID="570144c4a7c4d5d923b63a99a3c9bd1d">
  <xsd:schema xmlns:xsd="http://www.w3.org/2001/XMLSchema" xmlns:xs="http://www.w3.org/2001/XMLSchema" xmlns:p="http://schemas.microsoft.com/office/2006/metadata/properties" xmlns:ns2="7ca0d39f-26a4-4125-a61a-ea9ee0be4418" xmlns:ns3="5d7c9a51-8868-4cc4-b189-61103d00211e" xmlns:ns4="f3a2a1ca-4e25-4887-a788-dd4081c37eda" targetNamespace="http://schemas.microsoft.com/office/2006/metadata/properties" ma:root="true" ma:fieldsID="ae754601c2a52cc8b543c35cfbf3922f" ns2:_="" ns3:_="" ns4:_="">
    <xsd:import namespace="7ca0d39f-26a4-4125-a61a-ea9ee0be4418"/>
    <xsd:import namespace="5d7c9a51-8868-4cc4-b189-61103d00211e"/>
    <xsd:import namespace="f3a2a1ca-4e25-4887-a788-dd4081c37eda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d39f-26a4-4125-a61a-ea9ee0be4418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f4671a2-0174-4b67-83ac-eb857b7d53cb}" ma:internalName="TaxCatchAll" ma:showField="CatchAllData" ma:web="7ca0d39f-26a4-4125-a61a-ea9ee0be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f4671a2-0174-4b67-83ac-eb857b7d53cb}" ma:internalName="TaxCatchAllLabel" ma:readOnly="true" ma:showField="CatchAllDataLabel" ma:web="7ca0d39f-26a4-4125-a61a-ea9ee0be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a1ca-4e25-4887-a788-dd4081c37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E0EF0AC8ECBA664E8AC1912BEE748C05000C2AAF5FB404E046A26CB2C725F03C8B" ma:contentTypeVersion="31" ma:contentTypeDescription="Shared Document" ma:contentTypeScope="" ma:versionID="570144c4a7c4d5d923b63a99a3c9bd1d">
  <xsd:schema xmlns:xsd="http://www.w3.org/2001/XMLSchema" xmlns:xs="http://www.w3.org/2001/XMLSchema" xmlns:p="http://schemas.microsoft.com/office/2006/metadata/properties" xmlns:ns2="7ca0d39f-26a4-4125-a61a-ea9ee0be4418" xmlns:ns3="5d7c9a51-8868-4cc4-b189-61103d00211e" xmlns:ns4="f3a2a1ca-4e25-4887-a788-dd4081c37eda" targetNamespace="http://schemas.microsoft.com/office/2006/metadata/properties" ma:root="true" ma:fieldsID="ae754601c2a52cc8b543c35cfbf3922f" ns2:_="" ns3:_="" ns4:_="">
    <xsd:import namespace="7ca0d39f-26a4-4125-a61a-ea9ee0be4418"/>
    <xsd:import namespace="5d7c9a51-8868-4cc4-b189-61103d00211e"/>
    <xsd:import namespace="f3a2a1ca-4e25-4887-a788-dd4081c37eda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d39f-26a4-4125-a61a-ea9ee0be4418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f4671a2-0174-4b67-83ac-eb857b7d53cb}" ma:internalName="TaxCatchAll" ma:showField="CatchAllData" ma:web="7ca0d39f-26a4-4125-a61a-ea9ee0be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f4671a2-0174-4b67-83ac-eb857b7d53cb}" ma:internalName="TaxCatchAllLabel" ma:readOnly="true" ma:showField="CatchAllDataLabel" ma:web="7ca0d39f-26a4-4125-a61a-ea9ee0be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a1ca-4e25-4887-a788-dd4081c37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2009/128/EC</TermName>
          <TermId xmlns="http://schemas.microsoft.com/office/infopath/2007/PartnerControls">7b7de53c-cb72-420d-ab44-149d235f4d6a</TermId>
        </TermInfo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32bc2344-8b95-4680-bced-d5c0961abb2c</TermId>
        </TermInfo>
        <TermInfo xmlns="http://schemas.microsoft.com/office/infopath/2007/PartnerControls">
          <TermName xmlns="http://schemas.microsoft.com/office/infopath/2007/PartnerControls">Sustainable Use Directive</TermName>
          <TermId xmlns="http://schemas.microsoft.com/office/infopath/2007/PartnerControls">faa8d417-23cf-4a5f-aacf-fbc20450648c</TermId>
        </TermInfo>
      </Terms>
    </TaxKeywordTaxHTField>
    <SANTEDomainTaxHTField0 xmlns="7ca0d39f-26a4-4125-a61a-ea9ee0be44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Better Regulation</TermName>
          <TermId xmlns="http://schemas.microsoft.com/office/infopath/2007/PartnerControls">f88a672a-133e-4b11-8e63-747b312a9b78</TermId>
        </TermInfo>
      </Terms>
    </SANTEDomainTaxHTField0>
    <SANTEDocumentDate xmlns="7ca0d39f-26a4-4125-a61a-ea9ee0be4418">2022-03-10T23:00:00+00:00</SANTEDocumentDate>
    <TaxCatchAll xmlns="5d7c9a51-8868-4cc4-b189-61103d00211e">
      <Value>40</Value>
      <Value>4</Value>
      <Value>39</Value>
      <Value>1</Value>
    </TaxCatchAll>
    <_dlc_DocId xmlns="5d7c9a51-8868-4cc4-b189-61103d00211e">A051-16241562-1211</_dlc_DocId>
    <_dlc_DocIdUrl xmlns="5d7c9a51-8868-4cc4-b189-61103d00211e">
      <Url>https://workspaces.sante.cec.eu.int/areas/051/012/_layouts/15/DocIdRedir.aspx?ID=A051-16241562-1211</Url>
      <Description>A051-16241562-1211</Description>
    </_dlc_DocIdUrl>
  </documentManagement>
</p:properties>
</file>

<file path=customXml/item7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4193-A1A8-4A53-B41C-C9692E4A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d39f-26a4-4125-a61a-ea9ee0be4418"/>
    <ds:schemaRef ds:uri="5d7c9a51-8868-4cc4-b189-61103d00211e"/>
    <ds:schemaRef ds:uri="f3a2a1ca-4e25-4887-a788-dd4081c37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137FA-32F4-412B-90E5-59F8CF662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E1DB3-E1E6-4066-9753-79C1F55D44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7514F7-3786-44C3-97EF-750DE994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d39f-26a4-4125-a61a-ea9ee0be4418"/>
    <ds:schemaRef ds:uri="5d7c9a51-8868-4cc4-b189-61103d00211e"/>
    <ds:schemaRef ds:uri="f3a2a1ca-4e25-4887-a788-dd4081c37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1E3C21-50FE-4709-BAD0-C460434C7D6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59E44C3-B55F-42B1-B55C-6EB1D1F9087E}">
  <ds:schemaRefs>
    <ds:schemaRef ds:uri="http://purl.org/dc/elements/1.1/"/>
    <ds:schemaRef ds:uri="http://schemas.microsoft.com/office/2006/metadata/properties"/>
    <ds:schemaRef ds:uri="f3a2a1ca-4e25-4887-a788-dd4081c37ed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d7c9a51-8868-4cc4-b189-61103d00211e"/>
    <ds:schemaRef ds:uri="7ca0d39f-26a4-4125-a61a-ea9ee0be4418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CA68EDE-ED0B-4ECE-A72C-62D59E0884F3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298FE368-D6A3-44CC-8F4B-9AFC198C1D75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94EA4380-6FBB-40D6-8A87-E4324587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20</TotalTime>
  <Pages>24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SUR Proposal R1- version for RSC meeting clean LW - additional change (003)</vt:lpstr>
    </vt:vector>
  </TitlesOfParts>
  <Company/>
  <LinksUpToDate>false</LinksUpToDate>
  <CharactersWithSpaces>41384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SUR Proposal R1- version for RSC meeting clean LW - additional change (003)</dc:title>
  <dc:subject/>
  <dc:creator>JAMRICHOVA Martina (SANTE)</dc:creator>
  <cp:keywords>2009/128/EC; Evaluation; Sustainable Use Directive</cp:keywords>
  <dc:description/>
  <cp:lastModifiedBy>EC CoDe</cp:lastModifiedBy>
  <cp:revision>40</cp:revision>
  <dcterms:created xsi:type="dcterms:W3CDTF">2022-06-21T07:06:00Z</dcterms:created>
  <dcterms:modified xsi:type="dcterms:W3CDTF">2022-06-27T10:08:00Z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7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0x010100DE1EDE6C0A88422BAED8C106DF00215D00E0EF0AC8ECBA664E8AC1912BEE748C05000C2AAF5FB404E046A26CB2C725F03C8B</vt:lpwstr>
  </property>
  <property fmtid="{D5CDD505-2E9C-101B-9397-08002B2CF9AE}" pid="14" name="TaxKeyword">
    <vt:lpwstr>40;#2009/128/EC|7b7de53c-cb72-420d-ab44-149d235f4d6a;#4;#Evaluation|32bc2344-8b95-4680-bced-d5c0961abb2c;#39;#Sustainable Use Directive|faa8d417-23cf-4a5f-aacf-fbc20450648c</vt:lpwstr>
  </property>
  <property fmtid="{D5CDD505-2E9C-101B-9397-08002B2CF9AE}" pid="15" name="SANTEDomain">
    <vt:lpwstr>1;#Better Regulation|f88a672a-133e-4b11-8e63-747b312a9b78</vt:lpwstr>
  </property>
  <property fmtid="{D5CDD505-2E9C-101B-9397-08002B2CF9AE}" pid="16" name="_dlc_DocIdItemGuid">
    <vt:lpwstr>a7a4a124-e634-4eaa-a465-6d923f5318a8</vt:lpwstr>
  </property>
  <property fmtid="{D5CDD505-2E9C-101B-9397-08002B2CF9AE}" pid="17" name="DQCStatus">
    <vt:lpwstr>Green (DQC version 03)</vt:lpwstr>
  </property>
</Properties>
</file>