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96035" w14:textId="77D5083D" w:rsidR="00FA7E56" w:rsidRPr="005D146E" w:rsidRDefault="007E0431" w:rsidP="007E0431">
      <w:pPr>
        <w:pStyle w:val="Pagedecouverture"/>
        <w:rPr>
          <w:noProof/>
        </w:rPr>
      </w:pPr>
      <w:r>
        <w:rPr>
          <w:noProof/>
        </w:rPr>
        <w:pict w14:anchorId="1955C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236E89ED-AB27-4C04-91A0-57B0E49DA998" style="width:455.25pt;height:414pt">
            <v:imagedata r:id="rId16" o:title=""/>
          </v:shape>
        </w:pict>
      </w:r>
    </w:p>
    <w:p w14:paraId="421C9849" w14:textId="77777777" w:rsidR="00FA7E56" w:rsidRPr="005D146E" w:rsidRDefault="00FA7E56" w:rsidP="00FA7E56">
      <w:pPr>
        <w:rPr>
          <w:noProof/>
        </w:rPr>
        <w:sectPr w:rsidR="00FA7E56" w:rsidRPr="005D146E" w:rsidSect="007E0431">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pgNumType w:start="1"/>
          <w:cols w:space="720"/>
          <w:docGrid w:linePitch="360"/>
        </w:sectPr>
      </w:pPr>
    </w:p>
    <w:p w14:paraId="5E0B09DA" w14:textId="2C706D91" w:rsidR="00FA7E56" w:rsidRPr="005D146E" w:rsidRDefault="00FA7E56" w:rsidP="00FA7E56">
      <w:pPr>
        <w:pStyle w:val="Annexetitre"/>
        <w:rPr>
          <w:noProof/>
        </w:rPr>
      </w:pPr>
      <w:bookmarkStart w:id="0" w:name="_GoBack"/>
      <w:bookmarkEnd w:id="0"/>
      <w:r w:rsidRPr="005D146E">
        <w:rPr>
          <w:noProof/>
        </w:rPr>
        <w:lastRenderedPageBreak/>
        <w:t xml:space="preserve">BILAGA I </w:t>
      </w:r>
      <w:r w:rsidRPr="005D146E">
        <w:rPr>
          <w:noProof/>
        </w:rPr>
        <w:br/>
        <w:t>som avses i artikel 4</w:t>
      </w:r>
    </w:p>
    <w:p w14:paraId="6885C829" w14:textId="33F0A437" w:rsidR="00FA7E56" w:rsidRPr="005D146E" w:rsidRDefault="00FA7E56" w:rsidP="00FA7E56">
      <w:pPr>
        <w:jc w:val="center"/>
        <w:rPr>
          <w:b/>
          <w:noProof/>
          <w:szCs w:val="24"/>
        </w:rPr>
      </w:pPr>
      <w:r w:rsidRPr="005D146E">
        <w:rPr>
          <w:b/>
          <w:bCs/>
          <w:noProof/>
        </w:rPr>
        <w:t>METOD FÖR BERÄKNING AV FRAMSTEGEN MOT DE TVÅ UNIONSMÅLEN OCH TVÅ NATIONELLA MINSKNINGSMÅLEN FÖR 2030</w:t>
      </w:r>
      <w:r w:rsidRPr="005D146E">
        <w:rPr>
          <w:b/>
          <w:noProof/>
        </w:rPr>
        <w:t xml:space="preserve"> </w:t>
      </w:r>
    </w:p>
    <w:p w14:paraId="14501CC1" w14:textId="77777777" w:rsidR="00FA7E56" w:rsidRPr="005D146E" w:rsidDel="001E7F82" w:rsidRDefault="00FA7E56" w:rsidP="00EE469D">
      <w:pPr>
        <w:rPr>
          <w:noProof/>
        </w:rPr>
      </w:pPr>
    </w:p>
    <w:p w14:paraId="1DECD132" w14:textId="20D0C4CE" w:rsidR="00EE469D" w:rsidRPr="005D146E" w:rsidRDefault="00EE44B7" w:rsidP="00EE469D">
      <w:pPr>
        <w:rPr>
          <w:noProof/>
        </w:rPr>
      </w:pPr>
      <w:r w:rsidRPr="005D146E">
        <w:rPr>
          <w:noProof/>
        </w:rPr>
        <w:t>Denna förordning är det instrument som används för att uppnå minskningsmålen för bekämpningsmedel i från jord till bord-strategin genom att kräva att varje medlemsstat senast 2030 ska bidra till att uppnå en unionsomfattande minskning med 50 % av både användningen av och risken med kemiska växtskyddsmedel (</w:t>
      </w:r>
      <w:r w:rsidRPr="005D146E">
        <w:rPr>
          <w:i/>
          <w:iCs/>
          <w:noProof/>
        </w:rPr>
        <w:t>unionens minskningsmål 1 för 2030</w:t>
      </w:r>
      <w:r w:rsidRPr="005D146E">
        <w:rPr>
          <w:noProof/>
        </w:rPr>
        <w:t>) och användningen av farligare växtskyddsmedel (</w:t>
      </w:r>
      <w:r w:rsidRPr="005D146E">
        <w:rPr>
          <w:i/>
          <w:iCs/>
          <w:noProof/>
        </w:rPr>
        <w:t>unionens minskningsmål 2 för 2030</w:t>
      </w:r>
      <w:r w:rsidRPr="005D146E">
        <w:rPr>
          <w:noProof/>
        </w:rPr>
        <w:t xml:space="preserve">). I denna förordning regleras också varje medlemsstats bidrag till dessa unionsmål. Varje medlemsstats bidrag, fastställt i form av ett nationellt mål, till unionens minskningsmål 1 för 2030 kallas </w:t>
      </w:r>
      <w:r w:rsidRPr="005D146E">
        <w:rPr>
          <w:i/>
          <w:iCs/>
          <w:noProof/>
        </w:rPr>
        <w:t>nationellt minskningsmål 1 för 2030</w:t>
      </w:r>
      <w:r w:rsidRPr="005D146E">
        <w:rPr>
          <w:noProof/>
        </w:rPr>
        <w:t xml:space="preserve">, medan medlemsstatens bidrag till unionens minskningsmål 2 för 2030 kallas </w:t>
      </w:r>
      <w:r w:rsidRPr="005D146E">
        <w:rPr>
          <w:i/>
          <w:iCs/>
          <w:noProof/>
        </w:rPr>
        <w:t>nationellt minskningsmål 2 för 2030</w:t>
      </w:r>
      <w:r w:rsidRPr="005D146E">
        <w:rPr>
          <w:noProof/>
        </w:rPr>
        <w:t>. Metoden för att beräkna framstegen mot dessa mål anges nedan.</w:t>
      </w:r>
    </w:p>
    <w:p w14:paraId="3881C7AF" w14:textId="77777777" w:rsidR="00EE469D" w:rsidRPr="005D146E" w:rsidRDefault="00EE469D" w:rsidP="00FA7E56">
      <w:pPr>
        <w:jc w:val="center"/>
        <w:rPr>
          <w:noProof/>
          <w:szCs w:val="24"/>
        </w:rPr>
      </w:pPr>
    </w:p>
    <w:p w14:paraId="51DF7BAC" w14:textId="60EB289C" w:rsidR="00FA7E56" w:rsidRPr="005D146E" w:rsidRDefault="00FA7E56" w:rsidP="00FA7E56">
      <w:pPr>
        <w:jc w:val="center"/>
        <w:rPr>
          <w:noProof/>
          <w:szCs w:val="24"/>
        </w:rPr>
      </w:pPr>
      <w:r w:rsidRPr="005D146E">
        <w:rPr>
          <w:noProof/>
        </w:rPr>
        <w:t>AVSNITT 1</w:t>
      </w:r>
    </w:p>
    <w:p w14:paraId="1B9C05D1" w14:textId="7E0F27C0" w:rsidR="00EE469D" w:rsidRPr="005D146E" w:rsidRDefault="00AA512C" w:rsidP="6B25E89D">
      <w:pPr>
        <w:jc w:val="center"/>
        <w:rPr>
          <w:b/>
          <w:bCs/>
          <w:noProof/>
        </w:rPr>
      </w:pPr>
      <w:r w:rsidRPr="005D146E">
        <w:rPr>
          <w:b/>
          <w:noProof/>
        </w:rPr>
        <w:t>Nationellt minskningsmål 1 för 2030: metod för att beräkna framstegen mot minskad användning av och risker med kemiska växtskyddsmedel</w:t>
      </w:r>
    </w:p>
    <w:p w14:paraId="41C2D6D2" w14:textId="4350F9F3" w:rsidR="00FA7E56" w:rsidRPr="005D146E" w:rsidRDefault="007B3445" w:rsidP="007B3445">
      <w:pPr>
        <w:pStyle w:val="Point0"/>
        <w:rPr>
          <w:noProof/>
        </w:rPr>
      </w:pPr>
      <w:r w:rsidRPr="005D146E">
        <w:rPr>
          <w:noProof/>
        </w:rPr>
        <w:t>1.</w:t>
      </w:r>
      <w:r w:rsidRPr="005D146E">
        <w:rPr>
          <w:noProof/>
        </w:rPr>
        <w:tab/>
        <w:t>Metoden ska baseras på statistik över de mängder kemiska verksamma ämnen i växtskyddsmedel som släpps ut på marknaden enligt förordning (EG) nr 1107/2009 och som översänds till kommissionen (Eurostat) enligt bilaga I till Europaparlamentets och rådets förordning (EG) nr 1185/2009</w:t>
      </w:r>
      <w:r w:rsidRPr="005D146E">
        <w:rPr>
          <w:rStyle w:val="FootnoteReference"/>
          <w:noProof/>
        </w:rPr>
        <w:footnoteReference w:id="2"/>
      </w:r>
      <w:r w:rsidRPr="005D146E">
        <w:rPr>
          <w:noProof/>
        </w:rPr>
        <w:t xml:space="preserve">. </w:t>
      </w:r>
    </w:p>
    <w:p w14:paraId="6AB812AC" w14:textId="3B2160FF" w:rsidR="007B3445" w:rsidRPr="005D146E" w:rsidRDefault="007B3445" w:rsidP="007B3445">
      <w:pPr>
        <w:pStyle w:val="Point0"/>
        <w:rPr>
          <w:noProof/>
          <w:szCs w:val="24"/>
        </w:rPr>
      </w:pPr>
      <w:r w:rsidRPr="005D146E">
        <w:rPr>
          <w:noProof/>
        </w:rPr>
        <w:t>2.</w:t>
      </w:r>
      <w:r w:rsidRPr="005D146E">
        <w:rPr>
          <w:noProof/>
        </w:rPr>
        <w:tab/>
        <w:t xml:space="preserve">Följande allmänna regler ska tillämpas för att beräkna framstegen mot minskningsmål 1: </w:t>
      </w:r>
    </w:p>
    <w:p w14:paraId="32B14F44" w14:textId="0A92F859" w:rsidR="00FA7E56" w:rsidRPr="005D146E" w:rsidRDefault="007B3445" w:rsidP="007B3445">
      <w:pPr>
        <w:pStyle w:val="Point1"/>
        <w:rPr>
          <w:noProof/>
          <w:szCs w:val="24"/>
        </w:rPr>
      </w:pPr>
      <w:r w:rsidRPr="005D146E">
        <w:rPr>
          <w:noProof/>
        </w:rPr>
        <w:t>a)</w:t>
      </w:r>
      <w:r w:rsidRPr="005D146E">
        <w:rPr>
          <w:noProof/>
        </w:rPr>
        <w:tab/>
        <w:t xml:space="preserve">Framsteg ska beräknas på grundval av den kategorisering av kemiska verksamma ämnen i fyra grupper som anges i tabellen i denna bilaga. </w:t>
      </w:r>
    </w:p>
    <w:p w14:paraId="573AA411" w14:textId="434E1C6A" w:rsidR="00FA7E56" w:rsidRPr="005D146E" w:rsidRDefault="00FA7E56" w:rsidP="007B3445">
      <w:pPr>
        <w:pStyle w:val="Point1"/>
        <w:rPr>
          <w:noProof/>
        </w:rPr>
      </w:pPr>
      <w:r w:rsidRPr="005D146E">
        <w:rPr>
          <w:noProof/>
        </w:rPr>
        <w:t>b)</w:t>
      </w:r>
      <w:r w:rsidRPr="005D146E">
        <w:rPr>
          <w:noProof/>
        </w:rPr>
        <w:tab/>
        <w:t>De kemiska verksamma ämnena i grupp 1 ska vara de ämnen som förtecknas i del D i bilagan till kommissionens genomförandeförordning (EU) nr 540/2011</w:t>
      </w:r>
      <w:r w:rsidRPr="005D146E">
        <w:rPr>
          <w:rStyle w:val="FootnoteReference"/>
          <w:noProof/>
        </w:rPr>
        <w:footnoteReference w:id="3"/>
      </w:r>
      <w:r w:rsidRPr="005D146E">
        <w:rPr>
          <w:noProof/>
        </w:rPr>
        <w:t xml:space="preserve">. </w:t>
      </w:r>
    </w:p>
    <w:p w14:paraId="7FB4FB23" w14:textId="26A4DD2F" w:rsidR="00FA7E56" w:rsidRPr="005D146E" w:rsidRDefault="00FA7E56" w:rsidP="007B3445">
      <w:pPr>
        <w:pStyle w:val="Point1"/>
        <w:rPr>
          <w:noProof/>
          <w:szCs w:val="24"/>
        </w:rPr>
      </w:pPr>
      <w:r w:rsidRPr="005D146E">
        <w:rPr>
          <w:noProof/>
        </w:rPr>
        <w:t>c)</w:t>
      </w:r>
      <w:r w:rsidRPr="005D146E">
        <w:rPr>
          <w:noProof/>
        </w:rPr>
        <w:tab/>
        <w:t xml:space="preserve">De kemiska verksamma ämnena i grupp 2 ska vara de ämnen som förtecknas i delarna A och B i bilagan till genomförandeförordning (EU) nr 540/2011. </w:t>
      </w:r>
    </w:p>
    <w:p w14:paraId="1B8F279B" w14:textId="2A20A130" w:rsidR="00AA512C" w:rsidRPr="005D146E" w:rsidRDefault="00AA512C" w:rsidP="007B3445">
      <w:pPr>
        <w:pStyle w:val="Point1"/>
        <w:rPr>
          <w:noProof/>
          <w:szCs w:val="24"/>
        </w:rPr>
      </w:pPr>
      <w:r w:rsidRPr="005D146E">
        <w:rPr>
          <w:noProof/>
        </w:rPr>
        <w:t>d)</w:t>
      </w:r>
      <w:r w:rsidRPr="005D146E">
        <w:rPr>
          <w:noProof/>
        </w:rPr>
        <w:tab/>
        <w:t xml:space="preserve">De kemiska verksamma ämnena i grupp 3 ska vara de kemiska verksamma ämnen som är godkända som kandidatämnen för substitution i enlighet med artikel 24 i förordning (EG) nr 1107/2009 och som förtecknas i del E i bilagan till genomförandeförordning (EU) nr 540/2011, eller som förtecknas i bilagan till genomförandeförordning (EU) 2015/408. </w:t>
      </w:r>
    </w:p>
    <w:p w14:paraId="4A9E0273" w14:textId="786A280B" w:rsidR="00FA7E56" w:rsidRPr="005D146E" w:rsidRDefault="007B3445" w:rsidP="007B3445">
      <w:pPr>
        <w:pStyle w:val="Point1"/>
        <w:rPr>
          <w:noProof/>
          <w:szCs w:val="24"/>
        </w:rPr>
      </w:pPr>
      <w:r w:rsidRPr="005D146E">
        <w:rPr>
          <w:noProof/>
        </w:rPr>
        <w:t>e)</w:t>
      </w:r>
      <w:r w:rsidRPr="005D146E">
        <w:rPr>
          <w:noProof/>
        </w:rPr>
        <w:tab/>
        <w:t xml:space="preserve">De kemiska verksamma ämnena i grupp 4 ska vara de ämnen som inte är godkända enligt förordning (EG) nr 1107/2009 och därför inte förtecknas i bilagan till genomförandeförordning (EU) nr 540/2011. </w:t>
      </w:r>
    </w:p>
    <w:p w14:paraId="2AD0D098" w14:textId="77777777" w:rsidR="00FA7E56" w:rsidRPr="005D146E" w:rsidRDefault="007B3445" w:rsidP="007B3445">
      <w:pPr>
        <w:pStyle w:val="Point1"/>
        <w:rPr>
          <w:noProof/>
          <w:szCs w:val="24"/>
        </w:rPr>
      </w:pPr>
      <w:r w:rsidRPr="005D146E">
        <w:rPr>
          <w:noProof/>
        </w:rPr>
        <w:t>f)</w:t>
      </w:r>
      <w:r w:rsidRPr="005D146E">
        <w:rPr>
          <w:noProof/>
        </w:rPr>
        <w:tab/>
        <w:t xml:space="preserve">Viktningen på rad iii i tabellen i denna bilaga ska tillämpas. </w:t>
      </w:r>
    </w:p>
    <w:p w14:paraId="27DF1064" w14:textId="5934C0A8" w:rsidR="00FA7E56" w:rsidRPr="005D146E" w:rsidRDefault="007B3445" w:rsidP="007B3445">
      <w:pPr>
        <w:pStyle w:val="Point0"/>
        <w:rPr>
          <w:noProof/>
          <w:szCs w:val="24"/>
        </w:rPr>
      </w:pPr>
      <w:r w:rsidRPr="005D146E">
        <w:rPr>
          <w:noProof/>
        </w:rPr>
        <w:t>3.</w:t>
      </w:r>
      <w:r w:rsidRPr="005D146E">
        <w:rPr>
          <w:noProof/>
        </w:rPr>
        <w:tab/>
        <w:t>Framsteg mot minskningsmål 1 ska beräknas på så sätt att de årliga mängder verksamma ämnen i växtskyddsmedel som släpps ut på marknaden för varje grupp i tabellen i denna bilaga multipliceras med den relevanta viktning av faran som anges på rad iii, följt av aggregering av resultaten av dessa beräkningar.</w:t>
      </w:r>
    </w:p>
    <w:p w14:paraId="2AB71954" w14:textId="77777777" w:rsidR="00E65BCC" w:rsidRPr="005D146E" w:rsidRDefault="00E65BCC" w:rsidP="00FA7E56">
      <w:pPr>
        <w:jc w:val="center"/>
        <w:rPr>
          <w:i/>
          <w:iCs/>
          <w:noProof/>
          <w:szCs w:val="24"/>
        </w:rPr>
      </w:pPr>
    </w:p>
    <w:p w14:paraId="33849682" w14:textId="74D1ABC2" w:rsidR="00FA7E56" w:rsidRPr="005D146E" w:rsidRDefault="00FA7E56" w:rsidP="00FA7E56">
      <w:pPr>
        <w:jc w:val="center"/>
        <w:rPr>
          <w:i/>
          <w:iCs/>
          <w:noProof/>
          <w:szCs w:val="24"/>
        </w:rPr>
      </w:pPr>
      <w:r w:rsidRPr="005D146E">
        <w:rPr>
          <w:i/>
          <w:noProof/>
        </w:rPr>
        <w:t>Tabell</w:t>
      </w:r>
    </w:p>
    <w:p w14:paraId="008ECC54" w14:textId="40D4667C" w:rsidR="00FA7E56" w:rsidRPr="005D146E" w:rsidRDefault="00FA7E56" w:rsidP="00FA7E56">
      <w:pPr>
        <w:jc w:val="center"/>
        <w:rPr>
          <w:b/>
          <w:bCs/>
          <w:noProof/>
          <w:szCs w:val="24"/>
        </w:rPr>
      </w:pPr>
      <w:r w:rsidRPr="005D146E">
        <w:rPr>
          <w:b/>
          <w:noProof/>
        </w:rPr>
        <w:t>Kategorisering av verksamma ämnen och viktning av faran vid beräkning av framsteg mot nationellt minskningsmål 1 för 2030</w:t>
      </w:r>
    </w:p>
    <w:tbl>
      <w:tblPr>
        <w:tblStyle w:val="TableGrid"/>
        <w:tblW w:w="0" w:type="auto"/>
        <w:tblLook w:val="04A0" w:firstRow="1" w:lastRow="0" w:firstColumn="1" w:lastColumn="0" w:noHBand="0" w:noVBand="1"/>
      </w:tblPr>
      <w:tblGrid>
        <w:gridCol w:w="565"/>
        <w:gridCol w:w="2181"/>
        <w:gridCol w:w="2181"/>
        <w:gridCol w:w="2181"/>
        <w:gridCol w:w="2181"/>
      </w:tblGrid>
      <w:tr w:rsidR="0066509A" w:rsidRPr="005D146E" w14:paraId="080B7C30" w14:textId="77777777" w:rsidTr="007B3445">
        <w:tc>
          <w:tcPr>
            <w:tcW w:w="936" w:type="dxa"/>
            <w:vMerge w:val="restart"/>
          </w:tcPr>
          <w:p w14:paraId="0141507E" w14:textId="77777777" w:rsidR="00FA7E56" w:rsidRPr="005D146E" w:rsidRDefault="00FA7E56" w:rsidP="007B3445">
            <w:pPr>
              <w:jc w:val="center"/>
              <w:rPr>
                <w:b/>
                <w:bCs/>
                <w:noProof/>
                <w:sz w:val="20"/>
                <w:szCs w:val="20"/>
              </w:rPr>
            </w:pPr>
            <w:r w:rsidRPr="005D146E">
              <w:rPr>
                <w:b/>
                <w:noProof/>
                <w:sz w:val="20"/>
              </w:rPr>
              <w:t>Rad</w:t>
            </w:r>
          </w:p>
        </w:tc>
        <w:tc>
          <w:tcPr>
            <w:tcW w:w="8306" w:type="dxa"/>
            <w:gridSpan w:val="4"/>
          </w:tcPr>
          <w:p w14:paraId="41B99810" w14:textId="77777777" w:rsidR="00FA7E56" w:rsidRPr="005D146E" w:rsidRDefault="00FA7E56" w:rsidP="007B3445">
            <w:pPr>
              <w:jc w:val="center"/>
              <w:rPr>
                <w:b/>
                <w:bCs/>
                <w:noProof/>
                <w:sz w:val="20"/>
                <w:szCs w:val="20"/>
              </w:rPr>
            </w:pPr>
            <w:r w:rsidRPr="005D146E">
              <w:rPr>
                <w:b/>
                <w:noProof/>
                <w:sz w:val="20"/>
              </w:rPr>
              <w:t>Grupp</w:t>
            </w:r>
          </w:p>
        </w:tc>
      </w:tr>
      <w:tr w:rsidR="0066509A" w:rsidRPr="005D146E" w14:paraId="6BE4B613" w14:textId="77777777" w:rsidTr="007B3445">
        <w:tc>
          <w:tcPr>
            <w:tcW w:w="936" w:type="dxa"/>
            <w:vMerge/>
          </w:tcPr>
          <w:p w14:paraId="3BA7E48D" w14:textId="77777777" w:rsidR="00FA7E56" w:rsidRPr="005D146E" w:rsidRDefault="00FA7E56" w:rsidP="007B3445">
            <w:pPr>
              <w:jc w:val="center"/>
              <w:rPr>
                <w:b/>
                <w:bCs/>
                <w:noProof/>
                <w:sz w:val="20"/>
                <w:szCs w:val="20"/>
              </w:rPr>
            </w:pPr>
          </w:p>
        </w:tc>
        <w:tc>
          <w:tcPr>
            <w:tcW w:w="2111" w:type="dxa"/>
          </w:tcPr>
          <w:p w14:paraId="32F7C805" w14:textId="77777777" w:rsidR="00FA7E56" w:rsidRPr="005D146E" w:rsidRDefault="00FA7E56" w:rsidP="007B3445">
            <w:pPr>
              <w:jc w:val="center"/>
              <w:rPr>
                <w:b/>
                <w:bCs/>
                <w:noProof/>
                <w:sz w:val="20"/>
                <w:szCs w:val="20"/>
              </w:rPr>
            </w:pPr>
            <w:r w:rsidRPr="005D146E">
              <w:rPr>
                <w:b/>
                <w:noProof/>
                <w:sz w:val="20"/>
              </w:rPr>
              <w:t>1</w:t>
            </w:r>
          </w:p>
        </w:tc>
        <w:tc>
          <w:tcPr>
            <w:tcW w:w="2111" w:type="dxa"/>
          </w:tcPr>
          <w:p w14:paraId="66C136A4" w14:textId="77777777" w:rsidR="00FA7E56" w:rsidRPr="005D146E" w:rsidRDefault="00FA7E56" w:rsidP="007B3445">
            <w:pPr>
              <w:jc w:val="center"/>
              <w:rPr>
                <w:b/>
                <w:bCs/>
                <w:noProof/>
                <w:sz w:val="20"/>
                <w:szCs w:val="20"/>
              </w:rPr>
            </w:pPr>
            <w:r w:rsidRPr="005D146E">
              <w:rPr>
                <w:b/>
                <w:noProof/>
                <w:sz w:val="20"/>
              </w:rPr>
              <w:t>2</w:t>
            </w:r>
          </w:p>
        </w:tc>
        <w:tc>
          <w:tcPr>
            <w:tcW w:w="2610" w:type="dxa"/>
          </w:tcPr>
          <w:p w14:paraId="1D5A0EB7" w14:textId="77777777" w:rsidR="00FA7E56" w:rsidRPr="005D146E" w:rsidRDefault="00FA7E56" w:rsidP="007B3445">
            <w:pPr>
              <w:jc w:val="center"/>
              <w:rPr>
                <w:b/>
                <w:bCs/>
                <w:noProof/>
                <w:sz w:val="20"/>
                <w:szCs w:val="20"/>
              </w:rPr>
            </w:pPr>
            <w:r w:rsidRPr="005D146E">
              <w:rPr>
                <w:b/>
                <w:noProof/>
                <w:sz w:val="20"/>
              </w:rPr>
              <w:t>3</w:t>
            </w:r>
          </w:p>
        </w:tc>
        <w:tc>
          <w:tcPr>
            <w:tcW w:w="1474" w:type="dxa"/>
          </w:tcPr>
          <w:p w14:paraId="22F353DB" w14:textId="77777777" w:rsidR="00FA7E56" w:rsidRPr="005D146E" w:rsidRDefault="00FA7E56" w:rsidP="007B3445">
            <w:pPr>
              <w:jc w:val="center"/>
              <w:rPr>
                <w:b/>
                <w:bCs/>
                <w:noProof/>
                <w:sz w:val="20"/>
                <w:szCs w:val="20"/>
              </w:rPr>
            </w:pPr>
            <w:r w:rsidRPr="005D146E">
              <w:rPr>
                <w:b/>
                <w:noProof/>
                <w:sz w:val="20"/>
              </w:rPr>
              <w:t>4</w:t>
            </w:r>
          </w:p>
        </w:tc>
      </w:tr>
      <w:tr w:rsidR="0066509A" w:rsidRPr="005D146E" w14:paraId="7A78B9D2" w14:textId="77777777" w:rsidTr="007B3445">
        <w:tc>
          <w:tcPr>
            <w:tcW w:w="936" w:type="dxa"/>
          </w:tcPr>
          <w:p w14:paraId="4029D59D" w14:textId="77777777" w:rsidR="00FA7E56" w:rsidRPr="005D146E" w:rsidRDefault="00FA7E56" w:rsidP="007B3445">
            <w:pPr>
              <w:jc w:val="center"/>
              <w:rPr>
                <w:b/>
                <w:bCs/>
                <w:noProof/>
                <w:sz w:val="20"/>
                <w:szCs w:val="20"/>
              </w:rPr>
            </w:pPr>
            <w:r w:rsidRPr="005D146E">
              <w:rPr>
                <w:b/>
                <w:noProof/>
                <w:sz w:val="20"/>
              </w:rPr>
              <w:t>i)</w:t>
            </w:r>
          </w:p>
        </w:tc>
        <w:tc>
          <w:tcPr>
            <w:tcW w:w="2111" w:type="dxa"/>
          </w:tcPr>
          <w:p w14:paraId="1FF4B24B" w14:textId="77777777" w:rsidR="00FA7E56" w:rsidRPr="005D146E" w:rsidRDefault="00FA7E56" w:rsidP="007B3445">
            <w:pPr>
              <w:jc w:val="center"/>
              <w:rPr>
                <w:b/>
                <w:bCs/>
                <w:noProof/>
                <w:sz w:val="20"/>
                <w:szCs w:val="20"/>
              </w:rPr>
            </w:pPr>
            <w:r w:rsidRPr="005D146E">
              <w:rPr>
                <w:noProof/>
                <w:sz w:val="20"/>
              </w:rPr>
              <w:t>Kemiska verksamma ämnen med låg risk som är eller anses vara godkända enligt artikel 22 i förordning (EG) nr 1107/2009 och som förtecknas i del D i bilagan till genomförandeförordning (EU) nr 540/2011</w:t>
            </w:r>
          </w:p>
        </w:tc>
        <w:tc>
          <w:tcPr>
            <w:tcW w:w="2111" w:type="dxa"/>
          </w:tcPr>
          <w:p w14:paraId="09689AF3" w14:textId="77777777" w:rsidR="00FA7E56" w:rsidRPr="005D146E" w:rsidRDefault="00FA7E56" w:rsidP="007B3445">
            <w:pPr>
              <w:jc w:val="center"/>
              <w:rPr>
                <w:b/>
                <w:bCs/>
                <w:noProof/>
                <w:sz w:val="20"/>
                <w:szCs w:val="20"/>
              </w:rPr>
            </w:pPr>
            <w:r w:rsidRPr="005D146E">
              <w:rPr>
                <w:noProof/>
                <w:sz w:val="20"/>
              </w:rPr>
              <w:t>Kemiska verksamma ämnen som är eller anses vara godkända enligt förordning (EG) nr 1107/2009, som inte omfattas av andra kategorier och som förtecknas i delarna A och B i bilagan till genomförandeförordning (EU) nr 540/2011</w:t>
            </w:r>
          </w:p>
        </w:tc>
        <w:tc>
          <w:tcPr>
            <w:tcW w:w="2610" w:type="dxa"/>
          </w:tcPr>
          <w:p w14:paraId="0D0D1C7F" w14:textId="2F6C77CB" w:rsidR="001D3834" w:rsidRPr="005D146E" w:rsidRDefault="00FA7E56" w:rsidP="001D3834">
            <w:pPr>
              <w:jc w:val="center"/>
              <w:rPr>
                <w:b/>
                <w:bCs/>
                <w:noProof/>
                <w:sz w:val="20"/>
                <w:szCs w:val="20"/>
              </w:rPr>
            </w:pPr>
            <w:r w:rsidRPr="005D146E">
              <w:rPr>
                <w:noProof/>
                <w:sz w:val="20"/>
              </w:rPr>
              <w:t>Kemiska ämnen som är godkända som kandidatämnen för substitution i enlighet med artikel 24 i förordning (EG) nr 1107/2009 och som förtecknas i del E i bilagan till genomförandeförordning (EU) nr 540/2011, eller som förtecknas i bilagan till genomförandeförordning (EU) 2015/408.</w:t>
            </w:r>
          </w:p>
        </w:tc>
        <w:tc>
          <w:tcPr>
            <w:tcW w:w="1474" w:type="dxa"/>
          </w:tcPr>
          <w:p w14:paraId="4B0ADACD" w14:textId="77777777" w:rsidR="00FA7E56" w:rsidRPr="005D146E" w:rsidRDefault="00FA7E56" w:rsidP="007B3445">
            <w:pPr>
              <w:jc w:val="center"/>
              <w:rPr>
                <w:b/>
                <w:bCs/>
                <w:noProof/>
                <w:sz w:val="20"/>
                <w:szCs w:val="20"/>
              </w:rPr>
            </w:pPr>
            <w:r w:rsidRPr="005D146E">
              <w:rPr>
                <w:noProof/>
                <w:sz w:val="20"/>
              </w:rPr>
              <w:t>Kemiska verksamma ämnen som inte är godkända enligt förordning (EG) nr 1107/2009 och därför inte förtecknas i bilagan till genomförandeförordning (EU) nr 540/2011</w:t>
            </w:r>
          </w:p>
        </w:tc>
      </w:tr>
      <w:tr w:rsidR="0066509A" w:rsidRPr="005D146E" w14:paraId="54217484" w14:textId="77777777" w:rsidTr="007B3445">
        <w:tc>
          <w:tcPr>
            <w:tcW w:w="936" w:type="dxa"/>
          </w:tcPr>
          <w:p w14:paraId="047D94D8" w14:textId="77777777" w:rsidR="00FA7E56" w:rsidRPr="005D146E" w:rsidRDefault="00FA7E56" w:rsidP="007B3445">
            <w:pPr>
              <w:jc w:val="center"/>
              <w:rPr>
                <w:b/>
                <w:bCs/>
                <w:noProof/>
                <w:sz w:val="20"/>
                <w:szCs w:val="20"/>
              </w:rPr>
            </w:pPr>
            <w:r w:rsidRPr="005D146E">
              <w:rPr>
                <w:b/>
                <w:noProof/>
                <w:sz w:val="20"/>
              </w:rPr>
              <w:t>ii)</w:t>
            </w:r>
          </w:p>
        </w:tc>
        <w:tc>
          <w:tcPr>
            <w:tcW w:w="8306" w:type="dxa"/>
            <w:gridSpan w:val="4"/>
          </w:tcPr>
          <w:p w14:paraId="60C3D724" w14:textId="77777777" w:rsidR="00FA7E56" w:rsidRPr="005D146E" w:rsidRDefault="00FA7E56" w:rsidP="007B3445">
            <w:pPr>
              <w:jc w:val="center"/>
              <w:rPr>
                <w:b/>
                <w:bCs/>
                <w:noProof/>
                <w:sz w:val="20"/>
                <w:szCs w:val="20"/>
              </w:rPr>
            </w:pPr>
            <w:r w:rsidRPr="005D146E">
              <w:rPr>
                <w:noProof/>
                <w:sz w:val="20"/>
              </w:rPr>
              <w:t>Viktning av faran som ska tillämpas på de mängder kemiska verksamma ämnen som släpps ut på marknaden i växtskyddsmedel som har godkänts enligt förordning (EG) nr 1107/2009</w:t>
            </w:r>
          </w:p>
        </w:tc>
      </w:tr>
      <w:tr w:rsidR="00FA7E56" w:rsidRPr="005D146E" w14:paraId="25013707" w14:textId="77777777" w:rsidTr="007B3445">
        <w:tc>
          <w:tcPr>
            <w:tcW w:w="936" w:type="dxa"/>
          </w:tcPr>
          <w:p w14:paraId="227FD022" w14:textId="77777777" w:rsidR="00FA7E56" w:rsidRPr="005D146E" w:rsidRDefault="00FA7E56" w:rsidP="007B3445">
            <w:pPr>
              <w:jc w:val="center"/>
              <w:rPr>
                <w:b/>
                <w:bCs/>
                <w:noProof/>
                <w:sz w:val="20"/>
                <w:szCs w:val="20"/>
              </w:rPr>
            </w:pPr>
            <w:r w:rsidRPr="005D146E">
              <w:rPr>
                <w:b/>
                <w:noProof/>
                <w:sz w:val="20"/>
              </w:rPr>
              <w:t>iii)</w:t>
            </w:r>
          </w:p>
        </w:tc>
        <w:tc>
          <w:tcPr>
            <w:tcW w:w="2111" w:type="dxa"/>
          </w:tcPr>
          <w:p w14:paraId="1C607C93" w14:textId="77777777" w:rsidR="00FA7E56" w:rsidRPr="005D146E" w:rsidRDefault="00FA7E56" w:rsidP="007B3445">
            <w:pPr>
              <w:jc w:val="center"/>
              <w:rPr>
                <w:b/>
                <w:bCs/>
                <w:noProof/>
                <w:sz w:val="20"/>
                <w:szCs w:val="20"/>
              </w:rPr>
            </w:pPr>
            <w:r w:rsidRPr="005D146E">
              <w:rPr>
                <w:b/>
                <w:noProof/>
                <w:sz w:val="20"/>
              </w:rPr>
              <w:t>1</w:t>
            </w:r>
          </w:p>
        </w:tc>
        <w:tc>
          <w:tcPr>
            <w:tcW w:w="2111" w:type="dxa"/>
          </w:tcPr>
          <w:p w14:paraId="3C97CD2C" w14:textId="77777777" w:rsidR="00FA7E56" w:rsidRPr="005D146E" w:rsidRDefault="00FA7E56" w:rsidP="007B3445">
            <w:pPr>
              <w:jc w:val="center"/>
              <w:rPr>
                <w:b/>
                <w:bCs/>
                <w:noProof/>
                <w:sz w:val="20"/>
                <w:szCs w:val="20"/>
              </w:rPr>
            </w:pPr>
            <w:r w:rsidRPr="005D146E">
              <w:rPr>
                <w:b/>
                <w:noProof/>
                <w:sz w:val="20"/>
              </w:rPr>
              <w:t>8</w:t>
            </w:r>
          </w:p>
        </w:tc>
        <w:tc>
          <w:tcPr>
            <w:tcW w:w="2610" w:type="dxa"/>
          </w:tcPr>
          <w:p w14:paraId="26A6EC8C" w14:textId="77777777" w:rsidR="00FA7E56" w:rsidRPr="005D146E" w:rsidRDefault="00FA7E56" w:rsidP="007B3445">
            <w:pPr>
              <w:jc w:val="center"/>
              <w:rPr>
                <w:b/>
                <w:bCs/>
                <w:noProof/>
                <w:sz w:val="20"/>
                <w:szCs w:val="20"/>
              </w:rPr>
            </w:pPr>
            <w:r w:rsidRPr="005D146E">
              <w:rPr>
                <w:b/>
                <w:noProof/>
                <w:sz w:val="20"/>
              </w:rPr>
              <w:t>16</w:t>
            </w:r>
          </w:p>
        </w:tc>
        <w:tc>
          <w:tcPr>
            <w:tcW w:w="1474" w:type="dxa"/>
          </w:tcPr>
          <w:p w14:paraId="6CCD8F59" w14:textId="77777777" w:rsidR="00FA7E56" w:rsidRPr="005D146E" w:rsidRDefault="00FA7E56" w:rsidP="007B3445">
            <w:pPr>
              <w:jc w:val="center"/>
              <w:rPr>
                <w:b/>
                <w:bCs/>
                <w:noProof/>
                <w:sz w:val="20"/>
                <w:szCs w:val="20"/>
              </w:rPr>
            </w:pPr>
            <w:r w:rsidRPr="005D146E">
              <w:rPr>
                <w:b/>
                <w:noProof/>
                <w:sz w:val="20"/>
              </w:rPr>
              <w:t>64</w:t>
            </w:r>
          </w:p>
        </w:tc>
      </w:tr>
    </w:tbl>
    <w:p w14:paraId="3AA8DE63" w14:textId="77777777" w:rsidR="00FA7E56" w:rsidRPr="005D146E" w:rsidRDefault="00FA7E56" w:rsidP="00FA7E56">
      <w:pPr>
        <w:rPr>
          <w:b/>
          <w:bCs/>
          <w:noProof/>
          <w:szCs w:val="24"/>
        </w:rPr>
      </w:pPr>
    </w:p>
    <w:p w14:paraId="7B684371" w14:textId="28EBCB48" w:rsidR="00FA7E56" w:rsidRPr="005D146E" w:rsidRDefault="009F37B9" w:rsidP="007B3445">
      <w:pPr>
        <w:pStyle w:val="Point0"/>
        <w:rPr>
          <w:noProof/>
          <w:szCs w:val="24"/>
        </w:rPr>
      </w:pPr>
      <w:r w:rsidRPr="005D146E">
        <w:rPr>
          <w:noProof/>
        </w:rPr>
        <w:t>4.</w:t>
      </w:r>
      <w:r w:rsidRPr="005D146E">
        <w:rPr>
          <w:noProof/>
        </w:rPr>
        <w:tab/>
        <w:t xml:space="preserve">Utgångsvärdet för minskningsmål 1 ska fastställas till 100 och vara lika med det genomsnittliga resultatet av ovanstående beräkning för perioden 2015–2017. </w:t>
      </w:r>
    </w:p>
    <w:p w14:paraId="69F05131" w14:textId="6F839961" w:rsidR="00FA7E56" w:rsidRPr="005D146E" w:rsidRDefault="009F37B9" w:rsidP="007B3445">
      <w:pPr>
        <w:pStyle w:val="Point0"/>
        <w:rPr>
          <w:noProof/>
          <w:szCs w:val="24"/>
        </w:rPr>
      </w:pPr>
      <w:r w:rsidRPr="005D146E">
        <w:rPr>
          <w:noProof/>
        </w:rPr>
        <w:t>5.</w:t>
      </w:r>
      <w:r w:rsidRPr="005D146E">
        <w:rPr>
          <w:noProof/>
        </w:rPr>
        <w:tab/>
        <w:t xml:space="preserve">Framstegen mot minskningsmål 1 ska anges i förhållande till utgångsvärdet. </w:t>
      </w:r>
    </w:p>
    <w:p w14:paraId="4367AA7B" w14:textId="03656BF9" w:rsidR="00FA7E56" w:rsidRPr="005D146E" w:rsidRDefault="009F37B9" w:rsidP="007B3445">
      <w:pPr>
        <w:pStyle w:val="Point0"/>
        <w:rPr>
          <w:noProof/>
          <w:szCs w:val="24"/>
        </w:rPr>
      </w:pPr>
      <w:r w:rsidRPr="005D146E">
        <w:rPr>
          <w:noProof/>
        </w:rPr>
        <w:t>6.</w:t>
      </w:r>
      <w:r w:rsidRPr="005D146E">
        <w:rPr>
          <w:noProof/>
        </w:rPr>
        <w:tab/>
        <w:t>Kommissionen ska beräkna framstegen mot minskningsmål 1 i enlighet med artikel 34.2 i denna förordning för varje kalenderår och senast 20 månader efter utgången av det år för vilket framstegen mot minskningsmål 1 beräknas.</w:t>
      </w:r>
    </w:p>
    <w:p w14:paraId="7B03F6D0" w14:textId="77777777" w:rsidR="00FA7E56" w:rsidRPr="005D146E" w:rsidRDefault="00FA7E56" w:rsidP="00FA7E56">
      <w:pPr>
        <w:jc w:val="center"/>
        <w:rPr>
          <w:noProof/>
          <w:szCs w:val="24"/>
        </w:rPr>
      </w:pPr>
    </w:p>
    <w:p w14:paraId="62208A5D" w14:textId="77777777" w:rsidR="00FA7E56" w:rsidRPr="005D146E" w:rsidRDefault="00FA7E56" w:rsidP="00FA7E56">
      <w:pPr>
        <w:jc w:val="center"/>
        <w:rPr>
          <w:noProof/>
          <w:szCs w:val="24"/>
        </w:rPr>
      </w:pPr>
      <w:r w:rsidRPr="005D146E">
        <w:rPr>
          <w:noProof/>
        </w:rPr>
        <w:t>AVSNITT 2</w:t>
      </w:r>
    </w:p>
    <w:p w14:paraId="1568F4EB" w14:textId="73CCD442" w:rsidR="00FA7E56" w:rsidRPr="005D146E" w:rsidRDefault="00AA512C" w:rsidP="00FA7E56">
      <w:pPr>
        <w:jc w:val="center"/>
        <w:rPr>
          <w:b/>
          <w:bCs/>
          <w:noProof/>
          <w:szCs w:val="24"/>
        </w:rPr>
      </w:pPr>
      <w:r w:rsidRPr="005D146E">
        <w:rPr>
          <w:b/>
          <w:noProof/>
        </w:rPr>
        <w:t xml:space="preserve">Nationellt minskningsmål 2: metod för att beräkna framstegen mot minskad användning av farligare växtskyddsmedel </w:t>
      </w:r>
    </w:p>
    <w:p w14:paraId="76889AC2" w14:textId="7FA3A350" w:rsidR="00FA7E56" w:rsidRPr="005D146E" w:rsidRDefault="007B3445" w:rsidP="007B3445">
      <w:pPr>
        <w:pStyle w:val="Point0"/>
        <w:rPr>
          <w:noProof/>
          <w:szCs w:val="24"/>
        </w:rPr>
      </w:pPr>
      <w:r w:rsidRPr="005D146E">
        <w:rPr>
          <w:noProof/>
        </w:rPr>
        <w:t>1.</w:t>
      </w:r>
      <w:r w:rsidRPr="005D146E">
        <w:rPr>
          <w:noProof/>
        </w:rPr>
        <w:tab/>
        <w:t xml:space="preserve">Metoden ska baseras på statistik över de mängder verksamma ämnen i växtskyddsmedel som släpps ut på marknaden enligt förordning (EG) nr 1107/2009 och som översänds till kommissionen enligt bilaga I till förordning (EG) nr 1185/2009. </w:t>
      </w:r>
    </w:p>
    <w:p w14:paraId="71A5F7F0" w14:textId="1717F9AF" w:rsidR="00FA7E56" w:rsidRPr="005D146E" w:rsidRDefault="00FA7E56" w:rsidP="007B3445">
      <w:pPr>
        <w:pStyle w:val="Point0"/>
        <w:rPr>
          <w:noProof/>
          <w:szCs w:val="24"/>
        </w:rPr>
      </w:pPr>
      <w:r w:rsidRPr="005D146E">
        <w:rPr>
          <w:noProof/>
        </w:rPr>
        <w:t>2.</w:t>
      </w:r>
      <w:r w:rsidRPr="005D146E">
        <w:rPr>
          <w:noProof/>
        </w:rPr>
        <w:tab/>
        <w:t xml:space="preserve">Framstegen mot mål 2 ska beräknas genom att addera de årliga mängderna kemiska verksamma ämnen som ingår i farligare växtskyddsmedel som släpps ut på marknaden varje år. </w:t>
      </w:r>
    </w:p>
    <w:p w14:paraId="0725AEF2" w14:textId="082CB3F7" w:rsidR="00FA7E56" w:rsidRPr="005D146E" w:rsidRDefault="007B3445" w:rsidP="007B3445">
      <w:pPr>
        <w:pStyle w:val="Point0"/>
        <w:rPr>
          <w:noProof/>
          <w:szCs w:val="24"/>
        </w:rPr>
      </w:pPr>
      <w:r w:rsidRPr="005D146E">
        <w:rPr>
          <w:noProof/>
        </w:rPr>
        <w:t>3.</w:t>
      </w:r>
      <w:r w:rsidRPr="005D146E">
        <w:rPr>
          <w:noProof/>
        </w:rPr>
        <w:tab/>
        <w:t xml:space="preserve">Utgångsvärdet för minskningsmål 2 ska fastställas till 100 och vara lika med det genomsnittliga resultatet av ovanstående beräkning för perioden 2015–2017. </w:t>
      </w:r>
    </w:p>
    <w:p w14:paraId="4BB53E06" w14:textId="21D0EF74" w:rsidR="00FA7E56" w:rsidRPr="005D146E" w:rsidRDefault="007B3445" w:rsidP="007B3445">
      <w:pPr>
        <w:pStyle w:val="Point0"/>
        <w:rPr>
          <w:noProof/>
          <w:szCs w:val="24"/>
        </w:rPr>
      </w:pPr>
      <w:r w:rsidRPr="005D146E">
        <w:rPr>
          <w:noProof/>
        </w:rPr>
        <w:t>4.</w:t>
      </w:r>
      <w:r w:rsidRPr="005D146E">
        <w:rPr>
          <w:noProof/>
        </w:rPr>
        <w:tab/>
        <w:t xml:space="preserve">Framstegen mot minskningsmål 2 ska anges i förhållande till utgångsvärdet. </w:t>
      </w:r>
    </w:p>
    <w:p w14:paraId="03194A4B" w14:textId="1B502393" w:rsidR="00FA7E56" w:rsidRPr="005D146E" w:rsidRDefault="007B3445" w:rsidP="007B3445">
      <w:pPr>
        <w:pStyle w:val="Point0"/>
        <w:rPr>
          <w:noProof/>
          <w:szCs w:val="24"/>
        </w:rPr>
      </w:pPr>
      <w:r w:rsidRPr="005D146E">
        <w:rPr>
          <w:noProof/>
        </w:rPr>
        <w:t>5.</w:t>
      </w:r>
      <w:r w:rsidRPr="005D146E">
        <w:rPr>
          <w:noProof/>
        </w:rPr>
        <w:tab/>
        <w:t>Kommissionen ska beräkna framstegen mot minskningsmål 2 i enlighet med artikel 34.2 i denna förordning för varje kalenderår och senast 20 månader efter utgången av det år för vilket framstegen mot minskningsmål 2 beräknas.</w:t>
      </w:r>
    </w:p>
    <w:p w14:paraId="7C43D81D" w14:textId="34477C0F" w:rsidR="00FA7E56" w:rsidRPr="005D146E" w:rsidRDefault="00FA7E56" w:rsidP="00FA7E56">
      <w:pPr>
        <w:rPr>
          <w:noProof/>
        </w:rPr>
      </w:pPr>
    </w:p>
    <w:p w14:paraId="28AB984E" w14:textId="77777777" w:rsidR="000E60B2" w:rsidRPr="005D146E" w:rsidRDefault="000E60B2" w:rsidP="000E60B2">
      <w:pPr>
        <w:jc w:val="center"/>
        <w:rPr>
          <w:noProof/>
          <w:szCs w:val="24"/>
        </w:rPr>
      </w:pPr>
      <w:r w:rsidRPr="005D146E">
        <w:rPr>
          <w:noProof/>
        </w:rPr>
        <w:t>AVSNITT 3</w:t>
      </w:r>
    </w:p>
    <w:p w14:paraId="59FEAF11" w14:textId="6C7190F9" w:rsidR="000E60B2" w:rsidRPr="005D146E" w:rsidRDefault="000E60B2" w:rsidP="000E60B2">
      <w:pPr>
        <w:jc w:val="center"/>
        <w:rPr>
          <w:b/>
          <w:bCs/>
          <w:noProof/>
          <w:szCs w:val="24"/>
        </w:rPr>
      </w:pPr>
      <w:r w:rsidRPr="005D146E">
        <w:rPr>
          <w:b/>
          <w:noProof/>
        </w:rPr>
        <w:t xml:space="preserve">Unionens minskningsmål </w:t>
      </w:r>
    </w:p>
    <w:p w14:paraId="7E5EFD45" w14:textId="5BD380BD" w:rsidR="000E60B2" w:rsidRPr="005D146E" w:rsidRDefault="00E65BCC" w:rsidP="00E65BCC">
      <w:pPr>
        <w:pStyle w:val="Point0"/>
        <w:rPr>
          <w:noProof/>
          <w:szCs w:val="24"/>
        </w:rPr>
      </w:pPr>
      <w:r w:rsidRPr="005D146E">
        <w:rPr>
          <w:noProof/>
        </w:rPr>
        <w:t>1.</w:t>
      </w:r>
      <w:r w:rsidRPr="005D146E">
        <w:rPr>
          <w:noProof/>
        </w:rPr>
        <w:tab/>
        <w:t xml:space="preserve">Metoden för att beräkna trenderna mot unionens två minskningsmål för 2030 ska vara densamma som metoden för att beräkna trender på nationell nivå enligt vad som anges i avsnitten 1 och 2. </w:t>
      </w:r>
    </w:p>
    <w:p w14:paraId="1D2738EE" w14:textId="3F675A6A" w:rsidR="000E60B2" w:rsidRPr="005D146E" w:rsidRDefault="00E65BCC" w:rsidP="00E65BCC">
      <w:pPr>
        <w:pStyle w:val="Point0"/>
        <w:rPr>
          <w:noProof/>
          <w:szCs w:val="24"/>
        </w:rPr>
      </w:pPr>
      <w:r w:rsidRPr="005D146E">
        <w:rPr>
          <w:noProof/>
        </w:rPr>
        <w:t>2.</w:t>
      </w:r>
      <w:r w:rsidRPr="005D146E">
        <w:rPr>
          <w:noProof/>
        </w:rPr>
        <w:tab/>
        <w:t>Trenden på nationell nivå ska beräknas utifrån nationella statistik över de mängder kemiska verksamma ämnen enligt definitionen i artikel 3.3 i den här förordningen som släpps ut på marknaden i växtskyddsmedel enligt förordning (EG) nr 1107/2009, som översänds till kommissionen (Eurostat) enligt bilaga I (Statistik om utsläppande av bekämpningsmedel på marknaden) till förordning (EG) nr 1185/2009.</w:t>
      </w:r>
    </w:p>
    <w:p w14:paraId="04BFB57E" w14:textId="31B289EF" w:rsidR="000E60B2" w:rsidRPr="005D146E" w:rsidRDefault="00E65BCC" w:rsidP="00E65BCC">
      <w:pPr>
        <w:pStyle w:val="Point0"/>
        <w:rPr>
          <w:noProof/>
          <w:szCs w:val="24"/>
        </w:rPr>
      </w:pPr>
      <w:r w:rsidRPr="005D146E">
        <w:rPr>
          <w:noProof/>
        </w:rPr>
        <w:t>3.</w:t>
      </w:r>
      <w:r w:rsidRPr="005D146E">
        <w:rPr>
          <w:noProof/>
        </w:rPr>
        <w:tab/>
        <w:t>Trenden på nationell nivå ska beräknas utifrån den nationella statistik över de mängder kemiska verksamma ämnen enligt definitionen i artikel 3.3 i den här förordningen som släpps ut på marknaden i växtskyddsmedel enligt förordning (EG) nr 1107/2009, som översänds till kommissionen (Eurostat) enligt bilaga I (Statistik om utsläppande av bekämpningsmedel på marknaden) till förordning (EG) nr 1185/2009.</w:t>
      </w:r>
    </w:p>
    <w:p w14:paraId="4910E560" w14:textId="77777777" w:rsidR="000E60B2" w:rsidRPr="005D146E" w:rsidRDefault="000E60B2" w:rsidP="00FA7E56">
      <w:pPr>
        <w:rPr>
          <w:noProof/>
        </w:rPr>
        <w:sectPr w:rsidR="000E60B2" w:rsidRPr="005D146E" w:rsidSect="007E0431">
          <w:footerReference w:type="default" r:id="rId23"/>
          <w:footerReference w:type="first" r:id="rId24"/>
          <w:pgSz w:w="11907" w:h="16839"/>
          <w:pgMar w:top="1134" w:right="1417" w:bottom="1134" w:left="1417" w:header="709" w:footer="709" w:gutter="0"/>
          <w:cols w:space="720"/>
          <w:docGrid w:linePitch="360"/>
        </w:sectPr>
      </w:pPr>
    </w:p>
    <w:p w14:paraId="51C6CB92" w14:textId="77777777" w:rsidR="00FA7E56" w:rsidRPr="005D146E" w:rsidRDefault="00FA7E56" w:rsidP="00FA7E56">
      <w:pPr>
        <w:pStyle w:val="Annexetitre"/>
        <w:rPr>
          <w:noProof/>
        </w:rPr>
      </w:pPr>
      <w:r w:rsidRPr="005D146E">
        <w:rPr>
          <w:noProof/>
        </w:rPr>
        <w:t>BILAGA II</w:t>
      </w:r>
    </w:p>
    <w:p w14:paraId="527C7455" w14:textId="5908DBDD" w:rsidR="00FA7E56" w:rsidRPr="005D146E" w:rsidRDefault="00FA7E56" w:rsidP="00FA7E56">
      <w:pPr>
        <w:jc w:val="center"/>
        <w:rPr>
          <w:noProof/>
          <w:szCs w:val="24"/>
        </w:rPr>
      </w:pPr>
      <w:r w:rsidRPr="005D146E">
        <w:rPr>
          <w:b/>
          <w:noProof/>
        </w:rPr>
        <w:t>UPPGIFTER SOM SKA LÄMNAS I ÅRLIGA LÄGES- OCH GENOMFÖRANDERAPPORTER SENAST DEN 31 AUGUSTI VARJE KALENDERÅR</w:t>
      </w:r>
    </w:p>
    <w:p w14:paraId="0B87C7FC" w14:textId="77777777" w:rsidR="00FA7E56" w:rsidRPr="005D146E" w:rsidRDefault="00FA7E56" w:rsidP="00FA7E56">
      <w:pPr>
        <w:rPr>
          <w:noProof/>
          <w:szCs w:val="24"/>
        </w:rPr>
      </w:pPr>
    </w:p>
    <w:p w14:paraId="730FBF9F" w14:textId="73BA093F" w:rsidR="00FA7E56" w:rsidRPr="005D146E" w:rsidRDefault="000753DE" w:rsidP="6B25E89D">
      <w:pPr>
        <w:rPr>
          <w:noProof/>
          <w:u w:val="single"/>
        </w:rPr>
      </w:pPr>
      <w:r w:rsidRPr="005D146E">
        <w:rPr>
          <w:noProof/>
          <w:u w:val="single"/>
        </w:rPr>
        <w:t>Del 1: Årliga utvecklingstendenser när det gäller att uppnå de nationella minskningsmålen för 2030</w:t>
      </w:r>
    </w:p>
    <w:p w14:paraId="3E3735FE" w14:textId="0C17CB63" w:rsidR="00FA7E56" w:rsidRPr="005D146E" w:rsidRDefault="000753DE" w:rsidP="000753DE">
      <w:pPr>
        <w:pStyle w:val="Point0"/>
        <w:rPr>
          <w:noProof/>
          <w:szCs w:val="24"/>
        </w:rPr>
      </w:pPr>
      <w:r w:rsidRPr="005D146E">
        <w:rPr>
          <w:noProof/>
        </w:rPr>
        <w:t>1.</w:t>
      </w:r>
      <w:r w:rsidRPr="005D146E">
        <w:rPr>
          <w:noProof/>
        </w:rPr>
        <w:tab/>
        <w:t>Trenderna för en medlemsstats framsteg mot de två nationella minskningsmål för 2030 som avses i artikel 10.2 a.</w:t>
      </w:r>
    </w:p>
    <w:p w14:paraId="2E7E6EF9" w14:textId="0FA2E17C" w:rsidR="00FA7E56" w:rsidRPr="005D146E" w:rsidRDefault="00CA5657" w:rsidP="000753DE">
      <w:pPr>
        <w:pStyle w:val="Point0"/>
        <w:rPr>
          <w:noProof/>
          <w:szCs w:val="24"/>
        </w:rPr>
      </w:pPr>
      <w:r w:rsidRPr="005D146E">
        <w:rPr>
          <w:noProof/>
        </w:rPr>
        <w:t>2.</w:t>
      </w:r>
      <w:r w:rsidRPr="005D146E">
        <w:rPr>
          <w:noProof/>
        </w:rPr>
        <w:tab/>
        <w:t>Alla andra nationella vägledande mål som anges i artikel 9.2 a, 9.3 a och 9.4.</w:t>
      </w:r>
    </w:p>
    <w:p w14:paraId="43740792" w14:textId="77777777" w:rsidR="00FA7E56" w:rsidRPr="005D146E" w:rsidRDefault="00FA7E56" w:rsidP="00FA7E56">
      <w:pPr>
        <w:rPr>
          <w:noProof/>
          <w:szCs w:val="24"/>
        </w:rPr>
      </w:pPr>
    </w:p>
    <w:p w14:paraId="55533FF5" w14:textId="76B10478" w:rsidR="00FA7E56" w:rsidRPr="005D146E" w:rsidRDefault="00FA7E56" w:rsidP="00FA7E56">
      <w:pPr>
        <w:rPr>
          <w:noProof/>
          <w:szCs w:val="24"/>
          <w:u w:val="single"/>
        </w:rPr>
      </w:pPr>
      <w:r w:rsidRPr="005D146E">
        <w:rPr>
          <w:noProof/>
          <w:u w:val="single"/>
        </w:rPr>
        <w:t>Del 2: Alla andra kvantitativa uppgifter som är relevanta för genomförandet av denna förordning och graden av efterlevnad av förordningen</w:t>
      </w:r>
    </w:p>
    <w:p w14:paraId="75C984A0" w14:textId="77777777" w:rsidR="00FA7E56" w:rsidRPr="005D146E" w:rsidRDefault="00FA7E56" w:rsidP="00FA7E56">
      <w:pPr>
        <w:rPr>
          <w:noProof/>
          <w:szCs w:val="24"/>
        </w:rPr>
      </w:pPr>
      <w:r w:rsidRPr="005D146E">
        <w:rPr>
          <w:noProof/>
        </w:rPr>
        <w:t>Användning av växtskyddsmedel</w:t>
      </w:r>
    </w:p>
    <w:p w14:paraId="4EF1DA2C" w14:textId="77777777" w:rsidR="00FA7E56" w:rsidRPr="005D146E" w:rsidRDefault="000753DE" w:rsidP="000753DE">
      <w:pPr>
        <w:pStyle w:val="Point0"/>
        <w:rPr>
          <w:noProof/>
          <w:szCs w:val="24"/>
        </w:rPr>
      </w:pPr>
      <w:r w:rsidRPr="005D146E">
        <w:rPr>
          <w:noProof/>
        </w:rPr>
        <w:t>1.</w:t>
      </w:r>
      <w:r w:rsidRPr="005D146E">
        <w:rPr>
          <w:noProof/>
        </w:rPr>
        <w:tab/>
        <w:t>Andelen yrkesmässiga användare som kontrolleras med avseende på genomförandet av integrerat växtskydd.</w:t>
      </w:r>
    </w:p>
    <w:p w14:paraId="2F4BA121" w14:textId="573A5DEF" w:rsidR="00FA7E56" w:rsidRPr="005D146E" w:rsidRDefault="000753DE" w:rsidP="000753DE">
      <w:pPr>
        <w:pStyle w:val="Point0"/>
        <w:rPr>
          <w:noProof/>
          <w:szCs w:val="24"/>
        </w:rPr>
      </w:pPr>
      <w:r w:rsidRPr="005D146E">
        <w:rPr>
          <w:noProof/>
        </w:rPr>
        <w:t>2.</w:t>
      </w:r>
      <w:r w:rsidRPr="005D146E">
        <w:rPr>
          <w:noProof/>
        </w:rPr>
        <w:tab/>
        <w:t>Andelen yrkesmässiga användare som inte fullgör skyldigheten att föra elektroniska register över genomförandet av integrerat växtskydd.</w:t>
      </w:r>
    </w:p>
    <w:p w14:paraId="03712BFC" w14:textId="2CF64223" w:rsidR="00FA7E56" w:rsidRPr="005D146E" w:rsidRDefault="000753DE" w:rsidP="000753DE">
      <w:pPr>
        <w:pStyle w:val="Point0"/>
        <w:rPr>
          <w:noProof/>
          <w:szCs w:val="24"/>
        </w:rPr>
      </w:pPr>
      <w:r w:rsidRPr="005D146E">
        <w:rPr>
          <w:noProof/>
        </w:rPr>
        <w:t>3.</w:t>
      </w:r>
      <w:r w:rsidRPr="005D146E">
        <w:rPr>
          <w:noProof/>
        </w:rPr>
        <w:tab/>
        <w:t>Andelen yrkesmässiga användare som inte har uppfyllt skyldigheten att spara uppgifter om användningen av bekämpningsmedel elektroniskt.</w:t>
      </w:r>
    </w:p>
    <w:p w14:paraId="27B1107B" w14:textId="1B38A462" w:rsidR="00FA7E56" w:rsidRPr="005D146E" w:rsidRDefault="000753DE" w:rsidP="000753DE">
      <w:pPr>
        <w:pStyle w:val="Point0"/>
        <w:rPr>
          <w:noProof/>
          <w:szCs w:val="24"/>
        </w:rPr>
      </w:pPr>
      <w:r w:rsidRPr="005D146E">
        <w:rPr>
          <w:noProof/>
        </w:rPr>
        <w:t>4.</w:t>
      </w:r>
      <w:r w:rsidRPr="005D146E">
        <w:rPr>
          <w:noProof/>
        </w:rPr>
        <w:tab/>
        <w:t>Antalet tillstånd för flygbesprutning, tillståndets giltighetstid samt de berörda arealernas storlek och belägenhet samt skälen för det beviljade tillståndet.</w:t>
      </w:r>
    </w:p>
    <w:p w14:paraId="4ED1FF6C" w14:textId="12DF7951" w:rsidR="00FA7E56" w:rsidRPr="005D146E" w:rsidRDefault="000753DE" w:rsidP="000753DE">
      <w:pPr>
        <w:pStyle w:val="Point0"/>
        <w:rPr>
          <w:noProof/>
          <w:szCs w:val="24"/>
        </w:rPr>
      </w:pPr>
      <w:r w:rsidRPr="005D146E">
        <w:rPr>
          <w:noProof/>
        </w:rPr>
        <w:t>5.</w:t>
      </w:r>
      <w:r w:rsidRPr="005D146E">
        <w:rPr>
          <w:noProof/>
        </w:rPr>
        <w:tab/>
        <w:t>Andelen utnyttjad jordbruksareal och andra arealer som omfattas av tillstånd för flygbesprutning.</w:t>
      </w:r>
    </w:p>
    <w:p w14:paraId="6940A9AC" w14:textId="223DDFD6" w:rsidR="00FA7E56" w:rsidRPr="005D146E" w:rsidRDefault="000753DE" w:rsidP="000753DE">
      <w:pPr>
        <w:pStyle w:val="Point0"/>
        <w:rPr>
          <w:noProof/>
          <w:szCs w:val="24"/>
        </w:rPr>
      </w:pPr>
      <w:r w:rsidRPr="005D146E">
        <w:rPr>
          <w:noProof/>
        </w:rPr>
        <w:t>6.</w:t>
      </w:r>
      <w:r w:rsidRPr="005D146E">
        <w:rPr>
          <w:noProof/>
        </w:rPr>
        <w:tab/>
        <w:t>Antalet tillstånd för användning av växtskyddsmedel i känsliga områden.</w:t>
      </w:r>
    </w:p>
    <w:p w14:paraId="70BA2AB6" w14:textId="1166372A" w:rsidR="00FA7E56" w:rsidRPr="005D146E" w:rsidRDefault="000753DE" w:rsidP="000753DE">
      <w:pPr>
        <w:pStyle w:val="Point0"/>
        <w:rPr>
          <w:noProof/>
          <w:szCs w:val="24"/>
        </w:rPr>
      </w:pPr>
      <w:r w:rsidRPr="005D146E">
        <w:rPr>
          <w:noProof/>
        </w:rPr>
        <w:t>7.</w:t>
      </w:r>
      <w:r w:rsidRPr="005D146E">
        <w:rPr>
          <w:noProof/>
        </w:rPr>
        <w:tab/>
        <w:t>Andelen utnyttjad jordbruksareal och andra områden som omfattas av tillstånd för användning av växtskyddsmedel i känsliga områden.</w:t>
      </w:r>
    </w:p>
    <w:p w14:paraId="31667D83" w14:textId="5A147697" w:rsidR="00C12CC9" w:rsidRPr="005D146E" w:rsidRDefault="00C12CC9" w:rsidP="000753DE">
      <w:pPr>
        <w:pStyle w:val="Point0"/>
        <w:rPr>
          <w:noProof/>
          <w:szCs w:val="24"/>
        </w:rPr>
      </w:pPr>
      <w:r w:rsidRPr="005D146E">
        <w:rPr>
          <w:noProof/>
        </w:rPr>
        <w:t>8.</w:t>
      </w:r>
      <w:r w:rsidRPr="005D146E">
        <w:rPr>
          <w:noProof/>
        </w:rPr>
        <w:tab/>
        <w:t xml:space="preserve">De uppskattade mängder olagliga växtskyddsmedel som använts och de mängder olagliga växtskyddsmedel som upptäckts.  </w:t>
      </w:r>
    </w:p>
    <w:p w14:paraId="3105724B" w14:textId="7DB915BD" w:rsidR="00FA7E56" w:rsidRPr="005D146E" w:rsidRDefault="00C12CC9" w:rsidP="000753DE">
      <w:pPr>
        <w:pStyle w:val="Point0"/>
        <w:rPr>
          <w:noProof/>
          <w:szCs w:val="24"/>
        </w:rPr>
      </w:pPr>
      <w:r w:rsidRPr="005D146E">
        <w:rPr>
          <w:noProof/>
        </w:rPr>
        <w:t>9.</w:t>
      </w:r>
      <w:r w:rsidRPr="005D146E">
        <w:rPr>
          <w:noProof/>
        </w:rPr>
        <w:tab/>
        <w:t>Huruvida medlemsstaterna har tillämpat undantag som tillåter</w:t>
      </w:r>
    </w:p>
    <w:p w14:paraId="38FE698F" w14:textId="3723C3B3" w:rsidR="00FA7E56" w:rsidRPr="005D146E" w:rsidRDefault="000753DE" w:rsidP="000753DE">
      <w:pPr>
        <w:pStyle w:val="Point1"/>
        <w:rPr>
          <w:noProof/>
        </w:rPr>
      </w:pPr>
      <w:r w:rsidRPr="005D146E">
        <w:rPr>
          <w:noProof/>
        </w:rPr>
        <w:t>a)</w:t>
      </w:r>
      <w:r w:rsidRPr="005D146E">
        <w:rPr>
          <w:noProof/>
        </w:rPr>
        <w:tab/>
        <w:t xml:space="preserve">olika inspektionskrav för spridningsutrustning i yrkesmässig användning med en mycket låg användningsgrad, eller </w:t>
      </w:r>
    </w:p>
    <w:p w14:paraId="13246347" w14:textId="48EF9EC7" w:rsidR="00FA7E56" w:rsidRPr="005D146E" w:rsidRDefault="000753DE" w:rsidP="000753DE">
      <w:pPr>
        <w:pStyle w:val="Point1"/>
        <w:rPr>
          <w:noProof/>
          <w:szCs w:val="24"/>
        </w:rPr>
      </w:pPr>
      <w:r w:rsidRPr="005D146E">
        <w:rPr>
          <w:noProof/>
        </w:rPr>
        <w:t>b)</w:t>
      </w:r>
      <w:r w:rsidRPr="005D146E">
        <w:rPr>
          <w:noProof/>
        </w:rPr>
        <w:tab/>
        <w:t>undantag från kontroll för handhållen spridningsutrustning för bekämpningsmedel eller ryggburna sprutor i yrkesmässig användning.</w:t>
      </w:r>
    </w:p>
    <w:p w14:paraId="2986915D" w14:textId="77777777" w:rsidR="00FA7E56" w:rsidRPr="005D146E" w:rsidRDefault="00FA7E56" w:rsidP="00FA7E56">
      <w:pPr>
        <w:rPr>
          <w:noProof/>
          <w:szCs w:val="24"/>
        </w:rPr>
      </w:pPr>
      <w:r w:rsidRPr="005D146E">
        <w:rPr>
          <w:noProof/>
        </w:rPr>
        <w:t>Utbildning och rådgivning</w:t>
      </w:r>
    </w:p>
    <w:p w14:paraId="2A8361F2" w14:textId="78EB82ED" w:rsidR="00FA7E56" w:rsidRPr="005D146E" w:rsidRDefault="00E65BCC" w:rsidP="000753DE">
      <w:pPr>
        <w:pStyle w:val="Point0"/>
        <w:rPr>
          <w:noProof/>
          <w:szCs w:val="24"/>
        </w:rPr>
      </w:pPr>
      <w:r w:rsidRPr="005D146E">
        <w:rPr>
          <w:noProof/>
        </w:rPr>
        <w:t>10.</w:t>
      </w:r>
      <w:r w:rsidRPr="005D146E">
        <w:rPr>
          <w:noProof/>
        </w:rPr>
        <w:tab/>
        <w:t>Andelen yrkesmässiga användare, rådgivare och distributörer som utbildats i de ämnen som förtecknas i bilaga III och som innehar ett utbildningsbevis i enlighet med artikel 25 eller som har bevis på registrering i ett centralt elektroniskt register i enlighet med artikel 25.5, fördelat på professionella användare, rådgivare och distributörer.</w:t>
      </w:r>
    </w:p>
    <w:p w14:paraId="0D514D7F" w14:textId="7E0AAD36" w:rsidR="00FA7E56" w:rsidRPr="005D146E" w:rsidRDefault="00E65BCC" w:rsidP="000753DE">
      <w:pPr>
        <w:pStyle w:val="Point0"/>
        <w:rPr>
          <w:noProof/>
          <w:szCs w:val="24"/>
        </w:rPr>
      </w:pPr>
      <w:r w:rsidRPr="005D146E">
        <w:rPr>
          <w:noProof/>
        </w:rPr>
        <w:t>11.</w:t>
      </w:r>
      <w:r w:rsidRPr="005D146E">
        <w:rPr>
          <w:noProof/>
        </w:rPr>
        <w:tab/>
        <w:t>Andelen yrkesmässiga användare som inte har uppfyllt skyldigheten att använda oberoende rådgivningstjänster minst en gång per år.</w:t>
      </w:r>
    </w:p>
    <w:p w14:paraId="170514C4" w14:textId="7D20E8E6" w:rsidR="00FA7E56" w:rsidRPr="005D146E" w:rsidRDefault="00FA7E56" w:rsidP="00FA7E56">
      <w:pPr>
        <w:rPr>
          <w:noProof/>
          <w:szCs w:val="24"/>
        </w:rPr>
      </w:pPr>
      <w:r w:rsidRPr="005D146E">
        <w:rPr>
          <w:noProof/>
        </w:rPr>
        <w:t>Spridningsutrustning i yrkesmässig användning</w:t>
      </w:r>
    </w:p>
    <w:p w14:paraId="38FA557C" w14:textId="755D25DB" w:rsidR="00FA7E56" w:rsidRPr="005D146E" w:rsidRDefault="00E65BCC" w:rsidP="000753DE">
      <w:pPr>
        <w:pStyle w:val="Point0"/>
        <w:rPr>
          <w:noProof/>
          <w:szCs w:val="24"/>
        </w:rPr>
      </w:pPr>
      <w:r w:rsidRPr="005D146E">
        <w:rPr>
          <w:noProof/>
        </w:rPr>
        <w:t>12.</w:t>
      </w:r>
      <w:r w:rsidRPr="005D146E">
        <w:rPr>
          <w:noProof/>
        </w:rPr>
        <w:tab/>
        <w:t>Uppskattad andel av spridningsutrustning i yrkesmässig användning som är registrerad i det elektroniska registret över spridningsutrustning i yrkesmässig användning.</w:t>
      </w:r>
    </w:p>
    <w:p w14:paraId="76AE3BF4" w14:textId="175ED64F" w:rsidR="00FA7E56" w:rsidRPr="005D146E" w:rsidRDefault="00141CE9" w:rsidP="000753DE">
      <w:pPr>
        <w:pStyle w:val="Point0"/>
        <w:rPr>
          <w:noProof/>
          <w:szCs w:val="24"/>
        </w:rPr>
      </w:pPr>
      <w:r w:rsidRPr="005D146E">
        <w:rPr>
          <w:noProof/>
        </w:rPr>
        <w:t>13.</w:t>
      </w:r>
      <w:r w:rsidRPr="005D146E">
        <w:rPr>
          <w:noProof/>
        </w:rPr>
        <w:tab/>
        <w:t>Andelen av den registrerade spridningsutrustningen i yrkesmässig användning som ska kontrolleras som har kontrollerats.</w:t>
      </w:r>
    </w:p>
    <w:p w14:paraId="153EEB8A" w14:textId="524F38A1" w:rsidR="00FA7E56" w:rsidRPr="005D146E" w:rsidRDefault="00141CE9" w:rsidP="000753DE">
      <w:pPr>
        <w:pStyle w:val="Point0"/>
        <w:rPr>
          <w:noProof/>
          <w:szCs w:val="24"/>
        </w:rPr>
      </w:pPr>
      <w:r w:rsidRPr="005D146E">
        <w:rPr>
          <w:noProof/>
        </w:rPr>
        <w:t>14.</w:t>
      </w:r>
      <w:r w:rsidRPr="005D146E">
        <w:rPr>
          <w:noProof/>
        </w:rPr>
        <w:tab/>
        <w:t>Andelen spridningsutrustning i yrkesmässig användning som är utrustad med riskreducerande anordningar vid kontrolltillfället.</w:t>
      </w:r>
    </w:p>
    <w:p w14:paraId="64CBCD19" w14:textId="77777777" w:rsidR="00FA7E56" w:rsidRPr="005D146E" w:rsidRDefault="00FA7E56" w:rsidP="00FA7E56">
      <w:pPr>
        <w:rPr>
          <w:noProof/>
          <w:szCs w:val="24"/>
        </w:rPr>
      </w:pPr>
      <w:r w:rsidRPr="005D146E">
        <w:rPr>
          <w:noProof/>
        </w:rPr>
        <w:t>Ytterligare åtgärder av medlemsstaterna för att genomföra integrerat växtskydd</w:t>
      </w:r>
    </w:p>
    <w:p w14:paraId="798813DE" w14:textId="7AA3FF34" w:rsidR="00FA7E56" w:rsidRPr="005D146E" w:rsidRDefault="000753DE" w:rsidP="6B25E89D">
      <w:pPr>
        <w:pStyle w:val="Point0"/>
        <w:rPr>
          <w:noProof/>
        </w:rPr>
      </w:pPr>
      <w:r w:rsidRPr="005D146E">
        <w:rPr>
          <w:noProof/>
        </w:rPr>
        <w:t>15.</w:t>
      </w:r>
      <w:r w:rsidRPr="005D146E">
        <w:rPr>
          <w:noProof/>
        </w:rPr>
        <w:tab/>
        <w:t>Andel av den utnyttjade jordbruksarealen i varje medlemsstat som omfattas av grödspecifika bestämmelser som har gjorts rättsligt bindande enligt nationell lagstiftning.</w:t>
      </w:r>
    </w:p>
    <w:p w14:paraId="746F190A" w14:textId="77777777" w:rsidR="00FA7E56" w:rsidRPr="005D146E" w:rsidRDefault="00FA7E56" w:rsidP="00FA7E56">
      <w:pPr>
        <w:rPr>
          <w:noProof/>
        </w:rPr>
        <w:sectPr w:rsidR="00FA7E56" w:rsidRPr="005D146E" w:rsidSect="007E0431">
          <w:pgSz w:w="11907" w:h="16839"/>
          <w:pgMar w:top="1134" w:right="1417" w:bottom="1134" w:left="1417" w:header="709" w:footer="709" w:gutter="0"/>
          <w:cols w:space="720"/>
          <w:docGrid w:linePitch="360"/>
        </w:sectPr>
      </w:pPr>
    </w:p>
    <w:p w14:paraId="30E49EE8" w14:textId="71E59021" w:rsidR="00FA7E56" w:rsidRPr="005D146E" w:rsidRDefault="6B25E89D" w:rsidP="6B25E89D">
      <w:pPr>
        <w:pStyle w:val="Annexetitre"/>
        <w:rPr>
          <w:noProof/>
        </w:rPr>
      </w:pPr>
      <w:r w:rsidRPr="005D146E">
        <w:rPr>
          <w:noProof/>
        </w:rPr>
        <w:t xml:space="preserve">BILAGA III </w:t>
      </w:r>
    </w:p>
    <w:p w14:paraId="4DB0F5F5" w14:textId="44C4A3FC" w:rsidR="00FA7E56" w:rsidRPr="005D146E" w:rsidRDefault="6B25E89D" w:rsidP="6B25E89D">
      <w:pPr>
        <w:shd w:val="clear" w:color="auto" w:fill="FFFFFF" w:themeFill="background1"/>
        <w:spacing w:before="240" w:line="312" w:lineRule="atLeast"/>
        <w:jc w:val="center"/>
        <w:rPr>
          <w:rFonts w:eastAsia="Times New Roman"/>
          <w:b/>
          <w:bCs/>
          <w:noProof/>
        </w:rPr>
      </w:pPr>
      <w:r w:rsidRPr="005D146E">
        <w:rPr>
          <w:b/>
          <w:noProof/>
        </w:rPr>
        <w:t>UTBILDNINGSÄMNEN SOM AVSES I ARTIKEL 25</w:t>
      </w:r>
    </w:p>
    <w:p w14:paraId="18D8A361" w14:textId="1E44B82C" w:rsidR="000753DE" w:rsidRPr="005D146E" w:rsidRDefault="00EF27F7" w:rsidP="00EF27F7">
      <w:pPr>
        <w:pStyle w:val="Point0"/>
        <w:rPr>
          <w:rFonts w:eastAsia="Times New Roman"/>
          <w:noProof/>
          <w:szCs w:val="24"/>
        </w:rPr>
      </w:pPr>
      <w:r w:rsidRPr="005D146E">
        <w:rPr>
          <w:noProof/>
        </w:rPr>
        <w:t>1.</w:t>
      </w:r>
      <w:r w:rsidRPr="005D146E">
        <w:rPr>
          <w:noProof/>
        </w:rPr>
        <w:tab/>
        <w:t>All relevant lagstiftning om växtskyddsmedel och deras användning och risker, särskilt denna förordning. Relevant lagstiftning, icke uttömmande förteckning:</w:t>
      </w:r>
    </w:p>
    <w:p w14:paraId="178EAA23" w14:textId="4747DAE0" w:rsidR="008F68B9" w:rsidRPr="005D146E" w:rsidRDefault="00840C9B" w:rsidP="00E65BCC">
      <w:pPr>
        <w:pStyle w:val="Text1"/>
        <w:rPr>
          <w:rFonts w:eastAsia="Calibri"/>
          <w:noProof/>
          <w:szCs w:val="24"/>
        </w:rPr>
      </w:pPr>
      <w:r w:rsidRPr="005D146E">
        <w:rPr>
          <w:noProof/>
        </w:rPr>
        <w:t>Europaparlamentets och rådets förordning (EG) nr 1107/2009</w:t>
      </w:r>
      <w:r w:rsidRPr="005D146E">
        <w:rPr>
          <w:rStyle w:val="FootnoteReference"/>
          <w:noProof/>
          <w:szCs w:val="24"/>
        </w:rPr>
        <w:footnoteReference w:id="4"/>
      </w:r>
      <w:r w:rsidRPr="005D146E">
        <w:rPr>
          <w:noProof/>
        </w:rPr>
        <w:t>.</w:t>
      </w:r>
    </w:p>
    <w:p w14:paraId="5721C19A" w14:textId="51731FF6" w:rsidR="008F68B9" w:rsidRPr="005D146E" w:rsidRDefault="008F68B9" w:rsidP="00E65BCC">
      <w:pPr>
        <w:pStyle w:val="Text1"/>
        <w:rPr>
          <w:rFonts w:eastAsia="Calibri"/>
          <w:noProof/>
          <w:szCs w:val="24"/>
        </w:rPr>
      </w:pPr>
      <w:r w:rsidRPr="005D146E">
        <w:rPr>
          <w:noProof/>
        </w:rPr>
        <w:t>Europaparlamentets och rådets förordning (EG) nr 396/2005</w:t>
      </w:r>
      <w:r w:rsidRPr="005D146E">
        <w:rPr>
          <w:rStyle w:val="FootnoteReference"/>
          <w:rFonts w:eastAsia="Calibri"/>
          <w:noProof/>
          <w:szCs w:val="24"/>
        </w:rPr>
        <w:footnoteReference w:id="5"/>
      </w:r>
      <w:r w:rsidRPr="005D146E">
        <w:rPr>
          <w:noProof/>
        </w:rPr>
        <w:t>.</w:t>
      </w:r>
    </w:p>
    <w:p w14:paraId="450D1653" w14:textId="0DA1FCF7" w:rsidR="008F68B9" w:rsidRPr="005D146E" w:rsidRDefault="00840C9B" w:rsidP="00E65BCC">
      <w:pPr>
        <w:pStyle w:val="Text1"/>
        <w:rPr>
          <w:rFonts w:eastAsia="Calibri"/>
          <w:noProof/>
          <w:szCs w:val="24"/>
        </w:rPr>
      </w:pPr>
      <w:r w:rsidRPr="005D146E">
        <w:rPr>
          <w:noProof/>
        </w:rPr>
        <w:t>Europaparlamentets och rådets förordning (EU) nr 528/2012</w:t>
      </w:r>
      <w:r w:rsidRPr="005D146E">
        <w:rPr>
          <w:rStyle w:val="FootnoteReference"/>
          <w:noProof/>
          <w:szCs w:val="24"/>
        </w:rPr>
        <w:footnoteReference w:id="6"/>
      </w:r>
      <w:r w:rsidRPr="005D146E">
        <w:rPr>
          <w:noProof/>
        </w:rPr>
        <w:t>.</w:t>
      </w:r>
    </w:p>
    <w:p w14:paraId="221E3EC7" w14:textId="11AEF893" w:rsidR="008F68B9" w:rsidRPr="005D146E" w:rsidRDefault="008F68B9" w:rsidP="00E65BCC">
      <w:pPr>
        <w:pStyle w:val="Text1"/>
        <w:rPr>
          <w:rFonts w:eastAsia="Calibri"/>
          <w:noProof/>
          <w:szCs w:val="24"/>
        </w:rPr>
      </w:pPr>
      <w:r w:rsidRPr="005D146E">
        <w:rPr>
          <w:noProof/>
        </w:rPr>
        <w:t>Europaparlamentets och rådets förordning (EG) nr 1185/2009</w:t>
      </w:r>
      <w:r w:rsidRPr="005D146E">
        <w:rPr>
          <w:rStyle w:val="FootnoteReference"/>
          <w:rFonts w:eastAsia="Calibri"/>
          <w:noProof/>
          <w:szCs w:val="24"/>
        </w:rPr>
        <w:footnoteReference w:id="7"/>
      </w:r>
      <w:r w:rsidRPr="005D146E">
        <w:rPr>
          <w:noProof/>
        </w:rPr>
        <w:t>.</w:t>
      </w:r>
    </w:p>
    <w:p w14:paraId="7D5B1CD9" w14:textId="4B81203F" w:rsidR="008F68B9" w:rsidRPr="005D146E" w:rsidRDefault="008F68B9" w:rsidP="00E65BCC">
      <w:pPr>
        <w:pStyle w:val="Text1"/>
        <w:rPr>
          <w:rFonts w:eastAsia="Calibri"/>
          <w:noProof/>
          <w:szCs w:val="24"/>
        </w:rPr>
      </w:pPr>
      <w:r w:rsidRPr="005D146E">
        <w:rPr>
          <w:noProof/>
        </w:rPr>
        <w:t>Europaparlamentets och rådets förordning (EG) nr 1272/2008</w:t>
      </w:r>
      <w:r w:rsidRPr="005D146E">
        <w:rPr>
          <w:rStyle w:val="FootnoteReference"/>
          <w:rFonts w:eastAsia="Calibri"/>
          <w:noProof/>
          <w:szCs w:val="24"/>
        </w:rPr>
        <w:footnoteReference w:id="8"/>
      </w:r>
      <w:r w:rsidRPr="005D146E">
        <w:rPr>
          <w:noProof/>
        </w:rPr>
        <w:t>.</w:t>
      </w:r>
    </w:p>
    <w:p w14:paraId="2B6EB8C1" w14:textId="021604B9" w:rsidR="008F68B9" w:rsidRPr="005D146E" w:rsidRDefault="00840C9B" w:rsidP="00E65BCC">
      <w:pPr>
        <w:pStyle w:val="Text1"/>
        <w:rPr>
          <w:rFonts w:eastAsia="Calibri"/>
          <w:noProof/>
          <w:szCs w:val="24"/>
        </w:rPr>
      </w:pPr>
      <w:r w:rsidRPr="005D146E">
        <w:rPr>
          <w:noProof/>
        </w:rPr>
        <w:t>Europaparlamentets och rådets förordning (EU) 2017/625</w:t>
      </w:r>
      <w:r w:rsidRPr="005D146E">
        <w:rPr>
          <w:rStyle w:val="FootnoteReference"/>
          <w:rFonts w:eastAsia="Times New Roman"/>
          <w:noProof/>
          <w:szCs w:val="24"/>
          <w:lang w:eastAsia="en-IE"/>
        </w:rPr>
        <w:footnoteReference w:id="9"/>
      </w:r>
      <w:r w:rsidRPr="005D146E">
        <w:rPr>
          <w:noProof/>
        </w:rPr>
        <w:t>.</w:t>
      </w:r>
    </w:p>
    <w:p w14:paraId="783E356E" w14:textId="3F744442" w:rsidR="00BC3914" w:rsidRPr="005D146E" w:rsidRDefault="00840C9B" w:rsidP="00E65BCC">
      <w:pPr>
        <w:pStyle w:val="Text1"/>
        <w:rPr>
          <w:rFonts w:eastAsia="Times New Roman"/>
          <w:noProof/>
          <w:szCs w:val="24"/>
        </w:rPr>
      </w:pPr>
      <w:r w:rsidRPr="005D146E">
        <w:rPr>
          <w:noProof/>
        </w:rPr>
        <w:t>Europaparlamentets och rådets förordning (EU) 2021/2115</w:t>
      </w:r>
      <w:r w:rsidRPr="005D146E">
        <w:rPr>
          <w:rStyle w:val="FootnoteReference"/>
          <w:rFonts w:eastAsia="Times New Roman"/>
          <w:noProof/>
          <w:szCs w:val="24"/>
          <w:lang w:eastAsia="en-IE"/>
        </w:rPr>
        <w:footnoteReference w:id="10"/>
      </w:r>
      <w:r w:rsidRPr="005D146E">
        <w:rPr>
          <w:noProof/>
        </w:rPr>
        <w:t>.</w:t>
      </w:r>
    </w:p>
    <w:p w14:paraId="6A6B6C45" w14:textId="557738C5" w:rsidR="008F35D4" w:rsidRPr="005D146E" w:rsidRDefault="008F35D4" w:rsidP="00E65BCC">
      <w:pPr>
        <w:pStyle w:val="Text1"/>
        <w:rPr>
          <w:rFonts w:eastAsia="Times New Roman"/>
          <w:noProof/>
          <w:szCs w:val="24"/>
        </w:rPr>
      </w:pPr>
      <w:r w:rsidRPr="005D146E">
        <w:rPr>
          <w:noProof/>
        </w:rPr>
        <w:t>Europaparlamentets och rådets direktiv 2006/42/EG</w:t>
      </w:r>
      <w:r w:rsidRPr="005D146E">
        <w:rPr>
          <w:rStyle w:val="FootnoteReference"/>
          <w:noProof/>
        </w:rPr>
        <w:footnoteReference w:id="11"/>
      </w:r>
      <w:r w:rsidRPr="005D146E">
        <w:rPr>
          <w:noProof/>
        </w:rPr>
        <w:t>.</w:t>
      </w:r>
    </w:p>
    <w:p w14:paraId="3051D172" w14:textId="2CF2C361" w:rsidR="008F68B9" w:rsidRPr="005D146E" w:rsidRDefault="00BC3914" w:rsidP="00E65BCC">
      <w:pPr>
        <w:pStyle w:val="Text1"/>
        <w:rPr>
          <w:rFonts w:eastAsia="Calibri"/>
          <w:noProof/>
          <w:szCs w:val="24"/>
        </w:rPr>
      </w:pPr>
      <w:r w:rsidRPr="005D146E">
        <w:rPr>
          <w:noProof/>
        </w:rPr>
        <w:t>Europaparlamentets och rådets direktiv 2009/127/EG</w:t>
      </w:r>
      <w:r w:rsidRPr="005D146E">
        <w:rPr>
          <w:rStyle w:val="FootnoteReference"/>
          <w:rFonts w:eastAsia="Calibri"/>
          <w:noProof/>
          <w:szCs w:val="24"/>
        </w:rPr>
        <w:footnoteReference w:id="12"/>
      </w:r>
      <w:r w:rsidRPr="005D146E">
        <w:rPr>
          <w:noProof/>
        </w:rPr>
        <w:t>.</w:t>
      </w:r>
    </w:p>
    <w:p w14:paraId="2E4DA7F9" w14:textId="7D83DBA4" w:rsidR="00BC3914" w:rsidRPr="005D146E" w:rsidRDefault="008F68B9" w:rsidP="00E65BCC">
      <w:pPr>
        <w:pStyle w:val="Text1"/>
        <w:rPr>
          <w:noProof/>
          <w:szCs w:val="24"/>
        </w:rPr>
      </w:pPr>
      <w:r w:rsidRPr="005D146E">
        <w:rPr>
          <w:noProof/>
        </w:rPr>
        <w:t>Europaparlamentets och rådets direktiv 2000/60/EG</w:t>
      </w:r>
      <w:r w:rsidRPr="005D146E">
        <w:rPr>
          <w:rStyle w:val="FootnoteReference"/>
          <w:noProof/>
          <w:szCs w:val="24"/>
          <w:lang w:eastAsia="en-IE"/>
        </w:rPr>
        <w:footnoteReference w:id="13"/>
      </w:r>
      <w:r w:rsidRPr="005D146E">
        <w:rPr>
          <w:noProof/>
        </w:rPr>
        <w:t>.</w:t>
      </w:r>
    </w:p>
    <w:p w14:paraId="285D1071" w14:textId="17C5A596" w:rsidR="008F68B9" w:rsidRPr="005D146E" w:rsidRDefault="00F16582" w:rsidP="00E65BCC">
      <w:pPr>
        <w:pStyle w:val="Text1"/>
        <w:rPr>
          <w:rFonts w:eastAsia="Calibri"/>
          <w:noProof/>
          <w:szCs w:val="24"/>
        </w:rPr>
      </w:pPr>
      <w:r w:rsidRPr="005D146E">
        <w:rPr>
          <w:noProof/>
        </w:rPr>
        <w:t>Rådets direktiv 89/391/EEG</w:t>
      </w:r>
      <w:r w:rsidRPr="005D146E">
        <w:rPr>
          <w:rStyle w:val="FootnoteReference"/>
          <w:rFonts w:eastAsia="Calibri"/>
          <w:noProof/>
          <w:szCs w:val="24"/>
        </w:rPr>
        <w:footnoteReference w:id="14"/>
      </w:r>
      <w:r w:rsidRPr="005D146E">
        <w:rPr>
          <w:noProof/>
        </w:rPr>
        <w:t>.</w:t>
      </w:r>
    </w:p>
    <w:p w14:paraId="7EA6D187" w14:textId="77777777" w:rsidR="00605045" w:rsidRPr="005D146E" w:rsidRDefault="00605045" w:rsidP="00605045">
      <w:pPr>
        <w:pStyle w:val="Text1"/>
        <w:rPr>
          <w:noProof/>
        </w:rPr>
      </w:pPr>
      <w:r w:rsidRPr="005D146E">
        <w:rPr>
          <w:noProof/>
        </w:rPr>
        <w:t>Rådets direktiv 89/656/EEG</w:t>
      </w:r>
      <w:r w:rsidRPr="005D146E">
        <w:rPr>
          <w:rStyle w:val="FootnoteReference"/>
          <w:noProof/>
        </w:rPr>
        <w:footnoteReference w:id="15"/>
      </w:r>
      <w:r w:rsidRPr="005D146E">
        <w:rPr>
          <w:noProof/>
        </w:rPr>
        <w:t xml:space="preserve">. </w:t>
      </w:r>
    </w:p>
    <w:p w14:paraId="60C12B8A" w14:textId="77777777" w:rsidR="00605045" w:rsidRPr="005D146E" w:rsidRDefault="00605045" w:rsidP="00605045">
      <w:pPr>
        <w:pStyle w:val="Text1"/>
        <w:rPr>
          <w:noProof/>
        </w:rPr>
      </w:pPr>
      <w:r w:rsidRPr="005D146E">
        <w:rPr>
          <w:noProof/>
        </w:rPr>
        <w:t>Rådets direktiv 98/24/EG</w:t>
      </w:r>
      <w:r w:rsidRPr="005D146E">
        <w:rPr>
          <w:rStyle w:val="FootnoteReference"/>
          <w:noProof/>
        </w:rPr>
        <w:footnoteReference w:id="16"/>
      </w:r>
      <w:r w:rsidRPr="005D146E">
        <w:rPr>
          <w:noProof/>
        </w:rPr>
        <w:t xml:space="preserve">. </w:t>
      </w:r>
    </w:p>
    <w:p w14:paraId="6DB044F1" w14:textId="77777777" w:rsidR="00605045" w:rsidRPr="005D146E" w:rsidRDefault="00605045" w:rsidP="00605045">
      <w:pPr>
        <w:pStyle w:val="Text1"/>
        <w:rPr>
          <w:noProof/>
        </w:rPr>
      </w:pPr>
      <w:r w:rsidRPr="005D146E">
        <w:rPr>
          <w:noProof/>
        </w:rPr>
        <w:t>Europaparlamentets och rådets direktiv 2004/37/EG</w:t>
      </w:r>
      <w:r w:rsidRPr="005D146E">
        <w:rPr>
          <w:rStyle w:val="FootnoteReference"/>
          <w:noProof/>
        </w:rPr>
        <w:footnoteReference w:id="17"/>
      </w:r>
      <w:r w:rsidRPr="005D146E">
        <w:rPr>
          <w:noProof/>
        </w:rPr>
        <w:t>.</w:t>
      </w:r>
    </w:p>
    <w:p w14:paraId="6A73D079" w14:textId="1E51BC67" w:rsidR="00605045" w:rsidRPr="005D146E" w:rsidRDefault="00605045" w:rsidP="00605045">
      <w:pPr>
        <w:pStyle w:val="Text1"/>
        <w:rPr>
          <w:rFonts w:eastAsia="Calibri"/>
          <w:noProof/>
          <w:szCs w:val="24"/>
        </w:rPr>
      </w:pPr>
      <w:r w:rsidRPr="005D146E">
        <w:rPr>
          <w:noProof/>
        </w:rPr>
        <w:t>Europaparlamentets och rådets direktiv 2009/104/EG</w:t>
      </w:r>
      <w:r w:rsidRPr="005D146E">
        <w:rPr>
          <w:rStyle w:val="FootnoteReference"/>
          <w:noProof/>
        </w:rPr>
        <w:footnoteReference w:id="18"/>
      </w:r>
      <w:r w:rsidRPr="005D146E">
        <w:rPr>
          <w:noProof/>
        </w:rPr>
        <w:t>.</w:t>
      </w:r>
    </w:p>
    <w:p w14:paraId="154C77D9" w14:textId="2C3ADC09" w:rsidR="008F68B9" w:rsidRPr="005D146E" w:rsidRDefault="00BC3914" w:rsidP="00E65BCC">
      <w:pPr>
        <w:pStyle w:val="Text1"/>
        <w:rPr>
          <w:rFonts w:eastAsia="Calibri"/>
          <w:noProof/>
          <w:szCs w:val="24"/>
        </w:rPr>
      </w:pPr>
      <w:r w:rsidRPr="005D146E">
        <w:rPr>
          <w:noProof/>
        </w:rPr>
        <w:t>Europaparlamentets och rådets förordning (EG) nr 1907/2006</w:t>
      </w:r>
      <w:r w:rsidRPr="005D146E">
        <w:rPr>
          <w:rStyle w:val="FootnoteReference"/>
          <w:rFonts w:eastAsia="Calibri"/>
          <w:noProof/>
          <w:szCs w:val="24"/>
        </w:rPr>
        <w:footnoteReference w:id="19"/>
      </w:r>
      <w:r w:rsidRPr="005D146E">
        <w:rPr>
          <w:noProof/>
        </w:rPr>
        <w:t>.</w:t>
      </w:r>
    </w:p>
    <w:p w14:paraId="319E8D89" w14:textId="6918191D" w:rsidR="008F68B9" w:rsidRPr="005D146E" w:rsidRDefault="00BC3914" w:rsidP="00E65BCC">
      <w:pPr>
        <w:pStyle w:val="Text1"/>
        <w:rPr>
          <w:rFonts w:eastAsia="Calibri"/>
          <w:noProof/>
          <w:szCs w:val="24"/>
        </w:rPr>
      </w:pPr>
      <w:r w:rsidRPr="005D146E">
        <w:rPr>
          <w:noProof/>
        </w:rPr>
        <w:t>Europaparlamentets och rådets direktiv 2008/68/EG</w:t>
      </w:r>
      <w:r w:rsidRPr="005D146E">
        <w:rPr>
          <w:rStyle w:val="FootnoteReference"/>
          <w:rFonts w:eastAsia="Calibri"/>
          <w:noProof/>
          <w:szCs w:val="24"/>
        </w:rPr>
        <w:footnoteReference w:id="20"/>
      </w:r>
      <w:r w:rsidRPr="005D146E">
        <w:rPr>
          <w:noProof/>
        </w:rPr>
        <w:t>.</w:t>
      </w:r>
    </w:p>
    <w:p w14:paraId="4A007EE1" w14:textId="77777777" w:rsidR="00EF27F7" w:rsidRPr="005D146E" w:rsidRDefault="00EF27F7" w:rsidP="00EF27F7">
      <w:pPr>
        <w:pStyle w:val="Point0"/>
        <w:rPr>
          <w:rFonts w:eastAsia="Times New Roman"/>
          <w:noProof/>
          <w:szCs w:val="24"/>
        </w:rPr>
      </w:pPr>
      <w:r w:rsidRPr="005D146E">
        <w:rPr>
          <w:noProof/>
        </w:rPr>
        <w:t>2.</w:t>
      </w:r>
      <w:r w:rsidRPr="005D146E">
        <w:rPr>
          <w:noProof/>
        </w:rPr>
        <w:tab/>
        <w:t>Förekomsten av och riskerna med olagliga och förfalskade växtskyddsmedel, metoderna för att identifiera sådana produkter och påföljderna i samband med försäljning eller användning av olagliga växtskyddsmedel.</w:t>
      </w:r>
    </w:p>
    <w:p w14:paraId="101051E3" w14:textId="3317701F" w:rsidR="00EF27F7" w:rsidRPr="005D146E" w:rsidRDefault="00EF27F7" w:rsidP="00EF27F7">
      <w:pPr>
        <w:pStyle w:val="Point0"/>
        <w:rPr>
          <w:rFonts w:eastAsia="Times New Roman"/>
          <w:noProof/>
          <w:szCs w:val="24"/>
        </w:rPr>
      </w:pPr>
      <w:r w:rsidRPr="005D146E">
        <w:rPr>
          <w:noProof/>
        </w:rPr>
        <w:t>3.</w:t>
      </w:r>
      <w:r w:rsidRPr="005D146E">
        <w:rPr>
          <w:noProof/>
        </w:rPr>
        <w:tab/>
        <w:t>Faror och risker förknippade med bekämpningsmedel och hur dessa kan identifieras och kontrolleras, särskilt följande:</w:t>
      </w:r>
    </w:p>
    <w:p w14:paraId="5D222444" w14:textId="00826136" w:rsidR="00EF27F7" w:rsidRPr="005D146E" w:rsidRDefault="00EF27F7" w:rsidP="00EF27F7">
      <w:pPr>
        <w:pStyle w:val="Point1"/>
        <w:rPr>
          <w:rFonts w:eastAsia="Times New Roman"/>
          <w:noProof/>
          <w:szCs w:val="24"/>
        </w:rPr>
      </w:pPr>
      <w:r w:rsidRPr="005D146E">
        <w:rPr>
          <w:noProof/>
        </w:rPr>
        <w:t>a)</w:t>
      </w:r>
      <w:r w:rsidRPr="005D146E">
        <w:rPr>
          <w:noProof/>
        </w:rPr>
        <w:tab/>
        <w:t>Hälsorisker för människor.</w:t>
      </w:r>
    </w:p>
    <w:p w14:paraId="01D62464" w14:textId="4E03CCAD" w:rsidR="00EF27F7" w:rsidRPr="005D146E" w:rsidRDefault="00EF27F7" w:rsidP="00EF27F7">
      <w:pPr>
        <w:pStyle w:val="Point1"/>
        <w:rPr>
          <w:rFonts w:eastAsia="Times New Roman"/>
          <w:noProof/>
          <w:szCs w:val="24"/>
        </w:rPr>
      </w:pPr>
      <w:r w:rsidRPr="005D146E">
        <w:rPr>
          <w:noProof/>
        </w:rPr>
        <w:t>b)</w:t>
      </w:r>
      <w:r w:rsidRPr="005D146E">
        <w:rPr>
          <w:noProof/>
        </w:rPr>
        <w:tab/>
        <w:t>Symtom på förgiftning av växtskyddsmedel och lämpliga första hjälpen-åtgärder.</w:t>
      </w:r>
    </w:p>
    <w:p w14:paraId="0F3EC215" w14:textId="634FDF6D" w:rsidR="00EF27F7" w:rsidRPr="005D146E" w:rsidRDefault="00EF27F7" w:rsidP="00EF27F7">
      <w:pPr>
        <w:pStyle w:val="Point1"/>
        <w:rPr>
          <w:noProof/>
        </w:rPr>
      </w:pPr>
      <w:r w:rsidRPr="005D146E">
        <w:rPr>
          <w:noProof/>
        </w:rPr>
        <w:t>c)</w:t>
      </w:r>
      <w:r w:rsidRPr="005D146E">
        <w:rPr>
          <w:noProof/>
        </w:rPr>
        <w:tab/>
        <w:t>Risker för växter och insekter som inte är målarter, vilda djur och växter, biologisk mångfald och miljön i stort.</w:t>
      </w:r>
    </w:p>
    <w:p w14:paraId="75A86A7B" w14:textId="24D7F6B6" w:rsidR="00FA7E56" w:rsidRPr="005D146E" w:rsidRDefault="00EF27F7" w:rsidP="00EF27F7">
      <w:pPr>
        <w:pStyle w:val="Point0"/>
        <w:rPr>
          <w:rFonts w:eastAsia="Times New Roman"/>
          <w:noProof/>
          <w:szCs w:val="24"/>
        </w:rPr>
      </w:pPr>
      <w:r w:rsidRPr="005D146E">
        <w:rPr>
          <w:noProof/>
        </w:rPr>
        <w:t>4.</w:t>
      </w:r>
      <w:r w:rsidRPr="005D146E">
        <w:rPr>
          <w:noProof/>
        </w:rPr>
        <w:tab/>
        <w:t xml:space="preserve">Strategier och tekniker för integrerat växtskydd, strategier och metoder för integrerad odling, principer för ekologisk odling, biologiska metoder för skadegörarbekämpning, metoder för bekämpning av skadliga organismer, skyldigheten att tillämpa integrerat växtskydd enligt artiklarna 12 och 13 i denna förordning och skyldigheten att föra in uppgifter i det elektroniska registret över integrerat växtskydd och växtskyddsmedel, enligt artikel 14 i denna förordning. </w:t>
      </w:r>
    </w:p>
    <w:p w14:paraId="5909F322" w14:textId="77777777" w:rsidR="00EF27F7" w:rsidRPr="005D146E" w:rsidRDefault="00EF27F7" w:rsidP="00EF27F7">
      <w:pPr>
        <w:pStyle w:val="Point0"/>
        <w:rPr>
          <w:rFonts w:eastAsia="Times New Roman"/>
          <w:noProof/>
          <w:szCs w:val="24"/>
        </w:rPr>
      </w:pPr>
      <w:r w:rsidRPr="005D146E">
        <w:rPr>
          <w:noProof/>
        </w:rPr>
        <w:t>5.</w:t>
      </w:r>
      <w:r w:rsidRPr="005D146E">
        <w:rPr>
          <w:noProof/>
        </w:rPr>
        <w:tab/>
        <w:t>När det behövs växtskyddsmedel, hur man väljer de växtskyddsmedel som har minsta möjliga bieffekter på människors hälsa, icke-målorganismer och miljön bland alla godkända medel för ett visst skadegörarproblem i en viss situation.</w:t>
      </w:r>
    </w:p>
    <w:p w14:paraId="6DC14254" w14:textId="2FFE52FA" w:rsidR="00EF27F7" w:rsidRPr="005D146E" w:rsidRDefault="00EF27F7" w:rsidP="00EF27F7">
      <w:pPr>
        <w:pStyle w:val="Point0"/>
        <w:rPr>
          <w:rFonts w:eastAsia="Times New Roman"/>
          <w:noProof/>
          <w:szCs w:val="24"/>
        </w:rPr>
      </w:pPr>
      <w:r w:rsidRPr="005D146E">
        <w:rPr>
          <w:noProof/>
        </w:rPr>
        <w:t>6.</w:t>
      </w:r>
      <w:r w:rsidRPr="005D146E">
        <w:rPr>
          <w:noProof/>
        </w:rPr>
        <w:tab/>
        <w:t>Åtgärder för att minimera riskerna för människor, icke-målorganismer och miljön:</w:t>
      </w:r>
    </w:p>
    <w:p w14:paraId="2A1A8EB2" w14:textId="77777777" w:rsidR="00EF27F7" w:rsidRPr="005D146E" w:rsidRDefault="00EF27F7" w:rsidP="00EF27F7">
      <w:pPr>
        <w:pStyle w:val="Point1"/>
        <w:rPr>
          <w:noProof/>
          <w:szCs w:val="24"/>
        </w:rPr>
      </w:pPr>
      <w:r w:rsidRPr="005D146E">
        <w:rPr>
          <w:noProof/>
        </w:rPr>
        <w:t>a)</w:t>
      </w:r>
      <w:r w:rsidRPr="005D146E">
        <w:rPr>
          <w:noProof/>
        </w:rPr>
        <w:tab/>
        <w:t>Säkra arbetsmetoder för lagring, hantering och blandning av växtskyddsmedel.</w:t>
      </w:r>
    </w:p>
    <w:p w14:paraId="57E11802" w14:textId="0DA64739" w:rsidR="00EF27F7" w:rsidRPr="005D146E" w:rsidRDefault="00EF27F7" w:rsidP="00EF27F7">
      <w:pPr>
        <w:pStyle w:val="Point1"/>
        <w:rPr>
          <w:noProof/>
        </w:rPr>
      </w:pPr>
      <w:r w:rsidRPr="005D146E">
        <w:rPr>
          <w:noProof/>
        </w:rPr>
        <w:t>b)</w:t>
      </w:r>
      <w:r w:rsidRPr="005D146E">
        <w:rPr>
          <w:noProof/>
        </w:rPr>
        <w:tab/>
        <w:t>Säkra arbetsmetoder för bortskaffande av tomma förpackningar, andra kontaminerade material och bekämpningsmedelsrester (inklusive tankblandningar), i koncentrat eller utspädd form.</w:t>
      </w:r>
    </w:p>
    <w:p w14:paraId="7162DA4B" w14:textId="0C207066" w:rsidR="00EF27F7" w:rsidRPr="005D146E" w:rsidRDefault="00FE35DD" w:rsidP="005B674F">
      <w:pPr>
        <w:pStyle w:val="Point1"/>
        <w:rPr>
          <w:noProof/>
          <w:szCs w:val="24"/>
        </w:rPr>
      </w:pPr>
      <w:r w:rsidRPr="005D146E">
        <w:rPr>
          <w:noProof/>
        </w:rPr>
        <w:t>c)</w:t>
      </w:r>
      <w:r w:rsidRPr="005D146E">
        <w:rPr>
          <w:noProof/>
        </w:rPr>
        <w:tab/>
        <w:t>Rekommenderat sätt att hantera operatörens exponering (personlig skyddsutrustning).</w:t>
      </w:r>
    </w:p>
    <w:p w14:paraId="72629B73" w14:textId="5384B496" w:rsidR="00105160" w:rsidRPr="005D146E" w:rsidRDefault="00105160" w:rsidP="005B674F">
      <w:pPr>
        <w:pStyle w:val="Point1"/>
        <w:rPr>
          <w:noProof/>
        </w:rPr>
      </w:pPr>
      <w:r w:rsidRPr="005D146E">
        <w:rPr>
          <w:noProof/>
        </w:rPr>
        <w:t>d)</w:t>
      </w:r>
      <w:r w:rsidRPr="005D146E">
        <w:rPr>
          <w:noProof/>
        </w:rPr>
        <w:tab/>
        <w:t>Information om korrekt och säkert bortskaffande av växtskyddsmedel som inte längre är godkända och när eventuella anståndsperioder för deras användning enligt artikel 20.2 eller 46 i förordning (EG) nr 1107/2009 har löpt ut.</w:t>
      </w:r>
    </w:p>
    <w:p w14:paraId="785D59B7" w14:textId="4ECEDE75" w:rsidR="00EF27F7" w:rsidRPr="005D146E" w:rsidRDefault="00B75AC6" w:rsidP="00EF27F7">
      <w:pPr>
        <w:pStyle w:val="Point0"/>
        <w:rPr>
          <w:rFonts w:eastAsia="Times New Roman"/>
          <w:noProof/>
          <w:szCs w:val="24"/>
        </w:rPr>
      </w:pPr>
      <w:r w:rsidRPr="005D146E">
        <w:rPr>
          <w:noProof/>
        </w:rPr>
        <w:t>7.</w:t>
      </w:r>
      <w:r w:rsidRPr="005D146E">
        <w:rPr>
          <w:noProof/>
        </w:rPr>
        <w:tab/>
        <w:t>Metoder för att förbereda spridningsutrustning för användning, även kalibrering, med minsta möjliga risker för användaren, andra personer, djur och växter utanför målgrupperna, den biologiska mångfalden och miljön, inklusive vattentillgångar.</w:t>
      </w:r>
    </w:p>
    <w:p w14:paraId="3047C608" w14:textId="5F3D64A5" w:rsidR="00EF27F7" w:rsidRPr="005D146E" w:rsidRDefault="00B75AC6" w:rsidP="00EF27F7">
      <w:pPr>
        <w:pStyle w:val="Point0"/>
        <w:rPr>
          <w:rFonts w:eastAsia="Times New Roman"/>
          <w:noProof/>
          <w:szCs w:val="24"/>
        </w:rPr>
      </w:pPr>
      <w:r w:rsidRPr="005D146E">
        <w:rPr>
          <w:noProof/>
        </w:rPr>
        <w:t>8.</w:t>
      </w:r>
      <w:r w:rsidRPr="005D146E">
        <w:rPr>
          <w:noProof/>
        </w:rPr>
        <w:tab/>
        <w:t>Praktisk utbildning om användning och underhåll av spridningsutrustning och om riskreducerande åtgärder, även särskild besprutningsteknik, användning av ny teknik, inklusive metoder för precisionsjordbruk, samt teknisk kontroll av sprutor i bruk och sätt att förbättra besprutningskvaliteten. I detta ämne ämnas särskild uppmärksamhet åt munstycken som minskar avdriften och tillverkarnas rekommendationer om optimala användningsförhållanden. Särskilda risker i samband med användning av handhållen spridningsutrustning eller ryggburna sprutor och relevanta riskhanteringsåtgärder. Den praktiska utbildningen ska också omfatta de särskilda risker som är förknippade med sådd av utsäde som behandlats med växtskyddsmedel.</w:t>
      </w:r>
    </w:p>
    <w:p w14:paraId="4C84E0D2" w14:textId="0CE2FB84" w:rsidR="00EF27F7" w:rsidRPr="005D146E" w:rsidRDefault="00B75AC6" w:rsidP="6B25E89D">
      <w:pPr>
        <w:pStyle w:val="Point0"/>
        <w:rPr>
          <w:rFonts w:eastAsia="Times New Roman"/>
          <w:noProof/>
        </w:rPr>
      </w:pPr>
      <w:r w:rsidRPr="005D146E">
        <w:rPr>
          <w:noProof/>
        </w:rPr>
        <w:t>9.</w:t>
      </w:r>
      <w:r w:rsidRPr="005D146E">
        <w:rPr>
          <w:noProof/>
        </w:rPr>
        <w:tab/>
        <w:t>Nödåtgärder för att skydda människors hälsa och miljön, inklusive vattentillgångar, vid oavsiktligt spill, kontaminering och extrema väderleksförhållanden med åtföljande risk för utlakning av växtskyddsmedel.</w:t>
      </w:r>
    </w:p>
    <w:p w14:paraId="20B1AFCF" w14:textId="2510B12D" w:rsidR="00EF27F7" w:rsidRPr="005D146E" w:rsidRDefault="00EF27F7" w:rsidP="00EF27F7">
      <w:pPr>
        <w:pStyle w:val="Point0"/>
        <w:rPr>
          <w:rFonts w:eastAsia="Times New Roman"/>
          <w:noProof/>
          <w:szCs w:val="24"/>
        </w:rPr>
      </w:pPr>
      <w:r w:rsidRPr="005D146E">
        <w:rPr>
          <w:noProof/>
        </w:rPr>
        <w:t>10.</w:t>
      </w:r>
      <w:r w:rsidRPr="005D146E">
        <w:rPr>
          <w:noProof/>
        </w:rPr>
        <w:tab/>
        <w:t>Särskild omsorg i känsliga områden enligt definitionen i artikel 2.15 i denna förordning och skyddade områden som inrättats i enlighet med artiklarna 6 och 7 i direktiv 2000/60/EG samt medvetenhet om kontaminering från vissa växtskyddsmedel i respektive region.</w:t>
      </w:r>
    </w:p>
    <w:p w14:paraId="5BB251AB" w14:textId="4E84A672" w:rsidR="00EF27F7" w:rsidRPr="005D146E" w:rsidRDefault="00EF27F7" w:rsidP="00EF27F7">
      <w:pPr>
        <w:pStyle w:val="Point0"/>
        <w:rPr>
          <w:rFonts w:eastAsia="Times New Roman"/>
          <w:noProof/>
          <w:szCs w:val="24"/>
        </w:rPr>
      </w:pPr>
      <w:r w:rsidRPr="005D146E">
        <w:rPr>
          <w:noProof/>
        </w:rPr>
        <w:t>11.</w:t>
      </w:r>
      <w:r w:rsidRPr="005D146E">
        <w:rPr>
          <w:noProof/>
        </w:rPr>
        <w:tab/>
        <w:t>Inrättningar som tillhandahåller hälsoövervakning och tillgång till hälso- och sjukvård, och dit information om akuta och kroniska förgiftningsincidenter kan rapporteras.</w:t>
      </w:r>
    </w:p>
    <w:p w14:paraId="62F3F32C" w14:textId="62991BC7" w:rsidR="00EF27F7" w:rsidRPr="005D146E" w:rsidRDefault="00EF27F7" w:rsidP="00EF27F7">
      <w:pPr>
        <w:pStyle w:val="Point0"/>
        <w:rPr>
          <w:rFonts w:eastAsia="Times New Roman"/>
          <w:noProof/>
          <w:szCs w:val="24"/>
        </w:rPr>
      </w:pPr>
      <w:r w:rsidRPr="005D146E">
        <w:rPr>
          <w:noProof/>
        </w:rPr>
        <w:t>12.</w:t>
      </w:r>
      <w:r w:rsidRPr="005D146E">
        <w:rPr>
          <w:noProof/>
        </w:rPr>
        <w:tab/>
        <w:t>Dokumentation av försäljning, köp och användning av växtskyddsmedel i enlighet med tillämplig lagstiftning.</w:t>
      </w:r>
    </w:p>
    <w:p w14:paraId="103C605E" w14:textId="7C0F29E7" w:rsidR="00901CB8" w:rsidRPr="005D146E" w:rsidRDefault="00315A18" w:rsidP="00901CB8">
      <w:pPr>
        <w:pStyle w:val="Point0"/>
        <w:rPr>
          <w:rFonts w:eastAsia="Times New Roman"/>
          <w:noProof/>
        </w:rPr>
      </w:pPr>
      <w:r w:rsidRPr="005D146E">
        <w:rPr>
          <w:noProof/>
        </w:rPr>
        <w:t>13.</w:t>
      </w:r>
      <w:r w:rsidRPr="005D146E">
        <w:rPr>
          <w:noProof/>
        </w:rPr>
        <w:tab/>
        <w:t>Hur man minimerar eller eliminerar användningen av vissa växtskyddsmedel som klassificeras som ”skadliga långtidseffekter för vattenlevande organismer”, ”mycket giftigt för vattenlevande organismer med långtidseffekter” eller ”giftigt för vattenlevande organismer med långtidseffekter” enligt förordning (EG) nr 1272/2008 på eller längs vägar, järnvägar, mycket genomsläppliga ytor eller annan infrastruktur nära ytvatten eller grundvatten, eller på hårdgjorda ytor med hög risk för ytavrinning till ytvatten eller avloppssystem.</w:t>
      </w:r>
    </w:p>
    <w:p w14:paraId="2BA156BB" w14:textId="438684A7" w:rsidR="00901CB8" w:rsidRPr="005D146E" w:rsidRDefault="00901CB8" w:rsidP="00901CB8">
      <w:pPr>
        <w:pStyle w:val="Point0"/>
        <w:rPr>
          <w:rFonts w:eastAsia="Times New Roman"/>
          <w:noProof/>
        </w:rPr>
      </w:pPr>
      <w:r w:rsidRPr="005D146E">
        <w:rPr>
          <w:noProof/>
        </w:rPr>
        <w:t>14.</w:t>
      </w:r>
      <w:r w:rsidRPr="005D146E">
        <w:rPr>
          <w:noProof/>
        </w:rPr>
        <w:tab/>
        <w:t xml:space="preserve">Skydd av vattenmiljön och dricksvattentäkter från påverkan av växtskyddsmedel, bland annat när det gäller följande ämnen: </w:t>
      </w:r>
    </w:p>
    <w:p w14:paraId="48D3C682" w14:textId="069394B7" w:rsidR="00901CB8" w:rsidRPr="005D146E" w:rsidRDefault="00901CB8" w:rsidP="00901CB8">
      <w:pPr>
        <w:pStyle w:val="Point1"/>
        <w:rPr>
          <w:rFonts w:eastAsia="Times New Roman"/>
          <w:noProof/>
          <w:szCs w:val="24"/>
        </w:rPr>
      </w:pPr>
      <w:r w:rsidRPr="005D146E">
        <w:rPr>
          <w:noProof/>
        </w:rPr>
        <w:t>a)</w:t>
      </w:r>
      <w:r w:rsidRPr="005D146E">
        <w:rPr>
          <w:noProof/>
        </w:rPr>
        <w:tab/>
        <w:t>Användning av växtskyddsmedel med de begränsningar som anges på etiketten i enlighet med artikel 31.4 a i förordning (EG) nr 1107/2009, samtidigt som företräde ges till växtskyddsmedel som inte klassificeras som ”(mycket) långlivad”, ”(mycket) bioackumulerbar”, ”mycket giftigt för vattenlevande organismer med långtidseffekter”, ”skadliga långtidseffekter för vattenlevande organismer” enligt förordning (EG) nr 1272/2008</w:t>
      </w:r>
      <w:r w:rsidRPr="005D146E">
        <w:rPr>
          <w:rStyle w:val="FootnoteReference"/>
          <w:rFonts w:eastAsia="Times New Roman"/>
          <w:noProof/>
          <w:lang w:eastAsia="en-IE"/>
        </w:rPr>
        <w:footnoteReference w:id="21"/>
      </w:r>
      <w:r w:rsidRPr="005D146E">
        <w:rPr>
          <w:noProof/>
        </w:rPr>
        <w:t xml:space="preserve"> eller som innehåller prioriterade ämnen som finns med i den förteckning som kommissionen antagit i enlighet med artikel 16 i direktiv 2000/60/EG som genomförs genom direktiven 2008/105/EG och 2013/39/EU, eller bekämpningsmedel som identifierats som förorenande ämnen specifika för avrinningsområden i enlighet med punkt 1.2.6 i bilaga V till direktiv 2000/60/EG, särskilt de som påverkar vatten som används för uttag av dricksvatten i enlighet med artikel 7 i direktiv 2000/60/EG och direktiv (EU) 2020/2184. </w:t>
      </w:r>
    </w:p>
    <w:p w14:paraId="743D094C" w14:textId="1A9BC05B" w:rsidR="00704B1E" w:rsidRPr="005D146E" w:rsidRDefault="00704B1E" w:rsidP="00E65BCC">
      <w:pPr>
        <w:pStyle w:val="Text2"/>
        <w:rPr>
          <w:noProof/>
        </w:rPr>
      </w:pPr>
    </w:p>
    <w:p w14:paraId="0D4E9FE5" w14:textId="7FA4933D" w:rsidR="00901CB8" w:rsidRPr="005D146E" w:rsidRDefault="00901CB8" w:rsidP="6B25E89D">
      <w:pPr>
        <w:pStyle w:val="Point1"/>
        <w:rPr>
          <w:noProof/>
        </w:rPr>
      </w:pPr>
      <w:r w:rsidRPr="005D146E">
        <w:rPr>
          <w:noProof/>
        </w:rPr>
        <w:t>b)</w:t>
      </w:r>
      <w:r w:rsidRPr="005D146E">
        <w:rPr>
          <w:noProof/>
        </w:rPr>
        <w:tab/>
        <w:t>Potentiella hälso- och miljörisker vid användning av växtskyddsmedel samt metoder för att minimera utsläpp till miljön och exponering i arbetet för farligare växtskyddsmedel.</w:t>
      </w:r>
    </w:p>
    <w:p w14:paraId="1C58DDC6" w14:textId="6CC7D984" w:rsidR="00901CB8" w:rsidRPr="005D146E" w:rsidRDefault="00901CB8" w:rsidP="00901CB8">
      <w:pPr>
        <w:pStyle w:val="Point1"/>
        <w:rPr>
          <w:rFonts w:eastAsia="Times New Roman"/>
          <w:noProof/>
        </w:rPr>
      </w:pPr>
      <w:r w:rsidRPr="005D146E">
        <w:rPr>
          <w:noProof/>
        </w:rPr>
        <w:t>c)</w:t>
      </w:r>
      <w:r w:rsidRPr="005D146E">
        <w:rPr>
          <w:noProof/>
        </w:rPr>
        <w:tab/>
        <w:t xml:space="preserve">Användning av teknik för att minska avdrift i alla åkergrödor. </w:t>
      </w:r>
    </w:p>
    <w:p w14:paraId="1840B6A5" w14:textId="22C9B44B" w:rsidR="00901CB8" w:rsidRPr="005D146E" w:rsidRDefault="00901CB8" w:rsidP="00901CB8">
      <w:pPr>
        <w:pStyle w:val="Point1"/>
        <w:rPr>
          <w:rFonts w:eastAsia="Times New Roman"/>
          <w:noProof/>
        </w:rPr>
      </w:pPr>
      <w:r w:rsidRPr="005D146E">
        <w:rPr>
          <w:noProof/>
        </w:rPr>
        <w:t>d)</w:t>
      </w:r>
      <w:r w:rsidRPr="005D146E">
        <w:rPr>
          <w:noProof/>
        </w:rPr>
        <w:tab/>
        <w:t>Användning av andra begränsande åtgärder som minimerar risken för förorening utanför anläggningen till följd av vindavdrift, dräneringsflöde och ytavrinning, särskilt obligatoriska buffertzoner i anslutning till ytvattendrag och grundvatten och akviferer.</w:t>
      </w:r>
    </w:p>
    <w:p w14:paraId="05AB96E3" w14:textId="642F13AF" w:rsidR="00901CB8" w:rsidRPr="005D146E" w:rsidRDefault="00901CB8" w:rsidP="00901CB8">
      <w:pPr>
        <w:pStyle w:val="Point1"/>
        <w:rPr>
          <w:rFonts w:eastAsia="Times New Roman"/>
          <w:noProof/>
          <w:szCs w:val="24"/>
        </w:rPr>
      </w:pPr>
      <w:r w:rsidRPr="005D146E">
        <w:rPr>
          <w:noProof/>
        </w:rPr>
        <w:t>e)</w:t>
      </w:r>
      <w:r w:rsidRPr="005D146E">
        <w:rPr>
          <w:noProof/>
        </w:rPr>
        <w:tab/>
        <w:t>Hur man följer kraven i förordning (EG) 1107/2009 för att minimera eller eliminera användningen av vissa växtskyddsmedel som klassificeras som ”skadliga långtidseffekter för vattenlevande organismer”, ”mycket giftigt för vattenlevande organismer med långtidseffekter” eller ”giftigt för vattenlevande organismer med långtidseffekter” enligt förordning (EG) nr 1272/2008 på eller längs vägar, järnvägar, mycket genomsläppliga ytor eller annan infrastruktur nära ytvatten eller grundvatten, eller på hårdgjorda ytor med hög risk för ytavrinning till ytvatten eller avloppssystem.</w:t>
      </w:r>
    </w:p>
    <w:p w14:paraId="6F37EE33" w14:textId="77777777" w:rsidR="00FA7E56" w:rsidRPr="005D146E" w:rsidRDefault="00FA7E56" w:rsidP="00FA7E56">
      <w:pPr>
        <w:rPr>
          <w:noProof/>
        </w:rPr>
        <w:sectPr w:rsidR="00FA7E56" w:rsidRPr="005D146E" w:rsidSect="007E0431">
          <w:pgSz w:w="11907" w:h="16839"/>
          <w:pgMar w:top="1134" w:right="1417" w:bottom="1134" w:left="1417" w:header="709" w:footer="709" w:gutter="0"/>
          <w:cols w:space="720"/>
          <w:docGrid w:linePitch="360"/>
        </w:sectPr>
      </w:pPr>
    </w:p>
    <w:p w14:paraId="4FB9FF75" w14:textId="70661298" w:rsidR="00FA7E56" w:rsidRPr="005D146E" w:rsidRDefault="6B25E89D" w:rsidP="00FA7E56">
      <w:pPr>
        <w:pStyle w:val="Annexetitre"/>
        <w:rPr>
          <w:noProof/>
        </w:rPr>
      </w:pPr>
      <w:r w:rsidRPr="005D146E">
        <w:rPr>
          <w:noProof/>
        </w:rPr>
        <w:t>BILAGA IV</w:t>
      </w:r>
    </w:p>
    <w:p w14:paraId="2D89F8C2" w14:textId="39494303" w:rsidR="00FA7E56" w:rsidRPr="005D146E" w:rsidRDefault="00FA7E56" w:rsidP="00FA7E56">
      <w:pPr>
        <w:spacing w:before="100" w:beforeAutospacing="1" w:after="100" w:afterAutospacing="1"/>
        <w:jc w:val="center"/>
        <w:rPr>
          <w:rFonts w:eastAsia="Times New Roman"/>
          <w:b/>
          <w:noProof/>
          <w:szCs w:val="24"/>
        </w:rPr>
      </w:pPr>
      <w:r w:rsidRPr="005D146E">
        <w:rPr>
          <w:b/>
          <w:noProof/>
        </w:rPr>
        <w:t>KONTROLL AV SPRIDNINGSUTRUSTNING I YRKESMÄSSIG ANVÄNDNING</w:t>
      </w:r>
    </w:p>
    <w:p w14:paraId="2118E85F" w14:textId="7D131C5A" w:rsidR="00FA7E56" w:rsidRPr="005D146E" w:rsidRDefault="00FA7E56" w:rsidP="0009186B">
      <w:pPr>
        <w:rPr>
          <w:rFonts w:eastAsia="Times New Roman"/>
          <w:noProof/>
          <w:szCs w:val="24"/>
        </w:rPr>
      </w:pPr>
      <w:r w:rsidRPr="005D146E">
        <w:rPr>
          <w:noProof/>
        </w:rPr>
        <w:t>Kontrollen av spridningsutrustning i yrkesmässig användning ska omfatta alla aspekter som är viktiga för att uppnå en hög nivå för skydd av människors hälsa och miljön. Full effektivitet och säkerhet vid spridningen ska säkerställas genom att man tillser att utrustningens anordningar och apparater är felfria, för att garantera att följande mål uppnås.</w:t>
      </w:r>
    </w:p>
    <w:p w14:paraId="53973956" w14:textId="6133AB98" w:rsidR="00FA7E56" w:rsidRPr="005D146E" w:rsidRDefault="00FA7E56" w:rsidP="00FA7E56">
      <w:pPr>
        <w:rPr>
          <w:noProof/>
          <w:szCs w:val="24"/>
        </w:rPr>
      </w:pPr>
      <w:r w:rsidRPr="005D146E">
        <w:rPr>
          <w:noProof/>
        </w:rPr>
        <w:t>Spridningsutrustning i yrkesmässig användning ska fungera tillförlitligt och endast användas i enlighet med sin bruksanvisning för det avsedda ändamålet, för att säkerställa att växtskyddsmedel kan appliceras korrekt i enlighet med god jordbrukssed enligt definitionen i artikel 3.2 a i Europaparlamentets och rådets förordning (EG) nr 396/2005</w:t>
      </w:r>
      <w:r w:rsidRPr="005D146E">
        <w:rPr>
          <w:rStyle w:val="FootnoteReference"/>
          <w:rFonts w:eastAsia="Times New Roman"/>
          <w:noProof/>
          <w:szCs w:val="24"/>
          <w:lang w:eastAsia="en-IE"/>
        </w:rPr>
        <w:footnoteReference w:id="22"/>
      </w:r>
      <w:r w:rsidRPr="005D146E">
        <w:rPr>
          <w:noProof/>
        </w:rPr>
        <w:t>.</w:t>
      </w:r>
    </w:p>
    <w:p w14:paraId="6B7F7440" w14:textId="318E79F0" w:rsidR="00FA7E56" w:rsidRPr="005D146E" w:rsidRDefault="00FA7E56" w:rsidP="00FA7E56">
      <w:pPr>
        <w:rPr>
          <w:rFonts w:eastAsia="Times New Roman"/>
          <w:noProof/>
          <w:szCs w:val="24"/>
        </w:rPr>
      </w:pPr>
      <w:r w:rsidRPr="005D146E">
        <w:rPr>
          <w:noProof/>
        </w:rPr>
        <w:t>Utrustningen ska vara i så gott skick att den kan fyllas och tömmas på ett betryggande, enkelt och fullständigt sätt samt att man kan undvika läckage av sprutlösningar eller av det koncentrerade medlet. Den ska även vara lätt att rengöra den ordentligt. Vidare ska den kunna användas på ett säkert sätt och omedelbart kunna stoppas från operatörens position. Det ska vara enkelt att göra eventuella nödvändiga justeringar. Sådana justeringar ska vara exakta och reproducerbara.</w:t>
      </w:r>
    </w:p>
    <w:p w14:paraId="6B7290CF" w14:textId="77777777" w:rsidR="00C215E9" w:rsidRPr="005D146E" w:rsidRDefault="00C215E9" w:rsidP="00FA7E56">
      <w:pPr>
        <w:rPr>
          <w:rFonts w:eastAsia="Times New Roman"/>
          <w:noProof/>
          <w:szCs w:val="24"/>
          <w:lang w:eastAsia="en-IE"/>
        </w:rPr>
      </w:pPr>
    </w:p>
    <w:p w14:paraId="63C1D3C2" w14:textId="3EC40E10" w:rsidR="00FA7E56" w:rsidRPr="005D146E" w:rsidRDefault="00FA7E56" w:rsidP="00FA7E56">
      <w:pPr>
        <w:rPr>
          <w:rFonts w:eastAsia="Times New Roman"/>
          <w:noProof/>
          <w:szCs w:val="24"/>
        </w:rPr>
      </w:pPr>
      <w:r w:rsidRPr="005D146E">
        <w:rPr>
          <w:noProof/>
        </w:rPr>
        <w:t>Under inspektionen ska överensstämmelsen med följande krav kontrolleras:</w:t>
      </w:r>
    </w:p>
    <w:p w14:paraId="1DE5B470" w14:textId="77777777" w:rsidR="00FA7E56" w:rsidRPr="005D146E" w:rsidRDefault="00315A18" w:rsidP="00315A18">
      <w:pPr>
        <w:pStyle w:val="Point0"/>
        <w:rPr>
          <w:b/>
          <w:noProof/>
        </w:rPr>
      </w:pPr>
      <w:r w:rsidRPr="005D146E">
        <w:rPr>
          <w:b/>
          <w:noProof/>
        </w:rPr>
        <w:t>1.</w:t>
      </w:r>
      <w:r w:rsidRPr="005D146E">
        <w:rPr>
          <w:noProof/>
        </w:rPr>
        <w:tab/>
      </w:r>
      <w:r w:rsidRPr="005D146E">
        <w:rPr>
          <w:b/>
          <w:noProof/>
        </w:rPr>
        <w:t>Säkerhet</w:t>
      </w:r>
    </w:p>
    <w:p w14:paraId="1047E2F0" w14:textId="16BA8A32" w:rsidR="00FA7E56" w:rsidRPr="005D146E" w:rsidRDefault="00FA7E56" w:rsidP="00315A18">
      <w:pPr>
        <w:pStyle w:val="Text1"/>
        <w:rPr>
          <w:noProof/>
        </w:rPr>
      </w:pPr>
      <w:r w:rsidRPr="005D146E">
        <w:rPr>
          <w:noProof/>
        </w:rPr>
        <w:t>Utrustningen ska vara ren och säker innan inspektionen inleds.  Följande ska kontrolleras:</w:t>
      </w:r>
    </w:p>
    <w:p w14:paraId="30D9D825" w14:textId="77777777" w:rsidR="00FA7E56" w:rsidRPr="005D146E" w:rsidRDefault="00315A18" w:rsidP="00315A18">
      <w:pPr>
        <w:pStyle w:val="Point1"/>
        <w:rPr>
          <w:noProof/>
        </w:rPr>
      </w:pPr>
      <w:r w:rsidRPr="005D146E">
        <w:rPr>
          <w:noProof/>
        </w:rPr>
        <w:t>●</w:t>
      </w:r>
      <w:r w:rsidRPr="005D146E">
        <w:rPr>
          <w:noProof/>
        </w:rPr>
        <w:tab/>
        <w:t xml:space="preserve">Skyddet för kraftuttagsaxeln och alla skyddsanordningar för kraftuttag av drivaxelskydd och andra roterande kraftöverföringsdelar. </w:t>
      </w:r>
    </w:p>
    <w:p w14:paraId="3045DDCE" w14:textId="77777777" w:rsidR="00FA7E56" w:rsidRPr="005D146E" w:rsidRDefault="00315A18" w:rsidP="00315A18">
      <w:pPr>
        <w:pStyle w:val="Point1"/>
        <w:rPr>
          <w:rFonts w:eastAsia="Calibri"/>
          <w:noProof/>
          <w:szCs w:val="24"/>
        </w:rPr>
      </w:pPr>
      <w:r w:rsidRPr="005D146E">
        <w:rPr>
          <w:noProof/>
        </w:rPr>
        <w:t>●</w:t>
      </w:r>
      <w:r w:rsidRPr="005D146E">
        <w:rPr>
          <w:noProof/>
        </w:rPr>
        <w:tab/>
        <w:t xml:space="preserve">Läckage från det hydrauliska systemet och hydraulcylindrarnas och ledningarnas allmänna skick. </w:t>
      </w:r>
    </w:p>
    <w:p w14:paraId="035B03ED" w14:textId="0D54597D" w:rsidR="00315A18" w:rsidRPr="005D146E" w:rsidRDefault="00315A18" w:rsidP="00315A18">
      <w:pPr>
        <w:pStyle w:val="Point1"/>
        <w:rPr>
          <w:rFonts w:eastAsia="Calibri"/>
          <w:noProof/>
          <w:szCs w:val="24"/>
        </w:rPr>
      </w:pPr>
      <w:r w:rsidRPr="005D146E">
        <w:rPr>
          <w:noProof/>
        </w:rPr>
        <w:t>●</w:t>
      </w:r>
      <w:r w:rsidRPr="005D146E">
        <w:rPr>
          <w:noProof/>
        </w:rPr>
        <w:tab/>
        <w:t>Alla elektriska delars säkerhet och funktion, inklusive solenoidströmställare.</w:t>
      </w:r>
    </w:p>
    <w:p w14:paraId="55B257A4" w14:textId="77777777" w:rsidR="00315A18" w:rsidRPr="005D146E" w:rsidRDefault="0000669A" w:rsidP="00315A18">
      <w:pPr>
        <w:pStyle w:val="Point1"/>
        <w:rPr>
          <w:rFonts w:eastAsia="Calibri"/>
          <w:noProof/>
          <w:szCs w:val="24"/>
        </w:rPr>
      </w:pPr>
      <w:r w:rsidRPr="005D146E">
        <w:rPr>
          <w:noProof/>
        </w:rPr>
        <w:t>●</w:t>
      </w:r>
      <w:r w:rsidRPr="005D146E">
        <w:rPr>
          <w:noProof/>
        </w:rPr>
        <w:tab/>
        <w:t>Säkerhetsventilernas funktion.</w:t>
      </w:r>
    </w:p>
    <w:p w14:paraId="35D8FF6D" w14:textId="2BC200E4" w:rsidR="0000669A" w:rsidRPr="005D146E" w:rsidRDefault="0000669A" w:rsidP="00315A18">
      <w:pPr>
        <w:pStyle w:val="Point1"/>
        <w:rPr>
          <w:rFonts w:eastAsia="Calibri"/>
          <w:noProof/>
          <w:szCs w:val="24"/>
        </w:rPr>
      </w:pPr>
      <w:r w:rsidRPr="005D146E">
        <w:rPr>
          <w:noProof/>
        </w:rPr>
        <w:t>●</w:t>
      </w:r>
      <w:r w:rsidRPr="005D146E">
        <w:rPr>
          <w:noProof/>
        </w:rPr>
        <w:tab/>
        <w:t>Konstruktionsdelarnas, ramverkets och bommarnas/munstyckshållarnas skick.</w:t>
      </w:r>
    </w:p>
    <w:p w14:paraId="60CBD20F" w14:textId="1C5A4CC8" w:rsidR="0000669A" w:rsidRPr="005D146E" w:rsidRDefault="0000669A" w:rsidP="00315A18">
      <w:pPr>
        <w:pStyle w:val="Point1"/>
        <w:rPr>
          <w:rFonts w:eastAsia="Calibri"/>
          <w:noProof/>
          <w:szCs w:val="24"/>
        </w:rPr>
      </w:pPr>
      <w:r w:rsidRPr="005D146E">
        <w:rPr>
          <w:noProof/>
        </w:rPr>
        <w:t>●</w:t>
      </w:r>
      <w:r w:rsidRPr="005D146E">
        <w:rPr>
          <w:noProof/>
        </w:rPr>
        <w:tab/>
        <w:t>Låsningen av fällbara delar.</w:t>
      </w:r>
    </w:p>
    <w:p w14:paraId="06468503" w14:textId="713796E4" w:rsidR="0000669A" w:rsidRPr="005D146E" w:rsidRDefault="0000669A" w:rsidP="6B25E89D">
      <w:pPr>
        <w:pStyle w:val="Point1"/>
        <w:rPr>
          <w:rFonts w:eastAsia="Calibri"/>
          <w:noProof/>
        </w:rPr>
      </w:pPr>
      <w:r w:rsidRPr="005D146E">
        <w:rPr>
          <w:noProof/>
        </w:rPr>
        <w:t>●</w:t>
      </w:r>
      <w:r w:rsidRPr="005D146E">
        <w:rPr>
          <w:noProof/>
        </w:rPr>
        <w:tab/>
        <w:t>När det gäller utrustning för fläktspridning, fläktens skydd och skick, inklusive fläktenhetens, fläktens och muffarnas fysiska tillstånd.</w:t>
      </w:r>
    </w:p>
    <w:p w14:paraId="5A69655B" w14:textId="77777777" w:rsidR="00FA7E56" w:rsidRPr="005D146E" w:rsidRDefault="0000669A" w:rsidP="0000669A">
      <w:pPr>
        <w:pStyle w:val="Point0"/>
        <w:rPr>
          <w:rFonts w:eastAsia="Calibri"/>
          <w:b/>
          <w:noProof/>
          <w:szCs w:val="24"/>
        </w:rPr>
      </w:pPr>
      <w:r w:rsidRPr="005D146E">
        <w:rPr>
          <w:b/>
          <w:noProof/>
        </w:rPr>
        <w:t>2.</w:t>
      </w:r>
      <w:r w:rsidRPr="005D146E">
        <w:rPr>
          <w:noProof/>
        </w:rPr>
        <w:tab/>
      </w:r>
      <w:r w:rsidRPr="005D146E">
        <w:rPr>
          <w:b/>
          <w:noProof/>
        </w:rPr>
        <w:t>Läckage</w:t>
      </w:r>
    </w:p>
    <w:p w14:paraId="186246C7" w14:textId="4F43DFB6" w:rsidR="00FA7E56" w:rsidRPr="005D146E" w:rsidRDefault="00FA7E56" w:rsidP="0000669A">
      <w:pPr>
        <w:pStyle w:val="Text1"/>
        <w:rPr>
          <w:rFonts w:eastAsia="Calibri"/>
          <w:noProof/>
          <w:szCs w:val="24"/>
        </w:rPr>
      </w:pPr>
      <w:r w:rsidRPr="005D146E">
        <w:rPr>
          <w:noProof/>
        </w:rPr>
        <w:t xml:space="preserve">Det får inte läcka eller droppa från någon del av utrustningen, varken när används eller när den står stilla. När utrustningen stängts av får det inte droppa och ingen oavsiktlig spridning för förekomma. För utrustning som sprider flytande medel får det inte förekomma läckage från slangar eller ledningar när de används med högsta möjliga tryck som systemet kan ge och ingen vätska får hamna på själva sprutan. </w:t>
      </w:r>
    </w:p>
    <w:p w14:paraId="0D41F74B" w14:textId="77777777" w:rsidR="00FA7E56" w:rsidRPr="005D146E" w:rsidRDefault="0000669A" w:rsidP="0000669A">
      <w:pPr>
        <w:pStyle w:val="Point0"/>
        <w:rPr>
          <w:rFonts w:eastAsia="Calibri"/>
          <w:b/>
          <w:noProof/>
          <w:szCs w:val="24"/>
        </w:rPr>
      </w:pPr>
      <w:r w:rsidRPr="005D146E">
        <w:rPr>
          <w:b/>
          <w:noProof/>
        </w:rPr>
        <w:t>3.</w:t>
      </w:r>
      <w:r w:rsidRPr="005D146E">
        <w:rPr>
          <w:noProof/>
        </w:rPr>
        <w:tab/>
      </w:r>
      <w:r w:rsidRPr="005D146E">
        <w:rPr>
          <w:b/>
          <w:noProof/>
        </w:rPr>
        <w:t>Pump (för spridningsutrustning för flytande medel)</w:t>
      </w:r>
    </w:p>
    <w:p w14:paraId="36B8B829" w14:textId="79EA25CD" w:rsidR="00FA7E56" w:rsidRPr="005D146E" w:rsidRDefault="00FA7E56" w:rsidP="0000669A">
      <w:pPr>
        <w:pStyle w:val="Text1"/>
        <w:rPr>
          <w:rFonts w:eastAsia="Times New Roman"/>
          <w:noProof/>
          <w:szCs w:val="24"/>
        </w:rPr>
      </w:pPr>
      <w:r w:rsidRPr="005D146E">
        <w:rPr>
          <w:noProof/>
        </w:rPr>
        <w:t>Pumpkapaciteten ska vara anpassad till sprututrustningen, och pumpen ska fungera korrekt så att utmatningshastigheten blir stabil och tillförlitlig.</w:t>
      </w:r>
    </w:p>
    <w:p w14:paraId="677DD469" w14:textId="7592B91A" w:rsidR="00FA7E56" w:rsidRPr="005D146E" w:rsidRDefault="0000669A" w:rsidP="0000669A">
      <w:pPr>
        <w:pStyle w:val="Point0"/>
        <w:rPr>
          <w:rFonts w:eastAsia="Calibri"/>
          <w:b/>
          <w:noProof/>
          <w:szCs w:val="24"/>
        </w:rPr>
      </w:pPr>
      <w:r w:rsidRPr="005D146E">
        <w:rPr>
          <w:b/>
          <w:noProof/>
        </w:rPr>
        <w:t>4.</w:t>
      </w:r>
      <w:r w:rsidRPr="005D146E">
        <w:rPr>
          <w:noProof/>
        </w:rPr>
        <w:tab/>
      </w:r>
      <w:r w:rsidRPr="005D146E">
        <w:rPr>
          <w:b/>
          <w:noProof/>
        </w:rPr>
        <w:t>Omrörning eller blandning (för spridningsutrustning för flytande medel)</w:t>
      </w:r>
    </w:p>
    <w:p w14:paraId="614A9FFA" w14:textId="26B91DC3" w:rsidR="00FA7E56" w:rsidRPr="005D146E" w:rsidRDefault="00FA7E56" w:rsidP="0000669A">
      <w:pPr>
        <w:pStyle w:val="Text1"/>
        <w:rPr>
          <w:rFonts w:eastAsia="Calibri"/>
          <w:noProof/>
          <w:szCs w:val="24"/>
        </w:rPr>
      </w:pPr>
      <w:r w:rsidRPr="005D146E">
        <w:rPr>
          <w:noProof/>
        </w:rPr>
        <w:t>Anordningar för omrörning eller blandning ska säkerställa en god cirkulation så att en jämn koncentration erhålls i hela volymen sprutvätska i tanken.</w:t>
      </w:r>
    </w:p>
    <w:p w14:paraId="06E81FE0" w14:textId="77777777" w:rsidR="00FA7E56" w:rsidRPr="005D146E" w:rsidRDefault="0000669A" w:rsidP="0000669A">
      <w:pPr>
        <w:pStyle w:val="Point0"/>
        <w:rPr>
          <w:rFonts w:eastAsia="Calibri"/>
          <w:b/>
          <w:noProof/>
          <w:szCs w:val="24"/>
        </w:rPr>
      </w:pPr>
      <w:r w:rsidRPr="005D146E">
        <w:rPr>
          <w:b/>
          <w:noProof/>
        </w:rPr>
        <w:t>5.</w:t>
      </w:r>
      <w:r w:rsidRPr="005D146E">
        <w:rPr>
          <w:noProof/>
        </w:rPr>
        <w:tab/>
      </w:r>
      <w:r w:rsidRPr="005D146E">
        <w:rPr>
          <w:b/>
          <w:noProof/>
        </w:rPr>
        <w:t>Tank/behållare för sprutvätska</w:t>
      </w:r>
    </w:p>
    <w:p w14:paraId="121B96FD" w14:textId="26B79816" w:rsidR="00FA7E56" w:rsidRPr="005D146E" w:rsidRDefault="00FA7E56" w:rsidP="0000669A">
      <w:pPr>
        <w:pStyle w:val="Text1"/>
        <w:rPr>
          <w:rFonts w:eastAsia="Calibri"/>
          <w:noProof/>
          <w:szCs w:val="24"/>
        </w:rPr>
      </w:pPr>
      <w:r w:rsidRPr="005D146E">
        <w:rPr>
          <w:noProof/>
        </w:rPr>
        <w:t>Spruttankar och behållare, inklusive nivåvakter, påfyllningsanordningar, filter, tömnings- och rengöringsanordningar och omrörningsanordningar ska fungera på ett sådant sätt att oavsiktligt spill, ojämn koncentrationsfördelning, exponering av operatören och kvarvarande vätskevolym minimeras.</w:t>
      </w:r>
    </w:p>
    <w:p w14:paraId="477C2DBE" w14:textId="77777777" w:rsidR="00FA7E56" w:rsidRPr="005D146E" w:rsidRDefault="0000669A" w:rsidP="0000669A">
      <w:pPr>
        <w:pStyle w:val="Point0"/>
        <w:rPr>
          <w:rFonts w:eastAsia="Calibri"/>
          <w:b/>
          <w:noProof/>
          <w:szCs w:val="24"/>
        </w:rPr>
      </w:pPr>
      <w:r w:rsidRPr="005D146E">
        <w:rPr>
          <w:b/>
          <w:noProof/>
        </w:rPr>
        <w:t>6.</w:t>
      </w:r>
      <w:r w:rsidRPr="005D146E">
        <w:rPr>
          <w:noProof/>
        </w:rPr>
        <w:tab/>
      </w:r>
      <w:r w:rsidRPr="005D146E">
        <w:rPr>
          <w:b/>
          <w:noProof/>
        </w:rPr>
        <w:t>Mätsystem, styr- och reglersystem</w:t>
      </w:r>
    </w:p>
    <w:p w14:paraId="01F3B6F5" w14:textId="7A77E7E8" w:rsidR="00FA7E56" w:rsidRPr="005D146E" w:rsidRDefault="00FA7E56" w:rsidP="0000669A">
      <w:pPr>
        <w:pStyle w:val="Text1"/>
        <w:rPr>
          <w:rFonts w:eastAsia="Calibri"/>
          <w:noProof/>
          <w:szCs w:val="24"/>
        </w:rPr>
      </w:pPr>
      <w:r w:rsidRPr="005D146E">
        <w:rPr>
          <w:noProof/>
        </w:rPr>
        <w:t xml:space="preserve">Alla anordningar för mätning, till- och frånkoppling och justering av tryck eller flöde ska vara rätt kalibrerade och fungera korrekt. De reglage som ska användas vid spridningen ska kunna manövreras från operatörens position, de nödvändiga instrumenten för att styra driften ska finnas och vara korrekta och instrumentets bildskärmar ska kunna läsas från operatörens plats. För spridningsutrustning för flytande medel ska anordningar för tryckreglering upprätthålla ett konstant arbetstryck vid konstant pumpvarvtal så att en stabil dosering erhålls. Tilläggsutrustning för att dosera eller injicera växtskyddsmedel ska fungera korrekt. </w:t>
      </w:r>
    </w:p>
    <w:p w14:paraId="7DBE7BD0" w14:textId="77777777" w:rsidR="00FA7E56" w:rsidRPr="005D146E" w:rsidRDefault="0000669A" w:rsidP="0000669A">
      <w:pPr>
        <w:pStyle w:val="Point0"/>
        <w:rPr>
          <w:rFonts w:eastAsia="Calibri"/>
          <w:b/>
          <w:noProof/>
          <w:szCs w:val="24"/>
        </w:rPr>
      </w:pPr>
      <w:r w:rsidRPr="005D146E">
        <w:rPr>
          <w:b/>
          <w:noProof/>
        </w:rPr>
        <w:t>7.</w:t>
      </w:r>
      <w:r w:rsidRPr="005D146E">
        <w:rPr>
          <w:noProof/>
        </w:rPr>
        <w:tab/>
      </w:r>
      <w:r w:rsidRPr="005D146E">
        <w:rPr>
          <w:b/>
          <w:noProof/>
        </w:rPr>
        <w:t xml:space="preserve">Slangar och ledningar </w:t>
      </w:r>
    </w:p>
    <w:p w14:paraId="0FA0DE38" w14:textId="77777777" w:rsidR="00FA7E56" w:rsidRPr="005D146E" w:rsidRDefault="00FA7E56" w:rsidP="0000669A">
      <w:pPr>
        <w:pStyle w:val="Text1"/>
        <w:rPr>
          <w:rFonts w:eastAsia="Times New Roman"/>
          <w:strike/>
          <w:noProof/>
          <w:szCs w:val="24"/>
        </w:rPr>
      </w:pPr>
      <w:r w:rsidRPr="005D146E">
        <w:rPr>
          <w:noProof/>
        </w:rPr>
        <w:t>Slangar och ledningar ska fungera korrekt så att man undviker störningar av flödet och oavsiktligt spill vid fel. Slangar och ledningar får inte vara böjda, överdrivet slitna eller i ett läge så att de tänjs ut.</w:t>
      </w:r>
    </w:p>
    <w:p w14:paraId="2979B3EE" w14:textId="77777777" w:rsidR="00FA7E56" w:rsidRPr="005D146E" w:rsidRDefault="0000669A" w:rsidP="0000669A">
      <w:pPr>
        <w:pStyle w:val="Point0"/>
        <w:rPr>
          <w:rFonts w:eastAsia="Calibri"/>
          <w:b/>
          <w:noProof/>
          <w:szCs w:val="24"/>
        </w:rPr>
      </w:pPr>
      <w:r w:rsidRPr="005D146E">
        <w:rPr>
          <w:b/>
          <w:noProof/>
        </w:rPr>
        <w:t>8.</w:t>
      </w:r>
      <w:r w:rsidRPr="005D146E">
        <w:rPr>
          <w:noProof/>
        </w:rPr>
        <w:tab/>
      </w:r>
      <w:r w:rsidRPr="005D146E">
        <w:rPr>
          <w:b/>
          <w:noProof/>
        </w:rPr>
        <w:t>Filtrering (för spridningsutrustning för flytande medel)</w:t>
      </w:r>
    </w:p>
    <w:p w14:paraId="3CF88408" w14:textId="5938AF69" w:rsidR="00FA7E56" w:rsidRPr="005D146E" w:rsidRDefault="00FA7E56" w:rsidP="0000669A">
      <w:pPr>
        <w:pStyle w:val="Text1"/>
        <w:rPr>
          <w:rFonts w:eastAsia="Calibri"/>
          <w:noProof/>
          <w:szCs w:val="24"/>
        </w:rPr>
      </w:pPr>
      <w:r w:rsidRPr="005D146E">
        <w:rPr>
          <w:noProof/>
        </w:rPr>
        <w:t>För att undvika turbulens och ojämnhet i spridningsbilden ska det finnas filter och dessa ska vara i gott skick. Filtrens masktäthet ska motsvara och vara lämplig för storleken på de munstycken som är monterade på sprutan. I tillämpliga fall ska systemet för indikering av stopp i filter fungera korrekt.</w:t>
      </w:r>
    </w:p>
    <w:p w14:paraId="24EE0731" w14:textId="6508BB78" w:rsidR="00FA7E56" w:rsidRPr="005D146E" w:rsidRDefault="0000669A" w:rsidP="0000669A">
      <w:pPr>
        <w:pStyle w:val="Point0"/>
        <w:rPr>
          <w:rFonts w:eastAsia="Calibri"/>
          <w:noProof/>
          <w:szCs w:val="24"/>
        </w:rPr>
      </w:pPr>
      <w:r w:rsidRPr="005D146E">
        <w:rPr>
          <w:b/>
          <w:noProof/>
        </w:rPr>
        <w:t>9.</w:t>
      </w:r>
      <w:r w:rsidRPr="005D146E">
        <w:rPr>
          <w:noProof/>
        </w:rPr>
        <w:tab/>
      </w:r>
      <w:r w:rsidRPr="005D146E">
        <w:rPr>
          <w:b/>
          <w:noProof/>
        </w:rPr>
        <w:t>Sprutbom (för utrustning som sprider växtskyddsmedel med hjälp av en horisontell eller vertikal bom som befinner sig nära grödan eller det material som ska behandlas)</w:t>
      </w:r>
    </w:p>
    <w:p w14:paraId="5A96A5EF" w14:textId="58BDEF9C" w:rsidR="00FA7E56" w:rsidRPr="005D146E" w:rsidRDefault="00FA7E56" w:rsidP="0000669A">
      <w:pPr>
        <w:pStyle w:val="Text1"/>
        <w:rPr>
          <w:rFonts w:eastAsia="Calibri"/>
          <w:noProof/>
          <w:szCs w:val="24"/>
        </w:rPr>
      </w:pPr>
      <w:r w:rsidRPr="005D146E">
        <w:rPr>
          <w:noProof/>
        </w:rPr>
        <w:t>Bommen ska vara i gott skick och stabil i alla riktningar. System för fixering och justering och anordningar för dämpning av oavsiktliga rörelser och anpassning till marklutning ska fungera korrekt.</w:t>
      </w:r>
    </w:p>
    <w:p w14:paraId="6068B86F" w14:textId="1059622D" w:rsidR="00FA7E56" w:rsidRPr="005D146E" w:rsidRDefault="0000669A" w:rsidP="0000669A">
      <w:pPr>
        <w:pStyle w:val="Point0"/>
        <w:rPr>
          <w:rFonts w:eastAsia="Calibri"/>
          <w:b/>
          <w:noProof/>
          <w:szCs w:val="24"/>
        </w:rPr>
      </w:pPr>
      <w:r w:rsidRPr="005D146E">
        <w:rPr>
          <w:b/>
          <w:noProof/>
        </w:rPr>
        <w:t>10.</w:t>
      </w:r>
      <w:r w:rsidRPr="005D146E">
        <w:rPr>
          <w:noProof/>
        </w:rPr>
        <w:tab/>
      </w:r>
      <w:r w:rsidRPr="005D146E">
        <w:rPr>
          <w:b/>
          <w:noProof/>
        </w:rPr>
        <w:t xml:space="preserve">Munstycken (för utrustning för spridning av flytande produkter) / utlopp (för fasta medel) </w:t>
      </w:r>
    </w:p>
    <w:p w14:paraId="2C7868C5" w14:textId="50182333" w:rsidR="00FA7E56" w:rsidRPr="005D146E" w:rsidRDefault="00FA7E56" w:rsidP="0000669A">
      <w:pPr>
        <w:pStyle w:val="Text1"/>
        <w:rPr>
          <w:rFonts w:eastAsia="Calibri"/>
          <w:noProof/>
          <w:szCs w:val="24"/>
        </w:rPr>
      </w:pPr>
      <w:r w:rsidRPr="005D146E">
        <w:rPr>
          <w:noProof/>
        </w:rPr>
        <w:t>Munstycken och utlopp ska fungera väl. Flödeshastigheten för varje enskilt munstycke och utlopp får inte avvika väsentligt från uppgifterna i de flödestabeller som tillhandahålls av tillverkaren.</w:t>
      </w:r>
    </w:p>
    <w:p w14:paraId="22581D5E" w14:textId="77777777" w:rsidR="00FA7E56" w:rsidRPr="005D146E" w:rsidRDefault="0000669A" w:rsidP="0000669A">
      <w:pPr>
        <w:pStyle w:val="Point0"/>
        <w:rPr>
          <w:rFonts w:eastAsia="Calibri"/>
          <w:b/>
          <w:noProof/>
          <w:szCs w:val="24"/>
        </w:rPr>
      </w:pPr>
      <w:r w:rsidRPr="005D146E">
        <w:rPr>
          <w:b/>
          <w:noProof/>
        </w:rPr>
        <w:t>11.</w:t>
      </w:r>
      <w:r w:rsidRPr="005D146E">
        <w:rPr>
          <w:noProof/>
        </w:rPr>
        <w:tab/>
      </w:r>
      <w:r w:rsidRPr="005D146E">
        <w:rPr>
          <w:b/>
          <w:noProof/>
        </w:rPr>
        <w:t>Fördelning</w:t>
      </w:r>
    </w:p>
    <w:p w14:paraId="296B63C9" w14:textId="490B46F9" w:rsidR="00FA7E56" w:rsidRPr="005D146E" w:rsidRDefault="00FA7E56" w:rsidP="0000669A">
      <w:pPr>
        <w:pStyle w:val="Text1"/>
        <w:rPr>
          <w:rFonts w:eastAsia="Calibri"/>
          <w:noProof/>
          <w:szCs w:val="24"/>
        </w:rPr>
      </w:pPr>
      <w:r w:rsidRPr="005D146E">
        <w:rPr>
          <w:noProof/>
        </w:rPr>
        <w:t>Medlet ska fördelas jämnt i körriktningen, i sidled och i höjdled (vid spridning i högväxande grödor) över det behandlade området, om tillämpligt.</w:t>
      </w:r>
    </w:p>
    <w:p w14:paraId="17DFD82F" w14:textId="77777777" w:rsidR="00FA7E56" w:rsidRPr="005D146E" w:rsidRDefault="00FA7E56" w:rsidP="0000669A">
      <w:pPr>
        <w:pStyle w:val="Point0"/>
        <w:rPr>
          <w:rFonts w:eastAsia="Calibri"/>
          <w:b/>
          <w:noProof/>
          <w:szCs w:val="24"/>
        </w:rPr>
      </w:pPr>
      <w:r w:rsidRPr="005D146E">
        <w:rPr>
          <w:b/>
          <w:noProof/>
        </w:rPr>
        <w:t>12.</w:t>
      </w:r>
      <w:r w:rsidRPr="005D146E">
        <w:rPr>
          <w:noProof/>
        </w:rPr>
        <w:tab/>
      </w:r>
      <w:r w:rsidRPr="005D146E">
        <w:rPr>
          <w:b/>
          <w:noProof/>
        </w:rPr>
        <w:t>Fläkt (för utrustning för luftassisterad spridning av växtskyddsmedel)</w:t>
      </w:r>
    </w:p>
    <w:p w14:paraId="01754577" w14:textId="57CD0DFC" w:rsidR="00FA7E56" w:rsidRPr="005D146E" w:rsidRDefault="00FA7E56" w:rsidP="0000669A">
      <w:pPr>
        <w:pStyle w:val="Text1"/>
        <w:rPr>
          <w:rFonts w:eastAsia="Calibri"/>
          <w:noProof/>
          <w:szCs w:val="24"/>
        </w:rPr>
      </w:pPr>
      <w:r w:rsidRPr="005D146E">
        <w:rPr>
          <w:noProof/>
        </w:rPr>
        <w:t>Fläkten ska vara i gott skick och ska ge en jämn och tillförlitlig luftström.</w:t>
      </w:r>
    </w:p>
    <w:p w14:paraId="0AF6972A" w14:textId="77777777" w:rsidR="00FA7E56" w:rsidRPr="005D146E" w:rsidRDefault="0000669A" w:rsidP="0000669A">
      <w:pPr>
        <w:pStyle w:val="Point0"/>
        <w:rPr>
          <w:rFonts w:eastAsia="Calibri"/>
          <w:b/>
          <w:noProof/>
          <w:szCs w:val="24"/>
        </w:rPr>
      </w:pPr>
      <w:r w:rsidRPr="005D146E">
        <w:rPr>
          <w:b/>
          <w:noProof/>
        </w:rPr>
        <w:t>13.</w:t>
      </w:r>
      <w:r w:rsidRPr="005D146E">
        <w:rPr>
          <w:noProof/>
        </w:rPr>
        <w:tab/>
      </w:r>
      <w:r w:rsidRPr="005D146E">
        <w:rPr>
          <w:b/>
          <w:noProof/>
        </w:rPr>
        <w:t xml:space="preserve">Rengöring </w:t>
      </w:r>
    </w:p>
    <w:p w14:paraId="3111CAD3" w14:textId="709E5615" w:rsidR="00FA7E56" w:rsidRPr="005D146E" w:rsidRDefault="00FA7E56" w:rsidP="0000669A">
      <w:pPr>
        <w:pStyle w:val="Text1"/>
        <w:rPr>
          <w:noProof/>
        </w:rPr>
      </w:pPr>
      <w:r w:rsidRPr="005D146E">
        <w:rPr>
          <w:noProof/>
        </w:rPr>
        <w:t>Om det finns system för sköljning/rengöring av tömda behållare, t.ex. monterade på spridningsutrustningens induktionsbehållare, ska de fungera tillförlitligt. Dessutom ska eventuella anordningar för rengöring av tankar, anordningar för extern rengöring, anordningar för rengöring av induktionsbehållare och anordningar för intern rengöring av den kompletta utrustningen fungera korrekt.</w:t>
      </w:r>
    </w:p>
    <w:p w14:paraId="129ED836" w14:textId="77777777" w:rsidR="00FA7E56" w:rsidRPr="005D146E" w:rsidRDefault="00FA7E56" w:rsidP="00FA7E56">
      <w:pPr>
        <w:rPr>
          <w:noProof/>
        </w:rPr>
        <w:sectPr w:rsidR="00FA7E56" w:rsidRPr="005D146E" w:rsidSect="007E0431">
          <w:pgSz w:w="11907" w:h="16839"/>
          <w:pgMar w:top="1134" w:right="1417" w:bottom="1134" w:left="1417" w:header="709" w:footer="709" w:gutter="0"/>
          <w:cols w:space="720"/>
          <w:docGrid w:linePitch="360"/>
        </w:sectPr>
      </w:pPr>
    </w:p>
    <w:p w14:paraId="72D93963" w14:textId="6CF40F12" w:rsidR="00FA7E56" w:rsidRPr="005D146E" w:rsidRDefault="6B25E89D" w:rsidP="6B25E89D">
      <w:pPr>
        <w:pStyle w:val="Annexetitre"/>
        <w:rPr>
          <w:noProof/>
        </w:rPr>
      </w:pPr>
      <w:r w:rsidRPr="005D146E">
        <w:rPr>
          <w:noProof/>
        </w:rPr>
        <w:t>BILAGA V</w:t>
      </w:r>
    </w:p>
    <w:p w14:paraId="127B8224" w14:textId="77777777" w:rsidR="00FA7E56" w:rsidRPr="005D146E" w:rsidRDefault="00FA7E56" w:rsidP="00FA7E56">
      <w:pPr>
        <w:jc w:val="center"/>
        <w:rPr>
          <w:b/>
          <w:noProof/>
          <w:szCs w:val="24"/>
        </w:rPr>
      </w:pPr>
      <w:r w:rsidRPr="005D146E">
        <w:rPr>
          <w:b/>
          <w:noProof/>
        </w:rPr>
        <w:t>ANMÄLNINGSFORMULÄR</w:t>
      </w:r>
    </w:p>
    <w:tbl>
      <w:tblPr>
        <w:tblStyle w:val="TableGrid"/>
        <w:tblW w:w="10029"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4A0" w:firstRow="1" w:lastRow="0" w:firstColumn="1" w:lastColumn="0" w:noHBand="0" w:noVBand="1"/>
      </w:tblPr>
      <w:tblGrid>
        <w:gridCol w:w="1947"/>
        <w:gridCol w:w="565"/>
        <w:gridCol w:w="567"/>
        <w:gridCol w:w="709"/>
        <w:gridCol w:w="425"/>
        <w:gridCol w:w="567"/>
        <w:gridCol w:w="851"/>
        <w:gridCol w:w="992"/>
        <w:gridCol w:w="567"/>
        <w:gridCol w:w="283"/>
        <w:gridCol w:w="709"/>
        <w:gridCol w:w="1282"/>
        <w:gridCol w:w="283"/>
        <w:gridCol w:w="276"/>
        <w:gridCol w:w="6"/>
      </w:tblGrid>
      <w:tr w:rsidR="0066509A" w:rsidRPr="005D146E" w14:paraId="5288089E" w14:textId="77777777" w:rsidTr="007B3445">
        <w:tc>
          <w:tcPr>
            <w:tcW w:w="10029" w:type="dxa"/>
            <w:gridSpan w:val="15"/>
            <w:tcBorders>
              <w:top w:val="single" w:sz="24" w:space="0" w:color="auto"/>
              <w:bottom w:val="single" w:sz="6" w:space="0" w:color="auto"/>
            </w:tcBorders>
          </w:tcPr>
          <w:p w14:paraId="273C61FE" w14:textId="77777777" w:rsidR="00FA7E56" w:rsidRPr="005D146E" w:rsidRDefault="00FA7E56" w:rsidP="007B3445">
            <w:pPr>
              <w:rPr>
                <w:noProof/>
              </w:rPr>
            </w:pPr>
            <w:r w:rsidRPr="005D146E">
              <w:rPr>
                <w:noProof/>
              </w:rPr>
              <w:t>Orsak till anmälan (kryssa i)</w:t>
            </w:r>
          </w:p>
        </w:tc>
      </w:tr>
      <w:tr w:rsidR="0066509A" w:rsidRPr="005D146E" w14:paraId="154C5225" w14:textId="77777777" w:rsidTr="007B3445">
        <w:tc>
          <w:tcPr>
            <w:tcW w:w="10029" w:type="dxa"/>
            <w:gridSpan w:val="15"/>
            <w:tcBorders>
              <w:top w:val="single" w:sz="6" w:space="0" w:color="auto"/>
              <w:bottom w:val="nil"/>
            </w:tcBorders>
          </w:tcPr>
          <w:p w14:paraId="47BF69D8" w14:textId="77777777" w:rsidR="00FA7E56" w:rsidRPr="005D146E" w:rsidRDefault="00FA7E56" w:rsidP="007B3445">
            <w:pPr>
              <w:rPr>
                <w:noProof/>
              </w:rPr>
            </w:pPr>
          </w:p>
        </w:tc>
      </w:tr>
      <w:tr w:rsidR="0066509A" w:rsidRPr="005D146E" w14:paraId="233F0587" w14:textId="77777777" w:rsidTr="007B3445">
        <w:trPr>
          <w:gridAfter w:val="1"/>
          <w:wAfter w:w="6" w:type="dxa"/>
          <w:trHeight w:val="495"/>
        </w:trPr>
        <w:tc>
          <w:tcPr>
            <w:tcW w:w="3082" w:type="dxa"/>
            <w:gridSpan w:val="3"/>
            <w:tcBorders>
              <w:top w:val="nil"/>
              <w:bottom w:val="nil"/>
              <w:right w:val="single" w:sz="24" w:space="0" w:color="auto"/>
            </w:tcBorders>
          </w:tcPr>
          <w:p w14:paraId="2BF824A4" w14:textId="77777777" w:rsidR="00FA7E56" w:rsidRPr="005D146E" w:rsidRDefault="00FA7E56" w:rsidP="007B3445">
            <w:pPr>
              <w:rPr>
                <w:noProof/>
              </w:rPr>
            </w:pPr>
            <w:r w:rsidRPr="005D146E">
              <w:rPr>
                <w:noProof/>
              </w:rPr>
              <w:t>Ny utrustning eller första registrering av begagnad utrustning</w:t>
            </w:r>
          </w:p>
        </w:tc>
        <w:tc>
          <w:tcPr>
            <w:tcW w:w="709" w:type="dxa"/>
            <w:tcBorders>
              <w:top w:val="single" w:sz="24" w:space="0" w:color="auto"/>
              <w:left w:val="single" w:sz="24" w:space="0" w:color="auto"/>
              <w:bottom w:val="single" w:sz="24" w:space="0" w:color="auto"/>
              <w:right w:val="single" w:sz="24" w:space="0" w:color="auto"/>
            </w:tcBorders>
          </w:tcPr>
          <w:p w14:paraId="69A28131" w14:textId="77777777" w:rsidR="00FA7E56" w:rsidRPr="005D146E" w:rsidRDefault="00FA7E56" w:rsidP="007B3445">
            <w:pPr>
              <w:rPr>
                <w:noProof/>
              </w:rPr>
            </w:pPr>
          </w:p>
        </w:tc>
        <w:tc>
          <w:tcPr>
            <w:tcW w:w="1843" w:type="dxa"/>
            <w:gridSpan w:val="3"/>
            <w:tcBorders>
              <w:top w:val="nil"/>
              <w:left w:val="single" w:sz="24" w:space="0" w:color="auto"/>
              <w:bottom w:val="nil"/>
              <w:right w:val="nil"/>
            </w:tcBorders>
          </w:tcPr>
          <w:p w14:paraId="1A4317EF" w14:textId="77777777" w:rsidR="00FA7E56" w:rsidRPr="005D146E" w:rsidRDefault="00FA7E56" w:rsidP="007B3445">
            <w:pPr>
              <w:jc w:val="center"/>
              <w:rPr>
                <w:noProof/>
              </w:rPr>
            </w:pPr>
          </w:p>
        </w:tc>
        <w:tc>
          <w:tcPr>
            <w:tcW w:w="1842" w:type="dxa"/>
            <w:gridSpan w:val="3"/>
            <w:tcBorders>
              <w:top w:val="nil"/>
              <w:left w:val="nil"/>
              <w:bottom w:val="nil"/>
              <w:right w:val="single" w:sz="24" w:space="0" w:color="auto"/>
            </w:tcBorders>
          </w:tcPr>
          <w:p w14:paraId="1AF9EB37" w14:textId="77777777" w:rsidR="00FA7E56" w:rsidRPr="005D146E" w:rsidRDefault="00FA7E56" w:rsidP="007B3445">
            <w:pPr>
              <w:ind w:left="-814" w:firstLine="814"/>
              <w:jc w:val="center"/>
              <w:rPr>
                <w:noProof/>
              </w:rPr>
            </w:pPr>
            <w:r w:rsidRPr="005D146E">
              <w:rPr>
                <w:noProof/>
              </w:rPr>
              <w:t>Användning upphör</w:t>
            </w:r>
          </w:p>
        </w:tc>
        <w:tc>
          <w:tcPr>
            <w:tcW w:w="709" w:type="dxa"/>
            <w:tcBorders>
              <w:top w:val="single" w:sz="24" w:space="0" w:color="auto"/>
              <w:left w:val="single" w:sz="24" w:space="0" w:color="auto"/>
              <w:bottom w:val="single" w:sz="24" w:space="0" w:color="auto"/>
              <w:right w:val="single" w:sz="24" w:space="0" w:color="auto"/>
            </w:tcBorders>
          </w:tcPr>
          <w:p w14:paraId="00C16A16" w14:textId="77777777" w:rsidR="00FA7E56" w:rsidRPr="005D146E" w:rsidRDefault="00FA7E56" w:rsidP="007B3445">
            <w:pPr>
              <w:rPr>
                <w:noProof/>
              </w:rPr>
            </w:pPr>
          </w:p>
        </w:tc>
        <w:tc>
          <w:tcPr>
            <w:tcW w:w="1279" w:type="dxa"/>
            <w:tcBorders>
              <w:top w:val="nil"/>
              <w:left w:val="single" w:sz="24" w:space="0" w:color="auto"/>
              <w:bottom w:val="nil"/>
              <w:right w:val="nil"/>
            </w:tcBorders>
          </w:tcPr>
          <w:p w14:paraId="170F7DF3" w14:textId="77777777" w:rsidR="00FA7E56" w:rsidRPr="005D146E" w:rsidRDefault="00FA7E56" w:rsidP="007B3445">
            <w:pPr>
              <w:rPr>
                <w:noProof/>
              </w:rPr>
            </w:pPr>
          </w:p>
        </w:tc>
        <w:tc>
          <w:tcPr>
            <w:tcW w:w="283" w:type="dxa"/>
            <w:tcBorders>
              <w:top w:val="nil"/>
              <w:left w:val="nil"/>
              <w:bottom w:val="nil"/>
              <w:right w:val="nil"/>
            </w:tcBorders>
          </w:tcPr>
          <w:p w14:paraId="485F9058" w14:textId="77777777" w:rsidR="00FA7E56" w:rsidRPr="005D146E" w:rsidRDefault="00FA7E56" w:rsidP="007B3445">
            <w:pPr>
              <w:rPr>
                <w:noProof/>
              </w:rPr>
            </w:pPr>
          </w:p>
        </w:tc>
        <w:tc>
          <w:tcPr>
            <w:tcW w:w="276" w:type="dxa"/>
            <w:tcBorders>
              <w:top w:val="nil"/>
              <w:left w:val="nil"/>
              <w:bottom w:val="nil"/>
            </w:tcBorders>
          </w:tcPr>
          <w:p w14:paraId="153166BC" w14:textId="77777777" w:rsidR="00FA7E56" w:rsidRPr="005D146E" w:rsidRDefault="00FA7E56" w:rsidP="007B3445">
            <w:pPr>
              <w:rPr>
                <w:noProof/>
              </w:rPr>
            </w:pPr>
          </w:p>
        </w:tc>
      </w:tr>
      <w:tr w:rsidR="0066509A" w:rsidRPr="005D146E" w14:paraId="001BEBF0" w14:textId="77777777" w:rsidTr="007B3445">
        <w:trPr>
          <w:gridAfter w:val="1"/>
          <w:wAfter w:w="6" w:type="dxa"/>
          <w:trHeight w:val="77"/>
        </w:trPr>
        <w:tc>
          <w:tcPr>
            <w:tcW w:w="3082" w:type="dxa"/>
            <w:gridSpan w:val="3"/>
            <w:tcBorders>
              <w:top w:val="nil"/>
              <w:bottom w:val="nil"/>
              <w:right w:val="nil"/>
            </w:tcBorders>
          </w:tcPr>
          <w:p w14:paraId="43C3CD9B" w14:textId="77777777" w:rsidR="00FA7E56" w:rsidRPr="005D146E" w:rsidRDefault="00FA7E56" w:rsidP="007B3445">
            <w:pPr>
              <w:rPr>
                <w:noProof/>
              </w:rPr>
            </w:pPr>
          </w:p>
        </w:tc>
        <w:tc>
          <w:tcPr>
            <w:tcW w:w="709" w:type="dxa"/>
            <w:tcBorders>
              <w:top w:val="nil"/>
              <w:left w:val="nil"/>
              <w:bottom w:val="single" w:sz="24" w:space="0" w:color="auto"/>
              <w:right w:val="nil"/>
            </w:tcBorders>
          </w:tcPr>
          <w:p w14:paraId="49B38AAD" w14:textId="77777777" w:rsidR="00FA7E56" w:rsidRPr="005D146E" w:rsidRDefault="00FA7E56" w:rsidP="007B3445">
            <w:pPr>
              <w:rPr>
                <w:noProof/>
              </w:rPr>
            </w:pPr>
          </w:p>
        </w:tc>
        <w:tc>
          <w:tcPr>
            <w:tcW w:w="1843" w:type="dxa"/>
            <w:gridSpan w:val="3"/>
            <w:tcBorders>
              <w:top w:val="nil"/>
              <w:left w:val="nil"/>
              <w:bottom w:val="nil"/>
              <w:right w:val="nil"/>
            </w:tcBorders>
          </w:tcPr>
          <w:p w14:paraId="07DBE0BF" w14:textId="77777777" w:rsidR="00FA7E56" w:rsidRPr="005D146E" w:rsidRDefault="00FA7E56" w:rsidP="007B3445">
            <w:pPr>
              <w:rPr>
                <w:noProof/>
              </w:rPr>
            </w:pPr>
          </w:p>
        </w:tc>
        <w:tc>
          <w:tcPr>
            <w:tcW w:w="1842" w:type="dxa"/>
            <w:gridSpan w:val="3"/>
            <w:tcBorders>
              <w:top w:val="nil"/>
              <w:left w:val="nil"/>
              <w:bottom w:val="nil"/>
              <w:right w:val="nil"/>
            </w:tcBorders>
          </w:tcPr>
          <w:p w14:paraId="1949C752" w14:textId="77777777" w:rsidR="00FA7E56" w:rsidRPr="005D146E" w:rsidRDefault="00FA7E56" w:rsidP="007B3445">
            <w:pPr>
              <w:rPr>
                <w:noProof/>
              </w:rPr>
            </w:pPr>
          </w:p>
        </w:tc>
        <w:tc>
          <w:tcPr>
            <w:tcW w:w="1988" w:type="dxa"/>
            <w:gridSpan w:val="2"/>
            <w:tcBorders>
              <w:top w:val="nil"/>
              <w:left w:val="nil"/>
              <w:bottom w:val="nil"/>
              <w:right w:val="nil"/>
            </w:tcBorders>
          </w:tcPr>
          <w:p w14:paraId="3E7056A7" w14:textId="77777777" w:rsidR="00FA7E56" w:rsidRPr="005D146E" w:rsidRDefault="00FA7E56" w:rsidP="007B3445">
            <w:pPr>
              <w:rPr>
                <w:noProof/>
              </w:rPr>
            </w:pPr>
          </w:p>
        </w:tc>
        <w:tc>
          <w:tcPr>
            <w:tcW w:w="283" w:type="dxa"/>
            <w:tcBorders>
              <w:top w:val="nil"/>
              <w:left w:val="nil"/>
              <w:bottom w:val="nil"/>
              <w:right w:val="nil"/>
            </w:tcBorders>
          </w:tcPr>
          <w:p w14:paraId="76B9118B" w14:textId="77777777" w:rsidR="00FA7E56" w:rsidRPr="005D146E" w:rsidRDefault="00FA7E56" w:rsidP="007B3445">
            <w:pPr>
              <w:rPr>
                <w:noProof/>
              </w:rPr>
            </w:pPr>
          </w:p>
        </w:tc>
        <w:tc>
          <w:tcPr>
            <w:tcW w:w="276" w:type="dxa"/>
            <w:tcBorders>
              <w:top w:val="nil"/>
              <w:left w:val="nil"/>
              <w:bottom w:val="nil"/>
            </w:tcBorders>
          </w:tcPr>
          <w:p w14:paraId="34E2E946" w14:textId="77777777" w:rsidR="00FA7E56" w:rsidRPr="005D146E" w:rsidRDefault="00FA7E56" w:rsidP="007B3445">
            <w:pPr>
              <w:rPr>
                <w:noProof/>
              </w:rPr>
            </w:pPr>
          </w:p>
        </w:tc>
      </w:tr>
      <w:tr w:rsidR="0066509A" w:rsidRPr="005D146E" w14:paraId="7E932808" w14:textId="77777777" w:rsidTr="007B3445">
        <w:trPr>
          <w:gridAfter w:val="1"/>
          <w:wAfter w:w="6" w:type="dxa"/>
        </w:trPr>
        <w:tc>
          <w:tcPr>
            <w:tcW w:w="3082" w:type="dxa"/>
            <w:gridSpan w:val="3"/>
            <w:tcBorders>
              <w:top w:val="nil"/>
              <w:bottom w:val="nil"/>
              <w:right w:val="single" w:sz="24" w:space="0" w:color="auto"/>
            </w:tcBorders>
          </w:tcPr>
          <w:p w14:paraId="4A3710EE" w14:textId="0041CDDF" w:rsidR="00FA7E56" w:rsidRPr="005D146E" w:rsidRDefault="00FA7E56" w:rsidP="00F71E71">
            <w:pPr>
              <w:rPr>
                <w:noProof/>
              </w:rPr>
            </w:pPr>
            <w:r w:rsidRPr="005D146E">
              <w:rPr>
                <w:noProof/>
              </w:rPr>
              <w:t>Ändring av ägarskap</w:t>
            </w:r>
          </w:p>
        </w:tc>
        <w:tc>
          <w:tcPr>
            <w:tcW w:w="709" w:type="dxa"/>
            <w:tcBorders>
              <w:top w:val="single" w:sz="24" w:space="0" w:color="auto"/>
              <w:left w:val="single" w:sz="24" w:space="0" w:color="auto"/>
              <w:bottom w:val="single" w:sz="24" w:space="0" w:color="auto"/>
              <w:right w:val="single" w:sz="24" w:space="0" w:color="auto"/>
            </w:tcBorders>
          </w:tcPr>
          <w:p w14:paraId="3D9163E3" w14:textId="77777777" w:rsidR="00FA7E56" w:rsidRPr="005D146E" w:rsidRDefault="00FA7E56" w:rsidP="007B3445">
            <w:pPr>
              <w:rPr>
                <w:noProof/>
              </w:rPr>
            </w:pPr>
          </w:p>
        </w:tc>
        <w:tc>
          <w:tcPr>
            <w:tcW w:w="1843" w:type="dxa"/>
            <w:gridSpan w:val="3"/>
            <w:tcBorders>
              <w:top w:val="nil"/>
              <w:left w:val="single" w:sz="24" w:space="0" w:color="auto"/>
              <w:bottom w:val="nil"/>
              <w:right w:val="nil"/>
            </w:tcBorders>
          </w:tcPr>
          <w:p w14:paraId="0DB1D322" w14:textId="77777777" w:rsidR="00FA7E56" w:rsidRPr="005D146E" w:rsidRDefault="00FA7E56" w:rsidP="007B3445">
            <w:pPr>
              <w:rPr>
                <w:noProof/>
              </w:rPr>
            </w:pPr>
          </w:p>
        </w:tc>
        <w:tc>
          <w:tcPr>
            <w:tcW w:w="1842" w:type="dxa"/>
            <w:gridSpan w:val="3"/>
            <w:tcBorders>
              <w:top w:val="nil"/>
              <w:left w:val="nil"/>
              <w:bottom w:val="nil"/>
              <w:right w:val="single" w:sz="24" w:space="0" w:color="auto"/>
            </w:tcBorders>
          </w:tcPr>
          <w:p w14:paraId="79FD86C1" w14:textId="77777777" w:rsidR="00FA7E56" w:rsidRPr="005D146E" w:rsidRDefault="00FA7E56" w:rsidP="007B3445">
            <w:pPr>
              <w:rPr>
                <w:noProof/>
              </w:rPr>
            </w:pPr>
            <w:r w:rsidRPr="005D146E">
              <w:rPr>
                <w:noProof/>
              </w:rPr>
              <w:t>Användning återupptas</w:t>
            </w:r>
          </w:p>
        </w:tc>
        <w:tc>
          <w:tcPr>
            <w:tcW w:w="709" w:type="dxa"/>
            <w:tcBorders>
              <w:top w:val="single" w:sz="24" w:space="0" w:color="auto"/>
              <w:left w:val="single" w:sz="24" w:space="0" w:color="auto"/>
              <w:bottom w:val="single" w:sz="24" w:space="0" w:color="auto"/>
              <w:right w:val="single" w:sz="24" w:space="0" w:color="auto"/>
            </w:tcBorders>
          </w:tcPr>
          <w:p w14:paraId="0E279E4A" w14:textId="77777777" w:rsidR="00FA7E56" w:rsidRPr="005D146E" w:rsidRDefault="00FA7E56" w:rsidP="007B3445">
            <w:pPr>
              <w:rPr>
                <w:noProof/>
              </w:rPr>
            </w:pPr>
          </w:p>
        </w:tc>
        <w:tc>
          <w:tcPr>
            <w:tcW w:w="1279" w:type="dxa"/>
            <w:tcBorders>
              <w:top w:val="nil"/>
              <w:left w:val="single" w:sz="24" w:space="0" w:color="auto"/>
              <w:bottom w:val="nil"/>
              <w:right w:val="nil"/>
            </w:tcBorders>
          </w:tcPr>
          <w:p w14:paraId="20F0403F" w14:textId="77777777" w:rsidR="00FA7E56" w:rsidRPr="005D146E" w:rsidRDefault="00FA7E56" w:rsidP="007B3445">
            <w:pPr>
              <w:rPr>
                <w:noProof/>
              </w:rPr>
            </w:pPr>
          </w:p>
        </w:tc>
        <w:tc>
          <w:tcPr>
            <w:tcW w:w="283" w:type="dxa"/>
            <w:tcBorders>
              <w:top w:val="nil"/>
              <w:left w:val="nil"/>
              <w:bottom w:val="nil"/>
              <w:right w:val="nil"/>
            </w:tcBorders>
          </w:tcPr>
          <w:p w14:paraId="3BDD6FAD" w14:textId="77777777" w:rsidR="00FA7E56" w:rsidRPr="005D146E" w:rsidRDefault="00FA7E56" w:rsidP="007B3445">
            <w:pPr>
              <w:rPr>
                <w:noProof/>
              </w:rPr>
            </w:pPr>
          </w:p>
          <w:p w14:paraId="391221EE" w14:textId="77777777" w:rsidR="00FA7E56" w:rsidRPr="005D146E" w:rsidRDefault="00FA7E56" w:rsidP="007B3445">
            <w:pPr>
              <w:rPr>
                <w:noProof/>
              </w:rPr>
            </w:pPr>
          </w:p>
        </w:tc>
        <w:tc>
          <w:tcPr>
            <w:tcW w:w="276" w:type="dxa"/>
            <w:tcBorders>
              <w:top w:val="nil"/>
              <w:left w:val="nil"/>
              <w:bottom w:val="nil"/>
            </w:tcBorders>
          </w:tcPr>
          <w:p w14:paraId="07AC7863" w14:textId="77777777" w:rsidR="00FA7E56" w:rsidRPr="005D146E" w:rsidRDefault="00FA7E56" w:rsidP="007B3445">
            <w:pPr>
              <w:rPr>
                <w:noProof/>
              </w:rPr>
            </w:pPr>
          </w:p>
        </w:tc>
      </w:tr>
      <w:tr w:rsidR="0066509A" w:rsidRPr="005D146E" w14:paraId="678DA21F" w14:textId="77777777" w:rsidTr="007B3445">
        <w:tc>
          <w:tcPr>
            <w:tcW w:w="10029" w:type="dxa"/>
            <w:gridSpan w:val="15"/>
            <w:tcBorders>
              <w:top w:val="nil"/>
            </w:tcBorders>
          </w:tcPr>
          <w:p w14:paraId="6E73B257" w14:textId="77777777" w:rsidR="00FA7E56" w:rsidRPr="005D146E" w:rsidRDefault="00FA7E56" w:rsidP="007B3445">
            <w:pPr>
              <w:rPr>
                <w:noProof/>
              </w:rPr>
            </w:pPr>
          </w:p>
        </w:tc>
      </w:tr>
      <w:tr w:rsidR="0066509A" w:rsidRPr="005D146E" w14:paraId="4B60CF13" w14:textId="77777777" w:rsidTr="007B3445">
        <w:tc>
          <w:tcPr>
            <w:tcW w:w="10029" w:type="dxa"/>
            <w:gridSpan w:val="15"/>
          </w:tcPr>
          <w:p w14:paraId="3F917C78" w14:textId="58FCC89C" w:rsidR="00FA7E56" w:rsidRPr="005D146E" w:rsidRDefault="00FA7E56" w:rsidP="007B3445">
            <w:pPr>
              <w:rPr>
                <w:noProof/>
              </w:rPr>
            </w:pPr>
            <w:r w:rsidRPr="005D146E">
              <w:rPr>
                <w:noProof/>
              </w:rPr>
              <w:t>Nuvarande ägare</w:t>
            </w:r>
          </w:p>
        </w:tc>
      </w:tr>
      <w:tr w:rsidR="0066509A" w:rsidRPr="005D146E" w14:paraId="6A2E24B0" w14:textId="77777777" w:rsidTr="007B3445">
        <w:tc>
          <w:tcPr>
            <w:tcW w:w="1949" w:type="dxa"/>
          </w:tcPr>
          <w:p w14:paraId="5BF4F0AE" w14:textId="77777777" w:rsidR="00FA7E56" w:rsidRPr="005D146E" w:rsidRDefault="00FA7E56" w:rsidP="007B3445">
            <w:pPr>
              <w:rPr>
                <w:noProof/>
              </w:rPr>
            </w:pPr>
            <w:r w:rsidRPr="005D146E">
              <w:rPr>
                <w:noProof/>
              </w:rPr>
              <w:t>Namn:</w:t>
            </w:r>
          </w:p>
        </w:tc>
        <w:tc>
          <w:tcPr>
            <w:tcW w:w="2267" w:type="dxa"/>
            <w:gridSpan w:val="4"/>
          </w:tcPr>
          <w:p w14:paraId="5EC228D0" w14:textId="77777777" w:rsidR="00FA7E56" w:rsidRPr="005D146E" w:rsidRDefault="00FA7E56" w:rsidP="007B3445">
            <w:pPr>
              <w:rPr>
                <w:noProof/>
              </w:rPr>
            </w:pPr>
          </w:p>
        </w:tc>
        <w:tc>
          <w:tcPr>
            <w:tcW w:w="2410" w:type="dxa"/>
            <w:gridSpan w:val="3"/>
          </w:tcPr>
          <w:p w14:paraId="59A49917" w14:textId="1A212B26" w:rsidR="00FA7E56" w:rsidRPr="005D146E" w:rsidRDefault="00FA7E56" w:rsidP="007B3445">
            <w:pPr>
              <w:rPr>
                <w:noProof/>
              </w:rPr>
            </w:pPr>
            <w:r w:rsidRPr="005D146E">
              <w:rPr>
                <w:noProof/>
              </w:rPr>
              <w:t xml:space="preserve">Personnummer/organisationsnummer: </w:t>
            </w:r>
            <w:r w:rsidRPr="005D146E">
              <w:rPr>
                <w:noProof/>
              </w:rPr>
              <w:br/>
            </w:r>
            <w:r w:rsidRPr="005D146E">
              <w:rPr>
                <w:noProof/>
                <w:sz w:val="16"/>
              </w:rPr>
              <w:t>(skattenummer)</w:t>
            </w:r>
          </w:p>
        </w:tc>
        <w:tc>
          <w:tcPr>
            <w:tcW w:w="3403" w:type="dxa"/>
            <w:gridSpan w:val="7"/>
          </w:tcPr>
          <w:p w14:paraId="1A91E5EB" w14:textId="77777777" w:rsidR="00FA7E56" w:rsidRPr="005D146E" w:rsidRDefault="00FA7E56" w:rsidP="007B3445">
            <w:pPr>
              <w:rPr>
                <w:noProof/>
              </w:rPr>
            </w:pPr>
          </w:p>
        </w:tc>
      </w:tr>
      <w:tr w:rsidR="0066509A" w:rsidRPr="005D146E" w14:paraId="2AF09F67" w14:textId="77777777" w:rsidTr="007B3445">
        <w:tc>
          <w:tcPr>
            <w:tcW w:w="1949" w:type="dxa"/>
          </w:tcPr>
          <w:p w14:paraId="0742563F" w14:textId="77777777" w:rsidR="00FA7E56" w:rsidRPr="005D146E" w:rsidRDefault="00FA7E56" w:rsidP="007B3445">
            <w:pPr>
              <w:rPr>
                <w:noProof/>
              </w:rPr>
            </w:pPr>
            <w:r w:rsidRPr="005D146E">
              <w:rPr>
                <w:noProof/>
              </w:rPr>
              <w:t>Adress 1:</w:t>
            </w:r>
          </w:p>
        </w:tc>
        <w:tc>
          <w:tcPr>
            <w:tcW w:w="2267" w:type="dxa"/>
            <w:gridSpan w:val="4"/>
          </w:tcPr>
          <w:p w14:paraId="16F36E5B" w14:textId="77777777" w:rsidR="00FA7E56" w:rsidRPr="005D146E" w:rsidRDefault="00FA7E56" w:rsidP="007B3445">
            <w:pPr>
              <w:rPr>
                <w:noProof/>
              </w:rPr>
            </w:pPr>
          </w:p>
        </w:tc>
        <w:tc>
          <w:tcPr>
            <w:tcW w:w="5813" w:type="dxa"/>
            <w:gridSpan w:val="10"/>
          </w:tcPr>
          <w:p w14:paraId="13DD46C5" w14:textId="5DD0B754" w:rsidR="00FA7E56" w:rsidRPr="005D146E" w:rsidRDefault="00FA7E56" w:rsidP="007B3445">
            <w:pPr>
              <w:jc w:val="center"/>
              <w:rPr>
                <w:noProof/>
              </w:rPr>
            </w:pPr>
          </w:p>
        </w:tc>
      </w:tr>
      <w:tr w:rsidR="0066509A" w:rsidRPr="005D146E" w14:paraId="42D46F9F" w14:textId="77777777" w:rsidTr="007B3445">
        <w:tc>
          <w:tcPr>
            <w:tcW w:w="1949" w:type="dxa"/>
          </w:tcPr>
          <w:p w14:paraId="6C1FEFDB" w14:textId="77777777" w:rsidR="00FA7E56" w:rsidRPr="005D146E" w:rsidRDefault="00FA7E56" w:rsidP="007B3445">
            <w:pPr>
              <w:rPr>
                <w:noProof/>
              </w:rPr>
            </w:pPr>
            <w:r w:rsidRPr="005D146E">
              <w:rPr>
                <w:noProof/>
              </w:rPr>
              <w:t>Adress 2:</w:t>
            </w:r>
          </w:p>
        </w:tc>
        <w:tc>
          <w:tcPr>
            <w:tcW w:w="2267" w:type="dxa"/>
            <w:gridSpan w:val="4"/>
          </w:tcPr>
          <w:p w14:paraId="2041A2AA" w14:textId="77777777" w:rsidR="00FA7E56" w:rsidRPr="005D146E" w:rsidRDefault="00FA7E56" w:rsidP="007B3445">
            <w:pPr>
              <w:rPr>
                <w:noProof/>
              </w:rPr>
            </w:pPr>
          </w:p>
        </w:tc>
        <w:tc>
          <w:tcPr>
            <w:tcW w:w="2410" w:type="dxa"/>
            <w:gridSpan w:val="3"/>
          </w:tcPr>
          <w:p w14:paraId="110A2236" w14:textId="03282C94" w:rsidR="00FA7E56" w:rsidRPr="005D146E" w:rsidRDefault="00FA7E56" w:rsidP="007B3445">
            <w:pPr>
              <w:rPr>
                <w:noProof/>
              </w:rPr>
            </w:pPr>
            <w:r w:rsidRPr="005D146E">
              <w:rPr>
                <w:noProof/>
              </w:rPr>
              <w:t xml:space="preserve">Sysselsättning: </w:t>
            </w:r>
            <w:r w:rsidRPr="005D146E">
              <w:rPr>
                <w:noProof/>
              </w:rPr>
              <w:br/>
            </w:r>
            <w:r w:rsidRPr="005D146E">
              <w:rPr>
                <w:noProof/>
                <w:sz w:val="16"/>
              </w:rPr>
              <w:t>(jordbrukare, landskapsarkitekt, entreprenör, annan, ange vilken)</w:t>
            </w:r>
          </w:p>
        </w:tc>
        <w:tc>
          <w:tcPr>
            <w:tcW w:w="3403" w:type="dxa"/>
            <w:gridSpan w:val="7"/>
          </w:tcPr>
          <w:p w14:paraId="4CCF2BE9" w14:textId="77777777" w:rsidR="00FA7E56" w:rsidRPr="005D146E" w:rsidRDefault="00FA7E56" w:rsidP="007B3445">
            <w:pPr>
              <w:rPr>
                <w:noProof/>
              </w:rPr>
            </w:pPr>
          </w:p>
        </w:tc>
      </w:tr>
      <w:tr w:rsidR="0066509A" w:rsidRPr="005D146E" w14:paraId="230B9495" w14:textId="77777777" w:rsidTr="007B3445">
        <w:tc>
          <w:tcPr>
            <w:tcW w:w="1949" w:type="dxa"/>
          </w:tcPr>
          <w:p w14:paraId="6ACB08C4" w14:textId="77777777" w:rsidR="00FA7E56" w:rsidRPr="005D146E" w:rsidRDefault="00FA7E56" w:rsidP="007B3445">
            <w:pPr>
              <w:rPr>
                <w:noProof/>
              </w:rPr>
            </w:pPr>
            <w:r w:rsidRPr="005D146E">
              <w:rPr>
                <w:noProof/>
              </w:rPr>
              <w:t>Adress 3:</w:t>
            </w:r>
          </w:p>
        </w:tc>
        <w:tc>
          <w:tcPr>
            <w:tcW w:w="2267" w:type="dxa"/>
            <w:gridSpan w:val="4"/>
          </w:tcPr>
          <w:p w14:paraId="0A1C3786" w14:textId="77777777" w:rsidR="00FA7E56" w:rsidRPr="005D146E" w:rsidRDefault="00FA7E56" w:rsidP="007B3445">
            <w:pPr>
              <w:rPr>
                <w:noProof/>
              </w:rPr>
            </w:pPr>
          </w:p>
        </w:tc>
        <w:tc>
          <w:tcPr>
            <w:tcW w:w="5813" w:type="dxa"/>
            <w:gridSpan w:val="10"/>
            <w:tcBorders>
              <w:bottom w:val="single" w:sz="6" w:space="0" w:color="auto"/>
            </w:tcBorders>
          </w:tcPr>
          <w:p w14:paraId="778ACDF1" w14:textId="20B2873B" w:rsidR="00FA7E56" w:rsidRPr="005D146E" w:rsidRDefault="00FA7E56" w:rsidP="007B3445">
            <w:pPr>
              <w:jc w:val="center"/>
              <w:rPr>
                <w:noProof/>
              </w:rPr>
            </w:pPr>
          </w:p>
        </w:tc>
      </w:tr>
      <w:tr w:rsidR="0066509A" w:rsidRPr="005D146E" w14:paraId="23A65C22" w14:textId="77777777" w:rsidTr="007B3445">
        <w:tc>
          <w:tcPr>
            <w:tcW w:w="1949" w:type="dxa"/>
          </w:tcPr>
          <w:p w14:paraId="0E4FDFB0" w14:textId="77777777" w:rsidR="00FA7E56" w:rsidRPr="005D146E" w:rsidRDefault="00FA7E56" w:rsidP="007B3445">
            <w:pPr>
              <w:rPr>
                <w:noProof/>
              </w:rPr>
            </w:pPr>
            <w:r w:rsidRPr="005D146E">
              <w:rPr>
                <w:noProof/>
              </w:rPr>
              <w:t>Adress 4:</w:t>
            </w:r>
          </w:p>
        </w:tc>
        <w:tc>
          <w:tcPr>
            <w:tcW w:w="2267" w:type="dxa"/>
            <w:gridSpan w:val="4"/>
          </w:tcPr>
          <w:p w14:paraId="29452853" w14:textId="77777777" w:rsidR="00FA7E56" w:rsidRPr="005D146E" w:rsidRDefault="00FA7E56" w:rsidP="007B3445">
            <w:pPr>
              <w:rPr>
                <w:noProof/>
              </w:rPr>
            </w:pPr>
          </w:p>
        </w:tc>
        <w:tc>
          <w:tcPr>
            <w:tcW w:w="2410" w:type="dxa"/>
            <w:gridSpan w:val="3"/>
            <w:tcBorders>
              <w:top w:val="single" w:sz="6" w:space="0" w:color="auto"/>
              <w:bottom w:val="nil"/>
              <w:right w:val="nil"/>
            </w:tcBorders>
          </w:tcPr>
          <w:p w14:paraId="5D28B345" w14:textId="77777777" w:rsidR="00FA7E56" w:rsidRPr="005D146E" w:rsidRDefault="00FA7E56" w:rsidP="007B3445">
            <w:pPr>
              <w:rPr>
                <w:noProof/>
              </w:rPr>
            </w:pPr>
          </w:p>
        </w:tc>
        <w:tc>
          <w:tcPr>
            <w:tcW w:w="3403" w:type="dxa"/>
            <w:gridSpan w:val="7"/>
            <w:tcBorders>
              <w:top w:val="single" w:sz="6" w:space="0" w:color="auto"/>
              <w:left w:val="nil"/>
              <w:bottom w:val="nil"/>
            </w:tcBorders>
          </w:tcPr>
          <w:p w14:paraId="7D7243F7" w14:textId="77777777" w:rsidR="00FA7E56" w:rsidRPr="005D146E" w:rsidRDefault="00FA7E56" w:rsidP="007B3445">
            <w:pPr>
              <w:rPr>
                <w:noProof/>
              </w:rPr>
            </w:pPr>
          </w:p>
        </w:tc>
      </w:tr>
      <w:tr w:rsidR="0066509A" w:rsidRPr="005D146E" w14:paraId="139CAE24" w14:textId="77777777" w:rsidTr="007B3445">
        <w:tc>
          <w:tcPr>
            <w:tcW w:w="1949" w:type="dxa"/>
          </w:tcPr>
          <w:p w14:paraId="40295281" w14:textId="77777777" w:rsidR="00FA7E56" w:rsidRPr="005D146E" w:rsidRDefault="00FA7E56" w:rsidP="007B3445">
            <w:pPr>
              <w:rPr>
                <w:noProof/>
              </w:rPr>
            </w:pPr>
            <w:r w:rsidRPr="005D146E">
              <w:rPr>
                <w:noProof/>
              </w:rPr>
              <w:t>Land:</w:t>
            </w:r>
          </w:p>
        </w:tc>
        <w:tc>
          <w:tcPr>
            <w:tcW w:w="2267" w:type="dxa"/>
            <w:gridSpan w:val="4"/>
          </w:tcPr>
          <w:p w14:paraId="0C4EE3A7" w14:textId="77777777" w:rsidR="00FA7E56" w:rsidRPr="005D146E" w:rsidRDefault="00FA7E56" w:rsidP="007B3445">
            <w:pPr>
              <w:rPr>
                <w:noProof/>
              </w:rPr>
            </w:pPr>
          </w:p>
        </w:tc>
        <w:tc>
          <w:tcPr>
            <w:tcW w:w="2410" w:type="dxa"/>
            <w:gridSpan w:val="3"/>
            <w:tcBorders>
              <w:top w:val="nil"/>
              <w:bottom w:val="single" w:sz="6" w:space="0" w:color="auto"/>
              <w:right w:val="nil"/>
            </w:tcBorders>
          </w:tcPr>
          <w:p w14:paraId="49802767" w14:textId="77777777" w:rsidR="00FA7E56" w:rsidRPr="005D146E" w:rsidRDefault="00FA7E56" w:rsidP="007B3445">
            <w:pPr>
              <w:rPr>
                <w:noProof/>
              </w:rPr>
            </w:pPr>
          </w:p>
        </w:tc>
        <w:tc>
          <w:tcPr>
            <w:tcW w:w="3403" w:type="dxa"/>
            <w:gridSpan w:val="7"/>
            <w:tcBorders>
              <w:top w:val="nil"/>
              <w:left w:val="nil"/>
              <w:bottom w:val="single" w:sz="6" w:space="0" w:color="auto"/>
            </w:tcBorders>
          </w:tcPr>
          <w:p w14:paraId="54747AED" w14:textId="77777777" w:rsidR="00FA7E56" w:rsidRPr="005D146E" w:rsidRDefault="00FA7E56" w:rsidP="007B3445">
            <w:pPr>
              <w:rPr>
                <w:noProof/>
              </w:rPr>
            </w:pPr>
          </w:p>
        </w:tc>
      </w:tr>
      <w:tr w:rsidR="0066509A" w:rsidRPr="005D146E" w14:paraId="0734F2F0" w14:textId="77777777" w:rsidTr="007B3445">
        <w:tc>
          <w:tcPr>
            <w:tcW w:w="10029" w:type="dxa"/>
            <w:gridSpan w:val="15"/>
          </w:tcPr>
          <w:p w14:paraId="7CD15EF6" w14:textId="77777777" w:rsidR="00FA7E56" w:rsidRPr="005D146E" w:rsidRDefault="00FA7E56" w:rsidP="007B3445">
            <w:pPr>
              <w:rPr>
                <w:noProof/>
              </w:rPr>
            </w:pPr>
          </w:p>
        </w:tc>
      </w:tr>
      <w:tr w:rsidR="0066509A" w:rsidRPr="005D146E" w14:paraId="04F830A7" w14:textId="77777777" w:rsidTr="007B3445">
        <w:tc>
          <w:tcPr>
            <w:tcW w:w="10029" w:type="dxa"/>
            <w:gridSpan w:val="15"/>
            <w:tcBorders>
              <w:bottom w:val="single" w:sz="4" w:space="0" w:color="auto"/>
            </w:tcBorders>
          </w:tcPr>
          <w:p w14:paraId="1558A680" w14:textId="3F24B46A" w:rsidR="00FA7E56" w:rsidRPr="005D146E" w:rsidRDefault="00FA7E56" w:rsidP="007B3445">
            <w:pPr>
              <w:rPr>
                <w:noProof/>
              </w:rPr>
            </w:pPr>
            <w:r w:rsidRPr="005D146E">
              <w:rPr>
                <w:noProof/>
              </w:rPr>
              <w:t>Tidigare ägare i förekommande fall</w:t>
            </w:r>
          </w:p>
        </w:tc>
      </w:tr>
      <w:tr w:rsidR="0066509A" w:rsidRPr="005D146E" w14:paraId="353E4D4F" w14:textId="77777777" w:rsidTr="007B3445">
        <w:tc>
          <w:tcPr>
            <w:tcW w:w="1949" w:type="dxa"/>
            <w:tcBorders>
              <w:top w:val="single" w:sz="4" w:space="0" w:color="auto"/>
              <w:bottom w:val="single" w:sz="4" w:space="0" w:color="auto"/>
              <w:right w:val="single" w:sz="4" w:space="0" w:color="auto"/>
            </w:tcBorders>
          </w:tcPr>
          <w:p w14:paraId="406F3A54" w14:textId="77777777" w:rsidR="00FA7E56" w:rsidRPr="005D146E" w:rsidRDefault="00FA7E56" w:rsidP="007B3445">
            <w:pPr>
              <w:rPr>
                <w:noProof/>
              </w:rPr>
            </w:pPr>
            <w:r w:rsidRPr="005D146E">
              <w:rPr>
                <w:noProof/>
              </w:rPr>
              <w:t>Namn:</w:t>
            </w:r>
          </w:p>
        </w:tc>
        <w:tc>
          <w:tcPr>
            <w:tcW w:w="8080" w:type="dxa"/>
            <w:gridSpan w:val="14"/>
            <w:tcBorders>
              <w:top w:val="single" w:sz="4" w:space="0" w:color="auto"/>
              <w:left w:val="single" w:sz="4" w:space="0" w:color="auto"/>
              <w:bottom w:val="single" w:sz="4" w:space="0" w:color="auto"/>
            </w:tcBorders>
          </w:tcPr>
          <w:p w14:paraId="061D832F" w14:textId="77777777" w:rsidR="00FA7E56" w:rsidRPr="005D146E" w:rsidRDefault="00FA7E56" w:rsidP="007B3445">
            <w:pPr>
              <w:rPr>
                <w:noProof/>
              </w:rPr>
            </w:pPr>
          </w:p>
        </w:tc>
      </w:tr>
      <w:tr w:rsidR="0066509A" w:rsidRPr="005D146E" w14:paraId="47A7990D" w14:textId="77777777" w:rsidTr="007B3445">
        <w:tc>
          <w:tcPr>
            <w:tcW w:w="1949" w:type="dxa"/>
            <w:tcBorders>
              <w:top w:val="single" w:sz="4" w:space="0" w:color="auto"/>
              <w:bottom w:val="single" w:sz="4" w:space="0" w:color="auto"/>
              <w:right w:val="single" w:sz="4" w:space="0" w:color="auto"/>
            </w:tcBorders>
          </w:tcPr>
          <w:p w14:paraId="3228A21F" w14:textId="77777777" w:rsidR="00FA7E56" w:rsidRPr="005D146E" w:rsidRDefault="00FA7E56" w:rsidP="007B3445">
            <w:pPr>
              <w:rPr>
                <w:noProof/>
              </w:rPr>
            </w:pPr>
            <w:r w:rsidRPr="005D146E">
              <w:rPr>
                <w:noProof/>
              </w:rPr>
              <w:t>Adress 1:</w:t>
            </w:r>
          </w:p>
        </w:tc>
        <w:tc>
          <w:tcPr>
            <w:tcW w:w="8080" w:type="dxa"/>
            <w:gridSpan w:val="14"/>
            <w:tcBorders>
              <w:top w:val="single" w:sz="4" w:space="0" w:color="auto"/>
              <w:left w:val="single" w:sz="4" w:space="0" w:color="auto"/>
              <w:bottom w:val="single" w:sz="4" w:space="0" w:color="auto"/>
            </w:tcBorders>
          </w:tcPr>
          <w:p w14:paraId="5BE0519B" w14:textId="77777777" w:rsidR="00FA7E56" w:rsidRPr="005D146E" w:rsidRDefault="00FA7E56" w:rsidP="007B3445">
            <w:pPr>
              <w:rPr>
                <w:noProof/>
              </w:rPr>
            </w:pPr>
          </w:p>
        </w:tc>
      </w:tr>
      <w:tr w:rsidR="0066509A" w:rsidRPr="005D146E" w14:paraId="6FC26206" w14:textId="77777777" w:rsidTr="007B3445">
        <w:tc>
          <w:tcPr>
            <w:tcW w:w="1949" w:type="dxa"/>
            <w:tcBorders>
              <w:top w:val="single" w:sz="4" w:space="0" w:color="auto"/>
              <w:bottom w:val="single" w:sz="4" w:space="0" w:color="auto"/>
              <w:right w:val="single" w:sz="4" w:space="0" w:color="auto"/>
            </w:tcBorders>
          </w:tcPr>
          <w:p w14:paraId="03A7573A" w14:textId="77777777" w:rsidR="00FA7E56" w:rsidRPr="005D146E" w:rsidRDefault="00FA7E56" w:rsidP="007B3445">
            <w:pPr>
              <w:rPr>
                <w:noProof/>
              </w:rPr>
            </w:pPr>
            <w:r w:rsidRPr="005D146E">
              <w:rPr>
                <w:noProof/>
              </w:rPr>
              <w:t>Adress 2:</w:t>
            </w:r>
          </w:p>
        </w:tc>
        <w:tc>
          <w:tcPr>
            <w:tcW w:w="8080" w:type="dxa"/>
            <w:gridSpan w:val="14"/>
            <w:tcBorders>
              <w:top w:val="single" w:sz="4" w:space="0" w:color="auto"/>
              <w:left w:val="single" w:sz="4" w:space="0" w:color="auto"/>
              <w:bottom w:val="single" w:sz="4" w:space="0" w:color="auto"/>
            </w:tcBorders>
          </w:tcPr>
          <w:p w14:paraId="45C9F4D5" w14:textId="77777777" w:rsidR="00FA7E56" w:rsidRPr="005D146E" w:rsidRDefault="00FA7E56" w:rsidP="007B3445">
            <w:pPr>
              <w:rPr>
                <w:noProof/>
              </w:rPr>
            </w:pPr>
          </w:p>
        </w:tc>
      </w:tr>
      <w:tr w:rsidR="0066509A" w:rsidRPr="005D146E" w14:paraId="03BCB5F9" w14:textId="77777777" w:rsidTr="007B3445">
        <w:tc>
          <w:tcPr>
            <w:tcW w:w="1949" w:type="dxa"/>
            <w:tcBorders>
              <w:top w:val="single" w:sz="4" w:space="0" w:color="auto"/>
              <w:bottom w:val="single" w:sz="4" w:space="0" w:color="auto"/>
              <w:right w:val="single" w:sz="4" w:space="0" w:color="auto"/>
            </w:tcBorders>
          </w:tcPr>
          <w:p w14:paraId="0F37676F" w14:textId="77777777" w:rsidR="00FA7E56" w:rsidRPr="005D146E" w:rsidRDefault="00FA7E56" w:rsidP="007B3445">
            <w:pPr>
              <w:rPr>
                <w:noProof/>
              </w:rPr>
            </w:pPr>
            <w:r w:rsidRPr="005D146E">
              <w:rPr>
                <w:noProof/>
              </w:rPr>
              <w:t>Adress 3:</w:t>
            </w:r>
          </w:p>
        </w:tc>
        <w:tc>
          <w:tcPr>
            <w:tcW w:w="8080" w:type="dxa"/>
            <w:gridSpan w:val="14"/>
            <w:tcBorders>
              <w:top w:val="single" w:sz="4" w:space="0" w:color="auto"/>
              <w:left w:val="single" w:sz="4" w:space="0" w:color="auto"/>
              <w:bottom w:val="single" w:sz="4" w:space="0" w:color="auto"/>
            </w:tcBorders>
          </w:tcPr>
          <w:p w14:paraId="5B87CC7D" w14:textId="77777777" w:rsidR="00FA7E56" w:rsidRPr="005D146E" w:rsidRDefault="00FA7E56" w:rsidP="007B3445">
            <w:pPr>
              <w:rPr>
                <w:noProof/>
              </w:rPr>
            </w:pPr>
          </w:p>
        </w:tc>
      </w:tr>
      <w:tr w:rsidR="0066509A" w:rsidRPr="005D146E" w14:paraId="3ADE6EA0" w14:textId="77777777" w:rsidTr="007B3445">
        <w:tc>
          <w:tcPr>
            <w:tcW w:w="1949" w:type="dxa"/>
            <w:tcBorders>
              <w:top w:val="single" w:sz="4" w:space="0" w:color="auto"/>
              <w:bottom w:val="single" w:sz="4" w:space="0" w:color="auto"/>
              <w:right w:val="single" w:sz="4" w:space="0" w:color="auto"/>
            </w:tcBorders>
          </w:tcPr>
          <w:p w14:paraId="799DCDC5" w14:textId="77777777" w:rsidR="00FA7E56" w:rsidRPr="005D146E" w:rsidRDefault="00FA7E56" w:rsidP="007B3445">
            <w:pPr>
              <w:rPr>
                <w:noProof/>
              </w:rPr>
            </w:pPr>
            <w:r w:rsidRPr="005D146E">
              <w:rPr>
                <w:noProof/>
              </w:rPr>
              <w:t>Adress 4:</w:t>
            </w:r>
          </w:p>
        </w:tc>
        <w:tc>
          <w:tcPr>
            <w:tcW w:w="8080" w:type="dxa"/>
            <w:gridSpan w:val="14"/>
            <w:tcBorders>
              <w:top w:val="single" w:sz="4" w:space="0" w:color="auto"/>
              <w:left w:val="single" w:sz="4" w:space="0" w:color="auto"/>
              <w:bottom w:val="single" w:sz="4" w:space="0" w:color="auto"/>
            </w:tcBorders>
          </w:tcPr>
          <w:p w14:paraId="35EC073D" w14:textId="77777777" w:rsidR="00FA7E56" w:rsidRPr="005D146E" w:rsidRDefault="00FA7E56" w:rsidP="007B3445">
            <w:pPr>
              <w:rPr>
                <w:noProof/>
              </w:rPr>
            </w:pPr>
          </w:p>
        </w:tc>
      </w:tr>
      <w:tr w:rsidR="0066509A" w:rsidRPr="005D146E" w14:paraId="399FA13B" w14:textId="77777777" w:rsidTr="007B3445">
        <w:tc>
          <w:tcPr>
            <w:tcW w:w="1949" w:type="dxa"/>
            <w:tcBorders>
              <w:top w:val="single" w:sz="4" w:space="0" w:color="auto"/>
              <w:bottom w:val="single" w:sz="6" w:space="0" w:color="auto"/>
              <w:right w:val="single" w:sz="4" w:space="0" w:color="auto"/>
            </w:tcBorders>
          </w:tcPr>
          <w:p w14:paraId="0246C433" w14:textId="77777777" w:rsidR="00FA7E56" w:rsidRPr="005D146E" w:rsidRDefault="00FA7E56" w:rsidP="007B3445">
            <w:pPr>
              <w:rPr>
                <w:noProof/>
              </w:rPr>
            </w:pPr>
            <w:r w:rsidRPr="005D146E">
              <w:rPr>
                <w:noProof/>
              </w:rPr>
              <w:t>Land:</w:t>
            </w:r>
          </w:p>
        </w:tc>
        <w:tc>
          <w:tcPr>
            <w:tcW w:w="8080" w:type="dxa"/>
            <w:gridSpan w:val="14"/>
            <w:tcBorders>
              <w:top w:val="single" w:sz="4" w:space="0" w:color="auto"/>
              <w:left w:val="single" w:sz="4" w:space="0" w:color="auto"/>
              <w:bottom w:val="single" w:sz="6" w:space="0" w:color="auto"/>
            </w:tcBorders>
          </w:tcPr>
          <w:p w14:paraId="6FE1845C" w14:textId="77777777" w:rsidR="00FA7E56" w:rsidRPr="005D146E" w:rsidRDefault="00FA7E56" w:rsidP="007B3445">
            <w:pPr>
              <w:rPr>
                <w:noProof/>
              </w:rPr>
            </w:pPr>
          </w:p>
        </w:tc>
      </w:tr>
      <w:tr w:rsidR="0066509A" w:rsidRPr="005D146E" w14:paraId="5ED6231B" w14:textId="77777777" w:rsidTr="007B3445">
        <w:tc>
          <w:tcPr>
            <w:tcW w:w="10029" w:type="dxa"/>
            <w:gridSpan w:val="15"/>
            <w:tcBorders>
              <w:top w:val="single" w:sz="6" w:space="0" w:color="auto"/>
            </w:tcBorders>
          </w:tcPr>
          <w:p w14:paraId="3BF91CE4" w14:textId="77777777" w:rsidR="00FA7E56" w:rsidRPr="005D146E" w:rsidRDefault="00FA7E56" w:rsidP="007B3445">
            <w:pPr>
              <w:rPr>
                <w:noProof/>
              </w:rPr>
            </w:pPr>
          </w:p>
        </w:tc>
      </w:tr>
      <w:tr w:rsidR="0066509A" w:rsidRPr="005D146E" w14:paraId="1CBB23EE" w14:textId="77777777" w:rsidTr="007B3445">
        <w:tc>
          <w:tcPr>
            <w:tcW w:w="10029" w:type="dxa"/>
            <w:gridSpan w:val="15"/>
          </w:tcPr>
          <w:p w14:paraId="580D9933" w14:textId="77777777" w:rsidR="00FA7E56" w:rsidRPr="005D146E" w:rsidRDefault="00FA7E56" w:rsidP="007B3445">
            <w:pPr>
              <w:rPr>
                <w:noProof/>
              </w:rPr>
            </w:pPr>
          </w:p>
        </w:tc>
      </w:tr>
      <w:tr w:rsidR="0066509A" w:rsidRPr="005D146E" w14:paraId="7DEE9183" w14:textId="77777777" w:rsidTr="007B3445">
        <w:tc>
          <w:tcPr>
            <w:tcW w:w="10029" w:type="dxa"/>
            <w:gridSpan w:val="15"/>
          </w:tcPr>
          <w:p w14:paraId="525E123D" w14:textId="48BE6D6F" w:rsidR="00FA7E56" w:rsidRPr="005D146E" w:rsidRDefault="00FA7E56" w:rsidP="007B3445">
            <w:pPr>
              <w:rPr>
                <w:noProof/>
              </w:rPr>
            </w:pPr>
            <w:r w:rsidRPr="005D146E">
              <w:rPr>
                <w:noProof/>
              </w:rPr>
              <w:t>Typ av appliceringsutrustning (kryssa för det alternativ som ligger närmast)</w:t>
            </w:r>
          </w:p>
        </w:tc>
      </w:tr>
      <w:tr w:rsidR="0066509A" w:rsidRPr="005D146E" w14:paraId="27B743DE" w14:textId="77777777" w:rsidTr="007B3445">
        <w:tc>
          <w:tcPr>
            <w:tcW w:w="1949" w:type="dxa"/>
          </w:tcPr>
          <w:p w14:paraId="4451493F" w14:textId="77777777" w:rsidR="00FA7E56" w:rsidRPr="005D146E" w:rsidRDefault="00FA7E56" w:rsidP="007B3445">
            <w:pPr>
              <w:rPr>
                <w:noProof/>
              </w:rPr>
            </w:pPr>
            <w:r w:rsidRPr="005D146E">
              <w:rPr>
                <w:noProof/>
              </w:rPr>
              <w:t>Bomspruta</w:t>
            </w:r>
          </w:p>
        </w:tc>
        <w:tc>
          <w:tcPr>
            <w:tcW w:w="566" w:type="dxa"/>
          </w:tcPr>
          <w:p w14:paraId="7D73DD0F" w14:textId="77777777" w:rsidR="00FA7E56" w:rsidRPr="005D146E" w:rsidRDefault="00FA7E56" w:rsidP="007B3445">
            <w:pPr>
              <w:rPr>
                <w:noProof/>
              </w:rPr>
            </w:pPr>
          </w:p>
        </w:tc>
        <w:tc>
          <w:tcPr>
            <w:tcW w:w="1701" w:type="dxa"/>
            <w:gridSpan w:val="3"/>
          </w:tcPr>
          <w:p w14:paraId="60F48D38" w14:textId="690E8A1E" w:rsidR="00FA7E56" w:rsidRPr="005D146E" w:rsidRDefault="00563707" w:rsidP="007B3445">
            <w:pPr>
              <w:rPr>
                <w:noProof/>
              </w:rPr>
            </w:pPr>
            <w:r w:rsidRPr="005D146E">
              <w:rPr>
                <w:noProof/>
              </w:rPr>
              <w:t>Spridningsutrustning för växtskyddsmedel som producerar droppar och som använder en fläkt för att distribuera dessa droppar vertikalt och/eller i sidled.</w:t>
            </w:r>
          </w:p>
        </w:tc>
        <w:tc>
          <w:tcPr>
            <w:tcW w:w="567" w:type="dxa"/>
          </w:tcPr>
          <w:p w14:paraId="20DA9874" w14:textId="77777777" w:rsidR="00FA7E56" w:rsidRPr="005D146E" w:rsidRDefault="00FA7E56" w:rsidP="007B3445">
            <w:pPr>
              <w:rPr>
                <w:noProof/>
              </w:rPr>
            </w:pPr>
          </w:p>
        </w:tc>
        <w:tc>
          <w:tcPr>
            <w:tcW w:w="1843" w:type="dxa"/>
            <w:gridSpan w:val="2"/>
          </w:tcPr>
          <w:p w14:paraId="7D175E52" w14:textId="77777777" w:rsidR="00FA7E56" w:rsidRPr="005D146E" w:rsidRDefault="00FA7E56" w:rsidP="007B3445">
            <w:pPr>
              <w:rPr>
                <w:noProof/>
              </w:rPr>
            </w:pPr>
            <w:r w:rsidRPr="005D146E">
              <w:rPr>
                <w:noProof/>
              </w:rPr>
              <w:t>Dimspruta (kall och varm)</w:t>
            </w:r>
          </w:p>
        </w:tc>
        <w:tc>
          <w:tcPr>
            <w:tcW w:w="567" w:type="dxa"/>
          </w:tcPr>
          <w:p w14:paraId="048A7B3C" w14:textId="77777777" w:rsidR="00FA7E56" w:rsidRPr="005D146E" w:rsidRDefault="00FA7E56" w:rsidP="007B3445">
            <w:pPr>
              <w:rPr>
                <w:noProof/>
              </w:rPr>
            </w:pPr>
          </w:p>
        </w:tc>
        <w:tc>
          <w:tcPr>
            <w:tcW w:w="2271" w:type="dxa"/>
            <w:gridSpan w:val="3"/>
          </w:tcPr>
          <w:p w14:paraId="4FA6619F" w14:textId="77777777" w:rsidR="00FA7E56" w:rsidRPr="005D146E" w:rsidRDefault="00FA7E56" w:rsidP="007B3445">
            <w:pPr>
              <w:rPr>
                <w:noProof/>
              </w:rPr>
            </w:pPr>
            <w:r w:rsidRPr="005D146E">
              <w:rPr>
                <w:noProof/>
              </w:rPr>
              <w:t>Betningsutrustning för utsäde</w:t>
            </w:r>
          </w:p>
        </w:tc>
        <w:tc>
          <w:tcPr>
            <w:tcW w:w="565" w:type="dxa"/>
            <w:gridSpan w:val="3"/>
          </w:tcPr>
          <w:p w14:paraId="3CFBECC6" w14:textId="77777777" w:rsidR="00FA7E56" w:rsidRPr="005D146E" w:rsidRDefault="00FA7E56" w:rsidP="007B3445">
            <w:pPr>
              <w:rPr>
                <w:noProof/>
              </w:rPr>
            </w:pPr>
          </w:p>
        </w:tc>
      </w:tr>
      <w:tr w:rsidR="0066509A" w:rsidRPr="005D146E" w14:paraId="51E7C72E" w14:textId="77777777" w:rsidTr="007B3445">
        <w:tc>
          <w:tcPr>
            <w:tcW w:w="1949" w:type="dxa"/>
          </w:tcPr>
          <w:p w14:paraId="3CB3709E" w14:textId="77777777" w:rsidR="00FA7E56" w:rsidRPr="005D146E" w:rsidRDefault="00FA7E56" w:rsidP="007B3445">
            <w:pPr>
              <w:rPr>
                <w:noProof/>
              </w:rPr>
            </w:pPr>
            <w:r w:rsidRPr="005D146E">
              <w:rPr>
                <w:noProof/>
              </w:rPr>
              <w:t>Granulatspridare</w:t>
            </w:r>
          </w:p>
        </w:tc>
        <w:tc>
          <w:tcPr>
            <w:tcW w:w="566" w:type="dxa"/>
          </w:tcPr>
          <w:p w14:paraId="4AF4367D" w14:textId="77777777" w:rsidR="00FA7E56" w:rsidRPr="005D146E" w:rsidRDefault="00FA7E56" w:rsidP="007B3445">
            <w:pPr>
              <w:rPr>
                <w:noProof/>
              </w:rPr>
            </w:pPr>
          </w:p>
        </w:tc>
        <w:tc>
          <w:tcPr>
            <w:tcW w:w="1701" w:type="dxa"/>
            <w:gridSpan w:val="3"/>
          </w:tcPr>
          <w:p w14:paraId="15DB3221" w14:textId="51B0D031" w:rsidR="00FA7E56" w:rsidRPr="005D146E" w:rsidRDefault="00FA7E56" w:rsidP="007B3445">
            <w:pPr>
              <w:rPr>
                <w:noProof/>
              </w:rPr>
            </w:pPr>
          </w:p>
        </w:tc>
        <w:tc>
          <w:tcPr>
            <w:tcW w:w="567" w:type="dxa"/>
          </w:tcPr>
          <w:p w14:paraId="151ED1DD" w14:textId="77777777" w:rsidR="00FA7E56" w:rsidRPr="005D146E" w:rsidRDefault="00FA7E56" w:rsidP="007B3445">
            <w:pPr>
              <w:rPr>
                <w:noProof/>
              </w:rPr>
            </w:pPr>
          </w:p>
        </w:tc>
        <w:tc>
          <w:tcPr>
            <w:tcW w:w="1843" w:type="dxa"/>
            <w:gridSpan w:val="2"/>
          </w:tcPr>
          <w:p w14:paraId="5A65D5C3" w14:textId="77777777" w:rsidR="00FA7E56" w:rsidRPr="005D146E" w:rsidRDefault="00FA7E56" w:rsidP="007B3445">
            <w:pPr>
              <w:rPr>
                <w:noProof/>
              </w:rPr>
            </w:pPr>
            <w:r w:rsidRPr="005D146E">
              <w:rPr>
                <w:noProof/>
              </w:rPr>
              <w:t>Ånggenerator</w:t>
            </w:r>
          </w:p>
        </w:tc>
        <w:tc>
          <w:tcPr>
            <w:tcW w:w="567" w:type="dxa"/>
          </w:tcPr>
          <w:p w14:paraId="0FC688D0" w14:textId="77777777" w:rsidR="00FA7E56" w:rsidRPr="005D146E" w:rsidRDefault="00FA7E56" w:rsidP="007B3445">
            <w:pPr>
              <w:rPr>
                <w:noProof/>
              </w:rPr>
            </w:pPr>
          </w:p>
        </w:tc>
        <w:tc>
          <w:tcPr>
            <w:tcW w:w="2271" w:type="dxa"/>
            <w:gridSpan w:val="3"/>
          </w:tcPr>
          <w:p w14:paraId="4E7B476A" w14:textId="77777777" w:rsidR="00FA7E56" w:rsidRPr="005D146E" w:rsidRDefault="00FA7E56" w:rsidP="007B3445">
            <w:pPr>
              <w:rPr>
                <w:noProof/>
              </w:rPr>
            </w:pPr>
            <w:r w:rsidRPr="005D146E">
              <w:rPr>
                <w:noProof/>
              </w:rPr>
              <w:t>Vertikal spruta</w:t>
            </w:r>
          </w:p>
        </w:tc>
        <w:tc>
          <w:tcPr>
            <w:tcW w:w="565" w:type="dxa"/>
            <w:gridSpan w:val="3"/>
          </w:tcPr>
          <w:p w14:paraId="6A6F7BA8" w14:textId="77777777" w:rsidR="00FA7E56" w:rsidRPr="005D146E" w:rsidRDefault="00FA7E56" w:rsidP="007B3445">
            <w:pPr>
              <w:rPr>
                <w:noProof/>
              </w:rPr>
            </w:pPr>
          </w:p>
        </w:tc>
      </w:tr>
      <w:tr w:rsidR="0066509A" w:rsidRPr="005D146E" w14:paraId="7A690C87" w14:textId="77777777" w:rsidTr="007B3445">
        <w:tc>
          <w:tcPr>
            <w:tcW w:w="1949" w:type="dxa"/>
          </w:tcPr>
          <w:p w14:paraId="43D0FFCF" w14:textId="77777777" w:rsidR="00FA7E56" w:rsidRPr="005D146E" w:rsidRDefault="00FA7E56" w:rsidP="007B3445">
            <w:pPr>
              <w:rPr>
                <w:noProof/>
              </w:rPr>
            </w:pPr>
            <w:r w:rsidRPr="005D146E">
              <w:rPr>
                <w:noProof/>
              </w:rPr>
              <w:t>Flygplan</w:t>
            </w:r>
          </w:p>
        </w:tc>
        <w:tc>
          <w:tcPr>
            <w:tcW w:w="566" w:type="dxa"/>
          </w:tcPr>
          <w:p w14:paraId="43F288B5" w14:textId="77777777" w:rsidR="00FA7E56" w:rsidRPr="005D146E" w:rsidRDefault="00FA7E56" w:rsidP="007B3445">
            <w:pPr>
              <w:rPr>
                <w:noProof/>
              </w:rPr>
            </w:pPr>
          </w:p>
        </w:tc>
        <w:tc>
          <w:tcPr>
            <w:tcW w:w="1701" w:type="dxa"/>
            <w:gridSpan w:val="3"/>
          </w:tcPr>
          <w:p w14:paraId="4A735FCB" w14:textId="77777777" w:rsidR="00FA7E56" w:rsidRPr="005D146E" w:rsidRDefault="00FA7E56" w:rsidP="007B3445">
            <w:pPr>
              <w:rPr>
                <w:noProof/>
              </w:rPr>
            </w:pPr>
            <w:r w:rsidRPr="005D146E">
              <w:rPr>
                <w:noProof/>
              </w:rPr>
              <w:t>Helikopter</w:t>
            </w:r>
          </w:p>
        </w:tc>
        <w:tc>
          <w:tcPr>
            <w:tcW w:w="567" w:type="dxa"/>
          </w:tcPr>
          <w:p w14:paraId="472ED8FF" w14:textId="77777777" w:rsidR="00FA7E56" w:rsidRPr="005D146E" w:rsidRDefault="00FA7E56" w:rsidP="007B3445">
            <w:pPr>
              <w:rPr>
                <w:noProof/>
              </w:rPr>
            </w:pPr>
          </w:p>
        </w:tc>
        <w:tc>
          <w:tcPr>
            <w:tcW w:w="1843" w:type="dxa"/>
            <w:gridSpan w:val="2"/>
          </w:tcPr>
          <w:p w14:paraId="6B4777D7" w14:textId="182BCE2C" w:rsidR="00FA7E56" w:rsidRPr="005D146E" w:rsidRDefault="00C6189E" w:rsidP="00C6189E">
            <w:pPr>
              <w:rPr>
                <w:noProof/>
              </w:rPr>
            </w:pPr>
            <w:r w:rsidRPr="005D146E">
              <w:rPr>
                <w:noProof/>
              </w:rPr>
              <w:t>Obemannade luftfartyg (t.ex. drönare)</w:t>
            </w:r>
          </w:p>
        </w:tc>
        <w:tc>
          <w:tcPr>
            <w:tcW w:w="567" w:type="dxa"/>
          </w:tcPr>
          <w:p w14:paraId="2FCD5EB4" w14:textId="77777777" w:rsidR="00FA7E56" w:rsidRPr="005D146E" w:rsidRDefault="00FA7E56" w:rsidP="007B3445">
            <w:pPr>
              <w:rPr>
                <w:noProof/>
              </w:rPr>
            </w:pPr>
          </w:p>
        </w:tc>
        <w:tc>
          <w:tcPr>
            <w:tcW w:w="2271" w:type="dxa"/>
            <w:gridSpan w:val="3"/>
          </w:tcPr>
          <w:p w14:paraId="74B6F2EF" w14:textId="77777777" w:rsidR="00FA7E56" w:rsidRPr="005D146E" w:rsidRDefault="00FA7E56" w:rsidP="007B3445">
            <w:pPr>
              <w:rPr>
                <w:noProof/>
              </w:rPr>
            </w:pPr>
            <w:r w:rsidRPr="005D146E">
              <w:rPr>
                <w:noProof/>
              </w:rPr>
              <w:t>Bärbar besprutningsutrustning</w:t>
            </w:r>
          </w:p>
        </w:tc>
        <w:tc>
          <w:tcPr>
            <w:tcW w:w="565" w:type="dxa"/>
            <w:gridSpan w:val="3"/>
          </w:tcPr>
          <w:p w14:paraId="2992A8F8" w14:textId="77777777" w:rsidR="00FA7E56" w:rsidRPr="005D146E" w:rsidRDefault="00FA7E56" w:rsidP="007B3445">
            <w:pPr>
              <w:rPr>
                <w:noProof/>
              </w:rPr>
            </w:pPr>
          </w:p>
        </w:tc>
      </w:tr>
      <w:tr w:rsidR="0066509A" w:rsidRPr="005D146E" w14:paraId="42D7C48D" w14:textId="77777777" w:rsidTr="007B3445">
        <w:tc>
          <w:tcPr>
            <w:tcW w:w="1949" w:type="dxa"/>
          </w:tcPr>
          <w:p w14:paraId="2B12A077" w14:textId="77777777" w:rsidR="00FA7E56" w:rsidRPr="005D146E" w:rsidRDefault="00FA7E56" w:rsidP="007B3445">
            <w:pPr>
              <w:rPr>
                <w:noProof/>
              </w:rPr>
            </w:pPr>
            <w:r w:rsidRPr="005D146E">
              <w:rPr>
                <w:noProof/>
              </w:rPr>
              <w:t>Annan</w:t>
            </w:r>
          </w:p>
        </w:tc>
        <w:tc>
          <w:tcPr>
            <w:tcW w:w="566" w:type="dxa"/>
          </w:tcPr>
          <w:p w14:paraId="04A2ADCE" w14:textId="77777777" w:rsidR="00FA7E56" w:rsidRPr="005D146E" w:rsidRDefault="00FA7E56" w:rsidP="007B3445">
            <w:pPr>
              <w:rPr>
                <w:noProof/>
              </w:rPr>
            </w:pPr>
          </w:p>
        </w:tc>
        <w:tc>
          <w:tcPr>
            <w:tcW w:w="7514" w:type="dxa"/>
            <w:gridSpan w:val="13"/>
          </w:tcPr>
          <w:p w14:paraId="6FF270A1" w14:textId="77777777" w:rsidR="00FA7E56" w:rsidRPr="005D146E" w:rsidRDefault="00FA7E56" w:rsidP="007B3445">
            <w:pPr>
              <w:rPr>
                <w:noProof/>
              </w:rPr>
            </w:pPr>
            <w:r w:rsidRPr="005D146E">
              <w:rPr>
                <w:noProof/>
                <w:sz w:val="16"/>
              </w:rPr>
              <w:t>Beskrivning:</w:t>
            </w:r>
          </w:p>
        </w:tc>
      </w:tr>
      <w:tr w:rsidR="0066509A" w:rsidRPr="005D146E" w14:paraId="654D4019" w14:textId="77777777" w:rsidTr="007B3445">
        <w:tc>
          <w:tcPr>
            <w:tcW w:w="9468" w:type="dxa"/>
            <w:gridSpan w:val="12"/>
          </w:tcPr>
          <w:p w14:paraId="6A9C3CFF" w14:textId="77777777" w:rsidR="00FA7E56" w:rsidRPr="005D146E" w:rsidRDefault="00FA7E56" w:rsidP="007B3445">
            <w:pPr>
              <w:rPr>
                <w:noProof/>
              </w:rPr>
            </w:pPr>
            <w:r w:rsidRPr="005D146E">
              <w:rPr>
                <w:noProof/>
              </w:rPr>
              <w:t>Är utrustningen luftassisterad?</w:t>
            </w:r>
          </w:p>
        </w:tc>
        <w:tc>
          <w:tcPr>
            <w:tcW w:w="561" w:type="dxa"/>
            <w:gridSpan w:val="3"/>
          </w:tcPr>
          <w:p w14:paraId="06DCF26F" w14:textId="77777777" w:rsidR="00FA7E56" w:rsidRPr="005D146E" w:rsidRDefault="00FA7E56" w:rsidP="007B3445">
            <w:pPr>
              <w:rPr>
                <w:noProof/>
              </w:rPr>
            </w:pPr>
          </w:p>
        </w:tc>
      </w:tr>
      <w:tr w:rsidR="0066509A" w:rsidRPr="005D146E" w14:paraId="69AFE36A" w14:textId="77777777" w:rsidTr="007B3445">
        <w:tc>
          <w:tcPr>
            <w:tcW w:w="9464" w:type="dxa"/>
            <w:gridSpan w:val="12"/>
          </w:tcPr>
          <w:p w14:paraId="5FA0ECA0" w14:textId="77777777" w:rsidR="00FA7E56" w:rsidRPr="005D146E" w:rsidRDefault="00FA7E56" w:rsidP="007B3445">
            <w:pPr>
              <w:rPr>
                <w:noProof/>
              </w:rPr>
            </w:pPr>
            <w:r w:rsidRPr="005D146E">
              <w:rPr>
                <w:noProof/>
              </w:rPr>
              <w:t>Är utrustningen utrustad med GPS-styrt munstycke eller GPS-styrd avstängning av sektioner?</w:t>
            </w:r>
          </w:p>
        </w:tc>
        <w:tc>
          <w:tcPr>
            <w:tcW w:w="565" w:type="dxa"/>
            <w:gridSpan w:val="3"/>
          </w:tcPr>
          <w:p w14:paraId="3BA2A565" w14:textId="77777777" w:rsidR="00FA7E56" w:rsidRPr="005D146E" w:rsidRDefault="00FA7E56" w:rsidP="007B3445">
            <w:pPr>
              <w:rPr>
                <w:noProof/>
              </w:rPr>
            </w:pPr>
          </w:p>
        </w:tc>
      </w:tr>
      <w:tr w:rsidR="0066509A" w:rsidRPr="005D146E" w14:paraId="6CA99D6A" w14:textId="77777777" w:rsidTr="007B3445">
        <w:tc>
          <w:tcPr>
            <w:tcW w:w="10029" w:type="dxa"/>
            <w:gridSpan w:val="15"/>
          </w:tcPr>
          <w:p w14:paraId="1BB43D8A" w14:textId="5B7E6122" w:rsidR="00FA7E56" w:rsidRPr="005D146E" w:rsidRDefault="00FA7E56" w:rsidP="007B3445">
            <w:pPr>
              <w:rPr>
                <w:noProof/>
              </w:rPr>
            </w:pPr>
            <w:r w:rsidRPr="005D146E">
              <w:rPr>
                <w:noProof/>
              </w:rPr>
              <w:t xml:space="preserve">Utrustning för spridning av bekämpningsmedel </w:t>
            </w:r>
          </w:p>
        </w:tc>
      </w:tr>
      <w:tr w:rsidR="0066509A" w:rsidRPr="005D146E" w14:paraId="49B3C125" w14:textId="77777777" w:rsidTr="007B3445">
        <w:tc>
          <w:tcPr>
            <w:tcW w:w="1949" w:type="dxa"/>
          </w:tcPr>
          <w:p w14:paraId="4208D3E2" w14:textId="77777777" w:rsidR="00FA7E56" w:rsidRPr="005D146E" w:rsidRDefault="00FA7E56" w:rsidP="007B3445">
            <w:pPr>
              <w:rPr>
                <w:noProof/>
              </w:rPr>
            </w:pPr>
            <w:r w:rsidRPr="005D146E">
              <w:rPr>
                <w:noProof/>
              </w:rPr>
              <w:t>Märke:</w:t>
            </w:r>
          </w:p>
        </w:tc>
        <w:tc>
          <w:tcPr>
            <w:tcW w:w="2267" w:type="dxa"/>
            <w:gridSpan w:val="4"/>
          </w:tcPr>
          <w:p w14:paraId="67B55FFD" w14:textId="77777777" w:rsidR="00FA7E56" w:rsidRPr="005D146E" w:rsidRDefault="00FA7E56" w:rsidP="007B3445">
            <w:pPr>
              <w:rPr>
                <w:noProof/>
              </w:rPr>
            </w:pPr>
          </w:p>
        </w:tc>
        <w:tc>
          <w:tcPr>
            <w:tcW w:w="2977" w:type="dxa"/>
            <w:gridSpan w:val="4"/>
          </w:tcPr>
          <w:p w14:paraId="3430536A" w14:textId="77777777" w:rsidR="00FA7E56" w:rsidRPr="005D146E" w:rsidRDefault="00FA7E56" w:rsidP="007B3445">
            <w:pPr>
              <w:rPr>
                <w:noProof/>
              </w:rPr>
            </w:pPr>
            <w:r w:rsidRPr="005D146E">
              <w:rPr>
                <w:noProof/>
              </w:rPr>
              <w:t>Modell:</w:t>
            </w:r>
          </w:p>
        </w:tc>
        <w:tc>
          <w:tcPr>
            <w:tcW w:w="2836" w:type="dxa"/>
            <w:gridSpan w:val="6"/>
          </w:tcPr>
          <w:p w14:paraId="3CFCCF91" w14:textId="77777777" w:rsidR="00FA7E56" w:rsidRPr="005D146E" w:rsidRDefault="00FA7E56" w:rsidP="007B3445">
            <w:pPr>
              <w:rPr>
                <w:noProof/>
              </w:rPr>
            </w:pPr>
          </w:p>
        </w:tc>
      </w:tr>
      <w:tr w:rsidR="0066509A" w:rsidRPr="005D146E" w14:paraId="35146329" w14:textId="77777777" w:rsidTr="007B3445">
        <w:tc>
          <w:tcPr>
            <w:tcW w:w="1949" w:type="dxa"/>
          </w:tcPr>
          <w:p w14:paraId="10058F9F" w14:textId="77777777" w:rsidR="00FA7E56" w:rsidRPr="005D146E" w:rsidRDefault="00FA7E56" w:rsidP="007B3445">
            <w:pPr>
              <w:rPr>
                <w:noProof/>
              </w:rPr>
            </w:pPr>
            <w:r w:rsidRPr="005D146E">
              <w:rPr>
                <w:noProof/>
              </w:rPr>
              <w:t>Chassinummer:</w:t>
            </w:r>
          </w:p>
        </w:tc>
        <w:tc>
          <w:tcPr>
            <w:tcW w:w="2267" w:type="dxa"/>
            <w:gridSpan w:val="4"/>
          </w:tcPr>
          <w:p w14:paraId="40637ECF" w14:textId="77777777" w:rsidR="00FA7E56" w:rsidRPr="005D146E" w:rsidRDefault="00FA7E56" w:rsidP="007B3445">
            <w:pPr>
              <w:rPr>
                <w:noProof/>
              </w:rPr>
            </w:pPr>
          </w:p>
        </w:tc>
        <w:tc>
          <w:tcPr>
            <w:tcW w:w="2977" w:type="dxa"/>
            <w:gridSpan w:val="4"/>
          </w:tcPr>
          <w:p w14:paraId="44049FF1" w14:textId="4488EEF5" w:rsidR="00FA7E56" w:rsidRPr="005D146E" w:rsidRDefault="00FA7E56" w:rsidP="007B3445">
            <w:pPr>
              <w:rPr>
                <w:noProof/>
              </w:rPr>
            </w:pPr>
            <w:r w:rsidRPr="005D146E">
              <w:rPr>
                <w:noProof/>
              </w:rPr>
              <w:t>Tankens/behållarens kapacitet:</w:t>
            </w:r>
          </w:p>
        </w:tc>
        <w:tc>
          <w:tcPr>
            <w:tcW w:w="2836" w:type="dxa"/>
            <w:gridSpan w:val="6"/>
          </w:tcPr>
          <w:p w14:paraId="0078CB1A" w14:textId="77777777" w:rsidR="00FA7E56" w:rsidRPr="005D146E" w:rsidRDefault="00FA7E56" w:rsidP="007B3445">
            <w:pPr>
              <w:rPr>
                <w:noProof/>
              </w:rPr>
            </w:pPr>
          </w:p>
        </w:tc>
      </w:tr>
      <w:tr w:rsidR="0066509A" w:rsidRPr="005D146E" w14:paraId="7D7B2A86" w14:textId="77777777" w:rsidTr="007B3445">
        <w:tc>
          <w:tcPr>
            <w:tcW w:w="1949" w:type="dxa"/>
            <w:tcBorders>
              <w:bottom w:val="single" w:sz="6" w:space="0" w:color="auto"/>
            </w:tcBorders>
          </w:tcPr>
          <w:p w14:paraId="6A2CF702" w14:textId="77777777" w:rsidR="00FA7E56" w:rsidRPr="005D146E" w:rsidRDefault="00FA7E56" w:rsidP="007B3445">
            <w:pPr>
              <w:rPr>
                <w:noProof/>
              </w:rPr>
            </w:pPr>
            <w:r w:rsidRPr="005D146E">
              <w:rPr>
                <w:noProof/>
              </w:rPr>
              <w:t>Tillverkningsår:</w:t>
            </w:r>
          </w:p>
        </w:tc>
        <w:tc>
          <w:tcPr>
            <w:tcW w:w="2267" w:type="dxa"/>
            <w:gridSpan w:val="4"/>
            <w:tcBorders>
              <w:bottom w:val="single" w:sz="6" w:space="0" w:color="auto"/>
            </w:tcBorders>
          </w:tcPr>
          <w:p w14:paraId="5A0CE845" w14:textId="77777777" w:rsidR="00FA7E56" w:rsidRPr="005D146E" w:rsidRDefault="00FA7E56" w:rsidP="007B3445">
            <w:pPr>
              <w:rPr>
                <w:noProof/>
              </w:rPr>
            </w:pPr>
          </w:p>
        </w:tc>
        <w:tc>
          <w:tcPr>
            <w:tcW w:w="2977" w:type="dxa"/>
            <w:gridSpan w:val="4"/>
            <w:tcBorders>
              <w:bottom w:val="single" w:sz="6" w:space="0" w:color="auto"/>
            </w:tcBorders>
          </w:tcPr>
          <w:p w14:paraId="3C378DD0" w14:textId="77777777" w:rsidR="00FA7E56" w:rsidRPr="005D146E" w:rsidRDefault="00FA7E56" w:rsidP="007B3445">
            <w:pPr>
              <w:rPr>
                <w:noProof/>
              </w:rPr>
            </w:pPr>
            <w:r w:rsidRPr="005D146E">
              <w:rPr>
                <w:noProof/>
              </w:rPr>
              <w:t>Arbetsbredd:</w:t>
            </w:r>
          </w:p>
        </w:tc>
        <w:tc>
          <w:tcPr>
            <w:tcW w:w="2836" w:type="dxa"/>
            <w:gridSpan w:val="6"/>
            <w:tcBorders>
              <w:bottom w:val="single" w:sz="6" w:space="0" w:color="auto"/>
            </w:tcBorders>
          </w:tcPr>
          <w:p w14:paraId="3A4829DF" w14:textId="77777777" w:rsidR="00FA7E56" w:rsidRPr="005D146E" w:rsidRDefault="00FA7E56" w:rsidP="007B3445">
            <w:pPr>
              <w:rPr>
                <w:noProof/>
              </w:rPr>
            </w:pPr>
          </w:p>
        </w:tc>
      </w:tr>
      <w:tr w:rsidR="00FA7E56" w:rsidRPr="005D146E" w14:paraId="56A70EA1" w14:textId="77777777" w:rsidTr="007B3445">
        <w:tc>
          <w:tcPr>
            <w:tcW w:w="1949" w:type="dxa"/>
            <w:tcBorders>
              <w:top w:val="single" w:sz="6" w:space="0" w:color="auto"/>
              <w:bottom w:val="single" w:sz="24" w:space="0" w:color="auto"/>
            </w:tcBorders>
          </w:tcPr>
          <w:p w14:paraId="791B40B3" w14:textId="77777777" w:rsidR="00FA7E56" w:rsidRPr="005D146E" w:rsidRDefault="00FA7E56" w:rsidP="007B3445">
            <w:pPr>
              <w:rPr>
                <w:noProof/>
              </w:rPr>
            </w:pPr>
            <w:r w:rsidRPr="005D146E">
              <w:rPr>
                <w:noProof/>
              </w:rPr>
              <w:t>Övriga uppgifter:</w:t>
            </w:r>
          </w:p>
        </w:tc>
        <w:tc>
          <w:tcPr>
            <w:tcW w:w="8080" w:type="dxa"/>
            <w:gridSpan w:val="14"/>
            <w:tcBorders>
              <w:top w:val="single" w:sz="6" w:space="0" w:color="auto"/>
              <w:bottom w:val="single" w:sz="24" w:space="0" w:color="auto"/>
            </w:tcBorders>
          </w:tcPr>
          <w:p w14:paraId="258E1421" w14:textId="77777777" w:rsidR="00FA7E56" w:rsidRPr="005D146E" w:rsidRDefault="00FA7E56" w:rsidP="007B3445">
            <w:pPr>
              <w:rPr>
                <w:noProof/>
              </w:rPr>
            </w:pPr>
          </w:p>
        </w:tc>
      </w:tr>
    </w:tbl>
    <w:p w14:paraId="61E90BC1" w14:textId="77777777" w:rsidR="00FA7E56" w:rsidRPr="005D146E" w:rsidRDefault="00FA7E56" w:rsidP="00FA7E56">
      <w:pPr>
        <w:rPr>
          <w:noProof/>
        </w:rPr>
      </w:pPr>
    </w:p>
    <w:p w14:paraId="4474E014" w14:textId="77777777" w:rsidR="00FA7E56" w:rsidRPr="005D146E" w:rsidRDefault="00FA7E56" w:rsidP="00FA7E56">
      <w:pPr>
        <w:rPr>
          <w:noProof/>
        </w:rPr>
        <w:sectPr w:rsidR="00FA7E56" w:rsidRPr="005D146E" w:rsidSect="007E0431">
          <w:pgSz w:w="11907" w:h="16839"/>
          <w:pgMar w:top="1134" w:right="1417" w:bottom="1134" w:left="1417" w:header="709" w:footer="709" w:gutter="0"/>
          <w:cols w:space="720"/>
          <w:docGrid w:linePitch="360"/>
        </w:sectPr>
      </w:pPr>
    </w:p>
    <w:p w14:paraId="52C5277F" w14:textId="07EB8412" w:rsidR="00FA7E56" w:rsidRPr="005D146E" w:rsidRDefault="6B25E89D" w:rsidP="00FA7E56">
      <w:pPr>
        <w:pStyle w:val="Annexetitre"/>
        <w:rPr>
          <w:noProof/>
        </w:rPr>
      </w:pPr>
      <w:r w:rsidRPr="005D146E">
        <w:rPr>
          <w:noProof/>
        </w:rPr>
        <w:t xml:space="preserve">BILAGA VI </w:t>
      </w:r>
      <w:r w:rsidRPr="005D146E">
        <w:rPr>
          <w:noProof/>
        </w:rPr>
        <w:br/>
        <w:t>som avses i artikel 35</w:t>
      </w:r>
    </w:p>
    <w:p w14:paraId="708910DF" w14:textId="072FC278" w:rsidR="00FA7E56" w:rsidRPr="005D146E" w:rsidRDefault="00FA7E56" w:rsidP="00FA7E56">
      <w:pPr>
        <w:jc w:val="center"/>
        <w:rPr>
          <w:noProof/>
          <w:szCs w:val="24"/>
        </w:rPr>
      </w:pPr>
      <w:r w:rsidRPr="005D146E">
        <w:rPr>
          <w:b/>
          <w:noProof/>
        </w:rPr>
        <w:t>METOD FÖR BERÄKNING AV HARMONISERADE RISKINDIKATORER PÅ UNIONSNIVÅ OCH NATIONELL NIVÅ</w:t>
      </w:r>
    </w:p>
    <w:p w14:paraId="55591DC4" w14:textId="77777777" w:rsidR="00A94DEB" w:rsidRPr="005D146E" w:rsidRDefault="00A94DEB" w:rsidP="00FA7E56">
      <w:pPr>
        <w:jc w:val="center"/>
        <w:rPr>
          <w:noProof/>
          <w:szCs w:val="24"/>
        </w:rPr>
      </w:pPr>
    </w:p>
    <w:p w14:paraId="56D7D1A0" w14:textId="77777777" w:rsidR="00FA7E56" w:rsidRPr="005D146E" w:rsidRDefault="00FA7E56" w:rsidP="00FA7E56">
      <w:pPr>
        <w:jc w:val="center"/>
        <w:rPr>
          <w:noProof/>
          <w:szCs w:val="24"/>
        </w:rPr>
      </w:pPr>
      <w:r w:rsidRPr="005D146E">
        <w:rPr>
          <w:noProof/>
        </w:rPr>
        <w:t>AVSNITT 1</w:t>
      </w:r>
    </w:p>
    <w:p w14:paraId="3091D6C5" w14:textId="326FC2B9" w:rsidR="00FA7E56" w:rsidRPr="005D146E" w:rsidRDefault="00FA7E56" w:rsidP="00FA7E56">
      <w:pPr>
        <w:jc w:val="center"/>
        <w:rPr>
          <w:b/>
          <w:bCs/>
          <w:noProof/>
          <w:szCs w:val="24"/>
        </w:rPr>
      </w:pPr>
      <w:r w:rsidRPr="005D146E">
        <w:rPr>
          <w:b/>
          <w:noProof/>
        </w:rPr>
        <w:t>Harmoniserade riskindikatorer</w:t>
      </w:r>
    </w:p>
    <w:p w14:paraId="65E90FC4" w14:textId="37D79609" w:rsidR="00FA7E56" w:rsidRPr="005D146E" w:rsidRDefault="00FA7E56" w:rsidP="00E65BCC">
      <w:pPr>
        <w:rPr>
          <w:noProof/>
          <w:szCs w:val="24"/>
        </w:rPr>
      </w:pPr>
      <w:r w:rsidRPr="005D146E">
        <w:rPr>
          <w:noProof/>
        </w:rPr>
        <w:t>Metoden för att beräkna harmoniserade riskindikatorer på både unionsnivå och nationell nivå förtecknas i avsnitten 2–4 i denna bilaga. Samma metod används för beräkningen av både unionsindikatorer och nationella indikatorer, men i det ena fallet baseras den på unionsomfattande statistik och i det andra fallet på nationell statistik. Indikatorerna ska beräknas årligen.</w:t>
      </w:r>
    </w:p>
    <w:p w14:paraId="390EC7FE" w14:textId="77777777" w:rsidR="00A94DEB" w:rsidRPr="005D146E" w:rsidRDefault="00A94DEB" w:rsidP="00FA7E56">
      <w:pPr>
        <w:jc w:val="center"/>
        <w:rPr>
          <w:noProof/>
          <w:szCs w:val="24"/>
        </w:rPr>
      </w:pPr>
    </w:p>
    <w:p w14:paraId="071B236F" w14:textId="77777777" w:rsidR="00FA7E56" w:rsidRPr="005D146E" w:rsidRDefault="00FA7E56" w:rsidP="00FA7E56">
      <w:pPr>
        <w:jc w:val="center"/>
        <w:rPr>
          <w:noProof/>
          <w:szCs w:val="24"/>
        </w:rPr>
      </w:pPr>
      <w:r w:rsidRPr="005D146E">
        <w:rPr>
          <w:noProof/>
        </w:rPr>
        <w:t>AVSNITT 2</w:t>
      </w:r>
    </w:p>
    <w:p w14:paraId="372B09BB" w14:textId="33C22D33" w:rsidR="00FA7E56" w:rsidRPr="005D146E" w:rsidRDefault="00FA7E56" w:rsidP="00FA7E56">
      <w:pPr>
        <w:jc w:val="center"/>
        <w:rPr>
          <w:b/>
          <w:bCs/>
          <w:noProof/>
          <w:szCs w:val="24"/>
        </w:rPr>
      </w:pPr>
      <w:r w:rsidRPr="005D146E">
        <w:rPr>
          <w:b/>
          <w:noProof/>
        </w:rPr>
        <w:t>Harmoniserad riskindikator 1: farobaserad harmoniserad riskindikator baserad på de mängder verksamma ämnen i växtskyddsmedel som släpps ut på marknaden enligt förordning (EG) nr 1107/2009</w:t>
      </w:r>
    </w:p>
    <w:p w14:paraId="09210B73" w14:textId="19EC5677" w:rsidR="00FA7E56" w:rsidRPr="005D146E" w:rsidRDefault="0000669A" w:rsidP="0000669A">
      <w:pPr>
        <w:pStyle w:val="Point0"/>
        <w:rPr>
          <w:noProof/>
        </w:rPr>
      </w:pPr>
      <w:r w:rsidRPr="005D146E">
        <w:rPr>
          <w:noProof/>
        </w:rPr>
        <w:t>1.</w:t>
      </w:r>
      <w:r w:rsidRPr="005D146E">
        <w:rPr>
          <w:noProof/>
        </w:rPr>
        <w:tab/>
        <w:t xml:space="preserve">Denna indikator ska baseras på statistik över de mängder verksamma ämnen i växtskyddsmedel som släpps ut på marknaden enligt förordning (EG) nr 1107/2009 och som översänds till kommissionen (Eurostat) enligt bilaga I i förordning (EG) nr 1185/2009. Dessa uppgifter delas in i fyra 4 grupper. </w:t>
      </w:r>
    </w:p>
    <w:p w14:paraId="53C0FD50" w14:textId="3CAD5684" w:rsidR="00A94DEB" w:rsidRPr="005D146E" w:rsidRDefault="0000669A" w:rsidP="0000669A">
      <w:pPr>
        <w:pStyle w:val="Point0"/>
        <w:rPr>
          <w:noProof/>
          <w:szCs w:val="24"/>
        </w:rPr>
      </w:pPr>
      <w:r w:rsidRPr="005D146E">
        <w:rPr>
          <w:noProof/>
        </w:rPr>
        <w:t>2.</w:t>
      </w:r>
      <w:r w:rsidRPr="005D146E">
        <w:rPr>
          <w:noProof/>
        </w:rPr>
        <w:tab/>
        <w:t>Följande allmänna regler ska tillämpas vid beräkningen av harmoniserad riskindikator 1:</w:t>
      </w:r>
    </w:p>
    <w:p w14:paraId="2DC2CB4B" w14:textId="4EBB1DB2" w:rsidR="00FA7E56" w:rsidRPr="005D146E" w:rsidRDefault="00A94DEB" w:rsidP="00A94DEB">
      <w:pPr>
        <w:pStyle w:val="Point1"/>
        <w:rPr>
          <w:noProof/>
        </w:rPr>
      </w:pPr>
      <w:r w:rsidRPr="005D146E">
        <w:rPr>
          <w:noProof/>
        </w:rPr>
        <w:t>a)</w:t>
      </w:r>
      <w:r w:rsidRPr="005D146E">
        <w:rPr>
          <w:noProof/>
        </w:rPr>
        <w:tab/>
        <w:t xml:space="preserve">Harmoniserad riskindikator 1 ska beräknas på grundval av den kategorisering av verksamma ämnen i fyra grupper som anges i tabell 1. </w:t>
      </w:r>
    </w:p>
    <w:p w14:paraId="24FDBEEF" w14:textId="1179953A" w:rsidR="00FA7E56" w:rsidRPr="005D146E" w:rsidRDefault="00A94DEB" w:rsidP="00A94DEB">
      <w:pPr>
        <w:pStyle w:val="Point1"/>
        <w:rPr>
          <w:noProof/>
          <w:szCs w:val="24"/>
        </w:rPr>
      </w:pPr>
      <w:r w:rsidRPr="005D146E">
        <w:rPr>
          <w:noProof/>
        </w:rPr>
        <w:t>b)</w:t>
      </w:r>
      <w:r w:rsidRPr="005D146E">
        <w:rPr>
          <w:noProof/>
        </w:rPr>
        <w:tab/>
        <w:t>De verksamma ämnena i grupp 1 ska vara de ämnen som förtecknas i del D i bilagan till genomförandeförordning (EU) nr 540/2011.</w:t>
      </w:r>
    </w:p>
    <w:p w14:paraId="3592A3A0" w14:textId="44CBC251" w:rsidR="00FA7E56" w:rsidRPr="005D146E" w:rsidRDefault="00A94DEB" w:rsidP="00A94DEB">
      <w:pPr>
        <w:pStyle w:val="Point1"/>
        <w:rPr>
          <w:noProof/>
          <w:szCs w:val="24"/>
        </w:rPr>
      </w:pPr>
      <w:r w:rsidRPr="005D146E">
        <w:rPr>
          <w:noProof/>
        </w:rPr>
        <w:t>c)</w:t>
      </w:r>
      <w:r w:rsidRPr="005D146E">
        <w:rPr>
          <w:noProof/>
        </w:rPr>
        <w:tab/>
        <w:t xml:space="preserve">De verksamma ämnena i grupp 2 ska vara de ämnen som förtecknas i delarna A och B i bilagan till genomförandeförordning (EU) nr 540/2011. </w:t>
      </w:r>
    </w:p>
    <w:p w14:paraId="559C11EE" w14:textId="64A3A2A5" w:rsidR="00FA7E56" w:rsidRPr="005D146E" w:rsidRDefault="00A94DEB" w:rsidP="00A94DEB">
      <w:pPr>
        <w:pStyle w:val="Point1"/>
        <w:rPr>
          <w:noProof/>
          <w:szCs w:val="24"/>
        </w:rPr>
      </w:pPr>
      <w:r w:rsidRPr="005D146E">
        <w:rPr>
          <w:noProof/>
        </w:rPr>
        <w:t>d)</w:t>
      </w:r>
      <w:r w:rsidRPr="005D146E">
        <w:rPr>
          <w:noProof/>
        </w:rPr>
        <w:tab/>
        <w:t xml:space="preserve">De verksamma ämnena i grupp 3 ska vara de ämnen som är godkända som kandidatämnen för substitution i enlighet med artikel 24 i förordning (EG) nr 1107/2009 och som förtecknas i del E i bilagan till genomförandeförordning (EU) nr 540/2011, eller som förtecknas i bilagan till genomförandeförordning (EU) 2015/408. </w:t>
      </w:r>
    </w:p>
    <w:p w14:paraId="5F68CB60" w14:textId="2E202716" w:rsidR="00FA7E56" w:rsidRPr="005D146E" w:rsidRDefault="00A94DEB" w:rsidP="00A94DEB">
      <w:pPr>
        <w:pStyle w:val="Point1"/>
        <w:rPr>
          <w:noProof/>
          <w:szCs w:val="24"/>
        </w:rPr>
      </w:pPr>
      <w:r w:rsidRPr="005D146E">
        <w:rPr>
          <w:noProof/>
        </w:rPr>
        <w:t>e)</w:t>
      </w:r>
      <w:r w:rsidRPr="005D146E">
        <w:rPr>
          <w:noProof/>
        </w:rPr>
        <w:tab/>
        <w:t xml:space="preserve">De verksamma ämnena i grupp 4 ska vara de ämnen som inte är godkända enligt förordning (EG) nr 1107/2009 och därför inte förtecknas i bilagan till genomförandeförordning (EU) nr 540/2011. </w:t>
      </w:r>
    </w:p>
    <w:p w14:paraId="524EFBA3" w14:textId="22883423" w:rsidR="00FA7E56" w:rsidRPr="005D146E" w:rsidRDefault="00A94DEB" w:rsidP="00A94DEB">
      <w:pPr>
        <w:pStyle w:val="Point1"/>
        <w:rPr>
          <w:noProof/>
          <w:szCs w:val="24"/>
        </w:rPr>
      </w:pPr>
      <w:r w:rsidRPr="005D146E">
        <w:rPr>
          <w:noProof/>
        </w:rPr>
        <w:t>f)</w:t>
      </w:r>
      <w:r w:rsidRPr="005D146E">
        <w:rPr>
          <w:noProof/>
        </w:rPr>
        <w:tab/>
        <w:t xml:space="preserve">Viktningen på rad iii i tabell 1 ska tillämpas. </w:t>
      </w:r>
    </w:p>
    <w:p w14:paraId="3B188D48" w14:textId="5154BED5" w:rsidR="00FA7E56" w:rsidRPr="005D146E" w:rsidRDefault="00A94DEB" w:rsidP="00A94DEB">
      <w:pPr>
        <w:pStyle w:val="Point0"/>
        <w:rPr>
          <w:noProof/>
          <w:szCs w:val="24"/>
        </w:rPr>
      </w:pPr>
      <w:r w:rsidRPr="005D146E">
        <w:rPr>
          <w:noProof/>
        </w:rPr>
        <w:t>3.</w:t>
      </w:r>
      <w:r w:rsidRPr="005D146E">
        <w:rPr>
          <w:noProof/>
        </w:rPr>
        <w:tab/>
        <w:t xml:space="preserve">Harmoniserad riskindikator 1 ska beräknas på så sätt att de årliga mängder verksamma ämnen i växtskyddsmedel som släpps ut på marknaden för varje grupp i tabell 1 multipliceras med den relevanta viktning av faran som anges på rad iii, följt av aggregering av resultaten av dessa beräkningar. </w:t>
      </w:r>
    </w:p>
    <w:p w14:paraId="37F0E0AB" w14:textId="77777777" w:rsidR="00FA7E56" w:rsidRPr="005D146E" w:rsidRDefault="00FA7E56" w:rsidP="00FA7E56">
      <w:pPr>
        <w:rPr>
          <w:noProof/>
          <w:szCs w:val="24"/>
        </w:rPr>
      </w:pPr>
    </w:p>
    <w:p w14:paraId="2EE7CDF9" w14:textId="77777777" w:rsidR="00FA7E56" w:rsidRPr="005D146E" w:rsidRDefault="00FA7E56" w:rsidP="00FA7E56">
      <w:pPr>
        <w:jc w:val="center"/>
        <w:rPr>
          <w:i/>
          <w:iCs/>
          <w:noProof/>
          <w:szCs w:val="24"/>
        </w:rPr>
      </w:pPr>
      <w:r w:rsidRPr="005D146E">
        <w:rPr>
          <w:i/>
          <w:noProof/>
        </w:rPr>
        <w:t>Tabell 1</w:t>
      </w:r>
    </w:p>
    <w:p w14:paraId="0DD598BC" w14:textId="502B02FD" w:rsidR="00FA7E56" w:rsidRPr="005D146E" w:rsidRDefault="00FA7E56" w:rsidP="00FA7E56">
      <w:pPr>
        <w:jc w:val="center"/>
        <w:rPr>
          <w:b/>
          <w:bCs/>
          <w:noProof/>
          <w:szCs w:val="24"/>
        </w:rPr>
      </w:pPr>
      <w:r w:rsidRPr="005D146E">
        <w:rPr>
          <w:b/>
          <w:noProof/>
        </w:rPr>
        <w:t>Kategorisering av verksamma ämnen och viktning av faran vid beräkning av harmoniserad riskindikator 1</w:t>
      </w:r>
    </w:p>
    <w:tbl>
      <w:tblPr>
        <w:tblStyle w:val="TableGrid"/>
        <w:tblW w:w="0" w:type="auto"/>
        <w:tblLook w:val="04A0" w:firstRow="1" w:lastRow="0" w:firstColumn="1" w:lastColumn="0" w:noHBand="0" w:noVBand="1"/>
      </w:tblPr>
      <w:tblGrid>
        <w:gridCol w:w="565"/>
        <w:gridCol w:w="2181"/>
        <w:gridCol w:w="2181"/>
        <w:gridCol w:w="2181"/>
        <w:gridCol w:w="2181"/>
      </w:tblGrid>
      <w:tr w:rsidR="0066509A" w:rsidRPr="005D146E" w14:paraId="59889F7E" w14:textId="77777777" w:rsidTr="007B3445">
        <w:tc>
          <w:tcPr>
            <w:tcW w:w="1848" w:type="dxa"/>
            <w:vMerge w:val="restart"/>
          </w:tcPr>
          <w:p w14:paraId="56511E84" w14:textId="77777777" w:rsidR="00FA7E56" w:rsidRPr="005D146E" w:rsidRDefault="00FA7E56" w:rsidP="007B3445">
            <w:pPr>
              <w:jc w:val="center"/>
              <w:rPr>
                <w:b/>
                <w:bCs/>
                <w:noProof/>
                <w:sz w:val="20"/>
                <w:szCs w:val="20"/>
              </w:rPr>
            </w:pPr>
            <w:r w:rsidRPr="005D146E">
              <w:rPr>
                <w:b/>
                <w:noProof/>
                <w:sz w:val="20"/>
              </w:rPr>
              <w:t>Rad</w:t>
            </w:r>
          </w:p>
        </w:tc>
        <w:tc>
          <w:tcPr>
            <w:tcW w:w="7394" w:type="dxa"/>
            <w:gridSpan w:val="4"/>
          </w:tcPr>
          <w:p w14:paraId="010C8CF7" w14:textId="77777777" w:rsidR="00FA7E56" w:rsidRPr="005D146E" w:rsidRDefault="00FA7E56" w:rsidP="007B3445">
            <w:pPr>
              <w:jc w:val="center"/>
              <w:rPr>
                <w:b/>
                <w:bCs/>
                <w:noProof/>
                <w:sz w:val="20"/>
                <w:szCs w:val="20"/>
              </w:rPr>
            </w:pPr>
            <w:r w:rsidRPr="005D146E">
              <w:rPr>
                <w:b/>
                <w:noProof/>
                <w:sz w:val="20"/>
              </w:rPr>
              <w:t>Grupp</w:t>
            </w:r>
          </w:p>
        </w:tc>
      </w:tr>
      <w:tr w:rsidR="0066509A" w:rsidRPr="005D146E" w14:paraId="55FFB319" w14:textId="77777777" w:rsidTr="007B3445">
        <w:tc>
          <w:tcPr>
            <w:tcW w:w="1848" w:type="dxa"/>
            <w:vMerge/>
          </w:tcPr>
          <w:p w14:paraId="695B94B7" w14:textId="77777777" w:rsidR="00FA7E56" w:rsidRPr="005D146E" w:rsidRDefault="00FA7E56" w:rsidP="007B3445">
            <w:pPr>
              <w:jc w:val="center"/>
              <w:rPr>
                <w:b/>
                <w:bCs/>
                <w:noProof/>
                <w:sz w:val="20"/>
                <w:szCs w:val="20"/>
              </w:rPr>
            </w:pPr>
          </w:p>
        </w:tc>
        <w:tc>
          <w:tcPr>
            <w:tcW w:w="1848" w:type="dxa"/>
          </w:tcPr>
          <w:p w14:paraId="79652404" w14:textId="77777777" w:rsidR="00FA7E56" w:rsidRPr="005D146E" w:rsidRDefault="00FA7E56" w:rsidP="007B3445">
            <w:pPr>
              <w:jc w:val="center"/>
              <w:rPr>
                <w:b/>
                <w:bCs/>
                <w:noProof/>
                <w:sz w:val="20"/>
                <w:szCs w:val="20"/>
              </w:rPr>
            </w:pPr>
            <w:r w:rsidRPr="005D146E">
              <w:rPr>
                <w:b/>
                <w:noProof/>
                <w:sz w:val="20"/>
              </w:rPr>
              <w:t>1</w:t>
            </w:r>
          </w:p>
        </w:tc>
        <w:tc>
          <w:tcPr>
            <w:tcW w:w="1848" w:type="dxa"/>
          </w:tcPr>
          <w:p w14:paraId="3823B11A" w14:textId="77777777" w:rsidR="00FA7E56" w:rsidRPr="005D146E" w:rsidRDefault="00FA7E56" w:rsidP="007B3445">
            <w:pPr>
              <w:jc w:val="center"/>
              <w:rPr>
                <w:b/>
                <w:bCs/>
                <w:noProof/>
                <w:sz w:val="20"/>
                <w:szCs w:val="20"/>
              </w:rPr>
            </w:pPr>
            <w:r w:rsidRPr="005D146E">
              <w:rPr>
                <w:b/>
                <w:noProof/>
                <w:sz w:val="20"/>
              </w:rPr>
              <w:t>2</w:t>
            </w:r>
          </w:p>
        </w:tc>
        <w:tc>
          <w:tcPr>
            <w:tcW w:w="1849" w:type="dxa"/>
          </w:tcPr>
          <w:p w14:paraId="4C4E11D4" w14:textId="77777777" w:rsidR="00FA7E56" w:rsidRPr="005D146E" w:rsidRDefault="00FA7E56" w:rsidP="007B3445">
            <w:pPr>
              <w:jc w:val="center"/>
              <w:rPr>
                <w:b/>
                <w:bCs/>
                <w:noProof/>
                <w:sz w:val="20"/>
                <w:szCs w:val="20"/>
              </w:rPr>
            </w:pPr>
            <w:r w:rsidRPr="005D146E">
              <w:rPr>
                <w:b/>
                <w:noProof/>
                <w:sz w:val="20"/>
              </w:rPr>
              <w:t>3</w:t>
            </w:r>
          </w:p>
        </w:tc>
        <w:tc>
          <w:tcPr>
            <w:tcW w:w="1849" w:type="dxa"/>
          </w:tcPr>
          <w:p w14:paraId="6A0ED49E" w14:textId="77777777" w:rsidR="00FA7E56" w:rsidRPr="005D146E" w:rsidRDefault="00FA7E56" w:rsidP="007B3445">
            <w:pPr>
              <w:jc w:val="center"/>
              <w:rPr>
                <w:b/>
                <w:bCs/>
                <w:noProof/>
                <w:sz w:val="20"/>
                <w:szCs w:val="20"/>
              </w:rPr>
            </w:pPr>
            <w:r w:rsidRPr="005D146E">
              <w:rPr>
                <w:b/>
                <w:noProof/>
                <w:sz w:val="20"/>
              </w:rPr>
              <w:t>4</w:t>
            </w:r>
          </w:p>
        </w:tc>
      </w:tr>
      <w:tr w:rsidR="0066509A" w:rsidRPr="005D146E" w14:paraId="6CB9835F" w14:textId="77777777" w:rsidTr="007B3445">
        <w:tc>
          <w:tcPr>
            <w:tcW w:w="1848" w:type="dxa"/>
          </w:tcPr>
          <w:p w14:paraId="4D86B008" w14:textId="77777777" w:rsidR="00FA7E56" w:rsidRPr="005D146E" w:rsidRDefault="00FA7E56" w:rsidP="007B3445">
            <w:pPr>
              <w:jc w:val="center"/>
              <w:rPr>
                <w:b/>
                <w:bCs/>
                <w:noProof/>
                <w:sz w:val="20"/>
                <w:szCs w:val="20"/>
              </w:rPr>
            </w:pPr>
            <w:r w:rsidRPr="005D146E">
              <w:rPr>
                <w:b/>
                <w:noProof/>
                <w:sz w:val="20"/>
              </w:rPr>
              <w:t>i)</w:t>
            </w:r>
          </w:p>
        </w:tc>
        <w:tc>
          <w:tcPr>
            <w:tcW w:w="1848" w:type="dxa"/>
          </w:tcPr>
          <w:p w14:paraId="431BF69A" w14:textId="77777777" w:rsidR="00FA7E56" w:rsidRPr="005D146E" w:rsidRDefault="00FA7E56" w:rsidP="007B3445">
            <w:pPr>
              <w:jc w:val="center"/>
              <w:rPr>
                <w:b/>
                <w:bCs/>
                <w:noProof/>
                <w:sz w:val="20"/>
                <w:szCs w:val="20"/>
              </w:rPr>
            </w:pPr>
            <w:r w:rsidRPr="005D146E">
              <w:rPr>
                <w:noProof/>
                <w:sz w:val="20"/>
              </w:rPr>
              <w:t>Verksamma ämnen med låg risk som är eller anses vara godkända enligt artikel 22 i förordning (EG) nr 1107/2009 och som förtecknas i del D i bilagan till genomförandeförordning (EU) nr 540/2011</w:t>
            </w:r>
          </w:p>
        </w:tc>
        <w:tc>
          <w:tcPr>
            <w:tcW w:w="1848" w:type="dxa"/>
          </w:tcPr>
          <w:p w14:paraId="22D047AA" w14:textId="77777777" w:rsidR="00FA7E56" w:rsidRPr="005D146E" w:rsidRDefault="00FA7E56" w:rsidP="007B3445">
            <w:pPr>
              <w:jc w:val="center"/>
              <w:rPr>
                <w:b/>
                <w:bCs/>
                <w:noProof/>
                <w:sz w:val="20"/>
                <w:szCs w:val="20"/>
              </w:rPr>
            </w:pPr>
            <w:r w:rsidRPr="005D146E">
              <w:rPr>
                <w:noProof/>
                <w:sz w:val="20"/>
              </w:rPr>
              <w:t>Verksamma ämnen som är eller anses vara godkända enligt förordning (EG) nr 1107/2009, som inte omfattas av andra kategorier och som förtecknas i delarna A och B i bilagan till genomförandeförordning (EU) nr 540/2011</w:t>
            </w:r>
          </w:p>
        </w:tc>
        <w:tc>
          <w:tcPr>
            <w:tcW w:w="1849" w:type="dxa"/>
          </w:tcPr>
          <w:p w14:paraId="2B5A16CE" w14:textId="74A389CD" w:rsidR="00FA7E56" w:rsidRPr="005D146E" w:rsidRDefault="00FA7E56" w:rsidP="009870D6">
            <w:pPr>
              <w:jc w:val="center"/>
              <w:rPr>
                <w:rFonts w:eastAsia="Times New Roman"/>
                <w:noProof/>
                <w:sz w:val="20"/>
                <w:szCs w:val="20"/>
              </w:rPr>
            </w:pPr>
            <w:r w:rsidRPr="005D146E">
              <w:rPr>
                <w:noProof/>
                <w:sz w:val="20"/>
              </w:rPr>
              <w:t>Verksamma ämnen som är godkända som kandidatämnen för substitution i enlighet med artikel 24 i förordning (EG) nr 1107/2009 och som förtecknas i del E i bilagan till genomförandeförordning (EU) nr 540/2011, eller som förtecknas i bilagan till genomförandeförordning (EU) 2015/408.</w:t>
            </w:r>
          </w:p>
        </w:tc>
        <w:tc>
          <w:tcPr>
            <w:tcW w:w="1849" w:type="dxa"/>
          </w:tcPr>
          <w:p w14:paraId="3A29B2B4" w14:textId="0BF64E7A" w:rsidR="00FA7E56" w:rsidRPr="005D146E" w:rsidRDefault="00FA7E56" w:rsidP="000B05C3">
            <w:pPr>
              <w:jc w:val="center"/>
              <w:rPr>
                <w:b/>
                <w:bCs/>
                <w:noProof/>
                <w:sz w:val="20"/>
                <w:szCs w:val="20"/>
              </w:rPr>
            </w:pPr>
            <w:r w:rsidRPr="005D146E">
              <w:rPr>
                <w:noProof/>
                <w:sz w:val="20"/>
              </w:rPr>
              <w:t>Verksamma ämnen som inte är godkända enligt förordning (EG) nr 1107/2009 och därför inte förtecknas i bilagan till genomförandeförordning (EU) nr 540/2011</w:t>
            </w:r>
          </w:p>
        </w:tc>
      </w:tr>
      <w:tr w:rsidR="0066509A" w:rsidRPr="005D146E" w14:paraId="77BC2898" w14:textId="77777777" w:rsidTr="007B3445">
        <w:tc>
          <w:tcPr>
            <w:tcW w:w="1848" w:type="dxa"/>
          </w:tcPr>
          <w:p w14:paraId="1FB3ED73" w14:textId="286D4EAD" w:rsidR="00FA7E56" w:rsidRPr="005D146E" w:rsidRDefault="00FA7E56" w:rsidP="007B3445">
            <w:pPr>
              <w:jc w:val="center"/>
              <w:rPr>
                <w:b/>
                <w:bCs/>
                <w:noProof/>
                <w:sz w:val="20"/>
                <w:szCs w:val="20"/>
              </w:rPr>
            </w:pPr>
            <w:r w:rsidRPr="005D146E">
              <w:rPr>
                <w:b/>
                <w:noProof/>
                <w:sz w:val="20"/>
              </w:rPr>
              <w:t>ii)</w:t>
            </w:r>
          </w:p>
        </w:tc>
        <w:tc>
          <w:tcPr>
            <w:tcW w:w="7394" w:type="dxa"/>
            <w:gridSpan w:val="4"/>
          </w:tcPr>
          <w:p w14:paraId="54A9234D" w14:textId="7FC92C85" w:rsidR="00FA7E56" w:rsidRPr="005D146E" w:rsidRDefault="00FA7E56" w:rsidP="007B3445">
            <w:pPr>
              <w:jc w:val="center"/>
              <w:rPr>
                <w:b/>
                <w:bCs/>
                <w:noProof/>
                <w:sz w:val="20"/>
                <w:szCs w:val="20"/>
              </w:rPr>
            </w:pPr>
            <w:r w:rsidRPr="005D146E">
              <w:rPr>
                <w:noProof/>
                <w:sz w:val="20"/>
              </w:rPr>
              <w:t>Viktning av faran som ska tillämpas på de mängder verksamma ämnen som släpps ut på marknaden i växtskyddsmedel som har godkänts enligt förordning (EG) nr 1107/2009</w:t>
            </w:r>
          </w:p>
        </w:tc>
      </w:tr>
      <w:tr w:rsidR="00FA7E56" w:rsidRPr="005D146E" w14:paraId="653671B7" w14:textId="77777777" w:rsidTr="007B3445">
        <w:tc>
          <w:tcPr>
            <w:tcW w:w="1848" w:type="dxa"/>
          </w:tcPr>
          <w:p w14:paraId="086E5771" w14:textId="11EE6BB4" w:rsidR="00FA7E56" w:rsidRPr="005D146E" w:rsidRDefault="00FA7E56" w:rsidP="007B3445">
            <w:pPr>
              <w:jc w:val="center"/>
              <w:rPr>
                <w:b/>
                <w:bCs/>
                <w:noProof/>
                <w:sz w:val="20"/>
                <w:szCs w:val="20"/>
              </w:rPr>
            </w:pPr>
            <w:r w:rsidRPr="005D146E">
              <w:rPr>
                <w:b/>
                <w:noProof/>
                <w:sz w:val="20"/>
              </w:rPr>
              <w:t>iii)</w:t>
            </w:r>
          </w:p>
        </w:tc>
        <w:tc>
          <w:tcPr>
            <w:tcW w:w="1848" w:type="dxa"/>
          </w:tcPr>
          <w:p w14:paraId="0C1D4639" w14:textId="77777777" w:rsidR="00FA7E56" w:rsidRPr="005D146E" w:rsidRDefault="00FA7E56" w:rsidP="007B3445">
            <w:pPr>
              <w:jc w:val="center"/>
              <w:rPr>
                <w:b/>
                <w:bCs/>
                <w:noProof/>
                <w:sz w:val="20"/>
                <w:szCs w:val="20"/>
              </w:rPr>
            </w:pPr>
            <w:r w:rsidRPr="005D146E">
              <w:rPr>
                <w:b/>
                <w:noProof/>
                <w:sz w:val="20"/>
              </w:rPr>
              <w:t>1</w:t>
            </w:r>
          </w:p>
        </w:tc>
        <w:tc>
          <w:tcPr>
            <w:tcW w:w="1848" w:type="dxa"/>
          </w:tcPr>
          <w:p w14:paraId="5A1BA6B6" w14:textId="77777777" w:rsidR="00FA7E56" w:rsidRPr="005D146E" w:rsidRDefault="00FA7E56" w:rsidP="007B3445">
            <w:pPr>
              <w:jc w:val="center"/>
              <w:rPr>
                <w:b/>
                <w:bCs/>
                <w:noProof/>
                <w:sz w:val="20"/>
                <w:szCs w:val="20"/>
              </w:rPr>
            </w:pPr>
            <w:r w:rsidRPr="005D146E">
              <w:rPr>
                <w:b/>
                <w:noProof/>
                <w:sz w:val="20"/>
              </w:rPr>
              <w:t>8</w:t>
            </w:r>
          </w:p>
        </w:tc>
        <w:tc>
          <w:tcPr>
            <w:tcW w:w="1849" w:type="dxa"/>
          </w:tcPr>
          <w:p w14:paraId="71D7822F" w14:textId="77777777" w:rsidR="00FA7E56" w:rsidRPr="005D146E" w:rsidRDefault="00FA7E56" w:rsidP="007B3445">
            <w:pPr>
              <w:jc w:val="center"/>
              <w:rPr>
                <w:b/>
                <w:bCs/>
                <w:noProof/>
                <w:sz w:val="20"/>
                <w:szCs w:val="20"/>
              </w:rPr>
            </w:pPr>
            <w:r w:rsidRPr="005D146E">
              <w:rPr>
                <w:b/>
                <w:noProof/>
                <w:sz w:val="20"/>
              </w:rPr>
              <w:t>16</w:t>
            </w:r>
          </w:p>
        </w:tc>
        <w:tc>
          <w:tcPr>
            <w:tcW w:w="1849" w:type="dxa"/>
          </w:tcPr>
          <w:p w14:paraId="73AA3EC1" w14:textId="77777777" w:rsidR="00FA7E56" w:rsidRPr="005D146E" w:rsidRDefault="00FA7E56" w:rsidP="007B3445">
            <w:pPr>
              <w:jc w:val="center"/>
              <w:rPr>
                <w:b/>
                <w:bCs/>
                <w:noProof/>
                <w:sz w:val="20"/>
                <w:szCs w:val="20"/>
              </w:rPr>
            </w:pPr>
            <w:r w:rsidRPr="005D146E">
              <w:rPr>
                <w:b/>
                <w:noProof/>
                <w:sz w:val="20"/>
              </w:rPr>
              <w:t>64</w:t>
            </w:r>
          </w:p>
        </w:tc>
      </w:tr>
    </w:tbl>
    <w:p w14:paraId="74B56034" w14:textId="77777777" w:rsidR="00FA7E56" w:rsidRPr="005D146E" w:rsidRDefault="00FA7E56" w:rsidP="00FA7E56">
      <w:pPr>
        <w:rPr>
          <w:b/>
          <w:bCs/>
          <w:noProof/>
          <w:szCs w:val="24"/>
        </w:rPr>
      </w:pPr>
    </w:p>
    <w:p w14:paraId="6D38AC37" w14:textId="3621CFEA" w:rsidR="00FA7E56" w:rsidRPr="005D146E" w:rsidRDefault="00B75AC6" w:rsidP="00A94DEB">
      <w:pPr>
        <w:pStyle w:val="Point0"/>
        <w:rPr>
          <w:noProof/>
          <w:szCs w:val="24"/>
        </w:rPr>
      </w:pPr>
      <w:r w:rsidRPr="005D146E">
        <w:rPr>
          <w:noProof/>
        </w:rPr>
        <w:t>4.</w:t>
      </w:r>
      <w:r w:rsidRPr="005D146E">
        <w:rPr>
          <w:noProof/>
        </w:rPr>
        <w:tab/>
        <w:t xml:space="preserve">Utgångsvärdet för harmoniserad riskindikator 1 ska fastställas till 100 och vara lika med det genomsnittliga resultatet av ovanstående beräkning för perioden 2011–2013. </w:t>
      </w:r>
    </w:p>
    <w:p w14:paraId="31B54062" w14:textId="392FA302" w:rsidR="002D1F12" w:rsidRPr="005D146E" w:rsidRDefault="00B75AC6" w:rsidP="00A94DEB">
      <w:pPr>
        <w:pStyle w:val="Point0"/>
        <w:rPr>
          <w:noProof/>
          <w:szCs w:val="24"/>
        </w:rPr>
      </w:pPr>
      <w:r w:rsidRPr="005D146E">
        <w:rPr>
          <w:noProof/>
        </w:rPr>
        <w:t>5.</w:t>
      </w:r>
      <w:r w:rsidRPr="005D146E">
        <w:rPr>
          <w:noProof/>
        </w:rPr>
        <w:tab/>
        <w:t>Resultatet för harmoniserad riskindikator 1 ska anges i förhållande till utgångsvärdet.</w:t>
      </w:r>
    </w:p>
    <w:p w14:paraId="02B18EE6" w14:textId="6A120D6A" w:rsidR="00FA7E56" w:rsidRPr="005D146E" w:rsidRDefault="00B75AC6" w:rsidP="00A94DEB">
      <w:pPr>
        <w:pStyle w:val="Point0"/>
        <w:rPr>
          <w:noProof/>
          <w:szCs w:val="24"/>
        </w:rPr>
      </w:pPr>
      <w:r w:rsidRPr="005D146E">
        <w:rPr>
          <w:noProof/>
        </w:rPr>
        <w:t>6.</w:t>
      </w:r>
      <w:r w:rsidRPr="005D146E">
        <w:rPr>
          <w:noProof/>
        </w:rPr>
        <w:tab/>
        <w:t>Kommissionen ska beräkna och offentliggöra resultaten för harmoniserad riskindikator 1 på unionsnivå i enlighet med artikel 35.2 i denna förordning för varje kalenderår och senast 20 månader efter utgången av det år för vilket harmoniserad riskindikator 1 beräknas.</w:t>
      </w:r>
    </w:p>
    <w:p w14:paraId="6B6096C5" w14:textId="651E4316" w:rsidR="00F46430" w:rsidRPr="005D146E" w:rsidRDefault="00F46430" w:rsidP="00F46430">
      <w:pPr>
        <w:pStyle w:val="Point0"/>
        <w:rPr>
          <w:noProof/>
          <w:szCs w:val="24"/>
        </w:rPr>
      </w:pPr>
      <w:r w:rsidRPr="005D146E">
        <w:rPr>
          <w:noProof/>
        </w:rPr>
        <w:t>7.</w:t>
      </w:r>
      <w:r w:rsidRPr="005D146E">
        <w:rPr>
          <w:noProof/>
        </w:rPr>
        <w:tab/>
        <w:t>Medlemsstaterna ska beräkna och offentliggöra resultaten för harmoniserad riskindikator 1 på nationell nivå i enlighet med artikel 35.3 i denna förordning för varje kalenderår senast 20 månader efter utgången av det år för vilket harmoniserad riskindikator 1 beräknas.</w:t>
      </w:r>
    </w:p>
    <w:p w14:paraId="70C3B9C2" w14:textId="77777777" w:rsidR="00A94DEB" w:rsidRPr="005D146E" w:rsidRDefault="00A94DEB" w:rsidP="00FA7E56">
      <w:pPr>
        <w:jc w:val="center"/>
        <w:rPr>
          <w:noProof/>
          <w:szCs w:val="24"/>
        </w:rPr>
      </w:pPr>
    </w:p>
    <w:p w14:paraId="1FBA4E21" w14:textId="77777777" w:rsidR="00FA7E56" w:rsidRPr="005D146E" w:rsidRDefault="00FA7E56" w:rsidP="00FA7E56">
      <w:pPr>
        <w:jc w:val="center"/>
        <w:rPr>
          <w:noProof/>
          <w:szCs w:val="24"/>
        </w:rPr>
      </w:pPr>
      <w:r w:rsidRPr="005D146E">
        <w:rPr>
          <w:noProof/>
        </w:rPr>
        <w:t>AVSNITT 3</w:t>
      </w:r>
    </w:p>
    <w:p w14:paraId="4953FBC3" w14:textId="1BAB095D" w:rsidR="00FA7E56" w:rsidRPr="005D146E" w:rsidRDefault="00FA7E56" w:rsidP="00FA7E56">
      <w:pPr>
        <w:jc w:val="center"/>
        <w:rPr>
          <w:b/>
          <w:bCs/>
          <w:noProof/>
          <w:szCs w:val="24"/>
        </w:rPr>
      </w:pPr>
      <w:r w:rsidRPr="005D146E">
        <w:rPr>
          <w:b/>
          <w:noProof/>
        </w:rPr>
        <w:t>Harmoniserad riskindikator 2: Harmoniserad riskindikator baserad på antalet tillstånd som beviljats enligt artikel 53 i förordning (EG) nr 1107/2009</w:t>
      </w:r>
    </w:p>
    <w:p w14:paraId="35EE5563" w14:textId="56C30FB1" w:rsidR="00FA7E56" w:rsidRPr="005D146E" w:rsidRDefault="00A94DEB" w:rsidP="00A94DEB">
      <w:pPr>
        <w:pStyle w:val="Point0"/>
        <w:rPr>
          <w:noProof/>
          <w:szCs w:val="24"/>
        </w:rPr>
      </w:pPr>
      <w:r w:rsidRPr="005D146E">
        <w:rPr>
          <w:noProof/>
        </w:rPr>
        <w:t>1.</w:t>
      </w:r>
      <w:r w:rsidRPr="005D146E">
        <w:rPr>
          <w:noProof/>
        </w:rPr>
        <w:tab/>
        <w:t xml:space="preserve">Denna indikator ska baseras på antalet tillstånd som beviljats för växtskyddsmedel enligt artikel 53 i förordning (EG) nr 1107/2009 och som meddelats kommissionen i enlighet med artikel 53.1 i den förordningen. Dessa uppgifter delas in i fyra 4 grupper. </w:t>
      </w:r>
    </w:p>
    <w:p w14:paraId="134E7FE0" w14:textId="5485ADB4" w:rsidR="00FA7E56" w:rsidRPr="005D146E" w:rsidRDefault="00A94DEB" w:rsidP="00A94DEB">
      <w:pPr>
        <w:pStyle w:val="Point0"/>
        <w:rPr>
          <w:noProof/>
          <w:szCs w:val="24"/>
        </w:rPr>
      </w:pPr>
      <w:r w:rsidRPr="005D146E">
        <w:rPr>
          <w:noProof/>
        </w:rPr>
        <w:t>2.</w:t>
      </w:r>
      <w:r w:rsidRPr="005D146E">
        <w:rPr>
          <w:noProof/>
        </w:rPr>
        <w:tab/>
        <w:t xml:space="preserve">Följande allmänna regler ska tillämpas vid beräkningen av harmoniserad riskindikator 2: </w:t>
      </w:r>
    </w:p>
    <w:p w14:paraId="458C5DBC" w14:textId="1B061422" w:rsidR="00FA7E56" w:rsidRPr="005D146E" w:rsidRDefault="00A94DEB" w:rsidP="00A94DEB">
      <w:pPr>
        <w:pStyle w:val="Point1"/>
        <w:rPr>
          <w:noProof/>
        </w:rPr>
      </w:pPr>
      <w:r w:rsidRPr="005D146E">
        <w:rPr>
          <w:noProof/>
        </w:rPr>
        <w:t>a)</w:t>
      </w:r>
      <w:r w:rsidRPr="005D146E">
        <w:rPr>
          <w:noProof/>
        </w:rPr>
        <w:tab/>
        <w:t xml:space="preserve">harmoniserad riskindikator 2 ska baseras på antalet godkännanden som beviljats enligt artikel 53 i förordning (EG) nr 1107/2009, och den ska beräknas på grundval av kategoriseringen av verksamma ämnen i de 4 grupper som anges i tabell 2 i detta avsnitt. </w:t>
      </w:r>
    </w:p>
    <w:p w14:paraId="34F4D954" w14:textId="40EA72F6" w:rsidR="00FA7E56" w:rsidRPr="005D146E" w:rsidRDefault="00FA7E56" w:rsidP="00A94DEB">
      <w:pPr>
        <w:pStyle w:val="Point1"/>
        <w:rPr>
          <w:noProof/>
          <w:szCs w:val="24"/>
        </w:rPr>
      </w:pPr>
      <w:r w:rsidRPr="005D146E">
        <w:rPr>
          <w:noProof/>
        </w:rPr>
        <w:t>b)</w:t>
      </w:r>
      <w:r w:rsidRPr="005D146E">
        <w:rPr>
          <w:noProof/>
        </w:rPr>
        <w:tab/>
        <w:t xml:space="preserve">De verksamma ämnena i grupp 1 ska vara de ämnen som förtecknas i del D i bilagan till genomförandeförordning (EU) nr 540/2011. </w:t>
      </w:r>
    </w:p>
    <w:p w14:paraId="304231CD" w14:textId="7D491A02" w:rsidR="00FA7E56" w:rsidRPr="005D146E" w:rsidRDefault="00A94DEB" w:rsidP="00A94DEB">
      <w:pPr>
        <w:pStyle w:val="Point1"/>
        <w:rPr>
          <w:noProof/>
          <w:szCs w:val="24"/>
        </w:rPr>
      </w:pPr>
      <w:r w:rsidRPr="005D146E">
        <w:rPr>
          <w:noProof/>
        </w:rPr>
        <w:t>c)</w:t>
      </w:r>
      <w:r w:rsidRPr="005D146E">
        <w:rPr>
          <w:noProof/>
        </w:rPr>
        <w:tab/>
        <w:t xml:space="preserve">De verksamma ämnena i grupp 2 ska vara de ämnen som förtecknas i delarna A och B i bilagan till genomförandeförordning (EU) nr 540/2011. </w:t>
      </w:r>
    </w:p>
    <w:p w14:paraId="767D477B" w14:textId="7877CC57" w:rsidR="00FA7E56" w:rsidRPr="005D146E" w:rsidRDefault="00A94DEB" w:rsidP="00A94DEB">
      <w:pPr>
        <w:pStyle w:val="Point1"/>
        <w:rPr>
          <w:noProof/>
          <w:szCs w:val="24"/>
        </w:rPr>
      </w:pPr>
      <w:r w:rsidRPr="005D146E">
        <w:rPr>
          <w:noProof/>
        </w:rPr>
        <w:t>d)</w:t>
      </w:r>
      <w:r w:rsidRPr="005D146E">
        <w:rPr>
          <w:noProof/>
        </w:rPr>
        <w:tab/>
        <w:t xml:space="preserve">De verksamma ämnena i grupp 3 ska vara de ämnen som är godkända som kandidatämnen för substitution i enlighet med artikel 24 i förordning (EG) nr 1107/2009 och som förtecknas i del E i bilagan till genomförandeförordning (EU) nr 540/2011, eller som förtecknas i bilagan till genomförandeförordning (EU) 2015/408. </w:t>
      </w:r>
    </w:p>
    <w:p w14:paraId="3F2C3ADC" w14:textId="68B09E69" w:rsidR="00FA7E56" w:rsidRPr="005D146E" w:rsidRDefault="00A94DEB" w:rsidP="00A94DEB">
      <w:pPr>
        <w:pStyle w:val="Point1"/>
        <w:rPr>
          <w:noProof/>
          <w:szCs w:val="24"/>
        </w:rPr>
      </w:pPr>
      <w:r w:rsidRPr="005D146E">
        <w:rPr>
          <w:noProof/>
        </w:rPr>
        <w:t>e)</w:t>
      </w:r>
      <w:r w:rsidRPr="005D146E">
        <w:rPr>
          <w:noProof/>
        </w:rPr>
        <w:tab/>
        <w:t xml:space="preserve">De verksamma ämnena i grupp 4 ska vara de ämnen som inte är godkända enligt förordning (EG) nr 1107/2009 och därför inte förtecknas i bilagan till genomförandeförordning (EU) nr 540/2011. </w:t>
      </w:r>
    </w:p>
    <w:p w14:paraId="1EDAE975" w14:textId="6594EFB3" w:rsidR="00FA7E56" w:rsidRPr="005D146E" w:rsidRDefault="00A94DEB" w:rsidP="00A94DEB">
      <w:pPr>
        <w:pStyle w:val="Point1"/>
        <w:rPr>
          <w:noProof/>
          <w:szCs w:val="24"/>
        </w:rPr>
      </w:pPr>
      <w:r w:rsidRPr="005D146E">
        <w:rPr>
          <w:noProof/>
        </w:rPr>
        <w:t>f)</w:t>
      </w:r>
      <w:r w:rsidRPr="005D146E">
        <w:rPr>
          <w:noProof/>
        </w:rPr>
        <w:tab/>
        <w:t xml:space="preserve">Viktningen på rad iii i tabell 2 i detta avsnitt ska tillämpas. </w:t>
      </w:r>
    </w:p>
    <w:p w14:paraId="4F3AF7AF" w14:textId="43BF0EAF" w:rsidR="00FA7E56" w:rsidRPr="005D146E" w:rsidRDefault="00A94DEB" w:rsidP="00A94DEB">
      <w:pPr>
        <w:pStyle w:val="Point0"/>
        <w:rPr>
          <w:noProof/>
          <w:szCs w:val="24"/>
        </w:rPr>
      </w:pPr>
      <w:r w:rsidRPr="005D146E">
        <w:rPr>
          <w:noProof/>
        </w:rPr>
        <w:t>3.</w:t>
      </w:r>
      <w:r w:rsidRPr="005D146E">
        <w:rPr>
          <w:noProof/>
        </w:rPr>
        <w:tab/>
        <w:t xml:space="preserve">Harmoniserad riskindikator 2 ska beräknas på så sätt att det antal tillstånd som beviljats för växtskyddsmedel enligt artikel 53 i förordning (EG) nr 1107/2009 för varje grupp i tabell 2 multipliceras med den relevanta viktning av faran som anges på rad iii, följt av aggregering av resultaten av dessa beräkningar. </w:t>
      </w:r>
    </w:p>
    <w:p w14:paraId="45FAA8A5" w14:textId="77777777" w:rsidR="00E65BCC" w:rsidRPr="005D146E" w:rsidRDefault="00E65BCC" w:rsidP="00FA7E56">
      <w:pPr>
        <w:jc w:val="center"/>
        <w:rPr>
          <w:i/>
          <w:iCs/>
          <w:noProof/>
          <w:szCs w:val="24"/>
        </w:rPr>
      </w:pPr>
    </w:p>
    <w:p w14:paraId="243CC7AC" w14:textId="5ECEFE32" w:rsidR="00FA7E56" w:rsidRPr="005D146E" w:rsidRDefault="00FA7E56" w:rsidP="00FA7E56">
      <w:pPr>
        <w:jc w:val="center"/>
        <w:rPr>
          <w:i/>
          <w:iCs/>
          <w:noProof/>
          <w:szCs w:val="24"/>
        </w:rPr>
      </w:pPr>
      <w:r w:rsidRPr="005D146E">
        <w:rPr>
          <w:i/>
          <w:noProof/>
        </w:rPr>
        <w:t>Tabell 2</w:t>
      </w:r>
    </w:p>
    <w:p w14:paraId="4AC4D5D2" w14:textId="01C978BE" w:rsidR="00FA7E56" w:rsidRPr="005D146E" w:rsidRDefault="00FA7E56" w:rsidP="00FA7E56">
      <w:pPr>
        <w:jc w:val="center"/>
        <w:rPr>
          <w:b/>
          <w:bCs/>
          <w:noProof/>
          <w:szCs w:val="24"/>
        </w:rPr>
      </w:pPr>
      <w:r w:rsidRPr="005D146E">
        <w:rPr>
          <w:b/>
          <w:noProof/>
        </w:rPr>
        <w:t>Kategorisering av verksamma ämnen och viktning av faran vid beräkning av harmoniserad riskindikator 2</w:t>
      </w:r>
    </w:p>
    <w:p w14:paraId="7C4BA5F0" w14:textId="77777777" w:rsidR="00FA7E56" w:rsidRPr="005D146E" w:rsidRDefault="00FA7E56" w:rsidP="00FA7E56">
      <w:pPr>
        <w:jc w:val="center"/>
        <w:rPr>
          <w:b/>
          <w:bCs/>
          <w:noProof/>
          <w:szCs w:val="24"/>
        </w:rPr>
      </w:pPr>
    </w:p>
    <w:tbl>
      <w:tblPr>
        <w:tblStyle w:val="TableGrid"/>
        <w:tblW w:w="0" w:type="auto"/>
        <w:tblLook w:val="04A0" w:firstRow="1" w:lastRow="0" w:firstColumn="1" w:lastColumn="0" w:noHBand="0" w:noVBand="1"/>
      </w:tblPr>
      <w:tblGrid>
        <w:gridCol w:w="565"/>
        <w:gridCol w:w="2181"/>
        <w:gridCol w:w="2181"/>
        <w:gridCol w:w="2181"/>
        <w:gridCol w:w="2181"/>
      </w:tblGrid>
      <w:tr w:rsidR="0066509A" w:rsidRPr="005D146E" w14:paraId="535B1F60" w14:textId="77777777" w:rsidTr="007B3445">
        <w:tc>
          <w:tcPr>
            <w:tcW w:w="913" w:type="dxa"/>
            <w:vMerge w:val="restart"/>
          </w:tcPr>
          <w:p w14:paraId="7D29E16B" w14:textId="77777777" w:rsidR="00FA7E56" w:rsidRPr="005D146E" w:rsidRDefault="00FA7E56" w:rsidP="007B3445">
            <w:pPr>
              <w:jc w:val="center"/>
              <w:rPr>
                <w:b/>
                <w:bCs/>
                <w:noProof/>
                <w:sz w:val="20"/>
                <w:szCs w:val="20"/>
              </w:rPr>
            </w:pPr>
            <w:r w:rsidRPr="005D146E">
              <w:rPr>
                <w:b/>
                <w:noProof/>
                <w:sz w:val="20"/>
              </w:rPr>
              <w:t>Rad</w:t>
            </w:r>
          </w:p>
        </w:tc>
        <w:tc>
          <w:tcPr>
            <w:tcW w:w="8103" w:type="dxa"/>
            <w:gridSpan w:val="4"/>
          </w:tcPr>
          <w:p w14:paraId="4AB9C22D" w14:textId="77777777" w:rsidR="00FA7E56" w:rsidRPr="005D146E" w:rsidRDefault="00FA7E56" w:rsidP="007B3445">
            <w:pPr>
              <w:jc w:val="center"/>
              <w:rPr>
                <w:b/>
                <w:bCs/>
                <w:noProof/>
                <w:sz w:val="20"/>
                <w:szCs w:val="20"/>
              </w:rPr>
            </w:pPr>
            <w:r w:rsidRPr="005D146E">
              <w:rPr>
                <w:b/>
                <w:noProof/>
                <w:sz w:val="20"/>
              </w:rPr>
              <w:t>Grupp</w:t>
            </w:r>
          </w:p>
        </w:tc>
      </w:tr>
      <w:tr w:rsidR="0066509A" w:rsidRPr="005D146E" w14:paraId="1FB2EA1F" w14:textId="77777777" w:rsidTr="007B3445">
        <w:tc>
          <w:tcPr>
            <w:tcW w:w="913" w:type="dxa"/>
            <w:vMerge/>
          </w:tcPr>
          <w:p w14:paraId="69CF7659" w14:textId="77777777" w:rsidR="00FA7E56" w:rsidRPr="005D146E" w:rsidRDefault="00FA7E56" w:rsidP="007B3445">
            <w:pPr>
              <w:jc w:val="center"/>
              <w:rPr>
                <w:b/>
                <w:bCs/>
                <w:noProof/>
                <w:sz w:val="20"/>
                <w:szCs w:val="20"/>
              </w:rPr>
            </w:pPr>
          </w:p>
        </w:tc>
        <w:tc>
          <w:tcPr>
            <w:tcW w:w="2058" w:type="dxa"/>
          </w:tcPr>
          <w:p w14:paraId="56FC1151" w14:textId="77777777" w:rsidR="00FA7E56" w:rsidRPr="005D146E" w:rsidRDefault="00FA7E56" w:rsidP="007B3445">
            <w:pPr>
              <w:jc w:val="center"/>
              <w:rPr>
                <w:b/>
                <w:bCs/>
                <w:noProof/>
                <w:sz w:val="20"/>
                <w:szCs w:val="20"/>
              </w:rPr>
            </w:pPr>
            <w:r w:rsidRPr="005D146E">
              <w:rPr>
                <w:b/>
                <w:noProof/>
                <w:sz w:val="20"/>
              </w:rPr>
              <w:t>1</w:t>
            </w:r>
          </w:p>
        </w:tc>
        <w:tc>
          <w:tcPr>
            <w:tcW w:w="2058" w:type="dxa"/>
          </w:tcPr>
          <w:p w14:paraId="1F313A3A" w14:textId="77777777" w:rsidR="00FA7E56" w:rsidRPr="005D146E" w:rsidRDefault="00FA7E56" w:rsidP="007B3445">
            <w:pPr>
              <w:jc w:val="center"/>
              <w:rPr>
                <w:b/>
                <w:bCs/>
                <w:noProof/>
                <w:sz w:val="20"/>
                <w:szCs w:val="20"/>
              </w:rPr>
            </w:pPr>
            <w:r w:rsidRPr="005D146E">
              <w:rPr>
                <w:b/>
                <w:noProof/>
                <w:sz w:val="20"/>
              </w:rPr>
              <w:t>2</w:t>
            </w:r>
          </w:p>
        </w:tc>
        <w:tc>
          <w:tcPr>
            <w:tcW w:w="2522" w:type="dxa"/>
          </w:tcPr>
          <w:p w14:paraId="3E9388D4" w14:textId="77777777" w:rsidR="00FA7E56" w:rsidRPr="005D146E" w:rsidRDefault="00FA7E56" w:rsidP="007B3445">
            <w:pPr>
              <w:jc w:val="center"/>
              <w:rPr>
                <w:b/>
                <w:bCs/>
                <w:noProof/>
                <w:sz w:val="20"/>
                <w:szCs w:val="20"/>
              </w:rPr>
            </w:pPr>
            <w:r w:rsidRPr="005D146E">
              <w:rPr>
                <w:b/>
                <w:noProof/>
                <w:sz w:val="20"/>
              </w:rPr>
              <w:t>3</w:t>
            </w:r>
          </w:p>
        </w:tc>
        <w:tc>
          <w:tcPr>
            <w:tcW w:w="1465" w:type="dxa"/>
          </w:tcPr>
          <w:p w14:paraId="3CF50AFA" w14:textId="77777777" w:rsidR="00FA7E56" w:rsidRPr="005D146E" w:rsidRDefault="00FA7E56" w:rsidP="007B3445">
            <w:pPr>
              <w:jc w:val="center"/>
              <w:rPr>
                <w:b/>
                <w:bCs/>
                <w:noProof/>
                <w:sz w:val="20"/>
                <w:szCs w:val="20"/>
              </w:rPr>
            </w:pPr>
            <w:r w:rsidRPr="005D146E">
              <w:rPr>
                <w:b/>
                <w:noProof/>
                <w:sz w:val="20"/>
              </w:rPr>
              <w:t>4</w:t>
            </w:r>
          </w:p>
        </w:tc>
      </w:tr>
      <w:tr w:rsidR="0066509A" w:rsidRPr="005D146E" w14:paraId="18057925" w14:textId="77777777" w:rsidTr="007B3445">
        <w:tc>
          <w:tcPr>
            <w:tcW w:w="913" w:type="dxa"/>
          </w:tcPr>
          <w:p w14:paraId="2DCC5DD0" w14:textId="77777777" w:rsidR="00FA7E56" w:rsidRPr="005D146E" w:rsidRDefault="00FA7E56" w:rsidP="007B3445">
            <w:pPr>
              <w:jc w:val="center"/>
              <w:rPr>
                <w:b/>
                <w:bCs/>
                <w:noProof/>
                <w:sz w:val="20"/>
                <w:szCs w:val="20"/>
              </w:rPr>
            </w:pPr>
            <w:r w:rsidRPr="005D146E">
              <w:rPr>
                <w:b/>
                <w:noProof/>
                <w:sz w:val="20"/>
              </w:rPr>
              <w:t>i)</w:t>
            </w:r>
          </w:p>
        </w:tc>
        <w:tc>
          <w:tcPr>
            <w:tcW w:w="2058" w:type="dxa"/>
          </w:tcPr>
          <w:p w14:paraId="1437B108" w14:textId="77777777" w:rsidR="00FA7E56" w:rsidRPr="005D146E" w:rsidRDefault="00FA7E56" w:rsidP="007B3445">
            <w:pPr>
              <w:jc w:val="center"/>
              <w:rPr>
                <w:b/>
                <w:bCs/>
                <w:noProof/>
                <w:sz w:val="20"/>
                <w:szCs w:val="20"/>
              </w:rPr>
            </w:pPr>
            <w:r w:rsidRPr="005D146E">
              <w:rPr>
                <w:noProof/>
                <w:sz w:val="20"/>
              </w:rPr>
              <w:t>Verksamma ämnen med låg risk som är eller anses vara godkända enligt artikel 22 i förordning (EG) nr 1107/2009 och som förtecknas i del D i bilagan till genomförandeförordning (EU) nr 540/2011</w:t>
            </w:r>
          </w:p>
        </w:tc>
        <w:tc>
          <w:tcPr>
            <w:tcW w:w="2058" w:type="dxa"/>
          </w:tcPr>
          <w:p w14:paraId="378F49C9" w14:textId="77777777" w:rsidR="00FA7E56" w:rsidRPr="005D146E" w:rsidRDefault="00FA7E56" w:rsidP="007B3445">
            <w:pPr>
              <w:jc w:val="center"/>
              <w:rPr>
                <w:b/>
                <w:bCs/>
                <w:noProof/>
                <w:sz w:val="20"/>
                <w:szCs w:val="20"/>
              </w:rPr>
            </w:pPr>
            <w:r w:rsidRPr="005D146E">
              <w:rPr>
                <w:noProof/>
                <w:sz w:val="20"/>
              </w:rPr>
              <w:t>Verksamma ämnen som är eller anses vara godkända enligt förordning (EG) nr 1107/2009, som inte omfattas av andra kategorier och som förtecknas i delarna A och B i bilagan till genomförandeförordning (EU) nr 540/2011</w:t>
            </w:r>
          </w:p>
        </w:tc>
        <w:tc>
          <w:tcPr>
            <w:tcW w:w="2522" w:type="dxa"/>
          </w:tcPr>
          <w:p w14:paraId="0F0E819C" w14:textId="26E70B23" w:rsidR="00FA7E56" w:rsidRPr="005D146E" w:rsidRDefault="00F46430" w:rsidP="007B3445">
            <w:pPr>
              <w:jc w:val="center"/>
              <w:rPr>
                <w:b/>
                <w:bCs/>
                <w:noProof/>
                <w:sz w:val="20"/>
                <w:szCs w:val="20"/>
              </w:rPr>
            </w:pPr>
            <w:r w:rsidRPr="005D146E">
              <w:rPr>
                <w:noProof/>
                <w:sz w:val="20"/>
              </w:rPr>
              <w:t xml:space="preserve"> Verksamma ämnen som är godkända som kandidatämnen för substitution i enlighet med artikel 24 i förordning (EG) nr 1107/2009 och som förtecknas i del E i bilagan till genomförandeförordning (EU) nr 540/2011, eller som förtecknas i bilagan till genomförandeförordning (EU) 2015/408.</w:t>
            </w:r>
          </w:p>
        </w:tc>
        <w:tc>
          <w:tcPr>
            <w:tcW w:w="1465" w:type="dxa"/>
          </w:tcPr>
          <w:p w14:paraId="3A8EEC21" w14:textId="77777777" w:rsidR="00FA7E56" w:rsidRPr="005D146E" w:rsidRDefault="00FA7E56" w:rsidP="007B3445">
            <w:pPr>
              <w:jc w:val="center"/>
              <w:rPr>
                <w:b/>
                <w:bCs/>
                <w:noProof/>
                <w:sz w:val="20"/>
                <w:szCs w:val="20"/>
              </w:rPr>
            </w:pPr>
            <w:r w:rsidRPr="005D146E">
              <w:rPr>
                <w:noProof/>
                <w:sz w:val="20"/>
              </w:rPr>
              <w:t>Verksamma ämnen som inte är godkända enligt förordning (EG) nr 1107/2009 och därför inte förtecknas i bilagan till genomförandeförordning (EU) nr 540/2011</w:t>
            </w:r>
          </w:p>
        </w:tc>
      </w:tr>
      <w:tr w:rsidR="0066509A" w:rsidRPr="005D146E" w14:paraId="7DB51AFF" w14:textId="77777777" w:rsidTr="007B3445">
        <w:tc>
          <w:tcPr>
            <w:tcW w:w="913" w:type="dxa"/>
          </w:tcPr>
          <w:p w14:paraId="25053B0A" w14:textId="77777777" w:rsidR="00FA7E56" w:rsidRPr="005D146E" w:rsidRDefault="00FA7E56" w:rsidP="007B3445">
            <w:pPr>
              <w:jc w:val="center"/>
              <w:rPr>
                <w:b/>
                <w:bCs/>
                <w:noProof/>
                <w:sz w:val="20"/>
                <w:szCs w:val="20"/>
              </w:rPr>
            </w:pPr>
            <w:r w:rsidRPr="005D146E">
              <w:rPr>
                <w:b/>
                <w:noProof/>
                <w:sz w:val="20"/>
              </w:rPr>
              <w:t>ii)</w:t>
            </w:r>
          </w:p>
        </w:tc>
        <w:tc>
          <w:tcPr>
            <w:tcW w:w="8103" w:type="dxa"/>
            <w:gridSpan w:val="4"/>
          </w:tcPr>
          <w:p w14:paraId="54B6A3C2" w14:textId="7EB98575" w:rsidR="00FA7E56" w:rsidRPr="005D146E" w:rsidRDefault="00FA7E56" w:rsidP="007B3445">
            <w:pPr>
              <w:jc w:val="center"/>
              <w:rPr>
                <w:b/>
                <w:bCs/>
                <w:noProof/>
                <w:sz w:val="20"/>
                <w:szCs w:val="20"/>
              </w:rPr>
            </w:pPr>
            <w:r w:rsidRPr="005D146E">
              <w:rPr>
                <w:noProof/>
                <w:sz w:val="20"/>
              </w:rPr>
              <w:t>Viktning av faran som ska tillämpas på de mängder verksamma ämnen som släpps ut på marknaden i växtskyddsmedel som har godkänts enligt förordning (EG) nr 1107/2009</w:t>
            </w:r>
          </w:p>
        </w:tc>
      </w:tr>
      <w:tr w:rsidR="00FA7E56" w:rsidRPr="005D146E" w14:paraId="2CEBD162" w14:textId="77777777" w:rsidTr="007B3445">
        <w:tc>
          <w:tcPr>
            <w:tcW w:w="913" w:type="dxa"/>
          </w:tcPr>
          <w:p w14:paraId="27D99A74" w14:textId="77777777" w:rsidR="00FA7E56" w:rsidRPr="005D146E" w:rsidRDefault="00FA7E56" w:rsidP="007B3445">
            <w:pPr>
              <w:jc w:val="center"/>
              <w:rPr>
                <w:b/>
                <w:bCs/>
                <w:noProof/>
                <w:sz w:val="20"/>
                <w:szCs w:val="20"/>
              </w:rPr>
            </w:pPr>
            <w:r w:rsidRPr="005D146E">
              <w:rPr>
                <w:b/>
                <w:noProof/>
                <w:sz w:val="20"/>
              </w:rPr>
              <w:t>iii)</w:t>
            </w:r>
          </w:p>
        </w:tc>
        <w:tc>
          <w:tcPr>
            <w:tcW w:w="2058" w:type="dxa"/>
          </w:tcPr>
          <w:p w14:paraId="62072AAE" w14:textId="77777777" w:rsidR="00FA7E56" w:rsidRPr="005D146E" w:rsidRDefault="00FA7E56" w:rsidP="007B3445">
            <w:pPr>
              <w:jc w:val="center"/>
              <w:rPr>
                <w:b/>
                <w:bCs/>
                <w:noProof/>
                <w:sz w:val="20"/>
                <w:szCs w:val="20"/>
              </w:rPr>
            </w:pPr>
            <w:r w:rsidRPr="005D146E">
              <w:rPr>
                <w:b/>
                <w:noProof/>
                <w:sz w:val="20"/>
              </w:rPr>
              <w:t>1</w:t>
            </w:r>
          </w:p>
        </w:tc>
        <w:tc>
          <w:tcPr>
            <w:tcW w:w="2058" w:type="dxa"/>
          </w:tcPr>
          <w:p w14:paraId="47FD4D8C" w14:textId="77777777" w:rsidR="00FA7E56" w:rsidRPr="005D146E" w:rsidRDefault="00FA7E56" w:rsidP="007B3445">
            <w:pPr>
              <w:jc w:val="center"/>
              <w:rPr>
                <w:b/>
                <w:bCs/>
                <w:noProof/>
                <w:sz w:val="20"/>
                <w:szCs w:val="20"/>
              </w:rPr>
            </w:pPr>
            <w:r w:rsidRPr="005D146E">
              <w:rPr>
                <w:b/>
                <w:noProof/>
                <w:sz w:val="20"/>
              </w:rPr>
              <w:t>8</w:t>
            </w:r>
          </w:p>
        </w:tc>
        <w:tc>
          <w:tcPr>
            <w:tcW w:w="2522" w:type="dxa"/>
          </w:tcPr>
          <w:p w14:paraId="5B94C2C2" w14:textId="77777777" w:rsidR="00FA7E56" w:rsidRPr="005D146E" w:rsidRDefault="00FA7E56" w:rsidP="007B3445">
            <w:pPr>
              <w:jc w:val="center"/>
              <w:rPr>
                <w:b/>
                <w:bCs/>
                <w:noProof/>
                <w:sz w:val="20"/>
                <w:szCs w:val="20"/>
              </w:rPr>
            </w:pPr>
            <w:r w:rsidRPr="005D146E">
              <w:rPr>
                <w:b/>
                <w:noProof/>
                <w:sz w:val="20"/>
              </w:rPr>
              <w:t>16</w:t>
            </w:r>
          </w:p>
        </w:tc>
        <w:tc>
          <w:tcPr>
            <w:tcW w:w="1465" w:type="dxa"/>
          </w:tcPr>
          <w:p w14:paraId="75007094" w14:textId="77777777" w:rsidR="00FA7E56" w:rsidRPr="005D146E" w:rsidRDefault="00FA7E56" w:rsidP="007B3445">
            <w:pPr>
              <w:jc w:val="center"/>
              <w:rPr>
                <w:b/>
                <w:bCs/>
                <w:noProof/>
                <w:sz w:val="20"/>
                <w:szCs w:val="20"/>
              </w:rPr>
            </w:pPr>
            <w:r w:rsidRPr="005D146E">
              <w:rPr>
                <w:b/>
                <w:noProof/>
                <w:sz w:val="20"/>
              </w:rPr>
              <w:t>64</w:t>
            </w:r>
          </w:p>
        </w:tc>
      </w:tr>
    </w:tbl>
    <w:p w14:paraId="6DCC5A91" w14:textId="77777777" w:rsidR="00FA7E56" w:rsidRPr="005D146E" w:rsidRDefault="00FA7E56" w:rsidP="00FA7E56">
      <w:pPr>
        <w:rPr>
          <w:b/>
          <w:bCs/>
          <w:noProof/>
          <w:szCs w:val="24"/>
        </w:rPr>
      </w:pPr>
    </w:p>
    <w:p w14:paraId="53BB4ED5" w14:textId="26694F28" w:rsidR="00FA7E56" w:rsidRPr="005D146E" w:rsidRDefault="00A94DEB" w:rsidP="00A94DEB">
      <w:pPr>
        <w:pStyle w:val="Point0"/>
        <w:rPr>
          <w:noProof/>
          <w:szCs w:val="24"/>
        </w:rPr>
      </w:pPr>
      <w:r w:rsidRPr="005D146E">
        <w:rPr>
          <w:noProof/>
        </w:rPr>
        <w:t>4.</w:t>
      </w:r>
      <w:r w:rsidRPr="005D146E">
        <w:rPr>
          <w:noProof/>
        </w:rPr>
        <w:tab/>
        <w:t xml:space="preserve">Utgångsvärdet för harmoniserad riskindikator 2 ska fastställas till 100 och vara lika med det genomsnittliga resultatet av ovanstående beräkning för perioden 2011–2013. </w:t>
      </w:r>
    </w:p>
    <w:p w14:paraId="53CC196B" w14:textId="4F3A851F" w:rsidR="00FA7E56" w:rsidRPr="005D146E" w:rsidRDefault="00A94DEB" w:rsidP="00A94DEB">
      <w:pPr>
        <w:pStyle w:val="Point0"/>
        <w:rPr>
          <w:noProof/>
          <w:szCs w:val="24"/>
        </w:rPr>
      </w:pPr>
      <w:r w:rsidRPr="005D146E">
        <w:rPr>
          <w:noProof/>
        </w:rPr>
        <w:t>5.</w:t>
      </w:r>
      <w:r w:rsidRPr="005D146E">
        <w:rPr>
          <w:noProof/>
        </w:rPr>
        <w:tab/>
        <w:t xml:space="preserve">Resultatet för harmoniserad riskindikator 2 ska anges i förhållande till utgångsvärdet. </w:t>
      </w:r>
    </w:p>
    <w:p w14:paraId="69419037" w14:textId="2708533A" w:rsidR="003269D5" w:rsidRPr="005D146E" w:rsidRDefault="003269D5" w:rsidP="003269D5">
      <w:pPr>
        <w:pStyle w:val="Point0"/>
        <w:rPr>
          <w:noProof/>
          <w:szCs w:val="24"/>
        </w:rPr>
      </w:pPr>
      <w:r w:rsidRPr="005D146E">
        <w:rPr>
          <w:noProof/>
        </w:rPr>
        <w:t>6.</w:t>
      </w:r>
      <w:r w:rsidRPr="005D146E">
        <w:rPr>
          <w:noProof/>
        </w:rPr>
        <w:tab/>
        <w:t>Kommissionen ska beräkna och offentliggöra resultaten för harmoniserad riskindikator 2: på unionsnivå i enlighet med artikel 35.2 i denna förordning för varje kalenderår och senast 20 månader efter utgången av det år för vilket harmoniserad riskindikator 2 beräknas.</w:t>
      </w:r>
    </w:p>
    <w:p w14:paraId="134670D0" w14:textId="672CC413" w:rsidR="003269D5" w:rsidRPr="005D146E" w:rsidRDefault="003269D5" w:rsidP="003269D5">
      <w:pPr>
        <w:pStyle w:val="Point0"/>
        <w:rPr>
          <w:noProof/>
          <w:szCs w:val="24"/>
        </w:rPr>
      </w:pPr>
      <w:r w:rsidRPr="005D146E">
        <w:rPr>
          <w:noProof/>
        </w:rPr>
        <w:t>7.</w:t>
      </w:r>
      <w:r w:rsidRPr="005D146E">
        <w:rPr>
          <w:noProof/>
        </w:rPr>
        <w:tab/>
        <w:t>Medlemsstaterna ska beräkna och offentliggöra resultaten för harmoniserad riskindikator 2 på nationell nivå i enlighet med artikel 35.3 i denna förordning för varje kalenderår senast 20 månader efter utgången av det år för vilket harmoniserad riskindikator 2 beräknas.</w:t>
      </w:r>
    </w:p>
    <w:p w14:paraId="615C5677" w14:textId="63FE9259" w:rsidR="00A94DEB" w:rsidRPr="005D146E" w:rsidRDefault="003269D5" w:rsidP="00A94DEB">
      <w:pPr>
        <w:pStyle w:val="Point0"/>
        <w:rPr>
          <w:noProof/>
          <w:szCs w:val="24"/>
        </w:rPr>
      </w:pPr>
      <w:r w:rsidRPr="005D146E">
        <w:rPr>
          <w:noProof/>
        </w:rPr>
        <w:t>8.</w:t>
      </w:r>
      <w:r w:rsidRPr="005D146E">
        <w:rPr>
          <w:noProof/>
        </w:rPr>
        <w:tab/>
        <w:t xml:space="preserve">Med verkan från och med den 1 januari 2027 ska metoden för harmoniserad riskindikator 2 ersättas med den metod för harmoniserad riskindikator 2a som avses i avsnitt 4 i denna bilaga. </w:t>
      </w:r>
    </w:p>
    <w:p w14:paraId="18BABD0F" w14:textId="77777777" w:rsidR="00E65BCC" w:rsidRPr="005D146E" w:rsidRDefault="00E65BCC" w:rsidP="00FA7E56">
      <w:pPr>
        <w:jc w:val="center"/>
        <w:rPr>
          <w:noProof/>
          <w:szCs w:val="24"/>
        </w:rPr>
      </w:pPr>
    </w:p>
    <w:p w14:paraId="2E6DFED4" w14:textId="4C4546D2" w:rsidR="00FA7E56" w:rsidRPr="005D146E" w:rsidRDefault="00FA7E56" w:rsidP="00FA7E56">
      <w:pPr>
        <w:jc w:val="center"/>
        <w:rPr>
          <w:noProof/>
          <w:szCs w:val="24"/>
        </w:rPr>
      </w:pPr>
      <w:r w:rsidRPr="005D146E">
        <w:rPr>
          <w:noProof/>
        </w:rPr>
        <w:t>AVSNITT 4</w:t>
      </w:r>
    </w:p>
    <w:p w14:paraId="4CD5DE8F" w14:textId="3841469C" w:rsidR="00FA7E56" w:rsidRPr="005D146E" w:rsidRDefault="00FA7E56" w:rsidP="00FA7E56">
      <w:pPr>
        <w:jc w:val="center"/>
        <w:rPr>
          <w:b/>
          <w:bCs/>
          <w:noProof/>
          <w:szCs w:val="24"/>
        </w:rPr>
      </w:pPr>
      <w:r w:rsidRPr="005D146E">
        <w:rPr>
          <w:b/>
          <w:noProof/>
        </w:rPr>
        <w:t>Harmoniserade riskindikator 2a: Harmoniserad riskindikator baserad på antalet tillstånd som beviljats och arealer som behandlats enligt artikel 53 i förordning (EG) nr 1107/2009</w:t>
      </w:r>
    </w:p>
    <w:p w14:paraId="43C80218" w14:textId="518FCDD9" w:rsidR="00FA7E56" w:rsidRPr="005D146E" w:rsidRDefault="00A94DEB" w:rsidP="00A94DEB">
      <w:pPr>
        <w:pStyle w:val="Point0"/>
        <w:rPr>
          <w:noProof/>
          <w:szCs w:val="24"/>
        </w:rPr>
      </w:pPr>
      <w:r w:rsidRPr="005D146E">
        <w:rPr>
          <w:noProof/>
        </w:rPr>
        <w:t>1.</w:t>
      </w:r>
      <w:r w:rsidRPr="005D146E">
        <w:rPr>
          <w:noProof/>
        </w:rPr>
        <w:tab/>
        <w:t xml:space="preserve">Denna indikator ska baseras på antalet tillstånd som beviljats för växtskyddsmedel enligt artikel 53 i förordning (EG) nr 1107/2009 och omfattningen av de arealer som behandlats enligt dessa tillstånd, enligt vad som meddelats kommissionen i enlighet med artikel 53.1 i den förordningen. </w:t>
      </w:r>
    </w:p>
    <w:p w14:paraId="6B052D01" w14:textId="3B3EA630" w:rsidR="00FA7E56" w:rsidRPr="005D146E" w:rsidRDefault="00A94DEB" w:rsidP="00A94DEB">
      <w:pPr>
        <w:pStyle w:val="Point0"/>
        <w:rPr>
          <w:noProof/>
          <w:szCs w:val="24"/>
        </w:rPr>
      </w:pPr>
      <w:r w:rsidRPr="005D146E">
        <w:rPr>
          <w:noProof/>
        </w:rPr>
        <w:t>2.</w:t>
      </w:r>
      <w:r w:rsidRPr="005D146E">
        <w:rPr>
          <w:noProof/>
        </w:rPr>
        <w:tab/>
        <w:t xml:space="preserve">Följande allmänna regler ska tillämpas vid beräkningen av harmoniserad riskindikator 2a: </w:t>
      </w:r>
    </w:p>
    <w:p w14:paraId="409C7AD8" w14:textId="0AA5C01F" w:rsidR="00FA7E56" w:rsidRPr="005D146E" w:rsidRDefault="00FA7E56" w:rsidP="00A94DEB">
      <w:pPr>
        <w:pStyle w:val="Point1"/>
        <w:rPr>
          <w:noProof/>
        </w:rPr>
      </w:pPr>
      <w:r w:rsidRPr="005D146E">
        <w:rPr>
          <w:noProof/>
        </w:rPr>
        <w:t>a)</w:t>
      </w:r>
      <w:r w:rsidRPr="005D146E">
        <w:rPr>
          <w:noProof/>
        </w:rPr>
        <w:tab/>
        <w:t xml:space="preserve">Harmoniserad riskindikator 2a ska baseras på antalet tillstånd som beviljats enligt artikel 53 i förordning (EG) nr 1107/2009 och omfattningen av de arealer som behandlats enligt dessa tillstånd. Den ska beräknas på grundval av den kategorisering av verksamma ämnen i fyra grupper som anges i tabell 3 i detta avsnitt. </w:t>
      </w:r>
    </w:p>
    <w:p w14:paraId="4E21977F" w14:textId="77777777" w:rsidR="00FA7E56" w:rsidRPr="005D146E" w:rsidRDefault="00FA7E56" w:rsidP="00A94DEB">
      <w:pPr>
        <w:pStyle w:val="Point1"/>
        <w:rPr>
          <w:noProof/>
          <w:szCs w:val="24"/>
        </w:rPr>
      </w:pPr>
      <w:r w:rsidRPr="005D146E">
        <w:rPr>
          <w:noProof/>
        </w:rPr>
        <w:t>b)</w:t>
      </w:r>
      <w:r w:rsidRPr="005D146E">
        <w:rPr>
          <w:noProof/>
        </w:rPr>
        <w:tab/>
        <w:t>De behandlade arealerna ska anges i hektar.</w:t>
      </w:r>
    </w:p>
    <w:p w14:paraId="79BDB39B" w14:textId="13C82807" w:rsidR="00FA7E56" w:rsidRPr="005D146E" w:rsidRDefault="00FA7E56" w:rsidP="00A94DEB">
      <w:pPr>
        <w:pStyle w:val="Point1"/>
        <w:rPr>
          <w:noProof/>
          <w:szCs w:val="24"/>
        </w:rPr>
      </w:pPr>
      <w:r w:rsidRPr="005D146E">
        <w:rPr>
          <w:noProof/>
        </w:rPr>
        <w:t>c)</w:t>
      </w:r>
      <w:r w:rsidRPr="005D146E">
        <w:rPr>
          <w:noProof/>
        </w:rPr>
        <w:tab/>
        <w:t xml:space="preserve">De verksamma ämnena i grupp 1 ska vara de ämnen som förtecknas i del D i bilagan till genomförandeförordning (EU) nr 540/2011. </w:t>
      </w:r>
    </w:p>
    <w:p w14:paraId="7DA044A8" w14:textId="00B441F4" w:rsidR="00FA7E56" w:rsidRPr="005D146E" w:rsidRDefault="00FA7E56" w:rsidP="00A94DEB">
      <w:pPr>
        <w:pStyle w:val="Point1"/>
        <w:rPr>
          <w:noProof/>
          <w:szCs w:val="24"/>
        </w:rPr>
      </w:pPr>
      <w:r w:rsidRPr="005D146E">
        <w:rPr>
          <w:noProof/>
        </w:rPr>
        <w:t>d)</w:t>
      </w:r>
      <w:r w:rsidRPr="005D146E">
        <w:rPr>
          <w:noProof/>
        </w:rPr>
        <w:tab/>
        <w:t xml:space="preserve">De verksamma ämnena i grupp 2 ska vara de ämnen som förtecknas i delarna A och B i bilagan till genomförandeförordning (EU) nr 540/2011. </w:t>
      </w:r>
    </w:p>
    <w:p w14:paraId="0876CAE9" w14:textId="3EF036C7" w:rsidR="00FA7E56" w:rsidRPr="005D146E" w:rsidRDefault="00FA7E56" w:rsidP="00A94DEB">
      <w:pPr>
        <w:pStyle w:val="Point1"/>
        <w:rPr>
          <w:noProof/>
          <w:szCs w:val="24"/>
        </w:rPr>
      </w:pPr>
      <w:r w:rsidRPr="005D146E">
        <w:rPr>
          <w:noProof/>
        </w:rPr>
        <w:t>e)</w:t>
      </w:r>
      <w:r w:rsidRPr="005D146E">
        <w:rPr>
          <w:noProof/>
        </w:rPr>
        <w:tab/>
        <w:t xml:space="preserve">De verksamma ämnena i grupp 3 ska vara de ämnen som är godkända som kandidatämnen för substitution i enlighet med artikel 24 i förordning (EG) nr 1107/2009 och som förtecknas i del E i bilagan till genomförandeförordning (EU) nr 540/2011, eller som förtecknas i bilagan till genomförandeförordning (EU) 2015/408. </w:t>
      </w:r>
    </w:p>
    <w:p w14:paraId="5052F315" w14:textId="20723528" w:rsidR="00FA7E56" w:rsidRPr="005D146E" w:rsidRDefault="00A94DEB" w:rsidP="00A94DEB">
      <w:pPr>
        <w:pStyle w:val="Point1"/>
        <w:rPr>
          <w:noProof/>
          <w:szCs w:val="24"/>
        </w:rPr>
      </w:pPr>
      <w:r w:rsidRPr="005D146E">
        <w:rPr>
          <w:noProof/>
        </w:rPr>
        <w:t>f)</w:t>
      </w:r>
      <w:r w:rsidRPr="005D146E">
        <w:rPr>
          <w:noProof/>
        </w:rPr>
        <w:tab/>
        <w:t xml:space="preserve">De verksamma ämnena i grupp 4 ska vara de ämnen som inte är godkända enligt förordning (EG) nr 1107/2009 och därför inte förtecknas i bilagan till genomförandeförordning (EU) nr 540/2011. </w:t>
      </w:r>
    </w:p>
    <w:p w14:paraId="19444D70" w14:textId="77777777" w:rsidR="00FA7E56" w:rsidRPr="005D146E" w:rsidRDefault="00A94DEB" w:rsidP="00A94DEB">
      <w:pPr>
        <w:pStyle w:val="Point1"/>
        <w:rPr>
          <w:noProof/>
          <w:szCs w:val="24"/>
        </w:rPr>
      </w:pPr>
      <w:r w:rsidRPr="005D146E">
        <w:rPr>
          <w:noProof/>
        </w:rPr>
        <w:t>g)</w:t>
      </w:r>
      <w:r w:rsidRPr="005D146E">
        <w:rPr>
          <w:noProof/>
        </w:rPr>
        <w:tab/>
        <w:t xml:space="preserve">Viktningen på rad iii i tabell 3 i detta avsnitt ska tillämpas. </w:t>
      </w:r>
    </w:p>
    <w:p w14:paraId="6C5B8F3C" w14:textId="0CA60A30" w:rsidR="00FA7E56" w:rsidRPr="005D146E" w:rsidRDefault="00A94DEB" w:rsidP="00A94DEB">
      <w:pPr>
        <w:pStyle w:val="Point0"/>
        <w:rPr>
          <w:noProof/>
          <w:szCs w:val="24"/>
        </w:rPr>
      </w:pPr>
      <w:r w:rsidRPr="005D146E">
        <w:rPr>
          <w:noProof/>
        </w:rPr>
        <w:t>3.</w:t>
      </w:r>
      <w:r w:rsidRPr="005D146E">
        <w:rPr>
          <w:noProof/>
        </w:rPr>
        <w:tab/>
        <w:t>Harmoniserad riskindikator 2a ska beräknas på så sätt att det antal tillstånd som beviljats för växtskyddsmedel enligt artikel 53 i förordning (EG) nr 1107/2009 för varje grupp i tabell 3 multipliceras med den relevanta viktning av faran som anges på rad iii och med de arealer som behandlats enligt dessa tillstånd, följt av aggregering av resultaten av dessa beräkningar.</w:t>
      </w:r>
    </w:p>
    <w:p w14:paraId="03271849" w14:textId="77777777" w:rsidR="00E65BCC" w:rsidRPr="005D146E" w:rsidRDefault="00E65BCC" w:rsidP="00FA7E56">
      <w:pPr>
        <w:jc w:val="center"/>
        <w:rPr>
          <w:i/>
          <w:iCs/>
          <w:noProof/>
          <w:szCs w:val="24"/>
        </w:rPr>
      </w:pPr>
    </w:p>
    <w:p w14:paraId="0F92F0ED" w14:textId="71F29ABC" w:rsidR="00FA7E56" w:rsidRPr="005D146E" w:rsidRDefault="00FA7E56" w:rsidP="00FA7E56">
      <w:pPr>
        <w:jc w:val="center"/>
        <w:rPr>
          <w:i/>
          <w:iCs/>
          <w:noProof/>
          <w:szCs w:val="24"/>
        </w:rPr>
      </w:pPr>
      <w:r w:rsidRPr="005D146E">
        <w:rPr>
          <w:i/>
          <w:noProof/>
        </w:rPr>
        <w:t>Tabell 3</w:t>
      </w:r>
    </w:p>
    <w:p w14:paraId="13317EF4" w14:textId="58E1857D" w:rsidR="00FA7E56" w:rsidRPr="005D146E" w:rsidRDefault="00FA7E56" w:rsidP="00FA7E56">
      <w:pPr>
        <w:jc w:val="center"/>
        <w:rPr>
          <w:b/>
          <w:bCs/>
          <w:noProof/>
          <w:szCs w:val="24"/>
        </w:rPr>
      </w:pPr>
      <w:r w:rsidRPr="005D146E">
        <w:rPr>
          <w:b/>
          <w:noProof/>
        </w:rPr>
        <w:t>Kategorisering av verksamma ämnen och viktning av faran vid beräkning av harmoniserad riskindikator 2a</w:t>
      </w:r>
    </w:p>
    <w:p w14:paraId="6CE01BB9" w14:textId="77777777" w:rsidR="00FA7E56" w:rsidRPr="005D146E" w:rsidRDefault="00FA7E56" w:rsidP="00FA7E56">
      <w:pPr>
        <w:jc w:val="center"/>
        <w:rPr>
          <w:b/>
          <w:bCs/>
          <w:noProof/>
          <w:szCs w:val="24"/>
        </w:rPr>
      </w:pPr>
    </w:p>
    <w:tbl>
      <w:tblPr>
        <w:tblStyle w:val="TableGrid"/>
        <w:tblW w:w="0" w:type="auto"/>
        <w:tblLook w:val="04A0" w:firstRow="1" w:lastRow="0" w:firstColumn="1" w:lastColumn="0" w:noHBand="0" w:noVBand="1"/>
      </w:tblPr>
      <w:tblGrid>
        <w:gridCol w:w="565"/>
        <w:gridCol w:w="2181"/>
        <w:gridCol w:w="2181"/>
        <w:gridCol w:w="2181"/>
        <w:gridCol w:w="2181"/>
      </w:tblGrid>
      <w:tr w:rsidR="0066509A" w:rsidRPr="005D146E" w14:paraId="443F5DC8" w14:textId="77777777" w:rsidTr="007B3445">
        <w:tc>
          <w:tcPr>
            <w:tcW w:w="1848" w:type="dxa"/>
            <w:vMerge w:val="restart"/>
          </w:tcPr>
          <w:p w14:paraId="6C94742D" w14:textId="77777777" w:rsidR="00FA7E56" w:rsidRPr="005D146E" w:rsidRDefault="00FA7E56" w:rsidP="007B3445">
            <w:pPr>
              <w:jc w:val="center"/>
              <w:rPr>
                <w:b/>
                <w:bCs/>
                <w:noProof/>
                <w:sz w:val="20"/>
                <w:szCs w:val="20"/>
              </w:rPr>
            </w:pPr>
            <w:r w:rsidRPr="005D146E">
              <w:rPr>
                <w:b/>
                <w:noProof/>
                <w:sz w:val="20"/>
              </w:rPr>
              <w:t>Rad</w:t>
            </w:r>
          </w:p>
        </w:tc>
        <w:tc>
          <w:tcPr>
            <w:tcW w:w="7394" w:type="dxa"/>
            <w:gridSpan w:val="4"/>
          </w:tcPr>
          <w:p w14:paraId="1639D8D0" w14:textId="77777777" w:rsidR="00FA7E56" w:rsidRPr="005D146E" w:rsidRDefault="00FA7E56" w:rsidP="007B3445">
            <w:pPr>
              <w:jc w:val="center"/>
              <w:rPr>
                <w:b/>
                <w:bCs/>
                <w:noProof/>
                <w:sz w:val="20"/>
                <w:szCs w:val="20"/>
              </w:rPr>
            </w:pPr>
            <w:r w:rsidRPr="005D146E">
              <w:rPr>
                <w:b/>
                <w:noProof/>
                <w:sz w:val="20"/>
              </w:rPr>
              <w:t>Grupp</w:t>
            </w:r>
          </w:p>
        </w:tc>
      </w:tr>
      <w:tr w:rsidR="0066509A" w:rsidRPr="005D146E" w14:paraId="42383620" w14:textId="77777777" w:rsidTr="007B3445">
        <w:tc>
          <w:tcPr>
            <w:tcW w:w="1848" w:type="dxa"/>
            <w:vMerge/>
          </w:tcPr>
          <w:p w14:paraId="4DFDA0AA" w14:textId="77777777" w:rsidR="00FA7E56" w:rsidRPr="005D146E" w:rsidRDefault="00FA7E56" w:rsidP="007B3445">
            <w:pPr>
              <w:jc w:val="center"/>
              <w:rPr>
                <w:b/>
                <w:bCs/>
                <w:noProof/>
                <w:sz w:val="20"/>
                <w:szCs w:val="20"/>
              </w:rPr>
            </w:pPr>
          </w:p>
        </w:tc>
        <w:tc>
          <w:tcPr>
            <w:tcW w:w="1848" w:type="dxa"/>
          </w:tcPr>
          <w:p w14:paraId="16097FE3" w14:textId="77777777" w:rsidR="00FA7E56" w:rsidRPr="005D146E" w:rsidRDefault="00FA7E56" w:rsidP="007B3445">
            <w:pPr>
              <w:jc w:val="center"/>
              <w:rPr>
                <w:b/>
                <w:bCs/>
                <w:noProof/>
                <w:sz w:val="20"/>
                <w:szCs w:val="20"/>
              </w:rPr>
            </w:pPr>
            <w:r w:rsidRPr="005D146E">
              <w:rPr>
                <w:b/>
                <w:noProof/>
                <w:sz w:val="20"/>
              </w:rPr>
              <w:t>1</w:t>
            </w:r>
          </w:p>
        </w:tc>
        <w:tc>
          <w:tcPr>
            <w:tcW w:w="1848" w:type="dxa"/>
          </w:tcPr>
          <w:p w14:paraId="057BF10C" w14:textId="77777777" w:rsidR="00FA7E56" w:rsidRPr="005D146E" w:rsidRDefault="00FA7E56" w:rsidP="007B3445">
            <w:pPr>
              <w:jc w:val="center"/>
              <w:rPr>
                <w:b/>
                <w:bCs/>
                <w:noProof/>
                <w:sz w:val="20"/>
                <w:szCs w:val="20"/>
              </w:rPr>
            </w:pPr>
            <w:r w:rsidRPr="005D146E">
              <w:rPr>
                <w:b/>
                <w:noProof/>
                <w:sz w:val="20"/>
              </w:rPr>
              <w:t>2</w:t>
            </w:r>
          </w:p>
        </w:tc>
        <w:tc>
          <w:tcPr>
            <w:tcW w:w="1849" w:type="dxa"/>
          </w:tcPr>
          <w:p w14:paraId="7EDB1B11" w14:textId="77777777" w:rsidR="00FA7E56" w:rsidRPr="005D146E" w:rsidRDefault="00FA7E56" w:rsidP="007B3445">
            <w:pPr>
              <w:jc w:val="center"/>
              <w:rPr>
                <w:b/>
                <w:bCs/>
                <w:noProof/>
                <w:sz w:val="20"/>
                <w:szCs w:val="20"/>
              </w:rPr>
            </w:pPr>
            <w:r w:rsidRPr="005D146E">
              <w:rPr>
                <w:b/>
                <w:noProof/>
                <w:sz w:val="20"/>
              </w:rPr>
              <w:t>3</w:t>
            </w:r>
          </w:p>
        </w:tc>
        <w:tc>
          <w:tcPr>
            <w:tcW w:w="1849" w:type="dxa"/>
          </w:tcPr>
          <w:p w14:paraId="36AA66D8" w14:textId="77777777" w:rsidR="00FA7E56" w:rsidRPr="005D146E" w:rsidRDefault="00FA7E56" w:rsidP="007B3445">
            <w:pPr>
              <w:jc w:val="center"/>
              <w:rPr>
                <w:b/>
                <w:bCs/>
                <w:noProof/>
                <w:sz w:val="20"/>
                <w:szCs w:val="20"/>
              </w:rPr>
            </w:pPr>
            <w:r w:rsidRPr="005D146E">
              <w:rPr>
                <w:b/>
                <w:noProof/>
                <w:sz w:val="20"/>
              </w:rPr>
              <w:t>4</w:t>
            </w:r>
          </w:p>
        </w:tc>
      </w:tr>
      <w:tr w:rsidR="0066509A" w:rsidRPr="005D146E" w14:paraId="66103DDE" w14:textId="77777777" w:rsidTr="007B3445">
        <w:tc>
          <w:tcPr>
            <w:tcW w:w="1848" w:type="dxa"/>
          </w:tcPr>
          <w:p w14:paraId="0181324F" w14:textId="77777777" w:rsidR="00FA7E56" w:rsidRPr="005D146E" w:rsidRDefault="00FA7E56" w:rsidP="007B3445">
            <w:pPr>
              <w:jc w:val="center"/>
              <w:rPr>
                <w:b/>
                <w:bCs/>
                <w:noProof/>
                <w:sz w:val="20"/>
                <w:szCs w:val="20"/>
              </w:rPr>
            </w:pPr>
            <w:r w:rsidRPr="005D146E">
              <w:rPr>
                <w:b/>
                <w:noProof/>
                <w:sz w:val="20"/>
              </w:rPr>
              <w:t>i)</w:t>
            </w:r>
          </w:p>
        </w:tc>
        <w:tc>
          <w:tcPr>
            <w:tcW w:w="1848" w:type="dxa"/>
          </w:tcPr>
          <w:p w14:paraId="5473BB84" w14:textId="77777777" w:rsidR="00FA7E56" w:rsidRPr="005D146E" w:rsidRDefault="00FA7E56" w:rsidP="007B3445">
            <w:pPr>
              <w:jc w:val="center"/>
              <w:rPr>
                <w:b/>
                <w:bCs/>
                <w:noProof/>
                <w:sz w:val="20"/>
                <w:szCs w:val="20"/>
              </w:rPr>
            </w:pPr>
            <w:r w:rsidRPr="005D146E">
              <w:rPr>
                <w:noProof/>
                <w:sz w:val="20"/>
              </w:rPr>
              <w:t>Verksamma ämnen med låg risk som är eller anses vara godkända enligt artikel 22 i förordning (EG) nr 1107/2009 och som förtecknas i del D i bilagan till genomförandeförordning (EU) nr 540/2011</w:t>
            </w:r>
          </w:p>
        </w:tc>
        <w:tc>
          <w:tcPr>
            <w:tcW w:w="1848" w:type="dxa"/>
          </w:tcPr>
          <w:p w14:paraId="76EDA758" w14:textId="77777777" w:rsidR="00FA7E56" w:rsidRPr="005D146E" w:rsidRDefault="00FA7E56" w:rsidP="007B3445">
            <w:pPr>
              <w:jc w:val="center"/>
              <w:rPr>
                <w:b/>
                <w:bCs/>
                <w:noProof/>
                <w:sz w:val="20"/>
                <w:szCs w:val="20"/>
              </w:rPr>
            </w:pPr>
            <w:r w:rsidRPr="005D146E">
              <w:rPr>
                <w:noProof/>
                <w:sz w:val="20"/>
              </w:rPr>
              <w:t>Verksamma ämnen som är eller anses vara godkända enligt förordning (EG) nr 1107/2009, som inte omfattas av andra kategorier och som förtecknas i delarna A och B i bilagan till genomförandeförordning (EU) nr 540/2011</w:t>
            </w:r>
          </w:p>
        </w:tc>
        <w:tc>
          <w:tcPr>
            <w:tcW w:w="1849" w:type="dxa"/>
          </w:tcPr>
          <w:p w14:paraId="1639D1F5" w14:textId="5ECAF323" w:rsidR="00FA7E56" w:rsidRPr="005D146E" w:rsidRDefault="00FA7E56" w:rsidP="007B3445">
            <w:pPr>
              <w:jc w:val="center"/>
              <w:rPr>
                <w:b/>
                <w:bCs/>
                <w:noProof/>
                <w:sz w:val="20"/>
                <w:szCs w:val="20"/>
              </w:rPr>
            </w:pPr>
            <w:r w:rsidRPr="005D146E">
              <w:rPr>
                <w:noProof/>
                <w:sz w:val="20"/>
              </w:rPr>
              <w:t>Verksamma ämnen som är godkända som kandidatämnen för substitution i enlighet med artikel 24 i förordning (EG) nr 1107/2009 och som förtecknas i del E i bilagan till genomförandeförordning (EU) nr 540/2011, eller som förtecknas i bilagan till genomförandeförordning (EU) 2015/408.</w:t>
            </w:r>
          </w:p>
        </w:tc>
        <w:tc>
          <w:tcPr>
            <w:tcW w:w="1849" w:type="dxa"/>
          </w:tcPr>
          <w:p w14:paraId="43386890" w14:textId="77777777" w:rsidR="00FA7E56" w:rsidRPr="005D146E" w:rsidRDefault="00FA7E56" w:rsidP="007B3445">
            <w:pPr>
              <w:jc w:val="center"/>
              <w:rPr>
                <w:b/>
                <w:bCs/>
                <w:noProof/>
                <w:sz w:val="20"/>
                <w:szCs w:val="20"/>
              </w:rPr>
            </w:pPr>
            <w:r w:rsidRPr="005D146E">
              <w:rPr>
                <w:noProof/>
                <w:sz w:val="20"/>
              </w:rPr>
              <w:t>Verksamma ämnen som inte är godkända enligt förordning (EG) nr 1107/2009 och därför inte förtecknas i bilagan till genomförandeförordning (EU) nr 540/2011</w:t>
            </w:r>
          </w:p>
        </w:tc>
      </w:tr>
      <w:tr w:rsidR="0066509A" w:rsidRPr="005D146E" w14:paraId="48A6073F" w14:textId="77777777" w:rsidTr="007B3445">
        <w:tc>
          <w:tcPr>
            <w:tcW w:w="1848" w:type="dxa"/>
          </w:tcPr>
          <w:p w14:paraId="18225A86" w14:textId="77777777" w:rsidR="00FA7E56" w:rsidRPr="005D146E" w:rsidRDefault="00FA7E56" w:rsidP="007B3445">
            <w:pPr>
              <w:jc w:val="center"/>
              <w:rPr>
                <w:b/>
                <w:bCs/>
                <w:noProof/>
                <w:sz w:val="20"/>
                <w:szCs w:val="20"/>
              </w:rPr>
            </w:pPr>
            <w:r w:rsidRPr="005D146E">
              <w:rPr>
                <w:b/>
                <w:noProof/>
                <w:sz w:val="20"/>
              </w:rPr>
              <w:t>ii)</w:t>
            </w:r>
          </w:p>
        </w:tc>
        <w:tc>
          <w:tcPr>
            <w:tcW w:w="7394" w:type="dxa"/>
            <w:gridSpan w:val="4"/>
          </w:tcPr>
          <w:p w14:paraId="78F7773B" w14:textId="726B1E90" w:rsidR="00FA7E56" w:rsidRPr="005D146E" w:rsidRDefault="00FA7E56" w:rsidP="007B3445">
            <w:pPr>
              <w:jc w:val="center"/>
              <w:rPr>
                <w:b/>
                <w:bCs/>
                <w:noProof/>
                <w:sz w:val="20"/>
                <w:szCs w:val="20"/>
              </w:rPr>
            </w:pPr>
            <w:r w:rsidRPr="005D146E">
              <w:rPr>
                <w:noProof/>
                <w:sz w:val="20"/>
              </w:rPr>
              <w:t>Viktning av faran som ska tillämpas på de mängder verksamma ämnen som släpps ut på marknaden i växtskyddsmedel som har godkänts enligt förordning (EG) nr 1107/2009</w:t>
            </w:r>
          </w:p>
        </w:tc>
      </w:tr>
      <w:tr w:rsidR="00FA7E56" w:rsidRPr="005D146E" w14:paraId="79F27597" w14:textId="77777777" w:rsidTr="007B3445">
        <w:tc>
          <w:tcPr>
            <w:tcW w:w="1848" w:type="dxa"/>
          </w:tcPr>
          <w:p w14:paraId="2470DC9F" w14:textId="77777777" w:rsidR="00FA7E56" w:rsidRPr="005D146E" w:rsidRDefault="00FA7E56" w:rsidP="007B3445">
            <w:pPr>
              <w:jc w:val="center"/>
              <w:rPr>
                <w:b/>
                <w:bCs/>
                <w:noProof/>
                <w:sz w:val="20"/>
                <w:szCs w:val="20"/>
              </w:rPr>
            </w:pPr>
            <w:r w:rsidRPr="005D146E">
              <w:rPr>
                <w:b/>
                <w:noProof/>
                <w:sz w:val="20"/>
              </w:rPr>
              <w:t>iii)</w:t>
            </w:r>
          </w:p>
        </w:tc>
        <w:tc>
          <w:tcPr>
            <w:tcW w:w="1848" w:type="dxa"/>
          </w:tcPr>
          <w:p w14:paraId="18CC8659" w14:textId="77777777" w:rsidR="00FA7E56" w:rsidRPr="005D146E" w:rsidRDefault="00FA7E56" w:rsidP="007B3445">
            <w:pPr>
              <w:jc w:val="center"/>
              <w:rPr>
                <w:b/>
                <w:bCs/>
                <w:noProof/>
                <w:sz w:val="20"/>
                <w:szCs w:val="20"/>
              </w:rPr>
            </w:pPr>
            <w:r w:rsidRPr="005D146E">
              <w:rPr>
                <w:b/>
                <w:noProof/>
                <w:sz w:val="20"/>
              </w:rPr>
              <w:t>1</w:t>
            </w:r>
          </w:p>
        </w:tc>
        <w:tc>
          <w:tcPr>
            <w:tcW w:w="1848" w:type="dxa"/>
          </w:tcPr>
          <w:p w14:paraId="794ABBDA" w14:textId="77777777" w:rsidR="00FA7E56" w:rsidRPr="005D146E" w:rsidRDefault="00FA7E56" w:rsidP="007B3445">
            <w:pPr>
              <w:jc w:val="center"/>
              <w:rPr>
                <w:b/>
                <w:bCs/>
                <w:noProof/>
                <w:sz w:val="20"/>
                <w:szCs w:val="20"/>
              </w:rPr>
            </w:pPr>
            <w:r w:rsidRPr="005D146E">
              <w:rPr>
                <w:b/>
                <w:noProof/>
                <w:sz w:val="20"/>
              </w:rPr>
              <w:t>8</w:t>
            </w:r>
          </w:p>
        </w:tc>
        <w:tc>
          <w:tcPr>
            <w:tcW w:w="1849" w:type="dxa"/>
          </w:tcPr>
          <w:p w14:paraId="43158AE3" w14:textId="77777777" w:rsidR="00FA7E56" w:rsidRPr="005D146E" w:rsidRDefault="00FA7E56" w:rsidP="007B3445">
            <w:pPr>
              <w:jc w:val="center"/>
              <w:rPr>
                <w:b/>
                <w:bCs/>
                <w:noProof/>
                <w:sz w:val="20"/>
                <w:szCs w:val="20"/>
              </w:rPr>
            </w:pPr>
            <w:r w:rsidRPr="005D146E">
              <w:rPr>
                <w:b/>
                <w:noProof/>
                <w:sz w:val="20"/>
              </w:rPr>
              <w:t>16</w:t>
            </w:r>
          </w:p>
        </w:tc>
        <w:tc>
          <w:tcPr>
            <w:tcW w:w="1849" w:type="dxa"/>
          </w:tcPr>
          <w:p w14:paraId="2C7E0780" w14:textId="77777777" w:rsidR="00FA7E56" w:rsidRPr="005D146E" w:rsidRDefault="00FA7E56" w:rsidP="007B3445">
            <w:pPr>
              <w:jc w:val="center"/>
              <w:rPr>
                <w:b/>
                <w:bCs/>
                <w:noProof/>
                <w:sz w:val="20"/>
                <w:szCs w:val="20"/>
              </w:rPr>
            </w:pPr>
            <w:r w:rsidRPr="005D146E">
              <w:rPr>
                <w:b/>
                <w:noProof/>
                <w:sz w:val="20"/>
              </w:rPr>
              <w:t>64</w:t>
            </w:r>
          </w:p>
        </w:tc>
      </w:tr>
    </w:tbl>
    <w:p w14:paraId="6596159E" w14:textId="77777777" w:rsidR="00FA7E56" w:rsidRPr="005D146E" w:rsidRDefault="00FA7E56" w:rsidP="00FA7E56">
      <w:pPr>
        <w:rPr>
          <w:b/>
          <w:bCs/>
          <w:noProof/>
          <w:szCs w:val="24"/>
        </w:rPr>
      </w:pPr>
    </w:p>
    <w:p w14:paraId="49C840AA" w14:textId="2ADE60AE" w:rsidR="00FA7E56" w:rsidRPr="005D146E" w:rsidRDefault="00A94DEB" w:rsidP="00A94DEB">
      <w:pPr>
        <w:pStyle w:val="Point0"/>
        <w:rPr>
          <w:noProof/>
          <w:szCs w:val="24"/>
        </w:rPr>
      </w:pPr>
      <w:r w:rsidRPr="005D146E">
        <w:rPr>
          <w:noProof/>
        </w:rPr>
        <w:t>4.</w:t>
      </w:r>
      <w:r w:rsidRPr="005D146E">
        <w:rPr>
          <w:noProof/>
        </w:rPr>
        <w:tab/>
        <w:t xml:space="preserve">Utgångsvärdet för harmoniserad riskindikator 2a ska fastställas till 100 och vara lika med det genomsnittliga resultatet av ovanstående beräkning för perioden 2022–2024. </w:t>
      </w:r>
    </w:p>
    <w:p w14:paraId="226593AD" w14:textId="302FBA52" w:rsidR="00FA7E56" w:rsidRPr="005D146E" w:rsidRDefault="00A94DEB" w:rsidP="00A94DEB">
      <w:pPr>
        <w:pStyle w:val="Point0"/>
        <w:rPr>
          <w:noProof/>
          <w:szCs w:val="24"/>
        </w:rPr>
      </w:pPr>
      <w:r w:rsidRPr="005D146E">
        <w:rPr>
          <w:noProof/>
        </w:rPr>
        <w:t>5.</w:t>
      </w:r>
      <w:r w:rsidRPr="005D146E">
        <w:rPr>
          <w:noProof/>
        </w:rPr>
        <w:tab/>
        <w:t xml:space="preserve">Resultatet för harmoniserad riskindikator 2a ska anges i förhållande till utgångsvärdet. </w:t>
      </w:r>
    </w:p>
    <w:p w14:paraId="2DDF0620" w14:textId="02AEBC6B" w:rsidR="007B3445" w:rsidRPr="005D146E" w:rsidRDefault="00A94DEB" w:rsidP="00A94DEB">
      <w:pPr>
        <w:pStyle w:val="Point0"/>
        <w:rPr>
          <w:noProof/>
          <w:szCs w:val="24"/>
        </w:rPr>
      </w:pPr>
      <w:r w:rsidRPr="005D146E">
        <w:rPr>
          <w:noProof/>
        </w:rPr>
        <w:t>6.</w:t>
      </w:r>
      <w:r w:rsidRPr="005D146E">
        <w:rPr>
          <w:noProof/>
        </w:rPr>
        <w:tab/>
        <w:t>Kommissionen ska beräkna och offentliggöra resultaten för harmoniserad riskindikator 2a på unionsnivå i enlighet med artikel 35.2 i denna förordning. Detta ska göras för första gången 2027 med hjälp av uppgifter från kalenderåren 2022–2025 och därefter för varje kalenderår, senast 20 månader efter utgången av det år för vilket harmoniserad riskindikator 2a beräknas.</w:t>
      </w:r>
    </w:p>
    <w:p w14:paraId="7AF5B33B" w14:textId="19E89F11" w:rsidR="00966579" w:rsidRPr="005D146E" w:rsidRDefault="003C0119" w:rsidP="003C0119">
      <w:pPr>
        <w:pStyle w:val="Point0"/>
        <w:rPr>
          <w:noProof/>
          <w:szCs w:val="24"/>
        </w:rPr>
      </w:pPr>
      <w:r w:rsidRPr="005D146E">
        <w:rPr>
          <w:noProof/>
        </w:rPr>
        <w:t>7.</w:t>
      </w:r>
      <w:r w:rsidRPr="005D146E">
        <w:rPr>
          <w:noProof/>
        </w:rPr>
        <w:tab/>
        <w:t>Medlemsstaterna ska beräkna och offentliggöra resultaten för harmoniserad riskindikator 2a på nationell nivå i enlighet med artikel 35.3 i denna förordning. Detta ska göras för första gången 2027 med hjälp av uppgifter från kalenderåren 2022–2025 och därefter för varje kalenderår, senast 20 månader efter utgången av det år för vilket harmoniserad riskindikator 2a beräknas.</w:t>
      </w:r>
    </w:p>
    <w:p w14:paraId="5FFACEE4" w14:textId="77777777" w:rsidR="007B3445" w:rsidRPr="005D146E" w:rsidRDefault="007B3445" w:rsidP="007B3445">
      <w:pPr>
        <w:rPr>
          <w:noProof/>
        </w:rPr>
        <w:sectPr w:rsidR="007B3445" w:rsidRPr="005D146E" w:rsidSect="007E0431">
          <w:pgSz w:w="11907" w:h="16839"/>
          <w:pgMar w:top="1134" w:right="1417" w:bottom="1134" w:left="1417" w:header="709" w:footer="709" w:gutter="0"/>
          <w:cols w:space="720"/>
          <w:docGrid w:linePitch="360"/>
        </w:sectPr>
      </w:pPr>
    </w:p>
    <w:p w14:paraId="33DFF5CB" w14:textId="2C09D297" w:rsidR="007B3445" w:rsidRPr="005D146E" w:rsidRDefault="6B25E89D" w:rsidP="007B3445">
      <w:pPr>
        <w:pStyle w:val="Annexetitre"/>
        <w:rPr>
          <w:noProof/>
        </w:rPr>
      </w:pPr>
      <w:r w:rsidRPr="005D146E">
        <w:rPr>
          <w:noProof/>
        </w:rPr>
        <w:t>BILAGA VII</w:t>
      </w:r>
    </w:p>
    <w:p w14:paraId="31E534FA" w14:textId="2FCAD487" w:rsidR="007B3445" w:rsidRPr="005D146E" w:rsidRDefault="007B3445" w:rsidP="007B3445">
      <w:pPr>
        <w:jc w:val="center"/>
        <w:rPr>
          <w:b/>
          <w:noProof/>
          <w:szCs w:val="24"/>
        </w:rPr>
      </w:pPr>
      <w:r w:rsidRPr="005D146E">
        <w:rPr>
          <w:b/>
          <w:noProof/>
        </w:rPr>
        <w:t xml:space="preserve">JÄMFÖRELSETABELL SOM AVSES I ARTIKEL 43.2 </w:t>
      </w:r>
    </w:p>
    <w:p w14:paraId="412E388E" w14:textId="77777777" w:rsidR="007B3445" w:rsidRPr="005D146E" w:rsidRDefault="007B3445" w:rsidP="007B3445">
      <w:pPr>
        <w:rPr>
          <w:b/>
          <w:noProof/>
          <w:szCs w:val="24"/>
        </w:rPr>
      </w:pPr>
    </w:p>
    <w:tbl>
      <w:tblPr>
        <w:tblStyle w:val="TableGrid"/>
        <w:tblW w:w="0" w:type="auto"/>
        <w:tblLook w:val="04A0" w:firstRow="1" w:lastRow="0" w:firstColumn="1" w:lastColumn="0" w:noHBand="0" w:noVBand="1"/>
      </w:tblPr>
      <w:tblGrid>
        <w:gridCol w:w="4621"/>
        <w:gridCol w:w="4621"/>
      </w:tblGrid>
      <w:tr w:rsidR="0066509A" w:rsidRPr="005D146E" w14:paraId="511B1C93" w14:textId="77777777" w:rsidTr="00FE35DD">
        <w:tc>
          <w:tcPr>
            <w:tcW w:w="4621" w:type="dxa"/>
          </w:tcPr>
          <w:p w14:paraId="08C7B86A" w14:textId="77777777" w:rsidR="00D866B3" w:rsidRPr="005D146E" w:rsidRDefault="00D866B3" w:rsidP="00FE35DD">
            <w:pPr>
              <w:jc w:val="center"/>
              <w:rPr>
                <w:b/>
                <w:noProof/>
              </w:rPr>
            </w:pPr>
            <w:r w:rsidRPr="005D146E">
              <w:rPr>
                <w:b/>
                <w:noProof/>
                <w:shd w:val="clear" w:color="auto" w:fill="FFFFFF"/>
              </w:rPr>
              <w:t>Direktiv 2009/128/EG</w:t>
            </w:r>
          </w:p>
        </w:tc>
        <w:tc>
          <w:tcPr>
            <w:tcW w:w="4621" w:type="dxa"/>
          </w:tcPr>
          <w:p w14:paraId="70FA65AA" w14:textId="77777777" w:rsidR="00D866B3" w:rsidRPr="005D146E" w:rsidRDefault="00D866B3" w:rsidP="00FE35DD">
            <w:pPr>
              <w:jc w:val="center"/>
              <w:rPr>
                <w:b/>
                <w:noProof/>
              </w:rPr>
            </w:pPr>
            <w:r w:rsidRPr="005D146E">
              <w:rPr>
                <w:b/>
                <w:noProof/>
              </w:rPr>
              <w:t>Denna förordning</w:t>
            </w:r>
          </w:p>
        </w:tc>
      </w:tr>
      <w:tr w:rsidR="0066509A" w:rsidRPr="005D146E" w14:paraId="7D063F84" w14:textId="77777777" w:rsidTr="00FE35DD">
        <w:tc>
          <w:tcPr>
            <w:tcW w:w="4621" w:type="dxa"/>
          </w:tcPr>
          <w:p w14:paraId="0B11855E" w14:textId="20265D60" w:rsidR="00D866B3" w:rsidRPr="005D146E" w:rsidRDefault="00D866B3" w:rsidP="00D866B3">
            <w:pPr>
              <w:rPr>
                <w:noProof/>
              </w:rPr>
            </w:pPr>
            <w:r w:rsidRPr="005D146E">
              <w:rPr>
                <w:noProof/>
              </w:rPr>
              <w:t>Artikel 1</w:t>
            </w:r>
          </w:p>
        </w:tc>
        <w:tc>
          <w:tcPr>
            <w:tcW w:w="4621" w:type="dxa"/>
          </w:tcPr>
          <w:p w14:paraId="4A320C14" w14:textId="77777777" w:rsidR="00D866B3" w:rsidRPr="005D146E" w:rsidRDefault="00D866B3" w:rsidP="00FE35DD">
            <w:pPr>
              <w:rPr>
                <w:noProof/>
              </w:rPr>
            </w:pPr>
            <w:r w:rsidRPr="005D146E">
              <w:rPr>
                <w:noProof/>
              </w:rPr>
              <w:t>Artikel 1</w:t>
            </w:r>
          </w:p>
        </w:tc>
      </w:tr>
      <w:tr w:rsidR="0066509A" w:rsidRPr="005D146E" w14:paraId="65CCA4FF" w14:textId="77777777" w:rsidTr="00FE35DD">
        <w:tc>
          <w:tcPr>
            <w:tcW w:w="4621" w:type="dxa"/>
          </w:tcPr>
          <w:p w14:paraId="747CC941" w14:textId="15C761F3" w:rsidR="00D866B3" w:rsidRPr="005D146E" w:rsidRDefault="00D866B3" w:rsidP="00D866B3">
            <w:pPr>
              <w:rPr>
                <w:noProof/>
              </w:rPr>
            </w:pPr>
            <w:r w:rsidRPr="005D146E">
              <w:rPr>
                <w:noProof/>
              </w:rPr>
              <w:t>Artikel 2</w:t>
            </w:r>
          </w:p>
        </w:tc>
        <w:tc>
          <w:tcPr>
            <w:tcW w:w="4621" w:type="dxa"/>
          </w:tcPr>
          <w:p w14:paraId="5F8E0116" w14:textId="0C2B166D" w:rsidR="00D866B3" w:rsidRPr="005D146E" w:rsidRDefault="00C00124" w:rsidP="00FE35DD">
            <w:pPr>
              <w:rPr>
                <w:noProof/>
              </w:rPr>
            </w:pPr>
            <w:r w:rsidRPr="005D146E">
              <w:rPr>
                <w:noProof/>
              </w:rPr>
              <w:t>Artikel 2</w:t>
            </w:r>
          </w:p>
        </w:tc>
      </w:tr>
      <w:tr w:rsidR="0066509A" w:rsidRPr="005D146E" w14:paraId="2A4ADF93" w14:textId="77777777" w:rsidTr="00FE35DD">
        <w:tc>
          <w:tcPr>
            <w:tcW w:w="4621" w:type="dxa"/>
          </w:tcPr>
          <w:p w14:paraId="4AE00E4C" w14:textId="54FA70FD" w:rsidR="00D866B3" w:rsidRPr="005D146E" w:rsidRDefault="00D866B3" w:rsidP="00D866B3">
            <w:pPr>
              <w:rPr>
                <w:noProof/>
              </w:rPr>
            </w:pPr>
            <w:r w:rsidRPr="005D146E">
              <w:rPr>
                <w:noProof/>
              </w:rPr>
              <w:t>Artikel 3</w:t>
            </w:r>
          </w:p>
        </w:tc>
        <w:tc>
          <w:tcPr>
            <w:tcW w:w="4621" w:type="dxa"/>
          </w:tcPr>
          <w:p w14:paraId="31FBF74C" w14:textId="6C081439" w:rsidR="00D866B3" w:rsidRPr="005D146E" w:rsidRDefault="00D866B3" w:rsidP="00C00124">
            <w:pPr>
              <w:rPr>
                <w:noProof/>
              </w:rPr>
            </w:pPr>
            <w:r w:rsidRPr="005D146E">
              <w:rPr>
                <w:noProof/>
              </w:rPr>
              <w:t>Artikel 3</w:t>
            </w:r>
          </w:p>
        </w:tc>
      </w:tr>
      <w:tr w:rsidR="0066509A" w:rsidRPr="005D146E" w14:paraId="4FD88832" w14:textId="77777777" w:rsidTr="00FE35DD">
        <w:tc>
          <w:tcPr>
            <w:tcW w:w="4621" w:type="dxa"/>
          </w:tcPr>
          <w:p w14:paraId="1F8EEA88" w14:textId="522C462B" w:rsidR="00D866B3" w:rsidRPr="005D146E" w:rsidRDefault="00D866B3" w:rsidP="00931692">
            <w:pPr>
              <w:rPr>
                <w:noProof/>
              </w:rPr>
            </w:pPr>
            <w:r w:rsidRPr="005D146E">
              <w:rPr>
                <w:noProof/>
              </w:rPr>
              <w:t>Artikel 4</w:t>
            </w:r>
          </w:p>
        </w:tc>
        <w:tc>
          <w:tcPr>
            <w:tcW w:w="4621" w:type="dxa"/>
          </w:tcPr>
          <w:p w14:paraId="3FC3A688" w14:textId="0CFCAEE2" w:rsidR="00D866B3" w:rsidRPr="005D146E" w:rsidRDefault="00D866B3" w:rsidP="00C00124">
            <w:pPr>
              <w:rPr>
                <w:noProof/>
              </w:rPr>
            </w:pPr>
            <w:r w:rsidRPr="005D146E">
              <w:rPr>
                <w:noProof/>
              </w:rPr>
              <w:t>artiklarna 8–9</w:t>
            </w:r>
          </w:p>
        </w:tc>
      </w:tr>
      <w:tr w:rsidR="0066509A" w:rsidRPr="005D146E" w14:paraId="0AA3D0E4" w14:textId="77777777" w:rsidTr="00FE35DD">
        <w:tc>
          <w:tcPr>
            <w:tcW w:w="4621" w:type="dxa"/>
          </w:tcPr>
          <w:p w14:paraId="7561BEFD" w14:textId="54CDB9A4" w:rsidR="00D866B3" w:rsidRPr="005D146E" w:rsidRDefault="00D866B3" w:rsidP="00D866B3">
            <w:pPr>
              <w:rPr>
                <w:noProof/>
              </w:rPr>
            </w:pPr>
          </w:p>
        </w:tc>
        <w:tc>
          <w:tcPr>
            <w:tcW w:w="4621" w:type="dxa"/>
          </w:tcPr>
          <w:p w14:paraId="1FDD5F75" w14:textId="7357A27D" w:rsidR="00D866B3" w:rsidRPr="005D146E" w:rsidRDefault="00D866B3" w:rsidP="00C05890">
            <w:pPr>
              <w:rPr>
                <w:noProof/>
              </w:rPr>
            </w:pPr>
          </w:p>
        </w:tc>
      </w:tr>
      <w:tr w:rsidR="0066509A" w:rsidRPr="005D146E" w14:paraId="54096D90" w14:textId="77777777" w:rsidTr="00FE35DD">
        <w:tc>
          <w:tcPr>
            <w:tcW w:w="4621" w:type="dxa"/>
          </w:tcPr>
          <w:p w14:paraId="39B3EEF7" w14:textId="0401946B" w:rsidR="00D866B3" w:rsidRPr="005D146E" w:rsidRDefault="00D866B3" w:rsidP="00D866B3">
            <w:pPr>
              <w:rPr>
                <w:noProof/>
              </w:rPr>
            </w:pPr>
          </w:p>
        </w:tc>
        <w:tc>
          <w:tcPr>
            <w:tcW w:w="4621" w:type="dxa"/>
          </w:tcPr>
          <w:p w14:paraId="18496DE3" w14:textId="4BA77BDA" w:rsidR="00D866B3" w:rsidRPr="005D146E" w:rsidRDefault="00D866B3" w:rsidP="00FE35DD">
            <w:pPr>
              <w:rPr>
                <w:noProof/>
              </w:rPr>
            </w:pPr>
          </w:p>
        </w:tc>
      </w:tr>
      <w:tr w:rsidR="0066509A" w:rsidRPr="005D146E" w14:paraId="34AB7AC9" w14:textId="77777777" w:rsidTr="00FE35DD">
        <w:tc>
          <w:tcPr>
            <w:tcW w:w="4621" w:type="dxa"/>
          </w:tcPr>
          <w:p w14:paraId="301AC5C4" w14:textId="73472FC3" w:rsidR="00D866B3" w:rsidRPr="005D146E" w:rsidRDefault="00D866B3" w:rsidP="00D866B3">
            <w:pPr>
              <w:rPr>
                <w:noProof/>
              </w:rPr>
            </w:pPr>
          </w:p>
        </w:tc>
        <w:tc>
          <w:tcPr>
            <w:tcW w:w="4621" w:type="dxa"/>
          </w:tcPr>
          <w:p w14:paraId="3ED2B661" w14:textId="0D003651" w:rsidR="00D866B3" w:rsidRPr="005D146E" w:rsidRDefault="00D866B3" w:rsidP="00FE35DD">
            <w:pPr>
              <w:rPr>
                <w:noProof/>
              </w:rPr>
            </w:pPr>
          </w:p>
        </w:tc>
      </w:tr>
      <w:tr w:rsidR="0066509A" w:rsidRPr="005D146E" w14:paraId="35B23E02" w14:textId="77777777" w:rsidTr="00FE35DD">
        <w:tc>
          <w:tcPr>
            <w:tcW w:w="4621" w:type="dxa"/>
          </w:tcPr>
          <w:p w14:paraId="18D00FF6" w14:textId="206E4EBE" w:rsidR="00D866B3" w:rsidRPr="005D146E" w:rsidRDefault="00D866B3" w:rsidP="00931692">
            <w:pPr>
              <w:rPr>
                <w:noProof/>
              </w:rPr>
            </w:pPr>
            <w:r w:rsidRPr="005D146E">
              <w:rPr>
                <w:noProof/>
              </w:rPr>
              <w:t>Artikel 5</w:t>
            </w:r>
          </w:p>
        </w:tc>
        <w:tc>
          <w:tcPr>
            <w:tcW w:w="4621" w:type="dxa"/>
          </w:tcPr>
          <w:p w14:paraId="4607D63A" w14:textId="5C30793F" w:rsidR="00D866B3" w:rsidRPr="005D146E" w:rsidRDefault="00D866B3" w:rsidP="00931692">
            <w:pPr>
              <w:rPr>
                <w:noProof/>
              </w:rPr>
            </w:pPr>
            <w:r w:rsidRPr="005D146E">
              <w:rPr>
                <w:noProof/>
              </w:rPr>
              <w:t>Artiklarna 17.1, 23 och 25</w:t>
            </w:r>
          </w:p>
        </w:tc>
      </w:tr>
      <w:tr w:rsidR="0066509A" w:rsidRPr="005D146E" w14:paraId="3A081F13" w14:textId="77777777" w:rsidTr="00FE35DD">
        <w:tc>
          <w:tcPr>
            <w:tcW w:w="4621" w:type="dxa"/>
          </w:tcPr>
          <w:p w14:paraId="58A6E5B4" w14:textId="1C2BF810" w:rsidR="00D866B3" w:rsidRPr="005D146E" w:rsidRDefault="00D866B3" w:rsidP="00931692">
            <w:pPr>
              <w:rPr>
                <w:noProof/>
              </w:rPr>
            </w:pPr>
            <w:r w:rsidRPr="005D146E">
              <w:rPr>
                <w:noProof/>
              </w:rPr>
              <w:t>Artikel 6</w:t>
            </w:r>
          </w:p>
        </w:tc>
        <w:tc>
          <w:tcPr>
            <w:tcW w:w="4621" w:type="dxa"/>
          </w:tcPr>
          <w:p w14:paraId="0EE31E25" w14:textId="4AA84C17" w:rsidR="00D866B3" w:rsidRPr="005D146E" w:rsidRDefault="00D866B3" w:rsidP="003118DA">
            <w:pPr>
              <w:rPr>
                <w:noProof/>
              </w:rPr>
            </w:pPr>
            <w:r w:rsidRPr="005D146E">
              <w:rPr>
                <w:noProof/>
              </w:rPr>
              <w:t>Artikel 24</w:t>
            </w:r>
          </w:p>
        </w:tc>
      </w:tr>
      <w:tr w:rsidR="0066509A" w:rsidRPr="005D146E" w14:paraId="42EEDAEE" w14:textId="77777777" w:rsidTr="00FE35DD">
        <w:tc>
          <w:tcPr>
            <w:tcW w:w="4621" w:type="dxa"/>
          </w:tcPr>
          <w:p w14:paraId="459E1C60" w14:textId="5E35077E" w:rsidR="00D866B3" w:rsidRPr="005D146E" w:rsidRDefault="00D866B3" w:rsidP="00931692">
            <w:pPr>
              <w:rPr>
                <w:noProof/>
              </w:rPr>
            </w:pPr>
            <w:r w:rsidRPr="005D146E">
              <w:rPr>
                <w:noProof/>
              </w:rPr>
              <w:t>Artikel 7</w:t>
            </w:r>
          </w:p>
        </w:tc>
        <w:tc>
          <w:tcPr>
            <w:tcW w:w="4621" w:type="dxa"/>
          </w:tcPr>
          <w:p w14:paraId="459A139A" w14:textId="357BDEE8" w:rsidR="00D866B3" w:rsidRPr="005D146E" w:rsidRDefault="00D866B3" w:rsidP="003118DA">
            <w:pPr>
              <w:rPr>
                <w:noProof/>
              </w:rPr>
            </w:pPr>
            <w:r w:rsidRPr="005D146E">
              <w:rPr>
                <w:noProof/>
              </w:rPr>
              <w:t>Artikel 27</w:t>
            </w:r>
          </w:p>
        </w:tc>
      </w:tr>
      <w:tr w:rsidR="0066509A" w:rsidRPr="005D146E" w14:paraId="671BAC8A" w14:textId="77777777" w:rsidTr="00FE35DD">
        <w:tc>
          <w:tcPr>
            <w:tcW w:w="4621" w:type="dxa"/>
          </w:tcPr>
          <w:p w14:paraId="17311C28" w14:textId="36CE966E" w:rsidR="00D866B3" w:rsidRPr="005D146E" w:rsidRDefault="00D866B3" w:rsidP="00931692">
            <w:pPr>
              <w:rPr>
                <w:noProof/>
              </w:rPr>
            </w:pPr>
            <w:r w:rsidRPr="005D146E">
              <w:rPr>
                <w:noProof/>
              </w:rPr>
              <w:t xml:space="preserve">Artikel 8 </w:t>
            </w:r>
          </w:p>
        </w:tc>
        <w:tc>
          <w:tcPr>
            <w:tcW w:w="4621" w:type="dxa"/>
          </w:tcPr>
          <w:p w14:paraId="1319FD6B" w14:textId="6C2327DF" w:rsidR="00D866B3" w:rsidRPr="005D146E" w:rsidRDefault="00D866B3" w:rsidP="00D276F0">
            <w:pPr>
              <w:rPr>
                <w:noProof/>
              </w:rPr>
            </w:pPr>
            <w:r w:rsidRPr="005D146E">
              <w:rPr>
                <w:noProof/>
              </w:rPr>
              <w:t>Artiklarna 17.3–17.5 och 29–33.</w:t>
            </w:r>
          </w:p>
        </w:tc>
      </w:tr>
      <w:tr w:rsidR="0066509A" w:rsidRPr="005D146E" w14:paraId="2EE38CC4" w14:textId="77777777" w:rsidTr="00FE35DD">
        <w:tc>
          <w:tcPr>
            <w:tcW w:w="4621" w:type="dxa"/>
          </w:tcPr>
          <w:p w14:paraId="23DE11CE" w14:textId="1BBD7BB1" w:rsidR="00D866B3" w:rsidRPr="005D146E" w:rsidRDefault="00D866B3" w:rsidP="00D866B3">
            <w:pPr>
              <w:rPr>
                <w:noProof/>
              </w:rPr>
            </w:pPr>
          </w:p>
        </w:tc>
        <w:tc>
          <w:tcPr>
            <w:tcW w:w="4621" w:type="dxa"/>
          </w:tcPr>
          <w:p w14:paraId="41387B6B" w14:textId="4F3EFB82" w:rsidR="00D866B3" w:rsidRPr="005D146E" w:rsidRDefault="00D866B3" w:rsidP="00FE35DD">
            <w:pPr>
              <w:rPr>
                <w:noProof/>
              </w:rPr>
            </w:pPr>
          </w:p>
        </w:tc>
      </w:tr>
      <w:tr w:rsidR="0066509A" w:rsidRPr="005D146E" w14:paraId="03316C9C" w14:textId="77777777" w:rsidTr="00FE35DD">
        <w:tc>
          <w:tcPr>
            <w:tcW w:w="4621" w:type="dxa"/>
          </w:tcPr>
          <w:p w14:paraId="51CA96C6" w14:textId="3E438BA2" w:rsidR="00D866B3" w:rsidRPr="005D146E" w:rsidRDefault="00D866B3" w:rsidP="00D866B3">
            <w:pPr>
              <w:rPr>
                <w:noProof/>
              </w:rPr>
            </w:pPr>
          </w:p>
        </w:tc>
        <w:tc>
          <w:tcPr>
            <w:tcW w:w="4621" w:type="dxa"/>
          </w:tcPr>
          <w:p w14:paraId="7A680269" w14:textId="4050A4C9" w:rsidR="00D866B3" w:rsidRPr="005D146E" w:rsidRDefault="00D866B3" w:rsidP="00FE35DD">
            <w:pPr>
              <w:rPr>
                <w:noProof/>
              </w:rPr>
            </w:pPr>
          </w:p>
        </w:tc>
      </w:tr>
      <w:tr w:rsidR="0066509A" w:rsidRPr="005D146E" w14:paraId="506DC403" w14:textId="77777777" w:rsidTr="00FE35DD">
        <w:tc>
          <w:tcPr>
            <w:tcW w:w="4621" w:type="dxa"/>
          </w:tcPr>
          <w:p w14:paraId="037AD9E0" w14:textId="70CE922D" w:rsidR="00D866B3" w:rsidRPr="005D146E" w:rsidRDefault="00D866B3" w:rsidP="00D866B3">
            <w:pPr>
              <w:rPr>
                <w:noProof/>
              </w:rPr>
            </w:pPr>
          </w:p>
        </w:tc>
        <w:tc>
          <w:tcPr>
            <w:tcW w:w="4621" w:type="dxa"/>
          </w:tcPr>
          <w:p w14:paraId="2FB1BB5E" w14:textId="3FCABC69" w:rsidR="00D866B3" w:rsidRPr="005D146E" w:rsidRDefault="00D866B3" w:rsidP="00FE35DD">
            <w:pPr>
              <w:rPr>
                <w:noProof/>
              </w:rPr>
            </w:pPr>
          </w:p>
        </w:tc>
      </w:tr>
      <w:tr w:rsidR="0066509A" w:rsidRPr="005D146E" w14:paraId="2BFE2759" w14:textId="77777777" w:rsidTr="00FE35DD">
        <w:tc>
          <w:tcPr>
            <w:tcW w:w="4621" w:type="dxa"/>
          </w:tcPr>
          <w:p w14:paraId="41BE758C" w14:textId="5FAAEFEB" w:rsidR="00D866B3" w:rsidRPr="005D146E" w:rsidRDefault="00D866B3" w:rsidP="00D866B3">
            <w:pPr>
              <w:rPr>
                <w:noProof/>
              </w:rPr>
            </w:pPr>
          </w:p>
        </w:tc>
        <w:tc>
          <w:tcPr>
            <w:tcW w:w="4621" w:type="dxa"/>
          </w:tcPr>
          <w:p w14:paraId="7FFD1AE8" w14:textId="3BC2FA2A" w:rsidR="00D866B3" w:rsidRPr="005D146E" w:rsidRDefault="00D866B3" w:rsidP="00FE35DD">
            <w:pPr>
              <w:rPr>
                <w:noProof/>
              </w:rPr>
            </w:pPr>
          </w:p>
        </w:tc>
      </w:tr>
      <w:tr w:rsidR="0066509A" w:rsidRPr="005D146E" w14:paraId="4C5DBE10" w14:textId="77777777" w:rsidTr="00FE35DD">
        <w:tc>
          <w:tcPr>
            <w:tcW w:w="4621" w:type="dxa"/>
          </w:tcPr>
          <w:p w14:paraId="58F84CF4" w14:textId="4203F766" w:rsidR="00D866B3" w:rsidRPr="005D146E" w:rsidRDefault="00D866B3" w:rsidP="00D866B3">
            <w:pPr>
              <w:rPr>
                <w:noProof/>
              </w:rPr>
            </w:pPr>
          </w:p>
        </w:tc>
        <w:tc>
          <w:tcPr>
            <w:tcW w:w="4621" w:type="dxa"/>
          </w:tcPr>
          <w:p w14:paraId="31EF8212" w14:textId="2D36CB3D" w:rsidR="00D866B3" w:rsidRPr="005D146E" w:rsidRDefault="00D866B3" w:rsidP="00FE35DD">
            <w:pPr>
              <w:rPr>
                <w:noProof/>
              </w:rPr>
            </w:pPr>
          </w:p>
        </w:tc>
      </w:tr>
      <w:tr w:rsidR="0066509A" w:rsidRPr="005D146E" w14:paraId="508FE693" w14:textId="77777777" w:rsidTr="00FE35DD">
        <w:tc>
          <w:tcPr>
            <w:tcW w:w="4621" w:type="dxa"/>
          </w:tcPr>
          <w:p w14:paraId="36DA1CFD" w14:textId="40745D4B" w:rsidR="00D866B3" w:rsidRPr="005D146E" w:rsidRDefault="00D866B3" w:rsidP="00931692">
            <w:pPr>
              <w:rPr>
                <w:noProof/>
              </w:rPr>
            </w:pPr>
            <w:r w:rsidRPr="005D146E">
              <w:rPr>
                <w:noProof/>
              </w:rPr>
              <w:t xml:space="preserve">Artikel 9 </w:t>
            </w:r>
          </w:p>
        </w:tc>
        <w:tc>
          <w:tcPr>
            <w:tcW w:w="4621" w:type="dxa"/>
          </w:tcPr>
          <w:p w14:paraId="0072D632" w14:textId="2A1FAC11" w:rsidR="00D866B3" w:rsidRPr="005D146E" w:rsidRDefault="00D866B3" w:rsidP="00C05890">
            <w:pPr>
              <w:rPr>
                <w:noProof/>
              </w:rPr>
            </w:pPr>
            <w:r w:rsidRPr="005D146E">
              <w:rPr>
                <w:noProof/>
              </w:rPr>
              <w:t>Artiklarna 20–21</w:t>
            </w:r>
          </w:p>
        </w:tc>
      </w:tr>
      <w:tr w:rsidR="0066509A" w:rsidRPr="005D146E" w14:paraId="761CAB07" w14:textId="77777777" w:rsidTr="00FE35DD">
        <w:tc>
          <w:tcPr>
            <w:tcW w:w="4621" w:type="dxa"/>
          </w:tcPr>
          <w:p w14:paraId="0306ED7C" w14:textId="3CA96F71" w:rsidR="00D866B3" w:rsidRPr="005D146E" w:rsidRDefault="00D866B3" w:rsidP="00931692">
            <w:pPr>
              <w:rPr>
                <w:noProof/>
              </w:rPr>
            </w:pPr>
            <w:r w:rsidRPr="005D146E">
              <w:rPr>
                <w:noProof/>
              </w:rPr>
              <w:t xml:space="preserve">Artikel 10 </w:t>
            </w:r>
          </w:p>
        </w:tc>
        <w:tc>
          <w:tcPr>
            <w:tcW w:w="4621" w:type="dxa"/>
          </w:tcPr>
          <w:p w14:paraId="6C578F2D" w14:textId="1C18D7E7" w:rsidR="00D866B3" w:rsidRPr="005D146E" w:rsidRDefault="00D866B3" w:rsidP="007B34A6">
            <w:pPr>
              <w:rPr>
                <w:noProof/>
              </w:rPr>
            </w:pPr>
          </w:p>
        </w:tc>
      </w:tr>
      <w:tr w:rsidR="0066509A" w:rsidRPr="005D146E" w14:paraId="536F453C" w14:textId="77777777" w:rsidTr="00FE35DD">
        <w:tc>
          <w:tcPr>
            <w:tcW w:w="4621" w:type="dxa"/>
          </w:tcPr>
          <w:p w14:paraId="63BD7995" w14:textId="138D56BB" w:rsidR="00D866B3" w:rsidRPr="005D146E" w:rsidRDefault="00D866B3" w:rsidP="00931692">
            <w:pPr>
              <w:rPr>
                <w:noProof/>
              </w:rPr>
            </w:pPr>
            <w:r w:rsidRPr="005D146E">
              <w:rPr>
                <w:noProof/>
              </w:rPr>
              <w:t>Artikel 11</w:t>
            </w:r>
          </w:p>
        </w:tc>
        <w:tc>
          <w:tcPr>
            <w:tcW w:w="4621" w:type="dxa"/>
          </w:tcPr>
          <w:p w14:paraId="2BB17F59" w14:textId="001F7697" w:rsidR="00D866B3" w:rsidRPr="005D146E" w:rsidRDefault="00D866B3" w:rsidP="007B34A6">
            <w:pPr>
              <w:rPr>
                <w:noProof/>
              </w:rPr>
            </w:pPr>
            <w:r w:rsidRPr="005D146E">
              <w:rPr>
                <w:noProof/>
              </w:rPr>
              <w:t>Artikel 19</w:t>
            </w:r>
          </w:p>
        </w:tc>
      </w:tr>
      <w:tr w:rsidR="0066509A" w:rsidRPr="005D146E" w14:paraId="215A9B05" w14:textId="77777777" w:rsidTr="00FE35DD">
        <w:tc>
          <w:tcPr>
            <w:tcW w:w="4621" w:type="dxa"/>
          </w:tcPr>
          <w:p w14:paraId="2825F5D2" w14:textId="2337F35B" w:rsidR="00D866B3" w:rsidRPr="005D146E" w:rsidRDefault="00D866B3" w:rsidP="00931692">
            <w:pPr>
              <w:rPr>
                <w:noProof/>
              </w:rPr>
            </w:pPr>
            <w:r w:rsidRPr="005D146E">
              <w:rPr>
                <w:noProof/>
              </w:rPr>
              <w:t>Artikel 12</w:t>
            </w:r>
          </w:p>
        </w:tc>
        <w:tc>
          <w:tcPr>
            <w:tcW w:w="4621" w:type="dxa"/>
          </w:tcPr>
          <w:p w14:paraId="64621208" w14:textId="52151EC6" w:rsidR="00D866B3" w:rsidRPr="005D146E" w:rsidRDefault="00D866B3" w:rsidP="007B34A6">
            <w:pPr>
              <w:rPr>
                <w:noProof/>
              </w:rPr>
            </w:pPr>
            <w:r w:rsidRPr="005D146E">
              <w:rPr>
                <w:noProof/>
              </w:rPr>
              <w:t>Artikel 18</w:t>
            </w:r>
          </w:p>
        </w:tc>
      </w:tr>
      <w:tr w:rsidR="0066509A" w:rsidRPr="005D146E" w14:paraId="7500B9B3" w14:textId="77777777" w:rsidTr="00FE35DD">
        <w:tc>
          <w:tcPr>
            <w:tcW w:w="4621" w:type="dxa"/>
          </w:tcPr>
          <w:p w14:paraId="322240E4" w14:textId="731462FF" w:rsidR="00D866B3" w:rsidRPr="005D146E" w:rsidRDefault="00D866B3" w:rsidP="00931692">
            <w:pPr>
              <w:rPr>
                <w:noProof/>
              </w:rPr>
            </w:pPr>
            <w:r w:rsidRPr="005D146E">
              <w:rPr>
                <w:noProof/>
              </w:rPr>
              <w:t>Artikel 13</w:t>
            </w:r>
          </w:p>
        </w:tc>
        <w:tc>
          <w:tcPr>
            <w:tcW w:w="4621" w:type="dxa"/>
          </w:tcPr>
          <w:p w14:paraId="5884AD7F" w14:textId="0F4A7A4F" w:rsidR="00D866B3" w:rsidRPr="005D146E" w:rsidRDefault="00D866B3" w:rsidP="004F4CE2">
            <w:pPr>
              <w:rPr>
                <w:noProof/>
              </w:rPr>
            </w:pPr>
            <w:r w:rsidRPr="005D146E">
              <w:rPr>
                <w:noProof/>
              </w:rPr>
              <w:t>Artikel 22</w:t>
            </w:r>
          </w:p>
        </w:tc>
      </w:tr>
      <w:tr w:rsidR="0066509A" w:rsidRPr="005D146E" w14:paraId="66F27F67" w14:textId="77777777" w:rsidTr="00FE35DD">
        <w:tc>
          <w:tcPr>
            <w:tcW w:w="4621" w:type="dxa"/>
          </w:tcPr>
          <w:p w14:paraId="4D43BEE8" w14:textId="6AFB2C30" w:rsidR="00D866B3" w:rsidRPr="005D146E" w:rsidRDefault="00D866B3" w:rsidP="00931692">
            <w:pPr>
              <w:rPr>
                <w:noProof/>
              </w:rPr>
            </w:pPr>
            <w:r w:rsidRPr="005D146E">
              <w:rPr>
                <w:noProof/>
              </w:rPr>
              <w:t xml:space="preserve">Artikel 14 </w:t>
            </w:r>
          </w:p>
        </w:tc>
        <w:tc>
          <w:tcPr>
            <w:tcW w:w="4621" w:type="dxa"/>
          </w:tcPr>
          <w:p w14:paraId="7CC6853D" w14:textId="3742EB89" w:rsidR="00D866B3" w:rsidRPr="005D146E" w:rsidRDefault="00D866B3" w:rsidP="004F4CE2">
            <w:pPr>
              <w:rPr>
                <w:noProof/>
              </w:rPr>
            </w:pPr>
            <w:r w:rsidRPr="005D146E">
              <w:rPr>
                <w:noProof/>
              </w:rPr>
              <w:t>Artiklarna 12–16</w:t>
            </w:r>
          </w:p>
        </w:tc>
      </w:tr>
      <w:tr w:rsidR="0066509A" w:rsidRPr="005D146E" w14:paraId="697F2E08" w14:textId="77777777" w:rsidTr="00FE35DD">
        <w:tc>
          <w:tcPr>
            <w:tcW w:w="4621" w:type="dxa"/>
          </w:tcPr>
          <w:p w14:paraId="0479937C" w14:textId="1D52C183" w:rsidR="00D866B3" w:rsidRPr="005D146E" w:rsidRDefault="00D866B3" w:rsidP="00D866B3">
            <w:pPr>
              <w:rPr>
                <w:noProof/>
              </w:rPr>
            </w:pPr>
          </w:p>
        </w:tc>
        <w:tc>
          <w:tcPr>
            <w:tcW w:w="4621" w:type="dxa"/>
          </w:tcPr>
          <w:p w14:paraId="0A6BED67" w14:textId="0AD670CC" w:rsidR="00D866B3" w:rsidRPr="005D146E" w:rsidRDefault="00D866B3" w:rsidP="00FE35DD">
            <w:pPr>
              <w:rPr>
                <w:noProof/>
              </w:rPr>
            </w:pPr>
          </w:p>
        </w:tc>
      </w:tr>
      <w:tr w:rsidR="0066509A" w:rsidRPr="005D146E" w14:paraId="01E4150A" w14:textId="77777777" w:rsidTr="00FE35DD">
        <w:tc>
          <w:tcPr>
            <w:tcW w:w="4621" w:type="dxa"/>
          </w:tcPr>
          <w:p w14:paraId="040D5991" w14:textId="5FB1EA0B" w:rsidR="00D866B3" w:rsidRPr="005D146E" w:rsidRDefault="00D866B3" w:rsidP="00D866B3">
            <w:pPr>
              <w:rPr>
                <w:noProof/>
              </w:rPr>
            </w:pPr>
          </w:p>
        </w:tc>
        <w:tc>
          <w:tcPr>
            <w:tcW w:w="4621" w:type="dxa"/>
          </w:tcPr>
          <w:p w14:paraId="00E23A52" w14:textId="476CA115" w:rsidR="00D866B3" w:rsidRPr="005D146E" w:rsidRDefault="00D866B3" w:rsidP="00FE35DD">
            <w:pPr>
              <w:rPr>
                <w:noProof/>
              </w:rPr>
            </w:pPr>
          </w:p>
        </w:tc>
      </w:tr>
      <w:tr w:rsidR="0066509A" w:rsidRPr="005D146E" w14:paraId="4FFFF69B" w14:textId="77777777" w:rsidTr="00FE35DD">
        <w:tc>
          <w:tcPr>
            <w:tcW w:w="4621" w:type="dxa"/>
          </w:tcPr>
          <w:p w14:paraId="5047ECB0" w14:textId="4100CFD2" w:rsidR="00D866B3" w:rsidRPr="005D146E" w:rsidRDefault="00D866B3" w:rsidP="00931692">
            <w:pPr>
              <w:rPr>
                <w:noProof/>
              </w:rPr>
            </w:pPr>
            <w:r w:rsidRPr="005D146E">
              <w:rPr>
                <w:noProof/>
              </w:rPr>
              <w:t>Artikel 15</w:t>
            </w:r>
          </w:p>
        </w:tc>
        <w:tc>
          <w:tcPr>
            <w:tcW w:w="4621" w:type="dxa"/>
          </w:tcPr>
          <w:p w14:paraId="7F7F417B" w14:textId="2D6C6A7D" w:rsidR="00D866B3" w:rsidRPr="005D146E" w:rsidRDefault="00D866B3" w:rsidP="00AA512C">
            <w:pPr>
              <w:rPr>
                <w:noProof/>
              </w:rPr>
            </w:pPr>
            <w:r w:rsidRPr="005D146E">
              <w:rPr>
                <w:noProof/>
              </w:rPr>
              <w:t>Artiklarna 35 och 36</w:t>
            </w:r>
          </w:p>
        </w:tc>
      </w:tr>
      <w:tr w:rsidR="0066509A" w:rsidRPr="005D146E" w14:paraId="53CCB874" w14:textId="77777777" w:rsidTr="00FE35DD">
        <w:tc>
          <w:tcPr>
            <w:tcW w:w="4621" w:type="dxa"/>
          </w:tcPr>
          <w:p w14:paraId="252D3F57" w14:textId="2E60DB34" w:rsidR="00D866B3" w:rsidRPr="005D146E" w:rsidRDefault="00D866B3" w:rsidP="00931692">
            <w:pPr>
              <w:rPr>
                <w:noProof/>
              </w:rPr>
            </w:pPr>
            <w:r w:rsidRPr="005D146E">
              <w:rPr>
                <w:noProof/>
              </w:rPr>
              <w:t>Artikel 16</w:t>
            </w:r>
          </w:p>
        </w:tc>
        <w:tc>
          <w:tcPr>
            <w:tcW w:w="4621" w:type="dxa"/>
          </w:tcPr>
          <w:p w14:paraId="629A4818" w14:textId="333DF84E" w:rsidR="00D866B3" w:rsidRPr="005D146E" w:rsidRDefault="00D276F0" w:rsidP="00BB4E03">
            <w:pPr>
              <w:rPr>
                <w:noProof/>
              </w:rPr>
            </w:pPr>
            <w:r w:rsidRPr="005D146E">
              <w:rPr>
                <w:noProof/>
              </w:rPr>
              <w:t>Artiklarna 11.7, 15.13 och 42.2</w:t>
            </w:r>
          </w:p>
        </w:tc>
      </w:tr>
      <w:tr w:rsidR="0066509A" w:rsidRPr="005D146E" w14:paraId="2E04CDD7" w14:textId="77777777" w:rsidTr="00FE35DD">
        <w:tc>
          <w:tcPr>
            <w:tcW w:w="4621" w:type="dxa"/>
          </w:tcPr>
          <w:p w14:paraId="0DB9F94D" w14:textId="0FA273A3" w:rsidR="00D866B3" w:rsidRPr="005D146E" w:rsidRDefault="00D866B3" w:rsidP="00931692">
            <w:pPr>
              <w:rPr>
                <w:noProof/>
              </w:rPr>
            </w:pPr>
            <w:r w:rsidRPr="005D146E">
              <w:rPr>
                <w:noProof/>
              </w:rPr>
              <w:t>Artikel 17</w:t>
            </w:r>
          </w:p>
        </w:tc>
        <w:tc>
          <w:tcPr>
            <w:tcW w:w="4621" w:type="dxa"/>
          </w:tcPr>
          <w:p w14:paraId="66DC570F" w14:textId="6B6B9955" w:rsidR="00D866B3" w:rsidRPr="005D146E" w:rsidRDefault="00D866B3" w:rsidP="00812205">
            <w:pPr>
              <w:rPr>
                <w:noProof/>
              </w:rPr>
            </w:pPr>
            <w:r w:rsidRPr="005D146E">
              <w:rPr>
                <w:noProof/>
              </w:rPr>
              <w:t>Artikel 38</w:t>
            </w:r>
          </w:p>
        </w:tc>
      </w:tr>
      <w:tr w:rsidR="0066509A" w:rsidRPr="005D146E" w14:paraId="11DAB825" w14:textId="77777777" w:rsidTr="00FE35DD">
        <w:tc>
          <w:tcPr>
            <w:tcW w:w="4621" w:type="dxa"/>
          </w:tcPr>
          <w:p w14:paraId="5EC36630" w14:textId="177736A3" w:rsidR="00D866B3" w:rsidRPr="005D146E" w:rsidRDefault="00D866B3" w:rsidP="00931692">
            <w:pPr>
              <w:rPr>
                <w:noProof/>
              </w:rPr>
            </w:pPr>
            <w:r w:rsidRPr="005D146E">
              <w:rPr>
                <w:noProof/>
              </w:rPr>
              <w:t>Artikel 18</w:t>
            </w:r>
          </w:p>
        </w:tc>
        <w:tc>
          <w:tcPr>
            <w:tcW w:w="4621" w:type="dxa"/>
          </w:tcPr>
          <w:p w14:paraId="30A0549C" w14:textId="19E63948" w:rsidR="00D866B3" w:rsidRPr="005D146E" w:rsidRDefault="00D866B3" w:rsidP="00FE35DD">
            <w:pPr>
              <w:rPr>
                <w:noProof/>
              </w:rPr>
            </w:pPr>
          </w:p>
        </w:tc>
      </w:tr>
      <w:tr w:rsidR="0066509A" w:rsidRPr="005D146E" w14:paraId="136BAFCE" w14:textId="77777777" w:rsidTr="00FE35DD">
        <w:tc>
          <w:tcPr>
            <w:tcW w:w="4621" w:type="dxa"/>
          </w:tcPr>
          <w:p w14:paraId="25EBAAED" w14:textId="36EAA3B5" w:rsidR="00D866B3" w:rsidRPr="005D146E" w:rsidRDefault="00D866B3" w:rsidP="00931692">
            <w:pPr>
              <w:rPr>
                <w:noProof/>
              </w:rPr>
            </w:pPr>
            <w:r w:rsidRPr="005D146E">
              <w:rPr>
                <w:noProof/>
              </w:rPr>
              <w:t>Artikel 19</w:t>
            </w:r>
          </w:p>
        </w:tc>
        <w:tc>
          <w:tcPr>
            <w:tcW w:w="4621" w:type="dxa"/>
          </w:tcPr>
          <w:p w14:paraId="3EDF311B" w14:textId="30304C1C" w:rsidR="00D866B3" w:rsidRPr="005D146E" w:rsidRDefault="00D866B3" w:rsidP="00812205">
            <w:pPr>
              <w:rPr>
                <w:noProof/>
              </w:rPr>
            </w:pPr>
            <w:r w:rsidRPr="005D146E">
              <w:rPr>
                <w:noProof/>
              </w:rPr>
              <w:t>Artikel 39</w:t>
            </w:r>
          </w:p>
        </w:tc>
      </w:tr>
      <w:tr w:rsidR="0066509A" w:rsidRPr="005D146E" w14:paraId="65A7D496" w14:textId="77777777" w:rsidTr="00FE35DD">
        <w:tc>
          <w:tcPr>
            <w:tcW w:w="4621" w:type="dxa"/>
          </w:tcPr>
          <w:p w14:paraId="64578123" w14:textId="4F2243FA" w:rsidR="00D866B3" w:rsidRPr="005D146E" w:rsidRDefault="00D866B3" w:rsidP="00931692">
            <w:pPr>
              <w:rPr>
                <w:noProof/>
              </w:rPr>
            </w:pPr>
            <w:r w:rsidRPr="005D146E">
              <w:rPr>
                <w:noProof/>
              </w:rPr>
              <w:t xml:space="preserve">Artikel 20 </w:t>
            </w:r>
          </w:p>
        </w:tc>
        <w:tc>
          <w:tcPr>
            <w:tcW w:w="4621" w:type="dxa"/>
          </w:tcPr>
          <w:p w14:paraId="42E8523D" w14:textId="47E4968D" w:rsidR="00D866B3" w:rsidRPr="005D146E" w:rsidRDefault="002B3821" w:rsidP="00FE35DD">
            <w:pPr>
              <w:rPr>
                <w:noProof/>
              </w:rPr>
            </w:pPr>
            <w:r w:rsidRPr="005D146E">
              <w:rPr>
                <w:noProof/>
              </w:rPr>
              <w:t>artikel 31.11</w:t>
            </w:r>
          </w:p>
        </w:tc>
      </w:tr>
      <w:tr w:rsidR="0066509A" w:rsidRPr="005D146E" w14:paraId="1C9FFA79" w14:textId="77777777" w:rsidTr="00FE35DD">
        <w:tc>
          <w:tcPr>
            <w:tcW w:w="4621" w:type="dxa"/>
          </w:tcPr>
          <w:p w14:paraId="68C8C5BD" w14:textId="005BB6FA" w:rsidR="00D866B3" w:rsidRPr="005D146E" w:rsidRDefault="00D866B3" w:rsidP="00931692">
            <w:pPr>
              <w:rPr>
                <w:noProof/>
              </w:rPr>
            </w:pPr>
            <w:r w:rsidRPr="005D146E">
              <w:rPr>
                <w:noProof/>
              </w:rPr>
              <w:t>Artikel 21</w:t>
            </w:r>
          </w:p>
        </w:tc>
        <w:tc>
          <w:tcPr>
            <w:tcW w:w="4621" w:type="dxa"/>
          </w:tcPr>
          <w:p w14:paraId="11F26F2E" w14:textId="27708AE5" w:rsidR="00D866B3" w:rsidRPr="005D146E" w:rsidRDefault="00D866B3" w:rsidP="002B3821">
            <w:pPr>
              <w:rPr>
                <w:noProof/>
              </w:rPr>
            </w:pPr>
            <w:r w:rsidRPr="005D146E">
              <w:rPr>
                <w:noProof/>
              </w:rPr>
              <w:t>Artikel 41</w:t>
            </w:r>
          </w:p>
        </w:tc>
      </w:tr>
      <w:tr w:rsidR="0066509A" w:rsidRPr="005D146E" w14:paraId="6B011F71" w14:textId="77777777" w:rsidTr="00FE35DD">
        <w:tc>
          <w:tcPr>
            <w:tcW w:w="4621" w:type="dxa"/>
          </w:tcPr>
          <w:p w14:paraId="0E6A3CE8" w14:textId="18DE2BC3" w:rsidR="00D866B3" w:rsidRPr="005D146E" w:rsidRDefault="00D866B3" w:rsidP="00931692">
            <w:pPr>
              <w:rPr>
                <w:noProof/>
              </w:rPr>
            </w:pPr>
            <w:r w:rsidRPr="005D146E">
              <w:rPr>
                <w:noProof/>
              </w:rPr>
              <w:t>Artikel 22</w:t>
            </w:r>
          </w:p>
        </w:tc>
        <w:tc>
          <w:tcPr>
            <w:tcW w:w="4621" w:type="dxa"/>
          </w:tcPr>
          <w:p w14:paraId="0A3D415C" w14:textId="77777777" w:rsidR="00D866B3" w:rsidRPr="005D146E" w:rsidRDefault="00D866B3" w:rsidP="00FE35DD">
            <w:pPr>
              <w:rPr>
                <w:noProof/>
              </w:rPr>
            </w:pPr>
            <w:r w:rsidRPr="005D146E">
              <w:rPr>
                <w:noProof/>
              </w:rPr>
              <w:t>—</w:t>
            </w:r>
          </w:p>
        </w:tc>
      </w:tr>
      <w:tr w:rsidR="0066509A" w:rsidRPr="005D146E" w14:paraId="5476FB23" w14:textId="77777777" w:rsidTr="00FE35DD">
        <w:tc>
          <w:tcPr>
            <w:tcW w:w="4621" w:type="dxa"/>
          </w:tcPr>
          <w:p w14:paraId="5E0F9C18" w14:textId="7B78D2F5" w:rsidR="00D866B3" w:rsidRPr="005D146E" w:rsidRDefault="00D866B3" w:rsidP="00931692">
            <w:pPr>
              <w:rPr>
                <w:noProof/>
              </w:rPr>
            </w:pPr>
            <w:r w:rsidRPr="005D146E">
              <w:rPr>
                <w:noProof/>
              </w:rPr>
              <w:t>Artikel 23</w:t>
            </w:r>
          </w:p>
        </w:tc>
        <w:tc>
          <w:tcPr>
            <w:tcW w:w="4621" w:type="dxa"/>
          </w:tcPr>
          <w:p w14:paraId="2A492E03" w14:textId="77777777" w:rsidR="00D866B3" w:rsidRPr="005D146E" w:rsidRDefault="00D866B3" w:rsidP="00FE35DD">
            <w:pPr>
              <w:rPr>
                <w:noProof/>
              </w:rPr>
            </w:pPr>
            <w:r w:rsidRPr="005D146E">
              <w:rPr>
                <w:noProof/>
              </w:rPr>
              <w:t>—</w:t>
            </w:r>
          </w:p>
        </w:tc>
      </w:tr>
      <w:tr w:rsidR="0066509A" w:rsidRPr="005D146E" w14:paraId="4E57F1B4" w14:textId="77777777" w:rsidTr="00FE35DD">
        <w:tc>
          <w:tcPr>
            <w:tcW w:w="4621" w:type="dxa"/>
          </w:tcPr>
          <w:p w14:paraId="31F3A53D" w14:textId="1E41A279" w:rsidR="00D866B3" w:rsidRPr="005D146E" w:rsidRDefault="00D866B3" w:rsidP="00931692">
            <w:pPr>
              <w:rPr>
                <w:noProof/>
              </w:rPr>
            </w:pPr>
            <w:r w:rsidRPr="005D146E">
              <w:rPr>
                <w:noProof/>
              </w:rPr>
              <w:t>Artikel 24</w:t>
            </w:r>
          </w:p>
        </w:tc>
        <w:tc>
          <w:tcPr>
            <w:tcW w:w="4621" w:type="dxa"/>
          </w:tcPr>
          <w:p w14:paraId="662FAEF6" w14:textId="238D4DB5" w:rsidR="00D866B3" w:rsidRPr="005D146E" w:rsidRDefault="00D866B3" w:rsidP="002B3821">
            <w:pPr>
              <w:rPr>
                <w:noProof/>
              </w:rPr>
            </w:pPr>
            <w:r w:rsidRPr="005D146E">
              <w:rPr>
                <w:noProof/>
              </w:rPr>
              <w:t>Artikel 44</w:t>
            </w:r>
          </w:p>
        </w:tc>
      </w:tr>
      <w:tr w:rsidR="0066509A" w:rsidRPr="005D146E" w14:paraId="148A4BB1" w14:textId="77777777" w:rsidTr="00FE35DD">
        <w:tc>
          <w:tcPr>
            <w:tcW w:w="4621" w:type="dxa"/>
          </w:tcPr>
          <w:p w14:paraId="53C811CD" w14:textId="29DACE6C" w:rsidR="00D866B3" w:rsidRPr="005D146E" w:rsidRDefault="00D866B3" w:rsidP="00D866B3">
            <w:pPr>
              <w:rPr>
                <w:noProof/>
              </w:rPr>
            </w:pPr>
            <w:r w:rsidRPr="005D146E">
              <w:rPr>
                <w:noProof/>
              </w:rPr>
              <w:t>Artikel 25</w:t>
            </w:r>
          </w:p>
        </w:tc>
        <w:tc>
          <w:tcPr>
            <w:tcW w:w="4621" w:type="dxa"/>
          </w:tcPr>
          <w:p w14:paraId="1DF32976" w14:textId="77777777" w:rsidR="00D866B3" w:rsidRPr="005D146E" w:rsidRDefault="00D866B3" w:rsidP="00FE35DD">
            <w:pPr>
              <w:rPr>
                <w:noProof/>
              </w:rPr>
            </w:pPr>
            <w:r w:rsidRPr="005D146E">
              <w:rPr>
                <w:noProof/>
              </w:rPr>
              <w:t>—</w:t>
            </w:r>
          </w:p>
        </w:tc>
      </w:tr>
      <w:tr w:rsidR="0066509A" w:rsidRPr="005D146E" w14:paraId="7746BC72" w14:textId="77777777" w:rsidTr="00FE35DD">
        <w:tc>
          <w:tcPr>
            <w:tcW w:w="4621" w:type="dxa"/>
          </w:tcPr>
          <w:p w14:paraId="716F8C14" w14:textId="1C928CB0" w:rsidR="00D866B3" w:rsidRPr="005D146E" w:rsidRDefault="00D866B3" w:rsidP="00931692">
            <w:pPr>
              <w:rPr>
                <w:noProof/>
              </w:rPr>
            </w:pPr>
            <w:r w:rsidRPr="005D146E">
              <w:rPr>
                <w:noProof/>
              </w:rPr>
              <w:t>Bilaga I</w:t>
            </w:r>
          </w:p>
        </w:tc>
        <w:tc>
          <w:tcPr>
            <w:tcW w:w="4621" w:type="dxa"/>
          </w:tcPr>
          <w:p w14:paraId="2AC589DD" w14:textId="7EEADC69" w:rsidR="00D866B3" w:rsidRPr="005D146E" w:rsidRDefault="00D866B3" w:rsidP="002B3821">
            <w:pPr>
              <w:rPr>
                <w:noProof/>
              </w:rPr>
            </w:pPr>
            <w:r w:rsidRPr="005D146E">
              <w:rPr>
                <w:noProof/>
              </w:rPr>
              <w:t>Bilaga III</w:t>
            </w:r>
          </w:p>
        </w:tc>
      </w:tr>
      <w:tr w:rsidR="0066509A" w:rsidRPr="005D146E" w14:paraId="4337E68D" w14:textId="77777777" w:rsidTr="00FE35DD">
        <w:tc>
          <w:tcPr>
            <w:tcW w:w="4621" w:type="dxa"/>
          </w:tcPr>
          <w:p w14:paraId="3203FB59" w14:textId="5DA897D8" w:rsidR="00D866B3" w:rsidRPr="005D146E" w:rsidRDefault="00D866B3" w:rsidP="00931692">
            <w:pPr>
              <w:rPr>
                <w:noProof/>
              </w:rPr>
            </w:pPr>
            <w:r w:rsidRPr="005D146E">
              <w:rPr>
                <w:noProof/>
              </w:rPr>
              <w:t>Bilaga II</w:t>
            </w:r>
          </w:p>
        </w:tc>
        <w:tc>
          <w:tcPr>
            <w:tcW w:w="4621" w:type="dxa"/>
          </w:tcPr>
          <w:p w14:paraId="4E76EB91" w14:textId="1316A92D" w:rsidR="00D866B3" w:rsidRPr="005D146E" w:rsidRDefault="00D866B3" w:rsidP="002B3821">
            <w:pPr>
              <w:rPr>
                <w:noProof/>
              </w:rPr>
            </w:pPr>
            <w:r w:rsidRPr="005D146E">
              <w:rPr>
                <w:noProof/>
              </w:rPr>
              <w:t>Bilaga IV</w:t>
            </w:r>
          </w:p>
        </w:tc>
      </w:tr>
      <w:tr w:rsidR="0066509A" w:rsidRPr="005D146E" w14:paraId="38B3356A" w14:textId="77777777" w:rsidTr="00FE35DD">
        <w:tc>
          <w:tcPr>
            <w:tcW w:w="4621" w:type="dxa"/>
          </w:tcPr>
          <w:p w14:paraId="07BDEA1A" w14:textId="27D62D16" w:rsidR="00D866B3" w:rsidRPr="005D146E" w:rsidRDefault="00D866B3" w:rsidP="00931692">
            <w:pPr>
              <w:rPr>
                <w:noProof/>
              </w:rPr>
            </w:pPr>
            <w:r w:rsidRPr="005D146E">
              <w:rPr>
                <w:noProof/>
              </w:rPr>
              <w:t>Bilaga III</w:t>
            </w:r>
          </w:p>
        </w:tc>
        <w:tc>
          <w:tcPr>
            <w:tcW w:w="4621" w:type="dxa"/>
          </w:tcPr>
          <w:p w14:paraId="499A1F65" w14:textId="6764CEBB" w:rsidR="00D866B3" w:rsidRPr="005D146E" w:rsidRDefault="00D866B3" w:rsidP="00FE35DD">
            <w:pPr>
              <w:rPr>
                <w:noProof/>
              </w:rPr>
            </w:pPr>
          </w:p>
        </w:tc>
      </w:tr>
      <w:tr w:rsidR="00D866B3" w:rsidRPr="005D146E" w14:paraId="47FE0AD0" w14:textId="77777777" w:rsidTr="00FE35DD">
        <w:tc>
          <w:tcPr>
            <w:tcW w:w="4621" w:type="dxa"/>
          </w:tcPr>
          <w:p w14:paraId="7B296DE1" w14:textId="4ABA534A" w:rsidR="00D866B3" w:rsidRPr="005D146E" w:rsidRDefault="00D866B3" w:rsidP="00931692">
            <w:pPr>
              <w:rPr>
                <w:noProof/>
              </w:rPr>
            </w:pPr>
            <w:r w:rsidRPr="005D146E">
              <w:rPr>
                <w:noProof/>
              </w:rPr>
              <w:t>Bilaga IV</w:t>
            </w:r>
          </w:p>
        </w:tc>
        <w:tc>
          <w:tcPr>
            <w:tcW w:w="4621" w:type="dxa"/>
          </w:tcPr>
          <w:p w14:paraId="52A967C0" w14:textId="215BBC4B" w:rsidR="00D866B3" w:rsidRPr="005D146E" w:rsidRDefault="00D866B3" w:rsidP="002B3821">
            <w:pPr>
              <w:rPr>
                <w:noProof/>
              </w:rPr>
            </w:pPr>
            <w:r w:rsidRPr="005D146E">
              <w:rPr>
                <w:noProof/>
              </w:rPr>
              <w:t>Bilaga VI</w:t>
            </w:r>
          </w:p>
        </w:tc>
      </w:tr>
    </w:tbl>
    <w:p w14:paraId="77F1B423" w14:textId="77777777" w:rsidR="00D866B3" w:rsidRPr="005D146E" w:rsidRDefault="00D866B3" w:rsidP="00D866B3">
      <w:pPr>
        <w:rPr>
          <w:noProof/>
        </w:rPr>
      </w:pPr>
    </w:p>
    <w:sectPr w:rsidR="00D866B3" w:rsidRPr="005D146E" w:rsidSect="007E043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775BB" w14:textId="77777777" w:rsidR="00F16582" w:rsidRDefault="00F16582" w:rsidP="00FA7E56">
      <w:pPr>
        <w:spacing w:before="0" w:after="0"/>
      </w:pPr>
      <w:r>
        <w:separator/>
      </w:r>
    </w:p>
  </w:endnote>
  <w:endnote w:type="continuationSeparator" w:id="0">
    <w:p w14:paraId="7684C220" w14:textId="77777777" w:rsidR="00F16582" w:rsidRDefault="00F16582" w:rsidP="00FA7E56">
      <w:pPr>
        <w:spacing w:before="0" w:after="0"/>
      </w:pPr>
      <w:r>
        <w:continuationSeparator/>
      </w:r>
    </w:p>
  </w:endnote>
  <w:endnote w:type="continuationNotice" w:id="1">
    <w:p w14:paraId="62CBB850" w14:textId="77777777" w:rsidR="00F16582" w:rsidRDefault="00F1658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D7F51" w14:textId="77777777" w:rsidR="007E0431" w:rsidRPr="007E0431" w:rsidRDefault="007E0431" w:rsidP="007E0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F2CC2" w14:textId="152A6EB5" w:rsidR="003E4EBE" w:rsidRPr="007E0431" w:rsidRDefault="007E0431" w:rsidP="007E0431">
    <w:pPr>
      <w:pStyle w:val="Footer"/>
      <w:rPr>
        <w:rFonts w:ascii="Arial" w:hAnsi="Arial" w:cs="Arial"/>
        <w:b/>
        <w:sz w:val="48"/>
      </w:rPr>
    </w:pPr>
    <w:r w:rsidRPr="007E0431">
      <w:rPr>
        <w:rFonts w:ascii="Arial" w:hAnsi="Arial" w:cs="Arial"/>
        <w:b/>
        <w:sz w:val="48"/>
      </w:rPr>
      <w:t>SV</w:t>
    </w:r>
    <w:r w:rsidRPr="007E0431">
      <w:rPr>
        <w:rFonts w:ascii="Arial" w:hAnsi="Arial" w:cs="Arial"/>
        <w:b/>
        <w:sz w:val="48"/>
      </w:rPr>
      <w:tab/>
    </w:r>
    <w:r w:rsidRPr="007E0431">
      <w:rPr>
        <w:rFonts w:ascii="Arial" w:hAnsi="Arial" w:cs="Arial"/>
        <w:b/>
        <w:sz w:val="48"/>
      </w:rPr>
      <w:tab/>
    </w:r>
    <w:r w:rsidRPr="007E0431">
      <w:tab/>
    </w:r>
    <w:r w:rsidRPr="007E0431">
      <w:rPr>
        <w:rFonts w:ascii="Arial" w:hAnsi="Arial" w:cs="Arial"/>
        <w:b/>
        <w:sz w:val="48"/>
      </w:rPr>
      <w:t>SV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DB650" w14:textId="77777777" w:rsidR="007E0431" w:rsidRPr="007E0431" w:rsidRDefault="007E0431" w:rsidP="007E04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25A44" w14:textId="7995F065" w:rsidR="007E0431" w:rsidRPr="007E0431" w:rsidRDefault="007E0431" w:rsidP="007E0431">
    <w:pPr>
      <w:pStyle w:val="Footer"/>
      <w:rPr>
        <w:rFonts w:ascii="Arial" w:hAnsi="Arial" w:cs="Arial"/>
        <w:b/>
        <w:sz w:val="48"/>
      </w:rPr>
    </w:pPr>
    <w:r w:rsidRPr="007E0431">
      <w:rPr>
        <w:rFonts w:ascii="Arial" w:hAnsi="Arial" w:cs="Arial"/>
        <w:b/>
        <w:sz w:val="48"/>
      </w:rPr>
      <w:t>SV</w:t>
    </w:r>
    <w:r w:rsidRPr="007E0431">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7E0431">
      <w:tab/>
    </w:r>
    <w:r w:rsidRPr="007E0431">
      <w:rPr>
        <w:rFonts w:ascii="Arial" w:hAnsi="Arial" w:cs="Arial"/>
        <w:b/>
        <w:sz w:val="48"/>
      </w:rPr>
      <w:t>SV</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93BC3" w14:textId="77777777" w:rsidR="007E0431" w:rsidRPr="007E0431" w:rsidRDefault="007E0431" w:rsidP="007E0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A6AB7" w14:textId="77777777" w:rsidR="00F16582" w:rsidRDefault="00F16582" w:rsidP="00FA7E56">
      <w:pPr>
        <w:spacing w:before="0" w:after="0"/>
      </w:pPr>
      <w:r>
        <w:separator/>
      </w:r>
    </w:p>
  </w:footnote>
  <w:footnote w:type="continuationSeparator" w:id="0">
    <w:p w14:paraId="1217F952" w14:textId="77777777" w:rsidR="00F16582" w:rsidRDefault="00F16582" w:rsidP="00FA7E56">
      <w:pPr>
        <w:spacing w:before="0" w:after="0"/>
      </w:pPr>
      <w:r>
        <w:continuationSeparator/>
      </w:r>
    </w:p>
  </w:footnote>
  <w:footnote w:type="continuationNotice" w:id="1">
    <w:p w14:paraId="583242EF" w14:textId="77777777" w:rsidR="00F16582" w:rsidRDefault="00F16582">
      <w:pPr>
        <w:spacing w:before="0" w:after="0"/>
      </w:pPr>
    </w:p>
  </w:footnote>
  <w:footnote w:id="2">
    <w:p w14:paraId="5B2F640E" w14:textId="5109C9FD" w:rsidR="00F16582" w:rsidRPr="005D146E" w:rsidRDefault="00F16582" w:rsidP="001D2C1D">
      <w:pPr>
        <w:pStyle w:val="FootnoteText"/>
      </w:pPr>
      <w:r>
        <w:rPr>
          <w:rStyle w:val="FootnoteReference"/>
        </w:rPr>
        <w:footnoteRef/>
      </w:r>
      <w:r w:rsidRPr="005D146E">
        <w:tab/>
        <w:t>Europaparlamentets och rådets förordning (EG) nr 1185/2009 av den 25 november 2009 om statistik om bekämpningsmedel (EUT L 324, 10.12.2009, s. 1)</w:t>
      </w:r>
    </w:p>
  </w:footnote>
  <w:footnote w:id="3">
    <w:p w14:paraId="5A2F19C2" w14:textId="4235505A" w:rsidR="00F16582" w:rsidRPr="005D146E" w:rsidRDefault="00F16582">
      <w:pPr>
        <w:pStyle w:val="FootnoteText"/>
      </w:pPr>
      <w:r>
        <w:rPr>
          <w:rStyle w:val="FootnoteReference"/>
        </w:rPr>
        <w:footnoteRef/>
      </w:r>
      <w:r w:rsidRPr="005D146E">
        <w:tab/>
        <w:t>Kommissionens genomförandeförordning (EU) nr 540/2011 av den 25 maj 2011 om tillämpning av Europaparlamentets och rådets förordning (EG) nr 1107/2009 vad gäller förteckningen över godkända verksamma ämnen (EUT L 153, 11.6.2011, s. 1).</w:t>
      </w:r>
    </w:p>
  </w:footnote>
  <w:footnote w:id="4">
    <w:p w14:paraId="5BFB73FF" w14:textId="47277D41" w:rsidR="00F16582" w:rsidRPr="005D146E" w:rsidRDefault="00F16582" w:rsidP="00840C9B">
      <w:pPr>
        <w:pStyle w:val="FootnoteText"/>
      </w:pPr>
      <w:r>
        <w:rPr>
          <w:rStyle w:val="FootnoteReference"/>
        </w:rPr>
        <w:footnoteRef/>
      </w:r>
      <w:r w:rsidRPr="005D146E">
        <w:tab/>
      </w:r>
      <w:r w:rsidRPr="005D146E">
        <w:rPr>
          <w:shd w:val="clear" w:color="auto" w:fill="FFFFFF"/>
        </w:rPr>
        <w:t>Europaparlamentets och rådets förordning (EG) nr 1107/2009 av den 21 oktober 2009 om utsläppande av växtskyddsmedel på marknaden och om upphävande av rådets direktiv 79/117/EEG och 91/414/EEG (EUT L 309, 24.11.2009, s. 1).</w:t>
      </w:r>
    </w:p>
  </w:footnote>
  <w:footnote w:id="5">
    <w:p w14:paraId="1BC71291" w14:textId="2CD70F4E" w:rsidR="00F16582" w:rsidRPr="005D146E" w:rsidRDefault="00F16582">
      <w:pPr>
        <w:pStyle w:val="FootnoteText"/>
      </w:pPr>
      <w:r>
        <w:rPr>
          <w:rStyle w:val="FootnoteReference"/>
        </w:rPr>
        <w:footnoteRef/>
      </w:r>
      <w:r w:rsidRPr="005D146E">
        <w:tab/>
        <w:t>Europaparlamentets och rådets förordning (EG) nr 396/2005 av den 23 februari 2005 om gränsvärden för bekämpningsmedelsrester i eller på livsmedel och foder av vegetabiliskt och animaliskt ursprung och om ändring av rådets direktiv 91/414/EEG (EUT L 70, 16.3.2005, s. 1).</w:t>
      </w:r>
    </w:p>
  </w:footnote>
  <w:footnote w:id="6">
    <w:p w14:paraId="194A231E" w14:textId="77777777" w:rsidR="00F16582" w:rsidRPr="005D146E" w:rsidRDefault="00F16582" w:rsidP="00840C9B">
      <w:pPr>
        <w:pStyle w:val="FootnoteText"/>
      </w:pPr>
      <w:r>
        <w:rPr>
          <w:rStyle w:val="FootnoteReference"/>
        </w:rPr>
        <w:footnoteRef/>
      </w:r>
      <w:r w:rsidRPr="005D146E">
        <w:tab/>
        <w:t xml:space="preserve">Europaparlamentets och rådets förordning (EU) nr 528/2012 av den 22 maj 2012 om tillhandahållande på marknaden och användning av biocidprodukter (EUT L 167, 27.6.2012, s. 1). </w:t>
      </w:r>
    </w:p>
  </w:footnote>
  <w:footnote w:id="7">
    <w:p w14:paraId="5F003C8D" w14:textId="38B8D9C8" w:rsidR="00F16582" w:rsidRPr="005D146E" w:rsidRDefault="00F16582">
      <w:pPr>
        <w:pStyle w:val="FootnoteText"/>
      </w:pPr>
      <w:r>
        <w:rPr>
          <w:rStyle w:val="FootnoteReference"/>
        </w:rPr>
        <w:footnoteRef/>
      </w:r>
      <w:r w:rsidRPr="005D146E">
        <w:tab/>
        <w:t>Europaparlamentets och rådets förordning (EG) nr 1185/2009 av den 25 november 2009 om statistik om bekämpningsmedel (EUT L 324, 10.12.2009, s. 1)</w:t>
      </w:r>
    </w:p>
  </w:footnote>
  <w:footnote w:id="8">
    <w:p w14:paraId="3F927886" w14:textId="6BF40DE7" w:rsidR="00F16582" w:rsidRPr="005D146E" w:rsidRDefault="00F16582">
      <w:pPr>
        <w:pStyle w:val="FootnoteText"/>
      </w:pPr>
      <w:r>
        <w:rPr>
          <w:rStyle w:val="FootnoteReference"/>
        </w:rPr>
        <w:footnoteRef/>
      </w:r>
      <w:r w:rsidRPr="005D146E">
        <w:tab/>
        <w:t>Europaparlamentets och rådets förordning (EG) nr 1272/2008 av den 16 december 2008 om klassificering, märkning och förpackning av ämnen och blandningar, ändring och upphävande av direktiven 67/548/EEG och 1999/45/EG samt ändring av förordning (EG) nr 1907/2006 (EUT L 353, 31.12.2008, s. 1).</w:t>
      </w:r>
    </w:p>
  </w:footnote>
  <w:footnote w:id="9">
    <w:p w14:paraId="40E769A4" w14:textId="77777777" w:rsidR="00F16582" w:rsidRPr="005D146E" w:rsidRDefault="00F16582" w:rsidP="00840C9B">
      <w:pPr>
        <w:pStyle w:val="FootnoteText"/>
      </w:pPr>
      <w:r>
        <w:rPr>
          <w:rStyle w:val="FootnoteReference"/>
        </w:rPr>
        <w:footnoteRef/>
      </w:r>
      <w:r w:rsidRPr="005D146E">
        <w:tab/>
        <w:t>Europaparlamentets och rådets förordning (EU) 2017/625 av den 15 mars 2017 om offentlig kontroll och annan offentlig verksamhet för att säkerställa tillämpningen av livsmedels- och foderlagstiftningen och av bestämmelser om djurs hälsa och djurskydd, växtskydd och växtskyddsmedel samt om ändring av Europaparlamentets och rådets förordningar (EG) nr 999/2001, (EG) nr 396/2005, (EG) nr 1069/2009, (EG) nr 1107/2009, (EU) nr 1151/2012, (EU) nr 652/2014, (EU) 2016/429 och (EU) 2016/2031, rådets förordningar (EG) nr 1/2005 och (EG) nr 1099/2009 och rådets direktiv 98/58/EG, 1999/74/EG, 2007/43/EG, 2008/119/EG och 2008/120/EG och om upphävande av Europaparlamentets och rådets förordningar (EG) nr 854/2004 och (EG) nr 882/2004, rådets direktiv 89/608/EEG, 89/662/EEG, 90/425/EEG, 91/496/EEG, 96/23/EG, 96/93/EG och 97/78/EG samt rådets beslut 92/438/EEG (förordningen om offentlig kontroll) (EUT L 95, 7.4.2017, s. 1).</w:t>
      </w:r>
    </w:p>
  </w:footnote>
  <w:footnote w:id="10">
    <w:p w14:paraId="21A9B354" w14:textId="4B52A859" w:rsidR="00F16582" w:rsidRPr="005D146E" w:rsidRDefault="00F16582">
      <w:pPr>
        <w:pStyle w:val="FootnoteText"/>
      </w:pPr>
      <w:r>
        <w:rPr>
          <w:rStyle w:val="FootnoteReference"/>
        </w:rPr>
        <w:footnoteRef/>
      </w:r>
      <w:r w:rsidRPr="005D146E">
        <w:tab/>
        <w:t>Europaparlamentets och rådets förordning (EU) 2021/2115 av den 2 december 2021 om fastställande av regler om stöd för de strategiska planer som medlemsstaterna ska upprätta inom ramen för den gemensamma jordbrukspolitiken (strategiska GJP-planer) och som finansieras av Europeiska garantifonden för jordbruket (EGFJ) och Europeiska jordbruksfonden för landsbygdsutveckling (Ejflu) samt om upphävande av förordningarna (EU) nr 1305/2013 och (EU) nr 1307/2013 (EUT L 435, 6.12.2021, s. 1).</w:t>
      </w:r>
    </w:p>
  </w:footnote>
  <w:footnote w:id="11">
    <w:p w14:paraId="59C9AE0A" w14:textId="72D63813" w:rsidR="00F16582" w:rsidRPr="005D146E" w:rsidRDefault="00F16582">
      <w:pPr>
        <w:pStyle w:val="FootnoteText"/>
        <w:rPr>
          <w:i/>
        </w:rPr>
      </w:pPr>
      <w:r>
        <w:rPr>
          <w:rStyle w:val="FootnoteReference"/>
        </w:rPr>
        <w:footnoteRef/>
      </w:r>
      <w:r w:rsidRPr="005D146E">
        <w:tab/>
      </w:r>
      <w:r w:rsidRPr="005D146E">
        <w:rPr>
          <w:shd w:val="clear" w:color="auto" w:fill="FFFFFF"/>
        </w:rPr>
        <w:t>Europaparlamentets och rådets direktiv 2006/42/EG av den 17 maj 2006 om maskiner och om ändring av direktiv 95/16/EG (EUT L 157, 9.6.2006, s. 24).</w:t>
      </w:r>
    </w:p>
  </w:footnote>
  <w:footnote w:id="12">
    <w:p w14:paraId="55F43B96" w14:textId="5670AD1F" w:rsidR="00F16582" w:rsidRPr="005D146E" w:rsidRDefault="00F16582">
      <w:pPr>
        <w:pStyle w:val="FootnoteText"/>
      </w:pPr>
      <w:r>
        <w:rPr>
          <w:rStyle w:val="FootnoteReference"/>
        </w:rPr>
        <w:footnoteRef/>
      </w:r>
      <w:r w:rsidRPr="005D146E">
        <w:tab/>
        <w:t>Europaparlamentets och rådets direktiv 2009/127/EG av den 21 oktober 2009 om ändring av direktiv 2006/42/EG vad gäller maskiner för applicering av bekämpningsmedel (EUT L 310, 25.11.2009, s. 29)</w:t>
      </w:r>
    </w:p>
  </w:footnote>
  <w:footnote w:id="13">
    <w:p w14:paraId="7DE91F5A" w14:textId="7F1BC4FF" w:rsidR="00F16582" w:rsidRPr="005D146E" w:rsidRDefault="00F16582" w:rsidP="008F68B9">
      <w:pPr>
        <w:pStyle w:val="FootnoteText"/>
      </w:pPr>
      <w:r>
        <w:rPr>
          <w:rStyle w:val="FootnoteReference"/>
        </w:rPr>
        <w:footnoteRef/>
      </w:r>
      <w:r w:rsidRPr="005D146E">
        <w:tab/>
        <w:t>Europaparlamentets och rådets direktiv 2000/60/EG av den 23 oktober 2000 om upprättande av en ram för gemenskapens åtgärder på vattenpolitikens område (EGT L 327, 22.12.2000, s. 1).</w:t>
      </w:r>
    </w:p>
  </w:footnote>
  <w:footnote w:id="14">
    <w:p w14:paraId="7C41E5A5" w14:textId="392D7D5B" w:rsidR="00F16582" w:rsidRPr="005D146E" w:rsidRDefault="00F16582">
      <w:pPr>
        <w:pStyle w:val="FootnoteText"/>
      </w:pPr>
      <w:r>
        <w:rPr>
          <w:rStyle w:val="FootnoteReference"/>
        </w:rPr>
        <w:footnoteRef/>
      </w:r>
      <w:r w:rsidRPr="005D146E">
        <w:tab/>
        <w:t>Rådets direktiv 89/391/EEG av den 12 juni 1989 om åtgärder för att främja förbättringar av arbetstagarnas säkerhet och hälsa i arbetet (EGT L 183, 29.6.1989, s. 1).</w:t>
      </w:r>
    </w:p>
  </w:footnote>
  <w:footnote w:id="15">
    <w:p w14:paraId="40B56FCB" w14:textId="5948580B" w:rsidR="00F16582" w:rsidRPr="005D146E" w:rsidRDefault="00F16582" w:rsidP="00605045">
      <w:pPr>
        <w:pStyle w:val="FootnoteText"/>
      </w:pPr>
      <w:r>
        <w:rPr>
          <w:rStyle w:val="FootnoteReference"/>
        </w:rPr>
        <w:footnoteRef/>
      </w:r>
      <w:r w:rsidRPr="005D146E">
        <w:tab/>
        <w:t>Rådets direktiv 89/656/EEG av den 30 november 1989 om minimikrav för säkerhet och hälsa vid arbetstagares användning av personlig skyddsutrustning på arbetsplatsen (tredje särdirektivet enligt artikel 16.1 i direktiv 89/391/EG) (EGT L 393, 30.12.1989, s. 18).</w:t>
      </w:r>
    </w:p>
  </w:footnote>
  <w:footnote w:id="16">
    <w:p w14:paraId="0B8E9751" w14:textId="5545066D" w:rsidR="00F16582" w:rsidRPr="005D146E" w:rsidRDefault="00F16582" w:rsidP="00605045">
      <w:pPr>
        <w:pStyle w:val="FootnoteText"/>
      </w:pPr>
      <w:r>
        <w:rPr>
          <w:rStyle w:val="FootnoteReference"/>
        </w:rPr>
        <w:footnoteRef/>
      </w:r>
      <w:r w:rsidRPr="005D146E">
        <w:tab/>
        <w:t>Rådets direktiv 98/24/EG av den 7 april 1998 om skydd av arbetstagares hälsa och säkerhet mot risker som har samband med kemiska agenser i arbetet (EGT L 131, 5.5.1998, s. 11).</w:t>
      </w:r>
    </w:p>
  </w:footnote>
  <w:footnote w:id="17">
    <w:p w14:paraId="784FA65C" w14:textId="1FEB3305" w:rsidR="00F16582" w:rsidRPr="005D146E" w:rsidRDefault="00F16582" w:rsidP="00605045">
      <w:pPr>
        <w:pStyle w:val="FootnoteText"/>
      </w:pPr>
      <w:r>
        <w:rPr>
          <w:rStyle w:val="FootnoteReference"/>
        </w:rPr>
        <w:footnoteRef/>
      </w:r>
      <w:r w:rsidRPr="005D146E">
        <w:tab/>
        <w:t>Europaparlamentets och rådets direktiv 2004/37/EG av den 29 april 2004 om skydd för arbetstagare mot risker vid exponering för carcinogener eller mutagena ämnen i arbetet (EUT L 158, 30.4.2004, s. 50).</w:t>
      </w:r>
    </w:p>
  </w:footnote>
  <w:footnote w:id="18">
    <w:p w14:paraId="22AE1082" w14:textId="3D9A2387" w:rsidR="00F16582" w:rsidRPr="005D146E" w:rsidRDefault="00F16582" w:rsidP="00605045">
      <w:pPr>
        <w:pStyle w:val="FootnoteText"/>
      </w:pPr>
      <w:r>
        <w:rPr>
          <w:rStyle w:val="FootnoteReference"/>
        </w:rPr>
        <w:footnoteRef/>
      </w:r>
      <w:r w:rsidRPr="005D146E">
        <w:tab/>
        <w:t>Europaparlamentets och rådets direktiv 2009/104/EG av den 16 september 2009 om minimikrav för säkerhet och hälsa vid arbetstagares användning av arbetsutrustning i arbetet (andra särdirektivet enligt artikel 16.1 i direktiv 89/391/EEG) (EUT L 260, 3.10.2009, s. 5).</w:t>
      </w:r>
    </w:p>
  </w:footnote>
  <w:footnote w:id="19">
    <w:p w14:paraId="72C0C001" w14:textId="16AB883E" w:rsidR="00F16582" w:rsidRPr="005D146E" w:rsidRDefault="00F16582">
      <w:pPr>
        <w:pStyle w:val="FootnoteText"/>
      </w:pPr>
      <w:r>
        <w:rPr>
          <w:rStyle w:val="FootnoteReference"/>
        </w:rPr>
        <w:footnoteRef/>
      </w:r>
      <w:r w:rsidRPr="005D146E">
        <w:tab/>
        <w:t>Europaparlamentets och rådets förordning (EG) nr 1907/2006 av den 18 december 2006 om registrering, utvärdering, godkännande och begränsning av kemikalier (Reach), inrättande av en europeisk kemikaliemyndighet, ändring av direktiv 1999/45/EG och upphävande av rådets förordning (EEG) nr 793/93 och kommissionens förordning (EG) nr 1488/94 samt rådets direktiv 76/769/EEG och kommissionens direktiv 91/155/EEG, 93/67/EEG, 93/105/EG och 2000/21/EG (EUT L 396, 30.12.2006, s. 1).</w:t>
      </w:r>
    </w:p>
  </w:footnote>
  <w:footnote w:id="20">
    <w:p w14:paraId="5B1C5F47" w14:textId="6D351CD2" w:rsidR="00F16582" w:rsidRPr="005D146E" w:rsidRDefault="00F16582">
      <w:pPr>
        <w:pStyle w:val="FootnoteText"/>
      </w:pPr>
      <w:r>
        <w:rPr>
          <w:rStyle w:val="FootnoteReference"/>
        </w:rPr>
        <w:footnoteRef/>
      </w:r>
      <w:r w:rsidRPr="005D146E">
        <w:tab/>
        <w:t>Europaparlamentets och rådets direktiv 2008/68/EG av den 24 september 2008 om transport av farligt gods på väg, järnväg och inre vattenvägar (EUT L 260, 30.9.2008, s. 13).</w:t>
      </w:r>
    </w:p>
  </w:footnote>
  <w:footnote w:id="21">
    <w:p w14:paraId="22C825C2" w14:textId="77777777" w:rsidR="00F16582" w:rsidRPr="005D146E" w:rsidRDefault="00F16582" w:rsidP="00901CB8">
      <w:pPr>
        <w:pStyle w:val="FootnoteText"/>
      </w:pPr>
      <w:r>
        <w:rPr>
          <w:rStyle w:val="FootnoteReference"/>
        </w:rPr>
        <w:footnoteRef/>
      </w:r>
      <w:r w:rsidRPr="005D146E">
        <w:tab/>
        <w:t>Europaparlamentets och rådets förordning (EG) nr 1272/2008 av den 16 december 2008 om klassificering, märkning och förpackning av ämnen och blandningar, ändring och upphävande av direktiven 67/548/EEG och 1999/45/EG samt ändring av förordning (EG) nr 1907/2006 (EUT L 353, 31.12.2008, s. 1).</w:t>
      </w:r>
    </w:p>
  </w:footnote>
  <w:footnote w:id="22">
    <w:p w14:paraId="5308B6DC" w14:textId="77777777" w:rsidR="00F16582" w:rsidRPr="005D146E" w:rsidRDefault="00F16582" w:rsidP="00FA7E56">
      <w:pPr>
        <w:pStyle w:val="FootnoteText"/>
        <w:rPr>
          <w:i/>
        </w:rPr>
      </w:pPr>
      <w:r>
        <w:rPr>
          <w:rStyle w:val="FootnoteReference"/>
        </w:rPr>
        <w:footnoteRef/>
      </w:r>
      <w:r w:rsidRPr="005D146E">
        <w:tab/>
        <w:t>Europaparlamentets och rådets förordning (EG) nr 396/2005 av den 23 februari 2005 om gränsvärden för bekämpningsmedelsrester i eller på livsmedel och foder av vegetabiliskt och animaliskt ursprung och om ändring av rådets direktiv 91/414/EEG (EUT L 70, 16.3.2005,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3B4D0" w14:textId="77777777" w:rsidR="007E0431" w:rsidRPr="007E0431" w:rsidRDefault="007E0431" w:rsidP="007E0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D26D0" w14:textId="77777777" w:rsidR="007E0431" w:rsidRPr="007E0431" w:rsidRDefault="007E0431" w:rsidP="007E04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30E09" w14:textId="77777777" w:rsidR="007E0431" w:rsidRPr="007E0431" w:rsidRDefault="007E0431" w:rsidP="007E0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47E01E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F51CFD0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63BC785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842CB2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7A66A8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366A81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FF48A4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3B70B68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19"/>
  </w:num>
  <w:num w:numId="25">
    <w:abstractNumId w:val="12"/>
  </w:num>
  <w:num w:numId="26">
    <w:abstractNumId w:val="21"/>
  </w:num>
  <w:num w:numId="27">
    <w:abstractNumId w:val="11"/>
  </w:num>
  <w:num w:numId="28">
    <w:abstractNumId w:val="13"/>
  </w:num>
  <w:num w:numId="29">
    <w:abstractNumId w:val="14"/>
  </w:num>
  <w:num w:numId="30">
    <w:abstractNumId w:val="9"/>
  </w:num>
  <w:num w:numId="31">
    <w:abstractNumId w:val="20"/>
  </w:num>
  <w:num w:numId="32">
    <w:abstractNumId w:val="8"/>
  </w:num>
  <w:num w:numId="33">
    <w:abstractNumId w:val="15"/>
  </w:num>
  <w:num w:numId="34">
    <w:abstractNumId w:val="17"/>
  </w:num>
  <w:num w:numId="35">
    <w:abstractNumId w:val="18"/>
  </w:num>
  <w:num w:numId="36">
    <w:abstractNumId w:val="10"/>
  </w:num>
  <w:num w:numId="37">
    <w:abstractNumId w:val="16"/>
  </w:num>
  <w:num w:numId="3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2-06-27 12:08:12"/>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ACCOMPAGNANT" w:val="till förslaget till"/>
    <w:docVar w:name="LW_ACCOMPAGNANT.CP" w:val="till förslaget till"/>
    <w:docVar w:name="LW_ANNEX_NBR_FIRST" w:val="1"/>
    <w:docVar w:name="LW_ANNEX_NBR_LAST" w:val="7"/>
    <w:docVar w:name="LW_ANNEX_UNIQUE" w:val="0"/>
    <w:docVar w:name="LW_CORRIGENDUM" w:val="&lt;UNUSED&gt;"/>
    <w:docVar w:name="LW_COVERPAGE_EXISTS" w:val="True"/>
    <w:docVar w:name="LW_COVERPAGE_GUID" w:val="236E89ED-AB27-4C04-91A0-57B0E49DA998"/>
    <w:docVar w:name="LW_COVERPAGE_TYPE" w:val="1"/>
    <w:docVar w:name="LW_CROSSREFERENCE" w:val="{SEC(2022) 257 final} - {SWD(2022) 169 final} - {SWD(2022) 170 final} - {SWD(2022) 171 final}"/>
    <w:docVar w:name="LW_DocType" w:val="ANNEX"/>
    <w:docVar w:name="LW_EMISSION" w:val="22.6.2022"/>
    <w:docVar w:name="LW_EMISSION_ISODATE" w:val="2022-06-22"/>
    <w:docVar w:name="LW_EMISSION_LOCATION" w:val="BRX"/>
    <w:docVar w:name="LW_EMISSION_PREFIX" w:val="Bryssel den "/>
    <w:docVar w:name="LW_EMISSION_SUFFIX" w:val=" "/>
    <w:docVar w:name="LW_ID_DOCSTRUCTURE" w:val="COM/ANNEX"/>
    <w:docVar w:name="LW_ID_DOCTYPE" w:val="SG-017"/>
    <w:docVar w:name="LW_LANGUE" w:val="SV"/>
    <w:docVar w:name="LW_LEVEL_OF_SENSITIVITY" w:val="Standard treatment"/>
    <w:docVar w:name="LW_NOM.INST" w:val="EUROPEISKA KOMMISSIONEN"/>
    <w:docVar w:name="LW_NOM.INST_JOINTDOC" w:val="&lt;EMPTY&gt;"/>
    <w:docVar w:name="LW_OBJETACTEPRINCIPAL" w:val="om hållbar användning av växtskyddsmedel och om ändring av förordning (EU) 2021/2115"/>
    <w:docVar w:name="LW_OBJETACTEPRINCIPAL.CP" w:val="om hållbar användning av växtskyddsmedel och om ändring av förordning (EU) 2021/2115"/>
    <w:docVar w:name="LW_PART_NBR" w:val="&lt;UNUSED&gt;"/>
    <w:docVar w:name="LW_PART_NBR_TOTAL" w:val="&lt;UNUSED&gt;"/>
    <w:docVar w:name="LW_REF.INST.NEW" w:val="COM"/>
    <w:docVar w:name="LW_REF.INST.NEW_ADOPTED" w:val="final"/>
    <w:docVar w:name="LW_REF.INST.NEW_TEXT" w:val="(2022) 3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BILAGOR"/>
    <w:docVar w:name="LW_TYPE.DOC.CP" w:val="BILAGOR"/>
    <w:docVar w:name="LW_TYPEACTEPRINCIPAL" w:val="EUROPAPARLAMENTETS OCH RÅDETS FÖRORDNING"/>
    <w:docVar w:name="LW_TYPEACTEPRINCIPAL.CP" w:val="EUROPAPARLAMENTETS OCH RÅDETS FÖRORDNING"/>
    <w:docVar w:name="LwApiVersions" w:val="LW4CoDe 1.23.2.0; LW 8.0, Build 20211117"/>
  </w:docVars>
  <w:rsids>
    <w:rsidRoot w:val="00FA7E56"/>
    <w:rsid w:val="000035CA"/>
    <w:rsid w:val="00003B1F"/>
    <w:rsid w:val="00003EEA"/>
    <w:rsid w:val="0000669A"/>
    <w:rsid w:val="000121D7"/>
    <w:rsid w:val="0002195F"/>
    <w:rsid w:val="00021A53"/>
    <w:rsid w:val="00027DCF"/>
    <w:rsid w:val="0004069E"/>
    <w:rsid w:val="00047A46"/>
    <w:rsid w:val="000509B8"/>
    <w:rsid w:val="00050B0A"/>
    <w:rsid w:val="00051185"/>
    <w:rsid w:val="000615B8"/>
    <w:rsid w:val="0007019C"/>
    <w:rsid w:val="0007049C"/>
    <w:rsid w:val="000720E9"/>
    <w:rsid w:val="00073FDF"/>
    <w:rsid w:val="000753DE"/>
    <w:rsid w:val="00076BB0"/>
    <w:rsid w:val="0008543E"/>
    <w:rsid w:val="0009186B"/>
    <w:rsid w:val="000A0DE0"/>
    <w:rsid w:val="000A2B97"/>
    <w:rsid w:val="000B05C3"/>
    <w:rsid w:val="000C45DA"/>
    <w:rsid w:val="000C6D64"/>
    <w:rsid w:val="000C784A"/>
    <w:rsid w:val="000D5832"/>
    <w:rsid w:val="000D6993"/>
    <w:rsid w:val="000E17D7"/>
    <w:rsid w:val="000E198E"/>
    <w:rsid w:val="000E60B2"/>
    <w:rsid w:val="000E723B"/>
    <w:rsid w:val="000E7C8A"/>
    <w:rsid w:val="000F2916"/>
    <w:rsid w:val="00105160"/>
    <w:rsid w:val="001060A6"/>
    <w:rsid w:val="001073DB"/>
    <w:rsid w:val="00114458"/>
    <w:rsid w:val="00121C8D"/>
    <w:rsid w:val="001261C4"/>
    <w:rsid w:val="00141CE9"/>
    <w:rsid w:val="00142823"/>
    <w:rsid w:val="001465AD"/>
    <w:rsid w:val="0015139F"/>
    <w:rsid w:val="0015483A"/>
    <w:rsid w:val="0016046D"/>
    <w:rsid w:val="001642B8"/>
    <w:rsid w:val="00166AA9"/>
    <w:rsid w:val="00171BA7"/>
    <w:rsid w:val="0017429C"/>
    <w:rsid w:val="001803FB"/>
    <w:rsid w:val="001849E5"/>
    <w:rsid w:val="00195515"/>
    <w:rsid w:val="00197363"/>
    <w:rsid w:val="001A1843"/>
    <w:rsid w:val="001A508B"/>
    <w:rsid w:val="001C2816"/>
    <w:rsid w:val="001C3DA3"/>
    <w:rsid w:val="001C3E0E"/>
    <w:rsid w:val="001D2C1D"/>
    <w:rsid w:val="001D325F"/>
    <w:rsid w:val="001D3834"/>
    <w:rsid w:val="001D6F25"/>
    <w:rsid w:val="001E6852"/>
    <w:rsid w:val="001E7F82"/>
    <w:rsid w:val="001F1616"/>
    <w:rsid w:val="00200623"/>
    <w:rsid w:val="00201AB1"/>
    <w:rsid w:val="0021329D"/>
    <w:rsid w:val="00214BDD"/>
    <w:rsid w:val="00225E1B"/>
    <w:rsid w:val="00227544"/>
    <w:rsid w:val="0023255B"/>
    <w:rsid w:val="0023570B"/>
    <w:rsid w:val="00237CCF"/>
    <w:rsid w:val="0025243E"/>
    <w:rsid w:val="002609DD"/>
    <w:rsid w:val="00265EDE"/>
    <w:rsid w:val="00270518"/>
    <w:rsid w:val="00272E2C"/>
    <w:rsid w:val="00281B00"/>
    <w:rsid w:val="00284F4E"/>
    <w:rsid w:val="0028532C"/>
    <w:rsid w:val="00285398"/>
    <w:rsid w:val="002A3476"/>
    <w:rsid w:val="002B3821"/>
    <w:rsid w:val="002B59E9"/>
    <w:rsid w:val="002C2E2C"/>
    <w:rsid w:val="002C4694"/>
    <w:rsid w:val="002D092D"/>
    <w:rsid w:val="002D135C"/>
    <w:rsid w:val="002D1F12"/>
    <w:rsid w:val="002D29F4"/>
    <w:rsid w:val="002D6E24"/>
    <w:rsid w:val="002D746C"/>
    <w:rsid w:val="002D7FF0"/>
    <w:rsid w:val="002E2D72"/>
    <w:rsid w:val="002E2DAC"/>
    <w:rsid w:val="002E7ECD"/>
    <w:rsid w:val="002F4B5B"/>
    <w:rsid w:val="0030544E"/>
    <w:rsid w:val="00305B87"/>
    <w:rsid w:val="003118DA"/>
    <w:rsid w:val="003153EA"/>
    <w:rsid w:val="00315A18"/>
    <w:rsid w:val="00321877"/>
    <w:rsid w:val="00325226"/>
    <w:rsid w:val="003269D5"/>
    <w:rsid w:val="003301E3"/>
    <w:rsid w:val="0033030E"/>
    <w:rsid w:val="00342E5B"/>
    <w:rsid w:val="003518BB"/>
    <w:rsid w:val="00354D69"/>
    <w:rsid w:val="00373B80"/>
    <w:rsid w:val="00375E40"/>
    <w:rsid w:val="00382349"/>
    <w:rsid w:val="00382BAC"/>
    <w:rsid w:val="003926E6"/>
    <w:rsid w:val="00397E36"/>
    <w:rsid w:val="003A171A"/>
    <w:rsid w:val="003A2754"/>
    <w:rsid w:val="003A395C"/>
    <w:rsid w:val="003A6B2E"/>
    <w:rsid w:val="003B52A1"/>
    <w:rsid w:val="003B7C6A"/>
    <w:rsid w:val="003C0119"/>
    <w:rsid w:val="003C5797"/>
    <w:rsid w:val="003D4172"/>
    <w:rsid w:val="003D5672"/>
    <w:rsid w:val="003D5D09"/>
    <w:rsid w:val="003E2C65"/>
    <w:rsid w:val="003E4D36"/>
    <w:rsid w:val="003E4EBE"/>
    <w:rsid w:val="003F247C"/>
    <w:rsid w:val="003F7DC8"/>
    <w:rsid w:val="00402E4B"/>
    <w:rsid w:val="00404F5E"/>
    <w:rsid w:val="00423AED"/>
    <w:rsid w:val="00426FD8"/>
    <w:rsid w:val="0043616C"/>
    <w:rsid w:val="00442CE5"/>
    <w:rsid w:val="00445D9C"/>
    <w:rsid w:val="0046064E"/>
    <w:rsid w:val="00465E0F"/>
    <w:rsid w:val="00466061"/>
    <w:rsid w:val="00467652"/>
    <w:rsid w:val="00473393"/>
    <w:rsid w:val="0048043F"/>
    <w:rsid w:val="00483F58"/>
    <w:rsid w:val="00494700"/>
    <w:rsid w:val="004950E2"/>
    <w:rsid w:val="004A2148"/>
    <w:rsid w:val="004A6506"/>
    <w:rsid w:val="004C4BEF"/>
    <w:rsid w:val="004D362B"/>
    <w:rsid w:val="004D5C46"/>
    <w:rsid w:val="004E2986"/>
    <w:rsid w:val="004E66DC"/>
    <w:rsid w:val="004F4CE2"/>
    <w:rsid w:val="004F5773"/>
    <w:rsid w:val="005031E3"/>
    <w:rsid w:val="00504586"/>
    <w:rsid w:val="0051326B"/>
    <w:rsid w:val="00513C05"/>
    <w:rsid w:val="005206C4"/>
    <w:rsid w:val="00521E01"/>
    <w:rsid w:val="00522B52"/>
    <w:rsid w:val="00525CBA"/>
    <w:rsid w:val="00531517"/>
    <w:rsid w:val="00545EFD"/>
    <w:rsid w:val="00556B03"/>
    <w:rsid w:val="00563707"/>
    <w:rsid w:val="00585C1C"/>
    <w:rsid w:val="00585D2C"/>
    <w:rsid w:val="005873C8"/>
    <w:rsid w:val="005902DD"/>
    <w:rsid w:val="005A0A0F"/>
    <w:rsid w:val="005B674F"/>
    <w:rsid w:val="005C0008"/>
    <w:rsid w:val="005C4A17"/>
    <w:rsid w:val="005C7DAA"/>
    <w:rsid w:val="005D02F9"/>
    <w:rsid w:val="005D146E"/>
    <w:rsid w:val="005D1FEA"/>
    <w:rsid w:val="005D474E"/>
    <w:rsid w:val="005E0ACF"/>
    <w:rsid w:val="005E1BA6"/>
    <w:rsid w:val="005E5E85"/>
    <w:rsid w:val="005F47AD"/>
    <w:rsid w:val="005F7F89"/>
    <w:rsid w:val="00602BB7"/>
    <w:rsid w:val="00604FC4"/>
    <w:rsid w:val="00605045"/>
    <w:rsid w:val="00614663"/>
    <w:rsid w:val="00615523"/>
    <w:rsid w:val="0062461F"/>
    <w:rsid w:val="00625C0C"/>
    <w:rsid w:val="00630884"/>
    <w:rsid w:val="00632316"/>
    <w:rsid w:val="00634038"/>
    <w:rsid w:val="00636243"/>
    <w:rsid w:val="00645B80"/>
    <w:rsid w:val="00656F69"/>
    <w:rsid w:val="0066509A"/>
    <w:rsid w:val="00670ADE"/>
    <w:rsid w:val="006916F4"/>
    <w:rsid w:val="00691B29"/>
    <w:rsid w:val="00693D3D"/>
    <w:rsid w:val="006A3CD5"/>
    <w:rsid w:val="006A6EC3"/>
    <w:rsid w:val="006B4663"/>
    <w:rsid w:val="006D2D7E"/>
    <w:rsid w:val="006E210D"/>
    <w:rsid w:val="006E2EF5"/>
    <w:rsid w:val="00704B1E"/>
    <w:rsid w:val="00723D1E"/>
    <w:rsid w:val="007252B8"/>
    <w:rsid w:val="007304A1"/>
    <w:rsid w:val="00731592"/>
    <w:rsid w:val="00731C33"/>
    <w:rsid w:val="00732E57"/>
    <w:rsid w:val="0075113F"/>
    <w:rsid w:val="0075185D"/>
    <w:rsid w:val="00760067"/>
    <w:rsid w:val="00760EBE"/>
    <w:rsid w:val="00761D40"/>
    <w:rsid w:val="00761FD9"/>
    <w:rsid w:val="00785033"/>
    <w:rsid w:val="0078563E"/>
    <w:rsid w:val="00790B89"/>
    <w:rsid w:val="007A065B"/>
    <w:rsid w:val="007B23F7"/>
    <w:rsid w:val="007B3445"/>
    <w:rsid w:val="007B34A6"/>
    <w:rsid w:val="007B62EA"/>
    <w:rsid w:val="007C3860"/>
    <w:rsid w:val="007D0787"/>
    <w:rsid w:val="007E0431"/>
    <w:rsid w:val="007E3128"/>
    <w:rsid w:val="007F1DB2"/>
    <w:rsid w:val="007F54F7"/>
    <w:rsid w:val="00801A12"/>
    <w:rsid w:val="00802958"/>
    <w:rsid w:val="00805D57"/>
    <w:rsid w:val="00812205"/>
    <w:rsid w:val="008177AA"/>
    <w:rsid w:val="00823AF2"/>
    <w:rsid w:val="00827826"/>
    <w:rsid w:val="008279F7"/>
    <w:rsid w:val="00833B44"/>
    <w:rsid w:val="00837AD5"/>
    <w:rsid w:val="00840C9B"/>
    <w:rsid w:val="008534D1"/>
    <w:rsid w:val="00854EB4"/>
    <w:rsid w:val="00855D30"/>
    <w:rsid w:val="00861FB8"/>
    <w:rsid w:val="0086674F"/>
    <w:rsid w:val="00874A08"/>
    <w:rsid w:val="0089164F"/>
    <w:rsid w:val="008926C3"/>
    <w:rsid w:val="00893B70"/>
    <w:rsid w:val="008A086A"/>
    <w:rsid w:val="008B2450"/>
    <w:rsid w:val="008B25BF"/>
    <w:rsid w:val="008C1752"/>
    <w:rsid w:val="008D46A4"/>
    <w:rsid w:val="008E4CA5"/>
    <w:rsid w:val="008E5C60"/>
    <w:rsid w:val="008F314E"/>
    <w:rsid w:val="008F35D4"/>
    <w:rsid w:val="008F47E8"/>
    <w:rsid w:val="008F68B9"/>
    <w:rsid w:val="00901CB8"/>
    <w:rsid w:val="009162B7"/>
    <w:rsid w:val="00916928"/>
    <w:rsid w:val="00925EAE"/>
    <w:rsid w:val="0093011A"/>
    <w:rsid w:val="00931692"/>
    <w:rsid w:val="00932A49"/>
    <w:rsid w:val="00934367"/>
    <w:rsid w:val="0093599E"/>
    <w:rsid w:val="009368EF"/>
    <w:rsid w:val="00937E95"/>
    <w:rsid w:val="00942F11"/>
    <w:rsid w:val="00943C95"/>
    <w:rsid w:val="00945BE7"/>
    <w:rsid w:val="0095125C"/>
    <w:rsid w:val="00964A38"/>
    <w:rsid w:val="00966579"/>
    <w:rsid w:val="0097444C"/>
    <w:rsid w:val="00977E4E"/>
    <w:rsid w:val="0098346F"/>
    <w:rsid w:val="00984F25"/>
    <w:rsid w:val="00986B33"/>
    <w:rsid w:val="009870D6"/>
    <w:rsid w:val="00987AD5"/>
    <w:rsid w:val="00990C1A"/>
    <w:rsid w:val="009A280E"/>
    <w:rsid w:val="009A4EC3"/>
    <w:rsid w:val="009B23D1"/>
    <w:rsid w:val="009C31F0"/>
    <w:rsid w:val="009C5047"/>
    <w:rsid w:val="009C692B"/>
    <w:rsid w:val="009D28FF"/>
    <w:rsid w:val="009D40E8"/>
    <w:rsid w:val="009D697F"/>
    <w:rsid w:val="009F2166"/>
    <w:rsid w:val="009F37B9"/>
    <w:rsid w:val="009F5929"/>
    <w:rsid w:val="00A011C4"/>
    <w:rsid w:val="00A067CB"/>
    <w:rsid w:val="00A1243F"/>
    <w:rsid w:val="00A145EF"/>
    <w:rsid w:val="00A207D3"/>
    <w:rsid w:val="00A31B41"/>
    <w:rsid w:val="00A33078"/>
    <w:rsid w:val="00A347D7"/>
    <w:rsid w:val="00A41149"/>
    <w:rsid w:val="00A462D6"/>
    <w:rsid w:val="00A474DD"/>
    <w:rsid w:val="00A50A46"/>
    <w:rsid w:val="00A532C2"/>
    <w:rsid w:val="00A5353A"/>
    <w:rsid w:val="00A749D4"/>
    <w:rsid w:val="00A84666"/>
    <w:rsid w:val="00A90F98"/>
    <w:rsid w:val="00A94DEB"/>
    <w:rsid w:val="00A94DFD"/>
    <w:rsid w:val="00A95FA7"/>
    <w:rsid w:val="00A97F74"/>
    <w:rsid w:val="00AA1FC9"/>
    <w:rsid w:val="00AA512C"/>
    <w:rsid w:val="00AA7DEC"/>
    <w:rsid w:val="00AB0652"/>
    <w:rsid w:val="00AB50C0"/>
    <w:rsid w:val="00AD1941"/>
    <w:rsid w:val="00AE20BF"/>
    <w:rsid w:val="00AE2692"/>
    <w:rsid w:val="00AE583C"/>
    <w:rsid w:val="00AE7C8B"/>
    <w:rsid w:val="00B14ABF"/>
    <w:rsid w:val="00B20CA1"/>
    <w:rsid w:val="00B23E0D"/>
    <w:rsid w:val="00B3025D"/>
    <w:rsid w:val="00B303E2"/>
    <w:rsid w:val="00B33516"/>
    <w:rsid w:val="00B403DD"/>
    <w:rsid w:val="00B4135A"/>
    <w:rsid w:val="00B45302"/>
    <w:rsid w:val="00B52C38"/>
    <w:rsid w:val="00B54E23"/>
    <w:rsid w:val="00B711EC"/>
    <w:rsid w:val="00B75AC6"/>
    <w:rsid w:val="00B8391D"/>
    <w:rsid w:val="00B856AB"/>
    <w:rsid w:val="00B86058"/>
    <w:rsid w:val="00B9567F"/>
    <w:rsid w:val="00B959BC"/>
    <w:rsid w:val="00BA13D0"/>
    <w:rsid w:val="00BA5836"/>
    <w:rsid w:val="00BA655D"/>
    <w:rsid w:val="00BA7883"/>
    <w:rsid w:val="00BB0CF3"/>
    <w:rsid w:val="00BB4E03"/>
    <w:rsid w:val="00BB63D3"/>
    <w:rsid w:val="00BC3230"/>
    <w:rsid w:val="00BC3914"/>
    <w:rsid w:val="00BD58BE"/>
    <w:rsid w:val="00BD78EC"/>
    <w:rsid w:val="00BF17AA"/>
    <w:rsid w:val="00BF4672"/>
    <w:rsid w:val="00C00124"/>
    <w:rsid w:val="00C02EBD"/>
    <w:rsid w:val="00C05890"/>
    <w:rsid w:val="00C12CC9"/>
    <w:rsid w:val="00C17274"/>
    <w:rsid w:val="00C200CC"/>
    <w:rsid w:val="00C215E9"/>
    <w:rsid w:val="00C24064"/>
    <w:rsid w:val="00C24556"/>
    <w:rsid w:val="00C246AB"/>
    <w:rsid w:val="00C27FFE"/>
    <w:rsid w:val="00C30F78"/>
    <w:rsid w:val="00C3184D"/>
    <w:rsid w:val="00C423C2"/>
    <w:rsid w:val="00C47BD6"/>
    <w:rsid w:val="00C527B0"/>
    <w:rsid w:val="00C5352E"/>
    <w:rsid w:val="00C55E6C"/>
    <w:rsid w:val="00C6189E"/>
    <w:rsid w:val="00C66192"/>
    <w:rsid w:val="00C72D6A"/>
    <w:rsid w:val="00C74FCC"/>
    <w:rsid w:val="00C75EE5"/>
    <w:rsid w:val="00C81838"/>
    <w:rsid w:val="00C840F1"/>
    <w:rsid w:val="00C919A8"/>
    <w:rsid w:val="00C9246D"/>
    <w:rsid w:val="00C95F4C"/>
    <w:rsid w:val="00C97537"/>
    <w:rsid w:val="00CA1455"/>
    <w:rsid w:val="00CA2C18"/>
    <w:rsid w:val="00CA5657"/>
    <w:rsid w:val="00CA650C"/>
    <w:rsid w:val="00CB24FF"/>
    <w:rsid w:val="00CB71FA"/>
    <w:rsid w:val="00CC0778"/>
    <w:rsid w:val="00CD0FFC"/>
    <w:rsid w:val="00CD3038"/>
    <w:rsid w:val="00CF11C3"/>
    <w:rsid w:val="00CF152C"/>
    <w:rsid w:val="00CF18A5"/>
    <w:rsid w:val="00CF326A"/>
    <w:rsid w:val="00CF34C3"/>
    <w:rsid w:val="00CF3D65"/>
    <w:rsid w:val="00D055C6"/>
    <w:rsid w:val="00D2068F"/>
    <w:rsid w:val="00D213C3"/>
    <w:rsid w:val="00D276F0"/>
    <w:rsid w:val="00D368CD"/>
    <w:rsid w:val="00D42D71"/>
    <w:rsid w:val="00D44E41"/>
    <w:rsid w:val="00D45D28"/>
    <w:rsid w:val="00D536B3"/>
    <w:rsid w:val="00D60A01"/>
    <w:rsid w:val="00D61CD7"/>
    <w:rsid w:val="00D64C85"/>
    <w:rsid w:val="00D66B8C"/>
    <w:rsid w:val="00D75205"/>
    <w:rsid w:val="00D866B3"/>
    <w:rsid w:val="00DA4E27"/>
    <w:rsid w:val="00DA5D18"/>
    <w:rsid w:val="00DB027F"/>
    <w:rsid w:val="00DB37ED"/>
    <w:rsid w:val="00DC1B73"/>
    <w:rsid w:val="00DC4246"/>
    <w:rsid w:val="00DC4BD4"/>
    <w:rsid w:val="00DD217A"/>
    <w:rsid w:val="00DD749A"/>
    <w:rsid w:val="00DF2DB7"/>
    <w:rsid w:val="00DF3D05"/>
    <w:rsid w:val="00DF648C"/>
    <w:rsid w:val="00E03C02"/>
    <w:rsid w:val="00E16058"/>
    <w:rsid w:val="00E16A36"/>
    <w:rsid w:val="00E20712"/>
    <w:rsid w:val="00E20A81"/>
    <w:rsid w:val="00E2221B"/>
    <w:rsid w:val="00E26ABD"/>
    <w:rsid w:val="00E40EA8"/>
    <w:rsid w:val="00E4639F"/>
    <w:rsid w:val="00E65BCC"/>
    <w:rsid w:val="00E72D49"/>
    <w:rsid w:val="00E74715"/>
    <w:rsid w:val="00E8561B"/>
    <w:rsid w:val="00E871BC"/>
    <w:rsid w:val="00E87490"/>
    <w:rsid w:val="00E93C27"/>
    <w:rsid w:val="00E960D6"/>
    <w:rsid w:val="00EA1240"/>
    <w:rsid w:val="00EA5C9F"/>
    <w:rsid w:val="00EB0C25"/>
    <w:rsid w:val="00EC4693"/>
    <w:rsid w:val="00EC5685"/>
    <w:rsid w:val="00ED1DDD"/>
    <w:rsid w:val="00EE07FA"/>
    <w:rsid w:val="00EE44B7"/>
    <w:rsid w:val="00EE469D"/>
    <w:rsid w:val="00EE7560"/>
    <w:rsid w:val="00EF14E4"/>
    <w:rsid w:val="00EF27F7"/>
    <w:rsid w:val="00EF3BAF"/>
    <w:rsid w:val="00EF3FF8"/>
    <w:rsid w:val="00EF7622"/>
    <w:rsid w:val="00F027E8"/>
    <w:rsid w:val="00F16582"/>
    <w:rsid w:val="00F23926"/>
    <w:rsid w:val="00F27561"/>
    <w:rsid w:val="00F31D1C"/>
    <w:rsid w:val="00F326FB"/>
    <w:rsid w:val="00F35BD9"/>
    <w:rsid w:val="00F46430"/>
    <w:rsid w:val="00F52A12"/>
    <w:rsid w:val="00F57187"/>
    <w:rsid w:val="00F62B65"/>
    <w:rsid w:val="00F670A0"/>
    <w:rsid w:val="00F71E71"/>
    <w:rsid w:val="00F7586A"/>
    <w:rsid w:val="00F90566"/>
    <w:rsid w:val="00F925A4"/>
    <w:rsid w:val="00F96B1C"/>
    <w:rsid w:val="00FA7E56"/>
    <w:rsid w:val="00FB05DD"/>
    <w:rsid w:val="00FD3E0E"/>
    <w:rsid w:val="00FD550C"/>
    <w:rsid w:val="00FE35DD"/>
    <w:rsid w:val="00FE7E1A"/>
    <w:rsid w:val="00FF0D22"/>
    <w:rsid w:val="00FF43A3"/>
    <w:rsid w:val="00FF5912"/>
    <w:rsid w:val="00FF5F42"/>
    <w:rsid w:val="6B25E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6E3BEA4"/>
  <w15:docId w15:val="{A3DACE34-AEEF-41E9-BE28-364CE7A22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v-SE"/>
    </w:rPr>
  </w:style>
  <w:style w:type="paragraph" w:styleId="Heading1">
    <w:name w:val="heading 1"/>
    <w:basedOn w:val="Normal"/>
    <w:next w:val="Text1"/>
    <w:link w:val="Heading1Char"/>
    <w:uiPriority w:val="9"/>
    <w:qFormat/>
    <w:rsid w:val="005365AB"/>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365AB"/>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365AB"/>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rsid w:val="005365AB"/>
    <w:pPr>
      <w:keepNext/>
      <w:numPr>
        <w:ilvl w:val="3"/>
        <w:numId w:val="31"/>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365AB"/>
    <w:pPr>
      <w:keepNext/>
      <w:numPr>
        <w:ilvl w:val="4"/>
        <w:numId w:val="31"/>
      </w:numPr>
      <w:outlineLvl w:val="4"/>
    </w:pPr>
    <w:rPr>
      <w:rFonts w:eastAsiaTheme="majorEastAsia"/>
    </w:rPr>
  </w:style>
  <w:style w:type="paragraph" w:styleId="Heading6">
    <w:name w:val="heading 6"/>
    <w:basedOn w:val="Normal"/>
    <w:next w:val="Text2"/>
    <w:link w:val="Heading6Char"/>
    <w:uiPriority w:val="9"/>
    <w:semiHidden/>
    <w:unhideWhenUsed/>
    <w:qFormat/>
    <w:rsid w:val="005365AB"/>
    <w:pPr>
      <w:keepNext/>
      <w:numPr>
        <w:ilvl w:val="5"/>
        <w:numId w:val="31"/>
      </w:numPr>
      <w:outlineLvl w:val="5"/>
    </w:pPr>
    <w:rPr>
      <w:rFonts w:eastAsiaTheme="majorEastAsia"/>
      <w:iCs/>
    </w:rPr>
  </w:style>
  <w:style w:type="paragraph" w:styleId="Heading7">
    <w:name w:val="heading 7"/>
    <w:basedOn w:val="Normal"/>
    <w:next w:val="Text2"/>
    <w:link w:val="Heading7Char"/>
    <w:uiPriority w:val="9"/>
    <w:semiHidden/>
    <w:unhideWhenUsed/>
    <w:qFormat/>
    <w:rsid w:val="005365AB"/>
    <w:pPr>
      <w:keepNext/>
      <w:numPr>
        <w:ilvl w:val="6"/>
        <w:numId w:val="31"/>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7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7E56"/>
    <w:pPr>
      <w:spacing w:before="0" w:after="200" w:line="276" w:lineRule="auto"/>
      <w:ind w:left="720"/>
      <w:contextualSpacing/>
      <w:jc w:val="left"/>
    </w:pPr>
    <w:rPr>
      <w:rFonts w:asciiTheme="minorHAnsi" w:hAnsiTheme="minorHAnsi" w:cstheme="minorBidi"/>
      <w:sz w:val="22"/>
    </w:rPr>
  </w:style>
  <w:style w:type="character" w:customStyle="1" w:styleId="BulletRMCChar">
    <w:name w:val="Bullet (RMC) Char"/>
    <w:basedOn w:val="DefaultParagraphFont"/>
    <w:link w:val="BulletRMC"/>
    <w:locked/>
    <w:rsid w:val="00FA7E56"/>
    <w:rPr>
      <w:rFonts w:ascii="Verdana" w:hAnsi="Verdana"/>
    </w:rPr>
  </w:style>
  <w:style w:type="paragraph" w:customStyle="1" w:styleId="BulletRMC">
    <w:name w:val="Bullet (RMC)"/>
    <w:basedOn w:val="Normal"/>
    <w:link w:val="BulletRMCChar"/>
    <w:rsid w:val="00FA7E56"/>
    <w:pPr>
      <w:spacing w:before="60" w:after="0" w:line="288" w:lineRule="auto"/>
      <w:ind w:left="360" w:hanging="360"/>
      <w:contextualSpacing/>
    </w:pPr>
    <w:rPr>
      <w:rFonts w:ascii="Verdana" w:hAnsi="Verdana" w:cstheme="minorBidi"/>
      <w:sz w:val="22"/>
    </w:rPr>
  </w:style>
  <w:style w:type="character" w:styleId="Emphasis">
    <w:name w:val="Emphasis"/>
    <w:basedOn w:val="DefaultParagraphFont"/>
    <w:uiPriority w:val="20"/>
    <w:qFormat/>
    <w:rsid w:val="00FA7E56"/>
    <w:rPr>
      <w:i/>
      <w:iCs/>
    </w:rPr>
  </w:style>
  <w:style w:type="paragraph" w:styleId="Caption">
    <w:name w:val="caption"/>
    <w:basedOn w:val="Normal"/>
    <w:next w:val="Normal"/>
    <w:uiPriority w:val="35"/>
    <w:semiHidden/>
    <w:unhideWhenUsed/>
    <w:qFormat/>
    <w:rsid w:val="005F7F89"/>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5F7F89"/>
    <w:pPr>
      <w:spacing w:after="0"/>
    </w:pPr>
  </w:style>
  <w:style w:type="paragraph" w:styleId="ListBullet">
    <w:name w:val="List Bullet"/>
    <w:basedOn w:val="Normal"/>
    <w:uiPriority w:val="99"/>
    <w:semiHidden/>
    <w:unhideWhenUsed/>
    <w:rsid w:val="00CC0778"/>
    <w:pPr>
      <w:numPr>
        <w:numId w:val="1"/>
      </w:numPr>
      <w:contextualSpacing/>
    </w:pPr>
  </w:style>
  <w:style w:type="paragraph" w:styleId="ListBullet2">
    <w:name w:val="List Bullet 2"/>
    <w:basedOn w:val="Normal"/>
    <w:uiPriority w:val="99"/>
    <w:semiHidden/>
    <w:unhideWhenUsed/>
    <w:rsid w:val="00CC0778"/>
    <w:pPr>
      <w:numPr>
        <w:numId w:val="2"/>
      </w:numPr>
      <w:contextualSpacing/>
    </w:pPr>
  </w:style>
  <w:style w:type="paragraph" w:styleId="ListBullet3">
    <w:name w:val="List Bullet 3"/>
    <w:basedOn w:val="Normal"/>
    <w:uiPriority w:val="99"/>
    <w:semiHidden/>
    <w:unhideWhenUsed/>
    <w:rsid w:val="00CC0778"/>
    <w:pPr>
      <w:numPr>
        <w:numId w:val="3"/>
      </w:numPr>
      <w:contextualSpacing/>
    </w:pPr>
  </w:style>
  <w:style w:type="paragraph" w:styleId="ListBullet4">
    <w:name w:val="List Bullet 4"/>
    <w:basedOn w:val="Normal"/>
    <w:uiPriority w:val="99"/>
    <w:semiHidden/>
    <w:unhideWhenUsed/>
    <w:rsid w:val="00CC0778"/>
    <w:pPr>
      <w:numPr>
        <w:numId w:val="4"/>
      </w:numPr>
      <w:contextualSpacing/>
    </w:pPr>
  </w:style>
  <w:style w:type="paragraph" w:styleId="ListNumber">
    <w:name w:val="List Number"/>
    <w:basedOn w:val="Normal"/>
    <w:uiPriority w:val="99"/>
    <w:semiHidden/>
    <w:unhideWhenUsed/>
    <w:rsid w:val="00CC0778"/>
    <w:pPr>
      <w:numPr>
        <w:numId w:val="5"/>
      </w:numPr>
      <w:contextualSpacing/>
    </w:pPr>
  </w:style>
  <w:style w:type="paragraph" w:styleId="ListNumber2">
    <w:name w:val="List Number 2"/>
    <w:basedOn w:val="Normal"/>
    <w:uiPriority w:val="99"/>
    <w:semiHidden/>
    <w:unhideWhenUsed/>
    <w:rsid w:val="00CC0778"/>
    <w:pPr>
      <w:numPr>
        <w:numId w:val="6"/>
      </w:numPr>
      <w:contextualSpacing/>
    </w:pPr>
  </w:style>
  <w:style w:type="paragraph" w:styleId="ListNumber3">
    <w:name w:val="List Number 3"/>
    <w:basedOn w:val="Normal"/>
    <w:uiPriority w:val="99"/>
    <w:semiHidden/>
    <w:unhideWhenUsed/>
    <w:rsid w:val="00CC0778"/>
    <w:pPr>
      <w:numPr>
        <w:numId w:val="7"/>
      </w:numPr>
      <w:contextualSpacing/>
    </w:pPr>
  </w:style>
  <w:style w:type="paragraph" w:styleId="ListNumber4">
    <w:name w:val="List Number 4"/>
    <w:basedOn w:val="Normal"/>
    <w:uiPriority w:val="99"/>
    <w:semiHidden/>
    <w:unhideWhenUsed/>
    <w:rsid w:val="00CC0778"/>
    <w:pPr>
      <w:numPr>
        <w:numId w:val="8"/>
      </w:numPr>
      <w:contextualSpacing/>
    </w:pPr>
  </w:style>
  <w:style w:type="character" w:styleId="CommentReference">
    <w:name w:val="annotation reference"/>
    <w:basedOn w:val="DefaultParagraphFont"/>
    <w:uiPriority w:val="99"/>
    <w:unhideWhenUsed/>
    <w:rsid w:val="00F62B65"/>
    <w:rPr>
      <w:sz w:val="16"/>
      <w:szCs w:val="16"/>
    </w:rPr>
  </w:style>
  <w:style w:type="paragraph" w:styleId="CommentText">
    <w:name w:val="annotation text"/>
    <w:basedOn w:val="Normal"/>
    <w:link w:val="CommentTextChar"/>
    <w:uiPriority w:val="99"/>
    <w:unhideWhenUsed/>
    <w:rsid w:val="00F62B65"/>
    <w:rPr>
      <w:sz w:val="20"/>
      <w:szCs w:val="20"/>
    </w:rPr>
  </w:style>
  <w:style w:type="character" w:customStyle="1" w:styleId="CommentTextChar">
    <w:name w:val="Comment Text Char"/>
    <w:basedOn w:val="DefaultParagraphFont"/>
    <w:link w:val="CommentText"/>
    <w:uiPriority w:val="99"/>
    <w:rsid w:val="00F62B65"/>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sid w:val="00F62B65"/>
    <w:rPr>
      <w:b/>
      <w:bCs/>
    </w:rPr>
  </w:style>
  <w:style w:type="character" w:customStyle="1" w:styleId="CommentSubjectChar">
    <w:name w:val="Comment Subject Char"/>
    <w:basedOn w:val="CommentTextChar"/>
    <w:link w:val="CommentSubject"/>
    <w:uiPriority w:val="99"/>
    <w:semiHidden/>
    <w:rsid w:val="00F62B65"/>
    <w:rPr>
      <w:rFonts w:ascii="Times New Roman" w:hAnsi="Times New Roman" w:cs="Times New Roman"/>
      <w:b/>
      <w:bCs/>
      <w:sz w:val="20"/>
      <w:szCs w:val="20"/>
      <w:lang w:val="sv-SE"/>
    </w:rPr>
  </w:style>
  <w:style w:type="paragraph" w:styleId="BalloonText">
    <w:name w:val="Balloon Text"/>
    <w:basedOn w:val="Normal"/>
    <w:link w:val="BalloonTextChar"/>
    <w:uiPriority w:val="99"/>
    <w:semiHidden/>
    <w:unhideWhenUsed/>
    <w:rsid w:val="00F62B6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B65"/>
    <w:rPr>
      <w:rFonts w:ascii="Segoe UI" w:hAnsi="Segoe UI" w:cs="Segoe UI"/>
      <w:sz w:val="18"/>
      <w:szCs w:val="18"/>
      <w:lang w:val="sv-SE"/>
    </w:rPr>
  </w:style>
  <w:style w:type="character" w:styleId="Hyperlink">
    <w:name w:val="Hyperlink"/>
    <w:basedOn w:val="DefaultParagraphFont"/>
    <w:uiPriority w:val="99"/>
    <w:unhideWhenUsed/>
    <w:rsid w:val="00F62B65"/>
    <w:rPr>
      <w:color w:val="0000FF" w:themeColor="hyperlink"/>
      <w:u w:val="single"/>
    </w:rPr>
  </w:style>
  <w:style w:type="paragraph" w:styleId="Revision">
    <w:name w:val="Revision"/>
    <w:hidden/>
    <w:uiPriority w:val="99"/>
    <w:semiHidden/>
    <w:rsid w:val="00901CB8"/>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7E0431"/>
    <w:pPr>
      <w:tabs>
        <w:tab w:val="center" w:pos="4535"/>
        <w:tab w:val="right" w:pos="9071"/>
      </w:tabs>
      <w:spacing w:before="0"/>
    </w:pPr>
  </w:style>
  <w:style w:type="character" w:customStyle="1" w:styleId="HeaderChar">
    <w:name w:val="Header Char"/>
    <w:basedOn w:val="DefaultParagraphFont"/>
    <w:link w:val="Header"/>
    <w:uiPriority w:val="99"/>
    <w:rsid w:val="007E0431"/>
    <w:rPr>
      <w:rFonts w:ascii="Times New Roman" w:hAnsi="Times New Roman" w:cs="Times New Roman"/>
      <w:sz w:val="24"/>
      <w:lang w:val="sv-SE"/>
    </w:rPr>
  </w:style>
  <w:style w:type="paragraph" w:styleId="Footer">
    <w:name w:val="footer"/>
    <w:basedOn w:val="Normal"/>
    <w:link w:val="FooterChar"/>
    <w:uiPriority w:val="99"/>
    <w:unhideWhenUsed/>
    <w:rsid w:val="007E043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E0431"/>
    <w:rPr>
      <w:rFonts w:ascii="Times New Roman" w:hAnsi="Times New Roman" w:cs="Times New Roman"/>
      <w:sz w:val="24"/>
      <w:lang w:val="sv-SE"/>
    </w:rPr>
  </w:style>
  <w:style w:type="paragraph" w:styleId="FootnoteText">
    <w:name w:val="footnote text"/>
    <w:basedOn w:val="Normal"/>
    <w:link w:val="FootnoteTextChar"/>
    <w:uiPriority w:val="99"/>
    <w:semiHidden/>
    <w:unhideWhenUsed/>
    <w:rsid w:val="005365AB"/>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365AB"/>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365AB"/>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5365AB"/>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5365AB"/>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5365AB"/>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sid w:val="005365AB"/>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sid w:val="005365AB"/>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sid w:val="005365AB"/>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rsid w:val="005365AB"/>
    <w:pPr>
      <w:spacing w:after="240"/>
      <w:jc w:val="center"/>
    </w:pPr>
    <w:rPr>
      <w:b/>
      <w:sz w:val="28"/>
    </w:rPr>
  </w:style>
  <w:style w:type="paragraph" w:styleId="TOC1">
    <w:name w:val="toc 1"/>
    <w:basedOn w:val="Normal"/>
    <w:next w:val="Normal"/>
    <w:uiPriority w:val="39"/>
    <w:semiHidden/>
    <w:unhideWhenUsed/>
    <w:rsid w:val="005365AB"/>
    <w:pPr>
      <w:tabs>
        <w:tab w:val="right" w:leader="dot" w:pos="9071"/>
      </w:tabs>
      <w:spacing w:before="60"/>
      <w:ind w:left="850" w:hanging="850"/>
      <w:jc w:val="left"/>
    </w:pPr>
  </w:style>
  <w:style w:type="paragraph" w:styleId="TOC2">
    <w:name w:val="toc 2"/>
    <w:basedOn w:val="Normal"/>
    <w:next w:val="Normal"/>
    <w:uiPriority w:val="39"/>
    <w:semiHidden/>
    <w:unhideWhenUsed/>
    <w:rsid w:val="005365AB"/>
    <w:pPr>
      <w:tabs>
        <w:tab w:val="right" w:leader="dot" w:pos="9071"/>
      </w:tabs>
      <w:spacing w:before="60"/>
      <w:ind w:left="850" w:hanging="850"/>
      <w:jc w:val="left"/>
    </w:pPr>
  </w:style>
  <w:style w:type="paragraph" w:styleId="TOC3">
    <w:name w:val="toc 3"/>
    <w:basedOn w:val="Normal"/>
    <w:next w:val="Normal"/>
    <w:uiPriority w:val="39"/>
    <w:semiHidden/>
    <w:unhideWhenUsed/>
    <w:rsid w:val="005365AB"/>
    <w:pPr>
      <w:tabs>
        <w:tab w:val="right" w:leader="dot" w:pos="9071"/>
      </w:tabs>
      <w:spacing w:before="60"/>
      <w:ind w:left="850" w:hanging="850"/>
      <w:jc w:val="left"/>
    </w:pPr>
  </w:style>
  <w:style w:type="paragraph" w:styleId="TOC4">
    <w:name w:val="toc 4"/>
    <w:basedOn w:val="Normal"/>
    <w:next w:val="Normal"/>
    <w:uiPriority w:val="39"/>
    <w:semiHidden/>
    <w:unhideWhenUsed/>
    <w:rsid w:val="005365AB"/>
    <w:pPr>
      <w:tabs>
        <w:tab w:val="right" w:leader="dot" w:pos="9071"/>
      </w:tabs>
      <w:spacing w:before="60"/>
      <w:ind w:left="850" w:hanging="850"/>
      <w:jc w:val="left"/>
    </w:pPr>
  </w:style>
  <w:style w:type="paragraph" w:styleId="TOC5">
    <w:name w:val="toc 5"/>
    <w:basedOn w:val="Normal"/>
    <w:next w:val="Normal"/>
    <w:uiPriority w:val="39"/>
    <w:semiHidden/>
    <w:unhideWhenUsed/>
    <w:rsid w:val="005365AB"/>
    <w:pPr>
      <w:tabs>
        <w:tab w:val="right" w:leader="dot" w:pos="9071"/>
      </w:tabs>
      <w:spacing w:before="300"/>
      <w:jc w:val="left"/>
    </w:pPr>
  </w:style>
  <w:style w:type="paragraph" w:styleId="TOC6">
    <w:name w:val="toc 6"/>
    <w:basedOn w:val="Normal"/>
    <w:next w:val="Normal"/>
    <w:uiPriority w:val="39"/>
    <w:semiHidden/>
    <w:unhideWhenUsed/>
    <w:rsid w:val="005365AB"/>
    <w:pPr>
      <w:tabs>
        <w:tab w:val="right" w:leader="dot" w:pos="9071"/>
      </w:tabs>
      <w:spacing w:before="240"/>
      <w:jc w:val="left"/>
    </w:pPr>
  </w:style>
  <w:style w:type="paragraph" w:styleId="TOC7">
    <w:name w:val="toc 7"/>
    <w:basedOn w:val="Normal"/>
    <w:next w:val="Normal"/>
    <w:uiPriority w:val="39"/>
    <w:semiHidden/>
    <w:unhideWhenUsed/>
    <w:rsid w:val="005365AB"/>
    <w:pPr>
      <w:tabs>
        <w:tab w:val="right" w:leader="dot" w:pos="9071"/>
      </w:tabs>
      <w:spacing w:before="180"/>
      <w:jc w:val="left"/>
    </w:pPr>
  </w:style>
  <w:style w:type="paragraph" w:styleId="TOC8">
    <w:name w:val="toc 8"/>
    <w:basedOn w:val="Normal"/>
    <w:next w:val="Normal"/>
    <w:uiPriority w:val="39"/>
    <w:semiHidden/>
    <w:unhideWhenUsed/>
    <w:rsid w:val="005365AB"/>
    <w:pPr>
      <w:tabs>
        <w:tab w:val="right" w:leader="dot" w:pos="9071"/>
      </w:tabs>
      <w:jc w:val="left"/>
    </w:pPr>
  </w:style>
  <w:style w:type="paragraph" w:styleId="TOC9">
    <w:name w:val="toc 9"/>
    <w:basedOn w:val="Normal"/>
    <w:next w:val="Normal"/>
    <w:uiPriority w:val="39"/>
    <w:semiHidden/>
    <w:unhideWhenUsed/>
    <w:rsid w:val="005365AB"/>
    <w:pPr>
      <w:tabs>
        <w:tab w:val="right" w:leader="dot" w:pos="9071"/>
      </w:tabs>
      <w:ind w:left="1417" w:hanging="1417"/>
      <w:jc w:val="left"/>
    </w:pPr>
  </w:style>
  <w:style w:type="paragraph" w:customStyle="1" w:styleId="HeaderLandscape">
    <w:name w:val="HeaderLandscape"/>
    <w:basedOn w:val="Normal"/>
    <w:rsid w:val="007E0431"/>
    <w:pPr>
      <w:tabs>
        <w:tab w:val="center" w:pos="7285"/>
        <w:tab w:val="right" w:pos="14003"/>
      </w:tabs>
      <w:spacing w:before="0"/>
    </w:pPr>
  </w:style>
  <w:style w:type="paragraph" w:customStyle="1" w:styleId="FooterLandscape">
    <w:name w:val="FooterLandscape"/>
    <w:basedOn w:val="Normal"/>
    <w:rsid w:val="007E043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365AB"/>
    <w:rPr>
      <w:shd w:val="clear" w:color="auto" w:fill="auto"/>
      <w:vertAlign w:val="superscript"/>
    </w:rPr>
  </w:style>
  <w:style w:type="paragraph" w:customStyle="1" w:styleId="HeaderSensitivity">
    <w:name w:val="Header Sensitivity"/>
    <w:basedOn w:val="Normal"/>
    <w:rsid w:val="007E043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7E0431"/>
    <w:pPr>
      <w:spacing w:before="0"/>
      <w:jc w:val="right"/>
    </w:pPr>
    <w:rPr>
      <w:sz w:val="28"/>
    </w:rPr>
  </w:style>
  <w:style w:type="paragraph" w:customStyle="1" w:styleId="FooterSensitivity">
    <w:name w:val="Footer Sensitivity"/>
    <w:basedOn w:val="Normal"/>
    <w:rsid w:val="007E043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365AB"/>
    <w:pPr>
      <w:ind w:left="850"/>
    </w:pPr>
  </w:style>
  <w:style w:type="paragraph" w:customStyle="1" w:styleId="Text2">
    <w:name w:val="Text 2"/>
    <w:basedOn w:val="Normal"/>
    <w:rsid w:val="005365AB"/>
    <w:pPr>
      <w:ind w:left="1417"/>
    </w:pPr>
  </w:style>
  <w:style w:type="paragraph" w:customStyle="1" w:styleId="Text3">
    <w:name w:val="Text 3"/>
    <w:basedOn w:val="Normal"/>
    <w:rsid w:val="005365AB"/>
    <w:pPr>
      <w:ind w:left="1984"/>
    </w:pPr>
  </w:style>
  <w:style w:type="paragraph" w:customStyle="1" w:styleId="Text4">
    <w:name w:val="Text 4"/>
    <w:basedOn w:val="Normal"/>
    <w:rsid w:val="005365AB"/>
    <w:pPr>
      <w:ind w:left="2551"/>
    </w:pPr>
  </w:style>
  <w:style w:type="paragraph" w:customStyle="1" w:styleId="Text5">
    <w:name w:val="Text 5"/>
    <w:basedOn w:val="Normal"/>
    <w:rsid w:val="005365AB"/>
    <w:pPr>
      <w:ind w:left="3118"/>
    </w:pPr>
  </w:style>
  <w:style w:type="paragraph" w:customStyle="1" w:styleId="Text6">
    <w:name w:val="Text 6"/>
    <w:basedOn w:val="Normal"/>
    <w:rsid w:val="005365AB"/>
    <w:pPr>
      <w:ind w:left="3685"/>
    </w:pPr>
  </w:style>
  <w:style w:type="paragraph" w:customStyle="1" w:styleId="NormalCentered">
    <w:name w:val="Normal Centered"/>
    <w:basedOn w:val="Normal"/>
    <w:rsid w:val="005365AB"/>
    <w:pPr>
      <w:jc w:val="center"/>
    </w:pPr>
  </w:style>
  <w:style w:type="paragraph" w:customStyle="1" w:styleId="NormalLeft">
    <w:name w:val="Normal Left"/>
    <w:basedOn w:val="Normal"/>
    <w:rsid w:val="005365AB"/>
    <w:pPr>
      <w:jc w:val="left"/>
    </w:pPr>
  </w:style>
  <w:style w:type="paragraph" w:customStyle="1" w:styleId="NormalRight">
    <w:name w:val="Normal Right"/>
    <w:basedOn w:val="Normal"/>
    <w:rsid w:val="005365AB"/>
    <w:pPr>
      <w:jc w:val="right"/>
    </w:pPr>
  </w:style>
  <w:style w:type="paragraph" w:customStyle="1" w:styleId="QuotedText">
    <w:name w:val="Quoted Text"/>
    <w:basedOn w:val="Normal"/>
    <w:rsid w:val="005365AB"/>
    <w:pPr>
      <w:ind w:left="1417"/>
    </w:pPr>
  </w:style>
  <w:style w:type="paragraph" w:customStyle="1" w:styleId="Point0">
    <w:name w:val="Point 0"/>
    <w:basedOn w:val="Normal"/>
    <w:rsid w:val="005365AB"/>
    <w:pPr>
      <w:ind w:left="850" w:hanging="850"/>
    </w:pPr>
  </w:style>
  <w:style w:type="paragraph" w:customStyle="1" w:styleId="Point1">
    <w:name w:val="Point 1"/>
    <w:basedOn w:val="Normal"/>
    <w:rsid w:val="005365AB"/>
    <w:pPr>
      <w:ind w:left="1417" w:hanging="567"/>
    </w:pPr>
  </w:style>
  <w:style w:type="paragraph" w:customStyle="1" w:styleId="Point2">
    <w:name w:val="Point 2"/>
    <w:basedOn w:val="Normal"/>
    <w:rsid w:val="005365AB"/>
    <w:pPr>
      <w:ind w:left="1984" w:hanging="567"/>
    </w:pPr>
  </w:style>
  <w:style w:type="paragraph" w:customStyle="1" w:styleId="Point3">
    <w:name w:val="Point 3"/>
    <w:basedOn w:val="Normal"/>
    <w:rsid w:val="005365AB"/>
    <w:pPr>
      <w:ind w:left="2551" w:hanging="567"/>
    </w:pPr>
  </w:style>
  <w:style w:type="paragraph" w:customStyle="1" w:styleId="Point4">
    <w:name w:val="Point 4"/>
    <w:basedOn w:val="Normal"/>
    <w:rsid w:val="005365AB"/>
    <w:pPr>
      <w:ind w:left="3118" w:hanging="567"/>
    </w:pPr>
  </w:style>
  <w:style w:type="paragraph" w:customStyle="1" w:styleId="Point5">
    <w:name w:val="Point 5"/>
    <w:basedOn w:val="Normal"/>
    <w:rsid w:val="005365AB"/>
    <w:pPr>
      <w:ind w:left="3685" w:hanging="567"/>
    </w:pPr>
  </w:style>
  <w:style w:type="paragraph" w:customStyle="1" w:styleId="Tiret0">
    <w:name w:val="Tiret 0"/>
    <w:basedOn w:val="Point0"/>
    <w:rsid w:val="005365AB"/>
    <w:pPr>
      <w:numPr>
        <w:numId w:val="24"/>
      </w:numPr>
    </w:pPr>
  </w:style>
  <w:style w:type="paragraph" w:customStyle="1" w:styleId="Tiret1">
    <w:name w:val="Tiret 1"/>
    <w:basedOn w:val="Point1"/>
    <w:rsid w:val="005365AB"/>
    <w:pPr>
      <w:numPr>
        <w:numId w:val="25"/>
      </w:numPr>
    </w:pPr>
  </w:style>
  <w:style w:type="paragraph" w:customStyle="1" w:styleId="Tiret2">
    <w:name w:val="Tiret 2"/>
    <w:basedOn w:val="Point2"/>
    <w:rsid w:val="005365AB"/>
    <w:pPr>
      <w:numPr>
        <w:numId w:val="26"/>
      </w:numPr>
    </w:pPr>
  </w:style>
  <w:style w:type="paragraph" w:customStyle="1" w:styleId="Tiret3">
    <w:name w:val="Tiret 3"/>
    <w:basedOn w:val="Point3"/>
    <w:rsid w:val="005365AB"/>
    <w:pPr>
      <w:numPr>
        <w:numId w:val="27"/>
      </w:numPr>
    </w:pPr>
  </w:style>
  <w:style w:type="paragraph" w:customStyle="1" w:styleId="Tiret4">
    <w:name w:val="Tiret 4"/>
    <w:basedOn w:val="Point4"/>
    <w:rsid w:val="005365AB"/>
    <w:pPr>
      <w:numPr>
        <w:numId w:val="28"/>
      </w:numPr>
    </w:pPr>
  </w:style>
  <w:style w:type="paragraph" w:customStyle="1" w:styleId="Tiret5">
    <w:name w:val="Tiret 5"/>
    <w:basedOn w:val="Point5"/>
    <w:rsid w:val="005365AB"/>
    <w:pPr>
      <w:numPr>
        <w:numId w:val="29"/>
      </w:numPr>
    </w:pPr>
  </w:style>
  <w:style w:type="paragraph" w:customStyle="1" w:styleId="PointDouble0">
    <w:name w:val="PointDouble 0"/>
    <w:basedOn w:val="Normal"/>
    <w:rsid w:val="005365AB"/>
    <w:pPr>
      <w:tabs>
        <w:tab w:val="left" w:pos="850"/>
      </w:tabs>
      <w:ind w:left="1417" w:hanging="1417"/>
    </w:pPr>
  </w:style>
  <w:style w:type="paragraph" w:customStyle="1" w:styleId="PointDouble1">
    <w:name w:val="PointDouble 1"/>
    <w:basedOn w:val="Normal"/>
    <w:rsid w:val="005365AB"/>
    <w:pPr>
      <w:tabs>
        <w:tab w:val="left" w:pos="1417"/>
      </w:tabs>
      <w:ind w:left="1984" w:hanging="1134"/>
    </w:pPr>
  </w:style>
  <w:style w:type="paragraph" w:customStyle="1" w:styleId="PointDouble2">
    <w:name w:val="PointDouble 2"/>
    <w:basedOn w:val="Normal"/>
    <w:rsid w:val="005365AB"/>
    <w:pPr>
      <w:tabs>
        <w:tab w:val="left" w:pos="1984"/>
      </w:tabs>
      <w:ind w:left="2551" w:hanging="1134"/>
    </w:pPr>
  </w:style>
  <w:style w:type="paragraph" w:customStyle="1" w:styleId="PointDouble3">
    <w:name w:val="PointDouble 3"/>
    <w:basedOn w:val="Normal"/>
    <w:rsid w:val="005365AB"/>
    <w:pPr>
      <w:tabs>
        <w:tab w:val="left" w:pos="2551"/>
      </w:tabs>
      <w:ind w:left="3118" w:hanging="1134"/>
    </w:pPr>
  </w:style>
  <w:style w:type="paragraph" w:customStyle="1" w:styleId="PointDouble4">
    <w:name w:val="PointDouble 4"/>
    <w:basedOn w:val="Normal"/>
    <w:rsid w:val="005365AB"/>
    <w:pPr>
      <w:tabs>
        <w:tab w:val="left" w:pos="3118"/>
      </w:tabs>
      <w:ind w:left="3685" w:hanging="1134"/>
    </w:pPr>
  </w:style>
  <w:style w:type="paragraph" w:customStyle="1" w:styleId="PointTriple0">
    <w:name w:val="PointTriple 0"/>
    <w:basedOn w:val="Normal"/>
    <w:rsid w:val="005365AB"/>
    <w:pPr>
      <w:tabs>
        <w:tab w:val="left" w:pos="850"/>
        <w:tab w:val="left" w:pos="1417"/>
      </w:tabs>
      <w:ind w:left="1984" w:hanging="1984"/>
    </w:pPr>
  </w:style>
  <w:style w:type="paragraph" w:customStyle="1" w:styleId="PointTriple1">
    <w:name w:val="PointTriple 1"/>
    <w:basedOn w:val="Normal"/>
    <w:rsid w:val="005365AB"/>
    <w:pPr>
      <w:tabs>
        <w:tab w:val="left" w:pos="1417"/>
        <w:tab w:val="left" w:pos="1984"/>
      </w:tabs>
      <w:ind w:left="2551" w:hanging="1701"/>
    </w:pPr>
  </w:style>
  <w:style w:type="paragraph" w:customStyle="1" w:styleId="PointTriple2">
    <w:name w:val="PointTriple 2"/>
    <w:basedOn w:val="Normal"/>
    <w:rsid w:val="005365AB"/>
    <w:pPr>
      <w:tabs>
        <w:tab w:val="left" w:pos="1984"/>
        <w:tab w:val="left" w:pos="2551"/>
      </w:tabs>
      <w:ind w:left="3118" w:hanging="1701"/>
    </w:pPr>
  </w:style>
  <w:style w:type="paragraph" w:customStyle="1" w:styleId="PointTriple3">
    <w:name w:val="PointTriple 3"/>
    <w:basedOn w:val="Normal"/>
    <w:rsid w:val="005365AB"/>
    <w:pPr>
      <w:tabs>
        <w:tab w:val="left" w:pos="2551"/>
        <w:tab w:val="left" w:pos="3118"/>
      </w:tabs>
      <w:ind w:left="3685" w:hanging="1701"/>
    </w:pPr>
  </w:style>
  <w:style w:type="paragraph" w:customStyle="1" w:styleId="PointTriple4">
    <w:name w:val="PointTriple 4"/>
    <w:basedOn w:val="Normal"/>
    <w:rsid w:val="005365AB"/>
    <w:pPr>
      <w:tabs>
        <w:tab w:val="left" w:pos="3118"/>
        <w:tab w:val="left" w:pos="3685"/>
      </w:tabs>
      <w:ind w:left="4252" w:hanging="1701"/>
    </w:pPr>
  </w:style>
  <w:style w:type="paragraph" w:customStyle="1" w:styleId="NumPar1">
    <w:name w:val="NumPar 1"/>
    <w:basedOn w:val="Normal"/>
    <w:next w:val="Text1"/>
    <w:rsid w:val="005365AB"/>
    <w:pPr>
      <w:numPr>
        <w:numId w:val="30"/>
      </w:numPr>
    </w:pPr>
  </w:style>
  <w:style w:type="paragraph" w:customStyle="1" w:styleId="NumPar2">
    <w:name w:val="NumPar 2"/>
    <w:basedOn w:val="Normal"/>
    <w:next w:val="Text1"/>
    <w:rsid w:val="005365AB"/>
    <w:pPr>
      <w:numPr>
        <w:ilvl w:val="1"/>
        <w:numId w:val="30"/>
      </w:numPr>
    </w:pPr>
  </w:style>
  <w:style w:type="paragraph" w:customStyle="1" w:styleId="NumPar3">
    <w:name w:val="NumPar 3"/>
    <w:basedOn w:val="Normal"/>
    <w:next w:val="Text1"/>
    <w:rsid w:val="005365AB"/>
    <w:pPr>
      <w:numPr>
        <w:ilvl w:val="2"/>
        <w:numId w:val="30"/>
      </w:numPr>
    </w:pPr>
  </w:style>
  <w:style w:type="paragraph" w:customStyle="1" w:styleId="NumPar4">
    <w:name w:val="NumPar 4"/>
    <w:basedOn w:val="Normal"/>
    <w:next w:val="Text1"/>
    <w:rsid w:val="005365AB"/>
    <w:pPr>
      <w:numPr>
        <w:ilvl w:val="3"/>
        <w:numId w:val="30"/>
      </w:numPr>
    </w:pPr>
  </w:style>
  <w:style w:type="paragraph" w:customStyle="1" w:styleId="NumPar5">
    <w:name w:val="NumPar 5"/>
    <w:basedOn w:val="Normal"/>
    <w:next w:val="Text2"/>
    <w:rsid w:val="005365AB"/>
    <w:pPr>
      <w:numPr>
        <w:ilvl w:val="4"/>
        <w:numId w:val="30"/>
      </w:numPr>
    </w:pPr>
  </w:style>
  <w:style w:type="paragraph" w:customStyle="1" w:styleId="NumPar6">
    <w:name w:val="NumPar 6"/>
    <w:basedOn w:val="Normal"/>
    <w:next w:val="Text2"/>
    <w:rsid w:val="005365AB"/>
    <w:pPr>
      <w:numPr>
        <w:ilvl w:val="5"/>
        <w:numId w:val="30"/>
      </w:numPr>
    </w:pPr>
  </w:style>
  <w:style w:type="paragraph" w:customStyle="1" w:styleId="NumPar7">
    <w:name w:val="NumPar 7"/>
    <w:basedOn w:val="Normal"/>
    <w:next w:val="Text2"/>
    <w:rsid w:val="005365AB"/>
    <w:pPr>
      <w:numPr>
        <w:ilvl w:val="6"/>
        <w:numId w:val="30"/>
      </w:numPr>
    </w:pPr>
  </w:style>
  <w:style w:type="paragraph" w:customStyle="1" w:styleId="ManualNumPar1">
    <w:name w:val="Manual NumPar 1"/>
    <w:basedOn w:val="Normal"/>
    <w:next w:val="Text1"/>
    <w:rsid w:val="005365AB"/>
    <w:pPr>
      <w:ind w:left="850" w:hanging="850"/>
    </w:pPr>
  </w:style>
  <w:style w:type="paragraph" w:customStyle="1" w:styleId="ManualNumPar2">
    <w:name w:val="Manual NumPar 2"/>
    <w:basedOn w:val="Normal"/>
    <w:next w:val="Text1"/>
    <w:rsid w:val="005365AB"/>
    <w:pPr>
      <w:ind w:left="850" w:hanging="850"/>
    </w:pPr>
  </w:style>
  <w:style w:type="paragraph" w:customStyle="1" w:styleId="ManualNumPar3">
    <w:name w:val="Manual NumPar 3"/>
    <w:basedOn w:val="Normal"/>
    <w:next w:val="Text1"/>
    <w:rsid w:val="005365AB"/>
    <w:pPr>
      <w:ind w:left="850" w:hanging="850"/>
    </w:pPr>
  </w:style>
  <w:style w:type="paragraph" w:customStyle="1" w:styleId="ManualNumPar4">
    <w:name w:val="Manual NumPar 4"/>
    <w:basedOn w:val="Normal"/>
    <w:next w:val="Text1"/>
    <w:rsid w:val="005365AB"/>
    <w:pPr>
      <w:ind w:left="850" w:hanging="850"/>
    </w:pPr>
  </w:style>
  <w:style w:type="paragraph" w:customStyle="1" w:styleId="ManualNumPar5">
    <w:name w:val="Manual NumPar 5"/>
    <w:basedOn w:val="Normal"/>
    <w:next w:val="Text2"/>
    <w:rsid w:val="005365AB"/>
    <w:pPr>
      <w:ind w:left="1417" w:hanging="1417"/>
    </w:pPr>
  </w:style>
  <w:style w:type="paragraph" w:customStyle="1" w:styleId="ManualNumPar6">
    <w:name w:val="Manual NumPar 6"/>
    <w:basedOn w:val="Normal"/>
    <w:next w:val="Text2"/>
    <w:rsid w:val="005365AB"/>
    <w:pPr>
      <w:ind w:left="1417" w:hanging="1417"/>
    </w:pPr>
  </w:style>
  <w:style w:type="paragraph" w:customStyle="1" w:styleId="ManualNumPar7">
    <w:name w:val="Manual NumPar 7"/>
    <w:basedOn w:val="Normal"/>
    <w:next w:val="Text2"/>
    <w:rsid w:val="005365AB"/>
    <w:pPr>
      <w:ind w:left="1417" w:hanging="1417"/>
    </w:pPr>
  </w:style>
  <w:style w:type="paragraph" w:customStyle="1" w:styleId="QuotedNumPar">
    <w:name w:val="Quoted NumPar"/>
    <w:basedOn w:val="Normal"/>
    <w:rsid w:val="005365AB"/>
    <w:pPr>
      <w:ind w:left="1417" w:hanging="567"/>
    </w:pPr>
  </w:style>
  <w:style w:type="paragraph" w:customStyle="1" w:styleId="ManualHeading1">
    <w:name w:val="Manual Heading 1"/>
    <w:basedOn w:val="Normal"/>
    <w:next w:val="Text1"/>
    <w:rsid w:val="005365AB"/>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365AB"/>
    <w:pPr>
      <w:keepNext/>
      <w:tabs>
        <w:tab w:val="left" w:pos="850"/>
      </w:tabs>
      <w:ind w:left="850" w:hanging="850"/>
      <w:outlineLvl w:val="1"/>
    </w:pPr>
    <w:rPr>
      <w:b/>
    </w:rPr>
  </w:style>
  <w:style w:type="paragraph" w:customStyle="1" w:styleId="ManualHeading3">
    <w:name w:val="Manual Heading 3"/>
    <w:basedOn w:val="Normal"/>
    <w:next w:val="Text1"/>
    <w:rsid w:val="005365AB"/>
    <w:pPr>
      <w:keepNext/>
      <w:tabs>
        <w:tab w:val="left" w:pos="850"/>
      </w:tabs>
      <w:ind w:left="850" w:hanging="850"/>
      <w:outlineLvl w:val="2"/>
    </w:pPr>
    <w:rPr>
      <w:i/>
    </w:rPr>
  </w:style>
  <w:style w:type="paragraph" w:customStyle="1" w:styleId="ManualHeading4">
    <w:name w:val="Manual Heading 4"/>
    <w:basedOn w:val="Normal"/>
    <w:next w:val="Text1"/>
    <w:rsid w:val="005365AB"/>
    <w:pPr>
      <w:keepNext/>
      <w:tabs>
        <w:tab w:val="left" w:pos="850"/>
      </w:tabs>
      <w:ind w:left="850" w:hanging="850"/>
      <w:outlineLvl w:val="3"/>
    </w:pPr>
  </w:style>
  <w:style w:type="paragraph" w:customStyle="1" w:styleId="ManualHeading5">
    <w:name w:val="Manual Heading 5"/>
    <w:basedOn w:val="Normal"/>
    <w:next w:val="Text2"/>
    <w:rsid w:val="005365AB"/>
    <w:pPr>
      <w:keepNext/>
      <w:tabs>
        <w:tab w:val="left" w:pos="1417"/>
      </w:tabs>
      <w:ind w:left="1417" w:hanging="1417"/>
      <w:outlineLvl w:val="4"/>
    </w:pPr>
  </w:style>
  <w:style w:type="paragraph" w:customStyle="1" w:styleId="ManualHeading6">
    <w:name w:val="Manual Heading 6"/>
    <w:basedOn w:val="Normal"/>
    <w:next w:val="Text2"/>
    <w:rsid w:val="005365AB"/>
    <w:pPr>
      <w:keepNext/>
      <w:tabs>
        <w:tab w:val="left" w:pos="1417"/>
      </w:tabs>
      <w:ind w:left="1417" w:hanging="1417"/>
      <w:outlineLvl w:val="5"/>
    </w:pPr>
  </w:style>
  <w:style w:type="paragraph" w:customStyle="1" w:styleId="ManualHeading7">
    <w:name w:val="Manual Heading 7"/>
    <w:basedOn w:val="Normal"/>
    <w:next w:val="Text2"/>
    <w:rsid w:val="005365AB"/>
    <w:pPr>
      <w:keepNext/>
      <w:tabs>
        <w:tab w:val="left" w:pos="1417"/>
      </w:tabs>
      <w:ind w:left="1417" w:hanging="1417"/>
      <w:outlineLvl w:val="6"/>
    </w:pPr>
  </w:style>
  <w:style w:type="paragraph" w:customStyle="1" w:styleId="ChapterTitle">
    <w:name w:val="ChapterTitle"/>
    <w:basedOn w:val="Normal"/>
    <w:next w:val="Normal"/>
    <w:rsid w:val="005365AB"/>
    <w:pPr>
      <w:keepNext/>
      <w:spacing w:after="360"/>
      <w:jc w:val="center"/>
    </w:pPr>
    <w:rPr>
      <w:b/>
      <w:sz w:val="32"/>
    </w:rPr>
  </w:style>
  <w:style w:type="paragraph" w:customStyle="1" w:styleId="PartTitle">
    <w:name w:val="PartTitle"/>
    <w:basedOn w:val="Normal"/>
    <w:next w:val="ChapterTitle"/>
    <w:rsid w:val="005365AB"/>
    <w:pPr>
      <w:keepNext/>
      <w:pageBreakBefore/>
      <w:spacing w:after="360"/>
      <w:jc w:val="center"/>
    </w:pPr>
    <w:rPr>
      <w:b/>
      <w:sz w:val="36"/>
    </w:rPr>
  </w:style>
  <w:style w:type="paragraph" w:customStyle="1" w:styleId="SectionTitle">
    <w:name w:val="SectionTitle"/>
    <w:basedOn w:val="Normal"/>
    <w:next w:val="Heading1"/>
    <w:rsid w:val="005365AB"/>
    <w:pPr>
      <w:keepNext/>
      <w:spacing w:after="360"/>
      <w:jc w:val="center"/>
    </w:pPr>
    <w:rPr>
      <w:b/>
      <w:smallCaps/>
      <w:sz w:val="28"/>
    </w:rPr>
  </w:style>
  <w:style w:type="paragraph" w:customStyle="1" w:styleId="TableTitle">
    <w:name w:val="Table Title"/>
    <w:basedOn w:val="Normal"/>
    <w:next w:val="Normal"/>
    <w:rsid w:val="005365AB"/>
    <w:pPr>
      <w:jc w:val="center"/>
    </w:pPr>
    <w:rPr>
      <w:b/>
    </w:rPr>
  </w:style>
  <w:style w:type="character" w:customStyle="1" w:styleId="Marker">
    <w:name w:val="Marker"/>
    <w:basedOn w:val="DefaultParagraphFont"/>
    <w:rsid w:val="005365AB"/>
    <w:rPr>
      <w:color w:val="0000FF"/>
      <w:shd w:val="clear" w:color="auto" w:fill="auto"/>
    </w:rPr>
  </w:style>
  <w:style w:type="character" w:customStyle="1" w:styleId="Marker1">
    <w:name w:val="Marker1"/>
    <w:basedOn w:val="DefaultParagraphFont"/>
    <w:rsid w:val="005365AB"/>
    <w:rPr>
      <w:color w:val="008000"/>
      <w:shd w:val="clear" w:color="auto" w:fill="auto"/>
    </w:rPr>
  </w:style>
  <w:style w:type="character" w:customStyle="1" w:styleId="Marker2">
    <w:name w:val="Marker2"/>
    <w:basedOn w:val="DefaultParagraphFont"/>
    <w:rsid w:val="005365AB"/>
    <w:rPr>
      <w:color w:val="FF0000"/>
      <w:shd w:val="clear" w:color="auto" w:fill="auto"/>
    </w:rPr>
  </w:style>
  <w:style w:type="paragraph" w:customStyle="1" w:styleId="Point0number">
    <w:name w:val="Point 0 (number)"/>
    <w:basedOn w:val="Normal"/>
    <w:rsid w:val="005365AB"/>
    <w:pPr>
      <w:numPr>
        <w:numId w:val="32"/>
      </w:numPr>
    </w:pPr>
  </w:style>
  <w:style w:type="paragraph" w:customStyle="1" w:styleId="Point1number">
    <w:name w:val="Point 1 (number)"/>
    <w:basedOn w:val="Normal"/>
    <w:rsid w:val="005365AB"/>
    <w:pPr>
      <w:numPr>
        <w:ilvl w:val="2"/>
        <w:numId w:val="32"/>
      </w:numPr>
    </w:pPr>
  </w:style>
  <w:style w:type="paragraph" w:customStyle="1" w:styleId="Point2number">
    <w:name w:val="Point 2 (number)"/>
    <w:basedOn w:val="Normal"/>
    <w:rsid w:val="005365AB"/>
    <w:pPr>
      <w:numPr>
        <w:ilvl w:val="4"/>
        <w:numId w:val="32"/>
      </w:numPr>
    </w:pPr>
  </w:style>
  <w:style w:type="paragraph" w:customStyle="1" w:styleId="Point3number">
    <w:name w:val="Point 3 (number)"/>
    <w:basedOn w:val="Normal"/>
    <w:rsid w:val="005365AB"/>
    <w:pPr>
      <w:numPr>
        <w:ilvl w:val="6"/>
        <w:numId w:val="32"/>
      </w:numPr>
    </w:pPr>
  </w:style>
  <w:style w:type="paragraph" w:customStyle="1" w:styleId="Point0letter">
    <w:name w:val="Point 0 (letter)"/>
    <w:basedOn w:val="Normal"/>
    <w:rsid w:val="005365AB"/>
    <w:pPr>
      <w:numPr>
        <w:ilvl w:val="1"/>
        <w:numId w:val="32"/>
      </w:numPr>
    </w:pPr>
  </w:style>
  <w:style w:type="paragraph" w:customStyle="1" w:styleId="Point1letter">
    <w:name w:val="Point 1 (letter)"/>
    <w:basedOn w:val="Normal"/>
    <w:rsid w:val="005365AB"/>
    <w:pPr>
      <w:numPr>
        <w:ilvl w:val="3"/>
        <w:numId w:val="32"/>
      </w:numPr>
    </w:pPr>
  </w:style>
  <w:style w:type="paragraph" w:customStyle="1" w:styleId="Point2letter">
    <w:name w:val="Point 2 (letter)"/>
    <w:basedOn w:val="Normal"/>
    <w:rsid w:val="005365AB"/>
    <w:pPr>
      <w:numPr>
        <w:ilvl w:val="5"/>
        <w:numId w:val="32"/>
      </w:numPr>
    </w:pPr>
  </w:style>
  <w:style w:type="paragraph" w:customStyle="1" w:styleId="Point3letter">
    <w:name w:val="Point 3 (letter)"/>
    <w:basedOn w:val="Normal"/>
    <w:rsid w:val="005365AB"/>
    <w:pPr>
      <w:numPr>
        <w:ilvl w:val="7"/>
        <w:numId w:val="32"/>
      </w:numPr>
    </w:pPr>
  </w:style>
  <w:style w:type="paragraph" w:customStyle="1" w:styleId="Point4letter">
    <w:name w:val="Point 4 (letter)"/>
    <w:basedOn w:val="Normal"/>
    <w:rsid w:val="005365AB"/>
    <w:pPr>
      <w:numPr>
        <w:ilvl w:val="8"/>
        <w:numId w:val="32"/>
      </w:numPr>
    </w:pPr>
  </w:style>
  <w:style w:type="paragraph" w:customStyle="1" w:styleId="Bullet0">
    <w:name w:val="Bullet 0"/>
    <w:basedOn w:val="Normal"/>
    <w:rsid w:val="005365AB"/>
    <w:pPr>
      <w:numPr>
        <w:numId w:val="33"/>
      </w:numPr>
    </w:pPr>
  </w:style>
  <w:style w:type="paragraph" w:customStyle="1" w:styleId="Bullet1">
    <w:name w:val="Bullet 1"/>
    <w:basedOn w:val="Normal"/>
    <w:rsid w:val="005365AB"/>
    <w:pPr>
      <w:numPr>
        <w:numId w:val="34"/>
      </w:numPr>
    </w:pPr>
  </w:style>
  <w:style w:type="paragraph" w:customStyle="1" w:styleId="Bullet2">
    <w:name w:val="Bullet 2"/>
    <w:basedOn w:val="Normal"/>
    <w:rsid w:val="005365AB"/>
    <w:pPr>
      <w:numPr>
        <w:numId w:val="35"/>
      </w:numPr>
    </w:pPr>
  </w:style>
  <w:style w:type="paragraph" w:customStyle="1" w:styleId="Bullet3">
    <w:name w:val="Bullet 3"/>
    <w:basedOn w:val="Normal"/>
    <w:rsid w:val="005365AB"/>
    <w:pPr>
      <w:numPr>
        <w:numId w:val="36"/>
      </w:numPr>
    </w:pPr>
  </w:style>
  <w:style w:type="paragraph" w:customStyle="1" w:styleId="Bullet4">
    <w:name w:val="Bullet 4"/>
    <w:basedOn w:val="Normal"/>
    <w:rsid w:val="005365AB"/>
    <w:pPr>
      <w:numPr>
        <w:numId w:val="37"/>
      </w:numPr>
    </w:pPr>
  </w:style>
  <w:style w:type="paragraph" w:customStyle="1" w:styleId="Langue">
    <w:name w:val="Langue"/>
    <w:basedOn w:val="Normal"/>
    <w:next w:val="Rfrenceinterne"/>
    <w:rsid w:val="005365AB"/>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365AB"/>
    <w:pPr>
      <w:spacing w:before="0" w:after="0"/>
      <w:jc w:val="left"/>
    </w:pPr>
    <w:rPr>
      <w:rFonts w:ascii="Arial" w:hAnsi="Arial" w:cs="Arial"/>
    </w:rPr>
  </w:style>
  <w:style w:type="paragraph" w:customStyle="1" w:styleId="Emission">
    <w:name w:val="Emission"/>
    <w:basedOn w:val="Normal"/>
    <w:next w:val="Rfrenceinstitutionnelle"/>
    <w:rsid w:val="005365AB"/>
    <w:pPr>
      <w:spacing w:before="0" w:after="0"/>
      <w:ind w:left="5103"/>
      <w:jc w:val="left"/>
    </w:pPr>
  </w:style>
  <w:style w:type="paragraph" w:customStyle="1" w:styleId="Rfrenceinstitutionnelle">
    <w:name w:val="Référence institutionnelle"/>
    <w:basedOn w:val="Normal"/>
    <w:next w:val="Confidentialit"/>
    <w:rsid w:val="005365AB"/>
    <w:pPr>
      <w:spacing w:before="0" w:after="240"/>
      <w:ind w:left="5103"/>
      <w:jc w:val="left"/>
    </w:pPr>
  </w:style>
  <w:style w:type="paragraph" w:customStyle="1" w:styleId="Pagedecouverture">
    <w:name w:val="Page de couverture"/>
    <w:basedOn w:val="Normal"/>
    <w:next w:val="Normal"/>
    <w:rsid w:val="005365AB"/>
    <w:pPr>
      <w:spacing w:before="0" w:after="0"/>
    </w:pPr>
  </w:style>
  <w:style w:type="paragraph" w:customStyle="1" w:styleId="Declassification">
    <w:name w:val="Declassification"/>
    <w:basedOn w:val="Normal"/>
    <w:next w:val="Normal"/>
    <w:rsid w:val="005365AB"/>
    <w:pPr>
      <w:spacing w:before="0" w:after="0"/>
    </w:pPr>
  </w:style>
  <w:style w:type="paragraph" w:customStyle="1" w:styleId="Disclaimer">
    <w:name w:val="Disclaimer"/>
    <w:basedOn w:val="Normal"/>
    <w:rsid w:val="005365AB"/>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365AB"/>
    <w:pPr>
      <w:spacing w:before="0" w:after="0" w:line="276" w:lineRule="auto"/>
      <w:ind w:left="5103"/>
      <w:jc w:val="left"/>
    </w:pPr>
    <w:rPr>
      <w:sz w:val="28"/>
    </w:rPr>
  </w:style>
  <w:style w:type="paragraph" w:customStyle="1" w:styleId="DateMarking">
    <w:name w:val="DateMarking"/>
    <w:basedOn w:val="Normal"/>
    <w:rsid w:val="005365AB"/>
    <w:pPr>
      <w:spacing w:before="0" w:after="0" w:line="276" w:lineRule="auto"/>
      <w:ind w:left="5103"/>
      <w:jc w:val="left"/>
    </w:pPr>
    <w:rPr>
      <w:i/>
      <w:sz w:val="28"/>
    </w:rPr>
  </w:style>
  <w:style w:type="paragraph" w:customStyle="1" w:styleId="ReleasableTo">
    <w:name w:val="ReleasableTo"/>
    <w:basedOn w:val="Normal"/>
    <w:rsid w:val="005365AB"/>
    <w:pPr>
      <w:spacing w:before="0" w:after="0" w:line="276" w:lineRule="auto"/>
      <w:ind w:left="5103"/>
      <w:jc w:val="left"/>
    </w:pPr>
    <w:rPr>
      <w:i/>
      <w:sz w:val="28"/>
    </w:rPr>
  </w:style>
  <w:style w:type="paragraph" w:customStyle="1" w:styleId="Annexetitreexpos">
    <w:name w:val="Annexe titre (exposé)"/>
    <w:basedOn w:val="Normal"/>
    <w:next w:val="Normal"/>
    <w:rsid w:val="005365AB"/>
    <w:pPr>
      <w:jc w:val="center"/>
    </w:pPr>
    <w:rPr>
      <w:b/>
      <w:u w:val="single"/>
    </w:rPr>
  </w:style>
  <w:style w:type="paragraph" w:customStyle="1" w:styleId="Annexetitre">
    <w:name w:val="Annexe titre"/>
    <w:basedOn w:val="Normal"/>
    <w:next w:val="Normal"/>
    <w:rsid w:val="005365AB"/>
    <w:pPr>
      <w:jc w:val="center"/>
    </w:pPr>
    <w:rPr>
      <w:b/>
      <w:u w:val="single"/>
    </w:rPr>
  </w:style>
  <w:style w:type="paragraph" w:customStyle="1" w:styleId="Annexetitrefichefinancire">
    <w:name w:val="Annexe titre (fiche financière)"/>
    <w:basedOn w:val="Normal"/>
    <w:next w:val="Normal"/>
    <w:rsid w:val="005365AB"/>
    <w:pPr>
      <w:jc w:val="center"/>
    </w:pPr>
    <w:rPr>
      <w:b/>
      <w:u w:val="single"/>
    </w:rPr>
  </w:style>
  <w:style w:type="paragraph" w:customStyle="1" w:styleId="Applicationdirecte">
    <w:name w:val="Application directe"/>
    <w:basedOn w:val="Normal"/>
    <w:next w:val="Fait"/>
    <w:rsid w:val="005365AB"/>
    <w:pPr>
      <w:spacing w:before="480"/>
    </w:pPr>
  </w:style>
  <w:style w:type="paragraph" w:customStyle="1" w:styleId="Avertissementtitre">
    <w:name w:val="Avertissement titre"/>
    <w:basedOn w:val="Normal"/>
    <w:next w:val="Normal"/>
    <w:rsid w:val="005365AB"/>
    <w:pPr>
      <w:keepNext/>
      <w:spacing w:before="480"/>
    </w:pPr>
    <w:rPr>
      <w:u w:val="single"/>
    </w:rPr>
  </w:style>
  <w:style w:type="paragraph" w:customStyle="1" w:styleId="Confidence">
    <w:name w:val="Confidence"/>
    <w:basedOn w:val="Normal"/>
    <w:next w:val="Normal"/>
    <w:rsid w:val="005365AB"/>
    <w:pPr>
      <w:spacing w:before="360"/>
      <w:jc w:val="center"/>
    </w:pPr>
  </w:style>
  <w:style w:type="paragraph" w:customStyle="1" w:styleId="Confidentialit">
    <w:name w:val="Confidentialité"/>
    <w:basedOn w:val="Normal"/>
    <w:next w:val="TypedudocumentPagedecouverture"/>
    <w:rsid w:val="005365AB"/>
    <w:pPr>
      <w:spacing w:before="240" w:after="240"/>
      <w:ind w:left="5103"/>
      <w:jc w:val="left"/>
    </w:pPr>
    <w:rPr>
      <w:i/>
      <w:sz w:val="32"/>
    </w:rPr>
  </w:style>
  <w:style w:type="paragraph" w:customStyle="1" w:styleId="Considrant">
    <w:name w:val="Considérant"/>
    <w:basedOn w:val="Normal"/>
    <w:rsid w:val="005365AB"/>
    <w:pPr>
      <w:numPr>
        <w:numId w:val="38"/>
      </w:numPr>
    </w:pPr>
  </w:style>
  <w:style w:type="paragraph" w:customStyle="1" w:styleId="Corrigendum">
    <w:name w:val="Corrigendum"/>
    <w:basedOn w:val="Normal"/>
    <w:next w:val="Normal"/>
    <w:rsid w:val="005365AB"/>
    <w:pPr>
      <w:spacing w:before="0" w:after="240"/>
      <w:jc w:val="left"/>
    </w:pPr>
  </w:style>
  <w:style w:type="paragraph" w:customStyle="1" w:styleId="Datedadoption">
    <w:name w:val="Date d'adoption"/>
    <w:basedOn w:val="Normal"/>
    <w:next w:val="IntrtEEE"/>
    <w:rsid w:val="005365AB"/>
    <w:pPr>
      <w:spacing w:before="360" w:after="0"/>
      <w:jc w:val="center"/>
    </w:pPr>
    <w:rPr>
      <w:b/>
    </w:rPr>
  </w:style>
  <w:style w:type="paragraph" w:customStyle="1" w:styleId="Exposdesmotifstitre">
    <w:name w:val="Exposé des motifs titre"/>
    <w:basedOn w:val="Normal"/>
    <w:next w:val="Normal"/>
    <w:rsid w:val="005365AB"/>
    <w:pPr>
      <w:jc w:val="center"/>
    </w:pPr>
    <w:rPr>
      <w:b/>
      <w:u w:val="single"/>
    </w:rPr>
  </w:style>
  <w:style w:type="paragraph" w:customStyle="1" w:styleId="Fait">
    <w:name w:val="Fait à"/>
    <w:basedOn w:val="Normal"/>
    <w:next w:val="Institutionquisigne"/>
    <w:rsid w:val="005365AB"/>
    <w:pPr>
      <w:keepNext/>
      <w:spacing w:after="0"/>
    </w:pPr>
  </w:style>
  <w:style w:type="paragraph" w:customStyle="1" w:styleId="Formuledadoption">
    <w:name w:val="Formule d'adoption"/>
    <w:basedOn w:val="Normal"/>
    <w:next w:val="Titrearticle"/>
    <w:rsid w:val="005365AB"/>
    <w:pPr>
      <w:keepNext/>
    </w:pPr>
  </w:style>
  <w:style w:type="paragraph" w:customStyle="1" w:styleId="Institutionquiagit">
    <w:name w:val="Institution qui agit"/>
    <w:basedOn w:val="Normal"/>
    <w:next w:val="Normal"/>
    <w:rsid w:val="005365AB"/>
    <w:pPr>
      <w:keepNext/>
      <w:spacing w:before="600"/>
    </w:pPr>
  </w:style>
  <w:style w:type="paragraph" w:customStyle="1" w:styleId="Institutionquisigne">
    <w:name w:val="Institution qui signe"/>
    <w:basedOn w:val="Normal"/>
    <w:next w:val="Personnequisigne"/>
    <w:rsid w:val="005365AB"/>
    <w:pPr>
      <w:keepNext/>
      <w:tabs>
        <w:tab w:val="left" w:pos="4252"/>
      </w:tabs>
      <w:spacing w:before="720" w:after="0"/>
    </w:pPr>
    <w:rPr>
      <w:i/>
    </w:rPr>
  </w:style>
  <w:style w:type="paragraph" w:customStyle="1" w:styleId="ManualConsidrant">
    <w:name w:val="Manual Considérant"/>
    <w:basedOn w:val="Normal"/>
    <w:rsid w:val="005365AB"/>
    <w:pPr>
      <w:ind w:left="709" w:hanging="709"/>
    </w:pPr>
  </w:style>
  <w:style w:type="paragraph" w:customStyle="1" w:styleId="Personnequisigne">
    <w:name w:val="Personne qui signe"/>
    <w:basedOn w:val="Normal"/>
    <w:next w:val="Institutionquisigne"/>
    <w:rsid w:val="005365AB"/>
    <w:pPr>
      <w:tabs>
        <w:tab w:val="left" w:pos="4252"/>
      </w:tabs>
      <w:spacing w:before="0" w:after="0"/>
      <w:jc w:val="left"/>
    </w:pPr>
    <w:rPr>
      <w:i/>
    </w:rPr>
  </w:style>
  <w:style w:type="paragraph" w:customStyle="1" w:styleId="Rfrenceinterinstitutionnelle">
    <w:name w:val="Référence interinstitutionnelle"/>
    <w:basedOn w:val="Normal"/>
    <w:next w:val="Statut"/>
    <w:rsid w:val="005365AB"/>
    <w:pPr>
      <w:spacing w:before="0" w:after="0"/>
      <w:ind w:left="5103"/>
      <w:jc w:val="left"/>
    </w:pPr>
  </w:style>
  <w:style w:type="paragraph" w:customStyle="1" w:styleId="Rfrenceinterne">
    <w:name w:val="Référence interne"/>
    <w:basedOn w:val="Normal"/>
    <w:next w:val="Rfrenceinterinstitutionnelle"/>
    <w:rsid w:val="005365AB"/>
    <w:pPr>
      <w:spacing w:before="0" w:after="0"/>
      <w:ind w:left="5103"/>
      <w:jc w:val="left"/>
    </w:pPr>
  </w:style>
  <w:style w:type="paragraph" w:customStyle="1" w:styleId="Statut">
    <w:name w:val="Statut"/>
    <w:basedOn w:val="Normal"/>
    <w:next w:val="Typedudocument"/>
    <w:rsid w:val="005365AB"/>
    <w:pPr>
      <w:spacing w:before="0" w:after="240"/>
      <w:jc w:val="center"/>
    </w:pPr>
  </w:style>
  <w:style w:type="paragraph" w:customStyle="1" w:styleId="Titrearticle">
    <w:name w:val="Titre article"/>
    <w:basedOn w:val="Normal"/>
    <w:next w:val="Normal"/>
    <w:rsid w:val="005365AB"/>
    <w:pPr>
      <w:keepNext/>
      <w:spacing w:before="360"/>
      <w:jc w:val="center"/>
    </w:pPr>
    <w:rPr>
      <w:i/>
    </w:rPr>
  </w:style>
  <w:style w:type="paragraph" w:customStyle="1" w:styleId="Typedudocument">
    <w:name w:val="Type du document"/>
    <w:basedOn w:val="Normal"/>
    <w:next w:val="Accompagnant"/>
    <w:rsid w:val="005365AB"/>
    <w:pPr>
      <w:spacing w:before="360" w:after="180"/>
      <w:jc w:val="center"/>
    </w:pPr>
    <w:rPr>
      <w:b/>
    </w:rPr>
  </w:style>
  <w:style w:type="character" w:customStyle="1" w:styleId="Added">
    <w:name w:val="Added"/>
    <w:basedOn w:val="DefaultParagraphFont"/>
    <w:rsid w:val="005365AB"/>
    <w:rPr>
      <w:b/>
      <w:u w:val="single"/>
      <w:shd w:val="clear" w:color="auto" w:fill="auto"/>
    </w:rPr>
  </w:style>
  <w:style w:type="character" w:customStyle="1" w:styleId="Deleted">
    <w:name w:val="Deleted"/>
    <w:basedOn w:val="DefaultParagraphFont"/>
    <w:rsid w:val="005365AB"/>
    <w:rPr>
      <w:strike/>
      <w:dstrike w:val="0"/>
      <w:shd w:val="clear" w:color="auto" w:fill="auto"/>
    </w:rPr>
  </w:style>
  <w:style w:type="paragraph" w:customStyle="1" w:styleId="Address">
    <w:name w:val="Address"/>
    <w:basedOn w:val="Normal"/>
    <w:next w:val="Normal"/>
    <w:rsid w:val="005365AB"/>
    <w:pPr>
      <w:keepLines/>
      <w:spacing w:line="360" w:lineRule="auto"/>
      <w:ind w:left="3402"/>
      <w:jc w:val="left"/>
    </w:pPr>
  </w:style>
  <w:style w:type="paragraph" w:customStyle="1" w:styleId="Objetexterne">
    <w:name w:val="Objet externe"/>
    <w:basedOn w:val="Normal"/>
    <w:next w:val="Normal"/>
    <w:rsid w:val="005365AB"/>
    <w:rPr>
      <w:i/>
      <w:caps/>
    </w:rPr>
  </w:style>
  <w:style w:type="paragraph" w:customStyle="1" w:styleId="Supertitre">
    <w:name w:val="Supertitre"/>
    <w:basedOn w:val="Normal"/>
    <w:next w:val="Normal"/>
    <w:rsid w:val="005365AB"/>
    <w:pPr>
      <w:spacing w:before="0" w:after="600"/>
      <w:jc w:val="center"/>
    </w:pPr>
    <w:rPr>
      <w:b/>
    </w:rPr>
  </w:style>
  <w:style w:type="paragraph" w:customStyle="1" w:styleId="Languesfaisantfoi">
    <w:name w:val="Langues faisant foi"/>
    <w:basedOn w:val="Normal"/>
    <w:next w:val="Normal"/>
    <w:rsid w:val="005365AB"/>
    <w:pPr>
      <w:spacing w:before="360" w:after="0"/>
      <w:jc w:val="center"/>
    </w:pPr>
  </w:style>
  <w:style w:type="paragraph" w:customStyle="1" w:styleId="Rfrencecroise">
    <w:name w:val="Référence croisée"/>
    <w:basedOn w:val="Normal"/>
    <w:rsid w:val="005365AB"/>
    <w:pPr>
      <w:spacing w:before="0" w:after="0"/>
      <w:jc w:val="center"/>
    </w:pPr>
  </w:style>
  <w:style w:type="paragraph" w:customStyle="1" w:styleId="Fichefinanciretitre">
    <w:name w:val="Fiche financière titre"/>
    <w:basedOn w:val="Normal"/>
    <w:next w:val="Normal"/>
    <w:rsid w:val="005365AB"/>
    <w:pPr>
      <w:jc w:val="center"/>
    </w:pPr>
    <w:rPr>
      <w:b/>
      <w:u w:val="single"/>
    </w:rPr>
  </w:style>
  <w:style w:type="paragraph" w:customStyle="1" w:styleId="DatedadoptionPagedecouverture">
    <w:name w:val="Date d'adoption (Page de couverture)"/>
    <w:basedOn w:val="Datedadoption"/>
    <w:next w:val="IntrtEEEPagedecouverture"/>
    <w:rsid w:val="005365AB"/>
  </w:style>
  <w:style w:type="paragraph" w:customStyle="1" w:styleId="RfrenceinterinstitutionnellePagedecouverture">
    <w:name w:val="Référence interinstitutionnelle (Page de couverture)"/>
    <w:basedOn w:val="Rfrenceinterinstitutionnelle"/>
    <w:next w:val="Confidentialit"/>
    <w:rsid w:val="005365AB"/>
  </w:style>
  <w:style w:type="paragraph" w:customStyle="1" w:styleId="StatutPagedecouverture">
    <w:name w:val="Statut (Page de couverture)"/>
    <w:basedOn w:val="Statut"/>
    <w:next w:val="TypedudocumentPagedecouverture"/>
    <w:rsid w:val="005365AB"/>
  </w:style>
  <w:style w:type="paragraph" w:customStyle="1" w:styleId="TypedudocumentPagedecouverture">
    <w:name w:val="Type du document (Page de couverture)"/>
    <w:basedOn w:val="Typedudocument"/>
    <w:next w:val="AccompagnantPagedecouverture"/>
    <w:rsid w:val="005365AB"/>
  </w:style>
  <w:style w:type="paragraph" w:customStyle="1" w:styleId="Volume">
    <w:name w:val="Volume"/>
    <w:basedOn w:val="Normal"/>
    <w:next w:val="Confidentialit"/>
    <w:rsid w:val="005365AB"/>
    <w:pPr>
      <w:spacing w:before="0" w:after="240"/>
      <w:ind w:left="5103"/>
      <w:jc w:val="left"/>
    </w:pPr>
  </w:style>
  <w:style w:type="paragraph" w:customStyle="1" w:styleId="IntrtEEE">
    <w:name w:val="Intérêt EEE"/>
    <w:basedOn w:val="Languesfaisantfoi"/>
    <w:next w:val="Normal"/>
    <w:rsid w:val="005365AB"/>
    <w:pPr>
      <w:spacing w:after="240"/>
    </w:pPr>
  </w:style>
  <w:style w:type="paragraph" w:customStyle="1" w:styleId="Accompagnant">
    <w:name w:val="Accompagnant"/>
    <w:basedOn w:val="Normal"/>
    <w:next w:val="Typeacteprincipal"/>
    <w:rsid w:val="005365AB"/>
    <w:pPr>
      <w:spacing w:before="180" w:after="240"/>
      <w:jc w:val="center"/>
    </w:pPr>
    <w:rPr>
      <w:b/>
    </w:rPr>
  </w:style>
  <w:style w:type="paragraph" w:customStyle="1" w:styleId="Typeacteprincipal">
    <w:name w:val="Type acte principal"/>
    <w:basedOn w:val="Normal"/>
    <w:next w:val="Objetacteprincipal"/>
    <w:rsid w:val="005365AB"/>
    <w:pPr>
      <w:spacing w:before="0" w:after="240"/>
      <w:jc w:val="center"/>
    </w:pPr>
    <w:rPr>
      <w:b/>
    </w:rPr>
  </w:style>
  <w:style w:type="paragraph" w:customStyle="1" w:styleId="Objetacteprincipal">
    <w:name w:val="Objet acte principal"/>
    <w:basedOn w:val="Normal"/>
    <w:next w:val="Titrearticle"/>
    <w:rsid w:val="005365AB"/>
    <w:pPr>
      <w:spacing w:before="0" w:after="360"/>
      <w:jc w:val="center"/>
    </w:pPr>
    <w:rPr>
      <w:b/>
    </w:rPr>
  </w:style>
  <w:style w:type="paragraph" w:customStyle="1" w:styleId="IntrtEEEPagedecouverture">
    <w:name w:val="Intérêt EEE (Page de couverture)"/>
    <w:basedOn w:val="IntrtEEE"/>
    <w:next w:val="Rfrencecroise"/>
    <w:rsid w:val="005365AB"/>
  </w:style>
  <w:style w:type="paragraph" w:customStyle="1" w:styleId="AccompagnantPagedecouverture">
    <w:name w:val="Accompagnant (Page de couverture)"/>
    <w:basedOn w:val="Accompagnant"/>
    <w:next w:val="TypeacteprincipalPagedecouverture"/>
    <w:rsid w:val="005365AB"/>
  </w:style>
  <w:style w:type="paragraph" w:customStyle="1" w:styleId="TypeacteprincipalPagedecouverture">
    <w:name w:val="Type acte principal (Page de couverture)"/>
    <w:basedOn w:val="Typeacteprincipal"/>
    <w:next w:val="ObjetacteprincipalPagedecouverture"/>
    <w:rsid w:val="005365AB"/>
  </w:style>
  <w:style w:type="paragraph" w:customStyle="1" w:styleId="ObjetacteprincipalPagedecouverture">
    <w:name w:val="Objet acte principal (Page de couverture)"/>
    <w:basedOn w:val="Objetacteprincipal"/>
    <w:next w:val="Rfrencecroise"/>
    <w:rsid w:val="005365AB"/>
  </w:style>
  <w:style w:type="paragraph" w:customStyle="1" w:styleId="LanguesfaisantfoiPagedecouverture">
    <w:name w:val="Langues faisant foi (Page de couverture)"/>
    <w:basedOn w:val="Normal"/>
    <w:next w:val="Normal"/>
    <w:rsid w:val="005365AB"/>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160417">
      <w:bodyDiv w:val="1"/>
      <w:marLeft w:val="0"/>
      <w:marRight w:val="0"/>
      <w:marTop w:val="0"/>
      <w:marBottom w:val="0"/>
      <w:divBdr>
        <w:top w:val="none" w:sz="0" w:space="0" w:color="auto"/>
        <w:left w:val="none" w:sz="0" w:space="0" w:color="auto"/>
        <w:bottom w:val="none" w:sz="0" w:space="0" w:color="auto"/>
        <w:right w:val="none" w:sz="0" w:space="0" w:color="auto"/>
      </w:divBdr>
    </w:div>
    <w:div w:id="118220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4.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5d7c9a51-8868-4cc4-b189-61103d00211e">
      <Terms xmlns="http://schemas.microsoft.com/office/infopath/2007/PartnerControls">
        <TermInfo xmlns="http://schemas.microsoft.com/office/infopath/2007/PartnerControls">
          <TermName xmlns="http://schemas.microsoft.com/office/infopath/2007/PartnerControls">2009/128/EC</TermName>
          <TermId xmlns="http://schemas.microsoft.com/office/infopath/2007/PartnerControls">7b7de53c-cb72-420d-ab44-149d235f4d6a</TermId>
        </TermInfo>
        <TermInfo xmlns="http://schemas.microsoft.com/office/infopath/2007/PartnerControls">
          <TermName xmlns="http://schemas.microsoft.com/office/infopath/2007/PartnerControls">Evaluation</TermName>
          <TermId xmlns="http://schemas.microsoft.com/office/infopath/2007/PartnerControls">32bc2344-8b95-4680-bced-d5c0961abb2c</TermId>
        </TermInfo>
        <TermInfo xmlns="http://schemas.microsoft.com/office/infopath/2007/PartnerControls">
          <TermName xmlns="http://schemas.microsoft.com/office/infopath/2007/PartnerControls">Sustainable Use Directive</TermName>
          <TermId xmlns="http://schemas.microsoft.com/office/infopath/2007/PartnerControls">faa8d417-23cf-4a5f-aacf-fbc20450648c</TermId>
        </TermInfo>
      </Terms>
    </TaxKeywordTaxHTField>
    <SANTEDomainTaxHTField0 xmlns="7ca0d39f-26a4-4125-a61a-ea9ee0be4418">
      <Terms xmlns="http://schemas.microsoft.com/office/infopath/2007/PartnerControls">
        <TermInfo xmlns="http://schemas.microsoft.com/office/infopath/2007/PartnerControls">
          <TermName xmlns="http://schemas.microsoft.com/office/infopath/2007/PartnerControls">Better Regulation</TermName>
          <TermId xmlns="http://schemas.microsoft.com/office/infopath/2007/PartnerControls">f88a672a-133e-4b11-8e63-747b312a9b78</TermId>
        </TermInfo>
      </Terms>
    </SANTEDomainTaxHTField0>
    <SANTEDocumentDate xmlns="7ca0d39f-26a4-4125-a61a-ea9ee0be4418">2022-03-10T23:00:00+00:00</SANTEDocumentDate>
    <TaxCatchAll xmlns="5d7c9a51-8868-4cc4-b189-61103d00211e">
      <Value>40</Value>
      <Value>4</Value>
      <Value>39</Value>
      <Value>1</Value>
    </TaxCatchAll>
    <_dlc_DocId xmlns="5d7c9a51-8868-4cc4-b189-61103d00211e">A051-16241562-1211</_dlc_DocId>
    <_dlc_DocIdUrl xmlns="5d7c9a51-8868-4cc4-b189-61103d00211e">
      <Url>https://workspaces.sante.cec.eu.int/areas/051/012/_layouts/15/DocIdRedir.aspx?ID=A051-16241562-1211</Url>
      <Description>A051-16241562-1211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0443a01b-d79d-4f0b-a265-41f74190fd92" ContentTypeId="0x010100DE1EDE6C0A88422BAED8C106DF00215D"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DE1EDE6C0A88422BAED8C106DF00215D00E0EF0AC8ECBA664E8AC1912BEE748C05000C2AAF5FB404E046A26CB2C725F03C8B" ma:contentTypeVersion="31" ma:contentTypeDescription="Shared Document" ma:contentTypeScope="" ma:versionID="570144c4a7c4d5d923b63a99a3c9bd1d">
  <xsd:schema xmlns:xsd="http://www.w3.org/2001/XMLSchema" xmlns:xs="http://www.w3.org/2001/XMLSchema" xmlns:p="http://schemas.microsoft.com/office/2006/metadata/properties" xmlns:ns2="7ca0d39f-26a4-4125-a61a-ea9ee0be4418" xmlns:ns3="5d7c9a51-8868-4cc4-b189-61103d00211e" xmlns:ns4="f3a2a1ca-4e25-4887-a788-dd4081c37eda" targetNamespace="http://schemas.microsoft.com/office/2006/metadata/properties" ma:root="true" ma:fieldsID="ae754601c2a52cc8b543c35cfbf3922f" ns2:_="" ns3:_="" ns4:_="">
    <xsd:import namespace="7ca0d39f-26a4-4125-a61a-ea9ee0be4418"/>
    <xsd:import namespace="5d7c9a51-8868-4cc4-b189-61103d00211e"/>
    <xsd:import namespace="f3a2a1ca-4e25-4887-a788-dd4081c37eda"/>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0d39f-26a4-4125-a61a-ea9ee0be4418"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af4671a2-0174-4b67-83ac-eb857b7d53cb}" ma:internalName="TaxCatchAll" ma:showField="CatchAllData" ma:web="7ca0d39f-26a4-4125-a61a-ea9ee0be441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af4671a2-0174-4b67-83ac-eb857b7d53cb}" ma:internalName="TaxCatchAllLabel" ma:readOnly="true" ma:showField="CatchAllDataLabel" ma:web="7ca0d39f-26a4-4125-a61a-ea9ee0be4418">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a2a1ca-4e25-4887-a788-dd4081c37e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0443a01b-d79d-4f0b-a265-41f74190fd92" ContentTypeId="0x010100DE1EDE6C0A88422BAED8C106DF00215D" PreviousValue="false"/>
</file>

<file path=customXml/item8.xml><?xml version="1.0" encoding="utf-8"?>
<ct:contentTypeSchema xmlns:ct="http://schemas.microsoft.com/office/2006/metadata/contentType" xmlns:ma="http://schemas.microsoft.com/office/2006/metadata/properties/metaAttributes" ct:_="" ma:_="" ma:contentTypeName="Document" ma:contentTypeID="0x010100DE1EDE6C0A88422BAED8C106DF00215D00E0EF0AC8ECBA664E8AC1912BEE748C05000C2AAF5FB404E046A26CB2C725F03C8B" ma:contentTypeVersion="31" ma:contentTypeDescription="Shared Document" ma:contentTypeScope="" ma:versionID="570144c4a7c4d5d923b63a99a3c9bd1d">
  <xsd:schema xmlns:xsd="http://www.w3.org/2001/XMLSchema" xmlns:xs="http://www.w3.org/2001/XMLSchema" xmlns:p="http://schemas.microsoft.com/office/2006/metadata/properties" xmlns:ns2="7ca0d39f-26a4-4125-a61a-ea9ee0be4418" xmlns:ns3="5d7c9a51-8868-4cc4-b189-61103d00211e" xmlns:ns4="f3a2a1ca-4e25-4887-a788-dd4081c37eda" targetNamespace="http://schemas.microsoft.com/office/2006/metadata/properties" ma:root="true" ma:fieldsID="ae754601c2a52cc8b543c35cfbf3922f" ns2:_="" ns3:_="" ns4:_="">
    <xsd:import namespace="7ca0d39f-26a4-4125-a61a-ea9ee0be4418"/>
    <xsd:import namespace="5d7c9a51-8868-4cc4-b189-61103d00211e"/>
    <xsd:import namespace="f3a2a1ca-4e25-4887-a788-dd4081c37eda"/>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0d39f-26a4-4125-a61a-ea9ee0be4418"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af4671a2-0174-4b67-83ac-eb857b7d53cb}" ma:internalName="TaxCatchAll" ma:showField="CatchAllData" ma:web="7ca0d39f-26a4-4125-a61a-ea9ee0be441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af4671a2-0174-4b67-83ac-eb857b7d53cb}" ma:internalName="TaxCatchAllLabel" ma:readOnly="true" ma:showField="CatchAllDataLabel" ma:web="7ca0d39f-26a4-4125-a61a-ea9ee0be4418">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a2a1ca-4e25-4887-a788-dd4081c37e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E44C3-B55F-42B1-B55C-6EB1D1F9087E}">
  <ds:schemaRefs>
    <ds:schemaRef ds:uri="http://purl.org/dc/elements/1.1/"/>
    <ds:schemaRef ds:uri="http://schemas.microsoft.com/office/2006/metadata/properties"/>
    <ds:schemaRef ds:uri="f3a2a1ca-4e25-4887-a788-dd4081c37eda"/>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5d7c9a51-8868-4cc4-b189-61103d00211e"/>
    <ds:schemaRef ds:uri="7ca0d39f-26a4-4125-a61a-ea9ee0be4418"/>
    <ds:schemaRef ds:uri="http://www.w3.org/XML/1998/namespace"/>
    <ds:schemaRef ds:uri="http://purl.org/dc/dcmitype/"/>
  </ds:schemaRefs>
</ds:datastoreItem>
</file>

<file path=customXml/itemProps2.xml><?xml version="1.0" encoding="utf-8"?>
<ds:datastoreItem xmlns:ds="http://schemas.openxmlformats.org/officeDocument/2006/customXml" ds:itemID="{298FE368-D6A3-44CC-8F4B-9AFC198C1D75}">
  <ds:schemaRefs>
    <ds:schemaRef ds:uri="http://schemas.microsoft.com/sharepoint/events"/>
  </ds:schemaRefs>
</ds:datastoreItem>
</file>

<file path=customXml/itemProps3.xml><?xml version="1.0" encoding="utf-8"?>
<ds:datastoreItem xmlns:ds="http://schemas.openxmlformats.org/officeDocument/2006/customXml" ds:itemID="{911E3C21-50FE-4709-BAD0-C460434C7D6C}">
  <ds:schemaRefs>
    <ds:schemaRef ds:uri="Microsoft.SharePoint.Taxonomy.ContentTypeSync"/>
  </ds:schemaRefs>
</ds:datastoreItem>
</file>

<file path=customXml/itemProps4.xml><?xml version="1.0" encoding="utf-8"?>
<ds:datastoreItem xmlns:ds="http://schemas.openxmlformats.org/officeDocument/2006/customXml" ds:itemID="{E77C4193-A1A8-4A53-B41C-C9692E4AC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0d39f-26a4-4125-a61a-ea9ee0be4418"/>
    <ds:schemaRef ds:uri="5d7c9a51-8868-4cc4-b189-61103d00211e"/>
    <ds:schemaRef ds:uri="f3a2a1ca-4e25-4887-a788-dd4081c37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D137FA-32F4-412B-90E5-59F8CF662A42}">
  <ds:schemaRefs>
    <ds:schemaRef ds:uri="http://schemas.microsoft.com/sharepoint/v3/contenttype/forms"/>
  </ds:schemaRefs>
</ds:datastoreItem>
</file>

<file path=customXml/itemProps6.xml><?xml version="1.0" encoding="utf-8"?>
<ds:datastoreItem xmlns:ds="http://schemas.openxmlformats.org/officeDocument/2006/customXml" ds:itemID="{0F4E1DB3-E1E6-4066-9753-79C1F55D4463}">
  <ds:schemaRefs>
    <ds:schemaRef ds:uri="http://schemas.microsoft.com/sharepoint/events"/>
  </ds:schemaRefs>
</ds:datastoreItem>
</file>

<file path=customXml/itemProps7.xml><?xml version="1.0" encoding="utf-8"?>
<ds:datastoreItem xmlns:ds="http://schemas.openxmlformats.org/officeDocument/2006/customXml" ds:itemID="{0CA68EDE-ED0B-4ECE-A72C-62D59E0884F3}">
  <ds:schemaRefs>
    <ds:schemaRef ds:uri="Microsoft.SharePoint.Taxonomy.ContentTypeSync"/>
  </ds:schemaRefs>
</ds:datastoreItem>
</file>

<file path=customXml/itemProps8.xml><?xml version="1.0" encoding="utf-8"?>
<ds:datastoreItem xmlns:ds="http://schemas.openxmlformats.org/officeDocument/2006/customXml" ds:itemID="{B97514F7-3786-44C3-97EF-750DE994C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0d39f-26a4-4125-a61a-ea9ee0be4418"/>
    <ds:schemaRef ds:uri="5d7c9a51-8868-4cc4-b189-61103d00211e"/>
    <ds:schemaRef ds:uri="f3a2a1ca-4e25-4887-a788-dd4081c37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BE488E3E-91F5-4F7F-8204-CE7690A1C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5</TotalTime>
  <Pages>23</Pages>
  <Words>5657</Words>
  <Characters>32248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Annex SUR Proposal R1- version for RSC meeting clean LW - additional change (003)</vt:lpstr>
    </vt:vector>
  </TitlesOfParts>
  <Company/>
  <LinksUpToDate>false</LinksUpToDate>
  <CharactersWithSpaces>37830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SUR Proposal R1- version for RSC meeting clean LW - additional change (003)</dc:title>
  <dc:subject/>
  <dc:creator>JAMRICHOVA Martina (SANTE)</dc:creator>
  <cp:keywords>2009/128/EC; Evaluation; Sustainable Use Directive</cp:keywords>
  <dc:description/>
  <cp:lastModifiedBy>EC CoDe</cp:lastModifiedBy>
  <cp:revision>24</cp:revision>
  <dcterms:created xsi:type="dcterms:W3CDTF">2022-06-21T07:06:00Z</dcterms:created>
  <dcterms:modified xsi:type="dcterms:W3CDTF">2022-06-27T10:08:00Z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8.0, Build 20220128</vt:lpwstr>
  </property>
  <property fmtid="{D5CDD505-2E9C-101B-9397-08002B2CF9AE}" pid="5" name="Created using">
    <vt:lpwstr>LW 7.0.1, Build 20200226</vt:lpwstr>
  </property>
  <property fmtid="{D5CDD505-2E9C-101B-9397-08002B2CF9AE}" pid="6" name="First annex">
    <vt:lpwstr>1</vt:lpwstr>
  </property>
  <property fmtid="{D5CDD505-2E9C-101B-9397-08002B2CF9AE}" pid="7" name="Last annex">
    <vt:lpwstr>7</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0x010100DE1EDE6C0A88422BAED8C106DF00215D00E0EF0AC8ECBA664E8AC1912BEE748C05000C2AAF5FB404E046A26CB2C725F03C8B</vt:lpwstr>
  </property>
  <property fmtid="{D5CDD505-2E9C-101B-9397-08002B2CF9AE}" pid="14" name="TaxKeyword">
    <vt:lpwstr>40;#2009/128/EC|7b7de53c-cb72-420d-ab44-149d235f4d6a;#4;#Evaluation|32bc2344-8b95-4680-bced-d5c0961abb2c;#39;#Sustainable Use Directive|faa8d417-23cf-4a5f-aacf-fbc20450648c</vt:lpwstr>
  </property>
  <property fmtid="{D5CDD505-2E9C-101B-9397-08002B2CF9AE}" pid="15" name="SANTEDomain">
    <vt:lpwstr>1;#Better Regulation|f88a672a-133e-4b11-8e63-747b312a9b78</vt:lpwstr>
  </property>
  <property fmtid="{D5CDD505-2E9C-101B-9397-08002B2CF9AE}" pid="16" name="_dlc_DocIdItemGuid">
    <vt:lpwstr>a7a4a124-e634-4eaa-a465-6d923f5318a8</vt:lpwstr>
  </property>
  <property fmtid="{D5CDD505-2E9C-101B-9397-08002B2CF9AE}" pid="17" name="DQCStatus">
    <vt:lpwstr>Green (DQC version 03)</vt:lpwstr>
  </property>
</Properties>
</file>