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6035" w14:textId="455CDFBC" w:rsidR="00FA7E56" w:rsidRPr="002374A6" w:rsidRDefault="003D3418" w:rsidP="003D3418">
      <w:pPr>
        <w:pStyle w:val="Pagedecouverture"/>
        <w:rPr>
          <w:noProof/>
        </w:rPr>
      </w:pPr>
      <w:r>
        <w:rPr>
          <w:noProof/>
        </w:rPr>
        <w:pict w14:anchorId="62B14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B213DC4-87DD-4555-B840-DB104B984A8D" style="width:455.25pt;height:414pt">
            <v:imagedata r:id="rId16" o:title=""/>
          </v:shape>
        </w:pict>
      </w:r>
    </w:p>
    <w:p w14:paraId="421C9849" w14:textId="77777777" w:rsidR="00FA7E56" w:rsidRPr="002374A6" w:rsidRDefault="00FA7E56" w:rsidP="00FA7E56">
      <w:pPr>
        <w:rPr>
          <w:noProof/>
        </w:rPr>
        <w:sectPr w:rsidR="00FA7E56" w:rsidRPr="002374A6" w:rsidSect="003D3418">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0"/>
          <w:cols w:space="720"/>
          <w:docGrid w:linePitch="360"/>
        </w:sectPr>
      </w:pPr>
    </w:p>
    <w:p w14:paraId="5E0B09DA" w14:textId="2C706D91" w:rsidR="00FA7E56" w:rsidRPr="002374A6" w:rsidRDefault="00FA7E56" w:rsidP="00FA7E56">
      <w:pPr>
        <w:pStyle w:val="Annexetitre"/>
        <w:rPr>
          <w:noProof/>
        </w:rPr>
      </w:pPr>
      <w:bookmarkStart w:id="0" w:name="_GoBack"/>
      <w:bookmarkEnd w:id="0"/>
      <w:r w:rsidRPr="002374A6">
        <w:rPr>
          <w:noProof/>
        </w:rPr>
        <w:lastRenderedPageBreak/>
        <w:t xml:space="preserve">ANEXO I </w:t>
      </w:r>
      <w:r w:rsidRPr="002374A6">
        <w:rPr>
          <w:noProof/>
        </w:rPr>
        <w:br/>
        <w:t>Referido no artigo 4.º</w:t>
      </w:r>
    </w:p>
    <w:p w14:paraId="6885C829" w14:textId="33F0A437" w:rsidR="00FA7E56" w:rsidRPr="002374A6" w:rsidRDefault="00FA7E56" w:rsidP="00FA7E56">
      <w:pPr>
        <w:jc w:val="center"/>
        <w:rPr>
          <w:b/>
          <w:noProof/>
          <w:szCs w:val="24"/>
        </w:rPr>
      </w:pPr>
      <w:r w:rsidRPr="002374A6">
        <w:rPr>
          <w:b/>
          <w:noProof/>
        </w:rPr>
        <w:t>METODOLOGIA DE CÁLCULO DOS PROGRESSOS REALIZADOS NA CONSECUÇÃO DAS DUAS METAS DE REDUÇÃO DA UNIÃO E DAS DUAS METAS NACIONAIS DE REDUÇÃO PARA</w:t>
      </w:r>
      <w:r w:rsidRPr="002374A6">
        <w:rPr>
          <w:noProof/>
        </w:rPr>
        <w:t xml:space="preserve"> </w:t>
      </w:r>
      <w:r w:rsidRPr="002374A6">
        <w:rPr>
          <w:b/>
          <w:noProof/>
        </w:rPr>
        <w:t xml:space="preserve">2030 </w:t>
      </w:r>
    </w:p>
    <w:p w14:paraId="14501CC1" w14:textId="77777777" w:rsidR="00FA7E56" w:rsidRPr="002374A6" w:rsidDel="001E7F82" w:rsidRDefault="00FA7E56" w:rsidP="00EE469D">
      <w:pPr>
        <w:rPr>
          <w:noProof/>
        </w:rPr>
      </w:pPr>
    </w:p>
    <w:p w14:paraId="1DECD132" w14:textId="7148B484" w:rsidR="00EE469D" w:rsidRPr="002374A6" w:rsidRDefault="00EE44B7" w:rsidP="00EE469D">
      <w:pPr>
        <w:rPr>
          <w:noProof/>
        </w:rPr>
      </w:pPr>
      <w:r w:rsidRPr="002374A6">
        <w:rPr>
          <w:noProof/>
        </w:rPr>
        <w:t>O presente regulamento é o instrumento utilizado para a consecução das metas de redução dos pesticidas constantes da Estratégia do Prado ao Prato, exigindo que cada Estado</w:t>
      </w:r>
      <w:r w:rsidR="002374A6">
        <w:rPr>
          <w:noProof/>
        </w:rPr>
        <w:noBreakHyphen/>
      </w:r>
      <w:r w:rsidRPr="002374A6">
        <w:rPr>
          <w:noProof/>
        </w:rPr>
        <w:t>Membro contribua para alcançar, até 2030, uma redução de 50 % a nível da União da utilização e do risco dos produtos fitofarmacêuticos químicos («meta de redução n</w:t>
      </w:r>
      <w:r w:rsidR="002374A6">
        <w:rPr>
          <w:noProof/>
        </w:rPr>
        <w:t>.º </w:t>
      </w:r>
      <w:r w:rsidRPr="002374A6">
        <w:rPr>
          <w:noProof/>
        </w:rPr>
        <w:t>1 da União para 2030») e da utilização de produtos fitofarmacêuticos mais perigosos («meta de redução n</w:t>
      </w:r>
      <w:r w:rsidR="002374A6">
        <w:rPr>
          <w:noProof/>
        </w:rPr>
        <w:t>.º </w:t>
      </w:r>
      <w:r w:rsidRPr="002374A6">
        <w:rPr>
          <w:noProof/>
        </w:rPr>
        <w:t>2 da União para 2030»). O presente regulamento também regula o contributo de cada Estado</w:t>
      </w:r>
      <w:r w:rsidR="002374A6">
        <w:rPr>
          <w:noProof/>
        </w:rPr>
        <w:noBreakHyphen/>
      </w:r>
      <w:r w:rsidRPr="002374A6">
        <w:rPr>
          <w:noProof/>
        </w:rPr>
        <w:t>Membro para estas metas da União. O contributo de cada Estado</w:t>
      </w:r>
      <w:r w:rsidR="002374A6">
        <w:rPr>
          <w:noProof/>
        </w:rPr>
        <w:noBreakHyphen/>
      </w:r>
      <w:r w:rsidRPr="002374A6">
        <w:rPr>
          <w:noProof/>
        </w:rPr>
        <w:t>Membro, definido sob a forma de uma meta nacional, para a meta de redução n</w:t>
      </w:r>
      <w:r w:rsidR="002374A6">
        <w:rPr>
          <w:noProof/>
        </w:rPr>
        <w:t>.º </w:t>
      </w:r>
      <w:r w:rsidRPr="002374A6">
        <w:rPr>
          <w:noProof/>
        </w:rPr>
        <w:t>1 da União para 2030 é designado «meta de redução n</w:t>
      </w:r>
      <w:r w:rsidR="002374A6">
        <w:rPr>
          <w:noProof/>
        </w:rPr>
        <w:t>.º </w:t>
      </w:r>
      <w:r w:rsidRPr="002374A6">
        <w:rPr>
          <w:noProof/>
        </w:rPr>
        <w:t>1 da União para 2030», ao passo que o contributo de um Estado</w:t>
      </w:r>
      <w:r w:rsidR="002374A6">
        <w:rPr>
          <w:noProof/>
        </w:rPr>
        <w:noBreakHyphen/>
      </w:r>
      <w:r w:rsidRPr="002374A6">
        <w:rPr>
          <w:noProof/>
        </w:rPr>
        <w:t>Membro para a meta de redução n</w:t>
      </w:r>
      <w:r w:rsidR="002374A6">
        <w:rPr>
          <w:noProof/>
        </w:rPr>
        <w:t>.º </w:t>
      </w:r>
      <w:r w:rsidRPr="002374A6">
        <w:rPr>
          <w:noProof/>
        </w:rPr>
        <w:t>2 da União para 2030 é designado «meta de redução n</w:t>
      </w:r>
      <w:r w:rsidR="002374A6">
        <w:rPr>
          <w:noProof/>
        </w:rPr>
        <w:t>.º </w:t>
      </w:r>
      <w:r w:rsidRPr="002374A6">
        <w:rPr>
          <w:noProof/>
        </w:rPr>
        <w:t>2 da União para 2030». A metodologia de cálculo dos progressos realizados na consecução destas metas é definido a seguir:</w:t>
      </w:r>
    </w:p>
    <w:p w14:paraId="3881C7AF" w14:textId="77777777" w:rsidR="00EE469D" w:rsidRPr="002374A6" w:rsidRDefault="00EE469D" w:rsidP="00FA7E56">
      <w:pPr>
        <w:jc w:val="center"/>
        <w:rPr>
          <w:noProof/>
          <w:szCs w:val="24"/>
        </w:rPr>
      </w:pPr>
    </w:p>
    <w:p w14:paraId="51DF7BAC" w14:textId="60EB289C" w:rsidR="00FA7E56" w:rsidRPr="002374A6" w:rsidRDefault="00FA7E56" w:rsidP="00FA7E56">
      <w:pPr>
        <w:jc w:val="center"/>
        <w:rPr>
          <w:noProof/>
          <w:szCs w:val="24"/>
        </w:rPr>
      </w:pPr>
      <w:r w:rsidRPr="002374A6">
        <w:rPr>
          <w:noProof/>
        </w:rPr>
        <w:t>SECÇÃO 1</w:t>
      </w:r>
    </w:p>
    <w:p w14:paraId="1B9C05D1" w14:textId="3C4EE72E" w:rsidR="00EE469D" w:rsidRPr="002374A6" w:rsidRDefault="00AA512C" w:rsidP="6B25E89D">
      <w:pPr>
        <w:jc w:val="center"/>
        <w:rPr>
          <w:b/>
          <w:bCs/>
          <w:noProof/>
        </w:rPr>
      </w:pPr>
      <w:r w:rsidRPr="002374A6">
        <w:rPr>
          <w:b/>
          <w:noProof/>
        </w:rPr>
        <w:t>Meta nacional de redução n</w:t>
      </w:r>
      <w:r w:rsidR="002374A6">
        <w:rPr>
          <w:b/>
          <w:noProof/>
        </w:rPr>
        <w:t>.º </w:t>
      </w:r>
      <w:r w:rsidRPr="002374A6">
        <w:rPr>
          <w:b/>
          <w:noProof/>
        </w:rPr>
        <w:t>1 para 2030: metodologia para estimar os progressos alcançados relativamente à redução da utilização e do risco dos produtos fitofarmacêuticos químicos</w:t>
      </w:r>
    </w:p>
    <w:p w14:paraId="41C2D6D2" w14:textId="1AC6B0DE" w:rsidR="00FA7E56" w:rsidRPr="002374A6" w:rsidRDefault="007B3445" w:rsidP="007B3445">
      <w:pPr>
        <w:pStyle w:val="Point0"/>
        <w:rPr>
          <w:noProof/>
        </w:rPr>
      </w:pPr>
      <w:r w:rsidRPr="002374A6">
        <w:rPr>
          <w:noProof/>
        </w:rPr>
        <w:t>1.</w:t>
      </w:r>
      <w:r w:rsidRPr="002374A6">
        <w:rPr>
          <w:noProof/>
        </w:rPr>
        <w:tab/>
        <w:t>A metodologia deve basear</w:t>
      </w:r>
      <w:r w:rsidR="002374A6">
        <w:rPr>
          <w:noProof/>
        </w:rPr>
        <w:noBreakHyphen/>
      </w:r>
      <w:r w:rsidRPr="002374A6">
        <w:rPr>
          <w:noProof/>
        </w:rPr>
        <w:t>se em estatísticas sobre as quantidades de substâncias químicas ativas colocadas no mercado em produtos fitofarmacêuticos nos termos do Regulamento (CE) n</w:t>
      </w:r>
      <w:r w:rsidR="002374A6">
        <w:rPr>
          <w:noProof/>
        </w:rPr>
        <w:t>.º </w:t>
      </w:r>
      <w:r w:rsidRPr="002374A6">
        <w:rPr>
          <w:noProof/>
        </w:rPr>
        <w:t>1107/2009 fornecidas à Comissão (Eurostat) nos termos do anexo I do Regulamento (CE) n</w:t>
      </w:r>
      <w:r w:rsidR="002374A6">
        <w:rPr>
          <w:noProof/>
        </w:rPr>
        <w:t>.º </w:t>
      </w:r>
      <w:r w:rsidRPr="002374A6">
        <w:rPr>
          <w:noProof/>
        </w:rPr>
        <w:t>1185/2009 do Parlamento Europeu e do Conselho</w:t>
      </w:r>
      <w:r w:rsidRPr="002374A6">
        <w:rPr>
          <w:rStyle w:val="FootnoteReference"/>
          <w:noProof/>
        </w:rPr>
        <w:footnoteReference w:id="2"/>
      </w:r>
      <w:r w:rsidRPr="002374A6">
        <w:rPr>
          <w:noProof/>
        </w:rPr>
        <w:t xml:space="preserve">. </w:t>
      </w:r>
    </w:p>
    <w:p w14:paraId="6AB812AC" w14:textId="565664D6" w:rsidR="007B3445" w:rsidRPr="002374A6" w:rsidRDefault="007B3445" w:rsidP="007B3445">
      <w:pPr>
        <w:pStyle w:val="Point0"/>
        <w:rPr>
          <w:noProof/>
          <w:szCs w:val="24"/>
        </w:rPr>
      </w:pPr>
      <w:r w:rsidRPr="002374A6">
        <w:rPr>
          <w:noProof/>
        </w:rPr>
        <w:t>2.</w:t>
      </w:r>
      <w:r w:rsidRPr="002374A6">
        <w:rPr>
          <w:noProof/>
        </w:rPr>
        <w:tab/>
        <w:t>Para o cálculo dos progressos realizados na consecução da meta de redução n</w:t>
      </w:r>
      <w:r w:rsidR="002374A6">
        <w:rPr>
          <w:noProof/>
        </w:rPr>
        <w:t>.º </w:t>
      </w:r>
      <w:r w:rsidRPr="002374A6">
        <w:rPr>
          <w:noProof/>
        </w:rPr>
        <w:t xml:space="preserve">1 são aplicáveis as seguintes regras gerais: </w:t>
      </w:r>
    </w:p>
    <w:p w14:paraId="32B14F44" w14:textId="0A92F859" w:rsidR="00FA7E56" w:rsidRPr="002374A6" w:rsidRDefault="007B3445" w:rsidP="007B3445">
      <w:pPr>
        <w:pStyle w:val="Point1"/>
        <w:rPr>
          <w:noProof/>
          <w:szCs w:val="24"/>
        </w:rPr>
      </w:pPr>
      <w:r w:rsidRPr="002374A6">
        <w:rPr>
          <w:noProof/>
        </w:rPr>
        <w:t>a)</w:t>
      </w:r>
      <w:r w:rsidRPr="002374A6">
        <w:rPr>
          <w:noProof/>
        </w:rPr>
        <w:tab/>
        <w:t xml:space="preserve">Os progressos são calculados com base na categorização das substâncias ativas químicas nos quatro grupos constantes do quadro do presente anexo; </w:t>
      </w:r>
    </w:p>
    <w:p w14:paraId="573AA411" w14:textId="5324671E" w:rsidR="00FA7E56" w:rsidRPr="002374A6" w:rsidRDefault="00FA7E56" w:rsidP="007B3445">
      <w:pPr>
        <w:pStyle w:val="Point1"/>
        <w:rPr>
          <w:noProof/>
        </w:rPr>
      </w:pPr>
      <w:r w:rsidRPr="002374A6">
        <w:rPr>
          <w:noProof/>
        </w:rPr>
        <w:t>b)</w:t>
      </w:r>
      <w:r w:rsidRPr="002374A6">
        <w:rPr>
          <w:noProof/>
        </w:rPr>
        <w:tab/>
        <w:t>As substâncias ativas químicas do grupo 1 são as enumeradas na parte D do anexo do Regulamento de Execução (UE) n</w:t>
      </w:r>
      <w:r w:rsidR="002374A6">
        <w:rPr>
          <w:noProof/>
        </w:rPr>
        <w:t>.º </w:t>
      </w:r>
      <w:r w:rsidRPr="002374A6">
        <w:rPr>
          <w:noProof/>
        </w:rPr>
        <w:t>540/2011 da Comissão</w:t>
      </w:r>
      <w:r w:rsidRPr="002374A6">
        <w:rPr>
          <w:rStyle w:val="FootnoteReference"/>
          <w:noProof/>
        </w:rPr>
        <w:footnoteReference w:id="3"/>
      </w:r>
      <w:r w:rsidRPr="002374A6">
        <w:rPr>
          <w:noProof/>
        </w:rPr>
        <w:t xml:space="preserve">; </w:t>
      </w:r>
    </w:p>
    <w:p w14:paraId="7FB4FB23" w14:textId="078CF426" w:rsidR="00FA7E56" w:rsidRPr="002374A6" w:rsidRDefault="00FA7E56" w:rsidP="007B3445">
      <w:pPr>
        <w:pStyle w:val="Point1"/>
        <w:rPr>
          <w:noProof/>
          <w:szCs w:val="24"/>
        </w:rPr>
      </w:pPr>
      <w:r w:rsidRPr="002374A6">
        <w:rPr>
          <w:noProof/>
        </w:rPr>
        <w:t>c)</w:t>
      </w:r>
      <w:r w:rsidRPr="002374A6">
        <w:rPr>
          <w:noProof/>
        </w:rPr>
        <w:tab/>
        <w:t>As substâncias ativas químicas do grupo 2 são as enumeradas nas partes A e B do anexo do Regulamento de Execução (UE) n</w:t>
      </w:r>
      <w:r w:rsidR="002374A6">
        <w:rPr>
          <w:noProof/>
        </w:rPr>
        <w:t>.º </w:t>
      </w:r>
      <w:r w:rsidRPr="002374A6">
        <w:rPr>
          <w:noProof/>
        </w:rPr>
        <w:t xml:space="preserve">540/2011; </w:t>
      </w:r>
    </w:p>
    <w:p w14:paraId="1B8F279B" w14:textId="379C1A7B" w:rsidR="00AA512C" w:rsidRPr="002374A6" w:rsidRDefault="00AA512C" w:rsidP="007B3445">
      <w:pPr>
        <w:pStyle w:val="Point1"/>
        <w:rPr>
          <w:noProof/>
          <w:szCs w:val="24"/>
        </w:rPr>
      </w:pPr>
      <w:r w:rsidRPr="002374A6">
        <w:rPr>
          <w:noProof/>
        </w:rPr>
        <w:t>d)</w:t>
      </w:r>
      <w:r w:rsidRPr="002374A6">
        <w:rPr>
          <w:noProof/>
        </w:rPr>
        <w:tab/>
        <w:t>As substâncias ativas químicas do grupo 3 são as substâncias ativas químicas aprovadas como candidatas a substituição em conformidade com o artigo 24</w:t>
      </w:r>
      <w:r w:rsidR="002374A6">
        <w:rPr>
          <w:noProof/>
        </w:rPr>
        <w:t>.º </w:t>
      </w:r>
      <w:r w:rsidRPr="002374A6">
        <w:rPr>
          <w:noProof/>
        </w:rPr>
        <w:t>do Regulamento (CE) n</w:t>
      </w:r>
      <w:r w:rsidR="002374A6">
        <w:rPr>
          <w:noProof/>
        </w:rPr>
        <w:t>.º </w:t>
      </w:r>
      <w:r w:rsidRPr="002374A6">
        <w:rPr>
          <w:noProof/>
        </w:rPr>
        <w:t>1107/2009 e enumeradas na parte E do anexo do Regulamento de Execução (UE) n</w:t>
      </w:r>
      <w:r w:rsidR="002374A6">
        <w:rPr>
          <w:noProof/>
        </w:rPr>
        <w:t>.º </w:t>
      </w:r>
      <w:r w:rsidRPr="002374A6">
        <w:rPr>
          <w:noProof/>
        </w:rPr>
        <w:t xml:space="preserve">540/2011 ou enumeradas no anexo do Regulamento de Execução (UE) 2015/408; </w:t>
      </w:r>
    </w:p>
    <w:p w14:paraId="4A9E0273" w14:textId="3B5B5673" w:rsidR="00FA7E56" w:rsidRPr="002374A6" w:rsidRDefault="007B3445" w:rsidP="007B3445">
      <w:pPr>
        <w:pStyle w:val="Point1"/>
        <w:rPr>
          <w:noProof/>
          <w:szCs w:val="24"/>
        </w:rPr>
      </w:pPr>
      <w:r w:rsidRPr="002374A6">
        <w:rPr>
          <w:noProof/>
        </w:rPr>
        <w:t>e)</w:t>
      </w:r>
      <w:r w:rsidRPr="002374A6">
        <w:rPr>
          <w:noProof/>
        </w:rPr>
        <w:tab/>
        <w:t>As substâncias ativas químicas do grupo 4 são as que não foram aprovadas nos termos do Regulamento (CE) n</w:t>
      </w:r>
      <w:r w:rsidR="002374A6">
        <w:rPr>
          <w:noProof/>
        </w:rPr>
        <w:t>.º </w:t>
      </w:r>
      <w:r w:rsidRPr="002374A6">
        <w:rPr>
          <w:noProof/>
        </w:rPr>
        <w:t>1107/2009 e, por conseguinte, não constam do anexo do Regulamento de Execução (UE) n</w:t>
      </w:r>
      <w:r w:rsidR="002374A6">
        <w:rPr>
          <w:noProof/>
        </w:rPr>
        <w:t>.º </w:t>
      </w:r>
      <w:r w:rsidRPr="002374A6">
        <w:rPr>
          <w:noProof/>
        </w:rPr>
        <w:t xml:space="preserve">540/2011; </w:t>
      </w:r>
    </w:p>
    <w:p w14:paraId="2AD0D098" w14:textId="73DD59A0" w:rsidR="00FA7E56" w:rsidRPr="002374A6" w:rsidRDefault="007B3445" w:rsidP="007B3445">
      <w:pPr>
        <w:pStyle w:val="Point1"/>
        <w:rPr>
          <w:noProof/>
          <w:szCs w:val="24"/>
        </w:rPr>
      </w:pPr>
      <w:r w:rsidRPr="002374A6">
        <w:rPr>
          <w:noProof/>
        </w:rPr>
        <w:t>f)</w:t>
      </w:r>
      <w:r w:rsidRPr="002374A6">
        <w:rPr>
          <w:noProof/>
        </w:rPr>
        <w:tab/>
        <w:t>Aplicam</w:t>
      </w:r>
      <w:r w:rsidR="002374A6">
        <w:rPr>
          <w:noProof/>
        </w:rPr>
        <w:noBreakHyphen/>
      </w:r>
      <w:r w:rsidRPr="002374A6">
        <w:rPr>
          <w:noProof/>
        </w:rPr>
        <w:t xml:space="preserve">se os fatores de ponderação da linha iii) do quadro do presente anexo. </w:t>
      </w:r>
    </w:p>
    <w:p w14:paraId="27DF1064" w14:textId="1C680879" w:rsidR="00FA7E56" w:rsidRPr="002374A6" w:rsidRDefault="007B3445" w:rsidP="007B3445">
      <w:pPr>
        <w:pStyle w:val="Point0"/>
        <w:rPr>
          <w:noProof/>
          <w:szCs w:val="24"/>
        </w:rPr>
      </w:pPr>
      <w:r w:rsidRPr="002374A6">
        <w:rPr>
          <w:noProof/>
        </w:rPr>
        <w:t>3.</w:t>
      </w:r>
      <w:r w:rsidRPr="002374A6">
        <w:rPr>
          <w:noProof/>
        </w:rPr>
        <w:tab/>
        <w:t>Os progressos realizados na consecução da meta de redução n</w:t>
      </w:r>
      <w:r w:rsidR="002374A6">
        <w:rPr>
          <w:noProof/>
        </w:rPr>
        <w:t>.º </w:t>
      </w:r>
      <w:r w:rsidRPr="002374A6">
        <w:rPr>
          <w:noProof/>
        </w:rPr>
        <w:t>1 são calculados multiplicando as quantidades anuais de substâncias ativas em produtos fitofarmacêuticos colocados no mercado para cada grupo constante do quadro do presente anexo pelo fator de ponderação de perigo correspondente indicado na linha iii), agregando depois os resultados destes cálculos.</w:t>
      </w:r>
    </w:p>
    <w:p w14:paraId="2AB71954" w14:textId="77777777" w:rsidR="00E65BCC" w:rsidRPr="002374A6" w:rsidRDefault="00E65BCC" w:rsidP="00FA7E56">
      <w:pPr>
        <w:jc w:val="center"/>
        <w:rPr>
          <w:i/>
          <w:iCs/>
          <w:noProof/>
          <w:szCs w:val="24"/>
        </w:rPr>
      </w:pPr>
    </w:p>
    <w:p w14:paraId="33849682" w14:textId="74D1ABC2" w:rsidR="00FA7E56" w:rsidRPr="002374A6" w:rsidRDefault="00FA7E56" w:rsidP="00FA7E56">
      <w:pPr>
        <w:jc w:val="center"/>
        <w:rPr>
          <w:i/>
          <w:iCs/>
          <w:noProof/>
          <w:szCs w:val="24"/>
        </w:rPr>
      </w:pPr>
      <w:r w:rsidRPr="002374A6">
        <w:rPr>
          <w:i/>
          <w:noProof/>
        </w:rPr>
        <w:t>Quadro</w:t>
      </w:r>
    </w:p>
    <w:p w14:paraId="008ECC54" w14:textId="1FC0F7C1" w:rsidR="00FA7E56" w:rsidRPr="002374A6" w:rsidRDefault="00FA7E56" w:rsidP="00FA7E56">
      <w:pPr>
        <w:jc w:val="center"/>
        <w:rPr>
          <w:b/>
          <w:bCs/>
          <w:noProof/>
          <w:szCs w:val="24"/>
        </w:rPr>
      </w:pPr>
      <w:r w:rsidRPr="002374A6">
        <w:rPr>
          <w:b/>
          <w:noProof/>
        </w:rPr>
        <w:t>Categorização das substâncias ativas e fatores de ponderação de perigo para o cálculo dos progressos alcançados no âmbito da meta nacional redução n</w:t>
      </w:r>
      <w:r w:rsidR="002374A6">
        <w:rPr>
          <w:b/>
          <w:noProof/>
        </w:rPr>
        <w:t>.º </w:t>
      </w:r>
      <w:r w:rsidRPr="002374A6">
        <w:rPr>
          <w:b/>
          <w:noProof/>
        </w:rPr>
        <w:t>1 da União para 2030</w:t>
      </w:r>
    </w:p>
    <w:tbl>
      <w:tblPr>
        <w:tblStyle w:val="TableGrid"/>
        <w:tblW w:w="0" w:type="auto"/>
        <w:tblLook w:val="04A0" w:firstRow="1" w:lastRow="0" w:firstColumn="1" w:lastColumn="0" w:noHBand="0" w:noVBand="1"/>
      </w:tblPr>
      <w:tblGrid>
        <w:gridCol w:w="936"/>
        <w:gridCol w:w="2111"/>
        <w:gridCol w:w="2111"/>
        <w:gridCol w:w="2610"/>
        <w:gridCol w:w="1474"/>
      </w:tblGrid>
      <w:tr w:rsidR="0066509A" w:rsidRPr="002374A6" w14:paraId="080B7C30" w14:textId="77777777" w:rsidTr="007B3445">
        <w:tc>
          <w:tcPr>
            <w:tcW w:w="936" w:type="dxa"/>
            <w:vMerge w:val="restart"/>
          </w:tcPr>
          <w:p w14:paraId="0141507E" w14:textId="77777777" w:rsidR="00FA7E56" w:rsidRPr="002374A6" w:rsidRDefault="00FA7E56" w:rsidP="007B3445">
            <w:pPr>
              <w:jc w:val="center"/>
              <w:rPr>
                <w:b/>
                <w:bCs/>
                <w:noProof/>
                <w:sz w:val="20"/>
                <w:szCs w:val="20"/>
              </w:rPr>
            </w:pPr>
            <w:r w:rsidRPr="002374A6">
              <w:rPr>
                <w:b/>
                <w:noProof/>
                <w:sz w:val="20"/>
              </w:rPr>
              <w:t>Linha</w:t>
            </w:r>
          </w:p>
        </w:tc>
        <w:tc>
          <w:tcPr>
            <w:tcW w:w="8306" w:type="dxa"/>
            <w:gridSpan w:val="4"/>
          </w:tcPr>
          <w:p w14:paraId="41B99810" w14:textId="77777777" w:rsidR="00FA7E56" w:rsidRPr="002374A6" w:rsidRDefault="00FA7E56" w:rsidP="007B3445">
            <w:pPr>
              <w:jc w:val="center"/>
              <w:rPr>
                <w:b/>
                <w:bCs/>
                <w:noProof/>
                <w:sz w:val="20"/>
                <w:szCs w:val="20"/>
              </w:rPr>
            </w:pPr>
            <w:r w:rsidRPr="002374A6">
              <w:rPr>
                <w:b/>
                <w:noProof/>
                <w:sz w:val="20"/>
              </w:rPr>
              <w:t>Grupos</w:t>
            </w:r>
          </w:p>
        </w:tc>
      </w:tr>
      <w:tr w:rsidR="0066509A" w:rsidRPr="002374A6" w14:paraId="6BE4B613" w14:textId="77777777" w:rsidTr="007B3445">
        <w:tc>
          <w:tcPr>
            <w:tcW w:w="936" w:type="dxa"/>
            <w:vMerge/>
          </w:tcPr>
          <w:p w14:paraId="3BA7E48D" w14:textId="77777777" w:rsidR="00FA7E56" w:rsidRPr="002374A6" w:rsidRDefault="00FA7E56" w:rsidP="007B3445">
            <w:pPr>
              <w:jc w:val="center"/>
              <w:rPr>
                <w:b/>
                <w:bCs/>
                <w:noProof/>
                <w:sz w:val="20"/>
                <w:szCs w:val="20"/>
              </w:rPr>
            </w:pPr>
          </w:p>
        </w:tc>
        <w:tc>
          <w:tcPr>
            <w:tcW w:w="2111" w:type="dxa"/>
          </w:tcPr>
          <w:p w14:paraId="32F7C805" w14:textId="77777777" w:rsidR="00FA7E56" w:rsidRPr="002374A6" w:rsidRDefault="00FA7E56" w:rsidP="007B3445">
            <w:pPr>
              <w:jc w:val="center"/>
              <w:rPr>
                <w:b/>
                <w:bCs/>
                <w:noProof/>
                <w:sz w:val="20"/>
                <w:szCs w:val="20"/>
              </w:rPr>
            </w:pPr>
            <w:r w:rsidRPr="002374A6">
              <w:rPr>
                <w:b/>
                <w:noProof/>
                <w:sz w:val="20"/>
              </w:rPr>
              <w:t>1</w:t>
            </w:r>
          </w:p>
        </w:tc>
        <w:tc>
          <w:tcPr>
            <w:tcW w:w="2111" w:type="dxa"/>
          </w:tcPr>
          <w:p w14:paraId="66C136A4" w14:textId="77777777" w:rsidR="00FA7E56" w:rsidRPr="002374A6" w:rsidRDefault="00FA7E56" w:rsidP="007B3445">
            <w:pPr>
              <w:jc w:val="center"/>
              <w:rPr>
                <w:b/>
                <w:bCs/>
                <w:noProof/>
                <w:sz w:val="20"/>
                <w:szCs w:val="20"/>
              </w:rPr>
            </w:pPr>
            <w:r w:rsidRPr="002374A6">
              <w:rPr>
                <w:b/>
                <w:noProof/>
                <w:sz w:val="20"/>
              </w:rPr>
              <w:t>2</w:t>
            </w:r>
          </w:p>
        </w:tc>
        <w:tc>
          <w:tcPr>
            <w:tcW w:w="2610" w:type="dxa"/>
          </w:tcPr>
          <w:p w14:paraId="1D5A0EB7" w14:textId="77777777" w:rsidR="00FA7E56" w:rsidRPr="002374A6" w:rsidRDefault="00FA7E56" w:rsidP="007B3445">
            <w:pPr>
              <w:jc w:val="center"/>
              <w:rPr>
                <w:b/>
                <w:bCs/>
                <w:noProof/>
                <w:sz w:val="20"/>
                <w:szCs w:val="20"/>
              </w:rPr>
            </w:pPr>
            <w:r w:rsidRPr="002374A6">
              <w:rPr>
                <w:b/>
                <w:noProof/>
                <w:sz w:val="20"/>
              </w:rPr>
              <w:t>3</w:t>
            </w:r>
          </w:p>
        </w:tc>
        <w:tc>
          <w:tcPr>
            <w:tcW w:w="1474" w:type="dxa"/>
          </w:tcPr>
          <w:p w14:paraId="22F353DB" w14:textId="77777777" w:rsidR="00FA7E56" w:rsidRPr="002374A6" w:rsidRDefault="00FA7E56" w:rsidP="007B3445">
            <w:pPr>
              <w:jc w:val="center"/>
              <w:rPr>
                <w:b/>
                <w:bCs/>
                <w:noProof/>
                <w:sz w:val="20"/>
                <w:szCs w:val="20"/>
              </w:rPr>
            </w:pPr>
            <w:r w:rsidRPr="002374A6">
              <w:rPr>
                <w:b/>
                <w:noProof/>
                <w:sz w:val="20"/>
              </w:rPr>
              <w:t>4</w:t>
            </w:r>
          </w:p>
        </w:tc>
      </w:tr>
      <w:tr w:rsidR="0066509A" w:rsidRPr="002374A6" w14:paraId="7A78B9D2" w14:textId="77777777" w:rsidTr="007B3445">
        <w:tc>
          <w:tcPr>
            <w:tcW w:w="936" w:type="dxa"/>
          </w:tcPr>
          <w:p w14:paraId="4029D59D" w14:textId="77777777" w:rsidR="00FA7E56" w:rsidRPr="002374A6" w:rsidRDefault="00FA7E56" w:rsidP="007B3445">
            <w:pPr>
              <w:jc w:val="center"/>
              <w:rPr>
                <w:b/>
                <w:bCs/>
                <w:noProof/>
                <w:sz w:val="20"/>
                <w:szCs w:val="20"/>
              </w:rPr>
            </w:pPr>
            <w:r w:rsidRPr="002374A6">
              <w:rPr>
                <w:b/>
                <w:noProof/>
                <w:sz w:val="20"/>
              </w:rPr>
              <w:t>i)</w:t>
            </w:r>
          </w:p>
        </w:tc>
        <w:tc>
          <w:tcPr>
            <w:tcW w:w="2111" w:type="dxa"/>
          </w:tcPr>
          <w:p w14:paraId="1FF4B24B" w14:textId="73A4825D" w:rsidR="00FA7E56" w:rsidRPr="002374A6" w:rsidRDefault="00FA7E56" w:rsidP="007B3445">
            <w:pPr>
              <w:jc w:val="center"/>
              <w:rPr>
                <w:b/>
                <w:bCs/>
                <w:noProof/>
                <w:sz w:val="20"/>
                <w:szCs w:val="20"/>
              </w:rPr>
            </w:pPr>
            <w:r w:rsidRPr="002374A6">
              <w:rPr>
                <w:noProof/>
                <w:sz w:val="20"/>
              </w:rPr>
              <w:t>Substâncias ativas químicas de baixo risco aprovadas ou consideradas aprovadas nos termos do artigo 22</w:t>
            </w:r>
            <w:r w:rsidR="002374A6">
              <w:rPr>
                <w:noProof/>
                <w:sz w:val="20"/>
              </w:rPr>
              <w:t>.º </w:t>
            </w:r>
            <w:r w:rsidRPr="002374A6">
              <w:rPr>
                <w:noProof/>
                <w:sz w:val="20"/>
              </w:rPr>
              <w:t>do Regulamento (CE) n</w:t>
            </w:r>
            <w:r w:rsidR="002374A6">
              <w:rPr>
                <w:noProof/>
                <w:sz w:val="20"/>
              </w:rPr>
              <w:t>.º </w:t>
            </w:r>
            <w:r w:rsidRPr="002374A6">
              <w:rPr>
                <w:noProof/>
                <w:sz w:val="20"/>
              </w:rPr>
              <w:t>1107/2009 e que estão enumeradas na parte D do anexo do Regulamento de Execução (UE) n</w:t>
            </w:r>
            <w:r w:rsidR="002374A6">
              <w:rPr>
                <w:noProof/>
                <w:sz w:val="20"/>
              </w:rPr>
              <w:t>.º </w:t>
            </w:r>
            <w:r w:rsidRPr="002374A6">
              <w:rPr>
                <w:noProof/>
                <w:sz w:val="20"/>
              </w:rPr>
              <w:t>540/2011</w:t>
            </w:r>
          </w:p>
        </w:tc>
        <w:tc>
          <w:tcPr>
            <w:tcW w:w="2111" w:type="dxa"/>
          </w:tcPr>
          <w:p w14:paraId="09689AF3" w14:textId="3F2366A8" w:rsidR="00FA7E56" w:rsidRPr="002374A6" w:rsidRDefault="00FA7E56" w:rsidP="007B3445">
            <w:pPr>
              <w:jc w:val="center"/>
              <w:rPr>
                <w:b/>
                <w:bCs/>
                <w:noProof/>
                <w:sz w:val="20"/>
                <w:szCs w:val="20"/>
              </w:rPr>
            </w:pPr>
            <w:r w:rsidRPr="002374A6">
              <w:rPr>
                <w:noProof/>
                <w:sz w:val="20"/>
              </w:rPr>
              <w:t>Substâncias ativas químicas aprovadas ou consideradas aprovadas nos termos do Regulamento (CE) n</w:t>
            </w:r>
            <w:r w:rsidR="002374A6">
              <w:rPr>
                <w:noProof/>
                <w:sz w:val="20"/>
              </w:rPr>
              <w:t>.º </w:t>
            </w:r>
            <w:r w:rsidRPr="002374A6">
              <w:rPr>
                <w:noProof/>
                <w:sz w:val="20"/>
              </w:rPr>
              <w:t>1107/2009 não incluídas noutras categorias e que estão enumeradas nas partes A e B do anexo do Regulamento de Execução (UE) n</w:t>
            </w:r>
            <w:r w:rsidR="002374A6">
              <w:rPr>
                <w:noProof/>
                <w:sz w:val="20"/>
              </w:rPr>
              <w:t>.º </w:t>
            </w:r>
            <w:r w:rsidRPr="002374A6">
              <w:rPr>
                <w:noProof/>
                <w:sz w:val="20"/>
              </w:rPr>
              <w:t>540/2011</w:t>
            </w:r>
          </w:p>
        </w:tc>
        <w:tc>
          <w:tcPr>
            <w:tcW w:w="2610" w:type="dxa"/>
          </w:tcPr>
          <w:p w14:paraId="0D0D1C7F" w14:textId="0DC421AE" w:rsidR="001D3834" w:rsidRPr="002374A6" w:rsidRDefault="00FA7E56" w:rsidP="001D3834">
            <w:pPr>
              <w:jc w:val="center"/>
              <w:rPr>
                <w:b/>
                <w:bCs/>
                <w:noProof/>
                <w:sz w:val="20"/>
                <w:szCs w:val="20"/>
              </w:rPr>
            </w:pPr>
            <w:r w:rsidRPr="002374A6">
              <w:rPr>
                <w:noProof/>
                <w:sz w:val="20"/>
              </w:rPr>
              <w:t>Substâncias ativas químicas aprovadas como candidatas a substituição nos termos do artigo 24</w:t>
            </w:r>
            <w:r w:rsidR="002374A6">
              <w:rPr>
                <w:noProof/>
                <w:sz w:val="20"/>
              </w:rPr>
              <w:t>.º </w:t>
            </w:r>
            <w:r w:rsidRPr="002374A6">
              <w:rPr>
                <w:noProof/>
                <w:sz w:val="20"/>
              </w:rPr>
              <w:t>do Regulamento (CE) n</w:t>
            </w:r>
            <w:r w:rsidR="002374A6">
              <w:rPr>
                <w:noProof/>
                <w:sz w:val="20"/>
              </w:rPr>
              <w:t>.º </w:t>
            </w:r>
            <w:r w:rsidRPr="002374A6">
              <w:rPr>
                <w:noProof/>
                <w:sz w:val="20"/>
              </w:rPr>
              <w:t>1107/2009 e enumeradas na parte E do anexo do Regulamento de Execução (UE) n</w:t>
            </w:r>
            <w:r w:rsidR="002374A6">
              <w:rPr>
                <w:noProof/>
                <w:sz w:val="20"/>
              </w:rPr>
              <w:t>.º </w:t>
            </w:r>
            <w:r w:rsidRPr="002374A6">
              <w:rPr>
                <w:noProof/>
                <w:sz w:val="20"/>
              </w:rPr>
              <w:t>540/2011 ou enumeradas no anexo do Regulamento de Execução (UE) 2015/408.</w:t>
            </w:r>
          </w:p>
        </w:tc>
        <w:tc>
          <w:tcPr>
            <w:tcW w:w="1474" w:type="dxa"/>
          </w:tcPr>
          <w:p w14:paraId="4B0ADACD" w14:textId="6295FC57" w:rsidR="00FA7E56" w:rsidRPr="002374A6" w:rsidRDefault="00FA7E56" w:rsidP="007B3445">
            <w:pPr>
              <w:jc w:val="center"/>
              <w:rPr>
                <w:b/>
                <w:bCs/>
                <w:noProof/>
                <w:sz w:val="20"/>
                <w:szCs w:val="20"/>
              </w:rPr>
            </w:pPr>
            <w:r w:rsidRPr="002374A6">
              <w:rPr>
                <w:noProof/>
                <w:sz w:val="20"/>
              </w:rPr>
              <w:t>Substâncias ativas químicas não aprovadas nos termos do Regulamento (CE) n</w:t>
            </w:r>
            <w:r w:rsidR="002374A6">
              <w:rPr>
                <w:noProof/>
                <w:sz w:val="20"/>
              </w:rPr>
              <w:t>.º </w:t>
            </w:r>
            <w:r w:rsidRPr="002374A6">
              <w:rPr>
                <w:noProof/>
                <w:sz w:val="20"/>
              </w:rPr>
              <w:t>1107/2009 e que, por conseguinte, não constam do anexo do Regulamento de Execução (UE) n</w:t>
            </w:r>
            <w:r w:rsidR="002374A6">
              <w:rPr>
                <w:noProof/>
                <w:sz w:val="20"/>
              </w:rPr>
              <w:t>.º </w:t>
            </w:r>
            <w:r w:rsidRPr="002374A6">
              <w:rPr>
                <w:noProof/>
                <w:sz w:val="20"/>
              </w:rPr>
              <w:t>540/2011</w:t>
            </w:r>
          </w:p>
        </w:tc>
      </w:tr>
      <w:tr w:rsidR="0066509A" w:rsidRPr="002374A6" w14:paraId="54217484" w14:textId="77777777" w:rsidTr="007B3445">
        <w:tc>
          <w:tcPr>
            <w:tcW w:w="936" w:type="dxa"/>
          </w:tcPr>
          <w:p w14:paraId="047D94D8" w14:textId="77777777" w:rsidR="00FA7E56" w:rsidRPr="002374A6" w:rsidRDefault="00FA7E56" w:rsidP="007B3445">
            <w:pPr>
              <w:jc w:val="center"/>
              <w:rPr>
                <w:b/>
                <w:bCs/>
                <w:noProof/>
                <w:sz w:val="20"/>
                <w:szCs w:val="20"/>
              </w:rPr>
            </w:pPr>
            <w:r w:rsidRPr="002374A6">
              <w:rPr>
                <w:b/>
                <w:noProof/>
                <w:sz w:val="20"/>
              </w:rPr>
              <w:t>ii)</w:t>
            </w:r>
          </w:p>
        </w:tc>
        <w:tc>
          <w:tcPr>
            <w:tcW w:w="8306" w:type="dxa"/>
            <w:gridSpan w:val="4"/>
          </w:tcPr>
          <w:p w14:paraId="60C3D724" w14:textId="771C5F80" w:rsidR="00FA7E56" w:rsidRPr="002374A6" w:rsidRDefault="00FA7E56" w:rsidP="007B3445">
            <w:pPr>
              <w:jc w:val="center"/>
              <w:rPr>
                <w:b/>
                <w:bCs/>
                <w:noProof/>
                <w:sz w:val="20"/>
                <w:szCs w:val="20"/>
              </w:rPr>
            </w:pPr>
            <w:r w:rsidRPr="002374A6">
              <w:rPr>
                <w:noProof/>
                <w:sz w:val="20"/>
              </w:rPr>
              <w:t>Fatores de ponderação de perigo aplicáveis às quantidades de substâncias ativas químicas colocadas no mercado em produtos autorizados nos termos do Regulamento (CE) n</w:t>
            </w:r>
            <w:r w:rsidR="002374A6">
              <w:rPr>
                <w:noProof/>
                <w:sz w:val="20"/>
              </w:rPr>
              <w:t>.º </w:t>
            </w:r>
            <w:r w:rsidRPr="002374A6">
              <w:rPr>
                <w:noProof/>
                <w:sz w:val="20"/>
              </w:rPr>
              <w:t>1107/2009</w:t>
            </w:r>
          </w:p>
        </w:tc>
      </w:tr>
      <w:tr w:rsidR="00FA7E56" w:rsidRPr="002374A6" w14:paraId="25013707" w14:textId="77777777" w:rsidTr="007B3445">
        <w:tc>
          <w:tcPr>
            <w:tcW w:w="936" w:type="dxa"/>
          </w:tcPr>
          <w:p w14:paraId="227FD022" w14:textId="77777777" w:rsidR="00FA7E56" w:rsidRPr="002374A6" w:rsidRDefault="00FA7E56" w:rsidP="007B3445">
            <w:pPr>
              <w:jc w:val="center"/>
              <w:rPr>
                <w:b/>
                <w:bCs/>
                <w:noProof/>
                <w:sz w:val="20"/>
                <w:szCs w:val="20"/>
              </w:rPr>
            </w:pPr>
            <w:r w:rsidRPr="002374A6">
              <w:rPr>
                <w:b/>
                <w:noProof/>
                <w:sz w:val="20"/>
              </w:rPr>
              <w:t>iii)</w:t>
            </w:r>
          </w:p>
        </w:tc>
        <w:tc>
          <w:tcPr>
            <w:tcW w:w="2111" w:type="dxa"/>
          </w:tcPr>
          <w:p w14:paraId="1C607C93" w14:textId="77777777" w:rsidR="00FA7E56" w:rsidRPr="002374A6" w:rsidRDefault="00FA7E56" w:rsidP="007B3445">
            <w:pPr>
              <w:jc w:val="center"/>
              <w:rPr>
                <w:b/>
                <w:bCs/>
                <w:noProof/>
                <w:sz w:val="20"/>
                <w:szCs w:val="20"/>
              </w:rPr>
            </w:pPr>
            <w:r w:rsidRPr="002374A6">
              <w:rPr>
                <w:b/>
                <w:noProof/>
                <w:sz w:val="20"/>
              </w:rPr>
              <w:t>1</w:t>
            </w:r>
          </w:p>
        </w:tc>
        <w:tc>
          <w:tcPr>
            <w:tcW w:w="2111" w:type="dxa"/>
          </w:tcPr>
          <w:p w14:paraId="3C97CD2C" w14:textId="77777777" w:rsidR="00FA7E56" w:rsidRPr="002374A6" w:rsidRDefault="00FA7E56" w:rsidP="007B3445">
            <w:pPr>
              <w:jc w:val="center"/>
              <w:rPr>
                <w:b/>
                <w:bCs/>
                <w:noProof/>
                <w:sz w:val="20"/>
                <w:szCs w:val="20"/>
              </w:rPr>
            </w:pPr>
            <w:r w:rsidRPr="002374A6">
              <w:rPr>
                <w:b/>
                <w:noProof/>
                <w:sz w:val="20"/>
              </w:rPr>
              <w:t>8</w:t>
            </w:r>
          </w:p>
        </w:tc>
        <w:tc>
          <w:tcPr>
            <w:tcW w:w="2610" w:type="dxa"/>
          </w:tcPr>
          <w:p w14:paraId="26A6EC8C" w14:textId="77777777" w:rsidR="00FA7E56" w:rsidRPr="002374A6" w:rsidRDefault="00FA7E56" w:rsidP="007B3445">
            <w:pPr>
              <w:jc w:val="center"/>
              <w:rPr>
                <w:b/>
                <w:bCs/>
                <w:noProof/>
                <w:sz w:val="20"/>
                <w:szCs w:val="20"/>
              </w:rPr>
            </w:pPr>
            <w:r w:rsidRPr="002374A6">
              <w:rPr>
                <w:b/>
                <w:noProof/>
                <w:sz w:val="20"/>
              </w:rPr>
              <w:t>16</w:t>
            </w:r>
          </w:p>
        </w:tc>
        <w:tc>
          <w:tcPr>
            <w:tcW w:w="1474" w:type="dxa"/>
          </w:tcPr>
          <w:p w14:paraId="6CCD8F59" w14:textId="77777777" w:rsidR="00FA7E56" w:rsidRPr="002374A6" w:rsidRDefault="00FA7E56" w:rsidP="007B3445">
            <w:pPr>
              <w:jc w:val="center"/>
              <w:rPr>
                <w:b/>
                <w:bCs/>
                <w:noProof/>
                <w:sz w:val="20"/>
                <w:szCs w:val="20"/>
              </w:rPr>
            </w:pPr>
            <w:r w:rsidRPr="002374A6">
              <w:rPr>
                <w:b/>
                <w:noProof/>
                <w:sz w:val="20"/>
              </w:rPr>
              <w:t>64</w:t>
            </w:r>
          </w:p>
        </w:tc>
      </w:tr>
    </w:tbl>
    <w:p w14:paraId="3AA8DE63" w14:textId="77777777" w:rsidR="00FA7E56" w:rsidRPr="002374A6" w:rsidRDefault="00FA7E56" w:rsidP="00FA7E56">
      <w:pPr>
        <w:rPr>
          <w:b/>
          <w:bCs/>
          <w:noProof/>
          <w:szCs w:val="24"/>
        </w:rPr>
      </w:pPr>
    </w:p>
    <w:p w14:paraId="7B684371" w14:textId="113664D5" w:rsidR="00FA7E56" w:rsidRPr="002374A6" w:rsidRDefault="009F37B9" w:rsidP="007B3445">
      <w:pPr>
        <w:pStyle w:val="Point0"/>
        <w:rPr>
          <w:noProof/>
          <w:szCs w:val="24"/>
        </w:rPr>
      </w:pPr>
      <w:r w:rsidRPr="002374A6">
        <w:rPr>
          <w:noProof/>
        </w:rPr>
        <w:t>4.</w:t>
      </w:r>
      <w:r w:rsidRPr="002374A6">
        <w:rPr>
          <w:noProof/>
        </w:rPr>
        <w:tab/>
        <w:t>A base de referência da meta de redução n</w:t>
      </w:r>
      <w:r w:rsidR="002374A6">
        <w:rPr>
          <w:noProof/>
        </w:rPr>
        <w:t>.º </w:t>
      </w:r>
      <w:r w:rsidRPr="002374A6">
        <w:rPr>
          <w:noProof/>
        </w:rPr>
        <w:t>1 é fixada em 100 e é igual ao resultado médio do cálculo anterior para o período 2015</w:t>
      </w:r>
      <w:r w:rsidR="002374A6">
        <w:rPr>
          <w:noProof/>
        </w:rPr>
        <w:noBreakHyphen/>
      </w:r>
      <w:r w:rsidRPr="002374A6">
        <w:rPr>
          <w:noProof/>
        </w:rPr>
        <w:t xml:space="preserve">2017. </w:t>
      </w:r>
    </w:p>
    <w:p w14:paraId="69F05131" w14:textId="63BE11F1" w:rsidR="00FA7E56" w:rsidRPr="002374A6" w:rsidRDefault="009F37B9" w:rsidP="007B3445">
      <w:pPr>
        <w:pStyle w:val="Point0"/>
        <w:rPr>
          <w:noProof/>
          <w:szCs w:val="24"/>
        </w:rPr>
      </w:pPr>
      <w:r w:rsidRPr="002374A6">
        <w:rPr>
          <w:noProof/>
        </w:rPr>
        <w:t>5.</w:t>
      </w:r>
      <w:r w:rsidRPr="002374A6">
        <w:rPr>
          <w:noProof/>
        </w:rPr>
        <w:tab/>
        <w:t>Os progressos realizados na consecução da meta de redução n</w:t>
      </w:r>
      <w:r w:rsidR="002374A6">
        <w:rPr>
          <w:noProof/>
        </w:rPr>
        <w:t>.º </w:t>
      </w:r>
      <w:r w:rsidRPr="002374A6">
        <w:rPr>
          <w:noProof/>
        </w:rPr>
        <w:t xml:space="preserve">1 são expressos em relação à base de referência. </w:t>
      </w:r>
    </w:p>
    <w:p w14:paraId="4367AA7B" w14:textId="7C05780C" w:rsidR="00FA7E56" w:rsidRPr="002374A6" w:rsidRDefault="009F37B9" w:rsidP="007B3445">
      <w:pPr>
        <w:pStyle w:val="Point0"/>
        <w:rPr>
          <w:noProof/>
          <w:szCs w:val="24"/>
        </w:rPr>
      </w:pPr>
      <w:r w:rsidRPr="002374A6">
        <w:rPr>
          <w:noProof/>
        </w:rPr>
        <w:t>6.</w:t>
      </w:r>
      <w:r w:rsidRPr="002374A6">
        <w:rPr>
          <w:noProof/>
        </w:rPr>
        <w:tab/>
        <w:t>A Comissão calcula os progressos realizados na consecução da meta de redução n</w:t>
      </w:r>
      <w:r w:rsidR="002374A6">
        <w:rPr>
          <w:noProof/>
        </w:rPr>
        <w:t>.º </w:t>
      </w:r>
      <w:r w:rsidRPr="002374A6">
        <w:rPr>
          <w:noProof/>
        </w:rPr>
        <w:t>1 em conformidade com o artigo 34.º, n</w:t>
      </w:r>
      <w:r w:rsidR="002374A6">
        <w:rPr>
          <w:noProof/>
        </w:rPr>
        <w:t>.º </w:t>
      </w:r>
      <w:r w:rsidRPr="002374A6">
        <w:rPr>
          <w:noProof/>
        </w:rPr>
        <w:t>2, do presente regulamento para cada ano civil, o mais tardar 20 meses após o final do ano para o qual os progressos alcançados no âmbito da meta de redução n</w:t>
      </w:r>
      <w:r w:rsidR="002374A6">
        <w:rPr>
          <w:noProof/>
        </w:rPr>
        <w:t>.º </w:t>
      </w:r>
      <w:r w:rsidRPr="002374A6">
        <w:rPr>
          <w:noProof/>
        </w:rPr>
        <w:t>1 estão a ser calculados.</w:t>
      </w:r>
    </w:p>
    <w:p w14:paraId="7B03F6D0" w14:textId="77777777" w:rsidR="00FA7E56" w:rsidRPr="002374A6" w:rsidRDefault="00FA7E56" w:rsidP="00FA7E56">
      <w:pPr>
        <w:jc w:val="center"/>
        <w:rPr>
          <w:noProof/>
          <w:szCs w:val="24"/>
        </w:rPr>
      </w:pPr>
    </w:p>
    <w:p w14:paraId="62208A5D" w14:textId="77777777" w:rsidR="00FA7E56" w:rsidRPr="002374A6" w:rsidRDefault="00FA7E56" w:rsidP="00FA7E56">
      <w:pPr>
        <w:jc w:val="center"/>
        <w:rPr>
          <w:noProof/>
          <w:szCs w:val="24"/>
        </w:rPr>
      </w:pPr>
      <w:r w:rsidRPr="002374A6">
        <w:rPr>
          <w:noProof/>
        </w:rPr>
        <w:t>SECÇÃO 2</w:t>
      </w:r>
    </w:p>
    <w:p w14:paraId="1568F4EB" w14:textId="155726EC" w:rsidR="00FA7E56" w:rsidRPr="002374A6" w:rsidRDefault="00AA512C" w:rsidP="00FA7E56">
      <w:pPr>
        <w:jc w:val="center"/>
        <w:rPr>
          <w:b/>
          <w:bCs/>
          <w:noProof/>
          <w:szCs w:val="24"/>
        </w:rPr>
      </w:pPr>
      <w:r w:rsidRPr="002374A6">
        <w:rPr>
          <w:b/>
          <w:noProof/>
        </w:rPr>
        <w:t>Meta nacional de redução n</w:t>
      </w:r>
      <w:r w:rsidR="002374A6">
        <w:rPr>
          <w:b/>
          <w:noProof/>
        </w:rPr>
        <w:t>.º </w:t>
      </w:r>
      <w:r w:rsidRPr="002374A6">
        <w:rPr>
          <w:b/>
          <w:noProof/>
        </w:rPr>
        <w:t xml:space="preserve">2: metodologia para estimar os progressos alcançados relativamente à redução da utilização e do risco dos produtos fitofarmacêuticos mais perigosos </w:t>
      </w:r>
    </w:p>
    <w:p w14:paraId="76889AC2" w14:textId="2D3DA40B" w:rsidR="00FA7E56" w:rsidRPr="002374A6" w:rsidRDefault="007B3445" w:rsidP="007B3445">
      <w:pPr>
        <w:pStyle w:val="Point0"/>
        <w:rPr>
          <w:noProof/>
          <w:szCs w:val="24"/>
        </w:rPr>
      </w:pPr>
      <w:r w:rsidRPr="002374A6">
        <w:rPr>
          <w:noProof/>
        </w:rPr>
        <w:t>1.</w:t>
      </w:r>
      <w:r w:rsidRPr="002374A6">
        <w:rPr>
          <w:noProof/>
        </w:rPr>
        <w:tab/>
        <w:t>A metodologia baseia</w:t>
      </w:r>
      <w:r w:rsidR="002374A6">
        <w:rPr>
          <w:noProof/>
        </w:rPr>
        <w:noBreakHyphen/>
      </w:r>
      <w:r w:rsidRPr="002374A6">
        <w:rPr>
          <w:noProof/>
        </w:rPr>
        <w:t>se em estatísticas sobre as quantidades de substâncias ativas colocadas no mercado em produtos fitofarmacêuticos nos termos do Regulamento (CE) n</w:t>
      </w:r>
      <w:r w:rsidR="002374A6">
        <w:rPr>
          <w:noProof/>
        </w:rPr>
        <w:t>.º </w:t>
      </w:r>
      <w:r w:rsidRPr="002374A6">
        <w:rPr>
          <w:noProof/>
        </w:rPr>
        <w:t>1107/2009 fornecidas à Comissão nos termos do anexo I do Regulamento (CE) n</w:t>
      </w:r>
      <w:r w:rsidR="002374A6">
        <w:rPr>
          <w:noProof/>
        </w:rPr>
        <w:t>.º </w:t>
      </w:r>
      <w:r w:rsidRPr="002374A6">
        <w:rPr>
          <w:noProof/>
        </w:rPr>
        <w:t xml:space="preserve">1185/2009. </w:t>
      </w:r>
    </w:p>
    <w:p w14:paraId="71A5F7F0" w14:textId="7882D8E5" w:rsidR="00FA7E56" w:rsidRPr="002374A6" w:rsidRDefault="00FA7E56" w:rsidP="007B3445">
      <w:pPr>
        <w:pStyle w:val="Point0"/>
        <w:rPr>
          <w:noProof/>
          <w:szCs w:val="24"/>
        </w:rPr>
      </w:pPr>
      <w:r w:rsidRPr="002374A6">
        <w:rPr>
          <w:noProof/>
        </w:rPr>
        <w:t>2.</w:t>
      </w:r>
      <w:r w:rsidRPr="002374A6">
        <w:rPr>
          <w:noProof/>
        </w:rPr>
        <w:tab/>
        <w:t>Os progressos realizados na consecução da meta n</w:t>
      </w:r>
      <w:r w:rsidR="002374A6">
        <w:rPr>
          <w:noProof/>
        </w:rPr>
        <w:t>.º </w:t>
      </w:r>
      <w:r w:rsidRPr="002374A6">
        <w:rPr>
          <w:noProof/>
        </w:rPr>
        <w:t xml:space="preserve">2 são calculados somando as quantidades anuais de substâncias ativas químicas contidas nos produtos fitofarmacêuticos mais perigosos colocados no mercado todos os anos. </w:t>
      </w:r>
    </w:p>
    <w:p w14:paraId="0725AEF2" w14:textId="61A2B825" w:rsidR="00FA7E56" w:rsidRPr="002374A6" w:rsidRDefault="007B3445" w:rsidP="007B3445">
      <w:pPr>
        <w:pStyle w:val="Point0"/>
        <w:rPr>
          <w:noProof/>
          <w:szCs w:val="24"/>
        </w:rPr>
      </w:pPr>
      <w:r w:rsidRPr="002374A6">
        <w:rPr>
          <w:noProof/>
        </w:rPr>
        <w:t>3.</w:t>
      </w:r>
      <w:r w:rsidRPr="002374A6">
        <w:rPr>
          <w:noProof/>
        </w:rPr>
        <w:tab/>
        <w:t>A base de referência da meta de redução n</w:t>
      </w:r>
      <w:r w:rsidR="002374A6">
        <w:rPr>
          <w:noProof/>
        </w:rPr>
        <w:t>.º </w:t>
      </w:r>
      <w:r w:rsidRPr="002374A6">
        <w:rPr>
          <w:noProof/>
        </w:rPr>
        <w:t>2 é fixada em 100 e é igual ao resultado médio do cálculo anterior para o período 2015</w:t>
      </w:r>
      <w:r w:rsidR="002374A6">
        <w:rPr>
          <w:noProof/>
        </w:rPr>
        <w:noBreakHyphen/>
      </w:r>
      <w:r w:rsidRPr="002374A6">
        <w:rPr>
          <w:noProof/>
        </w:rPr>
        <w:t xml:space="preserve">2017. </w:t>
      </w:r>
    </w:p>
    <w:p w14:paraId="4BB53E06" w14:textId="3EEB9E7E" w:rsidR="00FA7E56" w:rsidRPr="002374A6" w:rsidRDefault="007B3445" w:rsidP="007B3445">
      <w:pPr>
        <w:pStyle w:val="Point0"/>
        <w:rPr>
          <w:noProof/>
          <w:szCs w:val="24"/>
        </w:rPr>
      </w:pPr>
      <w:r w:rsidRPr="002374A6">
        <w:rPr>
          <w:noProof/>
        </w:rPr>
        <w:t>4.</w:t>
      </w:r>
      <w:r w:rsidRPr="002374A6">
        <w:rPr>
          <w:noProof/>
        </w:rPr>
        <w:tab/>
        <w:t>Os progressos realizados na consecução da meta de redução n</w:t>
      </w:r>
      <w:r w:rsidR="002374A6">
        <w:rPr>
          <w:noProof/>
        </w:rPr>
        <w:t>.º </w:t>
      </w:r>
      <w:r w:rsidRPr="002374A6">
        <w:rPr>
          <w:noProof/>
        </w:rPr>
        <w:t xml:space="preserve">2 são expressos em relação à base de referência. </w:t>
      </w:r>
    </w:p>
    <w:p w14:paraId="03194A4B" w14:textId="40AE3EF3" w:rsidR="00FA7E56" w:rsidRPr="002374A6" w:rsidRDefault="007B3445" w:rsidP="007B3445">
      <w:pPr>
        <w:pStyle w:val="Point0"/>
        <w:rPr>
          <w:noProof/>
          <w:szCs w:val="24"/>
        </w:rPr>
      </w:pPr>
      <w:r w:rsidRPr="002374A6">
        <w:rPr>
          <w:noProof/>
        </w:rPr>
        <w:t>5.</w:t>
      </w:r>
      <w:r w:rsidRPr="002374A6">
        <w:rPr>
          <w:noProof/>
        </w:rPr>
        <w:tab/>
        <w:t>A Comissão calcula os progressos realizados na consecução da meta de redução 2 em conformidade com o artigo 34.º, n</w:t>
      </w:r>
      <w:r w:rsidR="002374A6">
        <w:rPr>
          <w:noProof/>
        </w:rPr>
        <w:t>.º </w:t>
      </w:r>
      <w:r w:rsidRPr="002374A6">
        <w:rPr>
          <w:noProof/>
        </w:rPr>
        <w:t>2, do presente regulamento para cada ano civil, o mais tardar 20 meses após o final do ano para o qual os progressos realizados na consecução da meta de redução n</w:t>
      </w:r>
      <w:r w:rsidR="002374A6">
        <w:rPr>
          <w:noProof/>
        </w:rPr>
        <w:t>.º </w:t>
      </w:r>
      <w:r w:rsidRPr="002374A6">
        <w:rPr>
          <w:noProof/>
        </w:rPr>
        <w:t>2 estão a ser calculados.</w:t>
      </w:r>
    </w:p>
    <w:p w14:paraId="7C43D81D" w14:textId="34477C0F" w:rsidR="00FA7E56" w:rsidRPr="002374A6" w:rsidRDefault="00FA7E56" w:rsidP="00FA7E56">
      <w:pPr>
        <w:rPr>
          <w:noProof/>
        </w:rPr>
      </w:pPr>
    </w:p>
    <w:p w14:paraId="28AB984E" w14:textId="77777777" w:rsidR="000E60B2" w:rsidRPr="002374A6" w:rsidRDefault="000E60B2" w:rsidP="000E60B2">
      <w:pPr>
        <w:jc w:val="center"/>
        <w:rPr>
          <w:noProof/>
          <w:szCs w:val="24"/>
        </w:rPr>
      </w:pPr>
      <w:r w:rsidRPr="002374A6">
        <w:rPr>
          <w:noProof/>
        </w:rPr>
        <w:t>SECÇÃO 3</w:t>
      </w:r>
    </w:p>
    <w:p w14:paraId="59FEAF11" w14:textId="6C7190F9" w:rsidR="000E60B2" w:rsidRPr="002374A6" w:rsidRDefault="000E60B2" w:rsidP="000E60B2">
      <w:pPr>
        <w:jc w:val="center"/>
        <w:rPr>
          <w:b/>
          <w:bCs/>
          <w:noProof/>
          <w:szCs w:val="24"/>
        </w:rPr>
      </w:pPr>
      <w:r w:rsidRPr="002374A6">
        <w:rPr>
          <w:b/>
          <w:noProof/>
        </w:rPr>
        <w:t xml:space="preserve">Metas de redução da União </w:t>
      </w:r>
    </w:p>
    <w:p w14:paraId="7E5EFD45" w14:textId="5BD380BD" w:rsidR="000E60B2" w:rsidRPr="002374A6" w:rsidRDefault="00E65BCC" w:rsidP="00E65BCC">
      <w:pPr>
        <w:pStyle w:val="Point0"/>
        <w:rPr>
          <w:noProof/>
          <w:szCs w:val="24"/>
        </w:rPr>
      </w:pPr>
      <w:r w:rsidRPr="002374A6">
        <w:rPr>
          <w:noProof/>
        </w:rPr>
        <w:t>1.</w:t>
      </w:r>
      <w:r w:rsidRPr="002374A6">
        <w:rPr>
          <w:noProof/>
        </w:rPr>
        <w:tab/>
        <w:t xml:space="preserve">A metodologia de cálculo das tendências para as duas metas de redução da União para 2030 é a mesma que a metodologia de cálculo das tendências a nível nacional, conforme estabelecido nas secções 1 e 2. </w:t>
      </w:r>
    </w:p>
    <w:p w14:paraId="1D2738EE" w14:textId="103826DA" w:rsidR="000E60B2" w:rsidRPr="002374A6" w:rsidRDefault="00E65BCC" w:rsidP="00E65BCC">
      <w:pPr>
        <w:pStyle w:val="Point0"/>
        <w:rPr>
          <w:noProof/>
          <w:szCs w:val="24"/>
        </w:rPr>
      </w:pPr>
      <w:r w:rsidRPr="002374A6">
        <w:rPr>
          <w:noProof/>
        </w:rPr>
        <w:t>2.</w:t>
      </w:r>
      <w:r w:rsidRPr="002374A6">
        <w:rPr>
          <w:noProof/>
        </w:rPr>
        <w:tab/>
        <w:t>A tendência a nível nacional será calculada com base nas estatísticas nacionais sobre as quantidades de substâncias ativas químicas, conforme definidas no artigo 3.º, ponto 3, do presente regulamento, colocadas no mercado em produtos fitofarmacêuticos nos termos do Regulamento (CE) n</w:t>
      </w:r>
      <w:r w:rsidR="002374A6">
        <w:rPr>
          <w:noProof/>
        </w:rPr>
        <w:t>.º </w:t>
      </w:r>
      <w:r w:rsidRPr="002374A6">
        <w:rPr>
          <w:noProof/>
        </w:rPr>
        <w:t>1107/2009 fornecidas à Comissão nos termos do anexo I («Estatísticas sobre a colocação de pesticidas no mercado») do Regulamento (CE) n</w:t>
      </w:r>
      <w:r w:rsidR="002374A6">
        <w:rPr>
          <w:noProof/>
        </w:rPr>
        <w:t>.º </w:t>
      </w:r>
      <w:r w:rsidRPr="002374A6">
        <w:rPr>
          <w:noProof/>
        </w:rPr>
        <w:t>1185/2009.</w:t>
      </w:r>
    </w:p>
    <w:p w14:paraId="04BFB57E" w14:textId="3CAAA5F7" w:rsidR="000E60B2" w:rsidRPr="002374A6" w:rsidRDefault="00E65BCC" w:rsidP="00E65BCC">
      <w:pPr>
        <w:pStyle w:val="Point0"/>
        <w:rPr>
          <w:noProof/>
          <w:szCs w:val="24"/>
        </w:rPr>
      </w:pPr>
      <w:r w:rsidRPr="002374A6">
        <w:rPr>
          <w:noProof/>
        </w:rPr>
        <w:t>3.</w:t>
      </w:r>
      <w:r w:rsidRPr="002374A6">
        <w:rPr>
          <w:noProof/>
        </w:rPr>
        <w:tab/>
        <w:t>A tendência a nível da União será calculada com base nas estatísticas da União sobre as quantidades de substâncias ativas químicas, conforme definidas no artigo 3.º, ponto 3, do presente regulamento, colocadas no mercado em produtos fitofarmacêuticos nos termos do Regulamento (CE) n</w:t>
      </w:r>
      <w:r w:rsidR="002374A6">
        <w:rPr>
          <w:noProof/>
        </w:rPr>
        <w:t>.º </w:t>
      </w:r>
      <w:r w:rsidRPr="002374A6">
        <w:rPr>
          <w:noProof/>
        </w:rPr>
        <w:t>1107/2009 fornecidas à Comissão nos termos do anexo I («Estatísticas sobre a colocação de pesticidas no mercado») do Regulamento (CE) n</w:t>
      </w:r>
      <w:r w:rsidR="002374A6">
        <w:rPr>
          <w:noProof/>
        </w:rPr>
        <w:t>.º </w:t>
      </w:r>
      <w:r w:rsidRPr="002374A6">
        <w:rPr>
          <w:noProof/>
        </w:rPr>
        <w:t>1185/2009.</w:t>
      </w:r>
    </w:p>
    <w:p w14:paraId="4910E560" w14:textId="77777777" w:rsidR="000E60B2" w:rsidRPr="002374A6" w:rsidRDefault="000E60B2" w:rsidP="00FA7E56">
      <w:pPr>
        <w:rPr>
          <w:noProof/>
        </w:rPr>
        <w:sectPr w:rsidR="000E60B2" w:rsidRPr="002374A6" w:rsidSect="003D3418">
          <w:footerReference w:type="default" r:id="rId23"/>
          <w:footerReference w:type="first" r:id="rId24"/>
          <w:pgSz w:w="11907" w:h="16839"/>
          <w:pgMar w:top="1134" w:right="1417" w:bottom="1134" w:left="1417" w:header="709" w:footer="709" w:gutter="0"/>
          <w:cols w:space="720"/>
          <w:docGrid w:linePitch="360"/>
        </w:sectPr>
      </w:pPr>
    </w:p>
    <w:p w14:paraId="51C6CB92" w14:textId="77777777" w:rsidR="00FA7E56" w:rsidRPr="002374A6" w:rsidRDefault="00FA7E56" w:rsidP="00FA7E56">
      <w:pPr>
        <w:pStyle w:val="Annexetitre"/>
        <w:rPr>
          <w:noProof/>
        </w:rPr>
      </w:pPr>
      <w:r w:rsidRPr="002374A6">
        <w:rPr>
          <w:noProof/>
        </w:rPr>
        <w:t>ANEXO II</w:t>
      </w:r>
    </w:p>
    <w:p w14:paraId="527C7455" w14:textId="5908DBDD" w:rsidR="00FA7E56" w:rsidRPr="002374A6" w:rsidRDefault="00FA7E56" w:rsidP="00FA7E56">
      <w:pPr>
        <w:jc w:val="center"/>
        <w:rPr>
          <w:noProof/>
          <w:szCs w:val="24"/>
        </w:rPr>
      </w:pPr>
      <w:r w:rsidRPr="002374A6">
        <w:rPr>
          <w:b/>
          <w:noProof/>
        </w:rPr>
        <w:t>DADOS A FORNECER NOS RELATÓRIOS ANUAIS DE PROGRESSO E DE EXECUÇÃO ATÉ 31 DE AGOSTO DE CADA ANO CIVIL</w:t>
      </w:r>
    </w:p>
    <w:p w14:paraId="0B87C7FC" w14:textId="77777777" w:rsidR="00FA7E56" w:rsidRPr="002374A6" w:rsidRDefault="00FA7E56" w:rsidP="00FA7E56">
      <w:pPr>
        <w:rPr>
          <w:noProof/>
          <w:szCs w:val="24"/>
        </w:rPr>
      </w:pPr>
    </w:p>
    <w:p w14:paraId="730FBF9F" w14:textId="73BA093F" w:rsidR="00FA7E56" w:rsidRPr="002374A6" w:rsidRDefault="000753DE" w:rsidP="6B25E89D">
      <w:pPr>
        <w:rPr>
          <w:noProof/>
          <w:u w:val="single"/>
        </w:rPr>
      </w:pPr>
      <w:r w:rsidRPr="002374A6">
        <w:rPr>
          <w:noProof/>
          <w:u w:val="single"/>
        </w:rPr>
        <w:t>Parte 1: Tendências anuais dos progressos realizados na consecução das metas nacionais de redução para 2030</w:t>
      </w:r>
    </w:p>
    <w:p w14:paraId="3E3735FE" w14:textId="1B64AE04" w:rsidR="00FA7E56" w:rsidRPr="002374A6" w:rsidRDefault="000753DE" w:rsidP="000753DE">
      <w:pPr>
        <w:pStyle w:val="Point0"/>
        <w:rPr>
          <w:noProof/>
          <w:szCs w:val="24"/>
        </w:rPr>
      </w:pPr>
      <w:r w:rsidRPr="002374A6">
        <w:rPr>
          <w:noProof/>
        </w:rPr>
        <w:t>1.</w:t>
      </w:r>
      <w:r w:rsidRPr="002374A6">
        <w:rPr>
          <w:noProof/>
        </w:rPr>
        <w:tab/>
        <w:t>As tendências dos progressos realizados por um Estado</w:t>
      </w:r>
      <w:r w:rsidR="002374A6">
        <w:rPr>
          <w:noProof/>
        </w:rPr>
        <w:noBreakHyphen/>
      </w:r>
      <w:r w:rsidRPr="002374A6">
        <w:rPr>
          <w:noProof/>
        </w:rPr>
        <w:t xml:space="preserve">Membro na consecução das duas metas </w:t>
      </w:r>
      <w:r w:rsidRPr="002374A6">
        <w:rPr>
          <w:noProof/>
          <w:shd w:val="clear" w:color="auto" w:fill="FFFFFF"/>
        </w:rPr>
        <w:t>nacionais</w:t>
      </w:r>
      <w:r w:rsidRPr="002374A6">
        <w:rPr>
          <w:noProof/>
        </w:rPr>
        <w:t xml:space="preserve"> de redução para 2030 a que se refere o artigo 10.º, n</w:t>
      </w:r>
      <w:r w:rsidR="002374A6">
        <w:rPr>
          <w:noProof/>
        </w:rPr>
        <w:t>.º </w:t>
      </w:r>
      <w:r w:rsidRPr="002374A6">
        <w:rPr>
          <w:noProof/>
        </w:rPr>
        <w:t>2, alínea a);</w:t>
      </w:r>
    </w:p>
    <w:p w14:paraId="2E7E6EF9" w14:textId="050D3CAA" w:rsidR="00FA7E56" w:rsidRPr="002374A6" w:rsidRDefault="00CA5657" w:rsidP="000753DE">
      <w:pPr>
        <w:pStyle w:val="Point0"/>
        <w:rPr>
          <w:noProof/>
          <w:szCs w:val="24"/>
        </w:rPr>
      </w:pPr>
      <w:r w:rsidRPr="002374A6">
        <w:rPr>
          <w:noProof/>
        </w:rPr>
        <w:t>2.</w:t>
      </w:r>
      <w:r w:rsidRPr="002374A6">
        <w:rPr>
          <w:noProof/>
        </w:rPr>
        <w:tab/>
        <w:t>Todas as outras metas indicativas nacionais indicadas no artigo 9.º, n</w:t>
      </w:r>
      <w:r w:rsidR="002374A6">
        <w:rPr>
          <w:noProof/>
        </w:rPr>
        <w:t>.º </w:t>
      </w:r>
      <w:r w:rsidRPr="002374A6">
        <w:rPr>
          <w:noProof/>
        </w:rPr>
        <w:t>2, alínea a), no artigo 9.º, n</w:t>
      </w:r>
      <w:r w:rsidR="002374A6">
        <w:rPr>
          <w:noProof/>
        </w:rPr>
        <w:t>.º </w:t>
      </w:r>
      <w:r w:rsidRPr="002374A6">
        <w:rPr>
          <w:noProof/>
        </w:rPr>
        <w:t>3, alínea a), e no artigo 9.º, n</w:t>
      </w:r>
      <w:r w:rsidR="002374A6">
        <w:rPr>
          <w:noProof/>
        </w:rPr>
        <w:t>.º </w:t>
      </w:r>
      <w:r w:rsidRPr="002374A6">
        <w:rPr>
          <w:noProof/>
        </w:rPr>
        <w:t>4.</w:t>
      </w:r>
    </w:p>
    <w:p w14:paraId="43740792" w14:textId="77777777" w:rsidR="00FA7E56" w:rsidRPr="002374A6" w:rsidRDefault="00FA7E56" w:rsidP="00FA7E56">
      <w:pPr>
        <w:rPr>
          <w:noProof/>
          <w:szCs w:val="24"/>
        </w:rPr>
      </w:pPr>
    </w:p>
    <w:p w14:paraId="55533FF5" w14:textId="76B10478" w:rsidR="00FA7E56" w:rsidRPr="002374A6" w:rsidRDefault="00FA7E56" w:rsidP="00FA7E56">
      <w:pPr>
        <w:rPr>
          <w:noProof/>
          <w:szCs w:val="24"/>
          <w:u w:val="single"/>
        </w:rPr>
      </w:pPr>
      <w:r w:rsidRPr="002374A6">
        <w:rPr>
          <w:noProof/>
          <w:u w:val="single"/>
        </w:rPr>
        <w:t>Parte 2: Todos os outros dados quantitativos relevantes para a aplicação do presente regulamento e o nível de conformidade com o mesmo</w:t>
      </w:r>
    </w:p>
    <w:p w14:paraId="75C984A0" w14:textId="77777777" w:rsidR="00FA7E56" w:rsidRPr="002374A6" w:rsidRDefault="00FA7E56" w:rsidP="00FA7E56">
      <w:pPr>
        <w:rPr>
          <w:noProof/>
          <w:szCs w:val="24"/>
        </w:rPr>
      </w:pPr>
      <w:r w:rsidRPr="002374A6">
        <w:rPr>
          <w:noProof/>
        </w:rPr>
        <w:t>Utilização de produtos fitofarmacêuticos:</w:t>
      </w:r>
    </w:p>
    <w:p w14:paraId="4EF1DA2C" w14:textId="77777777" w:rsidR="00FA7E56" w:rsidRPr="002374A6" w:rsidRDefault="000753DE" w:rsidP="000753DE">
      <w:pPr>
        <w:pStyle w:val="Point0"/>
        <w:rPr>
          <w:noProof/>
          <w:szCs w:val="24"/>
        </w:rPr>
      </w:pPr>
      <w:r w:rsidRPr="002374A6">
        <w:rPr>
          <w:noProof/>
        </w:rPr>
        <w:t>1.</w:t>
      </w:r>
      <w:r w:rsidRPr="002374A6">
        <w:rPr>
          <w:noProof/>
        </w:rPr>
        <w:tab/>
        <w:t>A percentagem de utilizadores profissionais objeto de controlo da aplicação da proteção integrada;</w:t>
      </w:r>
    </w:p>
    <w:p w14:paraId="2F4BA121" w14:textId="573A5DEF" w:rsidR="00FA7E56" w:rsidRPr="002374A6" w:rsidRDefault="000753DE" w:rsidP="000753DE">
      <w:pPr>
        <w:pStyle w:val="Point0"/>
        <w:rPr>
          <w:noProof/>
          <w:szCs w:val="24"/>
        </w:rPr>
      </w:pPr>
      <w:r w:rsidRPr="002374A6">
        <w:rPr>
          <w:noProof/>
        </w:rPr>
        <w:t>2.</w:t>
      </w:r>
      <w:r w:rsidRPr="002374A6">
        <w:rPr>
          <w:noProof/>
        </w:rPr>
        <w:tab/>
        <w:t>A percentagem de utilizadores profissionais que não cumprem a obrigação de conservar registos eletrónicos sobre a aplicação da proteção integrada;</w:t>
      </w:r>
    </w:p>
    <w:p w14:paraId="03712BFC" w14:textId="2CF64223" w:rsidR="00FA7E56" w:rsidRPr="002374A6" w:rsidRDefault="000753DE" w:rsidP="000753DE">
      <w:pPr>
        <w:pStyle w:val="Point0"/>
        <w:rPr>
          <w:noProof/>
          <w:szCs w:val="24"/>
        </w:rPr>
      </w:pPr>
      <w:r w:rsidRPr="002374A6">
        <w:rPr>
          <w:noProof/>
        </w:rPr>
        <w:t>3.</w:t>
      </w:r>
      <w:r w:rsidRPr="002374A6">
        <w:rPr>
          <w:noProof/>
        </w:rPr>
        <w:tab/>
        <w:t>A percentagem de utilizadores profissionais que não cumpriram a obrigação de conservar dados eletrónicos relativos à utilização dos pesticidas;</w:t>
      </w:r>
    </w:p>
    <w:p w14:paraId="27B1107B" w14:textId="1B38A462" w:rsidR="00FA7E56" w:rsidRPr="002374A6" w:rsidRDefault="000753DE" w:rsidP="000753DE">
      <w:pPr>
        <w:pStyle w:val="Point0"/>
        <w:rPr>
          <w:noProof/>
          <w:szCs w:val="24"/>
        </w:rPr>
      </w:pPr>
      <w:r w:rsidRPr="002374A6">
        <w:rPr>
          <w:noProof/>
        </w:rPr>
        <w:t>4.</w:t>
      </w:r>
      <w:r w:rsidRPr="002374A6">
        <w:rPr>
          <w:noProof/>
        </w:rPr>
        <w:tab/>
        <w:t>O número de licenças de aplicação aérea, o prazo de validade da licença e a dimensão e localização das zonas em causa e os motivos da concessão da licença;</w:t>
      </w:r>
    </w:p>
    <w:p w14:paraId="4ED1FF6C" w14:textId="12DF7951" w:rsidR="00FA7E56" w:rsidRPr="002374A6" w:rsidRDefault="000753DE" w:rsidP="000753DE">
      <w:pPr>
        <w:pStyle w:val="Point0"/>
        <w:rPr>
          <w:noProof/>
          <w:szCs w:val="24"/>
        </w:rPr>
      </w:pPr>
      <w:r w:rsidRPr="002374A6">
        <w:rPr>
          <w:noProof/>
        </w:rPr>
        <w:t>5.</w:t>
      </w:r>
      <w:r w:rsidRPr="002374A6">
        <w:rPr>
          <w:noProof/>
        </w:rPr>
        <w:tab/>
        <w:t>A percentagem de superfície agrícola utilizada e de outras zonas abrangidas por licenças de aplicação aérea;</w:t>
      </w:r>
    </w:p>
    <w:p w14:paraId="6940A9AC" w14:textId="223DDFD6" w:rsidR="00FA7E56" w:rsidRPr="002374A6" w:rsidRDefault="000753DE" w:rsidP="000753DE">
      <w:pPr>
        <w:pStyle w:val="Point0"/>
        <w:rPr>
          <w:noProof/>
          <w:szCs w:val="24"/>
        </w:rPr>
      </w:pPr>
      <w:r w:rsidRPr="002374A6">
        <w:rPr>
          <w:noProof/>
        </w:rPr>
        <w:t>6.</w:t>
      </w:r>
      <w:r w:rsidRPr="002374A6">
        <w:rPr>
          <w:noProof/>
        </w:rPr>
        <w:tab/>
        <w:t>O número de licenças de utilização de produtos fitofarmacêuticos em zonas sensíveis;</w:t>
      </w:r>
    </w:p>
    <w:p w14:paraId="70BA2AB6" w14:textId="1166372A" w:rsidR="00FA7E56" w:rsidRPr="002374A6" w:rsidRDefault="000753DE" w:rsidP="000753DE">
      <w:pPr>
        <w:pStyle w:val="Point0"/>
        <w:rPr>
          <w:noProof/>
          <w:szCs w:val="24"/>
        </w:rPr>
      </w:pPr>
      <w:r w:rsidRPr="002374A6">
        <w:rPr>
          <w:noProof/>
        </w:rPr>
        <w:t>7.</w:t>
      </w:r>
      <w:r w:rsidRPr="002374A6">
        <w:rPr>
          <w:noProof/>
        </w:rPr>
        <w:tab/>
        <w:t>A percentagem de superfície agrícola utilizada e de outras zonas abrangidas por licenças de utilização de produtos fitofarmacêuticos em zonas sensíveis;</w:t>
      </w:r>
    </w:p>
    <w:p w14:paraId="31667D83" w14:textId="5A147697" w:rsidR="00C12CC9" w:rsidRPr="002374A6" w:rsidRDefault="00C12CC9" w:rsidP="000753DE">
      <w:pPr>
        <w:pStyle w:val="Point0"/>
        <w:rPr>
          <w:noProof/>
          <w:szCs w:val="24"/>
        </w:rPr>
      </w:pPr>
      <w:r w:rsidRPr="002374A6">
        <w:rPr>
          <w:noProof/>
        </w:rPr>
        <w:t>8.</w:t>
      </w:r>
      <w:r w:rsidRPr="002374A6">
        <w:rPr>
          <w:noProof/>
        </w:rPr>
        <w:tab/>
        <w:t xml:space="preserve">As quantidades estimadas de produtos fitofarmacêuticos ilegais utilizados e as quantidades de produtos fitofarmacêuticos ilegais detetados;  </w:t>
      </w:r>
    </w:p>
    <w:p w14:paraId="3105724B" w14:textId="6D1DC096" w:rsidR="00FA7E56" w:rsidRPr="002374A6" w:rsidRDefault="00C12CC9" w:rsidP="000753DE">
      <w:pPr>
        <w:pStyle w:val="Point0"/>
        <w:rPr>
          <w:noProof/>
          <w:szCs w:val="24"/>
        </w:rPr>
      </w:pPr>
      <w:r w:rsidRPr="002374A6">
        <w:rPr>
          <w:noProof/>
        </w:rPr>
        <w:t>9.</w:t>
      </w:r>
      <w:r w:rsidRPr="002374A6">
        <w:rPr>
          <w:noProof/>
        </w:rPr>
        <w:tab/>
        <w:t>Se tiverem sido concedidas derrogações a qualquer dos Estados</w:t>
      </w:r>
      <w:r w:rsidR="002374A6">
        <w:rPr>
          <w:noProof/>
        </w:rPr>
        <w:noBreakHyphen/>
      </w:r>
      <w:r w:rsidRPr="002374A6">
        <w:rPr>
          <w:noProof/>
        </w:rPr>
        <w:t>Membros que permitam:</w:t>
      </w:r>
    </w:p>
    <w:p w14:paraId="38FE698F" w14:textId="3723C3B3" w:rsidR="00FA7E56" w:rsidRPr="002374A6" w:rsidRDefault="000753DE" w:rsidP="000753DE">
      <w:pPr>
        <w:pStyle w:val="Point1"/>
        <w:rPr>
          <w:noProof/>
        </w:rPr>
      </w:pPr>
      <w:r w:rsidRPr="002374A6">
        <w:rPr>
          <w:noProof/>
        </w:rPr>
        <w:t>a)</w:t>
      </w:r>
      <w:r w:rsidRPr="002374A6">
        <w:rPr>
          <w:noProof/>
        </w:rPr>
        <w:tab/>
        <w:t xml:space="preserve">Requisitos de inspeção diferentes aplicáveis aos equipamentos de aplicação utilizados a título profissional que tenham um nível de utilização reduzido; ou </w:t>
      </w:r>
    </w:p>
    <w:p w14:paraId="13246347" w14:textId="48EF9EC7" w:rsidR="00FA7E56" w:rsidRPr="002374A6" w:rsidRDefault="000753DE" w:rsidP="000753DE">
      <w:pPr>
        <w:pStyle w:val="Point1"/>
        <w:rPr>
          <w:noProof/>
          <w:szCs w:val="24"/>
        </w:rPr>
      </w:pPr>
      <w:r w:rsidRPr="002374A6">
        <w:rPr>
          <w:noProof/>
        </w:rPr>
        <w:t>b)</w:t>
      </w:r>
      <w:r w:rsidRPr="002374A6">
        <w:rPr>
          <w:noProof/>
        </w:rPr>
        <w:tab/>
        <w:t>Isenções de inspeção dos equipamentos manuais de aplicação ou dos pulverizadores de dorso utilizados a título profissional.</w:t>
      </w:r>
    </w:p>
    <w:p w14:paraId="2986915D" w14:textId="77777777" w:rsidR="00FA7E56" w:rsidRPr="002374A6" w:rsidRDefault="00FA7E56" w:rsidP="00FA7E56">
      <w:pPr>
        <w:rPr>
          <w:noProof/>
          <w:szCs w:val="24"/>
        </w:rPr>
      </w:pPr>
      <w:r w:rsidRPr="002374A6">
        <w:rPr>
          <w:noProof/>
        </w:rPr>
        <w:t>Formação e serviços aconselhamento:</w:t>
      </w:r>
    </w:p>
    <w:p w14:paraId="2A8361F2" w14:textId="20B4829B" w:rsidR="00FA7E56" w:rsidRPr="002374A6" w:rsidRDefault="00E65BCC" w:rsidP="000753DE">
      <w:pPr>
        <w:pStyle w:val="Point0"/>
        <w:rPr>
          <w:noProof/>
          <w:szCs w:val="24"/>
        </w:rPr>
      </w:pPr>
      <w:r w:rsidRPr="002374A6">
        <w:rPr>
          <w:noProof/>
        </w:rPr>
        <w:t>10.</w:t>
      </w:r>
      <w:r w:rsidRPr="002374A6">
        <w:rPr>
          <w:noProof/>
        </w:rPr>
        <w:tab/>
        <w:t>A percentagem de utilizadores profissionais, conselheiros e distribuidores formados nas matérias enumeradas no anexo III e titulares de um certificado de formação, em conformidade com o artigo 25.º, ou que tenha uma prova de inscrição num registo eletrónico central, em conformidade com o artigo 25.º, n</w:t>
      </w:r>
      <w:r w:rsidR="002374A6">
        <w:rPr>
          <w:noProof/>
        </w:rPr>
        <w:t>.º </w:t>
      </w:r>
      <w:r w:rsidRPr="002374A6">
        <w:rPr>
          <w:noProof/>
        </w:rPr>
        <w:t>5, discriminada por utilizadores profissionais, conselheiros e distribuidores;</w:t>
      </w:r>
    </w:p>
    <w:p w14:paraId="0D514D7F" w14:textId="7E0AAD36" w:rsidR="00FA7E56" w:rsidRPr="002374A6" w:rsidRDefault="00E65BCC" w:rsidP="000753DE">
      <w:pPr>
        <w:pStyle w:val="Point0"/>
        <w:rPr>
          <w:noProof/>
          <w:szCs w:val="24"/>
        </w:rPr>
      </w:pPr>
      <w:r w:rsidRPr="002374A6">
        <w:rPr>
          <w:noProof/>
        </w:rPr>
        <w:t>11.</w:t>
      </w:r>
      <w:r w:rsidRPr="002374A6">
        <w:rPr>
          <w:noProof/>
        </w:rPr>
        <w:tab/>
        <w:t>A percentagem de utilizadores profissionais que não cumpriram a obrigação de recorrer a serviços de aconselhamento independentes pelo menos uma vez por ano.</w:t>
      </w:r>
    </w:p>
    <w:p w14:paraId="170514C4" w14:textId="7D20E8E6" w:rsidR="00FA7E56" w:rsidRPr="002374A6" w:rsidRDefault="00FA7E56" w:rsidP="00FA7E56">
      <w:pPr>
        <w:rPr>
          <w:noProof/>
          <w:szCs w:val="24"/>
        </w:rPr>
      </w:pPr>
      <w:r w:rsidRPr="002374A6">
        <w:rPr>
          <w:noProof/>
        </w:rPr>
        <w:t>Equipamentos de aplicação utilizados a título profissional:</w:t>
      </w:r>
    </w:p>
    <w:p w14:paraId="38FA557C" w14:textId="755D25DB" w:rsidR="00FA7E56" w:rsidRPr="002374A6" w:rsidRDefault="00E65BCC" w:rsidP="000753DE">
      <w:pPr>
        <w:pStyle w:val="Point0"/>
        <w:rPr>
          <w:noProof/>
          <w:szCs w:val="24"/>
        </w:rPr>
      </w:pPr>
      <w:r w:rsidRPr="002374A6">
        <w:rPr>
          <w:noProof/>
        </w:rPr>
        <w:t>12.</w:t>
      </w:r>
      <w:r w:rsidRPr="002374A6">
        <w:rPr>
          <w:noProof/>
        </w:rPr>
        <w:tab/>
        <w:t>A percentagem estimada de equipamentos de aplicação utilizados a título profissional registados no registo eletrónico de equipamentos de aplicação utilizados a título profissional;</w:t>
      </w:r>
    </w:p>
    <w:p w14:paraId="76AE3BF4" w14:textId="175ED64F" w:rsidR="00FA7E56" w:rsidRPr="002374A6" w:rsidRDefault="00141CE9" w:rsidP="000753DE">
      <w:pPr>
        <w:pStyle w:val="Point0"/>
        <w:rPr>
          <w:noProof/>
          <w:szCs w:val="24"/>
        </w:rPr>
      </w:pPr>
      <w:r w:rsidRPr="002374A6">
        <w:rPr>
          <w:noProof/>
        </w:rPr>
        <w:t>13.</w:t>
      </w:r>
      <w:r w:rsidRPr="002374A6">
        <w:rPr>
          <w:noProof/>
        </w:rPr>
        <w:tab/>
        <w:t>A percentagem de equipamentos de aplicação utilizados a título profissional registados e indicados para inspeção que foram inspecionados;</w:t>
      </w:r>
    </w:p>
    <w:p w14:paraId="153EEB8A" w14:textId="524F38A1" w:rsidR="00FA7E56" w:rsidRPr="002374A6" w:rsidRDefault="00141CE9" w:rsidP="000753DE">
      <w:pPr>
        <w:pStyle w:val="Point0"/>
        <w:rPr>
          <w:noProof/>
          <w:szCs w:val="24"/>
        </w:rPr>
      </w:pPr>
      <w:r w:rsidRPr="002374A6">
        <w:rPr>
          <w:noProof/>
        </w:rPr>
        <w:t>14.</w:t>
      </w:r>
      <w:r w:rsidRPr="002374A6">
        <w:rPr>
          <w:noProof/>
        </w:rPr>
        <w:tab/>
        <w:t>A percentagem, no momento da inspeção, de equipamentos de aplicação utilizados a título profissional com dispositivos de redução dos riscos.</w:t>
      </w:r>
    </w:p>
    <w:p w14:paraId="64CBCD19" w14:textId="1ABED8F8" w:rsidR="00FA7E56" w:rsidRPr="002374A6" w:rsidRDefault="00FA7E56" w:rsidP="00FA7E56">
      <w:pPr>
        <w:rPr>
          <w:noProof/>
          <w:szCs w:val="24"/>
        </w:rPr>
      </w:pPr>
      <w:r w:rsidRPr="002374A6">
        <w:rPr>
          <w:noProof/>
        </w:rPr>
        <w:t>Medidas adicionais dos Estados</w:t>
      </w:r>
      <w:r w:rsidR="002374A6">
        <w:rPr>
          <w:noProof/>
        </w:rPr>
        <w:noBreakHyphen/>
      </w:r>
      <w:r w:rsidRPr="002374A6">
        <w:rPr>
          <w:noProof/>
        </w:rPr>
        <w:t>Membros para a aplicação da proteção integrada:</w:t>
      </w:r>
    </w:p>
    <w:p w14:paraId="798813DE" w14:textId="70383564" w:rsidR="00FA7E56" w:rsidRPr="002374A6" w:rsidRDefault="000753DE" w:rsidP="6B25E89D">
      <w:pPr>
        <w:pStyle w:val="Point0"/>
        <w:rPr>
          <w:noProof/>
        </w:rPr>
      </w:pPr>
      <w:r w:rsidRPr="002374A6">
        <w:rPr>
          <w:noProof/>
        </w:rPr>
        <w:t>15.</w:t>
      </w:r>
      <w:r w:rsidRPr="002374A6">
        <w:rPr>
          <w:noProof/>
        </w:rPr>
        <w:tab/>
        <w:t>A percentagem de superfície agrícola utilizada em cada Estado</w:t>
      </w:r>
      <w:r w:rsidR="002374A6">
        <w:rPr>
          <w:noProof/>
        </w:rPr>
        <w:noBreakHyphen/>
      </w:r>
      <w:r w:rsidRPr="002374A6">
        <w:rPr>
          <w:noProof/>
        </w:rPr>
        <w:t>Membro que é abrangida por regras específicas em função das culturas que passaram a ser juridicamente vinculativas nos termos da legislação nacional.</w:t>
      </w:r>
    </w:p>
    <w:p w14:paraId="746F190A" w14:textId="77777777" w:rsidR="00FA7E56" w:rsidRPr="002374A6" w:rsidRDefault="00FA7E56" w:rsidP="00FA7E56">
      <w:pPr>
        <w:rPr>
          <w:noProof/>
        </w:rPr>
        <w:sectPr w:rsidR="00FA7E56" w:rsidRPr="002374A6" w:rsidSect="003D3418">
          <w:pgSz w:w="11907" w:h="16839"/>
          <w:pgMar w:top="1134" w:right="1417" w:bottom="1134" w:left="1417" w:header="709" w:footer="709" w:gutter="0"/>
          <w:cols w:space="720"/>
          <w:docGrid w:linePitch="360"/>
        </w:sectPr>
      </w:pPr>
    </w:p>
    <w:p w14:paraId="30E49EE8" w14:textId="71E59021" w:rsidR="00FA7E56" w:rsidRPr="002374A6" w:rsidRDefault="6B25E89D" w:rsidP="6B25E89D">
      <w:pPr>
        <w:pStyle w:val="Annexetitre"/>
        <w:rPr>
          <w:noProof/>
        </w:rPr>
      </w:pPr>
      <w:r w:rsidRPr="002374A6">
        <w:rPr>
          <w:noProof/>
        </w:rPr>
        <w:t xml:space="preserve">ANEXO III </w:t>
      </w:r>
    </w:p>
    <w:p w14:paraId="4DB0F5F5" w14:textId="44C4A3FC" w:rsidR="00FA7E56" w:rsidRPr="002374A6" w:rsidRDefault="6B25E89D" w:rsidP="6B25E89D">
      <w:pPr>
        <w:shd w:val="clear" w:color="auto" w:fill="FFFFFF" w:themeFill="background1"/>
        <w:spacing w:before="240" w:line="312" w:lineRule="atLeast"/>
        <w:jc w:val="center"/>
        <w:rPr>
          <w:rFonts w:eastAsia="Times New Roman"/>
          <w:b/>
          <w:bCs/>
          <w:noProof/>
        </w:rPr>
      </w:pPr>
      <w:r w:rsidRPr="002374A6">
        <w:rPr>
          <w:b/>
          <w:noProof/>
        </w:rPr>
        <w:t>TEMAS DA FORMAÇÃO REFERIDA NO ARTIGO 25.º</w:t>
      </w:r>
    </w:p>
    <w:p w14:paraId="18D8A361" w14:textId="1E44B82C" w:rsidR="000753DE" w:rsidRPr="002374A6" w:rsidRDefault="00EF27F7" w:rsidP="00EF27F7">
      <w:pPr>
        <w:pStyle w:val="Point0"/>
        <w:rPr>
          <w:rFonts w:eastAsia="Times New Roman"/>
          <w:noProof/>
          <w:szCs w:val="24"/>
        </w:rPr>
      </w:pPr>
      <w:r w:rsidRPr="002374A6">
        <w:rPr>
          <w:noProof/>
        </w:rPr>
        <w:t>1.</w:t>
      </w:r>
      <w:r w:rsidRPr="002374A6">
        <w:rPr>
          <w:noProof/>
        </w:rPr>
        <w:tab/>
        <w:t>Toda a legislação pertinente relativa aos produtos fitofarmacêuticos e à sua utilização e risco e, em especial, o presente regulamento. Embora não seja exclusiva, a seguinte legislação é pertinente:</w:t>
      </w:r>
    </w:p>
    <w:p w14:paraId="178EAA23" w14:textId="3C33FA87" w:rsidR="008F68B9" w:rsidRPr="002374A6" w:rsidRDefault="00840C9B" w:rsidP="00E65BCC">
      <w:pPr>
        <w:pStyle w:val="Text1"/>
        <w:rPr>
          <w:rFonts w:eastAsia="Calibri"/>
          <w:noProof/>
          <w:szCs w:val="24"/>
        </w:rPr>
      </w:pPr>
      <w:r w:rsidRPr="002374A6">
        <w:rPr>
          <w:noProof/>
        </w:rPr>
        <w:t>Regulamento (CE) n</w:t>
      </w:r>
      <w:r w:rsidR="002374A6">
        <w:rPr>
          <w:noProof/>
        </w:rPr>
        <w:t>.º </w:t>
      </w:r>
      <w:r w:rsidRPr="002374A6">
        <w:rPr>
          <w:noProof/>
        </w:rPr>
        <w:t>1107/2009 do Parlamento Europeu e do Conselho</w:t>
      </w:r>
      <w:r w:rsidRPr="002374A6">
        <w:rPr>
          <w:rStyle w:val="FootnoteReference"/>
          <w:noProof/>
          <w:szCs w:val="24"/>
        </w:rPr>
        <w:footnoteReference w:id="4"/>
      </w:r>
    </w:p>
    <w:p w14:paraId="5721C19A" w14:textId="09ABDC5B" w:rsidR="008F68B9" w:rsidRPr="002374A6" w:rsidRDefault="008F68B9" w:rsidP="00E65BCC">
      <w:pPr>
        <w:pStyle w:val="Text1"/>
        <w:rPr>
          <w:rFonts w:eastAsia="Calibri"/>
          <w:noProof/>
          <w:szCs w:val="24"/>
        </w:rPr>
      </w:pPr>
      <w:r w:rsidRPr="002374A6">
        <w:rPr>
          <w:noProof/>
        </w:rPr>
        <w:t>Regulamento (CE) n</w:t>
      </w:r>
      <w:r w:rsidR="002374A6">
        <w:rPr>
          <w:noProof/>
        </w:rPr>
        <w:t>.º </w:t>
      </w:r>
      <w:r w:rsidRPr="002374A6">
        <w:rPr>
          <w:noProof/>
        </w:rPr>
        <w:t>396/2005 do Parlamento Europeu e do Conselho</w:t>
      </w:r>
      <w:r w:rsidRPr="002374A6">
        <w:rPr>
          <w:rStyle w:val="FootnoteReference"/>
          <w:rFonts w:eastAsia="Calibri"/>
          <w:noProof/>
          <w:szCs w:val="24"/>
        </w:rPr>
        <w:footnoteReference w:id="5"/>
      </w:r>
    </w:p>
    <w:p w14:paraId="450D1653" w14:textId="78B5C03E" w:rsidR="008F68B9" w:rsidRPr="002374A6" w:rsidRDefault="00840C9B" w:rsidP="00E65BCC">
      <w:pPr>
        <w:pStyle w:val="Text1"/>
        <w:rPr>
          <w:rFonts w:eastAsia="Calibri"/>
          <w:noProof/>
          <w:szCs w:val="24"/>
        </w:rPr>
      </w:pPr>
      <w:r w:rsidRPr="002374A6">
        <w:rPr>
          <w:noProof/>
        </w:rPr>
        <w:t>Regulamento (UE) n</w:t>
      </w:r>
      <w:r w:rsidR="002374A6">
        <w:rPr>
          <w:noProof/>
        </w:rPr>
        <w:t>.º </w:t>
      </w:r>
      <w:r w:rsidRPr="002374A6">
        <w:rPr>
          <w:noProof/>
        </w:rPr>
        <w:t>528/2012 do Parlamento Europeu e do Conselho</w:t>
      </w:r>
      <w:r w:rsidRPr="002374A6">
        <w:rPr>
          <w:rStyle w:val="FootnoteReference"/>
          <w:noProof/>
          <w:szCs w:val="24"/>
        </w:rPr>
        <w:footnoteReference w:id="6"/>
      </w:r>
    </w:p>
    <w:p w14:paraId="221E3EC7" w14:textId="74868C59" w:rsidR="008F68B9" w:rsidRPr="002374A6" w:rsidRDefault="008F68B9" w:rsidP="00E65BCC">
      <w:pPr>
        <w:pStyle w:val="Text1"/>
        <w:rPr>
          <w:rFonts w:eastAsia="Calibri"/>
          <w:noProof/>
          <w:szCs w:val="24"/>
        </w:rPr>
      </w:pPr>
      <w:r w:rsidRPr="002374A6">
        <w:rPr>
          <w:noProof/>
        </w:rPr>
        <w:t>Regulamento (CE) n</w:t>
      </w:r>
      <w:r w:rsidR="002374A6">
        <w:rPr>
          <w:noProof/>
        </w:rPr>
        <w:t>.º </w:t>
      </w:r>
      <w:r w:rsidRPr="002374A6">
        <w:rPr>
          <w:noProof/>
        </w:rPr>
        <w:t>1185/2009 do Parlamento Europeu e do Conselho</w:t>
      </w:r>
      <w:r w:rsidRPr="002374A6">
        <w:rPr>
          <w:rStyle w:val="FootnoteReference"/>
          <w:rFonts w:eastAsia="Calibri"/>
          <w:noProof/>
          <w:szCs w:val="24"/>
        </w:rPr>
        <w:footnoteReference w:id="7"/>
      </w:r>
    </w:p>
    <w:p w14:paraId="7D5B1CD9" w14:textId="23F4FDD4" w:rsidR="008F68B9" w:rsidRPr="002374A6" w:rsidRDefault="008F68B9" w:rsidP="00E65BCC">
      <w:pPr>
        <w:pStyle w:val="Text1"/>
        <w:rPr>
          <w:rFonts w:eastAsia="Calibri"/>
          <w:noProof/>
          <w:szCs w:val="24"/>
        </w:rPr>
      </w:pPr>
      <w:r w:rsidRPr="002374A6">
        <w:rPr>
          <w:noProof/>
        </w:rPr>
        <w:t>Regulamento (CE) n</w:t>
      </w:r>
      <w:r w:rsidR="002374A6">
        <w:rPr>
          <w:noProof/>
        </w:rPr>
        <w:t>.º </w:t>
      </w:r>
      <w:r w:rsidRPr="002374A6">
        <w:rPr>
          <w:noProof/>
        </w:rPr>
        <w:t>1272/2008 do Parlamento Europeu e do Conselho</w:t>
      </w:r>
      <w:r w:rsidRPr="002374A6">
        <w:rPr>
          <w:rStyle w:val="FootnoteReference"/>
          <w:rFonts w:eastAsia="Calibri"/>
          <w:noProof/>
          <w:szCs w:val="24"/>
        </w:rPr>
        <w:footnoteReference w:id="8"/>
      </w:r>
    </w:p>
    <w:p w14:paraId="2B6EB8C1" w14:textId="021604B9" w:rsidR="008F68B9" w:rsidRPr="002374A6" w:rsidRDefault="00840C9B" w:rsidP="00E65BCC">
      <w:pPr>
        <w:pStyle w:val="Text1"/>
        <w:rPr>
          <w:rFonts w:eastAsia="Calibri"/>
          <w:noProof/>
          <w:szCs w:val="24"/>
        </w:rPr>
      </w:pPr>
      <w:r w:rsidRPr="002374A6">
        <w:rPr>
          <w:noProof/>
        </w:rPr>
        <w:t>Regulamento (UE) 2017/625 do Parlamento Europeu e do Conselho</w:t>
      </w:r>
      <w:r w:rsidRPr="002374A6">
        <w:rPr>
          <w:rStyle w:val="FootnoteReference"/>
          <w:rFonts w:eastAsia="Times New Roman"/>
          <w:noProof/>
          <w:szCs w:val="24"/>
          <w:lang w:eastAsia="en-IE"/>
        </w:rPr>
        <w:footnoteReference w:id="9"/>
      </w:r>
    </w:p>
    <w:p w14:paraId="783E356E" w14:textId="3F744442" w:rsidR="00BC3914" w:rsidRPr="002374A6" w:rsidRDefault="00840C9B" w:rsidP="00E65BCC">
      <w:pPr>
        <w:pStyle w:val="Text1"/>
        <w:rPr>
          <w:rFonts w:eastAsia="Times New Roman"/>
          <w:noProof/>
          <w:szCs w:val="24"/>
        </w:rPr>
      </w:pPr>
      <w:r w:rsidRPr="002374A6">
        <w:rPr>
          <w:noProof/>
        </w:rPr>
        <w:t>Regulamento (UE) 2021/2115 do Parlamento Europeu e do Conselho</w:t>
      </w:r>
      <w:r w:rsidRPr="002374A6">
        <w:rPr>
          <w:rStyle w:val="FootnoteReference"/>
          <w:rFonts w:eastAsia="Times New Roman"/>
          <w:noProof/>
          <w:szCs w:val="24"/>
          <w:lang w:eastAsia="en-IE"/>
        </w:rPr>
        <w:footnoteReference w:id="10"/>
      </w:r>
    </w:p>
    <w:p w14:paraId="6A6B6C45" w14:textId="557738C5" w:rsidR="008F35D4" w:rsidRPr="002374A6" w:rsidRDefault="008F35D4" w:rsidP="00E65BCC">
      <w:pPr>
        <w:pStyle w:val="Text1"/>
        <w:rPr>
          <w:rFonts w:eastAsia="Times New Roman"/>
          <w:noProof/>
          <w:szCs w:val="24"/>
        </w:rPr>
      </w:pPr>
      <w:r w:rsidRPr="002374A6">
        <w:rPr>
          <w:noProof/>
        </w:rPr>
        <w:t>Diretiva 2006/42/CE do Parlamento Europeu e do Conselho</w:t>
      </w:r>
      <w:r w:rsidRPr="002374A6">
        <w:rPr>
          <w:rStyle w:val="FootnoteReference"/>
          <w:noProof/>
        </w:rPr>
        <w:footnoteReference w:id="11"/>
      </w:r>
    </w:p>
    <w:p w14:paraId="3051D172" w14:textId="2CF2C361" w:rsidR="008F68B9" w:rsidRPr="002374A6" w:rsidRDefault="00BC3914" w:rsidP="00E65BCC">
      <w:pPr>
        <w:pStyle w:val="Text1"/>
        <w:rPr>
          <w:rFonts w:eastAsia="Calibri"/>
          <w:noProof/>
          <w:szCs w:val="24"/>
        </w:rPr>
      </w:pPr>
      <w:r w:rsidRPr="002374A6">
        <w:rPr>
          <w:noProof/>
        </w:rPr>
        <w:t>Diretiva 2009/127/CE do Parlamento Europeu e do Conselho</w:t>
      </w:r>
      <w:r w:rsidRPr="002374A6">
        <w:rPr>
          <w:rStyle w:val="FootnoteReference"/>
          <w:rFonts w:eastAsia="Calibri"/>
          <w:noProof/>
          <w:szCs w:val="24"/>
        </w:rPr>
        <w:footnoteReference w:id="12"/>
      </w:r>
    </w:p>
    <w:p w14:paraId="2E4DA7F9" w14:textId="7D83DBA4" w:rsidR="00BC3914" w:rsidRPr="002374A6" w:rsidRDefault="008F68B9" w:rsidP="00E65BCC">
      <w:pPr>
        <w:pStyle w:val="Text1"/>
        <w:rPr>
          <w:noProof/>
          <w:szCs w:val="24"/>
        </w:rPr>
      </w:pPr>
      <w:r w:rsidRPr="002374A6">
        <w:rPr>
          <w:noProof/>
        </w:rPr>
        <w:t>Diretiva 2000/60/CE do Parlamento Europeu e do Conselho</w:t>
      </w:r>
      <w:r w:rsidRPr="002374A6">
        <w:rPr>
          <w:rStyle w:val="FootnoteReference"/>
          <w:noProof/>
          <w:szCs w:val="24"/>
          <w:lang w:eastAsia="en-IE"/>
        </w:rPr>
        <w:footnoteReference w:id="13"/>
      </w:r>
    </w:p>
    <w:p w14:paraId="285D1071" w14:textId="17C5A596" w:rsidR="008F68B9" w:rsidRPr="002374A6" w:rsidRDefault="00F16582" w:rsidP="00E65BCC">
      <w:pPr>
        <w:pStyle w:val="Text1"/>
        <w:rPr>
          <w:rFonts w:eastAsia="Calibri"/>
          <w:noProof/>
          <w:szCs w:val="24"/>
        </w:rPr>
      </w:pPr>
      <w:r w:rsidRPr="002374A6">
        <w:rPr>
          <w:noProof/>
        </w:rPr>
        <w:t>Diretiva do Conselho 89/391/CEE</w:t>
      </w:r>
      <w:r w:rsidRPr="002374A6">
        <w:rPr>
          <w:rStyle w:val="FootnoteReference"/>
          <w:rFonts w:eastAsia="Calibri"/>
          <w:noProof/>
          <w:szCs w:val="24"/>
        </w:rPr>
        <w:footnoteReference w:id="14"/>
      </w:r>
    </w:p>
    <w:p w14:paraId="7EA6D187" w14:textId="77777777" w:rsidR="00605045" w:rsidRPr="002374A6" w:rsidRDefault="00605045" w:rsidP="00605045">
      <w:pPr>
        <w:pStyle w:val="Text1"/>
        <w:rPr>
          <w:noProof/>
        </w:rPr>
      </w:pPr>
      <w:r w:rsidRPr="002374A6">
        <w:rPr>
          <w:noProof/>
        </w:rPr>
        <w:t>Diretiva do Conselho 89/656/CEE</w:t>
      </w:r>
      <w:r w:rsidRPr="002374A6">
        <w:rPr>
          <w:rStyle w:val="FootnoteReference"/>
          <w:noProof/>
        </w:rPr>
        <w:footnoteReference w:id="15"/>
      </w:r>
      <w:r w:rsidRPr="002374A6">
        <w:rPr>
          <w:noProof/>
        </w:rPr>
        <w:t xml:space="preserve"> </w:t>
      </w:r>
    </w:p>
    <w:p w14:paraId="60C12B8A" w14:textId="77777777" w:rsidR="00605045" w:rsidRPr="002374A6" w:rsidRDefault="00605045" w:rsidP="00605045">
      <w:pPr>
        <w:pStyle w:val="Text1"/>
        <w:rPr>
          <w:noProof/>
        </w:rPr>
      </w:pPr>
      <w:r w:rsidRPr="002374A6">
        <w:rPr>
          <w:noProof/>
        </w:rPr>
        <w:t>Diretiva 98/24/CE do Conselho</w:t>
      </w:r>
      <w:r w:rsidRPr="002374A6">
        <w:rPr>
          <w:rStyle w:val="FootnoteReference"/>
          <w:noProof/>
        </w:rPr>
        <w:footnoteReference w:id="16"/>
      </w:r>
      <w:r w:rsidRPr="002374A6">
        <w:rPr>
          <w:noProof/>
        </w:rPr>
        <w:t xml:space="preserve"> </w:t>
      </w:r>
    </w:p>
    <w:p w14:paraId="6DB044F1" w14:textId="77777777" w:rsidR="00605045" w:rsidRPr="002374A6" w:rsidRDefault="00605045" w:rsidP="00605045">
      <w:pPr>
        <w:pStyle w:val="Text1"/>
        <w:rPr>
          <w:noProof/>
        </w:rPr>
      </w:pPr>
      <w:r w:rsidRPr="002374A6">
        <w:rPr>
          <w:noProof/>
        </w:rPr>
        <w:t>Diretiva 2004/37/CE do Parlamento Europeu e do Conselho</w:t>
      </w:r>
      <w:r w:rsidRPr="002374A6">
        <w:rPr>
          <w:rStyle w:val="FootnoteReference"/>
          <w:noProof/>
        </w:rPr>
        <w:footnoteReference w:id="17"/>
      </w:r>
    </w:p>
    <w:p w14:paraId="6A73D079" w14:textId="1E51BC67" w:rsidR="00605045" w:rsidRPr="002374A6" w:rsidRDefault="00605045" w:rsidP="00605045">
      <w:pPr>
        <w:pStyle w:val="Text1"/>
        <w:rPr>
          <w:rFonts w:eastAsia="Calibri"/>
          <w:noProof/>
          <w:szCs w:val="24"/>
        </w:rPr>
      </w:pPr>
      <w:r w:rsidRPr="002374A6">
        <w:rPr>
          <w:noProof/>
        </w:rPr>
        <w:t>Diretiva 2009/104/CE do Parlamento Europeu e do Conselho</w:t>
      </w:r>
      <w:r w:rsidRPr="002374A6">
        <w:rPr>
          <w:rStyle w:val="FootnoteReference"/>
          <w:noProof/>
        </w:rPr>
        <w:footnoteReference w:id="18"/>
      </w:r>
    </w:p>
    <w:p w14:paraId="154C77D9" w14:textId="73C77316" w:rsidR="008F68B9" w:rsidRPr="002374A6" w:rsidRDefault="00BC3914" w:rsidP="00E65BCC">
      <w:pPr>
        <w:pStyle w:val="Text1"/>
        <w:rPr>
          <w:rFonts w:eastAsia="Calibri"/>
          <w:noProof/>
          <w:szCs w:val="24"/>
        </w:rPr>
      </w:pPr>
      <w:r w:rsidRPr="002374A6">
        <w:rPr>
          <w:noProof/>
        </w:rPr>
        <w:t>Regulamento (CE) n</w:t>
      </w:r>
      <w:r w:rsidR="002374A6">
        <w:rPr>
          <w:noProof/>
        </w:rPr>
        <w:t>.º </w:t>
      </w:r>
      <w:r w:rsidRPr="002374A6">
        <w:rPr>
          <w:noProof/>
        </w:rPr>
        <w:t>1907/2006 do Parlamento Europeu e do Conselho</w:t>
      </w:r>
      <w:r w:rsidRPr="002374A6">
        <w:rPr>
          <w:rStyle w:val="FootnoteReference"/>
          <w:rFonts w:eastAsia="Calibri"/>
          <w:noProof/>
          <w:szCs w:val="24"/>
        </w:rPr>
        <w:footnoteReference w:id="19"/>
      </w:r>
    </w:p>
    <w:p w14:paraId="319E8D89" w14:textId="6918191D" w:rsidR="008F68B9" w:rsidRPr="002374A6" w:rsidRDefault="00BC3914" w:rsidP="00E65BCC">
      <w:pPr>
        <w:pStyle w:val="Text1"/>
        <w:rPr>
          <w:rFonts w:eastAsia="Calibri"/>
          <w:noProof/>
          <w:szCs w:val="24"/>
        </w:rPr>
      </w:pPr>
      <w:r w:rsidRPr="002374A6">
        <w:rPr>
          <w:noProof/>
        </w:rPr>
        <w:t>Diretiva 2008/68/CE do Parlamento Europeu e do Conselho</w:t>
      </w:r>
      <w:r w:rsidRPr="002374A6">
        <w:rPr>
          <w:rStyle w:val="FootnoteReference"/>
          <w:rFonts w:eastAsia="Calibri"/>
          <w:noProof/>
          <w:szCs w:val="24"/>
        </w:rPr>
        <w:footnoteReference w:id="20"/>
      </w:r>
    </w:p>
    <w:p w14:paraId="4A007EE1" w14:textId="77777777" w:rsidR="00EF27F7" w:rsidRPr="002374A6" w:rsidRDefault="00EF27F7" w:rsidP="00EF27F7">
      <w:pPr>
        <w:pStyle w:val="Point0"/>
        <w:rPr>
          <w:rFonts w:eastAsia="Times New Roman"/>
          <w:noProof/>
          <w:szCs w:val="24"/>
        </w:rPr>
      </w:pPr>
      <w:r w:rsidRPr="002374A6">
        <w:rPr>
          <w:noProof/>
        </w:rPr>
        <w:t>2.</w:t>
      </w:r>
      <w:r w:rsidRPr="002374A6">
        <w:rPr>
          <w:noProof/>
        </w:rPr>
        <w:tab/>
        <w:t>A existência e os riscos dos produtos fitofarmacêuticos ilegais e falsificados, os métodos para identificar tais produtos e as sanções associadas à venda ou à utilização de produtos fitofarmacêuticos ilegais.</w:t>
      </w:r>
    </w:p>
    <w:p w14:paraId="101051E3" w14:textId="3317701F" w:rsidR="00EF27F7" w:rsidRPr="002374A6" w:rsidRDefault="00EF27F7" w:rsidP="00EF27F7">
      <w:pPr>
        <w:pStyle w:val="Point0"/>
        <w:rPr>
          <w:rFonts w:eastAsia="Times New Roman"/>
          <w:noProof/>
          <w:szCs w:val="24"/>
        </w:rPr>
      </w:pPr>
      <w:r w:rsidRPr="002374A6">
        <w:rPr>
          <w:noProof/>
        </w:rPr>
        <w:t>3.</w:t>
      </w:r>
      <w:r w:rsidRPr="002374A6">
        <w:rPr>
          <w:noProof/>
        </w:rPr>
        <w:tab/>
        <w:t>Perigos e riscos associados aos produtos fitofarmacêuticos e modo de identificação e de limitação dos mesmos, incluindo os seguintes temas:</w:t>
      </w:r>
    </w:p>
    <w:p w14:paraId="5D222444" w14:textId="00826136" w:rsidR="00EF27F7" w:rsidRPr="002374A6" w:rsidRDefault="00EF27F7" w:rsidP="00EF27F7">
      <w:pPr>
        <w:pStyle w:val="Point1"/>
        <w:rPr>
          <w:rFonts w:eastAsia="Times New Roman"/>
          <w:noProof/>
          <w:szCs w:val="24"/>
        </w:rPr>
      </w:pPr>
      <w:r w:rsidRPr="002374A6">
        <w:rPr>
          <w:noProof/>
        </w:rPr>
        <w:t>a)</w:t>
      </w:r>
      <w:r w:rsidRPr="002374A6">
        <w:rPr>
          <w:noProof/>
        </w:rPr>
        <w:tab/>
        <w:t>Riscos para a saúde humana;</w:t>
      </w:r>
    </w:p>
    <w:p w14:paraId="01D62464" w14:textId="4E03CCAD" w:rsidR="00EF27F7" w:rsidRPr="002374A6" w:rsidRDefault="00EF27F7" w:rsidP="00EF27F7">
      <w:pPr>
        <w:pStyle w:val="Point1"/>
        <w:rPr>
          <w:rFonts w:eastAsia="Times New Roman"/>
          <w:noProof/>
          <w:szCs w:val="24"/>
        </w:rPr>
      </w:pPr>
      <w:r w:rsidRPr="002374A6">
        <w:rPr>
          <w:noProof/>
        </w:rPr>
        <w:t>b)</w:t>
      </w:r>
      <w:r w:rsidRPr="002374A6">
        <w:rPr>
          <w:noProof/>
        </w:rPr>
        <w:tab/>
        <w:t>Sintomas de intoxicação por produtos fitofarmacêuticos e medidas de primeiros socorros adequadas em caso de intoxicação;</w:t>
      </w:r>
    </w:p>
    <w:p w14:paraId="0F3EC215" w14:textId="634FDF6D" w:rsidR="00EF27F7" w:rsidRPr="002374A6" w:rsidRDefault="00EF27F7" w:rsidP="00EF27F7">
      <w:pPr>
        <w:pStyle w:val="Point1"/>
        <w:rPr>
          <w:noProof/>
        </w:rPr>
      </w:pPr>
      <w:r w:rsidRPr="002374A6">
        <w:rPr>
          <w:noProof/>
        </w:rPr>
        <w:t>c)</w:t>
      </w:r>
      <w:r w:rsidRPr="002374A6">
        <w:rPr>
          <w:noProof/>
        </w:rPr>
        <w:tab/>
        <w:t>Riscos para as plantas e os insetos não visados, para a fauna e a flora selvagens, para a biodiversidade e para o ambiente em geral.</w:t>
      </w:r>
    </w:p>
    <w:p w14:paraId="75A86A7B" w14:textId="1136644A" w:rsidR="00FA7E56" w:rsidRPr="002374A6" w:rsidRDefault="00EF27F7" w:rsidP="00EF27F7">
      <w:pPr>
        <w:pStyle w:val="Point0"/>
        <w:rPr>
          <w:rFonts w:eastAsia="Times New Roman"/>
          <w:noProof/>
          <w:szCs w:val="24"/>
        </w:rPr>
      </w:pPr>
      <w:r w:rsidRPr="002374A6">
        <w:rPr>
          <w:noProof/>
        </w:rPr>
        <w:t>4.</w:t>
      </w:r>
      <w:r w:rsidRPr="002374A6">
        <w:rPr>
          <w:noProof/>
        </w:rPr>
        <w:tab/>
        <w:t>Estratégias e técnicas de proteção integrada, estratégias e técnicas de gestão integrada das culturas, princípios da agricultura biológica, métodos biológicos de controlo das pragas, métodos de controlo dos organismos nocivos, a obrigação de aplicar a proteção integrada conforme estabelecido nos artigos 12</w:t>
      </w:r>
      <w:r w:rsidR="002374A6">
        <w:rPr>
          <w:noProof/>
        </w:rPr>
        <w:t>.º </w:t>
      </w:r>
      <w:r w:rsidRPr="002374A6">
        <w:rPr>
          <w:noProof/>
        </w:rPr>
        <w:t>e 13</w:t>
      </w:r>
      <w:r w:rsidR="002374A6">
        <w:rPr>
          <w:noProof/>
        </w:rPr>
        <w:t>.º </w:t>
      </w:r>
      <w:r w:rsidRPr="002374A6">
        <w:rPr>
          <w:noProof/>
        </w:rPr>
        <w:t>do presente regulamento e a obrigação de introduzir registos no registo eletrónico de proteção integrada e utilização de produtos fitofarmacêuticos, conforme o disposto no artigo 14</w:t>
      </w:r>
      <w:r w:rsidR="002374A6">
        <w:rPr>
          <w:noProof/>
        </w:rPr>
        <w:t>.º </w:t>
      </w:r>
      <w:r w:rsidRPr="002374A6">
        <w:rPr>
          <w:noProof/>
        </w:rPr>
        <w:t xml:space="preserve">do presente regulamento. </w:t>
      </w:r>
    </w:p>
    <w:p w14:paraId="5909F322" w14:textId="77777777" w:rsidR="00EF27F7" w:rsidRPr="002374A6" w:rsidRDefault="00EF27F7" w:rsidP="00EF27F7">
      <w:pPr>
        <w:pStyle w:val="Point0"/>
        <w:rPr>
          <w:rFonts w:eastAsia="Times New Roman"/>
          <w:noProof/>
          <w:szCs w:val="24"/>
        </w:rPr>
      </w:pPr>
      <w:r w:rsidRPr="002374A6">
        <w:rPr>
          <w:noProof/>
        </w:rPr>
        <w:t>5.</w:t>
      </w:r>
      <w:r w:rsidRPr="002374A6">
        <w:rPr>
          <w:noProof/>
        </w:rPr>
        <w:tab/>
        <w:t>Quando são necessários produtos fitofarmacêuticos, como escolher os produtos fitofarmacêuticos com o mínimo de efeitos secundários para a saúde humana, os organismos não visados e o ambiente entre todos os produtos autorizados para resolver um certo problema fitossanitário numa determinada situação.</w:t>
      </w:r>
    </w:p>
    <w:p w14:paraId="6DC14254" w14:textId="2FFE52FA" w:rsidR="00EF27F7" w:rsidRPr="002374A6" w:rsidRDefault="00EF27F7" w:rsidP="00EF27F7">
      <w:pPr>
        <w:pStyle w:val="Point0"/>
        <w:rPr>
          <w:rFonts w:eastAsia="Times New Roman"/>
          <w:noProof/>
          <w:szCs w:val="24"/>
        </w:rPr>
      </w:pPr>
      <w:r w:rsidRPr="002374A6">
        <w:rPr>
          <w:noProof/>
        </w:rPr>
        <w:t>6.</w:t>
      </w:r>
      <w:r w:rsidRPr="002374A6">
        <w:rPr>
          <w:noProof/>
        </w:rPr>
        <w:tab/>
        <w:t>Medidas de minimização dos riscos para as pessoas, os organismos não visados e o ambiente, nomeadamente:</w:t>
      </w:r>
    </w:p>
    <w:p w14:paraId="2A1A8EB2" w14:textId="77777777" w:rsidR="00EF27F7" w:rsidRPr="002374A6" w:rsidRDefault="00EF27F7" w:rsidP="00EF27F7">
      <w:pPr>
        <w:pStyle w:val="Point1"/>
        <w:rPr>
          <w:noProof/>
          <w:szCs w:val="24"/>
        </w:rPr>
      </w:pPr>
      <w:r w:rsidRPr="002374A6">
        <w:rPr>
          <w:noProof/>
        </w:rPr>
        <w:t>a)</w:t>
      </w:r>
      <w:r w:rsidRPr="002374A6">
        <w:rPr>
          <w:noProof/>
        </w:rPr>
        <w:tab/>
        <w:t>Práticas de trabalho seguras para armazenar, manusear e misturar produtos fitofarmacêuticos;</w:t>
      </w:r>
    </w:p>
    <w:p w14:paraId="57E11802" w14:textId="0DA64739" w:rsidR="00EF27F7" w:rsidRPr="002374A6" w:rsidRDefault="00EF27F7" w:rsidP="00EF27F7">
      <w:pPr>
        <w:pStyle w:val="Point1"/>
        <w:rPr>
          <w:noProof/>
        </w:rPr>
      </w:pPr>
      <w:r w:rsidRPr="002374A6">
        <w:rPr>
          <w:noProof/>
        </w:rPr>
        <w:t>b)</w:t>
      </w:r>
      <w:r w:rsidRPr="002374A6">
        <w:rPr>
          <w:noProof/>
        </w:rPr>
        <w:tab/>
        <w:t>Práticas de trabalho seguras para eliminar embalagens vazias, outros materiais contaminados e restos de produtos fitofarmacêuticos (incluindo os restos de caldas contidos nos depósitos) concentrados ou diluídos;</w:t>
      </w:r>
    </w:p>
    <w:p w14:paraId="7162DA4B" w14:textId="0C207066" w:rsidR="00EF27F7" w:rsidRPr="002374A6" w:rsidRDefault="00FE35DD" w:rsidP="005B674F">
      <w:pPr>
        <w:pStyle w:val="Point1"/>
        <w:rPr>
          <w:noProof/>
          <w:szCs w:val="24"/>
        </w:rPr>
      </w:pPr>
      <w:r w:rsidRPr="002374A6">
        <w:rPr>
          <w:noProof/>
        </w:rPr>
        <w:t>c)</w:t>
      </w:r>
      <w:r w:rsidRPr="002374A6">
        <w:rPr>
          <w:noProof/>
        </w:rPr>
        <w:tab/>
        <w:t>Formas recomendadas de controlar a exposição do operador (incluindo os equipamentos de proteção individual);</w:t>
      </w:r>
    </w:p>
    <w:p w14:paraId="72629B73" w14:textId="77E8445F" w:rsidR="00105160" w:rsidRPr="002374A6" w:rsidRDefault="00105160" w:rsidP="005B674F">
      <w:pPr>
        <w:pStyle w:val="Point1"/>
        <w:rPr>
          <w:noProof/>
        </w:rPr>
      </w:pPr>
      <w:r w:rsidRPr="002374A6">
        <w:rPr>
          <w:noProof/>
        </w:rPr>
        <w:t>d)</w:t>
      </w:r>
      <w:r w:rsidRPr="002374A6">
        <w:rPr>
          <w:noProof/>
        </w:rPr>
        <w:tab/>
        <w:t>Informações sobre a eliminação correta e segura dos produtos fitofarmacêuticos que deixaram de ser autorizados e quando tenha expirado qualquer período de tolerância para a sua utilização nos termos do artigo 20.º, n</w:t>
      </w:r>
      <w:r w:rsidR="002374A6">
        <w:rPr>
          <w:noProof/>
        </w:rPr>
        <w:t>.º </w:t>
      </w:r>
      <w:r w:rsidRPr="002374A6">
        <w:rPr>
          <w:noProof/>
        </w:rPr>
        <w:t>2, ou do artigo 46</w:t>
      </w:r>
      <w:r w:rsidR="002374A6">
        <w:rPr>
          <w:noProof/>
        </w:rPr>
        <w:t>.º </w:t>
      </w:r>
      <w:r w:rsidRPr="002374A6">
        <w:rPr>
          <w:noProof/>
        </w:rPr>
        <w:t>do Regulamento (CE) n</w:t>
      </w:r>
      <w:r w:rsidR="002374A6">
        <w:rPr>
          <w:noProof/>
        </w:rPr>
        <w:t>.º </w:t>
      </w:r>
      <w:r w:rsidRPr="002374A6">
        <w:rPr>
          <w:noProof/>
        </w:rPr>
        <w:t>1107/2009.</w:t>
      </w:r>
    </w:p>
    <w:p w14:paraId="785D59B7" w14:textId="4ECEDE75" w:rsidR="00EF27F7" w:rsidRPr="002374A6" w:rsidRDefault="00B75AC6" w:rsidP="00EF27F7">
      <w:pPr>
        <w:pStyle w:val="Point0"/>
        <w:rPr>
          <w:rFonts w:eastAsia="Times New Roman"/>
          <w:noProof/>
          <w:szCs w:val="24"/>
        </w:rPr>
      </w:pPr>
      <w:r w:rsidRPr="002374A6">
        <w:rPr>
          <w:noProof/>
        </w:rPr>
        <w:t>7.</w:t>
      </w:r>
      <w:r w:rsidRPr="002374A6">
        <w:rPr>
          <w:noProof/>
        </w:rPr>
        <w:tab/>
        <w:t>Procedimentos para colocar o equipamento de aplicação em funcionamento, incluindo a sua calibração, com riscos mínimos para o utilizador, para terceiros, para as espécies animais e vegetais não visadas, para a biodiversidade e para o ambiente, incluindo os recursos hídricos.</w:t>
      </w:r>
    </w:p>
    <w:p w14:paraId="3047C608" w14:textId="5F3D64A5" w:rsidR="00EF27F7" w:rsidRPr="002374A6" w:rsidRDefault="00B75AC6" w:rsidP="00EF27F7">
      <w:pPr>
        <w:pStyle w:val="Point0"/>
        <w:rPr>
          <w:rFonts w:eastAsia="Times New Roman"/>
          <w:noProof/>
          <w:szCs w:val="24"/>
        </w:rPr>
      </w:pPr>
      <w:r w:rsidRPr="002374A6">
        <w:rPr>
          <w:noProof/>
        </w:rPr>
        <w:t>8.</w:t>
      </w:r>
      <w:r w:rsidRPr="002374A6">
        <w:rPr>
          <w:noProof/>
        </w:rPr>
        <w:tab/>
        <w:t>Formação prática sobre a utilização do equipamento de aplicação e a sua manutenção e sobre medidas de redução dos riscos, incluindo técnicas de pulverização específicas, utilização de novas tecnologias, incluindo técnicas de agricultura de precisão, bem como a verificação técnica dos pulverizadores em utilização e as formas de melhorar a qualidade da pulverização. Neste tema, deve ser dada especial atenção aos bicos de redução da dispersão e às recomendações dos fabricantes no que diz respeito às condições ideais para a sua utilização. Riscos específicos associados à utilização dos equipamentos manuais de aplicação ou dos pulverizadores de dorso e as medidas de gestão dos riscos correspondentes. A formação prática também deve abranger os riscos específicos associados à sementeira de sementes tratadas com produtos fitofarmacêuticos.</w:t>
      </w:r>
    </w:p>
    <w:p w14:paraId="4C84E0D2" w14:textId="0CE2FB84" w:rsidR="00EF27F7" w:rsidRPr="002374A6" w:rsidRDefault="00B75AC6" w:rsidP="6B25E89D">
      <w:pPr>
        <w:pStyle w:val="Point0"/>
        <w:rPr>
          <w:rFonts w:eastAsia="Times New Roman"/>
          <w:noProof/>
        </w:rPr>
      </w:pPr>
      <w:r w:rsidRPr="002374A6">
        <w:rPr>
          <w:noProof/>
        </w:rPr>
        <w:t>9.</w:t>
      </w:r>
      <w:r w:rsidRPr="002374A6">
        <w:rPr>
          <w:noProof/>
        </w:rPr>
        <w:tab/>
        <w:t>Ações de emergência para a proteção da saúde humana e do ambiente, incluindo os recursos hídricos em caso de derrame e contaminação acidental e de fenómenos meteorológicos extremos de que possam resultar riscos de lixiviação de produtos fitofarmacêuticos.</w:t>
      </w:r>
    </w:p>
    <w:p w14:paraId="20B1AFCF" w14:textId="3DBFE47E" w:rsidR="00EF27F7" w:rsidRPr="002374A6" w:rsidRDefault="00EF27F7" w:rsidP="00EF27F7">
      <w:pPr>
        <w:pStyle w:val="Point0"/>
        <w:rPr>
          <w:rFonts w:eastAsia="Times New Roman"/>
          <w:noProof/>
          <w:szCs w:val="24"/>
        </w:rPr>
      </w:pPr>
      <w:r w:rsidRPr="002374A6">
        <w:rPr>
          <w:noProof/>
        </w:rPr>
        <w:t>10.</w:t>
      </w:r>
      <w:r w:rsidRPr="002374A6">
        <w:rPr>
          <w:noProof/>
        </w:rPr>
        <w:tab/>
        <w:t>Cuidados especiais nas zonas sensíveis definidas no artigo 2.º, ponto 15, do presente regulamento e nas zonas protegidas estabelecidas nos termos dos artigos 6</w:t>
      </w:r>
      <w:r w:rsidR="002374A6">
        <w:rPr>
          <w:noProof/>
        </w:rPr>
        <w:t>.º </w:t>
      </w:r>
      <w:r w:rsidRPr="002374A6">
        <w:rPr>
          <w:noProof/>
        </w:rPr>
        <w:t>e 7</w:t>
      </w:r>
      <w:r w:rsidR="002374A6">
        <w:rPr>
          <w:noProof/>
        </w:rPr>
        <w:t>.º </w:t>
      </w:r>
      <w:r w:rsidRPr="002374A6">
        <w:rPr>
          <w:noProof/>
        </w:rPr>
        <w:t>da Diretiva 2000/60/CE e sensibilização para a contaminação causada por determinados produtos fitofarmacêuticos nas várias regiões respetivas.</w:t>
      </w:r>
    </w:p>
    <w:p w14:paraId="5BB251AB" w14:textId="4E84A672" w:rsidR="00EF27F7" w:rsidRPr="002374A6" w:rsidRDefault="00EF27F7" w:rsidP="00EF27F7">
      <w:pPr>
        <w:pStyle w:val="Point0"/>
        <w:rPr>
          <w:rFonts w:eastAsia="Times New Roman"/>
          <w:noProof/>
          <w:szCs w:val="24"/>
        </w:rPr>
      </w:pPr>
      <w:r w:rsidRPr="002374A6">
        <w:rPr>
          <w:noProof/>
        </w:rPr>
        <w:t>11.</w:t>
      </w:r>
      <w:r w:rsidRPr="002374A6">
        <w:rPr>
          <w:noProof/>
        </w:rPr>
        <w:tab/>
        <w:t>Instalações que asseguram a monitorização da saúde e o acesso a cuidados de saúde às quais podem ser comunicadas informações sobre incidentes de intoxicação aguda e crónica.</w:t>
      </w:r>
    </w:p>
    <w:p w14:paraId="62F3F32C" w14:textId="62991BC7" w:rsidR="00EF27F7" w:rsidRPr="002374A6" w:rsidRDefault="00EF27F7" w:rsidP="00EF27F7">
      <w:pPr>
        <w:pStyle w:val="Point0"/>
        <w:rPr>
          <w:rFonts w:eastAsia="Times New Roman"/>
          <w:noProof/>
          <w:szCs w:val="24"/>
        </w:rPr>
      </w:pPr>
      <w:r w:rsidRPr="002374A6">
        <w:rPr>
          <w:noProof/>
        </w:rPr>
        <w:t>12.</w:t>
      </w:r>
      <w:r w:rsidRPr="002374A6">
        <w:rPr>
          <w:noProof/>
        </w:rPr>
        <w:tab/>
        <w:t>Conservação de registos de venda, compra e utilização de produtos fitofarmacêuticos, em conformidade com a legislação aplicável.</w:t>
      </w:r>
    </w:p>
    <w:p w14:paraId="103C605E" w14:textId="7056D597" w:rsidR="00901CB8" w:rsidRPr="002374A6" w:rsidRDefault="00315A18" w:rsidP="00901CB8">
      <w:pPr>
        <w:pStyle w:val="Point0"/>
        <w:rPr>
          <w:rFonts w:eastAsia="Times New Roman"/>
          <w:noProof/>
        </w:rPr>
      </w:pPr>
      <w:r w:rsidRPr="002374A6">
        <w:rPr>
          <w:noProof/>
        </w:rPr>
        <w:t>13.</w:t>
      </w:r>
      <w:r w:rsidRPr="002374A6">
        <w:rPr>
          <w:noProof/>
        </w:rPr>
        <w:tab/>
        <w:t>Como minimizar ou eliminar as aplicações de determinados produtos fitofarmacêuticos classificados como «nocivo[s] para os organismos aquáticos com efeitos duradouros», «muito tóxico[s] para os organismos aquáticos com efeitos duradouros» ou «tóxico[s] para os organismos aquáticos com efeitos duradouros» nos termos do Regulamento (CE) n</w:t>
      </w:r>
      <w:r w:rsidR="002374A6">
        <w:rPr>
          <w:noProof/>
        </w:rPr>
        <w:t>.º </w:t>
      </w:r>
      <w:r w:rsidRPr="002374A6">
        <w:rPr>
          <w:noProof/>
        </w:rPr>
        <w:t>1272/2008 nas imediações de estradas ou ao longo das mesmas, linhas de caminho</w:t>
      </w:r>
      <w:r w:rsidR="002374A6">
        <w:rPr>
          <w:noProof/>
        </w:rPr>
        <w:noBreakHyphen/>
      </w:r>
      <w:r w:rsidRPr="002374A6">
        <w:rPr>
          <w:noProof/>
        </w:rPr>
        <w:t>de</w:t>
      </w:r>
      <w:r w:rsidR="002374A6">
        <w:rPr>
          <w:noProof/>
        </w:rPr>
        <w:noBreakHyphen/>
      </w:r>
      <w:r w:rsidRPr="002374A6">
        <w:rPr>
          <w:noProof/>
        </w:rPr>
        <w:t>ferro, superfícies muito permeáveis ou outras infraestruturas próximas de águas de superfície ou de águas subterrâneas ou ainda em superfícies vedadas em que o risco de escorrimento para águas de superfície ou sistemas de esgotos seja elevado.</w:t>
      </w:r>
    </w:p>
    <w:p w14:paraId="2BA156BB" w14:textId="438684A7" w:rsidR="00901CB8" w:rsidRPr="002374A6" w:rsidRDefault="00901CB8" w:rsidP="00901CB8">
      <w:pPr>
        <w:pStyle w:val="Point0"/>
        <w:rPr>
          <w:rFonts w:eastAsia="Times New Roman"/>
          <w:noProof/>
        </w:rPr>
      </w:pPr>
      <w:r w:rsidRPr="002374A6">
        <w:rPr>
          <w:noProof/>
        </w:rPr>
        <w:t>14.</w:t>
      </w:r>
      <w:r w:rsidRPr="002374A6">
        <w:rPr>
          <w:noProof/>
        </w:rPr>
        <w:tab/>
        <w:t xml:space="preserve">A proteção do ambiente aquático e das reservas de água potável contra o impacto dos produtos fitofarmacêuticos, incluindo no que se refere ao seguintes temas: </w:t>
      </w:r>
    </w:p>
    <w:p w14:paraId="48D3C682" w14:textId="6A85E680" w:rsidR="00901CB8" w:rsidRPr="002374A6" w:rsidRDefault="00901CB8" w:rsidP="00901CB8">
      <w:pPr>
        <w:pStyle w:val="Point1"/>
        <w:rPr>
          <w:rFonts w:eastAsia="Times New Roman"/>
          <w:noProof/>
          <w:szCs w:val="24"/>
        </w:rPr>
      </w:pPr>
      <w:r w:rsidRPr="002374A6">
        <w:rPr>
          <w:noProof/>
        </w:rPr>
        <w:t>a)</w:t>
      </w:r>
      <w:r w:rsidRPr="002374A6">
        <w:rPr>
          <w:noProof/>
        </w:rPr>
        <w:tab/>
        <w:t>A utilização de produtos fitofarmacêuticos em consonância com as restrições indicadas no rótulo em conformidade com o artigo 31.º, n</w:t>
      </w:r>
      <w:r w:rsidR="002374A6">
        <w:rPr>
          <w:noProof/>
        </w:rPr>
        <w:t>.º </w:t>
      </w:r>
      <w:r w:rsidRPr="002374A6">
        <w:rPr>
          <w:noProof/>
        </w:rPr>
        <w:t>4, alínea a), do Regulamento (CE) n</w:t>
      </w:r>
      <w:r w:rsidR="002374A6">
        <w:rPr>
          <w:noProof/>
        </w:rPr>
        <w:t>.º </w:t>
      </w:r>
      <w:r w:rsidRPr="002374A6">
        <w:rPr>
          <w:noProof/>
        </w:rPr>
        <w:t xml:space="preserve">1107/2009, dando preferência aos produtos fitofarmacêuticos que não sejam classificados como «(muito) persistentes», «(muito) bioacumuláveis», </w:t>
      </w:r>
    </w:p>
    <w:p w14:paraId="743D094C" w14:textId="09F94084" w:rsidR="00704B1E" w:rsidRPr="002374A6" w:rsidRDefault="00901CB8" w:rsidP="00E65BCC">
      <w:pPr>
        <w:pStyle w:val="Text2"/>
        <w:rPr>
          <w:noProof/>
        </w:rPr>
      </w:pPr>
      <w:r w:rsidRPr="002374A6">
        <w:rPr>
          <w:noProof/>
        </w:rPr>
        <w:t>«muito tóxico[s] para os organismos aquáticos com efeitos duradouros», «tóxico[s] para os organismos aquáticos com efeitos duradouros» ou «nocivo[s] para os organismos aquáticos com efeitos duradouros» nos termos do Regulamento (CE) n</w:t>
      </w:r>
      <w:r w:rsidR="002374A6">
        <w:rPr>
          <w:noProof/>
        </w:rPr>
        <w:t>.º </w:t>
      </w:r>
      <w:r w:rsidRPr="002374A6">
        <w:rPr>
          <w:noProof/>
        </w:rPr>
        <w:t>1272/2008</w:t>
      </w:r>
      <w:r w:rsidRPr="002374A6">
        <w:rPr>
          <w:rStyle w:val="FootnoteReference"/>
          <w:rFonts w:eastAsia="Times New Roman"/>
          <w:noProof/>
          <w:lang w:eastAsia="en-IE"/>
        </w:rPr>
        <w:footnoteReference w:id="21"/>
      </w:r>
      <w:r w:rsidRPr="002374A6">
        <w:rPr>
          <w:noProof/>
        </w:rPr>
        <w:t xml:space="preserve"> ou que contenham substâncias prioritárias incluídas na lista adotada pela Comissão em conformidade com o artigo 16</w:t>
      </w:r>
      <w:r w:rsidR="002374A6">
        <w:rPr>
          <w:noProof/>
        </w:rPr>
        <w:t>.º </w:t>
      </w:r>
      <w:r w:rsidRPr="002374A6">
        <w:rPr>
          <w:noProof/>
        </w:rPr>
        <w:t>da Diretiva 2000/60/CE aplicada através das Diretivas 2008/105/CE e 2013/39/UE ou pesticidas que tenham sido identificados como poluentes específicos de bacias hidrográficas nos termos do ponto 1.2.6 do anexo V da Diretiva 2000/60/CE, em especial os que afetam as águas utilizadas para captação de água potável, em conformidade com o artigo 7</w:t>
      </w:r>
      <w:r w:rsidR="002374A6">
        <w:rPr>
          <w:noProof/>
        </w:rPr>
        <w:t>.º </w:t>
      </w:r>
      <w:r w:rsidRPr="002374A6">
        <w:rPr>
          <w:noProof/>
        </w:rPr>
        <w:t>da Diretiva 2000/60/CE e da Diretiva (UE) 2020/2184;</w:t>
      </w:r>
    </w:p>
    <w:p w14:paraId="0D4E9FE5" w14:textId="7FA4933D" w:rsidR="00901CB8" w:rsidRPr="002374A6" w:rsidRDefault="00901CB8" w:rsidP="6B25E89D">
      <w:pPr>
        <w:pStyle w:val="Point1"/>
        <w:rPr>
          <w:noProof/>
        </w:rPr>
      </w:pPr>
      <w:r w:rsidRPr="002374A6">
        <w:rPr>
          <w:noProof/>
        </w:rPr>
        <w:t>b)</w:t>
      </w:r>
      <w:r w:rsidRPr="002374A6">
        <w:rPr>
          <w:noProof/>
        </w:rPr>
        <w:tab/>
        <w:t>Potenciais perigos e riscos para a saúde humana e para o ambiente decorrentes da utilização de produtos fitofarmacêuticos, bem como métodos de minimização das emissões para o ambiente e da exposição profissional aos produtos fitofarmacêuticos mais perigosos;</w:t>
      </w:r>
    </w:p>
    <w:p w14:paraId="1C58DDC6" w14:textId="6CC7D984" w:rsidR="00901CB8" w:rsidRPr="002374A6" w:rsidRDefault="00901CB8" w:rsidP="00901CB8">
      <w:pPr>
        <w:pStyle w:val="Point1"/>
        <w:rPr>
          <w:rFonts w:eastAsia="Times New Roman"/>
          <w:noProof/>
        </w:rPr>
      </w:pPr>
      <w:r w:rsidRPr="002374A6">
        <w:rPr>
          <w:noProof/>
        </w:rPr>
        <w:t>c)</w:t>
      </w:r>
      <w:r w:rsidRPr="002374A6">
        <w:rPr>
          <w:noProof/>
        </w:rPr>
        <w:tab/>
        <w:t xml:space="preserve">Utilização de tecnologias de redução da dispersão em todas as culturas arvenses; </w:t>
      </w:r>
    </w:p>
    <w:p w14:paraId="1840B6A5" w14:textId="43E45841" w:rsidR="00901CB8" w:rsidRPr="002374A6" w:rsidRDefault="00901CB8" w:rsidP="00901CB8">
      <w:pPr>
        <w:pStyle w:val="Point1"/>
        <w:rPr>
          <w:rFonts w:eastAsia="Times New Roman"/>
          <w:noProof/>
        </w:rPr>
      </w:pPr>
      <w:r w:rsidRPr="002374A6">
        <w:rPr>
          <w:noProof/>
        </w:rPr>
        <w:t>d)</w:t>
      </w:r>
      <w:r w:rsidRPr="002374A6">
        <w:rPr>
          <w:noProof/>
        </w:rPr>
        <w:tab/>
        <w:t>Utilização de outras medidas que minimizem o risco de poluição fora do local causada pela dispersão da pulverização, drenagem e escorrimento, incluindo, em especial, as zonas</w:t>
      </w:r>
      <w:r w:rsidR="002374A6">
        <w:rPr>
          <w:noProof/>
        </w:rPr>
        <w:noBreakHyphen/>
      </w:r>
      <w:r w:rsidRPr="002374A6">
        <w:rPr>
          <w:noProof/>
        </w:rPr>
        <w:t>tampão obrigatórias adjacentes a cursos de águas de superfície e a águas subterrâneas e aquíferos;</w:t>
      </w:r>
    </w:p>
    <w:p w14:paraId="05AB96E3" w14:textId="36E3CFD9" w:rsidR="00901CB8" w:rsidRPr="002374A6" w:rsidRDefault="00901CB8" w:rsidP="00901CB8">
      <w:pPr>
        <w:pStyle w:val="Point1"/>
        <w:rPr>
          <w:rFonts w:eastAsia="Times New Roman"/>
          <w:noProof/>
          <w:szCs w:val="24"/>
        </w:rPr>
      </w:pPr>
      <w:r w:rsidRPr="002374A6">
        <w:rPr>
          <w:noProof/>
        </w:rPr>
        <w:t>e)</w:t>
      </w:r>
      <w:r w:rsidRPr="002374A6">
        <w:rPr>
          <w:noProof/>
        </w:rPr>
        <w:tab/>
        <w:t>Como cumprir as restrições estabelecidas no Regulamento (CE) n</w:t>
      </w:r>
      <w:r w:rsidR="002374A6">
        <w:rPr>
          <w:noProof/>
        </w:rPr>
        <w:t>.º </w:t>
      </w:r>
      <w:r w:rsidRPr="002374A6">
        <w:rPr>
          <w:noProof/>
        </w:rPr>
        <w:t>1107/2009 para minimizar ou substituir a utilização de determinados produtos fitofarmacêuticos classificados como «nocivo[s] para os organismos aquáticos com efeitos duradouros», «muito tóxico[s] para os organismos aquáticos com efeitos duradouros» ou «tóxico[s] para os organismos aquáticos com efeitos duradouros» nos termos do Regulamento (CE) n</w:t>
      </w:r>
      <w:r w:rsidR="002374A6">
        <w:rPr>
          <w:noProof/>
        </w:rPr>
        <w:t>.º </w:t>
      </w:r>
      <w:r w:rsidRPr="002374A6">
        <w:rPr>
          <w:noProof/>
        </w:rPr>
        <w:t>1272/2008 nas imediações de estradas ou ao longo das mesmas, linhas de caminho</w:t>
      </w:r>
      <w:r w:rsidR="002374A6">
        <w:rPr>
          <w:noProof/>
        </w:rPr>
        <w:noBreakHyphen/>
      </w:r>
      <w:r w:rsidRPr="002374A6">
        <w:rPr>
          <w:noProof/>
        </w:rPr>
        <w:t>de</w:t>
      </w:r>
      <w:r w:rsidR="002374A6">
        <w:rPr>
          <w:noProof/>
        </w:rPr>
        <w:noBreakHyphen/>
      </w:r>
      <w:r w:rsidRPr="002374A6">
        <w:rPr>
          <w:noProof/>
        </w:rPr>
        <w:t>ferro, superfícies muito permeáveis ou outras infraestruturas próximas de águas de superfície ou de águas subterrâneas ou ainda em superfícies vedadas em que o risco de escorrimento para águas de superfície ou sistemas de esgotos seja elevado.</w:t>
      </w:r>
    </w:p>
    <w:p w14:paraId="6F37EE33" w14:textId="77777777" w:rsidR="00FA7E56" w:rsidRPr="002374A6" w:rsidRDefault="00FA7E56" w:rsidP="00FA7E56">
      <w:pPr>
        <w:rPr>
          <w:noProof/>
        </w:rPr>
        <w:sectPr w:rsidR="00FA7E56" w:rsidRPr="002374A6" w:rsidSect="003D3418">
          <w:pgSz w:w="11907" w:h="16839"/>
          <w:pgMar w:top="1134" w:right="1417" w:bottom="1134" w:left="1417" w:header="709" w:footer="709" w:gutter="0"/>
          <w:cols w:space="720"/>
          <w:docGrid w:linePitch="360"/>
        </w:sectPr>
      </w:pPr>
    </w:p>
    <w:p w14:paraId="4FB9FF75" w14:textId="70661298" w:rsidR="00FA7E56" w:rsidRPr="002374A6" w:rsidRDefault="6B25E89D" w:rsidP="00FA7E56">
      <w:pPr>
        <w:pStyle w:val="Annexetitre"/>
        <w:rPr>
          <w:noProof/>
        </w:rPr>
      </w:pPr>
      <w:r w:rsidRPr="002374A6">
        <w:rPr>
          <w:noProof/>
        </w:rPr>
        <w:t>ANEXO IV</w:t>
      </w:r>
    </w:p>
    <w:p w14:paraId="2D89F8C2" w14:textId="39494303" w:rsidR="00FA7E56" w:rsidRPr="002374A6" w:rsidRDefault="00FA7E56" w:rsidP="00FA7E56">
      <w:pPr>
        <w:spacing w:before="100" w:beforeAutospacing="1" w:after="100" w:afterAutospacing="1"/>
        <w:jc w:val="center"/>
        <w:rPr>
          <w:rFonts w:eastAsia="Times New Roman"/>
          <w:b/>
          <w:noProof/>
          <w:szCs w:val="24"/>
        </w:rPr>
      </w:pPr>
      <w:r w:rsidRPr="002374A6">
        <w:rPr>
          <w:b/>
          <w:noProof/>
        </w:rPr>
        <w:t>INSPEÇÃO DOS EQUIPAMENTOS DE APLICAÇÃO UTILIZADOS A TÍTULO PROFISSIONAL</w:t>
      </w:r>
    </w:p>
    <w:p w14:paraId="2118E85F" w14:textId="7D131C5A" w:rsidR="00FA7E56" w:rsidRPr="002374A6" w:rsidRDefault="00FA7E56" w:rsidP="0009186B">
      <w:pPr>
        <w:rPr>
          <w:rFonts w:eastAsia="Times New Roman"/>
          <w:noProof/>
          <w:szCs w:val="24"/>
        </w:rPr>
      </w:pPr>
      <w:r w:rsidRPr="002374A6">
        <w:rPr>
          <w:noProof/>
        </w:rPr>
        <w:t>A inspeção dos equipamentos de aplicação utilizados a título profissional deve abranger todos os aspetos importantes para assegurar um elevado nível de segurança e proteção da saúde humana e do ambiente. A plena eficácia e segurança da operação de aplicação devem ser garantidas através do funcionamento adequado de qualquer dispositivo ou aparelho do equipamento, a fim de assegurar o cumprimento dos seguintes objetivos.</w:t>
      </w:r>
    </w:p>
    <w:p w14:paraId="53973956" w14:textId="654D8F7F" w:rsidR="00FA7E56" w:rsidRPr="002374A6" w:rsidRDefault="00FA7E56" w:rsidP="00FA7E56">
      <w:pPr>
        <w:rPr>
          <w:noProof/>
          <w:szCs w:val="24"/>
        </w:rPr>
      </w:pPr>
      <w:r w:rsidRPr="002374A6">
        <w:rPr>
          <w:noProof/>
        </w:rPr>
        <w:t>O equipamento de aplicação utilizado a título profissional deve funcionar com fiabilidade e ser utilizado apenas de acordo com o seu manual de funcionamento para o fim a que se destina, garantindo que os produtos fitofarmacêuticos sejam rigorosamente aplicados em consonância com as boas práticas agrícolas (BPA), conforme definidas no artigo 3.º, n</w:t>
      </w:r>
      <w:r w:rsidR="002374A6">
        <w:rPr>
          <w:noProof/>
        </w:rPr>
        <w:t>.º </w:t>
      </w:r>
      <w:r w:rsidRPr="002374A6">
        <w:rPr>
          <w:noProof/>
        </w:rPr>
        <w:t>2, alínea a), do Regulamento (CE) n</w:t>
      </w:r>
      <w:r w:rsidR="002374A6">
        <w:rPr>
          <w:noProof/>
        </w:rPr>
        <w:t>.º </w:t>
      </w:r>
      <w:r w:rsidRPr="002374A6">
        <w:rPr>
          <w:noProof/>
        </w:rPr>
        <w:t>396/2005 do Parlamento Europeu e do Conselho</w:t>
      </w:r>
      <w:r w:rsidRPr="002374A6">
        <w:rPr>
          <w:rStyle w:val="FootnoteReference"/>
          <w:rFonts w:eastAsia="Times New Roman"/>
          <w:noProof/>
          <w:szCs w:val="24"/>
          <w:lang w:eastAsia="en-IE"/>
        </w:rPr>
        <w:footnoteReference w:id="22"/>
      </w:r>
      <w:r w:rsidRPr="002374A6">
        <w:rPr>
          <w:noProof/>
        </w:rPr>
        <w:t>.</w:t>
      </w:r>
    </w:p>
    <w:p w14:paraId="6B7F7440" w14:textId="318E79F0" w:rsidR="00FA7E56" w:rsidRPr="002374A6" w:rsidRDefault="00FA7E56" w:rsidP="00FA7E56">
      <w:pPr>
        <w:rPr>
          <w:rFonts w:eastAsia="Times New Roman"/>
          <w:noProof/>
          <w:szCs w:val="24"/>
        </w:rPr>
      </w:pPr>
      <w:r w:rsidRPr="002374A6">
        <w:rPr>
          <w:noProof/>
        </w:rPr>
        <w:t>O equipamento deve estar em condições de permitir o seu enchimento e esvaziamento de forma segura, fácil e completa e de evitar qualquer fuga tanto da solução de pulverização como do produto concentrado. Deve permitir uma limpeza fácil e completa. Deve também permitir o seu funcionamento seguro, bem como a sua paragem imediata a partir da posição do operador. Deve ser simples realizar quaisquer ajustamentos necessários. Tais ajustamentos devem ser precisos e reprodutíveis.</w:t>
      </w:r>
    </w:p>
    <w:p w14:paraId="6B7290CF" w14:textId="77777777" w:rsidR="00C215E9" w:rsidRPr="002374A6" w:rsidRDefault="00C215E9" w:rsidP="00FA7E56">
      <w:pPr>
        <w:rPr>
          <w:rFonts w:eastAsia="Times New Roman"/>
          <w:noProof/>
          <w:szCs w:val="24"/>
          <w:lang w:eastAsia="en-IE"/>
        </w:rPr>
      </w:pPr>
    </w:p>
    <w:p w14:paraId="63C1D3C2" w14:textId="3EC40E10" w:rsidR="00FA7E56" w:rsidRPr="002374A6" w:rsidRDefault="00FA7E56" w:rsidP="00FA7E56">
      <w:pPr>
        <w:rPr>
          <w:rFonts w:eastAsia="Times New Roman"/>
          <w:noProof/>
          <w:szCs w:val="24"/>
        </w:rPr>
      </w:pPr>
      <w:r w:rsidRPr="002374A6">
        <w:rPr>
          <w:noProof/>
        </w:rPr>
        <w:t>Durante a inspeção, deve ser verificado o cumprimento dos seguintes requisitos:</w:t>
      </w:r>
    </w:p>
    <w:p w14:paraId="1DE5B470" w14:textId="77777777" w:rsidR="00FA7E56" w:rsidRPr="002374A6" w:rsidRDefault="00315A18" w:rsidP="00315A18">
      <w:pPr>
        <w:pStyle w:val="Point0"/>
        <w:rPr>
          <w:b/>
          <w:noProof/>
        </w:rPr>
      </w:pPr>
      <w:r w:rsidRPr="002374A6">
        <w:rPr>
          <w:b/>
          <w:noProof/>
        </w:rPr>
        <w:t>1.</w:t>
      </w:r>
      <w:r w:rsidRPr="002374A6">
        <w:rPr>
          <w:noProof/>
        </w:rPr>
        <w:tab/>
      </w:r>
      <w:r w:rsidRPr="002374A6">
        <w:rPr>
          <w:b/>
          <w:noProof/>
        </w:rPr>
        <w:t>Segurança</w:t>
      </w:r>
    </w:p>
    <w:p w14:paraId="1047E2F0" w14:textId="63BACED9" w:rsidR="00FA7E56" w:rsidRPr="002374A6" w:rsidRDefault="00FA7E56" w:rsidP="00315A18">
      <w:pPr>
        <w:pStyle w:val="Text1"/>
        <w:rPr>
          <w:noProof/>
        </w:rPr>
      </w:pPr>
      <w:r w:rsidRPr="002374A6">
        <w:rPr>
          <w:noProof/>
        </w:rPr>
        <w:t>O equipamento deve estar limpo e segu</w:t>
      </w:r>
      <w:r w:rsidR="002B28BF">
        <w:rPr>
          <w:noProof/>
        </w:rPr>
        <w:t>ro antes do início da inspeção.</w:t>
      </w:r>
      <w:r w:rsidRPr="002374A6">
        <w:rPr>
          <w:noProof/>
        </w:rPr>
        <w:t xml:space="preserve"> Deve verificar</w:t>
      </w:r>
      <w:r w:rsidR="002374A6">
        <w:rPr>
          <w:noProof/>
        </w:rPr>
        <w:noBreakHyphen/>
      </w:r>
      <w:r w:rsidRPr="002374A6">
        <w:rPr>
          <w:noProof/>
        </w:rPr>
        <w:t>se o seguinte:</w:t>
      </w:r>
    </w:p>
    <w:p w14:paraId="30D9D825" w14:textId="77777777" w:rsidR="00FA7E56" w:rsidRPr="002374A6" w:rsidRDefault="00315A18" w:rsidP="00315A18">
      <w:pPr>
        <w:pStyle w:val="Point1"/>
        <w:rPr>
          <w:noProof/>
        </w:rPr>
      </w:pPr>
      <w:r w:rsidRPr="002374A6">
        <w:rPr>
          <w:noProof/>
        </w:rPr>
        <w:t>●</w:t>
      </w:r>
      <w:r w:rsidRPr="002374A6">
        <w:rPr>
          <w:noProof/>
        </w:rPr>
        <w:tab/>
        <w:t xml:space="preserve">O resguardo do veio telescópio de cardãs e todos os dispositivos de proteção da tomada de força e de outras peças de transmissão rotativas; </w:t>
      </w:r>
    </w:p>
    <w:p w14:paraId="3045DDCE" w14:textId="77777777" w:rsidR="00FA7E56" w:rsidRPr="002374A6" w:rsidRDefault="00315A18" w:rsidP="00315A18">
      <w:pPr>
        <w:pStyle w:val="Point1"/>
        <w:rPr>
          <w:rFonts w:eastAsia="Calibri"/>
          <w:noProof/>
          <w:szCs w:val="24"/>
        </w:rPr>
      </w:pPr>
      <w:r w:rsidRPr="002374A6">
        <w:rPr>
          <w:noProof/>
        </w:rPr>
        <w:t>●</w:t>
      </w:r>
      <w:r w:rsidRPr="002374A6">
        <w:rPr>
          <w:noProof/>
        </w:rPr>
        <w:tab/>
        <w:t xml:space="preserve">Fugas do sistema hidráulico e o estado geral dos cilindros e tubagens hidráulicos; </w:t>
      </w:r>
    </w:p>
    <w:p w14:paraId="035B03ED" w14:textId="0D54597D" w:rsidR="00315A18" w:rsidRPr="002374A6" w:rsidRDefault="00315A18" w:rsidP="00315A18">
      <w:pPr>
        <w:pStyle w:val="Point1"/>
        <w:rPr>
          <w:rFonts w:eastAsia="Calibri"/>
          <w:noProof/>
          <w:szCs w:val="24"/>
        </w:rPr>
      </w:pPr>
      <w:r w:rsidRPr="002374A6">
        <w:rPr>
          <w:noProof/>
        </w:rPr>
        <w:t>●</w:t>
      </w:r>
      <w:r w:rsidRPr="002374A6">
        <w:rPr>
          <w:noProof/>
        </w:rPr>
        <w:tab/>
        <w:t>A segurança e o funcionamento de todos os componentes elétricos, incluindo os comutadores solenoides;</w:t>
      </w:r>
    </w:p>
    <w:p w14:paraId="55B257A4" w14:textId="77777777" w:rsidR="00315A18" w:rsidRPr="002374A6" w:rsidRDefault="0000669A" w:rsidP="00315A18">
      <w:pPr>
        <w:pStyle w:val="Point1"/>
        <w:rPr>
          <w:rFonts w:eastAsia="Calibri"/>
          <w:noProof/>
          <w:szCs w:val="24"/>
        </w:rPr>
      </w:pPr>
      <w:r w:rsidRPr="002374A6">
        <w:rPr>
          <w:noProof/>
        </w:rPr>
        <w:t>●</w:t>
      </w:r>
      <w:r w:rsidRPr="002374A6">
        <w:rPr>
          <w:noProof/>
        </w:rPr>
        <w:tab/>
        <w:t>O funcionamento das válvulas de segurança;</w:t>
      </w:r>
    </w:p>
    <w:p w14:paraId="35D8FF6D" w14:textId="2BC200E4" w:rsidR="0000669A" w:rsidRPr="002374A6" w:rsidRDefault="0000669A" w:rsidP="00315A18">
      <w:pPr>
        <w:pStyle w:val="Point1"/>
        <w:rPr>
          <w:rFonts w:eastAsia="Calibri"/>
          <w:noProof/>
          <w:szCs w:val="24"/>
        </w:rPr>
      </w:pPr>
      <w:r w:rsidRPr="002374A6">
        <w:rPr>
          <w:noProof/>
        </w:rPr>
        <w:t>●</w:t>
      </w:r>
      <w:r w:rsidRPr="002374A6">
        <w:rPr>
          <w:noProof/>
        </w:rPr>
        <w:tab/>
        <w:t>O estado das peças estruturais, da estrutura e dos suportes das barras/bicos;</w:t>
      </w:r>
    </w:p>
    <w:p w14:paraId="60CBD20F" w14:textId="1C5A4CC8" w:rsidR="0000669A" w:rsidRPr="002374A6" w:rsidRDefault="0000669A" w:rsidP="00315A18">
      <w:pPr>
        <w:pStyle w:val="Point1"/>
        <w:rPr>
          <w:rFonts w:eastAsia="Calibri"/>
          <w:noProof/>
          <w:szCs w:val="24"/>
        </w:rPr>
      </w:pPr>
      <w:r w:rsidRPr="002374A6">
        <w:rPr>
          <w:noProof/>
        </w:rPr>
        <w:t>●</w:t>
      </w:r>
      <w:r w:rsidRPr="002374A6">
        <w:rPr>
          <w:noProof/>
        </w:rPr>
        <w:tab/>
        <w:t>O travamento das peças dobráveis; e</w:t>
      </w:r>
    </w:p>
    <w:p w14:paraId="06468503" w14:textId="713796E4" w:rsidR="0000669A" w:rsidRPr="002374A6" w:rsidRDefault="0000669A" w:rsidP="6B25E89D">
      <w:pPr>
        <w:pStyle w:val="Point1"/>
        <w:rPr>
          <w:rFonts w:eastAsia="Calibri"/>
          <w:noProof/>
        </w:rPr>
      </w:pPr>
      <w:r w:rsidRPr="002374A6">
        <w:rPr>
          <w:noProof/>
        </w:rPr>
        <w:t>●</w:t>
      </w:r>
      <w:r w:rsidRPr="002374A6">
        <w:rPr>
          <w:noProof/>
        </w:rPr>
        <w:tab/>
        <w:t>No caso de qualquer equipamento assistido por ar, os protetores e o estado do ventilador, incluindo o estado físico da unidade ventiladora, da ventoinha e das mangas.</w:t>
      </w:r>
    </w:p>
    <w:p w14:paraId="5A69655B" w14:textId="77777777" w:rsidR="00FA7E56" w:rsidRPr="002374A6" w:rsidRDefault="0000669A" w:rsidP="0000669A">
      <w:pPr>
        <w:pStyle w:val="Point0"/>
        <w:rPr>
          <w:rFonts w:eastAsia="Calibri"/>
          <w:b/>
          <w:noProof/>
          <w:szCs w:val="24"/>
        </w:rPr>
      </w:pPr>
      <w:r w:rsidRPr="002374A6">
        <w:rPr>
          <w:b/>
          <w:noProof/>
        </w:rPr>
        <w:t>2.</w:t>
      </w:r>
      <w:r w:rsidRPr="002374A6">
        <w:rPr>
          <w:noProof/>
        </w:rPr>
        <w:tab/>
      </w:r>
      <w:r w:rsidRPr="002374A6">
        <w:rPr>
          <w:b/>
          <w:noProof/>
        </w:rPr>
        <w:t>Fugas</w:t>
      </w:r>
    </w:p>
    <w:p w14:paraId="186246C7" w14:textId="10D55DEC" w:rsidR="00FA7E56" w:rsidRPr="002374A6" w:rsidRDefault="00FA7E56" w:rsidP="0000669A">
      <w:pPr>
        <w:pStyle w:val="Text1"/>
        <w:rPr>
          <w:rFonts w:eastAsia="Calibri"/>
          <w:noProof/>
          <w:szCs w:val="24"/>
        </w:rPr>
      </w:pPr>
      <w:r w:rsidRPr="002374A6">
        <w:rPr>
          <w:noProof/>
        </w:rPr>
        <w:t>Não devem verificar</w:t>
      </w:r>
      <w:r w:rsidR="002374A6">
        <w:rPr>
          <w:noProof/>
        </w:rPr>
        <w:noBreakHyphen/>
      </w:r>
      <w:r w:rsidRPr="002374A6">
        <w:rPr>
          <w:noProof/>
        </w:rPr>
        <w:t xml:space="preserve">se fugas ou gotejamento de qualquer elemento do equipamento tanto no estado estacionário como em funcionamento. Não deve ocorrer gotejamento nem qualquer aplicação não prevista após o equipamento ter sido desligado. Para o equipamento de aplicação de produtos líquidos, não podem ocorrer fugas dos tubos e mangueiras quando submetidos à pressão máxima que é possível obter pelo sistema, e nenhum líquido deve ser aplicado diretamente no próprio pulverizador. </w:t>
      </w:r>
    </w:p>
    <w:p w14:paraId="0D41F74B" w14:textId="77777777" w:rsidR="00FA7E56" w:rsidRPr="002374A6" w:rsidRDefault="0000669A" w:rsidP="0000669A">
      <w:pPr>
        <w:pStyle w:val="Point0"/>
        <w:rPr>
          <w:rFonts w:eastAsia="Calibri"/>
          <w:b/>
          <w:noProof/>
          <w:szCs w:val="24"/>
        </w:rPr>
      </w:pPr>
      <w:r w:rsidRPr="002374A6">
        <w:rPr>
          <w:b/>
          <w:noProof/>
        </w:rPr>
        <w:t>3.</w:t>
      </w:r>
      <w:r w:rsidRPr="002374A6">
        <w:rPr>
          <w:noProof/>
        </w:rPr>
        <w:tab/>
      </w:r>
      <w:r w:rsidRPr="002374A6">
        <w:rPr>
          <w:b/>
          <w:noProof/>
        </w:rPr>
        <w:t>Bomba (em equipamento de aplicação de produtos líquidos)</w:t>
      </w:r>
    </w:p>
    <w:p w14:paraId="36B8B829" w14:textId="79EA25CD" w:rsidR="00FA7E56" w:rsidRPr="002374A6" w:rsidRDefault="00FA7E56" w:rsidP="0000669A">
      <w:pPr>
        <w:pStyle w:val="Text1"/>
        <w:rPr>
          <w:rFonts w:eastAsia="Times New Roman"/>
          <w:noProof/>
          <w:szCs w:val="24"/>
        </w:rPr>
      </w:pPr>
      <w:r w:rsidRPr="002374A6">
        <w:rPr>
          <w:noProof/>
        </w:rPr>
        <w:t>A capacidade da bomba deve ser adequada às necessidades do equipamento de aplicação e a bomba deve funcionar corretamente, de modo a garantir um débito de aplicação estável e fiável.</w:t>
      </w:r>
    </w:p>
    <w:p w14:paraId="677DD469" w14:textId="7592B91A" w:rsidR="00FA7E56" w:rsidRPr="002374A6" w:rsidRDefault="0000669A" w:rsidP="0000669A">
      <w:pPr>
        <w:pStyle w:val="Point0"/>
        <w:rPr>
          <w:rFonts w:eastAsia="Calibri"/>
          <w:b/>
          <w:noProof/>
          <w:szCs w:val="24"/>
        </w:rPr>
      </w:pPr>
      <w:r w:rsidRPr="002374A6">
        <w:rPr>
          <w:b/>
          <w:noProof/>
        </w:rPr>
        <w:t>4.</w:t>
      </w:r>
      <w:r w:rsidRPr="002374A6">
        <w:rPr>
          <w:noProof/>
        </w:rPr>
        <w:tab/>
      </w:r>
      <w:r w:rsidRPr="002374A6">
        <w:rPr>
          <w:b/>
          <w:noProof/>
        </w:rPr>
        <w:t>Agitação ou mistura (em equipamento de aplicação de produtos líquidos)</w:t>
      </w:r>
    </w:p>
    <w:p w14:paraId="614A9FFA" w14:textId="26B91DC3" w:rsidR="00FA7E56" w:rsidRPr="002374A6" w:rsidRDefault="00FA7E56" w:rsidP="0000669A">
      <w:pPr>
        <w:pStyle w:val="Text1"/>
        <w:rPr>
          <w:rFonts w:eastAsia="Calibri"/>
          <w:noProof/>
          <w:szCs w:val="24"/>
        </w:rPr>
      </w:pPr>
      <w:r w:rsidRPr="002374A6">
        <w:rPr>
          <w:noProof/>
        </w:rPr>
        <w:t>Os dispositivos de agitação ou de mistura devem garantir uma recirculação adequada para que a concentração total da calda a pulverizar seja homogénea dentro do depósito.</w:t>
      </w:r>
    </w:p>
    <w:p w14:paraId="06E81FE0" w14:textId="77777777" w:rsidR="00FA7E56" w:rsidRPr="002374A6" w:rsidRDefault="0000669A" w:rsidP="0000669A">
      <w:pPr>
        <w:pStyle w:val="Point0"/>
        <w:rPr>
          <w:rFonts w:eastAsia="Calibri"/>
          <w:b/>
          <w:noProof/>
          <w:szCs w:val="24"/>
        </w:rPr>
      </w:pPr>
      <w:r w:rsidRPr="002374A6">
        <w:rPr>
          <w:b/>
          <w:noProof/>
        </w:rPr>
        <w:t>5.</w:t>
      </w:r>
      <w:r w:rsidRPr="002374A6">
        <w:rPr>
          <w:noProof/>
        </w:rPr>
        <w:tab/>
      </w:r>
      <w:r w:rsidRPr="002374A6">
        <w:rPr>
          <w:b/>
          <w:noProof/>
        </w:rPr>
        <w:t>Depósito de calda/tremonha</w:t>
      </w:r>
    </w:p>
    <w:p w14:paraId="121B96FD" w14:textId="26B79816" w:rsidR="00FA7E56" w:rsidRPr="002374A6" w:rsidRDefault="00FA7E56" w:rsidP="0000669A">
      <w:pPr>
        <w:pStyle w:val="Text1"/>
        <w:rPr>
          <w:rFonts w:eastAsia="Calibri"/>
          <w:noProof/>
          <w:szCs w:val="24"/>
        </w:rPr>
      </w:pPr>
      <w:r w:rsidRPr="002374A6">
        <w:rPr>
          <w:noProof/>
        </w:rPr>
        <w:t>Os depósitos e as tremonhas de pulverização, incluindo os indicadores de nível, os dispositivos de enchimento, os filtros, os dispositivos de esvaziamento e enxaguamento e os dispositivos de mistura devem funcionar de modo a minimizar derrames acidentais, pulverizações de concentração heterogénea, a exposição do operador e o volume residual.</w:t>
      </w:r>
    </w:p>
    <w:p w14:paraId="477C2DBE" w14:textId="77777777" w:rsidR="00FA7E56" w:rsidRPr="002374A6" w:rsidRDefault="0000669A" w:rsidP="0000669A">
      <w:pPr>
        <w:pStyle w:val="Point0"/>
        <w:rPr>
          <w:rFonts w:eastAsia="Calibri"/>
          <w:b/>
          <w:noProof/>
          <w:szCs w:val="24"/>
        </w:rPr>
      </w:pPr>
      <w:r w:rsidRPr="002374A6">
        <w:rPr>
          <w:b/>
          <w:noProof/>
        </w:rPr>
        <w:t>6.</w:t>
      </w:r>
      <w:r w:rsidRPr="002374A6">
        <w:rPr>
          <w:noProof/>
        </w:rPr>
        <w:tab/>
      </w:r>
      <w:r w:rsidRPr="002374A6">
        <w:rPr>
          <w:b/>
          <w:noProof/>
        </w:rPr>
        <w:t>Sistemas de medição e sistemas de comando e de regulação</w:t>
      </w:r>
    </w:p>
    <w:p w14:paraId="01F3B6F5" w14:textId="7A77E7E8" w:rsidR="00FA7E56" w:rsidRPr="002374A6" w:rsidRDefault="00FA7E56" w:rsidP="0000669A">
      <w:pPr>
        <w:pStyle w:val="Text1"/>
        <w:rPr>
          <w:rFonts w:eastAsia="Calibri"/>
          <w:noProof/>
          <w:szCs w:val="24"/>
        </w:rPr>
      </w:pPr>
      <w:r w:rsidRPr="002374A6">
        <w:rPr>
          <w:noProof/>
        </w:rPr>
        <w:t xml:space="preserve">Todos os dispositivos de medição, de entrada em funcionamento e de paragem e de regulação da pressão ou do caudal devem ser bem calibrados e funcionar corretamente. Durante a operação de aplicação, os comandos a operar devem poder ser acionados a partir da posição do operador, os instrumentos de comando necessários à realização da operação devem estar presentes e ser precisos e os ecrãs dos mesmos devem ser legíveis a partir da posição do aplicador. Para o equipamento de aplicação de produtos líquidos, os dispositivos de regulação da pressão devem manter uma pressão de serviço constante para um regime constante da bomba, por forma a que o débito de calda por unidade de superfície se mantenha estável. O equipamento de regulação ou de injeção de produtos fitofarmacêuticos adicional deve funcionar de modo preciso e correto. </w:t>
      </w:r>
    </w:p>
    <w:p w14:paraId="7DBE7BD0" w14:textId="77777777" w:rsidR="00FA7E56" w:rsidRPr="002374A6" w:rsidRDefault="0000669A" w:rsidP="0000669A">
      <w:pPr>
        <w:pStyle w:val="Point0"/>
        <w:rPr>
          <w:rFonts w:eastAsia="Calibri"/>
          <w:b/>
          <w:noProof/>
          <w:szCs w:val="24"/>
        </w:rPr>
      </w:pPr>
      <w:r w:rsidRPr="002374A6">
        <w:rPr>
          <w:b/>
          <w:noProof/>
        </w:rPr>
        <w:t>7.</w:t>
      </w:r>
      <w:r w:rsidRPr="002374A6">
        <w:rPr>
          <w:noProof/>
        </w:rPr>
        <w:tab/>
      </w:r>
      <w:r w:rsidRPr="002374A6">
        <w:rPr>
          <w:b/>
          <w:noProof/>
        </w:rPr>
        <w:t xml:space="preserve">Tubagem </w:t>
      </w:r>
    </w:p>
    <w:p w14:paraId="0FA0DE38" w14:textId="77777777" w:rsidR="00FA7E56" w:rsidRPr="002374A6" w:rsidRDefault="00FA7E56" w:rsidP="0000669A">
      <w:pPr>
        <w:pStyle w:val="Text1"/>
        <w:rPr>
          <w:rFonts w:eastAsia="Times New Roman"/>
          <w:strike/>
          <w:noProof/>
          <w:szCs w:val="24"/>
        </w:rPr>
      </w:pPr>
      <w:r w:rsidRPr="002374A6">
        <w:rPr>
          <w:noProof/>
        </w:rPr>
        <w:t>As tubagens devem estar em bom estado de funcionamento para evitar perturbações do fluxo de produto ou derrames acidentais em caso de avaria. As tubagens não devem estar torcidas, excessivamente desgastadas ou numa posição em que possam ser esticadas.</w:t>
      </w:r>
    </w:p>
    <w:p w14:paraId="2979B3EE" w14:textId="77777777" w:rsidR="00FA7E56" w:rsidRPr="002374A6" w:rsidRDefault="0000669A" w:rsidP="0000669A">
      <w:pPr>
        <w:pStyle w:val="Point0"/>
        <w:rPr>
          <w:rFonts w:eastAsia="Calibri"/>
          <w:b/>
          <w:noProof/>
          <w:szCs w:val="24"/>
        </w:rPr>
      </w:pPr>
      <w:r w:rsidRPr="002374A6">
        <w:rPr>
          <w:b/>
          <w:noProof/>
        </w:rPr>
        <w:t>8.</w:t>
      </w:r>
      <w:r w:rsidRPr="002374A6">
        <w:rPr>
          <w:noProof/>
        </w:rPr>
        <w:tab/>
      </w:r>
      <w:r w:rsidRPr="002374A6">
        <w:rPr>
          <w:b/>
          <w:noProof/>
        </w:rPr>
        <w:t>Filtragem (em equipamento de aplicação de produtos líquidos)</w:t>
      </w:r>
    </w:p>
    <w:p w14:paraId="3CF88408" w14:textId="5938AF69" w:rsidR="00FA7E56" w:rsidRPr="002374A6" w:rsidRDefault="00FA7E56" w:rsidP="0000669A">
      <w:pPr>
        <w:pStyle w:val="Text1"/>
        <w:rPr>
          <w:rFonts w:eastAsia="Calibri"/>
          <w:noProof/>
          <w:szCs w:val="24"/>
        </w:rPr>
      </w:pPr>
      <w:r w:rsidRPr="002374A6">
        <w:rPr>
          <w:noProof/>
        </w:rPr>
        <w:t>Para evitar turbulências e pulverizações heterogéneas, devem existir filtros em bom estado e a sua malha deve corresponder e ser adequada ao diâmetro dos bicos do pulverizador. Quando aplicável, o indicador de entupimento dos filtros deve funcionar corretamente.</w:t>
      </w:r>
    </w:p>
    <w:p w14:paraId="24EE0731" w14:textId="6508BB78" w:rsidR="00FA7E56" w:rsidRPr="002374A6" w:rsidRDefault="0000669A" w:rsidP="0000669A">
      <w:pPr>
        <w:pStyle w:val="Point0"/>
        <w:rPr>
          <w:rFonts w:eastAsia="Calibri"/>
          <w:noProof/>
          <w:szCs w:val="24"/>
        </w:rPr>
      </w:pPr>
      <w:r w:rsidRPr="002374A6">
        <w:rPr>
          <w:b/>
          <w:noProof/>
        </w:rPr>
        <w:t>9.</w:t>
      </w:r>
      <w:r w:rsidRPr="002374A6">
        <w:rPr>
          <w:noProof/>
        </w:rPr>
        <w:tab/>
      </w:r>
      <w:r w:rsidRPr="002374A6">
        <w:rPr>
          <w:b/>
          <w:noProof/>
        </w:rPr>
        <w:t>Barra de pulverização (em equipamento de pulverização de produtos fitofarmacêuticos por meio de uma barra colocada na horizontal ou na vertical, junto às plantas ou aos materiais a tratar)</w:t>
      </w:r>
    </w:p>
    <w:p w14:paraId="5A96A5EF" w14:textId="58BDEF9C" w:rsidR="00FA7E56" w:rsidRPr="002374A6" w:rsidRDefault="00FA7E56" w:rsidP="0000669A">
      <w:pPr>
        <w:pStyle w:val="Text1"/>
        <w:rPr>
          <w:rFonts w:eastAsia="Calibri"/>
          <w:noProof/>
          <w:szCs w:val="24"/>
        </w:rPr>
      </w:pPr>
      <w:r w:rsidRPr="002374A6">
        <w:rPr>
          <w:noProof/>
        </w:rPr>
        <w:t>A barra deve estar em bom estado e ser estável em todas as direções. Os sistemas de fixação e de regulação e os dispositivos de amortecimento de movimentos imprevistos e de compensação de inclinações devem funcionar corretamente.</w:t>
      </w:r>
    </w:p>
    <w:p w14:paraId="6068B86F" w14:textId="1059622D" w:rsidR="00FA7E56" w:rsidRPr="002374A6" w:rsidRDefault="0000669A" w:rsidP="0000669A">
      <w:pPr>
        <w:pStyle w:val="Point0"/>
        <w:rPr>
          <w:rFonts w:eastAsia="Calibri"/>
          <w:b/>
          <w:noProof/>
          <w:szCs w:val="24"/>
        </w:rPr>
      </w:pPr>
      <w:r w:rsidRPr="002374A6">
        <w:rPr>
          <w:b/>
          <w:noProof/>
        </w:rPr>
        <w:t>10.</w:t>
      </w:r>
      <w:r w:rsidRPr="002374A6">
        <w:rPr>
          <w:noProof/>
        </w:rPr>
        <w:tab/>
      </w:r>
      <w:r w:rsidRPr="002374A6">
        <w:rPr>
          <w:b/>
          <w:noProof/>
        </w:rPr>
        <w:t xml:space="preserve">Bicos/saídas (em equipamento de distribuição de produtos líquidos)/saídas (para os produtos sólidos) </w:t>
      </w:r>
    </w:p>
    <w:p w14:paraId="2C7868C5" w14:textId="3D4EA627" w:rsidR="00FA7E56" w:rsidRPr="002374A6" w:rsidRDefault="00FA7E56" w:rsidP="0000669A">
      <w:pPr>
        <w:pStyle w:val="Text1"/>
        <w:rPr>
          <w:rFonts w:eastAsia="Calibri"/>
          <w:noProof/>
          <w:szCs w:val="24"/>
        </w:rPr>
      </w:pPr>
      <w:r w:rsidRPr="002374A6">
        <w:rPr>
          <w:noProof/>
        </w:rPr>
        <w:t>Os bicos e as saídas devem funcionar corretamente. O caudal de cada bico e saída não deve afastar</w:t>
      </w:r>
      <w:r w:rsidR="002374A6">
        <w:rPr>
          <w:noProof/>
        </w:rPr>
        <w:noBreakHyphen/>
      </w:r>
      <w:r w:rsidRPr="002374A6">
        <w:rPr>
          <w:noProof/>
        </w:rPr>
        <w:t>se significativamente dos dados constantes dos quadros relativos ao caudal fornecidos pelo fabricante.</w:t>
      </w:r>
    </w:p>
    <w:p w14:paraId="22581D5E" w14:textId="77777777" w:rsidR="00FA7E56" w:rsidRPr="002374A6" w:rsidRDefault="0000669A" w:rsidP="0000669A">
      <w:pPr>
        <w:pStyle w:val="Point0"/>
        <w:rPr>
          <w:rFonts w:eastAsia="Calibri"/>
          <w:b/>
          <w:noProof/>
          <w:szCs w:val="24"/>
        </w:rPr>
      </w:pPr>
      <w:r w:rsidRPr="002374A6">
        <w:rPr>
          <w:b/>
          <w:noProof/>
        </w:rPr>
        <w:t>11.</w:t>
      </w:r>
      <w:r w:rsidRPr="002374A6">
        <w:rPr>
          <w:noProof/>
        </w:rPr>
        <w:tab/>
      </w:r>
      <w:r w:rsidRPr="002374A6">
        <w:rPr>
          <w:b/>
          <w:noProof/>
        </w:rPr>
        <w:t>Distribuição</w:t>
      </w:r>
    </w:p>
    <w:p w14:paraId="296B63C9" w14:textId="44A35D9F" w:rsidR="00FA7E56" w:rsidRPr="002374A6" w:rsidRDefault="00FA7E56" w:rsidP="0000669A">
      <w:pPr>
        <w:pStyle w:val="Text1"/>
        <w:rPr>
          <w:rFonts w:eastAsia="Calibri"/>
          <w:noProof/>
          <w:szCs w:val="24"/>
        </w:rPr>
      </w:pPr>
      <w:r w:rsidRPr="002374A6">
        <w:rPr>
          <w:noProof/>
        </w:rPr>
        <w:t>Sempre que pertinente, a distribuição longitudinal, transversal e vertical do produto (no caso das aplicações em culturas verticais) na zona</w:t>
      </w:r>
      <w:r w:rsidR="002374A6">
        <w:rPr>
          <w:noProof/>
        </w:rPr>
        <w:noBreakHyphen/>
      </w:r>
      <w:r w:rsidRPr="002374A6">
        <w:rPr>
          <w:noProof/>
        </w:rPr>
        <w:t>alvo deve ser homogénea.</w:t>
      </w:r>
    </w:p>
    <w:p w14:paraId="17DFD82F" w14:textId="77777777" w:rsidR="00FA7E56" w:rsidRPr="002374A6" w:rsidRDefault="00FA7E56" w:rsidP="0000669A">
      <w:pPr>
        <w:pStyle w:val="Point0"/>
        <w:rPr>
          <w:rFonts w:eastAsia="Calibri"/>
          <w:b/>
          <w:noProof/>
          <w:szCs w:val="24"/>
        </w:rPr>
      </w:pPr>
      <w:r w:rsidRPr="002374A6">
        <w:rPr>
          <w:b/>
          <w:noProof/>
        </w:rPr>
        <w:t>12.</w:t>
      </w:r>
      <w:r w:rsidRPr="002374A6">
        <w:rPr>
          <w:noProof/>
        </w:rPr>
        <w:tab/>
      </w:r>
      <w:r w:rsidRPr="002374A6">
        <w:rPr>
          <w:b/>
          <w:noProof/>
        </w:rPr>
        <w:t>Ventilador (em equipamento de distribuição de produtos fitofarmacêuticos assistido por ar)</w:t>
      </w:r>
    </w:p>
    <w:p w14:paraId="01754577" w14:textId="57CD0DFC" w:rsidR="00FA7E56" w:rsidRPr="002374A6" w:rsidRDefault="00FA7E56" w:rsidP="0000669A">
      <w:pPr>
        <w:pStyle w:val="Text1"/>
        <w:rPr>
          <w:rFonts w:eastAsia="Calibri"/>
          <w:noProof/>
          <w:szCs w:val="24"/>
        </w:rPr>
      </w:pPr>
      <w:r w:rsidRPr="002374A6">
        <w:rPr>
          <w:noProof/>
        </w:rPr>
        <w:t>O ventilador deve estar em bom estado e produzir um fluxo de ar fiável e estável.</w:t>
      </w:r>
    </w:p>
    <w:p w14:paraId="0AF6972A" w14:textId="77777777" w:rsidR="00FA7E56" w:rsidRPr="002374A6" w:rsidRDefault="0000669A" w:rsidP="0000669A">
      <w:pPr>
        <w:pStyle w:val="Point0"/>
        <w:rPr>
          <w:rFonts w:eastAsia="Calibri"/>
          <w:b/>
          <w:noProof/>
          <w:szCs w:val="24"/>
        </w:rPr>
      </w:pPr>
      <w:r w:rsidRPr="002374A6">
        <w:rPr>
          <w:b/>
          <w:noProof/>
        </w:rPr>
        <w:t>13.</w:t>
      </w:r>
      <w:r w:rsidRPr="002374A6">
        <w:rPr>
          <w:noProof/>
        </w:rPr>
        <w:tab/>
      </w:r>
      <w:r w:rsidRPr="002374A6">
        <w:rPr>
          <w:b/>
          <w:noProof/>
        </w:rPr>
        <w:t xml:space="preserve">Limpeza </w:t>
      </w:r>
    </w:p>
    <w:p w14:paraId="3111CAD3" w14:textId="709E5615" w:rsidR="00FA7E56" w:rsidRPr="002374A6" w:rsidRDefault="00FA7E56" w:rsidP="0000669A">
      <w:pPr>
        <w:pStyle w:val="Text1"/>
        <w:rPr>
          <w:noProof/>
        </w:rPr>
      </w:pPr>
      <w:r w:rsidRPr="002374A6">
        <w:rPr>
          <w:noProof/>
        </w:rPr>
        <w:t>Se existirem, os dispositivos de enxaguamento/limpeza de recipientes vazios, por exemplo, instalados nos funis de indução do equipamento de aplicação, devem funcionar de modo fiável. Além disso, se fornecidos, os dispositivos de limpeza de depósitos, os dispositivos de limpeza externa, os dispositivos de limpeza dos funis de indução e os dispositivos de limpeza interna de todo o equipamento de aplicação devem funcionar corretamente.</w:t>
      </w:r>
    </w:p>
    <w:p w14:paraId="129ED836" w14:textId="77777777" w:rsidR="00FA7E56" w:rsidRPr="002374A6" w:rsidRDefault="00FA7E56" w:rsidP="00FA7E56">
      <w:pPr>
        <w:rPr>
          <w:noProof/>
        </w:rPr>
        <w:sectPr w:rsidR="00FA7E56" w:rsidRPr="002374A6" w:rsidSect="003D3418">
          <w:pgSz w:w="11907" w:h="16839"/>
          <w:pgMar w:top="1134" w:right="1417" w:bottom="1134" w:left="1417" w:header="709" w:footer="709" w:gutter="0"/>
          <w:cols w:space="720"/>
          <w:docGrid w:linePitch="360"/>
        </w:sectPr>
      </w:pPr>
    </w:p>
    <w:p w14:paraId="72D93963" w14:textId="6CF40F12" w:rsidR="00FA7E56" w:rsidRPr="002374A6" w:rsidRDefault="6B25E89D" w:rsidP="6B25E89D">
      <w:pPr>
        <w:pStyle w:val="Annexetitre"/>
        <w:rPr>
          <w:noProof/>
        </w:rPr>
      </w:pPr>
      <w:r w:rsidRPr="002374A6">
        <w:rPr>
          <w:noProof/>
        </w:rPr>
        <w:t>ANEXO V</w:t>
      </w:r>
    </w:p>
    <w:p w14:paraId="127B8224" w14:textId="77777777" w:rsidR="00FA7E56" w:rsidRPr="002374A6" w:rsidRDefault="00FA7E56" w:rsidP="00FA7E56">
      <w:pPr>
        <w:jc w:val="center"/>
        <w:rPr>
          <w:b/>
          <w:noProof/>
          <w:szCs w:val="24"/>
        </w:rPr>
      </w:pPr>
      <w:r w:rsidRPr="002374A6">
        <w:rPr>
          <w:b/>
          <w:noProof/>
        </w:rPr>
        <w:t>FORMULÁRIO DE NOTIFICAÇÃO</w:t>
      </w:r>
    </w:p>
    <w:tbl>
      <w:tblPr>
        <w:tblStyle w:val="TableGrid"/>
        <w:tblW w:w="1002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947"/>
        <w:gridCol w:w="565"/>
        <w:gridCol w:w="567"/>
        <w:gridCol w:w="709"/>
        <w:gridCol w:w="425"/>
        <w:gridCol w:w="567"/>
        <w:gridCol w:w="851"/>
        <w:gridCol w:w="992"/>
        <w:gridCol w:w="567"/>
        <w:gridCol w:w="283"/>
        <w:gridCol w:w="709"/>
        <w:gridCol w:w="1282"/>
        <w:gridCol w:w="283"/>
        <w:gridCol w:w="276"/>
        <w:gridCol w:w="6"/>
      </w:tblGrid>
      <w:tr w:rsidR="0066509A" w:rsidRPr="002374A6" w14:paraId="5288089E" w14:textId="77777777" w:rsidTr="007B3445">
        <w:tc>
          <w:tcPr>
            <w:tcW w:w="10029" w:type="dxa"/>
            <w:gridSpan w:val="15"/>
            <w:tcBorders>
              <w:top w:val="single" w:sz="24" w:space="0" w:color="auto"/>
              <w:bottom w:val="single" w:sz="6" w:space="0" w:color="auto"/>
            </w:tcBorders>
          </w:tcPr>
          <w:p w14:paraId="273C61FE" w14:textId="77777777" w:rsidR="00FA7E56" w:rsidRPr="002374A6" w:rsidRDefault="00FA7E56" w:rsidP="007B3445">
            <w:pPr>
              <w:rPr>
                <w:noProof/>
              </w:rPr>
            </w:pPr>
            <w:r w:rsidRPr="002374A6">
              <w:rPr>
                <w:noProof/>
              </w:rPr>
              <w:t>Motivo da notificação (assinalar)</w:t>
            </w:r>
          </w:p>
        </w:tc>
      </w:tr>
      <w:tr w:rsidR="0066509A" w:rsidRPr="002374A6" w14:paraId="154C5225" w14:textId="77777777" w:rsidTr="007B3445">
        <w:tc>
          <w:tcPr>
            <w:tcW w:w="10029" w:type="dxa"/>
            <w:gridSpan w:val="15"/>
            <w:tcBorders>
              <w:top w:val="single" w:sz="6" w:space="0" w:color="auto"/>
              <w:bottom w:val="nil"/>
            </w:tcBorders>
          </w:tcPr>
          <w:p w14:paraId="47BF69D8" w14:textId="77777777" w:rsidR="00FA7E56" w:rsidRPr="002374A6" w:rsidRDefault="00FA7E56" w:rsidP="007B3445">
            <w:pPr>
              <w:rPr>
                <w:noProof/>
              </w:rPr>
            </w:pPr>
          </w:p>
        </w:tc>
      </w:tr>
      <w:tr w:rsidR="0066509A" w:rsidRPr="002374A6" w14:paraId="233F0587" w14:textId="77777777" w:rsidTr="007B3445">
        <w:trPr>
          <w:gridAfter w:val="1"/>
          <w:wAfter w:w="6" w:type="dxa"/>
          <w:trHeight w:val="495"/>
        </w:trPr>
        <w:tc>
          <w:tcPr>
            <w:tcW w:w="3082" w:type="dxa"/>
            <w:gridSpan w:val="3"/>
            <w:tcBorders>
              <w:top w:val="nil"/>
              <w:bottom w:val="nil"/>
              <w:right w:val="single" w:sz="24" w:space="0" w:color="auto"/>
            </w:tcBorders>
          </w:tcPr>
          <w:p w14:paraId="2BF824A4" w14:textId="77777777" w:rsidR="00FA7E56" w:rsidRPr="002374A6" w:rsidRDefault="00FA7E56" w:rsidP="007B3445">
            <w:pPr>
              <w:rPr>
                <w:noProof/>
              </w:rPr>
            </w:pPr>
            <w:r w:rsidRPr="002374A6">
              <w:rPr>
                <w:noProof/>
              </w:rPr>
              <w:t>Equipamento novo ou primeiro registo de equipamento usado</w:t>
            </w:r>
          </w:p>
        </w:tc>
        <w:tc>
          <w:tcPr>
            <w:tcW w:w="709" w:type="dxa"/>
            <w:tcBorders>
              <w:top w:val="single" w:sz="24" w:space="0" w:color="auto"/>
              <w:left w:val="single" w:sz="24" w:space="0" w:color="auto"/>
              <w:bottom w:val="single" w:sz="24" w:space="0" w:color="auto"/>
              <w:right w:val="single" w:sz="24" w:space="0" w:color="auto"/>
            </w:tcBorders>
          </w:tcPr>
          <w:p w14:paraId="69A28131" w14:textId="77777777" w:rsidR="00FA7E56" w:rsidRPr="002374A6" w:rsidRDefault="00FA7E56" w:rsidP="007B3445">
            <w:pPr>
              <w:rPr>
                <w:noProof/>
              </w:rPr>
            </w:pPr>
          </w:p>
        </w:tc>
        <w:tc>
          <w:tcPr>
            <w:tcW w:w="1843" w:type="dxa"/>
            <w:gridSpan w:val="3"/>
            <w:tcBorders>
              <w:top w:val="nil"/>
              <w:left w:val="single" w:sz="24" w:space="0" w:color="auto"/>
              <w:bottom w:val="nil"/>
              <w:right w:val="nil"/>
            </w:tcBorders>
          </w:tcPr>
          <w:p w14:paraId="1A4317EF" w14:textId="77777777" w:rsidR="00FA7E56" w:rsidRPr="002374A6" w:rsidRDefault="00FA7E56" w:rsidP="007B3445">
            <w:pPr>
              <w:jc w:val="center"/>
              <w:rPr>
                <w:noProof/>
              </w:rPr>
            </w:pPr>
          </w:p>
        </w:tc>
        <w:tc>
          <w:tcPr>
            <w:tcW w:w="1842" w:type="dxa"/>
            <w:gridSpan w:val="3"/>
            <w:tcBorders>
              <w:top w:val="nil"/>
              <w:left w:val="nil"/>
              <w:bottom w:val="nil"/>
              <w:right w:val="single" w:sz="24" w:space="0" w:color="auto"/>
            </w:tcBorders>
          </w:tcPr>
          <w:p w14:paraId="1AF9EB37" w14:textId="77777777" w:rsidR="00FA7E56" w:rsidRPr="002374A6" w:rsidRDefault="00FA7E56" w:rsidP="002B28BF">
            <w:pPr>
              <w:ind w:left="-109" w:right="535" w:firstLine="109"/>
              <w:jc w:val="center"/>
              <w:rPr>
                <w:noProof/>
              </w:rPr>
            </w:pPr>
            <w:r w:rsidRPr="002374A6">
              <w:rPr>
                <w:noProof/>
              </w:rPr>
              <w:t>Utilização suspensa</w:t>
            </w:r>
          </w:p>
        </w:tc>
        <w:tc>
          <w:tcPr>
            <w:tcW w:w="709" w:type="dxa"/>
            <w:tcBorders>
              <w:top w:val="single" w:sz="24" w:space="0" w:color="auto"/>
              <w:left w:val="single" w:sz="24" w:space="0" w:color="auto"/>
              <w:bottom w:val="single" w:sz="24" w:space="0" w:color="auto"/>
              <w:right w:val="single" w:sz="24" w:space="0" w:color="auto"/>
            </w:tcBorders>
          </w:tcPr>
          <w:p w14:paraId="00C16A16" w14:textId="77777777" w:rsidR="00FA7E56" w:rsidRPr="002374A6" w:rsidRDefault="00FA7E56" w:rsidP="007B3445">
            <w:pPr>
              <w:rPr>
                <w:noProof/>
              </w:rPr>
            </w:pPr>
          </w:p>
        </w:tc>
        <w:tc>
          <w:tcPr>
            <w:tcW w:w="1279" w:type="dxa"/>
            <w:tcBorders>
              <w:top w:val="nil"/>
              <w:left w:val="single" w:sz="24" w:space="0" w:color="auto"/>
              <w:bottom w:val="nil"/>
              <w:right w:val="nil"/>
            </w:tcBorders>
          </w:tcPr>
          <w:p w14:paraId="170F7DF3" w14:textId="77777777" w:rsidR="00FA7E56" w:rsidRPr="002374A6" w:rsidRDefault="00FA7E56" w:rsidP="007B3445">
            <w:pPr>
              <w:rPr>
                <w:noProof/>
              </w:rPr>
            </w:pPr>
          </w:p>
        </w:tc>
        <w:tc>
          <w:tcPr>
            <w:tcW w:w="283" w:type="dxa"/>
            <w:tcBorders>
              <w:top w:val="nil"/>
              <w:left w:val="nil"/>
              <w:bottom w:val="nil"/>
              <w:right w:val="nil"/>
            </w:tcBorders>
          </w:tcPr>
          <w:p w14:paraId="485F9058" w14:textId="77777777" w:rsidR="00FA7E56" w:rsidRPr="002374A6" w:rsidRDefault="00FA7E56" w:rsidP="007B3445">
            <w:pPr>
              <w:rPr>
                <w:noProof/>
              </w:rPr>
            </w:pPr>
          </w:p>
        </w:tc>
        <w:tc>
          <w:tcPr>
            <w:tcW w:w="276" w:type="dxa"/>
            <w:tcBorders>
              <w:top w:val="nil"/>
              <w:left w:val="nil"/>
              <w:bottom w:val="nil"/>
            </w:tcBorders>
          </w:tcPr>
          <w:p w14:paraId="153166BC" w14:textId="77777777" w:rsidR="00FA7E56" w:rsidRPr="002374A6" w:rsidRDefault="00FA7E56" w:rsidP="007B3445">
            <w:pPr>
              <w:rPr>
                <w:noProof/>
              </w:rPr>
            </w:pPr>
          </w:p>
        </w:tc>
      </w:tr>
      <w:tr w:rsidR="0066509A" w:rsidRPr="002374A6" w14:paraId="001BEBF0" w14:textId="77777777" w:rsidTr="007B3445">
        <w:trPr>
          <w:gridAfter w:val="1"/>
          <w:wAfter w:w="6" w:type="dxa"/>
          <w:trHeight w:val="77"/>
        </w:trPr>
        <w:tc>
          <w:tcPr>
            <w:tcW w:w="3082" w:type="dxa"/>
            <w:gridSpan w:val="3"/>
            <w:tcBorders>
              <w:top w:val="nil"/>
              <w:bottom w:val="nil"/>
              <w:right w:val="nil"/>
            </w:tcBorders>
          </w:tcPr>
          <w:p w14:paraId="43C3CD9B" w14:textId="77777777" w:rsidR="00FA7E56" w:rsidRPr="002374A6" w:rsidRDefault="00FA7E56" w:rsidP="007B3445">
            <w:pPr>
              <w:rPr>
                <w:noProof/>
              </w:rPr>
            </w:pPr>
          </w:p>
        </w:tc>
        <w:tc>
          <w:tcPr>
            <w:tcW w:w="709" w:type="dxa"/>
            <w:tcBorders>
              <w:top w:val="nil"/>
              <w:left w:val="nil"/>
              <w:bottom w:val="single" w:sz="24" w:space="0" w:color="auto"/>
              <w:right w:val="nil"/>
            </w:tcBorders>
          </w:tcPr>
          <w:p w14:paraId="49B38AAD" w14:textId="77777777" w:rsidR="00FA7E56" w:rsidRPr="002374A6" w:rsidRDefault="00FA7E56" w:rsidP="007B3445">
            <w:pPr>
              <w:rPr>
                <w:noProof/>
              </w:rPr>
            </w:pPr>
          </w:p>
        </w:tc>
        <w:tc>
          <w:tcPr>
            <w:tcW w:w="1843" w:type="dxa"/>
            <w:gridSpan w:val="3"/>
            <w:tcBorders>
              <w:top w:val="nil"/>
              <w:left w:val="nil"/>
              <w:bottom w:val="nil"/>
              <w:right w:val="nil"/>
            </w:tcBorders>
          </w:tcPr>
          <w:p w14:paraId="07DBE0BF" w14:textId="77777777" w:rsidR="00FA7E56" w:rsidRPr="002374A6" w:rsidRDefault="00FA7E56" w:rsidP="007B3445">
            <w:pPr>
              <w:rPr>
                <w:noProof/>
              </w:rPr>
            </w:pPr>
          </w:p>
        </w:tc>
        <w:tc>
          <w:tcPr>
            <w:tcW w:w="1842" w:type="dxa"/>
            <w:gridSpan w:val="3"/>
            <w:tcBorders>
              <w:top w:val="nil"/>
              <w:left w:val="nil"/>
              <w:bottom w:val="nil"/>
              <w:right w:val="nil"/>
            </w:tcBorders>
          </w:tcPr>
          <w:p w14:paraId="1949C752" w14:textId="77777777" w:rsidR="00FA7E56" w:rsidRPr="002374A6" w:rsidRDefault="00FA7E56" w:rsidP="007B3445">
            <w:pPr>
              <w:rPr>
                <w:noProof/>
              </w:rPr>
            </w:pPr>
          </w:p>
        </w:tc>
        <w:tc>
          <w:tcPr>
            <w:tcW w:w="1988" w:type="dxa"/>
            <w:gridSpan w:val="2"/>
            <w:tcBorders>
              <w:top w:val="nil"/>
              <w:left w:val="nil"/>
              <w:bottom w:val="nil"/>
              <w:right w:val="nil"/>
            </w:tcBorders>
          </w:tcPr>
          <w:p w14:paraId="3E7056A7" w14:textId="77777777" w:rsidR="00FA7E56" w:rsidRPr="002374A6" w:rsidRDefault="00FA7E56" w:rsidP="007B3445">
            <w:pPr>
              <w:rPr>
                <w:noProof/>
              </w:rPr>
            </w:pPr>
          </w:p>
        </w:tc>
        <w:tc>
          <w:tcPr>
            <w:tcW w:w="283" w:type="dxa"/>
            <w:tcBorders>
              <w:top w:val="nil"/>
              <w:left w:val="nil"/>
              <w:bottom w:val="nil"/>
              <w:right w:val="nil"/>
            </w:tcBorders>
          </w:tcPr>
          <w:p w14:paraId="76B9118B" w14:textId="77777777" w:rsidR="00FA7E56" w:rsidRPr="002374A6" w:rsidRDefault="00FA7E56" w:rsidP="007B3445">
            <w:pPr>
              <w:rPr>
                <w:noProof/>
              </w:rPr>
            </w:pPr>
          </w:p>
        </w:tc>
        <w:tc>
          <w:tcPr>
            <w:tcW w:w="276" w:type="dxa"/>
            <w:tcBorders>
              <w:top w:val="nil"/>
              <w:left w:val="nil"/>
              <w:bottom w:val="nil"/>
            </w:tcBorders>
          </w:tcPr>
          <w:p w14:paraId="34E2E946" w14:textId="77777777" w:rsidR="00FA7E56" w:rsidRPr="002374A6" w:rsidRDefault="00FA7E56" w:rsidP="007B3445">
            <w:pPr>
              <w:rPr>
                <w:noProof/>
              </w:rPr>
            </w:pPr>
          </w:p>
        </w:tc>
      </w:tr>
      <w:tr w:rsidR="0066509A" w:rsidRPr="002374A6" w14:paraId="7E932808" w14:textId="77777777" w:rsidTr="007B3445">
        <w:trPr>
          <w:gridAfter w:val="1"/>
          <w:wAfter w:w="6" w:type="dxa"/>
        </w:trPr>
        <w:tc>
          <w:tcPr>
            <w:tcW w:w="3082" w:type="dxa"/>
            <w:gridSpan w:val="3"/>
            <w:tcBorders>
              <w:top w:val="nil"/>
              <w:bottom w:val="nil"/>
              <w:right w:val="single" w:sz="24" w:space="0" w:color="auto"/>
            </w:tcBorders>
          </w:tcPr>
          <w:p w14:paraId="4A3710EE" w14:textId="0041CDDF" w:rsidR="00FA7E56" w:rsidRPr="002374A6" w:rsidRDefault="00FA7E56" w:rsidP="00F71E71">
            <w:pPr>
              <w:rPr>
                <w:noProof/>
              </w:rPr>
            </w:pPr>
            <w:r w:rsidRPr="002374A6">
              <w:rPr>
                <w:noProof/>
              </w:rPr>
              <w:t>Mudança de propriedade</w:t>
            </w:r>
          </w:p>
        </w:tc>
        <w:tc>
          <w:tcPr>
            <w:tcW w:w="709" w:type="dxa"/>
            <w:tcBorders>
              <w:top w:val="single" w:sz="24" w:space="0" w:color="auto"/>
              <w:left w:val="single" w:sz="24" w:space="0" w:color="auto"/>
              <w:bottom w:val="single" w:sz="24" w:space="0" w:color="auto"/>
              <w:right w:val="single" w:sz="24" w:space="0" w:color="auto"/>
            </w:tcBorders>
          </w:tcPr>
          <w:p w14:paraId="3D9163E3" w14:textId="77777777" w:rsidR="00FA7E56" w:rsidRPr="002374A6" w:rsidRDefault="00FA7E56" w:rsidP="007B3445">
            <w:pPr>
              <w:rPr>
                <w:noProof/>
              </w:rPr>
            </w:pPr>
          </w:p>
        </w:tc>
        <w:tc>
          <w:tcPr>
            <w:tcW w:w="1843" w:type="dxa"/>
            <w:gridSpan w:val="3"/>
            <w:tcBorders>
              <w:top w:val="nil"/>
              <w:left w:val="single" w:sz="24" w:space="0" w:color="auto"/>
              <w:bottom w:val="nil"/>
              <w:right w:val="nil"/>
            </w:tcBorders>
          </w:tcPr>
          <w:p w14:paraId="0DB1D322" w14:textId="77777777" w:rsidR="00FA7E56" w:rsidRPr="002374A6" w:rsidRDefault="00FA7E56" w:rsidP="007B3445">
            <w:pPr>
              <w:rPr>
                <w:noProof/>
              </w:rPr>
            </w:pPr>
          </w:p>
        </w:tc>
        <w:tc>
          <w:tcPr>
            <w:tcW w:w="1842" w:type="dxa"/>
            <w:gridSpan w:val="3"/>
            <w:tcBorders>
              <w:top w:val="nil"/>
              <w:left w:val="nil"/>
              <w:bottom w:val="nil"/>
              <w:right w:val="single" w:sz="24" w:space="0" w:color="auto"/>
            </w:tcBorders>
          </w:tcPr>
          <w:p w14:paraId="79FD86C1" w14:textId="77777777" w:rsidR="00FA7E56" w:rsidRPr="002374A6" w:rsidRDefault="00FA7E56" w:rsidP="007B3445">
            <w:pPr>
              <w:rPr>
                <w:noProof/>
              </w:rPr>
            </w:pPr>
            <w:r w:rsidRPr="002374A6">
              <w:rPr>
                <w:noProof/>
              </w:rPr>
              <w:t>Utilização retomada</w:t>
            </w:r>
          </w:p>
        </w:tc>
        <w:tc>
          <w:tcPr>
            <w:tcW w:w="709" w:type="dxa"/>
            <w:tcBorders>
              <w:top w:val="single" w:sz="24" w:space="0" w:color="auto"/>
              <w:left w:val="single" w:sz="24" w:space="0" w:color="auto"/>
              <w:bottom w:val="single" w:sz="24" w:space="0" w:color="auto"/>
              <w:right w:val="single" w:sz="24" w:space="0" w:color="auto"/>
            </w:tcBorders>
          </w:tcPr>
          <w:p w14:paraId="0E279E4A" w14:textId="77777777" w:rsidR="00FA7E56" w:rsidRPr="002374A6" w:rsidRDefault="00FA7E56" w:rsidP="007B3445">
            <w:pPr>
              <w:rPr>
                <w:noProof/>
              </w:rPr>
            </w:pPr>
          </w:p>
        </w:tc>
        <w:tc>
          <w:tcPr>
            <w:tcW w:w="1279" w:type="dxa"/>
            <w:tcBorders>
              <w:top w:val="nil"/>
              <w:left w:val="single" w:sz="24" w:space="0" w:color="auto"/>
              <w:bottom w:val="nil"/>
              <w:right w:val="nil"/>
            </w:tcBorders>
          </w:tcPr>
          <w:p w14:paraId="20F0403F" w14:textId="77777777" w:rsidR="00FA7E56" w:rsidRPr="002374A6" w:rsidRDefault="00FA7E56" w:rsidP="007B3445">
            <w:pPr>
              <w:rPr>
                <w:noProof/>
              </w:rPr>
            </w:pPr>
          </w:p>
        </w:tc>
        <w:tc>
          <w:tcPr>
            <w:tcW w:w="283" w:type="dxa"/>
            <w:tcBorders>
              <w:top w:val="nil"/>
              <w:left w:val="nil"/>
              <w:bottom w:val="nil"/>
              <w:right w:val="nil"/>
            </w:tcBorders>
          </w:tcPr>
          <w:p w14:paraId="3BDD6FAD" w14:textId="77777777" w:rsidR="00FA7E56" w:rsidRPr="002374A6" w:rsidRDefault="00FA7E56" w:rsidP="007B3445">
            <w:pPr>
              <w:rPr>
                <w:noProof/>
              </w:rPr>
            </w:pPr>
          </w:p>
          <w:p w14:paraId="391221EE" w14:textId="77777777" w:rsidR="00FA7E56" w:rsidRPr="002374A6" w:rsidRDefault="00FA7E56" w:rsidP="007B3445">
            <w:pPr>
              <w:rPr>
                <w:noProof/>
              </w:rPr>
            </w:pPr>
          </w:p>
        </w:tc>
        <w:tc>
          <w:tcPr>
            <w:tcW w:w="276" w:type="dxa"/>
            <w:tcBorders>
              <w:top w:val="nil"/>
              <w:left w:val="nil"/>
              <w:bottom w:val="nil"/>
            </w:tcBorders>
          </w:tcPr>
          <w:p w14:paraId="07AC7863" w14:textId="77777777" w:rsidR="00FA7E56" w:rsidRPr="002374A6" w:rsidRDefault="00FA7E56" w:rsidP="007B3445">
            <w:pPr>
              <w:rPr>
                <w:noProof/>
              </w:rPr>
            </w:pPr>
          </w:p>
        </w:tc>
      </w:tr>
      <w:tr w:rsidR="0066509A" w:rsidRPr="002374A6" w14:paraId="678DA21F" w14:textId="77777777" w:rsidTr="007B3445">
        <w:tc>
          <w:tcPr>
            <w:tcW w:w="10029" w:type="dxa"/>
            <w:gridSpan w:val="15"/>
            <w:tcBorders>
              <w:top w:val="nil"/>
            </w:tcBorders>
          </w:tcPr>
          <w:p w14:paraId="6E73B257" w14:textId="77777777" w:rsidR="00FA7E56" w:rsidRPr="002374A6" w:rsidRDefault="00FA7E56" w:rsidP="007B3445">
            <w:pPr>
              <w:rPr>
                <w:noProof/>
              </w:rPr>
            </w:pPr>
          </w:p>
        </w:tc>
      </w:tr>
      <w:tr w:rsidR="0066509A" w:rsidRPr="002374A6" w14:paraId="4B60CF13" w14:textId="77777777" w:rsidTr="007B3445">
        <w:tc>
          <w:tcPr>
            <w:tcW w:w="10029" w:type="dxa"/>
            <w:gridSpan w:val="15"/>
          </w:tcPr>
          <w:p w14:paraId="3F917C78" w14:textId="58FCC89C" w:rsidR="00FA7E56" w:rsidRPr="002374A6" w:rsidRDefault="00FA7E56" w:rsidP="007B3445">
            <w:pPr>
              <w:rPr>
                <w:noProof/>
              </w:rPr>
            </w:pPr>
            <w:r w:rsidRPr="002374A6">
              <w:rPr>
                <w:noProof/>
              </w:rPr>
              <w:t>Proprietário atual</w:t>
            </w:r>
          </w:p>
        </w:tc>
      </w:tr>
      <w:tr w:rsidR="0066509A" w:rsidRPr="002374A6" w14:paraId="6A2E24B0" w14:textId="77777777" w:rsidTr="007B3445">
        <w:tc>
          <w:tcPr>
            <w:tcW w:w="1949" w:type="dxa"/>
          </w:tcPr>
          <w:p w14:paraId="5BF4F0AE" w14:textId="77777777" w:rsidR="00FA7E56" w:rsidRPr="002374A6" w:rsidRDefault="00FA7E56" w:rsidP="007B3445">
            <w:pPr>
              <w:rPr>
                <w:noProof/>
              </w:rPr>
            </w:pPr>
            <w:r w:rsidRPr="002374A6">
              <w:rPr>
                <w:noProof/>
              </w:rPr>
              <w:t>Nome:</w:t>
            </w:r>
          </w:p>
        </w:tc>
        <w:tc>
          <w:tcPr>
            <w:tcW w:w="2267" w:type="dxa"/>
            <w:gridSpan w:val="4"/>
          </w:tcPr>
          <w:p w14:paraId="5EC228D0" w14:textId="77777777" w:rsidR="00FA7E56" w:rsidRPr="002374A6" w:rsidRDefault="00FA7E56" w:rsidP="007B3445">
            <w:pPr>
              <w:rPr>
                <w:noProof/>
              </w:rPr>
            </w:pPr>
          </w:p>
        </w:tc>
        <w:tc>
          <w:tcPr>
            <w:tcW w:w="2410" w:type="dxa"/>
            <w:gridSpan w:val="3"/>
          </w:tcPr>
          <w:p w14:paraId="59A49917" w14:textId="1A212B26" w:rsidR="00FA7E56" w:rsidRPr="002374A6" w:rsidRDefault="00FA7E56" w:rsidP="007B3445">
            <w:pPr>
              <w:rPr>
                <w:noProof/>
              </w:rPr>
            </w:pPr>
            <w:r w:rsidRPr="002374A6">
              <w:rPr>
                <w:noProof/>
              </w:rPr>
              <w:t xml:space="preserve">Número de identificação único pessoal / da empresa: </w:t>
            </w:r>
            <w:r w:rsidRPr="002374A6">
              <w:rPr>
                <w:noProof/>
              </w:rPr>
              <w:br/>
            </w:r>
            <w:r w:rsidRPr="002374A6">
              <w:rPr>
                <w:noProof/>
                <w:sz w:val="16"/>
              </w:rPr>
              <w:t>(Número de identificação fiscal)</w:t>
            </w:r>
          </w:p>
        </w:tc>
        <w:tc>
          <w:tcPr>
            <w:tcW w:w="3403" w:type="dxa"/>
            <w:gridSpan w:val="7"/>
          </w:tcPr>
          <w:p w14:paraId="1A91E5EB" w14:textId="77777777" w:rsidR="00FA7E56" w:rsidRPr="002374A6" w:rsidRDefault="00FA7E56" w:rsidP="007B3445">
            <w:pPr>
              <w:rPr>
                <w:noProof/>
              </w:rPr>
            </w:pPr>
          </w:p>
        </w:tc>
      </w:tr>
      <w:tr w:rsidR="0066509A" w:rsidRPr="002374A6" w14:paraId="2AF09F67" w14:textId="77777777" w:rsidTr="007B3445">
        <w:tc>
          <w:tcPr>
            <w:tcW w:w="1949" w:type="dxa"/>
          </w:tcPr>
          <w:p w14:paraId="0742563F" w14:textId="77777777" w:rsidR="00FA7E56" w:rsidRPr="002374A6" w:rsidRDefault="00FA7E56" w:rsidP="007B3445">
            <w:pPr>
              <w:rPr>
                <w:noProof/>
              </w:rPr>
            </w:pPr>
            <w:r w:rsidRPr="002374A6">
              <w:rPr>
                <w:noProof/>
              </w:rPr>
              <w:t>Endereço 1:</w:t>
            </w:r>
          </w:p>
        </w:tc>
        <w:tc>
          <w:tcPr>
            <w:tcW w:w="2267" w:type="dxa"/>
            <w:gridSpan w:val="4"/>
          </w:tcPr>
          <w:p w14:paraId="16F36E5B" w14:textId="77777777" w:rsidR="00FA7E56" w:rsidRPr="002374A6" w:rsidRDefault="00FA7E56" w:rsidP="007B3445">
            <w:pPr>
              <w:rPr>
                <w:noProof/>
              </w:rPr>
            </w:pPr>
          </w:p>
        </w:tc>
        <w:tc>
          <w:tcPr>
            <w:tcW w:w="5813" w:type="dxa"/>
            <w:gridSpan w:val="10"/>
          </w:tcPr>
          <w:p w14:paraId="13DD46C5" w14:textId="5DD0B754" w:rsidR="00FA7E56" w:rsidRPr="002374A6" w:rsidRDefault="00FA7E56" w:rsidP="007B3445">
            <w:pPr>
              <w:jc w:val="center"/>
              <w:rPr>
                <w:noProof/>
              </w:rPr>
            </w:pPr>
          </w:p>
        </w:tc>
      </w:tr>
      <w:tr w:rsidR="0066509A" w:rsidRPr="002374A6" w14:paraId="42D46F9F" w14:textId="77777777" w:rsidTr="007B3445">
        <w:tc>
          <w:tcPr>
            <w:tcW w:w="1949" w:type="dxa"/>
          </w:tcPr>
          <w:p w14:paraId="6C1FEFDB" w14:textId="77777777" w:rsidR="00FA7E56" w:rsidRPr="002374A6" w:rsidRDefault="00FA7E56" w:rsidP="007B3445">
            <w:pPr>
              <w:rPr>
                <w:noProof/>
              </w:rPr>
            </w:pPr>
            <w:r w:rsidRPr="002374A6">
              <w:rPr>
                <w:noProof/>
              </w:rPr>
              <w:t>Endereço 2:</w:t>
            </w:r>
          </w:p>
        </w:tc>
        <w:tc>
          <w:tcPr>
            <w:tcW w:w="2267" w:type="dxa"/>
            <w:gridSpan w:val="4"/>
          </w:tcPr>
          <w:p w14:paraId="2041A2AA" w14:textId="77777777" w:rsidR="00FA7E56" w:rsidRPr="002374A6" w:rsidRDefault="00FA7E56" w:rsidP="007B3445">
            <w:pPr>
              <w:rPr>
                <w:noProof/>
              </w:rPr>
            </w:pPr>
          </w:p>
        </w:tc>
        <w:tc>
          <w:tcPr>
            <w:tcW w:w="2410" w:type="dxa"/>
            <w:gridSpan w:val="3"/>
          </w:tcPr>
          <w:p w14:paraId="110A2236" w14:textId="03282C94" w:rsidR="00FA7E56" w:rsidRPr="002374A6" w:rsidRDefault="00FA7E56" w:rsidP="007B3445">
            <w:pPr>
              <w:rPr>
                <w:noProof/>
              </w:rPr>
            </w:pPr>
            <w:r w:rsidRPr="002374A6">
              <w:rPr>
                <w:noProof/>
              </w:rPr>
              <w:t xml:space="preserve">Profissão: </w:t>
            </w:r>
            <w:r w:rsidRPr="002374A6">
              <w:rPr>
                <w:noProof/>
              </w:rPr>
              <w:br/>
            </w:r>
            <w:r w:rsidRPr="002374A6">
              <w:rPr>
                <w:noProof/>
                <w:sz w:val="16"/>
              </w:rPr>
              <w:t>(Agricultor, paisagista, contratante, outra; especificar)</w:t>
            </w:r>
          </w:p>
        </w:tc>
        <w:tc>
          <w:tcPr>
            <w:tcW w:w="3403" w:type="dxa"/>
            <w:gridSpan w:val="7"/>
          </w:tcPr>
          <w:p w14:paraId="4CCF2BE9" w14:textId="77777777" w:rsidR="00FA7E56" w:rsidRPr="002374A6" w:rsidRDefault="00FA7E56" w:rsidP="007B3445">
            <w:pPr>
              <w:rPr>
                <w:noProof/>
              </w:rPr>
            </w:pPr>
          </w:p>
        </w:tc>
      </w:tr>
      <w:tr w:rsidR="0066509A" w:rsidRPr="002374A6" w14:paraId="230B9495" w14:textId="77777777" w:rsidTr="007B3445">
        <w:tc>
          <w:tcPr>
            <w:tcW w:w="1949" w:type="dxa"/>
          </w:tcPr>
          <w:p w14:paraId="6ACB08C4" w14:textId="77777777" w:rsidR="00FA7E56" w:rsidRPr="002374A6" w:rsidRDefault="00FA7E56" w:rsidP="007B3445">
            <w:pPr>
              <w:rPr>
                <w:noProof/>
              </w:rPr>
            </w:pPr>
            <w:r w:rsidRPr="002374A6">
              <w:rPr>
                <w:noProof/>
              </w:rPr>
              <w:t>Endereço 3:</w:t>
            </w:r>
          </w:p>
        </w:tc>
        <w:tc>
          <w:tcPr>
            <w:tcW w:w="2267" w:type="dxa"/>
            <w:gridSpan w:val="4"/>
          </w:tcPr>
          <w:p w14:paraId="0A1C3786" w14:textId="77777777" w:rsidR="00FA7E56" w:rsidRPr="002374A6" w:rsidRDefault="00FA7E56" w:rsidP="007B3445">
            <w:pPr>
              <w:rPr>
                <w:noProof/>
              </w:rPr>
            </w:pPr>
          </w:p>
        </w:tc>
        <w:tc>
          <w:tcPr>
            <w:tcW w:w="5813" w:type="dxa"/>
            <w:gridSpan w:val="10"/>
            <w:tcBorders>
              <w:bottom w:val="single" w:sz="6" w:space="0" w:color="auto"/>
            </w:tcBorders>
          </w:tcPr>
          <w:p w14:paraId="778ACDF1" w14:textId="20B2873B" w:rsidR="00FA7E56" w:rsidRPr="002374A6" w:rsidRDefault="00FA7E56" w:rsidP="007B3445">
            <w:pPr>
              <w:jc w:val="center"/>
              <w:rPr>
                <w:noProof/>
              </w:rPr>
            </w:pPr>
          </w:p>
        </w:tc>
      </w:tr>
      <w:tr w:rsidR="0066509A" w:rsidRPr="002374A6" w14:paraId="23A65C22" w14:textId="77777777" w:rsidTr="007B3445">
        <w:tc>
          <w:tcPr>
            <w:tcW w:w="1949" w:type="dxa"/>
          </w:tcPr>
          <w:p w14:paraId="0E4FDFB0" w14:textId="77777777" w:rsidR="00FA7E56" w:rsidRPr="002374A6" w:rsidRDefault="00FA7E56" w:rsidP="007B3445">
            <w:pPr>
              <w:rPr>
                <w:noProof/>
              </w:rPr>
            </w:pPr>
            <w:r w:rsidRPr="002374A6">
              <w:rPr>
                <w:noProof/>
              </w:rPr>
              <w:t>Endereço 4:</w:t>
            </w:r>
          </w:p>
        </w:tc>
        <w:tc>
          <w:tcPr>
            <w:tcW w:w="2267" w:type="dxa"/>
            <w:gridSpan w:val="4"/>
          </w:tcPr>
          <w:p w14:paraId="29452853" w14:textId="77777777" w:rsidR="00FA7E56" w:rsidRPr="002374A6" w:rsidRDefault="00FA7E56" w:rsidP="007B3445">
            <w:pPr>
              <w:rPr>
                <w:noProof/>
              </w:rPr>
            </w:pPr>
          </w:p>
        </w:tc>
        <w:tc>
          <w:tcPr>
            <w:tcW w:w="2410" w:type="dxa"/>
            <w:gridSpan w:val="3"/>
            <w:tcBorders>
              <w:top w:val="single" w:sz="6" w:space="0" w:color="auto"/>
              <w:bottom w:val="nil"/>
              <w:right w:val="nil"/>
            </w:tcBorders>
          </w:tcPr>
          <w:p w14:paraId="5D28B345" w14:textId="77777777" w:rsidR="00FA7E56" w:rsidRPr="002374A6" w:rsidRDefault="00FA7E56" w:rsidP="007B3445">
            <w:pPr>
              <w:rPr>
                <w:noProof/>
              </w:rPr>
            </w:pPr>
          </w:p>
        </w:tc>
        <w:tc>
          <w:tcPr>
            <w:tcW w:w="3403" w:type="dxa"/>
            <w:gridSpan w:val="7"/>
            <w:tcBorders>
              <w:top w:val="single" w:sz="6" w:space="0" w:color="auto"/>
              <w:left w:val="nil"/>
              <w:bottom w:val="nil"/>
            </w:tcBorders>
          </w:tcPr>
          <w:p w14:paraId="7D7243F7" w14:textId="77777777" w:rsidR="00FA7E56" w:rsidRPr="002374A6" w:rsidRDefault="00FA7E56" w:rsidP="007B3445">
            <w:pPr>
              <w:rPr>
                <w:noProof/>
              </w:rPr>
            </w:pPr>
          </w:p>
        </w:tc>
      </w:tr>
      <w:tr w:rsidR="0066509A" w:rsidRPr="002374A6" w14:paraId="139CAE24" w14:textId="77777777" w:rsidTr="007B3445">
        <w:tc>
          <w:tcPr>
            <w:tcW w:w="1949" w:type="dxa"/>
          </w:tcPr>
          <w:p w14:paraId="40295281" w14:textId="77777777" w:rsidR="00FA7E56" w:rsidRPr="002374A6" w:rsidRDefault="00FA7E56" w:rsidP="007B3445">
            <w:pPr>
              <w:rPr>
                <w:noProof/>
              </w:rPr>
            </w:pPr>
            <w:r w:rsidRPr="002374A6">
              <w:rPr>
                <w:noProof/>
              </w:rPr>
              <w:t>País:</w:t>
            </w:r>
          </w:p>
        </w:tc>
        <w:tc>
          <w:tcPr>
            <w:tcW w:w="2267" w:type="dxa"/>
            <w:gridSpan w:val="4"/>
          </w:tcPr>
          <w:p w14:paraId="0C4EE3A7" w14:textId="77777777" w:rsidR="00FA7E56" w:rsidRPr="002374A6" w:rsidRDefault="00FA7E56" w:rsidP="007B3445">
            <w:pPr>
              <w:rPr>
                <w:noProof/>
              </w:rPr>
            </w:pPr>
          </w:p>
        </w:tc>
        <w:tc>
          <w:tcPr>
            <w:tcW w:w="2410" w:type="dxa"/>
            <w:gridSpan w:val="3"/>
            <w:tcBorders>
              <w:top w:val="nil"/>
              <w:bottom w:val="single" w:sz="6" w:space="0" w:color="auto"/>
              <w:right w:val="nil"/>
            </w:tcBorders>
          </w:tcPr>
          <w:p w14:paraId="49802767" w14:textId="77777777" w:rsidR="00FA7E56" w:rsidRPr="002374A6" w:rsidRDefault="00FA7E56" w:rsidP="007B3445">
            <w:pPr>
              <w:rPr>
                <w:noProof/>
              </w:rPr>
            </w:pPr>
          </w:p>
        </w:tc>
        <w:tc>
          <w:tcPr>
            <w:tcW w:w="3403" w:type="dxa"/>
            <w:gridSpan w:val="7"/>
            <w:tcBorders>
              <w:top w:val="nil"/>
              <w:left w:val="nil"/>
              <w:bottom w:val="single" w:sz="6" w:space="0" w:color="auto"/>
            </w:tcBorders>
          </w:tcPr>
          <w:p w14:paraId="54747AED" w14:textId="77777777" w:rsidR="00FA7E56" w:rsidRPr="002374A6" w:rsidRDefault="00FA7E56" w:rsidP="007B3445">
            <w:pPr>
              <w:rPr>
                <w:noProof/>
              </w:rPr>
            </w:pPr>
          </w:p>
        </w:tc>
      </w:tr>
      <w:tr w:rsidR="0066509A" w:rsidRPr="002374A6" w14:paraId="0734F2F0" w14:textId="77777777" w:rsidTr="007B3445">
        <w:tc>
          <w:tcPr>
            <w:tcW w:w="10029" w:type="dxa"/>
            <w:gridSpan w:val="15"/>
          </w:tcPr>
          <w:p w14:paraId="7CD15EF6" w14:textId="77777777" w:rsidR="00FA7E56" w:rsidRPr="002374A6" w:rsidRDefault="00FA7E56" w:rsidP="007B3445">
            <w:pPr>
              <w:rPr>
                <w:noProof/>
              </w:rPr>
            </w:pPr>
          </w:p>
        </w:tc>
      </w:tr>
      <w:tr w:rsidR="0066509A" w:rsidRPr="002374A6" w14:paraId="04F830A7" w14:textId="77777777" w:rsidTr="007B3445">
        <w:tc>
          <w:tcPr>
            <w:tcW w:w="10029" w:type="dxa"/>
            <w:gridSpan w:val="15"/>
            <w:tcBorders>
              <w:bottom w:val="single" w:sz="4" w:space="0" w:color="auto"/>
            </w:tcBorders>
          </w:tcPr>
          <w:p w14:paraId="1558A680" w14:textId="3F24B46A" w:rsidR="00FA7E56" w:rsidRPr="002374A6" w:rsidRDefault="00FA7E56" w:rsidP="007B3445">
            <w:pPr>
              <w:rPr>
                <w:noProof/>
              </w:rPr>
            </w:pPr>
            <w:r w:rsidRPr="002374A6">
              <w:rPr>
                <w:noProof/>
              </w:rPr>
              <w:t>Proprietário anterior, se aplicável</w:t>
            </w:r>
          </w:p>
        </w:tc>
      </w:tr>
      <w:tr w:rsidR="0066509A" w:rsidRPr="002374A6" w14:paraId="353E4D4F" w14:textId="77777777" w:rsidTr="007B3445">
        <w:tc>
          <w:tcPr>
            <w:tcW w:w="1949" w:type="dxa"/>
            <w:tcBorders>
              <w:top w:val="single" w:sz="4" w:space="0" w:color="auto"/>
              <w:bottom w:val="single" w:sz="4" w:space="0" w:color="auto"/>
              <w:right w:val="single" w:sz="4" w:space="0" w:color="auto"/>
            </w:tcBorders>
          </w:tcPr>
          <w:p w14:paraId="406F3A54" w14:textId="77777777" w:rsidR="00FA7E56" w:rsidRPr="002374A6" w:rsidRDefault="00FA7E56" w:rsidP="007B3445">
            <w:pPr>
              <w:rPr>
                <w:noProof/>
              </w:rPr>
            </w:pPr>
            <w:r w:rsidRPr="002374A6">
              <w:rPr>
                <w:noProof/>
              </w:rPr>
              <w:t>Nome:</w:t>
            </w:r>
          </w:p>
        </w:tc>
        <w:tc>
          <w:tcPr>
            <w:tcW w:w="8080" w:type="dxa"/>
            <w:gridSpan w:val="14"/>
            <w:tcBorders>
              <w:top w:val="single" w:sz="4" w:space="0" w:color="auto"/>
              <w:left w:val="single" w:sz="4" w:space="0" w:color="auto"/>
              <w:bottom w:val="single" w:sz="4" w:space="0" w:color="auto"/>
            </w:tcBorders>
          </w:tcPr>
          <w:p w14:paraId="061D832F" w14:textId="77777777" w:rsidR="00FA7E56" w:rsidRPr="002374A6" w:rsidRDefault="00FA7E56" w:rsidP="007B3445">
            <w:pPr>
              <w:rPr>
                <w:noProof/>
              </w:rPr>
            </w:pPr>
          </w:p>
        </w:tc>
      </w:tr>
      <w:tr w:rsidR="0066509A" w:rsidRPr="002374A6" w14:paraId="47A7990D" w14:textId="77777777" w:rsidTr="007B3445">
        <w:tc>
          <w:tcPr>
            <w:tcW w:w="1949" w:type="dxa"/>
            <w:tcBorders>
              <w:top w:val="single" w:sz="4" w:space="0" w:color="auto"/>
              <w:bottom w:val="single" w:sz="4" w:space="0" w:color="auto"/>
              <w:right w:val="single" w:sz="4" w:space="0" w:color="auto"/>
            </w:tcBorders>
          </w:tcPr>
          <w:p w14:paraId="3228A21F" w14:textId="77777777" w:rsidR="00FA7E56" w:rsidRPr="002374A6" w:rsidRDefault="00FA7E56" w:rsidP="007B3445">
            <w:pPr>
              <w:rPr>
                <w:noProof/>
              </w:rPr>
            </w:pPr>
            <w:r w:rsidRPr="002374A6">
              <w:rPr>
                <w:noProof/>
              </w:rPr>
              <w:t>Endereço 1:</w:t>
            </w:r>
          </w:p>
        </w:tc>
        <w:tc>
          <w:tcPr>
            <w:tcW w:w="8080" w:type="dxa"/>
            <w:gridSpan w:val="14"/>
            <w:tcBorders>
              <w:top w:val="single" w:sz="4" w:space="0" w:color="auto"/>
              <w:left w:val="single" w:sz="4" w:space="0" w:color="auto"/>
              <w:bottom w:val="single" w:sz="4" w:space="0" w:color="auto"/>
            </w:tcBorders>
          </w:tcPr>
          <w:p w14:paraId="5BE0519B" w14:textId="77777777" w:rsidR="00FA7E56" w:rsidRPr="002374A6" w:rsidRDefault="00FA7E56" w:rsidP="007B3445">
            <w:pPr>
              <w:rPr>
                <w:noProof/>
              </w:rPr>
            </w:pPr>
          </w:p>
        </w:tc>
      </w:tr>
      <w:tr w:rsidR="0066509A" w:rsidRPr="002374A6" w14:paraId="6FC26206" w14:textId="77777777" w:rsidTr="007B3445">
        <w:tc>
          <w:tcPr>
            <w:tcW w:w="1949" w:type="dxa"/>
            <w:tcBorders>
              <w:top w:val="single" w:sz="4" w:space="0" w:color="auto"/>
              <w:bottom w:val="single" w:sz="4" w:space="0" w:color="auto"/>
              <w:right w:val="single" w:sz="4" w:space="0" w:color="auto"/>
            </w:tcBorders>
          </w:tcPr>
          <w:p w14:paraId="03A7573A" w14:textId="77777777" w:rsidR="00FA7E56" w:rsidRPr="002374A6" w:rsidRDefault="00FA7E56" w:rsidP="007B3445">
            <w:pPr>
              <w:rPr>
                <w:noProof/>
              </w:rPr>
            </w:pPr>
            <w:r w:rsidRPr="002374A6">
              <w:rPr>
                <w:noProof/>
              </w:rPr>
              <w:t>Endereço 2:</w:t>
            </w:r>
          </w:p>
        </w:tc>
        <w:tc>
          <w:tcPr>
            <w:tcW w:w="8080" w:type="dxa"/>
            <w:gridSpan w:val="14"/>
            <w:tcBorders>
              <w:top w:val="single" w:sz="4" w:space="0" w:color="auto"/>
              <w:left w:val="single" w:sz="4" w:space="0" w:color="auto"/>
              <w:bottom w:val="single" w:sz="4" w:space="0" w:color="auto"/>
            </w:tcBorders>
          </w:tcPr>
          <w:p w14:paraId="45C9F4D5" w14:textId="77777777" w:rsidR="00FA7E56" w:rsidRPr="002374A6" w:rsidRDefault="00FA7E56" w:rsidP="007B3445">
            <w:pPr>
              <w:rPr>
                <w:noProof/>
              </w:rPr>
            </w:pPr>
          </w:p>
        </w:tc>
      </w:tr>
      <w:tr w:rsidR="0066509A" w:rsidRPr="002374A6" w14:paraId="03BCB5F9" w14:textId="77777777" w:rsidTr="007B3445">
        <w:tc>
          <w:tcPr>
            <w:tcW w:w="1949" w:type="dxa"/>
            <w:tcBorders>
              <w:top w:val="single" w:sz="4" w:space="0" w:color="auto"/>
              <w:bottom w:val="single" w:sz="4" w:space="0" w:color="auto"/>
              <w:right w:val="single" w:sz="4" w:space="0" w:color="auto"/>
            </w:tcBorders>
          </w:tcPr>
          <w:p w14:paraId="0F37676F" w14:textId="77777777" w:rsidR="00FA7E56" w:rsidRPr="002374A6" w:rsidRDefault="00FA7E56" w:rsidP="007B3445">
            <w:pPr>
              <w:rPr>
                <w:noProof/>
              </w:rPr>
            </w:pPr>
            <w:r w:rsidRPr="002374A6">
              <w:rPr>
                <w:noProof/>
              </w:rPr>
              <w:t>Endereço 3:</w:t>
            </w:r>
          </w:p>
        </w:tc>
        <w:tc>
          <w:tcPr>
            <w:tcW w:w="8080" w:type="dxa"/>
            <w:gridSpan w:val="14"/>
            <w:tcBorders>
              <w:top w:val="single" w:sz="4" w:space="0" w:color="auto"/>
              <w:left w:val="single" w:sz="4" w:space="0" w:color="auto"/>
              <w:bottom w:val="single" w:sz="4" w:space="0" w:color="auto"/>
            </w:tcBorders>
          </w:tcPr>
          <w:p w14:paraId="5B87CC7D" w14:textId="77777777" w:rsidR="00FA7E56" w:rsidRPr="002374A6" w:rsidRDefault="00FA7E56" w:rsidP="007B3445">
            <w:pPr>
              <w:rPr>
                <w:noProof/>
              </w:rPr>
            </w:pPr>
          </w:p>
        </w:tc>
      </w:tr>
      <w:tr w:rsidR="0066509A" w:rsidRPr="002374A6" w14:paraId="3ADE6EA0" w14:textId="77777777" w:rsidTr="007B3445">
        <w:tc>
          <w:tcPr>
            <w:tcW w:w="1949" w:type="dxa"/>
            <w:tcBorders>
              <w:top w:val="single" w:sz="4" w:space="0" w:color="auto"/>
              <w:bottom w:val="single" w:sz="4" w:space="0" w:color="auto"/>
              <w:right w:val="single" w:sz="4" w:space="0" w:color="auto"/>
            </w:tcBorders>
          </w:tcPr>
          <w:p w14:paraId="799DCDC5" w14:textId="77777777" w:rsidR="00FA7E56" w:rsidRPr="002374A6" w:rsidRDefault="00FA7E56" w:rsidP="007B3445">
            <w:pPr>
              <w:rPr>
                <w:noProof/>
              </w:rPr>
            </w:pPr>
            <w:r w:rsidRPr="002374A6">
              <w:rPr>
                <w:noProof/>
              </w:rPr>
              <w:t>Endereço 4:</w:t>
            </w:r>
          </w:p>
        </w:tc>
        <w:tc>
          <w:tcPr>
            <w:tcW w:w="8080" w:type="dxa"/>
            <w:gridSpan w:val="14"/>
            <w:tcBorders>
              <w:top w:val="single" w:sz="4" w:space="0" w:color="auto"/>
              <w:left w:val="single" w:sz="4" w:space="0" w:color="auto"/>
              <w:bottom w:val="single" w:sz="4" w:space="0" w:color="auto"/>
            </w:tcBorders>
          </w:tcPr>
          <w:p w14:paraId="35EC073D" w14:textId="77777777" w:rsidR="00FA7E56" w:rsidRPr="002374A6" w:rsidRDefault="00FA7E56" w:rsidP="007B3445">
            <w:pPr>
              <w:rPr>
                <w:noProof/>
              </w:rPr>
            </w:pPr>
          </w:p>
        </w:tc>
      </w:tr>
      <w:tr w:rsidR="0066509A" w:rsidRPr="002374A6" w14:paraId="399FA13B" w14:textId="77777777" w:rsidTr="007B3445">
        <w:tc>
          <w:tcPr>
            <w:tcW w:w="1949" w:type="dxa"/>
            <w:tcBorders>
              <w:top w:val="single" w:sz="4" w:space="0" w:color="auto"/>
              <w:bottom w:val="single" w:sz="6" w:space="0" w:color="auto"/>
              <w:right w:val="single" w:sz="4" w:space="0" w:color="auto"/>
            </w:tcBorders>
          </w:tcPr>
          <w:p w14:paraId="0246C433" w14:textId="77777777" w:rsidR="00FA7E56" w:rsidRPr="002374A6" w:rsidRDefault="00FA7E56" w:rsidP="007B3445">
            <w:pPr>
              <w:rPr>
                <w:noProof/>
              </w:rPr>
            </w:pPr>
            <w:r w:rsidRPr="002374A6">
              <w:rPr>
                <w:noProof/>
              </w:rPr>
              <w:t>País:</w:t>
            </w:r>
          </w:p>
        </w:tc>
        <w:tc>
          <w:tcPr>
            <w:tcW w:w="8080" w:type="dxa"/>
            <w:gridSpan w:val="14"/>
            <w:tcBorders>
              <w:top w:val="single" w:sz="4" w:space="0" w:color="auto"/>
              <w:left w:val="single" w:sz="4" w:space="0" w:color="auto"/>
              <w:bottom w:val="single" w:sz="6" w:space="0" w:color="auto"/>
            </w:tcBorders>
          </w:tcPr>
          <w:p w14:paraId="6FE1845C" w14:textId="77777777" w:rsidR="00FA7E56" w:rsidRPr="002374A6" w:rsidRDefault="00FA7E56" w:rsidP="007B3445">
            <w:pPr>
              <w:rPr>
                <w:noProof/>
              </w:rPr>
            </w:pPr>
          </w:p>
        </w:tc>
      </w:tr>
      <w:tr w:rsidR="0066509A" w:rsidRPr="002374A6" w14:paraId="5ED6231B" w14:textId="77777777" w:rsidTr="007B3445">
        <w:tc>
          <w:tcPr>
            <w:tcW w:w="10029" w:type="dxa"/>
            <w:gridSpan w:val="15"/>
            <w:tcBorders>
              <w:top w:val="single" w:sz="6" w:space="0" w:color="auto"/>
            </w:tcBorders>
          </w:tcPr>
          <w:p w14:paraId="3BF91CE4" w14:textId="77777777" w:rsidR="00FA7E56" w:rsidRPr="002374A6" w:rsidRDefault="00FA7E56" w:rsidP="007B3445">
            <w:pPr>
              <w:rPr>
                <w:noProof/>
              </w:rPr>
            </w:pPr>
          </w:p>
        </w:tc>
      </w:tr>
      <w:tr w:rsidR="0066509A" w:rsidRPr="002374A6" w14:paraId="1CBB23EE" w14:textId="77777777" w:rsidTr="007B3445">
        <w:tc>
          <w:tcPr>
            <w:tcW w:w="10029" w:type="dxa"/>
            <w:gridSpan w:val="15"/>
          </w:tcPr>
          <w:p w14:paraId="580D9933" w14:textId="77777777" w:rsidR="00FA7E56" w:rsidRPr="002374A6" w:rsidRDefault="00FA7E56" w:rsidP="007B3445">
            <w:pPr>
              <w:rPr>
                <w:noProof/>
              </w:rPr>
            </w:pPr>
          </w:p>
        </w:tc>
      </w:tr>
      <w:tr w:rsidR="0066509A" w:rsidRPr="002374A6" w14:paraId="7DEE9183" w14:textId="77777777" w:rsidTr="007B3445">
        <w:tc>
          <w:tcPr>
            <w:tcW w:w="10029" w:type="dxa"/>
            <w:gridSpan w:val="15"/>
          </w:tcPr>
          <w:p w14:paraId="525E123D" w14:textId="48BE6D6F" w:rsidR="00FA7E56" w:rsidRPr="002374A6" w:rsidRDefault="00FA7E56" w:rsidP="007B3445">
            <w:pPr>
              <w:rPr>
                <w:noProof/>
              </w:rPr>
            </w:pPr>
            <w:r w:rsidRPr="002374A6">
              <w:rPr>
                <w:noProof/>
              </w:rPr>
              <w:t>Tipo de equipamento de aplicação de pesticidas (assinalar a quadrícula mais adequada)</w:t>
            </w:r>
          </w:p>
        </w:tc>
      </w:tr>
      <w:tr w:rsidR="0066509A" w:rsidRPr="002374A6" w14:paraId="27B743DE" w14:textId="77777777" w:rsidTr="007B3445">
        <w:tc>
          <w:tcPr>
            <w:tcW w:w="1949" w:type="dxa"/>
          </w:tcPr>
          <w:p w14:paraId="4451493F" w14:textId="77777777" w:rsidR="00FA7E56" w:rsidRPr="002374A6" w:rsidRDefault="00FA7E56" w:rsidP="007B3445">
            <w:pPr>
              <w:rPr>
                <w:noProof/>
              </w:rPr>
            </w:pPr>
            <w:r w:rsidRPr="002374A6">
              <w:rPr>
                <w:noProof/>
              </w:rPr>
              <w:t>Pulverizador de barra</w:t>
            </w:r>
          </w:p>
        </w:tc>
        <w:tc>
          <w:tcPr>
            <w:tcW w:w="566" w:type="dxa"/>
          </w:tcPr>
          <w:p w14:paraId="7D73DD0F" w14:textId="77777777" w:rsidR="00FA7E56" w:rsidRPr="002374A6" w:rsidRDefault="00FA7E56" w:rsidP="007B3445">
            <w:pPr>
              <w:rPr>
                <w:noProof/>
              </w:rPr>
            </w:pPr>
          </w:p>
        </w:tc>
        <w:tc>
          <w:tcPr>
            <w:tcW w:w="1701" w:type="dxa"/>
            <w:gridSpan w:val="3"/>
          </w:tcPr>
          <w:p w14:paraId="60F48D38" w14:textId="690E8A1E" w:rsidR="00FA7E56" w:rsidRPr="002374A6" w:rsidRDefault="00563707" w:rsidP="007B3445">
            <w:pPr>
              <w:rPr>
                <w:noProof/>
              </w:rPr>
            </w:pPr>
            <w:r w:rsidRPr="002374A6">
              <w:rPr>
                <w:noProof/>
              </w:rPr>
              <w:t>Equipamento de aplicação de PFF que produz gotículas e que utiliza um ventilador para distribuir essas gotículas vertical e/ou lateralmente</w:t>
            </w:r>
          </w:p>
        </w:tc>
        <w:tc>
          <w:tcPr>
            <w:tcW w:w="567" w:type="dxa"/>
          </w:tcPr>
          <w:p w14:paraId="20DA9874" w14:textId="77777777" w:rsidR="00FA7E56" w:rsidRPr="002374A6" w:rsidRDefault="00FA7E56" w:rsidP="007B3445">
            <w:pPr>
              <w:rPr>
                <w:noProof/>
              </w:rPr>
            </w:pPr>
          </w:p>
        </w:tc>
        <w:tc>
          <w:tcPr>
            <w:tcW w:w="1843" w:type="dxa"/>
            <w:gridSpan w:val="2"/>
          </w:tcPr>
          <w:p w14:paraId="7D175E52" w14:textId="77777777" w:rsidR="00FA7E56" w:rsidRPr="002374A6" w:rsidRDefault="00FA7E56" w:rsidP="007B3445">
            <w:pPr>
              <w:rPr>
                <w:noProof/>
              </w:rPr>
            </w:pPr>
            <w:r w:rsidRPr="002374A6">
              <w:rPr>
                <w:noProof/>
              </w:rPr>
              <w:t xml:space="preserve">Pulverizador térmico </w:t>
            </w:r>
            <w:r w:rsidRPr="002374A6">
              <w:rPr>
                <w:noProof/>
                <w:sz w:val="20"/>
              </w:rPr>
              <w:t>(frio e quente)</w:t>
            </w:r>
          </w:p>
        </w:tc>
        <w:tc>
          <w:tcPr>
            <w:tcW w:w="567" w:type="dxa"/>
          </w:tcPr>
          <w:p w14:paraId="048A7B3C" w14:textId="77777777" w:rsidR="00FA7E56" w:rsidRPr="002374A6" w:rsidRDefault="00FA7E56" w:rsidP="007B3445">
            <w:pPr>
              <w:rPr>
                <w:noProof/>
              </w:rPr>
            </w:pPr>
          </w:p>
        </w:tc>
        <w:tc>
          <w:tcPr>
            <w:tcW w:w="2271" w:type="dxa"/>
            <w:gridSpan w:val="3"/>
          </w:tcPr>
          <w:p w14:paraId="4FA6619F" w14:textId="77777777" w:rsidR="00FA7E56" w:rsidRPr="002374A6" w:rsidRDefault="00FA7E56" w:rsidP="007B3445">
            <w:pPr>
              <w:rPr>
                <w:noProof/>
              </w:rPr>
            </w:pPr>
            <w:r w:rsidRPr="002374A6">
              <w:rPr>
                <w:noProof/>
              </w:rPr>
              <w:t>Máquina de tratamento de sementes</w:t>
            </w:r>
          </w:p>
        </w:tc>
        <w:tc>
          <w:tcPr>
            <w:tcW w:w="565" w:type="dxa"/>
            <w:gridSpan w:val="3"/>
          </w:tcPr>
          <w:p w14:paraId="3CFBECC6" w14:textId="77777777" w:rsidR="00FA7E56" w:rsidRPr="002374A6" w:rsidRDefault="00FA7E56" w:rsidP="007B3445">
            <w:pPr>
              <w:rPr>
                <w:noProof/>
              </w:rPr>
            </w:pPr>
          </w:p>
        </w:tc>
      </w:tr>
      <w:tr w:rsidR="0066509A" w:rsidRPr="002374A6" w14:paraId="51E7C72E" w14:textId="77777777" w:rsidTr="007B3445">
        <w:tc>
          <w:tcPr>
            <w:tcW w:w="1949" w:type="dxa"/>
          </w:tcPr>
          <w:p w14:paraId="3CB3709E" w14:textId="77777777" w:rsidR="00FA7E56" w:rsidRPr="002374A6" w:rsidRDefault="00FA7E56" w:rsidP="007B3445">
            <w:pPr>
              <w:rPr>
                <w:noProof/>
              </w:rPr>
            </w:pPr>
            <w:r w:rsidRPr="002374A6">
              <w:rPr>
                <w:noProof/>
              </w:rPr>
              <w:t>Aplicador de grânulos</w:t>
            </w:r>
          </w:p>
        </w:tc>
        <w:tc>
          <w:tcPr>
            <w:tcW w:w="566" w:type="dxa"/>
          </w:tcPr>
          <w:p w14:paraId="4AF4367D" w14:textId="77777777" w:rsidR="00FA7E56" w:rsidRPr="002374A6" w:rsidRDefault="00FA7E56" w:rsidP="007B3445">
            <w:pPr>
              <w:rPr>
                <w:noProof/>
              </w:rPr>
            </w:pPr>
          </w:p>
        </w:tc>
        <w:tc>
          <w:tcPr>
            <w:tcW w:w="1701" w:type="dxa"/>
            <w:gridSpan w:val="3"/>
          </w:tcPr>
          <w:p w14:paraId="15DB3221" w14:textId="51B0D031" w:rsidR="00FA7E56" w:rsidRPr="002374A6" w:rsidRDefault="00FA7E56" w:rsidP="007B3445">
            <w:pPr>
              <w:rPr>
                <w:noProof/>
              </w:rPr>
            </w:pPr>
          </w:p>
        </w:tc>
        <w:tc>
          <w:tcPr>
            <w:tcW w:w="567" w:type="dxa"/>
          </w:tcPr>
          <w:p w14:paraId="151ED1DD" w14:textId="77777777" w:rsidR="00FA7E56" w:rsidRPr="002374A6" w:rsidRDefault="00FA7E56" w:rsidP="007B3445">
            <w:pPr>
              <w:rPr>
                <w:noProof/>
              </w:rPr>
            </w:pPr>
          </w:p>
        </w:tc>
        <w:tc>
          <w:tcPr>
            <w:tcW w:w="1843" w:type="dxa"/>
            <w:gridSpan w:val="2"/>
          </w:tcPr>
          <w:p w14:paraId="5A65D5C3" w14:textId="77777777" w:rsidR="00FA7E56" w:rsidRPr="002374A6" w:rsidRDefault="00FA7E56" w:rsidP="007B3445">
            <w:pPr>
              <w:rPr>
                <w:noProof/>
              </w:rPr>
            </w:pPr>
            <w:r w:rsidRPr="002374A6">
              <w:rPr>
                <w:noProof/>
              </w:rPr>
              <w:t>Gerador de vapor</w:t>
            </w:r>
          </w:p>
        </w:tc>
        <w:tc>
          <w:tcPr>
            <w:tcW w:w="567" w:type="dxa"/>
          </w:tcPr>
          <w:p w14:paraId="0FC688D0" w14:textId="77777777" w:rsidR="00FA7E56" w:rsidRPr="002374A6" w:rsidRDefault="00FA7E56" w:rsidP="007B3445">
            <w:pPr>
              <w:rPr>
                <w:noProof/>
              </w:rPr>
            </w:pPr>
          </w:p>
        </w:tc>
        <w:tc>
          <w:tcPr>
            <w:tcW w:w="2271" w:type="dxa"/>
            <w:gridSpan w:val="3"/>
          </w:tcPr>
          <w:p w14:paraId="4E7B476A" w14:textId="77777777" w:rsidR="00FA7E56" w:rsidRPr="002374A6" w:rsidRDefault="00FA7E56" w:rsidP="007B3445">
            <w:pPr>
              <w:rPr>
                <w:noProof/>
              </w:rPr>
            </w:pPr>
            <w:r w:rsidRPr="002374A6">
              <w:rPr>
                <w:noProof/>
              </w:rPr>
              <w:t>Pulverizador vertical</w:t>
            </w:r>
          </w:p>
        </w:tc>
        <w:tc>
          <w:tcPr>
            <w:tcW w:w="565" w:type="dxa"/>
            <w:gridSpan w:val="3"/>
          </w:tcPr>
          <w:p w14:paraId="6A6F7BA8" w14:textId="77777777" w:rsidR="00FA7E56" w:rsidRPr="002374A6" w:rsidRDefault="00FA7E56" w:rsidP="007B3445">
            <w:pPr>
              <w:rPr>
                <w:noProof/>
              </w:rPr>
            </w:pPr>
          </w:p>
        </w:tc>
      </w:tr>
      <w:tr w:rsidR="0066509A" w:rsidRPr="002374A6" w14:paraId="7A690C87" w14:textId="77777777" w:rsidTr="007B3445">
        <w:tc>
          <w:tcPr>
            <w:tcW w:w="1949" w:type="dxa"/>
          </w:tcPr>
          <w:p w14:paraId="43D0FFCF" w14:textId="77777777" w:rsidR="00FA7E56" w:rsidRPr="002374A6" w:rsidRDefault="00FA7E56" w:rsidP="007B3445">
            <w:pPr>
              <w:rPr>
                <w:noProof/>
              </w:rPr>
            </w:pPr>
            <w:r w:rsidRPr="002374A6">
              <w:rPr>
                <w:noProof/>
              </w:rPr>
              <w:t>Aeronave (de asa)</w:t>
            </w:r>
          </w:p>
        </w:tc>
        <w:tc>
          <w:tcPr>
            <w:tcW w:w="566" w:type="dxa"/>
          </w:tcPr>
          <w:p w14:paraId="43F288B5" w14:textId="77777777" w:rsidR="00FA7E56" w:rsidRPr="002374A6" w:rsidRDefault="00FA7E56" w:rsidP="007B3445">
            <w:pPr>
              <w:rPr>
                <w:noProof/>
              </w:rPr>
            </w:pPr>
          </w:p>
        </w:tc>
        <w:tc>
          <w:tcPr>
            <w:tcW w:w="1701" w:type="dxa"/>
            <w:gridSpan w:val="3"/>
          </w:tcPr>
          <w:p w14:paraId="4A735FCB" w14:textId="77777777" w:rsidR="00FA7E56" w:rsidRPr="002374A6" w:rsidRDefault="00FA7E56" w:rsidP="007B3445">
            <w:pPr>
              <w:rPr>
                <w:noProof/>
              </w:rPr>
            </w:pPr>
            <w:r w:rsidRPr="002374A6">
              <w:rPr>
                <w:noProof/>
              </w:rPr>
              <w:t>Aeronave (de rotor)</w:t>
            </w:r>
          </w:p>
        </w:tc>
        <w:tc>
          <w:tcPr>
            <w:tcW w:w="567" w:type="dxa"/>
          </w:tcPr>
          <w:p w14:paraId="472ED8FF" w14:textId="77777777" w:rsidR="00FA7E56" w:rsidRPr="002374A6" w:rsidRDefault="00FA7E56" w:rsidP="007B3445">
            <w:pPr>
              <w:rPr>
                <w:noProof/>
              </w:rPr>
            </w:pPr>
          </w:p>
        </w:tc>
        <w:tc>
          <w:tcPr>
            <w:tcW w:w="1843" w:type="dxa"/>
            <w:gridSpan w:val="2"/>
          </w:tcPr>
          <w:p w14:paraId="6B4777D7" w14:textId="182BCE2C" w:rsidR="00FA7E56" w:rsidRPr="002374A6" w:rsidRDefault="00C6189E" w:rsidP="00C6189E">
            <w:pPr>
              <w:rPr>
                <w:noProof/>
              </w:rPr>
            </w:pPr>
            <w:r w:rsidRPr="002374A6">
              <w:rPr>
                <w:noProof/>
              </w:rPr>
              <w:t xml:space="preserve">Aeronave não tripulada (por exemplo, </w:t>
            </w:r>
            <w:r w:rsidRPr="002374A6">
              <w:rPr>
                <w:i/>
                <w:noProof/>
              </w:rPr>
              <w:t>drone</w:t>
            </w:r>
            <w:r w:rsidRPr="002374A6">
              <w:rPr>
                <w:noProof/>
              </w:rPr>
              <w:t>)</w:t>
            </w:r>
          </w:p>
        </w:tc>
        <w:tc>
          <w:tcPr>
            <w:tcW w:w="567" w:type="dxa"/>
          </w:tcPr>
          <w:p w14:paraId="2FCD5EB4" w14:textId="77777777" w:rsidR="00FA7E56" w:rsidRPr="002374A6" w:rsidRDefault="00FA7E56" w:rsidP="007B3445">
            <w:pPr>
              <w:rPr>
                <w:noProof/>
              </w:rPr>
            </w:pPr>
          </w:p>
        </w:tc>
        <w:tc>
          <w:tcPr>
            <w:tcW w:w="2271" w:type="dxa"/>
            <w:gridSpan w:val="3"/>
          </w:tcPr>
          <w:p w14:paraId="74B6F2EF" w14:textId="77777777" w:rsidR="00FA7E56" w:rsidRPr="002374A6" w:rsidRDefault="00FA7E56" w:rsidP="007B3445">
            <w:pPr>
              <w:rPr>
                <w:noProof/>
              </w:rPr>
            </w:pPr>
            <w:r w:rsidRPr="002374A6">
              <w:rPr>
                <w:noProof/>
              </w:rPr>
              <w:t>Equipamento manual de aplicação</w:t>
            </w:r>
          </w:p>
        </w:tc>
        <w:tc>
          <w:tcPr>
            <w:tcW w:w="565" w:type="dxa"/>
            <w:gridSpan w:val="3"/>
          </w:tcPr>
          <w:p w14:paraId="2992A8F8" w14:textId="77777777" w:rsidR="00FA7E56" w:rsidRPr="002374A6" w:rsidRDefault="00FA7E56" w:rsidP="007B3445">
            <w:pPr>
              <w:rPr>
                <w:noProof/>
              </w:rPr>
            </w:pPr>
          </w:p>
        </w:tc>
      </w:tr>
      <w:tr w:rsidR="0066509A" w:rsidRPr="002374A6" w14:paraId="42D7C48D" w14:textId="77777777" w:rsidTr="007B3445">
        <w:tc>
          <w:tcPr>
            <w:tcW w:w="1949" w:type="dxa"/>
          </w:tcPr>
          <w:p w14:paraId="2B12A077" w14:textId="77777777" w:rsidR="00FA7E56" w:rsidRPr="002374A6" w:rsidRDefault="00FA7E56" w:rsidP="007B3445">
            <w:pPr>
              <w:rPr>
                <w:noProof/>
              </w:rPr>
            </w:pPr>
            <w:r w:rsidRPr="002374A6">
              <w:rPr>
                <w:noProof/>
              </w:rPr>
              <w:t>Outro</w:t>
            </w:r>
          </w:p>
        </w:tc>
        <w:tc>
          <w:tcPr>
            <w:tcW w:w="566" w:type="dxa"/>
          </w:tcPr>
          <w:p w14:paraId="04A2ADCE" w14:textId="77777777" w:rsidR="00FA7E56" w:rsidRPr="002374A6" w:rsidRDefault="00FA7E56" w:rsidP="007B3445">
            <w:pPr>
              <w:rPr>
                <w:noProof/>
              </w:rPr>
            </w:pPr>
          </w:p>
        </w:tc>
        <w:tc>
          <w:tcPr>
            <w:tcW w:w="7514" w:type="dxa"/>
            <w:gridSpan w:val="13"/>
          </w:tcPr>
          <w:p w14:paraId="6FF270A1" w14:textId="77777777" w:rsidR="00FA7E56" w:rsidRPr="002374A6" w:rsidRDefault="00FA7E56" w:rsidP="007B3445">
            <w:pPr>
              <w:rPr>
                <w:noProof/>
              </w:rPr>
            </w:pPr>
            <w:r w:rsidRPr="002374A6">
              <w:rPr>
                <w:noProof/>
                <w:sz w:val="16"/>
              </w:rPr>
              <w:t>Especificar:</w:t>
            </w:r>
          </w:p>
        </w:tc>
      </w:tr>
      <w:tr w:rsidR="0066509A" w:rsidRPr="002374A6" w14:paraId="654D4019" w14:textId="77777777" w:rsidTr="007B3445">
        <w:tc>
          <w:tcPr>
            <w:tcW w:w="9468" w:type="dxa"/>
            <w:gridSpan w:val="12"/>
          </w:tcPr>
          <w:p w14:paraId="6A9C3CFF" w14:textId="77777777" w:rsidR="00FA7E56" w:rsidRPr="002374A6" w:rsidRDefault="00FA7E56" w:rsidP="007B3445">
            <w:pPr>
              <w:rPr>
                <w:noProof/>
              </w:rPr>
            </w:pPr>
            <w:r w:rsidRPr="002374A6">
              <w:rPr>
                <w:noProof/>
              </w:rPr>
              <w:t>O equipamento é assistido por ar?</w:t>
            </w:r>
          </w:p>
        </w:tc>
        <w:tc>
          <w:tcPr>
            <w:tcW w:w="561" w:type="dxa"/>
            <w:gridSpan w:val="3"/>
          </w:tcPr>
          <w:p w14:paraId="06DCF26F" w14:textId="77777777" w:rsidR="00FA7E56" w:rsidRPr="002374A6" w:rsidRDefault="00FA7E56" w:rsidP="007B3445">
            <w:pPr>
              <w:rPr>
                <w:noProof/>
              </w:rPr>
            </w:pPr>
          </w:p>
        </w:tc>
      </w:tr>
      <w:tr w:rsidR="0066509A" w:rsidRPr="002374A6" w14:paraId="69AFE36A" w14:textId="77777777" w:rsidTr="007B3445">
        <w:tc>
          <w:tcPr>
            <w:tcW w:w="9464" w:type="dxa"/>
            <w:gridSpan w:val="12"/>
          </w:tcPr>
          <w:p w14:paraId="5FA0ECA0" w14:textId="77777777" w:rsidR="00FA7E56" w:rsidRPr="002374A6" w:rsidRDefault="00FA7E56" w:rsidP="007B3445">
            <w:pPr>
              <w:rPr>
                <w:noProof/>
              </w:rPr>
            </w:pPr>
            <w:r w:rsidRPr="002374A6">
              <w:rPr>
                <w:noProof/>
              </w:rPr>
              <w:t>O equipamento está equipado com um sistema de fecho dos bicos ou das secções controlado por GPS?</w:t>
            </w:r>
          </w:p>
        </w:tc>
        <w:tc>
          <w:tcPr>
            <w:tcW w:w="565" w:type="dxa"/>
            <w:gridSpan w:val="3"/>
          </w:tcPr>
          <w:p w14:paraId="3BA2A565" w14:textId="77777777" w:rsidR="00FA7E56" w:rsidRPr="002374A6" w:rsidRDefault="00FA7E56" w:rsidP="007B3445">
            <w:pPr>
              <w:rPr>
                <w:noProof/>
              </w:rPr>
            </w:pPr>
          </w:p>
        </w:tc>
      </w:tr>
      <w:tr w:rsidR="0066509A" w:rsidRPr="002374A6" w14:paraId="6CA99D6A" w14:textId="77777777" w:rsidTr="007B3445">
        <w:tc>
          <w:tcPr>
            <w:tcW w:w="10029" w:type="dxa"/>
            <w:gridSpan w:val="15"/>
          </w:tcPr>
          <w:p w14:paraId="1BB43D8A" w14:textId="5B7E6122" w:rsidR="00FA7E56" w:rsidRPr="002374A6" w:rsidRDefault="00FA7E56" w:rsidP="007B3445">
            <w:pPr>
              <w:rPr>
                <w:noProof/>
              </w:rPr>
            </w:pPr>
            <w:r w:rsidRPr="002374A6">
              <w:rPr>
                <w:noProof/>
              </w:rPr>
              <w:t xml:space="preserve">Equipamento de aplicação de pesticidas </w:t>
            </w:r>
          </w:p>
        </w:tc>
      </w:tr>
      <w:tr w:rsidR="0066509A" w:rsidRPr="002374A6" w14:paraId="49B3C125" w14:textId="77777777" w:rsidTr="007B3445">
        <w:tc>
          <w:tcPr>
            <w:tcW w:w="1949" w:type="dxa"/>
          </w:tcPr>
          <w:p w14:paraId="4208D3E2" w14:textId="77777777" w:rsidR="00FA7E56" w:rsidRPr="002374A6" w:rsidRDefault="00FA7E56" w:rsidP="007B3445">
            <w:pPr>
              <w:rPr>
                <w:noProof/>
              </w:rPr>
            </w:pPr>
            <w:r w:rsidRPr="002374A6">
              <w:rPr>
                <w:noProof/>
              </w:rPr>
              <w:t>Marca:</w:t>
            </w:r>
          </w:p>
        </w:tc>
        <w:tc>
          <w:tcPr>
            <w:tcW w:w="2267" w:type="dxa"/>
            <w:gridSpan w:val="4"/>
          </w:tcPr>
          <w:p w14:paraId="67B55FFD" w14:textId="77777777" w:rsidR="00FA7E56" w:rsidRPr="002374A6" w:rsidRDefault="00FA7E56" w:rsidP="007B3445">
            <w:pPr>
              <w:rPr>
                <w:noProof/>
              </w:rPr>
            </w:pPr>
          </w:p>
        </w:tc>
        <w:tc>
          <w:tcPr>
            <w:tcW w:w="2977" w:type="dxa"/>
            <w:gridSpan w:val="4"/>
          </w:tcPr>
          <w:p w14:paraId="3430536A" w14:textId="77777777" w:rsidR="00FA7E56" w:rsidRPr="002374A6" w:rsidRDefault="00FA7E56" w:rsidP="007B3445">
            <w:pPr>
              <w:rPr>
                <w:noProof/>
              </w:rPr>
            </w:pPr>
            <w:r w:rsidRPr="002374A6">
              <w:rPr>
                <w:noProof/>
              </w:rPr>
              <w:t>Modelo:</w:t>
            </w:r>
          </w:p>
        </w:tc>
        <w:tc>
          <w:tcPr>
            <w:tcW w:w="2836" w:type="dxa"/>
            <w:gridSpan w:val="6"/>
          </w:tcPr>
          <w:p w14:paraId="3CFCCF91" w14:textId="77777777" w:rsidR="00FA7E56" w:rsidRPr="002374A6" w:rsidRDefault="00FA7E56" w:rsidP="007B3445">
            <w:pPr>
              <w:rPr>
                <w:noProof/>
              </w:rPr>
            </w:pPr>
          </w:p>
        </w:tc>
      </w:tr>
      <w:tr w:rsidR="0066509A" w:rsidRPr="002374A6" w14:paraId="35146329" w14:textId="77777777" w:rsidTr="007B3445">
        <w:tc>
          <w:tcPr>
            <w:tcW w:w="1949" w:type="dxa"/>
          </w:tcPr>
          <w:p w14:paraId="10058F9F" w14:textId="337C34C1" w:rsidR="00FA7E56" w:rsidRPr="002374A6" w:rsidRDefault="00FA7E56" w:rsidP="007B3445">
            <w:pPr>
              <w:rPr>
                <w:noProof/>
              </w:rPr>
            </w:pPr>
            <w:r w:rsidRPr="002374A6">
              <w:rPr>
                <w:noProof/>
              </w:rPr>
              <w:t>N</w:t>
            </w:r>
            <w:r w:rsidR="002374A6">
              <w:rPr>
                <w:noProof/>
              </w:rPr>
              <w:t>.º </w:t>
            </w:r>
            <w:r w:rsidRPr="002374A6">
              <w:rPr>
                <w:noProof/>
              </w:rPr>
              <w:t>de quadro:</w:t>
            </w:r>
          </w:p>
        </w:tc>
        <w:tc>
          <w:tcPr>
            <w:tcW w:w="2267" w:type="dxa"/>
            <w:gridSpan w:val="4"/>
          </w:tcPr>
          <w:p w14:paraId="40637ECF" w14:textId="77777777" w:rsidR="00FA7E56" w:rsidRPr="002374A6" w:rsidRDefault="00FA7E56" w:rsidP="007B3445">
            <w:pPr>
              <w:rPr>
                <w:noProof/>
              </w:rPr>
            </w:pPr>
          </w:p>
        </w:tc>
        <w:tc>
          <w:tcPr>
            <w:tcW w:w="2977" w:type="dxa"/>
            <w:gridSpan w:val="4"/>
          </w:tcPr>
          <w:p w14:paraId="44049FF1" w14:textId="4488EEF5" w:rsidR="00FA7E56" w:rsidRPr="002374A6" w:rsidRDefault="00FA7E56" w:rsidP="007B3445">
            <w:pPr>
              <w:rPr>
                <w:noProof/>
              </w:rPr>
            </w:pPr>
            <w:r w:rsidRPr="002374A6">
              <w:rPr>
                <w:noProof/>
              </w:rPr>
              <w:t>Capacidade do depósito/tremonha:</w:t>
            </w:r>
          </w:p>
        </w:tc>
        <w:tc>
          <w:tcPr>
            <w:tcW w:w="2836" w:type="dxa"/>
            <w:gridSpan w:val="6"/>
          </w:tcPr>
          <w:p w14:paraId="0078CB1A" w14:textId="77777777" w:rsidR="00FA7E56" w:rsidRPr="002374A6" w:rsidRDefault="00FA7E56" w:rsidP="007B3445">
            <w:pPr>
              <w:rPr>
                <w:noProof/>
              </w:rPr>
            </w:pPr>
          </w:p>
        </w:tc>
      </w:tr>
      <w:tr w:rsidR="0066509A" w:rsidRPr="002374A6" w14:paraId="7D7B2A86" w14:textId="77777777" w:rsidTr="007B3445">
        <w:tc>
          <w:tcPr>
            <w:tcW w:w="1949" w:type="dxa"/>
            <w:tcBorders>
              <w:bottom w:val="single" w:sz="6" w:space="0" w:color="auto"/>
            </w:tcBorders>
          </w:tcPr>
          <w:p w14:paraId="6A2CF702" w14:textId="77777777" w:rsidR="00FA7E56" w:rsidRPr="002374A6" w:rsidRDefault="00FA7E56" w:rsidP="007B3445">
            <w:pPr>
              <w:rPr>
                <w:noProof/>
              </w:rPr>
            </w:pPr>
            <w:r w:rsidRPr="002374A6">
              <w:rPr>
                <w:noProof/>
              </w:rPr>
              <w:t>Ano de fabrico:</w:t>
            </w:r>
          </w:p>
        </w:tc>
        <w:tc>
          <w:tcPr>
            <w:tcW w:w="2267" w:type="dxa"/>
            <w:gridSpan w:val="4"/>
            <w:tcBorders>
              <w:bottom w:val="single" w:sz="6" w:space="0" w:color="auto"/>
            </w:tcBorders>
          </w:tcPr>
          <w:p w14:paraId="5A0CE845" w14:textId="77777777" w:rsidR="00FA7E56" w:rsidRPr="002374A6" w:rsidRDefault="00FA7E56" w:rsidP="007B3445">
            <w:pPr>
              <w:rPr>
                <w:noProof/>
              </w:rPr>
            </w:pPr>
          </w:p>
        </w:tc>
        <w:tc>
          <w:tcPr>
            <w:tcW w:w="2977" w:type="dxa"/>
            <w:gridSpan w:val="4"/>
            <w:tcBorders>
              <w:bottom w:val="single" w:sz="6" w:space="0" w:color="auto"/>
            </w:tcBorders>
          </w:tcPr>
          <w:p w14:paraId="3C378DD0" w14:textId="77777777" w:rsidR="00FA7E56" w:rsidRPr="002374A6" w:rsidRDefault="00FA7E56" w:rsidP="007B3445">
            <w:pPr>
              <w:rPr>
                <w:noProof/>
              </w:rPr>
            </w:pPr>
            <w:r w:rsidRPr="002374A6">
              <w:rPr>
                <w:noProof/>
              </w:rPr>
              <w:t>Largura de trabalho:</w:t>
            </w:r>
          </w:p>
        </w:tc>
        <w:tc>
          <w:tcPr>
            <w:tcW w:w="2836" w:type="dxa"/>
            <w:gridSpan w:val="6"/>
            <w:tcBorders>
              <w:bottom w:val="single" w:sz="6" w:space="0" w:color="auto"/>
            </w:tcBorders>
          </w:tcPr>
          <w:p w14:paraId="3A4829DF" w14:textId="77777777" w:rsidR="00FA7E56" w:rsidRPr="002374A6" w:rsidRDefault="00FA7E56" w:rsidP="007B3445">
            <w:pPr>
              <w:rPr>
                <w:noProof/>
              </w:rPr>
            </w:pPr>
          </w:p>
        </w:tc>
      </w:tr>
      <w:tr w:rsidR="00FA7E56" w:rsidRPr="002374A6" w14:paraId="56A70EA1" w14:textId="77777777" w:rsidTr="007B3445">
        <w:tc>
          <w:tcPr>
            <w:tcW w:w="1949" w:type="dxa"/>
            <w:tcBorders>
              <w:top w:val="single" w:sz="6" w:space="0" w:color="auto"/>
              <w:bottom w:val="single" w:sz="24" w:space="0" w:color="auto"/>
            </w:tcBorders>
          </w:tcPr>
          <w:p w14:paraId="791B40B3" w14:textId="77777777" w:rsidR="00FA7E56" w:rsidRPr="002374A6" w:rsidRDefault="00FA7E56" w:rsidP="007B3445">
            <w:pPr>
              <w:rPr>
                <w:noProof/>
              </w:rPr>
            </w:pPr>
            <w:r w:rsidRPr="002374A6">
              <w:rPr>
                <w:noProof/>
              </w:rPr>
              <w:t>Outras informações:</w:t>
            </w:r>
          </w:p>
        </w:tc>
        <w:tc>
          <w:tcPr>
            <w:tcW w:w="8080" w:type="dxa"/>
            <w:gridSpan w:val="14"/>
            <w:tcBorders>
              <w:top w:val="single" w:sz="6" w:space="0" w:color="auto"/>
              <w:bottom w:val="single" w:sz="24" w:space="0" w:color="auto"/>
            </w:tcBorders>
          </w:tcPr>
          <w:p w14:paraId="258E1421" w14:textId="77777777" w:rsidR="00FA7E56" w:rsidRPr="002374A6" w:rsidRDefault="00FA7E56" w:rsidP="007B3445">
            <w:pPr>
              <w:rPr>
                <w:noProof/>
              </w:rPr>
            </w:pPr>
          </w:p>
        </w:tc>
      </w:tr>
    </w:tbl>
    <w:p w14:paraId="61E90BC1" w14:textId="77777777" w:rsidR="00FA7E56" w:rsidRPr="002374A6" w:rsidRDefault="00FA7E56" w:rsidP="00FA7E56">
      <w:pPr>
        <w:rPr>
          <w:noProof/>
        </w:rPr>
      </w:pPr>
    </w:p>
    <w:p w14:paraId="4474E014" w14:textId="77777777" w:rsidR="00FA7E56" w:rsidRPr="002374A6" w:rsidRDefault="00FA7E56" w:rsidP="00FA7E56">
      <w:pPr>
        <w:rPr>
          <w:noProof/>
        </w:rPr>
        <w:sectPr w:rsidR="00FA7E56" w:rsidRPr="002374A6" w:rsidSect="003D3418">
          <w:pgSz w:w="11907" w:h="16839"/>
          <w:pgMar w:top="1134" w:right="1417" w:bottom="1134" w:left="1417" w:header="709" w:footer="709" w:gutter="0"/>
          <w:cols w:space="720"/>
          <w:docGrid w:linePitch="360"/>
        </w:sectPr>
      </w:pPr>
    </w:p>
    <w:p w14:paraId="52C5277F" w14:textId="07EB8412" w:rsidR="00FA7E56" w:rsidRPr="002374A6" w:rsidRDefault="6B25E89D" w:rsidP="00FA7E56">
      <w:pPr>
        <w:pStyle w:val="Annexetitre"/>
        <w:rPr>
          <w:noProof/>
        </w:rPr>
      </w:pPr>
      <w:r w:rsidRPr="002374A6">
        <w:rPr>
          <w:noProof/>
        </w:rPr>
        <w:t xml:space="preserve">ANEXO VI </w:t>
      </w:r>
      <w:r w:rsidRPr="002374A6">
        <w:rPr>
          <w:noProof/>
        </w:rPr>
        <w:br/>
        <w:t>Referido no artigo 35.º</w:t>
      </w:r>
    </w:p>
    <w:p w14:paraId="708910DF" w14:textId="072FC278" w:rsidR="00FA7E56" w:rsidRPr="002374A6" w:rsidRDefault="00FA7E56" w:rsidP="00FA7E56">
      <w:pPr>
        <w:jc w:val="center"/>
        <w:rPr>
          <w:noProof/>
          <w:szCs w:val="24"/>
        </w:rPr>
      </w:pPr>
      <w:r w:rsidRPr="002374A6">
        <w:rPr>
          <w:b/>
          <w:noProof/>
        </w:rPr>
        <w:t>METODOLOGIA PARA CALCULAR OS INDICADORES DE RISCO HARMONIZADOS A NÍVEL DA UNIÃO E A NÍVEL NACIONAL</w:t>
      </w:r>
    </w:p>
    <w:p w14:paraId="55591DC4" w14:textId="77777777" w:rsidR="00A94DEB" w:rsidRPr="002374A6" w:rsidRDefault="00A94DEB" w:rsidP="00FA7E56">
      <w:pPr>
        <w:jc w:val="center"/>
        <w:rPr>
          <w:noProof/>
          <w:szCs w:val="24"/>
        </w:rPr>
      </w:pPr>
    </w:p>
    <w:p w14:paraId="56D7D1A0" w14:textId="77777777" w:rsidR="00FA7E56" w:rsidRPr="002374A6" w:rsidRDefault="00FA7E56" w:rsidP="00FA7E56">
      <w:pPr>
        <w:jc w:val="center"/>
        <w:rPr>
          <w:noProof/>
          <w:szCs w:val="24"/>
        </w:rPr>
      </w:pPr>
      <w:r w:rsidRPr="002374A6">
        <w:rPr>
          <w:noProof/>
        </w:rPr>
        <w:t>SECÇÃO 1</w:t>
      </w:r>
    </w:p>
    <w:p w14:paraId="3091D6C5" w14:textId="326FC2B9" w:rsidR="00FA7E56" w:rsidRPr="002374A6" w:rsidRDefault="00FA7E56" w:rsidP="00FA7E56">
      <w:pPr>
        <w:jc w:val="center"/>
        <w:rPr>
          <w:b/>
          <w:bCs/>
          <w:noProof/>
          <w:szCs w:val="24"/>
        </w:rPr>
      </w:pPr>
      <w:r w:rsidRPr="002374A6">
        <w:rPr>
          <w:b/>
          <w:noProof/>
        </w:rPr>
        <w:t>Indicadores de risco harmonizados</w:t>
      </w:r>
    </w:p>
    <w:p w14:paraId="65E90FC4" w14:textId="7BB4004B" w:rsidR="00FA7E56" w:rsidRPr="002374A6" w:rsidRDefault="00FA7E56" w:rsidP="00E65BCC">
      <w:pPr>
        <w:rPr>
          <w:noProof/>
          <w:szCs w:val="24"/>
        </w:rPr>
      </w:pPr>
      <w:r w:rsidRPr="002374A6">
        <w:rPr>
          <w:noProof/>
        </w:rPr>
        <w:t>A metodologia para calcular os indicadores de risco harmonizados tanto a nível da União como a nível nacional consta das secções 2 a 4 do presente anexo. Embora a metodologia dos indicadores da União e nacionais seja a mesma, a primeira baseia</w:t>
      </w:r>
      <w:r w:rsidR="002374A6">
        <w:rPr>
          <w:noProof/>
        </w:rPr>
        <w:noBreakHyphen/>
      </w:r>
      <w:r w:rsidRPr="002374A6">
        <w:rPr>
          <w:noProof/>
        </w:rPr>
        <w:t>se em estatísticas a nível da União e a segunda baseia</w:t>
      </w:r>
      <w:r w:rsidR="002374A6">
        <w:rPr>
          <w:noProof/>
        </w:rPr>
        <w:noBreakHyphen/>
      </w:r>
      <w:r w:rsidRPr="002374A6">
        <w:rPr>
          <w:noProof/>
        </w:rPr>
        <w:t>se em estatísticas nacionais. Estes indicadores são calculados anualmente.</w:t>
      </w:r>
    </w:p>
    <w:p w14:paraId="390EC7FE" w14:textId="77777777" w:rsidR="00A94DEB" w:rsidRPr="002374A6" w:rsidRDefault="00A94DEB" w:rsidP="00FA7E56">
      <w:pPr>
        <w:jc w:val="center"/>
        <w:rPr>
          <w:noProof/>
          <w:szCs w:val="24"/>
        </w:rPr>
      </w:pPr>
    </w:p>
    <w:p w14:paraId="071B236F" w14:textId="77777777" w:rsidR="00FA7E56" w:rsidRPr="002374A6" w:rsidRDefault="00FA7E56" w:rsidP="00FA7E56">
      <w:pPr>
        <w:jc w:val="center"/>
        <w:rPr>
          <w:noProof/>
          <w:szCs w:val="24"/>
        </w:rPr>
      </w:pPr>
      <w:r w:rsidRPr="002374A6">
        <w:rPr>
          <w:noProof/>
        </w:rPr>
        <w:t>SECÇÃO 2</w:t>
      </w:r>
    </w:p>
    <w:p w14:paraId="372B09BB" w14:textId="15BE9BC0" w:rsidR="00FA7E56" w:rsidRPr="002374A6" w:rsidRDefault="00FA7E56" w:rsidP="00FA7E56">
      <w:pPr>
        <w:jc w:val="center"/>
        <w:rPr>
          <w:b/>
          <w:bCs/>
          <w:noProof/>
          <w:szCs w:val="24"/>
        </w:rPr>
      </w:pPr>
      <w:r w:rsidRPr="002374A6">
        <w:rPr>
          <w:b/>
          <w:noProof/>
        </w:rPr>
        <w:t>Indicador de risco harmonizado 1: indicador de risco harmonizado com base no perigo, baseado nas quantidades de substâncias ativas colocadas no mercado em produtos fitofarmacêuticos nos termos do Regulamento (CE) n</w:t>
      </w:r>
      <w:r w:rsidR="002374A6">
        <w:rPr>
          <w:b/>
          <w:noProof/>
        </w:rPr>
        <w:t>.º </w:t>
      </w:r>
      <w:r w:rsidRPr="002374A6">
        <w:rPr>
          <w:b/>
          <w:noProof/>
        </w:rPr>
        <w:t>1107/2009</w:t>
      </w:r>
    </w:p>
    <w:p w14:paraId="09210B73" w14:textId="768330AD" w:rsidR="00FA7E56" w:rsidRPr="002374A6" w:rsidRDefault="0000669A" w:rsidP="0000669A">
      <w:pPr>
        <w:pStyle w:val="Point0"/>
        <w:rPr>
          <w:noProof/>
        </w:rPr>
      </w:pPr>
      <w:r w:rsidRPr="002374A6">
        <w:rPr>
          <w:noProof/>
        </w:rPr>
        <w:t>1.</w:t>
      </w:r>
      <w:r w:rsidRPr="002374A6">
        <w:rPr>
          <w:noProof/>
        </w:rPr>
        <w:tab/>
        <w:t>Este indicador baseia</w:t>
      </w:r>
      <w:r w:rsidR="002374A6">
        <w:rPr>
          <w:noProof/>
        </w:rPr>
        <w:noBreakHyphen/>
      </w:r>
      <w:r w:rsidRPr="002374A6">
        <w:rPr>
          <w:noProof/>
        </w:rPr>
        <w:t>se em estatísticas sobre as quantidades de substâncias ativas colocadas no mercado em produtos fitofarmacêuticos nos termos do Regulamento (CE) n</w:t>
      </w:r>
      <w:r w:rsidR="002374A6">
        <w:rPr>
          <w:noProof/>
        </w:rPr>
        <w:t>.º </w:t>
      </w:r>
      <w:r w:rsidRPr="002374A6">
        <w:rPr>
          <w:noProof/>
        </w:rPr>
        <w:t>1107/2009 fornecidas à Comissão (Eurostat) nos termos do anexo I do Regulamento (CE) n</w:t>
      </w:r>
      <w:r w:rsidR="002374A6">
        <w:rPr>
          <w:noProof/>
        </w:rPr>
        <w:t>.º </w:t>
      </w:r>
      <w:r w:rsidRPr="002374A6">
        <w:rPr>
          <w:noProof/>
        </w:rPr>
        <w:t xml:space="preserve">1185/2009. Estes dados são categorizados em quatro grupos. </w:t>
      </w:r>
    </w:p>
    <w:p w14:paraId="53C0FD50" w14:textId="3CAD5684" w:rsidR="00A94DEB" w:rsidRPr="002374A6" w:rsidRDefault="0000669A" w:rsidP="0000669A">
      <w:pPr>
        <w:pStyle w:val="Point0"/>
        <w:rPr>
          <w:noProof/>
          <w:szCs w:val="24"/>
        </w:rPr>
      </w:pPr>
      <w:r w:rsidRPr="002374A6">
        <w:rPr>
          <w:noProof/>
        </w:rPr>
        <w:t>2.</w:t>
      </w:r>
      <w:r w:rsidRPr="002374A6">
        <w:rPr>
          <w:noProof/>
        </w:rPr>
        <w:tab/>
        <w:t>Para o cálculo do indicador de risco harmonizado 1 são aplicáveis as seguintes regras gerais:</w:t>
      </w:r>
    </w:p>
    <w:p w14:paraId="2DC2CB4B" w14:textId="4EBB1DB2" w:rsidR="00FA7E56" w:rsidRPr="002374A6" w:rsidRDefault="00A94DEB" w:rsidP="00A94DEB">
      <w:pPr>
        <w:pStyle w:val="Point1"/>
        <w:rPr>
          <w:noProof/>
        </w:rPr>
      </w:pPr>
      <w:r w:rsidRPr="002374A6">
        <w:rPr>
          <w:noProof/>
        </w:rPr>
        <w:t>a)</w:t>
      </w:r>
      <w:r w:rsidRPr="002374A6">
        <w:rPr>
          <w:noProof/>
        </w:rPr>
        <w:tab/>
        <w:t xml:space="preserve">O indicador de risco harmonizado 1 é calculado com base na categorização das substâncias ativas nos quatro grupos constantes do quadro 1; </w:t>
      </w:r>
    </w:p>
    <w:p w14:paraId="24FDBEEF" w14:textId="73C3B0A5" w:rsidR="00FA7E56" w:rsidRPr="002374A6" w:rsidRDefault="00A94DEB" w:rsidP="00A94DEB">
      <w:pPr>
        <w:pStyle w:val="Point1"/>
        <w:rPr>
          <w:noProof/>
          <w:szCs w:val="24"/>
        </w:rPr>
      </w:pPr>
      <w:r w:rsidRPr="002374A6">
        <w:rPr>
          <w:noProof/>
        </w:rPr>
        <w:t>b)</w:t>
      </w:r>
      <w:r w:rsidRPr="002374A6">
        <w:rPr>
          <w:noProof/>
        </w:rPr>
        <w:tab/>
        <w:t>As substâncias ativas do grupo 1 são as enumeradas na parte D do anexo do Regulamento de Execução (UE) n</w:t>
      </w:r>
      <w:r w:rsidR="002374A6">
        <w:rPr>
          <w:noProof/>
        </w:rPr>
        <w:t>.º </w:t>
      </w:r>
      <w:r w:rsidRPr="002374A6">
        <w:rPr>
          <w:noProof/>
        </w:rPr>
        <w:t>540/2011 da Comissão;</w:t>
      </w:r>
    </w:p>
    <w:p w14:paraId="3592A3A0" w14:textId="3B7467BE" w:rsidR="00FA7E56" w:rsidRPr="002374A6" w:rsidRDefault="00A94DEB" w:rsidP="00A94DEB">
      <w:pPr>
        <w:pStyle w:val="Point1"/>
        <w:rPr>
          <w:noProof/>
          <w:szCs w:val="24"/>
        </w:rPr>
      </w:pPr>
      <w:r w:rsidRPr="002374A6">
        <w:rPr>
          <w:noProof/>
        </w:rPr>
        <w:t>c)</w:t>
      </w:r>
      <w:r w:rsidRPr="002374A6">
        <w:rPr>
          <w:noProof/>
        </w:rPr>
        <w:tab/>
        <w:t>As substâncias ativas do grupo 2 são as enumeradas nas partes A e B do anexo do Regulamento de Execução (UE) n</w:t>
      </w:r>
      <w:r w:rsidR="002374A6">
        <w:rPr>
          <w:noProof/>
        </w:rPr>
        <w:t>.º </w:t>
      </w:r>
      <w:r w:rsidRPr="002374A6">
        <w:rPr>
          <w:noProof/>
        </w:rPr>
        <w:t xml:space="preserve">540/2011; </w:t>
      </w:r>
    </w:p>
    <w:p w14:paraId="559C11EE" w14:textId="05D6F106" w:rsidR="00FA7E56" w:rsidRPr="002374A6" w:rsidRDefault="00A94DEB" w:rsidP="00A94DEB">
      <w:pPr>
        <w:pStyle w:val="Point1"/>
        <w:rPr>
          <w:noProof/>
          <w:szCs w:val="24"/>
        </w:rPr>
      </w:pPr>
      <w:r w:rsidRPr="002374A6">
        <w:rPr>
          <w:noProof/>
        </w:rPr>
        <w:t>d)</w:t>
      </w:r>
      <w:r w:rsidRPr="002374A6">
        <w:rPr>
          <w:noProof/>
        </w:rPr>
        <w:tab/>
        <w:t>As substâncias ativas do grupo 3 são as substâncias ativas químicas aprovadas como candidatas a substituição em conformidade com o artigo 24</w:t>
      </w:r>
      <w:r w:rsidR="002374A6">
        <w:rPr>
          <w:noProof/>
        </w:rPr>
        <w:t>.º </w:t>
      </w:r>
      <w:r w:rsidRPr="002374A6">
        <w:rPr>
          <w:noProof/>
        </w:rPr>
        <w:t>do Regulamento (CE) n</w:t>
      </w:r>
      <w:r w:rsidR="002374A6">
        <w:rPr>
          <w:noProof/>
        </w:rPr>
        <w:t>.º </w:t>
      </w:r>
      <w:r w:rsidRPr="002374A6">
        <w:rPr>
          <w:noProof/>
        </w:rPr>
        <w:t>1107/2009 e enumeradas na parte E do anexo do Regulamento de Execução (UE) n</w:t>
      </w:r>
      <w:r w:rsidR="002374A6">
        <w:rPr>
          <w:noProof/>
        </w:rPr>
        <w:t>.º </w:t>
      </w:r>
      <w:r w:rsidRPr="002374A6">
        <w:rPr>
          <w:noProof/>
        </w:rPr>
        <w:t xml:space="preserve">540/2011 ou enumeradas no anexo do Regulamento de Execução (UE) 2015/408; </w:t>
      </w:r>
    </w:p>
    <w:p w14:paraId="5F68CB60" w14:textId="66278C54" w:rsidR="00FA7E56" w:rsidRPr="002374A6" w:rsidRDefault="00A94DEB" w:rsidP="00A94DEB">
      <w:pPr>
        <w:pStyle w:val="Point1"/>
        <w:rPr>
          <w:noProof/>
          <w:szCs w:val="24"/>
        </w:rPr>
      </w:pPr>
      <w:r w:rsidRPr="002374A6">
        <w:rPr>
          <w:noProof/>
        </w:rPr>
        <w:t>e)</w:t>
      </w:r>
      <w:r w:rsidRPr="002374A6">
        <w:rPr>
          <w:noProof/>
        </w:rPr>
        <w:tab/>
        <w:t>As substâncias ativas do grupo 4 são as que não foram aprovadas nos termos do Regulamento (CE) n</w:t>
      </w:r>
      <w:r w:rsidR="002374A6">
        <w:rPr>
          <w:noProof/>
        </w:rPr>
        <w:t>.º </w:t>
      </w:r>
      <w:r w:rsidRPr="002374A6">
        <w:rPr>
          <w:noProof/>
        </w:rPr>
        <w:t>1107/2009 e, por conseguinte, não constam do anexo do Regulamento de Execução (UE) n</w:t>
      </w:r>
      <w:r w:rsidR="002374A6">
        <w:rPr>
          <w:noProof/>
        </w:rPr>
        <w:t>.º </w:t>
      </w:r>
      <w:r w:rsidRPr="002374A6">
        <w:rPr>
          <w:noProof/>
        </w:rPr>
        <w:t xml:space="preserve">540/2011; </w:t>
      </w:r>
    </w:p>
    <w:p w14:paraId="524EFBA3" w14:textId="3BC7BA65" w:rsidR="00FA7E56" w:rsidRPr="002374A6" w:rsidRDefault="00A94DEB" w:rsidP="00A94DEB">
      <w:pPr>
        <w:pStyle w:val="Point1"/>
        <w:rPr>
          <w:noProof/>
          <w:szCs w:val="24"/>
        </w:rPr>
      </w:pPr>
      <w:r w:rsidRPr="002374A6">
        <w:rPr>
          <w:noProof/>
        </w:rPr>
        <w:t>f)</w:t>
      </w:r>
      <w:r w:rsidRPr="002374A6">
        <w:rPr>
          <w:noProof/>
        </w:rPr>
        <w:tab/>
        <w:t>Aplicam</w:t>
      </w:r>
      <w:r w:rsidR="002374A6">
        <w:rPr>
          <w:noProof/>
        </w:rPr>
        <w:noBreakHyphen/>
      </w:r>
      <w:r w:rsidRPr="002374A6">
        <w:rPr>
          <w:noProof/>
        </w:rPr>
        <w:t xml:space="preserve">se os fatores de ponderação da linha iii) do quadro 1. </w:t>
      </w:r>
    </w:p>
    <w:p w14:paraId="3B188D48" w14:textId="5154BED5" w:rsidR="00FA7E56" w:rsidRPr="002374A6" w:rsidRDefault="00A94DEB" w:rsidP="00A94DEB">
      <w:pPr>
        <w:pStyle w:val="Point0"/>
        <w:rPr>
          <w:noProof/>
          <w:szCs w:val="24"/>
        </w:rPr>
      </w:pPr>
      <w:r w:rsidRPr="002374A6">
        <w:rPr>
          <w:noProof/>
        </w:rPr>
        <w:t>3.</w:t>
      </w:r>
      <w:r w:rsidRPr="002374A6">
        <w:rPr>
          <w:noProof/>
        </w:rPr>
        <w:tab/>
        <w:t xml:space="preserve">O indicador de risco harmonizado 1 é calculado multiplicando as quantidades anuais de substâncias ativas em produtos fitofarmacêuticos colocados no mercado para cada grupo constante do quadro 1 pelo fator de ponderação de perigo correspondente indicado na linha iii), agregando em seguida os resultados destes cálculos. </w:t>
      </w:r>
    </w:p>
    <w:p w14:paraId="37F0E0AB" w14:textId="77777777" w:rsidR="00FA7E56" w:rsidRPr="002374A6" w:rsidRDefault="00FA7E56" w:rsidP="00FA7E56">
      <w:pPr>
        <w:rPr>
          <w:noProof/>
          <w:szCs w:val="24"/>
        </w:rPr>
      </w:pPr>
    </w:p>
    <w:p w14:paraId="2EE7CDF9" w14:textId="77777777" w:rsidR="00FA7E56" w:rsidRPr="002374A6" w:rsidRDefault="00FA7E56" w:rsidP="00FA7E56">
      <w:pPr>
        <w:jc w:val="center"/>
        <w:rPr>
          <w:i/>
          <w:iCs/>
          <w:noProof/>
          <w:szCs w:val="24"/>
        </w:rPr>
      </w:pPr>
      <w:r w:rsidRPr="002374A6">
        <w:rPr>
          <w:i/>
          <w:noProof/>
        </w:rPr>
        <w:t>Quadro 1</w:t>
      </w:r>
    </w:p>
    <w:p w14:paraId="0DD598BC" w14:textId="502B02FD" w:rsidR="00FA7E56" w:rsidRPr="002374A6" w:rsidRDefault="00FA7E56" w:rsidP="00FA7E56">
      <w:pPr>
        <w:jc w:val="center"/>
        <w:rPr>
          <w:b/>
          <w:bCs/>
          <w:noProof/>
          <w:szCs w:val="24"/>
        </w:rPr>
      </w:pPr>
      <w:r w:rsidRPr="002374A6">
        <w:rPr>
          <w:b/>
          <w:noProof/>
        </w:rPr>
        <w:t>Categorização das substâncias ativas e fatores de ponderação de perigo para o cálculo do indicador de risco harmonizado 1</w:t>
      </w:r>
    </w:p>
    <w:tbl>
      <w:tblPr>
        <w:tblStyle w:val="TableGrid"/>
        <w:tblW w:w="0" w:type="auto"/>
        <w:tblLook w:val="04A0" w:firstRow="1" w:lastRow="0" w:firstColumn="1" w:lastColumn="0" w:noHBand="0" w:noVBand="1"/>
      </w:tblPr>
      <w:tblGrid>
        <w:gridCol w:w="1848"/>
        <w:gridCol w:w="1848"/>
        <w:gridCol w:w="1848"/>
        <w:gridCol w:w="1849"/>
        <w:gridCol w:w="1849"/>
      </w:tblGrid>
      <w:tr w:rsidR="0066509A" w:rsidRPr="002374A6" w14:paraId="59889F7E" w14:textId="77777777" w:rsidTr="007B3445">
        <w:tc>
          <w:tcPr>
            <w:tcW w:w="1848" w:type="dxa"/>
            <w:vMerge w:val="restart"/>
          </w:tcPr>
          <w:p w14:paraId="56511E84" w14:textId="77777777" w:rsidR="00FA7E56" w:rsidRPr="002374A6" w:rsidRDefault="00FA7E56" w:rsidP="007B3445">
            <w:pPr>
              <w:jc w:val="center"/>
              <w:rPr>
                <w:b/>
                <w:bCs/>
                <w:noProof/>
                <w:sz w:val="20"/>
                <w:szCs w:val="20"/>
              </w:rPr>
            </w:pPr>
            <w:r w:rsidRPr="002374A6">
              <w:rPr>
                <w:b/>
                <w:noProof/>
                <w:sz w:val="20"/>
              </w:rPr>
              <w:t>Linha</w:t>
            </w:r>
          </w:p>
        </w:tc>
        <w:tc>
          <w:tcPr>
            <w:tcW w:w="7394" w:type="dxa"/>
            <w:gridSpan w:val="4"/>
          </w:tcPr>
          <w:p w14:paraId="010C8CF7" w14:textId="77777777" w:rsidR="00FA7E56" w:rsidRPr="002374A6" w:rsidRDefault="00FA7E56" w:rsidP="007B3445">
            <w:pPr>
              <w:jc w:val="center"/>
              <w:rPr>
                <w:b/>
                <w:bCs/>
                <w:noProof/>
                <w:sz w:val="20"/>
                <w:szCs w:val="20"/>
              </w:rPr>
            </w:pPr>
            <w:r w:rsidRPr="002374A6">
              <w:rPr>
                <w:b/>
                <w:noProof/>
                <w:sz w:val="20"/>
              </w:rPr>
              <w:t>Grupos</w:t>
            </w:r>
          </w:p>
        </w:tc>
      </w:tr>
      <w:tr w:rsidR="0066509A" w:rsidRPr="002374A6" w14:paraId="55FFB319" w14:textId="77777777" w:rsidTr="007B3445">
        <w:tc>
          <w:tcPr>
            <w:tcW w:w="1848" w:type="dxa"/>
            <w:vMerge/>
          </w:tcPr>
          <w:p w14:paraId="695B94B7" w14:textId="77777777" w:rsidR="00FA7E56" w:rsidRPr="002374A6" w:rsidRDefault="00FA7E56" w:rsidP="007B3445">
            <w:pPr>
              <w:jc w:val="center"/>
              <w:rPr>
                <w:b/>
                <w:bCs/>
                <w:noProof/>
                <w:sz w:val="20"/>
                <w:szCs w:val="20"/>
              </w:rPr>
            </w:pPr>
          </w:p>
        </w:tc>
        <w:tc>
          <w:tcPr>
            <w:tcW w:w="1848" w:type="dxa"/>
          </w:tcPr>
          <w:p w14:paraId="79652404" w14:textId="77777777" w:rsidR="00FA7E56" w:rsidRPr="002374A6" w:rsidRDefault="00FA7E56" w:rsidP="007B3445">
            <w:pPr>
              <w:jc w:val="center"/>
              <w:rPr>
                <w:b/>
                <w:bCs/>
                <w:noProof/>
                <w:sz w:val="20"/>
                <w:szCs w:val="20"/>
              </w:rPr>
            </w:pPr>
            <w:r w:rsidRPr="002374A6">
              <w:rPr>
                <w:b/>
                <w:noProof/>
                <w:sz w:val="20"/>
              </w:rPr>
              <w:t>1</w:t>
            </w:r>
          </w:p>
        </w:tc>
        <w:tc>
          <w:tcPr>
            <w:tcW w:w="1848" w:type="dxa"/>
          </w:tcPr>
          <w:p w14:paraId="3823B11A" w14:textId="77777777" w:rsidR="00FA7E56" w:rsidRPr="002374A6" w:rsidRDefault="00FA7E56" w:rsidP="007B3445">
            <w:pPr>
              <w:jc w:val="center"/>
              <w:rPr>
                <w:b/>
                <w:bCs/>
                <w:noProof/>
                <w:sz w:val="20"/>
                <w:szCs w:val="20"/>
              </w:rPr>
            </w:pPr>
            <w:r w:rsidRPr="002374A6">
              <w:rPr>
                <w:b/>
                <w:noProof/>
                <w:sz w:val="20"/>
              </w:rPr>
              <w:t>2</w:t>
            </w:r>
          </w:p>
        </w:tc>
        <w:tc>
          <w:tcPr>
            <w:tcW w:w="1849" w:type="dxa"/>
          </w:tcPr>
          <w:p w14:paraId="4C4E11D4" w14:textId="77777777" w:rsidR="00FA7E56" w:rsidRPr="002374A6" w:rsidRDefault="00FA7E56" w:rsidP="007B3445">
            <w:pPr>
              <w:jc w:val="center"/>
              <w:rPr>
                <w:b/>
                <w:bCs/>
                <w:noProof/>
                <w:sz w:val="20"/>
                <w:szCs w:val="20"/>
              </w:rPr>
            </w:pPr>
            <w:r w:rsidRPr="002374A6">
              <w:rPr>
                <w:b/>
                <w:noProof/>
                <w:sz w:val="20"/>
              </w:rPr>
              <w:t>3</w:t>
            </w:r>
          </w:p>
        </w:tc>
        <w:tc>
          <w:tcPr>
            <w:tcW w:w="1849" w:type="dxa"/>
          </w:tcPr>
          <w:p w14:paraId="6A0ED49E" w14:textId="77777777" w:rsidR="00FA7E56" w:rsidRPr="002374A6" w:rsidRDefault="00FA7E56" w:rsidP="007B3445">
            <w:pPr>
              <w:jc w:val="center"/>
              <w:rPr>
                <w:b/>
                <w:bCs/>
                <w:noProof/>
                <w:sz w:val="20"/>
                <w:szCs w:val="20"/>
              </w:rPr>
            </w:pPr>
            <w:r w:rsidRPr="002374A6">
              <w:rPr>
                <w:b/>
                <w:noProof/>
                <w:sz w:val="20"/>
              </w:rPr>
              <w:t>4</w:t>
            </w:r>
          </w:p>
        </w:tc>
      </w:tr>
      <w:tr w:rsidR="0066509A" w:rsidRPr="002374A6" w14:paraId="6CB9835F" w14:textId="77777777" w:rsidTr="007B3445">
        <w:tc>
          <w:tcPr>
            <w:tcW w:w="1848" w:type="dxa"/>
          </w:tcPr>
          <w:p w14:paraId="4D86B008" w14:textId="77777777" w:rsidR="00FA7E56" w:rsidRPr="002374A6" w:rsidRDefault="00FA7E56" w:rsidP="007B3445">
            <w:pPr>
              <w:jc w:val="center"/>
              <w:rPr>
                <w:b/>
                <w:bCs/>
                <w:noProof/>
                <w:sz w:val="20"/>
                <w:szCs w:val="20"/>
              </w:rPr>
            </w:pPr>
            <w:r w:rsidRPr="002374A6">
              <w:rPr>
                <w:b/>
                <w:noProof/>
                <w:sz w:val="20"/>
              </w:rPr>
              <w:t>i)</w:t>
            </w:r>
          </w:p>
        </w:tc>
        <w:tc>
          <w:tcPr>
            <w:tcW w:w="1848" w:type="dxa"/>
          </w:tcPr>
          <w:p w14:paraId="431BF69A" w14:textId="74ED223B" w:rsidR="00FA7E56" w:rsidRPr="002374A6" w:rsidRDefault="00FA7E56" w:rsidP="007B3445">
            <w:pPr>
              <w:jc w:val="center"/>
              <w:rPr>
                <w:b/>
                <w:bCs/>
                <w:noProof/>
                <w:sz w:val="20"/>
                <w:szCs w:val="20"/>
              </w:rPr>
            </w:pPr>
            <w:r w:rsidRPr="002374A6">
              <w:rPr>
                <w:noProof/>
                <w:sz w:val="20"/>
              </w:rPr>
              <w:t>Substâncias ativas de baixo risco aprovadas ou consideradas aprovadas nos termos do artigo 22</w:t>
            </w:r>
            <w:r w:rsidR="002374A6">
              <w:rPr>
                <w:noProof/>
                <w:sz w:val="20"/>
              </w:rPr>
              <w:t>.º </w:t>
            </w:r>
            <w:r w:rsidRPr="002374A6">
              <w:rPr>
                <w:noProof/>
                <w:sz w:val="20"/>
              </w:rPr>
              <w:t>do Regulamento (CE) n</w:t>
            </w:r>
            <w:r w:rsidR="002374A6">
              <w:rPr>
                <w:noProof/>
                <w:sz w:val="20"/>
              </w:rPr>
              <w:t>.º </w:t>
            </w:r>
            <w:r w:rsidRPr="002374A6">
              <w:rPr>
                <w:noProof/>
                <w:sz w:val="20"/>
              </w:rPr>
              <w:t>1107/2009 e que estão enumeradas na parte D do anexo do Regulamento de Execução (UE) n</w:t>
            </w:r>
            <w:r w:rsidR="002374A6">
              <w:rPr>
                <w:noProof/>
                <w:sz w:val="20"/>
              </w:rPr>
              <w:t>.º </w:t>
            </w:r>
            <w:r w:rsidRPr="002374A6">
              <w:rPr>
                <w:noProof/>
                <w:sz w:val="20"/>
              </w:rPr>
              <w:t>540/2011</w:t>
            </w:r>
          </w:p>
        </w:tc>
        <w:tc>
          <w:tcPr>
            <w:tcW w:w="1848" w:type="dxa"/>
          </w:tcPr>
          <w:p w14:paraId="22D047AA" w14:textId="0578405F" w:rsidR="00FA7E56" w:rsidRPr="002374A6" w:rsidRDefault="00FA7E56" w:rsidP="007B3445">
            <w:pPr>
              <w:jc w:val="center"/>
              <w:rPr>
                <w:b/>
                <w:bCs/>
                <w:noProof/>
                <w:sz w:val="20"/>
                <w:szCs w:val="20"/>
              </w:rPr>
            </w:pPr>
            <w:r w:rsidRPr="002374A6">
              <w:rPr>
                <w:noProof/>
                <w:sz w:val="20"/>
              </w:rPr>
              <w:t>Substâncias ativas aprovadas ou consideradas aprovadas nos termos do Regulamento (CE) n</w:t>
            </w:r>
            <w:r w:rsidR="002374A6">
              <w:rPr>
                <w:noProof/>
                <w:sz w:val="20"/>
              </w:rPr>
              <w:t>.º </w:t>
            </w:r>
            <w:r w:rsidRPr="002374A6">
              <w:rPr>
                <w:noProof/>
                <w:sz w:val="20"/>
              </w:rPr>
              <w:t>1107/2009 não incluídas noutras categorias e que estão enumeradas nas partes A e B do anexo do Regulamento de Execução (UE) n</w:t>
            </w:r>
            <w:r w:rsidR="002374A6">
              <w:rPr>
                <w:noProof/>
                <w:sz w:val="20"/>
              </w:rPr>
              <w:t>.º </w:t>
            </w:r>
            <w:r w:rsidRPr="002374A6">
              <w:rPr>
                <w:noProof/>
                <w:sz w:val="20"/>
              </w:rPr>
              <w:t>540/2011</w:t>
            </w:r>
          </w:p>
        </w:tc>
        <w:tc>
          <w:tcPr>
            <w:tcW w:w="1849" w:type="dxa"/>
          </w:tcPr>
          <w:p w14:paraId="2B5A16CE" w14:textId="4013985F" w:rsidR="00FA7E56" w:rsidRPr="002374A6" w:rsidRDefault="00FA7E56" w:rsidP="009870D6">
            <w:pPr>
              <w:jc w:val="center"/>
              <w:rPr>
                <w:rFonts w:eastAsia="Times New Roman"/>
                <w:noProof/>
                <w:sz w:val="20"/>
                <w:szCs w:val="20"/>
              </w:rPr>
            </w:pPr>
            <w:r w:rsidRPr="002374A6">
              <w:rPr>
                <w:noProof/>
                <w:sz w:val="20"/>
              </w:rPr>
              <w:t>Substâncias ativas aprovadas como candidatas a substituição em conformidade com o artigo 24</w:t>
            </w:r>
            <w:r w:rsidR="002374A6">
              <w:rPr>
                <w:noProof/>
                <w:sz w:val="20"/>
              </w:rPr>
              <w:t>.º </w:t>
            </w:r>
            <w:r w:rsidRPr="002374A6">
              <w:rPr>
                <w:noProof/>
                <w:sz w:val="20"/>
              </w:rPr>
              <w:t>do Regulamento (CE) n</w:t>
            </w:r>
            <w:r w:rsidR="002374A6">
              <w:rPr>
                <w:noProof/>
                <w:sz w:val="20"/>
              </w:rPr>
              <w:t>.º </w:t>
            </w:r>
            <w:r w:rsidRPr="002374A6">
              <w:rPr>
                <w:noProof/>
                <w:sz w:val="20"/>
              </w:rPr>
              <w:t>1107/2009 e enumeradas na parte E do anexo do Regulamento de Execução (UE) n</w:t>
            </w:r>
            <w:r w:rsidR="002374A6">
              <w:rPr>
                <w:noProof/>
                <w:sz w:val="20"/>
              </w:rPr>
              <w:t>.º </w:t>
            </w:r>
            <w:r w:rsidRPr="002374A6">
              <w:rPr>
                <w:noProof/>
                <w:sz w:val="20"/>
              </w:rPr>
              <w:t>540/2011 ou enumeradas no anexo do Regulamento de Execução (UE) 2015/408.</w:t>
            </w:r>
          </w:p>
        </w:tc>
        <w:tc>
          <w:tcPr>
            <w:tcW w:w="1849" w:type="dxa"/>
          </w:tcPr>
          <w:p w14:paraId="3A29B2B4" w14:textId="6B518C13" w:rsidR="00FA7E56" w:rsidRPr="002374A6" w:rsidRDefault="00FA7E56" w:rsidP="000B05C3">
            <w:pPr>
              <w:jc w:val="center"/>
              <w:rPr>
                <w:b/>
                <w:bCs/>
                <w:noProof/>
                <w:sz w:val="20"/>
                <w:szCs w:val="20"/>
              </w:rPr>
            </w:pPr>
            <w:r w:rsidRPr="002374A6">
              <w:rPr>
                <w:noProof/>
                <w:sz w:val="20"/>
              </w:rPr>
              <w:t>Substâncias ativas não aprovadas nos termos do Regulamento (CE) n</w:t>
            </w:r>
            <w:r w:rsidR="002374A6">
              <w:rPr>
                <w:noProof/>
                <w:sz w:val="20"/>
              </w:rPr>
              <w:t>.º </w:t>
            </w:r>
            <w:r w:rsidRPr="002374A6">
              <w:rPr>
                <w:noProof/>
                <w:sz w:val="20"/>
              </w:rPr>
              <w:t>1107/2009 e que, por conseguinte, não constam do anexo do Regulamento de Execução (UE) n</w:t>
            </w:r>
            <w:r w:rsidR="002374A6">
              <w:rPr>
                <w:noProof/>
                <w:sz w:val="20"/>
              </w:rPr>
              <w:t>.º </w:t>
            </w:r>
            <w:r w:rsidRPr="002374A6">
              <w:rPr>
                <w:noProof/>
                <w:sz w:val="20"/>
              </w:rPr>
              <w:t>540/2011</w:t>
            </w:r>
          </w:p>
        </w:tc>
      </w:tr>
      <w:tr w:rsidR="0066509A" w:rsidRPr="002374A6" w14:paraId="77BC2898" w14:textId="77777777" w:rsidTr="007B3445">
        <w:tc>
          <w:tcPr>
            <w:tcW w:w="1848" w:type="dxa"/>
          </w:tcPr>
          <w:p w14:paraId="1FB3ED73" w14:textId="286D4EAD" w:rsidR="00FA7E56" w:rsidRPr="002374A6" w:rsidRDefault="00FA7E56" w:rsidP="007B3445">
            <w:pPr>
              <w:jc w:val="center"/>
              <w:rPr>
                <w:b/>
                <w:bCs/>
                <w:noProof/>
                <w:sz w:val="20"/>
                <w:szCs w:val="20"/>
              </w:rPr>
            </w:pPr>
            <w:r w:rsidRPr="002374A6">
              <w:rPr>
                <w:b/>
                <w:noProof/>
                <w:sz w:val="20"/>
              </w:rPr>
              <w:t>ii)</w:t>
            </w:r>
          </w:p>
        </w:tc>
        <w:tc>
          <w:tcPr>
            <w:tcW w:w="7394" w:type="dxa"/>
            <w:gridSpan w:val="4"/>
          </w:tcPr>
          <w:p w14:paraId="54A9234D" w14:textId="339CD374" w:rsidR="00FA7E56" w:rsidRPr="002374A6" w:rsidRDefault="00FA7E56" w:rsidP="007B3445">
            <w:pPr>
              <w:jc w:val="center"/>
              <w:rPr>
                <w:b/>
                <w:bCs/>
                <w:noProof/>
                <w:sz w:val="20"/>
                <w:szCs w:val="20"/>
              </w:rPr>
            </w:pPr>
            <w:r w:rsidRPr="002374A6">
              <w:rPr>
                <w:noProof/>
                <w:sz w:val="20"/>
              </w:rPr>
              <w:t>Fatores de ponderação de perigo aplicáveis às quantidades de substâncias ativas colocadas no mercado em produtos autorizados nos termos do Regulamento (CE) n</w:t>
            </w:r>
            <w:r w:rsidR="002374A6">
              <w:rPr>
                <w:noProof/>
                <w:sz w:val="20"/>
              </w:rPr>
              <w:t>.º </w:t>
            </w:r>
            <w:r w:rsidRPr="002374A6">
              <w:rPr>
                <w:noProof/>
                <w:sz w:val="20"/>
              </w:rPr>
              <w:t>1107/2009</w:t>
            </w:r>
          </w:p>
        </w:tc>
      </w:tr>
      <w:tr w:rsidR="00FA7E56" w:rsidRPr="002374A6" w14:paraId="653671B7" w14:textId="77777777" w:rsidTr="007B3445">
        <w:tc>
          <w:tcPr>
            <w:tcW w:w="1848" w:type="dxa"/>
          </w:tcPr>
          <w:p w14:paraId="086E5771" w14:textId="11EE6BB4" w:rsidR="00FA7E56" w:rsidRPr="002374A6" w:rsidRDefault="00FA7E56" w:rsidP="007B3445">
            <w:pPr>
              <w:jc w:val="center"/>
              <w:rPr>
                <w:b/>
                <w:bCs/>
                <w:noProof/>
                <w:sz w:val="20"/>
                <w:szCs w:val="20"/>
              </w:rPr>
            </w:pPr>
            <w:r w:rsidRPr="002374A6">
              <w:rPr>
                <w:b/>
                <w:noProof/>
                <w:sz w:val="20"/>
              </w:rPr>
              <w:t>iii)</w:t>
            </w:r>
          </w:p>
        </w:tc>
        <w:tc>
          <w:tcPr>
            <w:tcW w:w="1848" w:type="dxa"/>
          </w:tcPr>
          <w:p w14:paraId="0C1D4639" w14:textId="77777777" w:rsidR="00FA7E56" w:rsidRPr="002374A6" w:rsidRDefault="00FA7E56" w:rsidP="007B3445">
            <w:pPr>
              <w:jc w:val="center"/>
              <w:rPr>
                <w:b/>
                <w:bCs/>
                <w:noProof/>
                <w:sz w:val="20"/>
                <w:szCs w:val="20"/>
              </w:rPr>
            </w:pPr>
            <w:r w:rsidRPr="002374A6">
              <w:rPr>
                <w:b/>
                <w:noProof/>
                <w:sz w:val="20"/>
              </w:rPr>
              <w:t>1</w:t>
            </w:r>
          </w:p>
        </w:tc>
        <w:tc>
          <w:tcPr>
            <w:tcW w:w="1848" w:type="dxa"/>
          </w:tcPr>
          <w:p w14:paraId="5A1BA6B6" w14:textId="77777777" w:rsidR="00FA7E56" w:rsidRPr="002374A6" w:rsidRDefault="00FA7E56" w:rsidP="007B3445">
            <w:pPr>
              <w:jc w:val="center"/>
              <w:rPr>
                <w:b/>
                <w:bCs/>
                <w:noProof/>
                <w:sz w:val="20"/>
                <w:szCs w:val="20"/>
              </w:rPr>
            </w:pPr>
            <w:r w:rsidRPr="002374A6">
              <w:rPr>
                <w:b/>
                <w:noProof/>
                <w:sz w:val="20"/>
              </w:rPr>
              <w:t>8</w:t>
            </w:r>
          </w:p>
        </w:tc>
        <w:tc>
          <w:tcPr>
            <w:tcW w:w="1849" w:type="dxa"/>
          </w:tcPr>
          <w:p w14:paraId="71D7822F" w14:textId="77777777" w:rsidR="00FA7E56" w:rsidRPr="002374A6" w:rsidRDefault="00FA7E56" w:rsidP="007B3445">
            <w:pPr>
              <w:jc w:val="center"/>
              <w:rPr>
                <w:b/>
                <w:bCs/>
                <w:noProof/>
                <w:sz w:val="20"/>
                <w:szCs w:val="20"/>
              </w:rPr>
            </w:pPr>
            <w:r w:rsidRPr="002374A6">
              <w:rPr>
                <w:b/>
                <w:noProof/>
                <w:sz w:val="20"/>
              </w:rPr>
              <w:t>16</w:t>
            </w:r>
          </w:p>
        </w:tc>
        <w:tc>
          <w:tcPr>
            <w:tcW w:w="1849" w:type="dxa"/>
          </w:tcPr>
          <w:p w14:paraId="73AA3EC1" w14:textId="77777777" w:rsidR="00FA7E56" w:rsidRPr="002374A6" w:rsidRDefault="00FA7E56" w:rsidP="007B3445">
            <w:pPr>
              <w:jc w:val="center"/>
              <w:rPr>
                <w:b/>
                <w:bCs/>
                <w:noProof/>
                <w:sz w:val="20"/>
                <w:szCs w:val="20"/>
              </w:rPr>
            </w:pPr>
            <w:r w:rsidRPr="002374A6">
              <w:rPr>
                <w:b/>
                <w:noProof/>
                <w:sz w:val="20"/>
              </w:rPr>
              <w:t>64</w:t>
            </w:r>
          </w:p>
        </w:tc>
      </w:tr>
    </w:tbl>
    <w:p w14:paraId="74B56034" w14:textId="77777777" w:rsidR="00FA7E56" w:rsidRPr="002374A6" w:rsidRDefault="00FA7E56" w:rsidP="00FA7E56">
      <w:pPr>
        <w:rPr>
          <w:b/>
          <w:bCs/>
          <w:noProof/>
          <w:szCs w:val="24"/>
        </w:rPr>
      </w:pPr>
    </w:p>
    <w:p w14:paraId="6D38AC37" w14:textId="473E18EA" w:rsidR="00FA7E56" w:rsidRPr="002374A6" w:rsidRDefault="00B75AC6" w:rsidP="00A94DEB">
      <w:pPr>
        <w:pStyle w:val="Point0"/>
        <w:rPr>
          <w:noProof/>
          <w:szCs w:val="24"/>
        </w:rPr>
      </w:pPr>
      <w:r w:rsidRPr="002374A6">
        <w:rPr>
          <w:noProof/>
        </w:rPr>
        <w:t>4.</w:t>
      </w:r>
      <w:r w:rsidRPr="002374A6">
        <w:rPr>
          <w:noProof/>
        </w:rPr>
        <w:tab/>
        <w:t>A base de referência do indicador de risco harmonizado 1 é fixada em 100 e é igual ao resultado médio do cálculo anterior para o período 2011</w:t>
      </w:r>
      <w:r w:rsidR="002374A6">
        <w:rPr>
          <w:noProof/>
        </w:rPr>
        <w:noBreakHyphen/>
      </w:r>
      <w:r w:rsidRPr="002374A6">
        <w:rPr>
          <w:noProof/>
        </w:rPr>
        <w:t xml:space="preserve">2013. </w:t>
      </w:r>
    </w:p>
    <w:p w14:paraId="31B54062" w14:textId="392FA302" w:rsidR="002D1F12" w:rsidRPr="002374A6" w:rsidRDefault="00B75AC6" w:rsidP="00A94DEB">
      <w:pPr>
        <w:pStyle w:val="Point0"/>
        <w:rPr>
          <w:noProof/>
          <w:szCs w:val="24"/>
        </w:rPr>
      </w:pPr>
      <w:r w:rsidRPr="002374A6">
        <w:rPr>
          <w:noProof/>
        </w:rPr>
        <w:t>5.</w:t>
      </w:r>
      <w:r w:rsidRPr="002374A6">
        <w:rPr>
          <w:noProof/>
        </w:rPr>
        <w:tab/>
        <w:t>O resultado do indicador de risco harmonizado 1 é expresso em relação à base de referência.</w:t>
      </w:r>
    </w:p>
    <w:p w14:paraId="02B18EE6" w14:textId="3D24C765" w:rsidR="00FA7E56" w:rsidRPr="002374A6" w:rsidRDefault="00E73B34" w:rsidP="00A94DEB">
      <w:pPr>
        <w:pStyle w:val="Point0"/>
        <w:rPr>
          <w:noProof/>
          <w:szCs w:val="24"/>
        </w:rPr>
      </w:pPr>
      <w:r>
        <w:rPr>
          <w:noProof/>
        </w:rPr>
        <w:t>6.</w:t>
      </w:r>
      <w:r>
        <w:rPr>
          <w:noProof/>
        </w:rPr>
        <w:tab/>
        <w:t>A Comissão calcula e publica</w:t>
      </w:r>
      <w:r w:rsidR="00B75AC6" w:rsidRPr="002374A6">
        <w:rPr>
          <w:noProof/>
        </w:rPr>
        <w:t xml:space="preserve"> os resultados do indicador de risco harmonizado 1 a nível da União em conformidade com o artigo 35.º, n</w:t>
      </w:r>
      <w:r w:rsidR="002374A6">
        <w:rPr>
          <w:noProof/>
        </w:rPr>
        <w:t>.º </w:t>
      </w:r>
      <w:r w:rsidR="00B75AC6" w:rsidRPr="002374A6">
        <w:rPr>
          <w:noProof/>
        </w:rPr>
        <w:t>2, do presente regulamento para cada ano civil, o mais tardar 20 meses após o final do ano para o qual o indicador de risco harmonizado 1 está a ser calculado.</w:t>
      </w:r>
    </w:p>
    <w:p w14:paraId="6B6096C5" w14:textId="53030833" w:rsidR="00F46430" w:rsidRPr="002374A6" w:rsidRDefault="00F46430" w:rsidP="00F46430">
      <w:pPr>
        <w:pStyle w:val="Point0"/>
        <w:rPr>
          <w:noProof/>
          <w:szCs w:val="24"/>
        </w:rPr>
      </w:pPr>
      <w:r w:rsidRPr="002374A6">
        <w:rPr>
          <w:noProof/>
        </w:rPr>
        <w:t>7.</w:t>
      </w:r>
      <w:r w:rsidRPr="002374A6">
        <w:rPr>
          <w:noProof/>
        </w:rPr>
        <w:tab/>
        <w:t>Os Estados</w:t>
      </w:r>
      <w:r w:rsidR="002374A6">
        <w:rPr>
          <w:noProof/>
        </w:rPr>
        <w:noBreakHyphen/>
      </w:r>
      <w:r w:rsidRPr="002374A6">
        <w:rPr>
          <w:noProof/>
        </w:rPr>
        <w:t xml:space="preserve">Membros </w:t>
      </w:r>
      <w:r w:rsidR="00E73B34">
        <w:rPr>
          <w:noProof/>
        </w:rPr>
        <w:t>calculam e publicam</w:t>
      </w:r>
      <w:r w:rsidRPr="002374A6">
        <w:rPr>
          <w:noProof/>
        </w:rPr>
        <w:t xml:space="preserve"> os resultados do indicador de risco harmonizado 1 a nível nacional em conformidade com o artigo 35.º, n</w:t>
      </w:r>
      <w:r w:rsidR="002374A6">
        <w:rPr>
          <w:noProof/>
        </w:rPr>
        <w:t>.º </w:t>
      </w:r>
      <w:r w:rsidRPr="002374A6">
        <w:rPr>
          <w:noProof/>
        </w:rPr>
        <w:t>3, do presente regulamento para cada ano civil, o mais tardar 20 meses após o final do ano para o qual o indicador de risco harmonizado 1 está a ser calculado.</w:t>
      </w:r>
    </w:p>
    <w:p w14:paraId="70C3B9C2" w14:textId="77777777" w:rsidR="00A94DEB" w:rsidRPr="002374A6" w:rsidRDefault="00A94DEB" w:rsidP="00FA7E56">
      <w:pPr>
        <w:jc w:val="center"/>
        <w:rPr>
          <w:noProof/>
          <w:szCs w:val="24"/>
        </w:rPr>
      </w:pPr>
    </w:p>
    <w:p w14:paraId="1FBA4E21" w14:textId="77777777" w:rsidR="00FA7E56" w:rsidRPr="002374A6" w:rsidRDefault="00FA7E56" w:rsidP="00FA7E56">
      <w:pPr>
        <w:jc w:val="center"/>
        <w:rPr>
          <w:noProof/>
          <w:szCs w:val="24"/>
        </w:rPr>
      </w:pPr>
      <w:r w:rsidRPr="002374A6">
        <w:rPr>
          <w:noProof/>
        </w:rPr>
        <w:t>SECÇÃO 3</w:t>
      </w:r>
    </w:p>
    <w:p w14:paraId="4953FBC3" w14:textId="058DD1B3" w:rsidR="00FA7E56" w:rsidRPr="002374A6" w:rsidRDefault="00FA7E56" w:rsidP="00FA7E56">
      <w:pPr>
        <w:jc w:val="center"/>
        <w:rPr>
          <w:b/>
          <w:bCs/>
          <w:noProof/>
          <w:szCs w:val="24"/>
        </w:rPr>
      </w:pPr>
      <w:r w:rsidRPr="002374A6">
        <w:rPr>
          <w:b/>
          <w:noProof/>
        </w:rPr>
        <w:t>Indicador de risco harmonizado 2: indicador de risco harmonizado baseado no número de autorizações concedidas nos termos do artigo 53</w:t>
      </w:r>
      <w:r w:rsidR="002374A6">
        <w:rPr>
          <w:b/>
          <w:noProof/>
        </w:rPr>
        <w:t>.º </w:t>
      </w:r>
      <w:r w:rsidRPr="002374A6">
        <w:rPr>
          <w:b/>
          <w:noProof/>
        </w:rPr>
        <w:t>do Regulamento (CE) n</w:t>
      </w:r>
      <w:r w:rsidR="002374A6">
        <w:rPr>
          <w:b/>
          <w:noProof/>
        </w:rPr>
        <w:t>.º </w:t>
      </w:r>
      <w:r w:rsidRPr="002374A6">
        <w:rPr>
          <w:b/>
          <w:noProof/>
        </w:rPr>
        <w:t>1107/2009</w:t>
      </w:r>
    </w:p>
    <w:p w14:paraId="35EE5563" w14:textId="34DED6B6" w:rsidR="00FA7E56" w:rsidRPr="002374A6" w:rsidRDefault="00A94DEB" w:rsidP="00A94DEB">
      <w:pPr>
        <w:pStyle w:val="Point0"/>
        <w:rPr>
          <w:noProof/>
          <w:szCs w:val="24"/>
        </w:rPr>
      </w:pPr>
      <w:r w:rsidRPr="002374A6">
        <w:rPr>
          <w:noProof/>
        </w:rPr>
        <w:t>1.</w:t>
      </w:r>
      <w:r w:rsidRPr="002374A6">
        <w:rPr>
          <w:noProof/>
        </w:rPr>
        <w:tab/>
        <w:t>Este indicador baseia</w:t>
      </w:r>
      <w:r w:rsidR="002374A6">
        <w:rPr>
          <w:noProof/>
        </w:rPr>
        <w:noBreakHyphen/>
      </w:r>
      <w:r w:rsidRPr="002374A6">
        <w:rPr>
          <w:noProof/>
        </w:rPr>
        <w:t>se no número de autorizações concedidas a produtos fitofarmacêuticos nos termos do artigo 53</w:t>
      </w:r>
      <w:r w:rsidR="002374A6">
        <w:rPr>
          <w:noProof/>
        </w:rPr>
        <w:t>.º </w:t>
      </w:r>
      <w:r w:rsidRPr="002374A6">
        <w:rPr>
          <w:noProof/>
        </w:rPr>
        <w:t>do Regulamento (CE) n</w:t>
      </w:r>
      <w:r w:rsidR="002374A6">
        <w:rPr>
          <w:noProof/>
        </w:rPr>
        <w:t>.º </w:t>
      </w:r>
      <w:r w:rsidRPr="002374A6">
        <w:rPr>
          <w:noProof/>
        </w:rPr>
        <w:t>1107/2009, conforme comunicado à Comissão em conformidade com o artigo 53.º, n</w:t>
      </w:r>
      <w:r w:rsidR="002374A6">
        <w:rPr>
          <w:noProof/>
        </w:rPr>
        <w:t>.º </w:t>
      </w:r>
      <w:r w:rsidRPr="002374A6">
        <w:rPr>
          <w:noProof/>
        </w:rPr>
        <w:t xml:space="preserve">1, do referido regulamento. Estes dados são categorizados em quatro grupos. </w:t>
      </w:r>
    </w:p>
    <w:p w14:paraId="134E7FE0" w14:textId="5485ADB4" w:rsidR="00FA7E56" w:rsidRPr="002374A6" w:rsidRDefault="00A94DEB" w:rsidP="00A94DEB">
      <w:pPr>
        <w:pStyle w:val="Point0"/>
        <w:rPr>
          <w:noProof/>
          <w:szCs w:val="24"/>
        </w:rPr>
      </w:pPr>
      <w:r w:rsidRPr="002374A6">
        <w:rPr>
          <w:noProof/>
        </w:rPr>
        <w:t>2.</w:t>
      </w:r>
      <w:r w:rsidRPr="002374A6">
        <w:rPr>
          <w:noProof/>
        </w:rPr>
        <w:tab/>
        <w:t xml:space="preserve">Para o cálculo do indicador de risco harmonizado 2 são aplicáveis as seguintes regras gerais: </w:t>
      </w:r>
    </w:p>
    <w:p w14:paraId="458C5DBC" w14:textId="5A8CED3D" w:rsidR="00FA7E56" w:rsidRPr="002374A6" w:rsidRDefault="00A94DEB" w:rsidP="00A94DEB">
      <w:pPr>
        <w:pStyle w:val="Point1"/>
        <w:rPr>
          <w:noProof/>
        </w:rPr>
      </w:pPr>
      <w:r w:rsidRPr="002374A6">
        <w:rPr>
          <w:noProof/>
        </w:rPr>
        <w:t>a)</w:t>
      </w:r>
      <w:r w:rsidRPr="002374A6">
        <w:rPr>
          <w:noProof/>
        </w:rPr>
        <w:tab/>
        <w:t>O indicador de risco harmonizado 2 baseia</w:t>
      </w:r>
      <w:r w:rsidR="002374A6">
        <w:rPr>
          <w:noProof/>
        </w:rPr>
        <w:noBreakHyphen/>
      </w:r>
      <w:r w:rsidRPr="002374A6">
        <w:rPr>
          <w:noProof/>
        </w:rPr>
        <w:t>se no número de autorizações concedidas nos termos do artigo 53</w:t>
      </w:r>
      <w:r w:rsidR="002374A6">
        <w:rPr>
          <w:noProof/>
        </w:rPr>
        <w:t>.º </w:t>
      </w:r>
      <w:r w:rsidRPr="002374A6">
        <w:rPr>
          <w:noProof/>
        </w:rPr>
        <w:t>do Regulamento (CE) n</w:t>
      </w:r>
      <w:r w:rsidR="002374A6">
        <w:rPr>
          <w:noProof/>
        </w:rPr>
        <w:t>.º </w:t>
      </w:r>
      <w:r w:rsidRPr="002374A6">
        <w:rPr>
          <w:noProof/>
        </w:rPr>
        <w:t xml:space="preserve">1107/2009 e é calculado com base na categorização das substâncias ativas nos quatro grupos constantes do quadro 2 da presente secção; </w:t>
      </w:r>
    </w:p>
    <w:p w14:paraId="34F4D954" w14:textId="2BB9540C" w:rsidR="00FA7E56" w:rsidRPr="002374A6" w:rsidRDefault="00FA7E56" w:rsidP="00A94DEB">
      <w:pPr>
        <w:pStyle w:val="Point1"/>
        <w:rPr>
          <w:noProof/>
          <w:szCs w:val="24"/>
        </w:rPr>
      </w:pPr>
      <w:r w:rsidRPr="002374A6">
        <w:rPr>
          <w:noProof/>
        </w:rPr>
        <w:t>b)</w:t>
      </w:r>
      <w:r w:rsidRPr="002374A6">
        <w:rPr>
          <w:noProof/>
        </w:rPr>
        <w:tab/>
        <w:t>As substâncias ativas do grupo 1 são as enumeradas na parte D do anexo do Regulamento de Execução (UE) n</w:t>
      </w:r>
      <w:r w:rsidR="002374A6">
        <w:rPr>
          <w:noProof/>
        </w:rPr>
        <w:t>.º </w:t>
      </w:r>
      <w:r w:rsidRPr="002374A6">
        <w:rPr>
          <w:noProof/>
        </w:rPr>
        <w:t xml:space="preserve">540/2011 da Comissão; </w:t>
      </w:r>
    </w:p>
    <w:p w14:paraId="304231CD" w14:textId="6A78B2E9" w:rsidR="00FA7E56" w:rsidRPr="002374A6" w:rsidRDefault="00A94DEB" w:rsidP="00A94DEB">
      <w:pPr>
        <w:pStyle w:val="Point1"/>
        <w:rPr>
          <w:noProof/>
          <w:szCs w:val="24"/>
        </w:rPr>
      </w:pPr>
      <w:r w:rsidRPr="002374A6">
        <w:rPr>
          <w:noProof/>
        </w:rPr>
        <w:t>c)</w:t>
      </w:r>
      <w:r w:rsidRPr="002374A6">
        <w:rPr>
          <w:noProof/>
        </w:rPr>
        <w:tab/>
        <w:t>As substâncias ativas do grupo 2 são as enumeradas nas partes A e B do anexo do Regulamento de Execução (UE) n</w:t>
      </w:r>
      <w:r w:rsidR="002374A6">
        <w:rPr>
          <w:noProof/>
        </w:rPr>
        <w:t>.º </w:t>
      </w:r>
      <w:r w:rsidRPr="002374A6">
        <w:rPr>
          <w:noProof/>
        </w:rPr>
        <w:t xml:space="preserve">540/2011; </w:t>
      </w:r>
    </w:p>
    <w:p w14:paraId="767D477B" w14:textId="508EB580" w:rsidR="00FA7E56" w:rsidRPr="002374A6" w:rsidRDefault="00A94DEB" w:rsidP="00A94DEB">
      <w:pPr>
        <w:pStyle w:val="Point1"/>
        <w:rPr>
          <w:noProof/>
          <w:szCs w:val="24"/>
        </w:rPr>
      </w:pPr>
      <w:r w:rsidRPr="002374A6">
        <w:rPr>
          <w:noProof/>
        </w:rPr>
        <w:t>d)</w:t>
      </w:r>
      <w:r w:rsidRPr="002374A6">
        <w:rPr>
          <w:noProof/>
        </w:rPr>
        <w:tab/>
        <w:t>As substâncias ativas do grupo 3 são as substâncias ativas químicas aprovadas como candidatas a substituição em conformidade com o artigo 24</w:t>
      </w:r>
      <w:r w:rsidR="002374A6">
        <w:rPr>
          <w:noProof/>
        </w:rPr>
        <w:t>.º </w:t>
      </w:r>
      <w:r w:rsidRPr="002374A6">
        <w:rPr>
          <w:noProof/>
        </w:rPr>
        <w:t>do Regulamento (CE) n</w:t>
      </w:r>
      <w:r w:rsidR="002374A6">
        <w:rPr>
          <w:noProof/>
        </w:rPr>
        <w:t>.º </w:t>
      </w:r>
      <w:r w:rsidRPr="002374A6">
        <w:rPr>
          <w:noProof/>
        </w:rPr>
        <w:t>1107/2009 e enumeradas na parte E do anexo do Regulamento de Execução (UE) n</w:t>
      </w:r>
      <w:r w:rsidR="002374A6">
        <w:rPr>
          <w:noProof/>
        </w:rPr>
        <w:t>.º </w:t>
      </w:r>
      <w:r w:rsidRPr="002374A6">
        <w:rPr>
          <w:noProof/>
        </w:rPr>
        <w:t xml:space="preserve">540/2011 ou enumeradas no anexo do Regulamento de Execução (UE) 2015/408; </w:t>
      </w:r>
    </w:p>
    <w:p w14:paraId="3F2C3ADC" w14:textId="0107CFB0" w:rsidR="00FA7E56" w:rsidRPr="002374A6" w:rsidRDefault="00A94DEB" w:rsidP="00A94DEB">
      <w:pPr>
        <w:pStyle w:val="Point1"/>
        <w:rPr>
          <w:noProof/>
          <w:szCs w:val="24"/>
        </w:rPr>
      </w:pPr>
      <w:r w:rsidRPr="002374A6">
        <w:rPr>
          <w:noProof/>
        </w:rPr>
        <w:t>e)</w:t>
      </w:r>
      <w:r w:rsidRPr="002374A6">
        <w:rPr>
          <w:noProof/>
        </w:rPr>
        <w:tab/>
        <w:t>As substâncias ativas do grupo 4 são as que não foram aprovadas nos termos do Regulamento (CE) n</w:t>
      </w:r>
      <w:r w:rsidR="002374A6">
        <w:rPr>
          <w:noProof/>
        </w:rPr>
        <w:t>.º </w:t>
      </w:r>
      <w:r w:rsidRPr="002374A6">
        <w:rPr>
          <w:noProof/>
        </w:rPr>
        <w:t>1107/2009 e, por conseguinte, não constam do anexo do Regulamento de Execução (UE) n</w:t>
      </w:r>
      <w:r w:rsidR="002374A6">
        <w:rPr>
          <w:noProof/>
        </w:rPr>
        <w:t>.º </w:t>
      </w:r>
      <w:r w:rsidRPr="002374A6">
        <w:rPr>
          <w:noProof/>
        </w:rPr>
        <w:t xml:space="preserve">540/2011; </w:t>
      </w:r>
    </w:p>
    <w:p w14:paraId="1EDAE975" w14:textId="686D3181" w:rsidR="00FA7E56" w:rsidRPr="002374A6" w:rsidRDefault="00A94DEB" w:rsidP="00A94DEB">
      <w:pPr>
        <w:pStyle w:val="Point1"/>
        <w:rPr>
          <w:noProof/>
          <w:szCs w:val="24"/>
        </w:rPr>
      </w:pPr>
      <w:r w:rsidRPr="002374A6">
        <w:rPr>
          <w:noProof/>
        </w:rPr>
        <w:t>f)</w:t>
      </w:r>
      <w:r w:rsidRPr="002374A6">
        <w:rPr>
          <w:noProof/>
        </w:rPr>
        <w:tab/>
        <w:t>Aplicam</w:t>
      </w:r>
      <w:r w:rsidR="002374A6">
        <w:rPr>
          <w:noProof/>
        </w:rPr>
        <w:noBreakHyphen/>
      </w:r>
      <w:r w:rsidRPr="002374A6">
        <w:rPr>
          <w:noProof/>
        </w:rPr>
        <w:t xml:space="preserve">se os fatores de ponderação da linha iii) do quadro 2 da presente secção. </w:t>
      </w:r>
    </w:p>
    <w:p w14:paraId="4F3AF7AF" w14:textId="6BDF5BA7" w:rsidR="00FA7E56" w:rsidRPr="002374A6" w:rsidRDefault="00A94DEB" w:rsidP="00A94DEB">
      <w:pPr>
        <w:pStyle w:val="Point0"/>
        <w:rPr>
          <w:noProof/>
          <w:szCs w:val="24"/>
        </w:rPr>
      </w:pPr>
      <w:r w:rsidRPr="002374A6">
        <w:rPr>
          <w:noProof/>
        </w:rPr>
        <w:t>3.</w:t>
      </w:r>
      <w:r w:rsidRPr="002374A6">
        <w:rPr>
          <w:noProof/>
        </w:rPr>
        <w:tab/>
        <w:t>O indicador de risco harmonizado 2 é calculado multiplicando o número de autorizações concedidas a produtos fitofarmacêuticos nos termos do artigo 53</w:t>
      </w:r>
      <w:r w:rsidR="002374A6">
        <w:rPr>
          <w:noProof/>
        </w:rPr>
        <w:t>.º </w:t>
      </w:r>
      <w:r w:rsidRPr="002374A6">
        <w:rPr>
          <w:noProof/>
        </w:rPr>
        <w:t>do Regulamento (CE) n</w:t>
      </w:r>
      <w:r w:rsidR="002374A6">
        <w:rPr>
          <w:noProof/>
        </w:rPr>
        <w:t>.º </w:t>
      </w:r>
      <w:r w:rsidRPr="002374A6">
        <w:rPr>
          <w:noProof/>
        </w:rPr>
        <w:t xml:space="preserve">1107/2009 para cada grupo constante do quadro 2 pelo fator de ponderação de perigo correspondente indicado na linha iii), agregando depois os resultados destes cálculos. </w:t>
      </w:r>
    </w:p>
    <w:p w14:paraId="45FAA8A5" w14:textId="77777777" w:rsidR="00E65BCC" w:rsidRPr="002374A6" w:rsidRDefault="00E65BCC" w:rsidP="00FA7E56">
      <w:pPr>
        <w:jc w:val="center"/>
        <w:rPr>
          <w:i/>
          <w:iCs/>
          <w:noProof/>
          <w:szCs w:val="24"/>
        </w:rPr>
      </w:pPr>
    </w:p>
    <w:p w14:paraId="243CC7AC" w14:textId="5ECEFE32" w:rsidR="00FA7E56" w:rsidRPr="002374A6" w:rsidRDefault="00FA7E56" w:rsidP="00FA7E56">
      <w:pPr>
        <w:jc w:val="center"/>
        <w:rPr>
          <w:i/>
          <w:iCs/>
          <w:noProof/>
          <w:szCs w:val="24"/>
        </w:rPr>
      </w:pPr>
      <w:r w:rsidRPr="002374A6">
        <w:rPr>
          <w:i/>
          <w:noProof/>
        </w:rPr>
        <w:t>Quadro 2</w:t>
      </w:r>
    </w:p>
    <w:p w14:paraId="4AC4D5D2" w14:textId="01C978BE" w:rsidR="00FA7E56" w:rsidRPr="002374A6" w:rsidRDefault="00FA7E56" w:rsidP="00FA7E56">
      <w:pPr>
        <w:jc w:val="center"/>
        <w:rPr>
          <w:b/>
          <w:bCs/>
          <w:noProof/>
          <w:szCs w:val="24"/>
        </w:rPr>
      </w:pPr>
      <w:r w:rsidRPr="002374A6">
        <w:rPr>
          <w:b/>
          <w:noProof/>
        </w:rPr>
        <w:t>Categorização das substâncias ativas e fatores de ponderação de perigo para o cálculo do indicador de risco harmonizado 2</w:t>
      </w:r>
    </w:p>
    <w:p w14:paraId="7C4BA5F0" w14:textId="77777777" w:rsidR="00FA7E56" w:rsidRPr="002374A6" w:rsidRDefault="00FA7E56" w:rsidP="00FA7E56">
      <w:pPr>
        <w:jc w:val="center"/>
        <w:rPr>
          <w:b/>
          <w:bCs/>
          <w:noProof/>
          <w:szCs w:val="24"/>
        </w:rPr>
      </w:pPr>
    </w:p>
    <w:tbl>
      <w:tblPr>
        <w:tblStyle w:val="TableGrid"/>
        <w:tblW w:w="0" w:type="auto"/>
        <w:tblLook w:val="04A0" w:firstRow="1" w:lastRow="0" w:firstColumn="1" w:lastColumn="0" w:noHBand="0" w:noVBand="1"/>
      </w:tblPr>
      <w:tblGrid>
        <w:gridCol w:w="913"/>
        <w:gridCol w:w="2058"/>
        <w:gridCol w:w="2058"/>
        <w:gridCol w:w="2522"/>
        <w:gridCol w:w="1465"/>
      </w:tblGrid>
      <w:tr w:rsidR="0066509A" w:rsidRPr="002374A6" w14:paraId="535B1F60" w14:textId="77777777" w:rsidTr="007B3445">
        <w:tc>
          <w:tcPr>
            <w:tcW w:w="913" w:type="dxa"/>
            <w:vMerge w:val="restart"/>
          </w:tcPr>
          <w:p w14:paraId="7D29E16B" w14:textId="77777777" w:rsidR="00FA7E56" w:rsidRPr="002374A6" w:rsidRDefault="00FA7E56" w:rsidP="007B3445">
            <w:pPr>
              <w:jc w:val="center"/>
              <w:rPr>
                <w:b/>
                <w:bCs/>
                <w:noProof/>
                <w:sz w:val="20"/>
                <w:szCs w:val="20"/>
              </w:rPr>
            </w:pPr>
            <w:r w:rsidRPr="002374A6">
              <w:rPr>
                <w:b/>
                <w:noProof/>
                <w:sz w:val="20"/>
              </w:rPr>
              <w:t>Linha</w:t>
            </w:r>
          </w:p>
        </w:tc>
        <w:tc>
          <w:tcPr>
            <w:tcW w:w="8103" w:type="dxa"/>
            <w:gridSpan w:val="4"/>
          </w:tcPr>
          <w:p w14:paraId="4AB9C22D" w14:textId="77777777" w:rsidR="00FA7E56" w:rsidRPr="002374A6" w:rsidRDefault="00FA7E56" w:rsidP="007B3445">
            <w:pPr>
              <w:jc w:val="center"/>
              <w:rPr>
                <w:b/>
                <w:bCs/>
                <w:noProof/>
                <w:sz w:val="20"/>
                <w:szCs w:val="20"/>
              </w:rPr>
            </w:pPr>
            <w:r w:rsidRPr="002374A6">
              <w:rPr>
                <w:b/>
                <w:noProof/>
                <w:sz w:val="20"/>
              </w:rPr>
              <w:t>Grupos</w:t>
            </w:r>
          </w:p>
        </w:tc>
      </w:tr>
      <w:tr w:rsidR="0066509A" w:rsidRPr="002374A6" w14:paraId="1FB2EA1F" w14:textId="77777777" w:rsidTr="007B3445">
        <w:tc>
          <w:tcPr>
            <w:tcW w:w="913" w:type="dxa"/>
            <w:vMerge/>
          </w:tcPr>
          <w:p w14:paraId="69CF7659" w14:textId="77777777" w:rsidR="00FA7E56" w:rsidRPr="002374A6" w:rsidRDefault="00FA7E56" w:rsidP="007B3445">
            <w:pPr>
              <w:jc w:val="center"/>
              <w:rPr>
                <w:b/>
                <w:bCs/>
                <w:noProof/>
                <w:sz w:val="20"/>
                <w:szCs w:val="20"/>
              </w:rPr>
            </w:pPr>
          </w:p>
        </w:tc>
        <w:tc>
          <w:tcPr>
            <w:tcW w:w="2058" w:type="dxa"/>
          </w:tcPr>
          <w:p w14:paraId="56FC1151" w14:textId="77777777" w:rsidR="00FA7E56" w:rsidRPr="002374A6" w:rsidRDefault="00FA7E56" w:rsidP="007B3445">
            <w:pPr>
              <w:jc w:val="center"/>
              <w:rPr>
                <w:b/>
                <w:bCs/>
                <w:noProof/>
                <w:sz w:val="20"/>
                <w:szCs w:val="20"/>
              </w:rPr>
            </w:pPr>
            <w:r w:rsidRPr="002374A6">
              <w:rPr>
                <w:b/>
                <w:noProof/>
                <w:sz w:val="20"/>
              </w:rPr>
              <w:t>1</w:t>
            </w:r>
          </w:p>
        </w:tc>
        <w:tc>
          <w:tcPr>
            <w:tcW w:w="2058" w:type="dxa"/>
          </w:tcPr>
          <w:p w14:paraId="1F313A3A" w14:textId="77777777" w:rsidR="00FA7E56" w:rsidRPr="002374A6" w:rsidRDefault="00FA7E56" w:rsidP="007B3445">
            <w:pPr>
              <w:jc w:val="center"/>
              <w:rPr>
                <w:b/>
                <w:bCs/>
                <w:noProof/>
                <w:sz w:val="20"/>
                <w:szCs w:val="20"/>
              </w:rPr>
            </w:pPr>
            <w:r w:rsidRPr="002374A6">
              <w:rPr>
                <w:b/>
                <w:noProof/>
                <w:sz w:val="20"/>
              </w:rPr>
              <w:t>2</w:t>
            </w:r>
          </w:p>
        </w:tc>
        <w:tc>
          <w:tcPr>
            <w:tcW w:w="2522" w:type="dxa"/>
          </w:tcPr>
          <w:p w14:paraId="3E9388D4" w14:textId="77777777" w:rsidR="00FA7E56" w:rsidRPr="002374A6" w:rsidRDefault="00FA7E56" w:rsidP="007B3445">
            <w:pPr>
              <w:jc w:val="center"/>
              <w:rPr>
                <w:b/>
                <w:bCs/>
                <w:noProof/>
                <w:sz w:val="20"/>
                <w:szCs w:val="20"/>
              </w:rPr>
            </w:pPr>
            <w:r w:rsidRPr="002374A6">
              <w:rPr>
                <w:b/>
                <w:noProof/>
                <w:sz w:val="20"/>
              </w:rPr>
              <w:t>3</w:t>
            </w:r>
          </w:p>
        </w:tc>
        <w:tc>
          <w:tcPr>
            <w:tcW w:w="1465" w:type="dxa"/>
          </w:tcPr>
          <w:p w14:paraId="3CF50AFA" w14:textId="77777777" w:rsidR="00FA7E56" w:rsidRPr="002374A6" w:rsidRDefault="00FA7E56" w:rsidP="007B3445">
            <w:pPr>
              <w:jc w:val="center"/>
              <w:rPr>
                <w:b/>
                <w:bCs/>
                <w:noProof/>
                <w:sz w:val="20"/>
                <w:szCs w:val="20"/>
              </w:rPr>
            </w:pPr>
            <w:r w:rsidRPr="002374A6">
              <w:rPr>
                <w:b/>
                <w:noProof/>
                <w:sz w:val="20"/>
              </w:rPr>
              <w:t>4</w:t>
            </w:r>
          </w:p>
        </w:tc>
      </w:tr>
      <w:tr w:rsidR="0066509A" w:rsidRPr="002374A6" w14:paraId="18057925" w14:textId="77777777" w:rsidTr="007B3445">
        <w:tc>
          <w:tcPr>
            <w:tcW w:w="913" w:type="dxa"/>
          </w:tcPr>
          <w:p w14:paraId="2DCC5DD0" w14:textId="77777777" w:rsidR="00FA7E56" w:rsidRPr="002374A6" w:rsidRDefault="00FA7E56" w:rsidP="007B3445">
            <w:pPr>
              <w:jc w:val="center"/>
              <w:rPr>
                <w:b/>
                <w:bCs/>
                <w:noProof/>
                <w:sz w:val="20"/>
                <w:szCs w:val="20"/>
              </w:rPr>
            </w:pPr>
            <w:r w:rsidRPr="002374A6">
              <w:rPr>
                <w:b/>
                <w:noProof/>
                <w:sz w:val="20"/>
              </w:rPr>
              <w:t>i)</w:t>
            </w:r>
          </w:p>
        </w:tc>
        <w:tc>
          <w:tcPr>
            <w:tcW w:w="2058" w:type="dxa"/>
          </w:tcPr>
          <w:p w14:paraId="1437B108" w14:textId="60AA3E36" w:rsidR="00FA7E56" w:rsidRPr="002374A6" w:rsidRDefault="00FA7E56" w:rsidP="007B3445">
            <w:pPr>
              <w:jc w:val="center"/>
              <w:rPr>
                <w:b/>
                <w:bCs/>
                <w:noProof/>
                <w:sz w:val="20"/>
                <w:szCs w:val="20"/>
              </w:rPr>
            </w:pPr>
            <w:r w:rsidRPr="002374A6">
              <w:rPr>
                <w:noProof/>
                <w:sz w:val="20"/>
              </w:rPr>
              <w:t>Substâncias ativas de baixo risco aprovadas ou consideradas aprovadas nos termos do artigo 22</w:t>
            </w:r>
            <w:r w:rsidR="002374A6">
              <w:rPr>
                <w:noProof/>
                <w:sz w:val="20"/>
              </w:rPr>
              <w:t>.º </w:t>
            </w:r>
            <w:r w:rsidRPr="002374A6">
              <w:rPr>
                <w:noProof/>
                <w:sz w:val="20"/>
              </w:rPr>
              <w:t>do Regulamento (CE) n</w:t>
            </w:r>
            <w:r w:rsidR="002374A6">
              <w:rPr>
                <w:noProof/>
                <w:sz w:val="20"/>
              </w:rPr>
              <w:t>.º </w:t>
            </w:r>
            <w:r w:rsidRPr="002374A6">
              <w:rPr>
                <w:noProof/>
                <w:sz w:val="20"/>
              </w:rPr>
              <w:t>1107/2009 e que estão enumeradas na parte D do anexo do Regulamento de Execução (UE) n</w:t>
            </w:r>
            <w:r w:rsidR="002374A6">
              <w:rPr>
                <w:noProof/>
                <w:sz w:val="20"/>
              </w:rPr>
              <w:t>.º </w:t>
            </w:r>
            <w:r w:rsidRPr="002374A6">
              <w:rPr>
                <w:noProof/>
                <w:sz w:val="20"/>
              </w:rPr>
              <w:t>540/2011</w:t>
            </w:r>
          </w:p>
        </w:tc>
        <w:tc>
          <w:tcPr>
            <w:tcW w:w="2058" w:type="dxa"/>
          </w:tcPr>
          <w:p w14:paraId="378F49C9" w14:textId="438B9517" w:rsidR="00FA7E56" w:rsidRPr="002374A6" w:rsidRDefault="00FA7E56" w:rsidP="007B3445">
            <w:pPr>
              <w:jc w:val="center"/>
              <w:rPr>
                <w:b/>
                <w:bCs/>
                <w:noProof/>
                <w:sz w:val="20"/>
                <w:szCs w:val="20"/>
              </w:rPr>
            </w:pPr>
            <w:r w:rsidRPr="002374A6">
              <w:rPr>
                <w:noProof/>
                <w:sz w:val="20"/>
              </w:rPr>
              <w:t>Substâncias ativas aprovadas ou consideradas aprovadas nos termos do Regulamento (CE) n</w:t>
            </w:r>
            <w:r w:rsidR="002374A6">
              <w:rPr>
                <w:noProof/>
                <w:sz w:val="20"/>
              </w:rPr>
              <w:t>.º </w:t>
            </w:r>
            <w:r w:rsidRPr="002374A6">
              <w:rPr>
                <w:noProof/>
                <w:sz w:val="20"/>
              </w:rPr>
              <w:t>1107/2009 não incluídas noutras categorias e que estão enumeradas nas partes A e B do anexo do Regulamento de Execução (UE) n</w:t>
            </w:r>
            <w:r w:rsidR="002374A6">
              <w:rPr>
                <w:noProof/>
                <w:sz w:val="20"/>
              </w:rPr>
              <w:t>.º </w:t>
            </w:r>
            <w:r w:rsidRPr="002374A6">
              <w:rPr>
                <w:noProof/>
                <w:sz w:val="20"/>
              </w:rPr>
              <w:t>540/2011</w:t>
            </w:r>
          </w:p>
        </w:tc>
        <w:tc>
          <w:tcPr>
            <w:tcW w:w="2522" w:type="dxa"/>
          </w:tcPr>
          <w:p w14:paraId="0F0E819C" w14:textId="5FCDB370" w:rsidR="00FA7E56" w:rsidRPr="002374A6" w:rsidRDefault="00F46430" w:rsidP="007B3445">
            <w:pPr>
              <w:jc w:val="center"/>
              <w:rPr>
                <w:b/>
                <w:bCs/>
                <w:noProof/>
                <w:sz w:val="20"/>
                <w:szCs w:val="20"/>
              </w:rPr>
            </w:pPr>
            <w:r w:rsidRPr="002374A6">
              <w:rPr>
                <w:noProof/>
                <w:sz w:val="20"/>
              </w:rPr>
              <w:t xml:space="preserve"> Substâncias ativas aprovadas como candidatas a substituição em conformidade com o artigo 24</w:t>
            </w:r>
            <w:r w:rsidR="002374A6">
              <w:rPr>
                <w:noProof/>
                <w:sz w:val="20"/>
              </w:rPr>
              <w:t>.º </w:t>
            </w:r>
            <w:r w:rsidRPr="002374A6">
              <w:rPr>
                <w:noProof/>
                <w:sz w:val="20"/>
              </w:rPr>
              <w:t>do Regulamento (CE) n</w:t>
            </w:r>
            <w:r w:rsidR="002374A6">
              <w:rPr>
                <w:noProof/>
                <w:sz w:val="20"/>
              </w:rPr>
              <w:t>.º </w:t>
            </w:r>
            <w:r w:rsidRPr="002374A6">
              <w:rPr>
                <w:noProof/>
                <w:sz w:val="20"/>
              </w:rPr>
              <w:t>1107/2009 e enumeradas na parte E do anexo do Regulamento de Execução (UE) n</w:t>
            </w:r>
            <w:r w:rsidR="002374A6">
              <w:rPr>
                <w:noProof/>
                <w:sz w:val="20"/>
              </w:rPr>
              <w:t>.º </w:t>
            </w:r>
            <w:r w:rsidRPr="002374A6">
              <w:rPr>
                <w:noProof/>
                <w:sz w:val="20"/>
              </w:rPr>
              <w:t>540/2011 ou enumeradas no anexo do Regulamento de Execução (UE) 2015/408.</w:t>
            </w:r>
          </w:p>
        </w:tc>
        <w:tc>
          <w:tcPr>
            <w:tcW w:w="1465" w:type="dxa"/>
          </w:tcPr>
          <w:p w14:paraId="3A8EEC21" w14:textId="22A19277" w:rsidR="00FA7E56" w:rsidRPr="002374A6" w:rsidRDefault="00FA7E56" w:rsidP="007B3445">
            <w:pPr>
              <w:jc w:val="center"/>
              <w:rPr>
                <w:b/>
                <w:bCs/>
                <w:noProof/>
                <w:sz w:val="20"/>
                <w:szCs w:val="20"/>
              </w:rPr>
            </w:pPr>
            <w:r w:rsidRPr="002374A6">
              <w:rPr>
                <w:noProof/>
                <w:sz w:val="20"/>
              </w:rPr>
              <w:t>Substâncias ativas não aprovadas nos termos do Regulamento (CE) n</w:t>
            </w:r>
            <w:r w:rsidR="002374A6">
              <w:rPr>
                <w:noProof/>
                <w:sz w:val="20"/>
              </w:rPr>
              <w:t>.º </w:t>
            </w:r>
            <w:r w:rsidRPr="002374A6">
              <w:rPr>
                <w:noProof/>
                <w:sz w:val="20"/>
              </w:rPr>
              <w:t>1107/2009 e que, por conseguinte, não constam do anexo do Regulamento de Execução (UE) n</w:t>
            </w:r>
            <w:r w:rsidR="002374A6">
              <w:rPr>
                <w:noProof/>
                <w:sz w:val="20"/>
              </w:rPr>
              <w:t>.º </w:t>
            </w:r>
            <w:r w:rsidRPr="002374A6">
              <w:rPr>
                <w:noProof/>
                <w:sz w:val="20"/>
              </w:rPr>
              <w:t>540/2011</w:t>
            </w:r>
          </w:p>
        </w:tc>
      </w:tr>
      <w:tr w:rsidR="0066509A" w:rsidRPr="002374A6" w14:paraId="7DB51AFF" w14:textId="77777777" w:rsidTr="007B3445">
        <w:tc>
          <w:tcPr>
            <w:tcW w:w="913" w:type="dxa"/>
          </w:tcPr>
          <w:p w14:paraId="25053B0A" w14:textId="77777777" w:rsidR="00FA7E56" w:rsidRPr="002374A6" w:rsidRDefault="00FA7E56" w:rsidP="007B3445">
            <w:pPr>
              <w:jc w:val="center"/>
              <w:rPr>
                <w:b/>
                <w:bCs/>
                <w:noProof/>
                <w:sz w:val="20"/>
                <w:szCs w:val="20"/>
              </w:rPr>
            </w:pPr>
            <w:r w:rsidRPr="002374A6">
              <w:rPr>
                <w:b/>
                <w:noProof/>
                <w:sz w:val="20"/>
              </w:rPr>
              <w:t>ii)</w:t>
            </w:r>
          </w:p>
        </w:tc>
        <w:tc>
          <w:tcPr>
            <w:tcW w:w="8103" w:type="dxa"/>
            <w:gridSpan w:val="4"/>
          </w:tcPr>
          <w:p w14:paraId="54B6A3C2" w14:textId="68A9F22B" w:rsidR="00FA7E56" w:rsidRPr="002374A6" w:rsidRDefault="00FA7E56" w:rsidP="007B3445">
            <w:pPr>
              <w:jc w:val="center"/>
              <w:rPr>
                <w:b/>
                <w:bCs/>
                <w:noProof/>
                <w:sz w:val="20"/>
                <w:szCs w:val="20"/>
              </w:rPr>
            </w:pPr>
            <w:r w:rsidRPr="002374A6">
              <w:rPr>
                <w:noProof/>
                <w:sz w:val="20"/>
              </w:rPr>
              <w:t>Fatores de ponderação de perigo aplicáveis às quantidades de substâncias ativas colocadas no mercado em produtos autorizados nos termos do Regulamento (CE) n</w:t>
            </w:r>
            <w:r w:rsidR="002374A6">
              <w:rPr>
                <w:noProof/>
                <w:sz w:val="20"/>
              </w:rPr>
              <w:t>.º </w:t>
            </w:r>
            <w:r w:rsidRPr="002374A6">
              <w:rPr>
                <w:noProof/>
                <w:sz w:val="20"/>
              </w:rPr>
              <w:t>1107/2009</w:t>
            </w:r>
          </w:p>
        </w:tc>
      </w:tr>
      <w:tr w:rsidR="00FA7E56" w:rsidRPr="002374A6" w14:paraId="2CEBD162" w14:textId="77777777" w:rsidTr="007B3445">
        <w:tc>
          <w:tcPr>
            <w:tcW w:w="913" w:type="dxa"/>
          </w:tcPr>
          <w:p w14:paraId="27D99A74" w14:textId="77777777" w:rsidR="00FA7E56" w:rsidRPr="002374A6" w:rsidRDefault="00FA7E56" w:rsidP="007B3445">
            <w:pPr>
              <w:jc w:val="center"/>
              <w:rPr>
                <w:b/>
                <w:bCs/>
                <w:noProof/>
                <w:sz w:val="20"/>
                <w:szCs w:val="20"/>
              </w:rPr>
            </w:pPr>
            <w:r w:rsidRPr="002374A6">
              <w:rPr>
                <w:b/>
                <w:noProof/>
                <w:sz w:val="20"/>
              </w:rPr>
              <w:t>iii)</w:t>
            </w:r>
          </w:p>
        </w:tc>
        <w:tc>
          <w:tcPr>
            <w:tcW w:w="2058" w:type="dxa"/>
          </w:tcPr>
          <w:p w14:paraId="62072AAE" w14:textId="77777777" w:rsidR="00FA7E56" w:rsidRPr="002374A6" w:rsidRDefault="00FA7E56" w:rsidP="007B3445">
            <w:pPr>
              <w:jc w:val="center"/>
              <w:rPr>
                <w:b/>
                <w:bCs/>
                <w:noProof/>
                <w:sz w:val="20"/>
                <w:szCs w:val="20"/>
              </w:rPr>
            </w:pPr>
            <w:r w:rsidRPr="002374A6">
              <w:rPr>
                <w:b/>
                <w:noProof/>
                <w:sz w:val="20"/>
              </w:rPr>
              <w:t>1</w:t>
            </w:r>
          </w:p>
        </w:tc>
        <w:tc>
          <w:tcPr>
            <w:tcW w:w="2058" w:type="dxa"/>
          </w:tcPr>
          <w:p w14:paraId="47FD4D8C" w14:textId="77777777" w:rsidR="00FA7E56" w:rsidRPr="002374A6" w:rsidRDefault="00FA7E56" w:rsidP="007B3445">
            <w:pPr>
              <w:jc w:val="center"/>
              <w:rPr>
                <w:b/>
                <w:bCs/>
                <w:noProof/>
                <w:sz w:val="20"/>
                <w:szCs w:val="20"/>
              </w:rPr>
            </w:pPr>
            <w:r w:rsidRPr="002374A6">
              <w:rPr>
                <w:b/>
                <w:noProof/>
                <w:sz w:val="20"/>
              </w:rPr>
              <w:t>8</w:t>
            </w:r>
          </w:p>
        </w:tc>
        <w:tc>
          <w:tcPr>
            <w:tcW w:w="2522" w:type="dxa"/>
          </w:tcPr>
          <w:p w14:paraId="5B94C2C2" w14:textId="77777777" w:rsidR="00FA7E56" w:rsidRPr="002374A6" w:rsidRDefault="00FA7E56" w:rsidP="007B3445">
            <w:pPr>
              <w:jc w:val="center"/>
              <w:rPr>
                <w:b/>
                <w:bCs/>
                <w:noProof/>
                <w:sz w:val="20"/>
                <w:szCs w:val="20"/>
              </w:rPr>
            </w:pPr>
            <w:r w:rsidRPr="002374A6">
              <w:rPr>
                <w:b/>
                <w:noProof/>
                <w:sz w:val="20"/>
              </w:rPr>
              <w:t>16</w:t>
            </w:r>
          </w:p>
        </w:tc>
        <w:tc>
          <w:tcPr>
            <w:tcW w:w="1465" w:type="dxa"/>
          </w:tcPr>
          <w:p w14:paraId="75007094" w14:textId="77777777" w:rsidR="00FA7E56" w:rsidRPr="002374A6" w:rsidRDefault="00FA7E56" w:rsidP="007B3445">
            <w:pPr>
              <w:jc w:val="center"/>
              <w:rPr>
                <w:b/>
                <w:bCs/>
                <w:noProof/>
                <w:sz w:val="20"/>
                <w:szCs w:val="20"/>
              </w:rPr>
            </w:pPr>
            <w:r w:rsidRPr="002374A6">
              <w:rPr>
                <w:b/>
                <w:noProof/>
                <w:sz w:val="20"/>
              </w:rPr>
              <w:t>64</w:t>
            </w:r>
          </w:p>
        </w:tc>
      </w:tr>
    </w:tbl>
    <w:p w14:paraId="6DCC5A91" w14:textId="77777777" w:rsidR="00FA7E56" w:rsidRPr="002374A6" w:rsidRDefault="00FA7E56" w:rsidP="00FA7E56">
      <w:pPr>
        <w:rPr>
          <w:b/>
          <w:bCs/>
          <w:noProof/>
          <w:szCs w:val="24"/>
        </w:rPr>
      </w:pPr>
    </w:p>
    <w:p w14:paraId="53BB4ED5" w14:textId="6A3B3E6A" w:rsidR="00FA7E56" w:rsidRPr="002374A6" w:rsidRDefault="00A94DEB" w:rsidP="00A94DEB">
      <w:pPr>
        <w:pStyle w:val="Point0"/>
        <w:rPr>
          <w:noProof/>
          <w:szCs w:val="24"/>
        </w:rPr>
      </w:pPr>
      <w:r w:rsidRPr="002374A6">
        <w:rPr>
          <w:noProof/>
        </w:rPr>
        <w:t>4.</w:t>
      </w:r>
      <w:r w:rsidRPr="002374A6">
        <w:rPr>
          <w:noProof/>
        </w:rPr>
        <w:tab/>
        <w:t>A base de referência do indicador de risco harmonizado 2 é fixada em 100 e é igual ao resultado médio do cálculo anterior para o período 2011</w:t>
      </w:r>
      <w:r w:rsidR="002374A6">
        <w:rPr>
          <w:noProof/>
        </w:rPr>
        <w:noBreakHyphen/>
      </w:r>
      <w:r w:rsidRPr="002374A6">
        <w:rPr>
          <w:noProof/>
        </w:rPr>
        <w:t xml:space="preserve">2013. </w:t>
      </w:r>
    </w:p>
    <w:p w14:paraId="53CC196B" w14:textId="4F3A851F" w:rsidR="00FA7E56" w:rsidRPr="002374A6" w:rsidRDefault="00A94DEB" w:rsidP="00A94DEB">
      <w:pPr>
        <w:pStyle w:val="Point0"/>
        <w:rPr>
          <w:noProof/>
          <w:szCs w:val="24"/>
        </w:rPr>
      </w:pPr>
      <w:r w:rsidRPr="002374A6">
        <w:rPr>
          <w:noProof/>
        </w:rPr>
        <w:t>5.</w:t>
      </w:r>
      <w:r w:rsidRPr="002374A6">
        <w:rPr>
          <w:noProof/>
        </w:rPr>
        <w:tab/>
        <w:t xml:space="preserve">O resultado do indicador de risco harmonizado 2 é expresso em relação à base de referência. </w:t>
      </w:r>
    </w:p>
    <w:p w14:paraId="69419037" w14:textId="058071D2" w:rsidR="003269D5" w:rsidRPr="002374A6" w:rsidRDefault="003269D5" w:rsidP="003269D5">
      <w:pPr>
        <w:pStyle w:val="Point0"/>
        <w:rPr>
          <w:noProof/>
          <w:szCs w:val="24"/>
        </w:rPr>
      </w:pPr>
      <w:r w:rsidRPr="002374A6">
        <w:rPr>
          <w:noProof/>
        </w:rPr>
        <w:t>6.</w:t>
      </w:r>
      <w:r w:rsidRPr="002374A6">
        <w:rPr>
          <w:noProof/>
        </w:rPr>
        <w:tab/>
        <w:t>A Comissão calcula e publica os resultados do indicador de risco harmonizado 2 a nível da União em conformidade com o artigo 35.º, n</w:t>
      </w:r>
      <w:r w:rsidR="002374A6">
        <w:rPr>
          <w:noProof/>
        </w:rPr>
        <w:t>.º </w:t>
      </w:r>
      <w:r w:rsidRPr="002374A6">
        <w:rPr>
          <w:noProof/>
        </w:rPr>
        <w:t>2, do presente regulamento para cada ano civil, o mais tardar 20 meses após o final do ano para o qual o indicador de risco harmonizado 2 está a ser calculado.</w:t>
      </w:r>
    </w:p>
    <w:p w14:paraId="134670D0" w14:textId="7EE011B9" w:rsidR="003269D5" w:rsidRPr="002374A6" w:rsidRDefault="003269D5" w:rsidP="003269D5">
      <w:pPr>
        <w:pStyle w:val="Point0"/>
        <w:rPr>
          <w:noProof/>
          <w:szCs w:val="24"/>
        </w:rPr>
      </w:pPr>
      <w:r w:rsidRPr="002374A6">
        <w:rPr>
          <w:noProof/>
        </w:rPr>
        <w:t>7.</w:t>
      </w:r>
      <w:r w:rsidRPr="002374A6">
        <w:rPr>
          <w:noProof/>
        </w:rPr>
        <w:tab/>
        <w:t>Os Estados</w:t>
      </w:r>
      <w:r w:rsidR="002374A6">
        <w:rPr>
          <w:noProof/>
        </w:rPr>
        <w:noBreakHyphen/>
      </w:r>
      <w:r w:rsidRPr="002374A6">
        <w:rPr>
          <w:noProof/>
        </w:rPr>
        <w:t>Membros calculam e publicam os resultados do indicador de risco harmonizado 2 a nível nacional em conformidade com o artigo 35.º, n</w:t>
      </w:r>
      <w:r w:rsidR="002374A6">
        <w:rPr>
          <w:noProof/>
        </w:rPr>
        <w:t>.º </w:t>
      </w:r>
      <w:r w:rsidRPr="002374A6">
        <w:rPr>
          <w:noProof/>
        </w:rPr>
        <w:t>3, do presente regulamento para cada ano civil, o mais tardar 20 meses após o final do ano para o qual o indicador de risco harmonizado 2 está a ser calculado.</w:t>
      </w:r>
    </w:p>
    <w:p w14:paraId="615C5677" w14:textId="50BC81F5" w:rsidR="00A94DEB" w:rsidRPr="002374A6" w:rsidRDefault="003269D5" w:rsidP="00A94DEB">
      <w:pPr>
        <w:pStyle w:val="Point0"/>
        <w:rPr>
          <w:noProof/>
          <w:szCs w:val="24"/>
        </w:rPr>
      </w:pPr>
      <w:r w:rsidRPr="002374A6">
        <w:rPr>
          <w:noProof/>
        </w:rPr>
        <w:t>8.</w:t>
      </w:r>
      <w:r w:rsidRPr="002374A6">
        <w:rPr>
          <w:noProof/>
        </w:rPr>
        <w:tab/>
        <w:t>Com efeitos a partir de 1 de janeiro de 2027, a metodologia do indicador de risco harmonizado 2 é substituída pela metodologia do indicador de risco harmonizado 2</w:t>
      </w:r>
      <w:r w:rsidR="002374A6">
        <w:rPr>
          <w:noProof/>
        </w:rPr>
        <w:noBreakHyphen/>
      </w:r>
      <w:r w:rsidRPr="002374A6">
        <w:rPr>
          <w:noProof/>
        </w:rPr>
        <w:t xml:space="preserve">A referida na secção 4 do presente anexo. </w:t>
      </w:r>
    </w:p>
    <w:p w14:paraId="18BABD0F" w14:textId="77777777" w:rsidR="00E65BCC" w:rsidRPr="002374A6" w:rsidRDefault="00E65BCC" w:rsidP="00FA7E56">
      <w:pPr>
        <w:jc w:val="center"/>
        <w:rPr>
          <w:noProof/>
          <w:szCs w:val="24"/>
        </w:rPr>
      </w:pPr>
    </w:p>
    <w:p w14:paraId="2E6DFED4" w14:textId="4C4546D2" w:rsidR="00FA7E56" w:rsidRPr="002374A6" w:rsidRDefault="00FA7E56" w:rsidP="00FA7E56">
      <w:pPr>
        <w:jc w:val="center"/>
        <w:rPr>
          <w:noProof/>
          <w:szCs w:val="24"/>
        </w:rPr>
      </w:pPr>
      <w:r w:rsidRPr="002374A6">
        <w:rPr>
          <w:noProof/>
        </w:rPr>
        <w:t>SECÇÃO 4</w:t>
      </w:r>
    </w:p>
    <w:p w14:paraId="4CD5DE8F" w14:textId="327B1A95" w:rsidR="00FA7E56" w:rsidRPr="002374A6" w:rsidRDefault="00FA7E56" w:rsidP="00FA7E56">
      <w:pPr>
        <w:jc w:val="center"/>
        <w:rPr>
          <w:b/>
          <w:bCs/>
          <w:noProof/>
          <w:szCs w:val="24"/>
        </w:rPr>
      </w:pPr>
      <w:r w:rsidRPr="002374A6">
        <w:rPr>
          <w:b/>
          <w:noProof/>
        </w:rPr>
        <w:t>Indicador de risco harmonizado 2</w:t>
      </w:r>
      <w:r w:rsidR="002374A6">
        <w:rPr>
          <w:b/>
          <w:noProof/>
        </w:rPr>
        <w:noBreakHyphen/>
      </w:r>
      <w:r w:rsidRPr="002374A6">
        <w:rPr>
          <w:b/>
          <w:noProof/>
        </w:rPr>
        <w:t>A: indicador de risco harmonizado baseado no número de zonas tratadas no âmbito das autorizações concedidas nos termos do artigo 53</w:t>
      </w:r>
      <w:r w:rsidR="002374A6">
        <w:rPr>
          <w:b/>
          <w:noProof/>
        </w:rPr>
        <w:t>.º </w:t>
      </w:r>
      <w:r w:rsidRPr="002374A6">
        <w:rPr>
          <w:b/>
          <w:noProof/>
        </w:rPr>
        <w:t>do Regulamento (CE) n</w:t>
      </w:r>
      <w:r w:rsidR="002374A6">
        <w:rPr>
          <w:b/>
          <w:noProof/>
        </w:rPr>
        <w:t>.º </w:t>
      </w:r>
      <w:r w:rsidRPr="002374A6">
        <w:rPr>
          <w:b/>
          <w:noProof/>
        </w:rPr>
        <w:t>1107/2009</w:t>
      </w:r>
    </w:p>
    <w:p w14:paraId="43C80218" w14:textId="68D89C64" w:rsidR="00FA7E56" w:rsidRPr="002374A6" w:rsidRDefault="00A94DEB" w:rsidP="00A94DEB">
      <w:pPr>
        <w:pStyle w:val="Point0"/>
        <w:rPr>
          <w:noProof/>
          <w:szCs w:val="24"/>
        </w:rPr>
      </w:pPr>
      <w:r w:rsidRPr="002374A6">
        <w:rPr>
          <w:noProof/>
        </w:rPr>
        <w:t>1.</w:t>
      </w:r>
      <w:r w:rsidRPr="002374A6">
        <w:rPr>
          <w:noProof/>
        </w:rPr>
        <w:tab/>
        <w:t>Este indicador baseia</w:t>
      </w:r>
      <w:r w:rsidR="002374A6">
        <w:rPr>
          <w:noProof/>
        </w:rPr>
        <w:noBreakHyphen/>
      </w:r>
      <w:r w:rsidRPr="002374A6">
        <w:rPr>
          <w:noProof/>
        </w:rPr>
        <w:t>se no número de autorizações concedidas a produtos fitofarmacêuticos nos termos do artigo 53</w:t>
      </w:r>
      <w:r w:rsidR="002374A6">
        <w:rPr>
          <w:noProof/>
        </w:rPr>
        <w:t>.º </w:t>
      </w:r>
      <w:r w:rsidRPr="002374A6">
        <w:rPr>
          <w:noProof/>
        </w:rPr>
        <w:t>do Regulamento (CE) n</w:t>
      </w:r>
      <w:r w:rsidR="002374A6">
        <w:rPr>
          <w:noProof/>
        </w:rPr>
        <w:t>.º </w:t>
      </w:r>
      <w:r w:rsidRPr="002374A6">
        <w:rPr>
          <w:noProof/>
        </w:rPr>
        <w:t>1107/2009 e na extensão das zonas tratadas no âmbito destas autorizações, conforme comunicados à Comissão em conformidade com o artigo 53.º, n</w:t>
      </w:r>
      <w:r w:rsidR="002374A6">
        <w:rPr>
          <w:noProof/>
        </w:rPr>
        <w:t>.º </w:t>
      </w:r>
      <w:r w:rsidRPr="002374A6">
        <w:rPr>
          <w:noProof/>
        </w:rPr>
        <w:t xml:space="preserve">1, do referido regulamento. </w:t>
      </w:r>
    </w:p>
    <w:p w14:paraId="6B052D01" w14:textId="4D7EDAFC" w:rsidR="00FA7E56" w:rsidRPr="002374A6" w:rsidRDefault="00A94DEB" w:rsidP="00A94DEB">
      <w:pPr>
        <w:pStyle w:val="Point0"/>
        <w:rPr>
          <w:noProof/>
          <w:szCs w:val="24"/>
        </w:rPr>
      </w:pPr>
      <w:r w:rsidRPr="002374A6">
        <w:rPr>
          <w:noProof/>
        </w:rPr>
        <w:t>2.</w:t>
      </w:r>
      <w:r w:rsidRPr="002374A6">
        <w:rPr>
          <w:noProof/>
        </w:rPr>
        <w:tab/>
        <w:t>Para o cálculo do indicador de risco harmonizado 2</w:t>
      </w:r>
      <w:r w:rsidR="002374A6">
        <w:rPr>
          <w:noProof/>
        </w:rPr>
        <w:noBreakHyphen/>
      </w:r>
      <w:r w:rsidRPr="002374A6">
        <w:rPr>
          <w:noProof/>
        </w:rPr>
        <w:t xml:space="preserve">A são aplicáveis as seguintes regras gerais: </w:t>
      </w:r>
    </w:p>
    <w:p w14:paraId="409C7AD8" w14:textId="50B59C15" w:rsidR="00FA7E56" w:rsidRPr="002374A6" w:rsidRDefault="00FA7E56" w:rsidP="00A94DEB">
      <w:pPr>
        <w:pStyle w:val="Point1"/>
        <w:rPr>
          <w:noProof/>
        </w:rPr>
      </w:pPr>
      <w:r w:rsidRPr="002374A6">
        <w:rPr>
          <w:noProof/>
        </w:rPr>
        <w:t>a)</w:t>
      </w:r>
      <w:r w:rsidRPr="002374A6">
        <w:rPr>
          <w:noProof/>
        </w:rPr>
        <w:tab/>
        <w:t>O indicador de risco harmonizado 2</w:t>
      </w:r>
      <w:r w:rsidR="002374A6">
        <w:rPr>
          <w:noProof/>
        </w:rPr>
        <w:noBreakHyphen/>
      </w:r>
      <w:r w:rsidRPr="002374A6">
        <w:rPr>
          <w:noProof/>
        </w:rPr>
        <w:t>A baseia</w:t>
      </w:r>
      <w:r w:rsidR="002374A6">
        <w:rPr>
          <w:noProof/>
        </w:rPr>
        <w:noBreakHyphen/>
      </w:r>
      <w:r w:rsidRPr="002374A6">
        <w:rPr>
          <w:noProof/>
        </w:rPr>
        <w:t>se no número de autorizações concedidas nos termos do artigo 53</w:t>
      </w:r>
      <w:r w:rsidR="002374A6">
        <w:rPr>
          <w:noProof/>
        </w:rPr>
        <w:t>.º </w:t>
      </w:r>
      <w:r w:rsidRPr="002374A6">
        <w:rPr>
          <w:noProof/>
        </w:rPr>
        <w:t>do Regulamento (CE) n</w:t>
      </w:r>
      <w:r w:rsidR="002374A6">
        <w:rPr>
          <w:noProof/>
        </w:rPr>
        <w:t>.º </w:t>
      </w:r>
      <w:r w:rsidRPr="002374A6">
        <w:rPr>
          <w:noProof/>
        </w:rPr>
        <w:t xml:space="preserve">1107/2009 e na extensão das zonas tratadas no âmbito destas autorizações. É calculado com base na categorização das substâncias ativas nos quatro grupos constantes do quadro 3 da presente secção; </w:t>
      </w:r>
    </w:p>
    <w:p w14:paraId="4E21977F" w14:textId="77777777" w:rsidR="00FA7E56" w:rsidRPr="002374A6" w:rsidRDefault="00FA7E56" w:rsidP="00A94DEB">
      <w:pPr>
        <w:pStyle w:val="Point1"/>
        <w:rPr>
          <w:noProof/>
          <w:szCs w:val="24"/>
        </w:rPr>
      </w:pPr>
      <w:r w:rsidRPr="002374A6">
        <w:rPr>
          <w:noProof/>
        </w:rPr>
        <w:t>b)</w:t>
      </w:r>
      <w:r w:rsidRPr="002374A6">
        <w:rPr>
          <w:noProof/>
        </w:rPr>
        <w:tab/>
        <w:t>As zonas tratadas são expressas em hectares;</w:t>
      </w:r>
    </w:p>
    <w:p w14:paraId="79BDB39B" w14:textId="24F97E60" w:rsidR="00FA7E56" w:rsidRPr="002374A6" w:rsidRDefault="00FA7E56" w:rsidP="00A94DEB">
      <w:pPr>
        <w:pStyle w:val="Point1"/>
        <w:rPr>
          <w:noProof/>
          <w:szCs w:val="24"/>
        </w:rPr>
      </w:pPr>
      <w:r w:rsidRPr="002374A6">
        <w:rPr>
          <w:noProof/>
        </w:rPr>
        <w:t>c)</w:t>
      </w:r>
      <w:r w:rsidRPr="002374A6">
        <w:rPr>
          <w:noProof/>
        </w:rPr>
        <w:tab/>
        <w:t>As substâncias ativas do grupo 1 são as enumeradas na parte D do anexo do Regulamento de Execução (UE) n</w:t>
      </w:r>
      <w:r w:rsidR="002374A6">
        <w:rPr>
          <w:noProof/>
        </w:rPr>
        <w:t>.º </w:t>
      </w:r>
      <w:r w:rsidRPr="002374A6">
        <w:rPr>
          <w:noProof/>
        </w:rPr>
        <w:t xml:space="preserve">540/2011 da Comissão; </w:t>
      </w:r>
    </w:p>
    <w:p w14:paraId="7DA044A8" w14:textId="3547788F" w:rsidR="00FA7E56" w:rsidRPr="002374A6" w:rsidRDefault="00FA7E56" w:rsidP="00A94DEB">
      <w:pPr>
        <w:pStyle w:val="Point1"/>
        <w:rPr>
          <w:noProof/>
          <w:szCs w:val="24"/>
        </w:rPr>
      </w:pPr>
      <w:r w:rsidRPr="002374A6">
        <w:rPr>
          <w:noProof/>
        </w:rPr>
        <w:t>d)</w:t>
      </w:r>
      <w:r w:rsidRPr="002374A6">
        <w:rPr>
          <w:noProof/>
        </w:rPr>
        <w:tab/>
        <w:t>As substâncias ativas do grupo 2 são as enumeradas nas partes A e B do anexo do Regulamento de Execução (UE) n</w:t>
      </w:r>
      <w:r w:rsidR="002374A6">
        <w:rPr>
          <w:noProof/>
        </w:rPr>
        <w:t>.º </w:t>
      </w:r>
      <w:r w:rsidRPr="002374A6">
        <w:rPr>
          <w:noProof/>
        </w:rPr>
        <w:t xml:space="preserve">540/2011; </w:t>
      </w:r>
    </w:p>
    <w:p w14:paraId="0876CAE9" w14:textId="32227BB7" w:rsidR="00FA7E56" w:rsidRPr="002374A6" w:rsidRDefault="00FA7E56" w:rsidP="00A94DEB">
      <w:pPr>
        <w:pStyle w:val="Point1"/>
        <w:rPr>
          <w:noProof/>
          <w:szCs w:val="24"/>
        </w:rPr>
      </w:pPr>
      <w:r w:rsidRPr="002374A6">
        <w:rPr>
          <w:noProof/>
        </w:rPr>
        <w:t>e)</w:t>
      </w:r>
      <w:r w:rsidRPr="002374A6">
        <w:rPr>
          <w:noProof/>
        </w:rPr>
        <w:tab/>
        <w:t>As substâncias ativas do grupo 3 são as substâncias ativas químicas aprovadas como candidatas a substituição em conformidade com o artigo 24</w:t>
      </w:r>
      <w:r w:rsidR="002374A6">
        <w:rPr>
          <w:noProof/>
        </w:rPr>
        <w:t>.º </w:t>
      </w:r>
      <w:r w:rsidRPr="002374A6">
        <w:rPr>
          <w:noProof/>
        </w:rPr>
        <w:t>do Regulamento (CE) n</w:t>
      </w:r>
      <w:r w:rsidR="002374A6">
        <w:rPr>
          <w:noProof/>
        </w:rPr>
        <w:t>.º </w:t>
      </w:r>
      <w:r w:rsidRPr="002374A6">
        <w:rPr>
          <w:noProof/>
        </w:rPr>
        <w:t>1107/2009 e enumeradas na parte E do anexo do Regulamento de Execução (UE) n</w:t>
      </w:r>
      <w:r w:rsidR="002374A6">
        <w:rPr>
          <w:noProof/>
        </w:rPr>
        <w:t>.º </w:t>
      </w:r>
      <w:r w:rsidRPr="002374A6">
        <w:rPr>
          <w:noProof/>
        </w:rPr>
        <w:t xml:space="preserve">540/2011 ou enumeradas no anexo do Regulamento de Execução (UE) 2015/408; </w:t>
      </w:r>
    </w:p>
    <w:p w14:paraId="5052F315" w14:textId="2636ACCD" w:rsidR="00FA7E56" w:rsidRPr="002374A6" w:rsidRDefault="00A94DEB" w:rsidP="00A94DEB">
      <w:pPr>
        <w:pStyle w:val="Point1"/>
        <w:rPr>
          <w:noProof/>
          <w:szCs w:val="24"/>
        </w:rPr>
      </w:pPr>
      <w:r w:rsidRPr="002374A6">
        <w:rPr>
          <w:noProof/>
        </w:rPr>
        <w:t>f)</w:t>
      </w:r>
      <w:r w:rsidRPr="002374A6">
        <w:rPr>
          <w:noProof/>
        </w:rPr>
        <w:tab/>
        <w:t>As substâncias ativas do grupo 4 são as que não foram aprovadas nos termos do Regulamento (CE) n</w:t>
      </w:r>
      <w:r w:rsidR="002374A6">
        <w:rPr>
          <w:noProof/>
        </w:rPr>
        <w:t>.º </w:t>
      </w:r>
      <w:r w:rsidRPr="002374A6">
        <w:rPr>
          <w:noProof/>
        </w:rPr>
        <w:t>1107/2009 e, por conseguinte, não constam do anexo do Regulamento de Execução (UE) n</w:t>
      </w:r>
      <w:r w:rsidR="002374A6">
        <w:rPr>
          <w:noProof/>
        </w:rPr>
        <w:t>.º </w:t>
      </w:r>
      <w:r w:rsidRPr="002374A6">
        <w:rPr>
          <w:noProof/>
        </w:rPr>
        <w:t xml:space="preserve">540/2011; </w:t>
      </w:r>
    </w:p>
    <w:p w14:paraId="19444D70" w14:textId="3F759B55" w:rsidR="00FA7E56" w:rsidRPr="002374A6" w:rsidRDefault="00A94DEB" w:rsidP="00A94DEB">
      <w:pPr>
        <w:pStyle w:val="Point1"/>
        <w:rPr>
          <w:noProof/>
          <w:szCs w:val="24"/>
        </w:rPr>
      </w:pPr>
      <w:r w:rsidRPr="002374A6">
        <w:rPr>
          <w:noProof/>
        </w:rPr>
        <w:t>g)</w:t>
      </w:r>
      <w:r w:rsidRPr="002374A6">
        <w:rPr>
          <w:noProof/>
        </w:rPr>
        <w:tab/>
        <w:t>Aplicam</w:t>
      </w:r>
      <w:r w:rsidR="002374A6">
        <w:rPr>
          <w:noProof/>
        </w:rPr>
        <w:noBreakHyphen/>
      </w:r>
      <w:r w:rsidRPr="002374A6">
        <w:rPr>
          <w:noProof/>
        </w:rPr>
        <w:t xml:space="preserve">se os fatores de ponderação da linha iii) do quadro 3 da presente secção. </w:t>
      </w:r>
    </w:p>
    <w:p w14:paraId="6C5B8F3C" w14:textId="0B3E14F9" w:rsidR="00FA7E56" w:rsidRPr="002374A6" w:rsidRDefault="00A94DEB" w:rsidP="00A94DEB">
      <w:pPr>
        <w:pStyle w:val="Point0"/>
        <w:rPr>
          <w:noProof/>
          <w:szCs w:val="24"/>
        </w:rPr>
      </w:pPr>
      <w:r w:rsidRPr="002374A6">
        <w:rPr>
          <w:noProof/>
        </w:rPr>
        <w:t>3.</w:t>
      </w:r>
      <w:r w:rsidRPr="002374A6">
        <w:rPr>
          <w:noProof/>
        </w:rPr>
        <w:tab/>
        <w:t>O indicador de risco harmonizado 2</w:t>
      </w:r>
      <w:r w:rsidR="002374A6">
        <w:rPr>
          <w:noProof/>
        </w:rPr>
        <w:noBreakHyphen/>
      </w:r>
      <w:r w:rsidRPr="002374A6">
        <w:rPr>
          <w:noProof/>
        </w:rPr>
        <w:t>A é calculado multiplicando o número de autorizações concedidas a produtos fitofarmacêuticos nos termos do artigo 53</w:t>
      </w:r>
      <w:r w:rsidR="002374A6">
        <w:rPr>
          <w:noProof/>
        </w:rPr>
        <w:t>.º </w:t>
      </w:r>
      <w:r w:rsidRPr="002374A6">
        <w:rPr>
          <w:noProof/>
        </w:rPr>
        <w:t>do Regulamento (CE) n</w:t>
      </w:r>
      <w:r w:rsidR="002374A6">
        <w:rPr>
          <w:noProof/>
        </w:rPr>
        <w:t>.º </w:t>
      </w:r>
      <w:r w:rsidRPr="002374A6">
        <w:rPr>
          <w:noProof/>
        </w:rPr>
        <w:t>1107/2009 para cada grupo constante do quadro 3 pelo fator de ponderação de perigo correspondente indicado na linha iii), e pelas zonas tratadas no âmbito destas autorizações, agregando em seguida os resultados desses cálculos.</w:t>
      </w:r>
    </w:p>
    <w:p w14:paraId="03271849" w14:textId="77777777" w:rsidR="00E65BCC" w:rsidRPr="002374A6" w:rsidRDefault="00E65BCC" w:rsidP="00FA7E56">
      <w:pPr>
        <w:jc w:val="center"/>
        <w:rPr>
          <w:i/>
          <w:iCs/>
          <w:noProof/>
          <w:szCs w:val="24"/>
        </w:rPr>
      </w:pPr>
    </w:p>
    <w:p w14:paraId="0F92F0ED" w14:textId="71F29ABC" w:rsidR="00FA7E56" w:rsidRPr="002374A6" w:rsidRDefault="00FA7E56" w:rsidP="00FA7E56">
      <w:pPr>
        <w:jc w:val="center"/>
        <w:rPr>
          <w:i/>
          <w:iCs/>
          <w:noProof/>
          <w:szCs w:val="24"/>
        </w:rPr>
      </w:pPr>
      <w:r w:rsidRPr="002374A6">
        <w:rPr>
          <w:i/>
          <w:noProof/>
        </w:rPr>
        <w:t>Quadro 3</w:t>
      </w:r>
    </w:p>
    <w:p w14:paraId="13317EF4" w14:textId="68FA0B9F" w:rsidR="00FA7E56" w:rsidRPr="002374A6" w:rsidRDefault="00FA7E56" w:rsidP="00FA7E56">
      <w:pPr>
        <w:jc w:val="center"/>
        <w:rPr>
          <w:b/>
          <w:bCs/>
          <w:noProof/>
          <w:szCs w:val="24"/>
        </w:rPr>
      </w:pPr>
      <w:r w:rsidRPr="002374A6">
        <w:rPr>
          <w:b/>
          <w:noProof/>
        </w:rPr>
        <w:t>Categorização das substâncias ativas e fatores de ponderação de perigo para o cálculo do indicador de risco harmonizado 2</w:t>
      </w:r>
      <w:r w:rsidR="002374A6">
        <w:rPr>
          <w:b/>
          <w:noProof/>
        </w:rPr>
        <w:noBreakHyphen/>
      </w:r>
      <w:r w:rsidRPr="002374A6">
        <w:rPr>
          <w:b/>
          <w:noProof/>
        </w:rPr>
        <w:t>A</w:t>
      </w:r>
    </w:p>
    <w:p w14:paraId="6CE01BB9" w14:textId="77777777" w:rsidR="00FA7E56" w:rsidRPr="002374A6" w:rsidRDefault="00FA7E56" w:rsidP="00FA7E56">
      <w:pPr>
        <w:jc w:val="center"/>
        <w:rPr>
          <w:b/>
          <w:bCs/>
          <w:noProof/>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66509A" w:rsidRPr="002374A6" w14:paraId="443F5DC8" w14:textId="77777777" w:rsidTr="007B3445">
        <w:tc>
          <w:tcPr>
            <w:tcW w:w="1848" w:type="dxa"/>
            <w:vMerge w:val="restart"/>
          </w:tcPr>
          <w:p w14:paraId="6C94742D" w14:textId="77777777" w:rsidR="00FA7E56" w:rsidRPr="002374A6" w:rsidRDefault="00FA7E56" w:rsidP="007B3445">
            <w:pPr>
              <w:jc w:val="center"/>
              <w:rPr>
                <w:b/>
                <w:bCs/>
                <w:noProof/>
                <w:sz w:val="20"/>
                <w:szCs w:val="20"/>
              </w:rPr>
            </w:pPr>
            <w:r w:rsidRPr="002374A6">
              <w:rPr>
                <w:b/>
                <w:noProof/>
                <w:sz w:val="20"/>
              </w:rPr>
              <w:t>Linha</w:t>
            </w:r>
          </w:p>
        </w:tc>
        <w:tc>
          <w:tcPr>
            <w:tcW w:w="7394" w:type="dxa"/>
            <w:gridSpan w:val="4"/>
          </w:tcPr>
          <w:p w14:paraId="1639D8D0" w14:textId="77777777" w:rsidR="00FA7E56" w:rsidRPr="002374A6" w:rsidRDefault="00FA7E56" w:rsidP="007B3445">
            <w:pPr>
              <w:jc w:val="center"/>
              <w:rPr>
                <w:b/>
                <w:bCs/>
                <w:noProof/>
                <w:sz w:val="20"/>
                <w:szCs w:val="20"/>
              </w:rPr>
            </w:pPr>
            <w:r w:rsidRPr="002374A6">
              <w:rPr>
                <w:b/>
                <w:noProof/>
                <w:sz w:val="20"/>
              </w:rPr>
              <w:t>Grupos</w:t>
            </w:r>
          </w:p>
        </w:tc>
      </w:tr>
      <w:tr w:rsidR="0066509A" w:rsidRPr="002374A6" w14:paraId="42383620" w14:textId="77777777" w:rsidTr="007B3445">
        <w:tc>
          <w:tcPr>
            <w:tcW w:w="1848" w:type="dxa"/>
            <w:vMerge/>
          </w:tcPr>
          <w:p w14:paraId="4DFDA0AA" w14:textId="77777777" w:rsidR="00FA7E56" w:rsidRPr="002374A6" w:rsidRDefault="00FA7E56" w:rsidP="007B3445">
            <w:pPr>
              <w:jc w:val="center"/>
              <w:rPr>
                <w:b/>
                <w:bCs/>
                <w:noProof/>
                <w:sz w:val="20"/>
                <w:szCs w:val="20"/>
              </w:rPr>
            </w:pPr>
          </w:p>
        </w:tc>
        <w:tc>
          <w:tcPr>
            <w:tcW w:w="1848" w:type="dxa"/>
          </w:tcPr>
          <w:p w14:paraId="16097FE3" w14:textId="77777777" w:rsidR="00FA7E56" w:rsidRPr="002374A6" w:rsidRDefault="00FA7E56" w:rsidP="007B3445">
            <w:pPr>
              <w:jc w:val="center"/>
              <w:rPr>
                <w:b/>
                <w:bCs/>
                <w:noProof/>
                <w:sz w:val="20"/>
                <w:szCs w:val="20"/>
              </w:rPr>
            </w:pPr>
            <w:r w:rsidRPr="002374A6">
              <w:rPr>
                <w:b/>
                <w:noProof/>
                <w:sz w:val="20"/>
              </w:rPr>
              <w:t>1</w:t>
            </w:r>
          </w:p>
        </w:tc>
        <w:tc>
          <w:tcPr>
            <w:tcW w:w="1848" w:type="dxa"/>
          </w:tcPr>
          <w:p w14:paraId="057BF10C" w14:textId="77777777" w:rsidR="00FA7E56" w:rsidRPr="002374A6" w:rsidRDefault="00FA7E56" w:rsidP="007B3445">
            <w:pPr>
              <w:jc w:val="center"/>
              <w:rPr>
                <w:b/>
                <w:bCs/>
                <w:noProof/>
                <w:sz w:val="20"/>
                <w:szCs w:val="20"/>
              </w:rPr>
            </w:pPr>
            <w:r w:rsidRPr="002374A6">
              <w:rPr>
                <w:b/>
                <w:noProof/>
                <w:sz w:val="20"/>
              </w:rPr>
              <w:t>2</w:t>
            </w:r>
          </w:p>
        </w:tc>
        <w:tc>
          <w:tcPr>
            <w:tcW w:w="1849" w:type="dxa"/>
          </w:tcPr>
          <w:p w14:paraId="7EDB1B11" w14:textId="77777777" w:rsidR="00FA7E56" w:rsidRPr="002374A6" w:rsidRDefault="00FA7E56" w:rsidP="007B3445">
            <w:pPr>
              <w:jc w:val="center"/>
              <w:rPr>
                <w:b/>
                <w:bCs/>
                <w:noProof/>
                <w:sz w:val="20"/>
                <w:szCs w:val="20"/>
              </w:rPr>
            </w:pPr>
            <w:r w:rsidRPr="002374A6">
              <w:rPr>
                <w:b/>
                <w:noProof/>
                <w:sz w:val="20"/>
              </w:rPr>
              <w:t>3</w:t>
            </w:r>
          </w:p>
        </w:tc>
        <w:tc>
          <w:tcPr>
            <w:tcW w:w="1849" w:type="dxa"/>
          </w:tcPr>
          <w:p w14:paraId="36AA66D8" w14:textId="77777777" w:rsidR="00FA7E56" w:rsidRPr="002374A6" w:rsidRDefault="00FA7E56" w:rsidP="007B3445">
            <w:pPr>
              <w:jc w:val="center"/>
              <w:rPr>
                <w:b/>
                <w:bCs/>
                <w:noProof/>
                <w:sz w:val="20"/>
                <w:szCs w:val="20"/>
              </w:rPr>
            </w:pPr>
            <w:r w:rsidRPr="002374A6">
              <w:rPr>
                <w:b/>
                <w:noProof/>
                <w:sz w:val="20"/>
              </w:rPr>
              <w:t>4</w:t>
            </w:r>
          </w:p>
        </w:tc>
      </w:tr>
      <w:tr w:rsidR="0066509A" w:rsidRPr="002374A6" w14:paraId="66103DDE" w14:textId="77777777" w:rsidTr="007B3445">
        <w:tc>
          <w:tcPr>
            <w:tcW w:w="1848" w:type="dxa"/>
          </w:tcPr>
          <w:p w14:paraId="0181324F" w14:textId="77777777" w:rsidR="00FA7E56" w:rsidRPr="002374A6" w:rsidRDefault="00FA7E56" w:rsidP="007B3445">
            <w:pPr>
              <w:jc w:val="center"/>
              <w:rPr>
                <w:b/>
                <w:bCs/>
                <w:noProof/>
                <w:sz w:val="20"/>
                <w:szCs w:val="20"/>
              </w:rPr>
            </w:pPr>
            <w:r w:rsidRPr="002374A6">
              <w:rPr>
                <w:b/>
                <w:noProof/>
                <w:sz w:val="20"/>
              </w:rPr>
              <w:t>i)</w:t>
            </w:r>
          </w:p>
        </w:tc>
        <w:tc>
          <w:tcPr>
            <w:tcW w:w="1848" w:type="dxa"/>
          </w:tcPr>
          <w:p w14:paraId="5473BB84" w14:textId="7891527F" w:rsidR="00FA7E56" w:rsidRPr="002374A6" w:rsidRDefault="00FA7E56" w:rsidP="007B3445">
            <w:pPr>
              <w:jc w:val="center"/>
              <w:rPr>
                <w:b/>
                <w:bCs/>
                <w:noProof/>
                <w:sz w:val="20"/>
                <w:szCs w:val="20"/>
              </w:rPr>
            </w:pPr>
            <w:r w:rsidRPr="002374A6">
              <w:rPr>
                <w:noProof/>
                <w:sz w:val="20"/>
              </w:rPr>
              <w:t>Substâncias ativas de baixo risco aprovadas ou consideradas aprovadas nos termos do artigo 22</w:t>
            </w:r>
            <w:r w:rsidR="002374A6">
              <w:rPr>
                <w:noProof/>
                <w:sz w:val="20"/>
              </w:rPr>
              <w:t>.º </w:t>
            </w:r>
            <w:r w:rsidRPr="002374A6">
              <w:rPr>
                <w:noProof/>
                <w:sz w:val="20"/>
              </w:rPr>
              <w:t>do Regulamento (CE) n</w:t>
            </w:r>
            <w:r w:rsidR="002374A6">
              <w:rPr>
                <w:noProof/>
                <w:sz w:val="20"/>
              </w:rPr>
              <w:t>.º </w:t>
            </w:r>
            <w:r w:rsidRPr="002374A6">
              <w:rPr>
                <w:noProof/>
                <w:sz w:val="20"/>
              </w:rPr>
              <w:t>1107/2009 e que estão enumeradas na parte D do anexo do Regulamento de Execução (UE) n</w:t>
            </w:r>
            <w:r w:rsidR="002374A6">
              <w:rPr>
                <w:noProof/>
                <w:sz w:val="20"/>
              </w:rPr>
              <w:t>.º </w:t>
            </w:r>
            <w:r w:rsidRPr="002374A6">
              <w:rPr>
                <w:noProof/>
                <w:sz w:val="20"/>
              </w:rPr>
              <w:t>540/2011</w:t>
            </w:r>
          </w:p>
        </w:tc>
        <w:tc>
          <w:tcPr>
            <w:tcW w:w="1848" w:type="dxa"/>
          </w:tcPr>
          <w:p w14:paraId="76EDA758" w14:textId="7F7F752E" w:rsidR="00FA7E56" w:rsidRPr="002374A6" w:rsidRDefault="00FA7E56" w:rsidP="007B3445">
            <w:pPr>
              <w:jc w:val="center"/>
              <w:rPr>
                <w:b/>
                <w:bCs/>
                <w:noProof/>
                <w:sz w:val="20"/>
                <w:szCs w:val="20"/>
              </w:rPr>
            </w:pPr>
            <w:r w:rsidRPr="002374A6">
              <w:rPr>
                <w:noProof/>
                <w:sz w:val="20"/>
              </w:rPr>
              <w:t>Substâncias ativas aprovadas ou consideradas aprovadas nos termos do Regulamento (CE) n</w:t>
            </w:r>
            <w:r w:rsidR="002374A6">
              <w:rPr>
                <w:noProof/>
                <w:sz w:val="20"/>
              </w:rPr>
              <w:t>.º </w:t>
            </w:r>
            <w:r w:rsidRPr="002374A6">
              <w:rPr>
                <w:noProof/>
                <w:sz w:val="20"/>
              </w:rPr>
              <w:t>1107/2009 não incluídas noutras categorias e que estão enumeradas nas partes A e B do anexo do Regulamento de Execução (UE) n</w:t>
            </w:r>
            <w:r w:rsidR="002374A6">
              <w:rPr>
                <w:noProof/>
                <w:sz w:val="20"/>
              </w:rPr>
              <w:t>.º </w:t>
            </w:r>
            <w:r w:rsidRPr="002374A6">
              <w:rPr>
                <w:noProof/>
                <w:sz w:val="20"/>
              </w:rPr>
              <w:t>540/2011</w:t>
            </w:r>
          </w:p>
        </w:tc>
        <w:tc>
          <w:tcPr>
            <w:tcW w:w="1849" w:type="dxa"/>
          </w:tcPr>
          <w:p w14:paraId="1639D1F5" w14:textId="0EFFCA47" w:rsidR="00FA7E56" w:rsidRPr="002374A6" w:rsidRDefault="00FA7E56" w:rsidP="007B3445">
            <w:pPr>
              <w:jc w:val="center"/>
              <w:rPr>
                <w:b/>
                <w:bCs/>
                <w:noProof/>
                <w:sz w:val="20"/>
                <w:szCs w:val="20"/>
              </w:rPr>
            </w:pPr>
            <w:r w:rsidRPr="002374A6">
              <w:rPr>
                <w:noProof/>
                <w:sz w:val="20"/>
              </w:rPr>
              <w:t>Substâncias ativas aprovadas como candidatas a substituição em conformidade com o artigo 24</w:t>
            </w:r>
            <w:r w:rsidR="002374A6">
              <w:rPr>
                <w:noProof/>
                <w:sz w:val="20"/>
              </w:rPr>
              <w:t>.º </w:t>
            </w:r>
            <w:r w:rsidRPr="002374A6">
              <w:rPr>
                <w:noProof/>
                <w:sz w:val="20"/>
              </w:rPr>
              <w:t>do Regulamento (CE) n</w:t>
            </w:r>
            <w:r w:rsidR="002374A6">
              <w:rPr>
                <w:noProof/>
                <w:sz w:val="20"/>
              </w:rPr>
              <w:t>.º </w:t>
            </w:r>
            <w:r w:rsidRPr="002374A6">
              <w:rPr>
                <w:noProof/>
                <w:sz w:val="20"/>
              </w:rPr>
              <w:t>1107/2009 e enumeradas na parte E do anexo do Regulamento de Execução (UE) n</w:t>
            </w:r>
            <w:r w:rsidR="002374A6">
              <w:rPr>
                <w:noProof/>
                <w:sz w:val="20"/>
              </w:rPr>
              <w:t>.º </w:t>
            </w:r>
            <w:r w:rsidRPr="002374A6">
              <w:rPr>
                <w:noProof/>
                <w:sz w:val="20"/>
              </w:rPr>
              <w:t>540/2011 ou enumeradas no anexo do Regulamento de Execução (UE) 2015/408.</w:t>
            </w:r>
          </w:p>
        </w:tc>
        <w:tc>
          <w:tcPr>
            <w:tcW w:w="1849" w:type="dxa"/>
          </w:tcPr>
          <w:p w14:paraId="43386890" w14:textId="57A8D495" w:rsidR="00FA7E56" w:rsidRPr="002374A6" w:rsidRDefault="00FA7E56" w:rsidP="007B3445">
            <w:pPr>
              <w:jc w:val="center"/>
              <w:rPr>
                <w:b/>
                <w:bCs/>
                <w:noProof/>
                <w:sz w:val="20"/>
                <w:szCs w:val="20"/>
              </w:rPr>
            </w:pPr>
            <w:r w:rsidRPr="002374A6">
              <w:rPr>
                <w:noProof/>
                <w:sz w:val="20"/>
              </w:rPr>
              <w:t>Substâncias ativas não aprovadas nos termos do Regulamento (CE) n</w:t>
            </w:r>
            <w:r w:rsidR="002374A6">
              <w:rPr>
                <w:noProof/>
                <w:sz w:val="20"/>
              </w:rPr>
              <w:t>.º </w:t>
            </w:r>
            <w:r w:rsidRPr="002374A6">
              <w:rPr>
                <w:noProof/>
                <w:sz w:val="20"/>
              </w:rPr>
              <w:t>1107/2009 e que, por conseguinte, não constam do anexo do Regulamento de Execução (UE) n</w:t>
            </w:r>
            <w:r w:rsidR="002374A6">
              <w:rPr>
                <w:noProof/>
                <w:sz w:val="20"/>
              </w:rPr>
              <w:t>.º </w:t>
            </w:r>
            <w:r w:rsidRPr="002374A6">
              <w:rPr>
                <w:noProof/>
                <w:sz w:val="20"/>
              </w:rPr>
              <w:t>540/2011</w:t>
            </w:r>
          </w:p>
        </w:tc>
      </w:tr>
      <w:tr w:rsidR="0066509A" w:rsidRPr="002374A6" w14:paraId="48A6073F" w14:textId="77777777" w:rsidTr="007B3445">
        <w:tc>
          <w:tcPr>
            <w:tcW w:w="1848" w:type="dxa"/>
          </w:tcPr>
          <w:p w14:paraId="18225A86" w14:textId="77777777" w:rsidR="00FA7E56" w:rsidRPr="002374A6" w:rsidRDefault="00FA7E56" w:rsidP="007B3445">
            <w:pPr>
              <w:jc w:val="center"/>
              <w:rPr>
                <w:b/>
                <w:bCs/>
                <w:noProof/>
                <w:sz w:val="20"/>
                <w:szCs w:val="20"/>
              </w:rPr>
            </w:pPr>
            <w:r w:rsidRPr="002374A6">
              <w:rPr>
                <w:b/>
                <w:noProof/>
                <w:sz w:val="20"/>
              </w:rPr>
              <w:t>ii)</w:t>
            </w:r>
          </w:p>
        </w:tc>
        <w:tc>
          <w:tcPr>
            <w:tcW w:w="7394" w:type="dxa"/>
            <w:gridSpan w:val="4"/>
          </w:tcPr>
          <w:p w14:paraId="78F7773B" w14:textId="56408BAB" w:rsidR="00FA7E56" w:rsidRPr="002374A6" w:rsidRDefault="00FA7E56" w:rsidP="007B3445">
            <w:pPr>
              <w:jc w:val="center"/>
              <w:rPr>
                <w:b/>
                <w:bCs/>
                <w:noProof/>
                <w:sz w:val="20"/>
                <w:szCs w:val="20"/>
              </w:rPr>
            </w:pPr>
            <w:r w:rsidRPr="002374A6">
              <w:rPr>
                <w:noProof/>
                <w:sz w:val="20"/>
              </w:rPr>
              <w:t>Fatores de ponderação de perigo aplicáveis às quantidades de substâncias ativas colocadas no mercado em produtos autorizados nos termos do Regulamento (CE) n</w:t>
            </w:r>
            <w:r w:rsidR="002374A6">
              <w:rPr>
                <w:noProof/>
                <w:sz w:val="20"/>
              </w:rPr>
              <w:t>.º </w:t>
            </w:r>
            <w:r w:rsidRPr="002374A6">
              <w:rPr>
                <w:noProof/>
                <w:sz w:val="20"/>
              </w:rPr>
              <w:t>1107/2009</w:t>
            </w:r>
          </w:p>
        </w:tc>
      </w:tr>
      <w:tr w:rsidR="00FA7E56" w:rsidRPr="002374A6" w14:paraId="79F27597" w14:textId="77777777" w:rsidTr="007B3445">
        <w:tc>
          <w:tcPr>
            <w:tcW w:w="1848" w:type="dxa"/>
          </w:tcPr>
          <w:p w14:paraId="2470DC9F" w14:textId="77777777" w:rsidR="00FA7E56" w:rsidRPr="002374A6" w:rsidRDefault="00FA7E56" w:rsidP="007B3445">
            <w:pPr>
              <w:jc w:val="center"/>
              <w:rPr>
                <w:b/>
                <w:bCs/>
                <w:noProof/>
                <w:sz w:val="20"/>
                <w:szCs w:val="20"/>
              </w:rPr>
            </w:pPr>
            <w:r w:rsidRPr="002374A6">
              <w:rPr>
                <w:b/>
                <w:noProof/>
                <w:sz w:val="20"/>
              </w:rPr>
              <w:t>iii)</w:t>
            </w:r>
          </w:p>
        </w:tc>
        <w:tc>
          <w:tcPr>
            <w:tcW w:w="1848" w:type="dxa"/>
          </w:tcPr>
          <w:p w14:paraId="18CC8659" w14:textId="77777777" w:rsidR="00FA7E56" w:rsidRPr="002374A6" w:rsidRDefault="00FA7E56" w:rsidP="007B3445">
            <w:pPr>
              <w:jc w:val="center"/>
              <w:rPr>
                <w:b/>
                <w:bCs/>
                <w:noProof/>
                <w:sz w:val="20"/>
                <w:szCs w:val="20"/>
              </w:rPr>
            </w:pPr>
            <w:r w:rsidRPr="002374A6">
              <w:rPr>
                <w:b/>
                <w:noProof/>
                <w:sz w:val="20"/>
              </w:rPr>
              <w:t>1</w:t>
            </w:r>
          </w:p>
        </w:tc>
        <w:tc>
          <w:tcPr>
            <w:tcW w:w="1848" w:type="dxa"/>
          </w:tcPr>
          <w:p w14:paraId="794ABBDA" w14:textId="77777777" w:rsidR="00FA7E56" w:rsidRPr="002374A6" w:rsidRDefault="00FA7E56" w:rsidP="007B3445">
            <w:pPr>
              <w:jc w:val="center"/>
              <w:rPr>
                <w:b/>
                <w:bCs/>
                <w:noProof/>
                <w:sz w:val="20"/>
                <w:szCs w:val="20"/>
              </w:rPr>
            </w:pPr>
            <w:r w:rsidRPr="002374A6">
              <w:rPr>
                <w:b/>
                <w:noProof/>
                <w:sz w:val="20"/>
              </w:rPr>
              <w:t>8</w:t>
            </w:r>
          </w:p>
        </w:tc>
        <w:tc>
          <w:tcPr>
            <w:tcW w:w="1849" w:type="dxa"/>
          </w:tcPr>
          <w:p w14:paraId="43158AE3" w14:textId="77777777" w:rsidR="00FA7E56" w:rsidRPr="002374A6" w:rsidRDefault="00FA7E56" w:rsidP="007B3445">
            <w:pPr>
              <w:jc w:val="center"/>
              <w:rPr>
                <w:b/>
                <w:bCs/>
                <w:noProof/>
                <w:sz w:val="20"/>
                <w:szCs w:val="20"/>
              </w:rPr>
            </w:pPr>
            <w:r w:rsidRPr="002374A6">
              <w:rPr>
                <w:b/>
                <w:noProof/>
                <w:sz w:val="20"/>
              </w:rPr>
              <w:t>16</w:t>
            </w:r>
          </w:p>
        </w:tc>
        <w:tc>
          <w:tcPr>
            <w:tcW w:w="1849" w:type="dxa"/>
          </w:tcPr>
          <w:p w14:paraId="2C7E0780" w14:textId="77777777" w:rsidR="00FA7E56" w:rsidRPr="002374A6" w:rsidRDefault="00FA7E56" w:rsidP="007B3445">
            <w:pPr>
              <w:jc w:val="center"/>
              <w:rPr>
                <w:b/>
                <w:bCs/>
                <w:noProof/>
                <w:sz w:val="20"/>
                <w:szCs w:val="20"/>
              </w:rPr>
            </w:pPr>
            <w:r w:rsidRPr="002374A6">
              <w:rPr>
                <w:b/>
                <w:noProof/>
                <w:sz w:val="20"/>
              </w:rPr>
              <w:t>64</w:t>
            </w:r>
          </w:p>
        </w:tc>
      </w:tr>
    </w:tbl>
    <w:p w14:paraId="6596159E" w14:textId="77777777" w:rsidR="00FA7E56" w:rsidRPr="002374A6" w:rsidRDefault="00FA7E56" w:rsidP="00FA7E56">
      <w:pPr>
        <w:rPr>
          <w:b/>
          <w:bCs/>
          <w:noProof/>
          <w:szCs w:val="24"/>
        </w:rPr>
      </w:pPr>
    </w:p>
    <w:p w14:paraId="49C840AA" w14:textId="257EEC45" w:rsidR="00FA7E56" w:rsidRPr="002374A6" w:rsidRDefault="00A94DEB" w:rsidP="00A94DEB">
      <w:pPr>
        <w:pStyle w:val="Point0"/>
        <w:rPr>
          <w:noProof/>
          <w:szCs w:val="24"/>
        </w:rPr>
      </w:pPr>
      <w:r w:rsidRPr="002374A6">
        <w:rPr>
          <w:noProof/>
        </w:rPr>
        <w:t>4.</w:t>
      </w:r>
      <w:r w:rsidRPr="002374A6">
        <w:rPr>
          <w:noProof/>
        </w:rPr>
        <w:tab/>
        <w:t>A base de referência do indicador de risco harmonizado 2</w:t>
      </w:r>
      <w:r w:rsidR="002374A6">
        <w:rPr>
          <w:noProof/>
        </w:rPr>
        <w:noBreakHyphen/>
      </w:r>
      <w:r w:rsidRPr="002374A6">
        <w:rPr>
          <w:noProof/>
        </w:rPr>
        <w:t>A é fixada em 100 e é igual ao resultado médio do cálculo anterior para o período 2022</w:t>
      </w:r>
      <w:r w:rsidR="002374A6">
        <w:rPr>
          <w:noProof/>
        </w:rPr>
        <w:noBreakHyphen/>
      </w:r>
      <w:r w:rsidRPr="002374A6">
        <w:rPr>
          <w:noProof/>
        </w:rPr>
        <w:t xml:space="preserve">2024. </w:t>
      </w:r>
    </w:p>
    <w:p w14:paraId="226593AD" w14:textId="19243A0C" w:rsidR="00FA7E56" w:rsidRPr="002374A6" w:rsidRDefault="00A94DEB" w:rsidP="00A94DEB">
      <w:pPr>
        <w:pStyle w:val="Point0"/>
        <w:rPr>
          <w:noProof/>
          <w:szCs w:val="24"/>
        </w:rPr>
      </w:pPr>
      <w:r w:rsidRPr="002374A6">
        <w:rPr>
          <w:noProof/>
        </w:rPr>
        <w:t>5.</w:t>
      </w:r>
      <w:r w:rsidRPr="002374A6">
        <w:rPr>
          <w:noProof/>
        </w:rPr>
        <w:tab/>
        <w:t>O resultado do indicador de risco harmonizado 2</w:t>
      </w:r>
      <w:r w:rsidR="002374A6">
        <w:rPr>
          <w:noProof/>
        </w:rPr>
        <w:noBreakHyphen/>
      </w:r>
      <w:r w:rsidRPr="002374A6">
        <w:rPr>
          <w:noProof/>
        </w:rPr>
        <w:t xml:space="preserve">A é expresso em relação à base de referência. </w:t>
      </w:r>
    </w:p>
    <w:p w14:paraId="2DDF0620" w14:textId="41628A12" w:rsidR="007B3445" w:rsidRPr="002374A6" w:rsidRDefault="00A94DEB" w:rsidP="00A94DEB">
      <w:pPr>
        <w:pStyle w:val="Point0"/>
        <w:rPr>
          <w:noProof/>
          <w:szCs w:val="24"/>
        </w:rPr>
      </w:pPr>
      <w:r w:rsidRPr="002374A6">
        <w:rPr>
          <w:noProof/>
        </w:rPr>
        <w:t>6.</w:t>
      </w:r>
      <w:r w:rsidRPr="002374A6">
        <w:rPr>
          <w:noProof/>
        </w:rPr>
        <w:tab/>
        <w:t>A Comissão calcula e publica os resultados do indicador de risco harmonizado 2</w:t>
      </w:r>
      <w:r w:rsidR="002374A6">
        <w:rPr>
          <w:noProof/>
        </w:rPr>
        <w:noBreakHyphen/>
      </w:r>
      <w:r w:rsidRPr="002374A6">
        <w:rPr>
          <w:noProof/>
        </w:rPr>
        <w:t>A a nível da União em conformidade com o artigo 35.º, n</w:t>
      </w:r>
      <w:r w:rsidR="002374A6">
        <w:rPr>
          <w:noProof/>
        </w:rPr>
        <w:t>.º </w:t>
      </w:r>
      <w:r w:rsidRPr="002374A6">
        <w:rPr>
          <w:noProof/>
        </w:rPr>
        <w:t>2, do presente regulamento. Tal é efetuado pela primeira vez em 2027, utilizando os dados dos anos civis de 2022 a 2025, e posteriormente para cada ano civil, o mais tardar 20 meses após o final do ano para o qual o indicador de risco harmonizado 2</w:t>
      </w:r>
      <w:r w:rsidR="002374A6">
        <w:rPr>
          <w:noProof/>
        </w:rPr>
        <w:noBreakHyphen/>
      </w:r>
      <w:r w:rsidRPr="002374A6">
        <w:rPr>
          <w:noProof/>
        </w:rPr>
        <w:t>A está a ser calculado.</w:t>
      </w:r>
    </w:p>
    <w:p w14:paraId="7AF5B33B" w14:textId="494E21FB" w:rsidR="00966579" w:rsidRPr="002374A6" w:rsidRDefault="003C0119" w:rsidP="003C0119">
      <w:pPr>
        <w:pStyle w:val="Point0"/>
        <w:rPr>
          <w:noProof/>
          <w:szCs w:val="24"/>
        </w:rPr>
      </w:pPr>
      <w:r w:rsidRPr="002374A6">
        <w:rPr>
          <w:noProof/>
        </w:rPr>
        <w:t>7.</w:t>
      </w:r>
      <w:r w:rsidRPr="002374A6">
        <w:rPr>
          <w:noProof/>
        </w:rPr>
        <w:tab/>
        <w:t>Os Estados</w:t>
      </w:r>
      <w:r w:rsidR="002374A6">
        <w:rPr>
          <w:noProof/>
        </w:rPr>
        <w:noBreakHyphen/>
      </w:r>
      <w:r w:rsidRPr="002374A6">
        <w:rPr>
          <w:noProof/>
        </w:rPr>
        <w:t>Membros calculam e publicam os resultados do indicador de risco harmonizado 2</w:t>
      </w:r>
      <w:r w:rsidR="002374A6">
        <w:rPr>
          <w:noProof/>
        </w:rPr>
        <w:noBreakHyphen/>
      </w:r>
      <w:r w:rsidRPr="002374A6">
        <w:rPr>
          <w:noProof/>
        </w:rPr>
        <w:t>A a nível nacional em conformidade com o artigo 35.º, n</w:t>
      </w:r>
      <w:r w:rsidR="002374A6">
        <w:rPr>
          <w:noProof/>
        </w:rPr>
        <w:t>.º </w:t>
      </w:r>
      <w:r w:rsidRPr="002374A6">
        <w:rPr>
          <w:noProof/>
        </w:rPr>
        <w:t>3, do presente regulamento. Tal é efetuado pela primeira vez em 2027, utilizando os dados dos anos civis de 2022 a 2025, e posteriormente para cada ano civil, o mais tardar 20 meses após o final do ano para o qual o indicador de risco harmonizado 2</w:t>
      </w:r>
      <w:r w:rsidR="002374A6">
        <w:rPr>
          <w:noProof/>
        </w:rPr>
        <w:noBreakHyphen/>
      </w:r>
      <w:r w:rsidRPr="002374A6">
        <w:rPr>
          <w:noProof/>
        </w:rPr>
        <w:t>A está a ser calculado.</w:t>
      </w:r>
    </w:p>
    <w:p w14:paraId="5FFACEE4" w14:textId="77777777" w:rsidR="007B3445" w:rsidRPr="002374A6" w:rsidRDefault="007B3445" w:rsidP="007B3445">
      <w:pPr>
        <w:rPr>
          <w:noProof/>
        </w:rPr>
        <w:sectPr w:rsidR="007B3445" w:rsidRPr="002374A6" w:rsidSect="003D3418">
          <w:pgSz w:w="11907" w:h="16839"/>
          <w:pgMar w:top="1134" w:right="1417" w:bottom="1134" w:left="1417" w:header="709" w:footer="709" w:gutter="0"/>
          <w:cols w:space="720"/>
          <w:docGrid w:linePitch="360"/>
        </w:sectPr>
      </w:pPr>
    </w:p>
    <w:p w14:paraId="33DFF5CB" w14:textId="2C09D297" w:rsidR="007B3445" w:rsidRPr="002374A6" w:rsidRDefault="6B25E89D" w:rsidP="007B3445">
      <w:pPr>
        <w:pStyle w:val="Annexetitre"/>
        <w:rPr>
          <w:noProof/>
        </w:rPr>
      </w:pPr>
      <w:r w:rsidRPr="002374A6">
        <w:rPr>
          <w:noProof/>
        </w:rPr>
        <w:t>ANEXO VII</w:t>
      </w:r>
    </w:p>
    <w:p w14:paraId="31E534FA" w14:textId="56BED078" w:rsidR="007B3445" w:rsidRPr="002374A6" w:rsidRDefault="007B3445" w:rsidP="007B3445">
      <w:pPr>
        <w:jc w:val="center"/>
        <w:rPr>
          <w:b/>
          <w:noProof/>
          <w:szCs w:val="24"/>
        </w:rPr>
      </w:pPr>
      <w:r w:rsidRPr="002374A6">
        <w:rPr>
          <w:b/>
          <w:noProof/>
        </w:rPr>
        <w:t>QUADRO DE CORRESPONDÊNCIA REFERIDO NO ARTIGO 43.º, n</w:t>
      </w:r>
      <w:r w:rsidR="002374A6">
        <w:rPr>
          <w:b/>
          <w:noProof/>
        </w:rPr>
        <w:t>.º </w:t>
      </w:r>
      <w:r w:rsidRPr="002374A6">
        <w:rPr>
          <w:b/>
          <w:noProof/>
        </w:rPr>
        <w:t xml:space="preserve">2 </w:t>
      </w:r>
    </w:p>
    <w:p w14:paraId="412E388E" w14:textId="77777777" w:rsidR="007B3445" w:rsidRPr="002374A6" w:rsidRDefault="007B3445" w:rsidP="007B3445">
      <w:pPr>
        <w:rPr>
          <w:b/>
          <w:noProof/>
          <w:szCs w:val="24"/>
        </w:rPr>
      </w:pPr>
    </w:p>
    <w:tbl>
      <w:tblPr>
        <w:tblStyle w:val="TableGrid"/>
        <w:tblW w:w="0" w:type="auto"/>
        <w:tblLook w:val="04A0" w:firstRow="1" w:lastRow="0" w:firstColumn="1" w:lastColumn="0" w:noHBand="0" w:noVBand="1"/>
      </w:tblPr>
      <w:tblGrid>
        <w:gridCol w:w="4621"/>
        <w:gridCol w:w="4621"/>
      </w:tblGrid>
      <w:tr w:rsidR="0066509A" w:rsidRPr="002374A6" w14:paraId="511B1C93" w14:textId="77777777" w:rsidTr="00FE35DD">
        <w:tc>
          <w:tcPr>
            <w:tcW w:w="4621" w:type="dxa"/>
          </w:tcPr>
          <w:p w14:paraId="08C7B86A" w14:textId="77777777" w:rsidR="00D866B3" w:rsidRPr="002374A6" w:rsidRDefault="00D866B3" w:rsidP="00FE35DD">
            <w:pPr>
              <w:jc w:val="center"/>
              <w:rPr>
                <w:b/>
                <w:noProof/>
              </w:rPr>
            </w:pPr>
            <w:r w:rsidRPr="002374A6">
              <w:rPr>
                <w:rStyle w:val="Emphasis"/>
                <w:b/>
                <w:i w:val="0"/>
                <w:noProof/>
                <w:shd w:val="clear" w:color="auto" w:fill="FFFFFF"/>
              </w:rPr>
              <w:t>Diretiva</w:t>
            </w:r>
            <w:r w:rsidRPr="002374A6">
              <w:rPr>
                <w:b/>
                <w:noProof/>
                <w:shd w:val="clear" w:color="auto" w:fill="FFFFFF"/>
              </w:rPr>
              <w:t xml:space="preserve"> 2009/128/CE</w:t>
            </w:r>
          </w:p>
        </w:tc>
        <w:tc>
          <w:tcPr>
            <w:tcW w:w="4621" w:type="dxa"/>
          </w:tcPr>
          <w:p w14:paraId="70FA65AA" w14:textId="77777777" w:rsidR="00D866B3" w:rsidRPr="002374A6" w:rsidRDefault="00D866B3" w:rsidP="00FE35DD">
            <w:pPr>
              <w:jc w:val="center"/>
              <w:rPr>
                <w:b/>
                <w:noProof/>
              </w:rPr>
            </w:pPr>
            <w:r w:rsidRPr="002374A6">
              <w:rPr>
                <w:b/>
                <w:noProof/>
              </w:rPr>
              <w:t>Presente regulamento</w:t>
            </w:r>
          </w:p>
        </w:tc>
      </w:tr>
      <w:tr w:rsidR="0066509A" w:rsidRPr="002374A6" w14:paraId="7D063F84" w14:textId="77777777" w:rsidTr="00FE35DD">
        <w:tc>
          <w:tcPr>
            <w:tcW w:w="4621" w:type="dxa"/>
          </w:tcPr>
          <w:p w14:paraId="0B11855E" w14:textId="20265D60" w:rsidR="00D866B3" w:rsidRPr="002374A6" w:rsidRDefault="00D866B3" w:rsidP="00D866B3">
            <w:pPr>
              <w:rPr>
                <w:noProof/>
              </w:rPr>
            </w:pPr>
            <w:r w:rsidRPr="002374A6">
              <w:rPr>
                <w:noProof/>
              </w:rPr>
              <w:t>Artigo 1.º</w:t>
            </w:r>
          </w:p>
        </w:tc>
        <w:tc>
          <w:tcPr>
            <w:tcW w:w="4621" w:type="dxa"/>
          </w:tcPr>
          <w:p w14:paraId="4A320C14" w14:textId="77777777" w:rsidR="00D866B3" w:rsidRPr="002374A6" w:rsidRDefault="00D866B3" w:rsidP="00FE35DD">
            <w:pPr>
              <w:rPr>
                <w:noProof/>
              </w:rPr>
            </w:pPr>
            <w:r w:rsidRPr="002374A6">
              <w:rPr>
                <w:noProof/>
              </w:rPr>
              <w:t>Artigo 1.º</w:t>
            </w:r>
          </w:p>
        </w:tc>
      </w:tr>
      <w:tr w:rsidR="0066509A" w:rsidRPr="002374A6" w14:paraId="65CCA4FF" w14:textId="77777777" w:rsidTr="00FE35DD">
        <w:tc>
          <w:tcPr>
            <w:tcW w:w="4621" w:type="dxa"/>
          </w:tcPr>
          <w:p w14:paraId="747CC941" w14:textId="15C761F3" w:rsidR="00D866B3" w:rsidRPr="002374A6" w:rsidRDefault="00D866B3" w:rsidP="00D866B3">
            <w:pPr>
              <w:rPr>
                <w:noProof/>
              </w:rPr>
            </w:pPr>
            <w:r w:rsidRPr="002374A6">
              <w:rPr>
                <w:noProof/>
              </w:rPr>
              <w:t>Artigo 2.º</w:t>
            </w:r>
          </w:p>
        </w:tc>
        <w:tc>
          <w:tcPr>
            <w:tcW w:w="4621" w:type="dxa"/>
          </w:tcPr>
          <w:p w14:paraId="5F8E0116" w14:textId="0C2B166D" w:rsidR="00D866B3" w:rsidRPr="002374A6" w:rsidRDefault="00C00124" w:rsidP="00FE35DD">
            <w:pPr>
              <w:rPr>
                <w:noProof/>
              </w:rPr>
            </w:pPr>
            <w:r w:rsidRPr="002374A6">
              <w:rPr>
                <w:noProof/>
              </w:rPr>
              <w:t>Artigo 2.º</w:t>
            </w:r>
          </w:p>
        </w:tc>
      </w:tr>
      <w:tr w:rsidR="0066509A" w:rsidRPr="002374A6" w14:paraId="2A4ADF93" w14:textId="77777777" w:rsidTr="00FE35DD">
        <w:tc>
          <w:tcPr>
            <w:tcW w:w="4621" w:type="dxa"/>
          </w:tcPr>
          <w:p w14:paraId="4AE00E4C" w14:textId="54FA70FD" w:rsidR="00D866B3" w:rsidRPr="002374A6" w:rsidRDefault="00D866B3" w:rsidP="00D866B3">
            <w:pPr>
              <w:rPr>
                <w:noProof/>
              </w:rPr>
            </w:pPr>
            <w:r w:rsidRPr="002374A6">
              <w:rPr>
                <w:noProof/>
              </w:rPr>
              <w:t>Artigo 3.º</w:t>
            </w:r>
          </w:p>
        </w:tc>
        <w:tc>
          <w:tcPr>
            <w:tcW w:w="4621" w:type="dxa"/>
          </w:tcPr>
          <w:p w14:paraId="31FBF74C" w14:textId="6C081439" w:rsidR="00D866B3" w:rsidRPr="002374A6" w:rsidRDefault="00D866B3" w:rsidP="00C00124">
            <w:pPr>
              <w:rPr>
                <w:noProof/>
              </w:rPr>
            </w:pPr>
            <w:r w:rsidRPr="002374A6">
              <w:rPr>
                <w:noProof/>
              </w:rPr>
              <w:t>Artigo 3.º</w:t>
            </w:r>
          </w:p>
        </w:tc>
      </w:tr>
      <w:tr w:rsidR="0066509A" w:rsidRPr="002374A6" w14:paraId="4FD88832" w14:textId="77777777" w:rsidTr="00FE35DD">
        <w:tc>
          <w:tcPr>
            <w:tcW w:w="4621" w:type="dxa"/>
          </w:tcPr>
          <w:p w14:paraId="1F8EEA88" w14:textId="522C462B" w:rsidR="00D866B3" w:rsidRPr="002374A6" w:rsidRDefault="00D866B3" w:rsidP="00931692">
            <w:pPr>
              <w:rPr>
                <w:noProof/>
              </w:rPr>
            </w:pPr>
            <w:r w:rsidRPr="002374A6">
              <w:rPr>
                <w:noProof/>
              </w:rPr>
              <w:t>Artigo 4.º</w:t>
            </w:r>
          </w:p>
        </w:tc>
        <w:tc>
          <w:tcPr>
            <w:tcW w:w="4621" w:type="dxa"/>
          </w:tcPr>
          <w:p w14:paraId="3FC3A688" w14:textId="3763C190" w:rsidR="00D866B3" w:rsidRPr="002374A6" w:rsidRDefault="00D866B3" w:rsidP="00C00124">
            <w:pPr>
              <w:rPr>
                <w:noProof/>
              </w:rPr>
            </w:pPr>
            <w:r w:rsidRPr="002374A6">
              <w:rPr>
                <w:noProof/>
              </w:rPr>
              <w:t>Artigos 8</w:t>
            </w:r>
            <w:r w:rsidR="002374A6">
              <w:rPr>
                <w:noProof/>
              </w:rPr>
              <w:t>.º </w:t>
            </w:r>
            <w:r w:rsidRPr="002374A6">
              <w:rPr>
                <w:noProof/>
              </w:rPr>
              <w:t>a 9.º</w:t>
            </w:r>
          </w:p>
        </w:tc>
      </w:tr>
      <w:tr w:rsidR="0066509A" w:rsidRPr="002374A6" w14:paraId="0AA3D0E4" w14:textId="77777777" w:rsidTr="00FE35DD">
        <w:tc>
          <w:tcPr>
            <w:tcW w:w="4621" w:type="dxa"/>
          </w:tcPr>
          <w:p w14:paraId="7561BEFD" w14:textId="54CDB9A4" w:rsidR="00D866B3" w:rsidRPr="002374A6" w:rsidRDefault="00D866B3" w:rsidP="00D866B3">
            <w:pPr>
              <w:rPr>
                <w:noProof/>
              </w:rPr>
            </w:pPr>
          </w:p>
        </w:tc>
        <w:tc>
          <w:tcPr>
            <w:tcW w:w="4621" w:type="dxa"/>
          </w:tcPr>
          <w:p w14:paraId="1FDD5F75" w14:textId="7357A27D" w:rsidR="00D866B3" w:rsidRPr="002374A6" w:rsidRDefault="00D866B3" w:rsidP="00C05890">
            <w:pPr>
              <w:rPr>
                <w:noProof/>
              </w:rPr>
            </w:pPr>
          </w:p>
        </w:tc>
      </w:tr>
      <w:tr w:rsidR="0066509A" w:rsidRPr="002374A6" w14:paraId="54096D90" w14:textId="77777777" w:rsidTr="00FE35DD">
        <w:tc>
          <w:tcPr>
            <w:tcW w:w="4621" w:type="dxa"/>
          </w:tcPr>
          <w:p w14:paraId="39B3EEF7" w14:textId="0401946B" w:rsidR="00D866B3" w:rsidRPr="002374A6" w:rsidRDefault="00D866B3" w:rsidP="00D866B3">
            <w:pPr>
              <w:rPr>
                <w:noProof/>
              </w:rPr>
            </w:pPr>
          </w:p>
        </w:tc>
        <w:tc>
          <w:tcPr>
            <w:tcW w:w="4621" w:type="dxa"/>
          </w:tcPr>
          <w:p w14:paraId="18496DE3" w14:textId="4BA77BDA" w:rsidR="00D866B3" w:rsidRPr="002374A6" w:rsidRDefault="00D866B3" w:rsidP="00FE35DD">
            <w:pPr>
              <w:rPr>
                <w:noProof/>
              </w:rPr>
            </w:pPr>
          </w:p>
        </w:tc>
      </w:tr>
      <w:tr w:rsidR="0066509A" w:rsidRPr="002374A6" w14:paraId="34AB7AC9" w14:textId="77777777" w:rsidTr="00FE35DD">
        <w:tc>
          <w:tcPr>
            <w:tcW w:w="4621" w:type="dxa"/>
          </w:tcPr>
          <w:p w14:paraId="301AC5C4" w14:textId="73472FC3" w:rsidR="00D866B3" w:rsidRPr="002374A6" w:rsidRDefault="00D866B3" w:rsidP="00D866B3">
            <w:pPr>
              <w:rPr>
                <w:noProof/>
              </w:rPr>
            </w:pPr>
          </w:p>
        </w:tc>
        <w:tc>
          <w:tcPr>
            <w:tcW w:w="4621" w:type="dxa"/>
          </w:tcPr>
          <w:p w14:paraId="3ED2B661" w14:textId="0D003651" w:rsidR="00D866B3" w:rsidRPr="002374A6" w:rsidRDefault="00D866B3" w:rsidP="00FE35DD">
            <w:pPr>
              <w:rPr>
                <w:noProof/>
              </w:rPr>
            </w:pPr>
          </w:p>
        </w:tc>
      </w:tr>
      <w:tr w:rsidR="0066509A" w:rsidRPr="002374A6" w14:paraId="35B23E02" w14:textId="77777777" w:rsidTr="00FE35DD">
        <w:tc>
          <w:tcPr>
            <w:tcW w:w="4621" w:type="dxa"/>
          </w:tcPr>
          <w:p w14:paraId="18D00FF6" w14:textId="206E4EBE" w:rsidR="00D866B3" w:rsidRPr="002374A6" w:rsidRDefault="00D866B3" w:rsidP="00931692">
            <w:pPr>
              <w:rPr>
                <w:noProof/>
              </w:rPr>
            </w:pPr>
            <w:r w:rsidRPr="002374A6">
              <w:rPr>
                <w:noProof/>
              </w:rPr>
              <w:t>Artigo 5.º</w:t>
            </w:r>
          </w:p>
        </w:tc>
        <w:tc>
          <w:tcPr>
            <w:tcW w:w="4621" w:type="dxa"/>
          </w:tcPr>
          <w:p w14:paraId="4607D63A" w14:textId="6D2CFD21" w:rsidR="00D866B3" w:rsidRPr="002374A6" w:rsidRDefault="00D866B3" w:rsidP="00931692">
            <w:pPr>
              <w:rPr>
                <w:noProof/>
              </w:rPr>
            </w:pPr>
            <w:r w:rsidRPr="002374A6">
              <w:rPr>
                <w:noProof/>
              </w:rPr>
              <w:t>Artigo 17.º, n</w:t>
            </w:r>
            <w:r w:rsidR="002374A6">
              <w:rPr>
                <w:noProof/>
              </w:rPr>
              <w:t>.º </w:t>
            </w:r>
            <w:r w:rsidRPr="002374A6">
              <w:rPr>
                <w:noProof/>
              </w:rPr>
              <w:t>1, e artigos 23</w:t>
            </w:r>
            <w:r w:rsidR="002374A6">
              <w:rPr>
                <w:noProof/>
              </w:rPr>
              <w:t>.º </w:t>
            </w:r>
            <w:r w:rsidRPr="002374A6">
              <w:rPr>
                <w:noProof/>
              </w:rPr>
              <w:t>e 25.º</w:t>
            </w:r>
          </w:p>
        </w:tc>
      </w:tr>
      <w:tr w:rsidR="0066509A" w:rsidRPr="002374A6" w14:paraId="3A081F13" w14:textId="77777777" w:rsidTr="00FE35DD">
        <w:tc>
          <w:tcPr>
            <w:tcW w:w="4621" w:type="dxa"/>
          </w:tcPr>
          <w:p w14:paraId="58A6E5B4" w14:textId="1C2BF810" w:rsidR="00D866B3" w:rsidRPr="002374A6" w:rsidRDefault="00D866B3" w:rsidP="00931692">
            <w:pPr>
              <w:rPr>
                <w:noProof/>
              </w:rPr>
            </w:pPr>
            <w:r w:rsidRPr="002374A6">
              <w:rPr>
                <w:noProof/>
              </w:rPr>
              <w:t>Artigo 6.º</w:t>
            </w:r>
          </w:p>
        </w:tc>
        <w:tc>
          <w:tcPr>
            <w:tcW w:w="4621" w:type="dxa"/>
          </w:tcPr>
          <w:p w14:paraId="0EE31E25" w14:textId="4AA84C17" w:rsidR="00D866B3" w:rsidRPr="002374A6" w:rsidRDefault="00D866B3" w:rsidP="003118DA">
            <w:pPr>
              <w:rPr>
                <w:noProof/>
              </w:rPr>
            </w:pPr>
            <w:r w:rsidRPr="002374A6">
              <w:rPr>
                <w:noProof/>
              </w:rPr>
              <w:t>Artigo 24.º</w:t>
            </w:r>
          </w:p>
        </w:tc>
      </w:tr>
      <w:tr w:rsidR="0066509A" w:rsidRPr="002374A6" w14:paraId="42EEDAEE" w14:textId="77777777" w:rsidTr="00FE35DD">
        <w:tc>
          <w:tcPr>
            <w:tcW w:w="4621" w:type="dxa"/>
          </w:tcPr>
          <w:p w14:paraId="459E1C60" w14:textId="5E35077E" w:rsidR="00D866B3" w:rsidRPr="002374A6" w:rsidRDefault="00D866B3" w:rsidP="00931692">
            <w:pPr>
              <w:rPr>
                <w:noProof/>
              </w:rPr>
            </w:pPr>
            <w:r w:rsidRPr="002374A6">
              <w:rPr>
                <w:noProof/>
              </w:rPr>
              <w:t>Artigo 7.º</w:t>
            </w:r>
          </w:p>
        </w:tc>
        <w:tc>
          <w:tcPr>
            <w:tcW w:w="4621" w:type="dxa"/>
          </w:tcPr>
          <w:p w14:paraId="459A139A" w14:textId="357BDEE8" w:rsidR="00D866B3" w:rsidRPr="002374A6" w:rsidRDefault="00D866B3" w:rsidP="003118DA">
            <w:pPr>
              <w:rPr>
                <w:noProof/>
              </w:rPr>
            </w:pPr>
            <w:r w:rsidRPr="002374A6">
              <w:rPr>
                <w:noProof/>
              </w:rPr>
              <w:t>Artigo 27.º</w:t>
            </w:r>
          </w:p>
        </w:tc>
      </w:tr>
      <w:tr w:rsidR="0066509A" w:rsidRPr="002374A6" w14:paraId="671BAC8A" w14:textId="77777777" w:rsidTr="00FE35DD">
        <w:tc>
          <w:tcPr>
            <w:tcW w:w="4621" w:type="dxa"/>
          </w:tcPr>
          <w:p w14:paraId="17311C28" w14:textId="4A1CD584" w:rsidR="00D866B3" w:rsidRPr="002374A6" w:rsidRDefault="00D866B3" w:rsidP="00931692">
            <w:pPr>
              <w:rPr>
                <w:noProof/>
              </w:rPr>
            </w:pPr>
            <w:r w:rsidRPr="002374A6">
              <w:rPr>
                <w:noProof/>
              </w:rPr>
              <w:t>Artigo 8</w:t>
            </w:r>
            <w:r w:rsidR="002374A6">
              <w:rPr>
                <w:noProof/>
              </w:rPr>
              <w:t>.º </w:t>
            </w:r>
          </w:p>
        </w:tc>
        <w:tc>
          <w:tcPr>
            <w:tcW w:w="4621" w:type="dxa"/>
          </w:tcPr>
          <w:p w14:paraId="1319FD6B" w14:textId="372CFBB7" w:rsidR="00D866B3" w:rsidRPr="002374A6" w:rsidRDefault="00D866B3" w:rsidP="00D276F0">
            <w:pPr>
              <w:rPr>
                <w:noProof/>
              </w:rPr>
            </w:pPr>
            <w:r w:rsidRPr="002374A6">
              <w:rPr>
                <w:noProof/>
              </w:rPr>
              <w:t>Artigo 17.º, n</w:t>
            </w:r>
            <w:r w:rsidR="002374A6">
              <w:rPr>
                <w:noProof/>
              </w:rPr>
              <w:t>.º </w:t>
            </w:r>
            <w:r w:rsidRPr="002374A6">
              <w:rPr>
                <w:noProof/>
              </w:rPr>
              <w:t>3 a n</w:t>
            </w:r>
            <w:r w:rsidR="002374A6">
              <w:rPr>
                <w:noProof/>
              </w:rPr>
              <w:t>.º </w:t>
            </w:r>
            <w:r w:rsidRPr="002374A6">
              <w:rPr>
                <w:noProof/>
              </w:rPr>
              <w:t>5, e artigos 29</w:t>
            </w:r>
            <w:r w:rsidR="002374A6">
              <w:rPr>
                <w:noProof/>
              </w:rPr>
              <w:t>.º </w:t>
            </w:r>
            <w:r w:rsidRPr="002374A6">
              <w:rPr>
                <w:noProof/>
              </w:rPr>
              <w:t>a 33.º</w:t>
            </w:r>
          </w:p>
        </w:tc>
      </w:tr>
      <w:tr w:rsidR="0066509A" w:rsidRPr="002374A6" w14:paraId="2EE38CC4" w14:textId="77777777" w:rsidTr="00FE35DD">
        <w:tc>
          <w:tcPr>
            <w:tcW w:w="4621" w:type="dxa"/>
          </w:tcPr>
          <w:p w14:paraId="23DE11CE" w14:textId="1BBD7BB1" w:rsidR="00D866B3" w:rsidRPr="002374A6" w:rsidRDefault="00D866B3" w:rsidP="00D866B3">
            <w:pPr>
              <w:rPr>
                <w:noProof/>
              </w:rPr>
            </w:pPr>
          </w:p>
        </w:tc>
        <w:tc>
          <w:tcPr>
            <w:tcW w:w="4621" w:type="dxa"/>
          </w:tcPr>
          <w:p w14:paraId="41387B6B" w14:textId="4F3EFB82" w:rsidR="00D866B3" w:rsidRPr="002374A6" w:rsidRDefault="00D866B3" w:rsidP="00FE35DD">
            <w:pPr>
              <w:rPr>
                <w:noProof/>
              </w:rPr>
            </w:pPr>
          </w:p>
        </w:tc>
      </w:tr>
      <w:tr w:rsidR="0066509A" w:rsidRPr="002374A6" w14:paraId="03316C9C" w14:textId="77777777" w:rsidTr="00FE35DD">
        <w:tc>
          <w:tcPr>
            <w:tcW w:w="4621" w:type="dxa"/>
          </w:tcPr>
          <w:p w14:paraId="51CA96C6" w14:textId="3E438BA2" w:rsidR="00D866B3" w:rsidRPr="002374A6" w:rsidRDefault="00D866B3" w:rsidP="00D866B3">
            <w:pPr>
              <w:rPr>
                <w:noProof/>
              </w:rPr>
            </w:pPr>
          </w:p>
        </w:tc>
        <w:tc>
          <w:tcPr>
            <w:tcW w:w="4621" w:type="dxa"/>
          </w:tcPr>
          <w:p w14:paraId="7A680269" w14:textId="4050A4C9" w:rsidR="00D866B3" w:rsidRPr="002374A6" w:rsidRDefault="00D866B3" w:rsidP="00FE35DD">
            <w:pPr>
              <w:rPr>
                <w:noProof/>
              </w:rPr>
            </w:pPr>
          </w:p>
        </w:tc>
      </w:tr>
      <w:tr w:rsidR="0066509A" w:rsidRPr="002374A6" w14:paraId="506DC403" w14:textId="77777777" w:rsidTr="00FE35DD">
        <w:tc>
          <w:tcPr>
            <w:tcW w:w="4621" w:type="dxa"/>
          </w:tcPr>
          <w:p w14:paraId="037AD9E0" w14:textId="70CE922D" w:rsidR="00D866B3" w:rsidRPr="002374A6" w:rsidRDefault="00D866B3" w:rsidP="00D866B3">
            <w:pPr>
              <w:rPr>
                <w:noProof/>
              </w:rPr>
            </w:pPr>
          </w:p>
        </w:tc>
        <w:tc>
          <w:tcPr>
            <w:tcW w:w="4621" w:type="dxa"/>
          </w:tcPr>
          <w:p w14:paraId="2FB1BB5E" w14:textId="3FCABC69" w:rsidR="00D866B3" w:rsidRPr="002374A6" w:rsidRDefault="00D866B3" w:rsidP="00FE35DD">
            <w:pPr>
              <w:rPr>
                <w:noProof/>
              </w:rPr>
            </w:pPr>
          </w:p>
        </w:tc>
      </w:tr>
      <w:tr w:rsidR="0066509A" w:rsidRPr="002374A6" w14:paraId="2BFE2759" w14:textId="77777777" w:rsidTr="00FE35DD">
        <w:tc>
          <w:tcPr>
            <w:tcW w:w="4621" w:type="dxa"/>
          </w:tcPr>
          <w:p w14:paraId="41BE758C" w14:textId="5FAAEFEB" w:rsidR="00D866B3" w:rsidRPr="002374A6" w:rsidRDefault="00D866B3" w:rsidP="00D866B3">
            <w:pPr>
              <w:rPr>
                <w:noProof/>
              </w:rPr>
            </w:pPr>
          </w:p>
        </w:tc>
        <w:tc>
          <w:tcPr>
            <w:tcW w:w="4621" w:type="dxa"/>
          </w:tcPr>
          <w:p w14:paraId="7FFD1AE8" w14:textId="3BC2FA2A" w:rsidR="00D866B3" w:rsidRPr="002374A6" w:rsidRDefault="00D866B3" w:rsidP="00FE35DD">
            <w:pPr>
              <w:rPr>
                <w:noProof/>
              </w:rPr>
            </w:pPr>
          </w:p>
        </w:tc>
      </w:tr>
      <w:tr w:rsidR="0066509A" w:rsidRPr="002374A6" w14:paraId="4C5DBE10" w14:textId="77777777" w:rsidTr="00FE35DD">
        <w:tc>
          <w:tcPr>
            <w:tcW w:w="4621" w:type="dxa"/>
          </w:tcPr>
          <w:p w14:paraId="58F84CF4" w14:textId="4203F766" w:rsidR="00D866B3" w:rsidRPr="002374A6" w:rsidRDefault="00D866B3" w:rsidP="00D866B3">
            <w:pPr>
              <w:rPr>
                <w:noProof/>
              </w:rPr>
            </w:pPr>
          </w:p>
        </w:tc>
        <w:tc>
          <w:tcPr>
            <w:tcW w:w="4621" w:type="dxa"/>
          </w:tcPr>
          <w:p w14:paraId="31EF8212" w14:textId="2D36CB3D" w:rsidR="00D866B3" w:rsidRPr="002374A6" w:rsidRDefault="00D866B3" w:rsidP="00FE35DD">
            <w:pPr>
              <w:rPr>
                <w:noProof/>
              </w:rPr>
            </w:pPr>
          </w:p>
        </w:tc>
      </w:tr>
      <w:tr w:rsidR="0066509A" w:rsidRPr="002374A6" w14:paraId="508FE693" w14:textId="77777777" w:rsidTr="00FE35DD">
        <w:tc>
          <w:tcPr>
            <w:tcW w:w="4621" w:type="dxa"/>
          </w:tcPr>
          <w:p w14:paraId="36DA1CFD" w14:textId="3BF5E80B" w:rsidR="00D866B3" w:rsidRPr="002374A6" w:rsidRDefault="00D866B3" w:rsidP="00931692">
            <w:pPr>
              <w:rPr>
                <w:noProof/>
              </w:rPr>
            </w:pPr>
            <w:r w:rsidRPr="002374A6">
              <w:rPr>
                <w:noProof/>
              </w:rPr>
              <w:t>Artigo 9</w:t>
            </w:r>
            <w:r w:rsidR="002374A6">
              <w:rPr>
                <w:noProof/>
              </w:rPr>
              <w:t>.º </w:t>
            </w:r>
          </w:p>
        </w:tc>
        <w:tc>
          <w:tcPr>
            <w:tcW w:w="4621" w:type="dxa"/>
          </w:tcPr>
          <w:p w14:paraId="0072D632" w14:textId="4FBD01DE" w:rsidR="00D866B3" w:rsidRPr="002374A6" w:rsidRDefault="00D866B3" w:rsidP="00C05890">
            <w:pPr>
              <w:rPr>
                <w:noProof/>
              </w:rPr>
            </w:pPr>
            <w:r w:rsidRPr="002374A6">
              <w:rPr>
                <w:noProof/>
              </w:rPr>
              <w:t>Artigos 20</w:t>
            </w:r>
            <w:r w:rsidR="002374A6">
              <w:rPr>
                <w:noProof/>
              </w:rPr>
              <w:t>.º </w:t>
            </w:r>
            <w:r w:rsidRPr="002374A6">
              <w:rPr>
                <w:noProof/>
              </w:rPr>
              <w:t>a 21.º</w:t>
            </w:r>
          </w:p>
        </w:tc>
      </w:tr>
      <w:tr w:rsidR="0066509A" w:rsidRPr="002374A6" w14:paraId="761CAB07" w14:textId="77777777" w:rsidTr="00FE35DD">
        <w:tc>
          <w:tcPr>
            <w:tcW w:w="4621" w:type="dxa"/>
          </w:tcPr>
          <w:p w14:paraId="0306ED7C" w14:textId="3ABBB673" w:rsidR="00D866B3" w:rsidRPr="002374A6" w:rsidRDefault="00D866B3" w:rsidP="00931692">
            <w:pPr>
              <w:rPr>
                <w:noProof/>
              </w:rPr>
            </w:pPr>
            <w:r w:rsidRPr="002374A6">
              <w:rPr>
                <w:noProof/>
              </w:rPr>
              <w:t>Artigo 10</w:t>
            </w:r>
            <w:r w:rsidR="002374A6">
              <w:rPr>
                <w:noProof/>
              </w:rPr>
              <w:t>.º </w:t>
            </w:r>
          </w:p>
        </w:tc>
        <w:tc>
          <w:tcPr>
            <w:tcW w:w="4621" w:type="dxa"/>
          </w:tcPr>
          <w:p w14:paraId="6C578F2D" w14:textId="1C18D7E7" w:rsidR="00D866B3" w:rsidRPr="002374A6" w:rsidRDefault="00D866B3" w:rsidP="007B34A6">
            <w:pPr>
              <w:rPr>
                <w:noProof/>
              </w:rPr>
            </w:pPr>
          </w:p>
        </w:tc>
      </w:tr>
      <w:tr w:rsidR="0066509A" w:rsidRPr="002374A6" w14:paraId="536F453C" w14:textId="77777777" w:rsidTr="00FE35DD">
        <w:tc>
          <w:tcPr>
            <w:tcW w:w="4621" w:type="dxa"/>
          </w:tcPr>
          <w:p w14:paraId="63BD7995" w14:textId="138D56BB" w:rsidR="00D866B3" w:rsidRPr="002374A6" w:rsidRDefault="00D866B3" w:rsidP="00931692">
            <w:pPr>
              <w:rPr>
                <w:noProof/>
              </w:rPr>
            </w:pPr>
            <w:r w:rsidRPr="002374A6">
              <w:rPr>
                <w:noProof/>
              </w:rPr>
              <w:t>Artigo 11.º</w:t>
            </w:r>
          </w:p>
        </w:tc>
        <w:tc>
          <w:tcPr>
            <w:tcW w:w="4621" w:type="dxa"/>
          </w:tcPr>
          <w:p w14:paraId="2BB17F59" w14:textId="001F7697" w:rsidR="00D866B3" w:rsidRPr="002374A6" w:rsidRDefault="00D866B3" w:rsidP="007B34A6">
            <w:pPr>
              <w:rPr>
                <w:noProof/>
              </w:rPr>
            </w:pPr>
            <w:r w:rsidRPr="002374A6">
              <w:rPr>
                <w:noProof/>
              </w:rPr>
              <w:t>Artigo 19.º</w:t>
            </w:r>
          </w:p>
        </w:tc>
      </w:tr>
      <w:tr w:rsidR="0066509A" w:rsidRPr="002374A6" w14:paraId="215A9B05" w14:textId="77777777" w:rsidTr="00FE35DD">
        <w:tc>
          <w:tcPr>
            <w:tcW w:w="4621" w:type="dxa"/>
          </w:tcPr>
          <w:p w14:paraId="2825F5D2" w14:textId="2337F35B" w:rsidR="00D866B3" w:rsidRPr="002374A6" w:rsidRDefault="00D866B3" w:rsidP="00931692">
            <w:pPr>
              <w:rPr>
                <w:noProof/>
              </w:rPr>
            </w:pPr>
            <w:r w:rsidRPr="002374A6">
              <w:rPr>
                <w:noProof/>
              </w:rPr>
              <w:t>Artigo 12.º</w:t>
            </w:r>
          </w:p>
        </w:tc>
        <w:tc>
          <w:tcPr>
            <w:tcW w:w="4621" w:type="dxa"/>
          </w:tcPr>
          <w:p w14:paraId="64621208" w14:textId="52151EC6" w:rsidR="00D866B3" w:rsidRPr="002374A6" w:rsidRDefault="00D866B3" w:rsidP="007B34A6">
            <w:pPr>
              <w:rPr>
                <w:noProof/>
              </w:rPr>
            </w:pPr>
            <w:r w:rsidRPr="002374A6">
              <w:rPr>
                <w:noProof/>
              </w:rPr>
              <w:t>Artigo 18.º</w:t>
            </w:r>
          </w:p>
        </w:tc>
      </w:tr>
      <w:tr w:rsidR="0066509A" w:rsidRPr="002374A6" w14:paraId="7500B9B3" w14:textId="77777777" w:rsidTr="00FE35DD">
        <w:tc>
          <w:tcPr>
            <w:tcW w:w="4621" w:type="dxa"/>
          </w:tcPr>
          <w:p w14:paraId="322240E4" w14:textId="731462FF" w:rsidR="00D866B3" w:rsidRPr="002374A6" w:rsidRDefault="00D866B3" w:rsidP="00931692">
            <w:pPr>
              <w:rPr>
                <w:noProof/>
              </w:rPr>
            </w:pPr>
            <w:r w:rsidRPr="002374A6">
              <w:rPr>
                <w:noProof/>
              </w:rPr>
              <w:t>Artigo 13.º</w:t>
            </w:r>
          </w:p>
        </w:tc>
        <w:tc>
          <w:tcPr>
            <w:tcW w:w="4621" w:type="dxa"/>
          </w:tcPr>
          <w:p w14:paraId="5884AD7F" w14:textId="0F4A7A4F" w:rsidR="00D866B3" w:rsidRPr="002374A6" w:rsidRDefault="00D866B3" w:rsidP="004F4CE2">
            <w:pPr>
              <w:rPr>
                <w:noProof/>
              </w:rPr>
            </w:pPr>
            <w:r w:rsidRPr="002374A6">
              <w:rPr>
                <w:noProof/>
              </w:rPr>
              <w:t>Artigo 22.º</w:t>
            </w:r>
          </w:p>
        </w:tc>
      </w:tr>
      <w:tr w:rsidR="0066509A" w:rsidRPr="002374A6" w14:paraId="66F27F67" w14:textId="77777777" w:rsidTr="00FE35DD">
        <w:tc>
          <w:tcPr>
            <w:tcW w:w="4621" w:type="dxa"/>
          </w:tcPr>
          <w:p w14:paraId="4D43BEE8" w14:textId="6760780B" w:rsidR="00D866B3" w:rsidRPr="002374A6" w:rsidRDefault="00D866B3" w:rsidP="00931692">
            <w:pPr>
              <w:rPr>
                <w:noProof/>
              </w:rPr>
            </w:pPr>
            <w:r w:rsidRPr="002374A6">
              <w:rPr>
                <w:noProof/>
              </w:rPr>
              <w:t>Artigo 14</w:t>
            </w:r>
            <w:r w:rsidR="002374A6">
              <w:rPr>
                <w:noProof/>
              </w:rPr>
              <w:t>.º </w:t>
            </w:r>
          </w:p>
        </w:tc>
        <w:tc>
          <w:tcPr>
            <w:tcW w:w="4621" w:type="dxa"/>
          </w:tcPr>
          <w:p w14:paraId="7CC6853D" w14:textId="06EB2181" w:rsidR="00D866B3" w:rsidRPr="002374A6" w:rsidRDefault="00D866B3" w:rsidP="004F4CE2">
            <w:pPr>
              <w:rPr>
                <w:noProof/>
              </w:rPr>
            </w:pPr>
            <w:r w:rsidRPr="002374A6">
              <w:rPr>
                <w:noProof/>
              </w:rPr>
              <w:t>Artigos 12</w:t>
            </w:r>
            <w:r w:rsidR="002374A6">
              <w:rPr>
                <w:noProof/>
              </w:rPr>
              <w:t>.º </w:t>
            </w:r>
            <w:r w:rsidRPr="002374A6">
              <w:rPr>
                <w:noProof/>
              </w:rPr>
              <w:t>a 16.º</w:t>
            </w:r>
          </w:p>
        </w:tc>
      </w:tr>
      <w:tr w:rsidR="0066509A" w:rsidRPr="002374A6" w14:paraId="697F2E08" w14:textId="77777777" w:rsidTr="00FE35DD">
        <w:tc>
          <w:tcPr>
            <w:tcW w:w="4621" w:type="dxa"/>
          </w:tcPr>
          <w:p w14:paraId="0479937C" w14:textId="1D52C183" w:rsidR="00D866B3" w:rsidRPr="002374A6" w:rsidRDefault="00D866B3" w:rsidP="00D866B3">
            <w:pPr>
              <w:rPr>
                <w:noProof/>
              </w:rPr>
            </w:pPr>
          </w:p>
        </w:tc>
        <w:tc>
          <w:tcPr>
            <w:tcW w:w="4621" w:type="dxa"/>
          </w:tcPr>
          <w:p w14:paraId="0A6BED67" w14:textId="0AD670CC" w:rsidR="00D866B3" w:rsidRPr="002374A6" w:rsidRDefault="00D866B3" w:rsidP="00FE35DD">
            <w:pPr>
              <w:rPr>
                <w:noProof/>
              </w:rPr>
            </w:pPr>
          </w:p>
        </w:tc>
      </w:tr>
      <w:tr w:rsidR="0066509A" w:rsidRPr="002374A6" w14:paraId="01E4150A" w14:textId="77777777" w:rsidTr="00FE35DD">
        <w:tc>
          <w:tcPr>
            <w:tcW w:w="4621" w:type="dxa"/>
          </w:tcPr>
          <w:p w14:paraId="040D5991" w14:textId="5FB1EA0B" w:rsidR="00D866B3" w:rsidRPr="002374A6" w:rsidRDefault="00D866B3" w:rsidP="00D866B3">
            <w:pPr>
              <w:rPr>
                <w:noProof/>
              </w:rPr>
            </w:pPr>
          </w:p>
        </w:tc>
        <w:tc>
          <w:tcPr>
            <w:tcW w:w="4621" w:type="dxa"/>
          </w:tcPr>
          <w:p w14:paraId="00E23A52" w14:textId="476CA115" w:rsidR="00D866B3" w:rsidRPr="002374A6" w:rsidRDefault="00D866B3" w:rsidP="00FE35DD">
            <w:pPr>
              <w:rPr>
                <w:noProof/>
              </w:rPr>
            </w:pPr>
          </w:p>
        </w:tc>
      </w:tr>
      <w:tr w:rsidR="0066509A" w:rsidRPr="002374A6" w14:paraId="4FFFF69B" w14:textId="77777777" w:rsidTr="00FE35DD">
        <w:tc>
          <w:tcPr>
            <w:tcW w:w="4621" w:type="dxa"/>
          </w:tcPr>
          <w:p w14:paraId="5047ECB0" w14:textId="4100CFD2" w:rsidR="00D866B3" w:rsidRPr="002374A6" w:rsidRDefault="00D866B3" w:rsidP="00931692">
            <w:pPr>
              <w:rPr>
                <w:noProof/>
              </w:rPr>
            </w:pPr>
            <w:r w:rsidRPr="002374A6">
              <w:rPr>
                <w:noProof/>
              </w:rPr>
              <w:t>Artigo 15.º</w:t>
            </w:r>
          </w:p>
        </w:tc>
        <w:tc>
          <w:tcPr>
            <w:tcW w:w="4621" w:type="dxa"/>
          </w:tcPr>
          <w:p w14:paraId="7F7F417B" w14:textId="5E2B5227" w:rsidR="00D866B3" w:rsidRPr="002374A6" w:rsidRDefault="00D866B3" w:rsidP="00AA512C">
            <w:pPr>
              <w:rPr>
                <w:noProof/>
              </w:rPr>
            </w:pPr>
            <w:r w:rsidRPr="002374A6">
              <w:rPr>
                <w:noProof/>
              </w:rPr>
              <w:t>Artigos 35</w:t>
            </w:r>
            <w:r w:rsidR="002374A6">
              <w:rPr>
                <w:noProof/>
              </w:rPr>
              <w:t>.º </w:t>
            </w:r>
            <w:r w:rsidRPr="002374A6">
              <w:rPr>
                <w:noProof/>
              </w:rPr>
              <w:t>e 36.º</w:t>
            </w:r>
          </w:p>
        </w:tc>
      </w:tr>
      <w:tr w:rsidR="0066509A" w:rsidRPr="002374A6" w14:paraId="53CCB874" w14:textId="77777777" w:rsidTr="00FE35DD">
        <w:tc>
          <w:tcPr>
            <w:tcW w:w="4621" w:type="dxa"/>
          </w:tcPr>
          <w:p w14:paraId="252D3F57" w14:textId="2E60DB34" w:rsidR="00D866B3" w:rsidRPr="002374A6" w:rsidRDefault="00D866B3" w:rsidP="00931692">
            <w:pPr>
              <w:rPr>
                <w:noProof/>
              </w:rPr>
            </w:pPr>
            <w:r w:rsidRPr="002374A6">
              <w:rPr>
                <w:noProof/>
              </w:rPr>
              <w:t>Artigo 16.º</w:t>
            </w:r>
          </w:p>
        </w:tc>
        <w:tc>
          <w:tcPr>
            <w:tcW w:w="4621" w:type="dxa"/>
          </w:tcPr>
          <w:p w14:paraId="629A4818" w14:textId="01B9E903" w:rsidR="00D866B3" w:rsidRPr="002374A6" w:rsidRDefault="00D276F0" w:rsidP="00BB4E03">
            <w:pPr>
              <w:rPr>
                <w:noProof/>
              </w:rPr>
            </w:pPr>
            <w:r w:rsidRPr="002374A6">
              <w:rPr>
                <w:noProof/>
              </w:rPr>
              <w:t>Artigo 11.º, n</w:t>
            </w:r>
            <w:r w:rsidR="002374A6">
              <w:rPr>
                <w:noProof/>
              </w:rPr>
              <w:t>.º </w:t>
            </w:r>
            <w:r w:rsidRPr="002374A6">
              <w:rPr>
                <w:noProof/>
              </w:rPr>
              <w:t>7, artigo 15.º, n</w:t>
            </w:r>
            <w:r w:rsidR="002374A6">
              <w:rPr>
                <w:noProof/>
              </w:rPr>
              <w:t>.º </w:t>
            </w:r>
            <w:r w:rsidRPr="002374A6">
              <w:rPr>
                <w:noProof/>
              </w:rPr>
              <w:t>13, e artigo 42.º, n</w:t>
            </w:r>
            <w:r w:rsidR="002374A6">
              <w:rPr>
                <w:noProof/>
              </w:rPr>
              <w:t>.º </w:t>
            </w:r>
            <w:r w:rsidRPr="002374A6">
              <w:rPr>
                <w:noProof/>
              </w:rPr>
              <w:t>2</w:t>
            </w:r>
          </w:p>
        </w:tc>
      </w:tr>
      <w:tr w:rsidR="0066509A" w:rsidRPr="002374A6" w14:paraId="2E04CDD7" w14:textId="77777777" w:rsidTr="00FE35DD">
        <w:tc>
          <w:tcPr>
            <w:tcW w:w="4621" w:type="dxa"/>
          </w:tcPr>
          <w:p w14:paraId="0DB9F94D" w14:textId="0FA273A3" w:rsidR="00D866B3" w:rsidRPr="002374A6" w:rsidRDefault="00D866B3" w:rsidP="00931692">
            <w:pPr>
              <w:rPr>
                <w:noProof/>
              </w:rPr>
            </w:pPr>
            <w:r w:rsidRPr="002374A6">
              <w:rPr>
                <w:noProof/>
              </w:rPr>
              <w:t>Artigo 17.º</w:t>
            </w:r>
          </w:p>
        </w:tc>
        <w:tc>
          <w:tcPr>
            <w:tcW w:w="4621" w:type="dxa"/>
          </w:tcPr>
          <w:p w14:paraId="66DC570F" w14:textId="6B6B9955" w:rsidR="00D866B3" w:rsidRPr="002374A6" w:rsidRDefault="00D866B3" w:rsidP="00812205">
            <w:pPr>
              <w:rPr>
                <w:noProof/>
              </w:rPr>
            </w:pPr>
            <w:r w:rsidRPr="002374A6">
              <w:rPr>
                <w:noProof/>
              </w:rPr>
              <w:t>Artigo 38.º</w:t>
            </w:r>
          </w:p>
        </w:tc>
      </w:tr>
      <w:tr w:rsidR="0066509A" w:rsidRPr="002374A6" w14:paraId="11DAB825" w14:textId="77777777" w:rsidTr="00FE35DD">
        <w:tc>
          <w:tcPr>
            <w:tcW w:w="4621" w:type="dxa"/>
          </w:tcPr>
          <w:p w14:paraId="5EC36630" w14:textId="177736A3" w:rsidR="00D866B3" w:rsidRPr="002374A6" w:rsidRDefault="00D866B3" w:rsidP="00931692">
            <w:pPr>
              <w:rPr>
                <w:noProof/>
              </w:rPr>
            </w:pPr>
            <w:r w:rsidRPr="002374A6">
              <w:rPr>
                <w:noProof/>
              </w:rPr>
              <w:t>Artigo 18.º</w:t>
            </w:r>
          </w:p>
        </w:tc>
        <w:tc>
          <w:tcPr>
            <w:tcW w:w="4621" w:type="dxa"/>
          </w:tcPr>
          <w:p w14:paraId="30A0549C" w14:textId="19E63948" w:rsidR="00D866B3" w:rsidRPr="002374A6" w:rsidRDefault="00D866B3" w:rsidP="00FE35DD">
            <w:pPr>
              <w:rPr>
                <w:noProof/>
              </w:rPr>
            </w:pPr>
          </w:p>
        </w:tc>
      </w:tr>
      <w:tr w:rsidR="0066509A" w:rsidRPr="002374A6" w14:paraId="136BAFCE" w14:textId="77777777" w:rsidTr="00FE35DD">
        <w:tc>
          <w:tcPr>
            <w:tcW w:w="4621" w:type="dxa"/>
          </w:tcPr>
          <w:p w14:paraId="25EBAAED" w14:textId="36EAA3B5" w:rsidR="00D866B3" w:rsidRPr="002374A6" w:rsidRDefault="00D866B3" w:rsidP="00931692">
            <w:pPr>
              <w:rPr>
                <w:noProof/>
              </w:rPr>
            </w:pPr>
            <w:r w:rsidRPr="002374A6">
              <w:rPr>
                <w:noProof/>
              </w:rPr>
              <w:t>Artigo 19.º</w:t>
            </w:r>
          </w:p>
        </w:tc>
        <w:tc>
          <w:tcPr>
            <w:tcW w:w="4621" w:type="dxa"/>
          </w:tcPr>
          <w:p w14:paraId="3EDF311B" w14:textId="30304C1C" w:rsidR="00D866B3" w:rsidRPr="002374A6" w:rsidRDefault="00D866B3" w:rsidP="00812205">
            <w:pPr>
              <w:rPr>
                <w:noProof/>
              </w:rPr>
            </w:pPr>
            <w:r w:rsidRPr="002374A6">
              <w:rPr>
                <w:noProof/>
              </w:rPr>
              <w:t>Artigo 39.º</w:t>
            </w:r>
          </w:p>
        </w:tc>
      </w:tr>
      <w:tr w:rsidR="0066509A" w:rsidRPr="002374A6" w14:paraId="65A7D496" w14:textId="77777777" w:rsidTr="00FE35DD">
        <w:tc>
          <w:tcPr>
            <w:tcW w:w="4621" w:type="dxa"/>
          </w:tcPr>
          <w:p w14:paraId="64578123" w14:textId="57E5F031" w:rsidR="00D866B3" w:rsidRPr="002374A6" w:rsidRDefault="00D866B3" w:rsidP="00931692">
            <w:pPr>
              <w:rPr>
                <w:noProof/>
              </w:rPr>
            </w:pPr>
            <w:r w:rsidRPr="002374A6">
              <w:rPr>
                <w:noProof/>
              </w:rPr>
              <w:t>Artigo 20</w:t>
            </w:r>
            <w:r w:rsidR="002374A6">
              <w:rPr>
                <w:noProof/>
              </w:rPr>
              <w:t>.º </w:t>
            </w:r>
          </w:p>
        </w:tc>
        <w:tc>
          <w:tcPr>
            <w:tcW w:w="4621" w:type="dxa"/>
          </w:tcPr>
          <w:p w14:paraId="42E8523D" w14:textId="46A5C04F" w:rsidR="00D866B3" w:rsidRPr="002374A6" w:rsidRDefault="002B3821" w:rsidP="00FE35DD">
            <w:pPr>
              <w:rPr>
                <w:noProof/>
              </w:rPr>
            </w:pPr>
            <w:r w:rsidRPr="002374A6">
              <w:rPr>
                <w:noProof/>
              </w:rPr>
              <w:t>Artigo 31.º, n</w:t>
            </w:r>
            <w:r w:rsidR="002374A6">
              <w:rPr>
                <w:noProof/>
              </w:rPr>
              <w:t>.º </w:t>
            </w:r>
            <w:r w:rsidRPr="002374A6">
              <w:rPr>
                <w:noProof/>
              </w:rPr>
              <w:t>11</w:t>
            </w:r>
          </w:p>
        </w:tc>
      </w:tr>
      <w:tr w:rsidR="0066509A" w:rsidRPr="002374A6" w14:paraId="1C9FFA79" w14:textId="77777777" w:rsidTr="00FE35DD">
        <w:tc>
          <w:tcPr>
            <w:tcW w:w="4621" w:type="dxa"/>
          </w:tcPr>
          <w:p w14:paraId="68C8C5BD" w14:textId="005BB6FA" w:rsidR="00D866B3" w:rsidRPr="002374A6" w:rsidRDefault="00D866B3" w:rsidP="00931692">
            <w:pPr>
              <w:rPr>
                <w:noProof/>
              </w:rPr>
            </w:pPr>
            <w:r w:rsidRPr="002374A6">
              <w:rPr>
                <w:noProof/>
              </w:rPr>
              <w:t>Artigo 21.º</w:t>
            </w:r>
          </w:p>
        </w:tc>
        <w:tc>
          <w:tcPr>
            <w:tcW w:w="4621" w:type="dxa"/>
          </w:tcPr>
          <w:p w14:paraId="11F26F2E" w14:textId="27708AE5" w:rsidR="00D866B3" w:rsidRPr="002374A6" w:rsidRDefault="00D866B3" w:rsidP="002B3821">
            <w:pPr>
              <w:rPr>
                <w:noProof/>
              </w:rPr>
            </w:pPr>
            <w:r w:rsidRPr="002374A6">
              <w:rPr>
                <w:noProof/>
              </w:rPr>
              <w:t>Artigo 41.º</w:t>
            </w:r>
          </w:p>
        </w:tc>
      </w:tr>
      <w:tr w:rsidR="0066509A" w:rsidRPr="002374A6" w14:paraId="6B011F71" w14:textId="77777777" w:rsidTr="00FE35DD">
        <w:tc>
          <w:tcPr>
            <w:tcW w:w="4621" w:type="dxa"/>
          </w:tcPr>
          <w:p w14:paraId="0E6A3CE8" w14:textId="18DE2BC3" w:rsidR="00D866B3" w:rsidRPr="002374A6" w:rsidRDefault="00D866B3" w:rsidP="00931692">
            <w:pPr>
              <w:rPr>
                <w:noProof/>
              </w:rPr>
            </w:pPr>
            <w:r w:rsidRPr="002374A6">
              <w:rPr>
                <w:noProof/>
              </w:rPr>
              <w:t>Artigo 22.º</w:t>
            </w:r>
          </w:p>
        </w:tc>
        <w:tc>
          <w:tcPr>
            <w:tcW w:w="4621" w:type="dxa"/>
          </w:tcPr>
          <w:p w14:paraId="0A3D415C" w14:textId="77777777" w:rsidR="00D866B3" w:rsidRPr="002374A6" w:rsidRDefault="00D866B3" w:rsidP="00FE35DD">
            <w:pPr>
              <w:rPr>
                <w:noProof/>
              </w:rPr>
            </w:pPr>
            <w:r w:rsidRPr="002374A6">
              <w:rPr>
                <w:noProof/>
              </w:rPr>
              <w:t>—</w:t>
            </w:r>
          </w:p>
        </w:tc>
      </w:tr>
      <w:tr w:rsidR="0066509A" w:rsidRPr="002374A6" w14:paraId="5476FB23" w14:textId="77777777" w:rsidTr="00FE35DD">
        <w:tc>
          <w:tcPr>
            <w:tcW w:w="4621" w:type="dxa"/>
          </w:tcPr>
          <w:p w14:paraId="5E0F9C18" w14:textId="7B78D2F5" w:rsidR="00D866B3" w:rsidRPr="002374A6" w:rsidRDefault="00D866B3" w:rsidP="00931692">
            <w:pPr>
              <w:rPr>
                <w:noProof/>
              </w:rPr>
            </w:pPr>
            <w:r w:rsidRPr="002374A6">
              <w:rPr>
                <w:noProof/>
              </w:rPr>
              <w:t>Artigo 23.º</w:t>
            </w:r>
          </w:p>
        </w:tc>
        <w:tc>
          <w:tcPr>
            <w:tcW w:w="4621" w:type="dxa"/>
          </w:tcPr>
          <w:p w14:paraId="2A492E03" w14:textId="77777777" w:rsidR="00D866B3" w:rsidRPr="002374A6" w:rsidRDefault="00D866B3" w:rsidP="00FE35DD">
            <w:pPr>
              <w:rPr>
                <w:noProof/>
              </w:rPr>
            </w:pPr>
            <w:r w:rsidRPr="002374A6">
              <w:rPr>
                <w:noProof/>
              </w:rPr>
              <w:t>—</w:t>
            </w:r>
          </w:p>
        </w:tc>
      </w:tr>
      <w:tr w:rsidR="0066509A" w:rsidRPr="002374A6" w14:paraId="4E57F1B4" w14:textId="77777777" w:rsidTr="00FE35DD">
        <w:tc>
          <w:tcPr>
            <w:tcW w:w="4621" w:type="dxa"/>
          </w:tcPr>
          <w:p w14:paraId="31F3A53D" w14:textId="1E41A279" w:rsidR="00D866B3" w:rsidRPr="002374A6" w:rsidRDefault="00D866B3" w:rsidP="00931692">
            <w:pPr>
              <w:rPr>
                <w:noProof/>
              </w:rPr>
            </w:pPr>
            <w:r w:rsidRPr="002374A6">
              <w:rPr>
                <w:noProof/>
              </w:rPr>
              <w:t>Artigo 24.º</w:t>
            </w:r>
          </w:p>
        </w:tc>
        <w:tc>
          <w:tcPr>
            <w:tcW w:w="4621" w:type="dxa"/>
          </w:tcPr>
          <w:p w14:paraId="662FAEF6" w14:textId="238D4DB5" w:rsidR="00D866B3" w:rsidRPr="002374A6" w:rsidRDefault="00D866B3" w:rsidP="002B3821">
            <w:pPr>
              <w:rPr>
                <w:noProof/>
              </w:rPr>
            </w:pPr>
            <w:r w:rsidRPr="002374A6">
              <w:rPr>
                <w:noProof/>
              </w:rPr>
              <w:t>Artigo 44.º</w:t>
            </w:r>
          </w:p>
        </w:tc>
      </w:tr>
      <w:tr w:rsidR="0066509A" w:rsidRPr="002374A6" w14:paraId="148A4BB1" w14:textId="77777777" w:rsidTr="00FE35DD">
        <w:tc>
          <w:tcPr>
            <w:tcW w:w="4621" w:type="dxa"/>
          </w:tcPr>
          <w:p w14:paraId="53C811CD" w14:textId="29DACE6C" w:rsidR="00D866B3" w:rsidRPr="002374A6" w:rsidRDefault="00D866B3" w:rsidP="00D866B3">
            <w:pPr>
              <w:rPr>
                <w:noProof/>
              </w:rPr>
            </w:pPr>
            <w:r w:rsidRPr="002374A6">
              <w:rPr>
                <w:noProof/>
              </w:rPr>
              <w:t>Artigo 25.º</w:t>
            </w:r>
          </w:p>
        </w:tc>
        <w:tc>
          <w:tcPr>
            <w:tcW w:w="4621" w:type="dxa"/>
          </w:tcPr>
          <w:p w14:paraId="1DF32976" w14:textId="77777777" w:rsidR="00D866B3" w:rsidRPr="002374A6" w:rsidRDefault="00D866B3" w:rsidP="00FE35DD">
            <w:pPr>
              <w:rPr>
                <w:noProof/>
              </w:rPr>
            </w:pPr>
            <w:r w:rsidRPr="002374A6">
              <w:rPr>
                <w:noProof/>
              </w:rPr>
              <w:t>—</w:t>
            </w:r>
          </w:p>
        </w:tc>
      </w:tr>
      <w:tr w:rsidR="0066509A" w:rsidRPr="002374A6" w14:paraId="7746BC72" w14:textId="77777777" w:rsidTr="00FE35DD">
        <w:tc>
          <w:tcPr>
            <w:tcW w:w="4621" w:type="dxa"/>
          </w:tcPr>
          <w:p w14:paraId="716F8C14" w14:textId="1C928CB0" w:rsidR="00D866B3" w:rsidRPr="002374A6" w:rsidRDefault="00D866B3" w:rsidP="00931692">
            <w:pPr>
              <w:rPr>
                <w:noProof/>
              </w:rPr>
            </w:pPr>
            <w:r w:rsidRPr="002374A6">
              <w:rPr>
                <w:noProof/>
              </w:rPr>
              <w:t>Anexo I</w:t>
            </w:r>
          </w:p>
        </w:tc>
        <w:tc>
          <w:tcPr>
            <w:tcW w:w="4621" w:type="dxa"/>
          </w:tcPr>
          <w:p w14:paraId="2AC589DD" w14:textId="7EEADC69" w:rsidR="00D866B3" w:rsidRPr="002374A6" w:rsidRDefault="00D866B3" w:rsidP="002B3821">
            <w:pPr>
              <w:rPr>
                <w:noProof/>
              </w:rPr>
            </w:pPr>
            <w:r w:rsidRPr="002374A6">
              <w:rPr>
                <w:noProof/>
              </w:rPr>
              <w:t>Anexo III</w:t>
            </w:r>
          </w:p>
        </w:tc>
      </w:tr>
      <w:tr w:rsidR="0066509A" w:rsidRPr="002374A6" w14:paraId="4337E68D" w14:textId="77777777" w:rsidTr="00FE35DD">
        <w:tc>
          <w:tcPr>
            <w:tcW w:w="4621" w:type="dxa"/>
          </w:tcPr>
          <w:p w14:paraId="3203FB59" w14:textId="5DA897D8" w:rsidR="00D866B3" w:rsidRPr="002374A6" w:rsidRDefault="00D866B3" w:rsidP="00931692">
            <w:pPr>
              <w:rPr>
                <w:noProof/>
              </w:rPr>
            </w:pPr>
            <w:r w:rsidRPr="002374A6">
              <w:rPr>
                <w:noProof/>
              </w:rPr>
              <w:t>Anexo II</w:t>
            </w:r>
          </w:p>
        </w:tc>
        <w:tc>
          <w:tcPr>
            <w:tcW w:w="4621" w:type="dxa"/>
          </w:tcPr>
          <w:p w14:paraId="4E76EB91" w14:textId="1316A92D" w:rsidR="00D866B3" w:rsidRPr="002374A6" w:rsidRDefault="00D866B3" w:rsidP="002B3821">
            <w:pPr>
              <w:rPr>
                <w:noProof/>
              </w:rPr>
            </w:pPr>
            <w:r w:rsidRPr="002374A6">
              <w:rPr>
                <w:noProof/>
              </w:rPr>
              <w:t>Anexo IV</w:t>
            </w:r>
          </w:p>
        </w:tc>
      </w:tr>
      <w:tr w:rsidR="0066509A" w:rsidRPr="002374A6" w14:paraId="38B3356A" w14:textId="77777777" w:rsidTr="00FE35DD">
        <w:tc>
          <w:tcPr>
            <w:tcW w:w="4621" w:type="dxa"/>
          </w:tcPr>
          <w:p w14:paraId="07BDEA1A" w14:textId="27D62D16" w:rsidR="00D866B3" w:rsidRPr="002374A6" w:rsidRDefault="00D866B3" w:rsidP="00931692">
            <w:pPr>
              <w:rPr>
                <w:noProof/>
              </w:rPr>
            </w:pPr>
            <w:r w:rsidRPr="002374A6">
              <w:rPr>
                <w:noProof/>
              </w:rPr>
              <w:t>Anexo III</w:t>
            </w:r>
          </w:p>
        </w:tc>
        <w:tc>
          <w:tcPr>
            <w:tcW w:w="4621" w:type="dxa"/>
          </w:tcPr>
          <w:p w14:paraId="499A1F65" w14:textId="6764CEBB" w:rsidR="00D866B3" w:rsidRPr="002374A6" w:rsidRDefault="00D866B3" w:rsidP="00FE35DD">
            <w:pPr>
              <w:rPr>
                <w:noProof/>
              </w:rPr>
            </w:pPr>
          </w:p>
        </w:tc>
      </w:tr>
      <w:tr w:rsidR="00D866B3" w:rsidRPr="002374A6" w14:paraId="47FE0AD0" w14:textId="77777777" w:rsidTr="00FE35DD">
        <w:tc>
          <w:tcPr>
            <w:tcW w:w="4621" w:type="dxa"/>
          </w:tcPr>
          <w:p w14:paraId="7B296DE1" w14:textId="4ABA534A" w:rsidR="00D866B3" w:rsidRPr="002374A6" w:rsidRDefault="00D866B3" w:rsidP="00931692">
            <w:pPr>
              <w:rPr>
                <w:noProof/>
              </w:rPr>
            </w:pPr>
            <w:r w:rsidRPr="002374A6">
              <w:rPr>
                <w:noProof/>
              </w:rPr>
              <w:t>Anexo IV</w:t>
            </w:r>
          </w:p>
        </w:tc>
        <w:tc>
          <w:tcPr>
            <w:tcW w:w="4621" w:type="dxa"/>
          </w:tcPr>
          <w:p w14:paraId="52A967C0" w14:textId="215BBC4B" w:rsidR="00D866B3" w:rsidRPr="002374A6" w:rsidRDefault="00D866B3" w:rsidP="002B3821">
            <w:pPr>
              <w:rPr>
                <w:noProof/>
              </w:rPr>
            </w:pPr>
            <w:r w:rsidRPr="002374A6">
              <w:rPr>
                <w:noProof/>
              </w:rPr>
              <w:t>Anexo VI</w:t>
            </w:r>
          </w:p>
        </w:tc>
      </w:tr>
    </w:tbl>
    <w:p w14:paraId="77F1B423" w14:textId="77777777" w:rsidR="00D866B3" w:rsidRPr="002374A6" w:rsidRDefault="00D866B3" w:rsidP="00D866B3">
      <w:pPr>
        <w:rPr>
          <w:noProof/>
        </w:rPr>
      </w:pPr>
    </w:p>
    <w:sectPr w:rsidR="00D866B3" w:rsidRPr="002374A6" w:rsidSect="003D34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75BB" w14:textId="77777777" w:rsidR="00F16582" w:rsidRDefault="00F16582" w:rsidP="00FA7E56">
      <w:pPr>
        <w:spacing w:before="0" w:after="0"/>
      </w:pPr>
      <w:r>
        <w:separator/>
      </w:r>
    </w:p>
  </w:endnote>
  <w:endnote w:type="continuationSeparator" w:id="0">
    <w:p w14:paraId="7684C220" w14:textId="77777777" w:rsidR="00F16582" w:rsidRDefault="00F16582" w:rsidP="00FA7E56">
      <w:pPr>
        <w:spacing w:before="0" w:after="0"/>
      </w:pPr>
      <w:r>
        <w:continuationSeparator/>
      </w:r>
    </w:p>
  </w:endnote>
  <w:endnote w:type="continuationNotice" w:id="1">
    <w:p w14:paraId="62CBB850" w14:textId="77777777" w:rsidR="00F16582" w:rsidRDefault="00F16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864C" w14:textId="77777777" w:rsidR="003D3418" w:rsidRPr="003D3418" w:rsidRDefault="003D3418" w:rsidP="003D3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9F72" w14:textId="04D8E405" w:rsidR="002374A6" w:rsidRPr="003D3418" w:rsidRDefault="003D3418" w:rsidP="003D3418">
    <w:pPr>
      <w:pStyle w:val="Footer"/>
      <w:rPr>
        <w:rFonts w:ascii="Arial" w:hAnsi="Arial" w:cs="Arial"/>
        <w:b/>
        <w:sz w:val="48"/>
      </w:rPr>
    </w:pPr>
    <w:r w:rsidRPr="003D3418">
      <w:rPr>
        <w:rFonts w:ascii="Arial" w:hAnsi="Arial" w:cs="Arial"/>
        <w:b/>
        <w:sz w:val="48"/>
      </w:rPr>
      <w:t>PT</w:t>
    </w:r>
    <w:r w:rsidRPr="003D3418">
      <w:rPr>
        <w:rFonts w:ascii="Arial" w:hAnsi="Arial" w:cs="Arial"/>
        <w:b/>
        <w:sz w:val="48"/>
      </w:rPr>
      <w:tab/>
    </w:r>
    <w:r w:rsidRPr="003D3418">
      <w:rPr>
        <w:rFonts w:ascii="Arial" w:hAnsi="Arial" w:cs="Arial"/>
        <w:b/>
        <w:sz w:val="48"/>
      </w:rPr>
      <w:tab/>
    </w:r>
    <w:r w:rsidRPr="003D3418">
      <w:tab/>
    </w:r>
    <w:r w:rsidRPr="003D3418">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B42D" w14:textId="77777777" w:rsidR="003D3418" w:rsidRPr="003D3418" w:rsidRDefault="003D3418" w:rsidP="003D3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520B" w14:textId="4DEE5AE9" w:rsidR="003D3418" w:rsidRPr="003D3418" w:rsidRDefault="003D3418" w:rsidP="003D3418">
    <w:pPr>
      <w:pStyle w:val="Footer"/>
      <w:rPr>
        <w:rFonts w:ascii="Arial" w:hAnsi="Arial" w:cs="Arial"/>
        <w:b/>
        <w:sz w:val="48"/>
      </w:rPr>
    </w:pPr>
    <w:r w:rsidRPr="003D3418">
      <w:rPr>
        <w:rFonts w:ascii="Arial" w:hAnsi="Arial" w:cs="Arial"/>
        <w:b/>
        <w:sz w:val="48"/>
      </w:rPr>
      <w:t>PT</w:t>
    </w:r>
    <w:r w:rsidRPr="003D34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D3418">
      <w:tab/>
    </w:r>
    <w:r w:rsidRPr="003D3418">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569F" w14:textId="77777777" w:rsidR="003D3418" w:rsidRPr="003D3418" w:rsidRDefault="003D3418" w:rsidP="003D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6AB7" w14:textId="77777777" w:rsidR="00F16582" w:rsidRDefault="00F16582" w:rsidP="00FA7E56">
      <w:pPr>
        <w:spacing w:before="0" w:after="0"/>
      </w:pPr>
      <w:r>
        <w:separator/>
      </w:r>
    </w:p>
  </w:footnote>
  <w:footnote w:type="continuationSeparator" w:id="0">
    <w:p w14:paraId="1217F952" w14:textId="77777777" w:rsidR="00F16582" w:rsidRDefault="00F16582" w:rsidP="00FA7E56">
      <w:pPr>
        <w:spacing w:before="0" w:after="0"/>
      </w:pPr>
      <w:r>
        <w:continuationSeparator/>
      </w:r>
    </w:p>
  </w:footnote>
  <w:footnote w:type="continuationNotice" w:id="1">
    <w:p w14:paraId="583242EF" w14:textId="77777777" w:rsidR="00F16582" w:rsidRDefault="00F16582">
      <w:pPr>
        <w:spacing w:before="0" w:after="0"/>
      </w:pPr>
    </w:p>
  </w:footnote>
  <w:footnote w:id="2">
    <w:p w14:paraId="5B2F640E" w14:textId="16305011" w:rsidR="00F16582" w:rsidRPr="002374A6" w:rsidRDefault="00F16582" w:rsidP="001D2C1D">
      <w:pPr>
        <w:pStyle w:val="FootnoteText"/>
      </w:pPr>
      <w:r>
        <w:rPr>
          <w:rStyle w:val="FootnoteReference"/>
        </w:rPr>
        <w:footnoteRef/>
      </w:r>
      <w:r w:rsidRPr="002374A6">
        <w:tab/>
        <w:t>Regulamento (CE) n</w:t>
      </w:r>
      <w:r w:rsidR="002374A6">
        <w:t>.º </w:t>
      </w:r>
      <w:r w:rsidRPr="002374A6">
        <w:t>1185/2009 do Parlamento Europeu e do Conselho, de 25 de novembro de 2009, relativo às estatísticas sobre pesticidas (JO L 324 de 10.12.2009, p. 1).</w:t>
      </w:r>
    </w:p>
  </w:footnote>
  <w:footnote w:id="3">
    <w:p w14:paraId="5A2F19C2" w14:textId="599775C5" w:rsidR="00F16582" w:rsidRPr="002374A6" w:rsidRDefault="00F16582">
      <w:pPr>
        <w:pStyle w:val="FootnoteText"/>
      </w:pPr>
      <w:r>
        <w:rPr>
          <w:rStyle w:val="FootnoteReference"/>
        </w:rPr>
        <w:footnoteRef/>
      </w:r>
      <w:r w:rsidRPr="002374A6">
        <w:tab/>
        <w:t>Regulamento de Execução (UE) n</w:t>
      </w:r>
      <w:r w:rsidR="002374A6">
        <w:t>.º </w:t>
      </w:r>
      <w:r w:rsidRPr="002374A6">
        <w:t>540/2011 da Comissão, de 25 de maio de 2011, que dá execução ao Regulamento (CE) n</w:t>
      </w:r>
      <w:r w:rsidR="002374A6">
        <w:t>.º </w:t>
      </w:r>
      <w:r w:rsidRPr="002374A6">
        <w:t>1107/2009 do Parlamento Europeu e do Conselho no que diz respeito à lista de substâncias ativas aprovadas (JO L 153 de 11.6.2011, p. 1).</w:t>
      </w:r>
    </w:p>
  </w:footnote>
  <w:footnote w:id="4">
    <w:p w14:paraId="5BFB73FF" w14:textId="39C1121D" w:rsidR="00F16582" w:rsidRPr="002374A6" w:rsidRDefault="00F16582" w:rsidP="00840C9B">
      <w:pPr>
        <w:pStyle w:val="FootnoteText"/>
      </w:pPr>
      <w:r>
        <w:rPr>
          <w:rStyle w:val="FootnoteReference"/>
        </w:rPr>
        <w:footnoteRef/>
      </w:r>
      <w:r w:rsidRPr="002374A6">
        <w:tab/>
      </w:r>
      <w:r w:rsidRPr="002374A6">
        <w:rPr>
          <w:shd w:val="clear" w:color="auto" w:fill="FFFFFF"/>
        </w:rPr>
        <w:t>Regulamento (CE) n</w:t>
      </w:r>
      <w:r w:rsidR="002374A6">
        <w:rPr>
          <w:shd w:val="clear" w:color="auto" w:fill="FFFFFF"/>
        </w:rPr>
        <w:t>.º </w:t>
      </w:r>
      <w:r w:rsidRPr="002374A6">
        <w:rPr>
          <w:shd w:val="clear" w:color="auto" w:fill="FFFFFF"/>
        </w:rPr>
        <w:t>1107/2009 do Parlamento Europeu e do Conselho, de 21 de outubro de 2009, relativo à colocação dos produtos fitofarmacêuticos no mercado e que revoga as Diretivas 79/117/CEE e 91/414/CEE do Conselho (</w:t>
      </w:r>
      <w:r w:rsidRPr="002374A6">
        <w:rPr>
          <w:rStyle w:val="Emphasis"/>
          <w:i w:val="0"/>
          <w:shd w:val="clear" w:color="auto" w:fill="FFFFFF"/>
        </w:rPr>
        <w:t>JO L 309 de 24.11.2009, p. 1).</w:t>
      </w:r>
    </w:p>
  </w:footnote>
  <w:footnote w:id="5">
    <w:p w14:paraId="1BC71291" w14:textId="502B8F16" w:rsidR="00F16582" w:rsidRPr="002374A6" w:rsidRDefault="00F16582">
      <w:pPr>
        <w:pStyle w:val="FootnoteText"/>
      </w:pPr>
      <w:r>
        <w:rPr>
          <w:rStyle w:val="FootnoteReference"/>
        </w:rPr>
        <w:footnoteRef/>
      </w:r>
      <w:r w:rsidRPr="002374A6">
        <w:tab/>
        <w:t>Regulamento (CE) n</w:t>
      </w:r>
      <w:r w:rsidR="002374A6">
        <w:t>.º </w:t>
      </w:r>
      <w:r w:rsidRPr="002374A6">
        <w:t>396/2005 do Parlamento Europeu e do Conselho, de 23 de fevereiro de 2005, relativo aos limites máximos de resíduos de pesticidas no interior e à superfície dos géneros alimentícios e dos alimentos para animais, de origem vegetal ou animal, e que altera a Diretiva 91/414/CEE do Conselho (JO L 70 de 16.3.2005, p. 1).</w:t>
      </w:r>
    </w:p>
  </w:footnote>
  <w:footnote w:id="6">
    <w:p w14:paraId="194A231E" w14:textId="241A34DA" w:rsidR="00F16582" w:rsidRPr="002374A6" w:rsidRDefault="00F16582" w:rsidP="00840C9B">
      <w:pPr>
        <w:pStyle w:val="FootnoteText"/>
      </w:pPr>
      <w:r>
        <w:rPr>
          <w:rStyle w:val="FootnoteReference"/>
        </w:rPr>
        <w:footnoteRef/>
      </w:r>
      <w:r w:rsidRPr="002374A6">
        <w:tab/>
        <w:t>Regulamento (UE) n</w:t>
      </w:r>
      <w:r w:rsidR="002374A6">
        <w:t>.º </w:t>
      </w:r>
      <w:r w:rsidRPr="002374A6">
        <w:t xml:space="preserve">528/2012 do Parlamento Europeu e do Conselho, de 22 de maio de 2012, relativo à disponibilização no mercado e à utilização de produtos biocidas (JO L 167 de 27.6.2012, p. 1). </w:t>
      </w:r>
    </w:p>
  </w:footnote>
  <w:footnote w:id="7">
    <w:p w14:paraId="5F003C8D" w14:textId="34EE2240" w:rsidR="00F16582" w:rsidRPr="002374A6" w:rsidRDefault="00F16582">
      <w:pPr>
        <w:pStyle w:val="FootnoteText"/>
      </w:pPr>
      <w:r>
        <w:rPr>
          <w:rStyle w:val="FootnoteReference"/>
        </w:rPr>
        <w:footnoteRef/>
      </w:r>
      <w:r w:rsidRPr="002374A6">
        <w:tab/>
        <w:t>Regulamento (CE) n</w:t>
      </w:r>
      <w:r w:rsidR="002374A6">
        <w:t>.º </w:t>
      </w:r>
      <w:r w:rsidRPr="002374A6">
        <w:t>1185/2009 do Parlamento Europeu e do Conselho, de 25 de novembro de 2009, relativo às estatísticas sobre pesticidas (JO L 324 de 10.12.2009, p. 1).</w:t>
      </w:r>
    </w:p>
  </w:footnote>
  <w:footnote w:id="8">
    <w:p w14:paraId="3F927886" w14:textId="7ABC23BB" w:rsidR="00F16582" w:rsidRPr="002374A6" w:rsidRDefault="00F16582">
      <w:pPr>
        <w:pStyle w:val="FootnoteText"/>
      </w:pPr>
      <w:r>
        <w:rPr>
          <w:rStyle w:val="FootnoteReference"/>
        </w:rPr>
        <w:footnoteRef/>
      </w:r>
      <w:r w:rsidRPr="002374A6">
        <w:tab/>
        <w:t>Regulamento (CE) n</w:t>
      </w:r>
      <w:r w:rsidR="002374A6">
        <w:t>.º </w:t>
      </w:r>
      <w:r w:rsidRPr="002374A6">
        <w:t>1272/2008 do Parlamento Europeu e do Conselho, de 16 de dezembro de 2008, relativo à classificação, rotulagem e embalagem de substâncias e misturas, que altera e revoga as Diretivas 67/548/CEE e 1999/45/CE, e altera o Regulamento (CE) n</w:t>
      </w:r>
      <w:r w:rsidR="002374A6">
        <w:t>.º </w:t>
      </w:r>
      <w:r w:rsidRPr="002374A6">
        <w:t>1907/2006 (JO L 353 de 31.12.2008, p. 1).</w:t>
      </w:r>
    </w:p>
  </w:footnote>
  <w:footnote w:id="9">
    <w:p w14:paraId="40E769A4" w14:textId="036FAF11" w:rsidR="00F16582" w:rsidRPr="002374A6" w:rsidRDefault="00F16582" w:rsidP="00840C9B">
      <w:pPr>
        <w:pStyle w:val="FootnoteText"/>
      </w:pPr>
      <w:r>
        <w:rPr>
          <w:rStyle w:val="FootnoteReference"/>
        </w:rPr>
        <w:footnoteRef/>
      </w:r>
      <w:r w:rsidRPr="002374A6">
        <w:tab/>
        <w:t>Regulamento (UE) 2017/625 do Parlamento Europeu e do Conselho, de 15 de março de 2017, relativo aos controlos oficiais e outras atividades oficiais que visam assegurar a aplicação da legislação em matéria de géneros alimentícios e alimentos para animais e das regras sobre saúde e bem</w:t>
      </w:r>
      <w:r w:rsidR="002374A6">
        <w:noBreakHyphen/>
      </w:r>
      <w:r w:rsidRPr="002374A6">
        <w:t>estar animal, fitossanidade e produtos fitofarmacêuticos, que altera os Regulamentos (CE) n</w:t>
      </w:r>
      <w:r w:rsidR="002374A6">
        <w:t>.º </w:t>
      </w:r>
      <w:r w:rsidRPr="002374A6">
        <w:t>999/2001, (CE) n</w:t>
      </w:r>
      <w:r w:rsidR="002374A6">
        <w:t>.º </w:t>
      </w:r>
      <w:r w:rsidRPr="002374A6">
        <w:t>396/2005, (CE) n</w:t>
      </w:r>
      <w:r w:rsidR="002374A6">
        <w:t>.º </w:t>
      </w:r>
      <w:r w:rsidRPr="002374A6">
        <w:t>1069/2009, (CE) n</w:t>
      </w:r>
      <w:r w:rsidR="002374A6">
        <w:t>.º </w:t>
      </w:r>
      <w:r w:rsidRPr="002374A6">
        <w:t>1107/2009, (UE) n</w:t>
      </w:r>
      <w:r w:rsidR="002374A6">
        <w:t>.º </w:t>
      </w:r>
      <w:r w:rsidRPr="002374A6">
        <w:t>1151/2012, (UE) n</w:t>
      </w:r>
      <w:r w:rsidR="002374A6">
        <w:t>.º </w:t>
      </w:r>
      <w:r w:rsidRPr="002374A6">
        <w:t>652/2014, (UE) 2016/429 e (UE) 2016/2031 do Parlamento Europeu e do Conselho, os Regulamentos (CE) n</w:t>
      </w:r>
      <w:r w:rsidR="002374A6">
        <w:t>.º </w:t>
      </w:r>
      <w:r w:rsidRPr="002374A6">
        <w:t>1/2005 e (CE) n</w:t>
      </w:r>
      <w:r w:rsidR="002374A6">
        <w:t>.º </w:t>
      </w:r>
      <w:r w:rsidRPr="002374A6">
        <w:t>1099/2009 do Conselho, e as Diretivas 98/58/CE, 1999/74/CE, 2007/43/CE, 2008/119/CE e 2008/120/CE do Conselho, e que revoga os Regulamentos (CE) n</w:t>
      </w:r>
      <w:r w:rsidR="002374A6">
        <w:t>.º </w:t>
      </w:r>
      <w:r w:rsidRPr="002374A6">
        <w:t>854/2004 e (CE) n</w:t>
      </w:r>
      <w:r w:rsidR="002374A6">
        <w:t>.º </w:t>
      </w:r>
      <w:r w:rsidRPr="002374A6">
        <w:t>882/2004 do Parlamento Europeu e do Conselho, as Diretivas 89/608/CEE, 89/662/CEE, 90/425/CEE, 91/496/CEE, 96/23/CE, 96/93/CE e 97/78/CE do Conselho e a Decisão 92/438/CEE do Conselho (Regulamento sobre os controlos oficiais) (JO L 95 de 7.4.2017, p. 1).</w:t>
      </w:r>
    </w:p>
  </w:footnote>
  <w:footnote w:id="10">
    <w:p w14:paraId="21A9B354" w14:textId="5FD62C9F" w:rsidR="00F16582" w:rsidRPr="002374A6" w:rsidRDefault="00F16582">
      <w:pPr>
        <w:pStyle w:val="FootnoteText"/>
      </w:pPr>
      <w:r>
        <w:rPr>
          <w:rStyle w:val="FootnoteReference"/>
        </w:rPr>
        <w:footnoteRef/>
      </w:r>
      <w:r w:rsidRPr="002374A6">
        <w:tab/>
        <w:t>Regulamento (UE) 2021/2115 do Parlamento Europeu e do Conselho, de 2 de dezembro de 2021, que estabelece regras para apoiar os planos estratégicos a elaborar pelos Estados</w:t>
      </w:r>
      <w:r w:rsidR="002374A6">
        <w:noBreakHyphen/>
      </w:r>
      <w:r w:rsidRPr="002374A6">
        <w:t>Membros no âmbito da política agrícola comum (planos estratégicos da PAC) e financiados pelo Fundo Europeu Agrícola de Garantia (FEAGA) e pelo Fundo Europeu Agrícola de Desenvolvimento Rural (FEADER), e que revoga os Regulamentos (UE) n</w:t>
      </w:r>
      <w:r w:rsidR="002374A6">
        <w:t>.º </w:t>
      </w:r>
      <w:r w:rsidRPr="002374A6">
        <w:t>1305/2013 e (UE) n</w:t>
      </w:r>
      <w:r w:rsidR="002374A6">
        <w:t>.º </w:t>
      </w:r>
      <w:r w:rsidRPr="002374A6">
        <w:t>1307/2013 (JO L 435 de 6.12.2021, p. 1).</w:t>
      </w:r>
    </w:p>
  </w:footnote>
  <w:footnote w:id="11">
    <w:p w14:paraId="59C9AE0A" w14:textId="72D63813" w:rsidR="00F16582" w:rsidRPr="002374A6" w:rsidRDefault="00F16582">
      <w:pPr>
        <w:pStyle w:val="FootnoteText"/>
        <w:rPr>
          <w:i/>
        </w:rPr>
      </w:pPr>
      <w:r>
        <w:rPr>
          <w:rStyle w:val="FootnoteReference"/>
        </w:rPr>
        <w:footnoteRef/>
      </w:r>
      <w:r w:rsidRPr="002374A6">
        <w:tab/>
      </w:r>
      <w:r w:rsidRPr="002374A6">
        <w:rPr>
          <w:shd w:val="clear" w:color="auto" w:fill="FFFFFF"/>
        </w:rPr>
        <w:t>Diretiva 2006/42/CE do Parlamento Europeu e do Conselho, de 17 de maio de 2006, relativa às máquinas e que altera a Diretiva 95/16/CE (</w:t>
      </w:r>
      <w:r w:rsidRPr="002374A6">
        <w:rPr>
          <w:rStyle w:val="Emphasis"/>
          <w:i w:val="0"/>
          <w:shd w:val="clear" w:color="auto" w:fill="FFFFFF"/>
        </w:rPr>
        <w:t>JO L 157 de 9.6.2006, p. 24</w:t>
      </w:r>
      <w:r w:rsidRPr="002374A6">
        <w:rPr>
          <w:shd w:val="clear" w:color="auto" w:fill="FFFFFF"/>
        </w:rPr>
        <w:t>).</w:t>
      </w:r>
    </w:p>
  </w:footnote>
  <w:footnote w:id="12">
    <w:p w14:paraId="55F43B96" w14:textId="5670AD1F" w:rsidR="00F16582" w:rsidRPr="002374A6" w:rsidRDefault="00F16582">
      <w:pPr>
        <w:pStyle w:val="FootnoteText"/>
      </w:pPr>
      <w:r>
        <w:rPr>
          <w:rStyle w:val="FootnoteReference"/>
        </w:rPr>
        <w:footnoteRef/>
      </w:r>
      <w:r w:rsidRPr="002374A6">
        <w:tab/>
        <w:t>Diretiva 2009/127/CE do Parlamento Europeu e do Conselho, de 21 de outubro de 2009, que altera a Diretiva 2006/42/CE no que respeita às máquinas de aplicação de pesticidas (JO L 310 de 25.11.2009, p. 29).</w:t>
      </w:r>
    </w:p>
  </w:footnote>
  <w:footnote w:id="13">
    <w:p w14:paraId="7DE91F5A" w14:textId="7F1BC4FF" w:rsidR="00F16582" w:rsidRPr="002374A6" w:rsidRDefault="00F16582" w:rsidP="008F68B9">
      <w:pPr>
        <w:pStyle w:val="FootnoteText"/>
      </w:pPr>
      <w:r>
        <w:rPr>
          <w:rStyle w:val="FootnoteReference"/>
        </w:rPr>
        <w:footnoteRef/>
      </w:r>
      <w:r w:rsidRPr="002374A6">
        <w:tab/>
        <w:t>Diretiva 2000/60/CE do Parlamento Europeu e do Conselho, de 23 de outubro de 2000, que estabelece um quadro de ação comunitária no domínio da política da água (</w:t>
      </w:r>
      <w:r w:rsidRPr="002374A6">
        <w:rPr>
          <w:rStyle w:val="Emphasis"/>
          <w:i w:val="0"/>
          <w:shd w:val="clear" w:color="auto" w:fill="FFFFFF"/>
        </w:rPr>
        <w:t>JO L 327 de 22.12.2000, p. 1</w:t>
      </w:r>
      <w:r w:rsidRPr="002374A6">
        <w:t>).</w:t>
      </w:r>
    </w:p>
  </w:footnote>
  <w:footnote w:id="14">
    <w:p w14:paraId="7C41E5A5" w14:textId="392D7D5B" w:rsidR="00F16582" w:rsidRPr="002374A6" w:rsidRDefault="00F16582">
      <w:pPr>
        <w:pStyle w:val="FootnoteText"/>
      </w:pPr>
      <w:r>
        <w:rPr>
          <w:rStyle w:val="FootnoteReference"/>
        </w:rPr>
        <w:footnoteRef/>
      </w:r>
      <w:r w:rsidRPr="002374A6">
        <w:tab/>
        <w:t>Diretiva 89/391/CEE do Conselho, de 12 de junho de 1989, relativa à aplicação de medidas destinadas a promover a melhoria da segurança e da saúde dos trabalhadores no trabalho (JO L 183 de 29.6.1989, p. 1).</w:t>
      </w:r>
    </w:p>
  </w:footnote>
  <w:footnote w:id="15">
    <w:p w14:paraId="40B56FCB" w14:textId="02E3A7C7" w:rsidR="00F16582" w:rsidRPr="002374A6" w:rsidRDefault="00F16582" w:rsidP="00605045">
      <w:pPr>
        <w:pStyle w:val="FootnoteText"/>
      </w:pPr>
      <w:r>
        <w:rPr>
          <w:rStyle w:val="FootnoteReference"/>
        </w:rPr>
        <w:footnoteRef/>
      </w:r>
      <w:r w:rsidRPr="002374A6">
        <w:tab/>
        <w:t>Diretiva 89/656/CEE do Conselho, de 30 de novembro de 1989, relativa às prescrições mínimas de segurança e de saúde para a utilização pelos trabalhadores de equipamentos de proteção individual no trabalho (terceira Diretiva especial, na aceção do n</w:t>
      </w:r>
      <w:r w:rsidR="002374A6">
        <w:t>.º </w:t>
      </w:r>
      <w:r w:rsidRPr="002374A6">
        <w:t>1 do artigo 16</w:t>
      </w:r>
      <w:r w:rsidR="002374A6">
        <w:t>.º </w:t>
      </w:r>
      <w:r w:rsidRPr="002374A6">
        <w:t>da Diretiva 89/391/CEE) (JO L 393 de 30.12.1989, p. 18).</w:t>
      </w:r>
    </w:p>
  </w:footnote>
  <w:footnote w:id="16">
    <w:p w14:paraId="0B8E9751" w14:textId="5545066D" w:rsidR="00F16582" w:rsidRPr="002374A6" w:rsidRDefault="00F16582" w:rsidP="00605045">
      <w:pPr>
        <w:pStyle w:val="FootnoteText"/>
      </w:pPr>
      <w:r>
        <w:rPr>
          <w:rStyle w:val="FootnoteReference"/>
        </w:rPr>
        <w:footnoteRef/>
      </w:r>
      <w:r w:rsidRPr="002374A6">
        <w:tab/>
        <w:t>Diretiva 98/24/CE do Conselho, de 7 de abril de 1998, relativa à proteção da segurança e da saúde dos trabalhadores contra os riscos ligados à exposição a agentes químicos no trabalho (JO L 131 de 5.5.1998, p. 11).</w:t>
      </w:r>
    </w:p>
  </w:footnote>
  <w:footnote w:id="17">
    <w:p w14:paraId="784FA65C" w14:textId="1FEB3305" w:rsidR="00F16582" w:rsidRPr="002374A6" w:rsidRDefault="00F16582" w:rsidP="00605045">
      <w:pPr>
        <w:pStyle w:val="FootnoteText"/>
      </w:pPr>
      <w:r>
        <w:rPr>
          <w:rStyle w:val="FootnoteReference"/>
        </w:rPr>
        <w:footnoteRef/>
      </w:r>
      <w:r w:rsidRPr="002374A6">
        <w:tab/>
        <w:t>Diretiva 2004/37/CE do Parlamento Europeu e do Conselho, de 29 de abril de 2004, relativa à proteção dos trabalhadores contra riscos ligados à exposição a agentes cancerígenos ou mutagénicos durante o trabalho (JO L 158 de 30.4.2004, p. 50).</w:t>
      </w:r>
    </w:p>
  </w:footnote>
  <w:footnote w:id="18">
    <w:p w14:paraId="22AE1082" w14:textId="3E787C98" w:rsidR="00F16582" w:rsidRPr="002374A6" w:rsidRDefault="00F16582" w:rsidP="00605045">
      <w:pPr>
        <w:pStyle w:val="FootnoteText"/>
      </w:pPr>
      <w:r>
        <w:rPr>
          <w:rStyle w:val="FootnoteReference"/>
        </w:rPr>
        <w:footnoteRef/>
      </w:r>
      <w:r w:rsidRPr="002374A6">
        <w:tab/>
        <w:t>Diretiva 2009/104/CE do Parlamento Europeu e do Conselho, de 16 de setembro de 2009, relativa às prescrições mínimas de segurança e de saúde para a utilização pelos trabalhadores de equipamentos de trabalho no trabalho (segunda diretiva especial na aceção do n</w:t>
      </w:r>
      <w:r w:rsidR="002374A6">
        <w:t>.º </w:t>
      </w:r>
      <w:r w:rsidRPr="002374A6">
        <w:t>1 do artigo 16</w:t>
      </w:r>
      <w:r w:rsidR="002374A6">
        <w:t>.º </w:t>
      </w:r>
      <w:r w:rsidRPr="002374A6">
        <w:t>da Diretiva 89/391/CEE) (JO L 260 de 3.10.2009, p. 5.).</w:t>
      </w:r>
    </w:p>
  </w:footnote>
  <w:footnote w:id="19">
    <w:p w14:paraId="72C0C001" w14:textId="563947AF" w:rsidR="00F16582" w:rsidRPr="002374A6" w:rsidRDefault="00F16582">
      <w:pPr>
        <w:pStyle w:val="FootnoteText"/>
      </w:pPr>
      <w:r>
        <w:rPr>
          <w:rStyle w:val="FootnoteReference"/>
        </w:rPr>
        <w:footnoteRef/>
      </w:r>
      <w:r w:rsidRPr="002374A6">
        <w:tab/>
        <w:t>Regulamento (CE) n</w:t>
      </w:r>
      <w:r w:rsidR="002374A6">
        <w:t>.º </w:t>
      </w:r>
      <w:r w:rsidRPr="002374A6">
        <w:t>1907/2006 do Parlamento Europeu e do Conselho, de 18 de dezembro de 2006, relativo ao registo, avaliação, autorização e restrição dos produtos químicos (REACH), que cria a Agência Europeia dos Produtos Químicos, que altera a Diretiva 1999/45/CE e revoga o Regulamento (CEE) n</w:t>
      </w:r>
      <w:r w:rsidR="002374A6">
        <w:t>.º </w:t>
      </w:r>
      <w:r w:rsidRPr="002374A6">
        <w:t>793/93 do Conselho e o Regulamento (CE) n</w:t>
      </w:r>
      <w:r w:rsidR="002374A6">
        <w:t>.º </w:t>
      </w:r>
      <w:r w:rsidRPr="002374A6">
        <w:t>1488/94 da Comissão, bem como a Diretiva 76/769/CEE do Conselho e as Diretivas 91/155/CEE, 93/67/CEE, 93/105/CE e 2000/21/CE da Comissão (JO L 396 de 30.12.2006, p. 1).</w:t>
      </w:r>
    </w:p>
  </w:footnote>
  <w:footnote w:id="20">
    <w:p w14:paraId="5B1C5F47" w14:textId="6D351CD2" w:rsidR="00F16582" w:rsidRPr="002374A6" w:rsidRDefault="00F16582">
      <w:pPr>
        <w:pStyle w:val="FootnoteText"/>
      </w:pPr>
      <w:r>
        <w:rPr>
          <w:rStyle w:val="FootnoteReference"/>
        </w:rPr>
        <w:footnoteRef/>
      </w:r>
      <w:r w:rsidRPr="002374A6">
        <w:tab/>
        <w:t>Diretiva 2008/68/CE do Parlamento Europeu e do Conselho, de 24 de setembro de 2008, relativa ao transporte terrestre de mercadorias perigosas (JO L 260 de 30.9.2008, p. 13).</w:t>
      </w:r>
    </w:p>
  </w:footnote>
  <w:footnote w:id="21">
    <w:p w14:paraId="22C825C2" w14:textId="42DD7472" w:rsidR="00F16582" w:rsidRPr="002374A6" w:rsidRDefault="00F16582" w:rsidP="00901CB8">
      <w:pPr>
        <w:pStyle w:val="FootnoteText"/>
      </w:pPr>
      <w:r>
        <w:rPr>
          <w:rStyle w:val="FootnoteReference"/>
        </w:rPr>
        <w:footnoteRef/>
      </w:r>
      <w:r w:rsidRPr="002374A6">
        <w:tab/>
        <w:t>Regulamento (CE) n</w:t>
      </w:r>
      <w:r w:rsidR="002374A6">
        <w:t>.º </w:t>
      </w:r>
      <w:r w:rsidRPr="002374A6">
        <w:t>1272/2008 do Parlamento Europeu e do Conselho, de 16 de dezembro de 2008, relativo à classificação, rotulagem e embalagem de substâncias e misturas, que altera e revoga as Diretivas 67/548/CEE e 1999/45/CE, e altera o Regulamento (CE) n</w:t>
      </w:r>
      <w:r w:rsidR="002374A6">
        <w:t>.º </w:t>
      </w:r>
      <w:r w:rsidRPr="002374A6">
        <w:t>1907/2006 (JO L 353 de 31.12.2008, p. 1)</w:t>
      </w:r>
      <w:r w:rsidRPr="002374A6">
        <w:rPr>
          <w:i/>
        </w:rPr>
        <w:t>.</w:t>
      </w:r>
    </w:p>
  </w:footnote>
  <w:footnote w:id="22">
    <w:p w14:paraId="5308B6DC" w14:textId="6F4549AE" w:rsidR="00F16582" w:rsidRPr="002374A6" w:rsidRDefault="00F16582" w:rsidP="00FA7E56">
      <w:pPr>
        <w:pStyle w:val="FootnoteText"/>
        <w:rPr>
          <w:i/>
        </w:rPr>
      </w:pPr>
      <w:r>
        <w:rPr>
          <w:rStyle w:val="FootnoteReference"/>
        </w:rPr>
        <w:footnoteRef/>
      </w:r>
      <w:r w:rsidRPr="002374A6">
        <w:tab/>
        <w:t>Regulamento (CE) n</w:t>
      </w:r>
      <w:r w:rsidR="002374A6">
        <w:t>.º </w:t>
      </w:r>
      <w:r w:rsidRPr="002374A6">
        <w:t>396/2005 do Parlamento Europeu e do Conselho, de 23 de fevereiro de 2005, relativo aos limites máximos de resíduos de pesticidas no interior e à superfície dos géneros alimentícios e dos alimentos para animais, de origem vegetal ou animal, e que altera a Diretiva 91/414/CEE do Conselho (JO L 70 de 16.3.2005,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CBA3" w14:textId="77777777" w:rsidR="003D3418" w:rsidRPr="003D3418" w:rsidRDefault="003D3418" w:rsidP="003D3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6BF7" w14:textId="77777777" w:rsidR="003D3418" w:rsidRPr="003D3418" w:rsidRDefault="003D3418" w:rsidP="003D3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4439" w14:textId="77777777" w:rsidR="003D3418" w:rsidRPr="003D3418" w:rsidRDefault="003D3418" w:rsidP="003D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47E01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51CFD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3BC785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842CB2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A66A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66A81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FF48A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B70B6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2:08:1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a proposta de"/>
    <w:docVar w:name="LW_ACCOMPAGNANT.CP" w:val="da proposta de"/>
    <w:docVar w:name="LW_ANNEX_NBR_FIRST" w:val="1"/>
    <w:docVar w:name="LW_ANNEX_NBR_LAST" w:val="7"/>
    <w:docVar w:name="LW_ANNEX_UNIQUE" w:val="0"/>
    <w:docVar w:name="LW_CORRIGENDUM" w:val="&lt;UNUSED&gt;"/>
    <w:docVar w:name="LW_COVERPAGE_EXISTS" w:val="True"/>
    <w:docVar w:name="LW_COVERPAGE_GUID" w:val="0B213DC4-87DD-4555-B840-DB104B984A8D"/>
    <w:docVar w:name="LW_COVERPAGE_TYPE" w:val="1"/>
    <w:docVar w:name="LW_CROSSREFERENCE" w:val="{SEC(2022) 257 final} - {SWD(2022) 169 final} - {SWD(2022) 170 final} - {SWD(2022) 171 final}"/>
    <w:docVar w:name="LW_DocType" w:val="ANNEX"/>
    <w:docVar w:name="LW_EMISSION" w:val="22.6.2022"/>
    <w:docVar w:name="LW_EMISSION_ISODATE" w:val="2022-06-22"/>
    <w:docVar w:name="LW_EMISSION_LOCATION" w:val="BRX"/>
    <w:docVar w:name="LW_EMISSION_PREFIX" w:val="Bruxelas, "/>
    <w:docVar w:name="LW_EMISSION_SUFFIX" w:val=" "/>
    <w:docVar w:name="LW_ID_DOCSTRUCTURE" w:val="COM/ANNEX"/>
    <w:docVar w:name="LW_ID_DOCTYPE" w:val="SG-017"/>
    <w:docVar w:name="LW_LANGUE" w:val="PT"/>
    <w:docVar w:name="LW_LEVEL_OF_SENSITIVITY" w:val="Standard treatment"/>
    <w:docVar w:name="LW_NOM.INST" w:val="COMISSÃO EUROPEIA"/>
    <w:docVar w:name="LW_NOM.INST_JOINTDOC" w:val="&lt;EMPTY&gt;"/>
    <w:docVar w:name="LW_OBJETACTEPRINCIPAL" w:val="relativo à utilização sustentável de produtos fitofarmacêuticos e que altera o Regulamento (UE) 2021/2115"/>
    <w:docVar w:name="LW_OBJETACTEPRINCIPAL.CP" w:val="relativo à utilização sustentável de produtos fitofarmacêuticos e que altera o Regulamento (UE) 2021/2115"/>
    <w:docVar w:name="LW_PART_NBR" w:val="&lt;UNUSED&gt;"/>
    <w:docVar w:name="LW_PART_NBR_TOTAL" w:val="&lt;UNUSED&gt;"/>
    <w:docVar w:name="LW_REF.INST.NEW" w:val="COM"/>
    <w:docVar w:name="LW_REF.INST.NEW_ADOPTED" w:val="final"/>
    <w:docVar w:name="LW_REF.INST.NEW_TEXT" w:val="(2022)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REGULAMENTO DO PARLAMENTO EUROPEU E DO CONSELHO"/>
    <w:docVar w:name="LW_TYPEACTEPRINCIPAL.CP" w:val="REGULAMENTO DO PARLAMENTO EUROPEU E DO CONSELHO"/>
    <w:docVar w:name="LwApiVersions" w:val="LW4CoDe 1.23.2.0; LW 8.0, Build 20211117"/>
  </w:docVars>
  <w:rsids>
    <w:rsidRoot w:val="00FA7E56"/>
    <w:rsid w:val="000035CA"/>
    <w:rsid w:val="00003B1F"/>
    <w:rsid w:val="00003EEA"/>
    <w:rsid w:val="0000669A"/>
    <w:rsid w:val="000121D7"/>
    <w:rsid w:val="0002195F"/>
    <w:rsid w:val="00021A53"/>
    <w:rsid w:val="00027DCF"/>
    <w:rsid w:val="0004069E"/>
    <w:rsid w:val="00047A46"/>
    <w:rsid w:val="000509B8"/>
    <w:rsid w:val="00050B0A"/>
    <w:rsid w:val="00051185"/>
    <w:rsid w:val="000615B8"/>
    <w:rsid w:val="0007019C"/>
    <w:rsid w:val="0007049C"/>
    <w:rsid w:val="000720E9"/>
    <w:rsid w:val="00073FDF"/>
    <w:rsid w:val="000753DE"/>
    <w:rsid w:val="00076BB0"/>
    <w:rsid w:val="0008543E"/>
    <w:rsid w:val="0009186B"/>
    <w:rsid w:val="000A0DE0"/>
    <w:rsid w:val="000A2B97"/>
    <w:rsid w:val="000B05C3"/>
    <w:rsid w:val="000C45DA"/>
    <w:rsid w:val="000C6D64"/>
    <w:rsid w:val="000C784A"/>
    <w:rsid w:val="000D5832"/>
    <w:rsid w:val="000D6993"/>
    <w:rsid w:val="000E17D7"/>
    <w:rsid w:val="000E198E"/>
    <w:rsid w:val="000E60B2"/>
    <w:rsid w:val="000E723B"/>
    <w:rsid w:val="000E7C8A"/>
    <w:rsid w:val="000F2916"/>
    <w:rsid w:val="00105160"/>
    <w:rsid w:val="001060A6"/>
    <w:rsid w:val="001073DB"/>
    <w:rsid w:val="00114458"/>
    <w:rsid w:val="00121C8D"/>
    <w:rsid w:val="001261C4"/>
    <w:rsid w:val="00141CE9"/>
    <w:rsid w:val="00142823"/>
    <w:rsid w:val="001465AD"/>
    <w:rsid w:val="0015139F"/>
    <w:rsid w:val="0015483A"/>
    <w:rsid w:val="0016046D"/>
    <w:rsid w:val="001642B8"/>
    <w:rsid w:val="00166AA9"/>
    <w:rsid w:val="00171BA7"/>
    <w:rsid w:val="0017429C"/>
    <w:rsid w:val="001803FB"/>
    <w:rsid w:val="001849E5"/>
    <w:rsid w:val="00195515"/>
    <w:rsid w:val="00197363"/>
    <w:rsid w:val="001A1843"/>
    <w:rsid w:val="001A508B"/>
    <w:rsid w:val="001C2816"/>
    <w:rsid w:val="001C3DA3"/>
    <w:rsid w:val="001C3E0E"/>
    <w:rsid w:val="001D2C1D"/>
    <w:rsid w:val="001D325F"/>
    <w:rsid w:val="001D3834"/>
    <w:rsid w:val="001D6F25"/>
    <w:rsid w:val="001E6852"/>
    <w:rsid w:val="001E7F82"/>
    <w:rsid w:val="001F1616"/>
    <w:rsid w:val="00200623"/>
    <w:rsid w:val="00201AB1"/>
    <w:rsid w:val="0021329D"/>
    <w:rsid w:val="00214BDD"/>
    <w:rsid w:val="00225E1B"/>
    <w:rsid w:val="00227544"/>
    <w:rsid w:val="0023255B"/>
    <w:rsid w:val="00232A9C"/>
    <w:rsid w:val="0023570B"/>
    <w:rsid w:val="002374A6"/>
    <w:rsid w:val="00237CCF"/>
    <w:rsid w:val="00240E3F"/>
    <w:rsid w:val="0025243E"/>
    <w:rsid w:val="00265EDE"/>
    <w:rsid w:val="0026649A"/>
    <w:rsid w:val="00270518"/>
    <w:rsid w:val="00272E2C"/>
    <w:rsid w:val="00281B00"/>
    <w:rsid w:val="00284F4E"/>
    <w:rsid w:val="0028532C"/>
    <w:rsid w:val="002A3476"/>
    <w:rsid w:val="002B28BF"/>
    <w:rsid w:val="002B3821"/>
    <w:rsid w:val="002B59E9"/>
    <w:rsid w:val="002C2E2C"/>
    <w:rsid w:val="002C4694"/>
    <w:rsid w:val="002D092D"/>
    <w:rsid w:val="002D135C"/>
    <w:rsid w:val="002D1F12"/>
    <w:rsid w:val="002D29F4"/>
    <w:rsid w:val="002D6E24"/>
    <w:rsid w:val="002D746C"/>
    <w:rsid w:val="002D7FF0"/>
    <w:rsid w:val="002E2D72"/>
    <w:rsid w:val="002E2DAC"/>
    <w:rsid w:val="002E7ECD"/>
    <w:rsid w:val="002F4B5B"/>
    <w:rsid w:val="0030544E"/>
    <w:rsid w:val="00305B87"/>
    <w:rsid w:val="003118DA"/>
    <w:rsid w:val="003153EA"/>
    <w:rsid w:val="00315A18"/>
    <w:rsid w:val="00321877"/>
    <w:rsid w:val="00325226"/>
    <w:rsid w:val="003269D5"/>
    <w:rsid w:val="003301E3"/>
    <w:rsid w:val="0033030E"/>
    <w:rsid w:val="00342E5B"/>
    <w:rsid w:val="003518BB"/>
    <w:rsid w:val="00354D69"/>
    <w:rsid w:val="00373B80"/>
    <w:rsid w:val="00375E40"/>
    <w:rsid w:val="00382349"/>
    <w:rsid w:val="00382BAC"/>
    <w:rsid w:val="003926E6"/>
    <w:rsid w:val="00397E36"/>
    <w:rsid w:val="003A171A"/>
    <w:rsid w:val="003A2754"/>
    <w:rsid w:val="003A395C"/>
    <w:rsid w:val="003A6B2E"/>
    <w:rsid w:val="003B52A1"/>
    <w:rsid w:val="003B7C6A"/>
    <w:rsid w:val="003C0119"/>
    <w:rsid w:val="003C5797"/>
    <w:rsid w:val="003D3418"/>
    <w:rsid w:val="003D4172"/>
    <w:rsid w:val="003D5672"/>
    <w:rsid w:val="003D5D09"/>
    <w:rsid w:val="003E2C65"/>
    <w:rsid w:val="003E4D36"/>
    <w:rsid w:val="003E4EBE"/>
    <w:rsid w:val="003F247C"/>
    <w:rsid w:val="003F7DC8"/>
    <w:rsid w:val="00404F5E"/>
    <w:rsid w:val="00423AED"/>
    <w:rsid w:val="00426FD8"/>
    <w:rsid w:val="0043616C"/>
    <w:rsid w:val="00442CE5"/>
    <w:rsid w:val="00445D9C"/>
    <w:rsid w:val="0046064E"/>
    <w:rsid w:val="00465E0F"/>
    <w:rsid w:val="00466061"/>
    <w:rsid w:val="00467652"/>
    <w:rsid w:val="00473393"/>
    <w:rsid w:val="0048043F"/>
    <w:rsid w:val="00483F58"/>
    <w:rsid w:val="00494700"/>
    <w:rsid w:val="004950E2"/>
    <w:rsid w:val="004A2148"/>
    <w:rsid w:val="004A6506"/>
    <w:rsid w:val="004C4BEF"/>
    <w:rsid w:val="004D362B"/>
    <w:rsid w:val="004D5C46"/>
    <w:rsid w:val="004E2986"/>
    <w:rsid w:val="004E66DC"/>
    <w:rsid w:val="004F4CE2"/>
    <w:rsid w:val="004F5773"/>
    <w:rsid w:val="005031E3"/>
    <w:rsid w:val="00504586"/>
    <w:rsid w:val="0051326B"/>
    <w:rsid w:val="00513C05"/>
    <w:rsid w:val="00514DE9"/>
    <w:rsid w:val="005206C4"/>
    <w:rsid w:val="00521E01"/>
    <w:rsid w:val="00522B52"/>
    <w:rsid w:val="00525CBA"/>
    <w:rsid w:val="00531517"/>
    <w:rsid w:val="00545EFD"/>
    <w:rsid w:val="00556B03"/>
    <w:rsid w:val="00563707"/>
    <w:rsid w:val="00574D14"/>
    <w:rsid w:val="00585C1C"/>
    <w:rsid w:val="00585D2C"/>
    <w:rsid w:val="005873C8"/>
    <w:rsid w:val="005902DD"/>
    <w:rsid w:val="005A0A0F"/>
    <w:rsid w:val="005B674F"/>
    <w:rsid w:val="005C0008"/>
    <w:rsid w:val="005C4A17"/>
    <w:rsid w:val="005C7DAA"/>
    <w:rsid w:val="005D02F9"/>
    <w:rsid w:val="005D1FEA"/>
    <w:rsid w:val="005D474E"/>
    <w:rsid w:val="005E0ACF"/>
    <w:rsid w:val="005E1BA6"/>
    <w:rsid w:val="005E5E85"/>
    <w:rsid w:val="005F4100"/>
    <w:rsid w:val="005F47AD"/>
    <w:rsid w:val="005F7F89"/>
    <w:rsid w:val="00602BB7"/>
    <w:rsid w:val="00604FC4"/>
    <w:rsid w:val="00605045"/>
    <w:rsid w:val="00614663"/>
    <w:rsid w:val="00615523"/>
    <w:rsid w:val="0062461F"/>
    <w:rsid w:val="00630884"/>
    <w:rsid w:val="00632316"/>
    <w:rsid w:val="00634038"/>
    <w:rsid w:val="00636243"/>
    <w:rsid w:val="00645B80"/>
    <w:rsid w:val="00656F69"/>
    <w:rsid w:val="0066509A"/>
    <w:rsid w:val="00670ADE"/>
    <w:rsid w:val="006916F4"/>
    <w:rsid w:val="00691B29"/>
    <w:rsid w:val="00693D3D"/>
    <w:rsid w:val="006A3CD5"/>
    <w:rsid w:val="006A6EC3"/>
    <w:rsid w:val="006B4663"/>
    <w:rsid w:val="006D2D7E"/>
    <w:rsid w:val="006E210D"/>
    <w:rsid w:val="006E2EF5"/>
    <w:rsid w:val="00704B1E"/>
    <w:rsid w:val="00723D1E"/>
    <w:rsid w:val="007252B8"/>
    <w:rsid w:val="007304A1"/>
    <w:rsid w:val="00731592"/>
    <w:rsid w:val="00731C33"/>
    <w:rsid w:val="00732E57"/>
    <w:rsid w:val="0075113F"/>
    <w:rsid w:val="0075185D"/>
    <w:rsid w:val="00760067"/>
    <w:rsid w:val="00760EBE"/>
    <w:rsid w:val="007610B6"/>
    <w:rsid w:val="00761D40"/>
    <w:rsid w:val="00761FD9"/>
    <w:rsid w:val="00785033"/>
    <w:rsid w:val="0078563E"/>
    <w:rsid w:val="00790B89"/>
    <w:rsid w:val="007A065B"/>
    <w:rsid w:val="007B1145"/>
    <w:rsid w:val="007B23F7"/>
    <w:rsid w:val="007B3445"/>
    <w:rsid w:val="007B34A6"/>
    <w:rsid w:val="007B62EA"/>
    <w:rsid w:val="007C3860"/>
    <w:rsid w:val="007D0787"/>
    <w:rsid w:val="007E3128"/>
    <w:rsid w:val="007F1DB2"/>
    <w:rsid w:val="007F54F7"/>
    <w:rsid w:val="00801A12"/>
    <w:rsid w:val="00802958"/>
    <w:rsid w:val="00805D57"/>
    <w:rsid w:val="00812205"/>
    <w:rsid w:val="008177AA"/>
    <w:rsid w:val="00823AF2"/>
    <w:rsid w:val="00827826"/>
    <w:rsid w:val="008279F7"/>
    <w:rsid w:val="00833B44"/>
    <w:rsid w:val="00837AD5"/>
    <w:rsid w:val="00840C9B"/>
    <w:rsid w:val="00850671"/>
    <w:rsid w:val="008534D1"/>
    <w:rsid w:val="00854EB4"/>
    <w:rsid w:val="00855D30"/>
    <w:rsid w:val="00861FB8"/>
    <w:rsid w:val="0086674F"/>
    <w:rsid w:val="00874A08"/>
    <w:rsid w:val="0089164F"/>
    <w:rsid w:val="008926C3"/>
    <w:rsid w:val="00893B70"/>
    <w:rsid w:val="008A086A"/>
    <w:rsid w:val="008B2450"/>
    <w:rsid w:val="008B25BF"/>
    <w:rsid w:val="008C1752"/>
    <w:rsid w:val="008D46A4"/>
    <w:rsid w:val="008E4CA5"/>
    <w:rsid w:val="008E5C60"/>
    <w:rsid w:val="008F314E"/>
    <w:rsid w:val="008F35D4"/>
    <w:rsid w:val="008F47E8"/>
    <w:rsid w:val="008F68B9"/>
    <w:rsid w:val="00901CB8"/>
    <w:rsid w:val="00916928"/>
    <w:rsid w:val="00925EAE"/>
    <w:rsid w:val="0093011A"/>
    <w:rsid w:val="00931692"/>
    <w:rsid w:val="00932A49"/>
    <w:rsid w:val="00934367"/>
    <w:rsid w:val="0093599E"/>
    <w:rsid w:val="009368EF"/>
    <w:rsid w:val="00937E95"/>
    <w:rsid w:val="00942F11"/>
    <w:rsid w:val="00943C95"/>
    <w:rsid w:val="00945BE7"/>
    <w:rsid w:val="0095125C"/>
    <w:rsid w:val="00964A38"/>
    <w:rsid w:val="00966579"/>
    <w:rsid w:val="0097444C"/>
    <w:rsid w:val="00977E4E"/>
    <w:rsid w:val="0098346F"/>
    <w:rsid w:val="00984F25"/>
    <w:rsid w:val="00986B33"/>
    <w:rsid w:val="009870D6"/>
    <w:rsid w:val="009873A4"/>
    <w:rsid w:val="00987AD5"/>
    <w:rsid w:val="00990C1A"/>
    <w:rsid w:val="009A280E"/>
    <w:rsid w:val="009A4EC3"/>
    <w:rsid w:val="009B23D1"/>
    <w:rsid w:val="009C31F0"/>
    <w:rsid w:val="009C5047"/>
    <w:rsid w:val="009C692B"/>
    <w:rsid w:val="009D28FF"/>
    <w:rsid w:val="009D40E8"/>
    <w:rsid w:val="009D697F"/>
    <w:rsid w:val="009F2166"/>
    <w:rsid w:val="009F37B9"/>
    <w:rsid w:val="009F5929"/>
    <w:rsid w:val="00A011C4"/>
    <w:rsid w:val="00A067CB"/>
    <w:rsid w:val="00A1243F"/>
    <w:rsid w:val="00A145EF"/>
    <w:rsid w:val="00A207D3"/>
    <w:rsid w:val="00A31B41"/>
    <w:rsid w:val="00A33078"/>
    <w:rsid w:val="00A347D7"/>
    <w:rsid w:val="00A41149"/>
    <w:rsid w:val="00A462D6"/>
    <w:rsid w:val="00A50A46"/>
    <w:rsid w:val="00A532C2"/>
    <w:rsid w:val="00A5353A"/>
    <w:rsid w:val="00A749D4"/>
    <w:rsid w:val="00A84666"/>
    <w:rsid w:val="00A90F98"/>
    <w:rsid w:val="00A94DEB"/>
    <w:rsid w:val="00A94DFD"/>
    <w:rsid w:val="00A95FA7"/>
    <w:rsid w:val="00AA1FC9"/>
    <w:rsid w:val="00AA512C"/>
    <w:rsid w:val="00AA7DEC"/>
    <w:rsid w:val="00AB0652"/>
    <w:rsid w:val="00AB50C0"/>
    <w:rsid w:val="00AD1941"/>
    <w:rsid w:val="00AE20BF"/>
    <w:rsid w:val="00AE2692"/>
    <w:rsid w:val="00AE583C"/>
    <w:rsid w:val="00AE7C8B"/>
    <w:rsid w:val="00B14ABF"/>
    <w:rsid w:val="00B20CA1"/>
    <w:rsid w:val="00B23E0D"/>
    <w:rsid w:val="00B3025D"/>
    <w:rsid w:val="00B303E2"/>
    <w:rsid w:val="00B33516"/>
    <w:rsid w:val="00B403DD"/>
    <w:rsid w:val="00B4135A"/>
    <w:rsid w:val="00B45302"/>
    <w:rsid w:val="00B52C38"/>
    <w:rsid w:val="00B54E23"/>
    <w:rsid w:val="00B711EC"/>
    <w:rsid w:val="00B75AC6"/>
    <w:rsid w:val="00B8391D"/>
    <w:rsid w:val="00B856AB"/>
    <w:rsid w:val="00B86058"/>
    <w:rsid w:val="00B9567F"/>
    <w:rsid w:val="00B959BC"/>
    <w:rsid w:val="00B97CBC"/>
    <w:rsid w:val="00BA13D0"/>
    <w:rsid w:val="00BA5836"/>
    <w:rsid w:val="00BA655D"/>
    <w:rsid w:val="00BA7883"/>
    <w:rsid w:val="00BB0CF3"/>
    <w:rsid w:val="00BB4E03"/>
    <w:rsid w:val="00BB63D3"/>
    <w:rsid w:val="00BC3230"/>
    <w:rsid w:val="00BC3914"/>
    <w:rsid w:val="00BD58BE"/>
    <w:rsid w:val="00BD78EC"/>
    <w:rsid w:val="00BF17AA"/>
    <w:rsid w:val="00BF4672"/>
    <w:rsid w:val="00C00124"/>
    <w:rsid w:val="00C02EBD"/>
    <w:rsid w:val="00C05890"/>
    <w:rsid w:val="00C12CC9"/>
    <w:rsid w:val="00C17274"/>
    <w:rsid w:val="00C200CC"/>
    <w:rsid w:val="00C215E9"/>
    <w:rsid w:val="00C24064"/>
    <w:rsid w:val="00C24556"/>
    <w:rsid w:val="00C246AB"/>
    <w:rsid w:val="00C27FFE"/>
    <w:rsid w:val="00C30F78"/>
    <w:rsid w:val="00C3184D"/>
    <w:rsid w:val="00C423C2"/>
    <w:rsid w:val="00C47BD6"/>
    <w:rsid w:val="00C527B0"/>
    <w:rsid w:val="00C5352E"/>
    <w:rsid w:val="00C55E6C"/>
    <w:rsid w:val="00C5761C"/>
    <w:rsid w:val="00C6189E"/>
    <w:rsid w:val="00C66192"/>
    <w:rsid w:val="00C72D6A"/>
    <w:rsid w:val="00C74FCC"/>
    <w:rsid w:val="00C75EE5"/>
    <w:rsid w:val="00C81838"/>
    <w:rsid w:val="00C840F1"/>
    <w:rsid w:val="00C919A8"/>
    <w:rsid w:val="00C9246D"/>
    <w:rsid w:val="00C95F4C"/>
    <w:rsid w:val="00C97537"/>
    <w:rsid w:val="00CA1455"/>
    <w:rsid w:val="00CA2C18"/>
    <w:rsid w:val="00CA5657"/>
    <w:rsid w:val="00CA650C"/>
    <w:rsid w:val="00CB24FF"/>
    <w:rsid w:val="00CB71FA"/>
    <w:rsid w:val="00CC0778"/>
    <w:rsid w:val="00CD0FFC"/>
    <w:rsid w:val="00CD3038"/>
    <w:rsid w:val="00CF11C3"/>
    <w:rsid w:val="00CF152C"/>
    <w:rsid w:val="00CF18A5"/>
    <w:rsid w:val="00CF326A"/>
    <w:rsid w:val="00CF34C3"/>
    <w:rsid w:val="00CF3D65"/>
    <w:rsid w:val="00D055C6"/>
    <w:rsid w:val="00D2068F"/>
    <w:rsid w:val="00D213C3"/>
    <w:rsid w:val="00D276F0"/>
    <w:rsid w:val="00D368CD"/>
    <w:rsid w:val="00D42D71"/>
    <w:rsid w:val="00D44E41"/>
    <w:rsid w:val="00D45D28"/>
    <w:rsid w:val="00D536B3"/>
    <w:rsid w:val="00D60A01"/>
    <w:rsid w:val="00D61CD7"/>
    <w:rsid w:val="00D64C85"/>
    <w:rsid w:val="00D66B8C"/>
    <w:rsid w:val="00D75205"/>
    <w:rsid w:val="00D866B3"/>
    <w:rsid w:val="00DA4E27"/>
    <w:rsid w:val="00DA5D18"/>
    <w:rsid w:val="00DB027F"/>
    <w:rsid w:val="00DB37ED"/>
    <w:rsid w:val="00DC1B73"/>
    <w:rsid w:val="00DC4246"/>
    <w:rsid w:val="00DC4BD4"/>
    <w:rsid w:val="00DD217A"/>
    <w:rsid w:val="00DD749A"/>
    <w:rsid w:val="00DF2DB7"/>
    <w:rsid w:val="00DF3D05"/>
    <w:rsid w:val="00DF648C"/>
    <w:rsid w:val="00E03C02"/>
    <w:rsid w:val="00E16058"/>
    <w:rsid w:val="00E16A36"/>
    <w:rsid w:val="00E20712"/>
    <w:rsid w:val="00E20A81"/>
    <w:rsid w:val="00E2221B"/>
    <w:rsid w:val="00E26ABD"/>
    <w:rsid w:val="00E4639F"/>
    <w:rsid w:val="00E65BCC"/>
    <w:rsid w:val="00E72D49"/>
    <w:rsid w:val="00E73B34"/>
    <w:rsid w:val="00E74715"/>
    <w:rsid w:val="00E8561B"/>
    <w:rsid w:val="00E871BC"/>
    <w:rsid w:val="00E87490"/>
    <w:rsid w:val="00E93C27"/>
    <w:rsid w:val="00E960D6"/>
    <w:rsid w:val="00EA1240"/>
    <w:rsid w:val="00EA5C9F"/>
    <w:rsid w:val="00EB0C25"/>
    <w:rsid w:val="00EC4693"/>
    <w:rsid w:val="00EC5685"/>
    <w:rsid w:val="00ED1DDD"/>
    <w:rsid w:val="00EE07FA"/>
    <w:rsid w:val="00EE44B7"/>
    <w:rsid w:val="00EE469D"/>
    <w:rsid w:val="00EE7560"/>
    <w:rsid w:val="00EF27F7"/>
    <w:rsid w:val="00EF3BAF"/>
    <w:rsid w:val="00EF3FF8"/>
    <w:rsid w:val="00EF7622"/>
    <w:rsid w:val="00F027E8"/>
    <w:rsid w:val="00F16582"/>
    <w:rsid w:val="00F23926"/>
    <w:rsid w:val="00F27561"/>
    <w:rsid w:val="00F31D1C"/>
    <w:rsid w:val="00F326FB"/>
    <w:rsid w:val="00F35BD9"/>
    <w:rsid w:val="00F46430"/>
    <w:rsid w:val="00F52A12"/>
    <w:rsid w:val="00F57187"/>
    <w:rsid w:val="00F62B65"/>
    <w:rsid w:val="00F670A0"/>
    <w:rsid w:val="00F71E71"/>
    <w:rsid w:val="00F7586A"/>
    <w:rsid w:val="00F90566"/>
    <w:rsid w:val="00F925A4"/>
    <w:rsid w:val="00F96B1C"/>
    <w:rsid w:val="00FA7E56"/>
    <w:rsid w:val="00FB05DD"/>
    <w:rsid w:val="00FB1FB0"/>
    <w:rsid w:val="00FD3E0E"/>
    <w:rsid w:val="00FD550C"/>
    <w:rsid w:val="00FE35DD"/>
    <w:rsid w:val="00FE7E1A"/>
    <w:rsid w:val="00FF0D22"/>
    <w:rsid w:val="00FF43A3"/>
    <w:rsid w:val="00FF5912"/>
    <w:rsid w:val="00FF5F42"/>
    <w:rsid w:val="6B25E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6E3BEA4"/>
  <w15:docId w15:val="{A3DACE34-AEEF-41E9-BE28-364CE7A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rsid w:val="005365AB"/>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56"/>
    <w:pPr>
      <w:spacing w:before="0" w:after="200" w:line="276" w:lineRule="auto"/>
      <w:ind w:left="720"/>
      <w:contextualSpacing/>
      <w:jc w:val="left"/>
    </w:pPr>
    <w:rPr>
      <w:rFonts w:asciiTheme="minorHAnsi" w:hAnsiTheme="minorHAnsi" w:cstheme="minorBidi"/>
      <w:sz w:val="22"/>
    </w:rPr>
  </w:style>
  <w:style w:type="character" w:customStyle="1" w:styleId="BulletRMCChar">
    <w:name w:val="Bullet (RMC) Char"/>
    <w:basedOn w:val="DefaultParagraphFont"/>
    <w:link w:val="BulletRMC"/>
    <w:locked/>
    <w:rsid w:val="00FA7E56"/>
    <w:rPr>
      <w:rFonts w:ascii="Verdana" w:hAnsi="Verdana"/>
    </w:rPr>
  </w:style>
  <w:style w:type="paragraph" w:customStyle="1" w:styleId="BulletRMC">
    <w:name w:val="Bullet (RMC)"/>
    <w:basedOn w:val="Normal"/>
    <w:link w:val="BulletRMCChar"/>
    <w:rsid w:val="00FA7E56"/>
    <w:pPr>
      <w:spacing w:before="60" w:after="0" w:line="288" w:lineRule="auto"/>
      <w:ind w:left="360" w:hanging="360"/>
      <w:contextualSpacing/>
    </w:pPr>
    <w:rPr>
      <w:rFonts w:ascii="Verdana" w:hAnsi="Verdana" w:cstheme="minorBidi"/>
      <w:sz w:val="22"/>
    </w:rPr>
  </w:style>
  <w:style w:type="character" w:styleId="Emphasis">
    <w:name w:val="Emphasis"/>
    <w:basedOn w:val="DefaultParagraphFont"/>
    <w:uiPriority w:val="20"/>
    <w:qFormat/>
    <w:rsid w:val="00FA7E56"/>
    <w:rPr>
      <w:i/>
      <w:iCs/>
    </w:rPr>
  </w:style>
  <w:style w:type="paragraph" w:styleId="Caption">
    <w:name w:val="caption"/>
    <w:basedOn w:val="Normal"/>
    <w:next w:val="Normal"/>
    <w:uiPriority w:val="35"/>
    <w:semiHidden/>
    <w:unhideWhenUsed/>
    <w:qFormat/>
    <w:rsid w:val="005F7F8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F7F89"/>
    <w:pPr>
      <w:spacing w:after="0"/>
    </w:pPr>
  </w:style>
  <w:style w:type="paragraph" w:styleId="ListBullet">
    <w:name w:val="List Bullet"/>
    <w:basedOn w:val="Normal"/>
    <w:uiPriority w:val="99"/>
    <w:semiHidden/>
    <w:unhideWhenUsed/>
    <w:rsid w:val="00CC0778"/>
    <w:pPr>
      <w:numPr>
        <w:numId w:val="1"/>
      </w:numPr>
      <w:contextualSpacing/>
    </w:pPr>
  </w:style>
  <w:style w:type="paragraph" w:styleId="ListBullet2">
    <w:name w:val="List Bullet 2"/>
    <w:basedOn w:val="Normal"/>
    <w:uiPriority w:val="99"/>
    <w:semiHidden/>
    <w:unhideWhenUsed/>
    <w:rsid w:val="00CC0778"/>
    <w:pPr>
      <w:numPr>
        <w:numId w:val="2"/>
      </w:numPr>
      <w:contextualSpacing/>
    </w:pPr>
  </w:style>
  <w:style w:type="paragraph" w:styleId="ListBullet3">
    <w:name w:val="List Bullet 3"/>
    <w:basedOn w:val="Normal"/>
    <w:uiPriority w:val="99"/>
    <w:semiHidden/>
    <w:unhideWhenUsed/>
    <w:rsid w:val="00CC0778"/>
    <w:pPr>
      <w:numPr>
        <w:numId w:val="3"/>
      </w:numPr>
      <w:contextualSpacing/>
    </w:pPr>
  </w:style>
  <w:style w:type="paragraph" w:styleId="ListBullet4">
    <w:name w:val="List Bullet 4"/>
    <w:basedOn w:val="Normal"/>
    <w:uiPriority w:val="99"/>
    <w:semiHidden/>
    <w:unhideWhenUsed/>
    <w:rsid w:val="00CC0778"/>
    <w:pPr>
      <w:numPr>
        <w:numId w:val="4"/>
      </w:numPr>
      <w:contextualSpacing/>
    </w:pPr>
  </w:style>
  <w:style w:type="paragraph" w:styleId="ListNumber">
    <w:name w:val="List Number"/>
    <w:basedOn w:val="Normal"/>
    <w:uiPriority w:val="99"/>
    <w:semiHidden/>
    <w:unhideWhenUsed/>
    <w:rsid w:val="00CC0778"/>
    <w:pPr>
      <w:numPr>
        <w:numId w:val="5"/>
      </w:numPr>
      <w:contextualSpacing/>
    </w:pPr>
  </w:style>
  <w:style w:type="paragraph" w:styleId="ListNumber2">
    <w:name w:val="List Number 2"/>
    <w:basedOn w:val="Normal"/>
    <w:uiPriority w:val="99"/>
    <w:semiHidden/>
    <w:unhideWhenUsed/>
    <w:rsid w:val="00CC0778"/>
    <w:pPr>
      <w:numPr>
        <w:numId w:val="6"/>
      </w:numPr>
      <w:contextualSpacing/>
    </w:pPr>
  </w:style>
  <w:style w:type="paragraph" w:styleId="ListNumber3">
    <w:name w:val="List Number 3"/>
    <w:basedOn w:val="Normal"/>
    <w:uiPriority w:val="99"/>
    <w:semiHidden/>
    <w:unhideWhenUsed/>
    <w:rsid w:val="00CC0778"/>
    <w:pPr>
      <w:numPr>
        <w:numId w:val="7"/>
      </w:numPr>
      <w:contextualSpacing/>
    </w:pPr>
  </w:style>
  <w:style w:type="paragraph" w:styleId="ListNumber4">
    <w:name w:val="List Number 4"/>
    <w:basedOn w:val="Normal"/>
    <w:uiPriority w:val="99"/>
    <w:semiHidden/>
    <w:unhideWhenUsed/>
    <w:rsid w:val="00CC0778"/>
    <w:pPr>
      <w:numPr>
        <w:numId w:val="8"/>
      </w:numPr>
      <w:contextualSpacing/>
    </w:pPr>
  </w:style>
  <w:style w:type="character" w:styleId="CommentReference">
    <w:name w:val="annotation reference"/>
    <w:basedOn w:val="DefaultParagraphFont"/>
    <w:uiPriority w:val="99"/>
    <w:unhideWhenUsed/>
    <w:rsid w:val="00F62B65"/>
    <w:rPr>
      <w:sz w:val="16"/>
      <w:szCs w:val="16"/>
    </w:rPr>
  </w:style>
  <w:style w:type="paragraph" w:styleId="CommentText">
    <w:name w:val="annotation text"/>
    <w:basedOn w:val="Normal"/>
    <w:link w:val="CommentTextChar"/>
    <w:uiPriority w:val="99"/>
    <w:unhideWhenUsed/>
    <w:rsid w:val="00F62B65"/>
    <w:rPr>
      <w:sz w:val="20"/>
      <w:szCs w:val="20"/>
    </w:rPr>
  </w:style>
  <w:style w:type="character" w:customStyle="1" w:styleId="CommentTextChar">
    <w:name w:val="Comment Text Char"/>
    <w:basedOn w:val="DefaultParagraphFont"/>
    <w:link w:val="CommentText"/>
    <w:uiPriority w:val="99"/>
    <w:rsid w:val="00F62B65"/>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F62B65"/>
    <w:rPr>
      <w:b/>
      <w:bCs/>
    </w:rPr>
  </w:style>
  <w:style w:type="character" w:customStyle="1" w:styleId="CommentSubjectChar">
    <w:name w:val="Comment Subject Char"/>
    <w:basedOn w:val="CommentTextChar"/>
    <w:link w:val="CommentSubject"/>
    <w:uiPriority w:val="99"/>
    <w:semiHidden/>
    <w:rsid w:val="00F62B65"/>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rsid w:val="00F62B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65"/>
    <w:rPr>
      <w:rFonts w:ascii="Segoe UI" w:hAnsi="Segoe UI" w:cs="Segoe UI"/>
      <w:sz w:val="18"/>
      <w:szCs w:val="18"/>
      <w:lang w:val="pt-PT"/>
    </w:rPr>
  </w:style>
  <w:style w:type="character" w:styleId="Hyperlink">
    <w:name w:val="Hyperlink"/>
    <w:basedOn w:val="DefaultParagraphFont"/>
    <w:uiPriority w:val="99"/>
    <w:unhideWhenUsed/>
    <w:rsid w:val="00F62B65"/>
    <w:rPr>
      <w:color w:val="0000FF" w:themeColor="hyperlink"/>
      <w:u w:val="single"/>
    </w:rPr>
  </w:style>
  <w:style w:type="paragraph" w:styleId="Revision">
    <w:name w:val="Revision"/>
    <w:hidden/>
    <w:uiPriority w:val="99"/>
    <w:semiHidden/>
    <w:rsid w:val="00901CB8"/>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3D3418"/>
    <w:pPr>
      <w:tabs>
        <w:tab w:val="center" w:pos="4535"/>
        <w:tab w:val="right" w:pos="9071"/>
      </w:tabs>
      <w:spacing w:before="0"/>
    </w:pPr>
  </w:style>
  <w:style w:type="character" w:customStyle="1" w:styleId="HeaderChar">
    <w:name w:val="Header Char"/>
    <w:basedOn w:val="DefaultParagraphFont"/>
    <w:link w:val="Header"/>
    <w:uiPriority w:val="99"/>
    <w:rsid w:val="003D3418"/>
    <w:rPr>
      <w:rFonts w:ascii="Times New Roman" w:hAnsi="Times New Roman" w:cs="Times New Roman"/>
      <w:sz w:val="24"/>
      <w:lang w:val="pt-PT"/>
    </w:rPr>
  </w:style>
  <w:style w:type="paragraph" w:styleId="Footer">
    <w:name w:val="footer"/>
    <w:basedOn w:val="Normal"/>
    <w:link w:val="FooterChar"/>
    <w:uiPriority w:val="99"/>
    <w:unhideWhenUsed/>
    <w:rsid w:val="003D341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D3418"/>
    <w:rPr>
      <w:rFonts w:ascii="Times New Roman" w:hAnsi="Times New Roman" w:cs="Times New Roman"/>
      <w:sz w:val="24"/>
      <w:lang w:val="pt-PT"/>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pt-PT"/>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pt-PT"/>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pt-PT"/>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pt-PT"/>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pt-PT"/>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pt-PT"/>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pt-PT"/>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3D3418"/>
    <w:pPr>
      <w:tabs>
        <w:tab w:val="center" w:pos="7285"/>
        <w:tab w:val="right" w:pos="14003"/>
      </w:tabs>
      <w:spacing w:before="0"/>
    </w:pPr>
  </w:style>
  <w:style w:type="paragraph" w:customStyle="1" w:styleId="FooterLandscape">
    <w:name w:val="FooterLandscape"/>
    <w:basedOn w:val="Normal"/>
    <w:rsid w:val="003D341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3D341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D3418"/>
    <w:pPr>
      <w:spacing w:before="0"/>
      <w:jc w:val="right"/>
    </w:pPr>
    <w:rPr>
      <w:sz w:val="28"/>
    </w:rPr>
  </w:style>
  <w:style w:type="paragraph" w:customStyle="1" w:styleId="FooterSensitivity">
    <w:name w:val="Footer Sensitivity"/>
    <w:basedOn w:val="Normal"/>
    <w:rsid w:val="003D341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9"/>
      </w:numPr>
    </w:pPr>
  </w:style>
  <w:style w:type="paragraph" w:customStyle="1" w:styleId="Tiret1">
    <w:name w:val="Tiret 1"/>
    <w:basedOn w:val="Point1"/>
    <w:rsid w:val="005365AB"/>
    <w:pPr>
      <w:numPr>
        <w:numId w:val="10"/>
      </w:numPr>
    </w:pPr>
  </w:style>
  <w:style w:type="paragraph" w:customStyle="1" w:styleId="Tiret2">
    <w:name w:val="Tiret 2"/>
    <w:basedOn w:val="Point2"/>
    <w:rsid w:val="005365AB"/>
    <w:pPr>
      <w:numPr>
        <w:numId w:val="11"/>
      </w:numPr>
    </w:pPr>
  </w:style>
  <w:style w:type="paragraph" w:customStyle="1" w:styleId="Tiret3">
    <w:name w:val="Tiret 3"/>
    <w:basedOn w:val="Point3"/>
    <w:rsid w:val="005365AB"/>
    <w:pPr>
      <w:numPr>
        <w:numId w:val="12"/>
      </w:numPr>
    </w:pPr>
  </w:style>
  <w:style w:type="paragraph" w:customStyle="1" w:styleId="Tiret4">
    <w:name w:val="Tiret 4"/>
    <w:basedOn w:val="Point4"/>
    <w:rsid w:val="005365AB"/>
    <w:pPr>
      <w:numPr>
        <w:numId w:val="13"/>
      </w:numPr>
    </w:pPr>
  </w:style>
  <w:style w:type="paragraph" w:customStyle="1" w:styleId="Tiret5">
    <w:name w:val="Tiret 5"/>
    <w:basedOn w:val="Point5"/>
    <w:rsid w:val="005365AB"/>
    <w:pPr>
      <w:numPr>
        <w:numId w:val="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5"/>
      </w:numPr>
    </w:pPr>
  </w:style>
  <w:style w:type="paragraph" w:customStyle="1" w:styleId="NumPar2">
    <w:name w:val="NumPar 2"/>
    <w:basedOn w:val="Normal"/>
    <w:next w:val="Text1"/>
    <w:rsid w:val="005365AB"/>
    <w:pPr>
      <w:numPr>
        <w:ilvl w:val="1"/>
        <w:numId w:val="15"/>
      </w:numPr>
    </w:pPr>
  </w:style>
  <w:style w:type="paragraph" w:customStyle="1" w:styleId="NumPar3">
    <w:name w:val="NumPar 3"/>
    <w:basedOn w:val="Normal"/>
    <w:next w:val="Text1"/>
    <w:rsid w:val="005365AB"/>
    <w:pPr>
      <w:numPr>
        <w:ilvl w:val="2"/>
        <w:numId w:val="15"/>
      </w:numPr>
    </w:pPr>
  </w:style>
  <w:style w:type="paragraph" w:customStyle="1" w:styleId="NumPar4">
    <w:name w:val="NumPar 4"/>
    <w:basedOn w:val="Normal"/>
    <w:next w:val="Text1"/>
    <w:rsid w:val="005365AB"/>
    <w:pPr>
      <w:numPr>
        <w:ilvl w:val="3"/>
        <w:numId w:val="15"/>
      </w:numPr>
    </w:pPr>
  </w:style>
  <w:style w:type="paragraph" w:customStyle="1" w:styleId="NumPar5">
    <w:name w:val="NumPar 5"/>
    <w:basedOn w:val="Normal"/>
    <w:next w:val="Text2"/>
    <w:rsid w:val="005365AB"/>
    <w:pPr>
      <w:numPr>
        <w:ilvl w:val="4"/>
        <w:numId w:val="15"/>
      </w:numPr>
    </w:pPr>
  </w:style>
  <w:style w:type="paragraph" w:customStyle="1" w:styleId="NumPar6">
    <w:name w:val="NumPar 6"/>
    <w:basedOn w:val="Normal"/>
    <w:next w:val="Text2"/>
    <w:rsid w:val="005365AB"/>
    <w:pPr>
      <w:numPr>
        <w:ilvl w:val="5"/>
        <w:numId w:val="15"/>
      </w:numPr>
    </w:pPr>
  </w:style>
  <w:style w:type="paragraph" w:customStyle="1" w:styleId="NumPar7">
    <w:name w:val="NumPar 7"/>
    <w:basedOn w:val="Normal"/>
    <w:next w:val="Text2"/>
    <w:rsid w:val="005365AB"/>
    <w:pPr>
      <w:numPr>
        <w:ilvl w:val="6"/>
        <w:numId w:val="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7"/>
      </w:numPr>
    </w:pPr>
  </w:style>
  <w:style w:type="paragraph" w:customStyle="1" w:styleId="Point1number">
    <w:name w:val="Point 1 (number)"/>
    <w:basedOn w:val="Normal"/>
    <w:rsid w:val="005365AB"/>
    <w:pPr>
      <w:numPr>
        <w:ilvl w:val="2"/>
        <w:numId w:val="17"/>
      </w:numPr>
    </w:pPr>
  </w:style>
  <w:style w:type="paragraph" w:customStyle="1" w:styleId="Point2number">
    <w:name w:val="Point 2 (number)"/>
    <w:basedOn w:val="Normal"/>
    <w:rsid w:val="005365AB"/>
    <w:pPr>
      <w:numPr>
        <w:ilvl w:val="4"/>
        <w:numId w:val="17"/>
      </w:numPr>
    </w:pPr>
  </w:style>
  <w:style w:type="paragraph" w:customStyle="1" w:styleId="Point3number">
    <w:name w:val="Point 3 (number)"/>
    <w:basedOn w:val="Normal"/>
    <w:rsid w:val="005365AB"/>
    <w:pPr>
      <w:numPr>
        <w:ilvl w:val="6"/>
        <w:numId w:val="17"/>
      </w:numPr>
    </w:pPr>
  </w:style>
  <w:style w:type="paragraph" w:customStyle="1" w:styleId="Point0letter">
    <w:name w:val="Point 0 (letter)"/>
    <w:basedOn w:val="Normal"/>
    <w:rsid w:val="005365AB"/>
    <w:pPr>
      <w:numPr>
        <w:ilvl w:val="1"/>
        <w:numId w:val="17"/>
      </w:numPr>
    </w:pPr>
  </w:style>
  <w:style w:type="paragraph" w:customStyle="1" w:styleId="Point1letter">
    <w:name w:val="Point 1 (letter)"/>
    <w:basedOn w:val="Normal"/>
    <w:rsid w:val="005365AB"/>
    <w:pPr>
      <w:numPr>
        <w:ilvl w:val="3"/>
        <w:numId w:val="17"/>
      </w:numPr>
    </w:pPr>
  </w:style>
  <w:style w:type="paragraph" w:customStyle="1" w:styleId="Point2letter">
    <w:name w:val="Point 2 (letter)"/>
    <w:basedOn w:val="Normal"/>
    <w:rsid w:val="005365AB"/>
    <w:pPr>
      <w:numPr>
        <w:ilvl w:val="5"/>
        <w:numId w:val="17"/>
      </w:numPr>
    </w:pPr>
  </w:style>
  <w:style w:type="paragraph" w:customStyle="1" w:styleId="Point3letter">
    <w:name w:val="Point 3 (letter)"/>
    <w:basedOn w:val="Normal"/>
    <w:rsid w:val="005365AB"/>
    <w:pPr>
      <w:numPr>
        <w:ilvl w:val="7"/>
        <w:numId w:val="17"/>
      </w:numPr>
    </w:pPr>
  </w:style>
  <w:style w:type="paragraph" w:customStyle="1" w:styleId="Point4letter">
    <w:name w:val="Point 4 (letter)"/>
    <w:basedOn w:val="Normal"/>
    <w:rsid w:val="005365AB"/>
    <w:pPr>
      <w:numPr>
        <w:ilvl w:val="8"/>
        <w:numId w:val="17"/>
      </w:numPr>
    </w:pPr>
  </w:style>
  <w:style w:type="paragraph" w:customStyle="1" w:styleId="Bullet0">
    <w:name w:val="Bullet 0"/>
    <w:basedOn w:val="Normal"/>
    <w:rsid w:val="005365AB"/>
    <w:pPr>
      <w:numPr>
        <w:numId w:val="18"/>
      </w:numPr>
    </w:pPr>
  </w:style>
  <w:style w:type="paragraph" w:customStyle="1" w:styleId="Bullet1">
    <w:name w:val="Bullet 1"/>
    <w:basedOn w:val="Normal"/>
    <w:rsid w:val="005365AB"/>
    <w:pPr>
      <w:numPr>
        <w:numId w:val="19"/>
      </w:numPr>
    </w:pPr>
  </w:style>
  <w:style w:type="paragraph" w:customStyle="1" w:styleId="Bullet2">
    <w:name w:val="Bullet 2"/>
    <w:basedOn w:val="Normal"/>
    <w:rsid w:val="005365AB"/>
    <w:pPr>
      <w:numPr>
        <w:numId w:val="20"/>
      </w:numPr>
    </w:pPr>
  </w:style>
  <w:style w:type="paragraph" w:customStyle="1" w:styleId="Bullet3">
    <w:name w:val="Bullet 3"/>
    <w:basedOn w:val="Normal"/>
    <w:rsid w:val="005365AB"/>
    <w:pPr>
      <w:numPr>
        <w:numId w:val="21"/>
      </w:numPr>
    </w:pPr>
  </w:style>
  <w:style w:type="paragraph" w:customStyle="1" w:styleId="Bullet4">
    <w:name w:val="Bullet 4"/>
    <w:basedOn w:val="Normal"/>
    <w:rsid w:val="005365AB"/>
    <w:pPr>
      <w:numPr>
        <w:numId w:val="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60417">
      <w:bodyDiv w:val="1"/>
      <w:marLeft w:val="0"/>
      <w:marRight w:val="0"/>
      <w:marTop w:val="0"/>
      <w:marBottom w:val="0"/>
      <w:divBdr>
        <w:top w:val="none" w:sz="0" w:space="0" w:color="auto"/>
        <w:left w:val="none" w:sz="0" w:space="0" w:color="auto"/>
        <w:bottom w:val="none" w:sz="0" w:space="0" w:color="auto"/>
        <w:right w:val="none" w:sz="0" w:space="0" w:color="auto"/>
      </w:divBdr>
    </w:div>
    <w:div w:id="11822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443a01b-d79d-4f0b-a265-41f74190fd92" ContentTypeId="0x010100DE1EDE6C0A88422BAED8C106DF00215D" PreviousValue="false"/>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2009/128/EC</TermName>
          <TermId xmlns="http://schemas.microsoft.com/office/infopath/2007/PartnerControls">7b7de53c-cb72-420d-ab44-149d235f4d6a</TermId>
        </TermInfo>
        <TermInfo xmlns="http://schemas.microsoft.com/office/infopath/2007/PartnerControls">
          <TermName xmlns="http://schemas.microsoft.com/office/infopath/2007/PartnerControls">Evaluation</TermName>
          <TermId xmlns="http://schemas.microsoft.com/office/infopath/2007/PartnerControls">32bc2344-8b95-4680-bced-d5c0961abb2c</TermId>
        </TermInfo>
        <TermInfo xmlns="http://schemas.microsoft.com/office/infopath/2007/PartnerControls">
          <TermName xmlns="http://schemas.microsoft.com/office/infopath/2007/PartnerControls">Sustainable Use Directive</TermName>
          <TermId xmlns="http://schemas.microsoft.com/office/infopath/2007/PartnerControls">faa8d417-23cf-4a5f-aacf-fbc20450648c</TermId>
        </TermInfo>
      </Terms>
    </TaxKeywordTaxHTField>
    <SANTEDomainTaxHTField0 xmlns="7ca0d39f-26a4-4125-a61a-ea9ee0be4418">
      <Terms xmlns="http://schemas.microsoft.com/office/infopath/2007/PartnerControls">
        <TermInfo xmlns="http://schemas.microsoft.com/office/infopath/2007/PartnerControls">
          <TermName xmlns="http://schemas.microsoft.com/office/infopath/2007/PartnerControls">Better Regulation</TermName>
          <TermId xmlns="http://schemas.microsoft.com/office/infopath/2007/PartnerControls">f88a672a-133e-4b11-8e63-747b312a9b78</TermId>
        </TermInfo>
      </Terms>
    </SANTEDomainTaxHTField0>
    <SANTEDocumentDate xmlns="7ca0d39f-26a4-4125-a61a-ea9ee0be4418">2022-03-10T23:00:00+00:00</SANTEDocumentDate>
    <TaxCatchAll xmlns="5d7c9a51-8868-4cc4-b189-61103d00211e">
      <Value>40</Value>
      <Value>4</Value>
      <Value>39</Value>
      <Value>1</Value>
    </TaxCatchAll>
    <_dlc_DocId xmlns="5d7c9a51-8868-4cc4-b189-61103d00211e">A051-16241562-1211</_dlc_DocId>
    <_dlc_DocIdUrl xmlns="5d7c9a51-8868-4cc4-b189-61103d00211e">
      <Url>https://workspaces.sante.cec.eu.int/areas/051/012/_layouts/15/DocIdRedir.aspx?ID=A051-16241562-1211</Url>
      <Description>A051-16241562-1211</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1DB3-E1E6-4066-9753-79C1F55D4463}">
  <ds:schemaRefs>
    <ds:schemaRef ds:uri="http://schemas.microsoft.com/sharepoint/events"/>
  </ds:schemaRefs>
</ds:datastoreItem>
</file>

<file path=customXml/itemProps2.xml><?xml version="1.0" encoding="utf-8"?>
<ds:datastoreItem xmlns:ds="http://schemas.openxmlformats.org/officeDocument/2006/customXml" ds:itemID="{06D137FA-32F4-412B-90E5-59F8CF662A42}">
  <ds:schemaRefs>
    <ds:schemaRef ds:uri="http://schemas.microsoft.com/sharepoint/v3/contenttype/forms"/>
  </ds:schemaRefs>
</ds:datastoreItem>
</file>

<file path=customXml/itemProps3.xml><?xml version="1.0" encoding="utf-8"?>
<ds:datastoreItem xmlns:ds="http://schemas.openxmlformats.org/officeDocument/2006/customXml" ds:itemID="{B97514F7-3786-44C3-97EF-750DE994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C4193-A1A8-4A53-B41C-C9692E4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E3C21-50FE-4709-BAD0-C460434C7D6C}">
  <ds:schemaRefs>
    <ds:schemaRef ds:uri="Microsoft.SharePoint.Taxonomy.ContentTypeSync"/>
  </ds:schemaRefs>
</ds:datastoreItem>
</file>

<file path=customXml/itemProps6.xml><?xml version="1.0" encoding="utf-8"?>
<ds:datastoreItem xmlns:ds="http://schemas.openxmlformats.org/officeDocument/2006/customXml" ds:itemID="{0CA68EDE-ED0B-4ECE-A72C-62D59E0884F3}">
  <ds:schemaRefs>
    <ds:schemaRef ds:uri="Microsoft.SharePoint.Taxonomy.ContentTypeSync"/>
  </ds:schemaRefs>
</ds:datastoreItem>
</file>

<file path=customXml/itemProps7.xml><?xml version="1.0" encoding="utf-8"?>
<ds:datastoreItem xmlns:ds="http://schemas.openxmlformats.org/officeDocument/2006/customXml" ds:itemID="{559E44C3-B55F-42B1-B55C-6EB1D1F9087E}">
  <ds:schemaRefs>
    <ds:schemaRef ds:uri="http://purl.org/dc/elements/1.1/"/>
    <ds:schemaRef ds:uri="http://schemas.microsoft.com/office/2006/metadata/properties"/>
    <ds:schemaRef ds:uri="f3a2a1ca-4e25-4887-a788-dd4081c37ed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d7c9a51-8868-4cc4-b189-61103d00211e"/>
    <ds:schemaRef ds:uri="7ca0d39f-26a4-4125-a61a-ea9ee0be4418"/>
    <ds:schemaRef ds:uri="http://www.w3.org/XML/1998/namespace"/>
    <ds:schemaRef ds:uri="http://purl.org/dc/dcmitype/"/>
  </ds:schemaRefs>
</ds:datastoreItem>
</file>

<file path=customXml/itemProps8.xml><?xml version="1.0" encoding="utf-8"?>
<ds:datastoreItem xmlns:ds="http://schemas.openxmlformats.org/officeDocument/2006/customXml" ds:itemID="{298FE368-D6A3-44CC-8F4B-9AFC198C1D75}">
  <ds:schemaRefs>
    <ds:schemaRef ds:uri="http://schemas.microsoft.com/sharepoint/events"/>
  </ds:schemaRefs>
</ds:datastoreItem>
</file>

<file path=customXml/itemProps9.xml><?xml version="1.0" encoding="utf-8"?>
<ds:datastoreItem xmlns:ds="http://schemas.openxmlformats.org/officeDocument/2006/customXml" ds:itemID="{447368CE-4048-4ADF-8467-1479E1BE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15</TotalTime>
  <Pages>24</Pages>
  <Words>6342</Words>
  <Characters>36151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Annex SUR Proposal R1- version for RSC meeting clean LW - additional change (003)</vt:lpstr>
    </vt:vector>
  </TitlesOfParts>
  <Company/>
  <LinksUpToDate>false</LinksUpToDate>
  <CharactersWithSpaces>42409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SUR Proposal R1- version for RSC meeting clean LW - additional change (003)</dc:title>
  <dc:subject/>
  <dc:creator>JAMRICHOVA Martina (SANTE)</dc:creator>
  <cp:keywords>2009/128/EC; Evaluation; Sustainable Use Directive</cp:keywords>
  <dc:description/>
  <cp:lastModifiedBy>EC CoDe</cp:lastModifiedBy>
  <cp:revision>30</cp:revision>
  <dcterms:created xsi:type="dcterms:W3CDTF">2022-06-21T07:06:00Z</dcterms:created>
  <dcterms:modified xsi:type="dcterms:W3CDTF">2022-06-27T10:08:00Z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0x010100DE1EDE6C0A88422BAED8C106DF00215D00E0EF0AC8ECBA664E8AC1912BEE748C05000C2AAF5FB404E046A26CB2C725F03C8B</vt:lpwstr>
  </property>
  <property fmtid="{D5CDD505-2E9C-101B-9397-08002B2CF9AE}" pid="14" name="TaxKeyword">
    <vt:lpwstr>40;#2009/128/EC|7b7de53c-cb72-420d-ab44-149d235f4d6a;#4;#Evaluation|32bc2344-8b95-4680-bced-d5c0961abb2c;#39;#Sustainable Use Directive|faa8d417-23cf-4a5f-aacf-fbc20450648c</vt:lpwstr>
  </property>
  <property fmtid="{D5CDD505-2E9C-101B-9397-08002B2CF9AE}" pid="15" name="SANTEDomain">
    <vt:lpwstr>1;#Better Regulation|f88a672a-133e-4b11-8e63-747b312a9b78</vt:lpwstr>
  </property>
  <property fmtid="{D5CDD505-2E9C-101B-9397-08002B2CF9AE}" pid="16" name="_dlc_DocIdItemGuid">
    <vt:lpwstr>a7a4a124-e634-4eaa-a465-6d923f5318a8</vt:lpwstr>
  </property>
  <property fmtid="{D5CDD505-2E9C-101B-9397-08002B2CF9AE}" pid="17" name="DQCStatus">
    <vt:lpwstr>Green (DQC version 03)</vt:lpwstr>
  </property>
</Properties>
</file>