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3B41" w14:textId="15DFE162" w:rsidR="000652AB" w:rsidRDefault="00040AF8" w:rsidP="00040AF8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575B2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83B979F-C3C5-4E29-AEBC-577BD8FFE24C" style="width:455.25pt;height:310.5pt">
            <v:imagedata r:id="rId8" o:title=""/>
          </v:shape>
        </w:pict>
      </w:r>
    </w:p>
    <w:bookmarkEnd w:id="0"/>
    <w:p w14:paraId="1C221A89" w14:textId="77777777" w:rsidR="000652AB" w:rsidRDefault="000652AB" w:rsidP="000652AB">
      <w:pPr>
        <w:rPr>
          <w:noProof/>
        </w:rPr>
        <w:sectPr w:rsidR="000652AB" w:rsidSect="00040A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D8256CB" w14:textId="0C489DE3" w:rsidR="00754A6A" w:rsidRPr="00754A6A" w:rsidRDefault="00754A6A" w:rsidP="00754A6A">
      <w:pPr>
        <w:pStyle w:val="Typedudocument"/>
        <w:rPr>
          <w:noProof/>
        </w:rPr>
      </w:pPr>
      <w:bookmarkStart w:id="1" w:name="_GoBack"/>
      <w:bookmarkEnd w:id="1"/>
      <w:r w:rsidRPr="00754A6A">
        <w:rPr>
          <w:noProof/>
        </w:rPr>
        <w:lastRenderedPageBreak/>
        <w:t>A BIZOTTSÁG JELENTÉSE A TANÁCSNAK ÉS AZ EURÓPAI PARLAMENTNEK</w:t>
      </w:r>
    </w:p>
    <w:p w14:paraId="3F590115" w14:textId="548B59C5" w:rsidR="00754A6A" w:rsidRPr="00754A6A" w:rsidRDefault="00754A6A" w:rsidP="00754A6A">
      <w:pPr>
        <w:pStyle w:val="Titreobjet"/>
        <w:rPr>
          <w:noProof/>
        </w:rPr>
      </w:pPr>
      <w:r w:rsidRPr="00754A6A">
        <w:rPr>
          <w:noProof/>
        </w:rPr>
        <w:t>a fogyasztók élelmiszerekkel kapcsolatos tájékoztatásáról szóló 1169/2011/EU rendelet értelmében a Bizottságra ruházott felhatalmazás gyakorlásáról</w:t>
      </w:r>
    </w:p>
    <w:p w14:paraId="1BA85C1A" w14:textId="1935C87C" w:rsidR="002E2E58" w:rsidRDefault="00AD2EF4" w:rsidP="002E2E58">
      <w:pPr>
        <w:autoSpaceDE w:val="0"/>
        <w:autoSpaceDN w:val="0"/>
        <w:adjustRightInd w:val="0"/>
        <w:spacing w:before="48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1. Bevezetés</w:t>
      </w:r>
    </w:p>
    <w:p w14:paraId="24E2067F" w14:textId="1B1CDA30" w:rsidR="002E2E58" w:rsidRDefault="00613C88" w:rsidP="002E2E5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Ez a jelentés eleget tesz a fogyasztók élelmiszerekkel kapcsolatos tájékoztatásáról szóló, 2011. október 25-i 1169/2011/EU európai parlamenti és tanácsi rendelet (a továbbiakban: az élelmiszerekkel kapcsolatos tájékoztatásról szóló rendelet)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51. cikkének (2) bekezdésében foglalt, a Bizottságra ruházott kötelezettségnek. Az élelmiszerekkel kapcsolatos tájékoztatásról szóló rendelet megállapítja az élelmiszerekkel kapcsolatos tájékoztatásra, különösen az élelmiszerek jelölésére irányadó általános elveket, követelményeket és kötelezettségeket. Az élelmiszerekkel kapcsolatos tájékoztatás a fogyasztók egészségének és érdekeinek magas szintű védelmére törekszik azáltal, hogy a végső fogyasztók számára alapot biztosít a megalapozott választáshoz és az élelmiszerek biztonságos felhasználásához, különös tekintettel az egészségügyi, gazdasági, környezetvédelmi, társadalmi és etikai szempontokra. </w:t>
      </w:r>
    </w:p>
    <w:p w14:paraId="0E2000B2" w14:textId="77777777" w:rsidR="001B605B" w:rsidRPr="001F7C58" w:rsidRDefault="001B605B" w:rsidP="001B60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Az élelmiszerekkel kapcsolatos tájékoztatásról szóló rendelet 51. cikkének (2) bekezdése felhatalmazza a Bizottságot arra, hogy felhatalmazáson alapuló jogi aktusokat fogadjon el az alábbi rendelkezésekben szereplő témákban: </w:t>
      </w:r>
    </w:p>
    <w:p w14:paraId="7CC755DF" w14:textId="77777777" w:rsidR="007232B8" w:rsidRPr="00326575" w:rsidRDefault="001B605B" w:rsidP="001B60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9. cikk (3) bekezdés: a Bizottság meghatározhatja azokat a kritériumokat, amelyek teljesülése esetén egy vagy több kötelező adat szavak vagy számok helyett piktogramok vagy szimbólumok segítségével is kifejezhető annak érdekében, hogy a fogyasztók egyéb kifejezési módok előnyeit is élvezhessék. Ebben az összefüggésben a tájékoztatásnak a szavakkal és számokkal történő adatközléssel azonos információértékkel kell bírnia, és figyelembe kell venni a fogyasztók általi egységes értelmezést igazoló bizonyítékokat.</w:t>
      </w:r>
    </w:p>
    <w:p w14:paraId="06364879" w14:textId="77777777" w:rsidR="001B605B" w:rsidRPr="004B1CB2" w:rsidRDefault="001B605B" w:rsidP="0006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10. cikk (2) bekezdés: a Bizottság módosíthatja a III. mellékletet, amely kötelező kiegészítő adatokat állapít meg egyes élelmiszerfajtákra vagy -csoportokra vonatkozóan annak érdekében, hogy biztosítsa a fogyasztók tájékoztatását ezekkel az élelmiszerekkel kapcsolatban, valamint hogy figyelembe vegye a legújabb technológiai ismereteket és tudományos eredményeket, a fogyasztók egészségének védelmét és az élelmiszerek biztonságos felhasználását. </w:t>
      </w:r>
    </w:p>
    <w:p w14:paraId="6B86F231" w14:textId="77777777" w:rsidR="001B605B" w:rsidRPr="0053160D" w:rsidRDefault="001B605B" w:rsidP="00507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12. cikk (3) bekezdés: az egyes kötelező adatokról az adat jellegének jobban megfelelő módon való értesítés vonatkozásában a Bizottság olyan kritériumokat állapíthat meg, melyek teljesülése esetén egyes kötelező adatok a csomagoláson vagy címkén való feltüntetéstől eltérő módon is közölhetők. Ezekben az esetekben biztosítani kell a fogyasztók számára, hogy a tájékoztatás azonos információértékkel bírjon, figyelembe véve a fogyasztók általi egységes értelmezést és a szóban forgó tájékoztatási módok fogyasztók általi általános igénybevételét igazoló bizonyítékokat. </w:t>
      </w:r>
    </w:p>
    <w:p w14:paraId="33063065" w14:textId="387682F2" w:rsidR="00F46394" w:rsidRPr="00F46394" w:rsidRDefault="001B605B" w:rsidP="00F463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13. cikk (4) bekezdés: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a rendelet célkitűzéseinek elérése érdekében a Bizottságnak szabályokat kell megállapítania a kötelező adatok olvashatóságára vonatkozóan. A 16. cikk (1) és (2) bekezdésének sérelme nélkül a Bizottság egyes élelmiszerfajtákra vagy -csoportokra vonatkozó kötelező kiegészítő adatokra is kiterjesztheti azt a követelményt, hogy az élelmiszer megnevezését, az élelmiszer nettó mennyiségét, valamint az 1,2 térfogatszázaléknál nagyobb alkoholtartalmú italok esetében a térfogatszázalékban kifejezett tényleges alkoholtartalmat ugyanabban a látómezőben kell feltüntetni.   </w:t>
      </w:r>
    </w:p>
    <w:p w14:paraId="0F7B706E" w14:textId="77777777" w:rsidR="000A4DEF" w:rsidRPr="00804B0A" w:rsidRDefault="001B605B" w:rsidP="009B4C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19. cikk (2) bekezdés: figyelembe véve, hogy meghatározott élelmiszerfajták vagy -csoportok esetében a fogyasztók számára milyen jelentőséggel bír az összetevők felsorolása, a Bizottság kivételes esetekben kiegészítheti az olyan élelmiszerek felsorolását, amelyeken nem kötelező feltüntetni az összetevők felsorolását, feltéve, hogy az elhagyás nem eredményezi a végső fogyasztók, a vendéglátók, illetve közétkeztetők nem megfelelő tájékoztatását. </w:t>
      </w:r>
    </w:p>
    <w:p w14:paraId="0D94E85B" w14:textId="77777777" w:rsidR="001B605B" w:rsidRPr="0081758B" w:rsidRDefault="001B605B" w:rsidP="00392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21. cikk (2) bekezdés: a Bizottságnak át kell vizsgálnia és szükség esetén naprakésszé kell tennie a II. mellékletben szereplő, allergiát vagy intoleranciát okozó anyagok vagy termékek listáját a fogyasztók jobb tájékoztatása, valamint a legújabb tudományos eredmények és technológiai ismeretek figyelembevétele céljából. </w:t>
      </w:r>
    </w:p>
    <w:p w14:paraId="24A2ADF9" w14:textId="307984EC" w:rsidR="001B605B" w:rsidRPr="00143346" w:rsidRDefault="001B605B" w:rsidP="00143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23. cikk (2) bekezdés: a Bizottság egyes élelmiszerek vonatkozásában előírhatja a nettó mennyiségnek egyrészt a folyékony termékek esetében nem térfogategységben (liter, centiliter, milliliter), másrészt a tömegegységben (kilogramm, gramm) történő kifejezését annak érdekében, hogy a fogyasztók számára érthetőbbé váljanak az élelmiszerekre vonatkozóan a jelölésen feltüntetett információk. </w:t>
      </w:r>
    </w:p>
    <w:p w14:paraId="0FF8E4CE" w14:textId="24C47DE9" w:rsidR="00E970DC" w:rsidRPr="00A97995" w:rsidRDefault="001B605B" w:rsidP="00E97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30. cikk (6) bekezdés: relevanciájuk figyelembevétele érdekében a Bizottság elemek hozzáadásával vagy törlésével módosíthatja a kötelező tápértékjelölésben szereplő adatok listáját, kiegészítve azt (30. cikk (2) bekezdés); a tápértékjelölés megismételhető információi (30. cikk (3) bekezdés); az 1,2 térfogatszázaléknál kevesebb alkoholt tartalmazó alkoholtartalmú italokon feltüntetett önkéntes tápértékjelölés tartalma (30. cikk (4) bekezdés); valamint a nem előrecsomagolt élelmiszereken feltüntetett önkéntes tápértékjelölés tartalma (30. cikk (5) bekezdés). </w:t>
      </w:r>
    </w:p>
    <w:p w14:paraId="5A6E60EA" w14:textId="77777777" w:rsidR="001B605B" w:rsidRPr="00F152BA" w:rsidRDefault="001B605B" w:rsidP="008A63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31. cikk (2) bekezdés: a Bizottság átszámítási együtthatókat fogadhat el a tápértékjelölésben feltüntethető vitaminok és ásványi anyagok tekintetében, lehetővé téve e vitaminok és ásványi anyagok élelmiszerekben található mennyiségének pontosabb kiszámítását. </w:t>
      </w:r>
    </w:p>
    <w:p w14:paraId="5788E60B" w14:textId="77777777" w:rsidR="001B605B" w:rsidRPr="00F152BA" w:rsidRDefault="001B605B" w:rsidP="00D82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36. cikk (4) bekezdés: amennyiben az élelmiszerekkel kapcsolatban önkéntes alapon megadott információkat az élelmiszer-vállalkozók egymástól jelentősen eltérő módon alkalmazzák, és ez megtévesztheti vagy megzavarhatja a fogyasztókat, a Bizottság a fogyasztók megfelelő tájékoztatásának érdekében a 36. cikk (3) bekezdésében említett önkéntes információközlésen kívül az élelmiszerekkel kapcsolatos önkéntes információközlés terén további rendelkezéseket is meghatározhat. </w:t>
      </w:r>
    </w:p>
    <w:p w14:paraId="39EE298F" w14:textId="77777777" w:rsidR="001B605B" w:rsidRPr="007C6824" w:rsidRDefault="005564FB" w:rsidP="005564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46. cikk: a fent említett, a III. és II. melléklet módosításaira vonatkozó 10. cikk (2) bekezdésének és a 21. cikk (2) bekezdésének sérelme nélkül a Bizottság a műszaki és tudományos fejlődésnek vagy a fogyasztók egészségének és tájékoztatás iránti igényeinek figyelembevétele érdekében módosíthatja a mellékleteket.</w:t>
      </w:r>
    </w:p>
    <w:p w14:paraId="00BD2C91" w14:textId="77777777" w:rsidR="00AD2EF4" w:rsidRPr="00013D98" w:rsidRDefault="00010CC8" w:rsidP="00AD2EF4">
      <w:pPr>
        <w:autoSpaceDE w:val="0"/>
        <w:autoSpaceDN w:val="0"/>
        <w:adjustRightInd w:val="0"/>
        <w:spacing w:before="48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 Jogalap</w:t>
      </w:r>
    </w:p>
    <w:p w14:paraId="09B21736" w14:textId="3FE547AD" w:rsidR="00B956FC" w:rsidRDefault="00010CC8" w:rsidP="00AD2EF4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Az élelmiszerekkel kapcsolatos tájékoztatásról szóló rendelet 51. cikkének (2) bekezdése értelmében a 9. cikk (3) bekezdésében, a 10. cikk (2) bekezdésében, a 12. cikk (3) bekezdésében, a 13. cikk (4) bekezdésében, a 18. cikk (5) bekezdésében, a 19. cikk (2) bekezdésében, a 21. cikk (2) bekezdésében, a 23. cikk (2) bekezdésében, a 30. cikk (6) bekezdésében, a 31. cikk (2) bekezdésében, a 36. cikk (4) bekezdésében és a 46. cikkben említett, a Bizottságnak felhatalmazáson alapuló jogi aktusok elfogadására adott felhatalmazás a 2011. december 12-t követő ötéves időszakra érvényes. A Bizottságnak legkésőbb kilenc hónappal az ötéves időszak letelte előtt jelentést kellett készítenie az élelmiszerekkel kapcsolatos tájékoztatásról szóló rendelet szerinti felhatalmazás gyakorlásáról. A felhatalmazás hallgatólagosan meghosszabbodik öt évvel, amennyiben az Európai Parlament vagy a Tanács nem ellenzi a meghosszabbítást legkésőbb három hónappal minden egyes időtartam letelte előtt.  </w:t>
      </w:r>
    </w:p>
    <w:p w14:paraId="26509BCE" w14:textId="6CBEBB07" w:rsidR="00C20851" w:rsidRDefault="00C20851" w:rsidP="00AD2EF4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Bizottság 2016. március 11-én elfogadta az élelmiszerekkel kapcsolatos tájékoztatásról szóló rendelet szerinti felhatalmazás gyakorlásáról szóló első jelentést</w:t>
      </w:r>
      <w:r w:rsidR="00DD292E" w:rsidRPr="00E60D4A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. Ez a jelentés ismertette az adott időszakban végzett tevékenységeket. </w:t>
      </w:r>
    </w:p>
    <w:p w14:paraId="6C19ED95" w14:textId="77777777" w:rsidR="00BD3F59" w:rsidRPr="00E60D4A" w:rsidRDefault="00BD3F59" w:rsidP="00AD2EF4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760679" w14:textId="77777777" w:rsidR="00AD2EF4" w:rsidRPr="00C64F45" w:rsidRDefault="00243AEE" w:rsidP="00AD2EF4">
      <w:pPr>
        <w:autoSpaceDE w:val="0"/>
        <w:autoSpaceDN w:val="0"/>
        <w:adjustRightInd w:val="0"/>
        <w:spacing w:before="48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 A felhatalmazás gyakorlása</w:t>
      </w:r>
    </w:p>
    <w:p w14:paraId="33E34B97" w14:textId="44EBC21C" w:rsidR="00F3229F" w:rsidRDefault="00217D3B" w:rsidP="00F3229F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 2016. március 11-től a mai napig tartó időszakban a Bizottság nem látta szükségét annak, hogy éljen az élelmiszerekkel kapcsolatos tájékoztatásról szóló rendelet által rá ruházott hatáskörök valamelyikével. Bár az összes átruházott hatáskör továbbra is megfelelő, az a döntés, hogy alkalmazásukra nem kerül sor, a szóban forgó időszakban a felhatalmazások által lefedett szempontok rendszeres és megbízható értékelésének eredménye, amely a nemzeti hatóságoktól, a fogyasztóktól és az érdekelt felektől kapott visszajelzéseken, valamint az élelmiszerekkel kapcsolatos tájékoztatásról szóló rendelet végrehajtása során szerzett tapasztalatokon alapul. </w:t>
      </w:r>
    </w:p>
    <w:p w14:paraId="01668BD1" w14:textId="632D9DCF" w:rsidR="00CF20A8" w:rsidRPr="00594949" w:rsidRDefault="007E7DD3" w:rsidP="009854D4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Különösen az élelmiszerekkel kapcsolatos tájékoztatásról szóló rendelet 13. cikkének (1)–(3) bekezdése határozza meg a kötelező adatok feltüntetésére vonatkozó követelményeket, hogy azok könnyen láthatók, jól olvashatók és adott esetben letörölhetetlenek legyenek. Az olvashatóság biztosítása érdekében a rendelet 13. cikkének (2) és (3) bekezdése, valamint IV. melléklete meghatározza a minimális betűméretre vonatkozó követelményeket, figyelembe véve az anyag felületét. Az élelmiszerekkel kapcsolatos tájékoztatásról szóló rendelet 2. cikke (2) bekezdésének m) pontjában meghatározott „olvashatóság” a bemutatás egyéb szempontjaira is vonatkozik, például a betűközre, a sortávolságra, a vonalvastagságra, a betűtípus színére, a betűtípusra, a betűk szélességének és magasságának arányára, valamint a szöveg és a háttér közötti kontrasztra. Ebben az összefüggésben a rendelet 13. cikkének (4) bekezdése felhatalmazza a Bizottságot, hogy a rendelet célkitűzéseinek elérése érdekében további szabályokat állapítson meg a kötelező adatok olvashatóságára vonatkozóan. Az élelmiszerekkel kapcsolatos tájékoztatásról szóló rendelet 13. cikke (1)–(3) bekezdésének végrehajtása eddig nem utal arra, hogy a meglévő szabályok ne lennének elegendőek a kötelező adatok egyértelmű olvashatóságának biztosításához. Figyelembe véve azt az átfogó célt, hogy megfelelő egyensúlyt kell teremteni a fogyasztók védelme és az élelmiszer-vállalkozók zökkenőmentes üzletvitelét lehetővé tevő rugalmasság között, a Bizottság nem találta helyénvalónak, hogy a szóban forgó időszakban végrehajtsa a kötelező adatok olvashatóságával kapcsolatos további követelmények bevezetésére kapott felhatalmazást. </w:t>
      </w:r>
    </w:p>
    <w:p w14:paraId="560E8E11" w14:textId="680BFE84" w:rsidR="00E83930" w:rsidRDefault="007E7DD3" w:rsidP="00BE71BC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Továbbá az élelmiszerekkel kapcsolatos tájékoztatásról szóló rendelet 21. cikkének (2) bekezdése értelmében a Bizottságnak szisztematikusan át kell vizsgálnia az allergiát vagy intoleranciát okozó anyagok vagy termékek II. mellékletben szereplő listát. E folyamatos értékelés alapján a Bizottság szükség esetén naprakésszé teszi a listát a fogyasztók jobb tájékoztatása, valamint a legújabb tudományos eredmények és technológiai ismeretek figyelembevétele érdekében. E rendelkezésnek megfelelően a Bizottság a szóban forgó időszakban szorosan figyelemmel kísérte az esetlegesen allergiát vagy intoleranciát okozó anyagok vagy termékek helyzetét, és a begyűjtött bizonyítékok egyike sem utalt arra, hogy további lépéseket kellene tenni az élelmiszerekkel kapcsolatos tájékoztatásról szóló rendelet II. mellékletének módosítása érdekében.  </w:t>
      </w:r>
    </w:p>
    <w:p w14:paraId="440CE2B7" w14:textId="68AD8FB9" w:rsidR="007D21B8" w:rsidRPr="00B24923" w:rsidRDefault="00BE71BC" w:rsidP="006D3066">
      <w:pPr>
        <w:pStyle w:val="Default"/>
        <w:spacing w:before="120" w:after="120"/>
        <w:jc w:val="both"/>
        <w:rPr>
          <w:rFonts w:ascii="Times New Roman" w:hAnsi="Times New Roman" w:cs="Times New Roman"/>
          <w:noProof/>
          <w:color w:val="0070C0"/>
        </w:rPr>
      </w:pPr>
      <w:r>
        <w:rPr>
          <w:rFonts w:ascii="Times New Roman" w:hAnsi="Times New Roman"/>
          <w:noProof/>
        </w:rPr>
        <w:t xml:space="preserve">Amint az a Bizottságnak adott felhatalmazás gyakorlásáról szóló, 2016. március 11-i bizottsági jelentésben szerepel, az élelmiszerekkel kapcsolatos tájékoztatásról szóló rendelet 18. cikkének (5) bekezdése 2018. január 1-jén törlésre került. </w:t>
      </w:r>
    </w:p>
    <w:p w14:paraId="3D625229" w14:textId="77777777" w:rsidR="00DF7545" w:rsidRPr="00801C9B" w:rsidRDefault="00DF7545" w:rsidP="00DF7545">
      <w:pPr>
        <w:autoSpaceDE w:val="0"/>
        <w:autoSpaceDN w:val="0"/>
        <w:adjustRightInd w:val="0"/>
        <w:spacing w:before="48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4. Következtetés</w:t>
      </w:r>
    </w:p>
    <w:p w14:paraId="7FF6B3E6" w14:textId="77777777" w:rsidR="00F60166" w:rsidRPr="00801C9B" w:rsidRDefault="00DF7545" w:rsidP="00DF754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Bizottság 2016. március 11. óta nem gyakorolta az 1169/2011/EU rendelet értelmében ráruházott hatásköröket. A Bizottság az Európai Parlament és a Tanács figyelmébe ajánlja ezt a jelentést.</w:t>
      </w:r>
    </w:p>
    <w:sectPr w:rsidR="00F60166" w:rsidRPr="00801C9B" w:rsidSect="000652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6476" w14:textId="77777777" w:rsidR="00CA6F77" w:rsidRDefault="00CA6F77" w:rsidP="00AD2EF4">
      <w:pPr>
        <w:spacing w:after="0" w:line="240" w:lineRule="auto"/>
      </w:pPr>
      <w:r>
        <w:separator/>
      </w:r>
    </w:p>
  </w:endnote>
  <w:endnote w:type="continuationSeparator" w:id="0">
    <w:p w14:paraId="18CB537D" w14:textId="77777777" w:rsidR="00CA6F77" w:rsidRDefault="00CA6F77" w:rsidP="00AD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ABBF" w14:textId="77777777" w:rsidR="00040AF8" w:rsidRPr="00040AF8" w:rsidRDefault="00040AF8" w:rsidP="0004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69FE" w14:textId="58864CDB" w:rsidR="00754A6A" w:rsidRPr="00040AF8" w:rsidRDefault="00040AF8" w:rsidP="00040AF8">
    <w:pPr>
      <w:pStyle w:val="FooterCoverPage"/>
      <w:rPr>
        <w:rFonts w:ascii="Arial" w:hAnsi="Arial" w:cs="Arial"/>
        <w:b/>
        <w:sz w:val="48"/>
      </w:rPr>
    </w:pPr>
    <w:r w:rsidRPr="00040AF8">
      <w:rPr>
        <w:rFonts w:ascii="Arial" w:hAnsi="Arial" w:cs="Arial"/>
        <w:b/>
        <w:sz w:val="48"/>
      </w:rPr>
      <w:t>HU</w:t>
    </w:r>
    <w:r w:rsidRPr="00040AF8">
      <w:rPr>
        <w:rFonts w:ascii="Arial" w:hAnsi="Arial" w:cs="Arial"/>
        <w:b/>
        <w:sz w:val="48"/>
      </w:rPr>
      <w:tab/>
    </w:r>
    <w:r w:rsidRPr="00040AF8">
      <w:rPr>
        <w:rFonts w:ascii="Arial" w:hAnsi="Arial" w:cs="Arial"/>
        <w:b/>
        <w:sz w:val="48"/>
      </w:rPr>
      <w:tab/>
    </w:r>
    <w:r w:rsidRPr="00040AF8">
      <w:tab/>
    </w:r>
    <w:r w:rsidRPr="00040AF8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EAE3" w14:textId="77777777" w:rsidR="00040AF8" w:rsidRPr="00040AF8" w:rsidRDefault="00040AF8" w:rsidP="00040AF8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6BDB" w14:textId="77777777" w:rsidR="000652AB" w:rsidRDefault="000652A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84F6" w14:textId="77777777" w:rsidR="000652AB" w:rsidRDefault="000652A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D4C13" w14:textId="77777777" w:rsidR="000652AB" w:rsidRDefault="0006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BFF4" w14:textId="77777777" w:rsidR="00CA6F77" w:rsidRDefault="00CA6F77" w:rsidP="00AD2EF4">
      <w:pPr>
        <w:spacing w:after="0" w:line="240" w:lineRule="auto"/>
      </w:pPr>
      <w:r>
        <w:separator/>
      </w:r>
    </w:p>
  </w:footnote>
  <w:footnote w:type="continuationSeparator" w:id="0">
    <w:p w14:paraId="3B67D96E" w14:textId="77777777" w:rsidR="00CA6F77" w:rsidRDefault="00CA6F77" w:rsidP="00AD2EF4">
      <w:pPr>
        <w:spacing w:after="0" w:line="240" w:lineRule="auto"/>
      </w:pPr>
      <w:r>
        <w:continuationSeparator/>
      </w:r>
    </w:p>
  </w:footnote>
  <w:footnote w:id="1">
    <w:p w14:paraId="421E4FDA" w14:textId="77777777" w:rsidR="00613C88" w:rsidRDefault="00613C88" w:rsidP="00613C88">
      <w:pPr>
        <w:pStyle w:val="FootnoteText"/>
        <w:ind w:left="567" w:hanging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ab/>
      </w:r>
      <w:r>
        <w:rPr>
          <w:rFonts w:ascii="Times New Roman" w:hAnsi="Times New Roman"/>
        </w:rPr>
        <w:t>Az Európai Parlament és a Tanács 1169/2011/EU rendelete (2011. október 25.)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(HL L 304., 2011.11.22., 18. o.).</w:t>
      </w:r>
    </w:p>
  </w:footnote>
  <w:footnote w:id="2">
    <w:p w14:paraId="7463C63F" w14:textId="77777777" w:rsidR="00DD292E" w:rsidRPr="009854D4" w:rsidRDefault="00DD292E" w:rsidP="00E83930">
      <w:pPr>
        <w:pStyle w:val="FootnoteText"/>
        <w:ind w:left="600" w:hanging="600"/>
        <w:jc w:val="both"/>
        <w:rPr>
          <w:rFonts w:ascii="Times New Roman" w:hAnsi="Times New Roman" w:cs="Times New Roman"/>
          <w:iCs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A Bizottság jelentése az Európai Parlamentnek és a Tanácsnak a fogyasztók élelmiszerekkel kapcsolatos tájékoztatásáról szóló 1169/2011/EU rendelet értelmében a Bizottságnak adott felhatalmazás gyakorlásáról, COM(2016) 138 final.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0A57" w14:textId="77777777" w:rsidR="00040AF8" w:rsidRPr="00040AF8" w:rsidRDefault="00040AF8" w:rsidP="00040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7656" w14:textId="77777777" w:rsidR="00040AF8" w:rsidRPr="00040AF8" w:rsidRDefault="00040AF8" w:rsidP="00040AF8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4E00" w14:textId="77777777" w:rsidR="00040AF8" w:rsidRPr="00040AF8" w:rsidRDefault="00040AF8" w:rsidP="00040AF8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6208" w14:textId="77777777" w:rsidR="000652AB" w:rsidRDefault="000652A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6F39" w14:textId="77777777" w:rsidR="000652AB" w:rsidRDefault="000652A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55F9" w14:textId="77777777" w:rsidR="000652AB" w:rsidRDefault="00065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DF6"/>
    <w:multiLevelType w:val="hybridMultilevel"/>
    <w:tmpl w:val="D95C61B2"/>
    <w:lvl w:ilvl="0" w:tplc="8DC64E6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83B979F-C3C5-4E29-AEBC-577BD8FFE24C"/>
    <w:docVar w:name="LW_COVERPAGE_TYPE" w:val="1"/>
    <w:docVar w:name="LW_CROSSREFERENCE" w:val="&lt;UNUSED&gt;"/>
    <w:docVar w:name="LW_DocType" w:val="NORMAL"/>
    <w:docVar w:name="LW_EMISSION" w:val="2022.7.6."/>
    <w:docVar w:name="LW_EMISSION_ISODATE" w:val="2022-07-06"/>
    <w:docVar w:name="LW_EMISSION_LOCATION" w:val="BRX"/>
    <w:docVar w:name="LW_EMISSION_PREFIX" w:val="Brüsszel, "/>
    <w:docVar w:name="LW_EMISSION_SUFFIX" w:val=" "/>
    <w:docVar w:name="LW_ID_DOCTYPE_NONLW" w:val="CP-005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2) 3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 fogyasztók élelmiszerekkel kapcsolatos tájékoztatásáról szóló 1169/2011/EU rendelet értelmében a Bizottságra ruházott felhatalmazás gyakorlásáról"/>
    <w:docVar w:name="LW_TYPE.DOC.CP" w:val="A BIZOTTSÁG JELENTÉSE A TANÁCSNAK ÉS AZ EURÓPAI PARLAMENTNEK"/>
    <w:docVar w:name="LwApiVersions" w:val="LW4CoDe 1.23.2.0; LW 8.0, Build 20211117"/>
  </w:docVars>
  <w:rsids>
    <w:rsidRoot w:val="00AD2EF4"/>
    <w:rsid w:val="00006AE1"/>
    <w:rsid w:val="00010CC8"/>
    <w:rsid w:val="00010EDB"/>
    <w:rsid w:val="00013D98"/>
    <w:rsid w:val="000142BC"/>
    <w:rsid w:val="00015490"/>
    <w:rsid w:val="00022972"/>
    <w:rsid w:val="00040AF8"/>
    <w:rsid w:val="00046E16"/>
    <w:rsid w:val="00060F20"/>
    <w:rsid w:val="00063D12"/>
    <w:rsid w:val="000652AB"/>
    <w:rsid w:val="000A4DEF"/>
    <w:rsid w:val="000A5D50"/>
    <w:rsid w:val="000D283F"/>
    <w:rsid w:val="00103681"/>
    <w:rsid w:val="001064E7"/>
    <w:rsid w:val="00143346"/>
    <w:rsid w:val="001561E9"/>
    <w:rsid w:val="00182B0D"/>
    <w:rsid w:val="0018302A"/>
    <w:rsid w:val="001836E1"/>
    <w:rsid w:val="001B605B"/>
    <w:rsid w:val="001B78FF"/>
    <w:rsid w:val="001E43A7"/>
    <w:rsid w:val="001F1257"/>
    <w:rsid w:val="001F7C58"/>
    <w:rsid w:val="00204F20"/>
    <w:rsid w:val="00217D3B"/>
    <w:rsid w:val="00231051"/>
    <w:rsid w:val="00234133"/>
    <w:rsid w:val="00243AEE"/>
    <w:rsid w:val="00246FC4"/>
    <w:rsid w:val="002B41C5"/>
    <w:rsid w:val="002D0330"/>
    <w:rsid w:val="002E2C7D"/>
    <w:rsid w:val="002E2E58"/>
    <w:rsid w:val="002E6C5D"/>
    <w:rsid w:val="002F38E5"/>
    <w:rsid w:val="0030397F"/>
    <w:rsid w:val="00326575"/>
    <w:rsid w:val="003759BB"/>
    <w:rsid w:val="0039252A"/>
    <w:rsid w:val="003A2AEE"/>
    <w:rsid w:val="003A2CAC"/>
    <w:rsid w:val="003B2469"/>
    <w:rsid w:val="003E41C5"/>
    <w:rsid w:val="003F5F1E"/>
    <w:rsid w:val="003F797D"/>
    <w:rsid w:val="00437203"/>
    <w:rsid w:val="0045414B"/>
    <w:rsid w:val="00460A11"/>
    <w:rsid w:val="00464DAD"/>
    <w:rsid w:val="004913B2"/>
    <w:rsid w:val="004A0E6C"/>
    <w:rsid w:val="004B1CB2"/>
    <w:rsid w:val="004C178D"/>
    <w:rsid w:val="004C31F1"/>
    <w:rsid w:val="00500566"/>
    <w:rsid w:val="00512FB5"/>
    <w:rsid w:val="00530B35"/>
    <w:rsid w:val="0053160D"/>
    <w:rsid w:val="00536F8D"/>
    <w:rsid w:val="0055121A"/>
    <w:rsid w:val="00555917"/>
    <w:rsid w:val="005564FB"/>
    <w:rsid w:val="0057762A"/>
    <w:rsid w:val="00594949"/>
    <w:rsid w:val="00595291"/>
    <w:rsid w:val="005D0DCC"/>
    <w:rsid w:val="005D539C"/>
    <w:rsid w:val="005D5C6E"/>
    <w:rsid w:val="00613C88"/>
    <w:rsid w:val="00620227"/>
    <w:rsid w:val="006221E2"/>
    <w:rsid w:val="0062318E"/>
    <w:rsid w:val="00633D86"/>
    <w:rsid w:val="00647659"/>
    <w:rsid w:val="0065173A"/>
    <w:rsid w:val="006724E3"/>
    <w:rsid w:val="006B2DFF"/>
    <w:rsid w:val="006C45BA"/>
    <w:rsid w:val="006D13D2"/>
    <w:rsid w:val="006D3066"/>
    <w:rsid w:val="006E0D6B"/>
    <w:rsid w:val="006E20BA"/>
    <w:rsid w:val="00704B95"/>
    <w:rsid w:val="00704BF4"/>
    <w:rsid w:val="007133A9"/>
    <w:rsid w:val="007232B8"/>
    <w:rsid w:val="00727498"/>
    <w:rsid w:val="00750248"/>
    <w:rsid w:val="007535EA"/>
    <w:rsid w:val="00754A6A"/>
    <w:rsid w:val="00761932"/>
    <w:rsid w:val="00763D5F"/>
    <w:rsid w:val="007C163F"/>
    <w:rsid w:val="007C1775"/>
    <w:rsid w:val="007C6824"/>
    <w:rsid w:val="007D21B8"/>
    <w:rsid w:val="007D2EAE"/>
    <w:rsid w:val="007D4BE9"/>
    <w:rsid w:val="007D52C7"/>
    <w:rsid w:val="007E7DD3"/>
    <w:rsid w:val="007F2F5C"/>
    <w:rsid w:val="00801C9B"/>
    <w:rsid w:val="00804B0A"/>
    <w:rsid w:val="00811B45"/>
    <w:rsid w:val="008125F4"/>
    <w:rsid w:val="0081758B"/>
    <w:rsid w:val="00840DD7"/>
    <w:rsid w:val="00867BA7"/>
    <w:rsid w:val="0087236C"/>
    <w:rsid w:val="00877124"/>
    <w:rsid w:val="00881040"/>
    <w:rsid w:val="008A6388"/>
    <w:rsid w:val="009146FD"/>
    <w:rsid w:val="0093285E"/>
    <w:rsid w:val="009640EC"/>
    <w:rsid w:val="00964955"/>
    <w:rsid w:val="009854D4"/>
    <w:rsid w:val="00986AF4"/>
    <w:rsid w:val="00991EA8"/>
    <w:rsid w:val="009B4CE0"/>
    <w:rsid w:val="009B50A9"/>
    <w:rsid w:val="009B6825"/>
    <w:rsid w:val="009C36D3"/>
    <w:rsid w:val="009D261C"/>
    <w:rsid w:val="009D4283"/>
    <w:rsid w:val="009D562B"/>
    <w:rsid w:val="00A1248E"/>
    <w:rsid w:val="00A26290"/>
    <w:rsid w:val="00A30AE9"/>
    <w:rsid w:val="00A32837"/>
    <w:rsid w:val="00A40DA0"/>
    <w:rsid w:val="00A551CB"/>
    <w:rsid w:val="00A76F39"/>
    <w:rsid w:val="00A97995"/>
    <w:rsid w:val="00AA2F9B"/>
    <w:rsid w:val="00AB23F8"/>
    <w:rsid w:val="00AD2EF4"/>
    <w:rsid w:val="00AF5C4C"/>
    <w:rsid w:val="00B01E2E"/>
    <w:rsid w:val="00B2265A"/>
    <w:rsid w:val="00B24923"/>
    <w:rsid w:val="00B26110"/>
    <w:rsid w:val="00B43508"/>
    <w:rsid w:val="00B5479E"/>
    <w:rsid w:val="00B62E6F"/>
    <w:rsid w:val="00B75872"/>
    <w:rsid w:val="00B94468"/>
    <w:rsid w:val="00B956FC"/>
    <w:rsid w:val="00B96D1E"/>
    <w:rsid w:val="00BB57C4"/>
    <w:rsid w:val="00BB761A"/>
    <w:rsid w:val="00BD3F59"/>
    <w:rsid w:val="00BE2C1D"/>
    <w:rsid w:val="00BE57CA"/>
    <w:rsid w:val="00BE71BC"/>
    <w:rsid w:val="00BF37F2"/>
    <w:rsid w:val="00C20851"/>
    <w:rsid w:val="00C4256D"/>
    <w:rsid w:val="00C514E1"/>
    <w:rsid w:val="00C54D5C"/>
    <w:rsid w:val="00C5597C"/>
    <w:rsid w:val="00C64F45"/>
    <w:rsid w:val="00C849E4"/>
    <w:rsid w:val="00C86834"/>
    <w:rsid w:val="00CA6F77"/>
    <w:rsid w:val="00CB7E8D"/>
    <w:rsid w:val="00CC309C"/>
    <w:rsid w:val="00CD45B6"/>
    <w:rsid w:val="00CF20A8"/>
    <w:rsid w:val="00D00896"/>
    <w:rsid w:val="00D3046A"/>
    <w:rsid w:val="00D41789"/>
    <w:rsid w:val="00D7197F"/>
    <w:rsid w:val="00D82F7B"/>
    <w:rsid w:val="00DA1ADC"/>
    <w:rsid w:val="00DA5FB8"/>
    <w:rsid w:val="00DC017D"/>
    <w:rsid w:val="00DC1208"/>
    <w:rsid w:val="00DD25C2"/>
    <w:rsid w:val="00DD292E"/>
    <w:rsid w:val="00DF0788"/>
    <w:rsid w:val="00DF209B"/>
    <w:rsid w:val="00DF7545"/>
    <w:rsid w:val="00E236AD"/>
    <w:rsid w:val="00E26476"/>
    <w:rsid w:val="00E37303"/>
    <w:rsid w:val="00E5476D"/>
    <w:rsid w:val="00E60D4A"/>
    <w:rsid w:val="00E667B6"/>
    <w:rsid w:val="00E83930"/>
    <w:rsid w:val="00E879F0"/>
    <w:rsid w:val="00E91797"/>
    <w:rsid w:val="00E94476"/>
    <w:rsid w:val="00E970DC"/>
    <w:rsid w:val="00EB6EAF"/>
    <w:rsid w:val="00ED5FC6"/>
    <w:rsid w:val="00EE108A"/>
    <w:rsid w:val="00F11C49"/>
    <w:rsid w:val="00F152BA"/>
    <w:rsid w:val="00F3229F"/>
    <w:rsid w:val="00F42CE4"/>
    <w:rsid w:val="00F44DB4"/>
    <w:rsid w:val="00F46394"/>
    <w:rsid w:val="00F51EF8"/>
    <w:rsid w:val="00F542CB"/>
    <w:rsid w:val="00F57BE7"/>
    <w:rsid w:val="00F60166"/>
    <w:rsid w:val="00F62EFF"/>
    <w:rsid w:val="00F853DE"/>
    <w:rsid w:val="00F9715B"/>
    <w:rsid w:val="00FA03DF"/>
    <w:rsid w:val="00FD7D8C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0CF9F5"/>
  <w15:chartTrackingRefBased/>
  <w15:docId w15:val="{CBD4B802-7FD7-4712-A6F5-24BD28A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F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D2EF4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D2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2EF4"/>
    <w:rPr>
      <w:sz w:val="20"/>
      <w:szCs w:val="20"/>
      <w:lang w:val="hu-HU"/>
    </w:rPr>
  </w:style>
  <w:style w:type="character" w:styleId="FootnoteReference">
    <w:name w:val="footnote reference"/>
    <w:uiPriority w:val="99"/>
    <w:semiHidden/>
    <w:rsid w:val="00AD2EF4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2EF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D2EF4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D2EF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D2EF4"/>
    <w:rPr>
      <w:rFonts w:ascii="Times New Roman" w:hAnsi="Times New Roman" w:cs="Times New Roman"/>
      <w:sz w:val="24"/>
      <w:lang w:val="hu-HU"/>
    </w:rPr>
  </w:style>
  <w:style w:type="paragraph" w:customStyle="1" w:styleId="Typedudocument">
    <w:name w:val="Type du document"/>
    <w:basedOn w:val="Normal"/>
    <w:next w:val="Normal"/>
    <w:link w:val="TypedudocumentChar"/>
    <w:rsid w:val="00AD2EF4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rsid w:val="00AD2EF4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1B60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71BC"/>
    <w:rPr>
      <w:color w:val="0000FF"/>
      <w:u w:val="single"/>
    </w:rPr>
  </w:style>
  <w:style w:type="character" w:customStyle="1" w:styleId="super">
    <w:name w:val="super"/>
    <w:basedOn w:val="DefaultParagraphFont"/>
    <w:rsid w:val="00BE71BC"/>
  </w:style>
  <w:style w:type="character" w:styleId="CommentReference">
    <w:name w:val="annotation reference"/>
    <w:basedOn w:val="DefaultParagraphFont"/>
    <w:uiPriority w:val="99"/>
    <w:semiHidden/>
    <w:unhideWhenUsed/>
    <w:rsid w:val="0051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FB5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FB5"/>
    <w:rPr>
      <w:b/>
      <w:bCs/>
      <w:sz w:val="20"/>
      <w:szCs w:val="20"/>
      <w:lang w:val="hu-HU"/>
    </w:rPr>
  </w:style>
  <w:style w:type="paragraph" w:styleId="Revision">
    <w:name w:val="Revision"/>
    <w:hidden/>
    <w:uiPriority w:val="99"/>
    <w:semiHidden/>
    <w:rsid w:val="00512F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5"/>
    <w:rPr>
      <w:rFonts w:ascii="Segoe UI" w:hAnsi="Segoe UI" w:cs="Segoe UI"/>
      <w:sz w:val="18"/>
      <w:szCs w:val="18"/>
      <w:lang w:val="hu-HU"/>
    </w:rPr>
  </w:style>
  <w:style w:type="character" w:customStyle="1" w:styleId="Marker">
    <w:name w:val="Marker"/>
    <w:basedOn w:val="DefaultParagraphFont"/>
    <w:rsid w:val="000652A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0652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0652AB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ypedudocumentChar">
    <w:name w:val="Type du document Char"/>
    <w:basedOn w:val="DefaultParagraphFont"/>
    <w:link w:val="Typedudocument"/>
    <w:rsid w:val="000652AB"/>
    <w:rPr>
      <w:rFonts w:ascii="Times New Roman" w:hAnsi="Times New Roman" w:cs="Times New Roman"/>
      <w:b/>
      <w:sz w:val="24"/>
      <w:lang w:val="hu-HU"/>
    </w:rPr>
  </w:style>
  <w:style w:type="character" w:customStyle="1" w:styleId="FooterCoverPageChar">
    <w:name w:val="Footer Cover Page Char"/>
    <w:basedOn w:val="TypedudocumentChar"/>
    <w:link w:val="FooterCoverPage"/>
    <w:rsid w:val="000652AB"/>
    <w:rPr>
      <w:rFonts w:ascii="Times New Roman" w:hAnsi="Times New Roman" w:cs="Times New Roman"/>
      <w:b w:val="0"/>
      <w:sz w:val="24"/>
      <w:lang w:val="hu-HU"/>
    </w:rPr>
  </w:style>
  <w:style w:type="paragraph" w:customStyle="1" w:styleId="FooterSensitivity">
    <w:name w:val="Footer Sensitivity"/>
    <w:basedOn w:val="Normal"/>
    <w:link w:val="FooterSensitivityChar"/>
    <w:rsid w:val="000652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sid w:val="000652AB"/>
    <w:rPr>
      <w:rFonts w:ascii="Times New Roman" w:hAnsi="Times New Roman" w:cs="Times New Roman"/>
      <w:b/>
      <w:sz w:val="32"/>
      <w:lang w:val="hu-HU"/>
    </w:rPr>
  </w:style>
  <w:style w:type="paragraph" w:customStyle="1" w:styleId="HeaderCoverPage">
    <w:name w:val="Header Cover Page"/>
    <w:basedOn w:val="Normal"/>
    <w:link w:val="HeaderCoverPageChar"/>
    <w:rsid w:val="000652AB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sid w:val="000652AB"/>
    <w:rPr>
      <w:rFonts w:ascii="Times New Roman" w:hAnsi="Times New Roman" w:cs="Times New Roman"/>
      <w:b w:val="0"/>
      <w:sz w:val="24"/>
      <w:lang w:val="hu-HU"/>
    </w:rPr>
  </w:style>
  <w:style w:type="paragraph" w:customStyle="1" w:styleId="HeaderSensitivity">
    <w:name w:val="Header Sensitivity"/>
    <w:basedOn w:val="Normal"/>
    <w:link w:val="HeaderSensitivityChar"/>
    <w:rsid w:val="000652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sid w:val="000652AB"/>
    <w:rPr>
      <w:rFonts w:ascii="Times New Roman" w:hAnsi="Times New Roman" w:cs="Times New Roman"/>
      <w:b/>
      <w:sz w:val="32"/>
      <w:lang w:val="hu-HU"/>
    </w:rPr>
  </w:style>
  <w:style w:type="paragraph" w:customStyle="1" w:styleId="HeaderSensitivityRight">
    <w:name w:val="Header Sensitivity Right"/>
    <w:basedOn w:val="Normal"/>
    <w:link w:val="HeaderSensitivityRightChar"/>
    <w:rsid w:val="000652AB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ypedudocumentChar"/>
    <w:link w:val="HeaderSensitivityRight"/>
    <w:rsid w:val="000652AB"/>
    <w:rPr>
      <w:rFonts w:ascii="Times New Roman" w:hAnsi="Times New Roman" w:cs="Times New Roman"/>
      <w:b w:val="0"/>
      <w:sz w:val="28"/>
      <w:lang w:val="hu-HU"/>
    </w:rPr>
  </w:style>
  <w:style w:type="paragraph" w:customStyle="1" w:styleId="Default">
    <w:name w:val="Default"/>
    <w:rsid w:val="007D21B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3071-F1B8-4DB7-AFBA-6F96EB15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1359</Words>
  <Characters>9785</Characters>
  <Application>Microsoft Office Word</Application>
  <DocSecurity>0</DocSecurity>
  <Lines>143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28</cp:revision>
  <cp:lastPrinted>2022-04-26T08:30:00Z</cp:lastPrinted>
  <dcterms:created xsi:type="dcterms:W3CDTF">2022-06-08T14:11:00Z</dcterms:created>
  <dcterms:modified xsi:type="dcterms:W3CDTF">2022-06-27T07:16:00Z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2022-03-18T17:21:11Z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3234ef1a-9973-4261-aab5-d11f4c9c5572</vt:lpwstr>
  </property>
  <property fmtid="{D5CDD505-2E9C-101B-9397-08002B2CF9AE}" pid="8" name="MSIP_Label_6bd9ddd1-4d20-43f6-abfa-fc3c07406f94_ContentBits">
    <vt:lpwstr>0</vt:lpwstr>
  </property>
  <property fmtid="{D5CDD505-2E9C-101B-9397-08002B2CF9AE}" pid="9" name="Level of sensitivity">
    <vt:lpwstr>Standard treatment</vt:lpwstr>
  </property>
  <property fmtid="{D5CDD505-2E9C-101B-9397-08002B2CF9AE}" pid="10" name="Part">
    <vt:lpwstr>1</vt:lpwstr>
  </property>
  <property fmtid="{D5CDD505-2E9C-101B-9397-08002B2CF9AE}" pid="11" name="Total parts">
    <vt:lpwstr>1</vt:lpwstr>
  </property>
  <property fmtid="{D5CDD505-2E9C-101B-9397-08002B2CF9AE}" pid="12" name="DocStatus">
    <vt:lpwstr>Green</vt:lpwstr>
  </property>
  <property fmtid="{D5CDD505-2E9C-101B-9397-08002B2CF9AE}" pid="13" name="CPTemplateID">
    <vt:lpwstr>CP-005</vt:lpwstr>
  </property>
  <property fmtid="{D5CDD505-2E9C-101B-9397-08002B2CF9AE}" pid="14" name="Last edited using">
    <vt:lpwstr>LW 8.0, Build 20220128</vt:lpwstr>
  </property>
  <property fmtid="{D5CDD505-2E9C-101B-9397-08002B2CF9AE}" pid="15" name="Created using">
    <vt:lpwstr>LW 8.0, Build 20220128</vt:lpwstr>
  </property>
</Properties>
</file>