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F02A7" w14:textId="505E871F" w:rsidR="00EB21E1" w:rsidRDefault="00984541" w:rsidP="00984541">
      <w:pPr>
        <w:pStyle w:val="Pagedecouverture"/>
        <w:rPr>
          <w:noProof/>
        </w:rPr>
      </w:pPr>
      <w:bookmarkStart w:id="0" w:name="_Toc456026166"/>
      <w:bookmarkStart w:id="1" w:name="LW_BM_COVERPAGE"/>
      <w:r>
        <w:rPr>
          <w:noProof/>
        </w:rPr>
        <w:pict w14:anchorId="3B1DF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380720-74CD-47C7-835A-22219B09AC2C" style="width:455.15pt;height:324.25pt">
            <v:imagedata r:id="rId12" o:title=""/>
          </v:shape>
        </w:pict>
      </w:r>
    </w:p>
    <w:bookmarkEnd w:id="1"/>
    <w:p w14:paraId="6CB2888C" w14:textId="77777777" w:rsidR="00002A26" w:rsidRPr="00002A26" w:rsidRDefault="00002A26" w:rsidP="00002A26">
      <w:pPr>
        <w:pStyle w:val="Pagedecouverture"/>
        <w:rPr>
          <w:noProof/>
        </w:rPr>
        <w:sectPr w:rsidR="00002A26" w:rsidRPr="00002A26" w:rsidSect="00984541">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14:paraId="2007F954" w14:textId="77777777" w:rsidR="00D66606" w:rsidRPr="007E3223" w:rsidRDefault="00D66606" w:rsidP="00D66606">
      <w:pPr>
        <w:pStyle w:val="TOCHeading"/>
        <w:rPr>
          <w:noProof/>
          <w:lang w:val="en-IE"/>
        </w:rPr>
      </w:pPr>
      <w:bookmarkStart w:id="2" w:name="_Toc105504502"/>
      <w:bookmarkStart w:id="3" w:name="_Toc494974436"/>
      <w:bookmarkStart w:id="4" w:name="_Toc524523057"/>
      <w:bookmarkStart w:id="5" w:name="_GoBack"/>
      <w:bookmarkEnd w:id="0"/>
      <w:bookmarkEnd w:id="5"/>
      <w:r>
        <w:rPr>
          <w:noProof/>
          <w:lang w:val="en-IE"/>
        </w:rPr>
        <w:lastRenderedPageBreak/>
        <w:t xml:space="preserve">Table of </w:t>
      </w:r>
      <w:r w:rsidRPr="007E3223">
        <w:rPr>
          <w:noProof/>
          <w:lang w:val="en-IE"/>
        </w:rPr>
        <w:t>Contents</w:t>
      </w:r>
      <w:bookmarkEnd w:id="2"/>
    </w:p>
    <w:p w14:paraId="4A784E14" w14:textId="3D5B6A62" w:rsidR="004925E6" w:rsidRDefault="00D66606">
      <w:pPr>
        <w:pStyle w:val="TOC1"/>
        <w:rPr>
          <w:rFonts w:asciiTheme="minorHAnsi" w:eastAsiaTheme="minorEastAsia" w:hAnsiTheme="minorHAnsi"/>
          <w:b w:val="0"/>
          <w:caps w:val="0"/>
          <w:noProof/>
          <w:sz w:val="22"/>
          <w:szCs w:val="22"/>
          <w:lang w:val="en-IE" w:eastAsia="en-IE"/>
        </w:rPr>
      </w:pPr>
      <w:r>
        <w:rPr>
          <w:noProof/>
        </w:rPr>
        <w:fldChar w:fldCharType="begin"/>
      </w:r>
      <w:r>
        <w:rPr>
          <w:noProof/>
        </w:rPr>
        <w:instrText>TOC \o "1-3" \h \z \u</w:instrText>
      </w:r>
      <w:r>
        <w:rPr>
          <w:noProof/>
        </w:rPr>
        <w:fldChar w:fldCharType="separate"/>
      </w:r>
      <w:hyperlink w:anchor="_Toc105504502" w:history="1">
        <w:r w:rsidR="004925E6" w:rsidRPr="00722CD2">
          <w:rPr>
            <w:rStyle w:val="Hyperlink"/>
            <w:noProof/>
            <w:lang w:val="en-IE"/>
          </w:rPr>
          <w:t>Table of Contents</w:t>
        </w:r>
        <w:r w:rsidR="004925E6">
          <w:rPr>
            <w:noProof/>
            <w:webHidden/>
          </w:rPr>
          <w:tab/>
        </w:r>
        <w:r w:rsidR="004925E6">
          <w:rPr>
            <w:noProof/>
            <w:webHidden/>
          </w:rPr>
          <w:fldChar w:fldCharType="begin"/>
        </w:r>
        <w:r w:rsidR="004925E6">
          <w:rPr>
            <w:noProof/>
            <w:webHidden/>
          </w:rPr>
          <w:instrText xml:space="preserve"> PAGEREF _Toc105504502 \h </w:instrText>
        </w:r>
        <w:r w:rsidR="004925E6">
          <w:rPr>
            <w:noProof/>
            <w:webHidden/>
          </w:rPr>
        </w:r>
        <w:r w:rsidR="004925E6">
          <w:rPr>
            <w:noProof/>
            <w:webHidden/>
          </w:rPr>
          <w:fldChar w:fldCharType="separate"/>
        </w:r>
        <w:r w:rsidR="004925E6">
          <w:rPr>
            <w:noProof/>
            <w:webHidden/>
          </w:rPr>
          <w:t>1</w:t>
        </w:r>
        <w:r w:rsidR="004925E6">
          <w:rPr>
            <w:noProof/>
            <w:webHidden/>
          </w:rPr>
          <w:fldChar w:fldCharType="end"/>
        </w:r>
      </w:hyperlink>
    </w:p>
    <w:p w14:paraId="0458400B" w14:textId="5066F4F8" w:rsidR="004925E6" w:rsidRPr="0004060C" w:rsidRDefault="00984541">
      <w:pPr>
        <w:pStyle w:val="TOC2"/>
        <w:rPr>
          <w:rStyle w:val="Hyperlink"/>
          <w:noProof/>
        </w:rPr>
      </w:pPr>
      <w:hyperlink w:anchor="_Toc105504503" w:history="1">
        <w:r w:rsidR="004925E6" w:rsidRPr="00722CD2">
          <w:rPr>
            <w:rStyle w:val="Hyperlink"/>
            <w:noProof/>
          </w:rPr>
          <w:t>1.</w:t>
        </w:r>
        <w:r w:rsidR="004925E6" w:rsidRPr="0004060C">
          <w:rPr>
            <w:rStyle w:val="Hyperlink"/>
            <w:noProof/>
          </w:rPr>
          <w:tab/>
        </w:r>
        <w:r w:rsidR="004925E6" w:rsidRPr="00722CD2">
          <w:rPr>
            <w:rStyle w:val="Hyperlink"/>
            <w:noProof/>
          </w:rPr>
          <w:t>Introduction</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_Toc105504503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3</w:t>
        </w:r>
        <w:r w:rsidR="004925E6" w:rsidRPr="0004060C">
          <w:rPr>
            <w:rStyle w:val="Hyperlink"/>
            <w:noProof/>
            <w:webHidden/>
          </w:rPr>
          <w:fldChar w:fldCharType="end"/>
        </w:r>
      </w:hyperlink>
    </w:p>
    <w:p w14:paraId="489D9341" w14:textId="09C981B2" w:rsidR="004925E6" w:rsidRPr="0004060C" w:rsidRDefault="00984541">
      <w:pPr>
        <w:pStyle w:val="TOC2"/>
        <w:rPr>
          <w:rStyle w:val="Hyperlink"/>
          <w:noProof/>
        </w:rPr>
      </w:pPr>
      <w:hyperlink w:anchor="_Toc105504504" w:history="1">
        <w:r w:rsidR="004925E6" w:rsidRPr="00722CD2">
          <w:rPr>
            <w:rStyle w:val="Hyperlink"/>
            <w:noProof/>
          </w:rPr>
          <w:t>2.</w:t>
        </w:r>
        <w:r w:rsidR="004925E6" w:rsidRPr="0004060C">
          <w:rPr>
            <w:rStyle w:val="Hyperlink"/>
            <w:noProof/>
          </w:rPr>
          <w:tab/>
        </w:r>
        <w:r w:rsidR="004925E6" w:rsidRPr="00722CD2">
          <w:rPr>
            <w:rStyle w:val="Hyperlink"/>
            <w:noProof/>
          </w:rPr>
          <w:t>Forecast of outflows of the EU budget 2023-2027</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_Toc105504504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3</w:t>
        </w:r>
        <w:r w:rsidR="004925E6" w:rsidRPr="0004060C">
          <w:rPr>
            <w:rStyle w:val="Hyperlink"/>
            <w:noProof/>
            <w:webHidden/>
          </w:rPr>
          <w:fldChar w:fldCharType="end"/>
        </w:r>
      </w:hyperlink>
    </w:p>
    <w:p w14:paraId="6026F35C" w14:textId="2BCAF877" w:rsidR="004925E6" w:rsidRPr="0004060C" w:rsidRDefault="00984541" w:rsidP="0004060C">
      <w:pPr>
        <w:pStyle w:val="TOC2"/>
        <w:rPr>
          <w:rStyle w:val="Hyperlink"/>
          <w:noProof/>
        </w:rPr>
      </w:pPr>
      <w:hyperlink w:anchor="_Toc105504505" w:history="1">
        <w:r w:rsidR="004925E6" w:rsidRPr="00722CD2">
          <w:rPr>
            <w:rStyle w:val="Hyperlink"/>
            <w:noProof/>
          </w:rPr>
          <w:t>2.1.</w:t>
        </w:r>
        <w:r w:rsidR="004925E6" w:rsidRPr="0004060C">
          <w:rPr>
            <w:rStyle w:val="Hyperlink"/>
            <w:noProof/>
          </w:rPr>
          <w:tab/>
        </w:r>
        <w:r w:rsidR="004925E6" w:rsidRPr="00722CD2">
          <w:rPr>
            <w:rStyle w:val="Hyperlink"/>
            <w:noProof/>
          </w:rPr>
          <w:t>Payments in relation to the commitments of the 2021-2027 MFF</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_Toc105504505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5</w:t>
        </w:r>
        <w:r w:rsidR="004925E6" w:rsidRPr="0004060C">
          <w:rPr>
            <w:rStyle w:val="Hyperlink"/>
            <w:noProof/>
            <w:webHidden/>
          </w:rPr>
          <w:fldChar w:fldCharType="end"/>
        </w:r>
      </w:hyperlink>
    </w:p>
    <w:p w14:paraId="51530CF4" w14:textId="25718013" w:rsidR="004925E6" w:rsidRPr="0004060C" w:rsidRDefault="00984541" w:rsidP="0004060C">
      <w:pPr>
        <w:pStyle w:val="TOC2"/>
        <w:rPr>
          <w:rStyle w:val="Hyperlink"/>
          <w:noProof/>
        </w:rPr>
      </w:pPr>
      <w:hyperlink w:anchor="_Toc105504506" w:history="1">
        <w:r w:rsidR="004925E6" w:rsidRPr="00722CD2">
          <w:rPr>
            <w:rStyle w:val="Hyperlink"/>
            <w:noProof/>
          </w:rPr>
          <w:t>2.2.</w:t>
        </w:r>
        <w:r w:rsidR="004925E6" w:rsidRPr="0004060C">
          <w:rPr>
            <w:rStyle w:val="Hyperlink"/>
            <w:noProof/>
          </w:rPr>
          <w:tab/>
        </w:r>
        <w:r w:rsidR="004925E6" w:rsidRPr="00722CD2">
          <w:rPr>
            <w:rStyle w:val="Hyperlink"/>
            <w:noProof/>
          </w:rPr>
          <w:t>Payments for the completion of pre-2021 commitments</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_Toc105504506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7</w:t>
        </w:r>
        <w:r w:rsidR="004925E6" w:rsidRPr="0004060C">
          <w:rPr>
            <w:rStyle w:val="Hyperlink"/>
            <w:noProof/>
            <w:webHidden/>
          </w:rPr>
          <w:fldChar w:fldCharType="end"/>
        </w:r>
      </w:hyperlink>
    </w:p>
    <w:p w14:paraId="7A24C221" w14:textId="1642E80F" w:rsidR="004925E6" w:rsidRPr="0004060C" w:rsidRDefault="00984541" w:rsidP="0004060C">
      <w:pPr>
        <w:pStyle w:val="TOC2"/>
        <w:rPr>
          <w:rStyle w:val="Hyperlink"/>
          <w:noProof/>
        </w:rPr>
      </w:pPr>
      <w:hyperlink w:anchor="_Toc105504507" w:history="1">
        <w:r w:rsidR="004925E6" w:rsidRPr="00722CD2">
          <w:rPr>
            <w:rStyle w:val="Hyperlink"/>
            <w:noProof/>
          </w:rPr>
          <w:t>2.3.</w:t>
        </w:r>
        <w:r w:rsidR="004925E6" w:rsidRPr="0004060C">
          <w:rPr>
            <w:rStyle w:val="Hyperlink"/>
            <w:noProof/>
          </w:rPr>
          <w:tab/>
        </w:r>
        <w:r w:rsidR="004925E6" w:rsidRPr="00722CD2">
          <w:rPr>
            <w:rStyle w:val="Hyperlink"/>
            <w:noProof/>
          </w:rPr>
          <w:t>De-commitments</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_Toc105504507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8</w:t>
        </w:r>
        <w:r w:rsidR="004925E6" w:rsidRPr="0004060C">
          <w:rPr>
            <w:rStyle w:val="Hyperlink"/>
            <w:noProof/>
            <w:webHidden/>
          </w:rPr>
          <w:fldChar w:fldCharType="end"/>
        </w:r>
      </w:hyperlink>
    </w:p>
    <w:p w14:paraId="6F3875DB" w14:textId="02E4033F" w:rsidR="004925E6" w:rsidRPr="0004060C" w:rsidRDefault="00984541" w:rsidP="0004060C">
      <w:pPr>
        <w:pStyle w:val="TOC2"/>
        <w:rPr>
          <w:rStyle w:val="Hyperlink"/>
          <w:noProof/>
        </w:rPr>
      </w:pPr>
      <w:hyperlink w:anchor="_Toc105504508" w:history="1">
        <w:r w:rsidR="004925E6" w:rsidRPr="00722CD2">
          <w:rPr>
            <w:rStyle w:val="Hyperlink"/>
            <w:noProof/>
          </w:rPr>
          <w:t>2.4.</w:t>
        </w:r>
        <w:r w:rsidR="004925E6" w:rsidRPr="0004060C">
          <w:rPr>
            <w:rStyle w:val="Hyperlink"/>
            <w:noProof/>
          </w:rPr>
          <w:tab/>
        </w:r>
        <w:r w:rsidR="004925E6" w:rsidRPr="00722CD2">
          <w:rPr>
            <w:rStyle w:val="Hyperlink"/>
            <w:noProof/>
          </w:rPr>
          <w:t>NextGenerationEU</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_Toc105504508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8</w:t>
        </w:r>
        <w:r w:rsidR="004925E6" w:rsidRPr="0004060C">
          <w:rPr>
            <w:rStyle w:val="Hyperlink"/>
            <w:noProof/>
            <w:webHidden/>
          </w:rPr>
          <w:fldChar w:fldCharType="end"/>
        </w:r>
      </w:hyperlink>
    </w:p>
    <w:p w14:paraId="640E34CA" w14:textId="45A08B2D" w:rsidR="004925E6" w:rsidRPr="0004060C" w:rsidRDefault="00984541" w:rsidP="0004060C">
      <w:pPr>
        <w:pStyle w:val="TOC2"/>
        <w:rPr>
          <w:rStyle w:val="Hyperlink"/>
          <w:noProof/>
        </w:rPr>
      </w:pPr>
      <w:hyperlink w:anchor="_Toc105504509" w:history="1">
        <w:r w:rsidR="004925E6" w:rsidRPr="00722CD2">
          <w:rPr>
            <w:rStyle w:val="Hyperlink"/>
            <w:noProof/>
          </w:rPr>
          <w:t>2.5.</w:t>
        </w:r>
        <w:r w:rsidR="004925E6" w:rsidRPr="0004060C">
          <w:rPr>
            <w:rStyle w:val="Hyperlink"/>
            <w:noProof/>
          </w:rPr>
          <w:tab/>
        </w:r>
        <w:r w:rsidR="004925E6" w:rsidRPr="00722CD2">
          <w:rPr>
            <w:rStyle w:val="Hyperlink"/>
            <w:noProof/>
          </w:rPr>
          <w:t>Evolution of the level of outstanding commitments</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_Toc105504509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9</w:t>
        </w:r>
        <w:r w:rsidR="004925E6" w:rsidRPr="0004060C">
          <w:rPr>
            <w:rStyle w:val="Hyperlink"/>
            <w:noProof/>
            <w:webHidden/>
          </w:rPr>
          <w:fldChar w:fldCharType="end"/>
        </w:r>
      </w:hyperlink>
    </w:p>
    <w:p w14:paraId="100C0852" w14:textId="7BC1CE30" w:rsidR="004925E6" w:rsidRPr="0004060C" w:rsidRDefault="00984541">
      <w:pPr>
        <w:pStyle w:val="TOC2"/>
        <w:rPr>
          <w:rStyle w:val="Hyperlink"/>
          <w:noProof/>
        </w:rPr>
      </w:pPr>
      <w:hyperlink w:anchor="_Toc105504510" w:history="1">
        <w:r w:rsidR="004925E6" w:rsidRPr="00722CD2">
          <w:rPr>
            <w:rStyle w:val="Hyperlink"/>
            <w:noProof/>
          </w:rPr>
          <w:t>3.</w:t>
        </w:r>
        <w:r w:rsidR="004925E6" w:rsidRPr="0004060C">
          <w:rPr>
            <w:rStyle w:val="Hyperlink"/>
            <w:noProof/>
          </w:rPr>
          <w:tab/>
        </w:r>
        <w:r w:rsidR="004925E6" w:rsidRPr="00722CD2">
          <w:rPr>
            <w:rStyle w:val="Hyperlink"/>
            <w:noProof/>
          </w:rPr>
          <w:t>Forecast of inflows of the EU budget 2023-2027</w:t>
        </w:r>
        <w:r w:rsidR="004925E6" w:rsidRPr="0004060C">
          <w:rPr>
            <w:rStyle w:val="Hyperlink"/>
            <w:noProof/>
            <w:webHidden/>
          </w:rPr>
          <w:tab/>
        </w:r>
        <w:r w:rsidR="004925E6" w:rsidRPr="0004060C">
          <w:rPr>
            <w:rStyle w:val="Hyperlink"/>
            <w:noProof/>
            <w:webHidden/>
          </w:rPr>
          <w:fldChar w:fldCharType="begin"/>
        </w:r>
        <w:r w:rsidR="004925E6" w:rsidRPr="0004060C">
          <w:rPr>
            <w:rStyle w:val="Hyperlink"/>
            <w:noProof/>
            <w:webHidden/>
          </w:rPr>
          <w:instrText xml:space="preserve"> PAGEREF _Toc105504510 \h </w:instrText>
        </w:r>
        <w:r w:rsidR="004925E6" w:rsidRPr="0004060C">
          <w:rPr>
            <w:rStyle w:val="Hyperlink"/>
            <w:noProof/>
            <w:webHidden/>
          </w:rPr>
        </w:r>
        <w:r w:rsidR="004925E6" w:rsidRPr="0004060C">
          <w:rPr>
            <w:rStyle w:val="Hyperlink"/>
            <w:noProof/>
            <w:webHidden/>
          </w:rPr>
          <w:fldChar w:fldCharType="separate"/>
        </w:r>
        <w:r w:rsidR="004925E6" w:rsidRPr="0004060C">
          <w:rPr>
            <w:rStyle w:val="Hyperlink"/>
            <w:noProof/>
            <w:webHidden/>
          </w:rPr>
          <w:t>10</w:t>
        </w:r>
        <w:r w:rsidR="004925E6" w:rsidRPr="0004060C">
          <w:rPr>
            <w:rStyle w:val="Hyperlink"/>
            <w:noProof/>
            <w:webHidden/>
          </w:rPr>
          <w:fldChar w:fldCharType="end"/>
        </w:r>
      </w:hyperlink>
    </w:p>
    <w:p w14:paraId="38A7EA96" w14:textId="3F6F424B" w:rsidR="004925E6" w:rsidRDefault="00984541">
      <w:pPr>
        <w:pStyle w:val="TOC2"/>
        <w:rPr>
          <w:rFonts w:asciiTheme="minorHAnsi" w:eastAsiaTheme="minorEastAsia" w:hAnsiTheme="minorHAnsi"/>
          <w:noProof/>
          <w:sz w:val="22"/>
          <w:szCs w:val="22"/>
          <w:lang w:val="en-IE" w:eastAsia="en-IE"/>
        </w:rPr>
      </w:pPr>
      <w:hyperlink w:anchor="_Toc105504511" w:history="1">
        <w:r w:rsidR="004925E6" w:rsidRPr="00722CD2">
          <w:rPr>
            <w:rStyle w:val="Hyperlink"/>
            <w:noProof/>
          </w:rPr>
          <w:t>4.</w:t>
        </w:r>
        <w:r w:rsidR="004925E6">
          <w:rPr>
            <w:rFonts w:asciiTheme="minorHAnsi" w:eastAsiaTheme="minorEastAsia" w:hAnsiTheme="minorHAnsi"/>
            <w:noProof/>
            <w:sz w:val="22"/>
            <w:szCs w:val="22"/>
            <w:lang w:val="en-IE" w:eastAsia="en-IE"/>
          </w:rPr>
          <w:tab/>
        </w:r>
        <w:r w:rsidR="004925E6" w:rsidRPr="00722CD2">
          <w:rPr>
            <w:rStyle w:val="Hyperlink"/>
            <w:noProof/>
          </w:rPr>
          <w:t>Conclusions</w:t>
        </w:r>
        <w:r w:rsidR="004925E6">
          <w:rPr>
            <w:noProof/>
            <w:webHidden/>
          </w:rPr>
          <w:tab/>
        </w:r>
        <w:r w:rsidR="004925E6">
          <w:rPr>
            <w:noProof/>
            <w:webHidden/>
          </w:rPr>
          <w:fldChar w:fldCharType="begin"/>
        </w:r>
        <w:r w:rsidR="004925E6">
          <w:rPr>
            <w:noProof/>
            <w:webHidden/>
          </w:rPr>
          <w:instrText xml:space="preserve"> PAGEREF _Toc105504511 \h </w:instrText>
        </w:r>
        <w:r w:rsidR="004925E6">
          <w:rPr>
            <w:noProof/>
            <w:webHidden/>
          </w:rPr>
        </w:r>
        <w:r w:rsidR="004925E6">
          <w:rPr>
            <w:noProof/>
            <w:webHidden/>
          </w:rPr>
          <w:fldChar w:fldCharType="separate"/>
        </w:r>
        <w:r w:rsidR="004925E6">
          <w:rPr>
            <w:noProof/>
            <w:webHidden/>
          </w:rPr>
          <w:t>12</w:t>
        </w:r>
        <w:r w:rsidR="004925E6">
          <w:rPr>
            <w:noProof/>
            <w:webHidden/>
          </w:rPr>
          <w:fldChar w:fldCharType="end"/>
        </w:r>
      </w:hyperlink>
    </w:p>
    <w:p w14:paraId="1CDF4A32" w14:textId="1A4E819C" w:rsidR="004925E6" w:rsidRDefault="00984541">
      <w:pPr>
        <w:pStyle w:val="TOC2"/>
        <w:rPr>
          <w:rFonts w:asciiTheme="minorHAnsi" w:eastAsiaTheme="minorEastAsia" w:hAnsiTheme="minorHAnsi"/>
          <w:noProof/>
          <w:sz w:val="22"/>
          <w:szCs w:val="22"/>
          <w:lang w:val="en-IE" w:eastAsia="en-IE"/>
        </w:rPr>
      </w:pPr>
      <w:hyperlink w:anchor="_Toc105504512" w:history="1">
        <w:r w:rsidR="004925E6" w:rsidRPr="00722CD2">
          <w:rPr>
            <w:rStyle w:val="Hyperlink"/>
            <w:noProof/>
          </w:rPr>
          <w:t>Annex I – Results of the forecast*</w:t>
        </w:r>
        <w:r w:rsidR="004925E6">
          <w:rPr>
            <w:noProof/>
            <w:webHidden/>
          </w:rPr>
          <w:tab/>
        </w:r>
        <w:r w:rsidR="004925E6">
          <w:rPr>
            <w:noProof/>
            <w:webHidden/>
          </w:rPr>
          <w:fldChar w:fldCharType="begin"/>
        </w:r>
        <w:r w:rsidR="004925E6">
          <w:rPr>
            <w:noProof/>
            <w:webHidden/>
          </w:rPr>
          <w:instrText xml:space="preserve"> PAGEREF _Toc105504512 \h </w:instrText>
        </w:r>
        <w:r w:rsidR="004925E6">
          <w:rPr>
            <w:noProof/>
            <w:webHidden/>
          </w:rPr>
        </w:r>
        <w:r w:rsidR="004925E6">
          <w:rPr>
            <w:noProof/>
            <w:webHidden/>
          </w:rPr>
          <w:fldChar w:fldCharType="separate"/>
        </w:r>
        <w:r w:rsidR="004925E6">
          <w:rPr>
            <w:noProof/>
            <w:webHidden/>
          </w:rPr>
          <w:t>14</w:t>
        </w:r>
        <w:r w:rsidR="004925E6">
          <w:rPr>
            <w:noProof/>
            <w:webHidden/>
          </w:rPr>
          <w:fldChar w:fldCharType="end"/>
        </w:r>
      </w:hyperlink>
    </w:p>
    <w:p w14:paraId="3D2E2181" w14:textId="1E4E3828" w:rsidR="004925E6" w:rsidRDefault="00984541">
      <w:pPr>
        <w:pStyle w:val="TOC2"/>
        <w:rPr>
          <w:rFonts w:asciiTheme="minorHAnsi" w:eastAsiaTheme="minorEastAsia" w:hAnsiTheme="minorHAnsi"/>
          <w:noProof/>
          <w:sz w:val="22"/>
          <w:szCs w:val="22"/>
          <w:lang w:val="en-IE" w:eastAsia="en-IE"/>
        </w:rPr>
      </w:pPr>
      <w:hyperlink w:anchor="_Toc105504513" w:history="1">
        <w:r w:rsidR="004925E6" w:rsidRPr="00722CD2">
          <w:rPr>
            <w:rStyle w:val="Hyperlink"/>
            <w:noProof/>
            <w:spacing w:val="-10"/>
          </w:rPr>
          <w:t>Table 1.1 – Long-term forecast of future outflows over 2023-2027 for the MFF</w:t>
        </w:r>
        <w:r w:rsidR="004925E6">
          <w:rPr>
            <w:noProof/>
            <w:webHidden/>
          </w:rPr>
          <w:tab/>
        </w:r>
        <w:r w:rsidR="004925E6">
          <w:rPr>
            <w:noProof/>
            <w:webHidden/>
          </w:rPr>
          <w:fldChar w:fldCharType="begin"/>
        </w:r>
        <w:r w:rsidR="004925E6">
          <w:rPr>
            <w:noProof/>
            <w:webHidden/>
          </w:rPr>
          <w:instrText xml:space="preserve"> PAGEREF _Toc105504513 \h </w:instrText>
        </w:r>
        <w:r w:rsidR="004925E6">
          <w:rPr>
            <w:noProof/>
            <w:webHidden/>
          </w:rPr>
        </w:r>
        <w:r w:rsidR="004925E6">
          <w:rPr>
            <w:noProof/>
            <w:webHidden/>
          </w:rPr>
          <w:fldChar w:fldCharType="separate"/>
        </w:r>
        <w:r w:rsidR="004925E6">
          <w:rPr>
            <w:noProof/>
            <w:webHidden/>
          </w:rPr>
          <w:t>14</w:t>
        </w:r>
        <w:r w:rsidR="004925E6">
          <w:rPr>
            <w:noProof/>
            <w:webHidden/>
          </w:rPr>
          <w:fldChar w:fldCharType="end"/>
        </w:r>
      </w:hyperlink>
    </w:p>
    <w:p w14:paraId="2DC81453" w14:textId="4D377EE7" w:rsidR="004925E6" w:rsidRDefault="00984541">
      <w:pPr>
        <w:pStyle w:val="TOC2"/>
        <w:rPr>
          <w:rFonts w:asciiTheme="minorHAnsi" w:eastAsiaTheme="minorEastAsia" w:hAnsiTheme="minorHAnsi"/>
          <w:noProof/>
          <w:sz w:val="22"/>
          <w:szCs w:val="22"/>
          <w:lang w:val="en-IE" w:eastAsia="en-IE"/>
        </w:rPr>
      </w:pPr>
      <w:hyperlink w:anchor="_Toc105504514" w:history="1">
        <w:r w:rsidR="004925E6" w:rsidRPr="00722CD2">
          <w:rPr>
            <w:rStyle w:val="Hyperlink"/>
            <w:noProof/>
            <w:spacing w:val="-10"/>
          </w:rPr>
          <w:t>Table 1.2 – Payments in relation to the commitments of the 2021-2027 MFF</w:t>
        </w:r>
        <w:r w:rsidR="004925E6">
          <w:rPr>
            <w:noProof/>
            <w:webHidden/>
          </w:rPr>
          <w:tab/>
        </w:r>
        <w:r w:rsidR="004925E6">
          <w:rPr>
            <w:noProof/>
            <w:webHidden/>
          </w:rPr>
          <w:fldChar w:fldCharType="begin"/>
        </w:r>
        <w:r w:rsidR="004925E6">
          <w:rPr>
            <w:noProof/>
            <w:webHidden/>
          </w:rPr>
          <w:instrText xml:space="preserve"> PAGEREF _Toc105504514 \h </w:instrText>
        </w:r>
        <w:r w:rsidR="004925E6">
          <w:rPr>
            <w:noProof/>
            <w:webHidden/>
          </w:rPr>
        </w:r>
        <w:r w:rsidR="004925E6">
          <w:rPr>
            <w:noProof/>
            <w:webHidden/>
          </w:rPr>
          <w:fldChar w:fldCharType="separate"/>
        </w:r>
        <w:r w:rsidR="004925E6">
          <w:rPr>
            <w:noProof/>
            <w:webHidden/>
          </w:rPr>
          <w:t>15</w:t>
        </w:r>
        <w:r w:rsidR="004925E6">
          <w:rPr>
            <w:noProof/>
            <w:webHidden/>
          </w:rPr>
          <w:fldChar w:fldCharType="end"/>
        </w:r>
      </w:hyperlink>
    </w:p>
    <w:p w14:paraId="6FC09269" w14:textId="7FB1A3C2" w:rsidR="004925E6" w:rsidRDefault="00984541">
      <w:pPr>
        <w:pStyle w:val="TOC2"/>
        <w:rPr>
          <w:rFonts w:asciiTheme="minorHAnsi" w:eastAsiaTheme="minorEastAsia" w:hAnsiTheme="minorHAnsi"/>
          <w:noProof/>
          <w:sz w:val="22"/>
          <w:szCs w:val="22"/>
          <w:lang w:val="en-IE" w:eastAsia="en-IE"/>
        </w:rPr>
      </w:pPr>
      <w:hyperlink w:anchor="_Toc105504515" w:history="1">
        <w:r w:rsidR="004925E6" w:rsidRPr="00722CD2">
          <w:rPr>
            <w:rStyle w:val="Hyperlink"/>
            <w:noProof/>
          </w:rPr>
          <w:t>Table 1.3 – Payments for the completion of pre-2021 commitments</w:t>
        </w:r>
        <w:r w:rsidR="004925E6">
          <w:rPr>
            <w:noProof/>
            <w:webHidden/>
          </w:rPr>
          <w:tab/>
        </w:r>
        <w:r w:rsidR="004925E6">
          <w:rPr>
            <w:noProof/>
            <w:webHidden/>
          </w:rPr>
          <w:fldChar w:fldCharType="begin"/>
        </w:r>
        <w:r w:rsidR="004925E6">
          <w:rPr>
            <w:noProof/>
            <w:webHidden/>
          </w:rPr>
          <w:instrText xml:space="preserve"> PAGEREF _Toc105504515 \h </w:instrText>
        </w:r>
        <w:r w:rsidR="004925E6">
          <w:rPr>
            <w:noProof/>
            <w:webHidden/>
          </w:rPr>
        </w:r>
        <w:r w:rsidR="004925E6">
          <w:rPr>
            <w:noProof/>
            <w:webHidden/>
          </w:rPr>
          <w:fldChar w:fldCharType="separate"/>
        </w:r>
        <w:r w:rsidR="004925E6">
          <w:rPr>
            <w:noProof/>
            <w:webHidden/>
          </w:rPr>
          <w:t>16</w:t>
        </w:r>
        <w:r w:rsidR="004925E6">
          <w:rPr>
            <w:noProof/>
            <w:webHidden/>
          </w:rPr>
          <w:fldChar w:fldCharType="end"/>
        </w:r>
      </w:hyperlink>
    </w:p>
    <w:p w14:paraId="49BDB351" w14:textId="14900847" w:rsidR="004925E6" w:rsidRDefault="00984541">
      <w:pPr>
        <w:pStyle w:val="TOC2"/>
        <w:rPr>
          <w:rFonts w:asciiTheme="minorHAnsi" w:eastAsiaTheme="minorEastAsia" w:hAnsiTheme="minorHAnsi"/>
          <w:noProof/>
          <w:sz w:val="22"/>
          <w:szCs w:val="22"/>
          <w:lang w:val="en-IE" w:eastAsia="en-IE"/>
        </w:rPr>
      </w:pPr>
      <w:hyperlink w:anchor="_Toc105504516" w:history="1">
        <w:r w:rsidR="004925E6" w:rsidRPr="00722CD2">
          <w:rPr>
            <w:rStyle w:val="Hyperlink"/>
            <w:noProof/>
          </w:rPr>
          <w:t>Table 2 – Forecast de-commitments</w:t>
        </w:r>
        <w:r w:rsidR="004925E6">
          <w:rPr>
            <w:noProof/>
            <w:webHidden/>
          </w:rPr>
          <w:tab/>
        </w:r>
        <w:r w:rsidR="004925E6">
          <w:rPr>
            <w:noProof/>
            <w:webHidden/>
          </w:rPr>
          <w:fldChar w:fldCharType="begin"/>
        </w:r>
        <w:r w:rsidR="004925E6">
          <w:rPr>
            <w:noProof/>
            <w:webHidden/>
          </w:rPr>
          <w:instrText xml:space="preserve"> PAGEREF _Toc105504516 \h </w:instrText>
        </w:r>
        <w:r w:rsidR="004925E6">
          <w:rPr>
            <w:noProof/>
            <w:webHidden/>
          </w:rPr>
        </w:r>
        <w:r w:rsidR="004925E6">
          <w:rPr>
            <w:noProof/>
            <w:webHidden/>
          </w:rPr>
          <w:fldChar w:fldCharType="separate"/>
        </w:r>
        <w:r w:rsidR="004925E6">
          <w:rPr>
            <w:noProof/>
            <w:webHidden/>
          </w:rPr>
          <w:t>17</w:t>
        </w:r>
        <w:r w:rsidR="004925E6">
          <w:rPr>
            <w:noProof/>
            <w:webHidden/>
          </w:rPr>
          <w:fldChar w:fldCharType="end"/>
        </w:r>
      </w:hyperlink>
    </w:p>
    <w:p w14:paraId="0D94F6EE" w14:textId="24EC36DF" w:rsidR="004925E6" w:rsidRDefault="00984541">
      <w:pPr>
        <w:pStyle w:val="TOC2"/>
        <w:rPr>
          <w:rFonts w:asciiTheme="minorHAnsi" w:eastAsiaTheme="minorEastAsia" w:hAnsiTheme="minorHAnsi"/>
          <w:noProof/>
          <w:sz w:val="22"/>
          <w:szCs w:val="22"/>
          <w:lang w:val="en-IE" w:eastAsia="en-IE"/>
        </w:rPr>
      </w:pPr>
      <w:hyperlink w:anchor="_Toc105504517" w:history="1">
        <w:r w:rsidR="004925E6" w:rsidRPr="00722CD2">
          <w:rPr>
            <w:rStyle w:val="Hyperlink"/>
            <w:noProof/>
          </w:rPr>
          <w:t>Table 3 – Long-term forecast of outflows for NextGenerationEU</w:t>
        </w:r>
        <w:r w:rsidR="004925E6">
          <w:rPr>
            <w:noProof/>
            <w:webHidden/>
          </w:rPr>
          <w:tab/>
        </w:r>
        <w:r w:rsidR="004925E6">
          <w:rPr>
            <w:noProof/>
            <w:webHidden/>
          </w:rPr>
          <w:fldChar w:fldCharType="begin"/>
        </w:r>
        <w:r w:rsidR="004925E6">
          <w:rPr>
            <w:noProof/>
            <w:webHidden/>
          </w:rPr>
          <w:instrText xml:space="preserve"> PAGEREF _Toc105504517 \h </w:instrText>
        </w:r>
        <w:r w:rsidR="004925E6">
          <w:rPr>
            <w:noProof/>
            <w:webHidden/>
          </w:rPr>
        </w:r>
        <w:r w:rsidR="004925E6">
          <w:rPr>
            <w:noProof/>
            <w:webHidden/>
          </w:rPr>
          <w:fldChar w:fldCharType="separate"/>
        </w:r>
        <w:r w:rsidR="004925E6">
          <w:rPr>
            <w:noProof/>
            <w:webHidden/>
          </w:rPr>
          <w:t>18</w:t>
        </w:r>
        <w:r w:rsidR="004925E6">
          <w:rPr>
            <w:noProof/>
            <w:webHidden/>
          </w:rPr>
          <w:fldChar w:fldCharType="end"/>
        </w:r>
      </w:hyperlink>
    </w:p>
    <w:p w14:paraId="26D1CD66" w14:textId="70F8A071" w:rsidR="004925E6" w:rsidRDefault="00984541">
      <w:pPr>
        <w:pStyle w:val="TOC2"/>
        <w:rPr>
          <w:rFonts w:asciiTheme="minorHAnsi" w:eastAsiaTheme="minorEastAsia" w:hAnsiTheme="minorHAnsi"/>
          <w:noProof/>
          <w:sz w:val="22"/>
          <w:szCs w:val="22"/>
          <w:lang w:val="en-IE" w:eastAsia="en-IE"/>
        </w:rPr>
      </w:pPr>
      <w:hyperlink w:anchor="_Toc105504518" w:history="1">
        <w:r w:rsidR="004925E6" w:rsidRPr="00722CD2">
          <w:rPr>
            <w:rStyle w:val="Hyperlink"/>
            <w:noProof/>
          </w:rPr>
          <w:t>Table 4 – Change in the total outstanding commitments from 2023 to 2027</w:t>
        </w:r>
        <w:r w:rsidR="004925E6">
          <w:rPr>
            <w:noProof/>
            <w:webHidden/>
          </w:rPr>
          <w:tab/>
        </w:r>
        <w:r w:rsidR="004925E6">
          <w:rPr>
            <w:noProof/>
            <w:webHidden/>
          </w:rPr>
          <w:fldChar w:fldCharType="begin"/>
        </w:r>
        <w:r w:rsidR="004925E6">
          <w:rPr>
            <w:noProof/>
            <w:webHidden/>
          </w:rPr>
          <w:instrText xml:space="preserve"> PAGEREF _Toc105504518 \h </w:instrText>
        </w:r>
        <w:r w:rsidR="004925E6">
          <w:rPr>
            <w:noProof/>
            <w:webHidden/>
          </w:rPr>
        </w:r>
        <w:r w:rsidR="004925E6">
          <w:rPr>
            <w:noProof/>
            <w:webHidden/>
          </w:rPr>
          <w:fldChar w:fldCharType="separate"/>
        </w:r>
        <w:r w:rsidR="004925E6">
          <w:rPr>
            <w:noProof/>
            <w:webHidden/>
          </w:rPr>
          <w:t>18</w:t>
        </w:r>
        <w:r w:rsidR="004925E6">
          <w:rPr>
            <w:noProof/>
            <w:webHidden/>
          </w:rPr>
          <w:fldChar w:fldCharType="end"/>
        </w:r>
      </w:hyperlink>
    </w:p>
    <w:p w14:paraId="59C179BA" w14:textId="63A1D8D2" w:rsidR="004925E6" w:rsidRDefault="00984541">
      <w:pPr>
        <w:pStyle w:val="TOC2"/>
        <w:rPr>
          <w:rFonts w:asciiTheme="minorHAnsi" w:eastAsiaTheme="minorEastAsia" w:hAnsiTheme="minorHAnsi"/>
          <w:noProof/>
          <w:sz w:val="22"/>
          <w:szCs w:val="22"/>
          <w:lang w:val="en-IE" w:eastAsia="en-IE"/>
        </w:rPr>
      </w:pPr>
      <w:hyperlink w:anchor="_Toc105504519" w:history="1">
        <w:r w:rsidR="004925E6" w:rsidRPr="00722CD2">
          <w:rPr>
            <w:rStyle w:val="Hyperlink"/>
            <w:noProof/>
          </w:rPr>
          <w:t>Table 5 – Long-term forecast of future inflows of the EU budget over 2023-2027</w:t>
        </w:r>
        <w:r w:rsidR="004925E6">
          <w:rPr>
            <w:noProof/>
            <w:webHidden/>
          </w:rPr>
          <w:tab/>
        </w:r>
        <w:r w:rsidR="004925E6">
          <w:rPr>
            <w:noProof/>
            <w:webHidden/>
          </w:rPr>
          <w:fldChar w:fldCharType="begin"/>
        </w:r>
        <w:r w:rsidR="004925E6">
          <w:rPr>
            <w:noProof/>
            <w:webHidden/>
          </w:rPr>
          <w:instrText xml:space="preserve"> PAGEREF _Toc105504519 \h </w:instrText>
        </w:r>
        <w:r w:rsidR="004925E6">
          <w:rPr>
            <w:noProof/>
            <w:webHidden/>
          </w:rPr>
        </w:r>
        <w:r w:rsidR="004925E6">
          <w:rPr>
            <w:noProof/>
            <w:webHidden/>
          </w:rPr>
          <w:fldChar w:fldCharType="separate"/>
        </w:r>
        <w:r w:rsidR="004925E6">
          <w:rPr>
            <w:noProof/>
            <w:webHidden/>
          </w:rPr>
          <w:t>19</w:t>
        </w:r>
        <w:r w:rsidR="004925E6">
          <w:rPr>
            <w:noProof/>
            <w:webHidden/>
          </w:rPr>
          <w:fldChar w:fldCharType="end"/>
        </w:r>
      </w:hyperlink>
    </w:p>
    <w:p w14:paraId="211CD15F" w14:textId="2CAE0728" w:rsidR="00D66606" w:rsidRDefault="00D66606" w:rsidP="003E475D">
      <w:pPr>
        <w:pStyle w:val="TOC2"/>
        <w:rPr>
          <w:noProof/>
        </w:rPr>
      </w:pPr>
      <w:r>
        <w:rPr>
          <w:noProof/>
        </w:rPr>
        <w:fldChar w:fldCharType="end"/>
      </w:r>
    </w:p>
    <w:p w14:paraId="6998F03E" w14:textId="77777777" w:rsidR="00D66606" w:rsidRPr="007E3223" w:rsidRDefault="00D66606" w:rsidP="00D66606">
      <w:pPr>
        <w:rPr>
          <w:noProof/>
        </w:rPr>
      </w:pPr>
    </w:p>
    <w:p w14:paraId="2B456659" w14:textId="77777777" w:rsidR="00D66606" w:rsidRPr="007E3223" w:rsidRDefault="00D66606" w:rsidP="00FC02CC">
      <w:pPr>
        <w:pStyle w:val="amprBodyText"/>
        <w:rPr>
          <w:noProof/>
        </w:rPr>
      </w:pPr>
    </w:p>
    <w:p w14:paraId="2074266C" w14:textId="77777777" w:rsidR="00D66606" w:rsidRPr="007E3223" w:rsidRDefault="00D66606" w:rsidP="009F63E4">
      <w:pPr>
        <w:pStyle w:val="amprH2TITLE1-Numbered-1"/>
        <w:rPr>
          <w:noProof/>
        </w:rPr>
      </w:pPr>
      <w:r w:rsidRPr="57F8CA25">
        <w:rPr>
          <w:noProof/>
        </w:rPr>
        <w:br w:type="page"/>
      </w:r>
      <w:bookmarkStart w:id="6" w:name="_Toc105504503"/>
      <w:r w:rsidRPr="57F8CA25">
        <w:rPr>
          <w:noProof/>
        </w:rPr>
        <w:t>Introduction</w:t>
      </w:r>
      <w:bookmarkEnd w:id="3"/>
      <w:bookmarkEnd w:id="4"/>
      <w:bookmarkEnd w:id="6"/>
    </w:p>
    <w:p w14:paraId="22F2B8A8" w14:textId="0A01AA3E" w:rsidR="00D66606" w:rsidRPr="008E6982" w:rsidRDefault="00D66606" w:rsidP="00D66606">
      <w:pPr>
        <w:spacing w:after="120" w:line="276" w:lineRule="auto"/>
        <w:jc w:val="both"/>
        <w:rPr>
          <w:noProof/>
        </w:rPr>
      </w:pPr>
      <w:r w:rsidRPr="008E6982">
        <w:rPr>
          <w:noProof/>
        </w:rPr>
        <w:t>This report provides projections for the inflows and outflows of the EU budget over the period 2023-2027</w:t>
      </w:r>
      <w:r w:rsidRPr="008E6982">
        <w:rPr>
          <w:noProof/>
          <w:vertAlign w:val="superscript"/>
        </w:rPr>
        <w:endnoteReference w:id="2"/>
      </w:r>
      <w:r>
        <w:rPr>
          <w:noProof/>
        </w:rPr>
        <w:t>.</w:t>
      </w:r>
      <w:r w:rsidRPr="008E6982">
        <w:rPr>
          <w:noProof/>
        </w:rPr>
        <w:t xml:space="preserve"> It is the second edition of the long-term forecast for revenue and expenditure stemming of the Multiannual Financial Framework (MFF) 2021-2027</w:t>
      </w:r>
      <w:r w:rsidRPr="008E6982">
        <w:rPr>
          <w:noProof/>
          <w:vertAlign w:val="superscript"/>
        </w:rPr>
        <w:endnoteReference w:id="3"/>
      </w:r>
      <w:r w:rsidRPr="008E6982">
        <w:rPr>
          <w:noProof/>
        </w:rPr>
        <w:t xml:space="preserve"> and NextGenerationEU</w:t>
      </w:r>
      <w:r w:rsidRPr="008E6982">
        <w:rPr>
          <w:noProof/>
          <w:vertAlign w:val="superscript"/>
        </w:rPr>
        <w:endnoteReference w:id="4"/>
      </w:r>
      <w:r w:rsidRPr="008E6982">
        <w:rPr>
          <w:noProof/>
        </w:rPr>
        <w:t xml:space="preserve">, updating the estimates presented </w:t>
      </w:r>
      <w:r>
        <w:rPr>
          <w:noProof/>
        </w:rPr>
        <w:t xml:space="preserve">in </w:t>
      </w:r>
      <w:r w:rsidRPr="008E6982">
        <w:rPr>
          <w:noProof/>
        </w:rPr>
        <w:t xml:space="preserve">the </w:t>
      </w:r>
      <w:r w:rsidR="00F81488">
        <w:rPr>
          <w:noProof/>
        </w:rPr>
        <w:t>June 2021 report</w:t>
      </w:r>
      <w:r>
        <w:rPr>
          <w:rStyle w:val="EndnoteReference"/>
          <w:noProof/>
        </w:rPr>
        <w:endnoteReference w:id="5"/>
      </w:r>
      <w:r>
        <w:rPr>
          <w:noProof/>
        </w:rPr>
        <w:t>.</w:t>
      </w:r>
    </w:p>
    <w:p w14:paraId="54A2BA14" w14:textId="05104C30" w:rsidR="00D66606" w:rsidRPr="008E6982" w:rsidRDefault="00D66606" w:rsidP="00D66606">
      <w:pPr>
        <w:spacing w:after="120" w:line="276" w:lineRule="auto"/>
        <w:jc w:val="both"/>
        <w:rPr>
          <w:noProof/>
        </w:rPr>
      </w:pPr>
      <w:r w:rsidRPr="008E6982">
        <w:rPr>
          <w:noProof/>
        </w:rPr>
        <w:t>Th</w:t>
      </w:r>
      <w:r w:rsidR="00F81488">
        <w:rPr>
          <w:noProof/>
        </w:rPr>
        <w:t>e</w:t>
      </w:r>
      <w:r w:rsidDel="164847E1">
        <w:rPr>
          <w:noProof/>
        </w:rPr>
        <w:t xml:space="preserve"> forecast </w:t>
      </w:r>
      <w:r w:rsidR="00F81488">
        <w:rPr>
          <w:noProof/>
        </w:rPr>
        <w:t>covers</w:t>
      </w:r>
      <w:r w:rsidDel="164847E1">
        <w:rPr>
          <w:noProof/>
        </w:rPr>
        <w:t xml:space="preserve"> the next five years</w:t>
      </w:r>
      <w:r w:rsidRPr="008E6982">
        <w:rPr>
          <w:noProof/>
        </w:rPr>
        <w:t>, in accordance with Article 247(1)(c) of the Financial Regulation</w:t>
      </w:r>
      <w:r w:rsidRPr="00557CD8">
        <w:rPr>
          <w:noProof/>
          <w:vertAlign w:val="superscript"/>
        </w:rPr>
        <w:endnoteReference w:id="6"/>
      </w:r>
      <w:r w:rsidRPr="008E6982">
        <w:rPr>
          <w:noProof/>
        </w:rPr>
        <w:t xml:space="preserve">. The period largely overlaps with last year’s report, which exceptionally spanned over seven years from 2021 to 2027 to </w:t>
      </w:r>
      <w:r>
        <w:rPr>
          <w:noProof/>
        </w:rPr>
        <w:t>provide</w:t>
      </w:r>
      <w:r w:rsidRPr="008E6982">
        <w:rPr>
          <w:noProof/>
        </w:rPr>
        <w:t xml:space="preserve"> a comprehensive overview of the expected revenue inflows and the expenditure outflows under the ceilings of the then newly adopted MFF. </w:t>
      </w:r>
    </w:p>
    <w:p w14:paraId="01C98230" w14:textId="520F0483" w:rsidR="00D66606" w:rsidRPr="008E6982" w:rsidRDefault="00D66606" w:rsidP="00D66606">
      <w:pPr>
        <w:spacing w:after="120" w:line="276" w:lineRule="auto"/>
        <w:jc w:val="both"/>
        <w:rPr>
          <w:noProof/>
        </w:rPr>
      </w:pPr>
      <w:r>
        <w:rPr>
          <w:noProof/>
        </w:rPr>
        <w:t>Along with the MFF estimates, this forecast update</w:t>
      </w:r>
      <w:r w:rsidR="00F81488">
        <w:rPr>
          <w:noProof/>
        </w:rPr>
        <w:t xml:space="preserve">s the </w:t>
      </w:r>
      <w:r>
        <w:rPr>
          <w:noProof/>
        </w:rPr>
        <w:t>projection</w:t>
      </w:r>
      <w:r w:rsidR="00F81488">
        <w:rPr>
          <w:noProof/>
        </w:rPr>
        <w:t>s</w:t>
      </w:r>
      <w:r>
        <w:rPr>
          <w:noProof/>
        </w:rPr>
        <w:t xml:space="preserve"> of payments on all programmes under NextGenerationEU. This expenditure, additional to the spending under the MFF, is financed exclusively by revenue proceeds from borrowing operations on the capital markets.</w:t>
      </w:r>
    </w:p>
    <w:p w14:paraId="2A9414A6" w14:textId="6A546FF6" w:rsidR="00D66606" w:rsidRDefault="00D66606" w:rsidP="00D66606">
      <w:pPr>
        <w:spacing w:after="120" w:line="276" w:lineRule="auto"/>
        <w:jc w:val="both"/>
        <w:rPr>
          <w:noProof/>
        </w:rPr>
      </w:pPr>
      <w:bookmarkStart w:id="7" w:name="_Toc494974438"/>
      <w:bookmarkStart w:id="8" w:name="_Toc524523058"/>
      <w:r>
        <w:rPr>
          <w:noProof/>
        </w:rPr>
        <w:t>Payments from the EU budget follow commitments. The estimates in this report are based on the commitments of the financial programming accompanying the Draft Budget 2023</w:t>
      </w:r>
      <w:r>
        <w:rPr>
          <w:rStyle w:val="EndnoteReference"/>
          <w:noProof/>
        </w:rPr>
        <w:endnoteReference w:id="7"/>
      </w:r>
      <w:r>
        <w:rPr>
          <w:noProof/>
        </w:rPr>
        <w:t>. These include the adjustment</w:t>
      </w:r>
      <w:r>
        <w:rPr>
          <w:noProof/>
          <w:vertAlign w:val="superscript"/>
        </w:rPr>
        <w:endnoteReference w:id="8"/>
      </w:r>
      <w:r>
        <w:rPr>
          <w:noProof/>
          <w:vertAlign w:val="superscript"/>
        </w:rPr>
        <w:t xml:space="preserve"> </w:t>
      </w:r>
      <w:r>
        <w:rPr>
          <w:noProof/>
        </w:rPr>
        <w:t xml:space="preserve">of the MFF for the late adoption of rules and programmes under shared management under Article 7 of the MFF Regulation, the programme-specific adjustments </w:t>
      </w:r>
      <w:r w:rsidR="00F81488">
        <w:rPr>
          <w:noProof/>
        </w:rPr>
        <w:t>under</w:t>
      </w:r>
      <w:r>
        <w:rPr>
          <w:noProof/>
        </w:rPr>
        <w:t xml:space="preserve"> Article 5 of the MFF Regulation</w:t>
      </w:r>
      <w:r>
        <w:rPr>
          <w:noProof/>
          <w:vertAlign w:val="superscript"/>
        </w:rPr>
        <w:endnoteReference w:id="9"/>
      </w:r>
      <w:r>
        <w:rPr>
          <w:noProof/>
        </w:rPr>
        <w:t xml:space="preserve"> as well as re-use of de-commitments under Article 15(3)</w:t>
      </w:r>
      <w:r>
        <w:rPr>
          <w:noProof/>
          <w:vertAlign w:val="superscript"/>
        </w:rPr>
        <w:endnoteReference w:id="10"/>
      </w:r>
      <w:r>
        <w:rPr>
          <w:noProof/>
        </w:rPr>
        <w:t xml:space="preserve"> of the Financial Regulation. As regards revenue, the forecast is based on the revenue system of the Own Resources Decision</w:t>
      </w:r>
      <w:r>
        <w:rPr>
          <w:noProof/>
          <w:vertAlign w:val="superscript"/>
        </w:rPr>
        <w:endnoteReference w:id="11"/>
      </w:r>
      <w:r>
        <w:rPr>
          <w:noProof/>
        </w:rPr>
        <w:t>. The revenue projections also consider the Agreement on the withdrawal of the United Kingdom of Great Britain and Northern Ireland from the European Union and the European Atomic Energy Community</w:t>
      </w:r>
      <w:r>
        <w:rPr>
          <w:noProof/>
          <w:vertAlign w:val="superscript"/>
        </w:rPr>
        <w:endnoteReference w:id="12"/>
      </w:r>
      <w:r>
        <w:rPr>
          <w:noProof/>
          <w:vertAlign w:val="superscript"/>
        </w:rPr>
        <w:t xml:space="preserve"> </w:t>
      </w:r>
      <w:r>
        <w:rPr>
          <w:noProof/>
        </w:rPr>
        <w:t>(</w:t>
      </w:r>
      <w:r w:rsidR="00E30ED1">
        <w:rPr>
          <w:noProof/>
        </w:rPr>
        <w:t xml:space="preserve">the </w:t>
      </w:r>
      <w:r>
        <w:rPr>
          <w:noProof/>
        </w:rPr>
        <w:t>‘Withdrawal Agreement’).</w:t>
      </w:r>
    </w:p>
    <w:p w14:paraId="0DE8FA67" w14:textId="77777777" w:rsidR="00D66606" w:rsidRPr="007E3223" w:rsidRDefault="00D66606" w:rsidP="009F63E4">
      <w:pPr>
        <w:pStyle w:val="amprH2TITLE1-Numbered-1"/>
        <w:rPr>
          <w:noProof/>
        </w:rPr>
      </w:pPr>
      <w:r w:rsidRPr="57F8CA25">
        <w:rPr>
          <w:noProof/>
        </w:rPr>
        <w:t xml:space="preserve"> </w:t>
      </w:r>
      <w:bookmarkStart w:id="9" w:name="_Toc105504504"/>
      <w:r w:rsidRPr="57F8CA25">
        <w:rPr>
          <w:noProof/>
        </w:rPr>
        <w:t>F</w:t>
      </w:r>
      <w:bookmarkEnd w:id="7"/>
      <w:bookmarkEnd w:id="8"/>
      <w:r w:rsidRPr="57F8CA25">
        <w:rPr>
          <w:noProof/>
        </w:rPr>
        <w:t>orecast of outflows of the EU budget 2023-2027</w:t>
      </w:r>
      <w:bookmarkEnd w:id="9"/>
    </w:p>
    <w:p w14:paraId="3DDB0095" w14:textId="2CBDA971" w:rsidR="00D66606" w:rsidRPr="00B74430" w:rsidRDefault="00D66606" w:rsidP="00D66606">
      <w:pPr>
        <w:spacing w:after="120" w:line="276" w:lineRule="auto"/>
        <w:jc w:val="both"/>
        <w:rPr>
          <w:noProof/>
        </w:rPr>
      </w:pPr>
      <w:r w:rsidRPr="00B74430">
        <w:rPr>
          <w:noProof/>
        </w:rPr>
        <w:t xml:space="preserve">The payments over the next five years of the MFF are </w:t>
      </w:r>
      <w:r w:rsidRPr="00644855">
        <w:rPr>
          <w:noProof/>
        </w:rPr>
        <w:t xml:space="preserve">expected to reach </w:t>
      </w:r>
      <w:r w:rsidR="00552D8A" w:rsidRPr="00010355">
        <w:rPr>
          <w:noProof/>
        </w:rPr>
        <w:t>EUR 1 15</w:t>
      </w:r>
      <w:r w:rsidR="0044211C" w:rsidRPr="00010355">
        <w:rPr>
          <w:noProof/>
        </w:rPr>
        <w:t>6</w:t>
      </w:r>
      <w:r w:rsidRPr="00010355">
        <w:rPr>
          <w:noProof/>
        </w:rPr>
        <w:t> billion</w:t>
      </w:r>
      <w:r w:rsidRPr="00644855">
        <w:rPr>
          <w:noProof/>
        </w:rPr>
        <w:t xml:space="preserve">, including </w:t>
      </w:r>
      <w:r w:rsidR="00552D8A" w:rsidRPr="00010355">
        <w:rPr>
          <w:noProof/>
        </w:rPr>
        <w:t>EUR 87</w:t>
      </w:r>
      <w:r w:rsidR="00C53268" w:rsidRPr="00010355">
        <w:rPr>
          <w:noProof/>
        </w:rPr>
        <w:t>3</w:t>
      </w:r>
      <w:r w:rsidRPr="00010355">
        <w:rPr>
          <w:noProof/>
        </w:rPr>
        <w:t> billion</w:t>
      </w:r>
      <w:r w:rsidRPr="00644855">
        <w:rPr>
          <w:noProof/>
        </w:rPr>
        <w:t xml:space="preserve"> under the MFF payment ceiling and </w:t>
      </w:r>
      <w:r w:rsidRPr="00010355">
        <w:rPr>
          <w:noProof/>
        </w:rPr>
        <w:t xml:space="preserve">EUR </w:t>
      </w:r>
      <w:r w:rsidR="0044211C" w:rsidRPr="00010355">
        <w:rPr>
          <w:noProof/>
        </w:rPr>
        <w:t xml:space="preserve">278 </w:t>
      </w:r>
      <w:r w:rsidRPr="00010355">
        <w:rPr>
          <w:noProof/>
        </w:rPr>
        <w:t>billion</w:t>
      </w:r>
      <w:r w:rsidRPr="00644855">
        <w:rPr>
          <w:noProof/>
        </w:rPr>
        <w:t xml:space="preserve"> for NextGenerationEU non-repayable support</w:t>
      </w:r>
      <w:r w:rsidRPr="00B74430">
        <w:rPr>
          <w:noProof/>
        </w:rPr>
        <w:t xml:space="preserve">. </w:t>
      </w:r>
    </w:p>
    <w:p w14:paraId="15B232B1" w14:textId="031A292C" w:rsidR="00D66606" w:rsidRPr="001A3ACE" w:rsidRDefault="00D66606" w:rsidP="00D66606">
      <w:pPr>
        <w:spacing w:after="120" w:line="276" w:lineRule="auto"/>
        <w:jc w:val="both"/>
        <w:rPr>
          <w:noProof/>
        </w:rPr>
      </w:pPr>
      <w:r w:rsidRPr="00B74430">
        <w:rPr>
          <w:noProof/>
        </w:rPr>
        <w:t>The forecast</w:t>
      </w:r>
      <w:r>
        <w:rPr>
          <w:noProof/>
        </w:rPr>
        <w:t xml:space="preserve"> </w:t>
      </w:r>
      <w:r w:rsidRPr="00B74430">
        <w:rPr>
          <w:noProof/>
        </w:rPr>
        <w:t>includes estimates for the future programme-specific adjustments stemming from Article 5 of the MFF Regulation and for the re-use of de-commitments under Article 15(3) of the Financial Regulation, which will be allocated in the years 202</w:t>
      </w:r>
      <w:r w:rsidRPr="77A9648A">
        <w:rPr>
          <w:noProof/>
        </w:rPr>
        <w:t>4</w:t>
      </w:r>
      <w:r w:rsidRPr="00B74430">
        <w:rPr>
          <w:noProof/>
        </w:rPr>
        <w:t xml:space="preserve">-2027. The programme-specific adjustments </w:t>
      </w:r>
      <w:r w:rsidR="00F81488">
        <w:rPr>
          <w:noProof/>
        </w:rPr>
        <w:t>are expected to result</w:t>
      </w:r>
      <w:r w:rsidRPr="00B74430">
        <w:rPr>
          <w:noProof/>
        </w:rPr>
        <w:t xml:space="preserve"> in an automatic upward adjustment of the MFF ceilings for commitments and payments </w:t>
      </w:r>
      <w:r w:rsidR="00F81488">
        <w:rPr>
          <w:noProof/>
        </w:rPr>
        <w:t xml:space="preserve">of </w:t>
      </w:r>
      <w:r>
        <w:rPr>
          <w:noProof/>
        </w:rPr>
        <w:t>EUR 9.4 billion</w:t>
      </w:r>
      <w:r w:rsidRPr="00B74430">
        <w:rPr>
          <w:noProof/>
        </w:rPr>
        <w:t xml:space="preserve"> </w:t>
      </w:r>
      <w:r>
        <w:rPr>
          <w:noProof/>
        </w:rPr>
        <w:t>i</w:t>
      </w:r>
      <w:r w:rsidRPr="00B74430">
        <w:rPr>
          <w:noProof/>
        </w:rPr>
        <w:t>n addition to the adjustment</w:t>
      </w:r>
      <w:r w:rsidR="003C5FC8">
        <w:rPr>
          <w:noProof/>
        </w:rPr>
        <w:t>s</w:t>
      </w:r>
      <w:r w:rsidRPr="00B74430">
        <w:rPr>
          <w:noProof/>
        </w:rPr>
        <w:t xml:space="preserve"> for 2022 and 2023 totalling EUR 3.3 billion</w:t>
      </w:r>
      <w:r w:rsidRPr="00B74430">
        <w:rPr>
          <w:noProof/>
          <w:vertAlign w:val="superscript"/>
        </w:rPr>
        <w:endnoteReference w:id="13"/>
      </w:r>
      <w:r w:rsidRPr="00B74430">
        <w:rPr>
          <w:noProof/>
        </w:rPr>
        <w:t>. The exact annual</w:t>
      </w:r>
      <w:r w:rsidR="00F81488">
        <w:rPr>
          <w:noProof/>
        </w:rPr>
        <w:t xml:space="preserve"> adjustment will </w:t>
      </w:r>
      <w:r w:rsidRPr="00B74430">
        <w:rPr>
          <w:noProof/>
        </w:rPr>
        <w:t>depend on the revenue from competition fines in the previous year</w:t>
      </w:r>
      <w:r w:rsidR="002D35C8">
        <w:rPr>
          <w:noProof/>
        </w:rPr>
        <w:t xml:space="preserve"> </w:t>
      </w:r>
      <w:r w:rsidR="00F81488">
        <w:rPr>
          <w:noProof/>
        </w:rPr>
        <w:t>for an overall</w:t>
      </w:r>
      <w:r w:rsidR="002D35C8" w:rsidRPr="002D35C8">
        <w:rPr>
          <w:noProof/>
        </w:rPr>
        <w:t xml:space="preserve"> amount of EUR 11 billion</w:t>
      </w:r>
      <w:r w:rsidR="002D35C8">
        <w:rPr>
          <w:noProof/>
        </w:rPr>
        <w:t xml:space="preserve"> (in 2018 prices)</w:t>
      </w:r>
      <w:r w:rsidR="002D35C8" w:rsidRPr="002D35C8">
        <w:rPr>
          <w:noProof/>
        </w:rPr>
        <w:t xml:space="preserve"> </w:t>
      </w:r>
      <w:r w:rsidR="00625688">
        <w:rPr>
          <w:noProof/>
        </w:rPr>
        <w:t>by</w:t>
      </w:r>
      <w:r w:rsidR="002D35C8">
        <w:rPr>
          <w:noProof/>
        </w:rPr>
        <w:t xml:space="preserve"> 2027</w:t>
      </w:r>
      <w:r w:rsidRPr="00B74430">
        <w:rPr>
          <w:noProof/>
        </w:rPr>
        <w:t>.</w:t>
      </w:r>
    </w:p>
    <w:p w14:paraId="796595FE" w14:textId="77777777" w:rsidR="005F0959" w:rsidRDefault="005F0959">
      <w:pPr>
        <w:rPr>
          <w:rStyle w:val="amprcharBoldBlue"/>
          <w:rFonts w:eastAsia="EC Square Sans Pro" w:cs="Times New Roman"/>
          <w:noProof/>
          <w:szCs w:val="21"/>
          <w:lang w:eastAsia="zh-CN"/>
        </w:rPr>
      </w:pPr>
      <w:r>
        <w:rPr>
          <w:rStyle w:val="amprcharBoldBlue"/>
          <w:noProof/>
        </w:rPr>
        <w:br w:type="page"/>
      </w:r>
    </w:p>
    <w:p w14:paraId="704F6C9E" w14:textId="44D3DABE" w:rsidR="00D66606" w:rsidRDefault="00D66606" w:rsidP="009F63E4">
      <w:pPr>
        <w:pStyle w:val="amprBodyText"/>
        <w:rPr>
          <w:rStyle w:val="amprcharBoldBlue"/>
          <w:noProof/>
        </w:rPr>
      </w:pPr>
      <w:r w:rsidRPr="009F63E4">
        <w:rPr>
          <w:rStyle w:val="amprcharBoldBlue"/>
          <w:noProof/>
        </w:rPr>
        <w:t xml:space="preserve">Chart </w:t>
      </w:r>
      <w:r w:rsidRPr="009F63E4">
        <w:rPr>
          <w:rStyle w:val="amprcharBoldBlue"/>
          <w:noProof/>
        </w:rPr>
        <w:fldChar w:fldCharType="begin"/>
      </w:r>
      <w:r w:rsidRPr="009F63E4">
        <w:rPr>
          <w:rStyle w:val="amprcharBoldBlue"/>
          <w:noProof/>
        </w:rPr>
        <w:instrText xml:space="preserve"> SEQ Chart \* ARABIC </w:instrText>
      </w:r>
      <w:r w:rsidRPr="009F63E4">
        <w:rPr>
          <w:rStyle w:val="amprcharBoldBlue"/>
          <w:noProof/>
        </w:rPr>
        <w:fldChar w:fldCharType="separate"/>
      </w:r>
      <w:r w:rsidRPr="009F63E4">
        <w:rPr>
          <w:rStyle w:val="amprcharBoldBlue"/>
          <w:noProof/>
        </w:rPr>
        <w:t>1</w:t>
      </w:r>
      <w:r w:rsidRPr="009F63E4">
        <w:rPr>
          <w:rStyle w:val="amprcharBoldBlue"/>
          <w:noProof/>
        </w:rPr>
        <w:fldChar w:fldCharType="end"/>
      </w:r>
      <w:r w:rsidRPr="009F63E4">
        <w:rPr>
          <w:rStyle w:val="amprcharBoldBlue"/>
          <w:noProof/>
        </w:rPr>
        <w:t xml:space="preserve"> - Payments forecast by category</w:t>
      </w:r>
      <w:r w:rsidR="00312EE2">
        <w:rPr>
          <w:rStyle w:val="amprcharBoldBlue"/>
          <w:noProof/>
        </w:rPr>
        <w:t xml:space="preserve"> (in EUR billion)</w:t>
      </w:r>
    </w:p>
    <w:p w14:paraId="17B87E6A" w14:textId="098121E1" w:rsidR="00312EE2" w:rsidRPr="009F63E4" w:rsidRDefault="00305A78" w:rsidP="00312EE2">
      <w:pPr>
        <w:pStyle w:val="amprBodyText"/>
        <w:jc w:val="center"/>
        <w:rPr>
          <w:rStyle w:val="amprcharBoldBlue"/>
          <w:noProof/>
        </w:rPr>
      </w:pPr>
      <w:r>
        <w:rPr>
          <w:b/>
          <w:noProof/>
          <w:color w:val="215E94" w:themeColor="text2"/>
          <w:spacing w:val="1"/>
          <w:lang w:eastAsia="en-GB"/>
        </w:rPr>
        <mc:AlternateContent>
          <mc:Choice Requires="wpg">
            <w:drawing>
              <wp:anchor distT="0" distB="0" distL="114300" distR="114300" simplePos="0" relativeHeight="251664384" behindDoc="0" locked="0" layoutInCell="1" allowOverlap="1" wp14:anchorId="39FD5BED" wp14:editId="1ECF9968">
                <wp:simplePos x="0" y="0"/>
                <wp:positionH relativeFrom="column">
                  <wp:posOffset>208229</wp:posOffset>
                </wp:positionH>
                <wp:positionV relativeFrom="paragraph">
                  <wp:posOffset>117338</wp:posOffset>
                </wp:positionV>
                <wp:extent cx="5634355" cy="2957384"/>
                <wp:effectExtent l="0" t="0" r="0" b="0"/>
                <wp:wrapNone/>
                <wp:docPr id="24" name="Group 24"/>
                <wp:cNvGraphicFramePr/>
                <a:graphic xmlns:a="http://schemas.openxmlformats.org/drawingml/2006/main">
                  <a:graphicData uri="http://schemas.microsoft.com/office/word/2010/wordprocessingGroup">
                    <wpg:wgp>
                      <wpg:cNvGrpSpPr/>
                      <wpg:grpSpPr>
                        <a:xfrm>
                          <a:off x="0" y="0"/>
                          <a:ext cx="5634355" cy="2957384"/>
                          <a:chOff x="0" y="0"/>
                          <a:chExt cx="5634355" cy="2957384"/>
                        </a:xfrm>
                      </wpg:grpSpPr>
                      <wps:wsp>
                        <wps:cNvPr id="3" name="Text Box 2"/>
                        <wps:cNvSpPr txBox="1">
                          <a:spLocks noChangeArrowheads="1"/>
                        </wps:cNvSpPr>
                        <wps:spPr bwMode="auto">
                          <a:xfrm>
                            <a:off x="238897" y="749643"/>
                            <a:ext cx="1902563" cy="577695"/>
                          </a:xfrm>
                          <a:prstGeom prst="rect">
                            <a:avLst/>
                          </a:prstGeom>
                          <a:noFill/>
                          <a:ln w="9525">
                            <a:noFill/>
                            <a:miter lim="800000"/>
                            <a:headEnd/>
                            <a:tailEnd/>
                          </a:ln>
                        </wps:spPr>
                        <wps:txbx>
                          <w:txbxContent>
                            <w:p w14:paraId="13468C5C" w14:textId="10E49ADE" w:rsidR="00857477" w:rsidRPr="00305A78" w:rsidRDefault="00857477" w:rsidP="00312EE2">
                              <w:pPr>
                                <w:jc w:val="center"/>
                                <w:rPr>
                                  <w:b/>
                                  <w:color w:val="FFFFFF" w:themeColor="background1"/>
                                  <w:sz w:val="24"/>
                                  <w:lang w:val="en-IE"/>
                                </w:rPr>
                              </w:pPr>
                              <w:r w:rsidRPr="00305A78">
                                <w:rPr>
                                  <w:b/>
                                  <w:color w:val="FFFFFF" w:themeColor="background1"/>
                                  <w:sz w:val="24"/>
                                  <w:lang w:val="en-IE"/>
                                </w:rPr>
                                <w:t>NextGenerationEU</w:t>
                              </w:r>
                            </w:p>
                          </w:txbxContent>
                        </wps:txbx>
                        <wps:bodyPr rot="0" vert="horz" wrap="square" lIns="91440" tIns="45720" rIns="91440" bIns="45720" anchor="t" anchorCtr="0">
                          <a:noAutofit/>
                        </wps:bodyPr>
                      </wps:wsp>
                      <wps:wsp>
                        <wps:cNvPr id="6" name="Text Box 2"/>
                        <wps:cNvSpPr txBox="1">
                          <a:spLocks noChangeArrowheads="1"/>
                        </wps:cNvSpPr>
                        <wps:spPr bwMode="auto">
                          <a:xfrm>
                            <a:off x="2594918" y="1663937"/>
                            <a:ext cx="2003424" cy="607059"/>
                          </a:xfrm>
                          <a:prstGeom prst="rect">
                            <a:avLst/>
                          </a:prstGeom>
                          <a:noFill/>
                          <a:ln w="9525">
                            <a:noFill/>
                            <a:miter lim="800000"/>
                            <a:headEnd/>
                            <a:tailEnd/>
                          </a:ln>
                        </wps:spPr>
                        <wps:txbx>
                          <w:txbxContent>
                            <w:p w14:paraId="3B098ACD" w14:textId="4560F52F" w:rsidR="00857477" w:rsidRPr="00305A78" w:rsidRDefault="00857477" w:rsidP="00312EE2">
                              <w:pPr>
                                <w:jc w:val="center"/>
                                <w:rPr>
                                  <w:rStyle w:val="amprcharBoldBlue"/>
                                  <w:color w:val="FFFFFF" w:themeColor="background1"/>
                                  <w:sz w:val="24"/>
                                  <w:szCs w:val="24"/>
                                  <w:lang w:val="en-IE"/>
                                </w:rPr>
                              </w:pPr>
                              <w:r w:rsidRPr="00305A78">
                                <w:rPr>
                                  <w:rStyle w:val="amprcharBoldBlue"/>
                                  <w:color w:val="FFFFFF" w:themeColor="background1"/>
                                  <w:sz w:val="24"/>
                                  <w:szCs w:val="24"/>
                                  <w:lang w:val="en-IE"/>
                                </w:rPr>
                                <w:t>MFF 2021-2027</w:t>
                              </w:r>
                            </w:p>
                          </w:txbxContent>
                        </wps:txbx>
                        <wps:bodyPr rot="0" vert="horz" wrap="square" lIns="91440" tIns="45720" rIns="91440" bIns="45720" anchor="t" anchorCtr="0">
                          <a:spAutoFit/>
                        </wps:bodyPr>
                      </wps:wsp>
                      <wps:wsp>
                        <wps:cNvPr id="14" name="Text Box 2"/>
                        <wps:cNvSpPr txBox="1">
                          <a:spLocks noChangeArrowheads="1"/>
                        </wps:cNvSpPr>
                        <wps:spPr bwMode="auto">
                          <a:xfrm>
                            <a:off x="164756" y="2446638"/>
                            <a:ext cx="1219200" cy="510746"/>
                          </a:xfrm>
                          <a:prstGeom prst="rect">
                            <a:avLst/>
                          </a:prstGeom>
                          <a:noFill/>
                          <a:ln w="9525">
                            <a:noFill/>
                            <a:miter lim="800000"/>
                            <a:headEnd/>
                            <a:tailEnd/>
                          </a:ln>
                        </wps:spPr>
                        <wps:txbx>
                          <w:txbxContent>
                            <w:p w14:paraId="55DBA37F" w14:textId="5D8E9B1C" w:rsidR="00857477" w:rsidRPr="00312EE2" w:rsidRDefault="00857477" w:rsidP="00312EE2">
                              <w:pPr>
                                <w:jc w:val="center"/>
                                <w:rPr>
                                  <w:rStyle w:val="amprcharBoldBlue"/>
                                  <w:color w:val="FFFFFF" w:themeColor="background1"/>
                                  <w:sz w:val="24"/>
                                  <w:lang w:val="en-IE"/>
                                </w:rPr>
                              </w:pPr>
                              <w:r w:rsidRPr="00312EE2">
                                <w:rPr>
                                  <w:rStyle w:val="amprcharBoldBlue"/>
                                  <w:color w:val="FFFFFF" w:themeColor="background1"/>
                                  <w:sz w:val="24"/>
                                  <w:lang w:val="en-IE"/>
                                </w:rPr>
                                <w:t>Completion</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0"/>
                            <a:ext cx="477795" cy="436279"/>
                          </a:xfrm>
                          <a:prstGeom prst="rect">
                            <a:avLst/>
                          </a:prstGeom>
                          <a:noFill/>
                          <a:ln w="9525">
                            <a:noFill/>
                            <a:miter lim="800000"/>
                            <a:headEnd/>
                            <a:tailEnd/>
                          </a:ln>
                        </wps:spPr>
                        <wps:txbx>
                          <w:txbxContent>
                            <w:p w14:paraId="0FD88574" w14:textId="7F710124" w:rsidR="00857477" w:rsidRPr="00312EE2" w:rsidRDefault="00857477" w:rsidP="00312EE2">
                              <w:pPr>
                                <w:jc w:val="center"/>
                                <w:rPr>
                                  <w:b/>
                                  <w:color w:val="808080" w:themeColor="background1" w:themeShade="80"/>
                                  <w:lang w:val="en-IE"/>
                                </w:rPr>
                              </w:pPr>
                              <w:r>
                                <w:rPr>
                                  <w:b/>
                                  <w:color w:val="808080" w:themeColor="background1" w:themeShade="80"/>
                                  <w:lang w:val="en-IE"/>
                                </w:rPr>
                                <w:t>264</w:t>
                              </w:r>
                            </w:p>
                            <w:p w14:paraId="694CBFCD" w14:textId="1E49CA09"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1120345" y="247135"/>
                            <a:ext cx="477795" cy="436279"/>
                          </a:xfrm>
                          <a:prstGeom prst="rect">
                            <a:avLst/>
                          </a:prstGeom>
                          <a:noFill/>
                          <a:ln w="9525">
                            <a:noFill/>
                            <a:miter lim="800000"/>
                            <a:headEnd/>
                            <a:tailEnd/>
                          </a:ln>
                        </wps:spPr>
                        <wps:txbx>
                          <w:txbxContent>
                            <w:p w14:paraId="2E0FEC5E" w14:textId="44C025DD" w:rsidR="00857477" w:rsidRPr="00312EE2" w:rsidRDefault="00857477" w:rsidP="00312EE2">
                              <w:pPr>
                                <w:jc w:val="center"/>
                                <w:rPr>
                                  <w:b/>
                                  <w:color w:val="808080" w:themeColor="background1" w:themeShade="80"/>
                                  <w:lang w:val="en-IE"/>
                                </w:rPr>
                              </w:pPr>
                              <w:r>
                                <w:rPr>
                                  <w:b/>
                                  <w:color w:val="808080" w:themeColor="background1" w:themeShade="80"/>
                                  <w:lang w:val="en-IE"/>
                                </w:rPr>
                                <w:t>232</w:t>
                              </w:r>
                            </w:p>
                            <w:p w14:paraId="33EB9DAD"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2520778" y="378940"/>
                            <a:ext cx="477795" cy="436279"/>
                          </a:xfrm>
                          <a:prstGeom prst="rect">
                            <a:avLst/>
                          </a:prstGeom>
                          <a:noFill/>
                          <a:ln w="9525">
                            <a:noFill/>
                            <a:miter lim="800000"/>
                            <a:headEnd/>
                            <a:tailEnd/>
                          </a:ln>
                        </wps:spPr>
                        <wps:txbx>
                          <w:txbxContent>
                            <w:p w14:paraId="01963EEB" w14:textId="13DA2D53" w:rsidR="00857477" w:rsidRPr="00312EE2" w:rsidRDefault="00857477" w:rsidP="00312EE2">
                              <w:pPr>
                                <w:jc w:val="center"/>
                                <w:rPr>
                                  <w:b/>
                                  <w:color w:val="808080" w:themeColor="background1" w:themeShade="80"/>
                                  <w:lang w:val="en-IE"/>
                                </w:rPr>
                              </w:pPr>
                              <w:r>
                                <w:rPr>
                                  <w:b/>
                                  <w:color w:val="808080" w:themeColor="background1" w:themeShade="80"/>
                                  <w:lang w:val="en-IE"/>
                                </w:rPr>
                                <w:t>225</w:t>
                              </w:r>
                            </w:p>
                            <w:p w14:paraId="7BF863A8"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3880021" y="238897"/>
                            <a:ext cx="477520" cy="411446"/>
                          </a:xfrm>
                          <a:prstGeom prst="rect">
                            <a:avLst/>
                          </a:prstGeom>
                          <a:noFill/>
                          <a:ln w="9525">
                            <a:noFill/>
                            <a:miter lim="800000"/>
                            <a:headEnd/>
                            <a:tailEnd/>
                          </a:ln>
                        </wps:spPr>
                        <wps:txbx>
                          <w:txbxContent>
                            <w:p w14:paraId="108A16F6" w14:textId="14BC1E58" w:rsidR="00857477" w:rsidRPr="00312EE2" w:rsidRDefault="00857477" w:rsidP="00312EE2">
                              <w:pPr>
                                <w:jc w:val="center"/>
                                <w:rPr>
                                  <w:b/>
                                  <w:color w:val="808080" w:themeColor="background1" w:themeShade="80"/>
                                  <w:lang w:val="en-IE"/>
                                </w:rPr>
                              </w:pPr>
                              <w:r>
                                <w:rPr>
                                  <w:b/>
                                  <w:color w:val="808080" w:themeColor="background1" w:themeShade="80"/>
                                  <w:lang w:val="en-IE"/>
                                </w:rPr>
                                <w:t>240</w:t>
                              </w:r>
                            </w:p>
                            <w:p w14:paraId="1C9F8913"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5156560" y="650302"/>
                            <a:ext cx="477795" cy="511085"/>
                          </a:xfrm>
                          <a:prstGeom prst="rect">
                            <a:avLst/>
                          </a:prstGeom>
                          <a:noFill/>
                          <a:ln w="9525">
                            <a:noFill/>
                            <a:miter lim="800000"/>
                            <a:headEnd/>
                            <a:tailEnd/>
                          </a:ln>
                        </wps:spPr>
                        <wps:txbx>
                          <w:txbxContent>
                            <w:p w14:paraId="76A7F446" w14:textId="346D3019" w:rsidR="00857477" w:rsidRPr="00312EE2" w:rsidRDefault="00857477" w:rsidP="00312EE2">
                              <w:pPr>
                                <w:jc w:val="center"/>
                                <w:rPr>
                                  <w:b/>
                                  <w:color w:val="808080" w:themeColor="background1" w:themeShade="80"/>
                                  <w:lang w:val="en-IE"/>
                                </w:rPr>
                              </w:pPr>
                              <w:r>
                                <w:rPr>
                                  <w:b/>
                                  <w:color w:val="808080" w:themeColor="background1" w:themeShade="80"/>
                                  <w:lang w:val="en-IE"/>
                                </w:rPr>
                                <w:t>194</w:t>
                              </w:r>
                            </w:p>
                            <w:p w14:paraId="24530C0E"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23" name="Text Box 2"/>
                        <wps:cNvSpPr txBox="1">
                          <a:spLocks noChangeArrowheads="1"/>
                        </wps:cNvSpPr>
                        <wps:spPr bwMode="auto">
                          <a:xfrm>
                            <a:off x="4143632" y="329513"/>
                            <a:ext cx="1441519" cy="486032"/>
                          </a:xfrm>
                          <a:prstGeom prst="rect">
                            <a:avLst/>
                          </a:prstGeom>
                          <a:noFill/>
                          <a:ln w="9525">
                            <a:noFill/>
                            <a:miter lim="800000"/>
                            <a:headEnd/>
                            <a:tailEnd/>
                          </a:ln>
                        </wps:spPr>
                        <wps:txbx>
                          <w:txbxContent>
                            <w:p w14:paraId="5B90A08B" w14:textId="603ADF2D" w:rsidR="00857477" w:rsidRPr="00312EE2" w:rsidRDefault="00857477" w:rsidP="00312EE2">
                              <w:pPr>
                                <w:jc w:val="right"/>
                                <w:rPr>
                                  <w:i/>
                                  <w:color w:val="808080" w:themeColor="background1" w:themeShade="80"/>
                                  <w:lang w:val="en-IE"/>
                                </w:rPr>
                              </w:pPr>
                              <w:r w:rsidRPr="00312EE2">
                                <w:rPr>
                                  <w:i/>
                                  <w:color w:val="808080" w:themeColor="background1" w:themeShade="80"/>
                                  <w:lang w:val="en-IE"/>
                                </w:rPr>
                                <w:t>Annual average: 231</w:t>
                              </w:r>
                            </w:p>
                          </w:txbxContent>
                        </wps:txbx>
                        <wps:bodyPr rot="0" vert="horz" wrap="square" lIns="91440" tIns="45720" rIns="91440" bIns="45720" anchor="t" anchorCtr="0">
                          <a:noAutofit/>
                        </wps:bodyPr>
                      </wps:wsp>
                    </wpg:wgp>
                  </a:graphicData>
                </a:graphic>
              </wp:anchor>
            </w:drawing>
          </mc:Choice>
          <mc:Fallback>
            <w:pict>
              <v:group w14:anchorId="39FD5BED" id="Group 24" o:spid="_x0000_s1026" style="position:absolute;left:0;text-align:left;margin-left:16.4pt;margin-top:9.25pt;width:443.65pt;height:232.85pt;z-index:251664384" coordsize="56343,2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">
                <v:shapetype id="_x0000_t202" coordsize="21600,21600" o:spt="202" path="m,l,21600r21600,l21600,xe">
                  <v:stroke joinstyle="miter"/>
                  <v:path gradientshapeok="t" o:connecttype="rect"/>
                </v:shapetype>
                <v:shape id="_x0000_s1027" type="#_x0000_t202" style="position:absolute;left:2388;top:7496;width:19026;height: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468C5C" w14:textId="10E49ADE" w:rsidR="00857477" w:rsidRPr="00305A78" w:rsidRDefault="00857477" w:rsidP="00312EE2">
                        <w:pPr>
                          <w:jc w:val="center"/>
                          <w:rPr>
                            <w:b/>
                            <w:color w:val="FFFFFF" w:themeColor="background1"/>
                            <w:sz w:val="24"/>
                            <w:lang w:val="en-IE"/>
                          </w:rPr>
                        </w:pPr>
                        <w:r w:rsidRPr="00305A78">
                          <w:rPr>
                            <w:b/>
                            <w:color w:val="FFFFFF" w:themeColor="background1"/>
                            <w:sz w:val="24"/>
                            <w:lang w:val="en-IE"/>
                          </w:rPr>
                          <w:t>NextGenerationEU</w:t>
                        </w:r>
                      </w:p>
                    </w:txbxContent>
                  </v:textbox>
                </v:shape>
                <v:shape id="_x0000_s1028" type="#_x0000_t202" style="position:absolute;left:25949;top:16639;width:20034;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098ACD" w14:textId="4560F52F" w:rsidR="00857477" w:rsidRPr="00305A78" w:rsidRDefault="00857477" w:rsidP="00312EE2">
                        <w:pPr>
                          <w:jc w:val="center"/>
                          <w:rPr>
                            <w:rStyle w:val="amprcharBoldBlue"/>
                            <w:color w:val="FFFFFF" w:themeColor="background1"/>
                            <w:sz w:val="24"/>
                            <w:szCs w:val="24"/>
                            <w:lang w:val="en-IE"/>
                          </w:rPr>
                        </w:pPr>
                        <w:r w:rsidRPr="00305A78">
                          <w:rPr>
                            <w:rStyle w:val="amprcharBoldBlue"/>
                            <w:color w:val="FFFFFF" w:themeColor="background1"/>
                            <w:sz w:val="24"/>
                            <w:szCs w:val="24"/>
                            <w:lang w:val="en-IE"/>
                          </w:rPr>
                          <w:t>MFF 2021-2027</w:t>
                        </w:r>
                      </w:p>
                    </w:txbxContent>
                  </v:textbox>
                </v:shape>
                <v:shape id="_x0000_s1029" type="#_x0000_t202" style="position:absolute;left:1647;top:24466;width:12192;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5DBA37F" w14:textId="5D8E9B1C" w:rsidR="00857477" w:rsidRPr="00312EE2" w:rsidRDefault="00857477" w:rsidP="00312EE2">
                        <w:pPr>
                          <w:jc w:val="center"/>
                          <w:rPr>
                            <w:rStyle w:val="amprcharBoldBlue"/>
                            <w:color w:val="FFFFFF" w:themeColor="background1"/>
                            <w:sz w:val="24"/>
                            <w:lang w:val="en-IE"/>
                          </w:rPr>
                        </w:pPr>
                        <w:r w:rsidRPr="00312EE2">
                          <w:rPr>
                            <w:rStyle w:val="amprcharBoldBlue"/>
                            <w:color w:val="FFFFFF" w:themeColor="background1"/>
                            <w:sz w:val="24"/>
                            <w:lang w:val="en-IE"/>
                          </w:rPr>
                          <w:t>Completion</w:t>
                        </w:r>
                      </w:p>
                    </w:txbxContent>
                  </v:textbox>
                </v:shape>
                <v:shape id="_x0000_s1030" type="#_x0000_t202" style="position:absolute;width:4777;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FD88574" w14:textId="7F710124" w:rsidR="00857477" w:rsidRPr="00312EE2" w:rsidRDefault="00857477" w:rsidP="00312EE2">
                        <w:pPr>
                          <w:jc w:val="center"/>
                          <w:rPr>
                            <w:b/>
                            <w:color w:val="808080" w:themeColor="background1" w:themeShade="80"/>
                            <w:lang w:val="en-IE"/>
                          </w:rPr>
                        </w:pPr>
                        <w:r>
                          <w:rPr>
                            <w:b/>
                            <w:color w:val="808080" w:themeColor="background1" w:themeShade="80"/>
                            <w:lang w:val="en-IE"/>
                          </w:rPr>
                          <w:t>264</w:t>
                        </w:r>
                      </w:p>
                      <w:p w14:paraId="694CBFCD" w14:textId="1E49CA09" w:rsidR="00857477" w:rsidRPr="00312EE2" w:rsidRDefault="00857477" w:rsidP="00312EE2">
                        <w:pPr>
                          <w:jc w:val="center"/>
                          <w:rPr>
                            <w:b/>
                            <w:color w:val="808080" w:themeColor="background1" w:themeShade="80"/>
                            <w:lang w:val="en-IE"/>
                          </w:rPr>
                        </w:pPr>
                      </w:p>
                    </w:txbxContent>
                  </v:textbox>
                </v:shape>
                <v:shape id="_x0000_s1031" type="#_x0000_t202" style="position:absolute;left:11203;top:2471;width:4778;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E0FEC5E" w14:textId="44C025DD" w:rsidR="00857477" w:rsidRPr="00312EE2" w:rsidRDefault="00857477" w:rsidP="00312EE2">
                        <w:pPr>
                          <w:jc w:val="center"/>
                          <w:rPr>
                            <w:b/>
                            <w:color w:val="808080" w:themeColor="background1" w:themeShade="80"/>
                            <w:lang w:val="en-IE"/>
                          </w:rPr>
                        </w:pPr>
                        <w:r>
                          <w:rPr>
                            <w:b/>
                            <w:color w:val="808080" w:themeColor="background1" w:themeShade="80"/>
                            <w:lang w:val="en-IE"/>
                          </w:rPr>
                          <w:t>232</w:t>
                        </w:r>
                      </w:p>
                      <w:p w14:paraId="33EB9DAD" w14:textId="77777777" w:rsidR="00857477" w:rsidRPr="00312EE2" w:rsidRDefault="00857477" w:rsidP="00312EE2">
                        <w:pPr>
                          <w:jc w:val="center"/>
                          <w:rPr>
                            <w:b/>
                            <w:color w:val="808080" w:themeColor="background1" w:themeShade="80"/>
                            <w:lang w:val="en-IE"/>
                          </w:rPr>
                        </w:pPr>
                      </w:p>
                    </w:txbxContent>
                  </v:textbox>
                </v:shape>
                <v:shape id="_x0000_s1032" type="#_x0000_t202" style="position:absolute;left:25207;top:3789;width:4778;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63EEB" w14:textId="13DA2D53" w:rsidR="00857477" w:rsidRPr="00312EE2" w:rsidRDefault="00857477" w:rsidP="00312EE2">
                        <w:pPr>
                          <w:jc w:val="center"/>
                          <w:rPr>
                            <w:b/>
                            <w:color w:val="808080" w:themeColor="background1" w:themeShade="80"/>
                            <w:lang w:val="en-IE"/>
                          </w:rPr>
                        </w:pPr>
                        <w:r>
                          <w:rPr>
                            <w:b/>
                            <w:color w:val="808080" w:themeColor="background1" w:themeShade="80"/>
                            <w:lang w:val="en-IE"/>
                          </w:rPr>
                          <w:t>225</w:t>
                        </w:r>
                      </w:p>
                      <w:p w14:paraId="7BF863A8" w14:textId="77777777" w:rsidR="00857477" w:rsidRPr="00312EE2" w:rsidRDefault="00857477" w:rsidP="00312EE2">
                        <w:pPr>
                          <w:jc w:val="center"/>
                          <w:rPr>
                            <w:b/>
                            <w:color w:val="808080" w:themeColor="background1" w:themeShade="80"/>
                            <w:lang w:val="en-IE"/>
                          </w:rPr>
                        </w:pPr>
                      </w:p>
                    </w:txbxContent>
                  </v:textbox>
                </v:shape>
                <v:shape id="_x0000_s1033" type="#_x0000_t202" style="position:absolute;left:38800;top:2388;width:477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08A16F6" w14:textId="14BC1E58" w:rsidR="00857477" w:rsidRPr="00312EE2" w:rsidRDefault="00857477" w:rsidP="00312EE2">
                        <w:pPr>
                          <w:jc w:val="center"/>
                          <w:rPr>
                            <w:b/>
                            <w:color w:val="808080" w:themeColor="background1" w:themeShade="80"/>
                            <w:lang w:val="en-IE"/>
                          </w:rPr>
                        </w:pPr>
                        <w:r>
                          <w:rPr>
                            <w:b/>
                            <w:color w:val="808080" w:themeColor="background1" w:themeShade="80"/>
                            <w:lang w:val="en-IE"/>
                          </w:rPr>
                          <w:t>240</w:t>
                        </w:r>
                      </w:p>
                      <w:p w14:paraId="1C9F8913" w14:textId="77777777" w:rsidR="00857477" w:rsidRPr="00312EE2" w:rsidRDefault="00857477" w:rsidP="00312EE2">
                        <w:pPr>
                          <w:jc w:val="center"/>
                          <w:rPr>
                            <w:b/>
                            <w:color w:val="808080" w:themeColor="background1" w:themeShade="80"/>
                            <w:lang w:val="en-IE"/>
                          </w:rPr>
                        </w:pPr>
                      </w:p>
                    </w:txbxContent>
                  </v:textbox>
                </v:shape>
                <v:shape id="_x0000_s1034" type="#_x0000_t202" style="position:absolute;left:51565;top:6503;width:4778;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6A7F446" w14:textId="346D3019" w:rsidR="00857477" w:rsidRPr="00312EE2" w:rsidRDefault="00857477" w:rsidP="00312EE2">
                        <w:pPr>
                          <w:jc w:val="center"/>
                          <w:rPr>
                            <w:b/>
                            <w:color w:val="808080" w:themeColor="background1" w:themeShade="80"/>
                            <w:lang w:val="en-IE"/>
                          </w:rPr>
                        </w:pPr>
                        <w:r>
                          <w:rPr>
                            <w:b/>
                            <w:color w:val="808080" w:themeColor="background1" w:themeShade="80"/>
                            <w:lang w:val="en-IE"/>
                          </w:rPr>
                          <w:t>194</w:t>
                        </w:r>
                      </w:p>
                      <w:p w14:paraId="24530C0E" w14:textId="77777777" w:rsidR="00857477" w:rsidRPr="00312EE2" w:rsidRDefault="00857477" w:rsidP="00312EE2">
                        <w:pPr>
                          <w:jc w:val="center"/>
                          <w:rPr>
                            <w:b/>
                            <w:color w:val="808080" w:themeColor="background1" w:themeShade="80"/>
                            <w:lang w:val="en-IE"/>
                          </w:rPr>
                        </w:pPr>
                      </w:p>
                    </w:txbxContent>
                  </v:textbox>
                </v:shape>
                <v:shape id="_x0000_s1035" type="#_x0000_t202" style="position:absolute;left:41436;top:3295;width:14415;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90A08B" w14:textId="603ADF2D" w:rsidR="00857477" w:rsidRPr="00312EE2" w:rsidRDefault="00857477" w:rsidP="00312EE2">
                        <w:pPr>
                          <w:jc w:val="right"/>
                          <w:rPr>
                            <w:i/>
                            <w:color w:val="808080" w:themeColor="background1" w:themeShade="80"/>
                            <w:lang w:val="en-IE"/>
                          </w:rPr>
                        </w:pPr>
                        <w:r w:rsidRPr="00312EE2">
                          <w:rPr>
                            <w:i/>
                            <w:color w:val="808080" w:themeColor="background1" w:themeShade="80"/>
                            <w:lang w:val="en-IE"/>
                          </w:rPr>
                          <w:t>Annual average: 231</w:t>
                        </w:r>
                      </w:p>
                    </w:txbxContent>
                  </v:textbox>
                </v:shape>
              </v:group>
            </w:pict>
          </mc:Fallback>
        </mc:AlternateContent>
      </w:r>
      <w:r w:rsidR="00312EE2">
        <w:rPr>
          <w:b/>
          <w:noProof/>
          <w:color w:val="215E94" w:themeColor="text2"/>
          <w:spacing w:val="1"/>
          <w:lang w:eastAsia="en-GB"/>
        </w:rPr>
        <mc:AlternateContent>
          <mc:Choice Requires="wps">
            <w:drawing>
              <wp:anchor distT="0" distB="0" distL="114300" distR="114300" simplePos="0" relativeHeight="251648000" behindDoc="0" locked="0" layoutInCell="1" allowOverlap="1" wp14:anchorId="223CCD62" wp14:editId="1D3CE873">
                <wp:simplePos x="0" y="0"/>
                <wp:positionH relativeFrom="column">
                  <wp:posOffset>340034</wp:posOffset>
                </wp:positionH>
                <wp:positionV relativeFrom="paragraph">
                  <wp:posOffset>842267</wp:posOffset>
                </wp:positionV>
                <wp:extent cx="5403627" cy="0"/>
                <wp:effectExtent l="0" t="0" r="26035" b="19050"/>
                <wp:wrapNone/>
                <wp:docPr id="20" name="Straight Connector 20"/>
                <wp:cNvGraphicFramePr/>
                <a:graphic xmlns:a="http://schemas.openxmlformats.org/drawingml/2006/main">
                  <a:graphicData uri="http://schemas.microsoft.com/office/word/2010/wordprocessingShape">
                    <wps:wsp>
                      <wps:cNvCnPr/>
                      <wps:spPr>
                        <a:xfrm>
                          <a:off x="0" y="0"/>
                          <a:ext cx="5403627" cy="0"/>
                        </a:xfrm>
                        <a:prstGeom prst="line">
                          <a:avLst/>
                        </a:prstGeom>
                        <a:ln w="190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12945" id="Straight Connector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66.3pt" to="452.2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" strokecolor="#7f7f7f [1612]" strokeweight="1.5pt">
                <v:stroke dashstyle="dash"/>
              </v:line>
            </w:pict>
          </mc:Fallback>
        </mc:AlternateContent>
      </w:r>
      <w:r w:rsidR="00312EE2">
        <w:rPr>
          <w:rStyle w:val="amprcharBoldBlue"/>
          <w:noProof/>
          <w:lang w:eastAsia="en-GB"/>
        </w:rPr>
        <w:drawing>
          <wp:inline distT="0" distB="0" distL="0" distR="0" wp14:anchorId="6C1452CA" wp14:editId="44AE4A0F">
            <wp:extent cx="6022018" cy="3451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427" cy="3456474"/>
                    </a:xfrm>
                    <a:prstGeom prst="rect">
                      <a:avLst/>
                    </a:prstGeom>
                    <a:noFill/>
                  </pic:spPr>
                </pic:pic>
              </a:graphicData>
            </a:graphic>
          </wp:inline>
        </w:drawing>
      </w:r>
    </w:p>
    <w:p w14:paraId="23DF9E6A" w14:textId="5959569E" w:rsidR="00D66606" w:rsidRPr="00B74430" w:rsidRDefault="00D66606" w:rsidP="00D66606">
      <w:pPr>
        <w:spacing w:after="120" w:line="276" w:lineRule="auto"/>
        <w:jc w:val="both"/>
        <w:rPr>
          <w:noProof/>
        </w:rPr>
      </w:pPr>
      <w:r>
        <w:rPr>
          <w:noProof/>
        </w:rPr>
        <w:t xml:space="preserve">The forecast payments from the EU budget are not evenly distributed across the reference period. They depend on the expected evolution of: 1) the phasing-in of payments for </w:t>
      </w:r>
      <w:r w:rsidRPr="00644855">
        <w:rPr>
          <w:noProof/>
        </w:rPr>
        <w:t xml:space="preserve">the new </w:t>
      </w:r>
      <w:r w:rsidR="00C00493" w:rsidRPr="00644855">
        <w:rPr>
          <w:noProof/>
        </w:rPr>
        <w:t xml:space="preserve">MFF </w:t>
      </w:r>
      <w:r w:rsidRPr="00644855">
        <w:rPr>
          <w:noProof/>
        </w:rPr>
        <w:t>programmes (</w:t>
      </w:r>
      <w:r w:rsidRPr="00010355">
        <w:rPr>
          <w:noProof/>
        </w:rPr>
        <w:t>66%</w:t>
      </w:r>
      <w:r w:rsidRPr="00644855">
        <w:rPr>
          <w:noProof/>
        </w:rPr>
        <w:t xml:space="preserve"> of the total payments), 2) the pace of disbursements under NextGenerationEU (</w:t>
      </w:r>
      <w:r w:rsidRPr="00010355">
        <w:rPr>
          <w:noProof/>
        </w:rPr>
        <w:t>2</w:t>
      </w:r>
      <w:r w:rsidR="00061F5B" w:rsidRPr="00010355">
        <w:rPr>
          <w:noProof/>
        </w:rPr>
        <w:t>4</w:t>
      </w:r>
      <w:r w:rsidRPr="00010355">
        <w:rPr>
          <w:noProof/>
        </w:rPr>
        <w:t>%</w:t>
      </w:r>
      <w:r w:rsidRPr="00644855">
        <w:rPr>
          <w:noProof/>
        </w:rPr>
        <w:t xml:space="preserve"> of the payments), and 3) the </w:t>
      </w:r>
      <w:r w:rsidR="00C00493" w:rsidRPr="00644855">
        <w:rPr>
          <w:noProof/>
        </w:rPr>
        <w:t>completion of</w:t>
      </w:r>
      <w:r w:rsidRPr="00644855">
        <w:rPr>
          <w:noProof/>
        </w:rPr>
        <w:t xml:space="preserve"> commitments from the 2014-2020 period and earlier (</w:t>
      </w:r>
      <w:r w:rsidR="00061F5B" w:rsidRPr="00010355">
        <w:rPr>
          <w:noProof/>
        </w:rPr>
        <w:t>10</w:t>
      </w:r>
      <w:r w:rsidRPr="00010355">
        <w:rPr>
          <w:noProof/>
        </w:rPr>
        <w:t>%</w:t>
      </w:r>
      <w:r w:rsidRPr="00644855">
        <w:rPr>
          <w:noProof/>
        </w:rPr>
        <w:t xml:space="preserve"> of the payments). The estimated annual average of the outflows is </w:t>
      </w:r>
      <w:r w:rsidRPr="00010355">
        <w:rPr>
          <w:noProof/>
        </w:rPr>
        <w:t>EUR 23</w:t>
      </w:r>
      <w:r w:rsidR="00061F5B" w:rsidRPr="00010355">
        <w:rPr>
          <w:noProof/>
        </w:rPr>
        <w:t>1</w:t>
      </w:r>
      <w:r w:rsidRPr="00010355">
        <w:rPr>
          <w:noProof/>
        </w:rPr>
        <w:t> billion</w:t>
      </w:r>
      <w:r w:rsidRPr="00644855">
        <w:rPr>
          <w:noProof/>
        </w:rPr>
        <w:t xml:space="preserve">, with </w:t>
      </w:r>
      <w:r w:rsidRPr="00010355">
        <w:rPr>
          <w:noProof/>
        </w:rPr>
        <w:t>EUR 5</w:t>
      </w:r>
      <w:r w:rsidR="0044211C" w:rsidRPr="00010355">
        <w:rPr>
          <w:noProof/>
        </w:rPr>
        <w:t>6</w:t>
      </w:r>
      <w:r w:rsidRPr="00010355">
        <w:rPr>
          <w:noProof/>
        </w:rPr>
        <w:t xml:space="preserve"> billion</w:t>
      </w:r>
      <w:r w:rsidRPr="00644855">
        <w:rPr>
          <w:noProof/>
        </w:rPr>
        <w:t xml:space="preserve"> to be financed</w:t>
      </w:r>
      <w:r>
        <w:rPr>
          <w:noProof/>
        </w:rPr>
        <w:t xml:space="preserve"> by borrowing on the capital markets for NextGenerationEU</w:t>
      </w:r>
      <w:r w:rsidR="00F81488">
        <w:rPr>
          <w:noProof/>
        </w:rPr>
        <w:t xml:space="preserve"> programmes</w:t>
      </w:r>
      <w:r>
        <w:rPr>
          <w:noProof/>
        </w:rPr>
        <w:t>.</w:t>
      </w:r>
    </w:p>
    <w:p w14:paraId="54CD1AB4" w14:textId="70B9F687" w:rsidR="00D66606" w:rsidRPr="00B74430" w:rsidRDefault="00D66606" w:rsidP="00D66606">
      <w:pPr>
        <w:spacing w:after="120" w:line="276" w:lineRule="auto"/>
        <w:jc w:val="both"/>
        <w:rPr>
          <w:noProof/>
        </w:rPr>
      </w:pPr>
      <w:r>
        <w:rPr>
          <w:noProof/>
        </w:rPr>
        <w:t xml:space="preserve">Payments over the period are expected to steadily decline after a peak in 2023, which </w:t>
      </w:r>
      <w:r w:rsidR="00E30ED1">
        <w:rPr>
          <w:noProof/>
        </w:rPr>
        <w:t xml:space="preserve">is </w:t>
      </w:r>
      <w:r>
        <w:rPr>
          <w:noProof/>
        </w:rPr>
        <w:t xml:space="preserve">largely driven by the </w:t>
      </w:r>
      <w:r w:rsidR="00C00493">
        <w:rPr>
          <w:noProof/>
        </w:rPr>
        <w:t xml:space="preserve">frontloading </w:t>
      </w:r>
      <w:r>
        <w:rPr>
          <w:noProof/>
        </w:rPr>
        <w:t xml:space="preserve">of NextGenerationEU. A temporary rebound in outflows is expected in 2026, when all final payments under NextGenerationEU </w:t>
      </w:r>
      <w:r w:rsidR="00200D15">
        <w:rPr>
          <w:noProof/>
        </w:rPr>
        <w:t>will have to be completed</w:t>
      </w:r>
      <w:r>
        <w:rPr>
          <w:noProof/>
        </w:rPr>
        <w:t>. As of 2027 the forecast almost exclusively comprises payments under the 2021-2027 MFF programmes.</w:t>
      </w:r>
    </w:p>
    <w:p w14:paraId="5B864F32" w14:textId="36951B67" w:rsidR="00D66606" w:rsidRPr="00DC2085" w:rsidRDefault="00D66606" w:rsidP="00D66606">
      <w:pPr>
        <w:spacing w:after="120" w:line="276" w:lineRule="auto"/>
        <w:jc w:val="both"/>
        <w:rPr>
          <w:noProof/>
        </w:rPr>
      </w:pPr>
      <w:r>
        <w:rPr>
          <w:noProof/>
        </w:rPr>
        <w:t xml:space="preserve">Zooming in on the expenditure under the current MFF and the completion of its predecessors, the forecast payments average </w:t>
      </w:r>
      <w:r w:rsidRPr="00010355">
        <w:rPr>
          <w:noProof/>
        </w:rPr>
        <w:t>EUR 175 billion</w:t>
      </w:r>
      <w:r w:rsidRPr="00644855">
        <w:rPr>
          <w:noProof/>
        </w:rPr>
        <w:t xml:space="preserve">, with 2023-2024 below average and 2026-2027 above. </w:t>
      </w:r>
      <w:r w:rsidR="00552D8A" w:rsidRPr="00644855">
        <w:rPr>
          <w:noProof/>
        </w:rPr>
        <w:t>T</w:t>
      </w:r>
      <w:r w:rsidRPr="00644855">
        <w:rPr>
          <w:noProof/>
        </w:rPr>
        <w:t xml:space="preserve">he difference between the peak year for payments (2027) and the trough </w:t>
      </w:r>
      <w:r w:rsidR="00552D8A" w:rsidRPr="00644855">
        <w:rPr>
          <w:noProof/>
        </w:rPr>
        <w:t>(</w:t>
      </w:r>
      <w:r w:rsidRPr="00644855">
        <w:rPr>
          <w:noProof/>
        </w:rPr>
        <w:t xml:space="preserve">2024) is </w:t>
      </w:r>
      <w:r w:rsidR="005F0959" w:rsidRPr="00644855">
        <w:rPr>
          <w:noProof/>
        </w:rPr>
        <w:t>roughly</w:t>
      </w:r>
      <w:r w:rsidRPr="00644855">
        <w:rPr>
          <w:noProof/>
        </w:rPr>
        <w:t xml:space="preserve"> </w:t>
      </w:r>
      <w:r w:rsidRPr="00010355">
        <w:rPr>
          <w:noProof/>
        </w:rPr>
        <w:t>EUR 3</w:t>
      </w:r>
      <w:r w:rsidR="00552D8A" w:rsidRPr="00010355">
        <w:rPr>
          <w:noProof/>
        </w:rPr>
        <w:t>6</w:t>
      </w:r>
      <w:r w:rsidRPr="00010355">
        <w:rPr>
          <w:noProof/>
        </w:rPr>
        <w:t> billion</w:t>
      </w:r>
      <w:r w:rsidRPr="00644855">
        <w:rPr>
          <w:noProof/>
        </w:rPr>
        <w:t>. This pattern has also been observed in prior MFFs due to the progressive phasing out of closure payments of the</w:t>
      </w:r>
      <w:r>
        <w:rPr>
          <w:noProof/>
        </w:rPr>
        <w:t xml:space="preserve"> previous financial frameworks and the new spending programmes effectively reaching cruising speed in the second half of the </w:t>
      </w:r>
      <w:r w:rsidR="00200D15">
        <w:rPr>
          <w:noProof/>
        </w:rPr>
        <w:t xml:space="preserve">respective </w:t>
      </w:r>
      <w:r>
        <w:rPr>
          <w:noProof/>
        </w:rPr>
        <w:t>MFF.</w:t>
      </w:r>
    </w:p>
    <w:p w14:paraId="4A9908E8" w14:textId="0128082F" w:rsidR="00FC02CC" w:rsidRDefault="00D66606" w:rsidP="00D66606">
      <w:pPr>
        <w:spacing w:after="120" w:line="276" w:lineRule="auto"/>
        <w:jc w:val="both"/>
        <w:rPr>
          <w:noProof/>
        </w:rPr>
      </w:pPr>
      <w:r>
        <w:rPr>
          <w:noProof/>
        </w:rPr>
        <w:t xml:space="preserve">The forecast margin under the MFF payment ceiling amounts </w:t>
      </w:r>
      <w:r w:rsidRPr="00644855">
        <w:rPr>
          <w:noProof/>
        </w:rPr>
        <w:t xml:space="preserve">to </w:t>
      </w:r>
      <w:r w:rsidR="00552D8A" w:rsidRPr="00010355">
        <w:rPr>
          <w:noProof/>
        </w:rPr>
        <w:t>EUR 5.5</w:t>
      </w:r>
      <w:r w:rsidRPr="00010355">
        <w:rPr>
          <w:noProof/>
        </w:rPr>
        <w:t xml:space="preserve"> billion</w:t>
      </w:r>
      <w:r w:rsidRPr="00644855">
        <w:rPr>
          <w:noProof/>
        </w:rPr>
        <w:t xml:space="preserve"> and </w:t>
      </w:r>
      <w:r w:rsidRPr="00010355">
        <w:rPr>
          <w:noProof/>
        </w:rPr>
        <w:t>EUR </w:t>
      </w:r>
      <w:r w:rsidR="00552D8A" w:rsidRPr="00010355">
        <w:rPr>
          <w:noProof/>
        </w:rPr>
        <w:t>11 bi</w:t>
      </w:r>
      <w:r w:rsidRPr="00010355">
        <w:rPr>
          <w:noProof/>
        </w:rPr>
        <w:t>llion</w:t>
      </w:r>
      <w:r w:rsidRPr="00644855">
        <w:rPr>
          <w:noProof/>
        </w:rPr>
        <w:t xml:space="preserve"> in 2023 and 2024, respectively. For the period 2025-2027, the annual margin may appear negative compared to the current payment ceilings, with the forecast exceeding the ceiling by </w:t>
      </w:r>
      <w:r w:rsidRPr="00010355">
        <w:rPr>
          <w:noProof/>
        </w:rPr>
        <w:t>EUR </w:t>
      </w:r>
      <w:r w:rsidR="00A05851" w:rsidRPr="00010355">
        <w:rPr>
          <w:noProof/>
        </w:rPr>
        <w:t>24</w:t>
      </w:r>
      <w:r w:rsidR="00E55B5A" w:rsidRPr="00010355">
        <w:rPr>
          <w:noProof/>
        </w:rPr>
        <w:t>.</w:t>
      </w:r>
      <w:r w:rsidR="00644855" w:rsidRPr="00010355">
        <w:rPr>
          <w:noProof/>
        </w:rPr>
        <w:t>6</w:t>
      </w:r>
      <w:r w:rsidRPr="00010355">
        <w:rPr>
          <w:noProof/>
        </w:rPr>
        <w:t xml:space="preserve"> billion </w:t>
      </w:r>
      <w:r w:rsidRPr="00644855">
        <w:rPr>
          <w:noProof/>
        </w:rPr>
        <w:t xml:space="preserve">for the three years combined. These deviations across the years are </w:t>
      </w:r>
      <w:r w:rsidR="00F81488" w:rsidRPr="00644855">
        <w:rPr>
          <w:noProof/>
        </w:rPr>
        <w:t xml:space="preserve">simply </w:t>
      </w:r>
      <w:r w:rsidRPr="00644855">
        <w:rPr>
          <w:noProof/>
        </w:rPr>
        <w:t>a consequence of the payment ceiling</w:t>
      </w:r>
      <w:r>
        <w:rPr>
          <w:noProof/>
        </w:rPr>
        <w:t xml:space="preserve"> set at a stable level in real terms, while implementation is expected to follow </w:t>
      </w:r>
      <w:r w:rsidR="00F81488">
        <w:rPr>
          <w:noProof/>
        </w:rPr>
        <w:t>a variable</w:t>
      </w:r>
      <w:r>
        <w:rPr>
          <w:noProof/>
        </w:rPr>
        <w:t xml:space="preserve"> path. Pursuant to the automatic adjustment mechanism of Article 11(1)(b) of the MFF Regulation, the amounts not spent in a given year will increase the ceilings for the future years. Therefore, the expected positive margins prior to 2025 will increase the ceilings in 2025-2027 (within the limits set by Article 11(3) of the MFF Regulation). </w:t>
      </w:r>
      <w:r w:rsidRPr="002B475D">
        <w:rPr>
          <w:noProof/>
        </w:rPr>
        <w:t xml:space="preserve">Considering this adjustment and the future programme-specific adjustment </w:t>
      </w:r>
      <w:r w:rsidR="00200D15">
        <w:rPr>
          <w:noProof/>
        </w:rPr>
        <w:t>under</w:t>
      </w:r>
      <w:r w:rsidRPr="002B475D">
        <w:rPr>
          <w:noProof/>
        </w:rPr>
        <w:t xml:space="preserve"> Article</w:t>
      </w:r>
      <w:r>
        <w:rPr>
          <w:noProof/>
        </w:rPr>
        <w:t> </w:t>
      </w:r>
      <w:r w:rsidRPr="002B475D">
        <w:rPr>
          <w:noProof/>
        </w:rPr>
        <w:t xml:space="preserve">5 of the MFF Regulation (which will increase the payment ceilings by an additional EUR 9.4 billion), the current payment forecast for the last three years of the MFF is compatible with the </w:t>
      </w:r>
      <w:r w:rsidR="008541FC">
        <w:rPr>
          <w:noProof/>
        </w:rPr>
        <w:t xml:space="preserve">overall 2021-2027 </w:t>
      </w:r>
      <w:r w:rsidRPr="002B475D">
        <w:rPr>
          <w:noProof/>
        </w:rPr>
        <w:t xml:space="preserve">MFF payment ceiling. </w:t>
      </w:r>
      <w:r w:rsidR="00FC02CC">
        <w:rPr>
          <w:noProof/>
        </w:rPr>
        <w:br w:type="page"/>
      </w:r>
    </w:p>
    <w:p w14:paraId="6BF77AA7" w14:textId="0BCF7481" w:rsidR="00D66606" w:rsidRDefault="007D38D2" w:rsidP="00D66606">
      <w:pPr>
        <w:spacing w:after="120" w:line="276" w:lineRule="auto"/>
        <w:jc w:val="both"/>
        <w:rPr>
          <w:rStyle w:val="amprcharBoldBlue"/>
          <w:noProof/>
        </w:rPr>
      </w:pPr>
      <w:r w:rsidRPr="007D38D2">
        <w:rPr>
          <w:rStyle w:val="amprcharBoldBlue"/>
          <w:noProof/>
          <w:lang w:eastAsia="en-GB"/>
        </w:rPr>
        <mc:AlternateContent>
          <mc:Choice Requires="wps">
            <w:drawing>
              <wp:anchor distT="45720" distB="45720" distL="114300" distR="114300" simplePos="0" relativeHeight="251654144" behindDoc="0" locked="0" layoutInCell="1" allowOverlap="1" wp14:anchorId="262676CD" wp14:editId="6D5C09D2">
                <wp:simplePos x="0" y="0"/>
                <wp:positionH relativeFrom="column">
                  <wp:posOffset>4052407</wp:posOffset>
                </wp:positionH>
                <wp:positionV relativeFrom="paragraph">
                  <wp:posOffset>81915</wp:posOffset>
                </wp:positionV>
                <wp:extent cx="1888528" cy="75143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528" cy="751438"/>
                        </a:xfrm>
                        <a:prstGeom prst="rect">
                          <a:avLst/>
                        </a:prstGeom>
                        <a:noFill/>
                        <a:ln w="9525">
                          <a:noFill/>
                          <a:miter lim="800000"/>
                          <a:headEnd/>
                          <a:tailEnd/>
                        </a:ln>
                      </wps:spPr>
                      <wps:txbx>
                        <w:txbxContent>
                          <w:p w14:paraId="16BC81FE" w14:textId="062A5DB4" w:rsidR="00857477" w:rsidRDefault="00857477" w:rsidP="007D38D2">
                            <w:r w:rsidRPr="007D38D2">
                              <w:t>Maximum Payments Ceiling: 2025-2027 incl. increase SMI Art. 11(3))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2676CD" id="Text Box 2" o:spid="_x0000_s1036" type="#_x0000_t202" style="position:absolute;left:0;text-align:left;margin-left:319.1pt;margin-top:6.45pt;width:148.7pt;height:59.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" filled="f" stroked="f">
                <v:textbox>
                  <w:txbxContent>
                    <w:p w14:paraId="16BC81FE" w14:textId="062A5DB4" w:rsidR="00857477" w:rsidRDefault="00857477" w:rsidP="007D38D2">
                      <w:r w:rsidRPr="007D38D2">
                        <w:t>Maximum Payments Ceiling: 2025-2027 incl. increase SMI Art. 11(3))</w:t>
                      </w:r>
                    </w:p>
                  </w:txbxContent>
                </v:textbox>
              </v:shape>
            </w:pict>
          </mc:Fallback>
        </mc:AlternateContent>
      </w:r>
      <w:r w:rsidR="00D66606" w:rsidRPr="009F63E4">
        <w:rPr>
          <w:rStyle w:val="amprcharBoldBlue"/>
          <w:noProof/>
        </w:rPr>
        <w:t xml:space="preserve">Chart </w:t>
      </w:r>
      <w:r w:rsidR="00D66606" w:rsidRPr="009F63E4">
        <w:rPr>
          <w:rStyle w:val="amprcharBoldBlue"/>
          <w:noProof/>
        </w:rPr>
        <w:fldChar w:fldCharType="begin"/>
      </w:r>
      <w:r w:rsidR="00D66606" w:rsidRPr="009F63E4">
        <w:rPr>
          <w:rStyle w:val="amprcharBoldBlue"/>
          <w:noProof/>
        </w:rPr>
        <w:instrText xml:space="preserve"> SEQ Chart \* ARABIC </w:instrText>
      </w:r>
      <w:r w:rsidR="00D66606" w:rsidRPr="009F63E4">
        <w:rPr>
          <w:rStyle w:val="amprcharBoldBlue"/>
          <w:noProof/>
        </w:rPr>
        <w:fldChar w:fldCharType="separate"/>
      </w:r>
      <w:r w:rsidR="00D66606" w:rsidRPr="009F63E4">
        <w:rPr>
          <w:rStyle w:val="amprcharBoldBlue"/>
          <w:noProof/>
        </w:rPr>
        <w:t>2</w:t>
      </w:r>
      <w:r w:rsidR="00D66606" w:rsidRPr="009F63E4">
        <w:rPr>
          <w:rStyle w:val="amprcharBoldBlue"/>
          <w:noProof/>
        </w:rPr>
        <w:fldChar w:fldCharType="end"/>
      </w:r>
      <w:r w:rsidR="00D66606" w:rsidRPr="009F63E4">
        <w:rPr>
          <w:rStyle w:val="amprcharBoldBlue"/>
          <w:noProof/>
        </w:rPr>
        <w:t xml:space="preserve"> - Payments forecast vs MFF payment ceiling</w:t>
      </w:r>
      <w:r w:rsidR="00C0487E">
        <w:rPr>
          <w:rStyle w:val="amprcharBoldBlue"/>
          <w:noProof/>
        </w:rPr>
        <w:t xml:space="preserve"> (in EUR billion)</w:t>
      </w:r>
    </w:p>
    <w:p w14:paraId="1D3D7505" w14:textId="2BB2FCC9" w:rsidR="00D66606" w:rsidRPr="00F81488" w:rsidRDefault="007D38D2" w:rsidP="00F81488">
      <w:pPr>
        <w:spacing w:after="120" w:line="276" w:lineRule="auto"/>
        <w:jc w:val="both"/>
        <w:rPr>
          <w:b/>
          <w:noProof/>
          <w:color w:val="215E94" w:themeColor="text2"/>
          <w:spacing w:val="1"/>
        </w:rPr>
      </w:pPr>
      <w:r w:rsidRPr="007D38D2">
        <w:rPr>
          <w:rStyle w:val="amprcharBoldBlue"/>
          <w:noProof/>
          <w:lang w:eastAsia="en-GB"/>
        </w:rPr>
        <mc:AlternateContent>
          <mc:Choice Requires="wps">
            <w:drawing>
              <wp:anchor distT="45720" distB="45720" distL="114300" distR="114300" simplePos="0" relativeHeight="251658240" behindDoc="0" locked="0" layoutInCell="1" allowOverlap="1" wp14:anchorId="0BB6C6BE" wp14:editId="7EF1BE76">
                <wp:simplePos x="0" y="0"/>
                <wp:positionH relativeFrom="column">
                  <wp:posOffset>4043045</wp:posOffset>
                </wp:positionH>
                <wp:positionV relativeFrom="paragraph">
                  <wp:posOffset>480223</wp:posOffset>
                </wp:positionV>
                <wp:extent cx="1888490" cy="596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596900"/>
                        </a:xfrm>
                        <a:prstGeom prst="rect">
                          <a:avLst/>
                        </a:prstGeom>
                        <a:noFill/>
                        <a:ln w="9525">
                          <a:noFill/>
                          <a:miter lim="800000"/>
                          <a:headEnd/>
                          <a:tailEnd/>
                        </a:ln>
                      </wps:spPr>
                      <wps:txbx>
                        <w:txbxContent>
                          <w:p w14:paraId="3853B32B" w14:textId="57CB0CA4" w:rsidR="00857477" w:rsidRDefault="00857477" w:rsidP="007D38D2">
                            <w:r w:rsidRPr="007D38D2">
                              <w:t>Forecast Payments (under the MFF ceiling)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B6C6BE" id="_x0000_s1037" type="#_x0000_t202" style="position:absolute;left:0;text-align:left;margin-left:318.35pt;margin-top:37.8pt;width:148.7pt;height: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" filled="f" stroked="f">
                <v:textbox>
                  <w:txbxContent>
                    <w:p w14:paraId="3853B32B" w14:textId="57CB0CA4" w:rsidR="00857477" w:rsidRDefault="00857477" w:rsidP="007D38D2">
                      <w:r w:rsidRPr="007D38D2">
                        <w:t>Forecast Payments (under the MFF ceiling)</w:t>
                      </w:r>
                    </w:p>
                  </w:txbxContent>
                </v:textbox>
              </v:shape>
            </w:pict>
          </mc:Fallback>
        </mc:AlternateContent>
      </w:r>
      <w:r w:rsidRPr="007D38D2">
        <w:rPr>
          <w:rStyle w:val="amprcharBoldBlue"/>
          <w:noProof/>
          <w:lang w:eastAsia="en-GB"/>
        </w:rPr>
        <mc:AlternateContent>
          <mc:Choice Requires="wps">
            <w:drawing>
              <wp:anchor distT="45720" distB="45720" distL="114300" distR="114300" simplePos="0" relativeHeight="251656192" behindDoc="0" locked="0" layoutInCell="1" allowOverlap="1" wp14:anchorId="631F16B3" wp14:editId="1B24BAC4">
                <wp:simplePos x="0" y="0"/>
                <wp:positionH relativeFrom="column">
                  <wp:posOffset>4048597</wp:posOffset>
                </wp:positionH>
                <wp:positionV relativeFrom="paragraph">
                  <wp:posOffset>1077595</wp:posOffset>
                </wp:positionV>
                <wp:extent cx="1888490" cy="7512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751205"/>
                        </a:xfrm>
                        <a:prstGeom prst="rect">
                          <a:avLst/>
                        </a:prstGeom>
                        <a:noFill/>
                        <a:ln w="9525">
                          <a:noFill/>
                          <a:miter lim="800000"/>
                          <a:headEnd/>
                          <a:tailEnd/>
                        </a:ln>
                      </wps:spPr>
                      <wps:txbx>
                        <w:txbxContent>
                          <w:p w14:paraId="449A2D2F" w14:textId="5D50D80A" w:rsidR="00857477" w:rsidRDefault="00857477" w:rsidP="007D38D2">
                            <w:r w:rsidRPr="007D38D2">
                              <w:t>Payment Ceiling (Technical Adjustment 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1F16B3" id="_x0000_s1038" type="#_x0000_t202" style="position:absolute;left:0;text-align:left;margin-left:318.8pt;margin-top:84.85pt;width:148.7pt;height:5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" filled="f" stroked="f">
                <v:textbox>
                  <w:txbxContent>
                    <w:p w14:paraId="449A2D2F" w14:textId="5D50D80A" w:rsidR="00857477" w:rsidRDefault="00857477" w:rsidP="007D38D2">
                      <w:r w:rsidRPr="007D38D2">
                        <w:t>Payment Ceiling (Technical Adjustment 2023)</w:t>
                      </w:r>
                    </w:p>
                  </w:txbxContent>
                </v:textbox>
              </v:shape>
            </w:pict>
          </mc:Fallback>
        </mc:AlternateContent>
      </w:r>
      <w:r>
        <w:rPr>
          <w:rStyle w:val="amprcharBoldBlue"/>
          <w:noProof/>
          <w:lang w:eastAsia="en-GB"/>
        </w:rPr>
        <w:drawing>
          <wp:inline distT="0" distB="0" distL="0" distR="0" wp14:anchorId="542C2388" wp14:editId="6B1DBB74">
            <wp:extent cx="4572635"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9BF030D" w14:textId="77777777" w:rsidR="00D66606" w:rsidRDefault="00D66606" w:rsidP="009F63E4">
      <w:pPr>
        <w:pStyle w:val="amprH3Title2-Numbered-11"/>
        <w:rPr>
          <w:noProof/>
        </w:rPr>
      </w:pPr>
      <w:bookmarkStart w:id="10" w:name="_Toc524523059"/>
      <w:bookmarkStart w:id="11" w:name="_Toc105504505"/>
      <w:r w:rsidRPr="007E3223">
        <w:rPr>
          <w:noProof/>
        </w:rPr>
        <w:t>Payments</w:t>
      </w:r>
      <w:bookmarkEnd w:id="10"/>
      <w:r w:rsidRPr="007E3223">
        <w:rPr>
          <w:noProof/>
        </w:rPr>
        <w:t xml:space="preserve"> in relation to </w:t>
      </w:r>
      <w:r>
        <w:rPr>
          <w:noProof/>
        </w:rPr>
        <w:t>the</w:t>
      </w:r>
      <w:r w:rsidRPr="007E3223">
        <w:rPr>
          <w:noProof/>
        </w:rPr>
        <w:t xml:space="preserve"> commitments</w:t>
      </w:r>
      <w:r>
        <w:rPr>
          <w:noProof/>
        </w:rPr>
        <w:t xml:space="preserve"> of the 2021-2027 MFF</w:t>
      </w:r>
      <w:bookmarkEnd w:id="11"/>
    </w:p>
    <w:p w14:paraId="0FE4F972" w14:textId="77777777" w:rsidR="00D66606" w:rsidRPr="00692170" w:rsidRDefault="00D66606" w:rsidP="00D66606">
      <w:pPr>
        <w:spacing w:after="120" w:line="276" w:lineRule="auto"/>
        <w:jc w:val="both"/>
        <w:rPr>
          <w:noProof/>
        </w:rPr>
      </w:pPr>
      <w:r w:rsidRPr="57F8CA25">
        <w:rPr>
          <w:noProof/>
        </w:rPr>
        <w:t xml:space="preserve">Cohesion policy and the </w:t>
      </w:r>
      <w:r w:rsidRPr="00692170">
        <w:rPr>
          <w:noProof/>
        </w:rPr>
        <w:t>Common Agricultural Policy (CAP) account for</w:t>
      </w:r>
      <w:r w:rsidRPr="57F8CA25">
        <w:rPr>
          <w:noProof/>
        </w:rPr>
        <w:t xml:space="preserve"> more than half of the estimated payments stemming from the 2021-2027 MFF</w:t>
      </w:r>
      <w:r w:rsidRPr="00692170">
        <w:rPr>
          <w:noProof/>
        </w:rPr>
        <w:t>. The long-term forecast is therefore largely driven by the forecast implementation of these two policies.</w:t>
      </w:r>
    </w:p>
    <w:p w14:paraId="5E423738" w14:textId="77777777" w:rsidR="00D66606" w:rsidRPr="00FE7A6F" w:rsidRDefault="00D66606" w:rsidP="009F63E4">
      <w:pPr>
        <w:pStyle w:val="amprH4Subhead1"/>
        <w:rPr>
          <w:noProof/>
        </w:rPr>
      </w:pPr>
      <w:r w:rsidRPr="00FE7A6F">
        <w:rPr>
          <w:noProof/>
        </w:rPr>
        <w:t>Heading 2a - Cohesion policy</w:t>
      </w:r>
    </w:p>
    <w:p w14:paraId="2D4D5103" w14:textId="3E0BEB89" w:rsidR="00D66606" w:rsidRPr="00976B91" w:rsidRDefault="00D66606" w:rsidP="00D66606">
      <w:pPr>
        <w:spacing w:after="120" w:line="276" w:lineRule="auto"/>
        <w:jc w:val="both"/>
        <w:rPr>
          <w:noProof/>
        </w:rPr>
      </w:pPr>
      <w:r>
        <w:rPr>
          <w:noProof/>
        </w:rPr>
        <w:t xml:space="preserve">The </w:t>
      </w:r>
      <w:r w:rsidRPr="007E5BEF">
        <w:rPr>
          <w:noProof/>
        </w:rPr>
        <w:t xml:space="preserve">payments forecast over 2023-2027 for the new cohesion policy programming stands at </w:t>
      </w:r>
      <w:r w:rsidR="009A3D1D" w:rsidRPr="00010355">
        <w:rPr>
          <w:noProof/>
        </w:rPr>
        <w:t>EUR 177</w:t>
      </w:r>
      <w:r w:rsidRPr="00010355">
        <w:rPr>
          <w:noProof/>
        </w:rPr>
        <w:t xml:space="preserve"> billion</w:t>
      </w:r>
      <w:r w:rsidRPr="007E5BEF">
        <w:rPr>
          <w:noProof/>
        </w:rPr>
        <w:t xml:space="preserve">, around </w:t>
      </w:r>
      <w:r w:rsidRPr="00010355">
        <w:rPr>
          <w:noProof/>
        </w:rPr>
        <w:t xml:space="preserve">EUR </w:t>
      </w:r>
      <w:r w:rsidR="009A3D1D" w:rsidRPr="00010355">
        <w:rPr>
          <w:noProof/>
        </w:rPr>
        <w:t>8</w:t>
      </w:r>
      <w:r w:rsidRPr="00010355">
        <w:rPr>
          <w:noProof/>
        </w:rPr>
        <w:t xml:space="preserve"> billion</w:t>
      </w:r>
      <w:r w:rsidRPr="007E5BEF">
        <w:rPr>
          <w:noProof/>
        </w:rPr>
        <w:t xml:space="preserve"> les</w:t>
      </w:r>
      <w:r>
        <w:rPr>
          <w:noProof/>
        </w:rPr>
        <w:t>s than in last year’s forecast. The more pronounced delays</w:t>
      </w:r>
      <w:r>
        <w:rPr>
          <w:rStyle w:val="EndnoteReference"/>
          <w:noProof/>
        </w:rPr>
        <w:endnoteReference w:id="14"/>
      </w:r>
      <w:r>
        <w:rPr>
          <w:noProof/>
        </w:rPr>
        <w:t xml:space="preserve"> in the launch of the 2021-2027 programming period will shape the payments over the remainder of the MFF. No national programme was adopted in </w:t>
      </w:r>
      <w:r w:rsidR="00F81488">
        <w:rPr>
          <w:noProof/>
        </w:rPr>
        <w:t>2021</w:t>
      </w:r>
      <w:r>
        <w:rPr>
          <w:noProof/>
        </w:rPr>
        <w:t xml:space="preserve">, with all expected </w:t>
      </w:r>
      <w:r w:rsidR="00F81488">
        <w:rPr>
          <w:noProof/>
        </w:rPr>
        <w:t xml:space="preserve">to be approved </w:t>
      </w:r>
      <w:r>
        <w:rPr>
          <w:noProof/>
        </w:rPr>
        <w:t xml:space="preserve">by the end of 2022. The COVID-19 pandemic and the need to integrate the recovery initiatives into the legislative package under negotiation in the course of 2020 led to a later adoption of the relevant legal acts, which largely explains the observed delays. Moreover, national authorities’ focus on implementing NextGenerationEU may also </w:t>
      </w:r>
      <w:r w:rsidR="00F81488">
        <w:rPr>
          <w:noProof/>
        </w:rPr>
        <w:t xml:space="preserve">have </w:t>
      </w:r>
      <w:r>
        <w:rPr>
          <w:noProof/>
        </w:rPr>
        <w:t>play</w:t>
      </w:r>
      <w:r w:rsidR="00F81488">
        <w:rPr>
          <w:noProof/>
        </w:rPr>
        <w:t>ed</w:t>
      </w:r>
      <w:r>
        <w:rPr>
          <w:noProof/>
        </w:rPr>
        <w:t xml:space="preserve"> a role. The technical assumption for th</w:t>
      </w:r>
      <w:r w:rsidR="00F81488">
        <w:rPr>
          <w:noProof/>
        </w:rPr>
        <w:t>is</w:t>
      </w:r>
      <w:r>
        <w:rPr>
          <w:noProof/>
        </w:rPr>
        <w:t xml:space="preserve"> forecast is that as of 2024 Member States will start to partially recuperate the delays accumulated over 2021-2023 and will reach a speed of implementation comparable to the 2014-2020 period towards the last years of the MFF. This assumption </w:t>
      </w:r>
      <w:r w:rsidR="005E2AD3">
        <w:rPr>
          <w:noProof/>
        </w:rPr>
        <w:t xml:space="preserve">is made </w:t>
      </w:r>
      <w:r>
        <w:rPr>
          <w:noProof/>
        </w:rPr>
        <w:t>in a context of heightened uncertainty due to the current geopolitical and economic instability, as well as the absence of a relevant historical benchmark to project implementation</w:t>
      </w:r>
      <w:r w:rsidR="00347723">
        <w:rPr>
          <w:noProof/>
        </w:rPr>
        <w:t xml:space="preserve"> over the long-term</w:t>
      </w:r>
      <w:r>
        <w:rPr>
          <w:noProof/>
        </w:rPr>
        <w:t>.</w:t>
      </w:r>
    </w:p>
    <w:p w14:paraId="0A29A8A0" w14:textId="783B45E8" w:rsidR="00D66606" w:rsidRDefault="00D66606" w:rsidP="00D66606">
      <w:pPr>
        <w:spacing w:after="120" w:line="276" w:lineRule="auto"/>
        <w:jc w:val="both"/>
        <w:rPr>
          <w:noProof/>
        </w:rPr>
      </w:pPr>
      <w:r>
        <w:rPr>
          <w:noProof/>
        </w:rPr>
        <w:t>There are upside and downside risks to this forecast. Member States may put extra efforts to accelerate implementation as of 2023 and the speed of implementation of the previous programming period could be reached earlier. Payment</w:t>
      </w:r>
      <w:r w:rsidR="00C15C76">
        <w:rPr>
          <w:noProof/>
        </w:rPr>
        <w:t>s</w:t>
      </w:r>
      <w:r>
        <w:rPr>
          <w:noProof/>
        </w:rPr>
        <w:t xml:space="preserve"> may also accelerate in relation to the REPowerEU</w:t>
      </w:r>
      <w:r w:rsidR="009E3DD5">
        <w:rPr>
          <w:rStyle w:val="EndnoteReference"/>
          <w:noProof/>
        </w:rPr>
        <w:endnoteReference w:id="15"/>
      </w:r>
      <w:r w:rsidR="009E3DD5">
        <w:rPr>
          <w:noProof/>
        </w:rPr>
        <w:t xml:space="preserve"> </w:t>
      </w:r>
      <w:r>
        <w:rPr>
          <w:noProof/>
        </w:rPr>
        <w:t>initiative</w:t>
      </w:r>
      <w:r w:rsidR="00C15C76">
        <w:rPr>
          <w:noProof/>
        </w:rPr>
        <w:t xml:space="preserve"> </w:t>
      </w:r>
      <w:r>
        <w:rPr>
          <w:noProof/>
        </w:rPr>
        <w:t xml:space="preserve">under which the Commission proposed that </w:t>
      </w:r>
      <w:r w:rsidRPr="00D37132">
        <w:rPr>
          <w:noProof/>
        </w:rPr>
        <w:t xml:space="preserve">Member States have the </w:t>
      </w:r>
      <w:r w:rsidR="000C3F0F">
        <w:rPr>
          <w:noProof/>
        </w:rPr>
        <w:t>possibility to transfer up to 12.5</w:t>
      </w:r>
      <w:r w:rsidRPr="00D37132">
        <w:rPr>
          <w:noProof/>
        </w:rPr>
        <w:t>% of their</w:t>
      </w:r>
      <w:r>
        <w:rPr>
          <w:noProof/>
        </w:rPr>
        <w:t xml:space="preserve"> cohesion</w:t>
      </w:r>
      <w:r w:rsidRPr="00D37132">
        <w:rPr>
          <w:noProof/>
        </w:rPr>
        <w:t xml:space="preserve"> allocation</w:t>
      </w:r>
      <w:r>
        <w:rPr>
          <w:noProof/>
        </w:rPr>
        <w:t xml:space="preserve">s to the </w:t>
      </w:r>
      <w:r w:rsidRPr="00D37132">
        <w:rPr>
          <w:noProof/>
        </w:rPr>
        <w:t>Recovery and Resilience Facility</w:t>
      </w:r>
      <w:r>
        <w:rPr>
          <w:noProof/>
        </w:rPr>
        <w:t xml:space="preserve"> (which is not reflected in the forecast)</w:t>
      </w:r>
      <w:r w:rsidR="00E84BA9">
        <w:rPr>
          <w:noProof/>
        </w:rPr>
        <w:t>, building on the already available 5% transfer possibility and adding 7.5% transfer possibility for REPowerEU objectives only</w:t>
      </w:r>
      <w:r>
        <w:rPr>
          <w:noProof/>
        </w:rPr>
        <w:t>. By contrast, if Member States do not undertake additional efforts, a one-year delay will persist. Consequently, this would delay payments and potentially lead to unprecedentedly high level of de-commitments due to the N+3 de-commitment rules.</w:t>
      </w:r>
    </w:p>
    <w:p w14:paraId="2657C08E" w14:textId="77777777" w:rsidR="00F81488" w:rsidRDefault="00F81488">
      <w:pPr>
        <w:rPr>
          <w:rStyle w:val="amprcharBoldBlue"/>
          <w:noProof/>
        </w:rPr>
      </w:pPr>
      <w:r>
        <w:rPr>
          <w:rStyle w:val="amprcharBoldBlue"/>
          <w:noProof/>
        </w:rPr>
        <w:br w:type="page"/>
      </w:r>
    </w:p>
    <w:p w14:paraId="7B36AF01" w14:textId="4B9AF1D8" w:rsidR="00D66606" w:rsidRDefault="00D66606" w:rsidP="00D66606">
      <w:pPr>
        <w:spacing w:after="120" w:line="276" w:lineRule="auto"/>
        <w:jc w:val="both"/>
        <w:rPr>
          <w:rStyle w:val="amprcharBoldBlue"/>
          <w:noProof/>
        </w:rPr>
      </w:pPr>
      <w:r w:rsidRPr="009F63E4">
        <w:rPr>
          <w:rStyle w:val="amprcharBoldBlue"/>
          <w:noProof/>
        </w:rPr>
        <w:t>Chart 3 - Payments forecast for Heading 2a (2021-2027 MFF</w:t>
      </w:r>
      <w:r w:rsidR="00F81488">
        <w:rPr>
          <w:rStyle w:val="amprcharBoldBlue"/>
          <w:noProof/>
        </w:rPr>
        <w:t xml:space="preserve"> commitments</w:t>
      </w:r>
      <w:r w:rsidRPr="009F63E4">
        <w:rPr>
          <w:rStyle w:val="amprcharBoldBlue"/>
          <w:noProof/>
        </w:rPr>
        <w:t xml:space="preserve">), and upside and downside </w:t>
      </w:r>
      <w:r w:rsidR="00F81488">
        <w:rPr>
          <w:rStyle w:val="amprcharBoldBlue"/>
          <w:noProof/>
        </w:rPr>
        <w:t>scenarios</w:t>
      </w:r>
      <w:r w:rsidR="00BD72ED">
        <w:rPr>
          <w:rStyle w:val="amprcharBoldBlue"/>
          <w:noProof/>
        </w:rPr>
        <w:t xml:space="preserve"> (in EUR billion)</w:t>
      </w:r>
    </w:p>
    <w:p w14:paraId="27A7CD94" w14:textId="422650A6" w:rsidR="00BD72ED" w:rsidRDefault="00BD72ED" w:rsidP="00D66606">
      <w:pPr>
        <w:spacing w:after="120" w:line="276" w:lineRule="auto"/>
        <w:jc w:val="both"/>
        <w:rPr>
          <w:rStyle w:val="amprcharBoldBlue"/>
          <w:noProof/>
        </w:rPr>
      </w:pPr>
      <w:r w:rsidRPr="007D38D2">
        <w:rPr>
          <w:rStyle w:val="amprcharBoldBlue"/>
          <w:noProof/>
          <w:lang w:eastAsia="en-GB"/>
        </w:rPr>
        <mc:AlternateContent>
          <mc:Choice Requires="wps">
            <w:drawing>
              <wp:anchor distT="45720" distB="45720" distL="114300" distR="114300" simplePos="0" relativeHeight="251660288" behindDoc="0" locked="0" layoutInCell="1" allowOverlap="1" wp14:anchorId="12750163" wp14:editId="6EAD5191">
                <wp:simplePos x="0" y="0"/>
                <wp:positionH relativeFrom="column">
                  <wp:posOffset>2481700</wp:posOffset>
                </wp:positionH>
                <wp:positionV relativeFrom="paragraph">
                  <wp:posOffset>1239091</wp:posOffset>
                </wp:positionV>
                <wp:extent cx="1367481" cy="650789"/>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481" cy="650789"/>
                        </a:xfrm>
                        <a:prstGeom prst="rect">
                          <a:avLst/>
                        </a:prstGeom>
                        <a:noFill/>
                        <a:ln w="9525">
                          <a:noFill/>
                          <a:miter lim="800000"/>
                          <a:headEnd/>
                          <a:tailEnd/>
                        </a:ln>
                      </wps:spPr>
                      <wps:txbx>
                        <w:txbxContent>
                          <w:p w14:paraId="60D3C148" w14:textId="77777777" w:rsidR="00857477" w:rsidRDefault="00857477" w:rsidP="00A838A7">
                            <w:pPr>
                              <w:spacing w:before="0" w:after="0"/>
                              <w:jc w:val="center"/>
                              <w:rPr>
                                <w:b/>
                                <w:color w:val="C56829"/>
                                <w:lang w:val="en-IE"/>
                              </w:rPr>
                            </w:pPr>
                            <w:r w:rsidRPr="006B1167">
                              <w:rPr>
                                <w:b/>
                                <w:color w:val="C56829"/>
                                <w:lang w:val="en-IE"/>
                              </w:rPr>
                              <w:t xml:space="preserve">Forecast </w:t>
                            </w:r>
                          </w:p>
                          <w:p w14:paraId="162BAFB0" w14:textId="7D045F87" w:rsidR="00857477" w:rsidRPr="006B1167" w:rsidRDefault="00857477" w:rsidP="00A838A7">
                            <w:pPr>
                              <w:spacing w:before="0" w:after="0"/>
                              <w:jc w:val="center"/>
                              <w:rPr>
                                <w:b/>
                                <w:color w:val="C56829"/>
                                <w:lang w:val="en-IE"/>
                              </w:rPr>
                            </w:pPr>
                            <w:r w:rsidRPr="006B1167">
                              <w:rPr>
                                <w:b/>
                                <w:color w:val="C56829"/>
                                <w:lang w:val="en-IE"/>
                              </w:rPr>
                              <w:t>Payments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750163" id="_x0000_s1039" type="#_x0000_t202" style="position:absolute;left:0;text-align:left;margin-left:195.4pt;margin-top:97.55pt;width:107.7pt;height:5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" filled="f" stroked="f">
                <v:textbox>
                  <w:txbxContent>
                    <w:p w14:paraId="60D3C148" w14:textId="77777777" w:rsidR="00857477" w:rsidRDefault="00857477" w:rsidP="00A838A7">
                      <w:pPr>
                        <w:spacing w:before="0" w:after="0"/>
                        <w:jc w:val="center"/>
                        <w:rPr>
                          <w:b/>
                          <w:color w:val="C56829"/>
                          <w:lang w:val="en-IE"/>
                        </w:rPr>
                      </w:pPr>
                      <w:r w:rsidRPr="006B1167">
                        <w:rPr>
                          <w:b/>
                          <w:color w:val="C56829"/>
                          <w:lang w:val="en-IE"/>
                        </w:rPr>
                        <w:t xml:space="preserve">Forecast </w:t>
                      </w:r>
                    </w:p>
                    <w:p w14:paraId="162BAFB0" w14:textId="7D045F87" w:rsidR="00857477" w:rsidRPr="006B1167" w:rsidRDefault="00857477" w:rsidP="00A838A7">
                      <w:pPr>
                        <w:spacing w:before="0" w:after="0"/>
                        <w:jc w:val="center"/>
                        <w:rPr>
                          <w:b/>
                          <w:color w:val="C56829"/>
                          <w:lang w:val="en-IE"/>
                        </w:rPr>
                      </w:pPr>
                      <w:r w:rsidRPr="006B1167">
                        <w:rPr>
                          <w:b/>
                          <w:color w:val="C56829"/>
                          <w:lang w:val="en-IE"/>
                        </w:rPr>
                        <w:t>Payments</w:t>
                      </w:r>
                    </w:p>
                  </w:txbxContent>
                </v:textbox>
              </v:shape>
            </w:pict>
          </mc:Fallback>
        </mc:AlternateContent>
      </w:r>
      <w:r w:rsidRPr="007D38D2">
        <w:rPr>
          <w:rStyle w:val="amprcharBoldBlue"/>
          <w:noProof/>
          <w:lang w:eastAsia="en-GB"/>
        </w:rPr>
        <mc:AlternateContent>
          <mc:Choice Requires="wps">
            <w:drawing>
              <wp:anchor distT="45720" distB="45720" distL="114300" distR="114300" simplePos="0" relativeHeight="251666432" behindDoc="0" locked="0" layoutInCell="1" allowOverlap="1" wp14:anchorId="1ADB61C4" wp14:editId="0A1F0E68">
                <wp:simplePos x="0" y="0"/>
                <wp:positionH relativeFrom="column">
                  <wp:posOffset>3939146</wp:posOffset>
                </wp:positionH>
                <wp:positionV relativeFrom="paragraph">
                  <wp:posOffset>1675868</wp:posOffset>
                </wp:positionV>
                <wp:extent cx="1806112" cy="568411"/>
                <wp:effectExtent l="0" t="0" r="0" b="31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112" cy="568411"/>
                        </a:xfrm>
                        <a:prstGeom prst="rect">
                          <a:avLst/>
                        </a:prstGeom>
                        <a:noFill/>
                        <a:ln w="9525">
                          <a:noFill/>
                          <a:miter lim="800000"/>
                          <a:headEnd/>
                          <a:tailEnd/>
                        </a:ln>
                      </wps:spPr>
                      <wps:txbx>
                        <w:txbxContent>
                          <w:p w14:paraId="0A9C377E" w14:textId="62181478" w:rsidR="00857477" w:rsidRPr="00A838A7" w:rsidRDefault="00857477" w:rsidP="00A838A7">
                            <w:pPr>
                              <w:jc w:val="center"/>
                              <w:rPr>
                                <w:color w:val="215E94"/>
                                <w:lang w:val="en-IE"/>
                              </w:rPr>
                            </w:pPr>
                            <w:r w:rsidRPr="00A838A7">
                              <w:rPr>
                                <w:color w:val="215E94"/>
                                <w:lang w:val="en-IE"/>
                              </w:rPr>
                              <w:t>Downside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DB61C4" id="_x0000_s1040" type="#_x0000_t202" style="position:absolute;left:0;text-align:left;margin-left:310.15pt;margin-top:131.95pt;width:142.2pt;height:4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" filled="f" stroked="f">
                <v:textbox>
                  <w:txbxContent>
                    <w:p w14:paraId="0A9C377E" w14:textId="62181478" w:rsidR="00857477" w:rsidRPr="00A838A7" w:rsidRDefault="00857477" w:rsidP="00A838A7">
                      <w:pPr>
                        <w:jc w:val="center"/>
                        <w:rPr>
                          <w:color w:val="215E94"/>
                          <w:lang w:val="en-IE"/>
                        </w:rPr>
                      </w:pPr>
                      <w:r w:rsidRPr="00A838A7">
                        <w:rPr>
                          <w:color w:val="215E94"/>
                          <w:lang w:val="en-IE"/>
                        </w:rPr>
                        <w:t>Downside scenario</w:t>
                      </w:r>
                    </w:p>
                  </w:txbxContent>
                </v:textbox>
              </v:shape>
            </w:pict>
          </mc:Fallback>
        </mc:AlternateContent>
      </w:r>
      <w:r w:rsidRPr="007D38D2">
        <w:rPr>
          <w:rStyle w:val="amprcharBoldBlue"/>
          <w:noProof/>
          <w:lang w:eastAsia="en-GB"/>
        </w:rPr>
        <mc:AlternateContent>
          <mc:Choice Requires="wps">
            <w:drawing>
              <wp:anchor distT="45720" distB="45720" distL="114300" distR="114300" simplePos="0" relativeHeight="251662336" behindDoc="0" locked="0" layoutInCell="1" allowOverlap="1" wp14:anchorId="1936E9D2" wp14:editId="64786074">
                <wp:simplePos x="0" y="0"/>
                <wp:positionH relativeFrom="column">
                  <wp:posOffset>754723</wp:posOffset>
                </wp:positionH>
                <wp:positionV relativeFrom="paragraph">
                  <wp:posOffset>789357</wp:posOffset>
                </wp:positionV>
                <wp:extent cx="1806112" cy="568411"/>
                <wp:effectExtent l="0" t="0" r="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112" cy="568411"/>
                        </a:xfrm>
                        <a:prstGeom prst="rect">
                          <a:avLst/>
                        </a:prstGeom>
                        <a:noFill/>
                        <a:ln w="9525">
                          <a:noFill/>
                          <a:miter lim="800000"/>
                          <a:headEnd/>
                          <a:tailEnd/>
                        </a:ln>
                      </wps:spPr>
                      <wps:txbx>
                        <w:txbxContent>
                          <w:p w14:paraId="49E030EC" w14:textId="428B9C2D" w:rsidR="00857477" w:rsidRPr="00A838A7" w:rsidRDefault="00857477" w:rsidP="00A838A7">
                            <w:pPr>
                              <w:jc w:val="center"/>
                              <w:rPr>
                                <w:color w:val="215E94"/>
                                <w:lang w:val="en-IE"/>
                              </w:rPr>
                            </w:pPr>
                            <w:r w:rsidRPr="00A838A7">
                              <w:rPr>
                                <w:color w:val="215E94"/>
                                <w:lang w:val="en-IE"/>
                              </w:rPr>
                              <w:t>Upside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36E9D2" id="_x0000_s1041" type="#_x0000_t202" style="position:absolute;left:0;text-align:left;margin-left:59.45pt;margin-top:62.15pt;width:142.2pt;height:4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" filled="f" stroked="f">
                <v:textbox>
                  <w:txbxContent>
                    <w:p w14:paraId="49E030EC" w14:textId="428B9C2D" w:rsidR="00857477" w:rsidRPr="00A838A7" w:rsidRDefault="00857477" w:rsidP="00A838A7">
                      <w:pPr>
                        <w:jc w:val="center"/>
                        <w:rPr>
                          <w:color w:val="215E94"/>
                          <w:lang w:val="en-IE"/>
                        </w:rPr>
                      </w:pPr>
                      <w:r w:rsidRPr="00A838A7">
                        <w:rPr>
                          <w:color w:val="215E94"/>
                          <w:lang w:val="en-IE"/>
                        </w:rPr>
                        <w:t>Upside scenario</w:t>
                      </w:r>
                    </w:p>
                  </w:txbxContent>
                </v:textbox>
              </v:shape>
            </w:pict>
          </mc:Fallback>
        </mc:AlternateContent>
      </w:r>
      <w:r>
        <w:rPr>
          <w:rStyle w:val="amprcharBoldBlue"/>
          <w:noProof/>
          <w:lang w:eastAsia="en-GB"/>
        </w:rPr>
        <w:drawing>
          <wp:inline distT="0" distB="0" distL="0" distR="0" wp14:anchorId="1634C3CE" wp14:editId="79193693">
            <wp:extent cx="6066155" cy="2743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6155" cy="2743200"/>
                    </a:xfrm>
                    <a:prstGeom prst="rect">
                      <a:avLst/>
                    </a:prstGeom>
                    <a:noFill/>
                  </pic:spPr>
                </pic:pic>
              </a:graphicData>
            </a:graphic>
          </wp:inline>
        </w:drawing>
      </w:r>
    </w:p>
    <w:p w14:paraId="0F8D6E90" w14:textId="77777777" w:rsidR="00D66606" w:rsidRPr="00FE7A6F" w:rsidRDefault="00D66606" w:rsidP="009F63E4">
      <w:pPr>
        <w:pStyle w:val="amprH4Subhead1"/>
        <w:rPr>
          <w:noProof/>
        </w:rPr>
      </w:pPr>
      <w:r w:rsidRPr="00FE7A6F">
        <w:rPr>
          <w:noProof/>
        </w:rPr>
        <w:t>Heading 3 - Common Agricultural Policy (CAP)</w:t>
      </w:r>
    </w:p>
    <w:p w14:paraId="3FD74595" w14:textId="14A278D6" w:rsidR="00D66606" w:rsidRPr="0061541B" w:rsidRDefault="00D66606" w:rsidP="00D66606">
      <w:pPr>
        <w:spacing w:after="120" w:line="276" w:lineRule="auto"/>
        <w:jc w:val="both"/>
        <w:rPr>
          <w:noProof/>
        </w:rPr>
      </w:pPr>
      <w:r w:rsidRPr="77A9648A">
        <w:rPr>
          <w:noProof/>
        </w:rPr>
        <w:t>The payments</w:t>
      </w:r>
      <w:r w:rsidR="00F81488">
        <w:rPr>
          <w:noProof/>
        </w:rPr>
        <w:t xml:space="preserve"> forecast</w:t>
      </w:r>
      <w:r w:rsidRPr="77A9648A">
        <w:rPr>
          <w:noProof/>
        </w:rPr>
        <w:t xml:space="preserve"> for Pillar I of the CAP – EUR 208 billion over 2023-2027 – reflect the most recent financial programming and Member States</w:t>
      </w:r>
      <w:r w:rsidR="00F81488">
        <w:rPr>
          <w:noProof/>
        </w:rPr>
        <w:t>’</w:t>
      </w:r>
      <w:r w:rsidRPr="77A9648A">
        <w:rPr>
          <w:noProof/>
        </w:rPr>
        <w:t xml:space="preserve"> transfers between the two </w:t>
      </w:r>
      <w:r w:rsidR="00F81488">
        <w:rPr>
          <w:noProof/>
        </w:rPr>
        <w:t xml:space="preserve">CAP </w:t>
      </w:r>
      <w:r w:rsidRPr="77A9648A">
        <w:rPr>
          <w:noProof/>
        </w:rPr>
        <w:t>Pillars.</w:t>
      </w:r>
    </w:p>
    <w:p w14:paraId="4095329B" w14:textId="0F386C2F" w:rsidR="00D66606" w:rsidRDefault="00D66606" w:rsidP="00D66606">
      <w:pPr>
        <w:spacing w:after="120" w:line="276" w:lineRule="auto"/>
        <w:jc w:val="both"/>
        <w:rPr>
          <w:noProof/>
        </w:rPr>
      </w:pPr>
      <w:r>
        <w:rPr>
          <w:noProof/>
        </w:rPr>
        <w:t xml:space="preserve">Contrary to cohesion policy, there are no delays expected in the implementation of Pillar II – the European Agricultural Fund for Rural Development (EAFRD) – owing to the two-year transitional provisions, which extended the 2014-2020 programmes until 2022. Considering that all Member States have submitted their Strategic Plans for the new CAP, the effective implementation of the 2023-2027 programmes is expected to start already in 2023, one year earlier than assumed in the </w:t>
      </w:r>
      <w:r w:rsidR="00F81488">
        <w:rPr>
          <w:noProof/>
        </w:rPr>
        <w:t xml:space="preserve">June </w:t>
      </w:r>
      <w:r>
        <w:rPr>
          <w:noProof/>
        </w:rPr>
        <w:t>2021 forecast report.</w:t>
      </w:r>
    </w:p>
    <w:p w14:paraId="36C3371B" w14:textId="0C273DEB" w:rsidR="00D66606" w:rsidRDefault="00D66606" w:rsidP="00D66606">
      <w:pPr>
        <w:spacing w:after="120" w:line="276" w:lineRule="auto"/>
        <w:jc w:val="both"/>
        <w:rPr>
          <w:noProof/>
        </w:rPr>
      </w:pPr>
      <w:r>
        <w:rPr>
          <w:noProof/>
        </w:rPr>
        <w:t xml:space="preserve">The forecast of payments deriving from the 2021-2027 MFF also includes </w:t>
      </w:r>
      <w:r w:rsidR="00F81488">
        <w:rPr>
          <w:noProof/>
        </w:rPr>
        <w:t>payments</w:t>
      </w:r>
      <w:r>
        <w:rPr>
          <w:noProof/>
        </w:rPr>
        <w:t xml:space="preserve"> linked to the last two tranches (2021 and 2022) of the previous programming exercise. They are expected to be covered by payments until 2026 (see Point 2.2. Payments on pre-2021 commitments).</w:t>
      </w:r>
    </w:p>
    <w:p w14:paraId="7A25D5A1" w14:textId="22746C31" w:rsidR="00D66606" w:rsidRDefault="00D66606" w:rsidP="00D66606">
      <w:pPr>
        <w:spacing w:after="120" w:line="276" w:lineRule="auto"/>
        <w:jc w:val="both"/>
        <w:rPr>
          <w:noProof/>
        </w:rPr>
      </w:pPr>
      <w:r>
        <w:rPr>
          <w:noProof/>
        </w:rPr>
        <w:t xml:space="preserve">With the 2014-2022 </w:t>
      </w:r>
      <w:r w:rsidR="00F81488">
        <w:rPr>
          <w:noProof/>
        </w:rPr>
        <w:t>EAFRD</w:t>
      </w:r>
      <w:r w:rsidR="00347723">
        <w:rPr>
          <w:noProof/>
        </w:rPr>
        <w:t xml:space="preserve"> </w:t>
      </w:r>
      <w:r>
        <w:rPr>
          <w:noProof/>
        </w:rPr>
        <w:t xml:space="preserve">programmes running on track and the new CAP plans under approval, the implementation of the EAFRD is expected to run steadily. However, some annual deviations are </w:t>
      </w:r>
      <w:r w:rsidR="00F81488">
        <w:rPr>
          <w:noProof/>
        </w:rPr>
        <w:t>expected</w:t>
      </w:r>
      <w:r>
        <w:rPr>
          <w:noProof/>
        </w:rPr>
        <w:t xml:space="preserve"> over 2024-2027, with a particular concentration of payments in 2026 due to the overlap between the completion of the previous programmes (under N+3 de-commitment rule) and the quicker phasing in of the new ones (under N+2 de-commitment rule).</w:t>
      </w:r>
      <w:r w:rsidR="00347723">
        <w:rPr>
          <w:noProof/>
        </w:rPr>
        <w:t xml:space="preserve"> Furthermore, EAFRD payments may be accelerated in relation to the REPowerEU initiative, </w:t>
      </w:r>
      <w:r w:rsidR="00E11450">
        <w:rPr>
          <w:noProof/>
        </w:rPr>
        <w:t>similarly to the cohesion policy funds (see point above)</w:t>
      </w:r>
      <w:r w:rsidR="00347723">
        <w:rPr>
          <w:noProof/>
        </w:rPr>
        <w:t>.</w:t>
      </w:r>
    </w:p>
    <w:p w14:paraId="188184FD" w14:textId="77777777" w:rsidR="00D66606" w:rsidRPr="00FE7A6F" w:rsidRDefault="00D66606" w:rsidP="009F63E4">
      <w:pPr>
        <w:pStyle w:val="amprH4Subhead1"/>
        <w:rPr>
          <w:noProof/>
        </w:rPr>
      </w:pPr>
      <w:r w:rsidRPr="00FE7A6F">
        <w:rPr>
          <w:noProof/>
        </w:rPr>
        <w:t>Other programmes and headings</w:t>
      </w:r>
    </w:p>
    <w:p w14:paraId="3BD7AF5C" w14:textId="12F034D5" w:rsidR="00D66606" w:rsidRPr="0061541B" w:rsidRDefault="00D66606" w:rsidP="00D66606">
      <w:pPr>
        <w:spacing w:after="120" w:line="276" w:lineRule="auto"/>
        <w:jc w:val="both"/>
        <w:rPr>
          <w:noProof/>
        </w:rPr>
      </w:pPr>
      <w:r w:rsidRPr="77A9648A">
        <w:rPr>
          <w:noProof/>
        </w:rPr>
        <w:t xml:space="preserve">There is an increase in the </w:t>
      </w:r>
      <w:r w:rsidR="00F81488" w:rsidRPr="77A9648A">
        <w:rPr>
          <w:noProof/>
        </w:rPr>
        <w:t xml:space="preserve">payments </w:t>
      </w:r>
      <w:r w:rsidRPr="77A9648A">
        <w:rPr>
          <w:noProof/>
        </w:rPr>
        <w:t>forecast over the five-year period across all other headings</w:t>
      </w:r>
      <w:r>
        <w:rPr>
          <w:noProof/>
        </w:rPr>
        <w:t xml:space="preserve"> resulting from </w:t>
      </w:r>
      <w:r w:rsidRPr="77A9648A">
        <w:rPr>
          <w:noProof/>
        </w:rPr>
        <w:t>a combination of several factors:</w:t>
      </w:r>
    </w:p>
    <w:p w14:paraId="5C6F20E8" w14:textId="7A8C2F46" w:rsidR="00D66606" w:rsidRPr="0061541B" w:rsidRDefault="00D66606" w:rsidP="00D255FF">
      <w:pPr>
        <w:numPr>
          <w:ilvl w:val="0"/>
          <w:numId w:val="21"/>
        </w:numPr>
        <w:spacing w:before="0" w:after="120" w:line="276" w:lineRule="auto"/>
        <w:jc w:val="both"/>
        <w:rPr>
          <w:noProof/>
          <w:color w:val="000000" w:themeColor="text1"/>
        </w:rPr>
      </w:pPr>
      <w:r w:rsidRPr="77A9648A">
        <w:rPr>
          <w:noProof/>
        </w:rPr>
        <w:t>New initiatives such as the</w:t>
      </w:r>
      <w:r>
        <w:rPr>
          <w:noProof/>
        </w:rPr>
        <w:t xml:space="preserve"> Union Secure Connectivity</w:t>
      </w:r>
      <w:r w:rsidRPr="57F8CA25">
        <w:rPr>
          <w:rStyle w:val="EndnoteReference"/>
          <w:noProof/>
        </w:rPr>
        <w:endnoteReference w:id="16"/>
      </w:r>
      <w:r w:rsidR="00F81488">
        <w:rPr>
          <w:noProof/>
        </w:rPr>
        <w:t xml:space="preserve"> and the</w:t>
      </w:r>
      <w:r>
        <w:rPr>
          <w:noProof/>
        </w:rPr>
        <w:t xml:space="preserve"> European Chips Act</w:t>
      </w:r>
      <w:r w:rsidRPr="57F8CA25">
        <w:rPr>
          <w:rStyle w:val="EndnoteReference"/>
          <w:noProof/>
        </w:rPr>
        <w:endnoteReference w:id="17"/>
      </w:r>
      <w:r w:rsidRPr="77A9648A">
        <w:rPr>
          <w:noProof/>
        </w:rPr>
        <w:t xml:space="preserve"> </w:t>
      </w:r>
      <w:r w:rsidR="00F81488">
        <w:rPr>
          <w:noProof/>
        </w:rPr>
        <w:t xml:space="preserve">will </w:t>
      </w:r>
      <w:r w:rsidRPr="77A9648A">
        <w:rPr>
          <w:noProof/>
        </w:rPr>
        <w:t>frontload</w:t>
      </w:r>
      <w:r w:rsidR="00F81488">
        <w:rPr>
          <w:noProof/>
        </w:rPr>
        <w:t xml:space="preserve"> </w:t>
      </w:r>
      <w:r w:rsidRPr="77A9648A">
        <w:rPr>
          <w:noProof/>
        </w:rPr>
        <w:t>payments</w:t>
      </w:r>
      <w:r>
        <w:rPr>
          <w:noProof/>
        </w:rPr>
        <w:t>, most</w:t>
      </w:r>
      <w:r w:rsidR="00F81488">
        <w:rPr>
          <w:noProof/>
        </w:rPr>
        <w:t xml:space="preserve">ly </w:t>
      </w:r>
      <w:r w:rsidRPr="77A9648A">
        <w:rPr>
          <w:noProof/>
        </w:rPr>
        <w:t>under Heading 1.</w:t>
      </w:r>
    </w:p>
    <w:p w14:paraId="2E4E3EDF" w14:textId="156FC0F1" w:rsidR="00D66606" w:rsidRPr="0061541B" w:rsidRDefault="00D66606" w:rsidP="00D255FF">
      <w:pPr>
        <w:numPr>
          <w:ilvl w:val="0"/>
          <w:numId w:val="21"/>
        </w:numPr>
        <w:spacing w:before="0" w:after="120" w:line="276" w:lineRule="auto"/>
        <w:jc w:val="both"/>
        <w:rPr>
          <w:noProof/>
          <w:color w:val="000000" w:themeColor="text1"/>
        </w:rPr>
      </w:pPr>
      <w:r>
        <w:rPr>
          <w:noProof/>
        </w:rPr>
        <w:t xml:space="preserve">The </w:t>
      </w:r>
      <w:r w:rsidR="00F81488">
        <w:rPr>
          <w:noProof/>
        </w:rPr>
        <w:t>latest</w:t>
      </w:r>
      <w:r>
        <w:rPr>
          <w:noProof/>
        </w:rPr>
        <w:t xml:space="preserve"> geopolitical challenges presuppose an acceleration of payments of the programmes under Heading 4 - Migration and Border Management, Heading 5 - Security and Defence, and Heading 6 - Neighbourhood and the World.</w:t>
      </w:r>
    </w:p>
    <w:p w14:paraId="0ACEBBA5" w14:textId="2D1DDBFF" w:rsidR="00D66606" w:rsidRDefault="00D66606" w:rsidP="00EC52CB">
      <w:pPr>
        <w:numPr>
          <w:ilvl w:val="0"/>
          <w:numId w:val="21"/>
        </w:numPr>
        <w:spacing w:before="0" w:after="120" w:line="276" w:lineRule="auto"/>
        <w:jc w:val="both"/>
        <w:rPr>
          <w:noProof/>
        </w:rPr>
      </w:pPr>
      <w:r>
        <w:rPr>
          <w:noProof/>
        </w:rPr>
        <w:t>The delayed start of some programmes in 2021 will lead to a redistribution of payments in later years. The more substantial change with respect to last year’s forecast concerns the Brexit Adjustment Reserve for which the adopted legal act</w:t>
      </w:r>
      <w:r w:rsidR="00E11450">
        <w:rPr>
          <w:rStyle w:val="EndnoteReference"/>
          <w:noProof/>
        </w:rPr>
        <w:endnoteReference w:id="18"/>
      </w:r>
      <w:r w:rsidR="00200D15">
        <w:rPr>
          <w:noProof/>
        </w:rPr>
        <w:t>provides for</w:t>
      </w:r>
      <w:r>
        <w:rPr>
          <w:noProof/>
        </w:rPr>
        <w:t xml:space="preserve"> a more even distribution of payments across the years compared to the Commission proposal for a large pre-financing instalment, which underpinned last year’s forecast.</w:t>
      </w:r>
    </w:p>
    <w:p w14:paraId="3801591F" w14:textId="028E15BB" w:rsidR="00D66606" w:rsidRPr="009F63E4" w:rsidRDefault="00D66606" w:rsidP="009F63E4">
      <w:pPr>
        <w:pStyle w:val="amprH3Title2-Numbered-11"/>
        <w:rPr>
          <w:noProof/>
        </w:rPr>
      </w:pPr>
      <w:bookmarkStart w:id="12" w:name="_Toc74213162"/>
      <w:bookmarkStart w:id="13" w:name="_Toc105504506"/>
      <w:bookmarkEnd w:id="12"/>
      <w:r w:rsidRPr="009F63E4">
        <w:rPr>
          <w:noProof/>
        </w:rPr>
        <w:t>Payments for the completion of pre-2021 commitments</w:t>
      </w:r>
      <w:bookmarkEnd w:id="13"/>
    </w:p>
    <w:p w14:paraId="26C4CC3C" w14:textId="6CC74D05" w:rsidR="00D66606" w:rsidRPr="00DB241A" w:rsidRDefault="00D66606" w:rsidP="00D66606">
      <w:pPr>
        <w:spacing w:after="120" w:line="276" w:lineRule="auto"/>
        <w:jc w:val="both"/>
        <w:rPr>
          <w:noProof/>
        </w:rPr>
      </w:pPr>
      <w:r>
        <w:rPr>
          <w:noProof/>
        </w:rPr>
        <w:t xml:space="preserve">The forecast for payments for the completion of pre-2021 commitments (RAL for </w:t>
      </w:r>
      <w:r w:rsidRPr="57F8CA25">
        <w:rPr>
          <w:i/>
          <w:iCs/>
          <w:noProof/>
        </w:rPr>
        <w:t>reste à liquider</w:t>
      </w:r>
      <w:r>
        <w:rPr>
          <w:noProof/>
        </w:rPr>
        <w:t xml:space="preserve">) is updated to take into account payments made in 2021 and planned in the </w:t>
      </w:r>
      <w:r w:rsidRPr="007E5BEF">
        <w:rPr>
          <w:noProof/>
        </w:rPr>
        <w:t xml:space="preserve">2022 budget. </w:t>
      </w:r>
      <w:r w:rsidR="00F81488" w:rsidRPr="007E5BEF">
        <w:rPr>
          <w:noProof/>
        </w:rPr>
        <w:t>T</w:t>
      </w:r>
      <w:r w:rsidRPr="007E5BEF">
        <w:rPr>
          <w:noProof/>
        </w:rPr>
        <w:t xml:space="preserve">he forecast of </w:t>
      </w:r>
      <w:r w:rsidRPr="00010355">
        <w:rPr>
          <w:noProof/>
        </w:rPr>
        <w:t>EUR 110 billion</w:t>
      </w:r>
      <w:r>
        <w:rPr>
          <w:noProof/>
        </w:rPr>
        <w:t xml:space="preserve"> for the next five years is </w:t>
      </w:r>
      <w:r w:rsidR="009A3D1D">
        <w:rPr>
          <w:noProof/>
        </w:rPr>
        <w:t xml:space="preserve">largely </w:t>
      </w:r>
      <w:r>
        <w:rPr>
          <w:noProof/>
        </w:rPr>
        <w:t>in line with last year</w:t>
      </w:r>
      <w:r w:rsidR="00F81488">
        <w:rPr>
          <w:noProof/>
        </w:rPr>
        <w:t>’s forecast</w:t>
      </w:r>
      <w:r>
        <w:rPr>
          <w:noProof/>
        </w:rPr>
        <w:t xml:space="preserve"> with certain annual differences.</w:t>
      </w:r>
    </w:p>
    <w:p w14:paraId="66DBE8B2" w14:textId="77777777" w:rsidR="00D66606" w:rsidRPr="00FE7A6F" w:rsidRDefault="00D66606" w:rsidP="009F63E4">
      <w:pPr>
        <w:pStyle w:val="amprH4Subhead1"/>
        <w:rPr>
          <w:noProof/>
        </w:rPr>
      </w:pPr>
      <w:r w:rsidRPr="00FE7A6F">
        <w:rPr>
          <w:noProof/>
        </w:rPr>
        <w:t>Heading 2a - Cohesion policy</w:t>
      </w:r>
    </w:p>
    <w:p w14:paraId="1D7AD8C5" w14:textId="77777777" w:rsidR="00D66606" w:rsidRPr="0030653F" w:rsidRDefault="00D66606" w:rsidP="00D66606">
      <w:pPr>
        <w:spacing w:after="120" w:line="276" w:lineRule="auto"/>
        <w:jc w:val="both"/>
        <w:rPr>
          <w:noProof/>
        </w:rPr>
      </w:pPr>
      <w:r>
        <w:rPr>
          <w:noProof/>
        </w:rPr>
        <w:t xml:space="preserve">Most payments on pre-2021 </w:t>
      </w:r>
      <w:r w:rsidRPr="007E5BEF">
        <w:rPr>
          <w:noProof/>
        </w:rPr>
        <w:t>commitments (</w:t>
      </w:r>
      <w:r w:rsidRPr="00010355">
        <w:rPr>
          <w:noProof/>
        </w:rPr>
        <w:t>58%</w:t>
      </w:r>
      <w:r w:rsidRPr="007E5BEF">
        <w:rPr>
          <w:noProof/>
        </w:rPr>
        <w:t>) relate</w:t>
      </w:r>
      <w:r>
        <w:rPr>
          <w:noProof/>
        </w:rPr>
        <w:t xml:space="preserve"> to the previous programming period of the cohesion policy funds, which is running at full speed. The payment projections are based on the latest Member States’ forecast (January 2022) and recent information for the implementation on the ground. With the </w:t>
      </w:r>
      <w:r w:rsidRPr="00EB4CBA">
        <w:rPr>
          <w:noProof/>
        </w:rPr>
        <w:t>Cohesion’s Action for Refugees in Europe (CARE)</w:t>
      </w:r>
      <w:r>
        <w:rPr>
          <w:noProof/>
        </w:rPr>
        <w:t>, proposed by the Commission on 8 March 2022</w:t>
      </w:r>
      <w:r>
        <w:rPr>
          <w:rStyle w:val="EndnoteReference"/>
          <w:noProof/>
        </w:rPr>
        <w:endnoteReference w:id="19"/>
      </w:r>
      <w:r>
        <w:rPr>
          <w:noProof/>
        </w:rPr>
        <w:t>, Member States will be able to speed up the deployment of all non-programmed funding under the 2014-2020 period, frontloading payment to 2022 and 2023. Compared to last year’s report, this translates into a reduction of the payments’ forecast in 2024.</w:t>
      </w:r>
    </w:p>
    <w:p w14:paraId="0CDACAD2" w14:textId="77777777" w:rsidR="00D66606" w:rsidRPr="0030653F" w:rsidRDefault="00D66606" w:rsidP="00D66606">
      <w:pPr>
        <w:spacing w:after="120" w:line="276" w:lineRule="auto"/>
        <w:jc w:val="both"/>
        <w:rPr>
          <w:noProof/>
        </w:rPr>
      </w:pPr>
      <w:r>
        <w:rPr>
          <w:noProof/>
        </w:rPr>
        <w:t>The last accounting year for the European Structural and Investment (ESI) funds ends in June 2024, but most payments are projected by end-2023. For the closure, considering the retention rate and pre-financing clearance, payments are expected to be limited after 2024.</w:t>
      </w:r>
    </w:p>
    <w:p w14:paraId="40A3982E" w14:textId="77777777" w:rsidR="00D66606" w:rsidRPr="00FE7A6F" w:rsidRDefault="00D66606" w:rsidP="009F63E4">
      <w:pPr>
        <w:pStyle w:val="amprH4Subhead1"/>
        <w:rPr>
          <w:noProof/>
        </w:rPr>
      </w:pPr>
      <w:r w:rsidRPr="00FE7A6F">
        <w:rPr>
          <w:noProof/>
        </w:rPr>
        <w:t xml:space="preserve">Heading 3 </w:t>
      </w:r>
      <w:r>
        <w:rPr>
          <w:noProof/>
        </w:rPr>
        <w:t xml:space="preserve">- Common Agricultural Policy </w:t>
      </w:r>
    </w:p>
    <w:p w14:paraId="5F11F7E6" w14:textId="77777777" w:rsidR="00D66606" w:rsidRPr="009713AE" w:rsidRDefault="00D66606" w:rsidP="00D66606">
      <w:pPr>
        <w:spacing w:after="120" w:line="276" w:lineRule="auto"/>
        <w:jc w:val="both"/>
        <w:rPr>
          <w:noProof/>
        </w:rPr>
      </w:pPr>
      <w:r>
        <w:rPr>
          <w:noProof/>
        </w:rPr>
        <w:t>The expected completion of the 2014-2022 operational programmes is broadly in line with last year’s forecast. It includes, however, a novel element, which is the impact of the recently proposed</w:t>
      </w:r>
      <w:r>
        <w:rPr>
          <w:rStyle w:val="EndnoteReference"/>
          <w:noProof/>
        </w:rPr>
        <w:endnoteReference w:id="20"/>
      </w:r>
      <w:r>
        <w:rPr>
          <w:noProof/>
        </w:rPr>
        <w:t xml:space="preserve"> lump-sum payments to farmers and SMEs in the food-processing sector. Consequently, this frontloads payments by EUR 450 million from 2024-2025 to 2023.</w:t>
      </w:r>
    </w:p>
    <w:p w14:paraId="4F600E91" w14:textId="77777777" w:rsidR="00D66606" w:rsidRPr="00FE7A6F" w:rsidRDefault="00D66606" w:rsidP="009F63E4">
      <w:pPr>
        <w:pStyle w:val="amprH4Subhead1"/>
        <w:rPr>
          <w:noProof/>
        </w:rPr>
      </w:pPr>
      <w:r w:rsidRPr="00FE7A6F">
        <w:rPr>
          <w:noProof/>
        </w:rPr>
        <w:t>Other programmes and headings</w:t>
      </w:r>
    </w:p>
    <w:p w14:paraId="331BAC9D" w14:textId="3B6493D1" w:rsidR="00D66606" w:rsidRPr="0061541B" w:rsidRDefault="00D66606" w:rsidP="00D66606">
      <w:pPr>
        <w:spacing w:after="120" w:line="276" w:lineRule="auto"/>
        <w:jc w:val="both"/>
        <w:rPr>
          <w:noProof/>
        </w:rPr>
      </w:pPr>
      <w:r w:rsidRPr="77A9648A">
        <w:rPr>
          <w:noProof/>
        </w:rPr>
        <w:t xml:space="preserve">The vast majority (84%) of outstanding payments for the remaining parts of the budget </w:t>
      </w:r>
      <w:r w:rsidR="005C74B8">
        <w:rPr>
          <w:noProof/>
        </w:rPr>
        <w:t>is</w:t>
      </w:r>
      <w:r w:rsidR="005C74B8" w:rsidRPr="77A9648A">
        <w:rPr>
          <w:noProof/>
        </w:rPr>
        <w:t xml:space="preserve"> </w:t>
      </w:r>
      <w:r w:rsidRPr="77A9648A">
        <w:rPr>
          <w:noProof/>
        </w:rPr>
        <w:t>almost evenly spread between Headings 1</w:t>
      </w:r>
      <w:r>
        <w:rPr>
          <w:noProof/>
        </w:rPr>
        <w:t xml:space="preserve"> - </w:t>
      </w:r>
      <w:r w:rsidRPr="77A9648A">
        <w:rPr>
          <w:noProof/>
        </w:rPr>
        <w:t>Single Market, Inno</w:t>
      </w:r>
      <w:r>
        <w:rPr>
          <w:noProof/>
        </w:rPr>
        <w:t xml:space="preserve">vation and Digital and Heading 6 - </w:t>
      </w:r>
      <w:r w:rsidRPr="77A9648A">
        <w:rPr>
          <w:noProof/>
        </w:rPr>
        <w:t>Neighbourhood and the World. While completion activities under Heading 1 are now expected earlier than previous estimations, the updated expectations for projects under Heading 6 are more backloaded towards 2025-2026.</w:t>
      </w:r>
    </w:p>
    <w:p w14:paraId="47B9D801" w14:textId="4B4DFA1F" w:rsidR="00D66606" w:rsidRPr="007E3223" w:rsidRDefault="00D66606" w:rsidP="009F63E4">
      <w:pPr>
        <w:pStyle w:val="amprH3Title2-Numbered-11"/>
        <w:rPr>
          <w:noProof/>
        </w:rPr>
      </w:pPr>
      <w:bookmarkStart w:id="14" w:name="_Toc71370937"/>
      <w:bookmarkStart w:id="15" w:name="_Toc71377349"/>
      <w:bookmarkStart w:id="16" w:name="_Toc71392500"/>
      <w:bookmarkStart w:id="17" w:name="_Toc71399666"/>
      <w:bookmarkStart w:id="18" w:name="_Toc71454330"/>
      <w:bookmarkStart w:id="19" w:name="_Toc71462280"/>
      <w:bookmarkStart w:id="20" w:name="_Toc71462312"/>
      <w:bookmarkStart w:id="21" w:name="_Toc71370938"/>
      <w:bookmarkStart w:id="22" w:name="_Toc71377350"/>
      <w:bookmarkStart w:id="23" w:name="_Toc71392501"/>
      <w:bookmarkStart w:id="24" w:name="_Toc71399667"/>
      <w:bookmarkStart w:id="25" w:name="_Toc71454331"/>
      <w:bookmarkStart w:id="26" w:name="_Toc71462281"/>
      <w:bookmarkStart w:id="27" w:name="_Toc71462313"/>
      <w:bookmarkStart w:id="28" w:name="_Toc71370939"/>
      <w:bookmarkStart w:id="29" w:name="_Toc71377351"/>
      <w:bookmarkStart w:id="30" w:name="_Toc71392502"/>
      <w:bookmarkStart w:id="31" w:name="_Toc71399668"/>
      <w:bookmarkStart w:id="32" w:name="_Toc71454332"/>
      <w:bookmarkStart w:id="33" w:name="_Toc71462282"/>
      <w:bookmarkStart w:id="34" w:name="_Toc71462314"/>
      <w:bookmarkStart w:id="35" w:name="_Toc71224921"/>
      <w:bookmarkStart w:id="36" w:name="_Toc71226625"/>
      <w:bookmarkStart w:id="37" w:name="_Toc71232395"/>
      <w:bookmarkStart w:id="38" w:name="_Toc71370940"/>
      <w:bookmarkStart w:id="39" w:name="_Toc71377352"/>
      <w:bookmarkStart w:id="40" w:name="_Toc71392503"/>
      <w:bookmarkStart w:id="41" w:name="_Toc71399669"/>
      <w:bookmarkStart w:id="42" w:name="_Toc71454333"/>
      <w:bookmarkStart w:id="43" w:name="_Toc71462283"/>
      <w:bookmarkStart w:id="44" w:name="_Toc71462315"/>
      <w:bookmarkStart w:id="45" w:name="_Toc71224922"/>
      <w:bookmarkStart w:id="46" w:name="_Toc71226626"/>
      <w:bookmarkStart w:id="47" w:name="_Toc71232396"/>
      <w:bookmarkStart w:id="48" w:name="_Toc71370941"/>
      <w:bookmarkStart w:id="49" w:name="_Toc71377353"/>
      <w:bookmarkStart w:id="50" w:name="_Toc71392504"/>
      <w:bookmarkStart w:id="51" w:name="_Toc71399670"/>
      <w:bookmarkStart w:id="52" w:name="_Toc71454334"/>
      <w:bookmarkStart w:id="53" w:name="_Toc71462284"/>
      <w:bookmarkStart w:id="54" w:name="_Toc71462316"/>
      <w:bookmarkStart w:id="55" w:name="_Toc524523063"/>
      <w:bookmarkStart w:id="56" w:name="_Toc10550450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7E3223">
        <w:rPr>
          <w:noProof/>
        </w:rPr>
        <w:t>De-commitments</w:t>
      </w:r>
      <w:bookmarkEnd w:id="55"/>
      <w:bookmarkEnd w:id="56"/>
    </w:p>
    <w:p w14:paraId="3FA07774" w14:textId="73E47FFB" w:rsidR="00D66606" w:rsidRPr="00B74430" w:rsidRDefault="00D66606" w:rsidP="00D66606">
      <w:pPr>
        <w:spacing w:after="120" w:line="276" w:lineRule="auto"/>
        <w:jc w:val="both"/>
        <w:rPr>
          <w:noProof/>
        </w:rPr>
      </w:pPr>
      <w:r>
        <w:rPr>
          <w:noProof/>
        </w:rPr>
        <w:t xml:space="preserve">The overall de-commitments’ forecast over 2023-2027 stands at </w:t>
      </w:r>
      <w:r w:rsidRPr="00010355">
        <w:rPr>
          <w:noProof/>
        </w:rPr>
        <w:t xml:space="preserve">EUR </w:t>
      </w:r>
      <w:r w:rsidR="00DC09E1" w:rsidRPr="00010355">
        <w:rPr>
          <w:noProof/>
        </w:rPr>
        <w:t>7.6</w:t>
      </w:r>
      <w:r w:rsidRPr="00010355">
        <w:rPr>
          <w:noProof/>
        </w:rPr>
        <w:t xml:space="preserve"> billion</w:t>
      </w:r>
      <w:r w:rsidRPr="007E5BEF">
        <w:rPr>
          <w:noProof/>
        </w:rPr>
        <w:t>, which</w:t>
      </w:r>
      <w:r>
        <w:rPr>
          <w:noProof/>
        </w:rPr>
        <w:t xml:space="preserve"> is</w:t>
      </w:r>
      <w:r w:rsidR="006055D7">
        <w:rPr>
          <w:noProof/>
        </w:rPr>
        <w:t xml:space="preserve"> a slight reduction compared to </w:t>
      </w:r>
      <w:r>
        <w:rPr>
          <w:noProof/>
        </w:rPr>
        <w:t xml:space="preserve">last year’s forecast </w:t>
      </w:r>
      <w:r w:rsidR="00DC09E1">
        <w:rPr>
          <w:noProof/>
        </w:rPr>
        <w:t>of EUR 8.4 billion</w:t>
      </w:r>
      <w:r>
        <w:rPr>
          <w:noProof/>
        </w:rPr>
        <w:t xml:space="preserve">. However, there are some notable </w:t>
      </w:r>
      <w:r w:rsidR="00DC09E1">
        <w:rPr>
          <w:noProof/>
        </w:rPr>
        <w:t>changes</w:t>
      </w:r>
      <w:r>
        <w:rPr>
          <w:noProof/>
        </w:rPr>
        <w:t>.</w:t>
      </w:r>
    </w:p>
    <w:p w14:paraId="0A1375DC" w14:textId="77777777" w:rsidR="00D66606" w:rsidRPr="00B74430" w:rsidRDefault="00D66606" w:rsidP="009F63E4">
      <w:pPr>
        <w:pStyle w:val="amprH4Subhead1"/>
        <w:rPr>
          <w:noProof/>
        </w:rPr>
      </w:pPr>
      <w:r w:rsidRPr="00B74430">
        <w:rPr>
          <w:noProof/>
        </w:rPr>
        <w:t>Heading 2a - Cohesion policy</w:t>
      </w:r>
    </w:p>
    <w:p w14:paraId="279D2ECC" w14:textId="703110B5" w:rsidR="00D66606" w:rsidRDefault="00D66606" w:rsidP="00D66606">
      <w:pPr>
        <w:spacing w:after="120" w:line="276" w:lineRule="auto"/>
        <w:jc w:val="both"/>
        <w:rPr>
          <w:noProof/>
        </w:rPr>
      </w:pPr>
      <w:r>
        <w:rPr>
          <w:noProof/>
        </w:rPr>
        <w:t>There is a considerable reduction in the de</w:t>
      </w:r>
      <w:r w:rsidR="009A3D1D">
        <w:rPr>
          <w:noProof/>
        </w:rPr>
        <w:t>-</w:t>
      </w:r>
      <w:r>
        <w:rPr>
          <w:noProof/>
        </w:rPr>
        <w:t xml:space="preserve">commitments concerning the completion of the previous programmes under the ESI funds from EUR 3.7 billion down to </w:t>
      </w:r>
      <w:r w:rsidRPr="00010355">
        <w:rPr>
          <w:noProof/>
        </w:rPr>
        <w:t>EUR 0.4 billion</w:t>
      </w:r>
      <w:r w:rsidRPr="007E5BEF">
        <w:rPr>
          <w:noProof/>
        </w:rPr>
        <w:t>. This</w:t>
      </w:r>
      <w:r>
        <w:rPr>
          <w:noProof/>
        </w:rPr>
        <w:t xml:space="preserve"> is due to the 100% co-financing rate for the 2021-2022 accounting year under the CARE initiative, which will facilitate full absorption and minimise the risk of de-commitments during the closure process of the programmes.</w:t>
      </w:r>
    </w:p>
    <w:p w14:paraId="54191296" w14:textId="63F01483" w:rsidR="00D66606" w:rsidRPr="0030653F" w:rsidRDefault="009A3D1D" w:rsidP="00D66606">
      <w:pPr>
        <w:spacing w:after="120" w:line="276" w:lineRule="auto"/>
        <w:jc w:val="both"/>
        <w:rPr>
          <w:noProof/>
        </w:rPr>
      </w:pPr>
      <w:r>
        <w:rPr>
          <w:noProof/>
        </w:rPr>
        <w:t>There is some</w:t>
      </w:r>
      <w:r w:rsidR="00D66606">
        <w:rPr>
          <w:noProof/>
        </w:rPr>
        <w:t xml:space="preserve"> </w:t>
      </w:r>
      <w:r>
        <w:rPr>
          <w:noProof/>
        </w:rPr>
        <w:t>limited</w:t>
      </w:r>
      <w:r w:rsidR="00D66606">
        <w:rPr>
          <w:noProof/>
        </w:rPr>
        <w:t xml:space="preserve"> de-commitments’ risk in the new cohesion programmes from 2026 following the same technical assumptions used for the payment estimations. In the fifth year of the new programming period, the de-commitment targets for the commitments of 2022 and 2023 apply, yet the rate of submission of payment claims would still lag the historical pace due to the delays at the start of the programmes. The de-commitment risk could recede with sufficient acceleration in implementation in 2024. However, if no acceleration materialises, and the implementation speed remains close to the historical 2014-2020 rate</w:t>
      </w:r>
      <w:r w:rsidR="00E11450">
        <w:rPr>
          <w:noProof/>
        </w:rPr>
        <w:t>s</w:t>
      </w:r>
      <w:r w:rsidR="00D66606">
        <w:rPr>
          <w:noProof/>
        </w:rPr>
        <w:t xml:space="preserve"> (including the one-year delay), the risk of de-commitment would increase exponentially. In this </w:t>
      </w:r>
      <w:r w:rsidR="00DC09E1">
        <w:rPr>
          <w:noProof/>
        </w:rPr>
        <w:t>extreme</w:t>
      </w:r>
      <w:r w:rsidR="00D66606">
        <w:rPr>
          <w:noProof/>
        </w:rPr>
        <w:t xml:space="preserve"> scenario, which excludes any significant catching up of the delay in the programming start, a large part of the re-programmed 2021 tranche could be effectively lost.</w:t>
      </w:r>
      <w:r w:rsidR="00D66606" w:rsidRPr="57F8CA25">
        <w:rPr>
          <w:noProof/>
        </w:rPr>
        <w:t xml:space="preserve"> </w:t>
      </w:r>
    </w:p>
    <w:p w14:paraId="60EAF376" w14:textId="77777777" w:rsidR="00D66606" w:rsidRPr="00B74430" w:rsidRDefault="00D66606" w:rsidP="009F63E4">
      <w:pPr>
        <w:pStyle w:val="amprH4Subhead1"/>
        <w:rPr>
          <w:noProof/>
        </w:rPr>
      </w:pPr>
      <w:r w:rsidRPr="00B74430">
        <w:rPr>
          <w:noProof/>
        </w:rPr>
        <w:t>Heading 3 - Common Agricultural Policy</w:t>
      </w:r>
    </w:p>
    <w:p w14:paraId="308AD015" w14:textId="4091CB1C" w:rsidR="00D66606" w:rsidRPr="00B74430" w:rsidRDefault="00D66606" w:rsidP="00D66606">
      <w:pPr>
        <w:spacing w:after="120" w:line="276" w:lineRule="auto"/>
        <w:jc w:val="both"/>
        <w:rPr>
          <w:noProof/>
        </w:rPr>
      </w:pPr>
      <w:r>
        <w:rPr>
          <w:noProof/>
        </w:rPr>
        <w:t xml:space="preserve">Nearly two thirds of the de-commitments forecast under MFF Heading 3 relate to the EAFRD. The forecast for the closure of the 2014-2022 EAFRD programmes </w:t>
      </w:r>
      <w:r w:rsidR="00112841">
        <w:rPr>
          <w:noProof/>
        </w:rPr>
        <w:t xml:space="preserve">continues to be built on the assumption </w:t>
      </w:r>
      <w:r w:rsidR="00791D78">
        <w:rPr>
          <w:noProof/>
        </w:rPr>
        <w:t>that</w:t>
      </w:r>
      <w:r>
        <w:rPr>
          <w:noProof/>
        </w:rPr>
        <w:t xml:space="preserve"> </w:t>
      </w:r>
      <w:r w:rsidR="00791D78">
        <w:rPr>
          <w:noProof/>
        </w:rPr>
        <w:t xml:space="preserve">there will be improvement compared to </w:t>
      </w:r>
      <w:r>
        <w:rPr>
          <w:noProof/>
        </w:rPr>
        <w:t>the 2007-2013 period. The overall result is lower than the 2021 forecast considering the impact from the novel lump-sum payments</w:t>
      </w:r>
      <w:r w:rsidR="00112841">
        <w:rPr>
          <w:noProof/>
        </w:rPr>
        <w:t xml:space="preserve"> for farmers and SMEs</w:t>
      </w:r>
      <w:r>
        <w:rPr>
          <w:noProof/>
        </w:rPr>
        <w:t xml:space="preserve"> in the food-processing sector. The 2014-2022 EAFRD de-commitments are </w:t>
      </w:r>
      <w:r w:rsidR="00112841">
        <w:rPr>
          <w:noProof/>
        </w:rPr>
        <w:t xml:space="preserve">forecast </w:t>
      </w:r>
      <w:r>
        <w:rPr>
          <w:noProof/>
        </w:rPr>
        <w:t xml:space="preserve">to materialise towards 2026 during the closure process. De-commitments against the 2023-2027 CAP Strategic Plans are not expected before their closure (i.e. towards 2029-2030), and are not covered by this report. </w:t>
      </w:r>
    </w:p>
    <w:p w14:paraId="585D83C7" w14:textId="77777777" w:rsidR="00D66606" w:rsidRPr="00B74430" w:rsidRDefault="00D66606" w:rsidP="009F63E4">
      <w:pPr>
        <w:pStyle w:val="amprH4Subhead1"/>
        <w:rPr>
          <w:noProof/>
        </w:rPr>
      </w:pPr>
      <w:r w:rsidRPr="00B74430">
        <w:rPr>
          <w:noProof/>
        </w:rPr>
        <w:t>Other programmes and headings</w:t>
      </w:r>
    </w:p>
    <w:p w14:paraId="16955471" w14:textId="335ECF1A" w:rsidR="00D66606" w:rsidRPr="00010F1C" w:rsidRDefault="00D66606" w:rsidP="00D66606">
      <w:pPr>
        <w:spacing w:after="120" w:line="276" w:lineRule="auto"/>
        <w:jc w:val="both"/>
        <w:rPr>
          <w:noProof/>
        </w:rPr>
      </w:pPr>
      <w:r>
        <w:rPr>
          <w:noProof/>
        </w:rPr>
        <w:t>For the programmes centrally managed by the Commission, the forecast of de-commitments is based on the most recent project-level information. As a novel element, a forecast for de-commitments against the new MFF programmes, using as a basis the historical de-commitment rates of the relevant predecessor programmes, is considered. The de-commitments are forecast for the entire period covered by the report. The exact year of de-commitment would depend on the closure process of individual projects and actions and cannot be forecast with precision.</w:t>
      </w:r>
    </w:p>
    <w:p w14:paraId="79D54325" w14:textId="77777777" w:rsidR="00D66606" w:rsidRPr="007E3223" w:rsidRDefault="00D66606" w:rsidP="009F63E4">
      <w:pPr>
        <w:pStyle w:val="amprH3Title2-Numbered-11"/>
        <w:rPr>
          <w:noProof/>
        </w:rPr>
      </w:pPr>
      <w:bookmarkStart w:id="57" w:name="_Toc524523066"/>
      <w:r w:rsidRPr="007E3223">
        <w:rPr>
          <w:noProof/>
        </w:rPr>
        <w:tab/>
      </w:r>
      <w:bookmarkStart w:id="58" w:name="_Toc105504508"/>
      <w:r w:rsidRPr="007E3223">
        <w:rPr>
          <w:noProof/>
        </w:rPr>
        <w:t>NextGenerationEU</w:t>
      </w:r>
      <w:bookmarkEnd w:id="58"/>
    </w:p>
    <w:p w14:paraId="057DE951" w14:textId="2B588B7A" w:rsidR="00D66606" w:rsidRPr="000B12C9" w:rsidRDefault="00D66606" w:rsidP="00D66606">
      <w:pPr>
        <w:spacing w:after="120" w:line="276" w:lineRule="auto"/>
        <w:jc w:val="both"/>
        <w:rPr>
          <w:noProof/>
        </w:rPr>
      </w:pPr>
      <w:r>
        <w:rPr>
          <w:noProof/>
        </w:rPr>
        <w:t xml:space="preserve">NextGenerationEU is a temporary emergency instrument for crisis response, recovery, and resilience measures. The non-repayable part of NextGenerationEU constitutes external assigned revenue and is used to </w:t>
      </w:r>
      <w:r w:rsidR="00DC09E1">
        <w:rPr>
          <w:noProof/>
        </w:rPr>
        <w:t xml:space="preserve">speedily </w:t>
      </w:r>
      <w:r>
        <w:rPr>
          <w:noProof/>
        </w:rPr>
        <w:t xml:space="preserve">support reform priorities and to reinforce a number of </w:t>
      </w:r>
      <w:r w:rsidR="00DC09E1">
        <w:rPr>
          <w:noProof/>
        </w:rPr>
        <w:t xml:space="preserve">key </w:t>
      </w:r>
      <w:r>
        <w:rPr>
          <w:noProof/>
        </w:rPr>
        <w:t xml:space="preserve">programmes </w:t>
      </w:r>
      <w:r w:rsidR="00DC09E1">
        <w:rPr>
          <w:noProof/>
        </w:rPr>
        <w:t>for the</w:t>
      </w:r>
      <w:r>
        <w:rPr>
          <w:noProof/>
        </w:rPr>
        <w:t xml:space="preserve"> recovery. To present the impact of NextGenerationEU in a transparent manner, the estimates of the expected implementation of the external assigned revenue are drawn separately for each programme (see Table 3). The forecast is established based on the annual commitment instalments provided in the financial programming accompanying the Draft Budget 2023.</w:t>
      </w:r>
    </w:p>
    <w:p w14:paraId="4A6C7A1A" w14:textId="5D38F5C0" w:rsidR="00D66606" w:rsidRPr="004C5E30" w:rsidRDefault="00D66606" w:rsidP="00D66606">
      <w:pPr>
        <w:spacing w:after="120" w:line="276" w:lineRule="auto"/>
        <w:jc w:val="both"/>
        <w:rPr>
          <w:noProof/>
        </w:rPr>
      </w:pPr>
      <w:r w:rsidRPr="000B12C9">
        <w:rPr>
          <w:noProof/>
        </w:rPr>
        <w:t xml:space="preserve">The centrepiece of NextGenerationEU is the </w:t>
      </w:r>
      <w:r w:rsidRPr="009F63E4">
        <w:rPr>
          <w:rStyle w:val="amprcharBoldBlue"/>
          <w:noProof/>
        </w:rPr>
        <w:t>Recovery and Resilience Facility (RRF)</w:t>
      </w:r>
      <w:r w:rsidRPr="00010355">
        <w:rPr>
          <w:bCs/>
          <w:noProof/>
        </w:rPr>
        <w:t>,</w:t>
      </w:r>
      <w:r w:rsidRPr="000B12C9">
        <w:rPr>
          <w:noProof/>
        </w:rPr>
        <w:t xml:space="preserve"> which accounts for 80% of the non-repayable allocations</w:t>
      </w:r>
      <w:r w:rsidRPr="00550B79">
        <w:rPr>
          <w:noProof/>
          <w:vertAlign w:val="superscript"/>
        </w:rPr>
        <w:endnoteReference w:id="21"/>
      </w:r>
      <w:r>
        <w:rPr>
          <w:noProof/>
        </w:rPr>
        <w:t>.</w:t>
      </w:r>
      <w:r w:rsidRPr="000B12C9">
        <w:rPr>
          <w:noProof/>
        </w:rPr>
        <w:t xml:space="preserve"> NextGenerationEU outflows are therefore largely determined by the pace of disbursements for the RRF. </w:t>
      </w:r>
      <w:r w:rsidRPr="004C5E30">
        <w:rPr>
          <w:noProof/>
        </w:rPr>
        <w:t>The Facility has entered the implementation phase, progressing quickly according to</w:t>
      </w:r>
      <w:r>
        <w:rPr>
          <w:noProof/>
        </w:rPr>
        <w:t xml:space="preserve"> </w:t>
      </w:r>
      <w:r w:rsidRPr="004C5E30">
        <w:rPr>
          <w:noProof/>
        </w:rPr>
        <w:t>the timeline of reforms and investments set by the Member States.</w:t>
      </w:r>
      <w:r>
        <w:rPr>
          <w:noProof/>
        </w:rPr>
        <w:t xml:space="preserve"> </w:t>
      </w:r>
      <w:r w:rsidRPr="00550B79">
        <w:rPr>
          <w:noProof/>
        </w:rPr>
        <w:t xml:space="preserve">By </w:t>
      </w:r>
      <w:r>
        <w:rPr>
          <w:noProof/>
        </w:rPr>
        <w:t xml:space="preserve">the </w:t>
      </w:r>
      <w:r w:rsidRPr="00550B79">
        <w:rPr>
          <w:noProof/>
        </w:rPr>
        <w:t>end</w:t>
      </w:r>
      <w:r>
        <w:rPr>
          <w:noProof/>
        </w:rPr>
        <w:t xml:space="preserve"> of </w:t>
      </w:r>
      <w:r w:rsidRPr="00550B79">
        <w:rPr>
          <w:noProof/>
        </w:rPr>
        <w:t>May</w:t>
      </w:r>
      <w:r>
        <w:rPr>
          <w:noProof/>
        </w:rPr>
        <w:t>, 2022,</w:t>
      </w:r>
      <w:r w:rsidRPr="000B12C9">
        <w:rPr>
          <w:noProof/>
        </w:rPr>
        <w:t xml:space="preserve"> </w:t>
      </w:r>
      <w:r>
        <w:rPr>
          <w:noProof/>
        </w:rPr>
        <w:t>26</w:t>
      </w:r>
      <w:r w:rsidRPr="00335845">
        <w:rPr>
          <w:noProof/>
        </w:rPr>
        <w:t xml:space="preserve"> </w:t>
      </w:r>
      <w:r w:rsidRPr="000B12C9">
        <w:rPr>
          <w:noProof/>
        </w:rPr>
        <w:t>Member States</w:t>
      </w:r>
      <w:r w:rsidRPr="00335845">
        <w:rPr>
          <w:noProof/>
        </w:rPr>
        <w:t xml:space="preserve"> </w:t>
      </w:r>
      <w:r w:rsidRPr="000B12C9">
        <w:rPr>
          <w:noProof/>
        </w:rPr>
        <w:t>had</w:t>
      </w:r>
      <w:r w:rsidR="00C00493">
        <w:rPr>
          <w:noProof/>
        </w:rPr>
        <w:t xml:space="preserve"> formally</w:t>
      </w:r>
      <w:r w:rsidRPr="000B12C9">
        <w:rPr>
          <w:noProof/>
        </w:rPr>
        <w:t xml:space="preserve"> submitted their recovery and resilience plans</w:t>
      </w:r>
      <w:r w:rsidR="00C00493">
        <w:rPr>
          <w:rStyle w:val="EndnoteReference"/>
          <w:noProof/>
        </w:rPr>
        <w:endnoteReference w:id="22"/>
      </w:r>
      <w:r w:rsidRPr="00550B79">
        <w:rPr>
          <w:noProof/>
        </w:rPr>
        <w:t>. The Commission proceeded with a pre-financing payment of up to 13% of the financial contribution to 21 Me</w:t>
      </w:r>
      <w:r>
        <w:rPr>
          <w:noProof/>
        </w:rPr>
        <w:t xml:space="preserve">mber States that had requested it. </w:t>
      </w:r>
      <w:r w:rsidRPr="00550B79">
        <w:rPr>
          <w:noProof/>
        </w:rPr>
        <w:t xml:space="preserve">In accordance with </w:t>
      </w:r>
      <w:r>
        <w:rPr>
          <w:noProof/>
        </w:rPr>
        <w:t xml:space="preserve">the RRF Regulation, no further pre-financing </w:t>
      </w:r>
      <w:r w:rsidRPr="00550B79">
        <w:rPr>
          <w:noProof/>
        </w:rPr>
        <w:t xml:space="preserve">payment </w:t>
      </w:r>
      <w:r>
        <w:rPr>
          <w:noProof/>
        </w:rPr>
        <w:t>can be made for any Member State</w:t>
      </w:r>
      <w:r w:rsidR="00CE0833">
        <w:rPr>
          <w:noProof/>
        </w:rPr>
        <w:t xml:space="preserve"> (after 31 December 2021)</w:t>
      </w:r>
      <w:r>
        <w:rPr>
          <w:noProof/>
        </w:rPr>
        <w:t xml:space="preserve">. </w:t>
      </w:r>
      <w:r w:rsidR="00C00493">
        <w:rPr>
          <w:noProof/>
        </w:rPr>
        <w:t>Disbursements</w:t>
      </w:r>
      <w:r w:rsidR="00C00493" w:rsidRPr="000B12C9">
        <w:rPr>
          <w:noProof/>
        </w:rPr>
        <w:t xml:space="preserve"> </w:t>
      </w:r>
      <w:r w:rsidR="00C00493">
        <w:rPr>
          <w:noProof/>
        </w:rPr>
        <w:t xml:space="preserve">follow the positive assessment of payment requests that </w:t>
      </w:r>
      <w:r w:rsidR="00C00493" w:rsidRPr="000B12C9">
        <w:rPr>
          <w:noProof/>
        </w:rPr>
        <w:t xml:space="preserve">under the RRF </w:t>
      </w:r>
      <w:r w:rsidR="00C00493">
        <w:rPr>
          <w:noProof/>
        </w:rPr>
        <w:t xml:space="preserve">may be submitted </w:t>
      </w:r>
      <w:r w:rsidR="00C00493" w:rsidRPr="000B12C9">
        <w:rPr>
          <w:noProof/>
        </w:rPr>
        <w:t>up to twice a year</w:t>
      </w:r>
      <w:r w:rsidR="00C00493" w:rsidDel="00C00493">
        <w:rPr>
          <w:noProof/>
        </w:rPr>
        <w:t xml:space="preserve"> </w:t>
      </w:r>
      <w:r w:rsidRPr="000B12C9">
        <w:rPr>
          <w:noProof/>
        </w:rPr>
        <w:t xml:space="preserve">upon achievement of the milestones and targets established in the Council Implementing Decisions adopted pursuant to the RRF Regulation. </w:t>
      </w:r>
      <w:r w:rsidRPr="004C5E30">
        <w:rPr>
          <w:noProof/>
        </w:rPr>
        <w:t xml:space="preserve">The </w:t>
      </w:r>
      <w:r>
        <w:rPr>
          <w:noProof/>
        </w:rPr>
        <w:t xml:space="preserve">forecast of payments over 2023-2027 </w:t>
      </w:r>
      <w:r w:rsidRPr="004C5E30">
        <w:rPr>
          <w:noProof/>
        </w:rPr>
        <w:t>is based on the adopted plans, as assessed by the Commission, on the</w:t>
      </w:r>
      <w:r>
        <w:rPr>
          <w:noProof/>
        </w:rPr>
        <w:t xml:space="preserve"> </w:t>
      </w:r>
      <w:r w:rsidRPr="004C5E30">
        <w:rPr>
          <w:noProof/>
        </w:rPr>
        <w:t>data reported by Member States as part of their reporting</w:t>
      </w:r>
      <w:r>
        <w:rPr>
          <w:noProof/>
        </w:rPr>
        <w:t xml:space="preserve"> </w:t>
      </w:r>
      <w:r w:rsidRPr="004C5E30">
        <w:rPr>
          <w:noProof/>
        </w:rPr>
        <w:t>obligation</w:t>
      </w:r>
      <w:r w:rsidR="007E463A">
        <w:rPr>
          <w:noProof/>
        </w:rPr>
        <w:t>s</w:t>
      </w:r>
      <w:r w:rsidRPr="004C5E30">
        <w:rPr>
          <w:noProof/>
        </w:rPr>
        <w:t>, and on developments in the implement</w:t>
      </w:r>
      <w:r>
        <w:rPr>
          <w:noProof/>
        </w:rPr>
        <w:t>ation of the Facility until mid-May</w:t>
      </w:r>
      <w:r w:rsidRPr="004C5E30">
        <w:rPr>
          <w:noProof/>
        </w:rPr>
        <w:t xml:space="preserve"> 2022.</w:t>
      </w:r>
    </w:p>
    <w:p w14:paraId="3E9521B2" w14:textId="6760E4EA" w:rsidR="00D66606" w:rsidRPr="007306B5" w:rsidRDefault="00D66606" w:rsidP="00D66606">
      <w:pPr>
        <w:spacing w:after="120" w:line="276" w:lineRule="auto"/>
        <w:jc w:val="both"/>
        <w:rPr>
          <w:noProof/>
        </w:rPr>
      </w:pPr>
      <w:r w:rsidRPr="009F63E4">
        <w:rPr>
          <w:rStyle w:val="amprcharBoldBlue"/>
          <w:noProof/>
        </w:rPr>
        <w:t>REACT-EU</w:t>
      </w:r>
      <w:r w:rsidRPr="000B12C9">
        <w:rPr>
          <w:noProof/>
        </w:rPr>
        <w:t xml:space="preserve"> is the second largest </w:t>
      </w:r>
      <w:r>
        <w:rPr>
          <w:noProof/>
        </w:rPr>
        <w:t>instrument</w:t>
      </w:r>
      <w:r w:rsidRPr="000B12C9">
        <w:rPr>
          <w:noProof/>
        </w:rPr>
        <w:t xml:space="preserve"> of NextGenerationEU, representing 12% of the non-repayable support. It provides a bridge between the 2014-2020 and the 2021-2027 programming periods for cohesion policy, distributing additional resources in 2021 and 2022 through some of the existing cohesion policy funds</w:t>
      </w:r>
      <w:r w:rsidRPr="007306B5">
        <w:rPr>
          <w:noProof/>
        </w:rPr>
        <w:t xml:space="preserve">. REACT-EU commitments take place over two years (2021-2022). </w:t>
      </w:r>
      <w:r w:rsidRPr="000B12C9">
        <w:rPr>
          <w:noProof/>
        </w:rPr>
        <w:t xml:space="preserve">Interim and final payments are concentrated over 2022-2024, in line with REACT-EU objectives to speed up the delivery by using existing programmes and providing full flexibility of the implementation rules. </w:t>
      </w:r>
      <w:r w:rsidRPr="007306B5">
        <w:rPr>
          <w:noProof/>
        </w:rPr>
        <w:t>Compared to last year’s forecast, payments are even more frontload</w:t>
      </w:r>
      <w:r>
        <w:rPr>
          <w:noProof/>
        </w:rPr>
        <w:t>ed</w:t>
      </w:r>
      <w:r w:rsidRPr="007306B5">
        <w:rPr>
          <w:noProof/>
        </w:rPr>
        <w:t xml:space="preserve"> as Member States </w:t>
      </w:r>
      <w:r w:rsidR="00DC09E1">
        <w:rPr>
          <w:noProof/>
        </w:rPr>
        <w:t>may</w:t>
      </w:r>
      <w:r w:rsidRPr="007306B5">
        <w:rPr>
          <w:noProof/>
        </w:rPr>
        <w:t xml:space="preserve"> use funding under REACT-EU </w:t>
      </w:r>
      <w:r w:rsidR="00DC09E1">
        <w:rPr>
          <w:noProof/>
        </w:rPr>
        <w:t>to address recent</w:t>
      </w:r>
      <w:r w:rsidRPr="007306B5">
        <w:rPr>
          <w:noProof/>
        </w:rPr>
        <w:t xml:space="preserve"> flows </w:t>
      </w:r>
      <w:r w:rsidR="007E463A">
        <w:rPr>
          <w:noProof/>
        </w:rPr>
        <w:t xml:space="preserve">of people fleeing </w:t>
      </w:r>
      <w:r w:rsidRPr="007306B5">
        <w:rPr>
          <w:noProof/>
        </w:rPr>
        <w:t>Ukraine</w:t>
      </w:r>
      <w:r w:rsidR="007E463A">
        <w:rPr>
          <w:noProof/>
        </w:rPr>
        <w:t xml:space="preserve"> </w:t>
      </w:r>
      <w:r w:rsidRPr="007306B5">
        <w:rPr>
          <w:noProof/>
        </w:rPr>
        <w:t>following the Russian</w:t>
      </w:r>
      <w:r>
        <w:rPr>
          <w:noProof/>
        </w:rPr>
        <w:t xml:space="preserve"> invasion</w:t>
      </w:r>
      <w:r w:rsidRPr="007306B5">
        <w:rPr>
          <w:noProof/>
        </w:rPr>
        <w:t>.</w:t>
      </w:r>
      <w:r>
        <w:rPr>
          <w:noProof/>
        </w:rPr>
        <w:t xml:space="preserve"> </w:t>
      </w:r>
      <w:r w:rsidRPr="007306B5">
        <w:rPr>
          <w:noProof/>
        </w:rPr>
        <w:t>To enable the acceleration of the disbursement of remaining funds</w:t>
      </w:r>
      <w:r>
        <w:rPr>
          <w:noProof/>
        </w:rPr>
        <w:t>,</w:t>
      </w:r>
      <w:r w:rsidRPr="007306B5">
        <w:rPr>
          <w:noProof/>
        </w:rPr>
        <w:t xml:space="preserve"> the</w:t>
      </w:r>
      <w:r w:rsidR="007D4DE1">
        <w:rPr>
          <w:noProof/>
        </w:rPr>
        <w:t xml:space="preserve"> legislation was amended to allow for</w:t>
      </w:r>
      <w:r>
        <w:rPr>
          <w:rStyle w:val="EndnoteReference"/>
          <w:noProof/>
        </w:rPr>
        <w:endnoteReference w:id="23"/>
      </w:r>
      <w:r>
        <w:rPr>
          <w:noProof/>
        </w:rPr>
        <w:t xml:space="preserve"> an increase of the pre-financing payments and </w:t>
      </w:r>
      <w:r w:rsidRPr="007306B5">
        <w:rPr>
          <w:noProof/>
        </w:rPr>
        <w:t>simplified cost options.</w:t>
      </w:r>
      <w:r>
        <w:rPr>
          <w:noProof/>
        </w:rPr>
        <w:t xml:space="preserve"> Some limited</w:t>
      </w:r>
      <w:r w:rsidRPr="000B12C9">
        <w:rPr>
          <w:noProof/>
        </w:rPr>
        <w:t xml:space="preserve"> closure payments </w:t>
      </w:r>
      <w:r>
        <w:rPr>
          <w:noProof/>
        </w:rPr>
        <w:t>are expected</w:t>
      </w:r>
      <w:r w:rsidRPr="000B12C9">
        <w:rPr>
          <w:noProof/>
        </w:rPr>
        <w:t xml:space="preserve"> by the end of 2025.</w:t>
      </w:r>
    </w:p>
    <w:p w14:paraId="7A3A72DE" w14:textId="0B3AC1FF" w:rsidR="00D66606" w:rsidRPr="000B12C9" w:rsidRDefault="00D66606" w:rsidP="00D66606">
      <w:pPr>
        <w:spacing w:after="120" w:line="276" w:lineRule="auto"/>
        <w:jc w:val="both"/>
        <w:rPr>
          <w:noProof/>
        </w:rPr>
      </w:pPr>
      <w:r w:rsidRPr="000B12C9">
        <w:rPr>
          <w:noProof/>
        </w:rPr>
        <w:t>The other five programmes</w:t>
      </w:r>
      <w:r w:rsidR="00E11450">
        <w:rPr>
          <w:rStyle w:val="EndnoteReference"/>
          <w:noProof/>
        </w:rPr>
        <w:endnoteReference w:id="24"/>
      </w:r>
      <w:r w:rsidR="007368DB">
        <w:rPr>
          <w:noProof/>
        </w:rPr>
        <w:t xml:space="preserve"> </w:t>
      </w:r>
      <w:r w:rsidRPr="000B12C9">
        <w:rPr>
          <w:noProof/>
        </w:rPr>
        <w:t xml:space="preserve">supported through NextGenerationEU take up the remaining 8% of </w:t>
      </w:r>
      <w:r>
        <w:rPr>
          <w:noProof/>
        </w:rPr>
        <w:t>the</w:t>
      </w:r>
      <w:r w:rsidRPr="000B12C9">
        <w:rPr>
          <w:noProof/>
        </w:rPr>
        <w:t xml:space="preserve"> non-repayable </w:t>
      </w:r>
      <w:r w:rsidR="007E463A">
        <w:rPr>
          <w:noProof/>
        </w:rPr>
        <w:t xml:space="preserve">support </w:t>
      </w:r>
      <w:r w:rsidRPr="000B12C9">
        <w:rPr>
          <w:noProof/>
        </w:rPr>
        <w:t>allocation. The forecast of payments considers the experience with predecessor programmes, taking into account the shorter cycle of commitments and the focus on immediate recovery needs. The</w:t>
      </w:r>
      <w:r>
        <w:rPr>
          <w:noProof/>
        </w:rPr>
        <w:t xml:space="preserve"> </w:t>
      </w:r>
      <w:r w:rsidRPr="009F63E4">
        <w:rPr>
          <w:rStyle w:val="amprcharBoldBlue"/>
          <w:noProof/>
        </w:rPr>
        <w:t>Just Transition Fund</w:t>
      </w:r>
      <w:r w:rsidRPr="000B12C9">
        <w:rPr>
          <w:noProof/>
        </w:rPr>
        <w:t xml:space="preserve">, which is completely new, is affected by the delays in the adoption of the MFF and programme-specific legislation. The adoption of most of the Member States’ programmes </w:t>
      </w:r>
      <w:r>
        <w:rPr>
          <w:noProof/>
        </w:rPr>
        <w:t>is</w:t>
      </w:r>
      <w:r w:rsidRPr="000B12C9">
        <w:rPr>
          <w:noProof/>
        </w:rPr>
        <w:t xml:space="preserve"> expected towards the end of 2022, and almost all disbursements are projected to be spread over 2023-2026. For </w:t>
      </w:r>
      <w:r w:rsidRPr="009F63E4">
        <w:rPr>
          <w:rStyle w:val="amprcharBoldBlue"/>
          <w:noProof/>
        </w:rPr>
        <w:t>InvestEU</w:t>
      </w:r>
      <w:r w:rsidRPr="000B12C9">
        <w:rPr>
          <w:noProof/>
        </w:rPr>
        <w:t>, the forecast reflects the expected provisioning schedule of the budgetary guarantee</w:t>
      </w:r>
      <w:r w:rsidR="002C75F9">
        <w:rPr>
          <w:noProof/>
        </w:rPr>
        <w:t xml:space="preserve"> </w:t>
      </w:r>
      <w:r w:rsidR="002C75F9" w:rsidRPr="0038097F">
        <w:rPr>
          <w:noProof/>
        </w:rPr>
        <w:t>as well as the payment forecast for the InvestEU Advisory Hub and the InvestEU Portal</w:t>
      </w:r>
      <w:r w:rsidRPr="000B12C9">
        <w:rPr>
          <w:noProof/>
        </w:rPr>
        <w:t>.</w:t>
      </w:r>
    </w:p>
    <w:p w14:paraId="2F559A3F" w14:textId="68311712" w:rsidR="00D66606" w:rsidRPr="000B12C9" w:rsidRDefault="00D66606" w:rsidP="00D66606">
      <w:pPr>
        <w:spacing w:after="120" w:line="276" w:lineRule="auto"/>
        <w:jc w:val="both"/>
        <w:rPr>
          <w:noProof/>
        </w:rPr>
      </w:pPr>
      <w:r>
        <w:rPr>
          <w:noProof/>
        </w:rPr>
        <w:t>The forecast assumes that all NextGenerationEU resources</w:t>
      </w:r>
      <w:r w:rsidR="00112841">
        <w:rPr>
          <w:noProof/>
        </w:rPr>
        <w:t xml:space="preserve"> for operational activities</w:t>
      </w:r>
      <w:r>
        <w:rPr>
          <w:noProof/>
        </w:rPr>
        <w:t xml:space="preserve"> will be committed by the end of 2023 and covered by payments until the end of 2026, which are the </w:t>
      </w:r>
      <w:r w:rsidR="007E463A">
        <w:rPr>
          <w:noProof/>
        </w:rPr>
        <w:t xml:space="preserve">time limits </w:t>
      </w:r>
      <w:r>
        <w:rPr>
          <w:noProof/>
        </w:rPr>
        <w:t xml:space="preserve">established by the </w:t>
      </w:r>
      <w:r w:rsidR="007E463A">
        <w:rPr>
          <w:noProof/>
        </w:rPr>
        <w:t>applicable</w:t>
      </w:r>
      <w:r>
        <w:rPr>
          <w:noProof/>
        </w:rPr>
        <w:t xml:space="preserve"> legislation. Therefore, no de-commitments are estimated.</w:t>
      </w:r>
    </w:p>
    <w:p w14:paraId="020B3670" w14:textId="49AD9068" w:rsidR="00D66606" w:rsidRPr="007E3223" w:rsidRDefault="00D66606" w:rsidP="009F63E4">
      <w:pPr>
        <w:pStyle w:val="amprH3Title2-Numbered-11"/>
        <w:rPr>
          <w:noProof/>
        </w:rPr>
      </w:pPr>
      <w:bookmarkStart w:id="59" w:name="_Toc524523064"/>
      <w:r w:rsidRPr="007E3223">
        <w:rPr>
          <w:noProof/>
        </w:rPr>
        <w:tab/>
      </w:r>
      <w:bookmarkStart w:id="60" w:name="_Toc105504509"/>
      <w:r w:rsidRPr="007E3223">
        <w:rPr>
          <w:noProof/>
        </w:rPr>
        <w:t>Evolution of the level of outstanding commitments</w:t>
      </w:r>
      <w:bookmarkEnd w:id="59"/>
      <w:bookmarkEnd w:id="60"/>
    </w:p>
    <w:p w14:paraId="0334081C" w14:textId="6E8BBD8A" w:rsidR="00D66606" w:rsidRDefault="00D66606" w:rsidP="00D66606">
      <w:pPr>
        <w:spacing w:after="120" w:line="276" w:lineRule="auto"/>
        <w:jc w:val="both"/>
        <w:rPr>
          <w:noProof/>
        </w:rPr>
      </w:pPr>
      <w:r w:rsidRPr="007E5BEF">
        <w:rPr>
          <w:noProof/>
        </w:rPr>
        <w:t xml:space="preserve">The 2021-2027 period would see a historical peak of the RAL at the end of 2023, when it may exceed the level of </w:t>
      </w:r>
      <w:r w:rsidRPr="00010355">
        <w:rPr>
          <w:noProof/>
        </w:rPr>
        <w:t>EUR 4</w:t>
      </w:r>
      <w:r w:rsidR="00307FC7" w:rsidRPr="00010355">
        <w:rPr>
          <w:noProof/>
        </w:rPr>
        <w:t>58</w:t>
      </w:r>
      <w:r w:rsidRPr="00010355">
        <w:rPr>
          <w:noProof/>
        </w:rPr>
        <w:t> billion</w:t>
      </w:r>
      <w:r w:rsidRPr="004A6C20">
        <w:rPr>
          <w:noProof/>
        </w:rPr>
        <w:t>. This is a temporary effect due to the implementation of NextGenerationEU. Starting in 2024, the RAL associated to NextGenerationEU will be progressively settled until the end of 2026 when the payments on NextGenerationEU commitments will have to be completed.</w:t>
      </w:r>
    </w:p>
    <w:p w14:paraId="7E27CE19" w14:textId="76CCA65A" w:rsidR="00D66606" w:rsidRDefault="00D66606" w:rsidP="00D66606">
      <w:pPr>
        <w:spacing w:after="120" w:line="276" w:lineRule="auto"/>
        <w:jc w:val="both"/>
        <w:rPr>
          <w:noProof/>
        </w:rPr>
      </w:pPr>
      <w:r>
        <w:rPr>
          <w:noProof/>
        </w:rPr>
        <w:t>Considering only the RAL stemming from the MFF 2021-2027 and its predecessors,</w:t>
      </w:r>
      <w:r w:rsidR="00307FC7">
        <w:rPr>
          <w:noProof/>
        </w:rPr>
        <w:t xml:space="preserve"> cumulatively</w:t>
      </w:r>
      <w:r>
        <w:rPr>
          <w:noProof/>
        </w:rPr>
        <w:t xml:space="preserve"> a nominal increase of around </w:t>
      </w:r>
      <w:r w:rsidRPr="00010355">
        <w:rPr>
          <w:noProof/>
        </w:rPr>
        <w:t>EUR 5</w:t>
      </w:r>
      <w:r w:rsidR="00307FC7" w:rsidRPr="00010355">
        <w:rPr>
          <w:noProof/>
        </w:rPr>
        <w:t>5</w:t>
      </w:r>
      <w:r w:rsidRPr="00010355">
        <w:rPr>
          <w:noProof/>
        </w:rPr>
        <w:t xml:space="preserve"> billion</w:t>
      </w:r>
      <w:r w:rsidRPr="007E5BEF">
        <w:rPr>
          <w:noProof/>
        </w:rPr>
        <w:t xml:space="preserve"> </w:t>
      </w:r>
      <w:r w:rsidR="009A3D1D" w:rsidRPr="00010355">
        <w:rPr>
          <w:noProof/>
        </w:rPr>
        <w:t>(+</w:t>
      </w:r>
      <w:r w:rsidR="00307FC7" w:rsidRPr="00010355">
        <w:rPr>
          <w:noProof/>
        </w:rPr>
        <w:t>21</w:t>
      </w:r>
      <w:r w:rsidRPr="00010355">
        <w:rPr>
          <w:noProof/>
        </w:rPr>
        <w:t>%)</w:t>
      </w:r>
      <w:r w:rsidRPr="007E5BEF">
        <w:rPr>
          <w:noProof/>
        </w:rPr>
        <w:t xml:space="preserve"> may</w:t>
      </w:r>
      <w:r>
        <w:rPr>
          <w:noProof/>
        </w:rPr>
        <w:t xml:space="preserve"> be expected at the end of 2027 compared to the start of the reference period. This change in the RAL is comparable to the size of an annual commitment tranche in cohesion policy. As cohesion accounts for the biggest share in the stock of RAL, it</w:t>
      </w:r>
      <w:r w:rsidRPr="007C50BD">
        <w:rPr>
          <w:noProof/>
        </w:rPr>
        <w:t xml:space="preserve"> is of particular relevance for its evolution. T</w:t>
      </w:r>
      <w:r>
        <w:rPr>
          <w:noProof/>
        </w:rPr>
        <w:t>he agreement to maintain an N</w:t>
      </w:r>
      <w:r w:rsidRPr="007C50BD">
        <w:rPr>
          <w:noProof/>
        </w:rPr>
        <w:t xml:space="preserve">+3 de-commitment rule, in combination with the delays in the new programming process backload payments towards the end of the MFF and </w:t>
      </w:r>
      <w:r>
        <w:rPr>
          <w:noProof/>
        </w:rPr>
        <w:t xml:space="preserve">to </w:t>
      </w:r>
      <w:r w:rsidRPr="007C50BD">
        <w:rPr>
          <w:noProof/>
        </w:rPr>
        <w:t>the year</w:t>
      </w:r>
      <w:r>
        <w:rPr>
          <w:noProof/>
        </w:rPr>
        <w:t>s</w:t>
      </w:r>
      <w:r w:rsidRPr="007C50BD">
        <w:rPr>
          <w:noProof/>
        </w:rPr>
        <w:t xml:space="preserve"> beyond (see point 2.1).</w:t>
      </w:r>
      <w:r>
        <w:rPr>
          <w:noProof/>
        </w:rPr>
        <w:t xml:space="preserve"> This also results in some overestimation of the RAL increase because it captures the change between a year with low RAL (at the end of 2022 large parts of the completion acitivities will be paid but most new commitments for cohesion policy are yet to be made) and a year with peak RAL (at the end of 2027 all the commitments for cohesion policy will be made but more than half of the payments will follow in the years to come).</w:t>
      </w:r>
    </w:p>
    <w:p w14:paraId="581A8133" w14:textId="2416C25C" w:rsidR="00D66606" w:rsidRDefault="00D66606" w:rsidP="00D66606">
      <w:pPr>
        <w:spacing w:after="120" w:line="276" w:lineRule="auto"/>
        <w:jc w:val="both"/>
        <w:rPr>
          <w:noProof/>
        </w:rPr>
      </w:pPr>
      <w:r>
        <w:rPr>
          <w:noProof/>
        </w:rPr>
        <w:t>When measured against the size of the EU economy, the RAL is actually decreasing. From the start of 2023 to the end of 2027, the RAL</w:t>
      </w:r>
      <w:r w:rsidR="00817698">
        <w:rPr>
          <w:noProof/>
        </w:rPr>
        <w:t xml:space="preserve"> (excluding NextGenerationEU)</w:t>
      </w:r>
      <w:r>
        <w:rPr>
          <w:noProof/>
        </w:rPr>
        <w:t xml:space="preserve"> is projected to </w:t>
      </w:r>
      <w:r w:rsidR="007E463A">
        <w:rPr>
          <w:noProof/>
        </w:rPr>
        <w:t xml:space="preserve">decrease </w:t>
      </w:r>
      <w:r>
        <w:rPr>
          <w:noProof/>
        </w:rPr>
        <w:t xml:space="preserve">from a level of </w:t>
      </w:r>
      <w:r w:rsidRPr="00010355">
        <w:rPr>
          <w:noProof/>
        </w:rPr>
        <w:t>1.7</w:t>
      </w:r>
      <w:r w:rsidRPr="007E5BEF">
        <w:rPr>
          <w:noProof/>
        </w:rPr>
        <w:t>%</w:t>
      </w:r>
      <w:r>
        <w:rPr>
          <w:noProof/>
        </w:rPr>
        <w:t xml:space="preserve"> to </w:t>
      </w:r>
      <w:r w:rsidRPr="00010355">
        <w:rPr>
          <w:noProof/>
        </w:rPr>
        <w:t>1.6</w:t>
      </w:r>
      <w:r w:rsidRPr="007E5BEF">
        <w:rPr>
          <w:noProof/>
        </w:rPr>
        <w:t>%</w:t>
      </w:r>
      <w:r>
        <w:rPr>
          <w:noProof/>
        </w:rPr>
        <w:t xml:space="preserve"> of EU Gross National Income. This shows that the nominal growth of the RAL is largely outweighted by the nominal growth of the EU economy.</w:t>
      </w:r>
    </w:p>
    <w:p w14:paraId="52E3BACC" w14:textId="5C88E773" w:rsidR="00A36594" w:rsidRDefault="00A36594" w:rsidP="00A36594">
      <w:pPr>
        <w:spacing w:after="120" w:line="276" w:lineRule="auto"/>
        <w:jc w:val="both"/>
        <w:rPr>
          <w:rStyle w:val="amprcharBoldBlue"/>
          <w:noProof/>
        </w:rPr>
      </w:pPr>
      <w:r w:rsidRPr="009F63E4">
        <w:rPr>
          <w:rStyle w:val="amprcharBoldBlue"/>
          <w:noProof/>
        </w:rPr>
        <w:t xml:space="preserve">Chart </w:t>
      </w:r>
      <w:r>
        <w:rPr>
          <w:rStyle w:val="amprcharBoldBlue"/>
          <w:noProof/>
        </w:rPr>
        <w:t>4</w:t>
      </w:r>
      <w:r w:rsidRPr="009F63E4">
        <w:rPr>
          <w:rStyle w:val="amprcharBoldBlue"/>
          <w:noProof/>
        </w:rPr>
        <w:t xml:space="preserve"> </w:t>
      </w:r>
      <w:r>
        <w:rPr>
          <w:rStyle w:val="amprcharBoldBlue"/>
          <w:noProof/>
        </w:rPr>
        <w:t>–</w:t>
      </w:r>
      <w:r w:rsidRPr="009F63E4">
        <w:rPr>
          <w:rStyle w:val="amprcharBoldBlue"/>
          <w:noProof/>
        </w:rPr>
        <w:t xml:space="preserve"> </w:t>
      </w:r>
      <w:r>
        <w:rPr>
          <w:rStyle w:val="amprcharBoldBlue"/>
          <w:noProof/>
        </w:rPr>
        <w:t>Evolution of the level of outstanding commitments (RAL) over 2023-2027, measured in percentage of the Union’s Gross National Income</w:t>
      </w:r>
    </w:p>
    <w:p w14:paraId="3D1BEE5B" w14:textId="45B8689B" w:rsidR="00A36594" w:rsidRPr="009F63E4" w:rsidRDefault="007D38D2" w:rsidP="007D38D2">
      <w:pPr>
        <w:spacing w:after="120" w:line="276" w:lineRule="auto"/>
        <w:jc w:val="center"/>
        <w:rPr>
          <w:rStyle w:val="amprcharBoldBlue"/>
          <w:noProof/>
        </w:rPr>
      </w:pPr>
      <w:r w:rsidRPr="00A36594">
        <w:rPr>
          <w:rStyle w:val="amprcharBoldBlue"/>
          <w:noProof/>
          <w:lang w:eastAsia="en-GB"/>
        </w:rPr>
        <mc:AlternateContent>
          <mc:Choice Requires="wps">
            <w:drawing>
              <wp:anchor distT="45720" distB="45720" distL="114300" distR="114300" simplePos="0" relativeHeight="251650048" behindDoc="0" locked="0" layoutInCell="1" allowOverlap="1" wp14:anchorId="3DAFC7C2" wp14:editId="574FAFF2">
                <wp:simplePos x="0" y="0"/>
                <wp:positionH relativeFrom="column">
                  <wp:posOffset>995007</wp:posOffset>
                </wp:positionH>
                <wp:positionV relativeFrom="paragraph">
                  <wp:posOffset>764376</wp:posOffset>
                </wp:positionV>
                <wp:extent cx="200372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1404620"/>
                        </a:xfrm>
                        <a:prstGeom prst="rect">
                          <a:avLst/>
                        </a:prstGeom>
                        <a:noFill/>
                        <a:ln w="9525">
                          <a:noFill/>
                          <a:miter lim="800000"/>
                          <a:headEnd/>
                          <a:tailEnd/>
                        </a:ln>
                      </wps:spPr>
                      <wps:txbx>
                        <w:txbxContent>
                          <w:p w14:paraId="61CD3B4A" w14:textId="68106F74" w:rsidR="00857477" w:rsidRPr="007D38D2" w:rsidRDefault="00857477">
                            <w:pPr>
                              <w:rPr>
                                <w:rStyle w:val="amprcharBoldBlue"/>
                                <w:color w:val="FFFFFF" w:themeColor="background1"/>
                                <w:sz w:val="28"/>
                              </w:rPr>
                            </w:pPr>
                            <w:r w:rsidRPr="007D38D2">
                              <w:rPr>
                                <w:rStyle w:val="amprcharBoldBlue"/>
                                <w:color w:val="FFFFFF" w:themeColor="background1"/>
                                <w:sz w:val="28"/>
                              </w:rPr>
                              <w:t>NextGenerationEU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FC7C2" id="_x0000_s1042" type="#_x0000_t202" style="position:absolute;left:0;text-align:left;margin-left:78.35pt;margin-top:60.2pt;width:157.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" filled="f" stroked="f">
                <v:textbox style="mso-fit-shape-to-text:t">
                  <w:txbxContent>
                    <w:p w14:paraId="61CD3B4A" w14:textId="68106F74" w:rsidR="00857477" w:rsidRPr="007D38D2" w:rsidRDefault="00857477">
                      <w:pPr>
                        <w:rPr>
                          <w:rStyle w:val="amprcharBoldBlue"/>
                          <w:color w:val="FFFFFF" w:themeColor="background1"/>
                          <w:sz w:val="28"/>
                        </w:rPr>
                      </w:pPr>
                      <w:r w:rsidRPr="007D38D2">
                        <w:rPr>
                          <w:rStyle w:val="amprcharBoldBlue"/>
                          <w:color w:val="FFFFFF" w:themeColor="background1"/>
                          <w:sz w:val="28"/>
                        </w:rPr>
                        <w:t>NextGenerationEU</w:t>
                      </w:r>
                    </w:p>
                  </w:txbxContent>
                </v:textbox>
              </v:shape>
            </w:pict>
          </mc:Fallback>
        </mc:AlternateContent>
      </w:r>
      <w:r w:rsidRPr="00A36594">
        <w:rPr>
          <w:rStyle w:val="amprcharBoldBlue"/>
          <w:noProof/>
          <w:lang w:eastAsia="en-GB"/>
        </w:rPr>
        <mc:AlternateContent>
          <mc:Choice Requires="wps">
            <w:drawing>
              <wp:anchor distT="45720" distB="45720" distL="114300" distR="114300" simplePos="0" relativeHeight="251652096" behindDoc="0" locked="0" layoutInCell="1" allowOverlap="1" wp14:anchorId="452A5320" wp14:editId="271DAB36">
                <wp:simplePos x="0" y="0"/>
                <wp:positionH relativeFrom="column">
                  <wp:posOffset>2981551</wp:posOffset>
                </wp:positionH>
                <wp:positionV relativeFrom="paragraph">
                  <wp:posOffset>2114116</wp:posOffset>
                </wp:positionV>
                <wp:extent cx="2003729"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1404620"/>
                        </a:xfrm>
                        <a:prstGeom prst="rect">
                          <a:avLst/>
                        </a:prstGeom>
                        <a:noFill/>
                        <a:ln w="9525">
                          <a:noFill/>
                          <a:miter lim="800000"/>
                          <a:headEnd/>
                          <a:tailEnd/>
                        </a:ln>
                      </wps:spPr>
                      <wps:txbx>
                        <w:txbxContent>
                          <w:p w14:paraId="527B7B27" w14:textId="74D1B091" w:rsidR="00857477" w:rsidRPr="007D38D2" w:rsidRDefault="00857477" w:rsidP="007D38D2">
                            <w:pPr>
                              <w:jc w:val="center"/>
                              <w:rPr>
                                <w:rStyle w:val="amprcharBoldBlue"/>
                                <w:color w:val="FFFFFF" w:themeColor="background1"/>
                                <w:sz w:val="28"/>
                                <w:lang w:val="en-IE"/>
                              </w:rPr>
                            </w:pPr>
                            <w:r>
                              <w:rPr>
                                <w:rStyle w:val="amprcharBoldBlue"/>
                                <w:color w:val="FFFFFF" w:themeColor="background1"/>
                                <w:sz w:val="28"/>
                                <w:lang w:val="en-IE"/>
                              </w:rPr>
                              <w:t>MFF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A5320" id="_x0000_s1043" type="#_x0000_t202" style="position:absolute;left:0;text-align:left;margin-left:234.75pt;margin-top:166.45pt;width:157.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" filled="f" stroked="f">
                <v:textbox style="mso-fit-shape-to-text:t">
                  <w:txbxContent>
                    <w:p w14:paraId="527B7B27" w14:textId="74D1B091" w:rsidR="00857477" w:rsidRPr="007D38D2" w:rsidRDefault="00857477" w:rsidP="007D38D2">
                      <w:pPr>
                        <w:jc w:val="center"/>
                        <w:rPr>
                          <w:rStyle w:val="amprcharBoldBlue"/>
                          <w:color w:val="FFFFFF" w:themeColor="background1"/>
                          <w:sz w:val="28"/>
                          <w:lang w:val="en-IE"/>
                        </w:rPr>
                      </w:pPr>
                      <w:r>
                        <w:rPr>
                          <w:rStyle w:val="amprcharBoldBlue"/>
                          <w:color w:val="FFFFFF" w:themeColor="background1"/>
                          <w:sz w:val="28"/>
                          <w:lang w:val="en-IE"/>
                        </w:rPr>
                        <w:t>MFF</w:t>
                      </w:r>
                    </w:p>
                  </w:txbxContent>
                </v:textbox>
              </v:shape>
            </w:pict>
          </mc:Fallback>
        </mc:AlternateContent>
      </w:r>
      <w:r w:rsidR="00F5000C">
        <w:rPr>
          <w:rStyle w:val="amprcharBoldBlue"/>
          <w:noProof/>
          <w:lang w:eastAsia="en-GB"/>
        </w:rPr>
        <w:drawing>
          <wp:inline distT="0" distB="0" distL="0" distR="0" wp14:anchorId="628EFF98" wp14:editId="383DF75B">
            <wp:extent cx="5462270" cy="3456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2270" cy="3456940"/>
                    </a:xfrm>
                    <a:prstGeom prst="rect">
                      <a:avLst/>
                    </a:prstGeom>
                    <a:noFill/>
                  </pic:spPr>
                </pic:pic>
              </a:graphicData>
            </a:graphic>
          </wp:inline>
        </w:drawing>
      </w:r>
    </w:p>
    <w:p w14:paraId="0BDB57EC" w14:textId="77777777" w:rsidR="00D66606" w:rsidRPr="007E3223" w:rsidRDefault="00D66606" w:rsidP="009F63E4">
      <w:pPr>
        <w:pStyle w:val="amprH2TITLE1-Numbered-1"/>
        <w:rPr>
          <w:noProof/>
        </w:rPr>
      </w:pPr>
      <w:bookmarkStart w:id="61" w:name="_Toc105504510"/>
      <w:r w:rsidRPr="57F8CA25">
        <w:rPr>
          <w:noProof/>
        </w:rPr>
        <w:t>Forecast of inflows of the EU budget 2023-2027</w:t>
      </w:r>
      <w:bookmarkEnd w:id="61"/>
    </w:p>
    <w:p w14:paraId="78C8BCC4" w14:textId="182AFA0C" w:rsidR="00D66606" w:rsidRPr="00A225DB" w:rsidRDefault="00D66606" w:rsidP="00D66606">
      <w:pPr>
        <w:spacing w:after="120" w:line="276" w:lineRule="auto"/>
        <w:jc w:val="both"/>
        <w:rPr>
          <w:noProof/>
        </w:rPr>
      </w:pPr>
      <w:r w:rsidRPr="2BE7F56B">
        <w:rPr>
          <w:noProof/>
        </w:rPr>
        <w:t xml:space="preserve">The EU budget is financed by own resources and other revenue. In addition, the Union </w:t>
      </w:r>
      <w:r w:rsidR="007E463A">
        <w:rPr>
          <w:noProof/>
        </w:rPr>
        <w:t>has been</w:t>
      </w:r>
      <w:r w:rsidRPr="2BE7F56B">
        <w:rPr>
          <w:noProof/>
        </w:rPr>
        <w:t xml:space="preserve"> empowered to borrow funds to finance NextGenerationEU. The Commission </w:t>
      </w:r>
      <w:r w:rsidRPr="5B99BBCB">
        <w:rPr>
          <w:noProof/>
        </w:rPr>
        <w:t>is mobilising</w:t>
      </w:r>
      <w:r w:rsidRPr="2BE7F56B">
        <w:rPr>
          <w:noProof/>
        </w:rPr>
        <w:t xml:space="preserve"> the funds through operations on international capital markets</w:t>
      </w:r>
      <w:r w:rsidRPr="5B99BBCB">
        <w:rPr>
          <w:noProof/>
        </w:rPr>
        <w:t>, in line with</w:t>
      </w:r>
      <w:r w:rsidRPr="2BE7F56B">
        <w:rPr>
          <w:noProof/>
        </w:rPr>
        <w:t xml:space="preserve"> the financing needs of NextGenerationEU’s spending programmes (see point 2.4</w:t>
      </w:r>
      <w:r w:rsidRPr="5B99BBCB">
        <w:rPr>
          <w:noProof/>
        </w:rPr>
        <w:t>). To this end, the Commission follows</w:t>
      </w:r>
      <w:r w:rsidRPr="2BE7F56B">
        <w:rPr>
          <w:noProof/>
        </w:rPr>
        <w:t xml:space="preserve"> </w:t>
      </w:r>
      <w:r w:rsidRPr="5B99BBCB">
        <w:rPr>
          <w:noProof/>
        </w:rPr>
        <w:t>a diversified</w:t>
      </w:r>
      <w:r w:rsidRPr="2BE7F56B">
        <w:rPr>
          <w:noProof/>
        </w:rPr>
        <w:t xml:space="preserve"> funding strategy</w:t>
      </w:r>
      <w:r w:rsidRPr="003C47AC">
        <w:rPr>
          <w:rStyle w:val="EndnoteReference"/>
          <w:noProof/>
        </w:rPr>
        <w:endnoteReference w:id="25"/>
      </w:r>
      <w:r w:rsidRPr="5B99BBCB">
        <w:rPr>
          <w:noProof/>
        </w:rPr>
        <w:t xml:space="preserve"> and, as part of this strategy, publishes annual borrowing decisions and six-monthly funding plans. The present </w:t>
      </w:r>
      <w:r w:rsidRPr="2BE7F56B">
        <w:rPr>
          <w:noProof/>
        </w:rPr>
        <w:t>forecast focuses on the revenue necessary to finance the budget expenditure within the MFF.</w:t>
      </w:r>
    </w:p>
    <w:p w14:paraId="47FEA8B5" w14:textId="77777777" w:rsidR="00D66606" w:rsidRPr="00A225DB" w:rsidRDefault="00D66606" w:rsidP="00D66606">
      <w:pPr>
        <w:spacing w:after="120" w:line="276" w:lineRule="auto"/>
        <w:jc w:val="both"/>
        <w:rPr>
          <w:noProof/>
        </w:rPr>
      </w:pPr>
      <w:r w:rsidRPr="2BE7F56B">
        <w:rPr>
          <w:noProof/>
        </w:rPr>
        <w:t>The overall amount of own resources needed to finance the budget is determined by the total expenditure less other revenue. Accordingly, the forecast of the EU budget revenue for 202</w:t>
      </w:r>
      <w:r w:rsidRPr="00C60E3E">
        <w:rPr>
          <w:noProof/>
        </w:rPr>
        <w:t>3</w:t>
      </w:r>
      <w:r w:rsidRPr="2BE7F56B">
        <w:rPr>
          <w:noProof/>
        </w:rPr>
        <w:t>-2027 is based on the principle that expenditure must be matched by revenue; therefore total revenue equals total expenditure.</w:t>
      </w:r>
    </w:p>
    <w:p w14:paraId="0F9B0B30" w14:textId="43C761CC" w:rsidR="00D66606" w:rsidRPr="00A225DB" w:rsidRDefault="00D66606" w:rsidP="00D66606">
      <w:pPr>
        <w:spacing w:after="120" w:line="276" w:lineRule="auto"/>
        <w:jc w:val="both"/>
        <w:rPr>
          <w:noProof/>
          <w:lang w:eastAsia="ko-KR"/>
        </w:rPr>
      </w:pPr>
      <w:r w:rsidRPr="11DC190F">
        <w:rPr>
          <w:noProof/>
        </w:rPr>
        <w:t>Since 2021,</w:t>
      </w:r>
      <w:r w:rsidRPr="11DC190F">
        <w:rPr>
          <w:noProof/>
          <w:lang w:eastAsia="ko-KR"/>
        </w:rPr>
        <w:t xml:space="preserve"> in line with the Withdrawal Agreement (part V), the United Kingdom </w:t>
      </w:r>
      <w:r w:rsidR="0067416E">
        <w:rPr>
          <w:noProof/>
          <w:lang w:eastAsia="ko-KR"/>
        </w:rPr>
        <w:t>has contributed</w:t>
      </w:r>
      <w:r w:rsidR="0067416E" w:rsidRPr="11DC190F">
        <w:rPr>
          <w:noProof/>
          <w:lang w:eastAsia="ko-KR"/>
        </w:rPr>
        <w:t xml:space="preserve"> </w:t>
      </w:r>
      <w:r w:rsidRPr="11DC190F">
        <w:rPr>
          <w:noProof/>
          <w:lang w:eastAsia="ko-KR"/>
        </w:rPr>
        <w:t xml:space="preserve">to the EU budget in relation to outstanding commitments of previous </w:t>
      </w:r>
      <w:r w:rsidR="0067416E">
        <w:rPr>
          <w:noProof/>
          <w:lang w:eastAsia="ko-KR"/>
        </w:rPr>
        <w:t xml:space="preserve">multiannual </w:t>
      </w:r>
      <w:r w:rsidRPr="11DC190F">
        <w:rPr>
          <w:noProof/>
          <w:lang w:eastAsia="ko-KR"/>
        </w:rPr>
        <w:t>financial frameworks</w:t>
      </w:r>
      <w:r>
        <w:rPr>
          <w:noProof/>
          <w:lang w:eastAsia="ko-KR"/>
        </w:rPr>
        <w:t>. This includes</w:t>
      </w:r>
      <w:r w:rsidRPr="11DC190F">
        <w:rPr>
          <w:noProof/>
          <w:lang w:eastAsia="ko-KR"/>
        </w:rPr>
        <w:t xml:space="preserve"> the RAL at the end of 2020</w:t>
      </w:r>
      <w:r>
        <w:rPr>
          <w:noProof/>
          <w:lang w:eastAsia="ko-KR"/>
        </w:rPr>
        <w:t>,</w:t>
      </w:r>
      <w:r w:rsidRPr="11DC190F">
        <w:rPr>
          <w:noProof/>
          <w:lang w:eastAsia="ko-KR"/>
        </w:rPr>
        <w:t xml:space="preserve"> as well as pensions and other liabilities laid down in the financial settlement. The United Kingdom’s contribution constitutes ‘other revenue’ of the EU budget and is not part of the Union’s own resources. It will progressively phase-out as the outstanding commitments </w:t>
      </w:r>
      <w:r>
        <w:rPr>
          <w:noProof/>
          <w:lang w:eastAsia="ko-KR"/>
        </w:rPr>
        <w:t>will be</w:t>
      </w:r>
      <w:r w:rsidRPr="11DC190F">
        <w:rPr>
          <w:noProof/>
          <w:lang w:eastAsia="ko-KR"/>
        </w:rPr>
        <w:t xml:space="preserve"> settled.</w:t>
      </w:r>
    </w:p>
    <w:p w14:paraId="4A08E556" w14:textId="77777777" w:rsidR="00D66606" w:rsidRPr="00A225DB" w:rsidRDefault="00D66606" w:rsidP="00D66606">
      <w:pPr>
        <w:spacing w:after="120" w:line="276" w:lineRule="auto"/>
        <w:jc w:val="both"/>
        <w:rPr>
          <w:noProof/>
          <w:lang w:eastAsia="ko-KR"/>
        </w:rPr>
      </w:pPr>
      <w:r w:rsidRPr="2BE7F56B">
        <w:rPr>
          <w:noProof/>
          <w:lang w:eastAsia="ko-KR"/>
        </w:rPr>
        <w:t>Other miscellaneous elements not forming part of the Union’s own resources are assumed to remain nominally constant at the level of the 202</w:t>
      </w:r>
      <w:r>
        <w:rPr>
          <w:noProof/>
          <w:lang w:eastAsia="ko-KR"/>
        </w:rPr>
        <w:t>3 D</w:t>
      </w:r>
      <w:r w:rsidRPr="2BE7F56B">
        <w:rPr>
          <w:noProof/>
          <w:lang w:eastAsia="ko-KR"/>
        </w:rPr>
        <w:t xml:space="preserve">raft </w:t>
      </w:r>
      <w:r>
        <w:rPr>
          <w:noProof/>
          <w:lang w:eastAsia="ko-KR"/>
        </w:rPr>
        <w:t>B</w:t>
      </w:r>
      <w:r w:rsidRPr="2BE7F56B">
        <w:rPr>
          <w:noProof/>
          <w:lang w:eastAsia="ko-KR"/>
        </w:rPr>
        <w:t>udget.</w:t>
      </w:r>
    </w:p>
    <w:p w14:paraId="5252F739" w14:textId="1AE1BFF9" w:rsidR="00D66606" w:rsidRPr="00A225DB" w:rsidRDefault="00D66606" w:rsidP="00D66606">
      <w:pPr>
        <w:spacing w:after="120" w:line="276" w:lineRule="auto"/>
        <w:jc w:val="both"/>
        <w:rPr>
          <w:noProof/>
          <w:lang w:eastAsia="ko-KR"/>
        </w:rPr>
      </w:pPr>
      <w:r w:rsidRPr="334B2FAB">
        <w:rPr>
          <w:noProof/>
          <w:lang w:eastAsia="ko-KR"/>
        </w:rPr>
        <w:t xml:space="preserve">The remaining financing – national contributions and customs duties – accounts for </w:t>
      </w:r>
      <w:r w:rsidRPr="2FB6BD91">
        <w:rPr>
          <w:noProof/>
          <w:lang w:eastAsia="ko-KR"/>
        </w:rPr>
        <w:t>most of</w:t>
      </w:r>
      <w:r w:rsidRPr="334B2FAB">
        <w:rPr>
          <w:noProof/>
          <w:lang w:eastAsia="ko-KR"/>
        </w:rPr>
        <w:t xml:space="preserve"> the revenue needed to balance the budget expenditure. </w:t>
      </w:r>
      <w:r w:rsidR="001E64D0" w:rsidRPr="001E64D0">
        <w:rPr>
          <w:noProof/>
          <w:lang w:eastAsia="ko-KR"/>
        </w:rPr>
        <w:t xml:space="preserve">The </w:t>
      </w:r>
      <w:r w:rsidR="001E64D0">
        <w:rPr>
          <w:noProof/>
          <w:lang w:eastAsia="ko-KR"/>
        </w:rPr>
        <w:t xml:space="preserve">revenue </w:t>
      </w:r>
      <w:r w:rsidR="001E64D0" w:rsidRPr="001E64D0">
        <w:rPr>
          <w:noProof/>
          <w:lang w:eastAsia="ko-KR"/>
        </w:rPr>
        <w:t xml:space="preserve">forecast </w:t>
      </w:r>
      <w:r w:rsidR="001E64D0">
        <w:rPr>
          <w:noProof/>
          <w:lang w:eastAsia="ko-KR"/>
        </w:rPr>
        <w:t>i</w:t>
      </w:r>
      <w:r w:rsidR="001E64D0" w:rsidRPr="001E64D0">
        <w:rPr>
          <w:noProof/>
          <w:lang w:eastAsia="ko-KR"/>
        </w:rPr>
        <w:t>s based on the parameters of the Own Resources Decision 2020,</w:t>
      </w:r>
      <w:r w:rsidR="001E64D0">
        <w:rPr>
          <w:noProof/>
          <w:lang w:eastAsia="ko-KR"/>
        </w:rPr>
        <w:t xml:space="preserve"> which </w:t>
      </w:r>
      <w:r w:rsidR="00186893">
        <w:rPr>
          <w:noProof/>
          <w:lang w:eastAsia="ko-KR"/>
        </w:rPr>
        <w:t>introduced a</w:t>
      </w:r>
      <w:r w:rsidR="00186893" w:rsidRPr="334B2FAB">
        <w:rPr>
          <w:noProof/>
          <w:lang w:eastAsia="ko-KR"/>
        </w:rPr>
        <w:t xml:space="preserve"> new own resource based on non-recycled plastic packaging waste</w:t>
      </w:r>
      <w:r w:rsidR="00186893">
        <w:rPr>
          <w:noProof/>
          <w:lang w:eastAsia="ko-KR"/>
        </w:rPr>
        <w:t>.</w:t>
      </w:r>
      <w:r w:rsidR="00186893" w:rsidRPr="334B2FAB">
        <w:rPr>
          <w:noProof/>
          <w:lang w:eastAsia="ko-KR"/>
        </w:rPr>
        <w:t xml:space="preserve"> </w:t>
      </w:r>
      <w:r w:rsidRPr="334B2FAB">
        <w:rPr>
          <w:noProof/>
          <w:lang w:eastAsia="ko-KR"/>
        </w:rPr>
        <w:t xml:space="preserve">The projections </w:t>
      </w:r>
      <w:r w:rsidR="00BF0B93">
        <w:rPr>
          <w:noProof/>
          <w:lang w:eastAsia="ko-KR"/>
        </w:rPr>
        <w:t xml:space="preserve">further </w:t>
      </w:r>
      <w:r w:rsidRPr="334B2FAB">
        <w:rPr>
          <w:noProof/>
          <w:lang w:eastAsia="ko-KR"/>
        </w:rPr>
        <w:t xml:space="preserve">include the refined own resource based on the Value Added Tax as well as Member States’ increased retention rate of customs duties to cover their collection costs. They do not </w:t>
      </w:r>
      <w:r w:rsidRPr="2FB6BD91">
        <w:rPr>
          <w:noProof/>
          <w:lang w:eastAsia="ko-KR"/>
        </w:rPr>
        <w:t>consider</w:t>
      </w:r>
      <w:r w:rsidRPr="334B2FAB">
        <w:rPr>
          <w:noProof/>
          <w:lang w:eastAsia="ko-KR"/>
        </w:rPr>
        <w:t xml:space="preserve"> the Commission’s proposals on new own resources of 22 December 2021</w:t>
      </w:r>
      <w:r>
        <w:rPr>
          <w:rStyle w:val="EndnoteReference"/>
          <w:noProof/>
          <w:lang w:eastAsia="ko-KR"/>
        </w:rPr>
        <w:endnoteReference w:id="26"/>
      </w:r>
      <w:r w:rsidRPr="559B3A86">
        <w:rPr>
          <w:noProof/>
          <w:lang w:eastAsia="ko-KR"/>
        </w:rPr>
        <w:t>. This also applies to</w:t>
      </w:r>
      <w:r w:rsidRPr="334B2FAB">
        <w:rPr>
          <w:noProof/>
          <w:lang w:eastAsia="ko-KR"/>
        </w:rPr>
        <w:t xml:space="preserve"> future proposals that the Commission has committed to present in accordance with the interinstitutional agreement</w:t>
      </w:r>
      <w:r w:rsidR="0067416E">
        <w:rPr>
          <w:noProof/>
          <w:lang w:eastAsia="ko-KR"/>
        </w:rPr>
        <w:t xml:space="preserve"> (IIA)</w:t>
      </w:r>
      <w:r w:rsidR="007D4DE1">
        <w:rPr>
          <w:rStyle w:val="EndnoteReference"/>
          <w:noProof/>
          <w:lang w:eastAsia="ko-KR"/>
        </w:rPr>
        <w:endnoteReference w:id="27"/>
      </w:r>
      <w:r w:rsidRPr="334B2FAB">
        <w:rPr>
          <w:noProof/>
          <w:lang w:eastAsia="ko-KR"/>
        </w:rPr>
        <w:t>.</w:t>
      </w:r>
    </w:p>
    <w:p w14:paraId="275DAEC6" w14:textId="7F9B7B6D" w:rsidR="00791D78" w:rsidRDefault="00D66606" w:rsidP="00D66606">
      <w:pPr>
        <w:spacing w:after="120" w:line="276" w:lineRule="auto"/>
        <w:jc w:val="both"/>
        <w:rPr>
          <w:noProof/>
          <w:lang w:eastAsia="ko-KR"/>
        </w:rPr>
      </w:pPr>
      <w:r w:rsidRPr="2BE7F56B">
        <w:rPr>
          <w:noProof/>
          <w:lang w:eastAsia="ko-KR"/>
        </w:rPr>
        <w:t>On average for the period 202</w:t>
      </w:r>
      <w:r w:rsidRPr="11DC190F">
        <w:rPr>
          <w:noProof/>
          <w:lang w:eastAsia="ko-KR"/>
        </w:rPr>
        <w:t>3</w:t>
      </w:r>
      <w:r w:rsidRPr="2BE7F56B">
        <w:rPr>
          <w:noProof/>
          <w:lang w:eastAsia="ko-KR"/>
        </w:rPr>
        <w:t xml:space="preserve">-2027, national contributions are projected </w:t>
      </w:r>
      <w:r w:rsidRPr="007E5BEF">
        <w:rPr>
          <w:noProof/>
          <w:lang w:eastAsia="ko-KR"/>
        </w:rPr>
        <w:t xml:space="preserve">at </w:t>
      </w:r>
      <w:r w:rsidRPr="00010355">
        <w:rPr>
          <w:noProof/>
          <w:lang w:eastAsia="ko-KR"/>
        </w:rPr>
        <w:t>EUR 14</w:t>
      </w:r>
      <w:r w:rsidR="00323A30" w:rsidRPr="00010355">
        <w:rPr>
          <w:noProof/>
          <w:lang w:eastAsia="ko-KR"/>
        </w:rPr>
        <w:t>6</w:t>
      </w:r>
      <w:r w:rsidRPr="00010355">
        <w:rPr>
          <w:noProof/>
          <w:lang w:eastAsia="ko-KR"/>
        </w:rPr>
        <w:t> billion</w:t>
      </w:r>
      <w:r w:rsidRPr="007E5BEF">
        <w:rPr>
          <w:noProof/>
          <w:lang w:eastAsia="ko-KR"/>
        </w:rPr>
        <w:t xml:space="preserve"> per year or </w:t>
      </w:r>
      <w:r w:rsidRPr="00010355">
        <w:rPr>
          <w:noProof/>
          <w:lang w:eastAsia="ko-KR"/>
        </w:rPr>
        <w:t>0.</w:t>
      </w:r>
      <w:r w:rsidR="00323A30" w:rsidRPr="00010355">
        <w:rPr>
          <w:noProof/>
          <w:lang w:eastAsia="ko-KR"/>
        </w:rPr>
        <w:t>8</w:t>
      </w:r>
      <w:r w:rsidRPr="00010355">
        <w:rPr>
          <w:noProof/>
          <w:lang w:eastAsia="ko-KR"/>
        </w:rPr>
        <w:t>%</w:t>
      </w:r>
      <w:r w:rsidRPr="007E5BEF">
        <w:rPr>
          <w:noProof/>
          <w:lang w:eastAsia="ko-KR"/>
        </w:rPr>
        <w:t xml:space="preserve"> of</w:t>
      </w:r>
      <w:r w:rsidRPr="2BE7F56B">
        <w:rPr>
          <w:noProof/>
          <w:lang w:eastAsia="ko-KR"/>
        </w:rPr>
        <w:t xml:space="preserve"> the </w:t>
      </w:r>
      <w:r w:rsidRPr="2BE7F56B">
        <w:rPr>
          <w:noProof/>
        </w:rPr>
        <w:t xml:space="preserve">EU’s Gross National Income. The spending cycle and the phasing out of the United Kingdom contribution mainly determine the development of national contributions over the forecast period. </w:t>
      </w:r>
      <w:r w:rsidRPr="0031033C">
        <w:rPr>
          <w:noProof/>
          <w:lang w:eastAsia="ko-KR"/>
        </w:rPr>
        <w:t xml:space="preserve">From </w:t>
      </w:r>
      <w:r w:rsidR="00F724F2" w:rsidRPr="0031033C">
        <w:rPr>
          <w:noProof/>
          <w:lang w:eastAsia="ko-KR"/>
        </w:rPr>
        <w:t>202</w:t>
      </w:r>
      <w:r w:rsidR="00F724F2">
        <w:rPr>
          <w:noProof/>
          <w:lang w:eastAsia="ko-KR"/>
        </w:rPr>
        <w:t>5</w:t>
      </w:r>
      <w:r w:rsidR="00F724F2" w:rsidRPr="0031033C">
        <w:rPr>
          <w:noProof/>
          <w:lang w:eastAsia="ko-KR"/>
        </w:rPr>
        <w:t xml:space="preserve"> </w:t>
      </w:r>
      <w:r w:rsidRPr="0031033C">
        <w:rPr>
          <w:noProof/>
          <w:lang w:eastAsia="ko-KR"/>
        </w:rPr>
        <w:t>onwards, increasing expenditure resulting from the new programmes entering cruising speed and the United Kingdom contribution to the RAL phasing out will keep national contributions increasing steadily through 2027</w:t>
      </w:r>
      <w:r w:rsidR="00F724F2">
        <w:rPr>
          <w:noProof/>
          <w:lang w:eastAsia="ko-KR"/>
        </w:rPr>
        <w:t>.</w:t>
      </w:r>
    </w:p>
    <w:p w14:paraId="78D341BB" w14:textId="0ADB0BEC" w:rsidR="009F63E4" w:rsidRDefault="00D66606" w:rsidP="009F63E4">
      <w:pPr>
        <w:spacing w:after="120" w:line="276" w:lineRule="auto"/>
        <w:jc w:val="both"/>
        <w:rPr>
          <w:rStyle w:val="amprcharBoldBlue"/>
          <w:noProof/>
        </w:rPr>
      </w:pPr>
      <w:r w:rsidRPr="009F63E4">
        <w:rPr>
          <w:rStyle w:val="amprcharBoldBlue"/>
          <w:noProof/>
        </w:rPr>
        <w:t xml:space="preserve">Chart </w:t>
      </w:r>
      <w:r w:rsidR="007421B0">
        <w:rPr>
          <w:rStyle w:val="amprcharBoldBlue"/>
          <w:noProof/>
        </w:rPr>
        <w:t>5</w:t>
      </w:r>
      <w:r w:rsidRPr="009F63E4">
        <w:rPr>
          <w:rStyle w:val="amprcharBoldBlue"/>
          <w:noProof/>
        </w:rPr>
        <w:t xml:space="preserve"> - Revenue forecast for financing the MFF 2023-2027</w:t>
      </w:r>
      <w:r w:rsidR="008217C3">
        <w:rPr>
          <w:rStyle w:val="amprcharBoldBlue"/>
          <w:noProof/>
        </w:rPr>
        <w:t xml:space="preserve"> (in EUR billion)</w:t>
      </w:r>
    </w:p>
    <w:p w14:paraId="60979369" w14:textId="285D7706" w:rsidR="002E1AE4" w:rsidRPr="001E65D8" w:rsidRDefault="008217C3" w:rsidP="001E65D8">
      <w:pPr>
        <w:spacing w:after="120" w:line="276" w:lineRule="auto"/>
        <w:jc w:val="both"/>
        <w:rPr>
          <w:b/>
          <w:noProof/>
          <w:color w:val="215E94" w:themeColor="text2"/>
          <w:spacing w:val="1"/>
        </w:rPr>
      </w:pPr>
      <w:r>
        <w:rPr>
          <w:noProof/>
          <w:lang w:eastAsia="en-GB"/>
        </w:rPr>
        <mc:AlternateContent>
          <mc:Choice Requires="wpg">
            <w:drawing>
              <wp:anchor distT="0" distB="0" distL="114300" distR="114300" simplePos="0" relativeHeight="251668480" behindDoc="0" locked="0" layoutInCell="1" allowOverlap="1" wp14:anchorId="35340496" wp14:editId="51729F3C">
                <wp:simplePos x="0" y="0"/>
                <wp:positionH relativeFrom="column">
                  <wp:posOffset>4631947</wp:posOffset>
                </wp:positionH>
                <wp:positionV relativeFrom="paragraph">
                  <wp:posOffset>242948</wp:posOffset>
                </wp:positionV>
                <wp:extent cx="2001795" cy="2733314"/>
                <wp:effectExtent l="0" t="0" r="0" b="0"/>
                <wp:wrapNone/>
                <wp:docPr id="199" name="Group 199"/>
                <wp:cNvGraphicFramePr/>
                <a:graphic xmlns:a="http://schemas.openxmlformats.org/drawingml/2006/main">
                  <a:graphicData uri="http://schemas.microsoft.com/office/word/2010/wordprocessingGroup">
                    <wpg:wgp>
                      <wpg:cNvGrpSpPr/>
                      <wpg:grpSpPr>
                        <a:xfrm>
                          <a:off x="0" y="0"/>
                          <a:ext cx="2001795" cy="2733314"/>
                          <a:chOff x="0" y="199291"/>
                          <a:chExt cx="2001795" cy="2361595"/>
                        </a:xfrm>
                      </wpg:grpSpPr>
                      <wps:wsp>
                        <wps:cNvPr id="194" name="Text Box 2"/>
                        <wps:cNvSpPr txBox="1">
                          <a:spLocks noChangeArrowheads="1"/>
                        </wps:cNvSpPr>
                        <wps:spPr bwMode="auto">
                          <a:xfrm>
                            <a:off x="0" y="199291"/>
                            <a:ext cx="2001795" cy="369038"/>
                          </a:xfrm>
                          <a:prstGeom prst="rect">
                            <a:avLst/>
                          </a:prstGeom>
                          <a:noFill/>
                          <a:ln w="9525">
                            <a:noFill/>
                            <a:miter lim="800000"/>
                            <a:headEnd/>
                            <a:tailEnd/>
                          </a:ln>
                        </wps:spPr>
                        <wps:txbx>
                          <w:txbxContent>
                            <w:p w14:paraId="7FFFBF8C" w14:textId="7B1699A0" w:rsidR="00857477" w:rsidRPr="008217C3" w:rsidRDefault="00857477" w:rsidP="001E65D8">
                              <w:pPr>
                                <w:spacing w:before="0" w:after="0"/>
                                <w:rPr>
                                  <w:i/>
                                  <w:color w:val="808080" w:themeColor="background1" w:themeShade="80"/>
                                  <w:lang w:val="en-IE"/>
                                </w:rPr>
                              </w:pPr>
                              <w:r w:rsidRPr="008217C3">
                                <w:rPr>
                                  <w:i/>
                                  <w:color w:val="808080" w:themeColor="background1" w:themeShade="80"/>
                                  <w:lang w:val="en-IE"/>
                                </w:rPr>
                                <w:t>Own Resources ceiling 2.00% GNI</w:t>
                              </w:r>
                            </w:p>
                          </w:txbxContent>
                        </wps:txbx>
                        <wps:bodyPr rot="0" vert="horz" wrap="square" lIns="91440" tIns="45720" rIns="91440" bIns="45720" anchor="ctr" anchorCtr="0">
                          <a:noAutofit/>
                        </wps:bodyPr>
                      </wps:wsp>
                      <wps:wsp>
                        <wps:cNvPr id="195" name="Text Box 2"/>
                        <wps:cNvSpPr txBox="1">
                          <a:spLocks noChangeArrowheads="1"/>
                        </wps:cNvSpPr>
                        <wps:spPr bwMode="auto">
                          <a:xfrm>
                            <a:off x="0" y="716639"/>
                            <a:ext cx="2001795" cy="372342"/>
                          </a:xfrm>
                          <a:prstGeom prst="rect">
                            <a:avLst/>
                          </a:prstGeom>
                          <a:noFill/>
                          <a:ln w="9525">
                            <a:noFill/>
                            <a:miter lim="800000"/>
                            <a:headEnd/>
                            <a:tailEnd/>
                          </a:ln>
                        </wps:spPr>
                        <wps:txbx>
                          <w:txbxContent>
                            <w:p w14:paraId="0664BD4D" w14:textId="5A0B382C" w:rsidR="00857477" w:rsidRPr="008217C3" w:rsidRDefault="00857477" w:rsidP="001E65D8">
                              <w:pPr>
                                <w:spacing w:before="0" w:after="0"/>
                                <w:rPr>
                                  <w:i/>
                                  <w:color w:val="808080" w:themeColor="background1" w:themeShade="80"/>
                                  <w:lang w:val="en-IE"/>
                                </w:rPr>
                              </w:pPr>
                              <w:r w:rsidRPr="008217C3">
                                <w:rPr>
                                  <w:i/>
                                  <w:color w:val="808080" w:themeColor="background1" w:themeShade="80"/>
                                  <w:lang w:val="en-IE"/>
                                </w:rPr>
                                <w:t xml:space="preserve">Own Resources ceiling </w:t>
                              </w:r>
                              <w:r>
                                <w:rPr>
                                  <w:i/>
                                  <w:color w:val="808080" w:themeColor="background1" w:themeShade="80"/>
                                  <w:lang w:val="en-IE"/>
                                </w:rPr>
                                <w:t>1</w:t>
                              </w:r>
                              <w:r w:rsidRPr="008217C3">
                                <w:rPr>
                                  <w:i/>
                                  <w:color w:val="808080" w:themeColor="background1" w:themeShade="80"/>
                                  <w:lang w:val="en-IE"/>
                                </w:rPr>
                                <w:t>.</w:t>
                              </w:r>
                              <w:r>
                                <w:rPr>
                                  <w:i/>
                                  <w:color w:val="808080" w:themeColor="background1" w:themeShade="80"/>
                                  <w:lang w:val="en-IE"/>
                                </w:rPr>
                                <w:t>4</w:t>
                              </w:r>
                              <w:r w:rsidRPr="008217C3">
                                <w:rPr>
                                  <w:i/>
                                  <w:color w:val="808080" w:themeColor="background1" w:themeShade="80"/>
                                  <w:lang w:val="en-IE"/>
                                </w:rPr>
                                <w:t>0% GNI</w:t>
                              </w:r>
                            </w:p>
                          </w:txbxContent>
                        </wps:txbx>
                        <wps:bodyPr rot="0" vert="horz" wrap="square" lIns="91440" tIns="45720" rIns="91440" bIns="45720" anchor="ctr" anchorCtr="0">
                          <a:noAutofit/>
                        </wps:bodyPr>
                      </wps:wsp>
                      <wps:wsp>
                        <wps:cNvPr id="196" name="Text Box 2"/>
                        <wps:cNvSpPr txBox="1">
                          <a:spLocks noChangeArrowheads="1"/>
                        </wps:cNvSpPr>
                        <wps:spPr bwMode="auto">
                          <a:xfrm>
                            <a:off x="0" y="1318054"/>
                            <a:ext cx="2001795" cy="568411"/>
                          </a:xfrm>
                          <a:prstGeom prst="rect">
                            <a:avLst/>
                          </a:prstGeom>
                          <a:noFill/>
                          <a:ln w="9525">
                            <a:noFill/>
                            <a:miter lim="800000"/>
                            <a:headEnd/>
                            <a:tailEnd/>
                          </a:ln>
                        </wps:spPr>
                        <wps:txbx>
                          <w:txbxContent>
                            <w:p w14:paraId="43310347" w14:textId="50ED9472" w:rsidR="00857477" w:rsidRPr="008217C3" w:rsidRDefault="00857477" w:rsidP="008217C3">
                              <w:pPr>
                                <w:rPr>
                                  <w:b/>
                                  <w:color w:val="215E94"/>
                                  <w:lang w:val="en-IE"/>
                                </w:rPr>
                              </w:pPr>
                              <w:r w:rsidRPr="008217C3">
                                <w:rPr>
                                  <w:b/>
                                  <w:color w:val="215E94"/>
                                  <w:lang w:val="en-IE"/>
                                </w:rPr>
                                <w:t>National contributions</w:t>
                              </w:r>
                            </w:p>
                          </w:txbxContent>
                        </wps:txbx>
                        <wps:bodyPr rot="0" vert="horz" wrap="square" lIns="91440" tIns="45720" rIns="91440" bIns="45720" anchor="ctr" anchorCtr="0">
                          <a:noAutofit/>
                        </wps:bodyPr>
                      </wps:wsp>
                      <wps:wsp>
                        <wps:cNvPr id="197" name="Text Box 2"/>
                        <wps:cNvSpPr txBox="1">
                          <a:spLocks noChangeArrowheads="1"/>
                        </wps:cNvSpPr>
                        <wps:spPr bwMode="auto">
                          <a:xfrm>
                            <a:off x="0" y="2150075"/>
                            <a:ext cx="2001520" cy="237867"/>
                          </a:xfrm>
                          <a:prstGeom prst="rect">
                            <a:avLst/>
                          </a:prstGeom>
                          <a:noFill/>
                          <a:ln w="9525">
                            <a:noFill/>
                            <a:miter lim="800000"/>
                            <a:headEnd/>
                            <a:tailEnd/>
                          </a:ln>
                        </wps:spPr>
                        <wps:txbx>
                          <w:txbxContent>
                            <w:p w14:paraId="3F600376" w14:textId="726D9283" w:rsidR="00857477" w:rsidRPr="008217C3" w:rsidRDefault="00857477" w:rsidP="008217C3">
                              <w:pPr>
                                <w:spacing w:before="0" w:after="0"/>
                                <w:rPr>
                                  <w:b/>
                                  <w:color w:val="C56829"/>
                                  <w:sz w:val="18"/>
                                  <w:lang w:val="en-IE"/>
                                </w:rPr>
                              </w:pPr>
                              <w:r w:rsidRPr="008217C3">
                                <w:rPr>
                                  <w:b/>
                                  <w:color w:val="C56829"/>
                                  <w:sz w:val="18"/>
                                  <w:lang w:val="en-IE"/>
                                </w:rPr>
                                <w:t>Traditional own resources (net)</w:t>
                              </w:r>
                            </w:p>
                          </w:txbxContent>
                        </wps:txbx>
                        <wps:bodyPr rot="0" vert="horz" wrap="square" lIns="91440" tIns="45720" rIns="91440" bIns="45720" anchor="ctr" anchorCtr="0">
                          <a:noAutofit/>
                        </wps:bodyPr>
                      </wps:wsp>
                      <wps:wsp>
                        <wps:cNvPr id="198" name="Text Box 2"/>
                        <wps:cNvSpPr txBox="1">
                          <a:spLocks noChangeArrowheads="1"/>
                        </wps:cNvSpPr>
                        <wps:spPr bwMode="auto">
                          <a:xfrm>
                            <a:off x="0" y="2339546"/>
                            <a:ext cx="2001795" cy="221340"/>
                          </a:xfrm>
                          <a:prstGeom prst="rect">
                            <a:avLst/>
                          </a:prstGeom>
                          <a:noFill/>
                          <a:ln w="9525">
                            <a:noFill/>
                            <a:miter lim="800000"/>
                            <a:headEnd/>
                            <a:tailEnd/>
                          </a:ln>
                        </wps:spPr>
                        <wps:txbx>
                          <w:txbxContent>
                            <w:p w14:paraId="1729FDCD" w14:textId="65FD2AD3" w:rsidR="00857477" w:rsidRPr="008217C3" w:rsidRDefault="00857477" w:rsidP="008217C3">
                              <w:pPr>
                                <w:spacing w:before="0" w:after="0"/>
                                <w:rPr>
                                  <w:b/>
                                  <w:color w:val="109146"/>
                                  <w:sz w:val="18"/>
                                  <w:lang w:val="en-IE"/>
                                </w:rPr>
                              </w:pPr>
                              <w:r w:rsidRPr="008217C3">
                                <w:rPr>
                                  <w:b/>
                                  <w:color w:val="109146"/>
                                  <w:sz w:val="18"/>
                                  <w:lang w:val="en-IE"/>
                                </w:rPr>
                                <w:t>Other revenue</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5340496" id="Group 199" o:spid="_x0000_s1044" style="position:absolute;left:0;text-align:left;margin-left:364.7pt;margin-top:19.15pt;width:157.6pt;height:215.2pt;z-index:251668480;mso-height-relative:margin" coordorigin=",1992" coordsize="20017,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">
                <v:shape id="_x0000_s1045" type="#_x0000_t202" style="position:absolute;top:1992;width:20017;height:3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HewgAAANwAAAAPAAAAZHJzL2Rvd25yZXYueG1sRE/dasIw&#10;FL4f7B3CGexmzNQh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DKL4HewgAAANwAAAAPAAAA&#10;AAAAAAAAAAAAAAcCAABkcnMvZG93bnJldi54bWxQSwUGAAAAAAMAAwC3AAAA9gIAAAAA&#10;" filled="f" stroked="f">
                  <v:textbox>
                    <w:txbxContent>
                      <w:p w14:paraId="7FFFBF8C" w14:textId="7B1699A0" w:rsidR="00857477" w:rsidRPr="008217C3" w:rsidRDefault="00857477" w:rsidP="001E65D8">
                        <w:pPr>
                          <w:spacing w:before="0" w:after="0"/>
                          <w:rPr>
                            <w:i/>
                            <w:color w:val="808080" w:themeColor="background1" w:themeShade="80"/>
                            <w:lang w:val="en-IE"/>
                          </w:rPr>
                        </w:pPr>
                        <w:r w:rsidRPr="008217C3">
                          <w:rPr>
                            <w:i/>
                            <w:color w:val="808080" w:themeColor="background1" w:themeShade="80"/>
                            <w:lang w:val="en-IE"/>
                          </w:rPr>
                          <w:t>Own Resources ceiling 2.00% GNI</w:t>
                        </w:r>
                      </w:p>
                    </w:txbxContent>
                  </v:textbox>
                </v:shape>
                <v:shape id="_x0000_s1046" type="#_x0000_t202" style="position:absolute;top:7166;width:20017;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RFwgAAANwAAAAPAAAAZHJzL2Rvd25yZXYueG1sRE/dasIw&#10;FL4f7B3CGexmzNSB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ClYyRFwgAAANwAAAAPAAAA&#10;AAAAAAAAAAAAAAcCAABkcnMvZG93bnJldi54bWxQSwUGAAAAAAMAAwC3AAAA9gIAAAAA&#10;" filled="f" stroked="f">
                  <v:textbox>
                    <w:txbxContent>
                      <w:p w14:paraId="0664BD4D" w14:textId="5A0B382C" w:rsidR="00857477" w:rsidRPr="008217C3" w:rsidRDefault="00857477" w:rsidP="001E65D8">
                        <w:pPr>
                          <w:spacing w:before="0" w:after="0"/>
                          <w:rPr>
                            <w:i/>
                            <w:color w:val="808080" w:themeColor="background1" w:themeShade="80"/>
                            <w:lang w:val="en-IE"/>
                          </w:rPr>
                        </w:pPr>
                        <w:r w:rsidRPr="008217C3">
                          <w:rPr>
                            <w:i/>
                            <w:color w:val="808080" w:themeColor="background1" w:themeShade="80"/>
                            <w:lang w:val="en-IE"/>
                          </w:rPr>
                          <w:t xml:space="preserve">Own Resources ceiling </w:t>
                        </w:r>
                        <w:r>
                          <w:rPr>
                            <w:i/>
                            <w:color w:val="808080" w:themeColor="background1" w:themeShade="80"/>
                            <w:lang w:val="en-IE"/>
                          </w:rPr>
                          <w:t>1</w:t>
                        </w:r>
                        <w:r w:rsidRPr="008217C3">
                          <w:rPr>
                            <w:i/>
                            <w:color w:val="808080" w:themeColor="background1" w:themeShade="80"/>
                            <w:lang w:val="en-IE"/>
                          </w:rPr>
                          <w:t>.</w:t>
                        </w:r>
                        <w:r>
                          <w:rPr>
                            <w:i/>
                            <w:color w:val="808080" w:themeColor="background1" w:themeShade="80"/>
                            <w:lang w:val="en-IE"/>
                          </w:rPr>
                          <w:t>4</w:t>
                        </w:r>
                        <w:r w:rsidRPr="008217C3">
                          <w:rPr>
                            <w:i/>
                            <w:color w:val="808080" w:themeColor="background1" w:themeShade="80"/>
                            <w:lang w:val="en-IE"/>
                          </w:rPr>
                          <w:t>0% GNI</w:t>
                        </w:r>
                      </w:p>
                    </w:txbxContent>
                  </v:textbox>
                </v:shape>
                <v:shape id="_x0000_s1047" type="#_x0000_t202" style="position:absolute;top:13180;width:20017;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" filled="f" stroked="f">
                  <v:textbox>
                    <w:txbxContent>
                      <w:p w14:paraId="43310347" w14:textId="50ED9472" w:rsidR="00857477" w:rsidRPr="008217C3" w:rsidRDefault="00857477" w:rsidP="008217C3">
                        <w:pPr>
                          <w:rPr>
                            <w:b/>
                            <w:color w:val="215E94"/>
                            <w:lang w:val="en-IE"/>
                          </w:rPr>
                        </w:pPr>
                        <w:r w:rsidRPr="008217C3">
                          <w:rPr>
                            <w:b/>
                            <w:color w:val="215E94"/>
                            <w:lang w:val="en-IE"/>
                          </w:rPr>
                          <w:t>National contributions</w:t>
                        </w:r>
                      </w:p>
                    </w:txbxContent>
                  </v:textbox>
                </v:shape>
                <v:shape id="_x0000_s1048" type="#_x0000_t202" style="position:absolute;top:21500;width:20015;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" filled="f" stroked="f">
                  <v:textbox>
                    <w:txbxContent>
                      <w:p w14:paraId="3F600376" w14:textId="726D9283" w:rsidR="00857477" w:rsidRPr="008217C3" w:rsidRDefault="00857477" w:rsidP="008217C3">
                        <w:pPr>
                          <w:spacing w:before="0" w:after="0"/>
                          <w:rPr>
                            <w:b/>
                            <w:color w:val="C56829"/>
                            <w:sz w:val="18"/>
                            <w:lang w:val="en-IE"/>
                          </w:rPr>
                        </w:pPr>
                        <w:r w:rsidRPr="008217C3">
                          <w:rPr>
                            <w:b/>
                            <w:color w:val="C56829"/>
                            <w:sz w:val="18"/>
                            <w:lang w:val="en-IE"/>
                          </w:rPr>
                          <w:t>Traditional own resources (net)</w:t>
                        </w:r>
                      </w:p>
                    </w:txbxContent>
                  </v:textbox>
                </v:shape>
                <v:shape id="_x0000_s1049" type="#_x0000_t202" style="position:absolute;top:23395;width:20017;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" filled="f" stroked="f">
                  <v:textbox>
                    <w:txbxContent>
                      <w:p w14:paraId="1729FDCD" w14:textId="65FD2AD3" w:rsidR="00857477" w:rsidRPr="008217C3" w:rsidRDefault="00857477" w:rsidP="008217C3">
                        <w:pPr>
                          <w:spacing w:before="0" w:after="0"/>
                          <w:rPr>
                            <w:b/>
                            <w:color w:val="109146"/>
                            <w:sz w:val="18"/>
                            <w:lang w:val="en-IE"/>
                          </w:rPr>
                        </w:pPr>
                        <w:r w:rsidRPr="008217C3">
                          <w:rPr>
                            <w:b/>
                            <w:color w:val="109146"/>
                            <w:sz w:val="18"/>
                            <w:lang w:val="en-IE"/>
                          </w:rPr>
                          <w:t>Other revenue</w:t>
                        </w:r>
                      </w:p>
                    </w:txbxContent>
                  </v:textbox>
                </v:shape>
              </v:group>
            </w:pict>
          </mc:Fallback>
        </mc:AlternateContent>
      </w:r>
      <w:r w:rsidR="001E65D8">
        <w:rPr>
          <w:rStyle w:val="amprcharBoldBlue"/>
          <w:noProof/>
          <w:lang w:eastAsia="en-GB"/>
        </w:rPr>
        <w:drawing>
          <wp:inline distT="0" distB="0" distL="0" distR="0" wp14:anchorId="01199D5D" wp14:editId="72B0701F">
            <wp:extent cx="4834255" cy="315785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4255" cy="3157855"/>
                    </a:xfrm>
                    <a:prstGeom prst="rect">
                      <a:avLst/>
                    </a:prstGeom>
                    <a:noFill/>
                  </pic:spPr>
                </pic:pic>
              </a:graphicData>
            </a:graphic>
          </wp:inline>
        </w:drawing>
      </w:r>
      <w:r w:rsidR="00857A77" w:rsidRPr="0024790E" w:rsidDel="00857A77">
        <w:rPr>
          <w:noProof/>
          <w:color w:val="FF0000"/>
          <w:highlight w:val="yellow"/>
          <w:shd w:val="clear" w:color="auto" w:fill="E6E6E6"/>
          <w:lang w:val="en-IE" w:eastAsia="en-IE"/>
        </w:rPr>
        <w:t xml:space="preserve"> </w:t>
      </w:r>
    </w:p>
    <w:p w14:paraId="22FBAD09" w14:textId="7D3075A3" w:rsidR="00D66606" w:rsidRPr="00A225DB" w:rsidRDefault="00D66606" w:rsidP="00D66606">
      <w:pPr>
        <w:spacing w:after="120" w:line="276" w:lineRule="auto"/>
        <w:jc w:val="both"/>
        <w:rPr>
          <w:noProof/>
        </w:rPr>
      </w:pPr>
      <w:r w:rsidRPr="5B99BBCB">
        <w:rPr>
          <w:noProof/>
        </w:rPr>
        <w:t xml:space="preserve">In any given year, the total own resources collected by the Union may not exceed the </w:t>
      </w:r>
      <w:r w:rsidRPr="11DC190F">
        <w:rPr>
          <w:noProof/>
        </w:rPr>
        <w:t>o</w:t>
      </w:r>
      <w:r w:rsidRPr="5B99BBCB">
        <w:rPr>
          <w:noProof/>
        </w:rPr>
        <w:t xml:space="preserve">wn </w:t>
      </w:r>
      <w:r w:rsidRPr="11DC190F">
        <w:rPr>
          <w:noProof/>
        </w:rPr>
        <w:t>r</w:t>
      </w:r>
      <w:r w:rsidRPr="5B99BBCB">
        <w:rPr>
          <w:noProof/>
        </w:rPr>
        <w:t xml:space="preserve">esources ceiling set in the </w:t>
      </w:r>
      <w:r w:rsidRPr="11DC190F">
        <w:rPr>
          <w:noProof/>
        </w:rPr>
        <w:t>Own Resources Decision</w:t>
      </w:r>
      <w:r w:rsidRPr="57F8CA25">
        <w:rPr>
          <w:rStyle w:val="EndnoteReference"/>
          <w:noProof/>
        </w:rPr>
        <w:endnoteReference w:id="28"/>
      </w:r>
      <w:r>
        <w:rPr>
          <w:noProof/>
        </w:rPr>
        <w:t xml:space="preserve"> </w:t>
      </w:r>
      <w:r w:rsidRPr="11DC190F">
        <w:rPr>
          <w:noProof/>
        </w:rPr>
        <w:t>of 1.40% of Gross National Income of the EU Member States, with an additional t</w:t>
      </w:r>
      <w:r w:rsidRPr="5B99BBCB">
        <w:rPr>
          <w:noProof/>
        </w:rPr>
        <w:t xml:space="preserve">emporary increase of 0.6% of EU GNI for covering all liabilities of the Union from the borrowing on the capital markets to fund NextGenerationEU. </w:t>
      </w:r>
      <w:r>
        <w:rPr>
          <w:noProof/>
        </w:rPr>
        <w:t xml:space="preserve">While own resources are projected to grow steadily until 2027, the available margin under the Own Resources </w:t>
      </w:r>
      <w:r w:rsidR="0024790E">
        <w:rPr>
          <w:noProof/>
        </w:rPr>
        <w:t>celling</w:t>
      </w:r>
      <w:r>
        <w:rPr>
          <w:noProof/>
        </w:rPr>
        <w:t xml:space="preserve"> (so called </w:t>
      </w:r>
      <w:r w:rsidR="0067416E">
        <w:rPr>
          <w:noProof/>
        </w:rPr>
        <w:t>“</w:t>
      </w:r>
      <w:r>
        <w:rPr>
          <w:noProof/>
        </w:rPr>
        <w:t>headroom</w:t>
      </w:r>
      <w:r w:rsidR="0067416E">
        <w:rPr>
          <w:noProof/>
        </w:rPr>
        <w:t>”</w:t>
      </w:r>
      <w:r>
        <w:rPr>
          <w:noProof/>
        </w:rPr>
        <w:t xml:space="preserve">) </w:t>
      </w:r>
      <w:r w:rsidR="00857A77">
        <w:rPr>
          <w:noProof/>
        </w:rPr>
        <w:t xml:space="preserve">is </w:t>
      </w:r>
      <w:r w:rsidR="00DC09E1">
        <w:rPr>
          <w:noProof/>
        </w:rPr>
        <w:t>expected to remain largely</w:t>
      </w:r>
      <w:r>
        <w:rPr>
          <w:noProof/>
        </w:rPr>
        <w:t xml:space="preserve"> stable </w:t>
      </w:r>
      <w:r w:rsidR="00DC09E1">
        <w:rPr>
          <w:noProof/>
        </w:rPr>
        <w:t>as</w:t>
      </w:r>
      <w:r>
        <w:rPr>
          <w:noProof/>
        </w:rPr>
        <w:t xml:space="preserve"> the Union’s </w:t>
      </w:r>
      <w:r w:rsidRPr="11DC190F">
        <w:rPr>
          <w:noProof/>
        </w:rPr>
        <w:t>Gross National Income</w:t>
      </w:r>
      <w:r w:rsidR="00DC09E1">
        <w:rPr>
          <w:noProof/>
        </w:rPr>
        <w:t xml:space="preserve"> is expected to increase gradually over the reference period</w:t>
      </w:r>
      <w:r w:rsidR="00F56049">
        <w:rPr>
          <w:rStyle w:val="EndnoteReference"/>
          <w:noProof/>
        </w:rPr>
        <w:endnoteReference w:id="29"/>
      </w:r>
      <w:r>
        <w:rPr>
          <w:noProof/>
        </w:rPr>
        <w:t xml:space="preserve">. </w:t>
      </w:r>
      <w:r w:rsidR="00DC09E1">
        <w:rPr>
          <w:noProof/>
        </w:rPr>
        <w:t>T</w:t>
      </w:r>
      <w:r>
        <w:rPr>
          <w:noProof/>
        </w:rPr>
        <w:t>he headroom stands</w:t>
      </w:r>
      <w:r w:rsidR="00DC09E1">
        <w:rPr>
          <w:noProof/>
        </w:rPr>
        <w:t xml:space="preserve"> on average</w:t>
      </w:r>
      <w:r>
        <w:rPr>
          <w:noProof/>
        </w:rPr>
        <w:t xml:space="preserve"> at </w:t>
      </w:r>
      <w:r w:rsidRPr="00010355">
        <w:rPr>
          <w:noProof/>
        </w:rPr>
        <w:t xml:space="preserve">EUR </w:t>
      </w:r>
      <w:r w:rsidR="00857A77" w:rsidRPr="00010355">
        <w:rPr>
          <w:noProof/>
        </w:rPr>
        <w:t xml:space="preserve">187 </w:t>
      </w:r>
      <w:r w:rsidRPr="00010355">
        <w:rPr>
          <w:noProof/>
        </w:rPr>
        <w:t>billion</w:t>
      </w:r>
      <w:r w:rsidR="00DC09E1" w:rsidRPr="007E5BEF">
        <w:rPr>
          <w:noProof/>
        </w:rPr>
        <w:t xml:space="preserve"> over the period</w:t>
      </w:r>
      <w:r w:rsidRPr="007E5BEF">
        <w:rPr>
          <w:noProof/>
        </w:rPr>
        <w:t xml:space="preserve">, of which </w:t>
      </w:r>
      <w:r w:rsidRPr="00010355">
        <w:rPr>
          <w:noProof/>
        </w:rPr>
        <w:t>EUR</w:t>
      </w:r>
      <w:r w:rsidR="00857A77" w:rsidRPr="00010355">
        <w:rPr>
          <w:rFonts w:ascii="Calibri" w:hAnsi="Calibri" w:cs="Calibri"/>
          <w:noProof/>
        </w:rPr>
        <w:t> </w:t>
      </w:r>
      <w:r w:rsidR="00857A77" w:rsidRPr="00010355">
        <w:rPr>
          <w:noProof/>
        </w:rPr>
        <w:t xml:space="preserve">104 </w:t>
      </w:r>
      <w:r w:rsidRPr="00010355">
        <w:rPr>
          <w:noProof/>
        </w:rPr>
        <w:t>billion</w:t>
      </w:r>
      <w:r>
        <w:rPr>
          <w:noProof/>
        </w:rPr>
        <w:t xml:space="preserve"> for the increase of NextGenerationEU. </w:t>
      </w:r>
    </w:p>
    <w:p w14:paraId="2C29EB24" w14:textId="1FA3A031" w:rsidR="00D66606" w:rsidRDefault="00D66606" w:rsidP="00D66606">
      <w:pPr>
        <w:spacing w:after="120" w:line="276" w:lineRule="auto"/>
        <w:jc w:val="both"/>
        <w:rPr>
          <w:noProof/>
        </w:rPr>
      </w:pPr>
      <w:r w:rsidRPr="00B816CD">
        <w:rPr>
          <w:noProof/>
        </w:rPr>
        <w:t xml:space="preserve">The EU budget is providing for the payments of interests </w:t>
      </w:r>
      <w:r w:rsidRPr="003C47AC">
        <w:rPr>
          <w:noProof/>
        </w:rPr>
        <w:t xml:space="preserve">on the funds </w:t>
      </w:r>
      <w:r w:rsidRPr="00B816CD">
        <w:rPr>
          <w:noProof/>
        </w:rPr>
        <w:t xml:space="preserve">borrowed </w:t>
      </w:r>
      <w:r w:rsidRPr="003C47AC">
        <w:rPr>
          <w:noProof/>
        </w:rPr>
        <w:t>and allocated to non-repayable support</w:t>
      </w:r>
      <w:r w:rsidRPr="00B816CD">
        <w:rPr>
          <w:noProof/>
        </w:rPr>
        <w:t xml:space="preserve"> under NextGenerationEU since borrowing started in 2021</w:t>
      </w:r>
      <w:r w:rsidRPr="003C47AC">
        <w:rPr>
          <w:noProof/>
        </w:rPr>
        <w:t>. The own resources necessary to finance those costs are counted within the temporary increase of 0.6% of EU GNI of the Own Resources ceiling. Over 2021-2027</w:t>
      </w:r>
      <w:r>
        <w:rPr>
          <w:noProof/>
        </w:rPr>
        <w:t>,</w:t>
      </w:r>
      <w:r w:rsidRPr="003C47AC">
        <w:rPr>
          <w:noProof/>
        </w:rPr>
        <w:t xml:space="preserve"> a total of EUR 14.7 billion is planned </w:t>
      </w:r>
      <w:r>
        <w:rPr>
          <w:noProof/>
        </w:rPr>
        <w:t>to</w:t>
      </w:r>
      <w:r w:rsidRPr="003C47AC">
        <w:rPr>
          <w:noProof/>
        </w:rPr>
        <w:t xml:space="preserve"> financ</w:t>
      </w:r>
      <w:r>
        <w:rPr>
          <w:noProof/>
        </w:rPr>
        <w:t>e</w:t>
      </w:r>
      <w:r w:rsidRPr="003C47AC">
        <w:rPr>
          <w:noProof/>
        </w:rPr>
        <w:t xml:space="preserve"> the costs of NextGenerationEU</w:t>
      </w:r>
      <w:r w:rsidRPr="003C47AC">
        <w:rPr>
          <w:noProof/>
          <w:vertAlign w:val="superscript"/>
        </w:rPr>
        <w:endnoteReference w:id="30"/>
      </w:r>
      <w:r w:rsidRPr="003C47AC">
        <w:rPr>
          <w:noProof/>
        </w:rPr>
        <w:t xml:space="preserve">. </w:t>
      </w:r>
      <w:r>
        <w:rPr>
          <w:noProof/>
        </w:rPr>
        <w:t>T</w:t>
      </w:r>
      <w:r w:rsidRPr="003C47AC">
        <w:rPr>
          <w:noProof/>
        </w:rPr>
        <w:t>he planned costs follow a backloaded profile to reflect the progressive rollout of borrowing.</w:t>
      </w:r>
      <w:r w:rsidRPr="00B816CD">
        <w:rPr>
          <w:noProof/>
        </w:rPr>
        <w:t xml:space="preserve"> At the same time, there are uncertainties related to </w:t>
      </w:r>
      <w:r w:rsidR="002923E5">
        <w:rPr>
          <w:noProof/>
        </w:rPr>
        <w:t>the financing cost of NGEU</w:t>
      </w:r>
      <w:r w:rsidRPr="00B816CD">
        <w:rPr>
          <w:noProof/>
        </w:rPr>
        <w:t xml:space="preserve"> in light of </w:t>
      </w:r>
      <w:r w:rsidR="00C97A59" w:rsidRPr="00C97A59">
        <w:rPr>
          <w:noProof/>
        </w:rPr>
        <w:t>the rapid and substantial increase of interest rates on the financial markets since December 2021</w:t>
      </w:r>
      <w:r w:rsidRPr="00B816CD">
        <w:rPr>
          <w:noProof/>
        </w:rPr>
        <w:t>.</w:t>
      </w:r>
      <w:bookmarkStart w:id="62" w:name="_Toc71745280"/>
      <w:bookmarkStart w:id="63" w:name="_Toc524523073"/>
      <w:bookmarkEnd w:id="62"/>
    </w:p>
    <w:p w14:paraId="5F2E98BF" w14:textId="77777777" w:rsidR="00D66606" w:rsidRPr="009F63E4" w:rsidRDefault="00D66606" w:rsidP="009F63E4">
      <w:pPr>
        <w:pStyle w:val="amprH2TITLE1-Numbered-1"/>
        <w:rPr>
          <w:noProof/>
        </w:rPr>
      </w:pPr>
      <w:bookmarkStart w:id="64" w:name="_Toc105504511"/>
      <w:r w:rsidRPr="009F63E4">
        <w:rPr>
          <w:noProof/>
        </w:rPr>
        <w:t>Conclusions</w:t>
      </w:r>
      <w:bookmarkEnd w:id="63"/>
      <w:bookmarkEnd w:id="64"/>
    </w:p>
    <w:p w14:paraId="19A6BAF8" w14:textId="751D1ADB" w:rsidR="00D66606" w:rsidRDefault="00D66606" w:rsidP="00D66606">
      <w:pPr>
        <w:spacing w:after="120" w:line="276" w:lineRule="auto"/>
        <w:jc w:val="both"/>
        <w:rPr>
          <w:noProof/>
        </w:rPr>
      </w:pPr>
      <w:r w:rsidRPr="009F63E4">
        <w:rPr>
          <w:rStyle w:val="amprcharBoldBlue"/>
          <w:noProof/>
        </w:rPr>
        <w:t xml:space="preserve">The present forecast is drawn up in a context of high uncertainty </w:t>
      </w:r>
      <w:r w:rsidR="00F56049">
        <w:rPr>
          <w:rStyle w:val="amprcharBoldBlue"/>
          <w:noProof/>
        </w:rPr>
        <w:t>resulting from</w:t>
      </w:r>
      <w:r w:rsidRPr="009F63E4">
        <w:rPr>
          <w:rStyle w:val="amprcharBoldBlue"/>
          <w:noProof/>
        </w:rPr>
        <w:t xml:space="preserve"> the war in Ukraine.</w:t>
      </w:r>
      <w:r>
        <w:rPr>
          <w:noProof/>
        </w:rPr>
        <w:t xml:space="preserve"> The initiatives already put forward for supporting Member States and specific sectors facilitate full absorption and accelerated payments for ongoing programmes. External financing instruments are making more funding available for Ukraine and the neighbouring partner countries. Going forward, demands are expected to remain </w:t>
      </w:r>
      <w:r w:rsidR="0067416E">
        <w:rPr>
          <w:noProof/>
        </w:rPr>
        <w:t>high</w:t>
      </w:r>
      <w:r>
        <w:rPr>
          <w:noProof/>
        </w:rPr>
        <w:t xml:space="preserve"> implying advanced disbursements from the relevant EU budget instruments, as reflected in the forecast. </w:t>
      </w:r>
    </w:p>
    <w:p w14:paraId="66954B32" w14:textId="74598029" w:rsidR="00D66606" w:rsidRDefault="00D66606" w:rsidP="00D66606">
      <w:pPr>
        <w:spacing w:after="120" w:line="276" w:lineRule="auto"/>
        <w:jc w:val="both"/>
        <w:rPr>
          <w:noProof/>
        </w:rPr>
      </w:pPr>
      <w:r w:rsidRPr="009F63E4">
        <w:rPr>
          <w:rStyle w:val="amprcharBoldBlue"/>
          <w:noProof/>
        </w:rPr>
        <w:t>The MFF payment ceiling remains sufficient to cover the projected payments in each of the next five years thanks to the MFF mechanisms for automatic adjustment</w:t>
      </w:r>
      <w:r>
        <w:rPr>
          <w:noProof/>
        </w:rPr>
        <w:t xml:space="preserve">, notably the possibility to transfer </w:t>
      </w:r>
      <w:r w:rsidR="0024790E">
        <w:rPr>
          <w:noProof/>
        </w:rPr>
        <w:t>unused</w:t>
      </w:r>
      <w:r>
        <w:rPr>
          <w:noProof/>
        </w:rPr>
        <w:t xml:space="preserve"> amounts towards the end of th</w:t>
      </w:r>
      <w:r w:rsidR="0024790E">
        <w:rPr>
          <w:noProof/>
        </w:rPr>
        <w:t>e period when needs will peak. However, t</w:t>
      </w:r>
      <w:r>
        <w:rPr>
          <w:noProof/>
        </w:rPr>
        <w:t xml:space="preserve">he net margin over 2023-2027 </w:t>
      </w:r>
      <w:r w:rsidR="0024790E">
        <w:rPr>
          <w:noProof/>
        </w:rPr>
        <w:t xml:space="preserve">is </w:t>
      </w:r>
      <w:r w:rsidR="007C6252">
        <w:rPr>
          <w:noProof/>
        </w:rPr>
        <w:t xml:space="preserve">roughly </w:t>
      </w:r>
      <w:r w:rsidR="0024790E" w:rsidRPr="00197FE3">
        <w:rPr>
          <w:noProof/>
        </w:rPr>
        <w:t xml:space="preserve">EUR </w:t>
      </w:r>
      <w:r w:rsidR="007C6252" w:rsidRPr="00197FE3">
        <w:rPr>
          <w:noProof/>
        </w:rPr>
        <w:t>1.3</w:t>
      </w:r>
      <w:r w:rsidR="0024790E" w:rsidRPr="00197FE3">
        <w:rPr>
          <w:noProof/>
        </w:rPr>
        <w:t xml:space="preserve"> billion.</w:t>
      </w:r>
      <w:r w:rsidR="0024790E">
        <w:rPr>
          <w:noProof/>
        </w:rPr>
        <w:t xml:space="preserve"> Its size will have to be closely monitored going forwards, especially to measure the potential effects of new policy initiatives or </w:t>
      </w:r>
      <w:r w:rsidR="003A1CCD">
        <w:rPr>
          <w:noProof/>
        </w:rPr>
        <w:t xml:space="preserve">of </w:t>
      </w:r>
      <w:r w:rsidR="0024790E">
        <w:rPr>
          <w:noProof/>
        </w:rPr>
        <w:t xml:space="preserve">further </w:t>
      </w:r>
      <w:r>
        <w:rPr>
          <w:noProof/>
        </w:rPr>
        <w:t>acceleration of payments for ongoing programmes</w:t>
      </w:r>
      <w:r w:rsidR="003A1CCD">
        <w:rPr>
          <w:noProof/>
        </w:rPr>
        <w:t>.</w:t>
      </w:r>
    </w:p>
    <w:p w14:paraId="449619A4" w14:textId="76E900C1" w:rsidR="003A1CCD" w:rsidRDefault="003A1CCD" w:rsidP="00D66606">
      <w:pPr>
        <w:spacing w:after="120" w:line="276" w:lineRule="auto"/>
        <w:jc w:val="both"/>
        <w:rPr>
          <w:noProof/>
        </w:rPr>
      </w:pPr>
      <w:r w:rsidRPr="009F63E4">
        <w:rPr>
          <w:rStyle w:val="amprcharBoldBlue"/>
          <w:noProof/>
        </w:rPr>
        <w:t xml:space="preserve">While the completion of ongoing programmes has advanced, the late adoption of the legislative package of the 2021-2027 MFF triggered by the COVID-19 pandemic has given rise to more delays </w:t>
      </w:r>
      <w:r>
        <w:rPr>
          <w:rStyle w:val="amprcharBoldBlue"/>
          <w:noProof/>
        </w:rPr>
        <w:t xml:space="preserve">at the start of the MFF </w:t>
      </w:r>
      <w:r w:rsidRPr="009F63E4">
        <w:rPr>
          <w:rStyle w:val="amprcharBoldBlue"/>
          <w:noProof/>
        </w:rPr>
        <w:t>and higher de-commitment risks</w:t>
      </w:r>
      <w:r>
        <w:rPr>
          <w:b/>
          <w:bCs/>
          <w:noProof/>
        </w:rPr>
        <w:t xml:space="preserve"> </w:t>
      </w:r>
      <w:r>
        <w:rPr>
          <w:noProof/>
        </w:rPr>
        <w:t>than previously anticipated for the majority of new programmes in shared management. This backloads payment needs to the remainder of the MFF. Another consequence is the higher risk of effective loss of funds in the later years of the programming period due to automatic de-commitments if Member States do not deploy efforts to recuperate the initial delays, starting already from the first years of effective implementation.</w:t>
      </w:r>
    </w:p>
    <w:p w14:paraId="0872BC19" w14:textId="77777777" w:rsidR="00D66606" w:rsidRDefault="00D66606" w:rsidP="00D66606">
      <w:pPr>
        <w:spacing w:after="120" w:line="276" w:lineRule="auto"/>
        <w:jc w:val="both"/>
        <w:rPr>
          <w:noProof/>
        </w:rPr>
      </w:pPr>
      <w:r w:rsidRPr="009F63E4">
        <w:rPr>
          <w:rStyle w:val="amprcharBoldBlue"/>
          <w:noProof/>
        </w:rPr>
        <w:t>Thanks to NextGenerationEU’s support to investments and reforms, the EU budget will continue to be at the heart of the European post-COVID economic recovery in the next years</w:t>
      </w:r>
      <w:r w:rsidRPr="57F8CA25">
        <w:rPr>
          <w:b/>
          <w:bCs/>
          <w:noProof/>
        </w:rPr>
        <w:t xml:space="preserve">, </w:t>
      </w:r>
      <w:r>
        <w:rPr>
          <w:noProof/>
        </w:rPr>
        <w:t>when the previous MFF programmes come to an end and before the new programmes reach cruising speed</w:t>
      </w:r>
      <w:r w:rsidRPr="57F8CA25">
        <w:rPr>
          <w:b/>
          <w:bCs/>
          <w:noProof/>
        </w:rPr>
        <w:t>.</w:t>
      </w:r>
      <w:r>
        <w:rPr>
          <w:noProof/>
        </w:rPr>
        <w:t xml:space="preserve"> The necessity to implement NextGenerationEU funds ahead of the deadline for disbursements by 2026 may affect Member States’ capacity to put additional efforts to accelerating the launch of the new programming period for funds in shared management under the MFF.</w:t>
      </w:r>
    </w:p>
    <w:p w14:paraId="34A6B305" w14:textId="77777777" w:rsidR="00D66606" w:rsidRPr="007C50BD" w:rsidRDefault="00D66606" w:rsidP="00D66606">
      <w:pPr>
        <w:spacing w:after="120" w:line="276" w:lineRule="auto"/>
        <w:jc w:val="both"/>
        <w:rPr>
          <w:noProof/>
        </w:rPr>
      </w:pPr>
      <w:r w:rsidRPr="00862C30">
        <w:rPr>
          <w:rStyle w:val="amprcharBoldBlue"/>
          <w:noProof/>
        </w:rPr>
        <w:t>NextGenerationEU will also have a temporary effect on the level of the EU outstanding commitments</w:t>
      </w:r>
      <w:r w:rsidRPr="00972CB7">
        <w:rPr>
          <w:b/>
          <w:noProof/>
        </w:rPr>
        <w:t xml:space="preserve">, </w:t>
      </w:r>
      <w:r w:rsidRPr="0008751F">
        <w:rPr>
          <w:noProof/>
        </w:rPr>
        <w:t xml:space="preserve">which will peak </w:t>
      </w:r>
      <w:r>
        <w:rPr>
          <w:noProof/>
        </w:rPr>
        <w:t xml:space="preserve">at the end of </w:t>
      </w:r>
      <w:r w:rsidRPr="0008751F">
        <w:rPr>
          <w:noProof/>
        </w:rPr>
        <w:t xml:space="preserve">2023 </w:t>
      </w:r>
      <w:r>
        <w:rPr>
          <w:noProof/>
        </w:rPr>
        <w:t>and</w:t>
      </w:r>
      <w:r w:rsidRPr="0008751F">
        <w:rPr>
          <w:noProof/>
        </w:rPr>
        <w:t xml:space="preserve"> then gradually </w:t>
      </w:r>
      <w:r>
        <w:rPr>
          <w:noProof/>
        </w:rPr>
        <w:t xml:space="preserve">will </w:t>
      </w:r>
      <w:r w:rsidRPr="0008751F">
        <w:rPr>
          <w:noProof/>
        </w:rPr>
        <w:t>return to levels comparable with the start of the MFF period by the end of 2027</w:t>
      </w:r>
      <w:r>
        <w:rPr>
          <w:noProof/>
        </w:rPr>
        <w:t>. While the RAL nominally increases</w:t>
      </w:r>
      <w:r w:rsidRPr="00F32C75">
        <w:rPr>
          <w:noProof/>
        </w:rPr>
        <w:t xml:space="preserve"> </w:t>
      </w:r>
      <w:r>
        <w:rPr>
          <w:noProof/>
        </w:rPr>
        <w:t>at the end of the MFF compared to 2023, when measured as a share of the EU Gross National Income the RAL is reduced, which shows that the nominal growth of the EU economy outweights the accumulation of outstanding commitments from the EU budget.</w:t>
      </w:r>
    </w:p>
    <w:p w14:paraId="26A9934F" w14:textId="2DFD7AAC" w:rsidR="00862C30" w:rsidRDefault="00D66606" w:rsidP="00862C30">
      <w:pPr>
        <w:spacing w:after="120" w:line="276" w:lineRule="auto"/>
        <w:jc w:val="both"/>
        <w:rPr>
          <w:noProof/>
        </w:rPr>
      </w:pPr>
      <w:r w:rsidRPr="00862C30">
        <w:rPr>
          <w:rStyle w:val="amprcharBoldBlue"/>
          <w:noProof/>
        </w:rPr>
        <w:t>The</w:t>
      </w:r>
      <w:r w:rsidR="006B5A32">
        <w:rPr>
          <w:rStyle w:val="amprcharBoldBlue"/>
          <w:noProof/>
        </w:rPr>
        <w:t xml:space="preserve"> forecast revenue (mostly EU</w:t>
      </w:r>
      <w:r w:rsidRPr="00862C30">
        <w:rPr>
          <w:rStyle w:val="amprcharBoldBlue"/>
          <w:noProof/>
        </w:rPr>
        <w:t xml:space="preserve"> own resources</w:t>
      </w:r>
      <w:r w:rsidR="006B5A32">
        <w:rPr>
          <w:rStyle w:val="amprcharBoldBlue"/>
          <w:noProof/>
        </w:rPr>
        <w:t>)</w:t>
      </w:r>
      <w:r w:rsidRPr="00862C30">
        <w:rPr>
          <w:rStyle w:val="amprcharBoldBlue"/>
          <w:noProof/>
        </w:rPr>
        <w:t xml:space="preserve"> necessary to finance the budget will steadily grow in line with the MFF expenditure</w:t>
      </w:r>
      <w:r>
        <w:rPr>
          <w:noProof/>
        </w:rPr>
        <w:t xml:space="preserve">. Yet, the size of the available margin under the Own Resources ceiling </w:t>
      </w:r>
      <w:r w:rsidR="0067416E">
        <w:rPr>
          <w:noProof/>
        </w:rPr>
        <w:t xml:space="preserve">(the ‘headroom’) </w:t>
      </w:r>
      <w:r>
        <w:rPr>
          <w:noProof/>
        </w:rPr>
        <w:t>will remain</w:t>
      </w:r>
      <w:r w:rsidR="003067FA">
        <w:rPr>
          <w:noProof/>
        </w:rPr>
        <w:t xml:space="preserve"> relatively</w:t>
      </w:r>
      <w:r>
        <w:rPr>
          <w:noProof/>
        </w:rPr>
        <w:t xml:space="preserve"> stable as the increasing revenue needs match the projected nominal growth of the EU economy.</w:t>
      </w:r>
    </w:p>
    <w:p w14:paraId="2ED560C2" w14:textId="77777777" w:rsidR="00862C30" w:rsidRDefault="00862C30" w:rsidP="00862C30">
      <w:pPr>
        <w:spacing w:after="120" w:line="276" w:lineRule="auto"/>
        <w:jc w:val="both"/>
        <w:rPr>
          <w:noProof/>
        </w:rPr>
        <w:sectPr w:rsidR="00862C30" w:rsidSect="00D66606">
          <w:headerReference w:type="even" r:id="rId24"/>
          <w:headerReference w:type="default" r:id="rId25"/>
          <w:footerReference w:type="even" r:id="rId26"/>
          <w:footerReference w:type="default" r:id="rId27"/>
          <w:headerReference w:type="first" r:id="rId28"/>
          <w:footerReference w:type="first" r:id="rId29"/>
          <w:pgSz w:w="11906" w:h="16838"/>
          <w:pgMar w:top="1321" w:right="1151" w:bottom="1440" w:left="1151" w:header="720" w:footer="720" w:gutter="0"/>
          <w:pgNumType w:start="1"/>
          <w:cols w:space="720"/>
          <w:docGrid w:linePitch="326"/>
        </w:sectPr>
      </w:pPr>
    </w:p>
    <w:p w14:paraId="41A964E0" w14:textId="7ED3D567" w:rsidR="00B37D8F" w:rsidRPr="0078468D" w:rsidRDefault="00D66606" w:rsidP="002D2B32">
      <w:pPr>
        <w:pStyle w:val="amprH2TITLE1"/>
        <w:rPr>
          <w:noProof/>
          <w:color w:val="FF0000"/>
        </w:rPr>
      </w:pPr>
      <w:bookmarkStart w:id="65" w:name="_Toc105504512"/>
      <w:bookmarkStart w:id="66" w:name="_Toc524523074"/>
      <w:bookmarkEnd w:id="57"/>
      <w:r w:rsidRPr="00723E31">
        <w:rPr>
          <w:noProof/>
          <w:color w:val="109146" w:themeColor="accent1"/>
        </w:rPr>
        <w:t>Annex I – Results of the forecast</w:t>
      </w:r>
      <w:r w:rsidR="00B37D8F">
        <w:rPr>
          <w:noProof/>
          <w:color w:val="109146" w:themeColor="accent1"/>
        </w:rPr>
        <w:t>*</w:t>
      </w:r>
      <w:bookmarkEnd w:id="65"/>
    </w:p>
    <w:bookmarkEnd w:id="66"/>
    <w:p w14:paraId="16DE3CA3" w14:textId="5C460399" w:rsidR="00B37D8F" w:rsidRPr="00F86C66" w:rsidRDefault="001E65D8" w:rsidP="00782CFE">
      <w:pPr>
        <w:pStyle w:val="amprH3Title2"/>
        <w:jc w:val="both"/>
        <w:outlineLvl w:val="9"/>
        <w:rPr>
          <w:b w:val="0"/>
          <w:i/>
          <w:noProof/>
        </w:rPr>
      </w:pPr>
      <w:r>
        <w:rPr>
          <w:rFonts w:eastAsiaTheme="minorHAnsi" w:cstheme="minorBidi"/>
          <w:b w:val="0"/>
          <w:i/>
          <w:noProof/>
          <w:color w:val="auto"/>
          <w:sz w:val="20"/>
          <w:szCs w:val="20"/>
          <w:lang w:eastAsia="en-US"/>
        </w:rPr>
        <w:t>*</w:t>
      </w:r>
      <w:r w:rsidR="00B37D8F" w:rsidRPr="00F86C66">
        <w:rPr>
          <w:rFonts w:eastAsiaTheme="minorHAnsi" w:cstheme="minorBidi"/>
          <w:b w:val="0"/>
          <w:i/>
          <w:noProof/>
          <w:color w:val="auto"/>
          <w:sz w:val="20"/>
          <w:szCs w:val="20"/>
          <w:lang w:eastAsia="en-US"/>
        </w:rPr>
        <w:t>All values are in</w:t>
      </w:r>
      <w:r w:rsidR="00AD2987" w:rsidRPr="00F86C66">
        <w:rPr>
          <w:rFonts w:eastAsiaTheme="minorHAnsi" w:cstheme="minorBidi"/>
          <w:b w:val="0"/>
          <w:i/>
          <w:noProof/>
          <w:color w:val="auto"/>
          <w:sz w:val="20"/>
          <w:szCs w:val="20"/>
          <w:lang w:eastAsia="en-US"/>
        </w:rPr>
        <w:t xml:space="preserve"> </w:t>
      </w:r>
      <w:r w:rsidR="00B37D8F" w:rsidRPr="00F86C66">
        <w:rPr>
          <w:rFonts w:eastAsiaTheme="minorHAnsi" w:cstheme="minorBidi"/>
          <w:b w:val="0"/>
          <w:i/>
          <w:noProof/>
          <w:color w:val="auto"/>
          <w:sz w:val="20"/>
          <w:szCs w:val="20"/>
          <w:lang w:eastAsia="en-US"/>
        </w:rPr>
        <w:t>billion</w:t>
      </w:r>
      <w:r w:rsidR="00AD2987" w:rsidRPr="00F86C66">
        <w:rPr>
          <w:rFonts w:eastAsiaTheme="minorHAnsi" w:cstheme="minorBidi"/>
          <w:b w:val="0"/>
          <w:i/>
          <w:noProof/>
          <w:color w:val="auto"/>
          <w:sz w:val="20"/>
          <w:szCs w:val="20"/>
          <w:lang w:eastAsia="en-US"/>
        </w:rPr>
        <w:t>s of EUR</w:t>
      </w:r>
      <w:r w:rsidR="00B37D8F" w:rsidRPr="00F86C66">
        <w:rPr>
          <w:rFonts w:eastAsiaTheme="minorHAnsi" w:cstheme="minorBidi"/>
          <w:b w:val="0"/>
          <w:i/>
          <w:noProof/>
          <w:color w:val="auto"/>
          <w:sz w:val="20"/>
          <w:szCs w:val="20"/>
          <w:lang w:eastAsia="en-US"/>
        </w:rPr>
        <w:t>, current prices, unless otherwise specified.</w:t>
      </w:r>
      <w:r w:rsidR="00B37D8F" w:rsidRPr="00F86C66">
        <w:rPr>
          <w:i/>
          <w:noProof/>
        </w:rPr>
        <w:t xml:space="preserve"> </w:t>
      </w:r>
      <w:r w:rsidR="002D2B32" w:rsidRPr="00F86C66">
        <w:rPr>
          <w:rFonts w:eastAsiaTheme="minorHAnsi" w:cstheme="minorBidi"/>
          <w:b w:val="0"/>
          <w:i/>
          <w:noProof/>
          <w:color w:val="auto"/>
          <w:sz w:val="20"/>
          <w:szCs w:val="20"/>
          <w:lang w:eastAsia="en-US"/>
        </w:rPr>
        <w:t>Some t</w:t>
      </w:r>
      <w:r w:rsidR="00B37D8F" w:rsidRPr="00F86C66">
        <w:rPr>
          <w:rFonts w:eastAsiaTheme="minorHAnsi" w:cstheme="minorBidi"/>
          <w:b w:val="0"/>
          <w:i/>
          <w:noProof/>
          <w:color w:val="auto"/>
          <w:sz w:val="20"/>
          <w:szCs w:val="20"/>
          <w:lang w:eastAsia="en-US"/>
        </w:rPr>
        <w:t xml:space="preserve">otals </w:t>
      </w:r>
      <w:r w:rsidR="002D2B32" w:rsidRPr="00F86C66">
        <w:rPr>
          <w:rFonts w:eastAsiaTheme="minorHAnsi" w:cstheme="minorBidi"/>
          <w:b w:val="0"/>
          <w:i/>
          <w:noProof/>
          <w:color w:val="auto"/>
          <w:sz w:val="20"/>
          <w:szCs w:val="20"/>
          <w:lang w:eastAsia="en-US"/>
        </w:rPr>
        <w:t>may</w:t>
      </w:r>
      <w:r w:rsidR="00B37D8F" w:rsidRPr="00F86C66">
        <w:rPr>
          <w:rFonts w:eastAsiaTheme="minorHAnsi" w:cstheme="minorBidi"/>
          <w:b w:val="0"/>
          <w:i/>
          <w:noProof/>
          <w:color w:val="auto"/>
          <w:sz w:val="20"/>
          <w:szCs w:val="20"/>
          <w:lang w:eastAsia="en-US"/>
        </w:rPr>
        <w:t xml:space="preserve"> not tally due to rounding.</w:t>
      </w:r>
    </w:p>
    <w:p w14:paraId="5CBF3403" w14:textId="6FAE902F" w:rsidR="00D66606" w:rsidRPr="0078468D" w:rsidRDefault="00D66606" w:rsidP="0078468D">
      <w:pPr>
        <w:pStyle w:val="Heading2"/>
        <w:tabs>
          <w:tab w:val="num" w:pos="0"/>
        </w:tabs>
        <w:spacing w:before="240" w:after="120"/>
        <w:rPr>
          <w:noProof/>
          <w:spacing w:val="-10"/>
        </w:rPr>
      </w:pPr>
      <w:bookmarkStart w:id="67" w:name="_Toc105504513"/>
      <w:r w:rsidRPr="0078468D">
        <w:rPr>
          <w:noProof/>
          <w:spacing w:val="-10"/>
        </w:rPr>
        <w:t xml:space="preserve">Table </w:t>
      </w:r>
      <w:r w:rsidRPr="0078468D">
        <w:rPr>
          <w:noProof/>
          <w:spacing w:val="-10"/>
        </w:rPr>
        <w:fldChar w:fldCharType="begin"/>
      </w:r>
      <w:r w:rsidRPr="0078468D">
        <w:rPr>
          <w:noProof/>
          <w:spacing w:val="-10"/>
        </w:rPr>
        <w:instrText xml:space="preserve"> SEQ Table \* ARABIC </w:instrText>
      </w:r>
      <w:r w:rsidRPr="0078468D">
        <w:rPr>
          <w:noProof/>
          <w:spacing w:val="-10"/>
        </w:rPr>
        <w:fldChar w:fldCharType="separate"/>
      </w:r>
      <w:r w:rsidRPr="0078468D">
        <w:rPr>
          <w:noProof/>
          <w:spacing w:val="-10"/>
        </w:rPr>
        <w:t>1</w:t>
      </w:r>
      <w:r w:rsidRPr="0078468D">
        <w:rPr>
          <w:noProof/>
          <w:spacing w:val="-10"/>
        </w:rPr>
        <w:fldChar w:fldCharType="end"/>
      </w:r>
      <w:r w:rsidRPr="0078468D">
        <w:rPr>
          <w:noProof/>
          <w:spacing w:val="-10"/>
        </w:rPr>
        <w:t>.1 – Long-term forecast of future outflows over 2023-2027 for the MFF</w:t>
      </w:r>
      <w:bookmarkEnd w:id="67"/>
    </w:p>
    <w:tbl>
      <w:tblPr>
        <w:tblStyle w:val="AMPR2021"/>
        <w:tblW w:w="9750" w:type="dxa"/>
        <w:tblLayout w:type="fixed"/>
        <w:tblLook w:val="06A0" w:firstRow="1" w:lastRow="0" w:firstColumn="1" w:lastColumn="0" w:noHBand="1" w:noVBand="1"/>
      </w:tblPr>
      <w:tblGrid>
        <w:gridCol w:w="3288"/>
        <w:gridCol w:w="1077"/>
        <w:gridCol w:w="1077"/>
        <w:gridCol w:w="1077"/>
        <w:gridCol w:w="1077"/>
        <w:gridCol w:w="1077"/>
        <w:gridCol w:w="1077"/>
      </w:tblGrid>
      <w:tr w:rsidR="00D66606" w:rsidRPr="0091354A" w14:paraId="14A16EA2" w14:textId="77777777" w:rsidTr="00D255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8" w:type="dxa"/>
          </w:tcPr>
          <w:p w14:paraId="2E3B4B88" w14:textId="77777777" w:rsidR="00D66606" w:rsidRPr="0091354A" w:rsidRDefault="00D66606" w:rsidP="00D66606">
            <w:pPr>
              <w:rPr>
                <w:rFonts w:eastAsia="Calibri"/>
                <w:noProof/>
                <w:sz w:val="22"/>
                <w:szCs w:val="18"/>
              </w:rPr>
            </w:pPr>
            <w:r w:rsidRPr="0091354A">
              <w:rPr>
                <w:rFonts w:eastAsia="Calibri"/>
                <w:noProof/>
                <w:sz w:val="22"/>
                <w:szCs w:val="18"/>
              </w:rPr>
              <w:t>Year</w:t>
            </w:r>
          </w:p>
        </w:tc>
        <w:tc>
          <w:tcPr>
            <w:tcW w:w="1077" w:type="dxa"/>
          </w:tcPr>
          <w:p w14:paraId="33CD5E39"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2023</w:t>
            </w:r>
          </w:p>
        </w:tc>
        <w:tc>
          <w:tcPr>
            <w:tcW w:w="1077" w:type="dxa"/>
          </w:tcPr>
          <w:p w14:paraId="68A484ED"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2024</w:t>
            </w:r>
          </w:p>
        </w:tc>
        <w:tc>
          <w:tcPr>
            <w:tcW w:w="1077" w:type="dxa"/>
          </w:tcPr>
          <w:p w14:paraId="0A8C583C"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2025</w:t>
            </w:r>
          </w:p>
        </w:tc>
        <w:tc>
          <w:tcPr>
            <w:tcW w:w="1077" w:type="dxa"/>
          </w:tcPr>
          <w:p w14:paraId="4521AAFF"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2026</w:t>
            </w:r>
          </w:p>
        </w:tc>
        <w:tc>
          <w:tcPr>
            <w:tcW w:w="1077" w:type="dxa"/>
          </w:tcPr>
          <w:p w14:paraId="37A9D121"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2027</w:t>
            </w:r>
          </w:p>
        </w:tc>
        <w:tc>
          <w:tcPr>
            <w:tcW w:w="1077" w:type="dxa"/>
          </w:tcPr>
          <w:p w14:paraId="08C8A653"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Total</w:t>
            </w:r>
          </w:p>
        </w:tc>
      </w:tr>
      <w:tr w:rsidR="00CF607C" w:rsidRPr="0091354A" w14:paraId="531011E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101E0456" w14:textId="77777777" w:rsidR="00CF607C" w:rsidRPr="0091354A" w:rsidRDefault="00CF607C" w:rsidP="00CF607C">
            <w:pPr>
              <w:spacing w:after="120"/>
              <w:rPr>
                <w:rFonts w:eastAsia="Calibri"/>
                <w:bCs/>
                <w:i/>
                <w:noProof/>
                <w:sz w:val="22"/>
                <w:szCs w:val="18"/>
              </w:rPr>
            </w:pPr>
            <w:r w:rsidRPr="0091354A">
              <w:rPr>
                <w:rFonts w:eastAsia="Calibri"/>
                <w:bCs/>
                <w:i/>
                <w:noProof/>
                <w:sz w:val="22"/>
                <w:szCs w:val="18"/>
              </w:rPr>
              <w:t>Commitment Ceiling</w:t>
            </w:r>
          </w:p>
        </w:tc>
        <w:tc>
          <w:tcPr>
            <w:tcW w:w="1077" w:type="dxa"/>
            <w:vAlign w:val="center"/>
          </w:tcPr>
          <w:p w14:paraId="6A9915A8" w14:textId="40D5442A"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182.7</w:t>
            </w:r>
          </w:p>
        </w:tc>
        <w:tc>
          <w:tcPr>
            <w:tcW w:w="1077" w:type="dxa"/>
            <w:vAlign w:val="center"/>
          </w:tcPr>
          <w:p w14:paraId="0DE0B3A3" w14:textId="50A4D5E0"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184.3</w:t>
            </w:r>
          </w:p>
        </w:tc>
        <w:tc>
          <w:tcPr>
            <w:tcW w:w="1077" w:type="dxa"/>
            <w:vAlign w:val="center"/>
          </w:tcPr>
          <w:p w14:paraId="00583362" w14:textId="5EADCB50"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187.9</w:t>
            </w:r>
          </w:p>
        </w:tc>
        <w:tc>
          <w:tcPr>
            <w:tcW w:w="1077" w:type="dxa"/>
            <w:vAlign w:val="center"/>
          </w:tcPr>
          <w:p w14:paraId="52B7EECC" w14:textId="4C5DAD34"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179.7</w:t>
            </w:r>
          </w:p>
        </w:tc>
        <w:tc>
          <w:tcPr>
            <w:tcW w:w="1077" w:type="dxa"/>
            <w:vAlign w:val="center"/>
          </w:tcPr>
          <w:p w14:paraId="7550EACA" w14:textId="40CA885F"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185.4</w:t>
            </w:r>
          </w:p>
        </w:tc>
        <w:tc>
          <w:tcPr>
            <w:tcW w:w="1077" w:type="dxa"/>
            <w:vAlign w:val="center"/>
          </w:tcPr>
          <w:p w14:paraId="3C4C3813" w14:textId="34DE6E3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
                <w:bCs/>
                <w:i/>
                <w:noProof/>
                <w:sz w:val="22"/>
                <w:szCs w:val="18"/>
              </w:rPr>
              <w:t>919.9</w:t>
            </w:r>
          </w:p>
        </w:tc>
      </w:tr>
      <w:tr w:rsidR="00CF607C" w:rsidRPr="0091354A" w14:paraId="186252CA"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2A8CE048" w14:textId="77777777" w:rsidR="00CF607C" w:rsidRPr="0091354A" w:rsidRDefault="00CF607C" w:rsidP="00CF607C">
            <w:pPr>
              <w:spacing w:after="120"/>
              <w:rPr>
                <w:rFonts w:eastAsia="Calibri"/>
                <w:bCs/>
                <w:i/>
                <w:noProof/>
                <w:sz w:val="22"/>
                <w:szCs w:val="18"/>
              </w:rPr>
            </w:pPr>
            <w:r w:rsidRPr="0091354A">
              <w:rPr>
                <w:rFonts w:eastAsia="Calibri"/>
                <w:bCs/>
                <w:i/>
                <w:noProof/>
                <w:sz w:val="22"/>
                <w:szCs w:val="18"/>
              </w:rPr>
              <w:t>Payment Ceiling</w:t>
            </w:r>
          </w:p>
        </w:tc>
        <w:tc>
          <w:tcPr>
            <w:tcW w:w="1077" w:type="dxa"/>
            <w:vAlign w:val="center"/>
          </w:tcPr>
          <w:p w14:paraId="7984F78E" w14:textId="5438102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168.6</w:t>
            </w:r>
          </w:p>
        </w:tc>
        <w:tc>
          <w:tcPr>
            <w:tcW w:w="1077" w:type="dxa"/>
            <w:vAlign w:val="center"/>
          </w:tcPr>
          <w:p w14:paraId="7D19F4C6" w14:textId="05D1450D"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168.9</w:t>
            </w:r>
          </w:p>
        </w:tc>
        <w:tc>
          <w:tcPr>
            <w:tcW w:w="1077" w:type="dxa"/>
            <w:vAlign w:val="center"/>
          </w:tcPr>
          <w:p w14:paraId="67D0493D" w14:textId="4852A7C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172.2</w:t>
            </w:r>
          </w:p>
        </w:tc>
        <w:tc>
          <w:tcPr>
            <w:tcW w:w="1077" w:type="dxa"/>
            <w:vAlign w:val="center"/>
          </w:tcPr>
          <w:p w14:paraId="3C9685FF" w14:textId="25FACBD8"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175.7</w:t>
            </w:r>
          </w:p>
        </w:tc>
        <w:tc>
          <w:tcPr>
            <w:tcW w:w="1077" w:type="dxa"/>
            <w:vAlign w:val="center"/>
          </w:tcPr>
          <w:p w14:paraId="759F637F" w14:textId="216AD571"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Cs/>
                <w:i/>
                <w:noProof/>
                <w:sz w:val="22"/>
                <w:szCs w:val="18"/>
              </w:rPr>
              <w:t>179.2</w:t>
            </w:r>
          </w:p>
        </w:tc>
        <w:tc>
          <w:tcPr>
            <w:tcW w:w="1077" w:type="dxa"/>
            <w:vAlign w:val="center"/>
          </w:tcPr>
          <w:p w14:paraId="7EB8F37F" w14:textId="1A8B1DD4"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sidRPr="0078468D">
              <w:rPr>
                <w:rFonts w:eastAsia="Calibri"/>
                <w:b/>
                <w:bCs/>
                <w:i/>
                <w:noProof/>
                <w:sz w:val="22"/>
                <w:szCs w:val="18"/>
              </w:rPr>
              <w:t>864.5</w:t>
            </w:r>
          </w:p>
        </w:tc>
      </w:tr>
      <w:tr w:rsidR="00CF607C" w:rsidRPr="0091354A" w14:paraId="00D009C4"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0F0EC868" w14:textId="1A47C8FE" w:rsidR="00CF607C" w:rsidRPr="0091354A" w:rsidRDefault="00CF607C" w:rsidP="00EF280A">
            <w:pPr>
              <w:spacing w:after="120"/>
              <w:rPr>
                <w:rFonts w:eastAsia="Calibri"/>
                <w:b w:val="0"/>
                <w:bCs/>
                <w:i/>
                <w:noProof/>
                <w:sz w:val="22"/>
                <w:szCs w:val="18"/>
              </w:rPr>
            </w:pPr>
            <w:r w:rsidRPr="0091354A">
              <w:rPr>
                <w:b w:val="0"/>
                <w:i/>
                <w:noProof/>
              </w:rPr>
              <w:t xml:space="preserve">In addition, adjustment for Article 5 </w:t>
            </w:r>
            <w:r w:rsidR="006116E7" w:rsidRPr="0091354A">
              <w:rPr>
                <w:b w:val="0"/>
                <w:i/>
                <w:noProof/>
              </w:rPr>
              <w:t xml:space="preserve">MFFR </w:t>
            </w:r>
            <w:r w:rsidRPr="0091354A">
              <w:rPr>
                <w:b w:val="0"/>
                <w:i/>
                <w:noProof/>
              </w:rPr>
              <w:t>(estimate for future years)</w:t>
            </w:r>
          </w:p>
        </w:tc>
        <w:tc>
          <w:tcPr>
            <w:tcW w:w="1077" w:type="dxa"/>
            <w:vAlign w:val="center"/>
          </w:tcPr>
          <w:p w14:paraId="452AFA06" w14:textId="66041652"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0.0</w:t>
            </w:r>
          </w:p>
        </w:tc>
        <w:tc>
          <w:tcPr>
            <w:tcW w:w="1077" w:type="dxa"/>
            <w:vAlign w:val="center"/>
          </w:tcPr>
          <w:p w14:paraId="1CC69385" w14:textId="45D92C7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1.7</w:t>
            </w:r>
          </w:p>
        </w:tc>
        <w:tc>
          <w:tcPr>
            <w:tcW w:w="1077" w:type="dxa"/>
            <w:vAlign w:val="center"/>
          </w:tcPr>
          <w:p w14:paraId="091618E8" w14:textId="378CBC69"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1.7</w:t>
            </w:r>
          </w:p>
        </w:tc>
        <w:tc>
          <w:tcPr>
            <w:tcW w:w="1077" w:type="dxa"/>
            <w:vAlign w:val="center"/>
          </w:tcPr>
          <w:p w14:paraId="2FC6299D" w14:textId="2D24CB6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1.8</w:t>
            </w:r>
          </w:p>
        </w:tc>
        <w:tc>
          <w:tcPr>
            <w:tcW w:w="1077" w:type="dxa"/>
            <w:vAlign w:val="center"/>
          </w:tcPr>
          <w:p w14:paraId="603741C0" w14:textId="779D1925"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4.2</w:t>
            </w:r>
          </w:p>
        </w:tc>
        <w:tc>
          <w:tcPr>
            <w:tcW w:w="1077" w:type="dxa"/>
            <w:vAlign w:val="center"/>
          </w:tcPr>
          <w:p w14:paraId="42E25B29" w14:textId="60DA86A4"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sidRPr="0078468D">
              <w:rPr>
                <w:rFonts w:eastAsia="Calibri"/>
                <w:b/>
                <w:bCs/>
                <w:i/>
                <w:noProof/>
                <w:sz w:val="22"/>
                <w:szCs w:val="18"/>
              </w:rPr>
              <w:t>9.4</w:t>
            </w:r>
          </w:p>
        </w:tc>
      </w:tr>
      <w:tr w:rsidR="00CF607C" w:rsidRPr="0091354A" w14:paraId="40B8710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48135DD3" w14:textId="77777777" w:rsidR="00CF607C" w:rsidRPr="0091354A" w:rsidRDefault="00CF607C" w:rsidP="00CF607C">
            <w:pPr>
              <w:spacing w:after="120"/>
              <w:rPr>
                <w:rFonts w:eastAsia="Calibri"/>
                <w:b w:val="0"/>
                <w:bCs/>
                <w:noProof/>
                <w:sz w:val="22"/>
                <w:szCs w:val="18"/>
              </w:rPr>
            </w:pPr>
            <w:r w:rsidRPr="0091354A">
              <w:rPr>
                <w:rFonts w:eastAsia="Calibri"/>
                <w:b w:val="0"/>
                <w:bCs/>
                <w:noProof/>
                <w:sz w:val="22"/>
                <w:szCs w:val="18"/>
              </w:rPr>
              <w:t>Commitment</w:t>
            </w:r>
            <w:r>
              <w:rPr>
                <w:rFonts w:eastAsia="Calibri"/>
                <w:b w:val="0"/>
                <w:bCs/>
                <w:noProof/>
                <w:sz w:val="22"/>
                <w:szCs w:val="18"/>
              </w:rPr>
              <w:t>s (programmed)*</w:t>
            </w:r>
          </w:p>
        </w:tc>
        <w:tc>
          <w:tcPr>
            <w:tcW w:w="1077" w:type="dxa"/>
            <w:vAlign w:val="center"/>
          </w:tcPr>
          <w:p w14:paraId="2A033548" w14:textId="3A6C387D"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185.7</w:t>
            </w:r>
          </w:p>
        </w:tc>
        <w:tc>
          <w:tcPr>
            <w:tcW w:w="1077" w:type="dxa"/>
            <w:vAlign w:val="center"/>
          </w:tcPr>
          <w:p w14:paraId="581FD0FD" w14:textId="64BFF75D"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187.4</w:t>
            </w:r>
          </w:p>
        </w:tc>
        <w:tc>
          <w:tcPr>
            <w:tcW w:w="1077" w:type="dxa"/>
            <w:vAlign w:val="center"/>
          </w:tcPr>
          <w:p w14:paraId="57A15ED6" w14:textId="33819077"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192.2</w:t>
            </w:r>
          </w:p>
        </w:tc>
        <w:tc>
          <w:tcPr>
            <w:tcW w:w="1077" w:type="dxa"/>
            <w:vAlign w:val="center"/>
          </w:tcPr>
          <w:p w14:paraId="64C02B48" w14:textId="0C8FEB5E"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183.0</w:t>
            </w:r>
          </w:p>
        </w:tc>
        <w:tc>
          <w:tcPr>
            <w:tcW w:w="1077" w:type="dxa"/>
            <w:vAlign w:val="center"/>
          </w:tcPr>
          <w:p w14:paraId="3B494671" w14:textId="0845293A"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191.0</w:t>
            </w:r>
          </w:p>
        </w:tc>
        <w:tc>
          <w:tcPr>
            <w:tcW w:w="1077" w:type="dxa"/>
            <w:vAlign w:val="center"/>
          </w:tcPr>
          <w:p w14:paraId="05203C5D" w14:textId="604B52C3"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sidRPr="0078468D">
              <w:rPr>
                <w:rFonts w:eastAsia="Calibri"/>
                <w:b/>
                <w:bCs/>
                <w:i/>
                <w:noProof/>
                <w:sz w:val="22"/>
                <w:szCs w:val="18"/>
              </w:rPr>
              <w:t>939.4</w:t>
            </w:r>
          </w:p>
        </w:tc>
      </w:tr>
      <w:tr w:rsidR="00CF607C" w:rsidRPr="0091354A" w14:paraId="22F0EAFD"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7ED62BE8" w14:textId="77777777" w:rsidR="00CF607C" w:rsidRPr="0091354A" w:rsidRDefault="00CF607C" w:rsidP="00CF607C">
            <w:pPr>
              <w:spacing w:after="120"/>
              <w:rPr>
                <w:rFonts w:eastAsia="Calibri"/>
                <w:b w:val="0"/>
                <w:bCs/>
                <w:noProof/>
                <w:sz w:val="22"/>
                <w:szCs w:val="18"/>
              </w:rPr>
            </w:pPr>
            <w:r w:rsidRPr="0091354A">
              <w:rPr>
                <w:rFonts w:eastAsia="Calibri"/>
                <w:b w:val="0"/>
                <w:bCs/>
                <w:noProof/>
                <w:sz w:val="22"/>
                <w:szCs w:val="18"/>
              </w:rPr>
              <w:t>Forecast Payments</w:t>
            </w:r>
            <w:r>
              <w:rPr>
                <w:rFonts w:eastAsia="Calibri"/>
                <w:b w:val="0"/>
                <w:bCs/>
                <w:noProof/>
                <w:sz w:val="22"/>
                <w:szCs w:val="18"/>
              </w:rPr>
              <w:t>*</w:t>
            </w:r>
          </w:p>
        </w:tc>
        <w:tc>
          <w:tcPr>
            <w:tcW w:w="1077" w:type="dxa"/>
            <w:vAlign w:val="center"/>
          </w:tcPr>
          <w:p w14:paraId="795F4CDA" w14:textId="44B2E1A0"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166.3</w:t>
            </w:r>
          </w:p>
        </w:tc>
        <w:tc>
          <w:tcPr>
            <w:tcW w:w="1077" w:type="dxa"/>
            <w:vAlign w:val="center"/>
          </w:tcPr>
          <w:p w14:paraId="581444D9" w14:textId="1D86885A"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158.0</w:t>
            </w:r>
          </w:p>
        </w:tc>
        <w:tc>
          <w:tcPr>
            <w:tcW w:w="1077" w:type="dxa"/>
            <w:vAlign w:val="center"/>
          </w:tcPr>
          <w:p w14:paraId="1CA22A33" w14:textId="4D299446"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176.3</w:t>
            </w:r>
          </w:p>
        </w:tc>
        <w:tc>
          <w:tcPr>
            <w:tcW w:w="1077" w:type="dxa"/>
            <w:vAlign w:val="center"/>
          </w:tcPr>
          <w:p w14:paraId="1439B98D" w14:textId="4F2A2861"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182.8</w:t>
            </w:r>
          </w:p>
        </w:tc>
        <w:tc>
          <w:tcPr>
            <w:tcW w:w="1077" w:type="dxa"/>
            <w:vAlign w:val="center"/>
          </w:tcPr>
          <w:p w14:paraId="05901398" w14:textId="1F5C011C"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193.9</w:t>
            </w:r>
          </w:p>
        </w:tc>
        <w:tc>
          <w:tcPr>
            <w:tcW w:w="1077" w:type="dxa"/>
            <w:vAlign w:val="center"/>
          </w:tcPr>
          <w:p w14:paraId="034C58A2" w14:textId="4EF680BA" w:rsidR="00CF607C" w:rsidRPr="0078468D" w:rsidRDefault="00D51975" w:rsidP="00C63499">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sidRPr="0078468D">
              <w:rPr>
                <w:rFonts w:eastAsia="Calibri"/>
                <w:b/>
                <w:bCs/>
                <w:i/>
                <w:noProof/>
                <w:sz w:val="22"/>
                <w:szCs w:val="18"/>
              </w:rPr>
              <w:t>877.</w:t>
            </w:r>
            <w:r w:rsidR="00E26C58">
              <w:rPr>
                <w:rFonts w:eastAsia="Calibri"/>
                <w:b/>
                <w:bCs/>
                <w:i/>
                <w:noProof/>
                <w:sz w:val="22"/>
                <w:szCs w:val="18"/>
              </w:rPr>
              <w:t>3</w:t>
            </w:r>
          </w:p>
        </w:tc>
      </w:tr>
      <w:tr w:rsidR="00CF607C" w:rsidRPr="00CF607C" w14:paraId="65964239"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0F739EDE" w14:textId="77777777" w:rsidR="00CF607C" w:rsidRPr="0091354A" w:rsidRDefault="00CF607C" w:rsidP="00CF607C">
            <w:pPr>
              <w:spacing w:after="120"/>
              <w:rPr>
                <w:rFonts w:eastAsia="Calibri"/>
                <w:b w:val="0"/>
                <w:bCs/>
                <w:noProof/>
                <w:sz w:val="22"/>
                <w:szCs w:val="18"/>
              </w:rPr>
            </w:pPr>
            <w:r>
              <w:rPr>
                <w:b w:val="0"/>
                <w:i/>
                <w:noProof/>
              </w:rPr>
              <w:t>Of which Special Instruments**</w:t>
            </w:r>
          </w:p>
        </w:tc>
        <w:tc>
          <w:tcPr>
            <w:tcW w:w="1077" w:type="dxa"/>
            <w:vAlign w:val="center"/>
          </w:tcPr>
          <w:p w14:paraId="61A2628B" w14:textId="3E577F6F"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3.2</w:t>
            </w:r>
          </w:p>
        </w:tc>
        <w:tc>
          <w:tcPr>
            <w:tcW w:w="1077" w:type="dxa"/>
            <w:vAlign w:val="center"/>
          </w:tcPr>
          <w:p w14:paraId="2DAB5BAB" w14:textId="3DC08E9B"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0.1</w:t>
            </w:r>
          </w:p>
        </w:tc>
        <w:tc>
          <w:tcPr>
            <w:tcW w:w="1077" w:type="dxa"/>
            <w:vAlign w:val="center"/>
          </w:tcPr>
          <w:p w14:paraId="21E87B8D" w14:textId="1F2B9C8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1.2</w:t>
            </w:r>
          </w:p>
        </w:tc>
        <w:tc>
          <w:tcPr>
            <w:tcW w:w="1077" w:type="dxa"/>
            <w:vAlign w:val="center"/>
          </w:tcPr>
          <w:p w14:paraId="6ED88E30" w14:textId="67201D0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0.0</w:t>
            </w:r>
          </w:p>
        </w:tc>
        <w:tc>
          <w:tcPr>
            <w:tcW w:w="1077" w:type="dxa"/>
            <w:vAlign w:val="center"/>
          </w:tcPr>
          <w:p w14:paraId="04D3A999" w14:textId="5605EA9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sidRPr="0078468D">
              <w:rPr>
                <w:i/>
                <w:noProof/>
              </w:rPr>
              <w:t>0.0</w:t>
            </w:r>
          </w:p>
        </w:tc>
        <w:tc>
          <w:tcPr>
            <w:tcW w:w="1077" w:type="dxa"/>
            <w:vAlign w:val="center"/>
          </w:tcPr>
          <w:p w14:paraId="471E0442" w14:textId="3C063970"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sidRPr="0078468D">
              <w:rPr>
                <w:rFonts w:eastAsia="Calibri"/>
                <w:b/>
                <w:bCs/>
                <w:i/>
                <w:noProof/>
                <w:sz w:val="22"/>
                <w:szCs w:val="18"/>
              </w:rPr>
              <w:t>4.6</w:t>
            </w:r>
          </w:p>
        </w:tc>
      </w:tr>
    </w:tbl>
    <w:p w14:paraId="50777446" w14:textId="77777777" w:rsidR="00D255FF" w:rsidRDefault="00D255FF" w:rsidP="00D66606">
      <w:pPr>
        <w:pStyle w:val="Heading2"/>
        <w:tabs>
          <w:tab w:val="num" w:pos="0"/>
        </w:tabs>
        <w:spacing w:before="240" w:after="120"/>
        <w:rPr>
          <w:noProof/>
        </w:rPr>
      </w:pPr>
      <w:r>
        <w:rPr>
          <w:noProof/>
        </w:rPr>
        <w:br w:type="page"/>
      </w:r>
    </w:p>
    <w:p w14:paraId="11B48D08" w14:textId="77777777" w:rsidR="00D66606" w:rsidRPr="00812A24" w:rsidRDefault="00D66606" w:rsidP="00D66606">
      <w:pPr>
        <w:pStyle w:val="Heading2"/>
        <w:tabs>
          <w:tab w:val="num" w:pos="0"/>
        </w:tabs>
        <w:spacing w:before="240" w:after="120"/>
        <w:rPr>
          <w:noProof/>
          <w:spacing w:val="-10"/>
        </w:rPr>
      </w:pPr>
      <w:bookmarkStart w:id="68" w:name="_Toc105504514"/>
      <w:r w:rsidRPr="00812A24">
        <w:rPr>
          <w:noProof/>
          <w:spacing w:val="-10"/>
        </w:rPr>
        <w:t xml:space="preserve">Table </w:t>
      </w:r>
      <w:r w:rsidRPr="00812A24">
        <w:rPr>
          <w:noProof/>
          <w:spacing w:val="-10"/>
        </w:rPr>
        <w:fldChar w:fldCharType="begin"/>
      </w:r>
      <w:r w:rsidRPr="00812A24">
        <w:rPr>
          <w:noProof/>
          <w:spacing w:val="-10"/>
        </w:rPr>
        <w:instrText xml:space="preserve"> SEQ Table \* ARABIC </w:instrText>
      </w:r>
      <w:r w:rsidRPr="00812A24">
        <w:rPr>
          <w:noProof/>
          <w:spacing w:val="-10"/>
        </w:rPr>
        <w:fldChar w:fldCharType="separate"/>
      </w:r>
      <w:r w:rsidRPr="00812A24">
        <w:rPr>
          <w:noProof/>
          <w:spacing w:val="-10"/>
        </w:rPr>
        <w:t>1</w:t>
      </w:r>
      <w:r w:rsidRPr="00812A24">
        <w:rPr>
          <w:noProof/>
          <w:spacing w:val="-10"/>
        </w:rPr>
        <w:fldChar w:fldCharType="end"/>
      </w:r>
      <w:r w:rsidRPr="00812A24">
        <w:rPr>
          <w:noProof/>
          <w:spacing w:val="-10"/>
        </w:rPr>
        <w:t>.2 – Payments in relation to the commitments of the 2021-2027 MFF</w:t>
      </w:r>
      <w:bookmarkEnd w:id="68"/>
    </w:p>
    <w:tbl>
      <w:tblPr>
        <w:tblStyle w:val="AMPR2021"/>
        <w:tblW w:w="0" w:type="auto"/>
        <w:tblLayout w:type="fixed"/>
        <w:tblCellMar>
          <w:left w:w="85" w:type="dxa"/>
        </w:tblCellMar>
        <w:tblLook w:val="06A0" w:firstRow="1" w:lastRow="0" w:firstColumn="1" w:lastColumn="0" w:noHBand="1" w:noVBand="1"/>
      </w:tblPr>
      <w:tblGrid>
        <w:gridCol w:w="3771"/>
        <w:gridCol w:w="986"/>
        <w:gridCol w:w="987"/>
        <w:gridCol w:w="986"/>
        <w:gridCol w:w="987"/>
        <w:gridCol w:w="986"/>
        <w:gridCol w:w="987"/>
      </w:tblGrid>
      <w:tr w:rsidR="00D66606" w:rsidRPr="0091354A" w14:paraId="1C8C40E8" w14:textId="77777777" w:rsidTr="005C3B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1" w:type="dxa"/>
          </w:tcPr>
          <w:p w14:paraId="56931916" w14:textId="77777777" w:rsidR="00D66606" w:rsidRPr="0091354A" w:rsidRDefault="00D66606" w:rsidP="00D66606">
            <w:pPr>
              <w:spacing w:after="120"/>
              <w:rPr>
                <w:rFonts w:eastAsia="Calibri"/>
                <w:b w:val="0"/>
                <w:bCs/>
                <w:noProof/>
                <w:sz w:val="22"/>
                <w:szCs w:val="18"/>
              </w:rPr>
            </w:pPr>
            <w:r w:rsidRPr="0091354A">
              <w:rPr>
                <w:rFonts w:eastAsia="Calibri"/>
                <w:noProof/>
                <w:sz w:val="22"/>
                <w:szCs w:val="18"/>
              </w:rPr>
              <w:t>MFF Heading</w:t>
            </w:r>
          </w:p>
        </w:tc>
        <w:tc>
          <w:tcPr>
            <w:tcW w:w="986" w:type="dxa"/>
          </w:tcPr>
          <w:p w14:paraId="64364F23"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2023</w:t>
            </w:r>
          </w:p>
        </w:tc>
        <w:tc>
          <w:tcPr>
            <w:tcW w:w="987" w:type="dxa"/>
          </w:tcPr>
          <w:p w14:paraId="1286CC02"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2024</w:t>
            </w:r>
          </w:p>
        </w:tc>
        <w:tc>
          <w:tcPr>
            <w:tcW w:w="986" w:type="dxa"/>
          </w:tcPr>
          <w:p w14:paraId="584D177B"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2025</w:t>
            </w:r>
          </w:p>
        </w:tc>
        <w:tc>
          <w:tcPr>
            <w:tcW w:w="987" w:type="dxa"/>
          </w:tcPr>
          <w:p w14:paraId="208AB0B6"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2026</w:t>
            </w:r>
          </w:p>
        </w:tc>
        <w:tc>
          <w:tcPr>
            <w:tcW w:w="986" w:type="dxa"/>
          </w:tcPr>
          <w:p w14:paraId="03AA0698"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2027</w:t>
            </w:r>
          </w:p>
        </w:tc>
        <w:tc>
          <w:tcPr>
            <w:tcW w:w="987" w:type="dxa"/>
          </w:tcPr>
          <w:p w14:paraId="2CCBABD8"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Total</w:t>
            </w:r>
          </w:p>
        </w:tc>
      </w:tr>
      <w:tr w:rsidR="00CF607C" w:rsidRPr="0091354A" w14:paraId="42EEEF8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4BA2CA0A"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1 Single Market, Innovation and Digital</w:t>
            </w:r>
          </w:p>
        </w:tc>
        <w:tc>
          <w:tcPr>
            <w:tcW w:w="986" w:type="dxa"/>
            <w:vAlign w:val="center"/>
          </w:tcPr>
          <w:p w14:paraId="3F2DBF98" w14:textId="4EF7C8C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15.5</w:t>
            </w:r>
          </w:p>
        </w:tc>
        <w:tc>
          <w:tcPr>
            <w:tcW w:w="987" w:type="dxa"/>
            <w:vAlign w:val="center"/>
          </w:tcPr>
          <w:p w14:paraId="591BFB84" w14:textId="12DEBAF0"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18.2</w:t>
            </w:r>
          </w:p>
        </w:tc>
        <w:tc>
          <w:tcPr>
            <w:tcW w:w="986" w:type="dxa"/>
            <w:vAlign w:val="center"/>
          </w:tcPr>
          <w:p w14:paraId="218CD3DE" w14:textId="05B63C98"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21.0</w:t>
            </w:r>
          </w:p>
        </w:tc>
        <w:tc>
          <w:tcPr>
            <w:tcW w:w="987" w:type="dxa"/>
            <w:vAlign w:val="center"/>
          </w:tcPr>
          <w:p w14:paraId="32A8A81E" w14:textId="3B3F378F"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22.2</w:t>
            </w:r>
          </w:p>
        </w:tc>
        <w:tc>
          <w:tcPr>
            <w:tcW w:w="986" w:type="dxa"/>
            <w:vAlign w:val="center"/>
          </w:tcPr>
          <w:p w14:paraId="0B4650C8" w14:textId="03434677"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22.8</w:t>
            </w:r>
          </w:p>
        </w:tc>
        <w:tc>
          <w:tcPr>
            <w:tcW w:w="987" w:type="dxa"/>
            <w:vAlign w:val="center"/>
          </w:tcPr>
          <w:p w14:paraId="2395BFE1" w14:textId="46F2EAB8"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99.8</w:t>
            </w:r>
          </w:p>
        </w:tc>
      </w:tr>
      <w:tr w:rsidR="00CF607C" w:rsidRPr="0091354A" w14:paraId="37D3510C"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3690C1A"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2 Cohesion, Resilience and Values</w:t>
            </w:r>
          </w:p>
        </w:tc>
        <w:tc>
          <w:tcPr>
            <w:tcW w:w="986" w:type="dxa"/>
            <w:vAlign w:val="center"/>
          </w:tcPr>
          <w:p w14:paraId="50022267" w14:textId="7023641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11.8</w:t>
            </w:r>
          </w:p>
        </w:tc>
        <w:tc>
          <w:tcPr>
            <w:tcW w:w="987" w:type="dxa"/>
            <w:vAlign w:val="center"/>
          </w:tcPr>
          <w:p w14:paraId="7CEEA4E7" w14:textId="18C4CA7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25.5</w:t>
            </w:r>
          </w:p>
        </w:tc>
        <w:tc>
          <w:tcPr>
            <w:tcW w:w="986" w:type="dxa"/>
            <w:vAlign w:val="center"/>
          </w:tcPr>
          <w:p w14:paraId="6A3929CD" w14:textId="5098CCF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53.3</w:t>
            </w:r>
          </w:p>
        </w:tc>
        <w:tc>
          <w:tcPr>
            <w:tcW w:w="987" w:type="dxa"/>
            <w:vAlign w:val="center"/>
          </w:tcPr>
          <w:p w14:paraId="2E058F4A" w14:textId="10FCECD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58.9</w:t>
            </w:r>
          </w:p>
        </w:tc>
        <w:tc>
          <w:tcPr>
            <w:tcW w:w="986" w:type="dxa"/>
            <w:vAlign w:val="center"/>
          </w:tcPr>
          <w:p w14:paraId="2656E05A" w14:textId="5217A3C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76.1</w:t>
            </w:r>
          </w:p>
        </w:tc>
        <w:tc>
          <w:tcPr>
            <w:tcW w:w="987" w:type="dxa"/>
            <w:vAlign w:val="center"/>
          </w:tcPr>
          <w:p w14:paraId="6DE9A7B2" w14:textId="6FF35D7D"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225.6</w:t>
            </w:r>
          </w:p>
        </w:tc>
      </w:tr>
      <w:tr w:rsidR="003F3DAF" w:rsidRPr="0091354A" w14:paraId="48645CD0"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43DCC20" w14:textId="77777777" w:rsidR="003F3DAF" w:rsidRPr="003F3DAF" w:rsidRDefault="003F3DAF" w:rsidP="00CF607C">
            <w:pPr>
              <w:spacing w:after="120"/>
              <w:rPr>
                <w:rFonts w:eastAsia="Calibri"/>
                <w:b w:val="0"/>
                <w:noProof/>
                <w:sz w:val="22"/>
                <w:szCs w:val="18"/>
              </w:rPr>
            </w:pPr>
            <w:r w:rsidRPr="003F3DAF">
              <w:rPr>
                <w:rFonts w:eastAsia="Calibri"/>
                <w:b w:val="0"/>
                <w:noProof/>
                <w:sz w:val="22"/>
                <w:szCs w:val="18"/>
              </w:rPr>
              <w:t>2.1 Economic, Social and territorial cohesion</w:t>
            </w:r>
          </w:p>
        </w:tc>
        <w:tc>
          <w:tcPr>
            <w:tcW w:w="986" w:type="dxa"/>
            <w:vAlign w:val="center"/>
          </w:tcPr>
          <w:p w14:paraId="31CCE07C" w14:textId="66566DD5"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5.4</w:t>
            </w:r>
          </w:p>
        </w:tc>
        <w:tc>
          <w:tcPr>
            <w:tcW w:w="987" w:type="dxa"/>
            <w:vAlign w:val="center"/>
          </w:tcPr>
          <w:p w14:paraId="1BCCCE5D" w14:textId="1CC07419"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16.9</w:t>
            </w:r>
          </w:p>
        </w:tc>
        <w:tc>
          <w:tcPr>
            <w:tcW w:w="986" w:type="dxa"/>
            <w:vAlign w:val="center"/>
          </w:tcPr>
          <w:p w14:paraId="1B158D0B" w14:textId="1E32B641"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44.0</w:t>
            </w:r>
          </w:p>
        </w:tc>
        <w:tc>
          <w:tcPr>
            <w:tcW w:w="987" w:type="dxa"/>
            <w:vAlign w:val="center"/>
          </w:tcPr>
          <w:p w14:paraId="24D0AEDF" w14:textId="1A86A6EB"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48.1</w:t>
            </w:r>
          </w:p>
        </w:tc>
        <w:tc>
          <w:tcPr>
            <w:tcW w:w="986" w:type="dxa"/>
            <w:vAlign w:val="center"/>
          </w:tcPr>
          <w:p w14:paraId="74D16C9D" w14:textId="3ABE4DE7"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63.0</w:t>
            </w:r>
          </w:p>
        </w:tc>
        <w:tc>
          <w:tcPr>
            <w:tcW w:w="987" w:type="dxa"/>
            <w:vAlign w:val="center"/>
          </w:tcPr>
          <w:p w14:paraId="2140A771" w14:textId="31BF6A2A"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noProof/>
                <w:sz w:val="22"/>
                <w:szCs w:val="18"/>
              </w:rPr>
              <w:t>177.4</w:t>
            </w:r>
          </w:p>
        </w:tc>
      </w:tr>
      <w:tr w:rsidR="003F3DAF" w:rsidRPr="0091354A" w14:paraId="3B417026"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14A77891" w14:textId="77777777" w:rsidR="003F3DAF" w:rsidRPr="003F3DAF" w:rsidRDefault="003F3DAF" w:rsidP="00CF607C">
            <w:pPr>
              <w:spacing w:after="120"/>
              <w:rPr>
                <w:rFonts w:eastAsia="Calibri"/>
                <w:b w:val="0"/>
                <w:noProof/>
                <w:sz w:val="22"/>
                <w:szCs w:val="18"/>
              </w:rPr>
            </w:pPr>
            <w:r w:rsidRPr="003F3DAF">
              <w:rPr>
                <w:rFonts w:eastAsia="Calibri"/>
                <w:b w:val="0"/>
                <w:noProof/>
                <w:sz w:val="22"/>
                <w:szCs w:val="18"/>
              </w:rPr>
              <w:t>2.2 Resilience and Values</w:t>
            </w:r>
          </w:p>
        </w:tc>
        <w:tc>
          <w:tcPr>
            <w:tcW w:w="986" w:type="dxa"/>
            <w:vAlign w:val="center"/>
          </w:tcPr>
          <w:p w14:paraId="77C92099" w14:textId="17589F88"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6.4</w:t>
            </w:r>
          </w:p>
        </w:tc>
        <w:tc>
          <w:tcPr>
            <w:tcW w:w="987" w:type="dxa"/>
            <w:vAlign w:val="center"/>
          </w:tcPr>
          <w:p w14:paraId="79F48A2F" w14:textId="44AC6D8C"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8.5</w:t>
            </w:r>
          </w:p>
        </w:tc>
        <w:tc>
          <w:tcPr>
            <w:tcW w:w="986" w:type="dxa"/>
            <w:vAlign w:val="center"/>
          </w:tcPr>
          <w:p w14:paraId="35662FFA" w14:textId="25F3629C"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9.3</w:t>
            </w:r>
          </w:p>
        </w:tc>
        <w:tc>
          <w:tcPr>
            <w:tcW w:w="987" w:type="dxa"/>
            <w:vAlign w:val="center"/>
          </w:tcPr>
          <w:p w14:paraId="2C4B49E3" w14:textId="051AD0D8"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10.8</w:t>
            </w:r>
          </w:p>
        </w:tc>
        <w:tc>
          <w:tcPr>
            <w:tcW w:w="986" w:type="dxa"/>
            <w:vAlign w:val="center"/>
          </w:tcPr>
          <w:p w14:paraId="5F5E488E" w14:textId="70CA9D99"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13.1</w:t>
            </w:r>
          </w:p>
        </w:tc>
        <w:tc>
          <w:tcPr>
            <w:tcW w:w="987" w:type="dxa"/>
            <w:vAlign w:val="center"/>
          </w:tcPr>
          <w:p w14:paraId="3F12472D" w14:textId="280CDA17"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noProof/>
                <w:sz w:val="22"/>
                <w:szCs w:val="18"/>
              </w:rPr>
              <w:t>48.2</w:t>
            </w:r>
          </w:p>
        </w:tc>
      </w:tr>
      <w:tr w:rsidR="00CF607C" w:rsidRPr="0091354A" w14:paraId="2051F0A3"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587843BC"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3 Natural Resources and Environment</w:t>
            </w:r>
          </w:p>
        </w:tc>
        <w:tc>
          <w:tcPr>
            <w:tcW w:w="986" w:type="dxa"/>
            <w:vAlign w:val="center"/>
          </w:tcPr>
          <w:p w14:paraId="18CB6CA6" w14:textId="1017603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46.1</w:t>
            </w:r>
          </w:p>
        </w:tc>
        <w:tc>
          <w:tcPr>
            <w:tcW w:w="987" w:type="dxa"/>
            <w:vAlign w:val="center"/>
          </w:tcPr>
          <w:p w14:paraId="4F13DE9E" w14:textId="6BD34990"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56.1</w:t>
            </w:r>
          </w:p>
        </w:tc>
        <w:tc>
          <w:tcPr>
            <w:tcW w:w="986" w:type="dxa"/>
            <w:vAlign w:val="center"/>
          </w:tcPr>
          <w:p w14:paraId="485023B9" w14:textId="23BA17D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58.8</w:t>
            </w:r>
          </w:p>
        </w:tc>
        <w:tc>
          <w:tcPr>
            <w:tcW w:w="987" w:type="dxa"/>
            <w:vAlign w:val="center"/>
          </w:tcPr>
          <w:p w14:paraId="45773F42" w14:textId="3532718C"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61.0</w:t>
            </w:r>
          </w:p>
        </w:tc>
        <w:tc>
          <w:tcPr>
            <w:tcW w:w="986" w:type="dxa"/>
            <w:vAlign w:val="center"/>
          </w:tcPr>
          <w:p w14:paraId="0AC292A8" w14:textId="6B3ACFC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56.9</w:t>
            </w:r>
          </w:p>
        </w:tc>
        <w:tc>
          <w:tcPr>
            <w:tcW w:w="987" w:type="dxa"/>
            <w:vAlign w:val="center"/>
          </w:tcPr>
          <w:p w14:paraId="6580FC0A" w14:textId="4A42609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278.9</w:t>
            </w:r>
          </w:p>
        </w:tc>
      </w:tr>
      <w:tr w:rsidR="003F3DAF" w:rsidRPr="0091354A" w14:paraId="2FDE77D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DCEAF96" w14:textId="77777777" w:rsidR="003F3DAF" w:rsidRPr="003F3DAF" w:rsidRDefault="003F3DAF" w:rsidP="00CF607C">
            <w:pPr>
              <w:spacing w:after="120"/>
              <w:rPr>
                <w:rFonts w:eastAsia="Calibri"/>
                <w:b w:val="0"/>
                <w:noProof/>
                <w:sz w:val="22"/>
                <w:szCs w:val="18"/>
              </w:rPr>
            </w:pPr>
            <w:r w:rsidRPr="003F3DAF">
              <w:rPr>
                <w:rFonts w:eastAsia="Calibri"/>
                <w:b w:val="0"/>
                <w:noProof/>
                <w:sz w:val="22"/>
                <w:szCs w:val="18"/>
              </w:rPr>
              <w:t>3.1 Market related expenditure and direct payments</w:t>
            </w:r>
          </w:p>
        </w:tc>
        <w:tc>
          <w:tcPr>
            <w:tcW w:w="986" w:type="dxa"/>
            <w:vAlign w:val="center"/>
          </w:tcPr>
          <w:p w14:paraId="2D32ED2E" w14:textId="6F810D9F"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40.7</w:t>
            </w:r>
          </w:p>
        </w:tc>
        <w:tc>
          <w:tcPr>
            <w:tcW w:w="987" w:type="dxa"/>
            <w:vAlign w:val="center"/>
          </w:tcPr>
          <w:p w14:paraId="15C1C678" w14:textId="44F47B81"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41.6</w:t>
            </w:r>
          </w:p>
        </w:tc>
        <w:tc>
          <w:tcPr>
            <w:tcW w:w="986" w:type="dxa"/>
            <w:vAlign w:val="center"/>
          </w:tcPr>
          <w:p w14:paraId="45E7AB61" w14:textId="7232EFAF"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41.8</w:t>
            </w:r>
          </w:p>
        </w:tc>
        <w:tc>
          <w:tcPr>
            <w:tcW w:w="987" w:type="dxa"/>
            <w:vAlign w:val="center"/>
          </w:tcPr>
          <w:p w14:paraId="63A69482" w14:textId="2721F507"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41.9</w:t>
            </w:r>
          </w:p>
        </w:tc>
        <w:tc>
          <w:tcPr>
            <w:tcW w:w="986" w:type="dxa"/>
            <w:vAlign w:val="center"/>
          </w:tcPr>
          <w:p w14:paraId="089C2B21" w14:textId="5CC1C91C"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42.0</w:t>
            </w:r>
          </w:p>
        </w:tc>
        <w:tc>
          <w:tcPr>
            <w:tcW w:w="987" w:type="dxa"/>
            <w:vAlign w:val="center"/>
          </w:tcPr>
          <w:p w14:paraId="6A2F33AE" w14:textId="114D2086"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noProof/>
                <w:sz w:val="22"/>
                <w:szCs w:val="18"/>
              </w:rPr>
              <w:t>208.1</w:t>
            </w:r>
          </w:p>
        </w:tc>
      </w:tr>
      <w:tr w:rsidR="003F3DAF" w:rsidRPr="0091354A" w14:paraId="01C48D8D"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75E55C80" w14:textId="77777777" w:rsidR="003F3DAF" w:rsidRPr="003F3DAF" w:rsidRDefault="003F3DAF" w:rsidP="00CF607C">
            <w:pPr>
              <w:spacing w:after="120"/>
              <w:rPr>
                <w:rFonts w:eastAsia="Calibri"/>
                <w:b w:val="0"/>
                <w:noProof/>
                <w:sz w:val="22"/>
                <w:szCs w:val="18"/>
              </w:rPr>
            </w:pPr>
            <w:r w:rsidRPr="003F3DAF">
              <w:rPr>
                <w:rFonts w:eastAsia="Calibri"/>
                <w:b w:val="0"/>
                <w:noProof/>
                <w:sz w:val="22"/>
                <w:szCs w:val="18"/>
              </w:rPr>
              <w:t>3.2 Other programmes of Natural Resources and Environment</w:t>
            </w:r>
          </w:p>
        </w:tc>
        <w:tc>
          <w:tcPr>
            <w:tcW w:w="986" w:type="dxa"/>
            <w:vAlign w:val="center"/>
          </w:tcPr>
          <w:p w14:paraId="7B1AA231" w14:textId="56E576FD"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5.4</w:t>
            </w:r>
          </w:p>
        </w:tc>
        <w:tc>
          <w:tcPr>
            <w:tcW w:w="987" w:type="dxa"/>
            <w:vAlign w:val="center"/>
          </w:tcPr>
          <w:p w14:paraId="47CD3034" w14:textId="3C12BE99"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14.5</w:t>
            </w:r>
          </w:p>
        </w:tc>
        <w:tc>
          <w:tcPr>
            <w:tcW w:w="986" w:type="dxa"/>
            <w:vAlign w:val="center"/>
          </w:tcPr>
          <w:p w14:paraId="25BF2537" w14:textId="3626C2A2"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17.0</w:t>
            </w:r>
          </w:p>
        </w:tc>
        <w:tc>
          <w:tcPr>
            <w:tcW w:w="987" w:type="dxa"/>
            <w:vAlign w:val="center"/>
          </w:tcPr>
          <w:p w14:paraId="31037F28" w14:textId="08058C88"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19.1</w:t>
            </w:r>
          </w:p>
        </w:tc>
        <w:tc>
          <w:tcPr>
            <w:tcW w:w="986" w:type="dxa"/>
            <w:vAlign w:val="center"/>
          </w:tcPr>
          <w:p w14:paraId="6E31E2A4" w14:textId="57ED026A"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noProof/>
                <w:sz w:val="22"/>
                <w:szCs w:val="18"/>
              </w:rPr>
              <w:t>14.9</w:t>
            </w:r>
          </w:p>
        </w:tc>
        <w:tc>
          <w:tcPr>
            <w:tcW w:w="987" w:type="dxa"/>
            <w:vAlign w:val="center"/>
          </w:tcPr>
          <w:p w14:paraId="0AD0A7DD" w14:textId="3A828183"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noProof/>
                <w:sz w:val="22"/>
                <w:szCs w:val="18"/>
              </w:rPr>
              <w:t>70.8</w:t>
            </w:r>
          </w:p>
        </w:tc>
      </w:tr>
      <w:tr w:rsidR="00CF607C" w:rsidRPr="0091354A" w14:paraId="7498120D"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C76F98A"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4 Migration and Border Management</w:t>
            </w:r>
          </w:p>
        </w:tc>
        <w:tc>
          <w:tcPr>
            <w:tcW w:w="986" w:type="dxa"/>
            <w:vAlign w:val="center"/>
          </w:tcPr>
          <w:p w14:paraId="2B50207E" w14:textId="3BAF52BC"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2.4</w:t>
            </w:r>
          </w:p>
        </w:tc>
        <w:tc>
          <w:tcPr>
            <w:tcW w:w="987" w:type="dxa"/>
            <w:vAlign w:val="center"/>
          </w:tcPr>
          <w:p w14:paraId="3BFB47D5" w14:textId="5005CF7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3.8</w:t>
            </w:r>
          </w:p>
        </w:tc>
        <w:tc>
          <w:tcPr>
            <w:tcW w:w="986" w:type="dxa"/>
            <w:vAlign w:val="center"/>
          </w:tcPr>
          <w:p w14:paraId="31FF89DA" w14:textId="09F4C18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4.4</w:t>
            </w:r>
          </w:p>
        </w:tc>
        <w:tc>
          <w:tcPr>
            <w:tcW w:w="987" w:type="dxa"/>
            <w:vAlign w:val="center"/>
          </w:tcPr>
          <w:p w14:paraId="33583102" w14:textId="0DB21657"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4.7</w:t>
            </w:r>
          </w:p>
        </w:tc>
        <w:tc>
          <w:tcPr>
            <w:tcW w:w="986" w:type="dxa"/>
            <w:vAlign w:val="center"/>
          </w:tcPr>
          <w:p w14:paraId="595CF823" w14:textId="040FD27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4.8</w:t>
            </w:r>
          </w:p>
        </w:tc>
        <w:tc>
          <w:tcPr>
            <w:tcW w:w="987" w:type="dxa"/>
            <w:vAlign w:val="center"/>
          </w:tcPr>
          <w:p w14:paraId="5EA82B75" w14:textId="6E09BDF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20.1</w:t>
            </w:r>
          </w:p>
        </w:tc>
      </w:tr>
      <w:tr w:rsidR="00CF607C" w:rsidRPr="0091354A" w14:paraId="59AB1A0A"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08F961CE"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5 Security and Defence</w:t>
            </w:r>
          </w:p>
        </w:tc>
        <w:tc>
          <w:tcPr>
            <w:tcW w:w="986" w:type="dxa"/>
            <w:vAlign w:val="center"/>
          </w:tcPr>
          <w:p w14:paraId="6229D0A9" w14:textId="06C8FF41"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0.9</w:t>
            </w:r>
          </w:p>
        </w:tc>
        <w:tc>
          <w:tcPr>
            <w:tcW w:w="987" w:type="dxa"/>
            <w:vAlign w:val="center"/>
          </w:tcPr>
          <w:p w14:paraId="7936BF67" w14:textId="67F50A59"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1.8</w:t>
            </w:r>
          </w:p>
        </w:tc>
        <w:tc>
          <w:tcPr>
            <w:tcW w:w="986" w:type="dxa"/>
            <w:vAlign w:val="center"/>
          </w:tcPr>
          <w:p w14:paraId="4459D4B8" w14:textId="3E9AD8D7"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1.9</w:t>
            </w:r>
          </w:p>
        </w:tc>
        <w:tc>
          <w:tcPr>
            <w:tcW w:w="987" w:type="dxa"/>
            <w:vAlign w:val="center"/>
          </w:tcPr>
          <w:p w14:paraId="45426BE3" w14:textId="557D8825"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2.3</w:t>
            </w:r>
          </w:p>
        </w:tc>
        <w:tc>
          <w:tcPr>
            <w:tcW w:w="986" w:type="dxa"/>
            <w:vAlign w:val="center"/>
          </w:tcPr>
          <w:p w14:paraId="2031C386" w14:textId="4BDCDDB0"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2.3</w:t>
            </w:r>
          </w:p>
        </w:tc>
        <w:tc>
          <w:tcPr>
            <w:tcW w:w="987" w:type="dxa"/>
            <w:vAlign w:val="center"/>
          </w:tcPr>
          <w:p w14:paraId="3026C046" w14:textId="73319881"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9.2</w:t>
            </w:r>
          </w:p>
        </w:tc>
      </w:tr>
      <w:tr w:rsidR="00CF607C" w:rsidRPr="0091354A" w14:paraId="25B0D557"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1412DEF5"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6 Neighbourhood and the World</w:t>
            </w:r>
          </w:p>
        </w:tc>
        <w:tc>
          <w:tcPr>
            <w:tcW w:w="986" w:type="dxa"/>
            <w:vAlign w:val="center"/>
          </w:tcPr>
          <w:p w14:paraId="33001101" w14:textId="50B4787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9.5</w:t>
            </w:r>
          </w:p>
        </w:tc>
        <w:tc>
          <w:tcPr>
            <w:tcW w:w="987" w:type="dxa"/>
            <w:vAlign w:val="center"/>
          </w:tcPr>
          <w:p w14:paraId="24992F74" w14:textId="367E1A6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13.0</w:t>
            </w:r>
          </w:p>
        </w:tc>
        <w:tc>
          <w:tcPr>
            <w:tcW w:w="986" w:type="dxa"/>
            <w:vAlign w:val="center"/>
          </w:tcPr>
          <w:p w14:paraId="23BE31AF" w14:textId="1EC81C4B"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15.0</w:t>
            </w:r>
          </w:p>
        </w:tc>
        <w:tc>
          <w:tcPr>
            <w:tcW w:w="987" w:type="dxa"/>
            <w:vAlign w:val="center"/>
          </w:tcPr>
          <w:p w14:paraId="5284D76C" w14:textId="7DF21D2B"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15.7</w:t>
            </w:r>
          </w:p>
        </w:tc>
        <w:tc>
          <w:tcPr>
            <w:tcW w:w="986" w:type="dxa"/>
            <w:vAlign w:val="center"/>
          </w:tcPr>
          <w:p w14:paraId="4D4923B3" w14:textId="4C55F61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15.6</w:t>
            </w:r>
          </w:p>
        </w:tc>
        <w:tc>
          <w:tcPr>
            <w:tcW w:w="987" w:type="dxa"/>
            <w:vAlign w:val="center"/>
          </w:tcPr>
          <w:p w14:paraId="09EB5F39" w14:textId="18CF2A79"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69.0</w:t>
            </w:r>
          </w:p>
        </w:tc>
      </w:tr>
      <w:tr w:rsidR="00CF607C" w:rsidRPr="0091354A" w14:paraId="39286299"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0BF536F6"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7 European Public Administration</w:t>
            </w:r>
          </w:p>
        </w:tc>
        <w:tc>
          <w:tcPr>
            <w:tcW w:w="986" w:type="dxa"/>
            <w:vAlign w:val="center"/>
          </w:tcPr>
          <w:p w14:paraId="594A325D" w14:textId="5E9D346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11.4</w:t>
            </w:r>
          </w:p>
        </w:tc>
        <w:tc>
          <w:tcPr>
            <w:tcW w:w="987" w:type="dxa"/>
            <w:vAlign w:val="center"/>
          </w:tcPr>
          <w:p w14:paraId="0E7B0011" w14:textId="4FF13CF2"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11.8</w:t>
            </w:r>
          </w:p>
        </w:tc>
        <w:tc>
          <w:tcPr>
            <w:tcW w:w="986" w:type="dxa"/>
            <w:vAlign w:val="center"/>
          </w:tcPr>
          <w:p w14:paraId="1FBE3D55" w14:textId="74BBF9B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12.2</w:t>
            </w:r>
          </w:p>
        </w:tc>
        <w:tc>
          <w:tcPr>
            <w:tcW w:w="987" w:type="dxa"/>
            <w:vAlign w:val="center"/>
          </w:tcPr>
          <w:p w14:paraId="60439F59" w14:textId="6A67A73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12.6</w:t>
            </w:r>
          </w:p>
        </w:tc>
        <w:tc>
          <w:tcPr>
            <w:tcW w:w="986" w:type="dxa"/>
            <w:vAlign w:val="center"/>
          </w:tcPr>
          <w:p w14:paraId="1D44FF63" w14:textId="2587AD32"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13.0</w:t>
            </w:r>
          </w:p>
        </w:tc>
        <w:tc>
          <w:tcPr>
            <w:tcW w:w="987" w:type="dxa"/>
            <w:vAlign w:val="center"/>
          </w:tcPr>
          <w:p w14:paraId="7B063B93" w14:textId="610C2F6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61.0</w:t>
            </w:r>
          </w:p>
        </w:tc>
      </w:tr>
      <w:tr w:rsidR="00CF607C" w:rsidRPr="0091354A" w14:paraId="1C9537A1"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5D5B6C82" w14:textId="77777777" w:rsidR="00CF607C" w:rsidRPr="003F3DAF" w:rsidRDefault="00CF607C" w:rsidP="00CF607C">
            <w:pPr>
              <w:spacing w:after="120"/>
              <w:rPr>
                <w:rFonts w:eastAsia="Calibri"/>
                <w:bCs/>
                <w:noProof/>
                <w:sz w:val="22"/>
                <w:szCs w:val="18"/>
              </w:rPr>
            </w:pPr>
            <w:r w:rsidRPr="003F3DAF">
              <w:rPr>
                <w:rFonts w:eastAsia="Calibri"/>
                <w:bCs/>
                <w:noProof/>
                <w:sz w:val="22"/>
                <w:szCs w:val="18"/>
              </w:rPr>
              <w:t>Special Instruments</w:t>
            </w:r>
          </w:p>
        </w:tc>
        <w:tc>
          <w:tcPr>
            <w:tcW w:w="986" w:type="dxa"/>
            <w:vAlign w:val="center"/>
          </w:tcPr>
          <w:p w14:paraId="175EAAC5" w14:textId="2B8467C1"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2.7</w:t>
            </w:r>
          </w:p>
        </w:tc>
        <w:tc>
          <w:tcPr>
            <w:tcW w:w="987" w:type="dxa"/>
            <w:vAlign w:val="center"/>
          </w:tcPr>
          <w:p w14:paraId="25C9FE7E" w14:textId="77777777" w:rsidR="00CF607C" w:rsidRPr="00CF607C" w:rsidRDefault="00CF607C"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986" w:type="dxa"/>
            <w:vAlign w:val="center"/>
          </w:tcPr>
          <w:p w14:paraId="5134E0B8" w14:textId="118D13F5"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78468D">
              <w:rPr>
                <w:rFonts w:eastAsia="Calibri"/>
                <w:bCs/>
                <w:noProof/>
                <w:sz w:val="22"/>
                <w:szCs w:val="18"/>
              </w:rPr>
              <w:t>1.1</w:t>
            </w:r>
          </w:p>
        </w:tc>
        <w:tc>
          <w:tcPr>
            <w:tcW w:w="987" w:type="dxa"/>
            <w:vAlign w:val="center"/>
          </w:tcPr>
          <w:p w14:paraId="749DCE7A" w14:textId="77777777" w:rsidR="00CF607C" w:rsidRPr="00CF607C" w:rsidRDefault="00CF607C"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986" w:type="dxa"/>
            <w:vAlign w:val="center"/>
          </w:tcPr>
          <w:p w14:paraId="65072424" w14:textId="77777777" w:rsidR="00CF607C" w:rsidRPr="00CF607C" w:rsidRDefault="00CF607C"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987" w:type="dxa"/>
            <w:vAlign w:val="center"/>
          </w:tcPr>
          <w:p w14:paraId="5E0262CD" w14:textId="6C43645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3.8</w:t>
            </w:r>
          </w:p>
        </w:tc>
      </w:tr>
      <w:tr w:rsidR="00CF607C" w:rsidRPr="0091354A" w14:paraId="3BDAC534"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2383D735" w14:textId="77777777" w:rsidR="00CF607C" w:rsidRPr="003F3DAF" w:rsidRDefault="00CF607C" w:rsidP="00CF607C">
            <w:pPr>
              <w:spacing w:after="120"/>
              <w:rPr>
                <w:bCs/>
                <w:noProof/>
                <w:sz w:val="22"/>
                <w:szCs w:val="18"/>
              </w:rPr>
            </w:pPr>
            <w:r w:rsidRPr="003F3DAF">
              <w:rPr>
                <w:rFonts w:eastAsia="Calibri"/>
                <w:noProof/>
                <w:sz w:val="22"/>
                <w:szCs w:val="18"/>
              </w:rPr>
              <w:t>Total</w:t>
            </w:r>
          </w:p>
        </w:tc>
        <w:tc>
          <w:tcPr>
            <w:tcW w:w="986" w:type="dxa"/>
            <w:vAlign w:val="center"/>
          </w:tcPr>
          <w:p w14:paraId="13E3DD2E" w14:textId="706E0CC3"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100.3</w:t>
            </w:r>
          </w:p>
        </w:tc>
        <w:tc>
          <w:tcPr>
            <w:tcW w:w="987" w:type="dxa"/>
            <w:vAlign w:val="center"/>
          </w:tcPr>
          <w:p w14:paraId="27A8E7C8" w14:textId="48EC920B"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130.3</w:t>
            </w:r>
          </w:p>
        </w:tc>
        <w:tc>
          <w:tcPr>
            <w:tcW w:w="986" w:type="dxa"/>
            <w:vAlign w:val="center"/>
          </w:tcPr>
          <w:p w14:paraId="15D0B4BB" w14:textId="36AB9DEB"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167.8</w:t>
            </w:r>
          </w:p>
        </w:tc>
        <w:tc>
          <w:tcPr>
            <w:tcW w:w="987" w:type="dxa"/>
            <w:vAlign w:val="center"/>
          </w:tcPr>
          <w:p w14:paraId="02B231F2" w14:textId="61B55235" w:rsidR="00CF607C" w:rsidRPr="0078468D" w:rsidRDefault="00D51975" w:rsidP="00E26C5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177.</w:t>
            </w:r>
            <w:r w:rsidR="00E26C58">
              <w:rPr>
                <w:rFonts w:eastAsia="Calibri"/>
                <w:b/>
                <w:bCs/>
                <w:noProof/>
                <w:sz w:val="22"/>
                <w:szCs w:val="18"/>
              </w:rPr>
              <w:t>4</w:t>
            </w:r>
          </w:p>
        </w:tc>
        <w:tc>
          <w:tcPr>
            <w:tcW w:w="986" w:type="dxa"/>
            <w:vAlign w:val="center"/>
          </w:tcPr>
          <w:p w14:paraId="0932B362" w14:textId="027C1333"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191.6</w:t>
            </w:r>
          </w:p>
        </w:tc>
        <w:tc>
          <w:tcPr>
            <w:tcW w:w="987" w:type="dxa"/>
            <w:vAlign w:val="center"/>
          </w:tcPr>
          <w:p w14:paraId="79187F5B" w14:textId="6CF9472B"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78468D">
              <w:rPr>
                <w:rFonts w:eastAsia="Calibri"/>
                <w:b/>
                <w:bCs/>
                <w:noProof/>
                <w:sz w:val="22"/>
                <w:szCs w:val="18"/>
              </w:rPr>
              <w:t>767.4</w:t>
            </w:r>
          </w:p>
        </w:tc>
      </w:tr>
    </w:tbl>
    <w:p w14:paraId="60FA5CDB" w14:textId="77777777" w:rsidR="00812A24" w:rsidRDefault="00812A24" w:rsidP="00D66606">
      <w:pPr>
        <w:pStyle w:val="Heading2"/>
        <w:tabs>
          <w:tab w:val="num" w:pos="0"/>
        </w:tabs>
        <w:rPr>
          <w:rFonts w:cs="Times New Roman"/>
          <w:b w:val="0"/>
          <w:noProof/>
          <w:color w:val="auto"/>
          <w:sz w:val="20"/>
        </w:rPr>
      </w:pPr>
      <w:r>
        <w:rPr>
          <w:rFonts w:cs="Times New Roman"/>
          <w:b w:val="0"/>
          <w:noProof/>
          <w:color w:val="auto"/>
          <w:sz w:val="20"/>
        </w:rPr>
        <w:br w:type="page"/>
      </w:r>
    </w:p>
    <w:p w14:paraId="52CC2FE2" w14:textId="06360214" w:rsidR="00D66606" w:rsidRPr="0091354A" w:rsidRDefault="00D66606" w:rsidP="00D66606">
      <w:pPr>
        <w:pStyle w:val="Heading2"/>
        <w:tabs>
          <w:tab w:val="num" w:pos="0"/>
        </w:tabs>
        <w:rPr>
          <w:noProof/>
        </w:rPr>
      </w:pPr>
      <w:bookmarkStart w:id="69" w:name="_Toc105504515"/>
      <w:r w:rsidRPr="57F8CA25">
        <w:rPr>
          <w:noProof/>
        </w:rPr>
        <w:t xml:space="preserve">Table </w:t>
      </w:r>
      <w:r w:rsidRPr="0091354A">
        <w:rPr>
          <w:noProof/>
        </w:rPr>
        <w:fldChar w:fldCharType="begin"/>
      </w:r>
      <w:r w:rsidRPr="57F8CA25">
        <w:rPr>
          <w:noProof/>
        </w:rPr>
        <w:instrText xml:space="preserve"> SEQ Table \* ARABIC </w:instrText>
      </w:r>
      <w:r w:rsidRPr="0091354A">
        <w:rPr>
          <w:noProof/>
        </w:rPr>
        <w:fldChar w:fldCharType="separate"/>
      </w:r>
      <w:r w:rsidRPr="57F8CA25">
        <w:rPr>
          <w:noProof/>
        </w:rPr>
        <w:t>1</w:t>
      </w:r>
      <w:r w:rsidRPr="0091354A">
        <w:rPr>
          <w:noProof/>
        </w:rPr>
        <w:fldChar w:fldCharType="end"/>
      </w:r>
      <w:r w:rsidRPr="57F8CA25">
        <w:rPr>
          <w:noProof/>
        </w:rPr>
        <w:t>.3 – Payments for the completion of pre-2021 commitments</w:t>
      </w:r>
      <w:bookmarkEnd w:id="69"/>
    </w:p>
    <w:tbl>
      <w:tblPr>
        <w:tblStyle w:val="AMPR2021"/>
        <w:tblW w:w="0" w:type="auto"/>
        <w:tblLayout w:type="fixed"/>
        <w:tblLook w:val="06A0" w:firstRow="1" w:lastRow="0" w:firstColumn="1" w:lastColumn="0" w:noHBand="1" w:noVBand="1"/>
      </w:tblPr>
      <w:tblGrid>
        <w:gridCol w:w="4065"/>
        <w:gridCol w:w="937"/>
        <w:gridCol w:w="937"/>
        <w:gridCol w:w="937"/>
        <w:gridCol w:w="937"/>
        <w:gridCol w:w="800"/>
        <w:gridCol w:w="1107"/>
      </w:tblGrid>
      <w:tr w:rsidR="00D66606" w:rsidRPr="0091354A" w14:paraId="6B2FFF98" w14:textId="77777777" w:rsidTr="00F86C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dxa"/>
          </w:tcPr>
          <w:p w14:paraId="7E55E2B0" w14:textId="77777777" w:rsidR="00D66606" w:rsidRPr="0091354A" w:rsidRDefault="00D66606" w:rsidP="00D66606">
            <w:pPr>
              <w:rPr>
                <w:rFonts w:eastAsia="Calibri"/>
                <w:b w:val="0"/>
                <w:bCs/>
                <w:noProof/>
                <w:sz w:val="22"/>
                <w:szCs w:val="18"/>
              </w:rPr>
            </w:pPr>
            <w:r w:rsidRPr="0091354A">
              <w:rPr>
                <w:rFonts w:eastAsia="Calibri"/>
                <w:noProof/>
                <w:sz w:val="22"/>
                <w:szCs w:val="18"/>
              </w:rPr>
              <w:t>MFF Heading</w:t>
            </w:r>
          </w:p>
        </w:tc>
        <w:tc>
          <w:tcPr>
            <w:tcW w:w="937" w:type="dxa"/>
          </w:tcPr>
          <w:p w14:paraId="3FE6883A"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2023</w:t>
            </w:r>
          </w:p>
        </w:tc>
        <w:tc>
          <w:tcPr>
            <w:tcW w:w="937" w:type="dxa"/>
          </w:tcPr>
          <w:p w14:paraId="0A04F084"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2024</w:t>
            </w:r>
          </w:p>
        </w:tc>
        <w:tc>
          <w:tcPr>
            <w:tcW w:w="937" w:type="dxa"/>
          </w:tcPr>
          <w:p w14:paraId="7A8BAA74"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2025</w:t>
            </w:r>
          </w:p>
        </w:tc>
        <w:tc>
          <w:tcPr>
            <w:tcW w:w="937" w:type="dxa"/>
          </w:tcPr>
          <w:p w14:paraId="5B170E50"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2026</w:t>
            </w:r>
          </w:p>
        </w:tc>
        <w:tc>
          <w:tcPr>
            <w:tcW w:w="800" w:type="dxa"/>
          </w:tcPr>
          <w:p w14:paraId="1E8CFBBD"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2027</w:t>
            </w:r>
          </w:p>
        </w:tc>
        <w:tc>
          <w:tcPr>
            <w:tcW w:w="1107" w:type="dxa"/>
          </w:tcPr>
          <w:p w14:paraId="21A251FC"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91354A">
              <w:rPr>
                <w:rFonts w:eastAsia="Calibri"/>
                <w:noProof/>
                <w:sz w:val="22"/>
                <w:szCs w:val="18"/>
              </w:rPr>
              <w:t>Total</w:t>
            </w:r>
          </w:p>
        </w:tc>
      </w:tr>
      <w:tr w:rsidR="00D66606" w:rsidRPr="0091354A" w14:paraId="3B58121C"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nil"/>
              <w:bottom w:val="single" w:sz="2" w:space="0" w:color="auto"/>
            </w:tcBorders>
          </w:tcPr>
          <w:p w14:paraId="2B6D5C43" w14:textId="5D33F437" w:rsidR="00D66606" w:rsidRPr="003F3DAF" w:rsidRDefault="00D66606" w:rsidP="00D66606">
            <w:pPr>
              <w:spacing w:after="120"/>
              <w:rPr>
                <w:rFonts w:eastAsia="Calibri"/>
                <w:bCs/>
                <w:noProof/>
                <w:sz w:val="22"/>
                <w:szCs w:val="18"/>
              </w:rPr>
            </w:pPr>
            <w:r w:rsidRPr="003F3DAF">
              <w:rPr>
                <w:rFonts w:eastAsia="Calibri"/>
                <w:noProof/>
                <w:sz w:val="22"/>
                <w:szCs w:val="18"/>
              </w:rPr>
              <w:t>1 Single Market, Innovation and Digital</w:t>
            </w:r>
          </w:p>
        </w:tc>
        <w:tc>
          <w:tcPr>
            <w:tcW w:w="937" w:type="dxa"/>
            <w:tcBorders>
              <w:top w:val="nil"/>
              <w:left w:val="nil"/>
              <w:bottom w:val="single" w:sz="2" w:space="0" w:color="auto"/>
              <w:right w:val="nil"/>
            </w:tcBorders>
            <w:shd w:val="clear" w:color="auto" w:fill="auto"/>
            <w:vAlign w:val="center"/>
          </w:tcPr>
          <w:p w14:paraId="1D793B80" w14:textId="322C2CF1"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5.4</w:t>
            </w:r>
          </w:p>
        </w:tc>
        <w:tc>
          <w:tcPr>
            <w:tcW w:w="937" w:type="dxa"/>
            <w:tcBorders>
              <w:top w:val="nil"/>
              <w:left w:val="nil"/>
              <w:bottom w:val="single" w:sz="2" w:space="0" w:color="auto"/>
              <w:right w:val="nil"/>
            </w:tcBorders>
            <w:shd w:val="clear" w:color="auto" w:fill="auto"/>
            <w:vAlign w:val="center"/>
          </w:tcPr>
          <w:p w14:paraId="4EEC6A13" w14:textId="63C4EEB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4.1</w:t>
            </w:r>
          </w:p>
        </w:tc>
        <w:tc>
          <w:tcPr>
            <w:tcW w:w="937" w:type="dxa"/>
            <w:tcBorders>
              <w:top w:val="nil"/>
              <w:left w:val="nil"/>
              <w:bottom w:val="single" w:sz="2" w:space="0" w:color="auto"/>
              <w:right w:val="nil"/>
            </w:tcBorders>
            <w:shd w:val="clear" w:color="auto" w:fill="auto"/>
            <w:vAlign w:val="center"/>
          </w:tcPr>
          <w:p w14:paraId="5EAE4D2B" w14:textId="1507DD0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3.1</w:t>
            </w:r>
          </w:p>
        </w:tc>
        <w:tc>
          <w:tcPr>
            <w:tcW w:w="937" w:type="dxa"/>
            <w:tcBorders>
              <w:top w:val="nil"/>
              <w:left w:val="nil"/>
              <w:bottom w:val="single" w:sz="2" w:space="0" w:color="auto"/>
              <w:right w:val="nil"/>
            </w:tcBorders>
            <w:shd w:val="clear" w:color="auto" w:fill="auto"/>
            <w:vAlign w:val="center"/>
          </w:tcPr>
          <w:p w14:paraId="5FD34489" w14:textId="69B6D52B"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1.8</w:t>
            </w:r>
          </w:p>
        </w:tc>
        <w:tc>
          <w:tcPr>
            <w:tcW w:w="800" w:type="dxa"/>
            <w:tcBorders>
              <w:top w:val="nil"/>
              <w:left w:val="nil"/>
              <w:bottom w:val="single" w:sz="2" w:space="0" w:color="auto"/>
              <w:right w:val="nil"/>
            </w:tcBorders>
            <w:shd w:val="clear" w:color="auto" w:fill="auto"/>
            <w:vAlign w:val="center"/>
          </w:tcPr>
          <w:p w14:paraId="46F91469" w14:textId="261CAFFC"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1.3</w:t>
            </w:r>
          </w:p>
        </w:tc>
        <w:tc>
          <w:tcPr>
            <w:tcW w:w="1107" w:type="dxa"/>
            <w:tcBorders>
              <w:top w:val="nil"/>
              <w:left w:val="nil"/>
              <w:bottom w:val="single" w:sz="2" w:space="0" w:color="auto"/>
              <w:right w:val="nil"/>
            </w:tcBorders>
            <w:shd w:val="clear" w:color="auto" w:fill="auto"/>
            <w:vAlign w:val="center"/>
          </w:tcPr>
          <w:p w14:paraId="5C90D569" w14:textId="3598167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15.6</w:t>
            </w:r>
          </w:p>
        </w:tc>
      </w:tr>
      <w:tr w:rsidR="00D66606" w:rsidRPr="0091354A" w14:paraId="46569AB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3CBB8467" w14:textId="0AF8751F" w:rsidR="00D66606" w:rsidRPr="003F3DAF" w:rsidRDefault="00D66606" w:rsidP="00D66606">
            <w:pPr>
              <w:spacing w:after="120"/>
              <w:rPr>
                <w:rFonts w:eastAsia="Calibri"/>
                <w:bCs/>
                <w:noProof/>
                <w:sz w:val="22"/>
                <w:szCs w:val="18"/>
              </w:rPr>
            </w:pPr>
            <w:r w:rsidRPr="003F3DAF">
              <w:rPr>
                <w:rFonts w:eastAsia="Calibri"/>
                <w:noProof/>
                <w:sz w:val="22"/>
                <w:szCs w:val="18"/>
              </w:rPr>
              <w:t>2 Cohesion, Resilience and Values</w:t>
            </w:r>
          </w:p>
        </w:tc>
        <w:tc>
          <w:tcPr>
            <w:tcW w:w="937" w:type="dxa"/>
            <w:tcBorders>
              <w:top w:val="single" w:sz="2" w:space="0" w:color="auto"/>
              <w:left w:val="nil"/>
              <w:bottom w:val="single" w:sz="2" w:space="0" w:color="auto"/>
              <w:right w:val="nil"/>
            </w:tcBorders>
            <w:shd w:val="clear" w:color="auto" w:fill="auto"/>
            <w:vAlign w:val="center"/>
          </w:tcPr>
          <w:p w14:paraId="00D34128" w14:textId="26A28463"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44.0</w:t>
            </w:r>
          </w:p>
        </w:tc>
        <w:tc>
          <w:tcPr>
            <w:tcW w:w="937" w:type="dxa"/>
            <w:tcBorders>
              <w:top w:val="single" w:sz="2" w:space="0" w:color="auto"/>
              <w:left w:val="nil"/>
              <w:bottom w:val="single" w:sz="2" w:space="0" w:color="auto"/>
              <w:right w:val="nil"/>
            </w:tcBorders>
            <w:shd w:val="clear" w:color="auto" w:fill="auto"/>
            <w:vAlign w:val="center"/>
          </w:tcPr>
          <w:p w14:paraId="437757EC" w14:textId="43BD836F"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18.0</w:t>
            </w:r>
          </w:p>
        </w:tc>
        <w:tc>
          <w:tcPr>
            <w:tcW w:w="937" w:type="dxa"/>
            <w:tcBorders>
              <w:top w:val="single" w:sz="2" w:space="0" w:color="auto"/>
              <w:left w:val="nil"/>
              <w:bottom w:val="single" w:sz="2" w:space="0" w:color="auto"/>
              <w:right w:val="nil"/>
            </w:tcBorders>
            <w:shd w:val="clear" w:color="auto" w:fill="auto"/>
            <w:vAlign w:val="center"/>
          </w:tcPr>
          <w:p w14:paraId="5474E202" w14:textId="58681F60"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1.3</w:t>
            </w:r>
          </w:p>
        </w:tc>
        <w:tc>
          <w:tcPr>
            <w:tcW w:w="937" w:type="dxa"/>
            <w:tcBorders>
              <w:top w:val="single" w:sz="2" w:space="0" w:color="auto"/>
              <w:left w:val="nil"/>
              <w:bottom w:val="single" w:sz="2" w:space="0" w:color="auto"/>
              <w:right w:val="nil"/>
            </w:tcBorders>
            <w:shd w:val="clear" w:color="auto" w:fill="auto"/>
            <w:vAlign w:val="center"/>
          </w:tcPr>
          <w:p w14:paraId="230F53E6" w14:textId="2D888EDA"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1.2</w:t>
            </w:r>
          </w:p>
        </w:tc>
        <w:tc>
          <w:tcPr>
            <w:tcW w:w="800" w:type="dxa"/>
            <w:tcBorders>
              <w:top w:val="single" w:sz="2" w:space="0" w:color="auto"/>
              <w:left w:val="nil"/>
              <w:bottom w:val="single" w:sz="2" w:space="0" w:color="auto"/>
              <w:right w:val="nil"/>
            </w:tcBorders>
            <w:shd w:val="clear" w:color="auto" w:fill="auto"/>
            <w:vAlign w:val="center"/>
          </w:tcPr>
          <w:p w14:paraId="1E126AFC" w14:textId="6ADD0707"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0.2</w:t>
            </w:r>
          </w:p>
        </w:tc>
        <w:tc>
          <w:tcPr>
            <w:tcW w:w="1107" w:type="dxa"/>
            <w:tcBorders>
              <w:top w:val="single" w:sz="2" w:space="0" w:color="auto"/>
              <w:left w:val="nil"/>
              <w:bottom w:val="single" w:sz="2" w:space="0" w:color="auto"/>
              <w:right w:val="nil"/>
            </w:tcBorders>
            <w:shd w:val="clear" w:color="auto" w:fill="auto"/>
            <w:vAlign w:val="center"/>
          </w:tcPr>
          <w:p w14:paraId="439F0383" w14:textId="3C637C7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64.6</w:t>
            </w:r>
          </w:p>
        </w:tc>
      </w:tr>
      <w:tr w:rsidR="003F3DAF" w:rsidRPr="0091354A" w14:paraId="14DFAD08"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3082A51B" w14:textId="1C402B73" w:rsidR="003F3DAF" w:rsidRPr="003F3DAF" w:rsidRDefault="003F3DAF" w:rsidP="00D66606">
            <w:pPr>
              <w:spacing w:after="120"/>
              <w:rPr>
                <w:rFonts w:eastAsia="Calibri"/>
                <w:b w:val="0"/>
                <w:noProof/>
                <w:sz w:val="22"/>
                <w:szCs w:val="18"/>
              </w:rPr>
            </w:pPr>
            <w:r w:rsidRPr="003F3DAF">
              <w:rPr>
                <w:rFonts w:eastAsia="Calibri"/>
                <w:b w:val="0"/>
                <w:noProof/>
                <w:sz w:val="22"/>
                <w:szCs w:val="18"/>
              </w:rPr>
              <w:t>2.1 Economic, Social and territorial cohesion</w:t>
            </w:r>
          </w:p>
        </w:tc>
        <w:tc>
          <w:tcPr>
            <w:tcW w:w="937" w:type="dxa"/>
            <w:tcBorders>
              <w:top w:val="single" w:sz="2" w:space="0" w:color="auto"/>
              <w:left w:val="nil"/>
              <w:bottom w:val="single" w:sz="2" w:space="0" w:color="auto"/>
              <w:right w:val="nil"/>
            </w:tcBorders>
            <w:shd w:val="clear" w:color="auto" w:fill="auto"/>
            <w:vAlign w:val="center"/>
          </w:tcPr>
          <w:p w14:paraId="1F04CE42" w14:textId="4FAAFB35"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43.7</w:t>
            </w:r>
          </w:p>
        </w:tc>
        <w:tc>
          <w:tcPr>
            <w:tcW w:w="937" w:type="dxa"/>
            <w:tcBorders>
              <w:top w:val="single" w:sz="2" w:space="0" w:color="auto"/>
              <w:left w:val="nil"/>
              <w:bottom w:val="single" w:sz="2" w:space="0" w:color="auto"/>
              <w:right w:val="nil"/>
            </w:tcBorders>
            <w:shd w:val="clear" w:color="auto" w:fill="auto"/>
            <w:vAlign w:val="center"/>
          </w:tcPr>
          <w:p w14:paraId="16697E77" w14:textId="6D740481"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17.7</w:t>
            </w:r>
          </w:p>
        </w:tc>
        <w:tc>
          <w:tcPr>
            <w:tcW w:w="937" w:type="dxa"/>
            <w:tcBorders>
              <w:top w:val="single" w:sz="2" w:space="0" w:color="auto"/>
              <w:left w:val="nil"/>
              <w:bottom w:val="single" w:sz="2" w:space="0" w:color="auto"/>
              <w:right w:val="nil"/>
            </w:tcBorders>
            <w:shd w:val="clear" w:color="auto" w:fill="auto"/>
            <w:vAlign w:val="center"/>
          </w:tcPr>
          <w:p w14:paraId="68254F74" w14:textId="16DDCA6B"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1.2</w:t>
            </w:r>
          </w:p>
        </w:tc>
        <w:tc>
          <w:tcPr>
            <w:tcW w:w="937" w:type="dxa"/>
            <w:tcBorders>
              <w:top w:val="single" w:sz="2" w:space="0" w:color="auto"/>
              <w:left w:val="nil"/>
              <w:bottom w:val="single" w:sz="2" w:space="0" w:color="auto"/>
              <w:right w:val="nil"/>
            </w:tcBorders>
            <w:shd w:val="clear" w:color="auto" w:fill="auto"/>
            <w:vAlign w:val="center"/>
          </w:tcPr>
          <w:p w14:paraId="7A660621" w14:textId="55AB2098"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1.1</w:t>
            </w:r>
          </w:p>
        </w:tc>
        <w:tc>
          <w:tcPr>
            <w:tcW w:w="800" w:type="dxa"/>
            <w:tcBorders>
              <w:top w:val="single" w:sz="2" w:space="0" w:color="auto"/>
              <w:left w:val="nil"/>
              <w:bottom w:val="single" w:sz="2" w:space="0" w:color="auto"/>
              <w:right w:val="nil"/>
            </w:tcBorders>
            <w:shd w:val="clear" w:color="auto" w:fill="auto"/>
            <w:vAlign w:val="center"/>
          </w:tcPr>
          <w:p w14:paraId="37061CE5" w14:textId="210E4A20"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0.2</w:t>
            </w:r>
          </w:p>
        </w:tc>
        <w:tc>
          <w:tcPr>
            <w:tcW w:w="1107" w:type="dxa"/>
            <w:tcBorders>
              <w:top w:val="single" w:sz="2" w:space="0" w:color="auto"/>
              <w:left w:val="nil"/>
              <w:bottom w:val="single" w:sz="2" w:space="0" w:color="auto"/>
              <w:right w:val="nil"/>
            </w:tcBorders>
            <w:shd w:val="clear" w:color="auto" w:fill="auto"/>
            <w:vAlign w:val="center"/>
          </w:tcPr>
          <w:p w14:paraId="008F4F3E" w14:textId="3C3E7E7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63.9</w:t>
            </w:r>
          </w:p>
        </w:tc>
      </w:tr>
      <w:tr w:rsidR="003F3DAF" w:rsidRPr="0091354A" w14:paraId="234A3C2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198FA52C" w14:textId="44C34454" w:rsidR="003F3DAF" w:rsidRPr="003F3DAF" w:rsidRDefault="003F3DAF" w:rsidP="00D66606">
            <w:pPr>
              <w:spacing w:after="120"/>
              <w:rPr>
                <w:rFonts w:eastAsia="Calibri"/>
                <w:b w:val="0"/>
                <w:noProof/>
                <w:sz w:val="22"/>
                <w:szCs w:val="18"/>
              </w:rPr>
            </w:pPr>
            <w:r w:rsidRPr="003F3DAF">
              <w:rPr>
                <w:rFonts w:eastAsia="Calibri"/>
                <w:b w:val="0"/>
                <w:noProof/>
                <w:sz w:val="22"/>
                <w:szCs w:val="18"/>
              </w:rPr>
              <w:t>2.2 Resilience and Values</w:t>
            </w:r>
          </w:p>
        </w:tc>
        <w:tc>
          <w:tcPr>
            <w:tcW w:w="937" w:type="dxa"/>
            <w:tcBorders>
              <w:top w:val="single" w:sz="2" w:space="0" w:color="auto"/>
              <w:left w:val="nil"/>
              <w:bottom w:val="single" w:sz="2" w:space="0" w:color="auto"/>
              <w:right w:val="nil"/>
            </w:tcBorders>
            <w:shd w:val="clear" w:color="auto" w:fill="auto"/>
            <w:vAlign w:val="center"/>
          </w:tcPr>
          <w:p w14:paraId="36C051F7" w14:textId="4486C16C"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0.3</w:t>
            </w:r>
          </w:p>
        </w:tc>
        <w:tc>
          <w:tcPr>
            <w:tcW w:w="937" w:type="dxa"/>
            <w:tcBorders>
              <w:top w:val="single" w:sz="2" w:space="0" w:color="auto"/>
              <w:left w:val="nil"/>
              <w:bottom w:val="single" w:sz="2" w:space="0" w:color="auto"/>
              <w:right w:val="nil"/>
            </w:tcBorders>
            <w:shd w:val="clear" w:color="auto" w:fill="auto"/>
            <w:vAlign w:val="center"/>
          </w:tcPr>
          <w:p w14:paraId="0B15476D" w14:textId="00B7216F"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0.3</w:t>
            </w:r>
          </w:p>
        </w:tc>
        <w:tc>
          <w:tcPr>
            <w:tcW w:w="937" w:type="dxa"/>
            <w:tcBorders>
              <w:top w:val="single" w:sz="2" w:space="0" w:color="auto"/>
              <w:left w:val="nil"/>
              <w:bottom w:val="single" w:sz="2" w:space="0" w:color="auto"/>
              <w:right w:val="nil"/>
            </w:tcBorders>
            <w:shd w:val="clear" w:color="auto" w:fill="auto"/>
            <w:vAlign w:val="center"/>
          </w:tcPr>
          <w:p w14:paraId="4A61DA24" w14:textId="0C8A409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0.1</w:t>
            </w:r>
          </w:p>
        </w:tc>
        <w:tc>
          <w:tcPr>
            <w:tcW w:w="937" w:type="dxa"/>
            <w:tcBorders>
              <w:top w:val="single" w:sz="2" w:space="0" w:color="auto"/>
              <w:left w:val="nil"/>
              <w:bottom w:val="single" w:sz="2" w:space="0" w:color="auto"/>
              <w:right w:val="nil"/>
            </w:tcBorders>
            <w:shd w:val="clear" w:color="auto" w:fill="auto"/>
            <w:vAlign w:val="center"/>
          </w:tcPr>
          <w:p w14:paraId="26FA841A" w14:textId="2EDCD393"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0.1</w:t>
            </w:r>
          </w:p>
        </w:tc>
        <w:tc>
          <w:tcPr>
            <w:tcW w:w="800" w:type="dxa"/>
            <w:tcBorders>
              <w:top w:val="single" w:sz="2" w:space="0" w:color="auto"/>
              <w:left w:val="nil"/>
              <w:bottom w:val="single" w:sz="2" w:space="0" w:color="auto"/>
              <w:right w:val="nil"/>
            </w:tcBorders>
            <w:shd w:val="clear" w:color="auto" w:fill="auto"/>
            <w:vAlign w:val="center"/>
          </w:tcPr>
          <w:p w14:paraId="73AA97EF" w14:textId="68AD70E6"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0.0</w:t>
            </w:r>
          </w:p>
        </w:tc>
        <w:tc>
          <w:tcPr>
            <w:tcW w:w="1107" w:type="dxa"/>
            <w:tcBorders>
              <w:top w:val="single" w:sz="2" w:space="0" w:color="auto"/>
              <w:left w:val="nil"/>
              <w:bottom w:val="single" w:sz="2" w:space="0" w:color="auto"/>
              <w:right w:val="nil"/>
            </w:tcBorders>
            <w:shd w:val="clear" w:color="auto" w:fill="auto"/>
            <w:vAlign w:val="center"/>
          </w:tcPr>
          <w:p w14:paraId="72939864" w14:textId="60D11C7B"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0.7</w:t>
            </w:r>
          </w:p>
        </w:tc>
      </w:tr>
      <w:tr w:rsidR="00D66606" w:rsidRPr="0091354A" w14:paraId="7763CA41"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71F349F6" w14:textId="11D7B1B8" w:rsidR="00D66606" w:rsidRPr="003F3DAF" w:rsidRDefault="00D66606" w:rsidP="00D66606">
            <w:pPr>
              <w:spacing w:after="120"/>
              <w:rPr>
                <w:rFonts w:eastAsia="Calibri"/>
                <w:bCs/>
                <w:noProof/>
                <w:sz w:val="22"/>
                <w:szCs w:val="18"/>
              </w:rPr>
            </w:pPr>
            <w:r w:rsidRPr="003F3DAF">
              <w:rPr>
                <w:rFonts w:eastAsia="Calibri"/>
                <w:noProof/>
                <w:sz w:val="22"/>
                <w:szCs w:val="18"/>
              </w:rPr>
              <w:t>3 Natural Resources and Environment</w:t>
            </w:r>
          </w:p>
        </w:tc>
        <w:tc>
          <w:tcPr>
            <w:tcW w:w="937" w:type="dxa"/>
            <w:tcBorders>
              <w:top w:val="single" w:sz="2" w:space="0" w:color="auto"/>
              <w:left w:val="nil"/>
              <w:bottom w:val="single" w:sz="2" w:space="0" w:color="auto"/>
              <w:right w:val="nil"/>
            </w:tcBorders>
            <w:shd w:val="clear" w:color="auto" w:fill="auto"/>
            <w:vAlign w:val="center"/>
          </w:tcPr>
          <w:p w14:paraId="1D694460" w14:textId="513E72A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11.4</w:t>
            </w:r>
          </w:p>
        </w:tc>
        <w:tc>
          <w:tcPr>
            <w:tcW w:w="937" w:type="dxa"/>
            <w:tcBorders>
              <w:top w:val="single" w:sz="2" w:space="0" w:color="auto"/>
              <w:left w:val="nil"/>
              <w:bottom w:val="single" w:sz="2" w:space="0" w:color="auto"/>
              <w:right w:val="nil"/>
            </w:tcBorders>
            <w:shd w:val="clear" w:color="auto" w:fill="auto"/>
            <w:vAlign w:val="center"/>
          </w:tcPr>
          <w:p w14:paraId="6A70E0D4" w14:textId="63C12D9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1.0</w:t>
            </w:r>
          </w:p>
        </w:tc>
        <w:tc>
          <w:tcPr>
            <w:tcW w:w="937" w:type="dxa"/>
            <w:tcBorders>
              <w:top w:val="single" w:sz="2" w:space="0" w:color="auto"/>
              <w:left w:val="nil"/>
              <w:bottom w:val="single" w:sz="2" w:space="0" w:color="auto"/>
              <w:right w:val="nil"/>
            </w:tcBorders>
            <w:shd w:val="clear" w:color="auto" w:fill="auto"/>
            <w:vAlign w:val="center"/>
          </w:tcPr>
          <w:p w14:paraId="076E0993" w14:textId="04FEA0D2"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0.4</w:t>
            </w:r>
          </w:p>
        </w:tc>
        <w:tc>
          <w:tcPr>
            <w:tcW w:w="937" w:type="dxa"/>
            <w:tcBorders>
              <w:top w:val="single" w:sz="2" w:space="0" w:color="auto"/>
              <w:left w:val="nil"/>
              <w:bottom w:val="single" w:sz="2" w:space="0" w:color="auto"/>
              <w:right w:val="nil"/>
            </w:tcBorders>
            <w:shd w:val="clear" w:color="auto" w:fill="auto"/>
            <w:vAlign w:val="center"/>
          </w:tcPr>
          <w:p w14:paraId="2371F6BD" w14:textId="376C5D2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0.4</w:t>
            </w:r>
          </w:p>
        </w:tc>
        <w:tc>
          <w:tcPr>
            <w:tcW w:w="800" w:type="dxa"/>
            <w:tcBorders>
              <w:top w:val="single" w:sz="2" w:space="0" w:color="auto"/>
              <w:left w:val="nil"/>
              <w:bottom w:val="single" w:sz="2" w:space="0" w:color="auto"/>
              <w:right w:val="nil"/>
            </w:tcBorders>
            <w:shd w:val="clear" w:color="auto" w:fill="auto"/>
            <w:vAlign w:val="center"/>
          </w:tcPr>
          <w:p w14:paraId="66137C30" w14:textId="533E51DF"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0.1</w:t>
            </w:r>
          </w:p>
        </w:tc>
        <w:tc>
          <w:tcPr>
            <w:tcW w:w="1107" w:type="dxa"/>
            <w:tcBorders>
              <w:top w:val="single" w:sz="2" w:space="0" w:color="auto"/>
              <w:left w:val="nil"/>
              <w:bottom w:val="single" w:sz="2" w:space="0" w:color="auto"/>
              <w:right w:val="nil"/>
            </w:tcBorders>
            <w:shd w:val="clear" w:color="auto" w:fill="auto"/>
            <w:vAlign w:val="center"/>
          </w:tcPr>
          <w:p w14:paraId="14901AE0" w14:textId="18D7B467"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13.3</w:t>
            </w:r>
          </w:p>
        </w:tc>
      </w:tr>
      <w:tr w:rsidR="003F3DAF" w:rsidRPr="0091354A" w14:paraId="49AD9940"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710131CB" w14:textId="760113E3" w:rsidR="003F3DAF" w:rsidRPr="003F3DAF" w:rsidRDefault="003F3DAF" w:rsidP="003F3DAF">
            <w:pPr>
              <w:rPr>
                <w:rFonts w:eastAsia="Calibri"/>
                <w:b w:val="0"/>
                <w:noProof/>
                <w:sz w:val="22"/>
                <w:szCs w:val="18"/>
              </w:rPr>
            </w:pPr>
            <w:r w:rsidRPr="003F3DAF">
              <w:rPr>
                <w:rFonts w:eastAsia="Calibri"/>
                <w:b w:val="0"/>
                <w:noProof/>
                <w:sz w:val="22"/>
                <w:szCs w:val="18"/>
              </w:rPr>
              <w:t xml:space="preserve"> 3.1 Market related expenditure and direct payments</w:t>
            </w:r>
          </w:p>
        </w:tc>
        <w:tc>
          <w:tcPr>
            <w:tcW w:w="937" w:type="dxa"/>
            <w:tcBorders>
              <w:top w:val="single" w:sz="2" w:space="0" w:color="auto"/>
              <w:left w:val="nil"/>
              <w:bottom w:val="single" w:sz="2" w:space="0" w:color="auto"/>
              <w:right w:val="nil"/>
            </w:tcBorders>
            <w:shd w:val="clear" w:color="auto" w:fill="auto"/>
            <w:vAlign w:val="center"/>
          </w:tcPr>
          <w:p w14:paraId="55E0223E" w14:textId="2630857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0.0</w:t>
            </w:r>
          </w:p>
        </w:tc>
        <w:tc>
          <w:tcPr>
            <w:tcW w:w="937" w:type="dxa"/>
            <w:tcBorders>
              <w:top w:val="single" w:sz="2" w:space="0" w:color="auto"/>
              <w:left w:val="nil"/>
              <w:bottom w:val="single" w:sz="2" w:space="0" w:color="auto"/>
              <w:right w:val="nil"/>
            </w:tcBorders>
            <w:shd w:val="clear" w:color="auto" w:fill="auto"/>
            <w:vAlign w:val="center"/>
          </w:tcPr>
          <w:p w14:paraId="128E9B23"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937" w:type="dxa"/>
            <w:tcBorders>
              <w:top w:val="single" w:sz="2" w:space="0" w:color="auto"/>
              <w:left w:val="nil"/>
              <w:bottom w:val="single" w:sz="2" w:space="0" w:color="auto"/>
              <w:right w:val="nil"/>
            </w:tcBorders>
            <w:shd w:val="clear" w:color="auto" w:fill="auto"/>
            <w:vAlign w:val="center"/>
          </w:tcPr>
          <w:p w14:paraId="03E255CD"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937" w:type="dxa"/>
            <w:tcBorders>
              <w:top w:val="single" w:sz="2" w:space="0" w:color="auto"/>
              <w:left w:val="nil"/>
              <w:bottom w:val="single" w:sz="2" w:space="0" w:color="auto"/>
              <w:right w:val="nil"/>
            </w:tcBorders>
            <w:shd w:val="clear" w:color="auto" w:fill="auto"/>
            <w:vAlign w:val="center"/>
          </w:tcPr>
          <w:p w14:paraId="1D0242E9"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800" w:type="dxa"/>
            <w:tcBorders>
              <w:top w:val="single" w:sz="2" w:space="0" w:color="auto"/>
              <w:left w:val="nil"/>
              <w:bottom w:val="single" w:sz="2" w:space="0" w:color="auto"/>
              <w:right w:val="nil"/>
            </w:tcBorders>
            <w:shd w:val="clear" w:color="auto" w:fill="auto"/>
            <w:vAlign w:val="center"/>
          </w:tcPr>
          <w:p w14:paraId="7ACDA947"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1107" w:type="dxa"/>
            <w:tcBorders>
              <w:top w:val="single" w:sz="2" w:space="0" w:color="auto"/>
              <w:left w:val="nil"/>
              <w:bottom w:val="single" w:sz="2" w:space="0" w:color="auto"/>
              <w:right w:val="nil"/>
            </w:tcBorders>
            <w:shd w:val="clear" w:color="auto" w:fill="auto"/>
            <w:vAlign w:val="center"/>
          </w:tcPr>
          <w:p w14:paraId="3EE3F151" w14:textId="2E7D3352"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0.0</w:t>
            </w:r>
          </w:p>
        </w:tc>
      </w:tr>
      <w:tr w:rsidR="003F3DAF" w:rsidRPr="0091354A" w14:paraId="7D96F6F5"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71E90A65" w14:textId="256BCC2B" w:rsidR="003F3DAF" w:rsidRPr="003F3DAF" w:rsidRDefault="003F3DAF" w:rsidP="003F3DAF">
            <w:pPr>
              <w:rPr>
                <w:rFonts w:eastAsia="Calibri"/>
                <w:b w:val="0"/>
                <w:noProof/>
                <w:sz w:val="22"/>
                <w:szCs w:val="18"/>
              </w:rPr>
            </w:pPr>
            <w:r w:rsidRPr="003F3DAF">
              <w:rPr>
                <w:rFonts w:eastAsia="Calibri"/>
                <w:b w:val="0"/>
                <w:noProof/>
                <w:sz w:val="22"/>
                <w:szCs w:val="18"/>
              </w:rPr>
              <w:t xml:space="preserve"> 3.2 Other programmes of Natural Resources and Environment</w:t>
            </w:r>
          </w:p>
        </w:tc>
        <w:tc>
          <w:tcPr>
            <w:tcW w:w="937" w:type="dxa"/>
            <w:tcBorders>
              <w:top w:val="single" w:sz="2" w:space="0" w:color="auto"/>
              <w:left w:val="nil"/>
              <w:bottom w:val="single" w:sz="2" w:space="0" w:color="auto"/>
              <w:right w:val="nil"/>
            </w:tcBorders>
            <w:shd w:val="clear" w:color="auto" w:fill="auto"/>
            <w:vAlign w:val="center"/>
          </w:tcPr>
          <w:p w14:paraId="1440B77C" w14:textId="1426ABC1"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11.4</w:t>
            </w:r>
          </w:p>
        </w:tc>
        <w:tc>
          <w:tcPr>
            <w:tcW w:w="937" w:type="dxa"/>
            <w:tcBorders>
              <w:top w:val="single" w:sz="2" w:space="0" w:color="auto"/>
              <w:left w:val="nil"/>
              <w:bottom w:val="single" w:sz="2" w:space="0" w:color="auto"/>
              <w:right w:val="nil"/>
            </w:tcBorders>
            <w:shd w:val="clear" w:color="auto" w:fill="auto"/>
            <w:vAlign w:val="center"/>
          </w:tcPr>
          <w:p w14:paraId="11CBCE04" w14:textId="2A97D23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1.0</w:t>
            </w:r>
          </w:p>
        </w:tc>
        <w:tc>
          <w:tcPr>
            <w:tcW w:w="937" w:type="dxa"/>
            <w:tcBorders>
              <w:top w:val="single" w:sz="2" w:space="0" w:color="auto"/>
              <w:left w:val="nil"/>
              <w:bottom w:val="single" w:sz="2" w:space="0" w:color="auto"/>
              <w:right w:val="nil"/>
            </w:tcBorders>
            <w:shd w:val="clear" w:color="auto" w:fill="auto"/>
            <w:vAlign w:val="center"/>
          </w:tcPr>
          <w:p w14:paraId="52AB2B3F" w14:textId="1D6896A5"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0.4</w:t>
            </w:r>
          </w:p>
        </w:tc>
        <w:tc>
          <w:tcPr>
            <w:tcW w:w="937" w:type="dxa"/>
            <w:tcBorders>
              <w:top w:val="single" w:sz="2" w:space="0" w:color="auto"/>
              <w:left w:val="nil"/>
              <w:bottom w:val="single" w:sz="2" w:space="0" w:color="auto"/>
              <w:right w:val="nil"/>
            </w:tcBorders>
            <w:shd w:val="clear" w:color="auto" w:fill="auto"/>
            <w:vAlign w:val="center"/>
          </w:tcPr>
          <w:p w14:paraId="0BA6E7C8" w14:textId="50680BC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0.4</w:t>
            </w:r>
          </w:p>
        </w:tc>
        <w:tc>
          <w:tcPr>
            <w:tcW w:w="800" w:type="dxa"/>
            <w:tcBorders>
              <w:top w:val="single" w:sz="2" w:space="0" w:color="auto"/>
              <w:left w:val="nil"/>
              <w:bottom w:val="single" w:sz="2" w:space="0" w:color="auto"/>
              <w:right w:val="nil"/>
            </w:tcBorders>
            <w:shd w:val="clear" w:color="auto" w:fill="auto"/>
            <w:vAlign w:val="center"/>
          </w:tcPr>
          <w:p w14:paraId="1D16999B" w14:textId="429901AD"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0.1</w:t>
            </w:r>
          </w:p>
        </w:tc>
        <w:tc>
          <w:tcPr>
            <w:tcW w:w="1107" w:type="dxa"/>
            <w:tcBorders>
              <w:top w:val="single" w:sz="2" w:space="0" w:color="auto"/>
              <w:left w:val="nil"/>
              <w:bottom w:val="single" w:sz="2" w:space="0" w:color="auto"/>
              <w:right w:val="nil"/>
            </w:tcBorders>
            <w:shd w:val="clear" w:color="auto" w:fill="auto"/>
            <w:vAlign w:val="center"/>
          </w:tcPr>
          <w:p w14:paraId="070FA0C2" w14:textId="02E213A8"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13.3</w:t>
            </w:r>
          </w:p>
        </w:tc>
      </w:tr>
      <w:tr w:rsidR="00D66606" w:rsidRPr="0091354A" w14:paraId="4F3FC723"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238D15F5" w14:textId="52664CEF" w:rsidR="00D66606" w:rsidRPr="003F3DAF" w:rsidRDefault="00D66606" w:rsidP="00D66606">
            <w:pPr>
              <w:spacing w:after="120"/>
              <w:rPr>
                <w:rFonts w:eastAsia="Calibri"/>
                <w:bCs/>
                <w:noProof/>
                <w:sz w:val="22"/>
                <w:szCs w:val="18"/>
              </w:rPr>
            </w:pPr>
            <w:r w:rsidRPr="003F3DAF">
              <w:rPr>
                <w:rFonts w:eastAsia="Calibri"/>
                <w:noProof/>
                <w:sz w:val="22"/>
                <w:szCs w:val="18"/>
              </w:rPr>
              <w:t>4 Migration and Border Management</w:t>
            </w:r>
          </w:p>
        </w:tc>
        <w:tc>
          <w:tcPr>
            <w:tcW w:w="937" w:type="dxa"/>
            <w:tcBorders>
              <w:top w:val="single" w:sz="2" w:space="0" w:color="auto"/>
              <w:left w:val="nil"/>
              <w:bottom w:val="single" w:sz="2" w:space="0" w:color="auto"/>
              <w:right w:val="nil"/>
            </w:tcBorders>
            <w:shd w:val="clear" w:color="auto" w:fill="auto"/>
            <w:vAlign w:val="center"/>
          </w:tcPr>
          <w:p w14:paraId="769022B4" w14:textId="3618C44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0.7</w:t>
            </w:r>
          </w:p>
        </w:tc>
        <w:tc>
          <w:tcPr>
            <w:tcW w:w="937" w:type="dxa"/>
            <w:tcBorders>
              <w:top w:val="single" w:sz="2" w:space="0" w:color="auto"/>
              <w:left w:val="nil"/>
              <w:bottom w:val="single" w:sz="2" w:space="0" w:color="auto"/>
              <w:right w:val="nil"/>
            </w:tcBorders>
            <w:shd w:val="clear" w:color="auto" w:fill="auto"/>
            <w:vAlign w:val="center"/>
          </w:tcPr>
          <w:p w14:paraId="12905744" w14:textId="6F2EFD7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0.5</w:t>
            </w:r>
          </w:p>
        </w:tc>
        <w:tc>
          <w:tcPr>
            <w:tcW w:w="937" w:type="dxa"/>
            <w:tcBorders>
              <w:top w:val="single" w:sz="2" w:space="0" w:color="auto"/>
              <w:left w:val="nil"/>
              <w:bottom w:val="single" w:sz="2" w:space="0" w:color="auto"/>
              <w:right w:val="nil"/>
            </w:tcBorders>
            <w:shd w:val="clear" w:color="auto" w:fill="auto"/>
            <w:vAlign w:val="center"/>
          </w:tcPr>
          <w:p w14:paraId="4670998E" w14:textId="78BE79A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0.1</w:t>
            </w:r>
          </w:p>
        </w:tc>
        <w:tc>
          <w:tcPr>
            <w:tcW w:w="937" w:type="dxa"/>
            <w:tcBorders>
              <w:top w:val="single" w:sz="2" w:space="0" w:color="auto"/>
              <w:left w:val="nil"/>
              <w:bottom w:val="single" w:sz="2" w:space="0" w:color="auto"/>
              <w:right w:val="nil"/>
            </w:tcBorders>
            <w:shd w:val="clear" w:color="auto" w:fill="auto"/>
            <w:vAlign w:val="center"/>
          </w:tcPr>
          <w:p w14:paraId="68BFABDC" w14:textId="3E4DB0CB"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0.0</w:t>
            </w:r>
          </w:p>
        </w:tc>
        <w:tc>
          <w:tcPr>
            <w:tcW w:w="800" w:type="dxa"/>
            <w:tcBorders>
              <w:top w:val="single" w:sz="2" w:space="0" w:color="auto"/>
              <w:left w:val="nil"/>
              <w:bottom w:val="single" w:sz="2" w:space="0" w:color="auto"/>
              <w:right w:val="nil"/>
            </w:tcBorders>
            <w:shd w:val="clear" w:color="auto" w:fill="auto"/>
            <w:vAlign w:val="center"/>
          </w:tcPr>
          <w:p w14:paraId="1C30F782" w14:textId="45842D58"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0.0</w:t>
            </w:r>
          </w:p>
        </w:tc>
        <w:tc>
          <w:tcPr>
            <w:tcW w:w="1107" w:type="dxa"/>
            <w:tcBorders>
              <w:top w:val="single" w:sz="2" w:space="0" w:color="auto"/>
              <w:left w:val="nil"/>
              <w:bottom w:val="single" w:sz="2" w:space="0" w:color="auto"/>
              <w:right w:val="nil"/>
            </w:tcBorders>
            <w:shd w:val="clear" w:color="auto" w:fill="auto"/>
            <w:vAlign w:val="center"/>
          </w:tcPr>
          <w:p w14:paraId="1D93EEE0" w14:textId="7ACC5B63"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1.3</w:t>
            </w:r>
          </w:p>
        </w:tc>
      </w:tr>
      <w:tr w:rsidR="00D66606" w:rsidRPr="0091354A" w14:paraId="2ECBD4B2"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5CC779A8" w14:textId="04D9A955" w:rsidR="00D66606" w:rsidRPr="003F3DAF" w:rsidRDefault="00D66606" w:rsidP="00D66606">
            <w:pPr>
              <w:spacing w:after="120"/>
              <w:rPr>
                <w:rFonts w:eastAsia="Calibri"/>
                <w:bCs/>
                <w:noProof/>
                <w:sz w:val="22"/>
                <w:szCs w:val="18"/>
              </w:rPr>
            </w:pPr>
            <w:r w:rsidRPr="003F3DAF">
              <w:rPr>
                <w:rFonts w:eastAsia="Calibri"/>
                <w:noProof/>
                <w:sz w:val="22"/>
                <w:szCs w:val="18"/>
              </w:rPr>
              <w:t>5 Security and Defence</w:t>
            </w:r>
          </w:p>
        </w:tc>
        <w:tc>
          <w:tcPr>
            <w:tcW w:w="937" w:type="dxa"/>
            <w:tcBorders>
              <w:top w:val="single" w:sz="2" w:space="0" w:color="auto"/>
              <w:left w:val="nil"/>
              <w:bottom w:val="single" w:sz="2" w:space="0" w:color="auto"/>
              <w:right w:val="nil"/>
            </w:tcBorders>
            <w:shd w:val="clear" w:color="auto" w:fill="auto"/>
            <w:vAlign w:val="center"/>
          </w:tcPr>
          <w:p w14:paraId="6B930A1B" w14:textId="0CDADDA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0.2</w:t>
            </w:r>
          </w:p>
        </w:tc>
        <w:tc>
          <w:tcPr>
            <w:tcW w:w="937" w:type="dxa"/>
            <w:tcBorders>
              <w:top w:val="single" w:sz="2" w:space="0" w:color="auto"/>
              <w:left w:val="nil"/>
              <w:bottom w:val="single" w:sz="2" w:space="0" w:color="auto"/>
              <w:right w:val="nil"/>
            </w:tcBorders>
            <w:shd w:val="clear" w:color="auto" w:fill="auto"/>
            <w:vAlign w:val="center"/>
          </w:tcPr>
          <w:p w14:paraId="02F7931E" w14:textId="4377014D"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0.2</w:t>
            </w:r>
          </w:p>
        </w:tc>
        <w:tc>
          <w:tcPr>
            <w:tcW w:w="937" w:type="dxa"/>
            <w:tcBorders>
              <w:top w:val="single" w:sz="2" w:space="0" w:color="auto"/>
              <w:left w:val="nil"/>
              <w:bottom w:val="single" w:sz="2" w:space="0" w:color="auto"/>
              <w:right w:val="nil"/>
            </w:tcBorders>
            <w:shd w:val="clear" w:color="auto" w:fill="auto"/>
            <w:vAlign w:val="center"/>
          </w:tcPr>
          <w:p w14:paraId="6ED38930" w14:textId="4779BD71"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0.2</w:t>
            </w:r>
          </w:p>
        </w:tc>
        <w:tc>
          <w:tcPr>
            <w:tcW w:w="937" w:type="dxa"/>
            <w:tcBorders>
              <w:top w:val="single" w:sz="2" w:space="0" w:color="auto"/>
              <w:left w:val="nil"/>
              <w:bottom w:val="single" w:sz="2" w:space="0" w:color="auto"/>
              <w:right w:val="nil"/>
            </w:tcBorders>
            <w:shd w:val="clear" w:color="auto" w:fill="auto"/>
            <w:vAlign w:val="center"/>
          </w:tcPr>
          <w:p w14:paraId="4442E57C" w14:textId="2465630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0.1</w:t>
            </w:r>
          </w:p>
        </w:tc>
        <w:tc>
          <w:tcPr>
            <w:tcW w:w="800" w:type="dxa"/>
            <w:tcBorders>
              <w:top w:val="single" w:sz="2" w:space="0" w:color="auto"/>
              <w:left w:val="nil"/>
              <w:bottom w:val="single" w:sz="2" w:space="0" w:color="auto"/>
              <w:right w:val="nil"/>
            </w:tcBorders>
            <w:shd w:val="clear" w:color="auto" w:fill="auto"/>
            <w:vAlign w:val="center"/>
          </w:tcPr>
          <w:p w14:paraId="556A97F1" w14:textId="6095E31B"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0.0</w:t>
            </w:r>
          </w:p>
        </w:tc>
        <w:tc>
          <w:tcPr>
            <w:tcW w:w="1107" w:type="dxa"/>
            <w:tcBorders>
              <w:top w:val="single" w:sz="2" w:space="0" w:color="auto"/>
              <w:left w:val="nil"/>
              <w:bottom w:val="single" w:sz="2" w:space="0" w:color="auto"/>
              <w:right w:val="nil"/>
            </w:tcBorders>
            <w:shd w:val="clear" w:color="auto" w:fill="auto"/>
            <w:vAlign w:val="center"/>
          </w:tcPr>
          <w:p w14:paraId="7553E6D8" w14:textId="7136668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0.7</w:t>
            </w:r>
          </w:p>
        </w:tc>
      </w:tr>
      <w:tr w:rsidR="00D66606" w:rsidRPr="0091354A" w14:paraId="1D29321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5CAB7D9D" w14:textId="3E259CD3" w:rsidR="00D66606" w:rsidRPr="003F3DAF" w:rsidRDefault="00D66606" w:rsidP="00D66606">
            <w:pPr>
              <w:spacing w:after="120"/>
              <w:rPr>
                <w:rFonts w:eastAsia="Calibri"/>
                <w:bCs/>
                <w:noProof/>
                <w:sz w:val="22"/>
                <w:szCs w:val="18"/>
              </w:rPr>
            </w:pPr>
            <w:r w:rsidRPr="003F3DAF">
              <w:rPr>
                <w:rFonts w:eastAsia="Calibri"/>
                <w:noProof/>
                <w:sz w:val="22"/>
                <w:szCs w:val="18"/>
              </w:rPr>
              <w:t>6 Neighbourhood and the World</w:t>
            </w:r>
          </w:p>
        </w:tc>
        <w:tc>
          <w:tcPr>
            <w:tcW w:w="937" w:type="dxa"/>
            <w:tcBorders>
              <w:top w:val="single" w:sz="2" w:space="0" w:color="auto"/>
              <w:left w:val="nil"/>
              <w:bottom w:val="single" w:sz="2" w:space="0" w:color="auto"/>
              <w:right w:val="nil"/>
            </w:tcBorders>
            <w:shd w:val="clear" w:color="auto" w:fill="auto"/>
            <w:vAlign w:val="center"/>
          </w:tcPr>
          <w:p w14:paraId="39FEDEC8" w14:textId="4F088CE8"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4.2</w:t>
            </w:r>
          </w:p>
        </w:tc>
        <w:tc>
          <w:tcPr>
            <w:tcW w:w="937" w:type="dxa"/>
            <w:tcBorders>
              <w:top w:val="single" w:sz="2" w:space="0" w:color="auto"/>
              <w:left w:val="nil"/>
              <w:bottom w:val="single" w:sz="2" w:space="0" w:color="auto"/>
              <w:right w:val="nil"/>
            </w:tcBorders>
            <w:shd w:val="clear" w:color="auto" w:fill="auto"/>
            <w:vAlign w:val="center"/>
          </w:tcPr>
          <w:p w14:paraId="01B563F8" w14:textId="161272E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3.9</w:t>
            </w:r>
          </w:p>
        </w:tc>
        <w:tc>
          <w:tcPr>
            <w:tcW w:w="937" w:type="dxa"/>
            <w:tcBorders>
              <w:top w:val="single" w:sz="2" w:space="0" w:color="auto"/>
              <w:left w:val="nil"/>
              <w:bottom w:val="single" w:sz="2" w:space="0" w:color="auto"/>
              <w:right w:val="nil"/>
            </w:tcBorders>
            <w:shd w:val="clear" w:color="auto" w:fill="auto"/>
            <w:vAlign w:val="center"/>
          </w:tcPr>
          <w:p w14:paraId="26C8D53F" w14:textId="5CCFD55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3.5</w:t>
            </w:r>
          </w:p>
        </w:tc>
        <w:tc>
          <w:tcPr>
            <w:tcW w:w="937" w:type="dxa"/>
            <w:tcBorders>
              <w:top w:val="single" w:sz="2" w:space="0" w:color="auto"/>
              <w:left w:val="nil"/>
              <w:bottom w:val="single" w:sz="2" w:space="0" w:color="auto"/>
              <w:right w:val="nil"/>
            </w:tcBorders>
            <w:shd w:val="clear" w:color="auto" w:fill="auto"/>
            <w:vAlign w:val="center"/>
          </w:tcPr>
          <w:p w14:paraId="01A9958E" w14:textId="2C389CB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1.9</w:t>
            </w:r>
          </w:p>
        </w:tc>
        <w:tc>
          <w:tcPr>
            <w:tcW w:w="800" w:type="dxa"/>
            <w:tcBorders>
              <w:top w:val="single" w:sz="2" w:space="0" w:color="auto"/>
              <w:left w:val="nil"/>
              <w:bottom w:val="single" w:sz="2" w:space="0" w:color="auto"/>
              <w:right w:val="nil"/>
            </w:tcBorders>
            <w:shd w:val="clear" w:color="auto" w:fill="auto"/>
            <w:vAlign w:val="center"/>
          </w:tcPr>
          <w:p w14:paraId="61DB0D86" w14:textId="12E0C2B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sidRPr="0078468D">
              <w:rPr>
                <w:rFonts w:eastAsia="Calibri"/>
                <w:bCs/>
                <w:i/>
                <w:noProof/>
                <w:sz w:val="22"/>
                <w:szCs w:val="18"/>
              </w:rPr>
              <w:t>0.7</w:t>
            </w:r>
          </w:p>
        </w:tc>
        <w:tc>
          <w:tcPr>
            <w:tcW w:w="1107" w:type="dxa"/>
            <w:tcBorders>
              <w:top w:val="single" w:sz="2" w:space="0" w:color="auto"/>
              <w:left w:val="nil"/>
              <w:bottom w:val="single" w:sz="2" w:space="0" w:color="auto"/>
              <w:right w:val="nil"/>
            </w:tcBorders>
            <w:shd w:val="clear" w:color="auto" w:fill="auto"/>
            <w:vAlign w:val="center"/>
          </w:tcPr>
          <w:p w14:paraId="2BA2BC94" w14:textId="539BB79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14.2</w:t>
            </w:r>
          </w:p>
        </w:tc>
      </w:tr>
      <w:tr w:rsidR="00D66606" w:rsidRPr="0091354A" w14:paraId="6F46A104" w14:textId="77777777" w:rsidTr="00F86C66">
        <w:trPr>
          <w:trHeight w:val="465"/>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nil"/>
            </w:tcBorders>
          </w:tcPr>
          <w:p w14:paraId="50744CCA" w14:textId="5B166D6F" w:rsidR="00D66606" w:rsidRPr="0091354A" w:rsidRDefault="00D66606" w:rsidP="00D66606">
            <w:pPr>
              <w:spacing w:after="120"/>
              <w:rPr>
                <w:rFonts w:eastAsia="Calibri"/>
                <w:noProof/>
                <w:sz w:val="22"/>
                <w:szCs w:val="18"/>
              </w:rPr>
            </w:pPr>
            <w:r w:rsidRPr="0091354A">
              <w:rPr>
                <w:rFonts w:eastAsia="Calibri"/>
                <w:noProof/>
                <w:sz w:val="22"/>
                <w:szCs w:val="18"/>
              </w:rPr>
              <w:t>Total</w:t>
            </w:r>
          </w:p>
        </w:tc>
        <w:tc>
          <w:tcPr>
            <w:tcW w:w="937" w:type="dxa"/>
            <w:tcBorders>
              <w:top w:val="single" w:sz="2" w:space="0" w:color="auto"/>
              <w:left w:val="nil"/>
              <w:bottom w:val="nil"/>
              <w:right w:val="nil"/>
            </w:tcBorders>
            <w:shd w:val="clear" w:color="auto" w:fill="auto"/>
            <w:vAlign w:val="center"/>
          </w:tcPr>
          <w:p w14:paraId="18B2BB73" w14:textId="17DEB0B0"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65.9</w:t>
            </w:r>
          </w:p>
        </w:tc>
        <w:tc>
          <w:tcPr>
            <w:tcW w:w="937" w:type="dxa"/>
            <w:tcBorders>
              <w:top w:val="single" w:sz="2" w:space="0" w:color="auto"/>
              <w:left w:val="nil"/>
              <w:bottom w:val="nil"/>
              <w:right w:val="nil"/>
            </w:tcBorders>
            <w:shd w:val="clear" w:color="auto" w:fill="auto"/>
            <w:vAlign w:val="center"/>
          </w:tcPr>
          <w:p w14:paraId="1BCDEAFE" w14:textId="552D1672"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27.7</w:t>
            </w:r>
          </w:p>
        </w:tc>
        <w:tc>
          <w:tcPr>
            <w:tcW w:w="937" w:type="dxa"/>
            <w:tcBorders>
              <w:top w:val="single" w:sz="2" w:space="0" w:color="auto"/>
              <w:left w:val="nil"/>
              <w:bottom w:val="nil"/>
              <w:right w:val="nil"/>
            </w:tcBorders>
            <w:shd w:val="clear" w:color="auto" w:fill="auto"/>
            <w:vAlign w:val="center"/>
          </w:tcPr>
          <w:p w14:paraId="45BCDF4D" w14:textId="3DC2EA5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8.5</w:t>
            </w:r>
          </w:p>
        </w:tc>
        <w:tc>
          <w:tcPr>
            <w:tcW w:w="937" w:type="dxa"/>
            <w:tcBorders>
              <w:top w:val="single" w:sz="2" w:space="0" w:color="auto"/>
              <w:left w:val="nil"/>
              <w:bottom w:val="nil"/>
              <w:right w:val="nil"/>
            </w:tcBorders>
            <w:shd w:val="clear" w:color="auto" w:fill="auto"/>
            <w:vAlign w:val="center"/>
          </w:tcPr>
          <w:p w14:paraId="79CF5C52" w14:textId="79A48D53"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5.4</w:t>
            </w:r>
          </w:p>
        </w:tc>
        <w:tc>
          <w:tcPr>
            <w:tcW w:w="800" w:type="dxa"/>
            <w:tcBorders>
              <w:top w:val="single" w:sz="2" w:space="0" w:color="auto"/>
              <w:left w:val="nil"/>
              <w:bottom w:val="nil"/>
              <w:right w:val="nil"/>
            </w:tcBorders>
            <w:shd w:val="clear" w:color="auto" w:fill="auto"/>
            <w:vAlign w:val="center"/>
          </w:tcPr>
          <w:p w14:paraId="23159D58" w14:textId="38CEB02D"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2.4</w:t>
            </w:r>
          </w:p>
        </w:tc>
        <w:tc>
          <w:tcPr>
            <w:tcW w:w="1107" w:type="dxa"/>
            <w:tcBorders>
              <w:top w:val="single" w:sz="2" w:space="0" w:color="auto"/>
              <w:left w:val="nil"/>
              <w:bottom w:val="nil"/>
              <w:right w:val="nil"/>
            </w:tcBorders>
            <w:shd w:val="clear" w:color="auto" w:fill="auto"/>
            <w:vAlign w:val="center"/>
          </w:tcPr>
          <w:p w14:paraId="0F41EDA6" w14:textId="6C496E1C"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109.8</w:t>
            </w:r>
          </w:p>
        </w:tc>
      </w:tr>
    </w:tbl>
    <w:p w14:paraId="039BFAA3" w14:textId="041FB803" w:rsidR="00D66606" w:rsidRPr="00BF37B4" w:rsidRDefault="00D66606" w:rsidP="00D66606">
      <w:pPr>
        <w:rPr>
          <w:b/>
          <w:i/>
          <w:noProof/>
          <w:sz w:val="18"/>
        </w:rPr>
      </w:pPr>
      <w:r w:rsidRPr="00BF37B4">
        <w:rPr>
          <w:i/>
          <w:noProof/>
          <w:sz w:val="18"/>
        </w:rPr>
        <w:t>* The total commitments and estimated payments include appropriation</w:t>
      </w:r>
      <w:r w:rsidR="006116E7">
        <w:rPr>
          <w:i/>
          <w:noProof/>
          <w:sz w:val="18"/>
        </w:rPr>
        <w:t>s</w:t>
      </w:r>
      <w:r w:rsidRPr="00BF37B4">
        <w:rPr>
          <w:i/>
          <w:noProof/>
          <w:sz w:val="18"/>
        </w:rPr>
        <w:t xml:space="preserve"> stemming from Article 5 of the MFF Regulation and Article 15(3) of the Financial Regulation. Unallocated margins are not included. </w:t>
      </w:r>
    </w:p>
    <w:p w14:paraId="11EAED26" w14:textId="29D469E9" w:rsidR="00D66606" w:rsidRPr="00BF37B4" w:rsidRDefault="00D66606" w:rsidP="00D66606">
      <w:pPr>
        <w:rPr>
          <w:i/>
          <w:noProof/>
          <w:sz w:val="18"/>
        </w:rPr>
      </w:pPr>
      <w:r w:rsidRPr="00BF37B4">
        <w:rPr>
          <w:i/>
          <w:noProof/>
          <w:sz w:val="18"/>
        </w:rPr>
        <w:t xml:space="preserve">** The amounts for special instruments cover the Solidarity and Emergency Aid Reserve, the European Globalisation Adjustment Fund, the Brexit Adjustment Reserve and the </w:t>
      </w:r>
      <w:r w:rsidR="00F86C66" w:rsidRPr="00BF37B4">
        <w:rPr>
          <w:i/>
          <w:noProof/>
          <w:sz w:val="18"/>
        </w:rPr>
        <w:t>Flexibility</w:t>
      </w:r>
      <w:r w:rsidRPr="00BF37B4">
        <w:rPr>
          <w:i/>
          <w:noProof/>
          <w:sz w:val="18"/>
        </w:rPr>
        <w:t xml:space="preserve"> Instrument. In the subsequent tables, the payments related to the mobilisations of the Flexibility Instrument are included within the respective headings. </w:t>
      </w:r>
    </w:p>
    <w:p w14:paraId="3841A67B" w14:textId="77777777" w:rsidR="002D2B32" w:rsidRDefault="002D2B32" w:rsidP="002D2B32">
      <w:pPr>
        <w:pStyle w:val="Heading2"/>
        <w:tabs>
          <w:tab w:val="num" w:pos="0"/>
        </w:tabs>
        <w:rPr>
          <w:rFonts w:cs="Times New Roman"/>
          <w:b w:val="0"/>
          <w:noProof/>
          <w:color w:val="auto"/>
          <w:sz w:val="20"/>
        </w:rPr>
      </w:pPr>
      <w:r>
        <w:rPr>
          <w:rFonts w:cs="Times New Roman"/>
          <w:b w:val="0"/>
          <w:noProof/>
          <w:color w:val="auto"/>
          <w:sz w:val="20"/>
        </w:rPr>
        <w:br w:type="page"/>
      </w:r>
    </w:p>
    <w:p w14:paraId="1D321221" w14:textId="613EE177" w:rsidR="00D66606" w:rsidRPr="00812A24" w:rsidRDefault="00D66606" w:rsidP="00812A24">
      <w:pPr>
        <w:pStyle w:val="Heading2"/>
        <w:rPr>
          <w:noProof/>
        </w:rPr>
      </w:pPr>
      <w:bookmarkStart w:id="70" w:name="_Toc105504516"/>
      <w:r w:rsidRPr="00812A24">
        <w:rPr>
          <w:noProof/>
        </w:rPr>
        <w:t>Table 2 – Forecast de-commitments</w:t>
      </w:r>
      <w:bookmarkEnd w:id="70"/>
    </w:p>
    <w:tbl>
      <w:tblPr>
        <w:tblStyle w:val="AMPR2021"/>
        <w:tblW w:w="0" w:type="auto"/>
        <w:tblLayout w:type="fixed"/>
        <w:tblLook w:val="06A0" w:firstRow="1" w:lastRow="0" w:firstColumn="1" w:lastColumn="0" w:noHBand="1" w:noVBand="1"/>
      </w:tblPr>
      <w:tblGrid>
        <w:gridCol w:w="5102"/>
        <w:gridCol w:w="1529"/>
        <w:gridCol w:w="1559"/>
        <w:gridCol w:w="1559"/>
      </w:tblGrid>
      <w:tr w:rsidR="00D66606" w:rsidRPr="0091354A" w14:paraId="702BC1DB" w14:textId="77777777" w:rsidTr="003F3DA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102" w:type="dxa"/>
          </w:tcPr>
          <w:p w14:paraId="24EE46C5" w14:textId="77777777" w:rsidR="00D66606" w:rsidRPr="0091354A" w:rsidRDefault="00D66606" w:rsidP="00D66606">
            <w:pPr>
              <w:rPr>
                <w:rFonts w:eastAsia="Calibri"/>
                <w:b w:val="0"/>
                <w:bCs/>
                <w:noProof/>
                <w:sz w:val="22"/>
                <w:szCs w:val="18"/>
              </w:rPr>
            </w:pPr>
            <w:r w:rsidRPr="0091354A">
              <w:rPr>
                <w:rFonts w:eastAsia="Calibri"/>
                <w:noProof/>
                <w:sz w:val="22"/>
                <w:szCs w:val="18"/>
              </w:rPr>
              <w:t>MFF Heading</w:t>
            </w:r>
          </w:p>
        </w:tc>
        <w:tc>
          <w:tcPr>
            <w:tcW w:w="1529" w:type="dxa"/>
          </w:tcPr>
          <w:p w14:paraId="641DC8AF"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Completion</w:t>
            </w:r>
          </w:p>
        </w:tc>
        <w:tc>
          <w:tcPr>
            <w:tcW w:w="1559" w:type="dxa"/>
          </w:tcPr>
          <w:p w14:paraId="65A8C899"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MFF</w:t>
            </w:r>
          </w:p>
        </w:tc>
        <w:tc>
          <w:tcPr>
            <w:tcW w:w="1559" w:type="dxa"/>
          </w:tcPr>
          <w:p w14:paraId="17248C6C"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Total</w:t>
            </w:r>
          </w:p>
        </w:tc>
      </w:tr>
      <w:tr w:rsidR="003F3DAF" w:rsidRPr="0091354A" w14:paraId="0C6425A5"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59B8D85B" w14:textId="77777777" w:rsidR="003F3DAF" w:rsidRPr="0091354A" w:rsidRDefault="003F3DAF" w:rsidP="003F3DAF">
            <w:pPr>
              <w:spacing w:after="120"/>
              <w:rPr>
                <w:rFonts w:eastAsia="Calibri"/>
                <w:b w:val="0"/>
                <w:bCs/>
                <w:noProof/>
                <w:sz w:val="22"/>
                <w:szCs w:val="18"/>
              </w:rPr>
            </w:pPr>
            <w:r w:rsidRPr="006E68CD">
              <w:rPr>
                <w:rFonts w:eastAsia="Calibri"/>
                <w:noProof/>
                <w:sz w:val="22"/>
                <w:szCs w:val="18"/>
              </w:rPr>
              <w:t>1 Single Market, Innovation and Digital</w:t>
            </w:r>
          </w:p>
        </w:tc>
        <w:tc>
          <w:tcPr>
            <w:tcW w:w="1529" w:type="dxa"/>
            <w:vAlign w:val="center"/>
          </w:tcPr>
          <w:p w14:paraId="2351072F" w14:textId="7B3F8414"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1.5</w:t>
            </w:r>
          </w:p>
        </w:tc>
        <w:tc>
          <w:tcPr>
            <w:tcW w:w="1559" w:type="dxa"/>
            <w:vAlign w:val="center"/>
          </w:tcPr>
          <w:p w14:paraId="768D4DAB" w14:textId="4EBAEA8D"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1.5</w:t>
            </w:r>
          </w:p>
        </w:tc>
        <w:tc>
          <w:tcPr>
            <w:tcW w:w="1559" w:type="dxa"/>
            <w:vAlign w:val="center"/>
          </w:tcPr>
          <w:p w14:paraId="25E990C9" w14:textId="73C503A7"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3.0</w:t>
            </w:r>
          </w:p>
        </w:tc>
      </w:tr>
      <w:tr w:rsidR="003F3DAF" w:rsidRPr="0091354A" w14:paraId="5FC48C8A"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7904EE60" w14:textId="77777777" w:rsidR="003F3DAF" w:rsidRPr="0091354A" w:rsidRDefault="003F3DAF" w:rsidP="003F3DAF">
            <w:pPr>
              <w:spacing w:after="120"/>
              <w:rPr>
                <w:rFonts w:eastAsia="Calibri"/>
                <w:b w:val="0"/>
                <w:bCs/>
                <w:noProof/>
                <w:sz w:val="22"/>
                <w:szCs w:val="18"/>
              </w:rPr>
            </w:pPr>
            <w:r w:rsidRPr="006E68CD">
              <w:rPr>
                <w:rFonts w:eastAsia="Calibri"/>
                <w:noProof/>
                <w:sz w:val="22"/>
                <w:szCs w:val="18"/>
              </w:rPr>
              <w:t>2 Cohesion, Resilience and Values</w:t>
            </w:r>
          </w:p>
        </w:tc>
        <w:tc>
          <w:tcPr>
            <w:tcW w:w="1529" w:type="dxa"/>
            <w:vAlign w:val="center"/>
          </w:tcPr>
          <w:p w14:paraId="4D39C4FF" w14:textId="682A151A"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0.7</w:t>
            </w:r>
          </w:p>
        </w:tc>
        <w:tc>
          <w:tcPr>
            <w:tcW w:w="1559" w:type="dxa"/>
            <w:vAlign w:val="center"/>
          </w:tcPr>
          <w:p w14:paraId="3C4748AC" w14:textId="317874F7"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1.0</w:t>
            </w:r>
          </w:p>
        </w:tc>
        <w:tc>
          <w:tcPr>
            <w:tcW w:w="1559" w:type="dxa"/>
            <w:vAlign w:val="center"/>
          </w:tcPr>
          <w:p w14:paraId="15BBC6C1" w14:textId="752BFE7F"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1.7</w:t>
            </w:r>
          </w:p>
        </w:tc>
      </w:tr>
      <w:tr w:rsidR="003F3DAF" w:rsidRPr="0091354A" w14:paraId="19F61026"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5F0A954" w14:textId="5951803E" w:rsidR="003F3DAF" w:rsidRPr="006E68CD" w:rsidRDefault="003F3DAF" w:rsidP="003F3DAF">
            <w:pPr>
              <w:spacing w:after="120"/>
              <w:rPr>
                <w:rFonts w:eastAsia="Calibri"/>
                <w:noProof/>
                <w:sz w:val="22"/>
                <w:szCs w:val="18"/>
              </w:rPr>
            </w:pPr>
            <w:r w:rsidRPr="003F3DAF">
              <w:rPr>
                <w:rFonts w:eastAsia="Calibri"/>
                <w:b w:val="0"/>
                <w:noProof/>
                <w:sz w:val="22"/>
                <w:szCs w:val="18"/>
              </w:rPr>
              <w:t>2.1 Economic, Social and territorial cohesion</w:t>
            </w:r>
          </w:p>
        </w:tc>
        <w:tc>
          <w:tcPr>
            <w:tcW w:w="1529" w:type="dxa"/>
            <w:vAlign w:val="center"/>
          </w:tcPr>
          <w:p w14:paraId="1C9CC446" w14:textId="33CF3504"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0.4</w:t>
            </w:r>
          </w:p>
        </w:tc>
        <w:tc>
          <w:tcPr>
            <w:tcW w:w="1559" w:type="dxa"/>
            <w:vAlign w:val="center"/>
          </w:tcPr>
          <w:p w14:paraId="45227337" w14:textId="2F319D11"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0.4</w:t>
            </w:r>
          </w:p>
        </w:tc>
        <w:tc>
          <w:tcPr>
            <w:tcW w:w="1559" w:type="dxa"/>
            <w:vAlign w:val="center"/>
          </w:tcPr>
          <w:p w14:paraId="55AAF140" w14:textId="1D635B03"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0.8</w:t>
            </w:r>
          </w:p>
        </w:tc>
      </w:tr>
      <w:tr w:rsidR="003F3DAF" w:rsidRPr="0091354A" w14:paraId="65C8EC33"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17B2ED9C" w14:textId="5B090814" w:rsidR="003F3DAF" w:rsidRPr="006E68CD" w:rsidRDefault="003F3DAF" w:rsidP="003F3DAF">
            <w:pPr>
              <w:spacing w:after="120"/>
              <w:rPr>
                <w:rFonts w:eastAsia="Calibri"/>
                <w:noProof/>
                <w:sz w:val="22"/>
                <w:szCs w:val="18"/>
              </w:rPr>
            </w:pPr>
            <w:r w:rsidRPr="003F3DAF">
              <w:rPr>
                <w:rFonts w:eastAsia="Calibri"/>
                <w:b w:val="0"/>
                <w:noProof/>
                <w:sz w:val="22"/>
                <w:szCs w:val="18"/>
              </w:rPr>
              <w:t>2.2 Resilience and Values</w:t>
            </w:r>
          </w:p>
        </w:tc>
        <w:tc>
          <w:tcPr>
            <w:tcW w:w="1529" w:type="dxa"/>
            <w:vAlign w:val="center"/>
          </w:tcPr>
          <w:p w14:paraId="46524460" w14:textId="07A740A9"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0.3</w:t>
            </w:r>
          </w:p>
        </w:tc>
        <w:tc>
          <w:tcPr>
            <w:tcW w:w="1559" w:type="dxa"/>
            <w:vAlign w:val="center"/>
          </w:tcPr>
          <w:p w14:paraId="5D15F462" w14:textId="36683A35"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0.7</w:t>
            </w:r>
          </w:p>
        </w:tc>
        <w:tc>
          <w:tcPr>
            <w:tcW w:w="1559" w:type="dxa"/>
            <w:vAlign w:val="center"/>
          </w:tcPr>
          <w:p w14:paraId="2E4D47D1" w14:textId="578DE08A"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0.9</w:t>
            </w:r>
          </w:p>
        </w:tc>
      </w:tr>
      <w:tr w:rsidR="003F3DAF" w:rsidRPr="0091354A" w14:paraId="1B56BBBE"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B20C7C9" w14:textId="77777777" w:rsidR="003F3DAF" w:rsidRPr="0091354A" w:rsidRDefault="003F3DAF" w:rsidP="003F3DAF">
            <w:pPr>
              <w:spacing w:after="120"/>
              <w:rPr>
                <w:rFonts w:eastAsia="Calibri"/>
                <w:b w:val="0"/>
                <w:bCs/>
                <w:noProof/>
                <w:sz w:val="22"/>
                <w:szCs w:val="18"/>
              </w:rPr>
            </w:pPr>
            <w:r w:rsidRPr="006E68CD">
              <w:rPr>
                <w:rFonts w:eastAsia="Calibri"/>
                <w:noProof/>
                <w:sz w:val="22"/>
                <w:szCs w:val="18"/>
              </w:rPr>
              <w:t>3 Natural Resources and Environment</w:t>
            </w:r>
          </w:p>
        </w:tc>
        <w:tc>
          <w:tcPr>
            <w:tcW w:w="1529" w:type="dxa"/>
            <w:vAlign w:val="center"/>
          </w:tcPr>
          <w:p w14:paraId="639D686C" w14:textId="78EBED70"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0.8</w:t>
            </w:r>
          </w:p>
        </w:tc>
        <w:tc>
          <w:tcPr>
            <w:tcW w:w="1559" w:type="dxa"/>
            <w:vAlign w:val="center"/>
          </w:tcPr>
          <w:p w14:paraId="28BBE18F" w14:textId="0E00E3B1"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0.8</w:t>
            </w:r>
          </w:p>
        </w:tc>
        <w:tc>
          <w:tcPr>
            <w:tcW w:w="1559" w:type="dxa"/>
            <w:vAlign w:val="center"/>
          </w:tcPr>
          <w:p w14:paraId="4AC8FB1F" w14:textId="532BB678"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1.5</w:t>
            </w:r>
          </w:p>
        </w:tc>
      </w:tr>
      <w:tr w:rsidR="003F3DAF" w:rsidRPr="0091354A" w14:paraId="1E09E5D0"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17D277D5" w14:textId="282FB3FB" w:rsidR="003F3DAF" w:rsidRPr="006E68CD" w:rsidRDefault="003F3DAF" w:rsidP="003F3DAF">
            <w:pPr>
              <w:spacing w:after="120"/>
              <w:rPr>
                <w:rFonts w:eastAsia="Calibri"/>
                <w:noProof/>
                <w:sz w:val="22"/>
                <w:szCs w:val="18"/>
              </w:rPr>
            </w:pPr>
            <w:r w:rsidRPr="003F3DAF">
              <w:rPr>
                <w:rFonts w:eastAsia="Calibri"/>
                <w:b w:val="0"/>
                <w:noProof/>
                <w:sz w:val="22"/>
                <w:szCs w:val="18"/>
              </w:rPr>
              <w:t>3.2 Other programmes of Natural Resources and Environment</w:t>
            </w:r>
          </w:p>
        </w:tc>
        <w:tc>
          <w:tcPr>
            <w:tcW w:w="1529" w:type="dxa"/>
            <w:vAlign w:val="center"/>
          </w:tcPr>
          <w:p w14:paraId="004BE699" w14:textId="4F040A23"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0.8</w:t>
            </w:r>
          </w:p>
        </w:tc>
        <w:tc>
          <w:tcPr>
            <w:tcW w:w="1559" w:type="dxa"/>
            <w:vAlign w:val="center"/>
          </w:tcPr>
          <w:p w14:paraId="7ADA223E" w14:textId="6905B3CF"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0.8</w:t>
            </w:r>
          </w:p>
        </w:tc>
        <w:tc>
          <w:tcPr>
            <w:tcW w:w="1559" w:type="dxa"/>
            <w:vAlign w:val="center"/>
          </w:tcPr>
          <w:p w14:paraId="1D609A3D" w14:textId="1ACFF6E6"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1.5</w:t>
            </w:r>
          </w:p>
        </w:tc>
      </w:tr>
      <w:tr w:rsidR="003F3DAF" w:rsidRPr="0091354A" w14:paraId="5B84A525"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BEB6B8B" w14:textId="77777777" w:rsidR="003F3DAF" w:rsidRPr="0091354A" w:rsidRDefault="003F3DAF" w:rsidP="003F3DAF">
            <w:pPr>
              <w:spacing w:after="120"/>
              <w:rPr>
                <w:rFonts w:eastAsia="Calibri"/>
                <w:b w:val="0"/>
                <w:bCs/>
                <w:noProof/>
                <w:sz w:val="22"/>
                <w:szCs w:val="18"/>
              </w:rPr>
            </w:pPr>
            <w:r w:rsidRPr="006E68CD">
              <w:rPr>
                <w:rFonts w:eastAsia="Calibri"/>
                <w:noProof/>
                <w:sz w:val="22"/>
                <w:szCs w:val="18"/>
              </w:rPr>
              <w:t>4 Migration and Border Management</w:t>
            </w:r>
          </w:p>
        </w:tc>
        <w:tc>
          <w:tcPr>
            <w:tcW w:w="1529" w:type="dxa"/>
            <w:vAlign w:val="center"/>
          </w:tcPr>
          <w:p w14:paraId="41899221" w14:textId="373FA235"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0.3</w:t>
            </w:r>
          </w:p>
        </w:tc>
        <w:tc>
          <w:tcPr>
            <w:tcW w:w="1559" w:type="dxa"/>
            <w:vAlign w:val="center"/>
          </w:tcPr>
          <w:p w14:paraId="55B7E5B6" w14:textId="1F3E9E20"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0.5</w:t>
            </w:r>
          </w:p>
        </w:tc>
        <w:tc>
          <w:tcPr>
            <w:tcW w:w="1559" w:type="dxa"/>
            <w:vAlign w:val="center"/>
          </w:tcPr>
          <w:p w14:paraId="0AF45C46" w14:textId="4045076B"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0.8</w:t>
            </w:r>
          </w:p>
        </w:tc>
      </w:tr>
      <w:tr w:rsidR="003F3DAF" w:rsidRPr="0091354A" w14:paraId="23FC577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0AC073BB" w14:textId="77777777" w:rsidR="003F3DAF" w:rsidRPr="0091354A" w:rsidRDefault="003F3DAF" w:rsidP="003F3DAF">
            <w:pPr>
              <w:spacing w:after="120"/>
              <w:rPr>
                <w:rFonts w:eastAsia="Calibri"/>
                <w:b w:val="0"/>
                <w:bCs/>
                <w:noProof/>
                <w:sz w:val="22"/>
                <w:szCs w:val="18"/>
              </w:rPr>
            </w:pPr>
            <w:r w:rsidRPr="006E68CD">
              <w:rPr>
                <w:rFonts w:eastAsia="Calibri"/>
                <w:noProof/>
                <w:sz w:val="22"/>
                <w:szCs w:val="18"/>
              </w:rPr>
              <w:t>5 Security and Defence</w:t>
            </w:r>
          </w:p>
        </w:tc>
        <w:tc>
          <w:tcPr>
            <w:tcW w:w="1529" w:type="dxa"/>
            <w:vAlign w:val="center"/>
          </w:tcPr>
          <w:p w14:paraId="14248702" w14:textId="333A6CE3"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0.1</w:t>
            </w:r>
          </w:p>
        </w:tc>
        <w:tc>
          <w:tcPr>
            <w:tcW w:w="1559" w:type="dxa"/>
            <w:vAlign w:val="center"/>
          </w:tcPr>
          <w:p w14:paraId="585C026F" w14:textId="63701236"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0.1</w:t>
            </w:r>
          </w:p>
        </w:tc>
        <w:tc>
          <w:tcPr>
            <w:tcW w:w="1559" w:type="dxa"/>
            <w:vAlign w:val="center"/>
          </w:tcPr>
          <w:p w14:paraId="5CD64AB1" w14:textId="5D7781F9"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0.1</w:t>
            </w:r>
          </w:p>
        </w:tc>
      </w:tr>
      <w:tr w:rsidR="003F3DAF" w:rsidRPr="0091354A" w14:paraId="20C81CAC"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2B56BE5" w14:textId="77777777" w:rsidR="003F3DAF" w:rsidRPr="0091354A" w:rsidRDefault="003F3DAF" w:rsidP="003F3DAF">
            <w:pPr>
              <w:spacing w:after="120"/>
              <w:rPr>
                <w:rFonts w:eastAsia="Calibri"/>
                <w:b w:val="0"/>
                <w:bCs/>
                <w:noProof/>
                <w:sz w:val="22"/>
                <w:szCs w:val="18"/>
              </w:rPr>
            </w:pPr>
            <w:r w:rsidRPr="006E68CD">
              <w:rPr>
                <w:rFonts w:eastAsia="Calibri"/>
                <w:noProof/>
                <w:sz w:val="22"/>
                <w:szCs w:val="18"/>
              </w:rPr>
              <w:t>6 Neighbourhood and the World</w:t>
            </w:r>
          </w:p>
        </w:tc>
        <w:tc>
          <w:tcPr>
            <w:tcW w:w="1529" w:type="dxa"/>
            <w:vAlign w:val="center"/>
          </w:tcPr>
          <w:p w14:paraId="24F8F1FB" w14:textId="4CC21DED"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0.1</w:t>
            </w:r>
          </w:p>
        </w:tc>
        <w:tc>
          <w:tcPr>
            <w:tcW w:w="1559" w:type="dxa"/>
            <w:vAlign w:val="center"/>
          </w:tcPr>
          <w:p w14:paraId="7D67F017" w14:textId="4E02D939"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0.3</w:t>
            </w:r>
          </w:p>
        </w:tc>
        <w:tc>
          <w:tcPr>
            <w:tcW w:w="1559" w:type="dxa"/>
            <w:vAlign w:val="center"/>
          </w:tcPr>
          <w:p w14:paraId="17728E41" w14:textId="5E544E86"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0.4</w:t>
            </w:r>
          </w:p>
        </w:tc>
      </w:tr>
      <w:tr w:rsidR="003F3DAF" w:rsidRPr="0091354A" w14:paraId="09827BE7"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376CAE5A" w14:textId="77777777" w:rsidR="003F3DAF" w:rsidRPr="006E68CD" w:rsidRDefault="003F3DAF" w:rsidP="003F3DAF">
            <w:pPr>
              <w:spacing w:after="120"/>
              <w:rPr>
                <w:noProof/>
                <w:sz w:val="22"/>
                <w:szCs w:val="18"/>
              </w:rPr>
            </w:pPr>
            <w:r w:rsidRPr="006E68CD">
              <w:rPr>
                <w:rFonts w:eastAsia="Calibri"/>
                <w:noProof/>
                <w:sz w:val="22"/>
                <w:szCs w:val="18"/>
              </w:rPr>
              <w:t>Total</w:t>
            </w:r>
          </w:p>
        </w:tc>
        <w:tc>
          <w:tcPr>
            <w:tcW w:w="1529" w:type="dxa"/>
            <w:vAlign w:val="center"/>
          </w:tcPr>
          <w:p w14:paraId="5F6995F9" w14:textId="63555D51"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3.4</w:t>
            </w:r>
          </w:p>
        </w:tc>
        <w:tc>
          <w:tcPr>
            <w:tcW w:w="1559" w:type="dxa"/>
            <w:vAlign w:val="center"/>
          </w:tcPr>
          <w:p w14:paraId="70AB6525" w14:textId="5CE9E92E"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4.1</w:t>
            </w:r>
          </w:p>
        </w:tc>
        <w:tc>
          <w:tcPr>
            <w:tcW w:w="1559" w:type="dxa"/>
            <w:vAlign w:val="center"/>
          </w:tcPr>
          <w:p w14:paraId="7A5427A9" w14:textId="14A3741D"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7.6</w:t>
            </w:r>
          </w:p>
        </w:tc>
      </w:tr>
    </w:tbl>
    <w:p w14:paraId="28227D46" w14:textId="77777777" w:rsidR="00812A24" w:rsidRDefault="00812A24" w:rsidP="00812A24">
      <w:pPr>
        <w:pStyle w:val="Heading2"/>
        <w:rPr>
          <w:rFonts w:cs="Times New Roman"/>
          <w:b w:val="0"/>
          <w:noProof/>
          <w:color w:val="auto"/>
          <w:sz w:val="20"/>
        </w:rPr>
      </w:pPr>
      <w:r>
        <w:rPr>
          <w:rFonts w:cs="Times New Roman"/>
          <w:b w:val="0"/>
          <w:noProof/>
          <w:color w:val="auto"/>
          <w:sz w:val="20"/>
        </w:rPr>
        <w:br w:type="page"/>
      </w:r>
    </w:p>
    <w:p w14:paraId="6DD809FB" w14:textId="4BAF88DE" w:rsidR="00D66606" w:rsidRPr="00812A24" w:rsidRDefault="00D66606" w:rsidP="00812A24">
      <w:pPr>
        <w:pStyle w:val="Heading2"/>
        <w:rPr>
          <w:noProof/>
        </w:rPr>
      </w:pPr>
      <w:bookmarkStart w:id="71" w:name="_Toc105504517"/>
      <w:r w:rsidRPr="00812A24">
        <w:rPr>
          <w:noProof/>
        </w:rPr>
        <w:t>Table 3 – Long-term forecast of outflows for NextGenerationEU</w:t>
      </w:r>
      <w:bookmarkEnd w:id="71"/>
    </w:p>
    <w:tbl>
      <w:tblPr>
        <w:tblStyle w:val="AMPR2021"/>
        <w:tblW w:w="0" w:type="auto"/>
        <w:tblLayout w:type="fixed"/>
        <w:tblLook w:val="06A0" w:firstRow="1" w:lastRow="0" w:firstColumn="1" w:lastColumn="0" w:noHBand="1" w:noVBand="1"/>
      </w:tblPr>
      <w:tblGrid>
        <w:gridCol w:w="4025"/>
        <w:gridCol w:w="964"/>
        <w:gridCol w:w="964"/>
        <w:gridCol w:w="964"/>
        <w:gridCol w:w="964"/>
        <w:gridCol w:w="964"/>
        <w:gridCol w:w="964"/>
      </w:tblGrid>
      <w:tr w:rsidR="00D66606" w:rsidRPr="0091354A" w14:paraId="567FA151" w14:textId="77777777" w:rsidTr="00F86C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25" w:type="dxa"/>
          </w:tcPr>
          <w:p w14:paraId="1403E3D0" w14:textId="77777777" w:rsidR="00D66606" w:rsidRPr="006E68CD" w:rsidRDefault="00D66606" w:rsidP="00D66606">
            <w:pPr>
              <w:rPr>
                <w:rFonts w:eastAsia="Calibri"/>
                <w:noProof/>
                <w:sz w:val="22"/>
                <w:szCs w:val="18"/>
              </w:rPr>
            </w:pPr>
            <w:r w:rsidRPr="006E68CD">
              <w:rPr>
                <w:rFonts w:eastAsia="Calibri"/>
                <w:noProof/>
                <w:sz w:val="22"/>
                <w:szCs w:val="18"/>
              </w:rPr>
              <w:t>Programme</w:t>
            </w:r>
          </w:p>
        </w:tc>
        <w:tc>
          <w:tcPr>
            <w:tcW w:w="964" w:type="dxa"/>
          </w:tcPr>
          <w:p w14:paraId="74475F54"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2023</w:t>
            </w:r>
          </w:p>
        </w:tc>
        <w:tc>
          <w:tcPr>
            <w:tcW w:w="964" w:type="dxa"/>
          </w:tcPr>
          <w:p w14:paraId="7120FF44"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2024</w:t>
            </w:r>
          </w:p>
        </w:tc>
        <w:tc>
          <w:tcPr>
            <w:tcW w:w="964" w:type="dxa"/>
          </w:tcPr>
          <w:p w14:paraId="19EDC752"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2025</w:t>
            </w:r>
          </w:p>
        </w:tc>
        <w:tc>
          <w:tcPr>
            <w:tcW w:w="964" w:type="dxa"/>
          </w:tcPr>
          <w:p w14:paraId="520452C1"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2026</w:t>
            </w:r>
          </w:p>
        </w:tc>
        <w:tc>
          <w:tcPr>
            <w:tcW w:w="964" w:type="dxa"/>
          </w:tcPr>
          <w:p w14:paraId="0AE79846"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2027</w:t>
            </w:r>
          </w:p>
        </w:tc>
        <w:tc>
          <w:tcPr>
            <w:tcW w:w="964" w:type="dxa"/>
          </w:tcPr>
          <w:p w14:paraId="71C966F4"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Total</w:t>
            </w:r>
          </w:p>
        </w:tc>
      </w:tr>
      <w:tr w:rsidR="00753354" w:rsidRPr="0091354A" w14:paraId="0678794E"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nil"/>
              <w:bottom w:val="single" w:sz="2" w:space="0" w:color="404040" w:themeColor="text1" w:themeTint="BF"/>
            </w:tcBorders>
          </w:tcPr>
          <w:p w14:paraId="795C71DF"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Horizon Europe</w:t>
            </w:r>
          </w:p>
        </w:tc>
        <w:tc>
          <w:tcPr>
            <w:tcW w:w="964" w:type="dxa"/>
            <w:tcBorders>
              <w:top w:val="nil"/>
              <w:left w:val="nil"/>
              <w:bottom w:val="single" w:sz="2" w:space="0" w:color="404040" w:themeColor="text1" w:themeTint="BF"/>
              <w:right w:val="nil"/>
            </w:tcBorders>
            <w:shd w:val="clear" w:color="auto" w:fill="auto"/>
            <w:vAlign w:val="center"/>
          </w:tcPr>
          <w:p w14:paraId="6A8962DB" w14:textId="5DAA2D50"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1.8</w:t>
            </w:r>
          </w:p>
        </w:tc>
        <w:tc>
          <w:tcPr>
            <w:tcW w:w="964" w:type="dxa"/>
            <w:tcBorders>
              <w:top w:val="nil"/>
              <w:left w:val="nil"/>
              <w:bottom w:val="single" w:sz="2" w:space="0" w:color="404040" w:themeColor="text1" w:themeTint="BF"/>
              <w:right w:val="nil"/>
            </w:tcBorders>
            <w:shd w:val="clear" w:color="auto" w:fill="auto"/>
            <w:vAlign w:val="center"/>
          </w:tcPr>
          <w:p w14:paraId="33A26CA9" w14:textId="6499396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1.3</w:t>
            </w:r>
          </w:p>
        </w:tc>
        <w:tc>
          <w:tcPr>
            <w:tcW w:w="964" w:type="dxa"/>
            <w:tcBorders>
              <w:top w:val="nil"/>
              <w:left w:val="nil"/>
              <w:bottom w:val="single" w:sz="2" w:space="0" w:color="404040" w:themeColor="text1" w:themeTint="BF"/>
              <w:right w:val="nil"/>
            </w:tcBorders>
            <w:shd w:val="clear" w:color="auto" w:fill="auto"/>
            <w:vAlign w:val="center"/>
          </w:tcPr>
          <w:p w14:paraId="792F67F5" w14:textId="653C922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0.4</w:t>
            </w:r>
          </w:p>
        </w:tc>
        <w:tc>
          <w:tcPr>
            <w:tcW w:w="964" w:type="dxa"/>
            <w:tcBorders>
              <w:top w:val="nil"/>
              <w:left w:val="nil"/>
              <w:bottom w:val="single" w:sz="2" w:space="0" w:color="404040" w:themeColor="text1" w:themeTint="BF"/>
              <w:right w:val="nil"/>
            </w:tcBorders>
            <w:shd w:val="clear" w:color="auto" w:fill="auto"/>
            <w:vAlign w:val="center"/>
          </w:tcPr>
          <w:p w14:paraId="2AB416AB" w14:textId="5FC03C5C"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0.1</w:t>
            </w:r>
          </w:p>
        </w:tc>
        <w:tc>
          <w:tcPr>
            <w:tcW w:w="964" w:type="dxa"/>
            <w:tcBorders>
              <w:top w:val="nil"/>
              <w:left w:val="nil"/>
              <w:bottom w:val="single" w:sz="2" w:space="0" w:color="404040" w:themeColor="text1" w:themeTint="BF"/>
              <w:right w:val="nil"/>
            </w:tcBorders>
            <w:shd w:val="clear" w:color="auto" w:fill="auto"/>
            <w:vAlign w:val="center"/>
          </w:tcPr>
          <w:p w14:paraId="59D670EA" w14:textId="6CD86CDC"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nil"/>
              <w:left w:val="nil"/>
              <w:bottom w:val="single" w:sz="2" w:space="0" w:color="404040" w:themeColor="text1" w:themeTint="BF"/>
              <w:right w:val="nil"/>
            </w:tcBorders>
            <w:shd w:val="clear" w:color="auto" w:fill="auto"/>
            <w:vAlign w:val="center"/>
          </w:tcPr>
          <w:p w14:paraId="12B6B633" w14:textId="45D5332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3.5</w:t>
            </w:r>
          </w:p>
        </w:tc>
      </w:tr>
      <w:tr w:rsidR="00753354" w:rsidRPr="0091354A" w14:paraId="7BFAA26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56D25058"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InvestEU Fund</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D6123D9" w14:textId="1F18232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72A91A8A" w14:textId="7C08792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C6C10C0" w14:textId="6C1D015E"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8CB6FE4" w14:textId="2FCA6D82"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F904502" w14:textId="03D7DF8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CB44D00" w14:textId="0BA72CF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4.7</w:t>
            </w:r>
          </w:p>
        </w:tc>
      </w:tr>
      <w:tr w:rsidR="00753354" w:rsidRPr="0091354A" w14:paraId="6401E43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59366752"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European Regional Development Fund (ERDF)</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7269D51" w14:textId="2773C66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F6DEED0" w14:textId="1F90629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3.5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776F78DA" w14:textId="01234BF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1.1</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A7C347E" w14:textId="422722E5"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9F66B76" w14:textId="727279F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D8575B7" w14:textId="2CBCF42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14.6</w:t>
            </w:r>
          </w:p>
        </w:tc>
      </w:tr>
      <w:tr w:rsidR="00753354" w:rsidRPr="0091354A" w14:paraId="48EACCF5"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379DF48B"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European Social Fund (ESF)</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41BB400E" w14:textId="0FE9DFE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5.5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47951E78" w14:textId="1A3EF88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6.2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EBEC313" w14:textId="7CD156E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2.4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74E95CE" w14:textId="0600433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CD5DADF" w14:textId="531FB10E"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33A9174" w14:textId="01D84DA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14.1</w:t>
            </w:r>
          </w:p>
        </w:tc>
      </w:tr>
      <w:tr w:rsidR="00753354" w:rsidRPr="0091354A" w14:paraId="134C9CC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72C5A738"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European Recovery and Resilience Facility</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3AD15D8" w14:textId="6227411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76.4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422BB4BE" w14:textId="16F968F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56.9</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1C1BC7C" w14:textId="54C815C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3</w:t>
            </w:r>
            <w:r w:rsidR="00E26C58">
              <w:rPr>
                <w:rFonts w:eastAsia="Calibri"/>
                <w:bCs/>
                <w:i/>
                <w:noProof/>
                <w:sz w:val="22"/>
                <w:szCs w:val="18"/>
              </w:rPr>
              <w:t>8</w:t>
            </w:r>
            <w:r w:rsidRPr="0078468D">
              <w:rPr>
                <w:rFonts w:eastAsia="Calibri"/>
                <w:bCs/>
                <w:i/>
                <w:noProof/>
                <w:sz w:val="22"/>
                <w:szCs w:val="18"/>
              </w:rPr>
              <w:t>.</w:t>
            </w:r>
            <w:r w:rsidR="00E26C58">
              <w:rPr>
                <w:rFonts w:eastAsia="Calibri"/>
                <w:bCs/>
                <w:i/>
                <w:noProof/>
                <w:sz w:val="22"/>
                <w:szCs w:val="18"/>
              </w:rPr>
              <w:t>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068A443" w14:textId="32E1B93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5</w:t>
            </w:r>
            <w:r w:rsidR="00E26C58">
              <w:rPr>
                <w:rFonts w:eastAsia="Calibri"/>
                <w:bCs/>
                <w:i/>
                <w:noProof/>
                <w:sz w:val="22"/>
                <w:szCs w:val="18"/>
              </w:rPr>
              <w:t>0</w:t>
            </w:r>
            <w:r w:rsidRPr="0078468D">
              <w:rPr>
                <w:rFonts w:eastAsia="Calibri"/>
                <w:bCs/>
                <w:i/>
                <w:noProof/>
                <w:sz w:val="22"/>
                <w:szCs w:val="18"/>
              </w:rPr>
              <w:t>.</w:t>
            </w:r>
            <w:r w:rsidR="00E26C58">
              <w:rPr>
                <w:rFonts w:eastAsia="Calibri"/>
                <w:bCs/>
                <w:i/>
                <w:noProof/>
                <w:sz w:val="22"/>
                <w:szCs w:val="18"/>
              </w:rPr>
              <w:t>6</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9724F31" w14:textId="0121FFCE"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154F51F" w14:textId="105F40C7"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222.4</w:t>
            </w:r>
          </w:p>
        </w:tc>
      </w:tr>
      <w:tr w:rsidR="00753354" w:rsidRPr="0091354A" w14:paraId="3F431158"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7D282595"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Union Civil Protection Mechanism (RescEU)</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836BF6A" w14:textId="3144DBF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75A09C5" w14:textId="39B6CD7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0.8</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4359041" w14:textId="34F4F15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5EBBE3D" w14:textId="33DB3AB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FEE25F2" w14:textId="7C6893C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E326B17" w14:textId="52FB6CC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1.9</w:t>
            </w:r>
          </w:p>
        </w:tc>
      </w:tr>
      <w:tr w:rsidR="00753354" w:rsidRPr="0091354A" w14:paraId="20EB6E9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0AFD3B75"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European Agricultural Fund for Rural Development (EAFRD)</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FDEACDB" w14:textId="1288DC72"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2.4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C9A0DA0" w14:textId="277DC63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2.1</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D097238" w14:textId="1F2962A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1.4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E6F7F92" w14:textId="11B974A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0.7</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67DEAD7" w14:textId="12BC42E5"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7A71C0A" w14:textId="5B5F0F1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6.6</w:t>
            </w:r>
          </w:p>
        </w:tc>
      </w:tr>
      <w:tr w:rsidR="00753354" w:rsidRPr="0091354A" w14:paraId="550D59DA"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02FF8C14" w14:textId="77777777" w:rsidR="00753354" w:rsidRPr="0091354A" w:rsidRDefault="00753354" w:rsidP="00753354">
            <w:pPr>
              <w:spacing w:after="120"/>
              <w:rPr>
                <w:rFonts w:eastAsia="Calibri"/>
                <w:b w:val="0"/>
                <w:bCs/>
                <w:noProof/>
                <w:sz w:val="22"/>
                <w:szCs w:val="18"/>
              </w:rPr>
            </w:pPr>
            <w:r w:rsidRPr="006E68CD">
              <w:rPr>
                <w:rFonts w:eastAsia="Calibri"/>
                <w:noProof/>
                <w:sz w:val="22"/>
                <w:szCs w:val="18"/>
              </w:rPr>
              <w:t>Just Transition Fund</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0AD853A" w14:textId="188C66A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w:t>
            </w:r>
            <w:r w:rsidR="00E26C58">
              <w:rPr>
                <w:rFonts w:eastAsia="Calibri"/>
                <w:bCs/>
                <w:i/>
                <w:noProof/>
                <w:sz w:val="22"/>
                <w:szCs w:val="18"/>
              </w:rPr>
              <w:t>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BDCD11F" w14:textId="7612968A" w:rsidR="00753354" w:rsidRPr="0078468D" w:rsidRDefault="00E26C58"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rFonts w:eastAsia="Calibri"/>
                <w:bCs/>
                <w:i/>
                <w:noProof/>
                <w:sz w:val="22"/>
                <w:szCs w:val="18"/>
              </w:rPr>
              <w:t>2</w:t>
            </w:r>
            <w:r w:rsidR="00CF1E87" w:rsidRPr="0078468D">
              <w:rPr>
                <w:rFonts w:eastAsia="Calibri"/>
                <w:bCs/>
                <w:i/>
                <w:noProof/>
                <w:sz w:val="22"/>
                <w:szCs w:val="18"/>
              </w:rPr>
              <w:t>.</w:t>
            </w:r>
            <w:r>
              <w:rPr>
                <w:rFonts w:eastAsia="Calibri"/>
                <w:bCs/>
                <w:i/>
                <w:noProof/>
                <w:sz w:val="22"/>
                <w:szCs w:val="18"/>
              </w:rPr>
              <w:t>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14F74F2" w14:textId="1337695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4.0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04623DC" w14:textId="4A329703" w:rsidR="00753354" w:rsidRPr="0078468D" w:rsidRDefault="00E26C58"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rFonts w:eastAsia="Calibri"/>
                <w:bCs/>
                <w:i/>
                <w:noProof/>
                <w:sz w:val="22"/>
                <w:szCs w:val="18"/>
              </w:rPr>
              <w:t>4</w:t>
            </w:r>
            <w:r w:rsidR="00CF1E87" w:rsidRPr="0078468D">
              <w:rPr>
                <w:rFonts w:eastAsia="Calibri"/>
                <w:bCs/>
                <w:i/>
                <w:noProof/>
                <w:sz w:val="22"/>
                <w:szCs w:val="18"/>
              </w:rPr>
              <w:t>.</w:t>
            </w:r>
            <w:r>
              <w:rPr>
                <w:rFonts w:eastAsia="Calibri"/>
                <w:bCs/>
                <w:i/>
                <w:noProof/>
                <w:sz w:val="22"/>
                <w:szCs w:val="18"/>
              </w:rPr>
              <w:t>1</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DDA6E63" w14:textId="2A0889D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sidRPr="0078468D">
              <w:rPr>
                <w:rFonts w:eastAsia="Calibri"/>
                <w:bCs/>
                <w:i/>
                <w:noProof/>
                <w:sz w:val="22"/>
                <w:szCs w:val="18"/>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FC9A009" w14:textId="249C38C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10.7</w:t>
            </w:r>
          </w:p>
        </w:tc>
      </w:tr>
      <w:tr w:rsidR="00753354" w:rsidRPr="0091354A" w14:paraId="4B56B5B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nil"/>
            </w:tcBorders>
          </w:tcPr>
          <w:p w14:paraId="7C3CDF33" w14:textId="77777777" w:rsidR="00753354" w:rsidRPr="0091354A" w:rsidRDefault="00753354" w:rsidP="00753354">
            <w:pPr>
              <w:spacing w:after="120"/>
              <w:rPr>
                <w:rFonts w:eastAsia="Calibri"/>
                <w:noProof/>
                <w:sz w:val="22"/>
                <w:szCs w:val="18"/>
              </w:rPr>
            </w:pPr>
            <w:r w:rsidRPr="006E68CD">
              <w:rPr>
                <w:rFonts w:eastAsia="Calibri"/>
                <w:noProof/>
                <w:sz w:val="22"/>
                <w:szCs w:val="18"/>
              </w:rPr>
              <w:t>Total</w:t>
            </w:r>
          </w:p>
        </w:tc>
        <w:tc>
          <w:tcPr>
            <w:tcW w:w="964" w:type="dxa"/>
            <w:tcBorders>
              <w:top w:val="single" w:sz="2" w:space="0" w:color="404040" w:themeColor="text1" w:themeTint="BF"/>
              <w:left w:val="nil"/>
              <w:bottom w:val="nil"/>
              <w:right w:val="nil"/>
            </w:tcBorders>
            <w:shd w:val="clear" w:color="auto" w:fill="auto"/>
            <w:vAlign w:val="center"/>
          </w:tcPr>
          <w:p w14:paraId="464BB405" w14:textId="11D81E6B"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98.</w:t>
            </w:r>
            <w:r w:rsidR="00E26C58">
              <w:rPr>
                <w:rFonts w:eastAsia="Calibri"/>
                <w:b/>
                <w:bCs/>
                <w:i/>
                <w:noProof/>
                <w:sz w:val="22"/>
                <w:szCs w:val="18"/>
              </w:rPr>
              <w:t>0</w:t>
            </w:r>
          </w:p>
        </w:tc>
        <w:tc>
          <w:tcPr>
            <w:tcW w:w="964" w:type="dxa"/>
            <w:tcBorders>
              <w:top w:val="single" w:sz="2" w:space="0" w:color="404040" w:themeColor="text1" w:themeTint="BF"/>
              <w:left w:val="nil"/>
              <w:bottom w:val="nil"/>
              <w:right w:val="nil"/>
            </w:tcBorders>
            <w:shd w:val="clear" w:color="auto" w:fill="auto"/>
            <w:vAlign w:val="center"/>
          </w:tcPr>
          <w:p w14:paraId="6145ED78" w14:textId="2B13978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7</w:t>
            </w:r>
            <w:r w:rsidR="00E26C58">
              <w:rPr>
                <w:rFonts w:eastAsia="Calibri"/>
                <w:b/>
                <w:bCs/>
                <w:i/>
                <w:noProof/>
                <w:sz w:val="22"/>
                <w:szCs w:val="18"/>
              </w:rPr>
              <w:t>4.</w:t>
            </w:r>
            <w:r w:rsidRPr="0078468D">
              <w:rPr>
                <w:rFonts w:eastAsia="Calibri"/>
                <w:b/>
                <w:bCs/>
                <w:i/>
                <w:noProof/>
                <w:sz w:val="22"/>
                <w:szCs w:val="18"/>
              </w:rPr>
              <w:t>5</w:t>
            </w:r>
          </w:p>
        </w:tc>
        <w:tc>
          <w:tcPr>
            <w:tcW w:w="964" w:type="dxa"/>
            <w:tcBorders>
              <w:top w:val="single" w:sz="2" w:space="0" w:color="404040" w:themeColor="text1" w:themeTint="BF"/>
              <w:left w:val="nil"/>
              <w:bottom w:val="nil"/>
              <w:right w:val="nil"/>
            </w:tcBorders>
            <w:shd w:val="clear" w:color="auto" w:fill="auto"/>
            <w:vAlign w:val="center"/>
          </w:tcPr>
          <w:p w14:paraId="52B403A3" w14:textId="29AA14A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48.</w:t>
            </w:r>
            <w:r w:rsidR="00E26C58">
              <w:rPr>
                <w:rFonts w:eastAsia="Calibri"/>
                <w:b/>
                <w:bCs/>
                <w:i/>
                <w:noProof/>
                <w:sz w:val="22"/>
                <w:szCs w:val="18"/>
              </w:rPr>
              <w:t>9</w:t>
            </w:r>
          </w:p>
        </w:tc>
        <w:tc>
          <w:tcPr>
            <w:tcW w:w="964" w:type="dxa"/>
            <w:tcBorders>
              <w:top w:val="single" w:sz="2" w:space="0" w:color="404040" w:themeColor="text1" w:themeTint="BF"/>
              <w:left w:val="nil"/>
              <w:bottom w:val="nil"/>
              <w:right w:val="nil"/>
            </w:tcBorders>
            <w:shd w:val="clear" w:color="auto" w:fill="auto"/>
            <w:vAlign w:val="center"/>
          </w:tcPr>
          <w:p w14:paraId="5EFC6565" w14:textId="24D2D22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5</w:t>
            </w:r>
            <w:r w:rsidR="00E26C58">
              <w:rPr>
                <w:rFonts w:eastAsia="Calibri"/>
                <w:b/>
                <w:bCs/>
                <w:i/>
                <w:noProof/>
                <w:sz w:val="22"/>
                <w:szCs w:val="18"/>
              </w:rPr>
              <w:t>6</w:t>
            </w:r>
            <w:r w:rsidRPr="0078468D">
              <w:rPr>
                <w:rFonts w:eastAsia="Calibri"/>
                <w:b/>
                <w:bCs/>
                <w:i/>
                <w:noProof/>
                <w:sz w:val="22"/>
                <w:szCs w:val="18"/>
              </w:rPr>
              <w:t>.</w:t>
            </w:r>
            <w:r w:rsidR="00E26C58">
              <w:rPr>
                <w:rFonts w:eastAsia="Calibri"/>
                <w:b/>
                <w:bCs/>
                <w:i/>
                <w:noProof/>
                <w:sz w:val="22"/>
                <w:szCs w:val="18"/>
              </w:rPr>
              <w:t>8</w:t>
            </w:r>
          </w:p>
        </w:tc>
        <w:tc>
          <w:tcPr>
            <w:tcW w:w="964" w:type="dxa"/>
            <w:tcBorders>
              <w:top w:val="single" w:sz="2" w:space="0" w:color="404040" w:themeColor="text1" w:themeTint="BF"/>
              <w:left w:val="nil"/>
              <w:bottom w:val="nil"/>
              <w:right w:val="nil"/>
            </w:tcBorders>
            <w:shd w:val="clear" w:color="auto" w:fill="auto"/>
            <w:vAlign w:val="center"/>
          </w:tcPr>
          <w:p w14:paraId="13CAC416" w14:textId="77A2F38B"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0.2</w:t>
            </w:r>
          </w:p>
        </w:tc>
        <w:tc>
          <w:tcPr>
            <w:tcW w:w="964" w:type="dxa"/>
            <w:tcBorders>
              <w:top w:val="single" w:sz="2" w:space="0" w:color="404040" w:themeColor="text1" w:themeTint="BF"/>
              <w:left w:val="nil"/>
              <w:bottom w:val="nil"/>
              <w:right w:val="nil"/>
            </w:tcBorders>
            <w:shd w:val="clear" w:color="auto" w:fill="auto"/>
            <w:vAlign w:val="center"/>
          </w:tcPr>
          <w:p w14:paraId="64D14526" w14:textId="41661FE5"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sidRPr="0078468D">
              <w:rPr>
                <w:rFonts w:eastAsia="Calibri"/>
                <w:b/>
                <w:bCs/>
                <w:i/>
                <w:noProof/>
                <w:sz w:val="22"/>
                <w:szCs w:val="18"/>
              </w:rPr>
              <w:t>278.4</w:t>
            </w:r>
          </w:p>
        </w:tc>
      </w:tr>
    </w:tbl>
    <w:p w14:paraId="58872C4A" w14:textId="77777777" w:rsidR="00D66606" w:rsidRDefault="00D66606" w:rsidP="00D66606">
      <w:pPr>
        <w:rPr>
          <w:noProof/>
        </w:rPr>
      </w:pPr>
    </w:p>
    <w:p w14:paraId="221B26C0" w14:textId="17FE1550" w:rsidR="00D66606" w:rsidRDefault="00D66606" w:rsidP="005C3B14">
      <w:pPr>
        <w:pStyle w:val="Heading2"/>
        <w:rPr>
          <w:noProof/>
        </w:rPr>
      </w:pPr>
      <w:bookmarkStart w:id="72" w:name="_Toc105504518"/>
      <w:r w:rsidRPr="57F8CA25">
        <w:rPr>
          <w:noProof/>
        </w:rPr>
        <w:t xml:space="preserve">Table </w:t>
      </w:r>
      <w:r>
        <w:rPr>
          <w:noProof/>
        </w:rPr>
        <w:t>4</w:t>
      </w:r>
      <w:r w:rsidRPr="57F8CA25">
        <w:rPr>
          <w:noProof/>
        </w:rPr>
        <w:t xml:space="preserve"> – Change in the total outstanding commitments from 2023 to 2027</w:t>
      </w:r>
      <w:bookmarkEnd w:id="72"/>
    </w:p>
    <w:tbl>
      <w:tblPr>
        <w:tblW w:w="9961" w:type="dxa"/>
        <w:tblInd w:w="93" w:type="dxa"/>
        <w:tblLook w:val="04A0" w:firstRow="1" w:lastRow="0" w:firstColumn="1" w:lastColumn="0" w:noHBand="0" w:noVBand="1"/>
      </w:tblPr>
      <w:tblGrid>
        <w:gridCol w:w="9961"/>
      </w:tblGrid>
      <w:tr w:rsidR="00D66606" w:rsidRPr="007E3223" w14:paraId="1064B21F" w14:textId="77777777" w:rsidTr="00D66606">
        <w:trPr>
          <w:trHeight w:val="315"/>
        </w:trPr>
        <w:tc>
          <w:tcPr>
            <w:tcW w:w="9961" w:type="dxa"/>
            <w:shd w:val="clear" w:color="auto" w:fill="auto"/>
            <w:noWrap/>
            <w:vAlign w:val="center"/>
            <w:hideMark/>
          </w:tcPr>
          <w:tbl>
            <w:tblPr>
              <w:tblStyle w:val="AMPR2021"/>
              <w:tblW w:w="0" w:type="auto"/>
              <w:tblLook w:val="06A0" w:firstRow="1" w:lastRow="0" w:firstColumn="1" w:lastColumn="0" w:noHBand="1" w:noVBand="1"/>
            </w:tblPr>
            <w:tblGrid>
              <w:gridCol w:w="1230"/>
              <w:gridCol w:w="1647"/>
              <w:gridCol w:w="1647"/>
              <w:gridCol w:w="1647"/>
              <w:gridCol w:w="1849"/>
              <w:gridCol w:w="1647"/>
              <w:gridCol w:w="64"/>
            </w:tblGrid>
            <w:tr w:rsidR="00D66606" w:rsidRPr="0091354A" w14:paraId="3B03A292" w14:textId="77777777" w:rsidTr="00ED4693">
              <w:trPr>
                <w:gridAfter w:val="1"/>
                <w:cnfStyle w:val="100000000000" w:firstRow="1" w:lastRow="0" w:firstColumn="0" w:lastColumn="0" w:oddVBand="0" w:evenVBand="0" w:oddHBand="0" w:evenHBand="0" w:firstRowFirstColumn="0" w:firstRowLastColumn="0" w:lastRowFirstColumn="0" w:lastRowLastColumn="0"/>
                <w:wAfter w:w="64" w:type="dxa"/>
                <w:trHeight w:val="300"/>
              </w:trPr>
              <w:tc>
                <w:tcPr>
                  <w:cnfStyle w:val="001000000000" w:firstRow="0" w:lastRow="0" w:firstColumn="1" w:lastColumn="0" w:oddVBand="0" w:evenVBand="0" w:oddHBand="0" w:evenHBand="0" w:firstRowFirstColumn="0" w:firstRowLastColumn="0" w:lastRowFirstColumn="0" w:lastRowLastColumn="0"/>
                  <w:tcW w:w="1230" w:type="dxa"/>
                </w:tcPr>
                <w:p w14:paraId="06AA6906" w14:textId="77777777" w:rsidR="00D66606" w:rsidRPr="0091354A" w:rsidRDefault="00D66606" w:rsidP="00D66606">
                  <w:pPr>
                    <w:rPr>
                      <w:rFonts w:eastAsia="Calibri"/>
                      <w:noProof/>
                      <w:sz w:val="22"/>
                      <w:szCs w:val="18"/>
                    </w:rPr>
                  </w:pPr>
                  <w:r w:rsidRPr="006E68CD">
                    <w:rPr>
                      <w:rFonts w:eastAsia="Calibri"/>
                      <w:noProof/>
                      <w:sz w:val="22"/>
                      <w:szCs w:val="18"/>
                    </w:rPr>
                    <w:t>Source</w:t>
                  </w:r>
                </w:p>
              </w:tc>
              <w:tc>
                <w:tcPr>
                  <w:tcW w:w="1647" w:type="dxa"/>
                </w:tcPr>
                <w:p w14:paraId="528BB36A" w14:textId="48CD349F"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RAL start-2023</w:t>
                  </w:r>
                  <w:r w:rsidR="00C8787F">
                    <w:rPr>
                      <w:rFonts w:eastAsia="Calibri"/>
                      <w:noProof/>
                      <w:sz w:val="22"/>
                      <w:szCs w:val="18"/>
                    </w:rPr>
                    <w:t>*</w:t>
                  </w:r>
                  <w:r w:rsidRPr="006E68CD">
                    <w:rPr>
                      <w:rFonts w:eastAsia="Calibri"/>
                      <w:noProof/>
                      <w:sz w:val="22"/>
                      <w:szCs w:val="18"/>
                    </w:rPr>
                    <w:t xml:space="preserve"> (estimate)</w:t>
                  </w:r>
                </w:p>
              </w:tc>
              <w:tc>
                <w:tcPr>
                  <w:tcW w:w="1647" w:type="dxa"/>
                </w:tcPr>
                <w:p w14:paraId="546ED81A"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Commitments 2023-2027</w:t>
                  </w:r>
                </w:p>
              </w:tc>
              <w:tc>
                <w:tcPr>
                  <w:tcW w:w="1647" w:type="dxa"/>
                </w:tcPr>
                <w:p w14:paraId="3B653B2E"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Payments 2023-2027</w:t>
                  </w:r>
                </w:p>
              </w:tc>
              <w:tc>
                <w:tcPr>
                  <w:tcW w:w="1849" w:type="dxa"/>
                </w:tcPr>
                <w:p w14:paraId="359C3678"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Decommitments 2023-2027</w:t>
                  </w:r>
                </w:p>
              </w:tc>
              <w:tc>
                <w:tcPr>
                  <w:tcW w:w="1647" w:type="dxa"/>
                </w:tcPr>
                <w:p w14:paraId="44E25C81"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6E68CD">
                    <w:rPr>
                      <w:rFonts w:eastAsia="Calibri"/>
                      <w:noProof/>
                      <w:sz w:val="22"/>
                      <w:szCs w:val="18"/>
                    </w:rPr>
                    <w:t>RAL end-2027</w:t>
                  </w:r>
                </w:p>
              </w:tc>
            </w:tr>
            <w:tr w:rsidR="00ED4693" w:rsidRPr="00F86C66" w14:paraId="2B769F33" w14:textId="77777777" w:rsidTr="007D485F">
              <w:trPr>
                <w:gridAfter w:val="1"/>
                <w:wAfter w:w="64" w:type="dxa"/>
                <w:trHeight w:val="454"/>
              </w:trPr>
              <w:tc>
                <w:tcPr>
                  <w:cnfStyle w:val="001000000000" w:firstRow="0" w:lastRow="0" w:firstColumn="1" w:lastColumn="0" w:oddVBand="0" w:evenVBand="0" w:oddHBand="0" w:evenHBand="0" w:firstRowFirstColumn="0" w:firstRowLastColumn="0" w:lastRowFirstColumn="0" w:lastRowLastColumn="0"/>
                  <w:tcW w:w="1230" w:type="dxa"/>
                </w:tcPr>
                <w:p w14:paraId="15808F7C" w14:textId="77777777" w:rsidR="00ED4693" w:rsidRPr="0091354A" w:rsidRDefault="00ED4693" w:rsidP="00ED4693">
                  <w:pPr>
                    <w:rPr>
                      <w:rFonts w:eastAsia="Calibri"/>
                      <w:noProof/>
                      <w:sz w:val="22"/>
                      <w:szCs w:val="18"/>
                    </w:rPr>
                  </w:pPr>
                  <w:r w:rsidRPr="006E68CD">
                    <w:rPr>
                      <w:rFonts w:eastAsia="Calibri"/>
                      <w:noProof/>
                      <w:sz w:val="22"/>
                      <w:szCs w:val="18"/>
                    </w:rPr>
                    <w:t xml:space="preserve">MFF </w:t>
                  </w:r>
                </w:p>
              </w:tc>
              <w:tc>
                <w:tcPr>
                  <w:tcW w:w="1647" w:type="dxa"/>
                  <w:vAlign w:val="bottom"/>
                </w:tcPr>
                <w:p w14:paraId="000D56BA" w14:textId="05E26C89"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259.8</w:t>
                  </w:r>
                </w:p>
              </w:tc>
              <w:tc>
                <w:tcPr>
                  <w:tcW w:w="1647" w:type="dxa"/>
                  <w:vAlign w:val="bottom"/>
                </w:tcPr>
                <w:p w14:paraId="1AC4C669" w14:textId="5A6A7D2A"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939.4</w:t>
                  </w:r>
                </w:p>
              </w:tc>
              <w:tc>
                <w:tcPr>
                  <w:tcW w:w="1647" w:type="dxa"/>
                  <w:vAlign w:val="bottom"/>
                </w:tcPr>
                <w:p w14:paraId="09FC5D67" w14:textId="46D48339" w:rsidR="00ED4693" w:rsidRPr="00F86C66" w:rsidRDefault="00CF1E87" w:rsidP="00C63499">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877.</w:t>
                  </w:r>
                  <w:r w:rsidR="00E26C58">
                    <w:rPr>
                      <w:rFonts w:eastAsia="Calibri"/>
                      <w:bCs/>
                      <w:noProof/>
                      <w:sz w:val="22"/>
                      <w:szCs w:val="18"/>
                    </w:rPr>
                    <w:t>3</w:t>
                  </w:r>
                </w:p>
              </w:tc>
              <w:tc>
                <w:tcPr>
                  <w:tcW w:w="1849" w:type="dxa"/>
                  <w:vAlign w:val="bottom"/>
                </w:tcPr>
                <w:p w14:paraId="3197DC76" w14:textId="31AF2DD0"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7.</w:t>
                  </w:r>
                  <w:r w:rsidR="00F86C66" w:rsidRPr="00F86C66">
                    <w:rPr>
                      <w:rFonts w:eastAsia="Calibri"/>
                      <w:bCs/>
                      <w:noProof/>
                      <w:sz w:val="22"/>
                      <w:szCs w:val="18"/>
                    </w:rPr>
                    <w:t>6</w:t>
                  </w:r>
                </w:p>
              </w:tc>
              <w:tc>
                <w:tcPr>
                  <w:tcW w:w="1647" w:type="dxa"/>
                  <w:vAlign w:val="bottom"/>
                </w:tcPr>
                <w:p w14:paraId="29F15C82" w14:textId="0E255717" w:rsidR="00ED4693" w:rsidRPr="00F86C66" w:rsidRDefault="00F86C66"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314.4</w:t>
                  </w:r>
                </w:p>
              </w:tc>
            </w:tr>
            <w:tr w:rsidR="00D66606" w:rsidRPr="0091354A" w14:paraId="42B3C074" w14:textId="77777777" w:rsidTr="0078468D">
              <w:trPr>
                <w:trHeight w:val="454"/>
              </w:trPr>
              <w:tc>
                <w:tcPr>
                  <w:cnfStyle w:val="001000000000" w:firstRow="0" w:lastRow="0" w:firstColumn="1" w:lastColumn="0" w:oddVBand="0" w:evenVBand="0" w:oddHBand="0" w:evenHBand="0" w:firstRowFirstColumn="0" w:firstRowLastColumn="0" w:lastRowFirstColumn="0" w:lastRowLastColumn="0"/>
                  <w:tcW w:w="1230" w:type="dxa"/>
                </w:tcPr>
                <w:p w14:paraId="00C6354F" w14:textId="77777777" w:rsidR="00D66606" w:rsidRPr="0091354A" w:rsidRDefault="00D66606" w:rsidP="00D66606">
                  <w:pPr>
                    <w:rPr>
                      <w:rFonts w:eastAsia="Calibri"/>
                      <w:noProof/>
                      <w:sz w:val="22"/>
                      <w:szCs w:val="18"/>
                    </w:rPr>
                  </w:pPr>
                  <w:r w:rsidRPr="006E68CD">
                    <w:rPr>
                      <w:rFonts w:eastAsia="Calibri"/>
                      <w:noProof/>
                      <w:sz w:val="22"/>
                      <w:szCs w:val="18"/>
                    </w:rPr>
                    <w:t xml:space="preserve">NGEU </w:t>
                  </w:r>
                </w:p>
              </w:tc>
              <w:tc>
                <w:tcPr>
                  <w:tcW w:w="1647" w:type="dxa"/>
                  <w:vAlign w:val="bottom"/>
                </w:tcPr>
                <w:p w14:paraId="4EF7B9A4" w14:textId="423C7848"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165.4</w:t>
                  </w:r>
                </w:p>
              </w:tc>
              <w:tc>
                <w:tcPr>
                  <w:tcW w:w="1647" w:type="dxa"/>
                  <w:vAlign w:val="bottom"/>
                </w:tcPr>
                <w:p w14:paraId="1099AD49" w14:textId="24DF43F1"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113.0</w:t>
                  </w:r>
                </w:p>
              </w:tc>
              <w:tc>
                <w:tcPr>
                  <w:tcW w:w="1647" w:type="dxa"/>
                  <w:vAlign w:val="bottom"/>
                </w:tcPr>
                <w:p w14:paraId="72998D40" w14:textId="243E299A"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278.4</w:t>
                  </w:r>
                </w:p>
              </w:tc>
              <w:tc>
                <w:tcPr>
                  <w:tcW w:w="1849" w:type="dxa"/>
                  <w:vAlign w:val="bottom"/>
                </w:tcPr>
                <w:p w14:paraId="07CCD840" w14:textId="77777777" w:rsidR="00D66606" w:rsidRPr="00F86C66" w:rsidRDefault="00D66606"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1647" w:type="dxa"/>
                  <w:gridSpan w:val="2"/>
                  <w:vAlign w:val="bottom"/>
                </w:tcPr>
                <w:p w14:paraId="5890B670" w14:textId="7FCEC37F"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sidRPr="00F86C66">
                    <w:rPr>
                      <w:rFonts w:eastAsia="Calibri"/>
                      <w:bCs/>
                      <w:noProof/>
                      <w:sz w:val="22"/>
                      <w:szCs w:val="18"/>
                    </w:rPr>
                    <w:t>0.0</w:t>
                  </w:r>
                </w:p>
              </w:tc>
            </w:tr>
            <w:tr w:rsidR="00ED4693" w:rsidRPr="0091354A" w14:paraId="6288F48E" w14:textId="77777777" w:rsidTr="0078468D">
              <w:trPr>
                <w:trHeight w:val="454"/>
              </w:trPr>
              <w:tc>
                <w:tcPr>
                  <w:cnfStyle w:val="001000000000" w:firstRow="0" w:lastRow="0" w:firstColumn="1" w:lastColumn="0" w:oddVBand="0" w:evenVBand="0" w:oddHBand="0" w:evenHBand="0" w:firstRowFirstColumn="0" w:firstRowLastColumn="0" w:lastRowFirstColumn="0" w:lastRowLastColumn="0"/>
                  <w:tcW w:w="1230" w:type="dxa"/>
                </w:tcPr>
                <w:p w14:paraId="04EAECD9" w14:textId="77777777" w:rsidR="00ED4693" w:rsidRPr="0091354A" w:rsidRDefault="00ED4693" w:rsidP="00ED4693">
                  <w:pPr>
                    <w:rPr>
                      <w:rFonts w:eastAsia="Calibri"/>
                      <w:noProof/>
                      <w:sz w:val="22"/>
                      <w:szCs w:val="18"/>
                    </w:rPr>
                  </w:pPr>
                  <w:r w:rsidRPr="006E68CD">
                    <w:rPr>
                      <w:rFonts w:eastAsia="Calibri"/>
                      <w:noProof/>
                      <w:sz w:val="22"/>
                      <w:szCs w:val="18"/>
                    </w:rPr>
                    <w:t>Total</w:t>
                  </w:r>
                </w:p>
              </w:tc>
              <w:tc>
                <w:tcPr>
                  <w:tcW w:w="1647" w:type="dxa"/>
                  <w:tcBorders>
                    <w:top w:val="nil"/>
                    <w:left w:val="nil"/>
                    <w:bottom w:val="nil"/>
                    <w:right w:val="nil"/>
                  </w:tcBorders>
                  <w:shd w:val="clear" w:color="auto" w:fill="auto"/>
                  <w:vAlign w:val="bottom"/>
                </w:tcPr>
                <w:p w14:paraId="438CF7FB" w14:textId="3A2ED513"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F86C66">
                    <w:rPr>
                      <w:rFonts w:eastAsia="Calibri"/>
                      <w:b/>
                      <w:bCs/>
                      <w:noProof/>
                      <w:sz w:val="22"/>
                      <w:szCs w:val="18"/>
                    </w:rPr>
                    <w:t>425.1</w:t>
                  </w:r>
                </w:p>
              </w:tc>
              <w:tc>
                <w:tcPr>
                  <w:tcW w:w="1647" w:type="dxa"/>
                  <w:tcBorders>
                    <w:top w:val="nil"/>
                    <w:left w:val="nil"/>
                    <w:bottom w:val="nil"/>
                    <w:right w:val="nil"/>
                  </w:tcBorders>
                  <w:shd w:val="clear" w:color="auto" w:fill="auto"/>
                  <w:vAlign w:val="bottom"/>
                </w:tcPr>
                <w:p w14:paraId="1212260A" w14:textId="70C537E6"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F86C66">
                    <w:rPr>
                      <w:rFonts w:eastAsia="Calibri"/>
                      <w:b/>
                      <w:bCs/>
                      <w:noProof/>
                      <w:sz w:val="22"/>
                      <w:szCs w:val="18"/>
                    </w:rPr>
                    <w:t>1052.5</w:t>
                  </w:r>
                </w:p>
              </w:tc>
              <w:tc>
                <w:tcPr>
                  <w:tcW w:w="1647" w:type="dxa"/>
                  <w:tcBorders>
                    <w:top w:val="nil"/>
                    <w:left w:val="nil"/>
                    <w:bottom w:val="nil"/>
                    <w:right w:val="nil"/>
                  </w:tcBorders>
                  <w:shd w:val="clear" w:color="auto" w:fill="auto"/>
                  <w:vAlign w:val="bottom"/>
                </w:tcPr>
                <w:p w14:paraId="5D49F68B" w14:textId="58FE784D"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F86C66">
                    <w:rPr>
                      <w:rFonts w:eastAsia="Calibri"/>
                      <w:b/>
                      <w:bCs/>
                      <w:noProof/>
                      <w:sz w:val="22"/>
                      <w:szCs w:val="18"/>
                    </w:rPr>
                    <w:t>1155.6</w:t>
                  </w:r>
                </w:p>
              </w:tc>
              <w:tc>
                <w:tcPr>
                  <w:tcW w:w="1849" w:type="dxa"/>
                  <w:tcBorders>
                    <w:top w:val="nil"/>
                    <w:left w:val="nil"/>
                    <w:bottom w:val="nil"/>
                    <w:right w:val="nil"/>
                  </w:tcBorders>
                  <w:shd w:val="clear" w:color="auto" w:fill="auto"/>
                  <w:vAlign w:val="bottom"/>
                </w:tcPr>
                <w:p w14:paraId="79841313" w14:textId="786C36CE"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F86C66">
                    <w:rPr>
                      <w:rFonts w:eastAsia="Calibri"/>
                      <w:b/>
                      <w:bCs/>
                      <w:noProof/>
                      <w:sz w:val="22"/>
                      <w:szCs w:val="18"/>
                    </w:rPr>
                    <w:t>7.</w:t>
                  </w:r>
                  <w:r w:rsidR="00F86C66" w:rsidRPr="00F86C66">
                    <w:rPr>
                      <w:rFonts w:eastAsia="Calibri"/>
                      <w:b/>
                      <w:bCs/>
                      <w:noProof/>
                      <w:sz w:val="22"/>
                      <w:szCs w:val="18"/>
                    </w:rPr>
                    <w:t>6</w:t>
                  </w:r>
                </w:p>
              </w:tc>
              <w:tc>
                <w:tcPr>
                  <w:tcW w:w="1647" w:type="dxa"/>
                  <w:gridSpan w:val="2"/>
                  <w:tcBorders>
                    <w:top w:val="nil"/>
                    <w:left w:val="nil"/>
                    <w:bottom w:val="nil"/>
                    <w:right w:val="nil"/>
                  </w:tcBorders>
                  <w:shd w:val="clear" w:color="auto" w:fill="auto"/>
                  <w:vAlign w:val="bottom"/>
                </w:tcPr>
                <w:p w14:paraId="5ADCC546" w14:textId="18B2B959"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sidRPr="00F86C66">
                    <w:rPr>
                      <w:rFonts w:eastAsia="Calibri"/>
                      <w:b/>
                      <w:bCs/>
                      <w:noProof/>
                      <w:sz w:val="22"/>
                      <w:szCs w:val="18"/>
                    </w:rPr>
                    <w:t>3</w:t>
                  </w:r>
                  <w:r w:rsidR="00F86C66" w:rsidRPr="00F86C66">
                    <w:rPr>
                      <w:rFonts w:eastAsia="Calibri"/>
                      <w:b/>
                      <w:bCs/>
                      <w:noProof/>
                      <w:sz w:val="22"/>
                      <w:szCs w:val="18"/>
                    </w:rPr>
                    <w:t>14.4</w:t>
                  </w:r>
                </w:p>
              </w:tc>
            </w:tr>
          </w:tbl>
          <w:p w14:paraId="3B1ADB88" w14:textId="77777777" w:rsidR="00D66606" w:rsidRPr="007E3223" w:rsidRDefault="00D66606" w:rsidP="00D66606">
            <w:pPr>
              <w:rPr>
                <w:noProof/>
              </w:rPr>
            </w:pPr>
          </w:p>
        </w:tc>
      </w:tr>
      <w:tr w:rsidR="00D66606" w:rsidRPr="007E3223" w14:paraId="09B7AA8C" w14:textId="77777777" w:rsidTr="00D66606">
        <w:trPr>
          <w:trHeight w:val="290"/>
        </w:trPr>
        <w:tc>
          <w:tcPr>
            <w:tcW w:w="9961" w:type="dxa"/>
            <w:shd w:val="clear" w:color="auto" w:fill="auto"/>
            <w:vAlign w:val="center"/>
            <w:hideMark/>
          </w:tcPr>
          <w:p w14:paraId="02120E35" w14:textId="59439660" w:rsidR="00D66606" w:rsidRPr="007E3223" w:rsidRDefault="00D66606" w:rsidP="00D66606">
            <w:pPr>
              <w:rPr>
                <w:i/>
                <w:iCs/>
                <w:noProof/>
                <w:szCs w:val="22"/>
              </w:rPr>
            </w:pPr>
            <w:r w:rsidRPr="007E3223">
              <w:rPr>
                <w:i/>
                <w:iCs/>
                <w:noProof/>
                <w:szCs w:val="22"/>
              </w:rPr>
              <w:t xml:space="preserve">* The RAL </w:t>
            </w:r>
            <w:r>
              <w:rPr>
                <w:i/>
                <w:iCs/>
                <w:noProof/>
                <w:szCs w:val="22"/>
              </w:rPr>
              <w:t>at the start of 2022</w:t>
            </w:r>
            <w:r w:rsidRPr="007E3223">
              <w:rPr>
                <w:i/>
                <w:iCs/>
                <w:noProof/>
                <w:szCs w:val="22"/>
              </w:rPr>
              <w:t xml:space="preserve"> includes EUR </w:t>
            </w:r>
            <w:r>
              <w:rPr>
                <w:i/>
                <w:iCs/>
                <w:noProof/>
                <w:szCs w:val="22"/>
              </w:rPr>
              <w:t>3.3</w:t>
            </w:r>
            <w:r w:rsidRPr="007E3223">
              <w:rPr>
                <w:i/>
                <w:iCs/>
                <w:noProof/>
                <w:szCs w:val="22"/>
              </w:rPr>
              <w:t xml:space="preserve"> billion generated from third-country contributions to specific programmes of the 2014-2020 MFF</w:t>
            </w:r>
            <w:r>
              <w:rPr>
                <w:i/>
                <w:iCs/>
                <w:noProof/>
                <w:szCs w:val="22"/>
              </w:rPr>
              <w:t>, which is not included in the table.</w:t>
            </w:r>
          </w:p>
        </w:tc>
      </w:tr>
    </w:tbl>
    <w:p w14:paraId="6616858A" w14:textId="77777777" w:rsidR="00D66606" w:rsidRPr="007E3223" w:rsidRDefault="00D66606" w:rsidP="00D66606">
      <w:pPr>
        <w:pStyle w:val="Heading2"/>
        <w:rPr>
          <w:noProof/>
        </w:rPr>
        <w:sectPr w:rsidR="00D66606" w:rsidRPr="007E3223" w:rsidSect="00D66606">
          <w:headerReference w:type="even" r:id="rId30"/>
          <w:headerReference w:type="default" r:id="rId31"/>
          <w:footerReference w:type="even" r:id="rId32"/>
          <w:footerReference w:type="default" r:id="rId33"/>
          <w:headerReference w:type="first" r:id="rId34"/>
          <w:footerReference w:type="first" r:id="rId35"/>
          <w:pgSz w:w="11906" w:h="16838"/>
          <w:pgMar w:top="1321" w:right="1151" w:bottom="1440" w:left="1151" w:header="720" w:footer="720" w:gutter="0"/>
          <w:cols w:space="720"/>
          <w:docGrid w:linePitch="326"/>
        </w:sectPr>
      </w:pPr>
    </w:p>
    <w:p w14:paraId="090DF750" w14:textId="77777777" w:rsidR="00D66606" w:rsidRPr="007E3223" w:rsidRDefault="00D66606" w:rsidP="00D66606">
      <w:pPr>
        <w:pStyle w:val="Heading2"/>
        <w:rPr>
          <w:noProof/>
        </w:rPr>
      </w:pPr>
      <w:bookmarkStart w:id="73" w:name="_Toc74236911"/>
      <w:bookmarkStart w:id="74" w:name="_Toc105504519"/>
      <w:r>
        <w:rPr>
          <w:noProof/>
        </w:rPr>
        <w:t>Table 5</w:t>
      </w:r>
      <w:r w:rsidRPr="57F8CA25">
        <w:rPr>
          <w:noProof/>
        </w:rPr>
        <w:t xml:space="preserve"> – Long-term forecast of future inflows of the EU budget over 2023-2027</w:t>
      </w:r>
      <w:bookmarkEnd w:id="73"/>
      <w:bookmarkEnd w:id="74"/>
    </w:p>
    <w:tbl>
      <w:tblPr>
        <w:tblStyle w:val="AMPR2021"/>
        <w:tblW w:w="9242" w:type="dxa"/>
        <w:tblLayout w:type="fixed"/>
        <w:tblLook w:val="04A0" w:firstRow="1" w:lastRow="0" w:firstColumn="1" w:lastColumn="0" w:noHBand="0" w:noVBand="1"/>
      </w:tblPr>
      <w:tblGrid>
        <w:gridCol w:w="2608"/>
        <w:gridCol w:w="850"/>
        <w:gridCol w:w="964"/>
        <w:gridCol w:w="964"/>
        <w:gridCol w:w="964"/>
        <w:gridCol w:w="964"/>
        <w:gridCol w:w="964"/>
        <w:gridCol w:w="964"/>
      </w:tblGrid>
      <w:tr w:rsidR="009E5562" w:rsidRPr="007E3223" w14:paraId="246DCB60" w14:textId="77777777" w:rsidTr="007846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7D569BD" w14:textId="6D08A248" w:rsidR="00D66606" w:rsidRPr="00F86C66" w:rsidRDefault="00D66606" w:rsidP="0078468D">
            <w:pPr>
              <w:jc w:val="left"/>
              <w:rPr>
                <w:b w:val="0"/>
                <w:iCs/>
                <w:noProof/>
                <w:sz w:val="18"/>
                <w:szCs w:val="18"/>
              </w:rPr>
            </w:pPr>
          </w:p>
        </w:tc>
        <w:tc>
          <w:tcPr>
            <w:tcW w:w="850" w:type="dxa"/>
          </w:tcPr>
          <w:p w14:paraId="514661E8" w14:textId="77777777" w:rsidR="00D66606" w:rsidRPr="005C3B14" w:rsidRDefault="00D66606" w:rsidP="00D66606">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p>
        </w:tc>
        <w:tc>
          <w:tcPr>
            <w:tcW w:w="964" w:type="dxa"/>
            <w:noWrap/>
            <w:vAlign w:val="center"/>
            <w:hideMark/>
          </w:tcPr>
          <w:p w14:paraId="1426F101"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sidRPr="005C3B14">
              <w:rPr>
                <w:b w:val="0"/>
                <w:bCs/>
                <w:noProof/>
                <w:sz w:val="18"/>
                <w:szCs w:val="18"/>
              </w:rPr>
              <w:t>2023</w:t>
            </w:r>
          </w:p>
        </w:tc>
        <w:tc>
          <w:tcPr>
            <w:tcW w:w="964" w:type="dxa"/>
            <w:noWrap/>
            <w:vAlign w:val="center"/>
            <w:hideMark/>
          </w:tcPr>
          <w:p w14:paraId="34F8602C"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sidRPr="005C3B14">
              <w:rPr>
                <w:b w:val="0"/>
                <w:bCs/>
                <w:noProof/>
                <w:sz w:val="18"/>
                <w:szCs w:val="18"/>
              </w:rPr>
              <w:t>2024</w:t>
            </w:r>
          </w:p>
        </w:tc>
        <w:tc>
          <w:tcPr>
            <w:tcW w:w="964" w:type="dxa"/>
            <w:noWrap/>
            <w:vAlign w:val="center"/>
            <w:hideMark/>
          </w:tcPr>
          <w:p w14:paraId="378E434A"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sidRPr="005C3B14">
              <w:rPr>
                <w:b w:val="0"/>
                <w:bCs/>
                <w:noProof/>
                <w:sz w:val="18"/>
                <w:szCs w:val="18"/>
              </w:rPr>
              <w:t>2025</w:t>
            </w:r>
          </w:p>
        </w:tc>
        <w:tc>
          <w:tcPr>
            <w:tcW w:w="964" w:type="dxa"/>
            <w:noWrap/>
            <w:vAlign w:val="center"/>
            <w:hideMark/>
          </w:tcPr>
          <w:p w14:paraId="67B83669"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sidRPr="005C3B14">
              <w:rPr>
                <w:b w:val="0"/>
                <w:bCs/>
                <w:noProof/>
                <w:sz w:val="18"/>
                <w:szCs w:val="18"/>
              </w:rPr>
              <w:t>2026</w:t>
            </w:r>
          </w:p>
        </w:tc>
        <w:tc>
          <w:tcPr>
            <w:tcW w:w="964" w:type="dxa"/>
            <w:noWrap/>
            <w:vAlign w:val="center"/>
            <w:hideMark/>
          </w:tcPr>
          <w:p w14:paraId="210C53C1"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sidRPr="005C3B14">
              <w:rPr>
                <w:b w:val="0"/>
                <w:bCs/>
                <w:noProof/>
                <w:sz w:val="18"/>
                <w:szCs w:val="18"/>
              </w:rPr>
              <w:t>2027</w:t>
            </w:r>
          </w:p>
        </w:tc>
        <w:tc>
          <w:tcPr>
            <w:tcW w:w="964" w:type="dxa"/>
            <w:noWrap/>
            <w:vAlign w:val="center"/>
            <w:hideMark/>
          </w:tcPr>
          <w:p w14:paraId="70F5E562" w14:textId="7F469E96"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sidRPr="005C3B14">
              <w:rPr>
                <w:b w:val="0"/>
                <w:bCs/>
                <w:noProof/>
                <w:sz w:val="18"/>
                <w:szCs w:val="18"/>
              </w:rPr>
              <w:t xml:space="preserve">Total </w:t>
            </w:r>
          </w:p>
        </w:tc>
      </w:tr>
      <w:tr w:rsidR="009E5562" w:rsidRPr="007E3223" w14:paraId="62B42F4B"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231FF592" w14:textId="77777777" w:rsidR="00D66606" w:rsidRPr="007E3223" w:rsidRDefault="00D66606" w:rsidP="009E5562">
            <w:pPr>
              <w:rPr>
                <w:b w:val="0"/>
                <w:bCs/>
                <w:noProof/>
                <w:color w:val="FFFFFF"/>
                <w:sz w:val="18"/>
                <w:szCs w:val="18"/>
              </w:rPr>
            </w:pPr>
            <w:r w:rsidRPr="007E3223">
              <w:rPr>
                <w:b w:val="0"/>
                <w:bCs/>
                <w:noProof/>
                <w:color w:val="FFFFFF"/>
                <w:sz w:val="18"/>
                <w:szCs w:val="18"/>
              </w:rPr>
              <w:t>INFLOWS</w:t>
            </w:r>
          </w:p>
        </w:tc>
        <w:tc>
          <w:tcPr>
            <w:tcW w:w="850" w:type="dxa"/>
            <w:vAlign w:val="center"/>
          </w:tcPr>
          <w:p w14:paraId="1C1CB7C2" w14:textId="77777777" w:rsidR="00D66606" w:rsidRPr="007E3223" w:rsidRDefault="00D66606" w:rsidP="00010355">
            <w:pPr>
              <w:jc w:val="center"/>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14C25F87" w14:textId="6D855D14"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7FD76D8B" w14:textId="3050C9F8"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069273D9" w14:textId="2660F2C2"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3B72F32C" w14:textId="704DB0C6"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43E7A052" w14:textId="6F8393E3"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27FE529E" w14:textId="25CD6453"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r>
      <w:tr w:rsidR="00E62416" w:rsidRPr="007E3223" w14:paraId="7CD46419"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35873D6B" w14:textId="77777777" w:rsidR="00E62416" w:rsidRPr="0078468D" w:rsidRDefault="00E62416" w:rsidP="00E62416">
            <w:pPr>
              <w:rPr>
                <w:bCs/>
                <w:i/>
                <w:iCs/>
                <w:noProof/>
                <w:color w:val="000000"/>
                <w:sz w:val="18"/>
                <w:szCs w:val="18"/>
              </w:rPr>
            </w:pPr>
            <w:r w:rsidRPr="0078468D">
              <w:rPr>
                <w:bCs/>
                <w:i/>
                <w:iCs/>
                <w:noProof/>
                <w:color w:val="000000"/>
                <w:sz w:val="18"/>
                <w:szCs w:val="18"/>
              </w:rPr>
              <w:t>Own Resources ceiling in % of EU Gross National Income</w:t>
            </w:r>
          </w:p>
        </w:tc>
        <w:tc>
          <w:tcPr>
            <w:tcW w:w="850" w:type="dxa"/>
            <w:vAlign w:val="center"/>
          </w:tcPr>
          <w:p w14:paraId="204BFE4D" w14:textId="77777777" w:rsidR="00E62416" w:rsidRPr="00FB19AB" w:rsidRDefault="00E62416" w:rsidP="00E62416">
            <w:pPr>
              <w:jc w:val="center"/>
              <w:cnfStyle w:val="000000010000" w:firstRow="0" w:lastRow="0" w:firstColumn="0" w:lastColumn="0" w:oddVBand="0" w:evenVBand="0" w:oddHBand="0" w:evenHBand="1" w:firstRowFirstColumn="0" w:firstRowLastColumn="0" w:lastRowFirstColumn="0" w:lastRowLastColumn="0"/>
              <w:rPr>
                <w:bCs/>
                <w:i/>
                <w:iCs/>
                <w:noProof/>
                <w:color w:val="000000"/>
                <w:sz w:val="18"/>
                <w:szCs w:val="18"/>
              </w:rPr>
            </w:pPr>
          </w:p>
        </w:tc>
        <w:tc>
          <w:tcPr>
            <w:tcW w:w="964" w:type="dxa"/>
            <w:noWrap/>
            <w:vAlign w:val="center"/>
            <w:hideMark/>
          </w:tcPr>
          <w:p w14:paraId="1E678DF1" w14:textId="0DBD4856"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sidRPr="0078468D">
              <w:rPr>
                <w:b/>
                <w:bCs/>
                <w:i/>
                <w:iCs/>
                <w:noProof/>
                <w:color w:val="000000"/>
              </w:rPr>
              <w:t>2,00%</w:t>
            </w:r>
          </w:p>
        </w:tc>
        <w:tc>
          <w:tcPr>
            <w:tcW w:w="964" w:type="dxa"/>
            <w:noWrap/>
            <w:vAlign w:val="center"/>
            <w:hideMark/>
          </w:tcPr>
          <w:p w14:paraId="05BD1259" w14:textId="010458EE"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sidRPr="0078468D">
              <w:rPr>
                <w:b/>
                <w:bCs/>
                <w:i/>
                <w:iCs/>
                <w:noProof/>
                <w:color w:val="000000"/>
              </w:rPr>
              <w:t>2,00%</w:t>
            </w:r>
          </w:p>
        </w:tc>
        <w:tc>
          <w:tcPr>
            <w:tcW w:w="964" w:type="dxa"/>
            <w:noWrap/>
            <w:vAlign w:val="center"/>
            <w:hideMark/>
          </w:tcPr>
          <w:p w14:paraId="417591DC" w14:textId="551F50C5"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sidRPr="0078468D">
              <w:rPr>
                <w:b/>
                <w:bCs/>
                <w:i/>
                <w:iCs/>
                <w:noProof/>
                <w:color w:val="000000"/>
              </w:rPr>
              <w:t>2,00%</w:t>
            </w:r>
          </w:p>
        </w:tc>
        <w:tc>
          <w:tcPr>
            <w:tcW w:w="964" w:type="dxa"/>
            <w:noWrap/>
            <w:vAlign w:val="center"/>
            <w:hideMark/>
          </w:tcPr>
          <w:p w14:paraId="5669813C" w14:textId="69D46CCF"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sidRPr="0078468D">
              <w:rPr>
                <w:b/>
                <w:bCs/>
                <w:i/>
                <w:iCs/>
                <w:noProof/>
                <w:color w:val="000000"/>
              </w:rPr>
              <w:t>2,00%</w:t>
            </w:r>
          </w:p>
        </w:tc>
        <w:tc>
          <w:tcPr>
            <w:tcW w:w="964" w:type="dxa"/>
            <w:noWrap/>
            <w:vAlign w:val="center"/>
            <w:hideMark/>
          </w:tcPr>
          <w:p w14:paraId="288FAC3F" w14:textId="7F0FC41C"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sidRPr="0078468D">
              <w:rPr>
                <w:b/>
                <w:bCs/>
                <w:i/>
                <w:iCs/>
                <w:noProof/>
                <w:color w:val="000000"/>
              </w:rPr>
              <w:t>2,00%</w:t>
            </w:r>
          </w:p>
        </w:tc>
        <w:tc>
          <w:tcPr>
            <w:tcW w:w="964" w:type="dxa"/>
            <w:noWrap/>
            <w:vAlign w:val="center"/>
            <w:hideMark/>
          </w:tcPr>
          <w:p w14:paraId="2ACFB15F" w14:textId="1E62DF13"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sidRPr="0078468D">
              <w:rPr>
                <w:b/>
                <w:bCs/>
                <w:i/>
                <w:iCs/>
                <w:noProof/>
                <w:color w:val="000000"/>
              </w:rPr>
              <w:t>n/a</w:t>
            </w:r>
          </w:p>
        </w:tc>
      </w:tr>
      <w:tr w:rsidR="00E62416" w:rsidRPr="007E3223" w14:paraId="7E1AB344"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B110412" w14:textId="77777777" w:rsidR="00E62416" w:rsidRPr="0078468D" w:rsidRDefault="00E62416" w:rsidP="00E62416">
            <w:pPr>
              <w:rPr>
                <w:b w:val="0"/>
                <w:i/>
                <w:iCs/>
                <w:noProof/>
                <w:color w:val="000000"/>
                <w:sz w:val="18"/>
                <w:szCs w:val="18"/>
              </w:rPr>
            </w:pPr>
            <w:r w:rsidRPr="0078468D">
              <w:rPr>
                <w:b w:val="0"/>
                <w:i/>
                <w:iCs/>
                <w:noProof/>
                <w:color w:val="000000"/>
                <w:sz w:val="18"/>
                <w:szCs w:val="18"/>
              </w:rPr>
              <w:t xml:space="preserve">      of which temporary increase for NGEU</w:t>
            </w:r>
          </w:p>
        </w:tc>
        <w:tc>
          <w:tcPr>
            <w:tcW w:w="850" w:type="dxa"/>
            <w:vAlign w:val="center"/>
          </w:tcPr>
          <w:p w14:paraId="56D62372" w14:textId="77777777" w:rsidR="00E62416" w:rsidRPr="00FB19AB" w:rsidRDefault="00E62416" w:rsidP="00E62416">
            <w:pPr>
              <w:jc w:val="center"/>
              <w:cnfStyle w:val="000000100000" w:firstRow="0" w:lastRow="0" w:firstColumn="0" w:lastColumn="0" w:oddVBand="0" w:evenVBand="0" w:oddHBand="1" w:evenHBand="0" w:firstRowFirstColumn="0" w:firstRowLastColumn="0" w:lastRowFirstColumn="0" w:lastRowLastColumn="0"/>
              <w:rPr>
                <w:i/>
                <w:iCs/>
                <w:noProof/>
                <w:color w:val="000000"/>
                <w:sz w:val="18"/>
                <w:szCs w:val="18"/>
              </w:rPr>
            </w:pPr>
          </w:p>
        </w:tc>
        <w:tc>
          <w:tcPr>
            <w:tcW w:w="964" w:type="dxa"/>
            <w:noWrap/>
            <w:vAlign w:val="center"/>
            <w:hideMark/>
          </w:tcPr>
          <w:p w14:paraId="701A9E75" w14:textId="7E6AB8C1"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sidRPr="0078468D">
              <w:rPr>
                <w:i/>
                <w:iCs/>
                <w:noProof/>
                <w:color w:val="000000"/>
              </w:rPr>
              <w:t>0,60%</w:t>
            </w:r>
          </w:p>
        </w:tc>
        <w:tc>
          <w:tcPr>
            <w:tcW w:w="964" w:type="dxa"/>
            <w:noWrap/>
            <w:vAlign w:val="center"/>
            <w:hideMark/>
          </w:tcPr>
          <w:p w14:paraId="483DEABC" w14:textId="050F93D6"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sidRPr="0078468D">
              <w:rPr>
                <w:i/>
                <w:iCs/>
                <w:noProof/>
                <w:color w:val="000000"/>
              </w:rPr>
              <w:t>0,60%</w:t>
            </w:r>
          </w:p>
        </w:tc>
        <w:tc>
          <w:tcPr>
            <w:tcW w:w="964" w:type="dxa"/>
            <w:noWrap/>
            <w:vAlign w:val="center"/>
            <w:hideMark/>
          </w:tcPr>
          <w:p w14:paraId="0A630E6F" w14:textId="44CB585A"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sidRPr="0078468D">
              <w:rPr>
                <w:i/>
                <w:iCs/>
                <w:noProof/>
                <w:color w:val="000000"/>
              </w:rPr>
              <w:t>0,60%</w:t>
            </w:r>
          </w:p>
        </w:tc>
        <w:tc>
          <w:tcPr>
            <w:tcW w:w="964" w:type="dxa"/>
            <w:noWrap/>
            <w:vAlign w:val="center"/>
            <w:hideMark/>
          </w:tcPr>
          <w:p w14:paraId="152D6D87" w14:textId="29897EC3"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sidRPr="0078468D">
              <w:rPr>
                <w:i/>
                <w:iCs/>
                <w:noProof/>
                <w:color w:val="000000"/>
              </w:rPr>
              <w:t>0,60%</w:t>
            </w:r>
          </w:p>
        </w:tc>
        <w:tc>
          <w:tcPr>
            <w:tcW w:w="964" w:type="dxa"/>
            <w:noWrap/>
            <w:vAlign w:val="center"/>
            <w:hideMark/>
          </w:tcPr>
          <w:p w14:paraId="0ACF862C" w14:textId="5416366F"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sidRPr="0078468D">
              <w:rPr>
                <w:i/>
                <w:iCs/>
                <w:noProof/>
                <w:color w:val="000000"/>
              </w:rPr>
              <w:t>0,60%</w:t>
            </w:r>
          </w:p>
        </w:tc>
        <w:tc>
          <w:tcPr>
            <w:tcW w:w="964" w:type="dxa"/>
            <w:noWrap/>
            <w:vAlign w:val="center"/>
            <w:hideMark/>
          </w:tcPr>
          <w:p w14:paraId="565B0D51" w14:textId="094BFCC5"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sidRPr="0078468D">
              <w:rPr>
                <w:i/>
                <w:iCs/>
                <w:noProof/>
                <w:color w:val="000000"/>
              </w:rPr>
              <w:t>n/a</w:t>
            </w:r>
          </w:p>
        </w:tc>
      </w:tr>
      <w:tr w:rsidR="00E62416" w:rsidRPr="007E3223" w14:paraId="45151AB5"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615C258C" w14:textId="645E7E37" w:rsidR="00E62416" w:rsidRPr="0078468D" w:rsidRDefault="00E62416" w:rsidP="00E62416">
            <w:pPr>
              <w:rPr>
                <w:bCs/>
                <w:i/>
                <w:iCs/>
                <w:noProof/>
                <w:sz w:val="18"/>
                <w:szCs w:val="18"/>
              </w:rPr>
            </w:pPr>
            <w:r w:rsidRPr="0078468D">
              <w:rPr>
                <w:bCs/>
                <w:i/>
                <w:iCs/>
                <w:noProof/>
                <w:color w:val="auto"/>
                <w:sz w:val="18"/>
                <w:szCs w:val="18"/>
              </w:rPr>
              <w:t>Own Resources ceiling expressed in EUR billion*</w:t>
            </w:r>
          </w:p>
        </w:tc>
        <w:tc>
          <w:tcPr>
            <w:tcW w:w="850" w:type="dxa"/>
            <w:vAlign w:val="center"/>
          </w:tcPr>
          <w:p w14:paraId="271950CA"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bCs/>
                <w:i/>
                <w:iCs/>
                <w:noProof/>
                <w:sz w:val="18"/>
                <w:szCs w:val="18"/>
              </w:rPr>
            </w:pPr>
            <w:r w:rsidRPr="00FE7A6F">
              <w:rPr>
                <w:bCs/>
                <w:i/>
                <w:iCs/>
                <w:noProof/>
                <w:sz w:val="18"/>
                <w:szCs w:val="18"/>
              </w:rPr>
              <w:t>a</w:t>
            </w:r>
          </w:p>
        </w:tc>
        <w:tc>
          <w:tcPr>
            <w:tcW w:w="964" w:type="dxa"/>
            <w:noWrap/>
            <w:vAlign w:val="center"/>
            <w:hideMark/>
          </w:tcPr>
          <w:p w14:paraId="113D2290" w14:textId="2A58E89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326,9</w:t>
            </w:r>
          </w:p>
        </w:tc>
        <w:tc>
          <w:tcPr>
            <w:tcW w:w="964" w:type="dxa"/>
            <w:noWrap/>
            <w:vAlign w:val="center"/>
            <w:hideMark/>
          </w:tcPr>
          <w:p w14:paraId="7163A53B" w14:textId="3DFC5F1A"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342,0</w:t>
            </w:r>
          </w:p>
        </w:tc>
        <w:tc>
          <w:tcPr>
            <w:tcW w:w="964" w:type="dxa"/>
            <w:noWrap/>
            <w:vAlign w:val="center"/>
            <w:hideMark/>
          </w:tcPr>
          <w:p w14:paraId="16C6CE1C" w14:textId="4A0D44FC"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357,0</w:t>
            </w:r>
          </w:p>
        </w:tc>
        <w:tc>
          <w:tcPr>
            <w:tcW w:w="964" w:type="dxa"/>
            <w:noWrap/>
            <w:vAlign w:val="center"/>
            <w:hideMark/>
          </w:tcPr>
          <w:p w14:paraId="63DDBD72" w14:textId="2D1A413D"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371,8</w:t>
            </w:r>
          </w:p>
        </w:tc>
        <w:tc>
          <w:tcPr>
            <w:tcW w:w="964" w:type="dxa"/>
            <w:noWrap/>
            <w:vAlign w:val="center"/>
            <w:hideMark/>
          </w:tcPr>
          <w:p w14:paraId="4CB99DDF" w14:textId="7FA028F2"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386,3</w:t>
            </w:r>
          </w:p>
        </w:tc>
        <w:tc>
          <w:tcPr>
            <w:tcW w:w="964" w:type="dxa"/>
            <w:noWrap/>
            <w:vAlign w:val="center"/>
            <w:hideMark/>
          </w:tcPr>
          <w:p w14:paraId="07EA5D97" w14:textId="158D35B3"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b/>
                <w:bCs/>
                <w:i/>
                <w:iCs/>
                <w:noProof/>
                <w:color w:val="000000"/>
              </w:rPr>
              <w:t>n/a</w:t>
            </w:r>
          </w:p>
        </w:tc>
      </w:tr>
      <w:tr w:rsidR="00E62416" w:rsidRPr="007E3223" w14:paraId="17BEFE53"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5AE7C13" w14:textId="6E933638" w:rsidR="00E62416" w:rsidRPr="0078468D" w:rsidRDefault="00E62416" w:rsidP="00E62416">
            <w:pPr>
              <w:rPr>
                <w:b w:val="0"/>
                <w:i/>
                <w:iCs/>
                <w:noProof/>
                <w:color w:val="000000"/>
                <w:sz w:val="18"/>
                <w:szCs w:val="18"/>
              </w:rPr>
            </w:pPr>
            <w:r w:rsidRPr="007E3223">
              <w:rPr>
                <w:i/>
                <w:iCs/>
                <w:noProof/>
                <w:color w:val="000000"/>
                <w:sz w:val="18"/>
                <w:szCs w:val="18"/>
              </w:rPr>
              <w:t xml:space="preserve">     </w:t>
            </w:r>
            <w:r w:rsidRPr="0078468D">
              <w:rPr>
                <w:b w:val="0"/>
                <w:i/>
                <w:iCs/>
                <w:noProof/>
                <w:color w:val="000000"/>
                <w:sz w:val="18"/>
                <w:szCs w:val="18"/>
              </w:rPr>
              <w:t>of which temporary increase for NGEU</w:t>
            </w:r>
          </w:p>
        </w:tc>
        <w:tc>
          <w:tcPr>
            <w:tcW w:w="850" w:type="dxa"/>
            <w:vAlign w:val="center"/>
          </w:tcPr>
          <w:p w14:paraId="21DADB71"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i/>
                <w:iCs/>
                <w:noProof/>
                <w:sz w:val="18"/>
                <w:szCs w:val="18"/>
              </w:rPr>
            </w:pPr>
            <w:r w:rsidRPr="00FE7A6F">
              <w:rPr>
                <w:i/>
                <w:iCs/>
                <w:noProof/>
                <w:sz w:val="18"/>
                <w:szCs w:val="18"/>
              </w:rPr>
              <w:t>a’</w:t>
            </w:r>
          </w:p>
        </w:tc>
        <w:tc>
          <w:tcPr>
            <w:tcW w:w="964" w:type="dxa"/>
            <w:noWrap/>
            <w:vAlign w:val="center"/>
            <w:hideMark/>
          </w:tcPr>
          <w:p w14:paraId="64213F29" w14:textId="115623E3"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98,1</w:t>
            </w:r>
          </w:p>
        </w:tc>
        <w:tc>
          <w:tcPr>
            <w:tcW w:w="964" w:type="dxa"/>
            <w:noWrap/>
            <w:vAlign w:val="center"/>
            <w:hideMark/>
          </w:tcPr>
          <w:p w14:paraId="6A81022D" w14:textId="3C3080B2"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102,6</w:t>
            </w:r>
          </w:p>
        </w:tc>
        <w:tc>
          <w:tcPr>
            <w:tcW w:w="964" w:type="dxa"/>
            <w:noWrap/>
            <w:vAlign w:val="center"/>
            <w:hideMark/>
          </w:tcPr>
          <w:p w14:paraId="723D62F8" w14:textId="6844A567"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107,1</w:t>
            </w:r>
          </w:p>
        </w:tc>
        <w:tc>
          <w:tcPr>
            <w:tcW w:w="964" w:type="dxa"/>
            <w:noWrap/>
            <w:vAlign w:val="center"/>
            <w:hideMark/>
          </w:tcPr>
          <w:p w14:paraId="380AB024" w14:textId="5053CBD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111,5</w:t>
            </w:r>
          </w:p>
        </w:tc>
        <w:tc>
          <w:tcPr>
            <w:tcW w:w="964" w:type="dxa"/>
            <w:noWrap/>
            <w:vAlign w:val="center"/>
            <w:hideMark/>
          </w:tcPr>
          <w:p w14:paraId="0D142C39" w14:textId="13E14A7D"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115,9</w:t>
            </w:r>
          </w:p>
        </w:tc>
        <w:tc>
          <w:tcPr>
            <w:tcW w:w="964" w:type="dxa"/>
            <w:noWrap/>
            <w:vAlign w:val="center"/>
            <w:hideMark/>
          </w:tcPr>
          <w:p w14:paraId="59F143B3" w14:textId="44DA8CFE"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i/>
                <w:iCs/>
                <w:noProof/>
                <w:color w:val="000000"/>
              </w:rPr>
              <w:t>n/a</w:t>
            </w:r>
          </w:p>
        </w:tc>
      </w:tr>
      <w:tr w:rsidR="00E62416" w:rsidRPr="007E3223" w14:paraId="522FECE5"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52F76E5" w14:textId="77777777" w:rsidR="00E62416" w:rsidRPr="0078468D" w:rsidRDefault="00E62416" w:rsidP="00E62416">
            <w:pPr>
              <w:rPr>
                <w:b w:val="0"/>
                <w:noProof/>
                <w:color w:val="000000"/>
                <w:sz w:val="18"/>
                <w:szCs w:val="18"/>
              </w:rPr>
            </w:pPr>
            <w:r w:rsidRPr="0078468D">
              <w:rPr>
                <w:b w:val="0"/>
                <w:noProof/>
                <w:color w:val="000000"/>
                <w:sz w:val="18"/>
                <w:szCs w:val="18"/>
              </w:rPr>
              <w:t>Net amount of traditional own resources**</w:t>
            </w:r>
          </w:p>
        </w:tc>
        <w:tc>
          <w:tcPr>
            <w:tcW w:w="850" w:type="dxa"/>
            <w:vAlign w:val="center"/>
          </w:tcPr>
          <w:p w14:paraId="58F0E045"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i/>
                <w:noProof/>
                <w:sz w:val="18"/>
                <w:szCs w:val="18"/>
              </w:rPr>
            </w:pPr>
            <w:r w:rsidRPr="00FE7A6F">
              <w:rPr>
                <w:i/>
                <w:noProof/>
                <w:sz w:val="18"/>
                <w:szCs w:val="18"/>
              </w:rPr>
              <w:t>b</w:t>
            </w:r>
          </w:p>
        </w:tc>
        <w:tc>
          <w:tcPr>
            <w:tcW w:w="964" w:type="dxa"/>
            <w:noWrap/>
            <w:vAlign w:val="center"/>
            <w:hideMark/>
          </w:tcPr>
          <w:p w14:paraId="2BD88FEF" w14:textId="666B8D4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21,6</w:t>
            </w:r>
          </w:p>
        </w:tc>
        <w:tc>
          <w:tcPr>
            <w:tcW w:w="964" w:type="dxa"/>
            <w:noWrap/>
            <w:vAlign w:val="center"/>
            <w:hideMark/>
          </w:tcPr>
          <w:p w14:paraId="2E1687A3" w14:textId="0222B11F"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22,6</w:t>
            </w:r>
          </w:p>
        </w:tc>
        <w:tc>
          <w:tcPr>
            <w:tcW w:w="964" w:type="dxa"/>
            <w:noWrap/>
            <w:vAlign w:val="center"/>
            <w:hideMark/>
          </w:tcPr>
          <w:p w14:paraId="315E3A74" w14:textId="5A1D101B"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23,6</w:t>
            </w:r>
          </w:p>
        </w:tc>
        <w:tc>
          <w:tcPr>
            <w:tcW w:w="964" w:type="dxa"/>
            <w:noWrap/>
            <w:vAlign w:val="center"/>
            <w:hideMark/>
          </w:tcPr>
          <w:p w14:paraId="06F53D80" w14:textId="16E5629B"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24,6</w:t>
            </w:r>
          </w:p>
        </w:tc>
        <w:tc>
          <w:tcPr>
            <w:tcW w:w="964" w:type="dxa"/>
            <w:noWrap/>
            <w:vAlign w:val="center"/>
            <w:hideMark/>
          </w:tcPr>
          <w:p w14:paraId="09450450" w14:textId="414F53DC"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25,6</w:t>
            </w:r>
          </w:p>
        </w:tc>
        <w:tc>
          <w:tcPr>
            <w:tcW w:w="964" w:type="dxa"/>
            <w:noWrap/>
            <w:vAlign w:val="center"/>
            <w:hideMark/>
          </w:tcPr>
          <w:p w14:paraId="37C31601" w14:textId="0BDA28B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118,0</w:t>
            </w:r>
          </w:p>
        </w:tc>
      </w:tr>
      <w:tr w:rsidR="00E62416" w:rsidRPr="007E3223" w14:paraId="62C91527"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39FE071" w14:textId="77777777" w:rsidR="00E62416" w:rsidRPr="0078468D" w:rsidRDefault="00E62416" w:rsidP="00E62416">
            <w:pPr>
              <w:rPr>
                <w:b w:val="0"/>
                <w:noProof/>
                <w:color w:val="000000"/>
                <w:sz w:val="18"/>
                <w:szCs w:val="18"/>
              </w:rPr>
            </w:pPr>
            <w:r w:rsidRPr="0078468D">
              <w:rPr>
                <w:b w:val="0"/>
                <w:noProof/>
                <w:color w:val="000000"/>
                <w:sz w:val="18"/>
                <w:szCs w:val="18"/>
              </w:rPr>
              <w:t>National contributions***</w:t>
            </w:r>
          </w:p>
        </w:tc>
        <w:tc>
          <w:tcPr>
            <w:tcW w:w="850" w:type="dxa"/>
            <w:vAlign w:val="center"/>
          </w:tcPr>
          <w:p w14:paraId="7771FAF5"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i/>
                <w:noProof/>
                <w:sz w:val="18"/>
                <w:szCs w:val="18"/>
              </w:rPr>
            </w:pPr>
            <w:r w:rsidRPr="00FE7A6F">
              <w:rPr>
                <w:i/>
                <w:noProof/>
                <w:sz w:val="18"/>
                <w:szCs w:val="18"/>
              </w:rPr>
              <w:t>c</w:t>
            </w:r>
          </w:p>
        </w:tc>
        <w:tc>
          <w:tcPr>
            <w:tcW w:w="964" w:type="dxa"/>
            <w:noWrap/>
            <w:vAlign w:val="center"/>
            <w:hideMark/>
          </w:tcPr>
          <w:p w14:paraId="6AB573C6" w14:textId="2F8465AD"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132,6</w:t>
            </w:r>
          </w:p>
        </w:tc>
        <w:tc>
          <w:tcPr>
            <w:tcW w:w="964" w:type="dxa"/>
            <w:noWrap/>
            <w:vAlign w:val="center"/>
            <w:hideMark/>
          </w:tcPr>
          <w:p w14:paraId="4E276CFD" w14:textId="225EEA06"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127,7</w:t>
            </w:r>
          </w:p>
        </w:tc>
        <w:tc>
          <w:tcPr>
            <w:tcW w:w="964" w:type="dxa"/>
            <w:noWrap/>
            <w:vAlign w:val="center"/>
            <w:hideMark/>
          </w:tcPr>
          <w:p w14:paraId="598CFBA0" w14:textId="1DE8561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148,</w:t>
            </w:r>
            <w:r>
              <w:rPr>
                <w:rFonts w:eastAsia="Calibri"/>
                <w:bCs/>
                <w:i/>
                <w:noProof/>
              </w:rPr>
              <w:t>4</w:t>
            </w:r>
          </w:p>
        </w:tc>
        <w:tc>
          <w:tcPr>
            <w:tcW w:w="964" w:type="dxa"/>
            <w:noWrap/>
            <w:vAlign w:val="center"/>
            <w:hideMark/>
          </w:tcPr>
          <w:p w14:paraId="109E218A" w14:textId="0CC63D13"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155,</w:t>
            </w:r>
            <w:r>
              <w:rPr>
                <w:rFonts w:eastAsia="Calibri"/>
                <w:bCs/>
                <w:i/>
                <w:noProof/>
              </w:rPr>
              <w:t>1</w:t>
            </w:r>
          </w:p>
        </w:tc>
        <w:tc>
          <w:tcPr>
            <w:tcW w:w="964" w:type="dxa"/>
            <w:noWrap/>
            <w:vAlign w:val="center"/>
            <w:hideMark/>
          </w:tcPr>
          <w:p w14:paraId="1D795AA4" w14:textId="2529910C"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165,5</w:t>
            </w:r>
          </w:p>
        </w:tc>
        <w:tc>
          <w:tcPr>
            <w:tcW w:w="964" w:type="dxa"/>
            <w:noWrap/>
            <w:vAlign w:val="center"/>
            <w:hideMark/>
          </w:tcPr>
          <w:p w14:paraId="5396FF32" w14:textId="2886DF87"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729,</w:t>
            </w:r>
            <w:r>
              <w:rPr>
                <w:rFonts w:eastAsia="Calibri"/>
                <w:bCs/>
                <w:i/>
                <w:noProof/>
              </w:rPr>
              <w:t>4</w:t>
            </w:r>
          </w:p>
        </w:tc>
      </w:tr>
      <w:tr w:rsidR="00E62416" w:rsidRPr="007E3223" w14:paraId="41471204"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73D59E6" w14:textId="77777777" w:rsidR="00E62416" w:rsidRPr="0078468D" w:rsidRDefault="00E62416" w:rsidP="00E62416">
            <w:pPr>
              <w:rPr>
                <w:bCs/>
                <w:noProof/>
                <w:color w:val="000000"/>
                <w:sz w:val="18"/>
                <w:szCs w:val="18"/>
              </w:rPr>
            </w:pPr>
            <w:r w:rsidRPr="0078468D">
              <w:rPr>
                <w:bCs/>
                <w:noProof/>
                <w:color w:val="000000"/>
                <w:sz w:val="18"/>
                <w:szCs w:val="18"/>
              </w:rPr>
              <w:t>Total own resources</w:t>
            </w:r>
          </w:p>
        </w:tc>
        <w:tc>
          <w:tcPr>
            <w:tcW w:w="850" w:type="dxa"/>
            <w:vAlign w:val="center"/>
          </w:tcPr>
          <w:p w14:paraId="67AEB980"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bCs/>
                <w:i/>
                <w:noProof/>
                <w:sz w:val="18"/>
                <w:szCs w:val="18"/>
              </w:rPr>
            </w:pPr>
            <w:r w:rsidRPr="00FE7A6F">
              <w:rPr>
                <w:bCs/>
                <w:i/>
                <w:noProof/>
                <w:sz w:val="18"/>
                <w:szCs w:val="18"/>
              </w:rPr>
              <w:t>d =b+c</w:t>
            </w:r>
          </w:p>
        </w:tc>
        <w:tc>
          <w:tcPr>
            <w:tcW w:w="964" w:type="dxa"/>
            <w:noWrap/>
            <w:vAlign w:val="center"/>
            <w:hideMark/>
          </w:tcPr>
          <w:p w14:paraId="350F4163" w14:textId="24400FF3"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154,2</w:t>
            </w:r>
          </w:p>
        </w:tc>
        <w:tc>
          <w:tcPr>
            <w:tcW w:w="964" w:type="dxa"/>
            <w:noWrap/>
            <w:vAlign w:val="center"/>
            <w:hideMark/>
          </w:tcPr>
          <w:p w14:paraId="254C3D4C" w14:textId="3A51BAE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150,</w:t>
            </w:r>
            <w:r>
              <w:rPr>
                <w:rFonts w:eastAsia="Calibri"/>
                <w:bCs/>
                <w:i/>
                <w:noProof/>
              </w:rPr>
              <w:t>4</w:t>
            </w:r>
          </w:p>
        </w:tc>
        <w:tc>
          <w:tcPr>
            <w:tcW w:w="964" w:type="dxa"/>
            <w:noWrap/>
            <w:vAlign w:val="center"/>
            <w:hideMark/>
          </w:tcPr>
          <w:p w14:paraId="78D84746" w14:textId="6F4F94F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17</w:t>
            </w:r>
            <w:r>
              <w:rPr>
                <w:rFonts w:eastAsia="Calibri"/>
                <w:bCs/>
                <w:i/>
                <w:noProof/>
              </w:rPr>
              <w:t>2,0</w:t>
            </w:r>
          </w:p>
        </w:tc>
        <w:tc>
          <w:tcPr>
            <w:tcW w:w="964" w:type="dxa"/>
            <w:noWrap/>
            <w:vAlign w:val="center"/>
            <w:hideMark/>
          </w:tcPr>
          <w:p w14:paraId="1C335140" w14:textId="01A59BD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179,</w:t>
            </w:r>
            <w:r>
              <w:rPr>
                <w:rFonts w:eastAsia="Calibri"/>
                <w:bCs/>
                <w:i/>
                <w:noProof/>
              </w:rPr>
              <w:t>7</w:t>
            </w:r>
          </w:p>
        </w:tc>
        <w:tc>
          <w:tcPr>
            <w:tcW w:w="964" w:type="dxa"/>
            <w:noWrap/>
            <w:vAlign w:val="center"/>
            <w:hideMark/>
          </w:tcPr>
          <w:p w14:paraId="77C0D1CC" w14:textId="5A67454F"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191,</w:t>
            </w:r>
            <w:r>
              <w:rPr>
                <w:rFonts w:eastAsia="Calibri"/>
                <w:bCs/>
                <w:i/>
                <w:noProof/>
              </w:rPr>
              <w:t>2</w:t>
            </w:r>
          </w:p>
        </w:tc>
        <w:tc>
          <w:tcPr>
            <w:tcW w:w="964" w:type="dxa"/>
            <w:noWrap/>
            <w:vAlign w:val="center"/>
            <w:hideMark/>
          </w:tcPr>
          <w:p w14:paraId="3B3D7F3D" w14:textId="50D261B8"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847,</w:t>
            </w:r>
            <w:r>
              <w:rPr>
                <w:rFonts w:eastAsia="Calibri"/>
                <w:bCs/>
                <w:i/>
                <w:noProof/>
              </w:rPr>
              <w:t>4</w:t>
            </w:r>
          </w:p>
        </w:tc>
      </w:tr>
      <w:tr w:rsidR="00E62416" w:rsidRPr="007E3223" w14:paraId="775252FF"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E8AE889" w14:textId="41096DAD" w:rsidR="00E62416" w:rsidRPr="0078468D" w:rsidRDefault="00E62416" w:rsidP="00E62416">
            <w:pPr>
              <w:rPr>
                <w:b w:val="0"/>
                <w:i/>
                <w:iCs/>
                <w:noProof/>
                <w:color w:val="000000"/>
                <w:sz w:val="18"/>
                <w:szCs w:val="18"/>
              </w:rPr>
            </w:pPr>
            <w:r w:rsidRPr="0078468D">
              <w:rPr>
                <w:b w:val="0"/>
                <w:i/>
                <w:iCs/>
                <w:noProof/>
                <w:color w:val="000000"/>
                <w:sz w:val="18"/>
                <w:szCs w:val="18"/>
              </w:rPr>
              <w:t xml:space="preserve">     of which own resources </w:t>
            </w:r>
            <w:r>
              <w:rPr>
                <w:b w:val="0"/>
                <w:i/>
                <w:iCs/>
                <w:noProof/>
                <w:color w:val="000000"/>
                <w:sz w:val="18"/>
                <w:szCs w:val="18"/>
              </w:rPr>
              <w:t>related to</w:t>
            </w:r>
            <w:r w:rsidRPr="0078468D">
              <w:rPr>
                <w:b w:val="0"/>
                <w:i/>
                <w:iCs/>
                <w:noProof/>
                <w:color w:val="000000"/>
                <w:sz w:val="18"/>
                <w:szCs w:val="18"/>
              </w:rPr>
              <w:t xml:space="preserve"> NGEU liabilities</w:t>
            </w:r>
          </w:p>
        </w:tc>
        <w:tc>
          <w:tcPr>
            <w:tcW w:w="850" w:type="dxa"/>
            <w:vAlign w:val="center"/>
          </w:tcPr>
          <w:p w14:paraId="1207BBBF"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i/>
                <w:noProof/>
                <w:sz w:val="18"/>
                <w:szCs w:val="18"/>
              </w:rPr>
            </w:pPr>
            <w:r w:rsidRPr="00FE7A6F">
              <w:rPr>
                <w:i/>
                <w:noProof/>
                <w:sz w:val="18"/>
                <w:szCs w:val="18"/>
              </w:rPr>
              <w:t>d’</w:t>
            </w:r>
          </w:p>
        </w:tc>
        <w:tc>
          <w:tcPr>
            <w:tcW w:w="964" w:type="dxa"/>
            <w:noWrap/>
            <w:vAlign w:val="center"/>
            <w:hideMark/>
          </w:tcPr>
          <w:p w14:paraId="4DBA380C" w14:textId="1F10EB9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1,0</w:t>
            </w:r>
          </w:p>
        </w:tc>
        <w:tc>
          <w:tcPr>
            <w:tcW w:w="964" w:type="dxa"/>
            <w:noWrap/>
            <w:vAlign w:val="center"/>
            <w:hideMark/>
          </w:tcPr>
          <w:p w14:paraId="7C04FDE5" w14:textId="72A08B51"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2,1</w:t>
            </w:r>
          </w:p>
        </w:tc>
        <w:tc>
          <w:tcPr>
            <w:tcW w:w="964" w:type="dxa"/>
            <w:noWrap/>
            <w:vAlign w:val="center"/>
            <w:hideMark/>
          </w:tcPr>
          <w:p w14:paraId="668D3CB7" w14:textId="6647F8B9"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2,7</w:t>
            </w:r>
          </w:p>
        </w:tc>
        <w:tc>
          <w:tcPr>
            <w:tcW w:w="964" w:type="dxa"/>
            <w:noWrap/>
            <w:vAlign w:val="center"/>
            <w:hideMark/>
          </w:tcPr>
          <w:p w14:paraId="535F2281" w14:textId="77ECD4E1"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3,7</w:t>
            </w:r>
          </w:p>
        </w:tc>
        <w:tc>
          <w:tcPr>
            <w:tcW w:w="964" w:type="dxa"/>
            <w:noWrap/>
            <w:vAlign w:val="center"/>
            <w:hideMark/>
          </w:tcPr>
          <w:p w14:paraId="03BB8988" w14:textId="19118F8F"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5,0</w:t>
            </w:r>
          </w:p>
        </w:tc>
        <w:tc>
          <w:tcPr>
            <w:tcW w:w="964" w:type="dxa"/>
            <w:noWrap/>
            <w:vAlign w:val="center"/>
            <w:hideMark/>
          </w:tcPr>
          <w:p w14:paraId="4C97D1A4" w14:textId="5D555050"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14,5</w:t>
            </w:r>
          </w:p>
        </w:tc>
      </w:tr>
      <w:tr w:rsidR="00E62416" w:rsidRPr="007E3223" w14:paraId="383306AC"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2C46F959" w14:textId="77777777" w:rsidR="00E62416" w:rsidRPr="0078468D" w:rsidRDefault="00E62416" w:rsidP="00E62416">
            <w:pPr>
              <w:rPr>
                <w:b w:val="0"/>
                <w:noProof/>
                <w:color w:val="000000"/>
                <w:sz w:val="18"/>
                <w:szCs w:val="18"/>
              </w:rPr>
            </w:pPr>
            <w:r w:rsidRPr="0078468D">
              <w:rPr>
                <w:b w:val="0"/>
                <w:noProof/>
                <w:color w:val="000000"/>
                <w:sz w:val="18"/>
                <w:szCs w:val="18"/>
              </w:rPr>
              <w:t>Other revenue (incl. provisional UK contribution)</w:t>
            </w:r>
          </w:p>
        </w:tc>
        <w:tc>
          <w:tcPr>
            <w:tcW w:w="850" w:type="dxa"/>
            <w:vAlign w:val="center"/>
          </w:tcPr>
          <w:p w14:paraId="39D896C9"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i/>
                <w:noProof/>
                <w:sz w:val="18"/>
                <w:szCs w:val="18"/>
              </w:rPr>
            </w:pPr>
            <w:r w:rsidRPr="00FE7A6F">
              <w:rPr>
                <w:i/>
                <w:noProof/>
                <w:sz w:val="18"/>
                <w:szCs w:val="18"/>
              </w:rPr>
              <w:t>e</w:t>
            </w:r>
          </w:p>
        </w:tc>
        <w:tc>
          <w:tcPr>
            <w:tcW w:w="964" w:type="dxa"/>
            <w:noWrap/>
            <w:vAlign w:val="center"/>
            <w:hideMark/>
          </w:tcPr>
          <w:p w14:paraId="451D737D" w14:textId="180A91D3"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12,</w:t>
            </w:r>
            <w:r>
              <w:rPr>
                <w:rFonts w:eastAsia="Calibri"/>
                <w:bCs/>
                <w:i/>
                <w:noProof/>
              </w:rPr>
              <w:t>1</w:t>
            </w:r>
          </w:p>
        </w:tc>
        <w:tc>
          <w:tcPr>
            <w:tcW w:w="964" w:type="dxa"/>
            <w:noWrap/>
            <w:vAlign w:val="center"/>
            <w:hideMark/>
          </w:tcPr>
          <w:p w14:paraId="15E44D6B" w14:textId="6BE9B890"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7,6</w:t>
            </w:r>
          </w:p>
        </w:tc>
        <w:tc>
          <w:tcPr>
            <w:tcW w:w="964" w:type="dxa"/>
            <w:noWrap/>
            <w:vAlign w:val="center"/>
            <w:hideMark/>
          </w:tcPr>
          <w:p w14:paraId="727AAE87" w14:textId="23DD2580"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4,</w:t>
            </w:r>
            <w:r>
              <w:rPr>
                <w:rFonts w:eastAsia="Calibri"/>
                <w:bCs/>
                <w:i/>
                <w:noProof/>
              </w:rPr>
              <w:t>3</w:t>
            </w:r>
          </w:p>
        </w:tc>
        <w:tc>
          <w:tcPr>
            <w:tcW w:w="964" w:type="dxa"/>
            <w:noWrap/>
            <w:vAlign w:val="center"/>
            <w:hideMark/>
          </w:tcPr>
          <w:p w14:paraId="678654C5" w14:textId="3911C18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3,1</w:t>
            </w:r>
          </w:p>
        </w:tc>
        <w:tc>
          <w:tcPr>
            <w:tcW w:w="964" w:type="dxa"/>
            <w:noWrap/>
            <w:vAlign w:val="center"/>
            <w:hideMark/>
          </w:tcPr>
          <w:p w14:paraId="276F00C7" w14:textId="4528E45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2,7</w:t>
            </w:r>
          </w:p>
        </w:tc>
        <w:tc>
          <w:tcPr>
            <w:tcW w:w="964" w:type="dxa"/>
            <w:noWrap/>
            <w:vAlign w:val="center"/>
            <w:hideMark/>
          </w:tcPr>
          <w:p w14:paraId="687DABC1" w14:textId="6F56E6F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29,</w:t>
            </w:r>
            <w:r>
              <w:rPr>
                <w:rFonts w:eastAsia="Calibri"/>
                <w:bCs/>
                <w:i/>
                <w:noProof/>
              </w:rPr>
              <w:t>8</w:t>
            </w:r>
          </w:p>
        </w:tc>
      </w:tr>
      <w:tr w:rsidR="00E62416" w:rsidRPr="009E5562" w14:paraId="518EF390" w14:textId="77777777" w:rsidTr="0001035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893BC1E" w14:textId="77777777" w:rsidR="00E62416" w:rsidRPr="0078468D" w:rsidRDefault="00E62416" w:rsidP="00E62416">
            <w:pPr>
              <w:rPr>
                <w:bCs/>
                <w:noProof/>
                <w:color w:val="000000"/>
                <w:sz w:val="18"/>
                <w:szCs w:val="18"/>
              </w:rPr>
            </w:pPr>
            <w:r w:rsidRPr="0078468D">
              <w:rPr>
                <w:bCs/>
                <w:noProof/>
                <w:color w:val="000000"/>
                <w:sz w:val="18"/>
                <w:szCs w:val="18"/>
              </w:rPr>
              <w:t>TOTAL REVENUE</w:t>
            </w:r>
          </w:p>
        </w:tc>
        <w:tc>
          <w:tcPr>
            <w:tcW w:w="850" w:type="dxa"/>
            <w:vAlign w:val="center"/>
          </w:tcPr>
          <w:p w14:paraId="76A4973F" w14:textId="77777777" w:rsidR="00E62416" w:rsidRPr="0078468D" w:rsidRDefault="00E62416" w:rsidP="00E62416">
            <w:pPr>
              <w:jc w:val="center"/>
              <w:cnfStyle w:val="000000100000" w:firstRow="0" w:lastRow="0" w:firstColumn="0" w:lastColumn="0" w:oddVBand="0" w:evenVBand="0" w:oddHBand="1" w:evenHBand="0" w:firstRowFirstColumn="0" w:firstRowLastColumn="0" w:lastRowFirstColumn="0" w:lastRowLastColumn="0"/>
              <w:rPr>
                <w:b/>
                <w:bCs/>
                <w:i/>
                <w:noProof/>
                <w:sz w:val="18"/>
                <w:szCs w:val="18"/>
              </w:rPr>
            </w:pPr>
            <w:r w:rsidRPr="0078468D">
              <w:rPr>
                <w:b/>
                <w:bCs/>
                <w:i/>
                <w:noProof/>
                <w:sz w:val="18"/>
                <w:szCs w:val="18"/>
              </w:rPr>
              <w:t>d+e</w:t>
            </w:r>
          </w:p>
        </w:tc>
        <w:tc>
          <w:tcPr>
            <w:tcW w:w="964" w:type="dxa"/>
            <w:noWrap/>
            <w:vAlign w:val="center"/>
            <w:hideMark/>
          </w:tcPr>
          <w:p w14:paraId="234B4F9D" w14:textId="143E21F0"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sidRPr="0078468D">
              <w:rPr>
                <w:rFonts w:eastAsia="Calibri"/>
                <w:b/>
                <w:bCs/>
                <w:i/>
                <w:noProof/>
              </w:rPr>
              <w:t>166,3</w:t>
            </w:r>
          </w:p>
        </w:tc>
        <w:tc>
          <w:tcPr>
            <w:tcW w:w="964" w:type="dxa"/>
            <w:noWrap/>
            <w:vAlign w:val="center"/>
            <w:hideMark/>
          </w:tcPr>
          <w:p w14:paraId="1B39FA1A" w14:textId="19A79A3D"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sidRPr="0078468D">
              <w:rPr>
                <w:rFonts w:eastAsia="Calibri"/>
                <w:b/>
                <w:bCs/>
                <w:i/>
                <w:noProof/>
              </w:rPr>
              <w:t>158,0</w:t>
            </w:r>
          </w:p>
        </w:tc>
        <w:tc>
          <w:tcPr>
            <w:tcW w:w="964" w:type="dxa"/>
            <w:noWrap/>
            <w:vAlign w:val="center"/>
            <w:hideMark/>
          </w:tcPr>
          <w:p w14:paraId="1A3C768A" w14:textId="7A8F9E1F"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sidRPr="0078468D">
              <w:rPr>
                <w:rFonts w:eastAsia="Calibri"/>
                <w:b/>
                <w:bCs/>
                <w:i/>
                <w:noProof/>
              </w:rPr>
              <w:t>176,</w:t>
            </w:r>
            <w:r>
              <w:rPr>
                <w:rFonts w:eastAsia="Calibri"/>
                <w:b/>
                <w:bCs/>
                <w:i/>
                <w:noProof/>
              </w:rPr>
              <w:t>3</w:t>
            </w:r>
          </w:p>
        </w:tc>
        <w:tc>
          <w:tcPr>
            <w:tcW w:w="964" w:type="dxa"/>
            <w:noWrap/>
            <w:vAlign w:val="center"/>
            <w:hideMark/>
          </w:tcPr>
          <w:p w14:paraId="1C9C3D5D" w14:textId="3140FF11"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sidRPr="0078468D">
              <w:rPr>
                <w:rFonts w:eastAsia="Calibri"/>
                <w:b/>
                <w:bCs/>
                <w:i/>
                <w:noProof/>
              </w:rPr>
              <w:t>182,</w:t>
            </w:r>
            <w:r>
              <w:rPr>
                <w:rFonts w:eastAsia="Calibri"/>
                <w:b/>
                <w:bCs/>
                <w:i/>
                <w:noProof/>
              </w:rPr>
              <w:t>8</w:t>
            </w:r>
          </w:p>
        </w:tc>
        <w:tc>
          <w:tcPr>
            <w:tcW w:w="964" w:type="dxa"/>
            <w:noWrap/>
            <w:vAlign w:val="center"/>
            <w:hideMark/>
          </w:tcPr>
          <w:p w14:paraId="30EAD93A" w14:textId="2225EF5A"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sidRPr="0078468D">
              <w:rPr>
                <w:rFonts w:eastAsia="Calibri"/>
                <w:b/>
                <w:bCs/>
                <w:i/>
                <w:noProof/>
              </w:rPr>
              <w:t>193,</w:t>
            </w:r>
            <w:r>
              <w:rPr>
                <w:rFonts w:eastAsia="Calibri"/>
                <w:b/>
                <w:bCs/>
                <w:i/>
                <w:noProof/>
              </w:rPr>
              <w:t>9</w:t>
            </w:r>
          </w:p>
        </w:tc>
        <w:tc>
          <w:tcPr>
            <w:tcW w:w="964" w:type="dxa"/>
            <w:noWrap/>
            <w:vAlign w:val="center"/>
            <w:hideMark/>
          </w:tcPr>
          <w:p w14:paraId="3C9C41A4" w14:textId="7AEC69E4"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sidRPr="0078468D">
              <w:rPr>
                <w:rFonts w:eastAsia="Calibri"/>
                <w:b/>
                <w:bCs/>
                <w:i/>
                <w:noProof/>
              </w:rPr>
              <w:t>87</w:t>
            </w:r>
            <w:r>
              <w:rPr>
                <w:rFonts w:eastAsia="Calibri"/>
                <w:b/>
                <w:bCs/>
                <w:i/>
                <w:noProof/>
              </w:rPr>
              <w:t>7</w:t>
            </w:r>
            <w:r w:rsidRPr="0078468D">
              <w:rPr>
                <w:rFonts w:eastAsia="Calibri"/>
                <w:b/>
                <w:bCs/>
                <w:i/>
                <w:noProof/>
              </w:rPr>
              <w:t>,</w:t>
            </w:r>
            <w:r>
              <w:rPr>
                <w:rFonts w:eastAsia="Calibri"/>
                <w:b/>
                <w:bCs/>
                <w:i/>
                <w:noProof/>
              </w:rPr>
              <w:t>3</w:t>
            </w:r>
          </w:p>
        </w:tc>
      </w:tr>
      <w:tr w:rsidR="00E62416" w:rsidRPr="00FE7A6F" w14:paraId="148698D5"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7422C3FC" w14:textId="1270CB43" w:rsidR="00E62416" w:rsidRPr="0078468D" w:rsidRDefault="00E62416" w:rsidP="00E62416">
            <w:pPr>
              <w:rPr>
                <w:bCs/>
                <w:i/>
                <w:iCs/>
                <w:noProof/>
                <w:sz w:val="18"/>
                <w:szCs w:val="18"/>
              </w:rPr>
            </w:pPr>
            <w:r w:rsidRPr="0078468D">
              <w:rPr>
                <w:bCs/>
                <w:i/>
                <w:iCs/>
                <w:noProof/>
                <w:sz w:val="18"/>
                <w:szCs w:val="18"/>
              </w:rPr>
              <w:t xml:space="preserve">Available margin under the Own Resources ceiling </w:t>
            </w:r>
          </w:p>
        </w:tc>
        <w:tc>
          <w:tcPr>
            <w:tcW w:w="850" w:type="dxa"/>
            <w:vAlign w:val="center"/>
          </w:tcPr>
          <w:p w14:paraId="74C5913B"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bCs/>
                <w:i/>
                <w:iCs/>
                <w:noProof/>
                <w:sz w:val="18"/>
                <w:szCs w:val="18"/>
              </w:rPr>
            </w:pPr>
            <w:r w:rsidRPr="00FE7A6F">
              <w:rPr>
                <w:bCs/>
                <w:i/>
                <w:iCs/>
                <w:noProof/>
                <w:sz w:val="18"/>
                <w:szCs w:val="18"/>
              </w:rPr>
              <w:t>a-d</w:t>
            </w:r>
          </w:p>
        </w:tc>
        <w:tc>
          <w:tcPr>
            <w:tcW w:w="964" w:type="dxa"/>
            <w:noWrap/>
            <w:vAlign w:val="center"/>
          </w:tcPr>
          <w:p w14:paraId="5A6179D8" w14:textId="602ECF38"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172,</w:t>
            </w:r>
            <w:r>
              <w:rPr>
                <w:rFonts w:eastAsia="Calibri"/>
                <w:bCs/>
                <w:i/>
                <w:noProof/>
              </w:rPr>
              <w:t>7</w:t>
            </w:r>
          </w:p>
        </w:tc>
        <w:tc>
          <w:tcPr>
            <w:tcW w:w="964" w:type="dxa"/>
            <w:noWrap/>
            <w:vAlign w:val="center"/>
          </w:tcPr>
          <w:p w14:paraId="688C4595" w14:textId="215B9E2A"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191,</w:t>
            </w:r>
            <w:r>
              <w:rPr>
                <w:rFonts w:eastAsia="Calibri"/>
                <w:bCs/>
                <w:i/>
                <w:noProof/>
              </w:rPr>
              <w:t>6</w:t>
            </w:r>
          </w:p>
        </w:tc>
        <w:tc>
          <w:tcPr>
            <w:tcW w:w="964" w:type="dxa"/>
            <w:noWrap/>
            <w:vAlign w:val="center"/>
          </w:tcPr>
          <w:p w14:paraId="68565778" w14:textId="7DE19DB8"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185,</w:t>
            </w:r>
            <w:r>
              <w:rPr>
                <w:rFonts w:eastAsia="Calibri"/>
                <w:bCs/>
                <w:i/>
                <w:noProof/>
              </w:rPr>
              <w:t>0</w:t>
            </w:r>
          </w:p>
        </w:tc>
        <w:tc>
          <w:tcPr>
            <w:tcW w:w="964" w:type="dxa"/>
            <w:noWrap/>
            <w:vAlign w:val="center"/>
          </w:tcPr>
          <w:p w14:paraId="5366777A" w14:textId="064FA545"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192,</w:t>
            </w:r>
            <w:r>
              <w:rPr>
                <w:rFonts w:eastAsia="Calibri"/>
                <w:bCs/>
                <w:i/>
                <w:noProof/>
              </w:rPr>
              <w:t>1</w:t>
            </w:r>
          </w:p>
        </w:tc>
        <w:tc>
          <w:tcPr>
            <w:tcW w:w="964" w:type="dxa"/>
            <w:noWrap/>
            <w:vAlign w:val="center"/>
          </w:tcPr>
          <w:p w14:paraId="1D0257D8" w14:textId="38C64725"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78468D">
              <w:rPr>
                <w:rFonts w:eastAsia="Calibri"/>
                <w:bCs/>
                <w:i/>
                <w:noProof/>
              </w:rPr>
              <w:t>195,</w:t>
            </w:r>
            <w:r>
              <w:rPr>
                <w:rFonts w:eastAsia="Calibri"/>
                <w:bCs/>
                <w:i/>
                <w:noProof/>
              </w:rPr>
              <w:t>1</w:t>
            </w:r>
          </w:p>
        </w:tc>
        <w:tc>
          <w:tcPr>
            <w:tcW w:w="964" w:type="dxa"/>
            <w:noWrap/>
            <w:vAlign w:val="center"/>
          </w:tcPr>
          <w:p w14:paraId="7DF0A8BF" w14:textId="1A673122" w:rsidR="00E62416" w:rsidRPr="00C63499"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sidRPr="00010355">
              <w:rPr>
                <w:bCs/>
                <w:i/>
                <w:iCs/>
                <w:noProof/>
                <w:color w:val="000000"/>
              </w:rPr>
              <w:t>n/a</w:t>
            </w:r>
          </w:p>
        </w:tc>
      </w:tr>
      <w:tr w:rsidR="00E62416" w:rsidRPr="00FE7A6F" w14:paraId="12B95DA0"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0AA1D728" w14:textId="6BD0773D" w:rsidR="00E62416" w:rsidRPr="0078468D" w:rsidRDefault="00E62416" w:rsidP="00E62416">
            <w:pPr>
              <w:rPr>
                <w:b w:val="0"/>
                <w:bCs/>
                <w:i/>
                <w:iCs/>
                <w:noProof/>
                <w:sz w:val="18"/>
                <w:szCs w:val="18"/>
              </w:rPr>
            </w:pPr>
            <w:r w:rsidRPr="0078468D">
              <w:rPr>
                <w:b w:val="0"/>
                <w:bCs/>
                <w:i/>
                <w:iCs/>
                <w:noProof/>
                <w:sz w:val="18"/>
                <w:szCs w:val="18"/>
              </w:rPr>
              <w:t xml:space="preserve">     of which margin under the temporary increase for NGEU</w:t>
            </w:r>
          </w:p>
        </w:tc>
        <w:tc>
          <w:tcPr>
            <w:tcW w:w="850" w:type="dxa"/>
            <w:vAlign w:val="center"/>
          </w:tcPr>
          <w:p w14:paraId="7DC7E0B6"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bCs/>
                <w:i/>
                <w:iCs/>
                <w:noProof/>
                <w:sz w:val="18"/>
                <w:szCs w:val="18"/>
              </w:rPr>
            </w:pPr>
            <w:r w:rsidRPr="00FE7A6F">
              <w:rPr>
                <w:bCs/>
                <w:i/>
                <w:iCs/>
                <w:noProof/>
                <w:sz w:val="18"/>
                <w:szCs w:val="18"/>
              </w:rPr>
              <w:t>a’-d’</w:t>
            </w:r>
          </w:p>
        </w:tc>
        <w:tc>
          <w:tcPr>
            <w:tcW w:w="964" w:type="dxa"/>
            <w:noWrap/>
            <w:vAlign w:val="center"/>
          </w:tcPr>
          <w:p w14:paraId="78049562" w14:textId="103994B2"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97,0</w:t>
            </w:r>
          </w:p>
        </w:tc>
        <w:tc>
          <w:tcPr>
            <w:tcW w:w="964" w:type="dxa"/>
            <w:noWrap/>
            <w:vAlign w:val="center"/>
          </w:tcPr>
          <w:p w14:paraId="62E3C6C3" w14:textId="7E60D07E"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100,5</w:t>
            </w:r>
          </w:p>
        </w:tc>
        <w:tc>
          <w:tcPr>
            <w:tcW w:w="964" w:type="dxa"/>
            <w:noWrap/>
            <w:vAlign w:val="center"/>
          </w:tcPr>
          <w:p w14:paraId="574D11E9" w14:textId="15CBA97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104,4</w:t>
            </w:r>
          </w:p>
        </w:tc>
        <w:tc>
          <w:tcPr>
            <w:tcW w:w="964" w:type="dxa"/>
            <w:noWrap/>
            <w:vAlign w:val="center"/>
          </w:tcPr>
          <w:p w14:paraId="42B50723" w14:textId="12D8E85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107,8</w:t>
            </w:r>
          </w:p>
        </w:tc>
        <w:tc>
          <w:tcPr>
            <w:tcW w:w="964" w:type="dxa"/>
            <w:noWrap/>
            <w:vAlign w:val="center"/>
          </w:tcPr>
          <w:p w14:paraId="35DFAE58" w14:textId="535A5FC0"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rFonts w:eastAsia="Calibri"/>
                <w:bCs/>
                <w:i/>
                <w:noProof/>
              </w:rPr>
              <w:t>110,9</w:t>
            </w:r>
          </w:p>
        </w:tc>
        <w:tc>
          <w:tcPr>
            <w:tcW w:w="964" w:type="dxa"/>
            <w:noWrap/>
            <w:vAlign w:val="center"/>
          </w:tcPr>
          <w:p w14:paraId="61303DA2" w14:textId="305E7EC3"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sidRPr="0078468D">
              <w:rPr>
                <w:i/>
                <w:iCs/>
                <w:noProof/>
                <w:color w:val="000000"/>
              </w:rPr>
              <w:t>n/a</w:t>
            </w:r>
          </w:p>
        </w:tc>
      </w:tr>
    </w:tbl>
    <w:p w14:paraId="3E644640" w14:textId="77777777" w:rsidR="005C3B14" w:rsidRPr="005C3B14" w:rsidRDefault="005C3B14" w:rsidP="005C3B14">
      <w:pPr>
        <w:rPr>
          <w:bCs/>
          <w:i/>
          <w:iCs/>
          <w:noProof/>
          <w:sz w:val="18"/>
          <w:szCs w:val="18"/>
        </w:rPr>
      </w:pPr>
      <w:r w:rsidRPr="005C3B14">
        <w:rPr>
          <w:bCs/>
          <w:i/>
          <w:iCs/>
          <w:noProof/>
          <w:sz w:val="18"/>
          <w:szCs w:val="18"/>
        </w:rPr>
        <w:t>* Own Resources ceiling - calculated on the basis of the Spring 2022 economic forecast for the Gross National Income of the EU27 for 2023-2027</w:t>
      </w:r>
    </w:p>
    <w:p w14:paraId="27E7CD1C" w14:textId="77777777" w:rsidR="005C3B14" w:rsidRPr="005C3B14" w:rsidRDefault="005C3B14" w:rsidP="005C3B14">
      <w:pPr>
        <w:rPr>
          <w:bCs/>
          <w:i/>
          <w:iCs/>
          <w:noProof/>
          <w:sz w:val="18"/>
          <w:szCs w:val="18"/>
        </w:rPr>
      </w:pPr>
      <w:r w:rsidRPr="005C3B14">
        <w:rPr>
          <w:bCs/>
          <w:i/>
          <w:iCs/>
          <w:noProof/>
          <w:sz w:val="18"/>
          <w:szCs w:val="18"/>
        </w:rPr>
        <w:t xml:space="preserve">** Traditional own resources are estimated on the basis of 25% retention rate for collection costs. </w:t>
      </w:r>
    </w:p>
    <w:p w14:paraId="6C497A92" w14:textId="02B46612" w:rsidR="00D66606" w:rsidRPr="005C3B14" w:rsidRDefault="005C3B14" w:rsidP="005C3B14">
      <w:pPr>
        <w:rPr>
          <w:bCs/>
          <w:i/>
          <w:iCs/>
          <w:noProof/>
          <w:sz w:val="18"/>
          <w:szCs w:val="18"/>
        </w:rPr>
      </w:pPr>
      <w:r w:rsidRPr="005C3B14">
        <w:rPr>
          <w:bCs/>
          <w:i/>
          <w:iCs/>
          <w:noProof/>
          <w:sz w:val="18"/>
          <w:szCs w:val="18"/>
        </w:rPr>
        <w:t>*** National contributions include the Gross National Income-based own resource, the reformed Value Added Tax-based own resource and the new own resource based on non-recycled plastic packaging waste.</w:t>
      </w:r>
    </w:p>
    <w:p w14:paraId="16426B77" w14:textId="77777777" w:rsidR="00D66606" w:rsidRPr="005C3B14" w:rsidRDefault="00D66606" w:rsidP="00D66606">
      <w:pPr>
        <w:rPr>
          <w:i/>
          <w:noProof/>
        </w:rPr>
        <w:sectPr w:rsidR="00D66606" w:rsidRPr="005C3B14" w:rsidSect="005C3B14">
          <w:headerReference w:type="even" r:id="rId36"/>
          <w:headerReference w:type="default" r:id="rId37"/>
          <w:footerReference w:type="even" r:id="rId38"/>
          <w:footerReference w:type="default" r:id="rId39"/>
          <w:headerReference w:type="first" r:id="rId40"/>
          <w:footerReference w:type="first" r:id="rId41"/>
          <w:pgSz w:w="11906" w:h="16838"/>
          <w:pgMar w:top="1321" w:right="1151" w:bottom="1440" w:left="1151" w:header="720" w:footer="720" w:gutter="0"/>
          <w:cols w:space="720"/>
          <w:docGrid w:linePitch="326"/>
        </w:sectPr>
      </w:pPr>
    </w:p>
    <w:p w14:paraId="481D4782" w14:textId="77777777" w:rsidR="00D66606" w:rsidRPr="00FC02CC" w:rsidRDefault="00D66606" w:rsidP="00FC02CC">
      <w:pPr>
        <w:rPr>
          <w:noProof/>
          <w:lang w:eastAsia="zh-CN"/>
        </w:rPr>
      </w:pPr>
    </w:p>
    <w:sectPr w:rsidR="00D66606" w:rsidRPr="00FC02CC" w:rsidSect="00D66606">
      <w:headerReference w:type="even" r:id="rId42"/>
      <w:headerReference w:type="default" r:id="rId43"/>
      <w:footerReference w:type="even" r:id="rId44"/>
      <w:footerReference w:type="default" r:id="rId45"/>
      <w:headerReference w:type="first" r:id="rId46"/>
      <w:footerReference w:type="first" r:id="rId47"/>
      <w:pgSz w:w="11906" w:h="16838"/>
      <w:pgMar w:top="1321" w:right="1151" w:bottom="1440" w:left="11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14A1" w14:textId="77777777" w:rsidR="00857477" w:rsidRPr="008442F6" w:rsidRDefault="00857477" w:rsidP="00F24D18">
      <w:r w:rsidRPr="008442F6">
        <w:separator/>
      </w:r>
    </w:p>
    <w:p w14:paraId="2C5640BA" w14:textId="77777777" w:rsidR="00857477" w:rsidRPr="008442F6" w:rsidRDefault="00857477"/>
    <w:p w14:paraId="03FDEA0E" w14:textId="77777777" w:rsidR="00857477" w:rsidRDefault="00857477"/>
  </w:endnote>
  <w:endnote w:type="continuationSeparator" w:id="0">
    <w:p w14:paraId="4D5419BB" w14:textId="77777777" w:rsidR="00857477" w:rsidRPr="008442F6" w:rsidRDefault="00857477" w:rsidP="00F24D18">
      <w:r w:rsidRPr="008442F6">
        <w:continuationSeparator/>
      </w:r>
    </w:p>
    <w:p w14:paraId="2E6BE916" w14:textId="77777777" w:rsidR="00857477" w:rsidRPr="008442F6" w:rsidRDefault="00857477"/>
    <w:p w14:paraId="7CD9B5C6" w14:textId="77777777" w:rsidR="00857477" w:rsidRDefault="00857477"/>
  </w:endnote>
  <w:endnote w:type="continuationNotice" w:id="1">
    <w:p w14:paraId="1A34D3EA" w14:textId="77777777" w:rsidR="00857477" w:rsidRPr="008442F6" w:rsidRDefault="00857477"/>
    <w:p w14:paraId="77B270A7" w14:textId="77777777" w:rsidR="00857477" w:rsidRPr="008442F6" w:rsidRDefault="00857477"/>
    <w:p w14:paraId="13989CCC" w14:textId="77777777" w:rsidR="00857477" w:rsidRDefault="00857477"/>
  </w:endnote>
  <w:endnote w:id="2">
    <w:p w14:paraId="58145D8F" w14:textId="77777777" w:rsidR="00857477" w:rsidRDefault="00857477" w:rsidP="006D0A86">
      <w:pPr>
        <w:pStyle w:val="EndnoteText"/>
        <w:spacing w:line="276" w:lineRule="auto"/>
        <w:jc w:val="both"/>
      </w:pPr>
      <w:r>
        <w:rPr>
          <w:rStyle w:val="EndnoteReference"/>
        </w:rPr>
        <w:endnoteRef/>
      </w:r>
      <w:r>
        <w:t xml:space="preserve"> Unless otherwise specified, all amounts in the report are expressed in current prices.</w:t>
      </w:r>
    </w:p>
  </w:endnote>
  <w:endnote w:id="3">
    <w:p w14:paraId="205610CA" w14:textId="77777777" w:rsidR="00857477" w:rsidRPr="0019731F" w:rsidRDefault="00857477" w:rsidP="006D0A86">
      <w:pPr>
        <w:pStyle w:val="EndnoteText"/>
        <w:spacing w:line="276" w:lineRule="auto"/>
        <w:jc w:val="both"/>
        <w:rPr>
          <w:highlight w:val="yellow"/>
        </w:rPr>
      </w:pPr>
      <w:r w:rsidRPr="006E3283">
        <w:rPr>
          <w:rStyle w:val="EndnoteReference"/>
        </w:rPr>
        <w:endnoteRef/>
      </w:r>
      <w:r w:rsidRPr="006E3283">
        <w:t xml:space="preserve"> Council Regulation (EU, Euratom) 2020/2093 laying down the multiannual financial framework for the years 2021 to 2027</w:t>
      </w:r>
      <w:r>
        <w:t>, OJ L 433I</w:t>
      </w:r>
      <w:r w:rsidRPr="006E3283">
        <w:t>, 22.12.2020, p. 11</w:t>
      </w:r>
      <w:r>
        <w:t>.</w:t>
      </w:r>
    </w:p>
  </w:endnote>
  <w:endnote w:id="4">
    <w:p w14:paraId="20CEE70F" w14:textId="77777777" w:rsidR="00857477" w:rsidRPr="0019731F" w:rsidRDefault="00857477" w:rsidP="006D0A86">
      <w:pPr>
        <w:pStyle w:val="EndnoteText"/>
        <w:spacing w:line="276" w:lineRule="auto"/>
        <w:jc w:val="both"/>
        <w:rPr>
          <w:highlight w:val="yellow"/>
        </w:rPr>
      </w:pPr>
      <w:r w:rsidRPr="00966E34">
        <w:rPr>
          <w:rStyle w:val="EndnoteReference"/>
        </w:rPr>
        <w:endnoteRef/>
      </w:r>
      <w:r w:rsidRPr="00966E34">
        <w:t xml:space="preserve"> Council</w:t>
      </w:r>
      <w:r>
        <w:t xml:space="preserve"> Regulation (EU) 2020/2094 establishing a European Union Recovery Instrument </w:t>
      </w:r>
      <w:r w:rsidRPr="00027616">
        <w:rPr>
          <w:lang w:val="en-US"/>
        </w:rPr>
        <w:t xml:space="preserve">to support the recovery in the aftermath of the COVID-19 crisis, </w:t>
      </w:r>
      <w:r w:rsidRPr="00EA5915">
        <w:rPr>
          <w:iCs/>
          <w:lang w:val="en-US"/>
        </w:rPr>
        <w:t>OJ L 433I , 22.12.2020, p. 23</w:t>
      </w:r>
      <w:r w:rsidRPr="00027616">
        <w:rPr>
          <w:iCs/>
          <w:lang w:val="en-US"/>
        </w:rPr>
        <w:t xml:space="preserve"> </w:t>
      </w:r>
      <w:r>
        <w:t>(‘NextGenerationEU’).</w:t>
      </w:r>
    </w:p>
  </w:endnote>
  <w:endnote w:id="5">
    <w:p w14:paraId="3C82DD7A" w14:textId="72C4DC56" w:rsidR="00857477" w:rsidRDefault="00857477" w:rsidP="006D0A86">
      <w:pPr>
        <w:pStyle w:val="EndnoteText"/>
        <w:spacing w:line="276" w:lineRule="auto"/>
        <w:jc w:val="both"/>
      </w:pPr>
      <w:r>
        <w:rPr>
          <w:rStyle w:val="EndnoteReference"/>
        </w:rPr>
        <w:endnoteRef/>
      </w:r>
      <w:r>
        <w:t xml:space="preserve"> COM(2021)343, 30.6.2021.</w:t>
      </w:r>
    </w:p>
  </w:endnote>
  <w:endnote w:id="6">
    <w:p w14:paraId="03775F8D" w14:textId="77777777" w:rsidR="00857477" w:rsidRDefault="00857477" w:rsidP="006D0A86">
      <w:pPr>
        <w:pStyle w:val="EndnoteText"/>
        <w:spacing w:line="276" w:lineRule="auto"/>
        <w:jc w:val="both"/>
      </w:pPr>
      <w:r>
        <w:rPr>
          <w:rStyle w:val="EndnoteReference"/>
        </w:rPr>
        <w:endnoteRef/>
      </w:r>
      <w:r>
        <w:t xml:space="preserve"> Regulation (EU, Euratom) 2018/1046 </w:t>
      </w:r>
      <w:r w:rsidRPr="00027616">
        <w:rPr>
          <w:lang w:val="en-US"/>
        </w:rPr>
        <w:t>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Pr>
          <w:lang w:val="en-US"/>
        </w:rPr>
        <w:t xml:space="preserve">, </w:t>
      </w:r>
      <w:r w:rsidRPr="00EA5915">
        <w:rPr>
          <w:iCs/>
          <w:lang w:val="en-US"/>
        </w:rPr>
        <w:t>OJ L 193, 30.7.2018, p. 1</w:t>
      </w:r>
      <w:r>
        <w:rPr>
          <w:iCs/>
          <w:lang w:val="en-US"/>
        </w:rPr>
        <w:t>.</w:t>
      </w:r>
    </w:p>
  </w:endnote>
  <w:endnote w:id="7">
    <w:p w14:paraId="1599499D" w14:textId="1797E366"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w:t>
      </w:r>
      <w:r w:rsidR="007907A2">
        <w:t>COM(2022) 400 - June 2022.</w:t>
      </w:r>
    </w:p>
  </w:endnote>
  <w:endnote w:id="8">
    <w:p w14:paraId="34A9D803" w14:textId="22434747"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COM(2022) 80 final, 28.1.2022.</w:t>
      </w:r>
    </w:p>
  </w:endnote>
  <w:endnote w:id="9">
    <w:p w14:paraId="72D0CBF8" w14:textId="38FB7807" w:rsidR="00857477" w:rsidRDefault="00857477" w:rsidP="006D0A86">
      <w:pPr>
        <w:pStyle w:val="EndnoteText"/>
        <w:spacing w:line="276" w:lineRule="auto"/>
        <w:jc w:val="both"/>
      </w:pPr>
      <w:r>
        <w:rPr>
          <w:rStyle w:val="EndnoteReference"/>
        </w:rPr>
        <w:endnoteRef/>
      </w:r>
      <w:r>
        <w:t xml:space="preserve"> Article 5 of the MFF Regulation provides for the additional allocation in commitment and payment appropriations for a pre-defined list of programmes, for an amount equivalent to the revenue from competition fines, as entered in the budget of the year n-1 in accordance with Article 107 of the Financial Regulation.</w:t>
      </w:r>
    </w:p>
  </w:endnote>
  <w:endnote w:id="10">
    <w:p w14:paraId="4F2DE3FA" w14:textId="77777777" w:rsidR="00857477" w:rsidRDefault="00857477" w:rsidP="006D0A86">
      <w:pPr>
        <w:pStyle w:val="EndnoteText"/>
        <w:spacing w:line="276" w:lineRule="auto"/>
        <w:jc w:val="both"/>
      </w:pPr>
      <w:r>
        <w:rPr>
          <w:vertAlign w:val="superscript"/>
        </w:rPr>
        <w:endnoteRef/>
      </w:r>
      <w:r>
        <w:t xml:space="preserve"> Article 15(3) of the Financial Regulation provides that commitment appropriations corresponding to the amount of de-commitments made in relation to research projects may be made available again to the benefit of the research programme the projects belong to or its successor in the context of the budgetary procedure.</w:t>
      </w:r>
    </w:p>
  </w:endnote>
  <w:endnote w:id="11">
    <w:p w14:paraId="2E8FC377" w14:textId="77777777" w:rsidR="00857477" w:rsidRDefault="00857477" w:rsidP="006D0A86">
      <w:pPr>
        <w:pStyle w:val="NormalWeb"/>
        <w:spacing w:before="0" w:beforeAutospacing="0" w:after="0" w:afterAutospacing="0" w:line="276" w:lineRule="auto"/>
        <w:jc w:val="both"/>
      </w:pPr>
      <w:r>
        <w:rPr>
          <w:rStyle w:val="EndnoteReference"/>
        </w:rPr>
        <w:endnoteRef/>
      </w:r>
      <w:r>
        <w:t xml:space="preserve"> </w:t>
      </w:r>
      <w:r w:rsidRPr="00FD60C3">
        <w:rPr>
          <w:rFonts w:ascii="EC Square Sans Pro" w:eastAsia="Calibri" w:hAnsi="EC Square Sans Pro"/>
          <w:sz w:val="20"/>
          <w:szCs w:val="20"/>
          <w:lang w:eastAsia="en-US"/>
        </w:rPr>
        <w:t>Council Decision (EU, Euratom) 2020/2053 of 14 December 2020 on the system of own resources of the European Union and repealing Decision 2014/335/EU, Euratom, OJ L 424, 15.12.2020, p. 1.</w:t>
      </w:r>
    </w:p>
  </w:endnote>
  <w:endnote w:id="12">
    <w:p w14:paraId="5C4A774F" w14:textId="77777777" w:rsidR="00857477" w:rsidRPr="0078468D" w:rsidRDefault="00857477" w:rsidP="006D0A86">
      <w:pPr>
        <w:pStyle w:val="EndnoteText"/>
        <w:tabs>
          <w:tab w:val="left" w:pos="8134"/>
        </w:tabs>
        <w:spacing w:line="276" w:lineRule="auto"/>
        <w:jc w:val="both"/>
        <w:rPr>
          <w:lang w:val="pt-BR"/>
        </w:rPr>
      </w:pPr>
      <w:r>
        <w:rPr>
          <w:rStyle w:val="EndnoteReference"/>
        </w:rPr>
        <w:endnoteRef/>
      </w:r>
      <w:r w:rsidRPr="0078468D">
        <w:rPr>
          <w:lang w:val="pt-BR"/>
        </w:rPr>
        <w:t xml:space="preserve"> OJ C66 I, 19.2.2019, p.1.</w:t>
      </w:r>
      <w:r w:rsidRPr="0078468D">
        <w:rPr>
          <w:lang w:val="pt-BR"/>
        </w:rPr>
        <w:tab/>
      </w:r>
    </w:p>
  </w:endnote>
  <w:endnote w:id="13">
    <w:p w14:paraId="2FCFEBB0" w14:textId="4453896C"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COM(2021)365, 7.6.2021 and </w:t>
      </w:r>
      <w:r w:rsidRPr="0004060C">
        <w:rPr>
          <w:lang w:val="pt-BR"/>
        </w:rPr>
        <w:t>COM(2022)</w:t>
      </w:r>
      <w:r w:rsidR="007907A2" w:rsidRPr="0004060C">
        <w:rPr>
          <w:lang w:val="pt-BR"/>
        </w:rPr>
        <w:t>266</w:t>
      </w:r>
      <w:r w:rsidRPr="0004060C">
        <w:rPr>
          <w:lang w:val="pt-BR"/>
        </w:rPr>
        <w:t xml:space="preserve">, </w:t>
      </w:r>
      <w:r w:rsidR="007907A2" w:rsidRPr="0004060C">
        <w:rPr>
          <w:lang w:val="pt-BR"/>
        </w:rPr>
        <w:t>7</w:t>
      </w:r>
      <w:r w:rsidRPr="0004060C">
        <w:rPr>
          <w:lang w:val="pt-BR"/>
        </w:rPr>
        <w:t>.6.2022</w:t>
      </w:r>
      <w:r w:rsidRPr="0078468D">
        <w:rPr>
          <w:lang w:val="pt-BR"/>
        </w:rPr>
        <w:t>.</w:t>
      </w:r>
    </w:p>
  </w:endnote>
  <w:endnote w:id="14">
    <w:p w14:paraId="56919E8C" w14:textId="7C19B4A7" w:rsidR="00857477" w:rsidRDefault="00857477" w:rsidP="006D0A86">
      <w:pPr>
        <w:pStyle w:val="CommentText"/>
        <w:jc w:val="both"/>
      </w:pPr>
      <w:r>
        <w:rPr>
          <w:rStyle w:val="EndnoteReference"/>
        </w:rPr>
        <w:endnoteRef/>
      </w:r>
      <w:r>
        <w:t xml:space="preserve"> For reference, the 2021 long-term forecast expected a delay comparable to the 2014-2020 period when around half of the amounts due in the first year of implementation had to be postponed.</w:t>
      </w:r>
    </w:p>
  </w:endnote>
  <w:endnote w:id="15">
    <w:p w14:paraId="598B6170" w14:textId="26FF9C55" w:rsidR="00857477" w:rsidRPr="009E3DD5" w:rsidRDefault="00857477" w:rsidP="006D0A86">
      <w:pPr>
        <w:pStyle w:val="EndnoteText"/>
        <w:jc w:val="both"/>
      </w:pPr>
      <w:r>
        <w:rPr>
          <w:rStyle w:val="EndnoteReference"/>
        </w:rPr>
        <w:endnoteRef/>
      </w:r>
      <w:r>
        <w:t xml:space="preserve"> COM(2022) 231 final, 18.5.2022</w:t>
      </w:r>
    </w:p>
  </w:endnote>
  <w:endnote w:id="16">
    <w:p w14:paraId="569745B3" w14:textId="25E85EF9" w:rsidR="00857477" w:rsidRPr="006E68CD" w:rsidRDefault="00857477" w:rsidP="006D0A86">
      <w:pPr>
        <w:pStyle w:val="EndnoteText"/>
        <w:jc w:val="both"/>
        <w:rPr>
          <w:lang w:val="pt-BR"/>
        </w:rPr>
      </w:pPr>
      <w:r w:rsidRPr="57F8CA25">
        <w:rPr>
          <w:rStyle w:val="EndnoteReference"/>
        </w:rPr>
        <w:endnoteRef/>
      </w:r>
      <w:r w:rsidRPr="006E68CD">
        <w:rPr>
          <w:lang w:val="pt-BR"/>
        </w:rPr>
        <w:t xml:space="preserve"> COM(2022) 57</w:t>
      </w:r>
      <w:r>
        <w:rPr>
          <w:lang w:val="pt-BR"/>
        </w:rPr>
        <w:t xml:space="preserve"> final</w:t>
      </w:r>
      <w:r w:rsidRPr="006E68CD">
        <w:rPr>
          <w:lang w:val="pt-BR"/>
        </w:rPr>
        <w:t>, 15.2.2022.</w:t>
      </w:r>
    </w:p>
  </w:endnote>
  <w:endnote w:id="17">
    <w:p w14:paraId="0459CF1B" w14:textId="77777777" w:rsidR="00857477" w:rsidRPr="006E68CD" w:rsidRDefault="00857477" w:rsidP="006D0A86">
      <w:pPr>
        <w:pStyle w:val="EndnoteText"/>
        <w:jc w:val="both"/>
        <w:rPr>
          <w:lang w:val="pt-BR"/>
        </w:rPr>
      </w:pPr>
      <w:r w:rsidRPr="57F8CA25">
        <w:rPr>
          <w:rStyle w:val="EndnoteReference"/>
        </w:rPr>
        <w:endnoteRef/>
      </w:r>
      <w:r w:rsidRPr="006E68CD">
        <w:rPr>
          <w:lang w:val="pt-BR"/>
        </w:rPr>
        <w:t xml:space="preserve"> COM(2022) 46, 8.2.2022.</w:t>
      </w:r>
    </w:p>
  </w:endnote>
  <w:endnote w:id="18">
    <w:p w14:paraId="6A56E86E" w14:textId="4C16C3B5" w:rsidR="00857477" w:rsidRPr="00E11450" w:rsidRDefault="00857477" w:rsidP="0004060C">
      <w:pPr>
        <w:pStyle w:val="title-bold"/>
      </w:pPr>
      <w:r>
        <w:rPr>
          <w:rStyle w:val="EndnoteReference"/>
        </w:rPr>
        <w:endnoteRef/>
      </w:r>
      <w:r>
        <w:t xml:space="preserve"> </w:t>
      </w:r>
      <w:r w:rsidRPr="00E11450">
        <w:rPr>
          <w:rFonts w:ascii="EC Square Sans Pro" w:eastAsia="Calibri" w:hAnsi="EC Square Sans Pro" w:cstheme="minorBidi"/>
          <w:sz w:val="20"/>
          <w:szCs w:val="20"/>
          <w:lang w:val="en-GB" w:eastAsia="en-US"/>
        </w:rPr>
        <w:t>Regulation (EU) 2021/1755 of the European Parliament and of the Council of 6</w:t>
      </w:r>
      <w:r w:rsidRPr="0004060C">
        <w:rPr>
          <w:rFonts w:ascii="Calibri" w:eastAsia="Calibri" w:hAnsi="Calibri" w:cs="Calibri"/>
          <w:sz w:val="20"/>
          <w:szCs w:val="20"/>
          <w:lang w:val="en-GB" w:eastAsia="en-US"/>
        </w:rPr>
        <w:t> </w:t>
      </w:r>
      <w:r w:rsidRPr="00E11450">
        <w:rPr>
          <w:rFonts w:ascii="EC Square Sans Pro" w:eastAsia="Calibri" w:hAnsi="EC Square Sans Pro" w:cstheme="minorBidi"/>
          <w:sz w:val="20"/>
          <w:szCs w:val="20"/>
          <w:lang w:val="en-GB" w:eastAsia="en-US"/>
        </w:rPr>
        <w:t>October 2021 establishing the Brexit Adjustment Reserve</w:t>
      </w:r>
      <w:r>
        <w:rPr>
          <w:rFonts w:ascii="EC Square Sans Pro" w:eastAsia="Calibri" w:hAnsi="EC Square Sans Pro" w:cstheme="minorBidi"/>
          <w:sz w:val="20"/>
          <w:szCs w:val="20"/>
          <w:lang w:val="en-GB" w:eastAsia="en-US"/>
        </w:rPr>
        <w:t xml:space="preserve">, </w:t>
      </w:r>
      <w:r w:rsidRPr="0004060C">
        <w:rPr>
          <w:rFonts w:ascii="EC Square Sans Pro" w:eastAsia="Calibri" w:hAnsi="EC Square Sans Pro" w:cstheme="minorBidi"/>
          <w:sz w:val="20"/>
          <w:szCs w:val="20"/>
          <w:lang w:val="en-GB" w:eastAsia="en-US"/>
        </w:rPr>
        <w:t>OJ L 357, 8.10.2021, p. 1–26</w:t>
      </w:r>
    </w:p>
  </w:endnote>
  <w:endnote w:id="19">
    <w:p w14:paraId="046AE194" w14:textId="5D58C4F2"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COM(2022) 109 final, 8.3.2022.</w:t>
      </w:r>
    </w:p>
  </w:endnote>
  <w:endnote w:id="20">
    <w:p w14:paraId="135CA909" w14:textId="48C4D9CB" w:rsidR="00857477" w:rsidRPr="00F81180" w:rsidRDefault="00857477" w:rsidP="006D0A86">
      <w:pPr>
        <w:pStyle w:val="EndnoteText"/>
        <w:spacing w:line="276" w:lineRule="auto"/>
        <w:jc w:val="both"/>
      </w:pPr>
      <w:r>
        <w:rPr>
          <w:rStyle w:val="EndnoteReference"/>
        </w:rPr>
        <w:endnoteRef/>
      </w:r>
      <w:r w:rsidR="007907A2" w:rsidRPr="007907A2">
        <w:t xml:space="preserve"> </w:t>
      </w:r>
      <w:r w:rsidR="007907A2">
        <w:t>COM(2022) 242 final, 20.5.2022</w:t>
      </w:r>
      <w:r>
        <w:t>.</w:t>
      </w:r>
    </w:p>
  </w:endnote>
  <w:endnote w:id="21">
    <w:p w14:paraId="64CD6F92" w14:textId="790B08B2" w:rsidR="00857477" w:rsidRPr="001C521D" w:rsidRDefault="00857477" w:rsidP="006D0A86">
      <w:pPr>
        <w:pStyle w:val="EndnoteText"/>
        <w:spacing w:line="276" w:lineRule="auto"/>
        <w:jc w:val="both"/>
      </w:pPr>
      <w:r>
        <w:rPr>
          <w:rStyle w:val="EndnoteReference"/>
        </w:rPr>
        <w:endnoteRef/>
      </w:r>
      <w:r>
        <w:t xml:space="preserve"> Given its demand-driven delivery mechanism, no forecast is available for the loan component of the Recovery and Resilience Facility (similarly to other loan-based instruments implemented outside the budget).</w:t>
      </w:r>
    </w:p>
  </w:endnote>
  <w:endnote w:id="22">
    <w:p w14:paraId="362A277F" w14:textId="77777777" w:rsidR="00857477" w:rsidRPr="00752A58" w:rsidRDefault="00857477" w:rsidP="006D0A86">
      <w:pPr>
        <w:pStyle w:val="EndnoteText"/>
        <w:jc w:val="both"/>
        <w:rPr>
          <w:lang w:val="en-US"/>
        </w:rPr>
      </w:pPr>
      <w:r>
        <w:rPr>
          <w:rStyle w:val="EndnoteReference"/>
        </w:rPr>
        <w:endnoteRef/>
      </w:r>
      <w:r>
        <w:t xml:space="preserve"> </w:t>
      </w:r>
      <w:r>
        <w:rPr>
          <w:lang w:val="en-US"/>
        </w:rPr>
        <w:t>With one Member State discussions take place on the basis of a draft plan.</w:t>
      </w:r>
    </w:p>
  </w:endnote>
  <w:endnote w:id="23">
    <w:p w14:paraId="383E21CF" w14:textId="45B708D3"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w:t>
      </w:r>
      <w:r>
        <w:t>Regulation (EU)</w:t>
      </w:r>
      <w:r>
        <w:rPr>
          <w:rFonts w:ascii="Calibri" w:hAnsi="Calibri" w:cs="Calibri"/>
        </w:rPr>
        <w:t> </w:t>
      </w:r>
      <w:r>
        <w:t>2022/613 of the European Parliament and of the Council of 12</w:t>
      </w:r>
      <w:r>
        <w:rPr>
          <w:rFonts w:ascii="Calibri" w:hAnsi="Calibri" w:cs="Calibri"/>
        </w:rPr>
        <w:t> </w:t>
      </w:r>
      <w:r>
        <w:t>April 2022 amending Regulations (EU) No</w:t>
      </w:r>
      <w:r>
        <w:rPr>
          <w:rFonts w:ascii="Calibri" w:hAnsi="Calibri" w:cs="Calibri"/>
        </w:rPr>
        <w:t> </w:t>
      </w:r>
      <w:r>
        <w:t xml:space="preserve">1303/2013 and (EU) </w:t>
      </w:r>
      <w:r w:rsidRPr="00F84510">
        <w:t>No</w:t>
      </w:r>
      <w:r w:rsidRPr="00F84510">
        <w:rPr>
          <w:rFonts w:ascii="Calibri" w:hAnsi="Calibri" w:cs="Calibri"/>
        </w:rPr>
        <w:t> </w:t>
      </w:r>
      <w:r w:rsidRPr="00F61890">
        <w:t xml:space="preserve">223/2014 as regards increased pre-financing from REACT-EU resources and the establishment of a unit cost, </w:t>
      </w:r>
      <w:r w:rsidRPr="00F61890">
        <w:rPr>
          <w:rFonts w:eastAsiaTheme="minorHAnsi"/>
          <w:iCs/>
        </w:rPr>
        <w:t>OJ L 115, 13.4.2022, p. 38–41.</w:t>
      </w:r>
    </w:p>
  </w:endnote>
  <w:endnote w:id="24">
    <w:p w14:paraId="2A2A8C4B" w14:textId="1E1B42DA" w:rsidR="00857477" w:rsidRPr="0004060C" w:rsidRDefault="00857477">
      <w:pPr>
        <w:pStyle w:val="EndnoteText"/>
        <w:rPr>
          <w:lang w:val="en-IE"/>
        </w:rPr>
      </w:pPr>
      <w:r>
        <w:rPr>
          <w:rStyle w:val="EndnoteReference"/>
        </w:rPr>
        <w:endnoteRef/>
      </w:r>
      <w:r>
        <w:t xml:space="preserve"> Just Transition Fund, European Agricultural Fund for Rural Development, </w:t>
      </w:r>
      <w:r>
        <w:rPr>
          <w:lang w:val="en-IE"/>
        </w:rPr>
        <w:t>Horizon Europe, InvestEU fund and the Union Civil Protection Mechanism (RescEU)</w:t>
      </w:r>
    </w:p>
  </w:endnote>
  <w:endnote w:id="25">
    <w:p w14:paraId="42A3E002" w14:textId="795B27A0"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COM(2021) 250 final, 14.4.2021.</w:t>
      </w:r>
    </w:p>
  </w:endnote>
  <w:endnote w:id="26">
    <w:p w14:paraId="23D59674" w14:textId="6B0B4ED7" w:rsidR="00857477" w:rsidRPr="0078468D" w:rsidRDefault="00857477" w:rsidP="006D0A86">
      <w:pPr>
        <w:pStyle w:val="EndnoteText"/>
        <w:spacing w:line="276" w:lineRule="auto"/>
        <w:jc w:val="both"/>
        <w:rPr>
          <w:lang w:val="pt-BR"/>
        </w:rPr>
      </w:pPr>
      <w:r>
        <w:rPr>
          <w:rStyle w:val="EndnoteReference"/>
        </w:rPr>
        <w:endnoteRef/>
      </w:r>
      <w:r w:rsidRPr="0078468D">
        <w:rPr>
          <w:lang w:val="pt-BR"/>
        </w:rPr>
        <w:t xml:space="preserve"> </w:t>
      </w:r>
      <w:r w:rsidRPr="00D77C66">
        <w:rPr>
          <w:lang w:val="pt-BR"/>
        </w:rPr>
        <w:t>COM(2021) 570 final, 22.12.2021</w:t>
      </w:r>
      <w:r w:rsidRPr="0078468D">
        <w:rPr>
          <w:lang w:val="pt-BR"/>
        </w:rPr>
        <w:t>.</w:t>
      </w:r>
    </w:p>
  </w:endnote>
  <w:endnote w:id="27">
    <w:p w14:paraId="39C4DF55" w14:textId="0B77B17A" w:rsidR="00857477" w:rsidRPr="007D4DE1" w:rsidRDefault="00857477" w:rsidP="006D0A86">
      <w:pPr>
        <w:pStyle w:val="title-bold"/>
        <w:jc w:val="both"/>
        <w:rPr>
          <w:lang w:val="en-GB"/>
        </w:rPr>
      </w:pPr>
      <w:r>
        <w:rPr>
          <w:rStyle w:val="EndnoteReference"/>
        </w:rPr>
        <w:endnoteRef/>
      </w:r>
      <w:r>
        <w:t xml:space="preserve"> </w:t>
      </w:r>
      <w:r w:rsidRPr="006D0A86">
        <w:rPr>
          <w:rFonts w:ascii="EC Square Sans Pro" w:eastAsia="Calibri" w:hAnsi="EC Square Sans Pro" w:cstheme="minorBidi"/>
          <w:sz w:val="20"/>
          <w:szCs w:val="20"/>
          <w:lang w:val="en-GB" w:eastAsia="en-US"/>
        </w:rPr>
        <w:t xml:space="preserve">Annex II, part B of </w:t>
      </w:r>
      <w:r>
        <w:rPr>
          <w:rFonts w:ascii="EC Square Sans Pro" w:eastAsia="Calibri" w:hAnsi="EC Square Sans Pro" w:cstheme="minorBidi"/>
          <w:sz w:val="20"/>
          <w:szCs w:val="20"/>
          <w:lang w:val="en-GB" w:eastAsia="en-US"/>
        </w:rPr>
        <w:t xml:space="preserve">the </w:t>
      </w:r>
      <w:r w:rsidRPr="006D0A86">
        <w:rPr>
          <w:rFonts w:ascii="EC Square Sans Pro" w:eastAsia="Calibri" w:hAnsi="EC Square Sans Pro" w:cstheme="minorBidi"/>
          <w:sz w:val="20"/>
          <w:szCs w:val="20"/>
          <w:lang w:val="en-GB" w:eastAsia="en-US"/>
        </w:rPr>
        <w:t>Interinstitutional Agreement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 Interinstitutional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Pr>
          <w:rFonts w:ascii="EC Square Sans Pro" w:eastAsia="Calibri" w:hAnsi="EC Square Sans Pro" w:cstheme="minorBidi"/>
          <w:sz w:val="20"/>
          <w:szCs w:val="20"/>
          <w:lang w:val="en-GB" w:eastAsia="en-US"/>
        </w:rPr>
        <w:t xml:space="preserve">, </w:t>
      </w:r>
      <w:r w:rsidRPr="006D0A86">
        <w:rPr>
          <w:rFonts w:ascii="EC Square Sans Pro" w:eastAsia="Calibri" w:hAnsi="EC Square Sans Pro" w:cstheme="minorBidi"/>
          <w:sz w:val="20"/>
          <w:szCs w:val="20"/>
          <w:lang w:val="en-GB" w:eastAsia="en-US"/>
        </w:rPr>
        <w:t>OJ L 433I , 22.12.2020, p. 28–46</w:t>
      </w:r>
      <w:r>
        <w:rPr>
          <w:rFonts w:ascii="EC Square Sans Pro" w:eastAsia="Calibri" w:hAnsi="EC Square Sans Pro" w:cstheme="minorBidi"/>
          <w:sz w:val="20"/>
          <w:szCs w:val="20"/>
          <w:lang w:val="en-GB" w:eastAsia="en-US"/>
        </w:rPr>
        <w:t>.</w:t>
      </w:r>
    </w:p>
  </w:endnote>
  <w:endnote w:id="28">
    <w:p w14:paraId="53F99EEE" w14:textId="77777777" w:rsidR="00857477" w:rsidRDefault="00857477" w:rsidP="006D0A86">
      <w:pPr>
        <w:pStyle w:val="EndnoteText"/>
        <w:jc w:val="both"/>
      </w:pPr>
      <w:r w:rsidRPr="57F8CA25">
        <w:rPr>
          <w:rStyle w:val="EndnoteReference"/>
        </w:rPr>
        <w:endnoteRef/>
      </w:r>
      <w:r>
        <w:t xml:space="preserve"> Council Decision (EU, Euratom) 2020/2053 of 14 December 2020, OJ L 424/1, 15.12.2020</w:t>
      </w:r>
    </w:p>
  </w:endnote>
  <w:endnote w:id="29">
    <w:p w14:paraId="5CD78F31" w14:textId="05CD22AC" w:rsidR="00857477" w:rsidRPr="00F56049" w:rsidRDefault="00857477" w:rsidP="006D0A86">
      <w:pPr>
        <w:pStyle w:val="EndnoteText"/>
        <w:jc w:val="both"/>
      </w:pPr>
      <w:r>
        <w:rPr>
          <w:rStyle w:val="EndnoteReference"/>
        </w:rPr>
        <w:endnoteRef/>
      </w:r>
      <w:r>
        <w:t xml:space="preserve"> European Commission, European Economic </w:t>
      </w:r>
      <w:r w:rsidRPr="004B4075">
        <w:t xml:space="preserve">Forecast </w:t>
      </w:r>
      <w:r w:rsidRPr="006D42F3">
        <w:t>Spring 2022</w:t>
      </w:r>
      <w:r w:rsidRPr="004B4075">
        <w:t xml:space="preserve">: </w:t>
      </w:r>
      <w:hyperlink r:id="rId1" w:history="1">
        <w:r w:rsidRPr="002D45B6">
          <w:rPr>
            <w:rStyle w:val="Hyperlink"/>
          </w:rPr>
          <w:t>European Economic Forecast. Spring 2022 | European Commission (europa.eu)</w:t>
        </w:r>
      </w:hyperlink>
      <w:r>
        <w:t>, (</w:t>
      </w:r>
      <w:hyperlink r:id="rId2" w:history="1">
        <w:r w:rsidRPr="00BC00DF">
          <w:rPr>
            <w:rStyle w:val="Hyperlink"/>
          </w:rPr>
          <w:t>https://ec.europa.eu/info/publications/european-economic-forecast-spring-2022_en</w:t>
        </w:r>
      </w:hyperlink>
      <w:r>
        <w:t xml:space="preserve">) </w:t>
      </w:r>
    </w:p>
  </w:endnote>
  <w:endnote w:id="30">
    <w:p w14:paraId="2A52F28B" w14:textId="77777777" w:rsidR="00857477" w:rsidRDefault="00857477" w:rsidP="006D0A86">
      <w:pPr>
        <w:spacing w:line="276" w:lineRule="auto"/>
        <w:jc w:val="both"/>
      </w:pPr>
      <w:r>
        <w:rPr>
          <w:rStyle w:val="EndnoteReference"/>
        </w:rPr>
        <w:endnoteRef/>
      </w:r>
      <w:r>
        <w:t xml:space="preserve"> </w:t>
      </w:r>
      <w:r w:rsidRPr="002432FA">
        <w:t xml:space="preserve">Without prejudice to introducing new own resources with a view to covering </w:t>
      </w:r>
      <w:r>
        <w:t xml:space="preserve">NextGenerationEU </w:t>
      </w:r>
      <w:r w:rsidRPr="002432FA">
        <w:t>repayment and interest costs.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Bahnschrift Light"/>
    <w:charset w:val="00"/>
    <w:family w:val="swiss"/>
    <w:pitch w:val="variable"/>
    <w:sig w:usb0="00000001" w:usb1="5000E0FB" w:usb2="00000000" w:usb3="00000000" w:csb0="0000019F" w:csb1="00000000"/>
  </w:font>
  <w:font w:name="Proxima Nova">
    <w:altName w:val="EC Square Sans Pro Medium"/>
    <w:panose1 w:val="00000000000000000000"/>
    <w:charset w:val="00"/>
    <w:family w:val="modern"/>
    <w:notTrueType/>
    <w:pitch w:val="variable"/>
    <w:sig w:usb0="00000001" w:usb1="5000E0FB" w:usb2="00000000" w:usb3="00000000" w:csb0="0000019F" w:csb1="00000000"/>
  </w:font>
  <w:font w:name="Nirmala UI">
    <w:panose1 w:val="020B0502040204020203"/>
    <w:charset w:val="00"/>
    <w:family w:val="swiss"/>
    <w:pitch w:val="variable"/>
    <w:sig w:usb0="80FF8023" w:usb1="00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EC Square Sans Cond Pro Medium">
    <w:charset w:val="00"/>
    <w:family w:val="swiss"/>
    <w:pitch w:val="variable"/>
    <w:sig w:usb0="A00002BF" w:usb1="500000DB" w:usb2="00000000" w:usb3="00000000" w:csb0="0000019F" w:csb1="00000000"/>
  </w:font>
  <w:font w:name="EC Square Sans Pro Light">
    <w:charset w:val="00"/>
    <w:family w:val="swiss"/>
    <w:pitch w:val="variable"/>
    <w:sig w:usb0="A00002BF" w:usb1="5000E0FB" w:usb2="00000000" w:usb3="00000000" w:csb0="0000019F" w:csb1="00000000"/>
  </w:font>
  <w:font w:name="EUAlbertina">
    <w:altName w:val="Times New Roman"/>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9617F" w14:textId="77777777" w:rsidR="00984541" w:rsidRPr="00984541" w:rsidRDefault="00984541" w:rsidP="0098454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E98C" w14:textId="77777777" w:rsidR="00857477" w:rsidRDefault="008574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227597"/>
      <w:docPartObj>
        <w:docPartGallery w:val="Page Numbers (Bottom of Page)"/>
        <w:docPartUnique/>
      </w:docPartObj>
    </w:sdtPr>
    <w:sdtEndPr/>
    <w:sdtContent>
      <w:p w14:paraId="5350FF42" w14:textId="3D368F31" w:rsidR="00857477" w:rsidRDefault="00857477">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984541">
          <w:t>20</w:t>
        </w:r>
        <w:r>
          <w:rPr>
            <w:color w:val="2B579A"/>
            <w:shd w:val="clear" w:color="auto" w:fill="E6E6E6"/>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26F2" w14:textId="77777777" w:rsidR="00857477" w:rsidRDefault="008574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B3DA" w14:textId="77777777" w:rsidR="00857477" w:rsidRDefault="008574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09441"/>
      <w:docPartObj>
        <w:docPartGallery w:val="Page Numbers (Bottom of Page)"/>
        <w:docPartUnique/>
      </w:docPartObj>
    </w:sdtPr>
    <w:sdtEndPr/>
    <w:sdtContent>
      <w:p w14:paraId="4A23D577" w14:textId="261CD3E1" w:rsidR="00857477" w:rsidRDefault="00857477">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984541">
          <w:t>23</w:t>
        </w:r>
        <w:r>
          <w:rPr>
            <w:color w:val="2B579A"/>
            <w:shd w:val="clear" w:color="auto" w:fill="E6E6E6"/>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07B0" w14:textId="77777777" w:rsidR="00857477" w:rsidRDefault="0085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132C" w14:textId="6F3ABCEB" w:rsidR="00857477" w:rsidRPr="00984541" w:rsidRDefault="00984541" w:rsidP="00984541">
    <w:pPr>
      <w:pStyle w:val="FooterCoverPage"/>
      <w:rPr>
        <w:rFonts w:ascii="Arial" w:hAnsi="Arial" w:cs="Arial"/>
        <w:b/>
        <w:sz w:val="48"/>
      </w:rPr>
    </w:pPr>
    <w:r w:rsidRPr="00984541">
      <w:rPr>
        <w:rFonts w:ascii="Arial" w:hAnsi="Arial" w:cs="Arial"/>
        <w:b/>
        <w:sz w:val="48"/>
      </w:rPr>
      <w:t>EN</w:t>
    </w:r>
    <w:r w:rsidRPr="00984541">
      <w:rPr>
        <w:rFonts w:ascii="Arial" w:hAnsi="Arial" w:cs="Arial"/>
        <w:b/>
        <w:sz w:val="48"/>
      </w:rPr>
      <w:tab/>
    </w:r>
    <w:r w:rsidRPr="00984541">
      <w:rPr>
        <w:rFonts w:ascii="Arial" w:hAnsi="Arial" w:cs="Arial"/>
        <w:b/>
        <w:sz w:val="48"/>
      </w:rPr>
      <w:tab/>
    </w:r>
    <w:r w:rsidRPr="00984541">
      <w:tab/>
    </w:r>
    <w:r w:rsidRPr="0098454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5096" w14:textId="77777777" w:rsidR="00984541" w:rsidRPr="00984541" w:rsidRDefault="00984541" w:rsidP="0098454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07089"/>
      <w:docPartObj>
        <w:docPartGallery w:val="Page Numbers (Bottom of Page)"/>
        <w:docPartUnique/>
      </w:docPartObj>
    </w:sdtPr>
    <w:sdtEndPr/>
    <w:sdtContent>
      <w:p w14:paraId="6F86C383" w14:textId="7C0384FF" w:rsidR="00857477" w:rsidRPr="002E6AD1" w:rsidRDefault="00857477" w:rsidP="000A2689">
        <w:pPr>
          <w:pStyle w:val="Footer"/>
        </w:pPr>
        <w:r w:rsidRPr="002E6AD1">
          <w:rPr>
            <w:noProof w:val="0"/>
            <w:color w:val="2B579A"/>
            <w:shd w:val="clear" w:color="auto" w:fill="E6E6E6"/>
          </w:rPr>
          <w:fldChar w:fldCharType="begin"/>
        </w:r>
        <w:r w:rsidRPr="002E6AD1">
          <w:instrText xml:space="preserve"> PAGE   \* MERGEFORMAT </w:instrText>
        </w:r>
        <w:r w:rsidRPr="002E6AD1">
          <w:rPr>
            <w:noProof w:val="0"/>
            <w:color w:val="2B579A"/>
            <w:shd w:val="clear" w:color="auto" w:fill="E6E6E6"/>
          </w:rPr>
          <w:fldChar w:fldCharType="separate"/>
        </w:r>
        <w:r>
          <w:t>1</w:t>
        </w:r>
        <w:r w:rsidRPr="002E6AD1">
          <w:rPr>
            <w:color w:val="2B579A"/>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09605"/>
      <w:docPartObj>
        <w:docPartGallery w:val="Page Numbers (Bottom of Page)"/>
        <w:docPartUnique/>
      </w:docPartObj>
    </w:sdtPr>
    <w:sdtEndPr/>
    <w:sdtContent>
      <w:p w14:paraId="5A920B67" w14:textId="43B7F123" w:rsidR="00857477" w:rsidRPr="00C677BC" w:rsidRDefault="00857477">
        <w:pPr>
          <w:pStyle w:val="Footer"/>
        </w:pPr>
        <w:r w:rsidRPr="00C677BC">
          <w:fldChar w:fldCharType="begin"/>
        </w:r>
        <w:r w:rsidRPr="00C677BC">
          <w:instrText xml:space="preserve"> PAGE   \* MERGEFORMAT </w:instrText>
        </w:r>
        <w:r w:rsidRPr="00C677BC">
          <w:fldChar w:fldCharType="separate"/>
        </w:r>
        <w:r w:rsidR="00984541">
          <w:t>1</w:t>
        </w:r>
        <w:r w:rsidRPr="00C677BC">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1703" w14:textId="77777777" w:rsidR="00857477" w:rsidRDefault="008574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519663"/>
      <w:docPartObj>
        <w:docPartGallery w:val="Page Numbers (Bottom of Page)"/>
        <w:docPartUnique/>
      </w:docPartObj>
    </w:sdtPr>
    <w:sdtEndPr/>
    <w:sdtContent>
      <w:p w14:paraId="08D54973" w14:textId="23E42487" w:rsidR="00857477" w:rsidRDefault="00857477" w:rsidP="00C677BC">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t>20</w:t>
        </w:r>
        <w:r>
          <w:rPr>
            <w:color w:val="2B579A"/>
            <w:shd w:val="clear" w:color="auto" w:fill="E6E6E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84086"/>
      <w:docPartObj>
        <w:docPartGallery w:val="Page Numbers (Bottom of Page)"/>
        <w:docPartUnique/>
      </w:docPartObj>
    </w:sdtPr>
    <w:sdtEndPr/>
    <w:sdtContent>
      <w:p w14:paraId="41450761" w14:textId="72BE81AE" w:rsidR="00857477" w:rsidRDefault="00857477">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984541">
          <w:t>19</w:t>
        </w:r>
        <w:r>
          <w:rPr>
            <w:color w:val="2B579A"/>
            <w:shd w:val="clear" w:color="auto" w:fill="E6E6E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B0FF" w14:textId="77777777" w:rsidR="00857477" w:rsidRDefault="0085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DF31" w14:textId="77777777" w:rsidR="00857477" w:rsidRDefault="00857477">
      <w:r>
        <w:separator/>
      </w:r>
    </w:p>
  </w:footnote>
  <w:footnote w:type="continuationSeparator" w:id="0">
    <w:p w14:paraId="01738CCE" w14:textId="77777777" w:rsidR="00857477" w:rsidRPr="008442F6" w:rsidRDefault="00857477" w:rsidP="00F24D18">
      <w:r>
        <w:continuationSeparator/>
      </w:r>
    </w:p>
  </w:footnote>
  <w:footnote w:type="continuationNotice" w:id="1">
    <w:p w14:paraId="57156B97" w14:textId="77777777" w:rsidR="00857477" w:rsidRPr="001B2A9F" w:rsidRDefault="00857477" w:rsidP="001B2A9F">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24C2" w14:textId="77777777" w:rsidR="00984541" w:rsidRPr="00984541" w:rsidRDefault="00984541" w:rsidP="009845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380E" w14:textId="77777777" w:rsidR="00857477" w:rsidRDefault="008574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4107" w14:textId="77777777" w:rsidR="00857477" w:rsidRDefault="008574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DB3F" w14:textId="77777777" w:rsidR="00857477" w:rsidRDefault="008574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02F3" w14:textId="77777777" w:rsidR="00857477" w:rsidRDefault="008574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9EDA" w14:textId="77777777" w:rsidR="00857477" w:rsidRDefault="008574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BB1D" w14:textId="77777777" w:rsidR="00857477" w:rsidRDefault="00857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0BDB" w14:textId="77777777" w:rsidR="00984541" w:rsidRPr="00984541" w:rsidRDefault="00984541" w:rsidP="0098454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BC77" w14:textId="77777777" w:rsidR="00984541" w:rsidRPr="00984541" w:rsidRDefault="00984541" w:rsidP="0098454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B135" w14:textId="77777777" w:rsidR="00857477" w:rsidRDefault="008574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C421" w14:textId="77777777" w:rsidR="00857477" w:rsidRDefault="008574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0945" w14:textId="77777777" w:rsidR="00857477" w:rsidRDefault="008574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F2B38" w14:textId="77777777" w:rsidR="00857477" w:rsidRDefault="008574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0AAD" w14:textId="77777777" w:rsidR="00857477" w:rsidRDefault="008574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A63B" w14:textId="77777777" w:rsidR="00857477" w:rsidRDefault="0085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A011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B8B6D3F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49579D"/>
    <w:multiLevelType w:val="multilevel"/>
    <w:tmpl w:val="A08C8E34"/>
    <w:styleLink w:val="amprLIST-Ordered"/>
    <w:lvl w:ilvl="0">
      <w:start w:val="1"/>
      <w:numFmt w:val="decimal"/>
      <w:pStyle w:val="amprLISTOrdered-L1"/>
      <w:lvlText w:val="%1."/>
      <w:lvlJc w:val="left"/>
      <w:pPr>
        <w:ind w:left="714" w:hanging="357"/>
      </w:pPr>
      <w:rPr>
        <w:rFonts w:hint="default"/>
      </w:rPr>
    </w:lvl>
    <w:lvl w:ilvl="1">
      <w:start w:val="1"/>
      <w:numFmt w:val="decimal"/>
      <w:pStyle w:val="amprLISTOrdered-L2"/>
      <w:lvlText w:val="%1.%2."/>
      <w:lvlJc w:val="left"/>
      <w:pPr>
        <w:ind w:left="1185" w:hanging="471"/>
      </w:pPr>
      <w:rPr>
        <w:rFonts w:hint="default"/>
      </w:rPr>
    </w:lvl>
    <w:lvl w:ilvl="2">
      <w:start w:val="1"/>
      <w:numFmt w:val="decimal"/>
      <w:pStyle w:val="amprLISTOrdered-L3"/>
      <w:lvlText w:val="%1.%2.%3."/>
      <w:lvlJc w:val="left"/>
      <w:pPr>
        <w:ind w:left="1769" w:hanging="584"/>
      </w:pPr>
      <w:rPr>
        <w:rFonts w:hint="default"/>
      </w:rPr>
    </w:lvl>
    <w:lvl w:ilvl="3">
      <w:start w:val="1"/>
      <w:numFmt w:val="decimal"/>
      <w:pStyle w:val="amprLISTOrdered-L4"/>
      <w:lvlText w:val="%1.%2.%3.%4."/>
      <w:lvlJc w:val="left"/>
      <w:pPr>
        <w:ind w:left="2466" w:hanging="6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48C7"/>
    <w:multiLevelType w:val="hybridMultilevel"/>
    <w:tmpl w:val="D6D43D2A"/>
    <w:lvl w:ilvl="0" w:tplc="24482FE6">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AF0196"/>
    <w:multiLevelType w:val="multilevel"/>
    <w:tmpl w:val="D6C29086"/>
    <w:styleLink w:val="amprHLISTNumberedheadings"/>
    <w:lvl w:ilvl="0">
      <w:start w:val="1"/>
      <w:numFmt w:val="decimal"/>
      <w:pStyle w:val="amprH2TITLE1-Numbered-1"/>
      <w:lvlText w:val="%1."/>
      <w:lvlJc w:val="left"/>
      <w:pPr>
        <w:ind w:left="578" w:hanging="578"/>
      </w:pPr>
      <w:rPr>
        <w:rFonts w:hint="default"/>
      </w:rPr>
    </w:lvl>
    <w:lvl w:ilvl="1">
      <w:start w:val="1"/>
      <w:numFmt w:val="decimal"/>
      <w:pStyle w:val="amprH3Title2-Numbered-11"/>
      <w:lvlText w:val="%1.%2."/>
      <w:lvlJc w:val="left"/>
      <w:pPr>
        <w:ind w:left="1928" w:hanging="578"/>
      </w:pPr>
      <w:rPr>
        <w:rFonts w:hint="default"/>
      </w:rPr>
    </w:lvl>
    <w:lvl w:ilvl="2">
      <w:start w:val="1"/>
      <w:numFmt w:val="decimal"/>
      <w:pStyle w:val="amprH4Subhead1-Numbered-111"/>
      <w:lvlText w:val="%1.%2.%3."/>
      <w:lvlJc w:val="left"/>
      <w:pPr>
        <w:ind w:left="578" w:hanging="578"/>
      </w:pPr>
      <w:rPr>
        <w:rFonts w:hint="default"/>
      </w:rPr>
    </w:lvl>
    <w:lvl w:ilvl="3">
      <w:start w:val="1"/>
      <w:numFmt w:val="decimal"/>
      <w:pStyle w:val="amprH5Subhead2-Numbered-1111"/>
      <w:lvlText w:val="%1.%2.%3.%4."/>
      <w:lvlJc w:val="left"/>
      <w:pPr>
        <w:ind w:left="578" w:hanging="578"/>
      </w:pPr>
      <w:rPr>
        <w:rFonts w:hint="default"/>
      </w:rPr>
    </w:lvl>
    <w:lvl w:ilvl="4">
      <w:start w:val="1"/>
      <w:numFmt w:val="lowerLetter"/>
      <w:lvlText w:val="(%5)"/>
      <w:lvlJc w:val="left"/>
      <w:pPr>
        <w:ind w:left="578" w:hanging="578"/>
      </w:pPr>
      <w:rPr>
        <w:rFonts w:hint="default"/>
      </w:rPr>
    </w:lvl>
    <w:lvl w:ilvl="5">
      <w:start w:val="1"/>
      <w:numFmt w:val="lowerRoman"/>
      <w:lvlText w:val="(%6)"/>
      <w:lvlJc w:val="left"/>
      <w:pPr>
        <w:ind w:left="578" w:hanging="578"/>
      </w:pPr>
      <w:rPr>
        <w:rFonts w:hint="default"/>
      </w:rPr>
    </w:lvl>
    <w:lvl w:ilvl="6">
      <w:start w:val="1"/>
      <w:numFmt w:val="decimal"/>
      <w:lvlText w:val="%7."/>
      <w:lvlJc w:val="left"/>
      <w:pPr>
        <w:ind w:left="578" w:hanging="578"/>
      </w:pPr>
      <w:rPr>
        <w:rFonts w:hint="default"/>
      </w:rPr>
    </w:lvl>
    <w:lvl w:ilvl="7">
      <w:start w:val="1"/>
      <w:numFmt w:val="lowerLetter"/>
      <w:lvlText w:val="%8."/>
      <w:lvlJc w:val="left"/>
      <w:pPr>
        <w:ind w:left="578" w:hanging="578"/>
      </w:pPr>
      <w:rPr>
        <w:rFonts w:hint="default"/>
      </w:rPr>
    </w:lvl>
    <w:lvl w:ilvl="8">
      <w:start w:val="1"/>
      <w:numFmt w:val="lowerRoman"/>
      <w:lvlText w:val="%9."/>
      <w:lvlJc w:val="left"/>
      <w:pPr>
        <w:ind w:left="578" w:hanging="578"/>
      </w:pPr>
      <w:rPr>
        <w:rFonts w:hint="default"/>
      </w:rPr>
    </w:lvl>
  </w:abstractNum>
  <w:abstractNum w:abstractNumId="5" w15:restartNumberingAfterBreak="0">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15:restartNumberingAfterBreak="0">
    <w:nsid w:val="1C47181D"/>
    <w:multiLevelType w:val="multilevel"/>
    <w:tmpl w:val="2A9AD0EE"/>
    <w:styleLink w:val="amprLISTblackbullets"/>
    <w:lvl w:ilvl="0">
      <w:start w:val="1"/>
      <w:numFmt w:val="bullet"/>
      <w:pStyle w:val="amprLISTblackbullets-L1"/>
      <w:lvlText w:val=""/>
      <w:lvlJc w:val="left"/>
      <w:pPr>
        <w:ind w:left="714" w:hanging="357"/>
      </w:pPr>
      <w:rPr>
        <w:rFonts w:ascii="Symbol" w:hAnsi="Symbol" w:hint="default"/>
      </w:rPr>
    </w:lvl>
    <w:lvl w:ilvl="1">
      <w:start w:val="1"/>
      <w:numFmt w:val="bullet"/>
      <w:pStyle w:val="amprLISTblackbullets-L2"/>
      <w:lvlText w:val="—"/>
      <w:lvlJc w:val="left"/>
      <w:pPr>
        <w:ind w:left="1435" w:hanging="358"/>
      </w:pPr>
      <w:rPr>
        <w:rFonts w:ascii="EC Square Sans Pro" w:hAnsi="EC Square Sans Pro" w:hint="default"/>
      </w:rPr>
    </w:lvl>
    <w:lvl w:ilvl="2">
      <w:start w:val="1"/>
      <w:numFmt w:val="bullet"/>
      <w:lvlText w:val=""/>
      <w:lvlJc w:val="left"/>
      <w:pPr>
        <w:ind w:left="2155" w:hanging="355"/>
      </w:pPr>
      <w:rPr>
        <w:rFonts w:ascii="Wingdings" w:hAnsi="Wingdings" w:hint="default"/>
      </w:rPr>
    </w:lvl>
    <w:lvl w:ilvl="3">
      <w:start w:val="1"/>
      <w:numFmt w:val="bullet"/>
      <w:lvlText w:val=""/>
      <w:lvlJc w:val="left"/>
      <w:pPr>
        <w:ind w:left="2875" w:hanging="355"/>
      </w:pPr>
      <w:rPr>
        <w:rFonts w:ascii="Symbol" w:hAnsi="Symbol" w:hint="default"/>
      </w:rPr>
    </w:lvl>
    <w:lvl w:ilvl="4">
      <w:start w:val="1"/>
      <w:numFmt w:val="bullet"/>
      <w:lvlText w:val="o"/>
      <w:lvlJc w:val="left"/>
      <w:pPr>
        <w:ind w:left="3595" w:hanging="355"/>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B22A4D"/>
    <w:multiLevelType w:val="multilevel"/>
    <w:tmpl w:val="78248A56"/>
    <w:numStyleLink w:val="amprLISTgreenbullets"/>
  </w:abstractNum>
  <w:abstractNum w:abstractNumId="10"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2" w15:restartNumberingAfterBreak="0">
    <w:nsid w:val="309C18B6"/>
    <w:multiLevelType w:val="multilevel"/>
    <w:tmpl w:val="6110FEBA"/>
    <w:name w:val="ListNumberNonindentedNumbering65"/>
    <w:styleLink w:val="amprLIST-Mixed"/>
    <w:lvl w:ilvl="0">
      <w:start w:val="1"/>
      <w:numFmt w:val="decimal"/>
      <w:pStyle w:val="amprLISTMixed-L1"/>
      <w:lvlText w:val="%1."/>
      <w:lvlJc w:val="left"/>
      <w:pPr>
        <w:ind w:left="714" w:hanging="357"/>
      </w:pPr>
      <w:rPr>
        <w:rFonts w:hint="default"/>
      </w:rPr>
    </w:lvl>
    <w:lvl w:ilvl="1">
      <w:start w:val="1"/>
      <w:numFmt w:val="lowerLetter"/>
      <w:pStyle w:val="amprLISTMixed-L2"/>
      <w:lvlText w:val="(%2)"/>
      <w:lvlJc w:val="left"/>
      <w:pPr>
        <w:ind w:left="1071" w:hanging="357"/>
      </w:pPr>
      <w:rPr>
        <w:rFonts w:hint="default"/>
      </w:rPr>
    </w:lvl>
    <w:lvl w:ilvl="2">
      <w:start w:val="1"/>
      <w:numFmt w:val="bullet"/>
      <w:pStyle w:val="amprLISTMixed-L3"/>
      <w:lvlText w:val="—"/>
      <w:lvlJc w:val="left"/>
      <w:pPr>
        <w:ind w:left="1428" w:hanging="357"/>
      </w:pPr>
      <w:rPr>
        <w:rFonts w:ascii="Proxima Nova" w:hAnsi="Proxima Nova" w:hint="default"/>
        <w:color w:val="auto"/>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3" w15:restartNumberingAfterBreak="0">
    <w:nsid w:val="32CE3C72"/>
    <w:multiLevelType w:val="hybridMultilevel"/>
    <w:tmpl w:val="39E0BB52"/>
    <w:lvl w:ilvl="0" w:tplc="CA606920">
      <w:start w:val="1"/>
      <w:numFmt w:val="bullet"/>
      <w:pStyle w:val="amprboxBLUEdashed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81849"/>
    <w:multiLevelType w:val="hybridMultilevel"/>
    <w:tmpl w:val="84682B5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7712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F61F8"/>
    <w:multiLevelType w:val="multilevel"/>
    <w:tmpl w:val="60A07854"/>
    <w:styleLink w:val="Style1"/>
    <w:lvl w:ilvl="0">
      <w:start w:val="1"/>
      <w:numFmt w:val="decimal"/>
      <w:lvlText w:val="%1"/>
      <w:lvlJc w:val="left"/>
      <w:pPr>
        <w:ind w:left="432" w:hanging="432"/>
      </w:pPr>
      <w:rPr>
        <w:rFonts w:hint="default"/>
        <w:caps/>
        <w:strike w:val="0"/>
        <w:dstrike w:val="0"/>
        <w:vanish/>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A2D2032"/>
    <w:multiLevelType w:val="hybridMultilevel"/>
    <w:tmpl w:val="2C48129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1A17B2"/>
    <w:multiLevelType w:val="multilevel"/>
    <w:tmpl w:val="6110FEBA"/>
    <w:numStyleLink w:val="amprLIST-Mixed"/>
  </w:abstractNum>
  <w:abstractNum w:abstractNumId="19" w15:restartNumberingAfterBreak="0">
    <w:nsid w:val="3BE453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57A2B"/>
    <w:multiLevelType w:val="hybridMultilevel"/>
    <w:tmpl w:val="BD16A592"/>
    <w:lvl w:ilvl="0" w:tplc="AE2A343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4" w15:restartNumberingAfterBreak="0">
    <w:nsid w:val="469C0FD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26" w15:restartNumberingAfterBreak="0">
    <w:nsid w:val="52B23671"/>
    <w:multiLevelType w:val="multilevel"/>
    <w:tmpl w:val="3E4EA4C8"/>
    <w:lvl w:ilvl="0">
      <w:start w:val="1"/>
      <w:numFmt w:val="bullet"/>
      <w:pStyle w:val="amprboxGREEN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8" w15:restartNumberingAfterBreak="0">
    <w:nsid w:val="59BB2205"/>
    <w:multiLevelType w:val="multilevel"/>
    <w:tmpl w:val="78248A56"/>
    <w:styleLink w:val="amprLISTgreenbullets"/>
    <w:lvl w:ilvl="0">
      <w:start w:val="1"/>
      <w:numFmt w:val="bullet"/>
      <w:pStyle w:val="amprLISTgreenbullets-L1"/>
      <w:lvlText w:val=""/>
      <w:lvlJc w:val="left"/>
      <w:pPr>
        <w:ind w:left="714" w:hanging="357"/>
      </w:pPr>
      <w:rPr>
        <w:rFonts w:ascii="Symbol" w:hAnsi="Symbol" w:hint="default"/>
        <w:color w:val="109146" w:themeColor="accent1"/>
      </w:rPr>
    </w:lvl>
    <w:lvl w:ilvl="1">
      <w:start w:val="1"/>
      <w:numFmt w:val="bullet"/>
      <w:pStyle w:val="amprLISTgreenbullets-L2"/>
      <w:lvlText w:val="—"/>
      <w:lvlJc w:val="left"/>
      <w:pPr>
        <w:ind w:left="1435" w:hanging="358"/>
      </w:pPr>
      <w:rPr>
        <w:rFonts w:ascii="EC Square Sans Pro" w:hAnsi="EC Square Sans Pro" w:hint="default"/>
        <w:color w:val="109146" w:themeColor="accent1"/>
      </w:rPr>
    </w:lvl>
    <w:lvl w:ilvl="2">
      <w:start w:val="1"/>
      <w:numFmt w:val="bullet"/>
      <w:lvlText w:val=""/>
      <w:lvlJc w:val="left"/>
      <w:pPr>
        <w:ind w:left="2155" w:hanging="358"/>
      </w:pPr>
      <w:rPr>
        <w:rFonts w:ascii="Wingdings" w:hAnsi="Wingdings" w:hint="default"/>
      </w:rPr>
    </w:lvl>
    <w:lvl w:ilvl="3">
      <w:start w:val="1"/>
      <w:numFmt w:val="bullet"/>
      <w:lvlText w:val=""/>
      <w:lvlJc w:val="left"/>
      <w:pPr>
        <w:ind w:left="2875" w:hanging="358"/>
      </w:pPr>
      <w:rPr>
        <w:rFonts w:ascii="Symbol" w:hAnsi="Symbol" w:hint="default"/>
      </w:rPr>
    </w:lvl>
    <w:lvl w:ilvl="4">
      <w:start w:val="1"/>
      <w:numFmt w:val="bullet"/>
      <w:lvlText w:val="o"/>
      <w:lvlJc w:val="left"/>
      <w:pPr>
        <w:ind w:left="3595" w:hanging="357"/>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9"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2" w15:restartNumberingAfterBreak="0">
    <w:nsid w:val="5EA810B0"/>
    <w:multiLevelType w:val="multilevel"/>
    <w:tmpl w:val="D6C29086"/>
    <w:numStyleLink w:val="amprHLISTNumberedheadings"/>
  </w:abstractNum>
  <w:abstractNum w:abstractNumId="33" w15:restartNumberingAfterBreak="0">
    <w:nsid w:val="6227387F"/>
    <w:multiLevelType w:val="multilevel"/>
    <w:tmpl w:val="2A9AD0EE"/>
    <w:numStyleLink w:val="amprLISTblackbullets"/>
  </w:abstractNum>
  <w:abstractNum w:abstractNumId="3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36" w15:restartNumberingAfterBreak="0">
    <w:nsid w:val="6D7863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8" w15:restartNumberingAfterBreak="0">
    <w:nsid w:val="7ECE6A82"/>
    <w:multiLevelType w:val="multilevel"/>
    <w:tmpl w:val="C7520AF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6"/>
  </w:num>
  <w:num w:numId="4">
    <w:abstractNumId w:val="7"/>
  </w:num>
  <w:num w:numId="5">
    <w:abstractNumId w:val="33"/>
  </w:num>
  <w:num w:numId="6">
    <w:abstractNumId w:val="28"/>
  </w:num>
  <w:num w:numId="7">
    <w:abstractNumId w:val="26"/>
  </w:num>
  <w:num w:numId="8">
    <w:abstractNumId w:val="19"/>
  </w:num>
  <w:num w:numId="9">
    <w:abstractNumId w:val="24"/>
  </w:num>
  <w:num w:numId="10">
    <w:abstractNumId w:val="36"/>
  </w:num>
  <w:num w:numId="11">
    <w:abstractNumId w:val="9"/>
  </w:num>
  <w:num w:numId="12">
    <w:abstractNumId w:val="4"/>
  </w:num>
  <w:num w:numId="13">
    <w:abstractNumId w:val="32"/>
    <w:lvlOverride w:ilvl="0">
      <w:lvl w:ilvl="0">
        <w:start w:val="1"/>
        <w:numFmt w:val="decimal"/>
        <w:pStyle w:val="amprH2TITLE1-Numbered-1"/>
        <w:lvlText w:val="%1."/>
        <w:lvlJc w:val="left"/>
        <w:pPr>
          <w:ind w:left="578" w:hanging="578"/>
        </w:pPr>
        <w:rPr>
          <w:rFonts w:hint="default"/>
        </w:rPr>
      </w:lvl>
    </w:lvlOverride>
    <w:lvlOverride w:ilvl="1">
      <w:lvl w:ilvl="1">
        <w:start w:val="1"/>
        <w:numFmt w:val="decimal"/>
        <w:pStyle w:val="amprH3Title2-Numbered-11"/>
        <w:lvlText w:val="%1.%2."/>
        <w:lvlJc w:val="left"/>
        <w:pPr>
          <w:ind w:left="1928" w:hanging="578"/>
        </w:pPr>
        <w:rPr>
          <w:rFonts w:hint="default"/>
        </w:rPr>
      </w:lvl>
    </w:lvlOverride>
    <w:lvlOverride w:ilvl="2">
      <w:lvl w:ilvl="2">
        <w:start w:val="1"/>
        <w:numFmt w:val="decimal"/>
        <w:pStyle w:val="amprH4Subhead1-Numbered-111"/>
        <w:lvlText w:val="%1.%2.%3."/>
        <w:lvlJc w:val="left"/>
        <w:pPr>
          <w:ind w:left="578" w:hanging="578"/>
        </w:pPr>
        <w:rPr>
          <w:rFonts w:hint="default"/>
        </w:rPr>
      </w:lvl>
    </w:lvlOverride>
    <w:lvlOverride w:ilvl="3">
      <w:lvl w:ilvl="3">
        <w:start w:val="1"/>
        <w:numFmt w:val="decimal"/>
        <w:pStyle w:val="amprH5Subhead2-Numbered-1111"/>
        <w:lvlText w:val="%1.%2.%3.%4."/>
        <w:lvlJc w:val="left"/>
        <w:pPr>
          <w:ind w:left="578" w:hanging="578"/>
        </w:pPr>
        <w:rPr>
          <w:rFonts w:hint="default"/>
        </w:rPr>
      </w:lvl>
    </w:lvlOverride>
    <w:lvlOverride w:ilvl="4">
      <w:lvl w:ilvl="4">
        <w:start w:val="1"/>
        <w:numFmt w:val="lowerLetter"/>
        <w:lvlText w:val="(%5)"/>
        <w:lvlJc w:val="left"/>
        <w:pPr>
          <w:ind w:left="578" w:hanging="578"/>
        </w:pPr>
        <w:rPr>
          <w:rFonts w:hint="default"/>
        </w:rPr>
      </w:lvl>
    </w:lvlOverride>
    <w:lvlOverride w:ilvl="5">
      <w:lvl w:ilvl="5">
        <w:start w:val="1"/>
        <w:numFmt w:val="lowerRoman"/>
        <w:lvlText w:val="(%6)"/>
        <w:lvlJc w:val="left"/>
        <w:pPr>
          <w:ind w:left="578" w:hanging="578"/>
        </w:pPr>
        <w:rPr>
          <w:rFonts w:hint="default"/>
        </w:rPr>
      </w:lvl>
    </w:lvlOverride>
    <w:lvlOverride w:ilvl="6">
      <w:lvl w:ilvl="6">
        <w:start w:val="1"/>
        <w:numFmt w:val="decimal"/>
        <w:lvlText w:val="%7."/>
        <w:lvlJc w:val="left"/>
        <w:pPr>
          <w:ind w:left="578" w:hanging="578"/>
        </w:pPr>
        <w:rPr>
          <w:rFonts w:hint="default"/>
        </w:rPr>
      </w:lvl>
    </w:lvlOverride>
    <w:lvlOverride w:ilvl="7">
      <w:lvl w:ilvl="7">
        <w:start w:val="1"/>
        <w:numFmt w:val="lowerLetter"/>
        <w:lvlText w:val="%8."/>
        <w:lvlJc w:val="left"/>
        <w:pPr>
          <w:ind w:left="578" w:hanging="578"/>
        </w:pPr>
        <w:rPr>
          <w:rFonts w:hint="default"/>
        </w:rPr>
      </w:lvl>
    </w:lvlOverride>
    <w:lvlOverride w:ilvl="8">
      <w:lvl w:ilvl="8">
        <w:start w:val="1"/>
        <w:numFmt w:val="lowerRoman"/>
        <w:lvlText w:val="%9."/>
        <w:lvlJc w:val="left"/>
        <w:pPr>
          <w:ind w:left="578" w:hanging="578"/>
        </w:pPr>
        <w:rPr>
          <w:rFonts w:hint="default"/>
        </w:rPr>
      </w:lvl>
    </w:lvlOverride>
  </w:num>
  <w:num w:numId="14">
    <w:abstractNumId w:val="13"/>
  </w:num>
  <w:num w:numId="15">
    <w:abstractNumId w:val="2"/>
  </w:num>
  <w:num w:numId="16">
    <w:abstractNumId w:val="12"/>
  </w:num>
  <w:num w:numId="17">
    <w:abstractNumId w:val="18"/>
  </w:num>
  <w:num w:numId="18">
    <w:abstractNumId w:val="25"/>
  </w:num>
  <w:num w:numId="19">
    <w:abstractNumId w:val="5"/>
  </w:num>
  <w:num w:numId="20">
    <w:abstractNumId w:val="15"/>
  </w:num>
  <w:num w:numId="21">
    <w:abstractNumId w:val="20"/>
  </w:num>
  <w:num w:numId="22">
    <w:abstractNumId w:val="38"/>
  </w:num>
  <w:num w:numId="23">
    <w:abstractNumId w:val="3"/>
  </w:num>
  <w:num w:numId="24">
    <w:abstractNumId w:val="32"/>
    <w:lvlOverride w:ilvl="0">
      <w:startOverride w:val="1"/>
      <w:lvl w:ilvl="0">
        <w:start w:val="1"/>
        <w:numFmt w:val="decimal"/>
        <w:pStyle w:val="amprH2TITLE1-Numbered-1"/>
        <w:lvlText w:val="%1."/>
        <w:lvlJc w:val="left"/>
        <w:pPr>
          <w:ind w:left="578" w:hanging="578"/>
        </w:pPr>
        <w:rPr>
          <w:rFonts w:hint="default"/>
        </w:rPr>
      </w:lvl>
    </w:lvlOverride>
    <w:lvlOverride w:ilvl="1">
      <w:startOverride w:val="1"/>
      <w:lvl w:ilvl="1">
        <w:start w:val="1"/>
        <w:numFmt w:val="decimal"/>
        <w:pStyle w:val="amprH3Title2-Numbered-11"/>
        <w:lvlText w:val="%1.%2."/>
        <w:lvlJc w:val="left"/>
        <w:pPr>
          <w:ind w:left="1928" w:hanging="578"/>
        </w:pPr>
        <w:rPr>
          <w:rFonts w:hint="default"/>
        </w:rPr>
      </w:lvl>
    </w:lvlOverride>
    <w:lvlOverride w:ilvl="2">
      <w:startOverride w:val="1"/>
      <w:lvl w:ilvl="2">
        <w:start w:val="1"/>
        <w:numFmt w:val="decimal"/>
        <w:pStyle w:val="amprH4Subhead1-Numbered-111"/>
        <w:lvlText w:val="%1.%2.%3."/>
        <w:lvlJc w:val="left"/>
        <w:pPr>
          <w:ind w:left="578" w:hanging="578"/>
        </w:pPr>
        <w:rPr>
          <w:rFonts w:hint="default"/>
        </w:rPr>
      </w:lvl>
    </w:lvlOverride>
    <w:lvlOverride w:ilvl="3">
      <w:startOverride w:val="1"/>
      <w:lvl w:ilvl="3">
        <w:start w:val="1"/>
        <w:numFmt w:val="decimal"/>
        <w:pStyle w:val="amprH5Subhead2-Numbered-1111"/>
        <w:lvlText w:val="%1.%2.%3.%4."/>
        <w:lvlJc w:val="left"/>
        <w:pPr>
          <w:ind w:left="578" w:hanging="578"/>
        </w:pPr>
        <w:rPr>
          <w:rFonts w:hint="default"/>
        </w:rPr>
      </w:lvl>
    </w:lvlOverride>
    <w:lvlOverride w:ilvl="4">
      <w:startOverride w:val="1"/>
      <w:lvl w:ilvl="4">
        <w:start w:val="1"/>
        <w:numFmt w:val="lowerLetter"/>
        <w:lvlText w:val="(%5)"/>
        <w:lvlJc w:val="left"/>
        <w:pPr>
          <w:ind w:left="578" w:hanging="578"/>
        </w:pPr>
        <w:rPr>
          <w:rFonts w:hint="default"/>
        </w:rPr>
      </w:lvl>
    </w:lvlOverride>
    <w:lvlOverride w:ilvl="5">
      <w:startOverride w:val="1"/>
      <w:lvl w:ilvl="5">
        <w:start w:val="1"/>
        <w:numFmt w:val="lowerRoman"/>
        <w:lvlText w:val="(%6)"/>
        <w:lvlJc w:val="left"/>
        <w:pPr>
          <w:ind w:left="578" w:hanging="578"/>
        </w:pPr>
        <w:rPr>
          <w:rFonts w:hint="default"/>
        </w:rPr>
      </w:lvl>
    </w:lvlOverride>
    <w:lvlOverride w:ilvl="6">
      <w:startOverride w:val="1"/>
      <w:lvl w:ilvl="6">
        <w:start w:val="1"/>
        <w:numFmt w:val="decimal"/>
        <w:lvlText w:val="%7."/>
        <w:lvlJc w:val="left"/>
        <w:pPr>
          <w:ind w:left="578" w:hanging="578"/>
        </w:pPr>
        <w:rPr>
          <w:rFonts w:hint="default"/>
        </w:rPr>
      </w:lvl>
    </w:lvlOverride>
    <w:lvlOverride w:ilvl="7">
      <w:startOverride w:val="1"/>
      <w:lvl w:ilvl="7">
        <w:start w:val="1"/>
        <w:numFmt w:val="lowerLetter"/>
        <w:lvlText w:val="%8."/>
        <w:lvlJc w:val="left"/>
        <w:pPr>
          <w:ind w:left="578" w:hanging="578"/>
        </w:pPr>
        <w:rPr>
          <w:rFonts w:hint="default"/>
        </w:rPr>
      </w:lvl>
    </w:lvlOverride>
    <w:lvlOverride w:ilvl="8">
      <w:startOverride w:val="1"/>
      <w:lvl w:ilvl="8">
        <w:start w:val="1"/>
        <w:numFmt w:val="lowerRoman"/>
        <w:lvlText w:val="%9."/>
        <w:lvlJc w:val="left"/>
        <w:pPr>
          <w:ind w:left="578" w:hanging="578"/>
        </w:pPr>
        <w:rPr>
          <w:rFonts w:hint="default"/>
        </w:rPr>
      </w:lvl>
    </w:lvlOverride>
  </w:num>
  <w:num w:numId="25">
    <w:abstractNumId w:val="14"/>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fi-FI"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nl-NL" w:vendorID="64" w:dllVersion="131078" w:nlCheck="1" w:checkStyle="0"/>
  <w:activeWritingStyle w:appName="MSWord" w:lang="fr-CA" w:vendorID="64" w:dllVersion="131078" w:nlCheck="1" w:checkStyle="0"/>
  <w:activeWritingStyle w:appName="MSWord" w:lang="de-AT" w:vendorID="64" w:dllVersion="131078" w:nlCheck="1" w:checkStyle="0"/>
  <w:activeWritingStyle w:appName="MSWord" w:lang="nl-BE" w:vendorID="64" w:dllVersion="131078" w:nlCheck="1" w:checkStyle="0"/>
  <w:activeWritingStyle w:appName="MSWord" w:lang="nb-NO"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NAME_DOC_TBL00001" w:val="DOC_TBL00001"/>
    <w:docVar w:name="DocStatus" w:val="Green"/>
    <w:docVar w:name="LW_CORRIGENDUM" w:val="&lt;UNUSED&gt;"/>
    <w:docVar w:name="LW_COVERPAGE_EXISTS" w:val="True"/>
    <w:docVar w:name="LW_COVERPAGE_GUID" w:val="A1380720-74CD-47C7-835A-22219B09AC2C"/>
    <w:docVar w:name="LW_COVERPAGE_TYPE" w:val="1"/>
    <w:docVar w:name="LW_CROSSREFERENCE" w:val="{SWD(2022) 175 final}"/>
    <w:docVar w:name="LW_DocType" w:val="NORMAL"/>
    <w:docVar w:name="LW_EMISSION" w:val="30.6.2022"/>
    <w:docVar w:name="LW_EMISSION_ISODATE" w:val="2022-06-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ong-term forecast of future inflows and outflows of the EU budget (2023-2027)"/>
    <w:docVar w:name="LW_TYPE.DOC.CP" w:val="REPORT FROM THE COMMISSION TO THE EUROPEAN PARLIAMENT AND THE COUNCIL"/>
    <w:docVar w:name="LwApiVersions" w:val="LW4CoDe 1.23.2.0; LW 8.0, Build 20211117"/>
  </w:docVars>
  <w:rsids>
    <w:rsidRoot w:val="00D66606"/>
    <w:rsid w:val="00000507"/>
    <w:rsid w:val="000005E4"/>
    <w:rsid w:val="000005E7"/>
    <w:rsid w:val="00000720"/>
    <w:rsid w:val="000009CB"/>
    <w:rsid w:val="00001261"/>
    <w:rsid w:val="00001488"/>
    <w:rsid w:val="000016E0"/>
    <w:rsid w:val="0000190A"/>
    <w:rsid w:val="00001A49"/>
    <w:rsid w:val="00001D88"/>
    <w:rsid w:val="0000200E"/>
    <w:rsid w:val="0000213D"/>
    <w:rsid w:val="00002538"/>
    <w:rsid w:val="0000267A"/>
    <w:rsid w:val="000027FF"/>
    <w:rsid w:val="00002A26"/>
    <w:rsid w:val="00002B6B"/>
    <w:rsid w:val="00002D9B"/>
    <w:rsid w:val="00003119"/>
    <w:rsid w:val="000031AA"/>
    <w:rsid w:val="0000321D"/>
    <w:rsid w:val="00003805"/>
    <w:rsid w:val="00003829"/>
    <w:rsid w:val="000040E5"/>
    <w:rsid w:val="00004167"/>
    <w:rsid w:val="00004384"/>
    <w:rsid w:val="00004469"/>
    <w:rsid w:val="00004620"/>
    <w:rsid w:val="000046DE"/>
    <w:rsid w:val="000048D6"/>
    <w:rsid w:val="00004E2B"/>
    <w:rsid w:val="000050FB"/>
    <w:rsid w:val="00005132"/>
    <w:rsid w:val="0000559C"/>
    <w:rsid w:val="0000593E"/>
    <w:rsid w:val="00005D68"/>
    <w:rsid w:val="00005DA9"/>
    <w:rsid w:val="00005EEA"/>
    <w:rsid w:val="000064D4"/>
    <w:rsid w:val="000065A2"/>
    <w:rsid w:val="00006973"/>
    <w:rsid w:val="000069DE"/>
    <w:rsid w:val="00007250"/>
    <w:rsid w:val="00007977"/>
    <w:rsid w:val="00007C3C"/>
    <w:rsid w:val="00007C67"/>
    <w:rsid w:val="00007C6D"/>
    <w:rsid w:val="00007E68"/>
    <w:rsid w:val="00007E73"/>
    <w:rsid w:val="00010355"/>
    <w:rsid w:val="000104BC"/>
    <w:rsid w:val="00010502"/>
    <w:rsid w:val="0001064F"/>
    <w:rsid w:val="00010CB4"/>
    <w:rsid w:val="00010D9D"/>
    <w:rsid w:val="0001152F"/>
    <w:rsid w:val="000115F8"/>
    <w:rsid w:val="00011976"/>
    <w:rsid w:val="00011F5F"/>
    <w:rsid w:val="00011FFD"/>
    <w:rsid w:val="00012407"/>
    <w:rsid w:val="00012740"/>
    <w:rsid w:val="00012ACF"/>
    <w:rsid w:val="00012B33"/>
    <w:rsid w:val="00012D44"/>
    <w:rsid w:val="00013105"/>
    <w:rsid w:val="0001323A"/>
    <w:rsid w:val="000133D5"/>
    <w:rsid w:val="00014013"/>
    <w:rsid w:val="00014576"/>
    <w:rsid w:val="00014620"/>
    <w:rsid w:val="00014F27"/>
    <w:rsid w:val="000150E2"/>
    <w:rsid w:val="0001514F"/>
    <w:rsid w:val="00015933"/>
    <w:rsid w:val="000159FC"/>
    <w:rsid w:val="00015C59"/>
    <w:rsid w:val="00015EE9"/>
    <w:rsid w:val="00015F48"/>
    <w:rsid w:val="000167FB"/>
    <w:rsid w:val="00016BBA"/>
    <w:rsid w:val="00016ED6"/>
    <w:rsid w:val="00016F45"/>
    <w:rsid w:val="000170F1"/>
    <w:rsid w:val="000172C9"/>
    <w:rsid w:val="0001741F"/>
    <w:rsid w:val="000174ED"/>
    <w:rsid w:val="000175D6"/>
    <w:rsid w:val="00017BF1"/>
    <w:rsid w:val="00017D44"/>
    <w:rsid w:val="00017E1D"/>
    <w:rsid w:val="00017E38"/>
    <w:rsid w:val="000201E7"/>
    <w:rsid w:val="000202E8"/>
    <w:rsid w:val="0002047B"/>
    <w:rsid w:val="00020506"/>
    <w:rsid w:val="0002094E"/>
    <w:rsid w:val="000209DD"/>
    <w:rsid w:val="00020B47"/>
    <w:rsid w:val="00021484"/>
    <w:rsid w:val="000219D0"/>
    <w:rsid w:val="000219D4"/>
    <w:rsid w:val="00021B2F"/>
    <w:rsid w:val="00021ED8"/>
    <w:rsid w:val="0002250D"/>
    <w:rsid w:val="000233FA"/>
    <w:rsid w:val="00023425"/>
    <w:rsid w:val="000234E5"/>
    <w:rsid w:val="00023A9A"/>
    <w:rsid w:val="00023B26"/>
    <w:rsid w:val="00023DBA"/>
    <w:rsid w:val="00023ED2"/>
    <w:rsid w:val="00023F61"/>
    <w:rsid w:val="000241FE"/>
    <w:rsid w:val="000242A1"/>
    <w:rsid w:val="0002474F"/>
    <w:rsid w:val="0002478C"/>
    <w:rsid w:val="00024A32"/>
    <w:rsid w:val="00024B2C"/>
    <w:rsid w:val="00024BDD"/>
    <w:rsid w:val="00024EF7"/>
    <w:rsid w:val="00024EF8"/>
    <w:rsid w:val="00024F34"/>
    <w:rsid w:val="000250C5"/>
    <w:rsid w:val="000258F8"/>
    <w:rsid w:val="000259DA"/>
    <w:rsid w:val="00025B13"/>
    <w:rsid w:val="00026228"/>
    <w:rsid w:val="00026591"/>
    <w:rsid w:val="00026B33"/>
    <w:rsid w:val="00026DD2"/>
    <w:rsid w:val="00027323"/>
    <w:rsid w:val="00027805"/>
    <w:rsid w:val="00027E9F"/>
    <w:rsid w:val="00027FDC"/>
    <w:rsid w:val="00030766"/>
    <w:rsid w:val="000308E3"/>
    <w:rsid w:val="00030A31"/>
    <w:rsid w:val="00030A51"/>
    <w:rsid w:val="00030CB2"/>
    <w:rsid w:val="0003102B"/>
    <w:rsid w:val="0003119B"/>
    <w:rsid w:val="00031574"/>
    <w:rsid w:val="0003237C"/>
    <w:rsid w:val="00032424"/>
    <w:rsid w:val="0003270C"/>
    <w:rsid w:val="0003290A"/>
    <w:rsid w:val="00032DF9"/>
    <w:rsid w:val="00032F54"/>
    <w:rsid w:val="00033B24"/>
    <w:rsid w:val="00033B67"/>
    <w:rsid w:val="00033BAA"/>
    <w:rsid w:val="0003444F"/>
    <w:rsid w:val="00034679"/>
    <w:rsid w:val="00034A0B"/>
    <w:rsid w:val="00034E26"/>
    <w:rsid w:val="00034EF1"/>
    <w:rsid w:val="00034F75"/>
    <w:rsid w:val="0003568E"/>
    <w:rsid w:val="000357D0"/>
    <w:rsid w:val="00035878"/>
    <w:rsid w:val="000359DA"/>
    <w:rsid w:val="00035B41"/>
    <w:rsid w:val="00035E18"/>
    <w:rsid w:val="00035F01"/>
    <w:rsid w:val="00036126"/>
    <w:rsid w:val="00036ADC"/>
    <w:rsid w:val="00036BEB"/>
    <w:rsid w:val="00036E86"/>
    <w:rsid w:val="0003757D"/>
    <w:rsid w:val="00037670"/>
    <w:rsid w:val="0004057D"/>
    <w:rsid w:val="000405B7"/>
    <w:rsid w:val="0004060C"/>
    <w:rsid w:val="00040994"/>
    <w:rsid w:val="00040A29"/>
    <w:rsid w:val="00040A9E"/>
    <w:rsid w:val="00040B9E"/>
    <w:rsid w:val="00041373"/>
    <w:rsid w:val="0004158A"/>
    <w:rsid w:val="0004160F"/>
    <w:rsid w:val="0004196F"/>
    <w:rsid w:val="00041C11"/>
    <w:rsid w:val="00041C8E"/>
    <w:rsid w:val="00041FA3"/>
    <w:rsid w:val="00042317"/>
    <w:rsid w:val="00042544"/>
    <w:rsid w:val="0004284B"/>
    <w:rsid w:val="00042D3B"/>
    <w:rsid w:val="00042F19"/>
    <w:rsid w:val="00043140"/>
    <w:rsid w:val="000433A4"/>
    <w:rsid w:val="00043719"/>
    <w:rsid w:val="000437F4"/>
    <w:rsid w:val="00043C71"/>
    <w:rsid w:val="00043F3F"/>
    <w:rsid w:val="000443B3"/>
    <w:rsid w:val="0004480D"/>
    <w:rsid w:val="000449DB"/>
    <w:rsid w:val="00044D56"/>
    <w:rsid w:val="00044FA8"/>
    <w:rsid w:val="000450CE"/>
    <w:rsid w:val="00045699"/>
    <w:rsid w:val="00045BA5"/>
    <w:rsid w:val="000467E4"/>
    <w:rsid w:val="00046888"/>
    <w:rsid w:val="00046C6C"/>
    <w:rsid w:val="00046FC3"/>
    <w:rsid w:val="00046FF3"/>
    <w:rsid w:val="00047505"/>
    <w:rsid w:val="00047897"/>
    <w:rsid w:val="000501F5"/>
    <w:rsid w:val="00050335"/>
    <w:rsid w:val="000506D2"/>
    <w:rsid w:val="00050C59"/>
    <w:rsid w:val="00050E51"/>
    <w:rsid w:val="00050FA4"/>
    <w:rsid w:val="0005100E"/>
    <w:rsid w:val="0005133C"/>
    <w:rsid w:val="00051411"/>
    <w:rsid w:val="00051897"/>
    <w:rsid w:val="000518FF"/>
    <w:rsid w:val="0005199C"/>
    <w:rsid w:val="000523E0"/>
    <w:rsid w:val="00052B9C"/>
    <w:rsid w:val="00052C3C"/>
    <w:rsid w:val="00052E6D"/>
    <w:rsid w:val="00052FDD"/>
    <w:rsid w:val="00053409"/>
    <w:rsid w:val="000538A2"/>
    <w:rsid w:val="00053B0A"/>
    <w:rsid w:val="00053B26"/>
    <w:rsid w:val="00053C1F"/>
    <w:rsid w:val="00053CB1"/>
    <w:rsid w:val="00053D04"/>
    <w:rsid w:val="000544A6"/>
    <w:rsid w:val="000548A8"/>
    <w:rsid w:val="00054D10"/>
    <w:rsid w:val="00055538"/>
    <w:rsid w:val="000559F7"/>
    <w:rsid w:val="00055B94"/>
    <w:rsid w:val="00055CD6"/>
    <w:rsid w:val="0005608F"/>
    <w:rsid w:val="000569BD"/>
    <w:rsid w:val="00056A3D"/>
    <w:rsid w:val="00057439"/>
    <w:rsid w:val="0005798F"/>
    <w:rsid w:val="000579D7"/>
    <w:rsid w:val="00057AD1"/>
    <w:rsid w:val="00057C97"/>
    <w:rsid w:val="00057DC1"/>
    <w:rsid w:val="00057DE1"/>
    <w:rsid w:val="00060384"/>
    <w:rsid w:val="000606F1"/>
    <w:rsid w:val="00060C98"/>
    <w:rsid w:val="00060F3D"/>
    <w:rsid w:val="00061102"/>
    <w:rsid w:val="00061406"/>
    <w:rsid w:val="0006156B"/>
    <w:rsid w:val="000615E4"/>
    <w:rsid w:val="00061651"/>
    <w:rsid w:val="000618CC"/>
    <w:rsid w:val="00061A43"/>
    <w:rsid w:val="00061B1E"/>
    <w:rsid w:val="00061BB5"/>
    <w:rsid w:val="00061CEF"/>
    <w:rsid w:val="00061F5B"/>
    <w:rsid w:val="00062156"/>
    <w:rsid w:val="000621DD"/>
    <w:rsid w:val="00062302"/>
    <w:rsid w:val="0006282D"/>
    <w:rsid w:val="000628BD"/>
    <w:rsid w:val="00062978"/>
    <w:rsid w:val="00062B87"/>
    <w:rsid w:val="00062E71"/>
    <w:rsid w:val="00062F11"/>
    <w:rsid w:val="000632A5"/>
    <w:rsid w:val="000634B2"/>
    <w:rsid w:val="000634D9"/>
    <w:rsid w:val="00063A02"/>
    <w:rsid w:val="00064118"/>
    <w:rsid w:val="000641D7"/>
    <w:rsid w:val="000644DD"/>
    <w:rsid w:val="00064B88"/>
    <w:rsid w:val="00064C43"/>
    <w:rsid w:val="00065305"/>
    <w:rsid w:val="000656B1"/>
    <w:rsid w:val="0006581A"/>
    <w:rsid w:val="00065953"/>
    <w:rsid w:val="00065F2D"/>
    <w:rsid w:val="00065F65"/>
    <w:rsid w:val="000667F2"/>
    <w:rsid w:val="00066BD9"/>
    <w:rsid w:val="00066C2B"/>
    <w:rsid w:val="00066C40"/>
    <w:rsid w:val="000674B8"/>
    <w:rsid w:val="0006753B"/>
    <w:rsid w:val="00067A83"/>
    <w:rsid w:val="00067B33"/>
    <w:rsid w:val="00067EA3"/>
    <w:rsid w:val="00070077"/>
    <w:rsid w:val="000700A1"/>
    <w:rsid w:val="000700E3"/>
    <w:rsid w:val="00070153"/>
    <w:rsid w:val="000705E0"/>
    <w:rsid w:val="0007067D"/>
    <w:rsid w:val="0007084B"/>
    <w:rsid w:val="0007092F"/>
    <w:rsid w:val="00070B14"/>
    <w:rsid w:val="00070BCE"/>
    <w:rsid w:val="00070D2F"/>
    <w:rsid w:val="00070FCF"/>
    <w:rsid w:val="00071919"/>
    <w:rsid w:val="00071949"/>
    <w:rsid w:val="00071D4B"/>
    <w:rsid w:val="00071DF1"/>
    <w:rsid w:val="0007252E"/>
    <w:rsid w:val="00072772"/>
    <w:rsid w:val="0007294F"/>
    <w:rsid w:val="00072CEC"/>
    <w:rsid w:val="00072D44"/>
    <w:rsid w:val="00072FA0"/>
    <w:rsid w:val="0007328F"/>
    <w:rsid w:val="00073298"/>
    <w:rsid w:val="0007333D"/>
    <w:rsid w:val="00073376"/>
    <w:rsid w:val="000734F6"/>
    <w:rsid w:val="00073710"/>
    <w:rsid w:val="0007372F"/>
    <w:rsid w:val="00073AAC"/>
    <w:rsid w:val="00074550"/>
    <w:rsid w:val="00074A0F"/>
    <w:rsid w:val="00074A7E"/>
    <w:rsid w:val="00074C6E"/>
    <w:rsid w:val="00074D62"/>
    <w:rsid w:val="0007573D"/>
    <w:rsid w:val="00075783"/>
    <w:rsid w:val="00075ACE"/>
    <w:rsid w:val="00075B56"/>
    <w:rsid w:val="00075BF5"/>
    <w:rsid w:val="0007611D"/>
    <w:rsid w:val="000762C5"/>
    <w:rsid w:val="00076E30"/>
    <w:rsid w:val="00077106"/>
    <w:rsid w:val="0007720E"/>
    <w:rsid w:val="000779F6"/>
    <w:rsid w:val="00077B61"/>
    <w:rsid w:val="00080132"/>
    <w:rsid w:val="000807FB"/>
    <w:rsid w:val="000808FF"/>
    <w:rsid w:val="00080A2E"/>
    <w:rsid w:val="00080B17"/>
    <w:rsid w:val="00080DEF"/>
    <w:rsid w:val="00080ED1"/>
    <w:rsid w:val="00081296"/>
    <w:rsid w:val="00081565"/>
    <w:rsid w:val="000815E6"/>
    <w:rsid w:val="0008195D"/>
    <w:rsid w:val="00081A7A"/>
    <w:rsid w:val="00081E4A"/>
    <w:rsid w:val="00081FA0"/>
    <w:rsid w:val="00082198"/>
    <w:rsid w:val="000821B5"/>
    <w:rsid w:val="000821BE"/>
    <w:rsid w:val="000821D2"/>
    <w:rsid w:val="0008220E"/>
    <w:rsid w:val="00082B6D"/>
    <w:rsid w:val="00082B9B"/>
    <w:rsid w:val="000833BC"/>
    <w:rsid w:val="00083745"/>
    <w:rsid w:val="000839AE"/>
    <w:rsid w:val="00083E8A"/>
    <w:rsid w:val="00084140"/>
    <w:rsid w:val="00084496"/>
    <w:rsid w:val="000845CB"/>
    <w:rsid w:val="000847AE"/>
    <w:rsid w:val="00084A1F"/>
    <w:rsid w:val="00084A71"/>
    <w:rsid w:val="00084AC9"/>
    <w:rsid w:val="00085A74"/>
    <w:rsid w:val="00085EF5"/>
    <w:rsid w:val="00085FC6"/>
    <w:rsid w:val="000861EE"/>
    <w:rsid w:val="000862CD"/>
    <w:rsid w:val="0008637B"/>
    <w:rsid w:val="000864FB"/>
    <w:rsid w:val="00086931"/>
    <w:rsid w:val="00086FE6"/>
    <w:rsid w:val="00087070"/>
    <w:rsid w:val="0008776D"/>
    <w:rsid w:val="00087B61"/>
    <w:rsid w:val="00087D4D"/>
    <w:rsid w:val="00087E8F"/>
    <w:rsid w:val="00087F44"/>
    <w:rsid w:val="0009007E"/>
    <w:rsid w:val="00090661"/>
    <w:rsid w:val="00090B0A"/>
    <w:rsid w:val="00090D39"/>
    <w:rsid w:val="00090DF8"/>
    <w:rsid w:val="00091924"/>
    <w:rsid w:val="000922DC"/>
    <w:rsid w:val="00092733"/>
    <w:rsid w:val="0009294D"/>
    <w:rsid w:val="00092A2C"/>
    <w:rsid w:val="00092B2B"/>
    <w:rsid w:val="00092F11"/>
    <w:rsid w:val="00093163"/>
    <w:rsid w:val="00093309"/>
    <w:rsid w:val="00093866"/>
    <w:rsid w:val="00093D52"/>
    <w:rsid w:val="0009408B"/>
    <w:rsid w:val="000941DF"/>
    <w:rsid w:val="0009473F"/>
    <w:rsid w:val="00094A76"/>
    <w:rsid w:val="00095070"/>
    <w:rsid w:val="000950B6"/>
    <w:rsid w:val="0009511A"/>
    <w:rsid w:val="00095120"/>
    <w:rsid w:val="000956AF"/>
    <w:rsid w:val="00095808"/>
    <w:rsid w:val="00095AED"/>
    <w:rsid w:val="00095D3D"/>
    <w:rsid w:val="00095EE7"/>
    <w:rsid w:val="00096A41"/>
    <w:rsid w:val="00096C12"/>
    <w:rsid w:val="000970B2"/>
    <w:rsid w:val="000970F5"/>
    <w:rsid w:val="00097189"/>
    <w:rsid w:val="00097190"/>
    <w:rsid w:val="00097794"/>
    <w:rsid w:val="00097904"/>
    <w:rsid w:val="00097B1B"/>
    <w:rsid w:val="000A0298"/>
    <w:rsid w:val="000A08B7"/>
    <w:rsid w:val="000A095C"/>
    <w:rsid w:val="000A0989"/>
    <w:rsid w:val="000A1041"/>
    <w:rsid w:val="000A10A9"/>
    <w:rsid w:val="000A15B1"/>
    <w:rsid w:val="000A1A21"/>
    <w:rsid w:val="000A1B7B"/>
    <w:rsid w:val="000A23D5"/>
    <w:rsid w:val="000A2689"/>
    <w:rsid w:val="000A27DB"/>
    <w:rsid w:val="000A2DB2"/>
    <w:rsid w:val="000A2E51"/>
    <w:rsid w:val="000A2F9D"/>
    <w:rsid w:val="000A33BD"/>
    <w:rsid w:val="000A3445"/>
    <w:rsid w:val="000A3645"/>
    <w:rsid w:val="000A3842"/>
    <w:rsid w:val="000A3B05"/>
    <w:rsid w:val="000A3B8C"/>
    <w:rsid w:val="000A3D37"/>
    <w:rsid w:val="000A467D"/>
    <w:rsid w:val="000A4702"/>
    <w:rsid w:val="000A48C9"/>
    <w:rsid w:val="000A49F6"/>
    <w:rsid w:val="000A4E1E"/>
    <w:rsid w:val="000A5553"/>
    <w:rsid w:val="000A557E"/>
    <w:rsid w:val="000A5C2B"/>
    <w:rsid w:val="000A5E4B"/>
    <w:rsid w:val="000A5F87"/>
    <w:rsid w:val="000A60D0"/>
    <w:rsid w:val="000A62BD"/>
    <w:rsid w:val="000A6528"/>
    <w:rsid w:val="000A6829"/>
    <w:rsid w:val="000A70DE"/>
    <w:rsid w:val="000A72C0"/>
    <w:rsid w:val="000A73B2"/>
    <w:rsid w:val="000A7657"/>
    <w:rsid w:val="000A7D91"/>
    <w:rsid w:val="000B0051"/>
    <w:rsid w:val="000B0064"/>
    <w:rsid w:val="000B034E"/>
    <w:rsid w:val="000B0374"/>
    <w:rsid w:val="000B0748"/>
    <w:rsid w:val="000B0881"/>
    <w:rsid w:val="000B119A"/>
    <w:rsid w:val="000B1326"/>
    <w:rsid w:val="000B14CB"/>
    <w:rsid w:val="000B14FA"/>
    <w:rsid w:val="000B152C"/>
    <w:rsid w:val="000B19C0"/>
    <w:rsid w:val="000B1D41"/>
    <w:rsid w:val="000B1E2E"/>
    <w:rsid w:val="000B2356"/>
    <w:rsid w:val="000B2710"/>
    <w:rsid w:val="000B27AC"/>
    <w:rsid w:val="000B2CBD"/>
    <w:rsid w:val="000B2D2B"/>
    <w:rsid w:val="000B3077"/>
    <w:rsid w:val="000B34A2"/>
    <w:rsid w:val="000B3A1F"/>
    <w:rsid w:val="000B3AE5"/>
    <w:rsid w:val="000B3BF2"/>
    <w:rsid w:val="000B4046"/>
    <w:rsid w:val="000B42B0"/>
    <w:rsid w:val="000B498D"/>
    <w:rsid w:val="000B4B5A"/>
    <w:rsid w:val="000B4D5F"/>
    <w:rsid w:val="000B4E20"/>
    <w:rsid w:val="000B50B1"/>
    <w:rsid w:val="000B52E5"/>
    <w:rsid w:val="000B539C"/>
    <w:rsid w:val="000B5454"/>
    <w:rsid w:val="000B5955"/>
    <w:rsid w:val="000B5AA1"/>
    <w:rsid w:val="000B5AB8"/>
    <w:rsid w:val="000B5B42"/>
    <w:rsid w:val="000B604F"/>
    <w:rsid w:val="000B693C"/>
    <w:rsid w:val="000B69C3"/>
    <w:rsid w:val="000B6A4B"/>
    <w:rsid w:val="000B7025"/>
    <w:rsid w:val="000B7280"/>
    <w:rsid w:val="000B728B"/>
    <w:rsid w:val="000B73D9"/>
    <w:rsid w:val="000B7405"/>
    <w:rsid w:val="000B7EAC"/>
    <w:rsid w:val="000C026A"/>
    <w:rsid w:val="000C04AC"/>
    <w:rsid w:val="000C06AE"/>
    <w:rsid w:val="000C079D"/>
    <w:rsid w:val="000C0D7B"/>
    <w:rsid w:val="000C0DC5"/>
    <w:rsid w:val="000C136A"/>
    <w:rsid w:val="000C156A"/>
    <w:rsid w:val="000C1AA7"/>
    <w:rsid w:val="000C1BFD"/>
    <w:rsid w:val="000C2685"/>
    <w:rsid w:val="000C26D2"/>
    <w:rsid w:val="000C280C"/>
    <w:rsid w:val="000C2B6E"/>
    <w:rsid w:val="000C2C4F"/>
    <w:rsid w:val="000C2CEC"/>
    <w:rsid w:val="000C3326"/>
    <w:rsid w:val="000C383F"/>
    <w:rsid w:val="000C3A6B"/>
    <w:rsid w:val="000C3BD2"/>
    <w:rsid w:val="000C3BF5"/>
    <w:rsid w:val="000C3BFA"/>
    <w:rsid w:val="000C3C7E"/>
    <w:rsid w:val="000C3E19"/>
    <w:rsid w:val="000C3E61"/>
    <w:rsid w:val="000C3E77"/>
    <w:rsid w:val="000C3EFC"/>
    <w:rsid w:val="000C3F0F"/>
    <w:rsid w:val="000C3F1B"/>
    <w:rsid w:val="000C3F75"/>
    <w:rsid w:val="000C410D"/>
    <w:rsid w:val="000C45C7"/>
    <w:rsid w:val="000C4661"/>
    <w:rsid w:val="000C4788"/>
    <w:rsid w:val="000C47FD"/>
    <w:rsid w:val="000C4FCE"/>
    <w:rsid w:val="000C5FAD"/>
    <w:rsid w:val="000C6450"/>
    <w:rsid w:val="000C67AD"/>
    <w:rsid w:val="000C69FF"/>
    <w:rsid w:val="000C737E"/>
    <w:rsid w:val="000C73F3"/>
    <w:rsid w:val="000C7ACD"/>
    <w:rsid w:val="000C7BA4"/>
    <w:rsid w:val="000D059C"/>
    <w:rsid w:val="000D0929"/>
    <w:rsid w:val="000D0979"/>
    <w:rsid w:val="000D0D0E"/>
    <w:rsid w:val="000D0F70"/>
    <w:rsid w:val="000D1226"/>
    <w:rsid w:val="000D13EF"/>
    <w:rsid w:val="000D13F5"/>
    <w:rsid w:val="000D1789"/>
    <w:rsid w:val="000D18FB"/>
    <w:rsid w:val="000D192A"/>
    <w:rsid w:val="000D1BBE"/>
    <w:rsid w:val="000D223D"/>
    <w:rsid w:val="000D262C"/>
    <w:rsid w:val="000D2A0A"/>
    <w:rsid w:val="000D2E51"/>
    <w:rsid w:val="000D31F3"/>
    <w:rsid w:val="000D36DF"/>
    <w:rsid w:val="000D373C"/>
    <w:rsid w:val="000D3777"/>
    <w:rsid w:val="000D37DA"/>
    <w:rsid w:val="000D3B3F"/>
    <w:rsid w:val="000D3C1F"/>
    <w:rsid w:val="000D3CF8"/>
    <w:rsid w:val="000D3DEA"/>
    <w:rsid w:val="000D4596"/>
    <w:rsid w:val="000D4941"/>
    <w:rsid w:val="000D4C7B"/>
    <w:rsid w:val="000D4D10"/>
    <w:rsid w:val="000D512F"/>
    <w:rsid w:val="000D535D"/>
    <w:rsid w:val="000D59CD"/>
    <w:rsid w:val="000D5B7E"/>
    <w:rsid w:val="000D5C1A"/>
    <w:rsid w:val="000D5CF0"/>
    <w:rsid w:val="000D5ED2"/>
    <w:rsid w:val="000D604A"/>
    <w:rsid w:val="000D60E8"/>
    <w:rsid w:val="000D65E0"/>
    <w:rsid w:val="000D70D8"/>
    <w:rsid w:val="000D7126"/>
    <w:rsid w:val="000D747A"/>
    <w:rsid w:val="000D776A"/>
    <w:rsid w:val="000D7B67"/>
    <w:rsid w:val="000D7C65"/>
    <w:rsid w:val="000D7D5A"/>
    <w:rsid w:val="000D7FA9"/>
    <w:rsid w:val="000E0634"/>
    <w:rsid w:val="000E0B9E"/>
    <w:rsid w:val="000E0EF8"/>
    <w:rsid w:val="000E0FEA"/>
    <w:rsid w:val="000E134B"/>
    <w:rsid w:val="000E1797"/>
    <w:rsid w:val="000E1863"/>
    <w:rsid w:val="000E1BF8"/>
    <w:rsid w:val="000E1E25"/>
    <w:rsid w:val="000E1F3A"/>
    <w:rsid w:val="000E26EE"/>
    <w:rsid w:val="000E3245"/>
    <w:rsid w:val="000E345A"/>
    <w:rsid w:val="000E3515"/>
    <w:rsid w:val="000E3C6D"/>
    <w:rsid w:val="000E41A0"/>
    <w:rsid w:val="000E44A4"/>
    <w:rsid w:val="000E469D"/>
    <w:rsid w:val="000E4F90"/>
    <w:rsid w:val="000E54BB"/>
    <w:rsid w:val="000E58EA"/>
    <w:rsid w:val="000E5C36"/>
    <w:rsid w:val="000E5F4F"/>
    <w:rsid w:val="000E6013"/>
    <w:rsid w:val="000E65F3"/>
    <w:rsid w:val="000E6620"/>
    <w:rsid w:val="000E6B44"/>
    <w:rsid w:val="000E6E5A"/>
    <w:rsid w:val="000E74A6"/>
    <w:rsid w:val="000E7955"/>
    <w:rsid w:val="000E7E50"/>
    <w:rsid w:val="000F04A1"/>
    <w:rsid w:val="000F04B7"/>
    <w:rsid w:val="000F0FE1"/>
    <w:rsid w:val="000F1157"/>
    <w:rsid w:val="000F11B6"/>
    <w:rsid w:val="000F125E"/>
    <w:rsid w:val="000F12DC"/>
    <w:rsid w:val="000F15D0"/>
    <w:rsid w:val="000F165F"/>
    <w:rsid w:val="000F1663"/>
    <w:rsid w:val="000F179E"/>
    <w:rsid w:val="000F1803"/>
    <w:rsid w:val="000F188F"/>
    <w:rsid w:val="000F1D77"/>
    <w:rsid w:val="000F2057"/>
    <w:rsid w:val="000F231A"/>
    <w:rsid w:val="000F24AD"/>
    <w:rsid w:val="000F2702"/>
    <w:rsid w:val="000F295A"/>
    <w:rsid w:val="000F2DB6"/>
    <w:rsid w:val="000F2FDB"/>
    <w:rsid w:val="000F2FF9"/>
    <w:rsid w:val="000F3514"/>
    <w:rsid w:val="000F35A8"/>
    <w:rsid w:val="000F3654"/>
    <w:rsid w:val="000F3786"/>
    <w:rsid w:val="000F3ABB"/>
    <w:rsid w:val="000F3BC4"/>
    <w:rsid w:val="000F3BF4"/>
    <w:rsid w:val="000F4094"/>
    <w:rsid w:val="000F463B"/>
    <w:rsid w:val="000F46F8"/>
    <w:rsid w:val="000F47F7"/>
    <w:rsid w:val="000F48C2"/>
    <w:rsid w:val="000F4983"/>
    <w:rsid w:val="000F50C1"/>
    <w:rsid w:val="000F5406"/>
    <w:rsid w:val="000F549B"/>
    <w:rsid w:val="000F5590"/>
    <w:rsid w:val="000F5A50"/>
    <w:rsid w:val="000F5B11"/>
    <w:rsid w:val="000F5F18"/>
    <w:rsid w:val="000F61BB"/>
    <w:rsid w:val="000F6B77"/>
    <w:rsid w:val="000F6B85"/>
    <w:rsid w:val="000F6FD9"/>
    <w:rsid w:val="000F724F"/>
    <w:rsid w:val="000F72DD"/>
    <w:rsid w:val="000F7B31"/>
    <w:rsid w:val="000F7D9A"/>
    <w:rsid w:val="00100145"/>
    <w:rsid w:val="00100165"/>
    <w:rsid w:val="001004B7"/>
    <w:rsid w:val="001004CE"/>
    <w:rsid w:val="00100540"/>
    <w:rsid w:val="0010095B"/>
    <w:rsid w:val="00100DB9"/>
    <w:rsid w:val="00101619"/>
    <w:rsid w:val="0010170C"/>
    <w:rsid w:val="00101D4D"/>
    <w:rsid w:val="00101E9E"/>
    <w:rsid w:val="001024AC"/>
    <w:rsid w:val="0010255D"/>
    <w:rsid w:val="001025BA"/>
    <w:rsid w:val="001027D0"/>
    <w:rsid w:val="00102867"/>
    <w:rsid w:val="00102987"/>
    <w:rsid w:val="0010299C"/>
    <w:rsid w:val="00102A46"/>
    <w:rsid w:val="00102DDB"/>
    <w:rsid w:val="00102FED"/>
    <w:rsid w:val="001033B2"/>
    <w:rsid w:val="00103857"/>
    <w:rsid w:val="00103BB9"/>
    <w:rsid w:val="00103F1C"/>
    <w:rsid w:val="001045AB"/>
    <w:rsid w:val="00105085"/>
    <w:rsid w:val="0010545E"/>
    <w:rsid w:val="0010549E"/>
    <w:rsid w:val="00105521"/>
    <w:rsid w:val="00105838"/>
    <w:rsid w:val="00105B74"/>
    <w:rsid w:val="00105CC7"/>
    <w:rsid w:val="0010633D"/>
    <w:rsid w:val="001065F0"/>
    <w:rsid w:val="00106B52"/>
    <w:rsid w:val="00106C7D"/>
    <w:rsid w:val="00106E52"/>
    <w:rsid w:val="0010703B"/>
    <w:rsid w:val="00107263"/>
    <w:rsid w:val="001073A9"/>
    <w:rsid w:val="00107DA0"/>
    <w:rsid w:val="00107DA8"/>
    <w:rsid w:val="00110017"/>
    <w:rsid w:val="001101A1"/>
    <w:rsid w:val="0011083B"/>
    <w:rsid w:val="00110876"/>
    <w:rsid w:val="00110B57"/>
    <w:rsid w:val="001112C1"/>
    <w:rsid w:val="00111769"/>
    <w:rsid w:val="0011187D"/>
    <w:rsid w:val="001118B5"/>
    <w:rsid w:val="00111929"/>
    <w:rsid w:val="00111B71"/>
    <w:rsid w:val="001122E7"/>
    <w:rsid w:val="0011250F"/>
    <w:rsid w:val="00112841"/>
    <w:rsid w:val="0011292F"/>
    <w:rsid w:val="00112D26"/>
    <w:rsid w:val="001131C0"/>
    <w:rsid w:val="0011375F"/>
    <w:rsid w:val="001148F9"/>
    <w:rsid w:val="00114CAD"/>
    <w:rsid w:val="00114DC0"/>
    <w:rsid w:val="00114EC4"/>
    <w:rsid w:val="00115173"/>
    <w:rsid w:val="00115218"/>
    <w:rsid w:val="001154AE"/>
    <w:rsid w:val="001167D9"/>
    <w:rsid w:val="00117434"/>
    <w:rsid w:val="00117775"/>
    <w:rsid w:val="00117B07"/>
    <w:rsid w:val="00117F6D"/>
    <w:rsid w:val="00120532"/>
    <w:rsid w:val="0012060B"/>
    <w:rsid w:val="001214E9"/>
    <w:rsid w:val="00121824"/>
    <w:rsid w:val="00122B12"/>
    <w:rsid w:val="00122D57"/>
    <w:rsid w:val="00122F99"/>
    <w:rsid w:val="0012310E"/>
    <w:rsid w:val="00123243"/>
    <w:rsid w:val="00123664"/>
    <w:rsid w:val="00123B93"/>
    <w:rsid w:val="00123BEA"/>
    <w:rsid w:val="00123DAD"/>
    <w:rsid w:val="00123EFE"/>
    <w:rsid w:val="0012437D"/>
    <w:rsid w:val="00124B3F"/>
    <w:rsid w:val="00124ED7"/>
    <w:rsid w:val="00124EE3"/>
    <w:rsid w:val="00125248"/>
    <w:rsid w:val="00125440"/>
    <w:rsid w:val="001254CC"/>
    <w:rsid w:val="001255AC"/>
    <w:rsid w:val="0012574C"/>
    <w:rsid w:val="00125D98"/>
    <w:rsid w:val="0012629F"/>
    <w:rsid w:val="00126568"/>
    <w:rsid w:val="00126827"/>
    <w:rsid w:val="00126A05"/>
    <w:rsid w:val="00126CF7"/>
    <w:rsid w:val="00126E2F"/>
    <w:rsid w:val="00126EB7"/>
    <w:rsid w:val="00127C19"/>
    <w:rsid w:val="00130409"/>
    <w:rsid w:val="00130460"/>
    <w:rsid w:val="0013077B"/>
    <w:rsid w:val="0013097F"/>
    <w:rsid w:val="001309AB"/>
    <w:rsid w:val="00130B42"/>
    <w:rsid w:val="00130B6E"/>
    <w:rsid w:val="00130BF2"/>
    <w:rsid w:val="00130F7C"/>
    <w:rsid w:val="00131099"/>
    <w:rsid w:val="001311DB"/>
    <w:rsid w:val="001313A6"/>
    <w:rsid w:val="0013141F"/>
    <w:rsid w:val="00131522"/>
    <w:rsid w:val="0013169C"/>
    <w:rsid w:val="001317E4"/>
    <w:rsid w:val="0013189B"/>
    <w:rsid w:val="00131A9B"/>
    <w:rsid w:val="00131BC2"/>
    <w:rsid w:val="00131D32"/>
    <w:rsid w:val="00131F51"/>
    <w:rsid w:val="0013263F"/>
    <w:rsid w:val="0013273B"/>
    <w:rsid w:val="00133290"/>
    <w:rsid w:val="001332F9"/>
    <w:rsid w:val="00133900"/>
    <w:rsid w:val="00133B60"/>
    <w:rsid w:val="00133C9C"/>
    <w:rsid w:val="00133D84"/>
    <w:rsid w:val="00133E7A"/>
    <w:rsid w:val="00133F88"/>
    <w:rsid w:val="00133FF4"/>
    <w:rsid w:val="00134634"/>
    <w:rsid w:val="001349C7"/>
    <w:rsid w:val="00134A26"/>
    <w:rsid w:val="001353E7"/>
    <w:rsid w:val="0013576F"/>
    <w:rsid w:val="0013599E"/>
    <w:rsid w:val="00135E6D"/>
    <w:rsid w:val="00135EE2"/>
    <w:rsid w:val="0013617D"/>
    <w:rsid w:val="0013622D"/>
    <w:rsid w:val="00136499"/>
    <w:rsid w:val="00136745"/>
    <w:rsid w:val="00136C9D"/>
    <w:rsid w:val="00136DA3"/>
    <w:rsid w:val="00137505"/>
    <w:rsid w:val="001378AC"/>
    <w:rsid w:val="001378BF"/>
    <w:rsid w:val="00137900"/>
    <w:rsid w:val="00137F6C"/>
    <w:rsid w:val="00140062"/>
    <w:rsid w:val="001404A8"/>
    <w:rsid w:val="0014072F"/>
    <w:rsid w:val="00140AA8"/>
    <w:rsid w:val="00140D9F"/>
    <w:rsid w:val="00140ED2"/>
    <w:rsid w:val="00140F34"/>
    <w:rsid w:val="00141099"/>
    <w:rsid w:val="00141295"/>
    <w:rsid w:val="0014153A"/>
    <w:rsid w:val="00141692"/>
    <w:rsid w:val="00141A0B"/>
    <w:rsid w:val="00141E2B"/>
    <w:rsid w:val="00141F59"/>
    <w:rsid w:val="00142218"/>
    <w:rsid w:val="001422FC"/>
    <w:rsid w:val="001424B7"/>
    <w:rsid w:val="0014252A"/>
    <w:rsid w:val="00142550"/>
    <w:rsid w:val="001425DC"/>
    <w:rsid w:val="001427B1"/>
    <w:rsid w:val="001427E9"/>
    <w:rsid w:val="00142872"/>
    <w:rsid w:val="00142A48"/>
    <w:rsid w:val="00142F35"/>
    <w:rsid w:val="001432E2"/>
    <w:rsid w:val="001440D9"/>
    <w:rsid w:val="0014480C"/>
    <w:rsid w:val="001449BE"/>
    <w:rsid w:val="00144B60"/>
    <w:rsid w:val="00144E1B"/>
    <w:rsid w:val="00144EBC"/>
    <w:rsid w:val="001451B3"/>
    <w:rsid w:val="0014530F"/>
    <w:rsid w:val="00145321"/>
    <w:rsid w:val="0014591D"/>
    <w:rsid w:val="00145E5A"/>
    <w:rsid w:val="00145F16"/>
    <w:rsid w:val="001463F3"/>
    <w:rsid w:val="00146627"/>
    <w:rsid w:val="001469C1"/>
    <w:rsid w:val="00146A65"/>
    <w:rsid w:val="00146AE0"/>
    <w:rsid w:val="00146C7B"/>
    <w:rsid w:val="00147157"/>
    <w:rsid w:val="00147394"/>
    <w:rsid w:val="001474F8"/>
    <w:rsid w:val="00147A27"/>
    <w:rsid w:val="00147EF4"/>
    <w:rsid w:val="00150068"/>
    <w:rsid w:val="00150142"/>
    <w:rsid w:val="0015064F"/>
    <w:rsid w:val="0015065F"/>
    <w:rsid w:val="00150B61"/>
    <w:rsid w:val="00151038"/>
    <w:rsid w:val="00151159"/>
    <w:rsid w:val="001517C8"/>
    <w:rsid w:val="00151D8E"/>
    <w:rsid w:val="00151F71"/>
    <w:rsid w:val="00152001"/>
    <w:rsid w:val="00152634"/>
    <w:rsid w:val="001528FF"/>
    <w:rsid w:val="001529D2"/>
    <w:rsid w:val="00152F6A"/>
    <w:rsid w:val="00153001"/>
    <w:rsid w:val="001535E3"/>
    <w:rsid w:val="00153769"/>
    <w:rsid w:val="001538CC"/>
    <w:rsid w:val="001538F5"/>
    <w:rsid w:val="001539D8"/>
    <w:rsid w:val="00153E6E"/>
    <w:rsid w:val="00154044"/>
    <w:rsid w:val="001544DC"/>
    <w:rsid w:val="0015482E"/>
    <w:rsid w:val="00154A98"/>
    <w:rsid w:val="00154FAA"/>
    <w:rsid w:val="0015502C"/>
    <w:rsid w:val="001551AE"/>
    <w:rsid w:val="00155395"/>
    <w:rsid w:val="0015543B"/>
    <w:rsid w:val="00155A3F"/>
    <w:rsid w:val="00155DE9"/>
    <w:rsid w:val="0015616B"/>
    <w:rsid w:val="00156185"/>
    <w:rsid w:val="00156B87"/>
    <w:rsid w:val="00156DE2"/>
    <w:rsid w:val="00156FA6"/>
    <w:rsid w:val="00157260"/>
    <w:rsid w:val="00157333"/>
    <w:rsid w:val="001577C2"/>
    <w:rsid w:val="00157887"/>
    <w:rsid w:val="00157A1A"/>
    <w:rsid w:val="00157DFD"/>
    <w:rsid w:val="00157E4F"/>
    <w:rsid w:val="001604DF"/>
    <w:rsid w:val="001605A2"/>
    <w:rsid w:val="001606F7"/>
    <w:rsid w:val="00160CF5"/>
    <w:rsid w:val="00161000"/>
    <w:rsid w:val="00161740"/>
    <w:rsid w:val="001618FD"/>
    <w:rsid w:val="00161C0B"/>
    <w:rsid w:val="00161EB0"/>
    <w:rsid w:val="00162226"/>
    <w:rsid w:val="001623CF"/>
    <w:rsid w:val="001626C5"/>
    <w:rsid w:val="00162779"/>
    <w:rsid w:val="001629A2"/>
    <w:rsid w:val="001633AD"/>
    <w:rsid w:val="00163998"/>
    <w:rsid w:val="00163B86"/>
    <w:rsid w:val="00163E49"/>
    <w:rsid w:val="001641D2"/>
    <w:rsid w:val="0016438E"/>
    <w:rsid w:val="00164607"/>
    <w:rsid w:val="0016472B"/>
    <w:rsid w:val="00164816"/>
    <w:rsid w:val="00164934"/>
    <w:rsid w:val="00164E04"/>
    <w:rsid w:val="00165200"/>
    <w:rsid w:val="001653E7"/>
    <w:rsid w:val="0016577A"/>
    <w:rsid w:val="001657BA"/>
    <w:rsid w:val="00165B45"/>
    <w:rsid w:val="00165BAB"/>
    <w:rsid w:val="00165D7F"/>
    <w:rsid w:val="00165EDC"/>
    <w:rsid w:val="00166343"/>
    <w:rsid w:val="00166964"/>
    <w:rsid w:val="00166CE9"/>
    <w:rsid w:val="001673FF"/>
    <w:rsid w:val="00167FA9"/>
    <w:rsid w:val="001701A2"/>
    <w:rsid w:val="0017032B"/>
    <w:rsid w:val="0017040E"/>
    <w:rsid w:val="00170A65"/>
    <w:rsid w:val="00170AAC"/>
    <w:rsid w:val="00170DEF"/>
    <w:rsid w:val="0017113F"/>
    <w:rsid w:val="001711FD"/>
    <w:rsid w:val="0017137B"/>
    <w:rsid w:val="00171560"/>
    <w:rsid w:val="00171CCF"/>
    <w:rsid w:val="00171DCE"/>
    <w:rsid w:val="00171F7B"/>
    <w:rsid w:val="00172314"/>
    <w:rsid w:val="00172FEC"/>
    <w:rsid w:val="001733AD"/>
    <w:rsid w:val="00173FEC"/>
    <w:rsid w:val="0017405D"/>
    <w:rsid w:val="001740E9"/>
    <w:rsid w:val="00174419"/>
    <w:rsid w:val="001748E9"/>
    <w:rsid w:val="001757F1"/>
    <w:rsid w:val="00175846"/>
    <w:rsid w:val="001759CC"/>
    <w:rsid w:val="00175A22"/>
    <w:rsid w:val="00175AF9"/>
    <w:rsid w:val="00175E25"/>
    <w:rsid w:val="00175E89"/>
    <w:rsid w:val="00175F0C"/>
    <w:rsid w:val="00175F37"/>
    <w:rsid w:val="00175F9F"/>
    <w:rsid w:val="001761BC"/>
    <w:rsid w:val="00176915"/>
    <w:rsid w:val="0017694C"/>
    <w:rsid w:val="00176E67"/>
    <w:rsid w:val="001770A8"/>
    <w:rsid w:val="0017726D"/>
    <w:rsid w:val="00177283"/>
    <w:rsid w:val="00177498"/>
    <w:rsid w:val="00177504"/>
    <w:rsid w:val="00177755"/>
    <w:rsid w:val="001779CC"/>
    <w:rsid w:val="00177C98"/>
    <w:rsid w:val="001800B8"/>
    <w:rsid w:val="00180487"/>
    <w:rsid w:val="00180544"/>
    <w:rsid w:val="001806A1"/>
    <w:rsid w:val="00180FAA"/>
    <w:rsid w:val="001812DB"/>
    <w:rsid w:val="00181340"/>
    <w:rsid w:val="001817DC"/>
    <w:rsid w:val="0018199D"/>
    <w:rsid w:val="00181B7D"/>
    <w:rsid w:val="00181E35"/>
    <w:rsid w:val="001821EA"/>
    <w:rsid w:val="00182268"/>
    <w:rsid w:val="001824A4"/>
    <w:rsid w:val="00182C9F"/>
    <w:rsid w:val="00183937"/>
    <w:rsid w:val="00183BA0"/>
    <w:rsid w:val="00183C71"/>
    <w:rsid w:val="00183D06"/>
    <w:rsid w:val="00183ED9"/>
    <w:rsid w:val="00183EE7"/>
    <w:rsid w:val="00184269"/>
    <w:rsid w:val="00184517"/>
    <w:rsid w:val="0018492F"/>
    <w:rsid w:val="001850DB"/>
    <w:rsid w:val="00185218"/>
    <w:rsid w:val="00185839"/>
    <w:rsid w:val="0018592C"/>
    <w:rsid w:val="00185A0A"/>
    <w:rsid w:val="00185B3E"/>
    <w:rsid w:val="00185E2E"/>
    <w:rsid w:val="00186041"/>
    <w:rsid w:val="0018610C"/>
    <w:rsid w:val="00186163"/>
    <w:rsid w:val="001863C0"/>
    <w:rsid w:val="001865C7"/>
    <w:rsid w:val="00186893"/>
    <w:rsid w:val="001868D5"/>
    <w:rsid w:val="00186D82"/>
    <w:rsid w:val="001873EB"/>
    <w:rsid w:val="001874DC"/>
    <w:rsid w:val="001876BB"/>
    <w:rsid w:val="001876FB"/>
    <w:rsid w:val="00187C44"/>
    <w:rsid w:val="00187E6D"/>
    <w:rsid w:val="00187FAF"/>
    <w:rsid w:val="001900B2"/>
    <w:rsid w:val="0019082A"/>
    <w:rsid w:val="001908A0"/>
    <w:rsid w:val="00190A6E"/>
    <w:rsid w:val="00190BF0"/>
    <w:rsid w:val="00190F73"/>
    <w:rsid w:val="0019134A"/>
    <w:rsid w:val="00191673"/>
    <w:rsid w:val="0019176D"/>
    <w:rsid w:val="0019187A"/>
    <w:rsid w:val="001919D3"/>
    <w:rsid w:val="00191F6C"/>
    <w:rsid w:val="00191FA4"/>
    <w:rsid w:val="001920C7"/>
    <w:rsid w:val="0019228F"/>
    <w:rsid w:val="001924B7"/>
    <w:rsid w:val="001925ED"/>
    <w:rsid w:val="0019270B"/>
    <w:rsid w:val="00192D59"/>
    <w:rsid w:val="00193217"/>
    <w:rsid w:val="00193989"/>
    <w:rsid w:val="00193D79"/>
    <w:rsid w:val="00194117"/>
    <w:rsid w:val="00194583"/>
    <w:rsid w:val="00194B18"/>
    <w:rsid w:val="00194BFB"/>
    <w:rsid w:val="00194C90"/>
    <w:rsid w:val="00194F84"/>
    <w:rsid w:val="0019513F"/>
    <w:rsid w:val="001953AE"/>
    <w:rsid w:val="00195773"/>
    <w:rsid w:val="00195857"/>
    <w:rsid w:val="00195E6B"/>
    <w:rsid w:val="0019642B"/>
    <w:rsid w:val="00196504"/>
    <w:rsid w:val="001966EB"/>
    <w:rsid w:val="00196819"/>
    <w:rsid w:val="00196DDE"/>
    <w:rsid w:val="00196FF0"/>
    <w:rsid w:val="0019712D"/>
    <w:rsid w:val="001972A2"/>
    <w:rsid w:val="00197400"/>
    <w:rsid w:val="00197808"/>
    <w:rsid w:val="001978E5"/>
    <w:rsid w:val="001979F7"/>
    <w:rsid w:val="00197ADD"/>
    <w:rsid w:val="00197B7E"/>
    <w:rsid w:val="00197C7B"/>
    <w:rsid w:val="00197FE3"/>
    <w:rsid w:val="00197FF8"/>
    <w:rsid w:val="001A012D"/>
    <w:rsid w:val="001A0350"/>
    <w:rsid w:val="001A081B"/>
    <w:rsid w:val="001A0A06"/>
    <w:rsid w:val="001A0A68"/>
    <w:rsid w:val="001A1CFD"/>
    <w:rsid w:val="001A209F"/>
    <w:rsid w:val="001A212E"/>
    <w:rsid w:val="001A241B"/>
    <w:rsid w:val="001A278C"/>
    <w:rsid w:val="001A2998"/>
    <w:rsid w:val="001A2A69"/>
    <w:rsid w:val="001A2CFF"/>
    <w:rsid w:val="001A2E17"/>
    <w:rsid w:val="001A301A"/>
    <w:rsid w:val="001A317D"/>
    <w:rsid w:val="001A3AC8"/>
    <w:rsid w:val="001A3CB7"/>
    <w:rsid w:val="001A3D6F"/>
    <w:rsid w:val="001A3D82"/>
    <w:rsid w:val="001A3D98"/>
    <w:rsid w:val="001A3F24"/>
    <w:rsid w:val="001A406E"/>
    <w:rsid w:val="001A40B0"/>
    <w:rsid w:val="001A445B"/>
    <w:rsid w:val="001A4571"/>
    <w:rsid w:val="001A4A14"/>
    <w:rsid w:val="001A4E9B"/>
    <w:rsid w:val="001A5309"/>
    <w:rsid w:val="001A5369"/>
    <w:rsid w:val="001A53DB"/>
    <w:rsid w:val="001A5636"/>
    <w:rsid w:val="001A57DB"/>
    <w:rsid w:val="001A5967"/>
    <w:rsid w:val="001A5A8F"/>
    <w:rsid w:val="001A5E30"/>
    <w:rsid w:val="001A6C94"/>
    <w:rsid w:val="001A7083"/>
    <w:rsid w:val="001A72F8"/>
    <w:rsid w:val="001A7351"/>
    <w:rsid w:val="001A747B"/>
    <w:rsid w:val="001A7564"/>
    <w:rsid w:val="001A7609"/>
    <w:rsid w:val="001A760F"/>
    <w:rsid w:val="001A78C6"/>
    <w:rsid w:val="001A799D"/>
    <w:rsid w:val="001A7D4B"/>
    <w:rsid w:val="001A7F90"/>
    <w:rsid w:val="001B04B9"/>
    <w:rsid w:val="001B0662"/>
    <w:rsid w:val="001B0B71"/>
    <w:rsid w:val="001B1278"/>
    <w:rsid w:val="001B134A"/>
    <w:rsid w:val="001B1505"/>
    <w:rsid w:val="001B17D4"/>
    <w:rsid w:val="001B199F"/>
    <w:rsid w:val="001B1A25"/>
    <w:rsid w:val="001B1A9C"/>
    <w:rsid w:val="001B1BC3"/>
    <w:rsid w:val="001B1E56"/>
    <w:rsid w:val="001B1F28"/>
    <w:rsid w:val="001B23C3"/>
    <w:rsid w:val="001B28E1"/>
    <w:rsid w:val="001B2A9F"/>
    <w:rsid w:val="001B2CC5"/>
    <w:rsid w:val="001B3040"/>
    <w:rsid w:val="001B3822"/>
    <w:rsid w:val="001B38AB"/>
    <w:rsid w:val="001B3B91"/>
    <w:rsid w:val="001B3BD0"/>
    <w:rsid w:val="001B3C4D"/>
    <w:rsid w:val="001B412E"/>
    <w:rsid w:val="001B4925"/>
    <w:rsid w:val="001B510E"/>
    <w:rsid w:val="001B5579"/>
    <w:rsid w:val="001B5BD3"/>
    <w:rsid w:val="001B5D03"/>
    <w:rsid w:val="001B647A"/>
    <w:rsid w:val="001B64FA"/>
    <w:rsid w:val="001B68D9"/>
    <w:rsid w:val="001B699B"/>
    <w:rsid w:val="001B6B4D"/>
    <w:rsid w:val="001B6CFB"/>
    <w:rsid w:val="001B6D36"/>
    <w:rsid w:val="001B6E6E"/>
    <w:rsid w:val="001B76ED"/>
    <w:rsid w:val="001B7D3B"/>
    <w:rsid w:val="001B7D61"/>
    <w:rsid w:val="001B7E79"/>
    <w:rsid w:val="001C0199"/>
    <w:rsid w:val="001C02FA"/>
    <w:rsid w:val="001C06C7"/>
    <w:rsid w:val="001C0AD2"/>
    <w:rsid w:val="001C0BF8"/>
    <w:rsid w:val="001C1345"/>
    <w:rsid w:val="001C1437"/>
    <w:rsid w:val="001C160B"/>
    <w:rsid w:val="001C1661"/>
    <w:rsid w:val="001C1815"/>
    <w:rsid w:val="001C18B1"/>
    <w:rsid w:val="001C1AF2"/>
    <w:rsid w:val="001C1BA4"/>
    <w:rsid w:val="001C1CED"/>
    <w:rsid w:val="001C2185"/>
    <w:rsid w:val="001C22D2"/>
    <w:rsid w:val="001C241F"/>
    <w:rsid w:val="001C2B7B"/>
    <w:rsid w:val="001C2D8D"/>
    <w:rsid w:val="001C3144"/>
    <w:rsid w:val="001C32B3"/>
    <w:rsid w:val="001C32EB"/>
    <w:rsid w:val="001C350D"/>
    <w:rsid w:val="001C3835"/>
    <w:rsid w:val="001C38C5"/>
    <w:rsid w:val="001C3AE0"/>
    <w:rsid w:val="001C3AEA"/>
    <w:rsid w:val="001C3BF0"/>
    <w:rsid w:val="001C4049"/>
    <w:rsid w:val="001C44EC"/>
    <w:rsid w:val="001C4800"/>
    <w:rsid w:val="001C4AB0"/>
    <w:rsid w:val="001C4D0B"/>
    <w:rsid w:val="001C4F4C"/>
    <w:rsid w:val="001C5155"/>
    <w:rsid w:val="001C554F"/>
    <w:rsid w:val="001C5651"/>
    <w:rsid w:val="001C57EC"/>
    <w:rsid w:val="001C5C95"/>
    <w:rsid w:val="001C61E1"/>
    <w:rsid w:val="001C6315"/>
    <w:rsid w:val="001C6316"/>
    <w:rsid w:val="001C64AB"/>
    <w:rsid w:val="001C6566"/>
    <w:rsid w:val="001C6576"/>
    <w:rsid w:val="001C6911"/>
    <w:rsid w:val="001C6CEB"/>
    <w:rsid w:val="001C6F51"/>
    <w:rsid w:val="001C76F4"/>
    <w:rsid w:val="001C78D6"/>
    <w:rsid w:val="001C7D6C"/>
    <w:rsid w:val="001D0128"/>
    <w:rsid w:val="001D028D"/>
    <w:rsid w:val="001D02D2"/>
    <w:rsid w:val="001D042D"/>
    <w:rsid w:val="001D0B6E"/>
    <w:rsid w:val="001D0F73"/>
    <w:rsid w:val="001D11C8"/>
    <w:rsid w:val="001D12C3"/>
    <w:rsid w:val="001D135D"/>
    <w:rsid w:val="001D1AFC"/>
    <w:rsid w:val="001D1B26"/>
    <w:rsid w:val="001D1D0B"/>
    <w:rsid w:val="001D1F24"/>
    <w:rsid w:val="001D2113"/>
    <w:rsid w:val="001D228E"/>
    <w:rsid w:val="001D25AB"/>
    <w:rsid w:val="001D2FED"/>
    <w:rsid w:val="001D3168"/>
    <w:rsid w:val="001D3295"/>
    <w:rsid w:val="001D387B"/>
    <w:rsid w:val="001D38BE"/>
    <w:rsid w:val="001D3AE7"/>
    <w:rsid w:val="001D45E2"/>
    <w:rsid w:val="001D4858"/>
    <w:rsid w:val="001D5061"/>
    <w:rsid w:val="001D50DF"/>
    <w:rsid w:val="001D5285"/>
    <w:rsid w:val="001D553F"/>
    <w:rsid w:val="001D5843"/>
    <w:rsid w:val="001D5C07"/>
    <w:rsid w:val="001D5E2E"/>
    <w:rsid w:val="001D6BAD"/>
    <w:rsid w:val="001D6CAC"/>
    <w:rsid w:val="001D7531"/>
    <w:rsid w:val="001D7789"/>
    <w:rsid w:val="001D7803"/>
    <w:rsid w:val="001D7A66"/>
    <w:rsid w:val="001D7B74"/>
    <w:rsid w:val="001D7CCF"/>
    <w:rsid w:val="001D7E9D"/>
    <w:rsid w:val="001D7ED5"/>
    <w:rsid w:val="001D7FC1"/>
    <w:rsid w:val="001E00C0"/>
    <w:rsid w:val="001E03B5"/>
    <w:rsid w:val="001E0414"/>
    <w:rsid w:val="001E06F3"/>
    <w:rsid w:val="001E0707"/>
    <w:rsid w:val="001E0738"/>
    <w:rsid w:val="001E09EF"/>
    <w:rsid w:val="001E13EA"/>
    <w:rsid w:val="001E1469"/>
    <w:rsid w:val="001E1544"/>
    <w:rsid w:val="001E16C5"/>
    <w:rsid w:val="001E1D76"/>
    <w:rsid w:val="001E1E5B"/>
    <w:rsid w:val="001E2165"/>
    <w:rsid w:val="001E2244"/>
    <w:rsid w:val="001E23AE"/>
    <w:rsid w:val="001E2458"/>
    <w:rsid w:val="001E2AFD"/>
    <w:rsid w:val="001E2BAC"/>
    <w:rsid w:val="001E2F68"/>
    <w:rsid w:val="001E2F74"/>
    <w:rsid w:val="001E2F86"/>
    <w:rsid w:val="001E302B"/>
    <w:rsid w:val="001E3199"/>
    <w:rsid w:val="001E31C5"/>
    <w:rsid w:val="001E3335"/>
    <w:rsid w:val="001E389F"/>
    <w:rsid w:val="001E45DC"/>
    <w:rsid w:val="001E4840"/>
    <w:rsid w:val="001E4DD2"/>
    <w:rsid w:val="001E50DB"/>
    <w:rsid w:val="001E531F"/>
    <w:rsid w:val="001E55AE"/>
    <w:rsid w:val="001E5B0E"/>
    <w:rsid w:val="001E5B2F"/>
    <w:rsid w:val="001E5C84"/>
    <w:rsid w:val="001E5D0E"/>
    <w:rsid w:val="001E5ED6"/>
    <w:rsid w:val="001E611B"/>
    <w:rsid w:val="001E64D0"/>
    <w:rsid w:val="001E65D8"/>
    <w:rsid w:val="001E65EE"/>
    <w:rsid w:val="001E680A"/>
    <w:rsid w:val="001E6B3B"/>
    <w:rsid w:val="001E6E87"/>
    <w:rsid w:val="001E6EC4"/>
    <w:rsid w:val="001E6F11"/>
    <w:rsid w:val="001E6F4A"/>
    <w:rsid w:val="001E70D2"/>
    <w:rsid w:val="001E7581"/>
    <w:rsid w:val="001E7A29"/>
    <w:rsid w:val="001E7BE1"/>
    <w:rsid w:val="001F004C"/>
    <w:rsid w:val="001F02B6"/>
    <w:rsid w:val="001F0399"/>
    <w:rsid w:val="001F0451"/>
    <w:rsid w:val="001F08B5"/>
    <w:rsid w:val="001F0997"/>
    <w:rsid w:val="001F09AA"/>
    <w:rsid w:val="001F0A0F"/>
    <w:rsid w:val="001F0B73"/>
    <w:rsid w:val="001F1683"/>
    <w:rsid w:val="001F1C40"/>
    <w:rsid w:val="001F2430"/>
    <w:rsid w:val="001F27AF"/>
    <w:rsid w:val="001F2B9B"/>
    <w:rsid w:val="001F2FD1"/>
    <w:rsid w:val="001F30CA"/>
    <w:rsid w:val="001F3283"/>
    <w:rsid w:val="001F419B"/>
    <w:rsid w:val="001F45C4"/>
    <w:rsid w:val="001F49CD"/>
    <w:rsid w:val="001F4D9A"/>
    <w:rsid w:val="001F4F33"/>
    <w:rsid w:val="001F5079"/>
    <w:rsid w:val="001F53A3"/>
    <w:rsid w:val="001F53AE"/>
    <w:rsid w:val="001F5507"/>
    <w:rsid w:val="001F5593"/>
    <w:rsid w:val="001F5643"/>
    <w:rsid w:val="001F5D0E"/>
    <w:rsid w:val="001F5FA3"/>
    <w:rsid w:val="001F60F5"/>
    <w:rsid w:val="001F63D6"/>
    <w:rsid w:val="001F6A44"/>
    <w:rsid w:val="001F6F49"/>
    <w:rsid w:val="001F712D"/>
    <w:rsid w:val="001F728C"/>
    <w:rsid w:val="001F760F"/>
    <w:rsid w:val="001F7C9F"/>
    <w:rsid w:val="0020003B"/>
    <w:rsid w:val="0020007E"/>
    <w:rsid w:val="00200317"/>
    <w:rsid w:val="002004C7"/>
    <w:rsid w:val="002005B3"/>
    <w:rsid w:val="00200C26"/>
    <w:rsid w:val="00200D15"/>
    <w:rsid w:val="0020114B"/>
    <w:rsid w:val="00201212"/>
    <w:rsid w:val="00201394"/>
    <w:rsid w:val="0020157D"/>
    <w:rsid w:val="00201751"/>
    <w:rsid w:val="002017DC"/>
    <w:rsid w:val="00201804"/>
    <w:rsid w:val="00201AB7"/>
    <w:rsid w:val="00202149"/>
    <w:rsid w:val="00202466"/>
    <w:rsid w:val="0020284C"/>
    <w:rsid w:val="0020288D"/>
    <w:rsid w:val="00202A24"/>
    <w:rsid w:val="00202BE3"/>
    <w:rsid w:val="0020338B"/>
    <w:rsid w:val="002033E1"/>
    <w:rsid w:val="00203430"/>
    <w:rsid w:val="00203501"/>
    <w:rsid w:val="00203CE9"/>
    <w:rsid w:val="00204AF5"/>
    <w:rsid w:val="00204BF2"/>
    <w:rsid w:val="00204DD8"/>
    <w:rsid w:val="002053D6"/>
    <w:rsid w:val="0020577A"/>
    <w:rsid w:val="0020582A"/>
    <w:rsid w:val="00205907"/>
    <w:rsid w:val="00205EC7"/>
    <w:rsid w:val="00205F2F"/>
    <w:rsid w:val="00206152"/>
    <w:rsid w:val="00206A7A"/>
    <w:rsid w:val="00206DE4"/>
    <w:rsid w:val="002070B9"/>
    <w:rsid w:val="00207255"/>
    <w:rsid w:val="002077EF"/>
    <w:rsid w:val="002079F4"/>
    <w:rsid w:val="002100B3"/>
    <w:rsid w:val="002103EE"/>
    <w:rsid w:val="002103F1"/>
    <w:rsid w:val="002106F1"/>
    <w:rsid w:val="002107C2"/>
    <w:rsid w:val="00210AB9"/>
    <w:rsid w:val="00210C0C"/>
    <w:rsid w:val="00210FBB"/>
    <w:rsid w:val="00211077"/>
    <w:rsid w:val="0021126E"/>
    <w:rsid w:val="002113CE"/>
    <w:rsid w:val="0021146B"/>
    <w:rsid w:val="0021152D"/>
    <w:rsid w:val="00211694"/>
    <w:rsid w:val="00211BEF"/>
    <w:rsid w:val="002121F3"/>
    <w:rsid w:val="0021235D"/>
    <w:rsid w:val="0021249C"/>
    <w:rsid w:val="00212533"/>
    <w:rsid w:val="00212D99"/>
    <w:rsid w:val="00212F51"/>
    <w:rsid w:val="0021304E"/>
    <w:rsid w:val="0021342E"/>
    <w:rsid w:val="002136C0"/>
    <w:rsid w:val="00214705"/>
    <w:rsid w:val="00214877"/>
    <w:rsid w:val="00214B0C"/>
    <w:rsid w:val="00214BC8"/>
    <w:rsid w:val="00214CF9"/>
    <w:rsid w:val="00214F9D"/>
    <w:rsid w:val="0021512B"/>
    <w:rsid w:val="002154CF"/>
    <w:rsid w:val="00215585"/>
    <w:rsid w:val="00215587"/>
    <w:rsid w:val="002155F0"/>
    <w:rsid w:val="00215963"/>
    <w:rsid w:val="00215F04"/>
    <w:rsid w:val="00215FAA"/>
    <w:rsid w:val="00216293"/>
    <w:rsid w:val="0021632C"/>
    <w:rsid w:val="002164F8"/>
    <w:rsid w:val="0021681F"/>
    <w:rsid w:val="00216BC7"/>
    <w:rsid w:val="00216D3D"/>
    <w:rsid w:val="002171D7"/>
    <w:rsid w:val="002171F6"/>
    <w:rsid w:val="0021724D"/>
    <w:rsid w:val="00217625"/>
    <w:rsid w:val="00217804"/>
    <w:rsid w:val="00217A6F"/>
    <w:rsid w:val="00217ED3"/>
    <w:rsid w:val="0022017F"/>
    <w:rsid w:val="00220242"/>
    <w:rsid w:val="0022044E"/>
    <w:rsid w:val="00220706"/>
    <w:rsid w:val="00220CB7"/>
    <w:rsid w:val="002211F5"/>
    <w:rsid w:val="00221231"/>
    <w:rsid w:val="0022140F"/>
    <w:rsid w:val="0022194D"/>
    <w:rsid w:val="00221CC4"/>
    <w:rsid w:val="00221E89"/>
    <w:rsid w:val="00221FBC"/>
    <w:rsid w:val="0022285A"/>
    <w:rsid w:val="00223180"/>
    <w:rsid w:val="0022342A"/>
    <w:rsid w:val="002239B8"/>
    <w:rsid w:val="00224173"/>
    <w:rsid w:val="00224853"/>
    <w:rsid w:val="00224856"/>
    <w:rsid w:val="00224939"/>
    <w:rsid w:val="00224AC7"/>
    <w:rsid w:val="0022512D"/>
    <w:rsid w:val="00225378"/>
    <w:rsid w:val="00225558"/>
    <w:rsid w:val="00225964"/>
    <w:rsid w:val="0022596D"/>
    <w:rsid w:val="00225A2E"/>
    <w:rsid w:val="00225C05"/>
    <w:rsid w:val="00225C33"/>
    <w:rsid w:val="00225D16"/>
    <w:rsid w:val="00225F1D"/>
    <w:rsid w:val="00226959"/>
    <w:rsid w:val="0022705C"/>
    <w:rsid w:val="00227220"/>
    <w:rsid w:val="00227363"/>
    <w:rsid w:val="002275FF"/>
    <w:rsid w:val="002278A9"/>
    <w:rsid w:val="00227BA0"/>
    <w:rsid w:val="00227E83"/>
    <w:rsid w:val="0023008B"/>
    <w:rsid w:val="00230544"/>
    <w:rsid w:val="00230935"/>
    <w:rsid w:val="002309E0"/>
    <w:rsid w:val="002313C3"/>
    <w:rsid w:val="002314AC"/>
    <w:rsid w:val="00232081"/>
    <w:rsid w:val="002321F1"/>
    <w:rsid w:val="0023228C"/>
    <w:rsid w:val="00232499"/>
    <w:rsid w:val="00232646"/>
    <w:rsid w:val="0023287A"/>
    <w:rsid w:val="002329FE"/>
    <w:rsid w:val="00232BC0"/>
    <w:rsid w:val="00233377"/>
    <w:rsid w:val="00233455"/>
    <w:rsid w:val="00233D22"/>
    <w:rsid w:val="00233E59"/>
    <w:rsid w:val="00234084"/>
    <w:rsid w:val="0023429B"/>
    <w:rsid w:val="0023459D"/>
    <w:rsid w:val="00234A0B"/>
    <w:rsid w:val="00234F8B"/>
    <w:rsid w:val="0023526C"/>
    <w:rsid w:val="00235902"/>
    <w:rsid w:val="00235BA3"/>
    <w:rsid w:val="00235BCE"/>
    <w:rsid w:val="00236210"/>
    <w:rsid w:val="00236244"/>
    <w:rsid w:val="0023667C"/>
    <w:rsid w:val="002367B0"/>
    <w:rsid w:val="0023688E"/>
    <w:rsid w:val="0023699D"/>
    <w:rsid w:val="00236B09"/>
    <w:rsid w:val="00236D20"/>
    <w:rsid w:val="00236F7C"/>
    <w:rsid w:val="002372AD"/>
    <w:rsid w:val="0023739B"/>
    <w:rsid w:val="002376B7"/>
    <w:rsid w:val="0023778A"/>
    <w:rsid w:val="00237A33"/>
    <w:rsid w:val="00240063"/>
    <w:rsid w:val="00240366"/>
    <w:rsid w:val="002406F4"/>
    <w:rsid w:val="00241111"/>
    <w:rsid w:val="0024162B"/>
    <w:rsid w:val="00241CE4"/>
    <w:rsid w:val="00241E2D"/>
    <w:rsid w:val="00241E62"/>
    <w:rsid w:val="00242439"/>
    <w:rsid w:val="0024250C"/>
    <w:rsid w:val="0024283A"/>
    <w:rsid w:val="002428AD"/>
    <w:rsid w:val="00242AE2"/>
    <w:rsid w:val="00242FF0"/>
    <w:rsid w:val="0024316E"/>
    <w:rsid w:val="00243293"/>
    <w:rsid w:val="00243AF7"/>
    <w:rsid w:val="002440CD"/>
    <w:rsid w:val="00244AFB"/>
    <w:rsid w:val="00244E11"/>
    <w:rsid w:val="00244F6C"/>
    <w:rsid w:val="002453D8"/>
    <w:rsid w:val="00245A71"/>
    <w:rsid w:val="00245B8D"/>
    <w:rsid w:val="00245C9D"/>
    <w:rsid w:val="00245E8D"/>
    <w:rsid w:val="00245ECD"/>
    <w:rsid w:val="00246083"/>
    <w:rsid w:val="002460B3"/>
    <w:rsid w:val="0024650B"/>
    <w:rsid w:val="00246A1B"/>
    <w:rsid w:val="00246A6E"/>
    <w:rsid w:val="00246D49"/>
    <w:rsid w:val="00246E91"/>
    <w:rsid w:val="0024714D"/>
    <w:rsid w:val="002471FA"/>
    <w:rsid w:val="0024790E"/>
    <w:rsid w:val="00247932"/>
    <w:rsid w:val="00247F94"/>
    <w:rsid w:val="00250040"/>
    <w:rsid w:val="00250385"/>
    <w:rsid w:val="002505F8"/>
    <w:rsid w:val="002508CF"/>
    <w:rsid w:val="00250A33"/>
    <w:rsid w:val="00250B45"/>
    <w:rsid w:val="002510D0"/>
    <w:rsid w:val="00251143"/>
    <w:rsid w:val="00251409"/>
    <w:rsid w:val="0025149D"/>
    <w:rsid w:val="00251846"/>
    <w:rsid w:val="00251BE7"/>
    <w:rsid w:val="00251FCB"/>
    <w:rsid w:val="00251FE8"/>
    <w:rsid w:val="0025249E"/>
    <w:rsid w:val="00252FA8"/>
    <w:rsid w:val="0025312D"/>
    <w:rsid w:val="002532F2"/>
    <w:rsid w:val="00253546"/>
    <w:rsid w:val="00253592"/>
    <w:rsid w:val="002536D9"/>
    <w:rsid w:val="002537B4"/>
    <w:rsid w:val="00253862"/>
    <w:rsid w:val="00253D88"/>
    <w:rsid w:val="00253F4E"/>
    <w:rsid w:val="00254220"/>
    <w:rsid w:val="00254763"/>
    <w:rsid w:val="002547BA"/>
    <w:rsid w:val="00254DB5"/>
    <w:rsid w:val="0025539E"/>
    <w:rsid w:val="002553D1"/>
    <w:rsid w:val="0025569F"/>
    <w:rsid w:val="002558ED"/>
    <w:rsid w:val="00255C02"/>
    <w:rsid w:val="00255D31"/>
    <w:rsid w:val="00255D9B"/>
    <w:rsid w:val="00255FFD"/>
    <w:rsid w:val="002561EE"/>
    <w:rsid w:val="0025664A"/>
    <w:rsid w:val="00256BBB"/>
    <w:rsid w:val="00256C97"/>
    <w:rsid w:val="00256FD2"/>
    <w:rsid w:val="00257155"/>
    <w:rsid w:val="00257380"/>
    <w:rsid w:val="00257554"/>
    <w:rsid w:val="00260201"/>
    <w:rsid w:val="00260210"/>
    <w:rsid w:val="00260810"/>
    <w:rsid w:val="00260937"/>
    <w:rsid w:val="002609B1"/>
    <w:rsid w:val="00260E7C"/>
    <w:rsid w:val="00260F34"/>
    <w:rsid w:val="00260F86"/>
    <w:rsid w:val="0026104B"/>
    <w:rsid w:val="00261078"/>
    <w:rsid w:val="00261520"/>
    <w:rsid w:val="0026177A"/>
    <w:rsid w:val="00261C1C"/>
    <w:rsid w:val="00261D13"/>
    <w:rsid w:val="00261F34"/>
    <w:rsid w:val="00262102"/>
    <w:rsid w:val="0026219C"/>
    <w:rsid w:val="00262326"/>
    <w:rsid w:val="00262FC0"/>
    <w:rsid w:val="002638AE"/>
    <w:rsid w:val="002639A1"/>
    <w:rsid w:val="002639D2"/>
    <w:rsid w:val="00263DF6"/>
    <w:rsid w:val="00263E2C"/>
    <w:rsid w:val="002643B8"/>
    <w:rsid w:val="002647E1"/>
    <w:rsid w:val="002649BD"/>
    <w:rsid w:val="00264A8A"/>
    <w:rsid w:val="00264CCA"/>
    <w:rsid w:val="00265372"/>
    <w:rsid w:val="00265422"/>
    <w:rsid w:val="0026557E"/>
    <w:rsid w:val="00265C50"/>
    <w:rsid w:val="00265DAC"/>
    <w:rsid w:val="00265DE4"/>
    <w:rsid w:val="00266206"/>
    <w:rsid w:val="00266227"/>
    <w:rsid w:val="002664A6"/>
    <w:rsid w:val="00266B12"/>
    <w:rsid w:val="00266B40"/>
    <w:rsid w:val="00266DC1"/>
    <w:rsid w:val="00266F19"/>
    <w:rsid w:val="00267006"/>
    <w:rsid w:val="002671E2"/>
    <w:rsid w:val="002672CF"/>
    <w:rsid w:val="002673AF"/>
    <w:rsid w:val="00270205"/>
    <w:rsid w:val="0027069E"/>
    <w:rsid w:val="00270832"/>
    <w:rsid w:val="00270AAB"/>
    <w:rsid w:val="00270C40"/>
    <w:rsid w:val="00271129"/>
    <w:rsid w:val="00271325"/>
    <w:rsid w:val="00271336"/>
    <w:rsid w:val="00271506"/>
    <w:rsid w:val="002719B7"/>
    <w:rsid w:val="002719D1"/>
    <w:rsid w:val="00271BDC"/>
    <w:rsid w:val="00271ED4"/>
    <w:rsid w:val="002724F9"/>
    <w:rsid w:val="00272936"/>
    <w:rsid w:val="00272B93"/>
    <w:rsid w:val="00272BCB"/>
    <w:rsid w:val="00272EBA"/>
    <w:rsid w:val="002730F0"/>
    <w:rsid w:val="002731E8"/>
    <w:rsid w:val="00273222"/>
    <w:rsid w:val="002734EC"/>
    <w:rsid w:val="00273644"/>
    <w:rsid w:val="002736B2"/>
    <w:rsid w:val="00273C87"/>
    <w:rsid w:val="002740A8"/>
    <w:rsid w:val="00274739"/>
    <w:rsid w:val="00274943"/>
    <w:rsid w:val="00274C40"/>
    <w:rsid w:val="002754A9"/>
    <w:rsid w:val="002755CC"/>
    <w:rsid w:val="0027575C"/>
    <w:rsid w:val="00275D68"/>
    <w:rsid w:val="00275F73"/>
    <w:rsid w:val="002762AB"/>
    <w:rsid w:val="00276985"/>
    <w:rsid w:val="002769C2"/>
    <w:rsid w:val="00276B51"/>
    <w:rsid w:val="00276C4E"/>
    <w:rsid w:val="0027700A"/>
    <w:rsid w:val="0027720D"/>
    <w:rsid w:val="00277240"/>
    <w:rsid w:val="00277538"/>
    <w:rsid w:val="00277B09"/>
    <w:rsid w:val="00277B7A"/>
    <w:rsid w:val="00277B90"/>
    <w:rsid w:val="00277CB7"/>
    <w:rsid w:val="00280253"/>
    <w:rsid w:val="0028083D"/>
    <w:rsid w:val="0028102B"/>
    <w:rsid w:val="00281540"/>
    <w:rsid w:val="002816AB"/>
    <w:rsid w:val="00281858"/>
    <w:rsid w:val="00281D05"/>
    <w:rsid w:val="00282257"/>
    <w:rsid w:val="00282483"/>
    <w:rsid w:val="00282786"/>
    <w:rsid w:val="00282876"/>
    <w:rsid w:val="002828E3"/>
    <w:rsid w:val="00282DA3"/>
    <w:rsid w:val="00282EFC"/>
    <w:rsid w:val="002837A5"/>
    <w:rsid w:val="002838A3"/>
    <w:rsid w:val="002838E7"/>
    <w:rsid w:val="00283A5E"/>
    <w:rsid w:val="00283DEA"/>
    <w:rsid w:val="00283DF1"/>
    <w:rsid w:val="00283F08"/>
    <w:rsid w:val="0028428A"/>
    <w:rsid w:val="002843F7"/>
    <w:rsid w:val="002849BE"/>
    <w:rsid w:val="00284ADF"/>
    <w:rsid w:val="00284BA0"/>
    <w:rsid w:val="00284DA8"/>
    <w:rsid w:val="00284FC1"/>
    <w:rsid w:val="00285E37"/>
    <w:rsid w:val="00285E71"/>
    <w:rsid w:val="00286069"/>
    <w:rsid w:val="0028610C"/>
    <w:rsid w:val="0028665E"/>
    <w:rsid w:val="00286855"/>
    <w:rsid w:val="00286C77"/>
    <w:rsid w:val="00286D79"/>
    <w:rsid w:val="002872FA"/>
    <w:rsid w:val="00287356"/>
    <w:rsid w:val="002874B0"/>
    <w:rsid w:val="00287907"/>
    <w:rsid w:val="00287AFC"/>
    <w:rsid w:val="00287BE9"/>
    <w:rsid w:val="00290048"/>
    <w:rsid w:val="002909B4"/>
    <w:rsid w:val="00290E6B"/>
    <w:rsid w:val="00291154"/>
    <w:rsid w:val="002911B2"/>
    <w:rsid w:val="002912BC"/>
    <w:rsid w:val="00291376"/>
    <w:rsid w:val="00291D08"/>
    <w:rsid w:val="00291FD1"/>
    <w:rsid w:val="002922C9"/>
    <w:rsid w:val="002923E5"/>
    <w:rsid w:val="002925BA"/>
    <w:rsid w:val="00292898"/>
    <w:rsid w:val="00292B92"/>
    <w:rsid w:val="00292BFF"/>
    <w:rsid w:val="00292CFB"/>
    <w:rsid w:val="00293404"/>
    <w:rsid w:val="002935FF"/>
    <w:rsid w:val="00293A26"/>
    <w:rsid w:val="00293C33"/>
    <w:rsid w:val="00293FF2"/>
    <w:rsid w:val="00294451"/>
    <w:rsid w:val="002948D4"/>
    <w:rsid w:val="0029497F"/>
    <w:rsid w:val="00295410"/>
    <w:rsid w:val="00295692"/>
    <w:rsid w:val="00295DC8"/>
    <w:rsid w:val="002960F0"/>
    <w:rsid w:val="002962BB"/>
    <w:rsid w:val="00296499"/>
    <w:rsid w:val="00296FD6"/>
    <w:rsid w:val="00297025"/>
    <w:rsid w:val="002970EF"/>
    <w:rsid w:val="002977CB"/>
    <w:rsid w:val="00297D8C"/>
    <w:rsid w:val="00297EBD"/>
    <w:rsid w:val="00297FF4"/>
    <w:rsid w:val="002A00EB"/>
    <w:rsid w:val="002A0448"/>
    <w:rsid w:val="002A0481"/>
    <w:rsid w:val="002A0484"/>
    <w:rsid w:val="002A0A16"/>
    <w:rsid w:val="002A0A1A"/>
    <w:rsid w:val="002A0A78"/>
    <w:rsid w:val="002A0BFD"/>
    <w:rsid w:val="002A0CC3"/>
    <w:rsid w:val="002A0D2C"/>
    <w:rsid w:val="002A10BF"/>
    <w:rsid w:val="002A1329"/>
    <w:rsid w:val="002A1447"/>
    <w:rsid w:val="002A1794"/>
    <w:rsid w:val="002A18D2"/>
    <w:rsid w:val="002A1A6E"/>
    <w:rsid w:val="002A1C7E"/>
    <w:rsid w:val="002A203C"/>
    <w:rsid w:val="002A207D"/>
    <w:rsid w:val="002A22B5"/>
    <w:rsid w:val="002A232B"/>
    <w:rsid w:val="002A2371"/>
    <w:rsid w:val="002A239B"/>
    <w:rsid w:val="002A27B3"/>
    <w:rsid w:val="002A2857"/>
    <w:rsid w:val="002A2923"/>
    <w:rsid w:val="002A2A10"/>
    <w:rsid w:val="002A2D9A"/>
    <w:rsid w:val="002A33FA"/>
    <w:rsid w:val="002A3585"/>
    <w:rsid w:val="002A393D"/>
    <w:rsid w:val="002A39BF"/>
    <w:rsid w:val="002A3B5F"/>
    <w:rsid w:val="002A3D25"/>
    <w:rsid w:val="002A4325"/>
    <w:rsid w:val="002A43A5"/>
    <w:rsid w:val="002A4764"/>
    <w:rsid w:val="002A4A4C"/>
    <w:rsid w:val="002A544F"/>
    <w:rsid w:val="002A580F"/>
    <w:rsid w:val="002A58C3"/>
    <w:rsid w:val="002A5AED"/>
    <w:rsid w:val="002A5E18"/>
    <w:rsid w:val="002A637C"/>
    <w:rsid w:val="002A673A"/>
    <w:rsid w:val="002A7113"/>
    <w:rsid w:val="002A7310"/>
    <w:rsid w:val="002A77C9"/>
    <w:rsid w:val="002A7DE7"/>
    <w:rsid w:val="002A7F59"/>
    <w:rsid w:val="002B00EE"/>
    <w:rsid w:val="002B0332"/>
    <w:rsid w:val="002B03C7"/>
    <w:rsid w:val="002B07E8"/>
    <w:rsid w:val="002B0D96"/>
    <w:rsid w:val="002B107F"/>
    <w:rsid w:val="002B10E4"/>
    <w:rsid w:val="002B127E"/>
    <w:rsid w:val="002B12E1"/>
    <w:rsid w:val="002B16A7"/>
    <w:rsid w:val="002B1730"/>
    <w:rsid w:val="002B1B78"/>
    <w:rsid w:val="002B2307"/>
    <w:rsid w:val="002B2490"/>
    <w:rsid w:val="002B24A6"/>
    <w:rsid w:val="002B2843"/>
    <w:rsid w:val="002B2D49"/>
    <w:rsid w:val="002B2D8D"/>
    <w:rsid w:val="002B2F15"/>
    <w:rsid w:val="002B2F49"/>
    <w:rsid w:val="002B3069"/>
    <w:rsid w:val="002B3381"/>
    <w:rsid w:val="002B3439"/>
    <w:rsid w:val="002B3444"/>
    <w:rsid w:val="002B3704"/>
    <w:rsid w:val="002B3A39"/>
    <w:rsid w:val="002B3A3A"/>
    <w:rsid w:val="002B3AB4"/>
    <w:rsid w:val="002B3CD8"/>
    <w:rsid w:val="002B3E10"/>
    <w:rsid w:val="002B4281"/>
    <w:rsid w:val="002B4726"/>
    <w:rsid w:val="002B4751"/>
    <w:rsid w:val="002B48DF"/>
    <w:rsid w:val="002B4A28"/>
    <w:rsid w:val="002B4C95"/>
    <w:rsid w:val="002B4D5C"/>
    <w:rsid w:val="002B4FB3"/>
    <w:rsid w:val="002B5296"/>
    <w:rsid w:val="002B54C6"/>
    <w:rsid w:val="002B5B5E"/>
    <w:rsid w:val="002B5F47"/>
    <w:rsid w:val="002B602C"/>
    <w:rsid w:val="002B6670"/>
    <w:rsid w:val="002B677C"/>
    <w:rsid w:val="002B6BA2"/>
    <w:rsid w:val="002B6CFC"/>
    <w:rsid w:val="002B7018"/>
    <w:rsid w:val="002B75B3"/>
    <w:rsid w:val="002B77F2"/>
    <w:rsid w:val="002B79A7"/>
    <w:rsid w:val="002B7A1A"/>
    <w:rsid w:val="002B7BBF"/>
    <w:rsid w:val="002B7D2E"/>
    <w:rsid w:val="002B7E7B"/>
    <w:rsid w:val="002B7EF8"/>
    <w:rsid w:val="002C00E8"/>
    <w:rsid w:val="002C01C2"/>
    <w:rsid w:val="002C03BC"/>
    <w:rsid w:val="002C05BD"/>
    <w:rsid w:val="002C0A66"/>
    <w:rsid w:val="002C0E71"/>
    <w:rsid w:val="002C10FE"/>
    <w:rsid w:val="002C1144"/>
    <w:rsid w:val="002C11DB"/>
    <w:rsid w:val="002C1345"/>
    <w:rsid w:val="002C14FA"/>
    <w:rsid w:val="002C16B3"/>
    <w:rsid w:val="002C17CD"/>
    <w:rsid w:val="002C1CD0"/>
    <w:rsid w:val="002C2027"/>
    <w:rsid w:val="002C2550"/>
    <w:rsid w:val="002C2A93"/>
    <w:rsid w:val="002C2B53"/>
    <w:rsid w:val="002C2B80"/>
    <w:rsid w:val="002C2FC9"/>
    <w:rsid w:val="002C31B0"/>
    <w:rsid w:val="002C34D0"/>
    <w:rsid w:val="002C36AE"/>
    <w:rsid w:val="002C38A5"/>
    <w:rsid w:val="002C3D3E"/>
    <w:rsid w:val="002C3D79"/>
    <w:rsid w:val="002C4889"/>
    <w:rsid w:val="002C4F86"/>
    <w:rsid w:val="002C5330"/>
    <w:rsid w:val="002C5471"/>
    <w:rsid w:val="002C5629"/>
    <w:rsid w:val="002C5677"/>
    <w:rsid w:val="002C56B1"/>
    <w:rsid w:val="002C585E"/>
    <w:rsid w:val="002C5D17"/>
    <w:rsid w:val="002C5D7C"/>
    <w:rsid w:val="002C626B"/>
    <w:rsid w:val="002C6539"/>
    <w:rsid w:val="002C6B3C"/>
    <w:rsid w:val="002C6D0C"/>
    <w:rsid w:val="002C6F87"/>
    <w:rsid w:val="002C7406"/>
    <w:rsid w:val="002C75F9"/>
    <w:rsid w:val="002C78F4"/>
    <w:rsid w:val="002C7919"/>
    <w:rsid w:val="002D00B6"/>
    <w:rsid w:val="002D01A6"/>
    <w:rsid w:val="002D0A61"/>
    <w:rsid w:val="002D1154"/>
    <w:rsid w:val="002D12CC"/>
    <w:rsid w:val="002D16CD"/>
    <w:rsid w:val="002D209D"/>
    <w:rsid w:val="002D26CE"/>
    <w:rsid w:val="002D2749"/>
    <w:rsid w:val="002D27DB"/>
    <w:rsid w:val="002D2B32"/>
    <w:rsid w:val="002D2F03"/>
    <w:rsid w:val="002D311F"/>
    <w:rsid w:val="002D35C8"/>
    <w:rsid w:val="002D3C0F"/>
    <w:rsid w:val="002D40FB"/>
    <w:rsid w:val="002D4447"/>
    <w:rsid w:val="002D462C"/>
    <w:rsid w:val="002D4B7E"/>
    <w:rsid w:val="002D591E"/>
    <w:rsid w:val="002D5CBF"/>
    <w:rsid w:val="002D5D51"/>
    <w:rsid w:val="002D5E2C"/>
    <w:rsid w:val="002D62A9"/>
    <w:rsid w:val="002D63BE"/>
    <w:rsid w:val="002D6651"/>
    <w:rsid w:val="002D6D6F"/>
    <w:rsid w:val="002D6ED3"/>
    <w:rsid w:val="002D6EF4"/>
    <w:rsid w:val="002D7369"/>
    <w:rsid w:val="002D7729"/>
    <w:rsid w:val="002D7769"/>
    <w:rsid w:val="002D7932"/>
    <w:rsid w:val="002E0530"/>
    <w:rsid w:val="002E073B"/>
    <w:rsid w:val="002E0886"/>
    <w:rsid w:val="002E08BF"/>
    <w:rsid w:val="002E0E23"/>
    <w:rsid w:val="002E13F0"/>
    <w:rsid w:val="002E1560"/>
    <w:rsid w:val="002E1602"/>
    <w:rsid w:val="002E1701"/>
    <w:rsid w:val="002E179D"/>
    <w:rsid w:val="002E1AE4"/>
    <w:rsid w:val="002E22CF"/>
    <w:rsid w:val="002E2345"/>
    <w:rsid w:val="002E247F"/>
    <w:rsid w:val="002E2951"/>
    <w:rsid w:val="002E2CE1"/>
    <w:rsid w:val="002E2CF7"/>
    <w:rsid w:val="002E2CFD"/>
    <w:rsid w:val="002E3087"/>
    <w:rsid w:val="002E30B9"/>
    <w:rsid w:val="002E35BF"/>
    <w:rsid w:val="002E3772"/>
    <w:rsid w:val="002E3A1C"/>
    <w:rsid w:val="002E3A99"/>
    <w:rsid w:val="002E3B50"/>
    <w:rsid w:val="002E3E85"/>
    <w:rsid w:val="002E4294"/>
    <w:rsid w:val="002E42CE"/>
    <w:rsid w:val="002E47FF"/>
    <w:rsid w:val="002E49EB"/>
    <w:rsid w:val="002E5090"/>
    <w:rsid w:val="002E55A6"/>
    <w:rsid w:val="002E5644"/>
    <w:rsid w:val="002E5A5D"/>
    <w:rsid w:val="002E5AE3"/>
    <w:rsid w:val="002E5C5B"/>
    <w:rsid w:val="002E6375"/>
    <w:rsid w:val="002E641B"/>
    <w:rsid w:val="002E684B"/>
    <w:rsid w:val="002E6A65"/>
    <w:rsid w:val="002E6ABD"/>
    <w:rsid w:val="002E6AD1"/>
    <w:rsid w:val="002E6B1C"/>
    <w:rsid w:val="002E6C52"/>
    <w:rsid w:val="002E6C7F"/>
    <w:rsid w:val="002E711C"/>
    <w:rsid w:val="002E7260"/>
    <w:rsid w:val="002E7413"/>
    <w:rsid w:val="002E7B69"/>
    <w:rsid w:val="002E7D3D"/>
    <w:rsid w:val="002E7E9E"/>
    <w:rsid w:val="002F00AA"/>
    <w:rsid w:val="002F02D8"/>
    <w:rsid w:val="002F0507"/>
    <w:rsid w:val="002F0E9B"/>
    <w:rsid w:val="002F11BC"/>
    <w:rsid w:val="002F125C"/>
    <w:rsid w:val="002F1328"/>
    <w:rsid w:val="002F18B5"/>
    <w:rsid w:val="002F1A9A"/>
    <w:rsid w:val="002F1BBC"/>
    <w:rsid w:val="002F23EF"/>
    <w:rsid w:val="002F254C"/>
    <w:rsid w:val="002F304A"/>
    <w:rsid w:val="002F3097"/>
    <w:rsid w:val="002F30F9"/>
    <w:rsid w:val="002F311E"/>
    <w:rsid w:val="002F31F8"/>
    <w:rsid w:val="002F34A4"/>
    <w:rsid w:val="002F3587"/>
    <w:rsid w:val="002F35DC"/>
    <w:rsid w:val="002F3B5E"/>
    <w:rsid w:val="002F3F96"/>
    <w:rsid w:val="002F411D"/>
    <w:rsid w:val="002F452F"/>
    <w:rsid w:val="002F45DC"/>
    <w:rsid w:val="002F47D3"/>
    <w:rsid w:val="002F4940"/>
    <w:rsid w:val="002F4DA7"/>
    <w:rsid w:val="002F4EA8"/>
    <w:rsid w:val="002F5A3D"/>
    <w:rsid w:val="002F5D1A"/>
    <w:rsid w:val="002F5D6E"/>
    <w:rsid w:val="002F5E55"/>
    <w:rsid w:val="002F6078"/>
    <w:rsid w:val="002F62D4"/>
    <w:rsid w:val="002F68C1"/>
    <w:rsid w:val="002F6E92"/>
    <w:rsid w:val="002F6ECB"/>
    <w:rsid w:val="002F700B"/>
    <w:rsid w:val="002F7546"/>
    <w:rsid w:val="002F76B6"/>
    <w:rsid w:val="002F78BC"/>
    <w:rsid w:val="002F7C26"/>
    <w:rsid w:val="002F7FB1"/>
    <w:rsid w:val="0030027D"/>
    <w:rsid w:val="003002A1"/>
    <w:rsid w:val="0030030A"/>
    <w:rsid w:val="0030049E"/>
    <w:rsid w:val="003004C0"/>
    <w:rsid w:val="00300CF5"/>
    <w:rsid w:val="003013A1"/>
    <w:rsid w:val="0030165A"/>
    <w:rsid w:val="003016B1"/>
    <w:rsid w:val="00301B93"/>
    <w:rsid w:val="00301E38"/>
    <w:rsid w:val="00301E56"/>
    <w:rsid w:val="00301FBD"/>
    <w:rsid w:val="0030202C"/>
    <w:rsid w:val="00302058"/>
    <w:rsid w:val="003022F9"/>
    <w:rsid w:val="0030277E"/>
    <w:rsid w:val="00302C16"/>
    <w:rsid w:val="003032A6"/>
    <w:rsid w:val="003032C6"/>
    <w:rsid w:val="0030336E"/>
    <w:rsid w:val="0030337A"/>
    <w:rsid w:val="00303BC8"/>
    <w:rsid w:val="00303D48"/>
    <w:rsid w:val="00303DE6"/>
    <w:rsid w:val="0030404B"/>
    <w:rsid w:val="00304197"/>
    <w:rsid w:val="003043B3"/>
    <w:rsid w:val="00304671"/>
    <w:rsid w:val="0030484E"/>
    <w:rsid w:val="003048F8"/>
    <w:rsid w:val="00304D04"/>
    <w:rsid w:val="00304DBF"/>
    <w:rsid w:val="00304DF9"/>
    <w:rsid w:val="00305022"/>
    <w:rsid w:val="003052C3"/>
    <w:rsid w:val="003059C9"/>
    <w:rsid w:val="00305A78"/>
    <w:rsid w:val="00305ADE"/>
    <w:rsid w:val="00305C72"/>
    <w:rsid w:val="003063DE"/>
    <w:rsid w:val="0030648F"/>
    <w:rsid w:val="003064CA"/>
    <w:rsid w:val="003065E3"/>
    <w:rsid w:val="003067FA"/>
    <w:rsid w:val="00306D5B"/>
    <w:rsid w:val="00306D60"/>
    <w:rsid w:val="00306DFA"/>
    <w:rsid w:val="00306F35"/>
    <w:rsid w:val="00307246"/>
    <w:rsid w:val="00307A43"/>
    <w:rsid w:val="00307E76"/>
    <w:rsid w:val="00307E9B"/>
    <w:rsid w:val="00307FC7"/>
    <w:rsid w:val="003101E9"/>
    <w:rsid w:val="0031031E"/>
    <w:rsid w:val="003107B8"/>
    <w:rsid w:val="00310B30"/>
    <w:rsid w:val="00310C14"/>
    <w:rsid w:val="00310DBF"/>
    <w:rsid w:val="00310EAB"/>
    <w:rsid w:val="00310FC6"/>
    <w:rsid w:val="003110B7"/>
    <w:rsid w:val="00311122"/>
    <w:rsid w:val="00311750"/>
    <w:rsid w:val="003119D3"/>
    <w:rsid w:val="00311B03"/>
    <w:rsid w:val="00311F16"/>
    <w:rsid w:val="00311F8F"/>
    <w:rsid w:val="00311FA5"/>
    <w:rsid w:val="00312169"/>
    <w:rsid w:val="00312279"/>
    <w:rsid w:val="00312793"/>
    <w:rsid w:val="003127C7"/>
    <w:rsid w:val="003127D2"/>
    <w:rsid w:val="00312A39"/>
    <w:rsid w:val="00312EE2"/>
    <w:rsid w:val="003133F3"/>
    <w:rsid w:val="00313462"/>
    <w:rsid w:val="003136B6"/>
    <w:rsid w:val="00313A0F"/>
    <w:rsid w:val="00313EB7"/>
    <w:rsid w:val="0031408E"/>
    <w:rsid w:val="003143B5"/>
    <w:rsid w:val="00314913"/>
    <w:rsid w:val="00314989"/>
    <w:rsid w:val="00314F00"/>
    <w:rsid w:val="00314FFC"/>
    <w:rsid w:val="00315023"/>
    <w:rsid w:val="0031502A"/>
    <w:rsid w:val="003150E1"/>
    <w:rsid w:val="00315186"/>
    <w:rsid w:val="003154C8"/>
    <w:rsid w:val="00315A0A"/>
    <w:rsid w:val="00316096"/>
    <w:rsid w:val="00316438"/>
    <w:rsid w:val="00316668"/>
    <w:rsid w:val="00316FA7"/>
    <w:rsid w:val="00316FF3"/>
    <w:rsid w:val="0031704A"/>
    <w:rsid w:val="00317613"/>
    <w:rsid w:val="00317ACD"/>
    <w:rsid w:val="00317C4D"/>
    <w:rsid w:val="00317CAE"/>
    <w:rsid w:val="00317DDC"/>
    <w:rsid w:val="00320112"/>
    <w:rsid w:val="003208F2"/>
    <w:rsid w:val="00320EEA"/>
    <w:rsid w:val="00320F0E"/>
    <w:rsid w:val="00321310"/>
    <w:rsid w:val="00321611"/>
    <w:rsid w:val="003217BF"/>
    <w:rsid w:val="0032181E"/>
    <w:rsid w:val="00321AF2"/>
    <w:rsid w:val="00321F74"/>
    <w:rsid w:val="0032206E"/>
    <w:rsid w:val="003221E9"/>
    <w:rsid w:val="0032236C"/>
    <w:rsid w:val="00322983"/>
    <w:rsid w:val="00322B67"/>
    <w:rsid w:val="00322BD3"/>
    <w:rsid w:val="00322CF3"/>
    <w:rsid w:val="003232EB"/>
    <w:rsid w:val="003233C9"/>
    <w:rsid w:val="0032364F"/>
    <w:rsid w:val="00323A30"/>
    <w:rsid w:val="00323C01"/>
    <w:rsid w:val="00323D6D"/>
    <w:rsid w:val="00324014"/>
    <w:rsid w:val="0032451D"/>
    <w:rsid w:val="0032452C"/>
    <w:rsid w:val="0032506A"/>
    <w:rsid w:val="00325445"/>
    <w:rsid w:val="00325BB1"/>
    <w:rsid w:val="00325E85"/>
    <w:rsid w:val="0032611A"/>
    <w:rsid w:val="00326124"/>
    <w:rsid w:val="003261B6"/>
    <w:rsid w:val="0032629A"/>
    <w:rsid w:val="003268AB"/>
    <w:rsid w:val="00326976"/>
    <w:rsid w:val="00326BEA"/>
    <w:rsid w:val="00326D2C"/>
    <w:rsid w:val="00326E72"/>
    <w:rsid w:val="0032775D"/>
    <w:rsid w:val="00327856"/>
    <w:rsid w:val="00327F3B"/>
    <w:rsid w:val="00330237"/>
    <w:rsid w:val="00330307"/>
    <w:rsid w:val="00330537"/>
    <w:rsid w:val="003305F6"/>
    <w:rsid w:val="00330BDB"/>
    <w:rsid w:val="00330E58"/>
    <w:rsid w:val="00331490"/>
    <w:rsid w:val="00331662"/>
    <w:rsid w:val="003316C6"/>
    <w:rsid w:val="00331754"/>
    <w:rsid w:val="003318AA"/>
    <w:rsid w:val="00331E33"/>
    <w:rsid w:val="0033210A"/>
    <w:rsid w:val="003323DF"/>
    <w:rsid w:val="003325E3"/>
    <w:rsid w:val="00332843"/>
    <w:rsid w:val="00332897"/>
    <w:rsid w:val="0033290E"/>
    <w:rsid w:val="00332C28"/>
    <w:rsid w:val="00332E7E"/>
    <w:rsid w:val="0033388E"/>
    <w:rsid w:val="00333F67"/>
    <w:rsid w:val="003342F3"/>
    <w:rsid w:val="00334604"/>
    <w:rsid w:val="00334C4A"/>
    <w:rsid w:val="00334EA6"/>
    <w:rsid w:val="003350E6"/>
    <w:rsid w:val="00335593"/>
    <w:rsid w:val="00335DE9"/>
    <w:rsid w:val="00336064"/>
    <w:rsid w:val="0033624E"/>
    <w:rsid w:val="0033666F"/>
    <w:rsid w:val="00336768"/>
    <w:rsid w:val="00336DD9"/>
    <w:rsid w:val="00337409"/>
    <w:rsid w:val="00337699"/>
    <w:rsid w:val="003378DD"/>
    <w:rsid w:val="00337B48"/>
    <w:rsid w:val="00341066"/>
    <w:rsid w:val="003414FB"/>
    <w:rsid w:val="0034150E"/>
    <w:rsid w:val="003417EA"/>
    <w:rsid w:val="00341827"/>
    <w:rsid w:val="003418AA"/>
    <w:rsid w:val="00341B4F"/>
    <w:rsid w:val="00341E2A"/>
    <w:rsid w:val="00341F4C"/>
    <w:rsid w:val="00343139"/>
    <w:rsid w:val="003432F4"/>
    <w:rsid w:val="00343343"/>
    <w:rsid w:val="00343566"/>
    <w:rsid w:val="00343733"/>
    <w:rsid w:val="0034414D"/>
    <w:rsid w:val="0034442A"/>
    <w:rsid w:val="0034475A"/>
    <w:rsid w:val="00344809"/>
    <w:rsid w:val="00344A4C"/>
    <w:rsid w:val="00345147"/>
    <w:rsid w:val="003451D6"/>
    <w:rsid w:val="003454F2"/>
    <w:rsid w:val="003459A8"/>
    <w:rsid w:val="00345C00"/>
    <w:rsid w:val="00345C18"/>
    <w:rsid w:val="0034665E"/>
    <w:rsid w:val="003466D0"/>
    <w:rsid w:val="00346AC6"/>
    <w:rsid w:val="00346D0E"/>
    <w:rsid w:val="00347003"/>
    <w:rsid w:val="0034719F"/>
    <w:rsid w:val="00347516"/>
    <w:rsid w:val="0034751B"/>
    <w:rsid w:val="00347619"/>
    <w:rsid w:val="003476DC"/>
    <w:rsid w:val="00347723"/>
    <w:rsid w:val="0034775C"/>
    <w:rsid w:val="00347BDF"/>
    <w:rsid w:val="00347D38"/>
    <w:rsid w:val="00347DAF"/>
    <w:rsid w:val="00350128"/>
    <w:rsid w:val="00350566"/>
    <w:rsid w:val="00350610"/>
    <w:rsid w:val="0035080B"/>
    <w:rsid w:val="003509F3"/>
    <w:rsid w:val="00351310"/>
    <w:rsid w:val="00351619"/>
    <w:rsid w:val="0035168A"/>
    <w:rsid w:val="0035172B"/>
    <w:rsid w:val="003518C9"/>
    <w:rsid w:val="003518F2"/>
    <w:rsid w:val="00351AFA"/>
    <w:rsid w:val="003521C8"/>
    <w:rsid w:val="003522E9"/>
    <w:rsid w:val="0035265E"/>
    <w:rsid w:val="00353034"/>
    <w:rsid w:val="003534FA"/>
    <w:rsid w:val="00353511"/>
    <w:rsid w:val="00353923"/>
    <w:rsid w:val="00353A00"/>
    <w:rsid w:val="00353B28"/>
    <w:rsid w:val="00353D40"/>
    <w:rsid w:val="00354267"/>
    <w:rsid w:val="00354502"/>
    <w:rsid w:val="00354C82"/>
    <w:rsid w:val="00355219"/>
    <w:rsid w:val="003553E4"/>
    <w:rsid w:val="003556EF"/>
    <w:rsid w:val="00355D6B"/>
    <w:rsid w:val="00355FB7"/>
    <w:rsid w:val="00356427"/>
    <w:rsid w:val="0035678A"/>
    <w:rsid w:val="00356C3A"/>
    <w:rsid w:val="00356CA7"/>
    <w:rsid w:val="00356DA3"/>
    <w:rsid w:val="00356DD3"/>
    <w:rsid w:val="00356F4F"/>
    <w:rsid w:val="0035735C"/>
    <w:rsid w:val="00357394"/>
    <w:rsid w:val="00357443"/>
    <w:rsid w:val="003574EA"/>
    <w:rsid w:val="0035750A"/>
    <w:rsid w:val="0035764F"/>
    <w:rsid w:val="00357715"/>
    <w:rsid w:val="00357B8F"/>
    <w:rsid w:val="00357F5D"/>
    <w:rsid w:val="00360031"/>
    <w:rsid w:val="003601F8"/>
    <w:rsid w:val="00360232"/>
    <w:rsid w:val="0036069E"/>
    <w:rsid w:val="00360BC8"/>
    <w:rsid w:val="00360F84"/>
    <w:rsid w:val="0036159A"/>
    <w:rsid w:val="003615CA"/>
    <w:rsid w:val="00361644"/>
    <w:rsid w:val="0036199C"/>
    <w:rsid w:val="00362497"/>
    <w:rsid w:val="00362637"/>
    <w:rsid w:val="003629BB"/>
    <w:rsid w:val="00362AEC"/>
    <w:rsid w:val="00362C89"/>
    <w:rsid w:val="00362D7C"/>
    <w:rsid w:val="00362DEC"/>
    <w:rsid w:val="00362F84"/>
    <w:rsid w:val="00362FC1"/>
    <w:rsid w:val="00363152"/>
    <w:rsid w:val="0036327A"/>
    <w:rsid w:val="003632DD"/>
    <w:rsid w:val="00363347"/>
    <w:rsid w:val="00363804"/>
    <w:rsid w:val="0036392B"/>
    <w:rsid w:val="00363A40"/>
    <w:rsid w:val="00363F4E"/>
    <w:rsid w:val="00363F57"/>
    <w:rsid w:val="00363F5F"/>
    <w:rsid w:val="00364284"/>
    <w:rsid w:val="003645EF"/>
    <w:rsid w:val="003647F5"/>
    <w:rsid w:val="00364872"/>
    <w:rsid w:val="00364C61"/>
    <w:rsid w:val="00364FDB"/>
    <w:rsid w:val="003653F9"/>
    <w:rsid w:val="003655F8"/>
    <w:rsid w:val="00365658"/>
    <w:rsid w:val="00365862"/>
    <w:rsid w:val="00365930"/>
    <w:rsid w:val="00365C34"/>
    <w:rsid w:val="00365D2A"/>
    <w:rsid w:val="0036613F"/>
    <w:rsid w:val="0036697F"/>
    <w:rsid w:val="00366D9F"/>
    <w:rsid w:val="0036718D"/>
    <w:rsid w:val="003678A2"/>
    <w:rsid w:val="00367D0F"/>
    <w:rsid w:val="003701AA"/>
    <w:rsid w:val="00370543"/>
    <w:rsid w:val="00370881"/>
    <w:rsid w:val="003709FB"/>
    <w:rsid w:val="00370A21"/>
    <w:rsid w:val="00370CC4"/>
    <w:rsid w:val="003712D8"/>
    <w:rsid w:val="0037197F"/>
    <w:rsid w:val="00371AA9"/>
    <w:rsid w:val="00371C3F"/>
    <w:rsid w:val="00372032"/>
    <w:rsid w:val="003723DA"/>
    <w:rsid w:val="00372A3D"/>
    <w:rsid w:val="00373212"/>
    <w:rsid w:val="0037341B"/>
    <w:rsid w:val="003739CE"/>
    <w:rsid w:val="00373AB1"/>
    <w:rsid w:val="00373BDC"/>
    <w:rsid w:val="00373CFC"/>
    <w:rsid w:val="003741D5"/>
    <w:rsid w:val="00374599"/>
    <w:rsid w:val="003747D6"/>
    <w:rsid w:val="00374B38"/>
    <w:rsid w:val="00374C33"/>
    <w:rsid w:val="00374D51"/>
    <w:rsid w:val="00374E75"/>
    <w:rsid w:val="00374EBD"/>
    <w:rsid w:val="003750E4"/>
    <w:rsid w:val="0037513B"/>
    <w:rsid w:val="0037516C"/>
    <w:rsid w:val="003753EB"/>
    <w:rsid w:val="00375505"/>
    <w:rsid w:val="00375898"/>
    <w:rsid w:val="00375F22"/>
    <w:rsid w:val="00376019"/>
    <w:rsid w:val="00376072"/>
    <w:rsid w:val="00376121"/>
    <w:rsid w:val="0037614F"/>
    <w:rsid w:val="00376274"/>
    <w:rsid w:val="00376534"/>
    <w:rsid w:val="0037691F"/>
    <w:rsid w:val="00376934"/>
    <w:rsid w:val="00376D35"/>
    <w:rsid w:val="00377154"/>
    <w:rsid w:val="00377603"/>
    <w:rsid w:val="00377929"/>
    <w:rsid w:val="00377B72"/>
    <w:rsid w:val="003802B3"/>
    <w:rsid w:val="003805C4"/>
    <w:rsid w:val="00380CB6"/>
    <w:rsid w:val="00380D2A"/>
    <w:rsid w:val="00380E2C"/>
    <w:rsid w:val="00380E9B"/>
    <w:rsid w:val="00381104"/>
    <w:rsid w:val="00381213"/>
    <w:rsid w:val="00381556"/>
    <w:rsid w:val="0038159B"/>
    <w:rsid w:val="00381980"/>
    <w:rsid w:val="00381B3D"/>
    <w:rsid w:val="00381F42"/>
    <w:rsid w:val="00382001"/>
    <w:rsid w:val="0038221E"/>
    <w:rsid w:val="0038279F"/>
    <w:rsid w:val="003828AE"/>
    <w:rsid w:val="003829B0"/>
    <w:rsid w:val="00382C1C"/>
    <w:rsid w:val="00382F0B"/>
    <w:rsid w:val="00382FEF"/>
    <w:rsid w:val="00383486"/>
    <w:rsid w:val="0038366C"/>
    <w:rsid w:val="00383998"/>
    <w:rsid w:val="00383A43"/>
    <w:rsid w:val="00383D12"/>
    <w:rsid w:val="0038413F"/>
    <w:rsid w:val="00384147"/>
    <w:rsid w:val="003844B4"/>
    <w:rsid w:val="00384B25"/>
    <w:rsid w:val="00384B8C"/>
    <w:rsid w:val="00385067"/>
    <w:rsid w:val="00385346"/>
    <w:rsid w:val="00385468"/>
    <w:rsid w:val="00385672"/>
    <w:rsid w:val="00385932"/>
    <w:rsid w:val="003859C9"/>
    <w:rsid w:val="00385B85"/>
    <w:rsid w:val="00385C4B"/>
    <w:rsid w:val="00385E3E"/>
    <w:rsid w:val="00386747"/>
    <w:rsid w:val="00386A1F"/>
    <w:rsid w:val="00386AC0"/>
    <w:rsid w:val="0038709C"/>
    <w:rsid w:val="003871BF"/>
    <w:rsid w:val="00387835"/>
    <w:rsid w:val="00387B6B"/>
    <w:rsid w:val="00387D58"/>
    <w:rsid w:val="00387F96"/>
    <w:rsid w:val="0039059D"/>
    <w:rsid w:val="00390647"/>
    <w:rsid w:val="00390929"/>
    <w:rsid w:val="00390962"/>
    <w:rsid w:val="00390C80"/>
    <w:rsid w:val="003911F9"/>
    <w:rsid w:val="00391B11"/>
    <w:rsid w:val="00391E01"/>
    <w:rsid w:val="00392493"/>
    <w:rsid w:val="00392586"/>
    <w:rsid w:val="0039285C"/>
    <w:rsid w:val="00392B35"/>
    <w:rsid w:val="00392C8A"/>
    <w:rsid w:val="00392DC2"/>
    <w:rsid w:val="00392F59"/>
    <w:rsid w:val="00392FEF"/>
    <w:rsid w:val="00393993"/>
    <w:rsid w:val="003939FA"/>
    <w:rsid w:val="00393B8D"/>
    <w:rsid w:val="00393C8F"/>
    <w:rsid w:val="00393E69"/>
    <w:rsid w:val="00394128"/>
    <w:rsid w:val="003946B8"/>
    <w:rsid w:val="003948AB"/>
    <w:rsid w:val="00394B84"/>
    <w:rsid w:val="00394BAA"/>
    <w:rsid w:val="00394D9E"/>
    <w:rsid w:val="003952BF"/>
    <w:rsid w:val="00395629"/>
    <w:rsid w:val="0039563A"/>
    <w:rsid w:val="003956DC"/>
    <w:rsid w:val="003958EE"/>
    <w:rsid w:val="003958F2"/>
    <w:rsid w:val="00395986"/>
    <w:rsid w:val="00395F35"/>
    <w:rsid w:val="003960C5"/>
    <w:rsid w:val="003965D4"/>
    <w:rsid w:val="003969CE"/>
    <w:rsid w:val="00396E20"/>
    <w:rsid w:val="003971A1"/>
    <w:rsid w:val="003977E8"/>
    <w:rsid w:val="003978DD"/>
    <w:rsid w:val="003979E1"/>
    <w:rsid w:val="00397C1B"/>
    <w:rsid w:val="00397C6A"/>
    <w:rsid w:val="003A012E"/>
    <w:rsid w:val="003A0254"/>
    <w:rsid w:val="003A0408"/>
    <w:rsid w:val="003A0BD6"/>
    <w:rsid w:val="003A0C33"/>
    <w:rsid w:val="003A0C6B"/>
    <w:rsid w:val="003A0E0E"/>
    <w:rsid w:val="003A131D"/>
    <w:rsid w:val="003A13D6"/>
    <w:rsid w:val="003A1508"/>
    <w:rsid w:val="003A185F"/>
    <w:rsid w:val="003A1CCD"/>
    <w:rsid w:val="003A1F6B"/>
    <w:rsid w:val="003A2270"/>
    <w:rsid w:val="003A2428"/>
    <w:rsid w:val="003A2532"/>
    <w:rsid w:val="003A2B05"/>
    <w:rsid w:val="003A2B17"/>
    <w:rsid w:val="003A2D6C"/>
    <w:rsid w:val="003A2EA6"/>
    <w:rsid w:val="003A3192"/>
    <w:rsid w:val="003A3827"/>
    <w:rsid w:val="003A3A12"/>
    <w:rsid w:val="003A3B56"/>
    <w:rsid w:val="003A3E17"/>
    <w:rsid w:val="003A40A2"/>
    <w:rsid w:val="003A4262"/>
    <w:rsid w:val="003A437A"/>
    <w:rsid w:val="003A44F0"/>
    <w:rsid w:val="003A45B1"/>
    <w:rsid w:val="003A4678"/>
    <w:rsid w:val="003A4832"/>
    <w:rsid w:val="003A4987"/>
    <w:rsid w:val="003A4ABE"/>
    <w:rsid w:val="003A51E7"/>
    <w:rsid w:val="003A560A"/>
    <w:rsid w:val="003A58A3"/>
    <w:rsid w:val="003A5928"/>
    <w:rsid w:val="003A5C00"/>
    <w:rsid w:val="003A5F4A"/>
    <w:rsid w:val="003A663D"/>
    <w:rsid w:val="003A6788"/>
    <w:rsid w:val="003A6AFF"/>
    <w:rsid w:val="003A6CB9"/>
    <w:rsid w:val="003A7016"/>
    <w:rsid w:val="003A75F0"/>
    <w:rsid w:val="003A7912"/>
    <w:rsid w:val="003A7B42"/>
    <w:rsid w:val="003B03AE"/>
    <w:rsid w:val="003B03C6"/>
    <w:rsid w:val="003B04A0"/>
    <w:rsid w:val="003B0AB5"/>
    <w:rsid w:val="003B0AF4"/>
    <w:rsid w:val="003B0B61"/>
    <w:rsid w:val="003B14B8"/>
    <w:rsid w:val="003B1751"/>
    <w:rsid w:val="003B22BD"/>
    <w:rsid w:val="003B24B7"/>
    <w:rsid w:val="003B30DF"/>
    <w:rsid w:val="003B3A2B"/>
    <w:rsid w:val="003B3CF0"/>
    <w:rsid w:val="003B4081"/>
    <w:rsid w:val="003B44AF"/>
    <w:rsid w:val="003B47CE"/>
    <w:rsid w:val="003B4E22"/>
    <w:rsid w:val="003B50B8"/>
    <w:rsid w:val="003B538A"/>
    <w:rsid w:val="003B5794"/>
    <w:rsid w:val="003B58A7"/>
    <w:rsid w:val="003B5C0A"/>
    <w:rsid w:val="003B5D4C"/>
    <w:rsid w:val="003B6127"/>
    <w:rsid w:val="003B632E"/>
    <w:rsid w:val="003B67C4"/>
    <w:rsid w:val="003B75C0"/>
    <w:rsid w:val="003B771A"/>
    <w:rsid w:val="003B7871"/>
    <w:rsid w:val="003B789E"/>
    <w:rsid w:val="003B7ECA"/>
    <w:rsid w:val="003C0416"/>
    <w:rsid w:val="003C0431"/>
    <w:rsid w:val="003C0461"/>
    <w:rsid w:val="003C0780"/>
    <w:rsid w:val="003C0DBC"/>
    <w:rsid w:val="003C0F9B"/>
    <w:rsid w:val="003C106B"/>
    <w:rsid w:val="003C1548"/>
    <w:rsid w:val="003C15AE"/>
    <w:rsid w:val="003C16E7"/>
    <w:rsid w:val="003C1AE6"/>
    <w:rsid w:val="003C1BED"/>
    <w:rsid w:val="003C1E46"/>
    <w:rsid w:val="003C2000"/>
    <w:rsid w:val="003C20D1"/>
    <w:rsid w:val="003C27AA"/>
    <w:rsid w:val="003C32ED"/>
    <w:rsid w:val="003C407D"/>
    <w:rsid w:val="003C43A8"/>
    <w:rsid w:val="003C442A"/>
    <w:rsid w:val="003C447A"/>
    <w:rsid w:val="003C448B"/>
    <w:rsid w:val="003C5A66"/>
    <w:rsid w:val="003C5B86"/>
    <w:rsid w:val="003C5FC8"/>
    <w:rsid w:val="003C60E0"/>
    <w:rsid w:val="003C673B"/>
    <w:rsid w:val="003C697A"/>
    <w:rsid w:val="003C6A3E"/>
    <w:rsid w:val="003C6F05"/>
    <w:rsid w:val="003C7078"/>
    <w:rsid w:val="003C7093"/>
    <w:rsid w:val="003C7109"/>
    <w:rsid w:val="003C7379"/>
    <w:rsid w:val="003C76B3"/>
    <w:rsid w:val="003C76B7"/>
    <w:rsid w:val="003C7D8A"/>
    <w:rsid w:val="003C7EC3"/>
    <w:rsid w:val="003D0082"/>
    <w:rsid w:val="003D0241"/>
    <w:rsid w:val="003D050C"/>
    <w:rsid w:val="003D064E"/>
    <w:rsid w:val="003D08EB"/>
    <w:rsid w:val="003D0A51"/>
    <w:rsid w:val="003D0CE7"/>
    <w:rsid w:val="003D0E4B"/>
    <w:rsid w:val="003D130F"/>
    <w:rsid w:val="003D140A"/>
    <w:rsid w:val="003D14B0"/>
    <w:rsid w:val="003D15DE"/>
    <w:rsid w:val="003D1C68"/>
    <w:rsid w:val="003D1EF6"/>
    <w:rsid w:val="003D20EC"/>
    <w:rsid w:val="003D2935"/>
    <w:rsid w:val="003D2CFC"/>
    <w:rsid w:val="003D2EF0"/>
    <w:rsid w:val="003D2FA4"/>
    <w:rsid w:val="003D30C2"/>
    <w:rsid w:val="003D357B"/>
    <w:rsid w:val="003D38FE"/>
    <w:rsid w:val="003D3F1A"/>
    <w:rsid w:val="003D4517"/>
    <w:rsid w:val="003D48BB"/>
    <w:rsid w:val="003D48EC"/>
    <w:rsid w:val="003D4E39"/>
    <w:rsid w:val="003D4F70"/>
    <w:rsid w:val="003D533C"/>
    <w:rsid w:val="003D55F2"/>
    <w:rsid w:val="003D561D"/>
    <w:rsid w:val="003D57F0"/>
    <w:rsid w:val="003D5BF2"/>
    <w:rsid w:val="003D5F2F"/>
    <w:rsid w:val="003D62D7"/>
    <w:rsid w:val="003D6477"/>
    <w:rsid w:val="003D66B7"/>
    <w:rsid w:val="003D69BD"/>
    <w:rsid w:val="003D6B8A"/>
    <w:rsid w:val="003D6F72"/>
    <w:rsid w:val="003D7066"/>
    <w:rsid w:val="003D717A"/>
    <w:rsid w:val="003D7255"/>
    <w:rsid w:val="003D75CC"/>
    <w:rsid w:val="003D7864"/>
    <w:rsid w:val="003D7A28"/>
    <w:rsid w:val="003D7AE6"/>
    <w:rsid w:val="003D7E8A"/>
    <w:rsid w:val="003E02D6"/>
    <w:rsid w:val="003E0526"/>
    <w:rsid w:val="003E0835"/>
    <w:rsid w:val="003E08B3"/>
    <w:rsid w:val="003E0C2E"/>
    <w:rsid w:val="003E1303"/>
    <w:rsid w:val="003E15AB"/>
    <w:rsid w:val="003E1668"/>
    <w:rsid w:val="003E17BA"/>
    <w:rsid w:val="003E18F1"/>
    <w:rsid w:val="003E19A1"/>
    <w:rsid w:val="003E1B1F"/>
    <w:rsid w:val="003E1D79"/>
    <w:rsid w:val="003E2348"/>
    <w:rsid w:val="003E2833"/>
    <w:rsid w:val="003E2883"/>
    <w:rsid w:val="003E2B7B"/>
    <w:rsid w:val="003E2BEF"/>
    <w:rsid w:val="003E3267"/>
    <w:rsid w:val="003E332E"/>
    <w:rsid w:val="003E362A"/>
    <w:rsid w:val="003E3F12"/>
    <w:rsid w:val="003E3FC5"/>
    <w:rsid w:val="003E40A8"/>
    <w:rsid w:val="003E40D1"/>
    <w:rsid w:val="003E42AF"/>
    <w:rsid w:val="003E475D"/>
    <w:rsid w:val="003E4775"/>
    <w:rsid w:val="003E4998"/>
    <w:rsid w:val="003E4A0E"/>
    <w:rsid w:val="003E4B70"/>
    <w:rsid w:val="003E4BFE"/>
    <w:rsid w:val="003E4D55"/>
    <w:rsid w:val="003E4FB5"/>
    <w:rsid w:val="003E5540"/>
    <w:rsid w:val="003E5893"/>
    <w:rsid w:val="003E58F9"/>
    <w:rsid w:val="003E5C1E"/>
    <w:rsid w:val="003E5C4D"/>
    <w:rsid w:val="003E5D43"/>
    <w:rsid w:val="003E6240"/>
    <w:rsid w:val="003E6453"/>
    <w:rsid w:val="003E6941"/>
    <w:rsid w:val="003E6984"/>
    <w:rsid w:val="003E69A8"/>
    <w:rsid w:val="003E6CA0"/>
    <w:rsid w:val="003E6F5E"/>
    <w:rsid w:val="003E71D5"/>
    <w:rsid w:val="003E73E5"/>
    <w:rsid w:val="003E7521"/>
    <w:rsid w:val="003E77A0"/>
    <w:rsid w:val="003E79B8"/>
    <w:rsid w:val="003E7A82"/>
    <w:rsid w:val="003E7D66"/>
    <w:rsid w:val="003E7E01"/>
    <w:rsid w:val="003F0052"/>
    <w:rsid w:val="003F01EC"/>
    <w:rsid w:val="003F05B0"/>
    <w:rsid w:val="003F06C3"/>
    <w:rsid w:val="003F09F5"/>
    <w:rsid w:val="003F12AF"/>
    <w:rsid w:val="003F142F"/>
    <w:rsid w:val="003F1572"/>
    <w:rsid w:val="003F18E1"/>
    <w:rsid w:val="003F19F4"/>
    <w:rsid w:val="003F1A41"/>
    <w:rsid w:val="003F1B3B"/>
    <w:rsid w:val="003F1F57"/>
    <w:rsid w:val="003F2029"/>
    <w:rsid w:val="003F20A2"/>
    <w:rsid w:val="003F235A"/>
    <w:rsid w:val="003F2432"/>
    <w:rsid w:val="003F2C16"/>
    <w:rsid w:val="003F2CCF"/>
    <w:rsid w:val="003F2DC7"/>
    <w:rsid w:val="003F2DD6"/>
    <w:rsid w:val="003F2EEA"/>
    <w:rsid w:val="003F3052"/>
    <w:rsid w:val="003F30A9"/>
    <w:rsid w:val="003F3155"/>
    <w:rsid w:val="003F33BF"/>
    <w:rsid w:val="003F353D"/>
    <w:rsid w:val="003F36C6"/>
    <w:rsid w:val="003F3DAF"/>
    <w:rsid w:val="003F3FAA"/>
    <w:rsid w:val="003F41B1"/>
    <w:rsid w:val="003F441B"/>
    <w:rsid w:val="003F4523"/>
    <w:rsid w:val="003F470B"/>
    <w:rsid w:val="003F4842"/>
    <w:rsid w:val="003F4D2C"/>
    <w:rsid w:val="003F4DFA"/>
    <w:rsid w:val="003F4F31"/>
    <w:rsid w:val="003F55E9"/>
    <w:rsid w:val="003F5963"/>
    <w:rsid w:val="003F5A4C"/>
    <w:rsid w:val="003F5BB8"/>
    <w:rsid w:val="003F5E45"/>
    <w:rsid w:val="003F618D"/>
    <w:rsid w:val="003F67B4"/>
    <w:rsid w:val="003F6B5F"/>
    <w:rsid w:val="003F6E95"/>
    <w:rsid w:val="003F75BA"/>
    <w:rsid w:val="00400717"/>
    <w:rsid w:val="00400913"/>
    <w:rsid w:val="00400A0A"/>
    <w:rsid w:val="00400C3C"/>
    <w:rsid w:val="00400EB9"/>
    <w:rsid w:val="004010E0"/>
    <w:rsid w:val="004012A1"/>
    <w:rsid w:val="0040148F"/>
    <w:rsid w:val="00401845"/>
    <w:rsid w:val="00402311"/>
    <w:rsid w:val="004023DA"/>
    <w:rsid w:val="00402677"/>
    <w:rsid w:val="00402760"/>
    <w:rsid w:val="00402C75"/>
    <w:rsid w:val="00403050"/>
    <w:rsid w:val="00403745"/>
    <w:rsid w:val="0040376A"/>
    <w:rsid w:val="0040377D"/>
    <w:rsid w:val="00403C18"/>
    <w:rsid w:val="00403C25"/>
    <w:rsid w:val="00403FE4"/>
    <w:rsid w:val="004042F0"/>
    <w:rsid w:val="004042F3"/>
    <w:rsid w:val="004044AA"/>
    <w:rsid w:val="004044C4"/>
    <w:rsid w:val="00404643"/>
    <w:rsid w:val="00404683"/>
    <w:rsid w:val="00404747"/>
    <w:rsid w:val="00404B05"/>
    <w:rsid w:val="00404B63"/>
    <w:rsid w:val="00404D7C"/>
    <w:rsid w:val="00404E92"/>
    <w:rsid w:val="004053B9"/>
    <w:rsid w:val="00405731"/>
    <w:rsid w:val="00405805"/>
    <w:rsid w:val="00405AD6"/>
    <w:rsid w:val="00406317"/>
    <w:rsid w:val="00406431"/>
    <w:rsid w:val="00406524"/>
    <w:rsid w:val="0040752C"/>
    <w:rsid w:val="004075BE"/>
    <w:rsid w:val="00407842"/>
    <w:rsid w:val="00407B48"/>
    <w:rsid w:val="00407C35"/>
    <w:rsid w:val="00407C38"/>
    <w:rsid w:val="00407D59"/>
    <w:rsid w:val="00407E80"/>
    <w:rsid w:val="00407FE5"/>
    <w:rsid w:val="00410E08"/>
    <w:rsid w:val="0041137F"/>
    <w:rsid w:val="00411503"/>
    <w:rsid w:val="00411A45"/>
    <w:rsid w:val="00412662"/>
    <w:rsid w:val="004127E0"/>
    <w:rsid w:val="004127F8"/>
    <w:rsid w:val="00412F1F"/>
    <w:rsid w:val="0041345E"/>
    <w:rsid w:val="004136CF"/>
    <w:rsid w:val="00413982"/>
    <w:rsid w:val="00413A87"/>
    <w:rsid w:val="00413B8E"/>
    <w:rsid w:val="00413F1D"/>
    <w:rsid w:val="0041410C"/>
    <w:rsid w:val="00414261"/>
    <w:rsid w:val="00414A52"/>
    <w:rsid w:val="00415080"/>
    <w:rsid w:val="00415201"/>
    <w:rsid w:val="00415BAF"/>
    <w:rsid w:val="0041609B"/>
    <w:rsid w:val="004160BF"/>
    <w:rsid w:val="004166BE"/>
    <w:rsid w:val="004167BD"/>
    <w:rsid w:val="004176E3"/>
    <w:rsid w:val="004179D9"/>
    <w:rsid w:val="00417A8C"/>
    <w:rsid w:val="00420269"/>
    <w:rsid w:val="004206D9"/>
    <w:rsid w:val="004208D1"/>
    <w:rsid w:val="00420AF0"/>
    <w:rsid w:val="00420BE5"/>
    <w:rsid w:val="00420BE9"/>
    <w:rsid w:val="00420EC8"/>
    <w:rsid w:val="00420F9F"/>
    <w:rsid w:val="0042102F"/>
    <w:rsid w:val="0042109D"/>
    <w:rsid w:val="0042123A"/>
    <w:rsid w:val="00421391"/>
    <w:rsid w:val="0042157B"/>
    <w:rsid w:val="004219BC"/>
    <w:rsid w:val="00421B85"/>
    <w:rsid w:val="00421EBE"/>
    <w:rsid w:val="004222CD"/>
    <w:rsid w:val="00422569"/>
    <w:rsid w:val="0042286A"/>
    <w:rsid w:val="00422C69"/>
    <w:rsid w:val="0042307F"/>
    <w:rsid w:val="004230C5"/>
    <w:rsid w:val="004236A2"/>
    <w:rsid w:val="00423744"/>
    <w:rsid w:val="00423902"/>
    <w:rsid w:val="00423A29"/>
    <w:rsid w:val="00423D24"/>
    <w:rsid w:val="00423D3B"/>
    <w:rsid w:val="00424018"/>
    <w:rsid w:val="00424188"/>
    <w:rsid w:val="00424352"/>
    <w:rsid w:val="00424538"/>
    <w:rsid w:val="004245BE"/>
    <w:rsid w:val="00425DE0"/>
    <w:rsid w:val="00425FEA"/>
    <w:rsid w:val="00426281"/>
    <w:rsid w:val="004262F1"/>
    <w:rsid w:val="0042643F"/>
    <w:rsid w:val="00426818"/>
    <w:rsid w:val="00426BEE"/>
    <w:rsid w:val="00426C43"/>
    <w:rsid w:val="0042717F"/>
    <w:rsid w:val="0042734A"/>
    <w:rsid w:val="004273E8"/>
    <w:rsid w:val="00427596"/>
    <w:rsid w:val="004276C2"/>
    <w:rsid w:val="00427829"/>
    <w:rsid w:val="0042792D"/>
    <w:rsid w:val="004279AA"/>
    <w:rsid w:val="00427AED"/>
    <w:rsid w:val="00427BAF"/>
    <w:rsid w:val="00427C9F"/>
    <w:rsid w:val="0043027C"/>
    <w:rsid w:val="004309D0"/>
    <w:rsid w:val="00430A31"/>
    <w:rsid w:val="00430AE2"/>
    <w:rsid w:val="004317A7"/>
    <w:rsid w:val="004318E2"/>
    <w:rsid w:val="00431A20"/>
    <w:rsid w:val="00431C87"/>
    <w:rsid w:val="0043209F"/>
    <w:rsid w:val="00432278"/>
    <w:rsid w:val="004327E0"/>
    <w:rsid w:val="004330F6"/>
    <w:rsid w:val="00433309"/>
    <w:rsid w:val="004334D2"/>
    <w:rsid w:val="004336BA"/>
    <w:rsid w:val="004339F5"/>
    <w:rsid w:val="00433CC5"/>
    <w:rsid w:val="00433E50"/>
    <w:rsid w:val="00434355"/>
    <w:rsid w:val="00434447"/>
    <w:rsid w:val="0043449B"/>
    <w:rsid w:val="0043471D"/>
    <w:rsid w:val="004349E1"/>
    <w:rsid w:val="00434B2F"/>
    <w:rsid w:val="00434CF7"/>
    <w:rsid w:val="00434D18"/>
    <w:rsid w:val="00434D89"/>
    <w:rsid w:val="00434E08"/>
    <w:rsid w:val="00434FC7"/>
    <w:rsid w:val="004354ED"/>
    <w:rsid w:val="004357D6"/>
    <w:rsid w:val="00435915"/>
    <w:rsid w:val="00435998"/>
    <w:rsid w:val="00435AEE"/>
    <w:rsid w:val="00435F6E"/>
    <w:rsid w:val="004361A7"/>
    <w:rsid w:val="00436614"/>
    <w:rsid w:val="004368A6"/>
    <w:rsid w:val="00436B74"/>
    <w:rsid w:val="00436E5A"/>
    <w:rsid w:val="00436EB4"/>
    <w:rsid w:val="00437342"/>
    <w:rsid w:val="00437446"/>
    <w:rsid w:val="00437813"/>
    <w:rsid w:val="004400DB"/>
    <w:rsid w:val="00440139"/>
    <w:rsid w:val="00440336"/>
    <w:rsid w:val="0044040B"/>
    <w:rsid w:val="004407A5"/>
    <w:rsid w:val="00440CD7"/>
    <w:rsid w:val="004416ED"/>
    <w:rsid w:val="00441A74"/>
    <w:rsid w:val="00441FCA"/>
    <w:rsid w:val="0044211C"/>
    <w:rsid w:val="0044221A"/>
    <w:rsid w:val="0044276B"/>
    <w:rsid w:val="00442B6B"/>
    <w:rsid w:val="0044351B"/>
    <w:rsid w:val="00443616"/>
    <w:rsid w:val="004439D4"/>
    <w:rsid w:val="00443ACC"/>
    <w:rsid w:val="00443BAB"/>
    <w:rsid w:val="00443C2E"/>
    <w:rsid w:val="00443F54"/>
    <w:rsid w:val="00444757"/>
    <w:rsid w:val="00444873"/>
    <w:rsid w:val="00444B8D"/>
    <w:rsid w:val="00444C94"/>
    <w:rsid w:val="00444D7D"/>
    <w:rsid w:val="00444D9B"/>
    <w:rsid w:val="00444F33"/>
    <w:rsid w:val="0044505B"/>
    <w:rsid w:val="0044569B"/>
    <w:rsid w:val="0044575E"/>
    <w:rsid w:val="00445EA7"/>
    <w:rsid w:val="004460A0"/>
    <w:rsid w:val="00446282"/>
    <w:rsid w:val="004463AB"/>
    <w:rsid w:val="00446451"/>
    <w:rsid w:val="00446915"/>
    <w:rsid w:val="00446A25"/>
    <w:rsid w:val="00446BC7"/>
    <w:rsid w:val="0044749B"/>
    <w:rsid w:val="004474EA"/>
    <w:rsid w:val="0044772B"/>
    <w:rsid w:val="00450336"/>
    <w:rsid w:val="0045051C"/>
    <w:rsid w:val="0045082A"/>
    <w:rsid w:val="004509A3"/>
    <w:rsid w:val="00450A71"/>
    <w:rsid w:val="00450C06"/>
    <w:rsid w:val="00450CCC"/>
    <w:rsid w:val="00450CE1"/>
    <w:rsid w:val="0045123A"/>
    <w:rsid w:val="00451806"/>
    <w:rsid w:val="00451E2C"/>
    <w:rsid w:val="00451F87"/>
    <w:rsid w:val="00451FB2"/>
    <w:rsid w:val="00452268"/>
    <w:rsid w:val="0045261B"/>
    <w:rsid w:val="004527C2"/>
    <w:rsid w:val="00452D93"/>
    <w:rsid w:val="00452F97"/>
    <w:rsid w:val="004532AB"/>
    <w:rsid w:val="00453421"/>
    <w:rsid w:val="0045350B"/>
    <w:rsid w:val="0045385A"/>
    <w:rsid w:val="00453A52"/>
    <w:rsid w:val="00454052"/>
    <w:rsid w:val="00454BAA"/>
    <w:rsid w:val="004551B3"/>
    <w:rsid w:val="0045569A"/>
    <w:rsid w:val="004557D3"/>
    <w:rsid w:val="00455DB7"/>
    <w:rsid w:val="0045682D"/>
    <w:rsid w:val="00456C9A"/>
    <w:rsid w:val="00456D85"/>
    <w:rsid w:val="00456E54"/>
    <w:rsid w:val="00456F20"/>
    <w:rsid w:val="0045701F"/>
    <w:rsid w:val="0045753D"/>
    <w:rsid w:val="0045759F"/>
    <w:rsid w:val="0045770C"/>
    <w:rsid w:val="004577C1"/>
    <w:rsid w:val="004577D4"/>
    <w:rsid w:val="00457CBE"/>
    <w:rsid w:val="00457D91"/>
    <w:rsid w:val="0046006C"/>
    <w:rsid w:val="004605EA"/>
    <w:rsid w:val="00460987"/>
    <w:rsid w:val="00461282"/>
    <w:rsid w:val="004618C6"/>
    <w:rsid w:val="004619EB"/>
    <w:rsid w:val="00461A95"/>
    <w:rsid w:val="00461C34"/>
    <w:rsid w:val="00461C4A"/>
    <w:rsid w:val="00461E5F"/>
    <w:rsid w:val="00462130"/>
    <w:rsid w:val="0046262C"/>
    <w:rsid w:val="0046270E"/>
    <w:rsid w:val="00462F75"/>
    <w:rsid w:val="0046362A"/>
    <w:rsid w:val="0046373E"/>
    <w:rsid w:val="00464288"/>
    <w:rsid w:val="004644C6"/>
    <w:rsid w:val="00464F74"/>
    <w:rsid w:val="00465184"/>
    <w:rsid w:val="00465639"/>
    <w:rsid w:val="00465B60"/>
    <w:rsid w:val="00465D1D"/>
    <w:rsid w:val="00465D72"/>
    <w:rsid w:val="00465F02"/>
    <w:rsid w:val="00466373"/>
    <w:rsid w:val="0046641F"/>
    <w:rsid w:val="0046664D"/>
    <w:rsid w:val="004668C9"/>
    <w:rsid w:val="00466A1A"/>
    <w:rsid w:val="00466FB5"/>
    <w:rsid w:val="00467233"/>
    <w:rsid w:val="00467253"/>
    <w:rsid w:val="0046766A"/>
    <w:rsid w:val="00467891"/>
    <w:rsid w:val="00467C5C"/>
    <w:rsid w:val="004702F1"/>
    <w:rsid w:val="0047057D"/>
    <w:rsid w:val="0047086A"/>
    <w:rsid w:val="00470B72"/>
    <w:rsid w:val="00470C58"/>
    <w:rsid w:val="00471318"/>
    <w:rsid w:val="00471323"/>
    <w:rsid w:val="0047148B"/>
    <w:rsid w:val="004715B3"/>
    <w:rsid w:val="00471CC2"/>
    <w:rsid w:val="00471D07"/>
    <w:rsid w:val="0047201F"/>
    <w:rsid w:val="00472187"/>
    <w:rsid w:val="00472A99"/>
    <w:rsid w:val="00472D07"/>
    <w:rsid w:val="00472FEC"/>
    <w:rsid w:val="00473087"/>
    <w:rsid w:val="00473098"/>
    <w:rsid w:val="00473AD5"/>
    <w:rsid w:val="004740BC"/>
    <w:rsid w:val="00475365"/>
    <w:rsid w:val="004755F7"/>
    <w:rsid w:val="00475721"/>
    <w:rsid w:val="00475CE6"/>
    <w:rsid w:val="00475D4B"/>
    <w:rsid w:val="004760C9"/>
    <w:rsid w:val="0047636F"/>
    <w:rsid w:val="004765E2"/>
    <w:rsid w:val="0047689C"/>
    <w:rsid w:val="004769CF"/>
    <w:rsid w:val="00476C3C"/>
    <w:rsid w:val="00476EA4"/>
    <w:rsid w:val="004771DB"/>
    <w:rsid w:val="00477416"/>
    <w:rsid w:val="004774CE"/>
    <w:rsid w:val="0047786F"/>
    <w:rsid w:val="00477AD0"/>
    <w:rsid w:val="0048002E"/>
    <w:rsid w:val="0048026D"/>
    <w:rsid w:val="00480423"/>
    <w:rsid w:val="00480441"/>
    <w:rsid w:val="0048063A"/>
    <w:rsid w:val="00480BB5"/>
    <w:rsid w:val="00481085"/>
    <w:rsid w:val="0048162B"/>
    <w:rsid w:val="004818A9"/>
    <w:rsid w:val="00481B36"/>
    <w:rsid w:val="00481BE2"/>
    <w:rsid w:val="00481EBE"/>
    <w:rsid w:val="00481F6B"/>
    <w:rsid w:val="00481FFE"/>
    <w:rsid w:val="0048238D"/>
    <w:rsid w:val="004824BF"/>
    <w:rsid w:val="00482DC2"/>
    <w:rsid w:val="00482F55"/>
    <w:rsid w:val="00483239"/>
    <w:rsid w:val="0048370D"/>
    <w:rsid w:val="004838E3"/>
    <w:rsid w:val="00483DEB"/>
    <w:rsid w:val="00483F4C"/>
    <w:rsid w:val="004840BD"/>
    <w:rsid w:val="00484281"/>
    <w:rsid w:val="004846FB"/>
    <w:rsid w:val="00485294"/>
    <w:rsid w:val="0048577D"/>
    <w:rsid w:val="0048588B"/>
    <w:rsid w:val="00485983"/>
    <w:rsid w:val="00485ED0"/>
    <w:rsid w:val="00486083"/>
    <w:rsid w:val="004864E8"/>
    <w:rsid w:val="00486A7A"/>
    <w:rsid w:val="00486B18"/>
    <w:rsid w:val="00486C11"/>
    <w:rsid w:val="00486C1B"/>
    <w:rsid w:val="00486FFD"/>
    <w:rsid w:val="004877E8"/>
    <w:rsid w:val="0048797A"/>
    <w:rsid w:val="00487980"/>
    <w:rsid w:val="004906A3"/>
    <w:rsid w:val="00490817"/>
    <w:rsid w:val="00490F52"/>
    <w:rsid w:val="0049127B"/>
    <w:rsid w:val="004912D7"/>
    <w:rsid w:val="0049138F"/>
    <w:rsid w:val="00491570"/>
    <w:rsid w:val="00491593"/>
    <w:rsid w:val="00491603"/>
    <w:rsid w:val="004916FF"/>
    <w:rsid w:val="00491B53"/>
    <w:rsid w:val="00491BD7"/>
    <w:rsid w:val="00491E34"/>
    <w:rsid w:val="00491FBD"/>
    <w:rsid w:val="004925E6"/>
    <w:rsid w:val="00492819"/>
    <w:rsid w:val="00492C76"/>
    <w:rsid w:val="00492CE0"/>
    <w:rsid w:val="00492FC8"/>
    <w:rsid w:val="0049314B"/>
    <w:rsid w:val="004931C2"/>
    <w:rsid w:val="004939CB"/>
    <w:rsid w:val="00493B53"/>
    <w:rsid w:val="00493E53"/>
    <w:rsid w:val="004943C9"/>
    <w:rsid w:val="00494B64"/>
    <w:rsid w:val="004951CC"/>
    <w:rsid w:val="004952FD"/>
    <w:rsid w:val="004953FB"/>
    <w:rsid w:val="004957E9"/>
    <w:rsid w:val="00495C5C"/>
    <w:rsid w:val="00495E48"/>
    <w:rsid w:val="00495EBD"/>
    <w:rsid w:val="00495FA3"/>
    <w:rsid w:val="00496290"/>
    <w:rsid w:val="0049677F"/>
    <w:rsid w:val="00496B8A"/>
    <w:rsid w:val="00496CB2"/>
    <w:rsid w:val="00496CE1"/>
    <w:rsid w:val="00496D36"/>
    <w:rsid w:val="004970E9"/>
    <w:rsid w:val="0049716E"/>
    <w:rsid w:val="004972EB"/>
    <w:rsid w:val="0049758A"/>
    <w:rsid w:val="0049788E"/>
    <w:rsid w:val="00497C52"/>
    <w:rsid w:val="00497E9B"/>
    <w:rsid w:val="004A0168"/>
    <w:rsid w:val="004A02B5"/>
    <w:rsid w:val="004A0871"/>
    <w:rsid w:val="004A0E95"/>
    <w:rsid w:val="004A1228"/>
    <w:rsid w:val="004A1C28"/>
    <w:rsid w:val="004A1CA1"/>
    <w:rsid w:val="004A266A"/>
    <w:rsid w:val="004A2AC5"/>
    <w:rsid w:val="004A301F"/>
    <w:rsid w:val="004A318E"/>
    <w:rsid w:val="004A3284"/>
    <w:rsid w:val="004A33CC"/>
    <w:rsid w:val="004A367F"/>
    <w:rsid w:val="004A380C"/>
    <w:rsid w:val="004A3E3F"/>
    <w:rsid w:val="004A4455"/>
    <w:rsid w:val="004A48A0"/>
    <w:rsid w:val="004A4931"/>
    <w:rsid w:val="004A4D14"/>
    <w:rsid w:val="004A504A"/>
    <w:rsid w:val="004A58DD"/>
    <w:rsid w:val="004A5AD5"/>
    <w:rsid w:val="004A5ED1"/>
    <w:rsid w:val="004A60D4"/>
    <w:rsid w:val="004A61D0"/>
    <w:rsid w:val="004A6BFD"/>
    <w:rsid w:val="004A6C1A"/>
    <w:rsid w:val="004A719B"/>
    <w:rsid w:val="004A7564"/>
    <w:rsid w:val="004A7FA3"/>
    <w:rsid w:val="004B0313"/>
    <w:rsid w:val="004B079E"/>
    <w:rsid w:val="004B07CC"/>
    <w:rsid w:val="004B0C99"/>
    <w:rsid w:val="004B0D2D"/>
    <w:rsid w:val="004B177F"/>
    <w:rsid w:val="004B2235"/>
    <w:rsid w:val="004B26CA"/>
    <w:rsid w:val="004B3335"/>
    <w:rsid w:val="004B3645"/>
    <w:rsid w:val="004B40B6"/>
    <w:rsid w:val="004B4193"/>
    <w:rsid w:val="004B41F5"/>
    <w:rsid w:val="004B46E9"/>
    <w:rsid w:val="004B4BF4"/>
    <w:rsid w:val="004B4C29"/>
    <w:rsid w:val="004B4CF4"/>
    <w:rsid w:val="004B4D60"/>
    <w:rsid w:val="004B4F02"/>
    <w:rsid w:val="004B50D5"/>
    <w:rsid w:val="004B50F3"/>
    <w:rsid w:val="004B51F6"/>
    <w:rsid w:val="004B5A01"/>
    <w:rsid w:val="004B5A4B"/>
    <w:rsid w:val="004B5FE8"/>
    <w:rsid w:val="004B625F"/>
    <w:rsid w:val="004B6659"/>
    <w:rsid w:val="004B6735"/>
    <w:rsid w:val="004B6805"/>
    <w:rsid w:val="004B6989"/>
    <w:rsid w:val="004B6D68"/>
    <w:rsid w:val="004B721B"/>
    <w:rsid w:val="004B721C"/>
    <w:rsid w:val="004B77F2"/>
    <w:rsid w:val="004B7B9D"/>
    <w:rsid w:val="004B7D19"/>
    <w:rsid w:val="004B7E75"/>
    <w:rsid w:val="004C014F"/>
    <w:rsid w:val="004C0154"/>
    <w:rsid w:val="004C03FA"/>
    <w:rsid w:val="004C041B"/>
    <w:rsid w:val="004C05A5"/>
    <w:rsid w:val="004C0779"/>
    <w:rsid w:val="004C083B"/>
    <w:rsid w:val="004C084F"/>
    <w:rsid w:val="004C0BB7"/>
    <w:rsid w:val="004C0C7E"/>
    <w:rsid w:val="004C1133"/>
    <w:rsid w:val="004C1189"/>
    <w:rsid w:val="004C1300"/>
    <w:rsid w:val="004C1670"/>
    <w:rsid w:val="004C16EC"/>
    <w:rsid w:val="004C1745"/>
    <w:rsid w:val="004C1DDD"/>
    <w:rsid w:val="004C2555"/>
    <w:rsid w:val="004C2796"/>
    <w:rsid w:val="004C28DF"/>
    <w:rsid w:val="004C2E5D"/>
    <w:rsid w:val="004C3093"/>
    <w:rsid w:val="004C31CA"/>
    <w:rsid w:val="004C3228"/>
    <w:rsid w:val="004C3410"/>
    <w:rsid w:val="004C3559"/>
    <w:rsid w:val="004C444D"/>
    <w:rsid w:val="004C461A"/>
    <w:rsid w:val="004C46B1"/>
    <w:rsid w:val="004C47B7"/>
    <w:rsid w:val="004C485D"/>
    <w:rsid w:val="004C4DAF"/>
    <w:rsid w:val="004C4F6C"/>
    <w:rsid w:val="004C5201"/>
    <w:rsid w:val="004C5292"/>
    <w:rsid w:val="004C58B3"/>
    <w:rsid w:val="004C58C7"/>
    <w:rsid w:val="004C5D86"/>
    <w:rsid w:val="004C5F04"/>
    <w:rsid w:val="004C5F76"/>
    <w:rsid w:val="004C6431"/>
    <w:rsid w:val="004C68D1"/>
    <w:rsid w:val="004C6A86"/>
    <w:rsid w:val="004C6C4F"/>
    <w:rsid w:val="004C6CE9"/>
    <w:rsid w:val="004C6CF7"/>
    <w:rsid w:val="004C78E5"/>
    <w:rsid w:val="004D000E"/>
    <w:rsid w:val="004D0434"/>
    <w:rsid w:val="004D04A3"/>
    <w:rsid w:val="004D148C"/>
    <w:rsid w:val="004D1670"/>
    <w:rsid w:val="004D1BD9"/>
    <w:rsid w:val="004D1C99"/>
    <w:rsid w:val="004D20F2"/>
    <w:rsid w:val="004D2469"/>
    <w:rsid w:val="004D29C4"/>
    <w:rsid w:val="004D2C4F"/>
    <w:rsid w:val="004D2FD9"/>
    <w:rsid w:val="004D33B1"/>
    <w:rsid w:val="004D3652"/>
    <w:rsid w:val="004D38B2"/>
    <w:rsid w:val="004D3B3C"/>
    <w:rsid w:val="004D3C4F"/>
    <w:rsid w:val="004D3C5E"/>
    <w:rsid w:val="004D3F66"/>
    <w:rsid w:val="004D4116"/>
    <w:rsid w:val="004D42F1"/>
    <w:rsid w:val="004D440F"/>
    <w:rsid w:val="004D46D1"/>
    <w:rsid w:val="004D4920"/>
    <w:rsid w:val="004D4C90"/>
    <w:rsid w:val="004D4F6A"/>
    <w:rsid w:val="004D5447"/>
    <w:rsid w:val="004D5496"/>
    <w:rsid w:val="004D550C"/>
    <w:rsid w:val="004D56AC"/>
    <w:rsid w:val="004D5D65"/>
    <w:rsid w:val="004D5D84"/>
    <w:rsid w:val="004D6055"/>
    <w:rsid w:val="004D6478"/>
    <w:rsid w:val="004D657F"/>
    <w:rsid w:val="004D6BD2"/>
    <w:rsid w:val="004D6FAB"/>
    <w:rsid w:val="004D7186"/>
    <w:rsid w:val="004D76BF"/>
    <w:rsid w:val="004D7806"/>
    <w:rsid w:val="004D7D48"/>
    <w:rsid w:val="004D7E53"/>
    <w:rsid w:val="004E05D9"/>
    <w:rsid w:val="004E084C"/>
    <w:rsid w:val="004E08AD"/>
    <w:rsid w:val="004E0A7C"/>
    <w:rsid w:val="004E0CD4"/>
    <w:rsid w:val="004E0E48"/>
    <w:rsid w:val="004E0FA1"/>
    <w:rsid w:val="004E0FF6"/>
    <w:rsid w:val="004E1AA4"/>
    <w:rsid w:val="004E1E5B"/>
    <w:rsid w:val="004E210E"/>
    <w:rsid w:val="004E2151"/>
    <w:rsid w:val="004E2193"/>
    <w:rsid w:val="004E22C0"/>
    <w:rsid w:val="004E234C"/>
    <w:rsid w:val="004E2CDB"/>
    <w:rsid w:val="004E31D8"/>
    <w:rsid w:val="004E3986"/>
    <w:rsid w:val="004E3B26"/>
    <w:rsid w:val="004E3D10"/>
    <w:rsid w:val="004E3D7E"/>
    <w:rsid w:val="004E40BD"/>
    <w:rsid w:val="004E41EB"/>
    <w:rsid w:val="004E4D62"/>
    <w:rsid w:val="004E4EC0"/>
    <w:rsid w:val="004E5334"/>
    <w:rsid w:val="004E5594"/>
    <w:rsid w:val="004E57A5"/>
    <w:rsid w:val="004E5E1E"/>
    <w:rsid w:val="004E5F2C"/>
    <w:rsid w:val="004E607C"/>
    <w:rsid w:val="004E618A"/>
    <w:rsid w:val="004E62E7"/>
    <w:rsid w:val="004E63F1"/>
    <w:rsid w:val="004E6D7F"/>
    <w:rsid w:val="004E70A0"/>
    <w:rsid w:val="004E71E5"/>
    <w:rsid w:val="004E72EA"/>
    <w:rsid w:val="004E7564"/>
    <w:rsid w:val="004E7962"/>
    <w:rsid w:val="004E7C55"/>
    <w:rsid w:val="004E7F33"/>
    <w:rsid w:val="004F051F"/>
    <w:rsid w:val="004F09D8"/>
    <w:rsid w:val="004F0A76"/>
    <w:rsid w:val="004F0F9D"/>
    <w:rsid w:val="004F1090"/>
    <w:rsid w:val="004F111B"/>
    <w:rsid w:val="004F139A"/>
    <w:rsid w:val="004F15CB"/>
    <w:rsid w:val="004F16F4"/>
    <w:rsid w:val="004F18B9"/>
    <w:rsid w:val="004F1A91"/>
    <w:rsid w:val="004F1BCB"/>
    <w:rsid w:val="004F1C35"/>
    <w:rsid w:val="004F1C51"/>
    <w:rsid w:val="004F21DC"/>
    <w:rsid w:val="004F23D5"/>
    <w:rsid w:val="004F2563"/>
    <w:rsid w:val="004F2AB8"/>
    <w:rsid w:val="004F2CCF"/>
    <w:rsid w:val="004F2D8F"/>
    <w:rsid w:val="004F305B"/>
    <w:rsid w:val="004F39C0"/>
    <w:rsid w:val="004F4230"/>
    <w:rsid w:val="004F449B"/>
    <w:rsid w:val="004F45D2"/>
    <w:rsid w:val="004F469D"/>
    <w:rsid w:val="004F49A6"/>
    <w:rsid w:val="004F4A87"/>
    <w:rsid w:val="004F4F05"/>
    <w:rsid w:val="004F502F"/>
    <w:rsid w:val="004F50FC"/>
    <w:rsid w:val="004F5661"/>
    <w:rsid w:val="004F58FE"/>
    <w:rsid w:val="004F5F01"/>
    <w:rsid w:val="004F658B"/>
    <w:rsid w:val="004F674F"/>
    <w:rsid w:val="004F67DA"/>
    <w:rsid w:val="004F68CD"/>
    <w:rsid w:val="004F698E"/>
    <w:rsid w:val="004F69C1"/>
    <w:rsid w:val="004F6C83"/>
    <w:rsid w:val="004F6CB5"/>
    <w:rsid w:val="004F6CF9"/>
    <w:rsid w:val="004F73F0"/>
    <w:rsid w:val="004F76E2"/>
    <w:rsid w:val="004F7825"/>
    <w:rsid w:val="004F7881"/>
    <w:rsid w:val="004F79EB"/>
    <w:rsid w:val="004F7F45"/>
    <w:rsid w:val="004F7F8A"/>
    <w:rsid w:val="00500286"/>
    <w:rsid w:val="00500292"/>
    <w:rsid w:val="00500515"/>
    <w:rsid w:val="005005CF"/>
    <w:rsid w:val="00500717"/>
    <w:rsid w:val="00501019"/>
    <w:rsid w:val="005010C3"/>
    <w:rsid w:val="005010E4"/>
    <w:rsid w:val="0050118A"/>
    <w:rsid w:val="005011A7"/>
    <w:rsid w:val="005011D1"/>
    <w:rsid w:val="00501343"/>
    <w:rsid w:val="0050150C"/>
    <w:rsid w:val="0050155A"/>
    <w:rsid w:val="0050158B"/>
    <w:rsid w:val="00501737"/>
    <w:rsid w:val="0050190D"/>
    <w:rsid w:val="00501A1E"/>
    <w:rsid w:val="00501ABD"/>
    <w:rsid w:val="00501EAE"/>
    <w:rsid w:val="00501FBC"/>
    <w:rsid w:val="005027B3"/>
    <w:rsid w:val="005036DE"/>
    <w:rsid w:val="0050396E"/>
    <w:rsid w:val="00503C8E"/>
    <w:rsid w:val="005045B0"/>
    <w:rsid w:val="00504774"/>
    <w:rsid w:val="00504B91"/>
    <w:rsid w:val="00505159"/>
    <w:rsid w:val="0050527E"/>
    <w:rsid w:val="005052FB"/>
    <w:rsid w:val="0050542A"/>
    <w:rsid w:val="00505941"/>
    <w:rsid w:val="00505BB4"/>
    <w:rsid w:val="00505DBD"/>
    <w:rsid w:val="005061E5"/>
    <w:rsid w:val="005066E0"/>
    <w:rsid w:val="00506861"/>
    <w:rsid w:val="00506EB8"/>
    <w:rsid w:val="00506EFD"/>
    <w:rsid w:val="0050710C"/>
    <w:rsid w:val="00507193"/>
    <w:rsid w:val="0050743D"/>
    <w:rsid w:val="005074DB"/>
    <w:rsid w:val="00507A30"/>
    <w:rsid w:val="00507FD7"/>
    <w:rsid w:val="005100A4"/>
    <w:rsid w:val="00510257"/>
    <w:rsid w:val="00510A5C"/>
    <w:rsid w:val="00510D3D"/>
    <w:rsid w:val="005110B2"/>
    <w:rsid w:val="00511109"/>
    <w:rsid w:val="00511F8F"/>
    <w:rsid w:val="00512162"/>
    <w:rsid w:val="00512266"/>
    <w:rsid w:val="005122B4"/>
    <w:rsid w:val="005125E8"/>
    <w:rsid w:val="00512723"/>
    <w:rsid w:val="005128AA"/>
    <w:rsid w:val="00512926"/>
    <w:rsid w:val="0051292C"/>
    <w:rsid w:val="00512A24"/>
    <w:rsid w:val="00512B24"/>
    <w:rsid w:val="00512DB6"/>
    <w:rsid w:val="00513049"/>
    <w:rsid w:val="005131CF"/>
    <w:rsid w:val="00513947"/>
    <w:rsid w:val="00513AA4"/>
    <w:rsid w:val="00513D4C"/>
    <w:rsid w:val="00513D7B"/>
    <w:rsid w:val="00514212"/>
    <w:rsid w:val="005143FC"/>
    <w:rsid w:val="00514745"/>
    <w:rsid w:val="0051474E"/>
    <w:rsid w:val="0051493C"/>
    <w:rsid w:val="00514A9A"/>
    <w:rsid w:val="00514D60"/>
    <w:rsid w:val="005151F8"/>
    <w:rsid w:val="005153D3"/>
    <w:rsid w:val="00515463"/>
    <w:rsid w:val="005157DD"/>
    <w:rsid w:val="00515DA3"/>
    <w:rsid w:val="0051602E"/>
    <w:rsid w:val="005162F8"/>
    <w:rsid w:val="00516302"/>
    <w:rsid w:val="00516367"/>
    <w:rsid w:val="00516437"/>
    <w:rsid w:val="00516578"/>
    <w:rsid w:val="005166B8"/>
    <w:rsid w:val="0051697B"/>
    <w:rsid w:val="005178E8"/>
    <w:rsid w:val="00517AE1"/>
    <w:rsid w:val="00517BC0"/>
    <w:rsid w:val="00517FFB"/>
    <w:rsid w:val="005205C2"/>
    <w:rsid w:val="005208E1"/>
    <w:rsid w:val="00520A58"/>
    <w:rsid w:val="00521797"/>
    <w:rsid w:val="00521C18"/>
    <w:rsid w:val="0052234B"/>
    <w:rsid w:val="00522BDE"/>
    <w:rsid w:val="00522C3F"/>
    <w:rsid w:val="00523108"/>
    <w:rsid w:val="005231B2"/>
    <w:rsid w:val="00523470"/>
    <w:rsid w:val="00523F3B"/>
    <w:rsid w:val="00523F4B"/>
    <w:rsid w:val="0052448E"/>
    <w:rsid w:val="00524878"/>
    <w:rsid w:val="00524AA9"/>
    <w:rsid w:val="00524EA6"/>
    <w:rsid w:val="005251C6"/>
    <w:rsid w:val="00525204"/>
    <w:rsid w:val="00525422"/>
    <w:rsid w:val="00525563"/>
    <w:rsid w:val="00525582"/>
    <w:rsid w:val="00525B45"/>
    <w:rsid w:val="00525C76"/>
    <w:rsid w:val="00525D49"/>
    <w:rsid w:val="00526207"/>
    <w:rsid w:val="0052637E"/>
    <w:rsid w:val="00526791"/>
    <w:rsid w:val="00526A6B"/>
    <w:rsid w:val="00526C96"/>
    <w:rsid w:val="00526DB0"/>
    <w:rsid w:val="00527913"/>
    <w:rsid w:val="0053053F"/>
    <w:rsid w:val="00530671"/>
    <w:rsid w:val="005306AA"/>
    <w:rsid w:val="00530763"/>
    <w:rsid w:val="00530CEF"/>
    <w:rsid w:val="0053128E"/>
    <w:rsid w:val="005319AC"/>
    <w:rsid w:val="00531C10"/>
    <w:rsid w:val="00531C27"/>
    <w:rsid w:val="00531D8C"/>
    <w:rsid w:val="00532054"/>
    <w:rsid w:val="00532120"/>
    <w:rsid w:val="00532196"/>
    <w:rsid w:val="00532525"/>
    <w:rsid w:val="005325F9"/>
    <w:rsid w:val="00532F02"/>
    <w:rsid w:val="00533380"/>
    <w:rsid w:val="00533493"/>
    <w:rsid w:val="00533730"/>
    <w:rsid w:val="00533CF9"/>
    <w:rsid w:val="00533D09"/>
    <w:rsid w:val="00533DAD"/>
    <w:rsid w:val="00534295"/>
    <w:rsid w:val="005342D5"/>
    <w:rsid w:val="00534426"/>
    <w:rsid w:val="005348F6"/>
    <w:rsid w:val="005350A7"/>
    <w:rsid w:val="005352CD"/>
    <w:rsid w:val="0053576E"/>
    <w:rsid w:val="00535A10"/>
    <w:rsid w:val="00535A8F"/>
    <w:rsid w:val="00535C8A"/>
    <w:rsid w:val="00536058"/>
    <w:rsid w:val="005360CA"/>
    <w:rsid w:val="005365EA"/>
    <w:rsid w:val="005366CA"/>
    <w:rsid w:val="005367CC"/>
    <w:rsid w:val="0053690D"/>
    <w:rsid w:val="00536CA6"/>
    <w:rsid w:val="005370D4"/>
    <w:rsid w:val="005372F3"/>
    <w:rsid w:val="00537537"/>
    <w:rsid w:val="00537599"/>
    <w:rsid w:val="00537AE1"/>
    <w:rsid w:val="00537BF8"/>
    <w:rsid w:val="00537D80"/>
    <w:rsid w:val="00537FD6"/>
    <w:rsid w:val="00540097"/>
    <w:rsid w:val="0054009E"/>
    <w:rsid w:val="005401AD"/>
    <w:rsid w:val="00540473"/>
    <w:rsid w:val="00540747"/>
    <w:rsid w:val="005407F1"/>
    <w:rsid w:val="00540C66"/>
    <w:rsid w:val="00540E0A"/>
    <w:rsid w:val="0054142C"/>
    <w:rsid w:val="005415EE"/>
    <w:rsid w:val="005417E6"/>
    <w:rsid w:val="00541961"/>
    <w:rsid w:val="00541A92"/>
    <w:rsid w:val="00541F63"/>
    <w:rsid w:val="00542092"/>
    <w:rsid w:val="005426EE"/>
    <w:rsid w:val="00542BD0"/>
    <w:rsid w:val="00543152"/>
    <w:rsid w:val="0054317B"/>
    <w:rsid w:val="005434EA"/>
    <w:rsid w:val="00543763"/>
    <w:rsid w:val="00543800"/>
    <w:rsid w:val="00543AB9"/>
    <w:rsid w:val="00543AC8"/>
    <w:rsid w:val="00543BAF"/>
    <w:rsid w:val="00543DC9"/>
    <w:rsid w:val="00543E8F"/>
    <w:rsid w:val="005447C7"/>
    <w:rsid w:val="005448A4"/>
    <w:rsid w:val="0054491F"/>
    <w:rsid w:val="00544953"/>
    <w:rsid w:val="0054504A"/>
    <w:rsid w:val="00545479"/>
    <w:rsid w:val="005455E5"/>
    <w:rsid w:val="00545FA3"/>
    <w:rsid w:val="005462EE"/>
    <w:rsid w:val="00546331"/>
    <w:rsid w:val="005463F7"/>
    <w:rsid w:val="0054650D"/>
    <w:rsid w:val="0054671A"/>
    <w:rsid w:val="00546883"/>
    <w:rsid w:val="00546F58"/>
    <w:rsid w:val="00547AC0"/>
    <w:rsid w:val="00547D53"/>
    <w:rsid w:val="00547E41"/>
    <w:rsid w:val="00547E47"/>
    <w:rsid w:val="00550390"/>
    <w:rsid w:val="00550413"/>
    <w:rsid w:val="00550565"/>
    <w:rsid w:val="00550575"/>
    <w:rsid w:val="005505CB"/>
    <w:rsid w:val="00550802"/>
    <w:rsid w:val="00550D04"/>
    <w:rsid w:val="00550FCE"/>
    <w:rsid w:val="0055149C"/>
    <w:rsid w:val="005514FE"/>
    <w:rsid w:val="005515C7"/>
    <w:rsid w:val="00551849"/>
    <w:rsid w:val="00551A87"/>
    <w:rsid w:val="005520C3"/>
    <w:rsid w:val="00552715"/>
    <w:rsid w:val="005529F2"/>
    <w:rsid w:val="00552A16"/>
    <w:rsid w:val="00552BB5"/>
    <w:rsid w:val="00552C12"/>
    <w:rsid w:val="00552D8A"/>
    <w:rsid w:val="00552D99"/>
    <w:rsid w:val="00552E6F"/>
    <w:rsid w:val="00553176"/>
    <w:rsid w:val="00553195"/>
    <w:rsid w:val="005531A4"/>
    <w:rsid w:val="00553414"/>
    <w:rsid w:val="00553541"/>
    <w:rsid w:val="00553627"/>
    <w:rsid w:val="00553634"/>
    <w:rsid w:val="00553746"/>
    <w:rsid w:val="00553752"/>
    <w:rsid w:val="0055492C"/>
    <w:rsid w:val="00555212"/>
    <w:rsid w:val="00555356"/>
    <w:rsid w:val="005559FF"/>
    <w:rsid w:val="00555B9E"/>
    <w:rsid w:val="00556021"/>
    <w:rsid w:val="00556554"/>
    <w:rsid w:val="005569FF"/>
    <w:rsid w:val="00556A2B"/>
    <w:rsid w:val="00556BAB"/>
    <w:rsid w:val="00556CBB"/>
    <w:rsid w:val="0055790B"/>
    <w:rsid w:val="00557D08"/>
    <w:rsid w:val="00557D0A"/>
    <w:rsid w:val="00557FFB"/>
    <w:rsid w:val="00560C4F"/>
    <w:rsid w:val="00560CD0"/>
    <w:rsid w:val="005610E8"/>
    <w:rsid w:val="00561849"/>
    <w:rsid w:val="00561E1B"/>
    <w:rsid w:val="00561F59"/>
    <w:rsid w:val="00562092"/>
    <w:rsid w:val="00562589"/>
    <w:rsid w:val="0056259D"/>
    <w:rsid w:val="005625F4"/>
    <w:rsid w:val="00562732"/>
    <w:rsid w:val="00562B9C"/>
    <w:rsid w:val="0056329A"/>
    <w:rsid w:val="005633CB"/>
    <w:rsid w:val="00563487"/>
    <w:rsid w:val="0056386A"/>
    <w:rsid w:val="005639DE"/>
    <w:rsid w:val="005640F4"/>
    <w:rsid w:val="00564415"/>
    <w:rsid w:val="0056493B"/>
    <w:rsid w:val="00564947"/>
    <w:rsid w:val="00564D46"/>
    <w:rsid w:val="00564DB0"/>
    <w:rsid w:val="00564DB7"/>
    <w:rsid w:val="00565466"/>
    <w:rsid w:val="00565A73"/>
    <w:rsid w:val="00565AF9"/>
    <w:rsid w:val="005660DC"/>
    <w:rsid w:val="0056681C"/>
    <w:rsid w:val="00566BBB"/>
    <w:rsid w:val="00566CC4"/>
    <w:rsid w:val="00566E6C"/>
    <w:rsid w:val="00567536"/>
    <w:rsid w:val="0056787A"/>
    <w:rsid w:val="00567BEE"/>
    <w:rsid w:val="00570276"/>
    <w:rsid w:val="00570390"/>
    <w:rsid w:val="005704DA"/>
    <w:rsid w:val="00570524"/>
    <w:rsid w:val="00570720"/>
    <w:rsid w:val="0057094C"/>
    <w:rsid w:val="00570C2A"/>
    <w:rsid w:val="005713A6"/>
    <w:rsid w:val="005713CB"/>
    <w:rsid w:val="005718EC"/>
    <w:rsid w:val="00571B69"/>
    <w:rsid w:val="0057239F"/>
    <w:rsid w:val="0057273B"/>
    <w:rsid w:val="00572798"/>
    <w:rsid w:val="00572A78"/>
    <w:rsid w:val="00572CB4"/>
    <w:rsid w:val="00572ED3"/>
    <w:rsid w:val="00573367"/>
    <w:rsid w:val="0057344B"/>
    <w:rsid w:val="00573601"/>
    <w:rsid w:val="00573721"/>
    <w:rsid w:val="005737C2"/>
    <w:rsid w:val="00573BD4"/>
    <w:rsid w:val="0057438C"/>
    <w:rsid w:val="005745EB"/>
    <w:rsid w:val="0057477F"/>
    <w:rsid w:val="00574C05"/>
    <w:rsid w:val="005750E0"/>
    <w:rsid w:val="00576107"/>
    <w:rsid w:val="0057616D"/>
    <w:rsid w:val="00576300"/>
    <w:rsid w:val="00576627"/>
    <w:rsid w:val="00576A8F"/>
    <w:rsid w:val="00576B4E"/>
    <w:rsid w:val="00576E69"/>
    <w:rsid w:val="0057735F"/>
    <w:rsid w:val="0057736A"/>
    <w:rsid w:val="00577577"/>
    <w:rsid w:val="00577FA2"/>
    <w:rsid w:val="00580E0C"/>
    <w:rsid w:val="005811D3"/>
    <w:rsid w:val="00581466"/>
    <w:rsid w:val="0058179F"/>
    <w:rsid w:val="005817DF"/>
    <w:rsid w:val="00581A0A"/>
    <w:rsid w:val="00581D55"/>
    <w:rsid w:val="00582263"/>
    <w:rsid w:val="005823A8"/>
    <w:rsid w:val="00582807"/>
    <w:rsid w:val="00582A9B"/>
    <w:rsid w:val="00582C0C"/>
    <w:rsid w:val="00582DC8"/>
    <w:rsid w:val="005833B1"/>
    <w:rsid w:val="0058367A"/>
    <w:rsid w:val="00583985"/>
    <w:rsid w:val="00583A8C"/>
    <w:rsid w:val="00583BB1"/>
    <w:rsid w:val="005842D4"/>
    <w:rsid w:val="005844FA"/>
    <w:rsid w:val="005845F2"/>
    <w:rsid w:val="00584C44"/>
    <w:rsid w:val="0058523B"/>
    <w:rsid w:val="00585AA7"/>
    <w:rsid w:val="00585AEA"/>
    <w:rsid w:val="00585B06"/>
    <w:rsid w:val="00586029"/>
    <w:rsid w:val="005862D7"/>
    <w:rsid w:val="00586494"/>
    <w:rsid w:val="00586556"/>
    <w:rsid w:val="005868F1"/>
    <w:rsid w:val="005872E9"/>
    <w:rsid w:val="00587442"/>
    <w:rsid w:val="005875BD"/>
    <w:rsid w:val="005875CF"/>
    <w:rsid w:val="005877F3"/>
    <w:rsid w:val="00587812"/>
    <w:rsid w:val="00587E1D"/>
    <w:rsid w:val="005900BD"/>
    <w:rsid w:val="00590146"/>
    <w:rsid w:val="0059038A"/>
    <w:rsid w:val="00590487"/>
    <w:rsid w:val="00590945"/>
    <w:rsid w:val="00590CC6"/>
    <w:rsid w:val="00590DCF"/>
    <w:rsid w:val="00591347"/>
    <w:rsid w:val="005913FD"/>
    <w:rsid w:val="00591675"/>
    <w:rsid w:val="005917DE"/>
    <w:rsid w:val="00591952"/>
    <w:rsid w:val="00591EA1"/>
    <w:rsid w:val="00592122"/>
    <w:rsid w:val="00592363"/>
    <w:rsid w:val="005924E4"/>
    <w:rsid w:val="005925C3"/>
    <w:rsid w:val="005926AD"/>
    <w:rsid w:val="00592976"/>
    <w:rsid w:val="00592B8F"/>
    <w:rsid w:val="00592D81"/>
    <w:rsid w:val="00592D94"/>
    <w:rsid w:val="0059311C"/>
    <w:rsid w:val="00593561"/>
    <w:rsid w:val="005936F5"/>
    <w:rsid w:val="00593955"/>
    <w:rsid w:val="00593A2C"/>
    <w:rsid w:val="00593AEA"/>
    <w:rsid w:val="00593B78"/>
    <w:rsid w:val="00593FAA"/>
    <w:rsid w:val="0059411B"/>
    <w:rsid w:val="005941EE"/>
    <w:rsid w:val="00594A98"/>
    <w:rsid w:val="00594E7B"/>
    <w:rsid w:val="00595145"/>
    <w:rsid w:val="0059552D"/>
    <w:rsid w:val="00595634"/>
    <w:rsid w:val="00595645"/>
    <w:rsid w:val="005957A8"/>
    <w:rsid w:val="00595A12"/>
    <w:rsid w:val="00595CA2"/>
    <w:rsid w:val="00595D0D"/>
    <w:rsid w:val="00595D18"/>
    <w:rsid w:val="00595E22"/>
    <w:rsid w:val="005962F2"/>
    <w:rsid w:val="005963D1"/>
    <w:rsid w:val="005964FD"/>
    <w:rsid w:val="00596729"/>
    <w:rsid w:val="005968AD"/>
    <w:rsid w:val="00596AAE"/>
    <w:rsid w:val="00596BF4"/>
    <w:rsid w:val="00597111"/>
    <w:rsid w:val="0059732E"/>
    <w:rsid w:val="0059759F"/>
    <w:rsid w:val="00597757"/>
    <w:rsid w:val="00597868"/>
    <w:rsid w:val="00597A8C"/>
    <w:rsid w:val="00597BB4"/>
    <w:rsid w:val="00597E31"/>
    <w:rsid w:val="00597EF4"/>
    <w:rsid w:val="005A059D"/>
    <w:rsid w:val="005A0981"/>
    <w:rsid w:val="005A0CEB"/>
    <w:rsid w:val="005A1088"/>
    <w:rsid w:val="005A1331"/>
    <w:rsid w:val="005A147F"/>
    <w:rsid w:val="005A14BC"/>
    <w:rsid w:val="005A14D2"/>
    <w:rsid w:val="005A158E"/>
    <w:rsid w:val="005A168E"/>
    <w:rsid w:val="005A1853"/>
    <w:rsid w:val="005A205F"/>
    <w:rsid w:val="005A2077"/>
    <w:rsid w:val="005A2A89"/>
    <w:rsid w:val="005A2AEE"/>
    <w:rsid w:val="005A2F57"/>
    <w:rsid w:val="005A2F6A"/>
    <w:rsid w:val="005A32D1"/>
    <w:rsid w:val="005A3310"/>
    <w:rsid w:val="005A3327"/>
    <w:rsid w:val="005A3730"/>
    <w:rsid w:val="005A3B1D"/>
    <w:rsid w:val="005A3B37"/>
    <w:rsid w:val="005A3BCB"/>
    <w:rsid w:val="005A3C19"/>
    <w:rsid w:val="005A471B"/>
    <w:rsid w:val="005A4735"/>
    <w:rsid w:val="005A486C"/>
    <w:rsid w:val="005A4BA3"/>
    <w:rsid w:val="005A4D81"/>
    <w:rsid w:val="005A4FA3"/>
    <w:rsid w:val="005A5567"/>
    <w:rsid w:val="005A584E"/>
    <w:rsid w:val="005A5B93"/>
    <w:rsid w:val="005A67B2"/>
    <w:rsid w:val="005A681C"/>
    <w:rsid w:val="005A6862"/>
    <w:rsid w:val="005A6A81"/>
    <w:rsid w:val="005A6BA8"/>
    <w:rsid w:val="005A6D72"/>
    <w:rsid w:val="005A7354"/>
    <w:rsid w:val="005A765B"/>
    <w:rsid w:val="005A76A7"/>
    <w:rsid w:val="005A781A"/>
    <w:rsid w:val="005A79C7"/>
    <w:rsid w:val="005A7BF9"/>
    <w:rsid w:val="005A7C04"/>
    <w:rsid w:val="005A7C8E"/>
    <w:rsid w:val="005A7F87"/>
    <w:rsid w:val="005B0297"/>
    <w:rsid w:val="005B037B"/>
    <w:rsid w:val="005B04E0"/>
    <w:rsid w:val="005B0772"/>
    <w:rsid w:val="005B0848"/>
    <w:rsid w:val="005B0865"/>
    <w:rsid w:val="005B08A8"/>
    <w:rsid w:val="005B0900"/>
    <w:rsid w:val="005B0907"/>
    <w:rsid w:val="005B09CE"/>
    <w:rsid w:val="005B12D2"/>
    <w:rsid w:val="005B1476"/>
    <w:rsid w:val="005B1589"/>
    <w:rsid w:val="005B1841"/>
    <w:rsid w:val="005B1AF9"/>
    <w:rsid w:val="005B1C93"/>
    <w:rsid w:val="005B21A9"/>
    <w:rsid w:val="005B250F"/>
    <w:rsid w:val="005B2541"/>
    <w:rsid w:val="005B26AE"/>
    <w:rsid w:val="005B26BE"/>
    <w:rsid w:val="005B2720"/>
    <w:rsid w:val="005B3732"/>
    <w:rsid w:val="005B3875"/>
    <w:rsid w:val="005B3907"/>
    <w:rsid w:val="005B41C5"/>
    <w:rsid w:val="005B41D2"/>
    <w:rsid w:val="005B420D"/>
    <w:rsid w:val="005B4330"/>
    <w:rsid w:val="005B4550"/>
    <w:rsid w:val="005B45CE"/>
    <w:rsid w:val="005B4B55"/>
    <w:rsid w:val="005B4CD9"/>
    <w:rsid w:val="005B4F39"/>
    <w:rsid w:val="005B4FBE"/>
    <w:rsid w:val="005B5059"/>
    <w:rsid w:val="005B5110"/>
    <w:rsid w:val="005B5137"/>
    <w:rsid w:val="005B552A"/>
    <w:rsid w:val="005B584C"/>
    <w:rsid w:val="005B58C8"/>
    <w:rsid w:val="005B6072"/>
    <w:rsid w:val="005B6187"/>
    <w:rsid w:val="005B6678"/>
    <w:rsid w:val="005B6849"/>
    <w:rsid w:val="005B6A10"/>
    <w:rsid w:val="005B6AEE"/>
    <w:rsid w:val="005B6F38"/>
    <w:rsid w:val="005B74D4"/>
    <w:rsid w:val="005B77F5"/>
    <w:rsid w:val="005B7BCC"/>
    <w:rsid w:val="005B7EC5"/>
    <w:rsid w:val="005C05EB"/>
    <w:rsid w:val="005C07A6"/>
    <w:rsid w:val="005C0849"/>
    <w:rsid w:val="005C0B69"/>
    <w:rsid w:val="005C0E47"/>
    <w:rsid w:val="005C1133"/>
    <w:rsid w:val="005C122C"/>
    <w:rsid w:val="005C17C5"/>
    <w:rsid w:val="005C1818"/>
    <w:rsid w:val="005C18C2"/>
    <w:rsid w:val="005C1953"/>
    <w:rsid w:val="005C1B91"/>
    <w:rsid w:val="005C24E8"/>
    <w:rsid w:val="005C266B"/>
    <w:rsid w:val="005C2683"/>
    <w:rsid w:val="005C2C8C"/>
    <w:rsid w:val="005C2D99"/>
    <w:rsid w:val="005C2E1C"/>
    <w:rsid w:val="005C363E"/>
    <w:rsid w:val="005C38D6"/>
    <w:rsid w:val="005C3B14"/>
    <w:rsid w:val="005C447E"/>
    <w:rsid w:val="005C4C3A"/>
    <w:rsid w:val="005C4C55"/>
    <w:rsid w:val="005C5133"/>
    <w:rsid w:val="005C51B6"/>
    <w:rsid w:val="005C52FE"/>
    <w:rsid w:val="005C5711"/>
    <w:rsid w:val="005C59AB"/>
    <w:rsid w:val="005C5CA1"/>
    <w:rsid w:val="005C6325"/>
    <w:rsid w:val="005C642B"/>
    <w:rsid w:val="005C74B8"/>
    <w:rsid w:val="005C7B52"/>
    <w:rsid w:val="005C7E11"/>
    <w:rsid w:val="005C7E1A"/>
    <w:rsid w:val="005C7FA7"/>
    <w:rsid w:val="005C7FAB"/>
    <w:rsid w:val="005D026F"/>
    <w:rsid w:val="005D0480"/>
    <w:rsid w:val="005D159E"/>
    <w:rsid w:val="005D1B1A"/>
    <w:rsid w:val="005D1BC5"/>
    <w:rsid w:val="005D1CAA"/>
    <w:rsid w:val="005D1D79"/>
    <w:rsid w:val="005D219F"/>
    <w:rsid w:val="005D2279"/>
    <w:rsid w:val="005D2286"/>
    <w:rsid w:val="005D29F7"/>
    <w:rsid w:val="005D2B46"/>
    <w:rsid w:val="005D2D0A"/>
    <w:rsid w:val="005D326B"/>
    <w:rsid w:val="005D32C0"/>
    <w:rsid w:val="005D347B"/>
    <w:rsid w:val="005D34B8"/>
    <w:rsid w:val="005D36C6"/>
    <w:rsid w:val="005D3C0B"/>
    <w:rsid w:val="005D3CE7"/>
    <w:rsid w:val="005D3E7F"/>
    <w:rsid w:val="005D3F0B"/>
    <w:rsid w:val="005D3F54"/>
    <w:rsid w:val="005D4695"/>
    <w:rsid w:val="005D4B5D"/>
    <w:rsid w:val="005D50BD"/>
    <w:rsid w:val="005D5374"/>
    <w:rsid w:val="005D5767"/>
    <w:rsid w:val="005D5F13"/>
    <w:rsid w:val="005D69A2"/>
    <w:rsid w:val="005D6D6C"/>
    <w:rsid w:val="005D70C3"/>
    <w:rsid w:val="005D7331"/>
    <w:rsid w:val="005D751E"/>
    <w:rsid w:val="005D779D"/>
    <w:rsid w:val="005D7A55"/>
    <w:rsid w:val="005D7ABC"/>
    <w:rsid w:val="005D7B75"/>
    <w:rsid w:val="005D7BC6"/>
    <w:rsid w:val="005D7EEC"/>
    <w:rsid w:val="005D7F88"/>
    <w:rsid w:val="005E008F"/>
    <w:rsid w:val="005E02C9"/>
    <w:rsid w:val="005E03CA"/>
    <w:rsid w:val="005E0809"/>
    <w:rsid w:val="005E0FA7"/>
    <w:rsid w:val="005E104B"/>
    <w:rsid w:val="005E107A"/>
    <w:rsid w:val="005E146A"/>
    <w:rsid w:val="005E17C7"/>
    <w:rsid w:val="005E1822"/>
    <w:rsid w:val="005E1967"/>
    <w:rsid w:val="005E1C73"/>
    <w:rsid w:val="005E1D31"/>
    <w:rsid w:val="005E26E6"/>
    <w:rsid w:val="005E2AD3"/>
    <w:rsid w:val="005E2B08"/>
    <w:rsid w:val="005E38C1"/>
    <w:rsid w:val="005E39D1"/>
    <w:rsid w:val="005E3AAF"/>
    <w:rsid w:val="005E3B90"/>
    <w:rsid w:val="005E3D13"/>
    <w:rsid w:val="005E4000"/>
    <w:rsid w:val="005E40BF"/>
    <w:rsid w:val="005E416F"/>
    <w:rsid w:val="005E43DC"/>
    <w:rsid w:val="005E4B1E"/>
    <w:rsid w:val="005E5035"/>
    <w:rsid w:val="005E58BE"/>
    <w:rsid w:val="005E5B6F"/>
    <w:rsid w:val="005E5CBC"/>
    <w:rsid w:val="005E5DAB"/>
    <w:rsid w:val="005E5DF2"/>
    <w:rsid w:val="005E5EBA"/>
    <w:rsid w:val="005E607D"/>
    <w:rsid w:val="005E639B"/>
    <w:rsid w:val="005E6810"/>
    <w:rsid w:val="005E6967"/>
    <w:rsid w:val="005E6B24"/>
    <w:rsid w:val="005E6EF5"/>
    <w:rsid w:val="005E7185"/>
    <w:rsid w:val="005E72CE"/>
    <w:rsid w:val="005E78E2"/>
    <w:rsid w:val="005E7917"/>
    <w:rsid w:val="005E79B8"/>
    <w:rsid w:val="005E7B29"/>
    <w:rsid w:val="005E7C0B"/>
    <w:rsid w:val="005E7F25"/>
    <w:rsid w:val="005F00FD"/>
    <w:rsid w:val="005F02C2"/>
    <w:rsid w:val="005F0759"/>
    <w:rsid w:val="005F07D2"/>
    <w:rsid w:val="005F07DE"/>
    <w:rsid w:val="005F07FB"/>
    <w:rsid w:val="005F0959"/>
    <w:rsid w:val="005F0C56"/>
    <w:rsid w:val="005F0CB7"/>
    <w:rsid w:val="005F0FF1"/>
    <w:rsid w:val="005F1106"/>
    <w:rsid w:val="005F1422"/>
    <w:rsid w:val="005F1C57"/>
    <w:rsid w:val="005F2106"/>
    <w:rsid w:val="005F25C3"/>
    <w:rsid w:val="005F2622"/>
    <w:rsid w:val="005F30A1"/>
    <w:rsid w:val="005F3402"/>
    <w:rsid w:val="005F3856"/>
    <w:rsid w:val="005F388B"/>
    <w:rsid w:val="005F38B7"/>
    <w:rsid w:val="005F3A8E"/>
    <w:rsid w:val="005F3CFF"/>
    <w:rsid w:val="005F3E45"/>
    <w:rsid w:val="005F419B"/>
    <w:rsid w:val="005F420F"/>
    <w:rsid w:val="005F4EF9"/>
    <w:rsid w:val="005F5638"/>
    <w:rsid w:val="005F56CA"/>
    <w:rsid w:val="005F57A8"/>
    <w:rsid w:val="005F57CC"/>
    <w:rsid w:val="005F5852"/>
    <w:rsid w:val="005F58D3"/>
    <w:rsid w:val="005F5AAA"/>
    <w:rsid w:val="005F6FFA"/>
    <w:rsid w:val="005F71C1"/>
    <w:rsid w:val="005F71D6"/>
    <w:rsid w:val="005F7228"/>
    <w:rsid w:val="005F7996"/>
    <w:rsid w:val="005F7A26"/>
    <w:rsid w:val="005F7BFB"/>
    <w:rsid w:val="005F7E1C"/>
    <w:rsid w:val="006001A6"/>
    <w:rsid w:val="006001D2"/>
    <w:rsid w:val="006006D7"/>
    <w:rsid w:val="00600774"/>
    <w:rsid w:val="00600A7A"/>
    <w:rsid w:val="00600B95"/>
    <w:rsid w:val="00600EB3"/>
    <w:rsid w:val="00600F2E"/>
    <w:rsid w:val="00600F8F"/>
    <w:rsid w:val="00601590"/>
    <w:rsid w:val="006016A8"/>
    <w:rsid w:val="00601853"/>
    <w:rsid w:val="00601E6D"/>
    <w:rsid w:val="00601FDD"/>
    <w:rsid w:val="00602A62"/>
    <w:rsid w:val="00603676"/>
    <w:rsid w:val="006037EB"/>
    <w:rsid w:val="006037EF"/>
    <w:rsid w:val="00603954"/>
    <w:rsid w:val="00604193"/>
    <w:rsid w:val="00604A24"/>
    <w:rsid w:val="00604C13"/>
    <w:rsid w:val="00604CE5"/>
    <w:rsid w:val="00604E48"/>
    <w:rsid w:val="0060516F"/>
    <w:rsid w:val="006053B0"/>
    <w:rsid w:val="006055D7"/>
    <w:rsid w:val="0060590F"/>
    <w:rsid w:val="00605A23"/>
    <w:rsid w:val="006062A3"/>
    <w:rsid w:val="006065A2"/>
    <w:rsid w:val="00606D80"/>
    <w:rsid w:val="00606F72"/>
    <w:rsid w:val="0060704A"/>
    <w:rsid w:val="00607628"/>
    <w:rsid w:val="00607859"/>
    <w:rsid w:val="00607911"/>
    <w:rsid w:val="00607ADA"/>
    <w:rsid w:val="00607BDF"/>
    <w:rsid w:val="0061051E"/>
    <w:rsid w:val="00610804"/>
    <w:rsid w:val="006109CC"/>
    <w:rsid w:val="00610B6E"/>
    <w:rsid w:val="00610C97"/>
    <w:rsid w:val="00610D6E"/>
    <w:rsid w:val="00610EBF"/>
    <w:rsid w:val="00610ED0"/>
    <w:rsid w:val="00610F09"/>
    <w:rsid w:val="0061122F"/>
    <w:rsid w:val="00611336"/>
    <w:rsid w:val="006116E7"/>
    <w:rsid w:val="00611882"/>
    <w:rsid w:val="00611A67"/>
    <w:rsid w:val="00611B12"/>
    <w:rsid w:val="00611DA1"/>
    <w:rsid w:val="00611FE2"/>
    <w:rsid w:val="006120BE"/>
    <w:rsid w:val="00612560"/>
    <w:rsid w:val="00612629"/>
    <w:rsid w:val="0061274E"/>
    <w:rsid w:val="00612757"/>
    <w:rsid w:val="00612774"/>
    <w:rsid w:val="0061289C"/>
    <w:rsid w:val="00613539"/>
    <w:rsid w:val="00613559"/>
    <w:rsid w:val="00613564"/>
    <w:rsid w:val="006136E3"/>
    <w:rsid w:val="00614246"/>
    <w:rsid w:val="00614472"/>
    <w:rsid w:val="00614803"/>
    <w:rsid w:val="00614BA5"/>
    <w:rsid w:val="00614D5B"/>
    <w:rsid w:val="006153B8"/>
    <w:rsid w:val="006156EF"/>
    <w:rsid w:val="00615985"/>
    <w:rsid w:val="00615A3F"/>
    <w:rsid w:val="00616156"/>
    <w:rsid w:val="006162D7"/>
    <w:rsid w:val="006163AD"/>
    <w:rsid w:val="0061656A"/>
    <w:rsid w:val="006166FA"/>
    <w:rsid w:val="00616C77"/>
    <w:rsid w:val="00616F57"/>
    <w:rsid w:val="00617019"/>
    <w:rsid w:val="00617221"/>
    <w:rsid w:val="006176B6"/>
    <w:rsid w:val="006178DF"/>
    <w:rsid w:val="00620582"/>
    <w:rsid w:val="006205E2"/>
    <w:rsid w:val="006207EC"/>
    <w:rsid w:val="00620B3C"/>
    <w:rsid w:val="00620DDB"/>
    <w:rsid w:val="00620EF3"/>
    <w:rsid w:val="006210B2"/>
    <w:rsid w:val="006211AE"/>
    <w:rsid w:val="006213EC"/>
    <w:rsid w:val="00621753"/>
    <w:rsid w:val="00621A54"/>
    <w:rsid w:val="00621AD9"/>
    <w:rsid w:val="00621B55"/>
    <w:rsid w:val="00621F34"/>
    <w:rsid w:val="00621FB5"/>
    <w:rsid w:val="00621FFB"/>
    <w:rsid w:val="006221A4"/>
    <w:rsid w:val="00622267"/>
    <w:rsid w:val="0062249A"/>
    <w:rsid w:val="006224D5"/>
    <w:rsid w:val="00622587"/>
    <w:rsid w:val="0062263B"/>
    <w:rsid w:val="00622884"/>
    <w:rsid w:val="00622B46"/>
    <w:rsid w:val="00622BCC"/>
    <w:rsid w:val="00622E09"/>
    <w:rsid w:val="00623013"/>
    <w:rsid w:val="00623525"/>
    <w:rsid w:val="00623F86"/>
    <w:rsid w:val="006244C6"/>
    <w:rsid w:val="0062483F"/>
    <w:rsid w:val="00624B86"/>
    <w:rsid w:val="00624CB3"/>
    <w:rsid w:val="00625030"/>
    <w:rsid w:val="006252E4"/>
    <w:rsid w:val="00625356"/>
    <w:rsid w:val="006254A0"/>
    <w:rsid w:val="006254CD"/>
    <w:rsid w:val="006254E4"/>
    <w:rsid w:val="006255A4"/>
    <w:rsid w:val="00625688"/>
    <w:rsid w:val="00625808"/>
    <w:rsid w:val="006259A0"/>
    <w:rsid w:val="00625A1E"/>
    <w:rsid w:val="00626046"/>
    <w:rsid w:val="006262F5"/>
    <w:rsid w:val="00626496"/>
    <w:rsid w:val="00626BF7"/>
    <w:rsid w:val="00626CAB"/>
    <w:rsid w:val="00626D1B"/>
    <w:rsid w:val="00626F58"/>
    <w:rsid w:val="00627076"/>
    <w:rsid w:val="00627915"/>
    <w:rsid w:val="006279B7"/>
    <w:rsid w:val="00627A0F"/>
    <w:rsid w:val="00627B94"/>
    <w:rsid w:val="00627CFD"/>
    <w:rsid w:val="00630059"/>
    <w:rsid w:val="006303BC"/>
    <w:rsid w:val="006307D2"/>
    <w:rsid w:val="00630851"/>
    <w:rsid w:val="00630863"/>
    <w:rsid w:val="00630932"/>
    <w:rsid w:val="00630AD3"/>
    <w:rsid w:val="00630C24"/>
    <w:rsid w:val="00630C96"/>
    <w:rsid w:val="00630E8F"/>
    <w:rsid w:val="0063132D"/>
    <w:rsid w:val="00631414"/>
    <w:rsid w:val="00631A64"/>
    <w:rsid w:val="00631C20"/>
    <w:rsid w:val="00631EE0"/>
    <w:rsid w:val="00632772"/>
    <w:rsid w:val="0063295A"/>
    <w:rsid w:val="0063344B"/>
    <w:rsid w:val="006335EA"/>
    <w:rsid w:val="00633659"/>
    <w:rsid w:val="00633BFE"/>
    <w:rsid w:val="00633D4D"/>
    <w:rsid w:val="006342CF"/>
    <w:rsid w:val="006342DD"/>
    <w:rsid w:val="00634A30"/>
    <w:rsid w:val="00635138"/>
    <w:rsid w:val="006351D9"/>
    <w:rsid w:val="006353F5"/>
    <w:rsid w:val="0063545B"/>
    <w:rsid w:val="00635523"/>
    <w:rsid w:val="00635663"/>
    <w:rsid w:val="006358FB"/>
    <w:rsid w:val="00635B22"/>
    <w:rsid w:val="00635E9B"/>
    <w:rsid w:val="00635F2E"/>
    <w:rsid w:val="006360BE"/>
    <w:rsid w:val="00636A56"/>
    <w:rsid w:val="00636ECA"/>
    <w:rsid w:val="006370D5"/>
    <w:rsid w:val="00637413"/>
    <w:rsid w:val="00637491"/>
    <w:rsid w:val="00637541"/>
    <w:rsid w:val="00637BBF"/>
    <w:rsid w:val="00637C34"/>
    <w:rsid w:val="00637C69"/>
    <w:rsid w:val="00640028"/>
    <w:rsid w:val="00640049"/>
    <w:rsid w:val="00640554"/>
    <w:rsid w:val="006406DB"/>
    <w:rsid w:val="00640831"/>
    <w:rsid w:val="006408F1"/>
    <w:rsid w:val="00640B47"/>
    <w:rsid w:val="00640E10"/>
    <w:rsid w:val="00641161"/>
    <w:rsid w:val="00641451"/>
    <w:rsid w:val="006418D3"/>
    <w:rsid w:val="00641C48"/>
    <w:rsid w:val="00641D8D"/>
    <w:rsid w:val="00641DA2"/>
    <w:rsid w:val="00641F6A"/>
    <w:rsid w:val="006420E5"/>
    <w:rsid w:val="006428CF"/>
    <w:rsid w:val="00642DF3"/>
    <w:rsid w:val="0064315B"/>
    <w:rsid w:val="00643333"/>
    <w:rsid w:val="006434D1"/>
    <w:rsid w:val="0064377F"/>
    <w:rsid w:val="006438BF"/>
    <w:rsid w:val="00643AF8"/>
    <w:rsid w:val="00643C2E"/>
    <w:rsid w:val="00643DE5"/>
    <w:rsid w:val="00643FAA"/>
    <w:rsid w:val="00643FC9"/>
    <w:rsid w:val="00644301"/>
    <w:rsid w:val="00644414"/>
    <w:rsid w:val="00644855"/>
    <w:rsid w:val="00644FE7"/>
    <w:rsid w:val="00645067"/>
    <w:rsid w:val="006453A3"/>
    <w:rsid w:val="0064547D"/>
    <w:rsid w:val="006454AB"/>
    <w:rsid w:val="006454AE"/>
    <w:rsid w:val="006456FF"/>
    <w:rsid w:val="00645D47"/>
    <w:rsid w:val="00646107"/>
    <w:rsid w:val="00646211"/>
    <w:rsid w:val="006464FA"/>
    <w:rsid w:val="00646652"/>
    <w:rsid w:val="006475A6"/>
    <w:rsid w:val="00647731"/>
    <w:rsid w:val="00647ABE"/>
    <w:rsid w:val="00647BCC"/>
    <w:rsid w:val="00647E9E"/>
    <w:rsid w:val="00647F1C"/>
    <w:rsid w:val="00650CE5"/>
    <w:rsid w:val="00650D86"/>
    <w:rsid w:val="00651325"/>
    <w:rsid w:val="0065161B"/>
    <w:rsid w:val="00651E53"/>
    <w:rsid w:val="00651F6B"/>
    <w:rsid w:val="00652671"/>
    <w:rsid w:val="0065292A"/>
    <w:rsid w:val="00652D61"/>
    <w:rsid w:val="00652E8D"/>
    <w:rsid w:val="00653695"/>
    <w:rsid w:val="006539D5"/>
    <w:rsid w:val="00653A0E"/>
    <w:rsid w:val="00653ABC"/>
    <w:rsid w:val="00653B0E"/>
    <w:rsid w:val="00653ED8"/>
    <w:rsid w:val="006540D0"/>
    <w:rsid w:val="00654327"/>
    <w:rsid w:val="00654522"/>
    <w:rsid w:val="00654752"/>
    <w:rsid w:val="00654BA5"/>
    <w:rsid w:val="00654F7E"/>
    <w:rsid w:val="0065506E"/>
    <w:rsid w:val="00655267"/>
    <w:rsid w:val="00655666"/>
    <w:rsid w:val="00655667"/>
    <w:rsid w:val="00655A8C"/>
    <w:rsid w:val="00655E96"/>
    <w:rsid w:val="00655F47"/>
    <w:rsid w:val="0065620A"/>
    <w:rsid w:val="00656471"/>
    <w:rsid w:val="006565FB"/>
    <w:rsid w:val="00656824"/>
    <w:rsid w:val="006569ED"/>
    <w:rsid w:val="00657050"/>
    <w:rsid w:val="006572CC"/>
    <w:rsid w:val="0065730F"/>
    <w:rsid w:val="0065746F"/>
    <w:rsid w:val="00657D00"/>
    <w:rsid w:val="00657D5B"/>
    <w:rsid w:val="00657E89"/>
    <w:rsid w:val="00657F05"/>
    <w:rsid w:val="00660094"/>
    <w:rsid w:val="00660112"/>
    <w:rsid w:val="00660153"/>
    <w:rsid w:val="006601B1"/>
    <w:rsid w:val="00660291"/>
    <w:rsid w:val="00660342"/>
    <w:rsid w:val="006605CA"/>
    <w:rsid w:val="0066080A"/>
    <w:rsid w:val="00660925"/>
    <w:rsid w:val="006609E9"/>
    <w:rsid w:val="00660AC2"/>
    <w:rsid w:val="00660E4D"/>
    <w:rsid w:val="00661330"/>
    <w:rsid w:val="0066180D"/>
    <w:rsid w:val="006619F8"/>
    <w:rsid w:val="00661C1B"/>
    <w:rsid w:val="00661C3D"/>
    <w:rsid w:val="00662698"/>
    <w:rsid w:val="006628FC"/>
    <w:rsid w:val="006629D8"/>
    <w:rsid w:val="00662FFF"/>
    <w:rsid w:val="00663229"/>
    <w:rsid w:val="00663265"/>
    <w:rsid w:val="00663351"/>
    <w:rsid w:val="0066348C"/>
    <w:rsid w:val="006635A2"/>
    <w:rsid w:val="006637D9"/>
    <w:rsid w:val="00663911"/>
    <w:rsid w:val="00663AE4"/>
    <w:rsid w:val="00663E13"/>
    <w:rsid w:val="00664326"/>
    <w:rsid w:val="006645D6"/>
    <w:rsid w:val="00664714"/>
    <w:rsid w:val="00664731"/>
    <w:rsid w:val="0066490A"/>
    <w:rsid w:val="00664C59"/>
    <w:rsid w:val="00664C90"/>
    <w:rsid w:val="00665108"/>
    <w:rsid w:val="00665EEA"/>
    <w:rsid w:val="00665F02"/>
    <w:rsid w:val="00665FAF"/>
    <w:rsid w:val="00666921"/>
    <w:rsid w:val="006679A5"/>
    <w:rsid w:val="00667C5D"/>
    <w:rsid w:val="00667D8E"/>
    <w:rsid w:val="00667E76"/>
    <w:rsid w:val="00667FE3"/>
    <w:rsid w:val="006704CA"/>
    <w:rsid w:val="0067076E"/>
    <w:rsid w:val="006707DB"/>
    <w:rsid w:val="006709D4"/>
    <w:rsid w:val="00670C68"/>
    <w:rsid w:val="00670EA6"/>
    <w:rsid w:val="00670F46"/>
    <w:rsid w:val="0067120F"/>
    <w:rsid w:val="00671973"/>
    <w:rsid w:val="00671AD5"/>
    <w:rsid w:val="00671C46"/>
    <w:rsid w:val="00671D42"/>
    <w:rsid w:val="00672058"/>
    <w:rsid w:val="006722F8"/>
    <w:rsid w:val="0067244B"/>
    <w:rsid w:val="00672A17"/>
    <w:rsid w:val="00672AA8"/>
    <w:rsid w:val="00672EEA"/>
    <w:rsid w:val="00673262"/>
    <w:rsid w:val="0067345A"/>
    <w:rsid w:val="0067355A"/>
    <w:rsid w:val="00673680"/>
    <w:rsid w:val="006737D2"/>
    <w:rsid w:val="00673A3E"/>
    <w:rsid w:val="00673B11"/>
    <w:rsid w:val="00673B1C"/>
    <w:rsid w:val="00673B68"/>
    <w:rsid w:val="00673BEF"/>
    <w:rsid w:val="00673E58"/>
    <w:rsid w:val="0067416E"/>
    <w:rsid w:val="0067420F"/>
    <w:rsid w:val="00674330"/>
    <w:rsid w:val="006746A7"/>
    <w:rsid w:val="00674A79"/>
    <w:rsid w:val="00674C69"/>
    <w:rsid w:val="00674D35"/>
    <w:rsid w:val="0067501F"/>
    <w:rsid w:val="006751E8"/>
    <w:rsid w:val="0067528B"/>
    <w:rsid w:val="00675646"/>
    <w:rsid w:val="0067566D"/>
    <w:rsid w:val="006756F3"/>
    <w:rsid w:val="006758FA"/>
    <w:rsid w:val="00675EC8"/>
    <w:rsid w:val="0067626B"/>
    <w:rsid w:val="00676271"/>
    <w:rsid w:val="00676530"/>
    <w:rsid w:val="00676611"/>
    <w:rsid w:val="006768A8"/>
    <w:rsid w:val="00676D32"/>
    <w:rsid w:val="00676F39"/>
    <w:rsid w:val="00676F3E"/>
    <w:rsid w:val="00677601"/>
    <w:rsid w:val="00677B4C"/>
    <w:rsid w:val="00677B72"/>
    <w:rsid w:val="00680224"/>
    <w:rsid w:val="00680452"/>
    <w:rsid w:val="006806C0"/>
    <w:rsid w:val="0068070D"/>
    <w:rsid w:val="00680C2E"/>
    <w:rsid w:val="00680E81"/>
    <w:rsid w:val="006816D8"/>
    <w:rsid w:val="006819F4"/>
    <w:rsid w:val="00681A97"/>
    <w:rsid w:val="00681CD8"/>
    <w:rsid w:val="00681D84"/>
    <w:rsid w:val="00681F7B"/>
    <w:rsid w:val="00681F95"/>
    <w:rsid w:val="00682165"/>
    <w:rsid w:val="0068232C"/>
    <w:rsid w:val="00682421"/>
    <w:rsid w:val="00682DC4"/>
    <w:rsid w:val="00682F4F"/>
    <w:rsid w:val="006832BD"/>
    <w:rsid w:val="00683537"/>
    <w:rsid w:val="006837F3"/>
    <w:rsid w:val="0068385F"/>
    <w:rsid w:val="006839C0"/>
    <w:rsid w:val="00684A5F"/>
    <w:rsid w:val="00684BC2"/>
    <w:rsid w:val="00684BEC"/>
    <w:rsid w:val="006853D2"/>
    <w:rsid w:val="00685575"/>
    <w:rsid w:val="00685672"/>
    <w:rsid w:val="00685706"/>
    <w:rsid w:val="0068587A"/>
    <w:rsid w:val="00685C70"/>
    <w:rsid w:val="00686387"/>
    <w:rsid w:val="006866B2"/>
    <w:rsid w:val="0068677F"/>
    <w:rsid w:val="00686A5D"/>
    <w:rsid w:val="00686AC5"/>
    <w:rsid w:val="00686BCC"/>
    <w:rsid w:val="00686C3B"/>
    <w:rsid w:val="00686F73"/>
    <w:rsid w:val="006872D9"/>
    <w:rsid w:val="0068767E"/>
    <w:rsid w:val="00687A13"/>
    <w:rsid w:val="0069000B"/>
    <w:rsid w:val="006900B0"/>
    <w:rsid w:val="0069014D"/>
    <w:rsid w:val="00690311"/>
    <w:rsid w:val="00690AED"/>
    <w:rsid w:val="00690BCA"/>
    <w:rsid w:val="00690C34"/>
    <w:rsid w:val="00690D05"/>
    <w:rsid w:val="00690FBD"/>
    <w:rsid w:val="00691034"/>
    <w:rsid w:val="0069105A"/>
    <w:rsid w:val="0069143C"/>
    <w:rsid w:val="006914AC"/>
    <w:rsid w:val="00691C90"/>
    <w:rsid w:val="00691F5B"/>
    <w:rsid w:val="006921AC"/>
    <w:rsid w:val="0069271A"/>
    <w:rsid w:val="00692EFE"/>
    <w:rsid w:val="0069372F"/>
    <w:rsid w:val="00693BBB"/>
    <w:rsid w:val="00693BFA"/>
    <w:rsid w:val="00693C29"/>
    <w:rsid w:val="00693DE6"/>
    <w:rsid w:val="00693E2E"/>
    <w:rsid w:val="00693E3C"/>
    <w:rsid w:val="00693F06"/>
    <w:rsid w:val="0069401D"/>
    <w:rsid w:val="00694229"/>
    <w:rsid w:val="0069476D"/>
    <w:rsid w:val="00694946"/>
    <w:rsid w:val="00694A22"/>
    <w:rsid w:val="006952DE"/>
    <w:rsid w:val="006956ED"/>
    <w:rsid w:val="00696374"/>
    <w:rsid w:val="0069640A"/>
    <w:rsid w:val="00696969"/>
    <w:rsid w:val="006969E5"/>
    <w:rsid w:val="00696B31"/>
    <w:rsid w:val="00696BE0"/>
    <w:rsid w:val="00696DAD"/>
    <w:rsid w:val="00697188"/>
    <w:rsid w:val="00697557"/>
    <w:rsid w:val="00697D9E"/>
    <w:rsid w:val="006A0035"/>
    <w:rsid w:val="006A04C8"/>
    <w:rsid w:val="006A0A31"/>
    <w:rsid w:val="006A0FCC"/>
    <w:rsid w:val="006A1056"/>
    <w:rsid w:val="006A16C5"/>
    <w:rsid w:val="006A186C"/>
    <w:rsid w:val="006A19B9"/>
    <w:rsid w:val="006A1ADE"/>
    <w:rsid w:val="006A1B12"/>
    <w:rsid w:val="006A1E70"/>
    <w:rsid w:val="006A2001"/>
    <w:rsid w:val="006A228A"/>
    <w:rsid w:val="006A25F4"/>
    <w:rsid w:val="006A2AB8"/>
    <w:rsid w:val="006A2B2F"/>
    <w:rsid w:val="006A2CDD"/>
    <w:rsid w:val="006A30B7"/>
    <w:rsid w:val="006A3262"/>
    <w:rsid w:val="006A34D7"/>
    <w:rsid w:val="006A372D"/>
    <w:rsid w:val="006A3870"/>
    <w:rsid w:val="006A38D2"/>
    <w:rsid w:val="006A3980"/>
    <w:rsid w:val="006A3E3F"/>
    <w:rsid w:val="006A42AD"/>
    <w:rsid w:val="006A4508"/>
    <w:rsid w:val="006A45D7"/>
    <w:rsid w:val="006A48B4"/>
    <w:rsid w:val="006A4AB3"/>
    <w:rsid w:val="006A4BF4"/>
    <w:rsid w:val="006A4C96"/>
    <w:rsid w:val="006A4E18"/>
    <w:rsid w:val="006A4EC0"/>
    <w:rsid w:val="006A5130"/>
    <w:rsid w:val="006A51E2"/>
    <w:rsid w:val="006A5332"/>
    <w:rsid w:val="006A5355"/>
    <w:rsid w:val="006A535A"/>
    <w:rsid w:val="006A549C"/>
    <w:rsid w:val="006A5DA2"/>
    <w:rsid w:val="006A5E9F"/>
    <w:rsid w:val="006A5EB9"/>
    <w:rsid w:val="006A5FEF"/>
    <w:rsid w:val="006A6054"/>
    <w:rsid w:val="006A619F"/>
    <w:rsid w:val="006A63B9"/>
    <w:rsid w:val="006A6465"/>
    <w:rsid w:val="006A658F"/>
    <w:rsid w:val="006A66D7"/>
    <w:rsid w:val="006A6A69"/>
    <w:rsid w:val="006A6B3A"/>
    <w:rsid w:val="006A6B6D"/>
    <w:rsid w:val="006A6C2A"/>
    <w:rsid w:val="006A71A1"/>
    <w:rsid w:val="006A726B"/>
    <w:rsid w:val="006A79E6"/>
    <w:rsid w:val="006A7BFF"/>
    <w:rsid w:val="006A7DCD"/>
    <w:rsid w:val="006A7E9D"/>
    <w:rsid w:val="006A7ED3"/>
    <w:rsid w:val="006B0184"/>
    <w:rsid w:val="006B0325"/>
    <w:rsid w:val="006B03BF"/>
    <w:rsid w:val="006B0AB1"/>
    <w:rsid w:val="006B0BAB"/>
    <w:rsid w:val="006B0C5E"/>
    <w:rsid w:val="006B1167"/>
    <w:rsid w:val="006B1810"/>
    <w:rsid w:val="006B2454"/>
    <w:rsid w:val="006B24F1"/>
    <w:rsid w:val="006B2572"/>
    <w:rsid w:val="006B2795"/>
    <w:rsid w:val="006B2EA5"/>
    <w:rsid w:val="006B39D6"/>
    <w:rsid w:val="006B3E1C"/>
    <w:rsid w:val="006B3EBA"/>
    <w:rsid w:val="006B4412"/>
    <w:rsid w:val="006B48CC"/>
    <w:rsid w:val="006B4FE9"/>
    <w:rsid w:val="006B5208"/>
    <w:rsid w:val="006B5466"/>
    <w:rsid w:val="006B55E1"/>
    <w:rsid w:val="006B57F6"/>
    <w:rsid w:val="006B59C4"/>
    <w:rsid w:val="006B5A32"/>
    <w:rsid w:val="006B5A56"/>
    <w:rsid w:val="006B629D"/>
    <w:rsid w:val="006B6558"/>
    <w:rsid w:val="006B6DE8"/>
    <w:rsid w:val="006B7032"/>
    <w:rsid w:val="006B729F"/>
    <w:rsid w:val="006B73BB"/>
    <w:rsid w:val="006B7403"/>
    <w:rsid w:val="006C01D3"/>
    <w:rsid w:val="006C0298"/>
    <w:rsid w:val="006C0CF6"/>
    <w:rsid w:val="006C0F3B"/>
    <w:rsid w:val="006C0F4F"/>
    <w:rsid w:val="006C0FF6"/>
    <w:rsid w:val="006C139F"/>
    <w:rsid w:val="006C1721"/>
    <w:rsid w:val="006C1D4C"/>
    <w:rsid w:val="006C1E18"/>
    <w:rsid w:val="006C1FCA"/>
    <w:rsid w:val="006C24AC"/>
    <w:rsid w:val="006C2941"/>
    <w:rsid w:val="006C2FD5"/>
    <w:rsid w:val="006C31FB"/>
    <w:rsid w:val="006C3537"/>
    <w:rsid w:val="006C36CD"/>
    <w:rsid w:val="006C376B"/>
    <w:rsid w:val="006C3E1A"/>
    <w:rsid w:val="006C3F0B"/>
    <w:rsid w:val="006C4609"/>
    <w:rsid w:val="006C47FD"/>
    <w:rsid w:val="006C4A7A"/>
    <w:rsid w:val="006C4BBD"/>
    <w:rsid w:val="006C4BD7"/>
    <w:rsid w:val="006C4ED2"/>
    <w:rsid w:val="006C50CD"/>
    <w:rsid w:val="006C5211"/>
    <w:rsid w:val="006C548E"/>
    <w:rsid w:val="006C54DA"/>
    <w:rsid w:val="006C55B2"/>
    <w:rsid w:val="006C5617"/>
    <w:rsid w:val="006C5835"/>
    <w:rsid w:val="006C59D7"/>
    <w:rsid w:val="006C5A48"/>
    <w:rsid w:val="006C5B97"/>
    <w:rsid w:val="006C61B7"/>
    <w:rsid w:val="006C69B1"/>
    <w:rsid w:val="006C6D53"/>
    <w:rsid w:val="006C6FF4"/>
    <w:rsid w:val="006C793E"/>
    <w:rsid w:val="006C7BCE"/>
    <w:rsid w:val="006C7EDB"/>
    <w:rsid w:val="006D068D"/>
    <w:rsid w:val="006D0920"/>
    <w:rsid w:val="006D0A86"/>
    <w:rsid w:val="006D0C6B"/>
    <w:rsid w:val="006D0E4B"/>
    <w:rsid w:val="006D101C"/>
    <w:rsid w:val="006D143E"/>
    <w:rsid w:val="006D1576"/>
    <w:rsid w:val="006D15AF"/>
    <w:rsid w:val="006D1618"/>
    <w:rsid w:val="006D18C0"/>
    <w:rsid w:val="006D1AF2"/>
    <w:rsid w:val="006D1EBB"/>
    <w:rsid w:val="006D2091"/>
    <w:rsid w:val="006D223F"/>
    <w:rsid w:val="006D2349"/>
    <w:rsid w:val="006D2425"/>
    <w:rsid w:val="006D2847"/>
    <w:rsid w:val="006D299D"/>
    <w:rsid w:val="006D2BD0"/>
    <w:rsid w:val="006D3B50"/>
    <w:rsid w:val="006D3D29"/>
    <w:rsid w:val="006D40BE"/>
    <w:rsid w:val="006D41ED"/>
    <w:rsid w:val="006D4275"/>
    <w:rsid w:val="006D42B6"/>
    <w:rsid w:val="006D4F40"/>
    <w:rsid w:val="006D5422"/>
    <w:rsid w:val="006D5658"/>
    <w:rsid w:val="006D5797"/>
    <w:rsid w:val="006D5A76"/>
    <w:rsid w:val="006D60C8"/>
    <w:rsid w:val="006D6130"/>
    <w:rsid w:val="006D61FE"/>
    <w:rsid w:val="006D625D"/>
    <w:rsid w:val="006D67AD"/>
    <w:rsid w:val="006D69D1"/>
    <w:rsid w:val="006D6A46"/>
    <w:rsid w:val="006D7227"/>
    <w:rsid w:val="006D7240"/>
    <w:rsid w:val="006D7316"/>
    <w:rsid w:val="006D74C0"/>
    <w:rsid w:val="006E0323"/>
    <w:rsid w:val="006E0663"/>
    <w:rsid w:val="006E0C43"/>
    <w:rsid w:val="006E0E49"/>
    <w:rsid w:val="006E106B"/>
    <w:rsid w:val="006E1183"/>
    <w:rsid w:val="006E1571"/>
    <w:rsid w:val="006E17A4"/>
    <w:rsid w:val="006E1CD8"/>
    <w:rsid w:val="006E2212"/>
    <w:rsid w:val="006E27D6"/>
    <w:rsid w:val="006E2A57"/>
    <w:rsid w:val="006E2E82"/>
    <w:rsid w:val="006E349F"/>
    <w:rsid w:val="006E3645"/>
    <w:rsid w:val="006E369D"/>
    <w:rsid w:val="006E372E"/>
    <w:rsid w:val="006E3ACE"/>
    <w:rsid w:val="006E3E61"/>
    <w:rsid w:val="006E504A"/>
    <w:rsid w:val="006E5112"/>
    <w:rsid w:val="006E51F2"/>
    <w:rsid w:val="006E547A"/>
    <w:rsid w:val="006E57B1"/>
    <w:rsid w:val="006E5890"/>
    <w:rsid w:val="006E61DD"/>
    <w:rsid w:val="006E67F0"/>
    <w:rsid w:val="006E685E"/>
    <w:rsid w:val="006E68FF"/>
    <w:rsid w:val="006E6D1B"/>
    <w:rsid w:val="006E726E"/>
    <w:rsid w:val="006E7382"/>
    <w:rsid w:val="006E758A"/>
    <w:rsid w:val="006E7B4A"/>
    <w:rsid w:val="006E7E83"/>
    <w:rsid w:val="006F044B"/>
    <w:rsid w:val="006F0485"/>
    <w:rsid w:val="006F04AD"/>
    <w:rsid w:val="006F05C2"/>
    <w:rsid w:val="006F06FB"/>
    <w:rsid w:val="006F0B7E"/>
    <w:rsid w:val="006F0D15"/>
    <w:rsid w:val="006F0DEB"/>
    <w:rsid w:val="006F128F"/>
    <w:rsid w:val="006F147D"/>
    <w:rsid w:val="006F18C2"/>
    <w:rsid w:val="006F1940"/>
    <w:rsid w:val="006F1A35"/>
    <w:rsid w:val="006F1DDD"/>
    <w:rsid w:val="006F1DF1"/>
    <w:rsid w:val="006F1ECC"/>
    <w:rsid w:val="006F1ED8"/>
    <w:rsid w:val="006F2033"/>
    <w:rsid w:val="006F2215"/>
    <w:rsid w:val="006F27DC"/>
    <w:rsid w:val="006F2DAA"/>
    <w:rsid w:val="006F2E7E"/>
    <w:rsid w:val="006F34C5"/>
    <w:rsid w:val="006F3E30"/>
    <w:rsid w:val="006F3EAB"/>
    <w:rsid w:val="006F435F"/>
    <w:rsid w:val="006F444B"/>
    <w:rsid w:val="006F4490"/>
    <w:rsid w:val="006F4851"/>
    <w:rsid w:val="006F48A7"/>
    <w:rsid w:val="006F48F4"/>
    <w:rsid w:val="006F4995"/>
    <w:rsid w:val="006F4CA8"/>
    <w:rsid w:val="006F4D25"/>
    <w:rsid w:val="006F4DED"/>
    <w:rsid w:val="006F5091"/>
    <w:rsid w:val="006F5478"/>
    <w:rsid w:val="006F5889"/>
    <w:rsid w:val="006F58E3"/>
    <w:rsid w:val="006F59B8"/>
    <w:rsid w:val="006F5A0E"/>
    <w:rsid w:val="006F5C71"/>
    <w:rsid w:val="006F6096"/>
    <w:rsid w:val="006F62B4"/>
    <w:rsid w:val="006F6358"/>
    <w:rsid w:val="006F642E"/>
    <w:rsid w:val="006F6457"/>
    <w:rsid w:val="006F6561"/>
    <w:rsid w:val="006F67D1"/>
    <w:rsid w:val="006F69A2"/>
    <w:rsid w:val="006F6BA2"/>
    <w:rsid w:val="006F701C"/>
    <w:rsid w:val="006F704D"/>
    <w:rsid w:val="006F7215"/>
    <w:rsid w:val="006F73E6"/>
    <w:rsid w:val="006F74B3"/>
    <w:rsid w:val="006F7640"/>
    <w:rsid w:val="006F7ACD"/>
    <w:rsid w:val="00700025"/>
    <w:rsid w:val="0070019F"/>
    <w:rsid w:val="007001A0"/>
    <w:rsid w:val="00700892"/>
    <w:rsid w:val="007008D0"/>
    <w:rsid w:val="00700A57"/>
    <w:rsid w:val="0070111B"/>
    <w:rsid w:val="00701221"/>
    <w:rsid w:val="007015D9"/>
    <w:rsid w:val="007017C8"/>
    <w:rsid w:val="00701B1F"/>
    <w:rsid w:val="00701C59"/>
    <w:rsid w:val="00701F01"/>
    <w:rsid w:val="00701F74"/>
    <w:rsid w:val="0070226E"/>
    <w:rsid w:val="007022FC"/>
    <w:rsid w:val="0070242F"/>
    <w:rsid w:val="00702816"/>
    <w:rsid w:val="007028F9"/>
    <w:rsid w:val="00702AAC"/>
    <w:rsid w:val="00702ABA"/>
    <w:rsid w:val="00702B2A"/>
    <w:rsid w:val="00702FF1"/>
    <w:rsid w:val="0070302A"/>
    <w:rsid w:val="007034FE"/>
    <w:rsid w:val="0070378B"/>
    <w:rsid w:val="007038E9"/>
    <w:rsid w:val="00703938"/>
    <w:rsid w:val="00703A68"/>
    <w:rsid w:val="00703E15"/>
    <w:rsid w:val="0070452C"/>
    <w:rsid w:val="007046B0"/>
    <w:rsid w:val="007047D9"/>
    <w:rsid w:val="0070498B"/>
    <w:rsid w:val="00704A48"/>
    <w:rsid w:val="00705229"/>
    <w:rsid w:val="0070523B"/>
    <w:rsid w:val="00705355"/>
    <w:rsid w:val="00705392"/>
    <w:rsid w:val="00705506"/>
    <w:rsid w:val="00705788"/>
    <w:rsid w:val="00705BA0"/>
    <w:rsid w:val="00705BD8"/>
    <w:rsid w:val="00705E77"/>
    <w:rsid w:val="00706037"/>
    <w:rsid w:val="0070622D"/>
    <w:rsid w:val="0070653E"/>
    <w:rsid w:val="0070677F"/>
    <w:rsid w:val="00706B0B"/>
    <w:rsid w:val="0070704C"/>
    <w:rsid w:val="00707072"/>
    <w:rsid w:val="0070724F"/>
    <w:rsid w:val="00707B42"/>
    <w:rsid w:val="00707CE2"/>
    <w:rsid w:val="00707D01"/>
    <w:rsid w:val="00707DA2"/>
    <w:rsid w:val="00707E72"/>
    <w:rsid w:val="0071045B"/>
    <w:rsid w:val="0071053C"/>
    <w:rsid w:val="0071081A"/>
    <w:rsid w:val="007108CE"/>
    <w:rsid w:val="00710A82"/>
    <w:rsid w:val="00710DF6"/>
    <w:rsid w:val="007110BF"/>
    <w:rsid w:val="00711957"/>
    <w:rsid w:val="00711BC8"/>
    <w:rsid w:val="00711F51"/>
    <w:rsid w:val="007125A5"/>
    <w:rsid w:val="00712E31"/>
    <w:rsid w:val="007130B2"/>
    <w:rsid w:val="007134CA"/>
    <w:rsid w:val="00713A6C"/>
    <w:rsid w:val="00713B73"/>
    <w:rsid w:val="007141A7"/>
    <w:rsid w:val="007141C2"/>
    <w:rsid w:val="007142AE"/>
    <w:rsid w:val="00714681"/>
    <w:rsid w:val="0071485F"/>
    <w:rsid w:val="00714F28"/>
    <w:rsid w:val="00714FF2"/>
    <w:rsid w:val="007150AA"/>
    <w:rsid w:val="00715373"/>
    <w:rsid w:val="007155E1"/>
    <w:rsid w:val="007155E5"/>
    <w:rsid w:val="00715BE0"/>
    <w:rsid w:val="00715C24"/>
    <w:rsid w:val="00716110"/>
    <w:rsid w:val="0071676F"/>
    <w:rsid w:val="00716911"/>
    <w:rsid w:val="00716FA8"/>
    <w:rsid w:val="00717210"/>
    <w:rsid w:val="0071754B"/>
    <w:rsid w:val="00717551"/>
    <w:rsid w:val="0071778B"/>
    <w:rsid w:val="00717CE5"/>
    <w:rsid w:val="00717E0D"/>
    <w:rsid w:val="00720189"/>
    <w:rsid w:val="007203A7"/>
    <w:rsid w:val="0072057A"/>
    <w:rsid w:val="007205FC"/>
    <w:rsid w:val="00720C99"/>
    <w:rsid w:val="00720D20"/>
    <w:rsid w:val="00720D6B"/>
    <w:rsid w:val="00720DC6"/>
    <w:rsid w:val="00721251"/>
    <w:rsid w:val="007215B1"/>
    <w:rsid w:val="0072177E"/>
    <w:rsid w:val="00721D05"/>
    <w:rsid w:val="00721DAD"/>
    <w:rsid w:val="007221BB"/>
    <w:rsid w:val="007227D5"/>
    <w:rsid w:val="007228A7"/>
    <w:rsid w:val="00722C1D"/>
    <w:rsid w:val="00722CBC"/>
    <w:rsid w:val="00722D33"/>
    <w:rsid w:val="00722D66"/>
    <w:rsid w:val="00722E4D"/>
    <w:rsid w:val="007232C4"/>
    <w:rsid w:val="007239D7"/>
    <w:rsid w:val="00723A72"/>
    <w:rsid w:val="00723D7A"/>
    <w:rsid w:val="00723DED"/>
    <w:rsid w:val="00723E31"/>
    <w:rsid w:val="007246BA"/>
    <w:rsid w:val="00724E4D"/>
    <w:rsid w:val="00724FE9"/>
    <w:rsid w:val="00724FF7"/>
    <w:rsid w:val="00725155"/>
    <w:rsid w:val="00725242"/>
    <w:rsid w:val="00725284"/>
    <w:rsid w:val="00725357"/>
    <w:rsid w:val="00725789"/>
    <w:rsid w:val="0072580D"/>
    <w:rsid w:val="0072587C"/>
    <w:rsid w:val="00725CDB"/>
    <w:rsid w:val="00725DCB"/>
    <w:rsid w:val="007261CE"/>
    <w:rsid w:val="0072691F"/>
    <w:rsid w:val="0072693E"/>
    <w:rsid w:val="00726968"/>
    <w:rsid w:val="007269FC"/>
    <w:rsid w:val="00727323"/>
    <w:rsid w:val="00727605"/>
    <w:rsid w:val="0072794F"/>
    <w:rsid w:val="00727AA4"/>
    <w:rsid w:val="00727C33"/>
    <w:rsid w:val="00727C8D"/>
    <w:rsid w:val="00727CAD"/>
    <w:rsid w:val="0073001A"/>
    <w:rsid w:val="0073006E"/>
    <w:rsid w:val="007300F1"/>
    <w:rsid w:val="007301ED"/>
    <w:rsid w:val="007303F8"/>
    <w:rsid w:val="00730471"/>
    <w:rsid w:val="00730518"/>
    <w:rsid w:val="007307A1"/>
    <w:rsid w:val="007309C9"/>
    <w:rsid w:val="00730A73"/>
    <w:rsid w:val="00730FB6"/>
    <w:rsid w:val="00730FC2"/>
    <w:rsid w:val="00730FDD"/>
    <w:rsid w:val="00730FE9"/>
    <w:rsid w:val="0073126B"/>
    <w:rsid w:val="00731276"/>
    <w:rsid w:val="007312EE"/>
    <w:rsid w:val="00731755"/>
    <w:rsid w:val="007317DD"/>
    <w:rsid w:val="00731AEF"/>
    <w:rsid w:val="00731C62"/>
    <w:rsid w:val="0073207F"/>
    <w:rsid w:val="00732380"/>
    <w:rsid w:val="00732387"/>
    <w:rsid w:val="007323E2"/>
    <w:rsid w:val="007324BF"/>
    <w:rsid w:val="0073255E"/>
    <w:rsid w:val="007325F5"/>
    <w:rsid w:val="00732617"/>
    <w:rsid w:val="00732A5C"/>
    <w:rsid w:val="00732CB7"/>
    <w:rsid w:val="00732FE5"/>
    <w:rsid w:val="00733999"/>
    <w:rsid w:val="0073404E"/>
    <w:rsid w:val="0073409A"/>
    <w:rsid w:val="0073448F"/>
    <w:rsid w:val="007347A0"/>
    <w:rsid w:val="00734B77"/>
    <w:rsid w:val="007350FC"/>
    <w:rsid w:val="0073540B"/>
    <w:rsid w:val="00735A46"/>
    <w:rsid w:val="00735A59"/>
    <w:rsid w:val="00735D3A"/>
    <w:rsid w:val="00735FE5"/>
    <w:rsid w:val="00735FF4"/>
    <w:rsid w:val="0073680C"/>
    <w:rsid w:val="007368DB"/>
    <w:rsid w:val="007368ED"/>
    <w:rsid w:val="00736958"/>
    <w:rsid w:val="007369C9"/>
    <w:rsid w:val="00736C20"/>
    <w:rsid w:val="00736DC3"/>
    <w:rsid w:val="0073745E"/>
    <w:rsid w:val="007375E7"/>
    <w:rsid w:val="0073761D"/>
    <w:rsid w:val="00737DF9"/>
    <w:rsid w:val="00737E8F"/>
    <w:rsid w:val="007402A1"/>
    <w:rsid w:val="007406B4"/>
    <w:rsid w:val="0074093F"/>
    <w:rsid w:val="007409F9"/>
    <w:rsid w:val="00740A9A"/>
    <w:rsid w:val="00740ADC"/>
    <w:rsid w:val="00740D0E"/>
    <w:rsid w:val="00740D9F"/>
    <w:rsid w:val="00740F45"/>
    <w:rsid w:val="00741051"/>
    <w:rsid w:val="00741AC6"/>
    <w:rsid w:val="00741B77"/>
    <w:rsid w:val="00741D42"/>
    <w:rsid w:val="0074217D"/>
    <w:rsid w:val="007421B0"/>
    <w:rsid w:val="007427B5"/>
    <w:rsid w:val="0074283D"/>
    <w:rsid w:val="00742866"/>
    <w:rsid w:val="00742BD3"/>
    <w:rsid w:val="00742F4B"/>
    <w:rsid w:val="00743147"/>
    <w:rsid w:val="007431E3"/>
    <w:rsid w:val="007431E7"/>
    <w:rsid w:val="0074345D"/>
    <w:rsid w:val="007434C2"/>
    <w:rsid w:val="00743CDF"/>
    <w:rsid w:val="0074404E"/>
    <w:rsid w:val="00744285"/>
    <w:rsid w:val="00744306"/>
    <w:rsid w:val="00744358"/>
    <w:rsid w:val="00744863"/>
    <w:rsid w:val="00744A14"/>
    <w:rsid w:val="00744AB5"/>
    <w:rsid w:val="00744B24"/>
    <w:rsid w:val="00744C1E"/>
    <w:rsid w:val="00744E5A"/>
    <w:rsid w:val="00745031"/>
    <w:rsid w:val="007459E4"/>
    <w:rsid w:val="00745B03"/>
    <w:rsid w:val="00745E3A"/>
    <w:rsid w:val="00745F83"/>
    <w:rsid w:val="007461EE"/>
    <w:rsid w:val="007462C3"/>
    <w:rsid w:val="0074631A"/>
    <w:rsid w:val="007463C1"/>
    <w:rsid w:val="0074657C"/>
    <w:rsid w:val="00746A64"/>
    <w:rsid w:val="00746A93"/>
    <w:rsid w:val="00746B56"/>
    <w:rsid w:val="00746C5A"/>
    <w:rsid w:val="00746D81"/>
    <w:rsid w:val="00747239"/>
    <w:rsid w:val="00747341"/>
    <w:rsid w:val="0074783E"/>
    <w:rsid w:val="00747B00"/>
    <w:rsid w:val="00747B74"/>
    <w:rsid w:val="00747F60"/>
    <w:rsid w:val="00750093"/>
    <w:rsid w:val="007504CE"/>
    <w:rsid w:val="00750716"/>
    <w:rsid w:val="00750892"/>
    <w:rsid w:val="00750AC8"/>
    <w:rsid w:val="00750E62"/>
    <w:rsid w:val="007511C5"/>
    <w:rsid w:val="00751615"/>
    <w:rsid w:val="00751635"/>
    <w:rsid w:val="00751C55"/>
    <w:rsid w:val="00751F04"/>
    <w:rsid w:val="00752101"/>
    <w:rsid w:val="00752204"/>
    <w:rsid w:val="00752419"/>
    <w:rsid w:val="007528CA"/>
    <w:rsid w:val="007529E0"/>
    <w:rsid w:val="00752CAE"/>
    <w:rsid w:val="00752F3C"/>
    <w:rsid w:val="00753144"/>
    <w:rsid w:val="007531D8"/>
    <w:rsid w:val="00753354"/>
    <w:rsid w:val="0075338F"/>
    <w:rsid w:val="0075400C"/>
    <w:rsid w:val="0075423E"/>
    <w:rsid w:val="007544C2"/>
    <w:rsid w:val="007545A6"/>
    <w:rsid w:val="0075486B"/>
    <w:rsid w:val="0075486C"/>
    <w:rsid w:val="00754AA8"/>
    <w:rsid w:val="00754B19"/>
    <w:rsid w:val="00755078"/>
    <w:rsid w:val="00755589"/>
    <w:rsid w:val="00756068"/>
    <w:rsid w:val="007560EC"/>
    <w:rsid w:val="00756147"/>
    <w:rsid w:val="0075614B"/>
    <w:rsid w:val="0075618B"/>
    <w:rsid w:val="00756663"/>
    <w:rsid w:val="007567C9"/>
    <w:rsid w:val="00756904"/>
    <w:rsid w:val="007569E4"/>
    <w:rsid w:val="00756ACE"/>
    <w:rsid w:val="00756B74"/>
    <w:rsid w:val="00756C68"/>
    <w:rsid w:val="00756E02"/>
    <w:rsid w:val="00756E64"/>
    <w:rsid w:val="00756EB3"/>
    <w:rsid w:val="00757144"/>
    <w:rsid w:val="00757332"/>
    <w:rsid w:val="007573B0"/>
    <w:rsid w:val="00757E7D"/>
    <w:rsid w:val="00757ED9"/>
    <w:rsid w:val="00757F5D"/>
    <w:rsid w:val="00760009"/>
    <w:rsid w:val="007600BD"/>
    <w:rsid w:val="00760148"/>
    <w:rsid w:val="007602D8"/>
    <w:rsid w:val="007607B6"/>
    <w:rsid w:val="0076099E"/>
    <w:rsid w:val="00760B4C"/>
    <w:rsid w:val="00760B9D"/>
    <w:rsid w:val="00760C12"/>
    <w:rsid w:val="00760F0E"/>
    <w:rsid w:val="00761010"/>
    <w:rsid w:val="00761777"/>
    <w:rsid w:val="0076182C"/>
    <w:rsid w:val="007619D6"/>
    <w:rsid w:val="00762048"/>
    <w:rsid w:val="00762474"/>
    <w:rsid w:val="007628BF"/>
    <w:rsid w:val="0076291B"/>
    <w:rsid w:val="00762C4C"/>
    <w:rsid w:val="00762D3A"/>
    <w:rsid w:val="0076301A"/>
    <w:rsid w:val="00763763"/>
    <w:rsid w:val="00763B0A"/>
    <w:rsid w:val="00763C53"/>
    <w:rsid w:val="00763D43"/>
    <w:rsid w:val="00763E43"/>
    <w:rsid w:val="00763FE7"/>
    <w:rsid w:val="00764615"/>
    <w:rsid w:val="00764700"/>
    <w:rsid w:val="00764820"/>
    <w:rsid w:val="0076495B"/>
    <w:rsid w:val="00764D1E"/>
    <w:rsid w:val="00764E73"/>
    <w:rsid w:val="00765493"/>
    <w:rsid w:val="007657B5"/>
    <w:rsid w:val="00765999"/>
    <w:rsid w:val="00765A5B"/>
    <w:rsid w:val="00765A5D"/>
    <w:rsid w:val="00765E7E"/>
    <w:rsid w:val="00766269"/>
    <w:rsid w:val="007662F5"/>
    <w:rsid w:val="007666E3"/>
    <w:rsid w:val="0076745A"/>
    <w:rsid w:val="0076771E"/>
    <w:rsid w:val="00767897"/>
    <w:rsid w:val="007678F6"/>
    <w:rsid w:val="00767D0D"/>
    <w:rsid w:val="00767D1C"/>
    <w:rsid w:val="00767F0C"/>
    <w:rsid w:val="0077001B"/>
    <w:rsid w:val="007700B4"/>
    <w:rsid w:val="00770243"/>
    <w:rsid w:val="00771070"/>
    <w:rsid w:val="0077191A"/>
    <w:rsid w:val="007723E4"/>
    <w:rsid w:val="007724EE"/>
    <w:rsid w:val="0077282F"/>
    <w:rsid w:val="007728A8"/>
    <w:rsid w:val="00772BCF"/>
    <w:rsid w:val="007730BD"/>
    <w:rsid w:val="00773C3C"/>
    <w:rsid w:val="00773E41"/>
    <w:rsid w:val="0077412F"/>
    <w:rsid w:val="007744E9"/>
    <w:rsid w:val="00774507"/>
    <w:rsid w:val="007752DA"/>
    <w:rsid w:val="0077551C"/>
    <w:rsid w:val="00775B01"/>
    <w:rsid w:val="00775D33"/>
    <w:rsid w:val="00775E19"/>
    <w:rsid w:val="00775F03"/>
    <w:rsid w:val="00775F24"/>
    <w:rsid w:val="00776334"/>
    <w:rsid w:val="00776487"/>
    <w:rsid w:val="0077654F"/>
    <w:rsid w:val="00776564"/>
    <w:rsid w:val="00776816"/>
    <w:rsid w:val="00776830"/>
    <w:rsid w:val="00777EA6"/>
    <w:rsid w:val="007800FE"/>
    <w:rsid w:val="0078023D"/>
    <w:rsid w:val="00780352"/>
    <w:rsid w:val="007804AC"/>
    <w:rsid w:val="00780B4A"/>
    <w:rsid w:val="00780F39"/>
    <w:rsid w:val="0078128E"/>
    <w:rsid w:val="0078173C"/>
    <w:rsid w:val="00781975"/>
    <w:rsid w:val="00781B25"/>
    <w:rsid w:val="007820A5"/>
    <w:rsid w:val="00782111"/>
    <w:rsid w:val="00782218"/>
    <w:rsid w:val="00782325"/>
    <w:rsid w:val="007827E5"/>
    <w:rsid w:val="00782917"/>
    <w:rsid w:val="0078292F"/>
    <w:rsid w:val="00782A78"/>
    <w:rsid w:val="00782CFE"/>
    <w:rsid w:val="00783584"/>
    <w:rsid w:val="00783E34"/>
    <w:rsid w:val="00783F72"/>
    <w:rsid w:val="007840C9"/>
    <w:rsid w:val="00784318"/>
    <w:rsid w:val="0078459C"/>
    <w:rsid w:val="0078468D"/>
    <w:rsid w:val="00784866"/>
    <w:rsid w:val="00784967"/>
    <w:rsid w:val="00784D8A"/>
    <w:rsid w:val="0078510D"/>
    <w:rsid w:val="007854CB"/>
    <w:rsid w:val="007854ED"/>
    <w:rsid w:val="0078553B"/>
    <w:rsid w:val="007857A0"/>
    <w:rsid w:val="007862BE"/>
    <w:rsid w:val="00786597"/>
    <w:rsid w:val="007867DA"/>
    <w:rsid w:val="007868FD"/>
    <w:rsid w:val="00786E1A"/>
    <w:rsid w:val="00787267"/>
    <w:rsid w:val="007872DD"/>
    <w:rsid w:val="00787608"/>
    <w:rsid w:val="00787897"/>
    <w:rsid w:val="00787999"/>
    <w:rsid w:val="00787D61"/>
    <w:rsid w:val="00787DFB"/>
    <w:rsid w:val="00790415"/>
    <w:rsid w:val="00790587"/>
    <w:rsid w:val="0079062A"/>
    <w:rsid w:val="007907A2"/>
    <w:rsid w:val="00790D33"/>
    <w:rsid w:val="00790D42"/>
    <w:rsid w:val="00791109"/>
    <w:rsid w:val="00791B04"/>
    <w:rsid w:val="00791BEC"/>
    <w:rsid w:val="00791D73"/>
    <w:rsid w:val="00791D78"/>
    <w:rsid w:val="007922E5"/>
    <w:rsid w:val="007925A5"/>
    <w:rsid w:val="0079265A"/>
    <w:rsid w:val="00792768"/>
    <w:rsid w:val="00792B76"/>
    <w:rsid w:val="007932E8"/>
    <w:rsid w:val="0079364C"/>
    <w:rsid w:val="00793C65"/>
    <w:rsid w:val="00793F9D"/>
    <w:rsid w:val="0079408B"/>
    <w:rsid w:val="007940EA"/>
    <w:rsid w:val="00794239"/>
    <w:rsid w:val="0079431E"/>
    <w:rsid w:val="00794438"/>
    <w:rsid w:val="00794439"/>
    <w:rsid w:val="0079489C"/>
    <w:rsid w:val="00794F39"/>
    <w:rsid w:val="0079562A"/>
    <w:rsid w:val="0079562D"/>
    <w:rsid w:val="00795724"/>
    <w:rsid w:val="0079575D"/>
    <w:rsid w:val="00795AD9"/>
    <w:rsid w:val="00796397"/>
    <w:rsid w:val="00796810"/>
    <w:rsid w:val="0079747D"/>
    <w:rsid w:val="0079751C"/>
    <w:rsid w:val="00797B0B"/>
    <w:rsid w:val="00797F76"/>
    <w:rsid w:val="007A012D"/>
    <w:rsid w:val="007A034A"/>
    <w:rsid w:val="007A07A8"/>
    <w:rsid w:val="007A0912"/>
    <w:rsid w:val="007A0B90"/>
    <w:rsid w:val="007A1072"/>
    <w:rsid w:val="007A107E"/>
    <w:rsid w:val="007A1779"/>
    <w:rsid w:val="007A239B"/>
    <w:rsid w:val="007A2517"/>
    <w:rsid w:val="007A26AB"/>
    <w:rsid w:val="007A280F"/>
    <w:rsid w:val="007A2967"/>
    <w:rsid w:val="007A2DF5"/>
    <w:rsid w:val="007A35B0"/>
    <w:rsid w:val="007A3D09"/>
    <w:rsid w:val="007A40E3"/>
    <w:rsid w:val="007A40E4"/>
    <w:rsid w:val="007A4100"/>
    <w:rsid w:val="007A41FC"/>
    <w:rsid w:val="007A45D3"/>
    <w:rsid w:val="007A4C46"/>
    <w:rsid w:val="007A4C8F"/>
    <w:rsid w:val="007A4DF9"/>
    <w:rsid w:val="007A4E75"/>
    <w:rsid w:val="007A4FE7"/>
    <w:rsid w:val="007A529E"/>
    <w:rsid w:val="007A52DE"/>
    <w:rsid w:val="007A599E"/>
    <w:rsid w:val="007A5B1C"/>
    <w:rsid w:val="007A5C32"/>
    <w:rsid w:val="007A5DA2"/>
    <w:rsid w:val="007A6370"/>
    <w:rsid w:val="007A6D57"/>
    <w:rsid w:val="007A6D6E"/>
    <w:rsid w:val="007A6FB9"/>
    <w:rsid w:val="007A7126"/>
    <w:rsid w:val="007A7706"/>
    <w:rsid w:val="007A7747"/>
    <w:rsid w:val="007A799B"/>
    <w:rsid w:val="007A7D89"/>
    <w:rsid w:val="007B06D7"/>
    <w:rsid w:val="007B0CE8"/>
    <w:rsid w:val="007B0E93"/>
    <w:rsid w:val="007B1107"/>
    <w:rsid w:val="007B18C2"/>
    <w:rsid w:val="007B1D02"/>
    <w:rsid w:val="007B1D7B"/>
    <w:rsid w:val="007B2761"/>
    <w:rsid w:val="007B294E"/>
    <w:rsid w:val="007B3515"/>
    <w:rsid w:val="007B39D8"/>
    <w:rsid w:val="007B3D97"/>
    <w:rsid w:val="007B4116"/>
    <w:rsid w:val="007B4347"/>
    <w:rsid w:val="007B4467"/>
    <w:rsid w:val="007B45FE"/>
    <w:rsid w:val="007B4680"/>
    <w:rsid w:val="007B4BA5"/>
    <w:rsid w:val="007B4DB5"/>
    <w:rsid w:val="007B4E53"/>
    <w:rsid w:val="007B4F59"/>
    <w:rsid w:val="007B5286"/>
    <w:rsid w:val="007B538C"/>
    <w:rsid w:val="007B5802"/>
    <w:rsid w:val="007B590C"/>
    <w:rsid w:val="007B5F60"/>
    <w:rsid w:val="007B705D"/>
    <w:rsid w:val="007B7811"/>
    <w:rsid w:val="007B7B1E"/>
    <w:rsid w:val="007B7B76"/>
    <w:rsid w:val="007C1057"/>
    <w:rsid w:val="007C10CD"/>
    <w:rsid w:val="007C1135"/>
    <w:rsid w:val="007C1CB3"/>
    <w:rsid w:val="007C1D0E"/>
    <w:rsid w:val="007C2188"/>
    <w:rsid w:val="007C227E"/>
    <w:rsid w:val="007C25E4"/>
    <w:rsid w:val="007C3099"/>
    <w:rsid w:val="007C3531"/>
    <w:rsid w:val="007C3703"/>
    <w:rsid w:val="007C39F3"/>
    <w:rsid w:val="007C3A41"/>
    <w:rsid w:val="007C4024"/>
    <w:rsid w:val="007C412C"/>
    <w:rsid w:val="007C4C86"/>
    <w:rsid w:val="007C4E24"/>
    <w:rsid w:val="007C5097"/>
    <w:rsid w:val="007C5325"/>
    <w:rsid w:val="007C5571"/>
    <w:rsid w:val="007C56E3"/>
    <w:rsid w:val="007C58C8"/>
    <w:rsid w:val="007C58FE"/>
    <w:rsid w:val="007C5EEE"/>
    <w:rsid w:val="007C5F91"/>
    <w:rsid w:val="007C60C9"/>
    <w:rsid w:val="007C6252"/>
    <w:rsid w:val="007C6297"/>
    <w:rsid w:val="007C6D92"/>
    <w:rsid w:val="007C6D99"/>
    <w:rsid w:val="007C6EC2"/>
    <w:rsid w:val="007C7039"/>
    <w:rsid w:val="007C71C8"/>
    <w:rsid w:val="007C72BE"/>
    <w:rsid w:val="007C73DD"/>
    <w:rsid w:val="007C76BE"/>
    <w:rsid w:val="007C76C2"/>
    <w:rsid w:val="007D0387"/>
    <w:rsid w:val="007D0A4C"/>
    <w:rsid w:val="007D0CDB"/>
    <w:rsid w:val="007D0E5A"/>
    <w:rsid w:val="007D165F"/>
    <w:rsid w:val="007D1744"/>
    <w:rsid w:val="007D1E82"/>
    <w:rsid w:val="007D209D"/>
    <w:rsid w:val="007D2212"/>
    <w:rsid w:val="007D249E"/>
    <w:rsid w:val="007D29C3"/>
    <w:rsid w:val="007D2C6E"/>
    <w:rsid w:val="007D2CC2"/>
    <w:rsid w:val="007D30BA"/>
    <w:rsid w:val="007D3384"/>
    <w:rsid w:val="007D33CA"/>
    <w:rsid w:val="007D342F"/>
    <w:rsid w:val="007D3500"/>
    <w:rsid w:val="007D3597"/>
    <w:rsid w:val="007D36F1"/>
    <w:rsid w:val="007D38D2"/>
    <w:rsid w:val="007D3E14"/>
    <w:rsid w:val="007D40AE"/>
    <w:rsid w:val="007D485F"/>
    <w:rsid w:val="007D49D1"/>
    <w:rsid w:val="007D4D26"/>
    <w:rsid w:val="007D4DE1"/>
    <w:rsid w:val="007D5A27"/>
    <w:rsid w:val="007D5BD4"/>
    <w:rsid w:val="007D5D2E"/>
    <w:rsid w:val="007D5F53"/>
    <w:rsid w:val="007D6079"/>
    <w:rsid w:val="007D62A2"/>
    <w:rsid w:val="007D67EB"/>
    <w:rsid w:val="007D6839"/>
    <w:rsid w:val="007D6845"/>
    <w:rsid w:val="007D6B9E"/>
    <w:rsid w:val="007D6BE2"/>
    <w:rsid w:val="007D761A"/>
    <w:rsid w:val="007D783B"/>
    <w:rsid w:val="007D78EB"/>
    <w:rsid w:val="007D7935"/>
    <w:rsid w:val="007D7E45"/>
    <w:rsid w:val="007E0174"/>
    <w:rsid w:val="007E0192"/>
    <w:rsid w:val="007E0447"/>
    <w:rsid w:val="007E04C6"/>
    <w:rsid w:val="007E0503"/>
    <w:rsid w:val="007E08A0"/>
    <w:rsid w:val="007E0AD6"/>
    <w:rsid w:val="007E0C78"/>
    <w:rsid w:val="007E0CF5"/>
    <w:rsid w:val="007E0D14"/>
    <w:rsid w:val="007E0D6E"/>
    <w:rsid w:val="007E106C"/>
    <w:rsid w:val="007E13AC"/>
    <w:rsid w:val="007E14DF"/>
    <w:rsid w:val="007E181F"/>
    <w:rsid w:val="007E193E"/>
    <w:rsid w:val="007E1F8F"/>
    <w:rsid w:val="007E25DF"/>
    <w:rsid w:val="007E273E"/>
    <w:rsid w:val="007E29BF"/>
    <w:rsid w:val="007E2BFF"/>
    <w:rsid w:val="007E2F3C"/>
    <w:rsid w:val="007E31C3"/>
    <w:rsid w:val="007E35AA"/>
    <w:rsid w:val="007E3850"/>
    <w:rsid w:val="007E3A26"/>
    <w:rsid w:val="007E3B15"/>
    <w:rsid w:val="007E3EA2"/>
    <w:rsid w:val="007E417B"/>
    <w:rsid w:val="007E463A"/>
    <w:rsid w:val="007E47CA"/>
    <w:rsid w:val="007E4879"/>
    <w:rsid w:val="007E4BF0"/>
    <w:rsid w:val="007E4C41"/>
    <w:rsid w:val="007E5027"/>
    <w:rsid w:val="007E52D2"/>
    <w:rsid w:val="007E5316"/>
    <w:rsid w:val="007E59F8"/>
    <w:rsid w:val="007E5B9B"/>
    <w:rsid w:val="007E5BEF"/>
    <w:rsid w:val="007E5E16"/>
    <w:rsid w:val="007E60E9"/>
    <w:rsid w:val="007E6DC0"/>
    <w:rsid w:val="007E6F45"/>
    <w:rsid w:val="007E6F7E"/>
    <w:rsid w:val="007E76C7"/>
    <w:rsid w:val="007E77D2"/>
    <w:rsid w:val="007E7D9A"/>
    <w:rsid w:val="007E7E79"/>
    <w:rsid w:val="007F0180"/>
    <w:rsid w:val="007F0A2F"/>
    <w:rsid w:val="007F0DDC"/>
    <w:rsid w:val="007F0FF0"/>
    <w:rsid w:val="007F126D"/>
    <w:rsid w:val="007F128E"/>
    <w:rsid w:val="007F13C2"/>
    <w:rsid w:val="007F1A2E"/>
    <w:rsid w:val="007F1A6A"/>
    <w:rsid w:val="007F1AF6"/>
    <w:rsid w:val="007F20E4"/>
    <w:rsid w:val="007F2156"/>
    <w:rsid w:val="007F2304"/>
    <w:rsid w:val="007F26DE"/>
    <w:rsid w:val="007F284C"/>
    <w:rsid w:val="007F2967"/>
    <w:rsid w:val="007F2A84"/>
    <w:rsid w:val="007F2D7E"/>
    <w:rsid w:val="007F3168"/>
    <w:rsid w:val="007F321A"/>
    <w:rsid w:val="007F34F9"/>
    <w:rsid w:val="007F377D"/>
    <w:rsid w:val="007F3983"/>
    <w:rsid w:val="007F3B71"/>
    <w:rsid w:val="007F3C9B"/>
    <w:rsid w:val="007F42C7"/>
    <w:rsid w:val="007F437D"/>
    <w:rsid w:val="007F4422"/>
    <w:rsid w:val="007F46DE"/>
    <w:rsid w:val="007F4908"/>
    <w:rsid w:val="007F4C53"/>
    <w:rsid w:val="007F4C94"/>
    <w:rsid w:val="007F5726"/>
    <w:rsid w:val="007F5812"/>
    <w:rsid w:val="007F5D36"/>
    <w:rsid w:val="007F5E1C"/>
    <w:rsid w:val="007F5F1F"/>
    <w:rsid w:val="007F6660"/>
    <w:rsid w:val="007F66F5"/>
    <w:rsid w:val="007F67E4"/>
    <w:rsid w:val="007F6F56"/>
    <w:rsid w:val="007F6F9B"/>
    <w:rsid w:val="007F76E3"/>
    <w:rsid w:val="007F7775"/>
    <w:rsid w:val="007F7B19"/>
    <w:rsid w:val="007F7BBB"/>
    <w:rsid w:val="007F7BD3"/>
    <w:rsid w:val="00800FAE"/>
    <w:rsid w:val="00800FB7"/>
    <w:rsid w:val="0080109B"/>
    <w:rsid w:val="008010AA"/>
    <w:rsid w:val="0080134F"/>
    <w:rsid w:val="008016D8"/>
    <w:rsid w:val="0080173B"/>
    <w:rsid w:val="0080193D"/>
    <w:rsid w:val="00801A1D"/>
    <w:rsid w:val="00801BC1"/>
    <w:rsid w:val="00801C1E"/>
    <w:rsid w:val="00802063"/>
    <w:rsid w:val="00802107"/>
    <w:rsid w:val="0080213A"/>
    <w:rsid w:val="008029B2"/>
    <w:rsid w:val="00802FB0"/>
    <w:rsid w:val="00803134"/>
    <w:rsid w:val="00803722"/>
    <w:rsid w:val="008037B3"/>
    <w:rsid w:val="00803ADD"/>
    <w:rsid w:val="00803B1C"/>
    <w:rsid w:val="00803B87"/>
    <w:rsid w:val="00803CDD"/>
    <w:rsid w:val="00804435"/>
    <w:rsid w:val="00804688"/>
    <w:rsid w:val="008046C5"/>
    <w:rsid w:val="00804C6C"/>
    <w:rsid w:val="00804CA3"/>
    <w:rsid w:val="00804CD0"/>
    <w:rsid w:val="00804EE8"/>
    <w:rsid w:val="00805164"/>
    <w:rsid w:val="00805639"/>
    <w:rsid w:val="008056EC"/>
    <w:rsid w:val="00805B48"/>
    <w:rsid w:val="00805D82"/>
    <w:rsid w:val="00805DDC"/>
    <w:rsid w:val="0080600A"/>
    <w:rsid w:val="00806221"/>
    <w:rsid w:val="008064FF"/>
    <w:rsid w:val="008065FA"/>
    <w:rsid w:val="00806629"/>
    <w:rsid w:val="00806A32"/>
    <w:rsid w:val="00806AE3"/>
    <w:rsid w:val="00806B04"/>
    <w:rsid w:val="00806BB6"/>
    <w:rsid w:val="00806C7F"/>
    <w:rsid w:val="00806FD2"/>
    <w:rsid w:val="0080713A"/>
    <w:rsid w:val="008071A9"/>
    <w:rsid w:val="008072B8"/>
    <w:rsid w:val="008075C7"/>
    <w:rsid w:val="008076C2"/>
    <w:rsid w:val="00807C93"/>
    <w:rsid w:val="00807CB0"/>
    <w:rsid w:val="00807EA6"/>
    <w:rsid w:val="00810348"/>
    <w:rsid w:val="008103FF"/>
    <w:rsid w:val="0081091C"/>
    <w:rsid w:val="008109DA"/>
    <w:rsid w:val="0081119F"/>
    <w:rsid w:val="00811301"/>
    <w:rsid w:val="00811330"/>
    <w:rsid w:val="00811351"/>
    <w:rsid w:val="00811446"/>
    <w:rsid w:val="008114EE"/>
    <w:rsid w:val="0081155C"/>
    <w:rsid w:val="008115D4"/>
    <w:rsid w:val="00811632"/>
    <w:rsid w:val="008117BA"/>
    <w:rsid w:val="00811C63"/>
    <w:rsid w:val="00811C6E"/>
    <w:rsid w:val="00811D63"/>
    <w:rsid w:val="00811DE7"/>
    <w:rsid w:val="00812036"/>
    <w:rsid w:val="0081211D"/>
    <w:rsid w:val="0081218A"/>
    <w:rsid w:val="008127E1"/>
    <w:rsid w:val="00812A24"/>
    <w:rsid w:val="00812D45"/>
    <w:rsid w:val="00812E42"/>
    <w:rsid w:val="008130C6"/>
    <w:rsid w:val="00813104"/>
    <w:rsid w:val="00813530"/>
    <w:rsid w:val="00813603"/>
    <w:rsid w:val="00813725"/>
    <w:rsid w:val="00813820"/>
    <w:rsid w:val="00813ACC"/>
    <w:rsid w:val="00813B15"/>
    <w:rsid w:val="00813C61"/>
    <w:rsid w:val="008141A5"/>
    <w:rsid w:val="008148BC"/>
    <w:rsid w:val="00814B33"/>
    <w:rsid w:val="00815026"/>
    <w:rsid w:val="008153DF"/>
    <w:rsid w:val="0081558F"/>
    <w:rsid w:val="008158FB"/>
    <w:rsid w:val="00815BF1"/>
    <w:rsid w:val="00815E04"/>
    <w:rsid w:val="00815E83"/>
    <w:rsid w:val="008163DA"/>
    <w:rsid w:val="00816407"/>
    <w:rsid w:val="0081665E"/>
    <w:rsid w:val="008166E9"/>
    <w:rsid w:val="00816999"/>
    <w:rsid w:val="00816C40"/>
    <w:rsid w:val="00816C64"/>
    <w:rsid w:val="00816D5A"/>
    <w:rsid w:val="00816D7C"/>
    <w:rsid w:val="008171F8"/>
    <w:rsid w:val="00817698"/>
    <w:rsid w:val="0081778C"/>
    <w:rsid w:val="0081782A"/>
    <w:rsid w:val="00817987"/>
    <w:rsid w:val="00817A3B"/>
    <w:rsid w:val="00817B25"/>
    <w:rsid w:val="00820372"/>
    <w:rsid w:val="0082079E"/>
    <w:rsid w:val="00820A87"/>
    <w:rsid w:val="00820AF2"/>
    <w:rsid w:val="00820C76"/>
    <w:rsid w:val="00820E80"/>
    <w:rsid w:val="00821050"/>
    <w:rsid w:val="008213D7"/>
    <w:rsid w:val="008213F1"/>
    <w:rsid w:val="008217C3"/>
    <w:rsid w:val="00821A6C"/>
    <w:rsid w:val="00821AD0"/>
    <w:rsid w:val="00821CD2"/>
    <w:rsid w:val="00822137"/>
    <w:rsid w:val="0082236F"/>
    <w:rsid w:val="00822530"/>
    <w:rsid w:val="0082290D"/>
    <w:rsid w:val="00822AFF"/>
    <w:rsid w:val="00822C0B"/>
    <w:rsid w:val="00822D44"/>
    <w:rsid w:val="00822DBC"/>
    <w:rsid w:val="00823078"/>
    <w:rsid w:val="00823D0D"/>
    <w:rsid w:val="00824003"/>
    <w:rsid w:val="0082417E"/>
    <w:rsid w:val="00824449"/>
    <w:rsid w:val="00824510"/>
    <w:rsid w:val="00824C85"/>
    <w:rsid w:val="00824CBC"/>
    <w:rsid w:val="00825200"/>
    <w:rsid w:val="008252DE"/>
    <w:rsid w:val="008253C6"/>
    <w:rsid w:val="00825726"/>
    <w:rsid w:val="00825E4E"/>
    <w:rsid w:val="00825F11"/>
    <w:rsid w:val="0082601B"/>
    <w:rsid w:val="008260F7"/>
    <w:rsid w:val="0082632E"/>
    <w:rsid w:val="00826423"/>
    <w:rsid w:val="008267C0"/>
    <w:rsid w:val="00826B15"/>
    <w:rsid w:val="00826BD6"/>
    <w:rsid w:val="00826E6A"/>
    <w:rsid w:val="0082718C"/>
    <w:rsid w:val="00827343"/>
    <w:rsid w:val="00827AC3"/>
    <w:rsid w:val="00827D3C"/>
    <w:rsid w:val="00827F6C"/>
    <w:rsid w:val="00830254"/>
    <w:rsid w:val="0083071D"/>
    <w:rsid w:val="00831049"/>
    <w:rsid w:val="00831121"/>
    <w:rsid w:val="00831151"/>
    <w:rsid w:val="008311BE"/>
    <w:rsid w:val="008318F0"/>
    <w:rsid w:val="00831B7B"/>
    <w:rsid w:val="00831D5F"/>
    <w:rsid w:val="00831F00"/>
    <w:rsid w:val="00831F71"/>
    <w:rsid w:val="00832099"/>
    <w:rsid w:val="0083276E"/>
    <w:rsid w:val="00832798"/>
    <w:rsid w:val="00832EE5"/>
    <w:rsid w:val="0083307A"/>
    <w:rsid w:val="008330D7"/>
    <w:rsid w:val="008331F6"/>
    <w:rsid w:val="00833AC7"/>
    <w:rsid w:val="00833F50"/>
    <w:rsid w:val="0083419C"/>
    <w:rsid w:val="00834323"/>
    <w:rsid w:val="0083440C"/>
    <w:rsid w:val="00834603"/>
    <w:rsid w:val="008347EB"/>
    <w:rsid w:val="00834839"/>
    <w:rsid w:val="0083496C"/>
    <w:rsid w:val="00834B23"/>
    <w:rsid w:val="00834B41"/>
    <w:rsid w:val="00834B65"/>
    <w:rsid w:val="00834BE5"/>
    <w:rsid w:val="00834C2A"/>
    <w:rsid w:val="00834EF6"/>
    <w:rsid w:val="00835047"/>
    <w:rsid w:val="00835302"/>
    <w:rsid w:val="00835567"/>
    <w:rsid w:val="00835960"/>
    <w:rsid w:val="00835E53"/>
    <w:rsid w:val="00835F62"/>
    <w:rsid w:val="008361A5"/>
    <w:rsid w:val="00837264"/>
    <w:rsid w:val="0083737D"/>
    <w:rsid w:val="0083761B"/>
    <w:rsid w:val="008376CD"/>
    <w:rsid w:val="00837E4E"/>
    <w:rsid w:val="008401D8"/>
    <w:rsid w:val="00840967"/>
    <w:rsid w:val="008409E5"/>
    <w:rsid w:val="00840A3D"/>
    <w:rsid w:val="00840CAB"/>
    <w:rsid w:val="00840F24"/>
    <w:rsid w:val="008414EC"/>
    <w:rsid w:val="0084150C"/>
    <w:rsid w:val="00841CF2"/>
    <w:rsid w:val="00841D22"/>
    <w:rsid w:val="00841E44"/>
    <w:rsid w:val="008429E1"/>
    <w:rsid w:val="00842A81"/>
    <w:rsid w:val="00842BB9"/>
    <w:rsid w:val="00842DE0"/>
    <w:rsid w:val="00843348"/>
    <w:rsid w:val="00843820"/>
    <w:rsid w:val="00843A3D"/>
    <w:rsid w:val="008442F6"/>
    <w:rsid w:val="0084437C"/>
    <w:rsid w:val="008447BE"/>
    <w:rsid w:val="00844937"/>
    <w:rsid w:val="00845223"/>
    <w:rsid w:val="00845306"/>
    <w:rsid w:val="00845647"/>
    <w:rsid w:val="008459C3"/>
    <w:rsid w:val="00845B6C"/>
    <w:rsid w:val="00845CF6"/>
    <w:rsid w:val="0084665A"/>
    <w:rsid w:val="00846865"/>
    <w:rsid w:val="00846A53"/>
    <w:rsid w:val="00846AB3"/>
    <w:rsid w:val="008474B6"/>
    <w:rsid w:val="00847605"/>
    <w:rsid w:val="008477F9"/>
    <w:rsid w:val="0084782E"/>
    <w:rsid w:val="008501B8"/>
    <w:rsid w:val="008502BE"/>
    <w:rsid w:val="008509C7"/>
    <w:rsid w:val="00851354"/>
    <w:rsid w:val="00851512"/>
    <w:rsid w:val="00851848"/>
    <w:rsid w:val="0085185A"/>
    <w:rsid w:val="00851B12"/>
    <w:rsid w:val="00851DFD"/>
    <w:rsid w:val="00851F29"/>
    <w:rsid w:val="00852482"/>
    <w:rsid w:val="00853377"/>
    <w:rsid w:val="008533CE"/>
    <w:rsid w:val="008536D4"/>
    <w:rsid w:val="00853719"/>
    <w:rsid w:val="00853A64"/>
    <w:rsid w:val="00853C84"/>
    <w:rsid w:val="00853CC9"/>
    <w:rsid w:val="008541FC"/>
    <w:rsid w:val="008545CD"/>
    <w:rsid w:val="0085460E"/>
    <w:rsid w:val="008548EC"/>
    <w:rsid w:val="00854BD5"/>
    <w:rsid w:val="00854C14"/>
    <w:rsid w:val="00854C45"/>
    <w:rsid w:val="00854D04"/>
    <w:rsid w:val="00854F19"/>
    <w:rsid w:val="00855162"/>
    <w:rsid w:val="0085545D"/>
    <w:rsid w:val="00855922"/>
    <w:rsid w:val="00855BA2"/>
    <w:rsid w:val="0085656C"/>
    <w:rsid w:val="008565D5"/>
    <w:rsid w:val="00856C75"/>
    <w:rsid w:val="00856E44"/>
    <w:rsid w:val="00857108"/>
    <w:rsid w:val="008571C7"/>
    <w:rsid w:val="00857477"/>
    <w:rsid w:val="00857A77"/>
    <w:rsid w:val="00857B90"/>
    <w:rsid w:val="00860961"/>
    <w:rsid w:val="00860AF8"/>
    <w:rsid w:val="00860DD3"/>
    <w:rsid w:val="00861176"/>
    <w:rsid w:val="00861644"/>
    <w:rsid w:val="008619A2"/>
    <w:rsid w:val="008619F5"/>
    <w:rsid w:val="00861B54"/>
    <w:rsid w:val="00861E41"/>
    <w:rsid w:val="00861E4B"/>
    <w:rsid w:val="00862079"/>
    <w:rsid w:val="00862340"/>
    <w:rsid w:val="00862C30"/>
    <w:rsid w:val="00862D21"/>
    <w:rsid w:val="00862D76"/>
    <w:rsid w:val="00862FFF"/>
    <w:rsid w:val="00863297"/>
    <w:rsid w:val="008639BB"/>
    <w:rsid w:val="00863BA3"/>
    <w:rsid w:val="0086400B"/>
    <w:rsid w:val="0086402F"/>
    <w:rsid w:val="00864106"/>
    <w:rsid w:val="008643BC"/>
    <w:rsid w:val="008645AA"/>
    <w:rsid w:val="00864A39"/>
    <w:rsid w:val="0086509D"/>
    <w:rsid w:val="00865500"/>
    <w:rsid w:val="008657C3"/>
    <w:rsid w:val="00865A89"/>
    <w:rsid w:val="00865B7F"/>
    <w:rsid w:val="00865CE5"/>
    <w:rsid w:val="0086609F"/>
    <w:rsid w:val="008662F1"/>
    <w:rsid w:val="008663ED"/>
    <w:rsid w:val="00866442"/>
    <w:rsid w:val="008664CD"/>
    <w:rsid w:val="008668D8"/>
    <w:rsid w:val="00866A5A"/>
    <w:rsid w:val="00866C01"/>
    <w:rsid w:val="00866DCB"/>
    <w:rsid w:val="00867155"/>
    <w:rsid w:val="0086729A"/>
    <w:rsid w:val="00867E3D"/>
    <w:rsid w:val="00867EC1"/>
    <w:rsid w:val="00870115"/>
    <w:rsid w:val="00870360"/>
    <w:rsid w:val="00870D5D"/>
    <w:rsid w:val="00870F6B"/>
    <w:rsid w:val="00871063"/>
    <w:rsid w:val="0087122D"/>
    <w:rsid w:val="0087185D"/>
    <w:rsid w:val="00871D7F"/>
    <w:rsid w:val="00871F0B"/>
    <w:rsid w:val="0087212F"/>
    <w:rsid w:val="00872275"/>
    <w:rsid w:val="0087228F"/>
    <w:rsid w:val="00872293"/>
    <w:rsid w:val="0087251B"/>
    <w:rsid w:val="00872770"/>
    <w:rsid w:val="00872A9B"/>
    <w:rsid w:val="008731F8"/>
    <w:rsid w:val="0087338C"/>
    <w:rsid w:val="008734EF"/>
    <w:rsid w:val="00874B98"/>
    <w:rsid w:val="00874DBF"/>
    <w:rsid w:val="00875277"/>
    <w:rsid w:val="008755E9"/>
    <w:rsid w:val="00875822"/>
    <w:rsid w:val="00875E2B"/>
    <w:rsid w:val="00876577"/>
    <w:rsid w:val="008767D5"/>
    <w:rsid w:val="00876804"/>
    <w:rsid w:val="00876928"/>
    <w:rsid w:val="00876C34"/>
    <w:rsid w:val="00876E01"/>
    <w:rsid w:val="00876EEC"/>
    <w:rsid w:val="00877337"/>
    <w:rsid w:val="008773BD"/>
    <w:rsid w:val="00877B64"/>
    <w:rsid w:val="00877B6C"/>
    <w:rsid w:val="00877D9F"/>
    <w:rsid w:val="00877FB4"/>
    <w:rsid w:val="0088009B"/>
    <w:rsid w:val="008800D3"/>
    <w:rsid w:val="008802D7"/>
    <w:rsid w:val="0088054F"/>
    <w:rsid w:val="0088062E"/>
    <w:rsid w:val="008807E9"/>
    <w:rsid w:val="00880A7F"/>
    <w:rsid w:val="00880B12"/>
    <w:rsid w:val="00880B60"/>
    <w:rsid w:val="00880F8F"/>
    <w:rsid w:val="008810CA"/>
    <w:rsid w:val="0088123D"/>
    <w:rsid w:val="008817A9"/>
    <w:rsid w:val="0088189B"/>
    <w:rsid w:val="00881AEE"/>
    <w:rsid w:val="0088218E"/>
    <w:rsid w:val="0088220D"/>
    <w:rsid w:val="008823DC"/>
    <w:rsid w:val="008825C2"/>
    <w:rsid w:val="00882DB1"/>
    <w:rsid w:val="00883171"/>
    <w:rsid w:val="0088323F"/>
    <w:rsid w:val="0088330C"/>
    <w:rsid w:val="008833DA"/>
    <w:rsid w:val="008835A8"/>
    <w:rsid w:val="00883638"/>
    <w:rsid w:val="00883767"/>
    <w:rsid w:val="00883982"/>
    <w:rsid w:val="00883EA1"/>
    <w:rsid w:val="00885043"/>
    <w:rsid w:val="00885185"/>
    <w:rsid w:val="008851F3"/>
    <w:rsid w:val="00885791"/>
    <w:rsid w:val="00885FE2"/>
    <w:rsid w:val="00885FF7"/>
    <w:rsid w:val="00886051"/>
    <w:rsid w:val="0088628E"/>
    <w:rsid w:val="0088686C"/>
    <w:rsid w:val="00886D5C"/>
    <w:rsid w:val="00886E59"/>
    <w:rsid w:val="00886FB7"/>
    <w:rsid w:val="00887CC4"/>
    <w:rsid w:val="00887DD4"/>
    <w:rsid w:val="00887FBA"/>
    <w:rsid w:val="00890191"/>
    <w:rsid w:val="00890472"/>
    <w:rsid w:val="00890569"/>
    <w:rsid w:val="008907E2"/>
    <w:rsid w:val="00890992"/>
    <w:rsid w:val="00890B47"/>
    <w:rsid w:val="00891276"/>
    <w:rsid w:val="008915FE"/>
    <w:rsid w:val="00891611"/>
    <w:rsid w:val="00891993"/>
    <w:rsid w:val="008919B7"/>
    <w:rsid w:val="00891A27"/>
    <w:rsid w:val="00891D74"/>
    <w:rsid w:val="008920C9"/>
    <w:rsid w:val="008920D9"/>
    <w:rsid w:val="008926F3"/>
    <w:rsid w:val="00892C6D"/>
    <w:rsid w:val="00892EB7"/>
    <w:rsid w:val="0089360A"/>
    <w:rsid w:val="00893809"/>
    <w:rsid w:val="00893880"/>
    <w:rsid w:val="00893D18"/>
    <w:rsid w:val="00893E29"/>
    <w:rsid w:val="0089409A"/>
    <w:rsid w:val="00894251"/>
    <w:rsid w:val="008947ED"/>
    <w:rsid w:val="00894F46"/>
    <w:rsid w:val="00895825"/>
    <w:rsid w:val="00895ACF"/>
    <w:rsid w:val="00895C75"/>
    <w:rsid w:val="008964E9"/>
    <w:rsid w:val="008966F8"/>
    <w:rsid w:val="00896805"/>
    <w:rsid w:val="008968F5"/>
    <w:rsid w:val="00896A81"/>
    <w:rsid w:val="00896D61"/>
    <w:rsid w:val="00896DF4"/>
    <w:rsid w:val="00896DFA"/>
    <w:rsid w:val="0089744D"/>
    <w:rsid w:val="00897770"/>
    <w:rsid w:val="00897BD0"/>
    <w:rsid w:val="008A0358"/>
    <w:rsid w:val="008A03BF"/>
    <w:rsid w:val="008A048B"/>
    <w:rsid w:val="008A1351"/>
    <w:rsid w:val="008A136B"/>
    <w:rsid w:val="008A1AE2"/>
    <w:rsid w:val="008A1B08"/>
    <w:rsid w:val="008A1C2C"/>
    <w:rsid w:val="008A23B5"/>
    <w:rsid w:val="008A2934"/>
    <w:rsid w:val="008A2C99"/>
    <w:rsid w:val="008A2D45"/>
    <w:rsid w:val="008A3039"/>
    <w:rsid w:val="008A3133"/>
    <w:rsid w:val="008A35D0"/>
    <w:rsid w:val="008A3641"/>
    <w:rsid w:val="008A37EF"/>
    <w:rsid w:val="008A3B53"/>
    <w:rsid w:val="008A3F30"/>
    <w:rsid w:val="008A3FFE"/>
    <w:rsid w:val="008A4397"/>
    <w:rsid w:val="008A487D"/>
    <w:rsid w:val="008A4930"/>
    <w:rsid w:val="008A4D6A"/>
    <w:rsid w:val="008A4E46"/>
    <w:rsid w:val="008A501D"/>
    <w:rsid w:val="008A5264"/>
    <w:rsid w:val="008A5301"/>
    <w:rsid w:val="008A53E0"/>
    <w:rsid w:val="008A57C7"/>
    <w:rsid w:val="008A5B9D"/>
    <w:rsid w:val="008A5E6C"/>
    <w:rsid w:val="008A617F"/>
    <w:rsid w:val="008A6491"/>
    <w:rsid w:val="008A667D"/>
    <w:rsid w:val="008A69C6"/>
    <w:rsid w:val="008A6ED9"/>
    <w:rsid w:val="008A7A4D"/>
    <w:rsid w:val="008A7AA2"/>
    <w:rsid w:val="008A7F53"/>
    <w:rsid w:val="008B03DF"/>
    <w:rsid w:val="008B0F48"/>
    <w:rsid w:val="008B1072"/>
    <w:rsid w:val="008B10F3"/>
    <w:rsid w:val="008B11BF"/>
    <w:rsid w:val="008B122E"/>
    <w:rsid w:val="008B12B3"/>
    <w:rsid w:val="008B166D"/>
    <w:rsid w:val="008B1A30"/>
    <w:rsid w:val="008B1B22"/>
    <w:rsid w:val="008B25AA"/>
    <w:rsid w:val="008B2725"/>
    <w:rsid w:val="008B27A3"/>
    <w:rsid w:val="008B28B3"/>
    <w:rsid w:val="008B28F2"/>
    <w:rsid w:val="008B29E6"/>
    <w:rsid w:val="008B2FBD"/>
    <w:rsid w:val="008B3381"/>
    <w:rsid w:val="008B372E"/>
    <w:rsid w:val="008B40AC"/>
    <w:rsid w:val="008B4149"/>
    <w:rsid w:val="008B43A3"/>
    <w:rsid w:val="008B4541"/>
    <w:rsid w:val="008B46BE"/>
    <w:rsid w:val="008B47D4"/>
    <w:rsid w:val="008B4912"/>
    <w:rsid w:val="008B4D10"/>
    <w:rsid w:val="008B5517"/>
    <w:rsid w:val="008B58A3"/>
    <w:rsid w:val="008B5BF3"/>
    <w:rsid w:val="008B5FEE"/>
    <w:rsid w:val="008B6013"/>
    <w:rsid w:val="008B6102"/>
    <w:rsid w:val="008B62B8"/>
    <w:rsid w:val="008B6739"/>
    <w:rsid w:val="008B6A06"/>
    <w:rsid w:val="008B6A5F"/>
    <w:rsid w:val="008B6DF8"/>
    <w:rsid w:val="008B70B0"/>
    <w:rsid w:val="008B7163"/>
    <w:rsid w:val="008B74DE"/>
    <w:rsid w:val="008B7A17"/>
    <w:rsid w:val="008B7B10"/>
    <w:rsid w:val="008B7CBE"/>
    <w:rsid w:val="008B7D64"/>
    <w:rsid w:val="008B7DEF"/>
    <w:rsid w:val="008B7F99"/>
    <w:rsid w:val="008C01A7"/>
    <w:rsid w:val="008C0820"/>
    <w:rsid w:val="008C0A38"/>
    <w:rsid w:val="008C0D67"/>
    <w:rsid w:val="008C1265"/>
    <w:rsid w:val="008C129F"/>
    <w:rsid w:val="008C153A"/>
    <w:rsid w:val="008C164B"/>
    <w:rsid w:val="008C1708"/>
    <w:rsid w:val="008C18E0"/>
    <w:rsid w:val="008C1AE3"/>
    <w:rsid w:val="008C1D39"/>
    <w:rsid w:val="008C2129"/>
    <w:rsid w:val="008C228B"/>
    <w:rsid w:val="008C2604"/>
    <w:rsid w:val="008C2680"/>
    <w:rsid w:val="008C2C21"/>
    <w:rsid w:val="008C2C6C"/>
    <w:rsid w:val="008C2D18"/>
    <w:rsid w:val="008C2E70"/>
    <w:rsid w:val="008C3262"/>
    <w:rsid w:val="008C3594"/>
    <w:rsid w:val="008C3690"/>
    <w:rsid w:val="008C395B"/>
    <w:rsid w:val="008C3ACF"/>
    <w:rsid w:val="008C3D5A"/>
    <w:rsid w:val="008C5170"/>
    <w:rsid w:val="008C540D"/>
    <w:rsid w:val="008C5435"/>
    <w:rsid w:val="008C5993"/>
    <w:rsid w:val="008C59A7"/>
    <w:rsid w:val="008C62E5"/>
    <w:rsid w:val="008C62E7"/>
    <w:rsid w:val="008C6467"/>
    <w:rsid w:val="008C66B6"/>
    <w:rsid w:val="008C6ADF"/>
    <w:rsid w:val="008C6E28"/>
    <w:rsid w:val="008C6F3B"/>
    <w:rsid w:val="008C733A"/>
    <w:rsid w:val="008C77D2"/>
    <w:rsid w:val="008C782B"/>
    <w:rsid w:val="008C790F"/>
    <w:rsid w:val="008C7B29"/>
    <w:rsid w:val="008C7C2E"/>
    <w:rsid w:val="008C7C41"/>
    <w:rsid w:val="008C7D36"/>
    <w:rsid w:val="008C7F8A"/>
    <w:rsid w:val="008D000E"/>
    <w:rsid w:val="008D02A7"/>
    <w:rsid w:val="008D02F7"/>
    <w:rsid w:val="008D061D"/>
    <w:rsid w:val="008D0BCA"/>
    <w:rsid w:val="008D0FFC"/>
    <w:rsid w:val="008D10FA"/>
    <w:rsid w:val="008D1288"/>
    <w:rsid w:val="008D1469"/>
    <w:rsid w:val="008D1BA4"/>
    <w:rsid w:val="008D1DFC"/>
    <w:rsid w:val="008D219E"/>
    <w:rsid w:val="008D24EA"/>
    <w:rsid w:val="008D286C"/>
    <w:rsid w:val="008D32C8"/>
    <w:rsid w:val="008D34AE"/>
    <w:rsid w:val="008D36E7"/>
    <w:rsid w:val="008D37DB"/>
    <w:rsid w:val="008D380E"/>
    <w:rsid w:val="008D39BC"/>
    <w:rsid w:val="008D3B72"/>
    <w:rsid w:val="008D3D17"/>
    <w:rsid w:val="008D4D3F"/>
    <w:rsid w:val="008D51A2"/>
    <w:rsid w:val="008D52DB"/>
    <w:rsid w:val="008D55B7"/>
    <w:rsid w:val="008D5631"/>
    <w:rsid w:val="008D5BE0"/>
    <w:rsid w:val="008D5CCE"/>
    <w:rsid w:val="008D5DA9"/>
    <w:rsid w:val="008D5DFD"/>
    <w:rsid w:val="008D5E69"/>
    <w:rsid w:val="008D621E"/>
    <w:rsid w:val="008D6261"/>
    <w:rsid w:val="008D6832"/>
    <w:rsid w:val="008D6A1C"/>
    <w:rsid w:val="008D6E2D"/>
    <w:rsid w:val="008D6EFF"/>
    <w:rsid w:val="008D7448"/>
    <w:rsid w:val="008D7904"/>
    <w:rsid w:val="008D7937"/>
    <w:rsid w:val="008D79FB"/>
    <w:rsid w:val="008D7DCA"/>
    <w:rsid w:val="008E006E"/>
    <w:rsid w:val="008E035A"/>
    <w:rsid w:val="008E0394"/>
    <w:rsid w:val="008E03E2"/>
    <w:rsid w:val="008E07AC"/>
    <w:rsid w:val="008E0860"/>
    <w:rsid w:val="008E0B39"/>
    <w:rsid w:val="008E0CA7"/>
    <w:rsid w:val="008E0CBE"/>
    <w:rsid w:val="008E0CE3"/>
    <w:rsid w:val="008E0DEB"/>
    <w:rsid w:val="008E1234"/>
    <w:rsid w:val="008E12FB"/>
    <w:rsid w:val="008E132D"/>
    <w:rsid w:val="008E1471"/>
    <w:rsid w:val="008E149C"/>
    <w:rsid w:val="008E150C"/>
    <w:rsid w:val="008E165B"/>
    <w:rsid w:val="008E17FB"/>
    <w:rsid w:val="008E1935"/>
    <w:rsid w:val="008E1EAE"/>
    <w:rsid w:val="008E2132"/>
    <w:rsid w:val="008E2840"/>
    <w:rsid w:val="008E2FDC"/>
    <w:rsid w:val="008E3450"/>
    <w:rsid w:val="008E3A83"/>
    <w:rsid w:val="008E3AF2"/>
    <w:rsid w:val="008E3BD5"/>
    <w:rsid w:val="008E3CDC"/>
    <w:rsid w:val="008E3DCC"/>
    <w:rsid w:val="008E3E06"/>
    <w:rsid w:val="008E3FC6"/>
    <w:rsid w:val="008E4109"/>
    <w:rsid w:val="008E41DA"/>
    <w:rsid w:val="008E4469"/>
    <w:rsid w:val="008E45DF"/>
    <w:rsid w:val="008E4D58"/>
    <w:rsid w:val="008E4FF7"/>
    <w:rsid w:val="008E520E"/>
    <w:rsid w:val="008E54B1"/>
    <w:rsid w:val="008E57C9"/>
    <w:rsid w:val="008E5ABF"/>
    <w:rsid w:val="008E5B3B"/>
    <w:rsid w:val="008E5BA9"/>
    <w:rsid w:val="008E5F62"/>
    <w:rsid w:val="008E6489"/>
    <w:rsid w:val="008E6991"/>
    <w:rsid w:val="008E69EE"/>
    <w:rsid w:val="008E71D3"/>
    <w:rsid w:val="008E738B"/>
    <w:rsid w:val="008E753F"/>
    <w:rsid w:val="008E7AB6"/>
    <w:rsid w:val="008E7AF8"/>
    <w:rsid w:val="008E7B2F"/>
    <w:rsid w:val="008E7D5D"/>
    <w:rsid w:val="008F02FA"/>
    <w:rsid w:val="008F0510"/>
    <w:rsid w:val="008F07D1"/>
    <w:rsid w:val="008F0A6A"/>
    <w:rsid w:val="008F147B"/>
    <w:rsid w:val="008F15A0"/>
    <w:rsid w:val="008F1775"/>
    <w:rsid w:val="008F1B0B"/>
    <w:rsid w:val="008F1B8E"/>
    <w:rsid w:val="008F1BF6"/>
    <w:rsid w:val="008F1C26"/>
    <w:rsid w:val="008F1E07"/>
    <w:rsid w:val="008F21D8"/>
    <w:rsid w:val="008F273D"/>
    <w:rsid w:val="008F30B2"/>
    <w:rsid w:val="008F366A"/>
    <w:rsid w:val="008F3E49"/>
    <w:rsid w:val="008F3E7C"/>
    <w:rsid w:val="008F4173"/>
    <w:rsid w:val="008F4414"/>
    <w:rsid w:val="008F463C"/>
    <w:rsid w:val="008F4739"/>
    <w:rsid w:val="008F48CE"/>
    <w:rsid w:val="008F4A39"/>
    <w:rsid w:val="008F4ABC"/>
    <w:rsid w:val="008F4C08"/>
    <w:rsid w:val="008F5026"/>
    <w:rsid w:val="008F569F"/>
    <w:rsid w:val="008F5734"/>
    <w:rsid w:val="008F57C8"/>
    <w:rsid w:val="008F5B98"/>
    <w:rsid w:val="008F5E28"/>
    <w:rsid w:val="008F5E89"/>
    <w:rsid w:val="008F5F6E"/>
    <w:rsid w:val="008F6504"/>
    <w:rsid w:val="008F6528"/>
    <w:rsid w:val="008F6AB4"/>
    <w:rsid w:val="008F6B1A"/>
    <w:rsid w:val="008F6E4D"/>
    <w:rsid w:val="008F70D2"/>
    <w:rsid w:val="008F74A5"/>
    <w:rsid w:val="008F74BC"/>
    <w:rsid w:val="008F754E"/>
    <w:rsid w:val="008F7A50"/>
    <w:rsid w:val="009004D1"/>
    <w:rsid w:val="009004D5"/>
    <w:rsid w:val="00900686"/>
    <w:rsid w:val="0090075A"/>
    <w:rsid w:val="009008DE"/>
    <w:rsid w:val="00900933"/>
    <w:rsid w:val="00900E4C"/>
    <w:rsid w:val="00901540"/>
    <w:rsid w:val="00901996"/>
    <w:rsid w:val="009019AF"/>
    <w:rsid w:val="00901D6C"/>
    <w:rsid w:val="0090203A"/>
    <w:rsid w:val="0090205D"/>
    <w:rsid w:val="00902247"/>
    <w:rsid w:val="0090282E"/>
    <w:rsid w:val="00902925"/>
    <w:rsid w:val="00902986"/>
    <w:rsid w:val="00902996"/>
    <w:rsid w:val="00902A17"/>
    <w:rsid w:val="00902C07"/>
    <w:rsid w:val="00903DF5"/>
    <w:rsid w:val="00904626"/>
    <w:rsid w:val="009048FD"/>
    <w:rsid w:val="00904CB7"/>
    <w:rsid w:val="00904E47"/>
    <w:rsid w:val="009050BA"/>
    <w:rsid w:val="00905114"/>
    <w:rsid w:val="00905230"/>
    <w:rsid w:val="0090533B"/>
    <w:rsid w:val="0090583D"/>
    <w:rsid w:val="00906709"/>
    <w:rsid w:val="00906AA8"/>
    <w:rsid w:val="00907037"/>
    <w:rsid w:val="009070F8"/>
    <w:rsid w:val="00907757"/>
    <w:rsid w:val="00907C42"/>
    <w:rsid w:val="00907EF7"/>
    <w:rsid w:val="00910501"/>
    <w:rsid w:val="0091064F"/>
    <w:rsid w:val="00910DAC"/>
    <w:rsid w:val="00910DF7"/>
    <w:rsid w:val="00911202"/>
    <w:rsid w:val="00911292"/>
    <w:rsid w:val="0091144E"/>
    <w:rsid w:val="0091171A"/>
    <w:rsid w:val="00911C05"/>
    <w:rsid w:val="00911DAA"/>
    <w:rsid w:val="00911ED8"/>
    <w:rsid w:val="00911F3A"/>
    <w:rsid w:val="00912786"/>
    <w:rsid w:val="00912DB6"/>
    <w:rsid w:val="00912F09"/>
    <w:rsid w:val="00912F8F"/>
    <w:rsid w:val="0091300C"/>
    <w:rsid w:val="0091310C"/>
    <w:rsid w:val="009132BA"/>
    <w:rsid w:val="009134CA"/>
    <w:rsid w:val="00913591"/>
    <w:rsid w:val="009135EA"/>
    <w:rsid w:val="0091393C"/>
    <w:rsid w:val="00913A2D"/>
    <w:rsid w:val="00913AD1"/>
    <w:rsid w:val="00913F75"/>
    <w:rsid w:val="0091405D"/>
    <w:rsid w:val="009141D2"/>
    <w:rsid w:val="00914216"/>
    <w:rsid w:val="00914383"/>
    <w:rsid w:val="0091464A"/>
    <w:rsid w:val="009146CA"/>
    <w:rsid w:val="009147AF"/>
    <w:rsid w:val="009147F6"/>
    <w:rsid w:val="00914BBE"/>
    <w:rsid w:val="00914D1D"/>
    <w:rsid w:val="00915546"/>
    <w:rsid w:val="00915B4D"/>
    <w:rsid w:val="00915CAD"/>
    <w:rsid w:val="00915CCE"/>
    <w:rsid w:val="009161F6"/>
    <w:rsid w:val="0091632F"/>
    <w:rsid w:val="00916BD5"/>
    <w:rsid w:val="00916FE2"/>
    <w:rsid w:val="00917174"/>
    <w:rsid w:val="00917497"/>
    <w:rsid w:val="009175E6"/>
    <w:rsid w:val="00917AA4"/>
    <w:rsid w:val="00917F0D"/>
    <w:rsid w:val="0092012D"/>
    <w:rsid w:val="00920223"/>
    <w:rsid w:val="009205BF"/>
    <w:rsid w:val="00920C72"/>
    <w:rsid w:val="00920F2D"/>
    <w:rsid w:val="009211CE"/>
    <w:rsid w:val="009211DE"/>
    <w:rsid w:val="00921235"/>
    <w:rsid w:val="00921283"/>
    <w:rsid w:val="009214E4"/>
    <w:rsid w:val="009216B5"/>
    <w:rsid w:val="00921EBC"/>
    <w:rsid w:val="009220D3"/>
    <w:rsid w:val="00922291"/>
    <w:rsid w:val="00922382"/>
    <w:rsid w:val="009224C9"/>
    <w:rsid w:val="00922528"/>
    <w:rsid w:val="00922718"/>
    <w:rsid w:val="00922F88"/>
    <w:rsid w:val="00923245"/>
    <w:rsid w:val="00923249"/>
    <w:rsid w:val="00923409"/>
    <w:rsid w:val="009234B9"/>
    <w:rsid w:val="00923BD9"/>
    <w:rsid w:val="00923E71"/>
    <w:rsid w:val="00923EA8"/>
    <w:rsid w:val="00923F19"/>
    <w:rsid w:val="009246CA"/>
    <w:rsid w:val="00924AC4"/>
    <w:rsid w:val="00925096"/>
    <w:rsid w:val="009255FD"/>
    <w:rsid w:val="0092570D"/>
    <w:rsid w:val="009258A6"/>
    <w:rsid w:val="00925AD2"/>
    <w:rsid w:val="00925CB6"/>
    <w:rsid w:val="00925E07"/>
    <w:rsid w:val="00925F42"/>
    <w:rsid w:val="00926584"/>
    <w:rsid w:val="0092676B"/>
    <w:rsid w:val="009268AF"/>
    <w:rsid w:val="00926A4B"/>
    <w:rsid w:val="00926C69"/>
    <w:rsid w:val="00926CC7"/>
    <w:rsid w:val="0092775D"/>
    <w:rsid w:val="00927DD7"/>
    <w:rsid w:val="0093086A"/>
    <w:rsid w:val="009309A5"/>
    <w:rsid w:val="009309E7"/>
    <w:rsid w:val="00930C94"/>
    <w:rsid w:val="00930F06"/>
    <w:rsid w:val="009312C9"/>
    <w:rsid w:val="009314E4"/>
    <w:rsid w:val="009323D7"/>
    <w:rsid w:val="009324A7"/>
    <w:rsid w:val="00932B67"/>
    <w:rsid w:val="00933204"/>
    <w:rsid w:val="009338C4"/>
    <w:rsid w:val="00933C57"/>
    <w:rsid w:val="00933D65"/>
    <w:rsid w:val="009343E0"/>
    <w:rsid w:val="00934449"/>
    <w:rsid w:val="009345CF"/>
    <w:rsid w:val="009358B1"/>
    <w:rsid w:val="00935D50"/>
    <w:rsid w:val="00935E19"/>
    <w:rsid w:val="00936177"/>
    <w:rsid w:val="00936260"/>
    <w:rsid w:val="00936288"/>
    <w:rsid w:val="009363DA"/>
    <w:rsid w:val="00936571"/>
    <w:rsid w:val="009365CC"/>
    <w:rsid w:val="00936760"/>
    <w:rsid w:val="009367D4"/>
    <w:rsid w:val="009369E6"/>
    <w:rsid w:val="00936BB1"/>
    <w:rsid w:val="00936D55"/>
    <w:rsid w:val="00936FE8"/>
    <w:rsid w:val="00937491"/>
    <w:rsid w:val="009374E7"/>
    <w:rsid w:val="00937902"/>
    <w:rsid w:val="00937BF6"/>
    <w:rsid w:val="00937D98"/>
    <w:rsid w:val="00937DBB"/>
    <w:rsid w:val="0094000C"/>
    <w:rsid w:val="00940055"/>
    <w:rsid w:val="00940878"/>
    <w:rsid w:val="00940A9F"/>
    <w:rsid w:val="0094101F"/>
    <w:rsid w:val="00941701"/>
    <w:rsid w:val="009419A7"/>
    <w:rsid w:val="00941B24"/>
    <w:rsid w:val="00941B25"/>
    <w:rsid w:val="00941B44"/>
    <w:rsid w:val="00941E89"/>
    <w:rsid w:val="00941FA3"/>
    <w:rsid w:val="00942438"/>
    <w:rsid w:val="009429B4"/>
    <w:rsid w:val="0094317B"/>
    <w:rsid w:val="009433DD"/>
    <w:rsid w:val="00943598"/>
    <w:rsid w:val="009437A9"/>
    <w:rsid w:val="00943EFD"/>
    <w:rsid w:val="00943F0D"/>
    <w:rsid w:val="009440F0"/>
    <w:rsid w:val="009446C0"/>
    <w:rsid w:val="009447A5"/>
    <w:rsid w:val="009447B1"/>
    <w:rsid w:val="00944E57"/>
    <w:rsid w:val="0094508C"/>
    <w:rsid w:val="009452A6"/>
    <w:rsid w:val="009453FE"/>
    <w:rsid w:val="00945909"/>
    <w:rsid w:val="00945967"/>
    <w:rsid w:val="00946018"/>
    <w:rsid w:val="00946198"/>
    <w:rsid w:val="0094620A"/>
    <w:rsid w:val="009464FF"/>
    <w:rsid w:val="009465BD"/>
    <w:rsid w:val="0094691D"/>
    <w:rsid w:val="00946973"/>
    <w:rsid w:val="00946DA5"/>
    <w:rsid w:val="00946EC2"/>
    <w:rsid w:val="0094707D"/>
    <w:rsid w:val="009470FB"/>
    <w:rsid w:val="009471A5"/>
    <w:rsid w:val="009477C2"/>
    <w:rsid w:val="00947824"/>
    <w:rsid w:val="0094787E"/>
    <w:rsid w:val="00947CEB"/>
    <w:rsid w:val="0095001E"/>
    <w:rsid w:val="0095018C"/>
    <w:rsid w:val="0095032F"/>
    <w:rsid w:val="009507E5"/>
    <w:rsid w:val="00950D86"/>
    <w:rsid w:val="00950E52"/>
    <w:rsid w:val="00950EB2"/>
    <w:rsid w:val="00950FF5"/>
    <w:rsid w:val="009510E4"/>
    <w:rsid w:val="00951D98"/>
    <w:rsid w:val="00951E04"/>
    <w:rsid w:val="0095252D"/>
    <w:rsid w:val="00952936"/>
    <w:rsid w:val="00952AA2"/>
    <w:rsid w:val="00952B87"/>
    <w:rsid w:val="00952BB6"/>
    <w:rsid w:val="00953164"/>
    <w:rsid w:val="009531C3"/>
    <w:rsid w:val="00953722"/>
    <w:rsid w:val="0095389F"/>
    <w:rsid w:val="009539E2"/>
    <w:rsid w:val="00953D1B"/>
    <w:rsid w:val="0095417D"/>
    <w:rsid w:val="00954522"/>
    <w:rsid w:val="00954A51"/>
    <w:rsid w:val="00955062"/>
    <w:rsid w:val="00955275"/>
    <w:rsid w:val="009552AD"/>
    <w:rsid w:val="0095577E"/>
    <w:rsid w:val="00955D00"/>
    <w:rsid w:val="00955DAB"/>
    <w:rsid w:val="00956009"/>
    <w:rsid w:val="00956098"/>
    <w:rsid w:val="0095613D"/>
    <w:rsid w:val="0095677E"/>
    <w:rsid w:val="00956D19"/>
    <w:rsid w:val="0095715C"/>
    <w:rsid w:val="00957399"/>
    <w:rsid w:val="00957843"/>
    <w:rsid w:val="00957C08"/>
    <w:rsid w:val="00957DBC"/>
    <w:rsid w:val="00957ECF"/>
    <w:rsid w:val="00957F5A"/>
    <w:rsid w:val="00957FB6"/>
    <w:rsid w:val="0096007E"/>
    <w:rsid w:val="00960704"/>
    <w:rsid w:val="00960E95"/>
    <w:rsid w:val="00961023"/>
    <w:rsid w:val="009610DB"/>
    <w:rsid w:val="0096147F"/>
    <w:rsid w:val="009618E5"/>
    <w:rsid w:val="00961976"/>
    <w:rsid w:val="0096197C"/>
    <w:rsid w:val="0096200B"/>
    <w:rsid w:val="00962121"/>
    <w:rsid w:val="009623C8"/>
    <w:rsid w:val="009624F7"/>
    <w:rsid w:val="009625EC"/>
    <w:rsid w:val="009626A4"/>
    <w:rsid w:val="009627E8"/>
    <w:rsid w:val="00962BCB"/>
    <w:rsid w:val="00962DA5"/>
    <w:rsid w:val="00963103"/>
    <w:rsid w:val="009631CE"/>
    <w:rsid w:val="009632DD"/>
    <w:rsid w:val="009633F3"/>
    <w:rsid w:val="00964103"/>
    <w:rsid w:val="0096451A"/>
    <w:rsid w:val="009646EE"/>
    <w:rsid w:val="009648A2"/>
    <w:rsid w:val="009648AD"/>
    <w:rsid w:val="00964923"/>
    <w:rsid w:val="00964AB7"/>
    <w:rsid w:val="0096517C"/>
    <w:rsid w:val="00965942"/>
    <w:rsid w:val="00965EEC"/>
    <w:rsid w:val="00966057"/>
    <w:rsid w:val="00966300"/>
    <w:rsid w:val="009663EE"/>
    <w:rsid w:val="00966840"/>
    <w:rsid w:val="00966925"/>
    <w:rsid w:val="0096697C"/>
    <w:rsid w:val="00966AA3"/>
    <w:rsid w:val="00966D6C"/>
    <w:rsid w:val="00966DDA"/>
    <w:rsid w:val="00966F9A"/>
    <w:rsid w:val="009671EB"/>
    <w:rsid w:val="0096736F"/>
    <w:rsid w:val="00967535"/>
    <w:rsid w:val="009678A3"/>
    <w:rsid w:val="00967B74"/>
    <w:rsid w:val="00967D21"/>
    <w:rsid w:val="00967E7E"/>
    <w:rsid w:val="009703CD"/>
    <w:rsid w:val="009704ED"/>
    <w:rsid w:val="0097063A"/>
    <w:rsid w:val="009706B2"/>
    <w:rsid w:val="009707E8"/>
    <w:rsid w:val="0097088A"/>
    <w:rsid w:val="0097091F"/>
    <w:rsid w:val="00970D8A"/>
    <w:rsid w:val="00971507"/>
    <w:rsid w:val="009717EB"/>
    <w:rsid w:val="00971B5F"/>
    <w:rsid w:val="00971DE1"/>
    <w:rsid w:val="009723A0"/>
    <w:rsid w:val="00972E5F"/>
    <w:rsid w:val="009739CF"/>
    <w:rsid w:val="00973E19"/>
    <w:rsid w:val="00974055"/>
    <w:rsid w:val="00974465"/>
    <w:rsid w:val="00974698"/>
    <w:rsid w:val="00974726"/>
    <w:rsid w:val="00974CE2"/>
    <w:rsid w:val="00974E39"/>
    <w:rsid w:val="009752F0"/>
    <w:rsid w:val="0097536F"/>
    <w:rsid w:val="00975389"/>
    <w:rsid w:val="00975BA8"/>
    <w:rsid w:val="00975BBB"/>
    <w:rsid w:val="00975C07"/>
    <w:rsid w:val="00975FF2"/>
    <w:rsid w:val="009764AA"/>
    <w:rsid w:val="009768DD"/>
    <w:rsid w:val="009777BF"/>
    <w:rsid w:val="0097782C"/>
    <w:rsid w:val="00980009"/>
    <w:rsid w:val="00980200"/>
    <w:rsid w:val="0098026F"/>
    <w:rsid w:val="009803D7"/>
    <w:rsid w:val="00980487"/>
    <w:rsid w:val="00980765"/>
    <w:rsid w:val="009807FB"/>
    <w:rsid w:val="00980F7B"/>
    <w:rsid w:val="0098109B"/>
    <w:rsid w:val="00981AF5"/>
    <w:rsid w:val="00981C0F"/>
    <w:rsid w:val="00981C75"/>
    <w:rsid w:val="00981D4E"/>
    <w:rsid w:val="00982264"/>
    <w:rsid w:val="009825D6"/>
    <w:rsid w:val="00982988"/>
    <w:rsid w:val="00982D15"/>
    <w:rsid w:val="0098349A"/>
    <w:rsid w:val="009836C2"/>
    <w:rsid w:val="00983D5B"/>
    <w:rsid w:val="00983D81"/>
    <w:rsid w:val="009840E3"/>
    <w:rsid w:val="0098414D"/>
    <w:rsid w:val="00984541"/>
    <w:rsid w:val="00984673"/>
    <w:rsid w:val="009846D3"/>
    <w:rsid w:val="00984741"/>
    <w:rsid w:val="00984797"/>
    <w:rsid w:val="009848C2"/>
    <w:rsid w:val="00985159"/>
    <w:rsid w:val="009851DA"/>
    <w:rsid w:val="009854E7"/>
    <w:rsid w:val="0098554D"/>
    <w:rsid w:val="00985BC5"/>
    <w:rsid w:val="00986719"/>
    <w:rsid w:val="00986FDD"/>
    <w:rsid w:val="009870FE"/>
    <w:rsid w:val="009876DA"/>
    <w:rsid w:val="00987B02"/>
    <w:rsid w:val="00987D39"/>
    <w:rsid w:val="00987D8C"/>
    <w:rsid w:val="00987FD2"/>
    <w:rsid w:val="00990455"/>
    <w:rsid w:val="00990643"/>
    <w:rsid w:val="00990717"/>
    <w:rsid w:val="009911E2"/>
    <w:rsid w:val="0099177F"/>
    <w:rsid w:val="009920F4"/>
    <w:rsid w:val="00992116"/>
    <w:rsid w:val="0099221B"/>
    <w:rsid w:val="00992292"/>
    <w:rsid w:val="0099252F"/>
    <w:rsid w:val="009928CA"/>
    <w:rsid w:val="009929D0"/>
    <w:rsid w:val="00992DDA"/>
    <w:rsid w:val="009930C2"/>
    <w:rsid w:val="00993861"/>
    <w:rsid w:val="00993991"/>
    <w:rsid w:val="00993B29"/>
    <w:rsid w:val="00993C60"/>
    <w:rsid w:val="00993FD4"/>
    <w:rsid w:val="00994140"/>
    <w:rsid w:val="00994143"/>
    <w:rsid w:val="009941E5"/>
    <w:rsid w:val="00994255"/>
    <w:rsid w:val="009948EC"/>
    <w:rsid w:val="00995204"/>
    <w:rsid w:val="00995753"/>
    <w:rsid w:val="00995AF8"/>
    <w:rsid w:val="00995B3C"/>
    <w:rsid w:val="00995B97"/>
    <w:rsid w:val="00995DAD"/>
    <w:rsid w:val="00995FF9"/>
    <w:rsid w:val="009962F1"/>
    <w:rsid w:val="00996369"/>
    <w:rsid w:val="009963AA"/>
    <w:rsid w:val="00996682"/>
    <w:rsid w:val="009975C8"/>
    <w:rsid w:val="009979DF"/>
    <w:rsid w:val="00997D01"/>
    <w:rsid w:val="009A01A3"/>
    <w:rsid w:val="009A03B6"/>
    <w:rsid w:val="009A04D6"/>
    <w:rsid w:val="009A0575"/>
    <w:rsid w:val="009A06F0"/>
    <w:rsid w:val="009A0795"/>
    <w:rsid w:val="009A0840"/>
    <w:rsid w:val="009A0D49"/>
    <w:rsid w:val="009A122D"/>
    <w:rsid w:val="009A15A5"/>
    <w:rsid w:val="009A19F3"/>
    <w:rsid w:val="009A1BEB"/>
    <w:rsid w:val="009A2156"/>
    <w:rsid w:val="009A2224"/>
    <w:rsid w:val="009A244F"/>
    <w:rsid w:val="009A2466"/>
    <w:rsid w:val="009A24A5"/>
    <w:rsid w:val="009A2693"/>
    <w:rsid w:val="009A308D"/>
    <w:rsid w:val="009A309E"/>
    <w:rsid w:val="009A3132"/>
    <w:rsid w:val="009A314A"/>
    <w:rsid w:val="009A31F2"/>
    <w:rsid w:val="009A3991"/>
    <w:rsid w:val="009A3CA1"/>
    <w:rsid w:val="009A3CDD"/>
    <w:rsid w:val="009A3D1D"/>
    <w:rsid w:val="009A43A6"/>
    <w:rsid w:val="009A44E9"/>
    <w:rsid w:val="009A475E"/>
    <w:rsid w:val="009A49F0"/>
    <w:rsid w:val="009A4F1D"/>
    <w:rsid w:val="009A52C2"/>
    <w:rsid w:val="009A5531"/>
    <w:rsid w:val="009A591A"/>
    <w:rsid w:val="009A5D2A"/>
    <w:rsid w:val="009A5DB3"/>
    <w:rsid w:val="009A5F7D"/>
    <w:rsid w:val="009A6371"/>
    <w:rsid w:val="009A646E"/>
    <w:rsid w:val="009A6473"/>
    <w:rsid w:val="009A6570"/>
    <w:rsid w:val="009A6A4F"/>
    <w:rsid w:val="009A6BD4"/>
    <w:rsid w:val="009A6F37"/>
    <w:rsid w:val="009A704B"/>
    <w:rsid w:val="009A7A95"/>
    <w:rsid w:val="009B0B20"/>
    <w:rsid w:val="009B1396"/>
    <w:rsid w:val="009B14D4"/>
    <w:rsid w:val="009B152E"/>
    <w:rsid w:val="009B159E"/>
    <w:rsid w:val="009B2360"/>
    <w:rsid w:val="009B237F"/>
    <w:rsid w:val="009B2693"/>
    <w:rsid w:val="009B2B0E"/>
    <w:rsid w:val="009B2BE6"/>
    <w:rsid w:val="009B2D0B"/>
    <w:rsid w:val="009B2E53"/>
    <w:rsid w:val="009B3782"/>
    <w:rsid w:val="009B39B2"/>
    <w:rsid w:val="009B3AE8"/>
    <w:rsid w:val="009B3BCC"/>
    <w:rsid w:val="009B3C45"/>
    <w:rsid w:val="009B3D90"/>
    <w:rsid w:val="009B4177"/>
    <w:rsid w:val="009B434D"/>
    <w:rsid w:val="009B47AF"/>
    <w:rsid w:val="009B4806"/>
    <w:rsid w:val="009B4814"/>
    <w:rsid w:val="009B4993"/>
    <w:rsid w:val="009B4B65"/>
    <w:rsid w:val="009B51A7"/>
    <w:rsid w:val="009B541E"/>
    <w:rsid w:val="009B5698"/>
    <w:rsid w:val="009B57D8"/>
    <w:rsid w:val="009B583C"/>
    <w:rsid w:val="009B604F"/>
    <w:rsid w:val="009B6688"/>
    <w:rsid w:val="009B686E"/>
    <w:rsid w:val="009B69B9"/>
    <w:rsid w:val="009B6A2C"/>
    <w:rsid w:val="009B6E50"/>
    <w:rsid w:val="009B70A8"/>
    <w:rsid w:val="009B70D0"/>
    <w:rsid w:val="009B7138"/>
    <w:rsid w:val="009B74AB"/>
    <w:rsid w:val="009B74F7"/>
    <w:rsid w:val="009B753E"/>
    <w:rsid w:val="009B7992"/>
    <w:rsid w:val="009B7AED"/>
    <w:rsid w:val="009B7BCD"/>
    <w:rsid w:val="009C00D3"/>
    <w:rsid w:val="009C0554"/>
    <w:rsid w:val="009C0A12"/>
    <w:rsid w:val="009C0B21"/>
    <w:rsid w:val="009C0E66"/>
    <w:rsid w:val="009C0EA6"/>
    <w:rsid w:val="009C10A3"/>
    <w:rsid w:val="009C10C3"/>
    <w:rsid w:val="009C12CA"/>
    <w:rsid w:val="009C1435"/>
    <w:rsid w:val="009C17B6"/>
    <w:rsid w:val="009C1DBF"/>
    <w:rsid w:val="009C2218"/>
    <w:rsid w:val="009C2549"/>
    <w:rsid w:val="009C26F0"/>
    <w:rsid w:val="009C2904"/>
    <w:rsid w:val="009C2E37"/>
    <w:rsid w:val="009C2FCA"/>
    <w:rsid w:val="009C3564"/>
    <w:rsid w:val="009C38CD"/>
    <w:rsid w:val="009C3935"/>
    <w:rsid w:val="009C3C2F"/>
    <w:rsid w:val="009C3F22"/>
    <w:rsid w:val="009C4282"/>
    <w:rsid w:val="009C4881"/>
    <w:rsid w:val="009C4D79"/>
    <w:rsid w:val="009C4EDA"/>
    <w:rsid w:val="009C4F6D"/>
    <w:rsid w:val="009C532C"/>
    <w:rsid w:val="009C57EF"/>
    <w:rsid w:val="009C631B"/>
    <w:rsid w:val="009C6439"/>
    <w:rsid w:val="009C67C9"/>
    <w:rsid w:val="009C71C1"/>
    <w:rsid w:val="009C72DA"/>
    <w:rsid w:val="009C7851"/>
    <w:rsid w:val="009C7A5D"/>
    <w:rsid w:val="009C7BA6"/>
    <w:rsid w:val="009C7DBE"/>
    <w:rsid w:val="009C7F45"/>
    <w:rsid w:val="009C7F65"/>
    <w:rsid w:val="009D023E"/>
    <w:rsid w:val="009D0421"/>
    <w:rsid w:val="009D09AB"/>
    <w:rsid w:val="009D152F"/>
    <w:rsid w:val="009D1689"/>
    <w:rsid w:val="009D16DD"/>
    <w:rsid w:val="009D1761"/>
    <w:rsid w:val="009D19BF"/>
    <w:rsid w:val="009D1A8F"/>
    <w:rsid w:val="009D1EFC"/>
    <w:rsid w:val="009D2DDB"/>
    <w:rsid w:val="009D2F48"/>
    <w:rsid w:val="009D2F58"/>
    <w:rsid w:val="009D328F"/>
    <w:rsid w:val="009D33BF"/>
    <w:rsid w:val="009D3600"/>
    <w:rsid w:val="009D38FD"/>
    <w:rsid w:val="009D42BE"/>
    <w:rsid w:val="009D4CC0"/>
    <w:rsid w:val="009D532C"/>
    <w:rsid w:val="009D539E"/>
    <w:rsid w:val="009D53FA"/>
    <w:rsid w:val="009D54BB"/>
    <w:rsid w:val="009D55AC"/>
    <w:rsid w:val="009D58FC"/>
    <w:rsid w:val="009D5DAC"/>
    <w:rsid w:val="009D5F8D"/>
    <w:rsid w:val="009D630A"/>
    <w:rsid w:val="009D6AE9"/>
    <w:rsid w:val="009D6D37"/>
    <w:rsid w:val="009D6D3A"/>
    <w:rsid w:val="009D6ED1"/>
    <w:rsid w:val="009D6EE6"/>
    <w:rsid w:val="009D6F9A"/>
    <w:rsid w:val="009D725B"/>
    <w:rsid w:val="009D72EE"/>
    <w:rsid w:val="009D7D80"/>
    <w:rsid w:val="009D7FAE"/>
    <w:rsid w:val="009E0A9A"/>
    <w:rsid w:val="009E0AFA"/>
    <w:rsid w:val="009E0C7E"/>
    <w:rsid w:val="009E0C88"/>
    <w:rsid w:val="009E106B"/>
    <w:rsid w:val="009E10A7"/>
    <w:rsid w:val="009E10B3"/>
    <w:rsid w:val="009E165B"/>
    <w:rsid w:val="009E1C27"/>
    <w:rsid w:val="009E1D1F"/>
    <w:rsid w:val="009E1DEB"/>
    <w:rsid w:val="009E279F"/>
    <w:rsid w:val="009E293E"/>
    <w:rsid w:val="009E3512"/>
    <w:rsid w:val="009E3537"/>
    <w:rsid w:val="009E39A7"/>
    <w:rsid w:val="009E3DD5"/>
    <w:rsid w:val="009E3E7B"/>
    <w:rsid w:val="009E3EFF"/>
    <w:rsid w:val="009E40BA"/>
    <w:rsid w:val="009E4165"/>
    <w:rsid w:val="009E4479"/>
    <w:rsid w:val="009E4622"/>
    <w:rsid w:val="009E477F"/>
    <w:rsid w:val="009E493D"/>
    <w:rsid w:val="009E4CDF"/>
    <w:rsid w:val="009E4DB6"/>
    <w:rsid w:val="009E5562"/>
    <w:rsid w:val="009E566F"/>
    <w:rsid w:val="009E5A6B"/>
    <w:rsid w:val="009E5C6A"/>
    <w:rsid w:val="009E6023"/>
    <w:rsid w:val="009E60C2"/>
    <w:rsid w:val="009E6347"/>
    <w:rsid w:val="009E699F"/>
    <w:rsid w:val="009E7201"/>
    <w:rsid w:val="009E754A"/>
    <w:rsid w:val="009E7BD2"/>
    <w:rsid w:val="009E7C09"/>
    <w:rsid w:val="009E7D3E"/>
    <w:rsid w:val="009F0220"/>
    <w:rsid w:val="009F0415"/>
    <w:rsid w:val="009F05B5"/>
    <w:rsid w:val="009F0764"/>
    <w:rsid w:val="009F119A"/>
    <w:rsid w:val="009F1834"/>
    <w:rsid w:val="009F1B28"/>
    <w:rsid w:val="009F1C48"/>
    <w:rsid w:val="009F1DC3"/>
    <w:rsid w:val="009F2009"/>
    <w:rsid w:val="009F2495"/>
    <w:rsid w:val="009F283D"/>
    <w:rsid w:val="009F2B66"/>
    <w:rsid w:val="009F2C61"/>
    <w:rsid w:val="009F312F"/>
    <w:rsid w:val="009F328A"/>
    <w:rsid w:val="009F36D0"/>
    <w:rsid w:val="009F474A"/>
    <w:rsid w:val="009F4F9C"/>
    <w:rsid w:val="009F5200"/>
    <w:rsid w:val="009F52E4"/>
    <w:rsid w:val="009F544A"/>
    <w:rsid w:val="009F559A"/>
    <w:rsid w:val="009F59E7"/>
    <w:rsid w:val="009F5B25"/>
    <w:rsid w:val="009F63E4"/>
    <w:rsid w:val="009F6BA5"/>
    <w:rsid w:val="009F6F9D"/>
    <w:rsid w:val="009F705E"/>
    <w:rsid w:val="009F7073"/>
    <w:rsid w:val="009F711A"/>
    <w:rsid w:val="009F74D2"/>
    <w:rsid w:val="009F7612"/>
    <w:rsid w:val="009F767E"/>
    <w:rsid w:val="009F7D9D"/>
    <w:rsid w:val="009F7F76"/>
    <w:rsid w:val="00A00359"/>
    <w:rsid w:val="00A00638"/>
    <w:rsid w:val="00A009DC"/>
    <w:rsid w:val="00A00A18"/>
    <w:rsid w:val="00A00C6F"/>
    <w:rsid w:val="00A00D3E"/>
    <w:rsid w:val="00A01210"/>
    <w:rsid w:val="00A01428"/>
    <w:rsid w:val="00A01515"/>
    <w:rsid w:val="00A016F0"/>
    <w:rsid w:val="00A018C2"/>
    <w:rsid w:val="00A019C5"/>
    <w:rsid w:val="00A01E5C"/>
    <w:rsid w:val="00A01FEB"/>
    <w:rsid w:val="00A02005"/>
    <w:rsid w:val="00A02176"/>
    <w:rsid w:val="00A023CF"/>
    <w:rsid w:val="00A02448"/>
    <w:rsid w:val="00A0248E"/>
    <w:rsid w:val="00A02494"/>
    <w:rsid w:val="00A024EE"/>
    <w:rsid w:val="00A02522"/>
    <w:rsid w:val="00A02C61"/>
    <w:rsid w:val="00A02D4C"/>
    <w:rsid w:val="00A02F91"/>
    <w:rsid w:val="00A03256"/>
    <w:rsid w:val="00A03346"/>
    <w:rsid w:val="00A035B4"/>
    <w:rsid w:val="00A03859"/>
    <w:rsid w:val="00A038ED"/>
    <w:rsid w:val="00A038FE"/>
    <w:rsid w:val="00A03A2B"/>
    <w:rsid w:val="00A04221"/>
    <w:rsid w:val="00A0431D"/>
    <w:rsid w:val="00A04492"/>
    <w:rsid w:val="00A0484C"/>
    <w:rsid w:val="00A048AC"/>
    <w:rsid w:val="00A048B4"/>
    <w:rsid w:val="00A04986"/>
    <w:rsid w:val="00A04E56"/>
    <w:rsid w:val="00A0507C"/>
    <w:rsid w:val="00A05795"/>
    <w:rsid w:val="00A05851"/>
    <w:rsid w:val="00A05CE6"/>
    <w:rsid w:val="00A05E4F"/>
    <w:rsid w:val="00A05F44"/>
    <w:rsid w:val="00A0625C"/>
    <w:rsid w:val="00A063C4"/>
    <w:rsid w:val="00A06687"/>
    <w:rsid w:val="00A06832"/>
    <w:rsid w:val="00A06CC1"/>
    <w:rsid w:val="00A06FD5"/>
    <w:rsid w:val="00A07058"/>
    <w:rsid w:val="00A071F7"/>
    <w:rsid w:val="00A0727B"/>
    <w:rsid w:val="00A072AD"/>
    <w:rsid w:val="00A07570"/>
    <w:rsid w:val="00A078CE"/>
    <w:rsid w:val="00A07B9A"/>
    <w:rsid w:val="00A07F1A"/>
    <w:rsid w:val="00A1025E"/>
    <w:rsid w:val="00A10631"/>
    <w:rsid w:val="00A1071D"/>
    <w:rsid w:val="00A10833"/>
    <w:rsid w:val="00A108FA"/>
    <w:rsid w:val="00A10935"/>
    <w:rsid w:val="00A1107B"/>
    <w:rsid w:val="00A1128D"/>
    <w:rsid w:val="00A113A2"/>
    <w:rsid w:val="00A113CC"/>
    <w:rsid w:val="00A11820"/>
    <w:rsid w:val="00A11A33"/>
    <w:rsid w:val="00A11A40"/>
    <w:rsid w:val="00A125E7"/>
    <w:rsid w:val="00A1289A"/>
    <w:rsid w:val="00A12E26"/>
    <w:rsid w:val="00A1305A"/>
    <w:rsid w:val="00A135AE"/>
    <w:rsid w:val="00A135F3"/>
    <w:rsid w:val="00A136D4"/>
    <w:rsid w:val="00A1380D"/>
    <w:rsid w:val="00A13CE4"/>
    <w:rsid w:val="00A13DE0"/>
    <w:rsid w:val="00A13F07"/>
    <w:rsid w:val="00A13F32"/>
    <w:rsid w:val="00A13F4A"/>
    <w:rsid w:val="00A14291"/>
    <w:rsid w:val="00A14612"/>
    <w:rsid w:val="00A14DCA"/>
    <w:rsid w:val="00A1527B"/>
    <w:rsid w:val="00A157B4"/>
    <w:rsid w:val="00A15AB8"/>
    <w:rsid w:val="00A15D02"/>
    <w:rsid w:val="00A16016"/>
    <w:rsid w:val="00A16446"/>
    <w:rsid w:val="00A165AD"/>
    <w:rsid w:val="00A166BC"/>
    <w:rsid w:val="00A1682C"/>
    <w:rsid w:val="00A171AB"/>
    <w:rsid w:val="00A17389"/>
    <w:rsid w:val="00A177E0"/>
    <w:rsid w:val="00A1793D"/>
    <w:rsid w:val="00A179D3"/>
    <w:rsid w:val="00A17AE1"/>
    <w:rsid w:val="00A17BCB"/>
    <w:rsid w:val="00A17DCC"/>
    <w:rsid w:val="00A17E9B"/>
    <w:rsid w:val="00A17F99"/>
    <w:rsid w:val="00A20270"/>
    <w:rsid w:val="00A205B9"/>
    <w:rsid w:val="00A206DE"/>
    <w:rsid w:val="00A20879"/>
    <w:rsid w:val="00A2090C"/>
    <w:rsid w:val="00A20C32"/>
    <w:rsid w:val="00A20F4D"/>
    <w:rsid w:val="00A21336"/>
    <w:rsid w:val="00A21555"/>
    <w:rsid w:val="00A21764"/>
    <w:rsid w:val="00A21830"/>
    <w:rsid w:val="00A21AB7"/>
    <w:rsid w:val="00A21F45"/>
    <w:rsid w:val="00A22049"/>
    <w:rsid w:val="00A22212"/>
    <w:rsid w:val="00A22A03"/>
    <w:rsid w:val="00A22DBB"/>
    <w:rsid w:val="00A235A2"/>
    <w:rsid w:val="00A23876"/>
    <w:rsid w:val="00A23A03"/>
    <w:rsid w:val="00A23CEF"/>
    <w:rsid w:val="00A23DE1"/>
    <w:rsid w:val="00A240EA"/>
    <w:rsid w:val="00A24339"/>
    <w:rsid w:val="00A24510"/>
    <w:rsid w:val="00A246E1"/>
    <w:rsid w:val="00A2482F"/>
    <w:rsid w:val="00A24998"/>
    <w:rsid w:val="00A2532B"/>
    <w:rsid w:val="00A257BB"/>
    <w:rsid w:val="00A25B26"/>
    <w:rsid w:val="00A25DFB"/>
    <w:rsid w:val="00A25E94"/>
    <w:rsid w:val="00A261CE"/>
    <w:rsid w:val="00A261E0"/>
    <w:rsid w:val="00A262AE"/>
    <w:rsid w:val="00A2656B"/>
    <w:rsid w:val="00A269E0"/>
    <w:rsid w:val="00A26F0E"/>
    <w:rsid w:val="00A271E2"/>
    <w:rsid w:val="00A27A89"/>
    <w:rsid w:val="00A27E39"/>
    <w:rsid w:val="00A27EC8"/>
    <w:rsid w:val="00A27F95"/>
    <w:rsid w:val="00A304EE"/>
    <w:rsid w:val="00A30510"/>
    <w:rsid w:val="00A30AE5"/>
    <w:rsid w:val="00A31136"/>
    <w:rsid w:val="00A316AB"/>
    <w:rsid w:val="00A319E0"/>
    <w:rsid w:val="00A32193"/>
    <w:rsid w:val="00A32260"/>
    <w:rsid w:val="00A32306"/>
    <w:rsid w:val="00A3259C"/>
    <w:rsid w:val="00A3259E"/>
    <w:rsid w:val="00A326BF"/>
    <w:rsid w:val="00A32B29"/>
    <w:rsid w:val="00A32BA0"/>
    <w:rsid w:val="00A33244"/>
    <w:rsid w:val="00A3328A"/>
    <w:rsid w:val="00A333E5"/>
    <w:rsid w:val="00A338ED"/>
    <w:rsid w:val="00A33ACA"/>
    <w:rsid w:val="00A33E0B"/>
    <w:rsid w:val="00A344A8"/>
    <w:rsid w:val="00A346DB"/>
    <w:rsid w:val="00A348D5"/>
    <w:rsid w:val="00A34A74"/>
    <w:rsid w:val="00A34C96"/>
    <w:rsid w:val="00A350C0"/>
    <w:rsid w:val="00A35DDD"/>
    <w:rsid w:val="00A36119"/>
    <w:rsid w:val="00A361D8"/>
    <w:rsid w:val="00A36589"/>
    <w:rsid w:val="00A36594"/>
    <w:rsid w:val="00A36603"/>
    <w:rsid w:val="00A36617"/>
    <w:rsid w:val="00A3671E"/>
    <w:rsid w:val="00A36A33"/>
    <w:rsid w:val="00A36ADB"/>
    <w:rsid w:val="00A36F43"/>
    <w:rsid w:val="00A3705B"/>
    <w:rsid w:val="00A37477"/>
    <w:rsid w:val="00A37B74"/>
    <w:rsid w:val="00A37D93"/>
    <w:rsid w:val="00A37DAF"/>
    <w:rsid w:val="00A40393"/>
    <w:rsid w:val="00A4078B"/>
    <w:rsid w:val="00A40D96"/>
    <w:rsid w:val="00A40F7F"/>
    <w:rsid w:val="00A410E0"/>
    <w:rsid w:val="00A4124B"/>
    <w:rsid w:val="00A4185C"/>
    <w:rsid w:val="00A41940"/>
    <w:rsid w:val="00A41BB3"/>
    <w:rsid w:val="00A41CCB"/>
    <w:rsid w:val="00A4233F"/>
    <w:rsid w:val="00A42483"/>
    <w:rsid w:val="00A42625"/>
    <w:rsid w:val="00A426A3"/>
    <w:rsid w:val="00A4286E"/>
    <w:rsid w:val="00A42C74"/>
    <w:rsid w:val="00A43592"/>
    <w:rsid w:val="00A439E6"/>
    <w:rsid w:val="00A43CD4"/>
    <w:rsid w:val="00A43DDF"/>
    <w:rsid w:val="00A44427"/>
    <w:rsid w:val="00A44568"/>
    <w:rsid w:val="00A445C8"/>
    <w:rsid w:val="00A44D1E"/>
    <w:rsid w:val="00A44D78"/>
    <w:rsid w:val="00A44FA7"/>
    <w:rsid w:val="00A450C1"/>
    <w:rsid w:val="00A451FA"/>
    <w:rsid w:val="00A454F3"/>
    <w:rsid w:val="00A45523"/>
    <w:rsid w:val="00A46020"/>
    <w:rsid w:val="00A4622B"/>
    <w:rsid w:val="00A4628A"/>
    <w:rsid w:val="00A4678F"/>
    <w:rsid w:val="00A4685C"/>
    <w:rsid w:val="00A468B7"/>
    <w:rsid w:val="00A469C9"/>
    <w:rsid w:val="00A46ACA"/>
    <w:rsid w:val="00A46B67"/>
    <w:rsid w:val="00A46B98"/>
    <w:rsid w:val="00A46D3A"/>
    <w:rsid w:val="00A4737D"/>
    <w:rsid w:val="00A475A2"/>
    <w:rsid w:val="00A475F5"/>
    <w:rsid w:val="00A476C3"/>
    <w:rsid w:val="00A479F3"/>
    <w:rsid w:val="00A50115"/>
    <w:rsid w:val="00A50392"/>
    <w:rsid w:val="00A508C7"/>
    <w:rsid w:val="00A50DC1"/>
    <w:rsid w:val="00A50F91"/>
    <w:rsid w:val="00A51098"/>
    <w:rsid w:val="00A51C6A"/>
    <w:rsid w:val="00A51D8C"/>
    <w:rsid w:val="00A51FF3"/>
    <w:rsid w:val="00A52431"/>
    <w:rsid w:val="00A52500"/>
    <w:rsid w:val="00A5264C"/>
    <w:rsid w:val="00A52CA1"/>
    <w:rsid w:val="00A53B31"/>
    <w:rsid w:val="00A53C21"/>
    <w:rsid w:val="00A53C78"/>
    <w:rsid w:val="00A53EE3"/>
    <w:rsid w:val="00A5432F"/>
    <w:rsid w:val="00A54622"/>
    <w:rsid w:val="00A54672"/>
    <w:rsid w:val="00A54682"/>
    <w:rsid w:val="00A548B2"/>
    <w:rsid w:val="00A54B54"/>
    <w:rsid w:val="00A55373"/>
    <w:rsid w:val="00A5540E"/>
    <w:rsid w:val="00A559F8"/>
    <w:rsid w:val="00A55A44"/>
    <w:rsid w:val="00A55A72"/>
    <w:rsid w:val="00A55EDA"/>
    <w:rsid w:val="00A55F77"/>
    <w:rsid w:val="00A564B8"/>
    <w:rsid w:val="00A56644"/>
    <w:rsid w:val="00A56B96"/>
    <w:rsid w:val="00A56CF8"/>
    <w:rsid w:val="00A56E96"/>
    <w:rsid w:val="00A57229"/>
    <w:rsid w:val="00A575C7"/>
    <w:rsid w:val="00A5799D"/>
    <w:rsid w:val="00A579E9"/>
    <w:rsid w:val="00A579F5"/>
    <w:rsid w:val="00A57EBC"/>
    <w:rsid w:val="00A60089"/>
    <w:rsid w:val="00A60920"/>
    <w:rsid w:val="00A60C58"/>
    <w:rsid w:val="00A61056"/>
    <w:rsid w:val="00A61301"/>
    <w:rsid w:val="00A61323"/>
    <w:rsid w:val="00A61555"/>
    <w:rsid w:val="00A61579"/>
    <w:rsid w:val="00A615EA"/>
    <w:rsid w:val="00A61899"/>
    <w:rsid w:val="00A61E6E"/>
    <w:rsid w:val="00A61FBA"/>
    <w:rsid w:val="00A6221A"/>
    <w:rsid w:val="00A62298"/>
    <w:rsid w:val="00A623B7"/>
    <w:rsid w:val="00A625A3"/>
    <w:rsid w:val="00A626F7"/>
    <w:rsid w:val="00A62EAF"/>
    <w:rsid w:val="00A630B7"/>
    <w:rsid w:val="00A63331"/>
    <w:rsid w:val="00A635AB"/>
    <w:rsid w:val="00A64312"/>
    <w:rsid w:val="00A6439F"/>
    <w:rsid w:val="00A644D9"/>
    <w:rsid w:val="00A64594"/>
    <w:rsid w:val="00A64633"/>
    <w:rsid w:val="00A647E8"/>
    <w:rsid w:val="00A64AD7"/>
    <w:rsid w:val="00A64BF5"/>
    <w:rsid w:val="00A64C22"/>
    <w:rsid w:val="00A64D2C"/>
    <w:rsid w:val="00A651A0"/>
    <w:rsid w:val="00A65441"/>
    <w:rsid w:val="00A654F9"/>
    <w:rsid w:val="00A65533"/>
    <w:rsid w:val="00A659AE"/>
    <w:rsid w:val="00A65D7B"/>
    <w:rsid w:val="00A65D7F"/>
    <w:rsid w:val="00A6611E"/>
    <w:rsid w:val="00A663B0"/>
    <w:rsid w:val="00A663F2"/>
    <w:rsid w:val="00A6680A"/>
    <w:rsid w:val="00A66A9F"/>
    <w:rsid w:val="00A66CA6"/>
    <w:rsid w:val="00A6722D"/>
    <w:rsid w:val="00A67394"/>
    <w:rsid w:val="00A677ED"/>
    <w:rsid w:val="00A67A5A"/>
    <w:rsid w:val="00A67BE2"/>
    <w:rsid w:val="00A67D33"/>
    <w:rsid w:val="00A67F10"/>
    <w:rsid w:val="00A701EF"/>
    <w:rsid w:val="00A70342"/>
    <w:rsid w:val="00A70374"/>
    <w:rsid w:val="00A7049E"/>
    <w:rsid w:val="00A70A42"/>
    <w:rsid w:val="00A71088"/>
    <w:rsid w:val="00A7116F"/>
    <w:rsid w:val="00A71178"/>
    <w:rsid w:val="00A714D5"/>
    <w:rsid w:val="00A71857"/>
    <w:rsid w:val="00A718BA"/>
    <w:rsid w:val="00A71FB1"/>
    <w:rsid w:val="00A72214"/>
    <w:rsid w:val="00A72273"/>
    <w:rsid w:val="00A72E1B"/>
    <w:rsid w:val="00A7306F"/>
    <w:rsid w:val="00A734E8"/>
    <w:rsid w:val="00A739E4"/>
    <w:rsid w:val="00A73B56"/>
    <w:rsid w:val="00A74585"/>
    <w:rsid w:val="00A745BF"/>
    <w:rsid w:val="00A74621"/>
    <w:rsid w:val="00A7464C"/>
    <w:rsid w:val="00A746F4"/>
    <w:rsid w:val="00A747D4"/>
    <w:rsid w:val="00A74C49"/>
    <w:rsid w:val="00A74EDD"/>
    <w:rsid w:val="00A74F76"/>
    <w:rsid w:val="00A753B2"/>
    <w:rsid w:val="00A75837"/>
    <w:rsid w:val="00A75EA9"/>
    <w:rsid w:val="00A75FA1"/>
    <w:rsid w:val="00A76681"/>
    <w:rsid w:val="00A766ED"/>
    <w:rsid w:val="00A767D2"/>
    <w:rsid w:val="00A76A36"/>
    <w:rsid w:val="00A76CDF"/>
    <w:rsid w:val="00A77651"/>
    <w:rsid w:val="00A778DF"/>
    <w:rsid w:val="00A77A9F"/>
    <w:rsid w:val="00A77C76"/>
    <w:rsid w:val="00A77FB7"/>
    <w:rsid w:val="00A807B1"/>
    <w:rsid w:val="00A8096C"/>
    <w:rsid w:val="00A80CFB"/>
    <w:rsid w:val="00A811D2"/>
    <w:rsid w:val="00A81482"/>
    <w:rsid w:val="00A81ADC"/>
    <w:rsid w:val="00A81DDC"/>
    <w:rsid w:val="00A81E97"/>
    <w:rsid w:val="00A82162"/>
    <w:rsid w:val="00A827FD"/>
    <w:rsid w:val="00A8286A"/>
    <w:rsid w:val="00A82D52"/>
    <w:rsid w:val="00A82D7C"/>
    <w:rsid w:val="00A82FBE"/>
    <w:rsid w:val="00A83317"/>
    <w:rsid w:val="00A835F0"/>
    <w:rsid w:val="00A83646"/>
    <w:rsid w:val="00A83813"/>
    <w:rsid w:val="00A838A7"/>
    <w:rsid w:val="00A83ADD"/>
    <w:rsid w:val="00A83FA1"/>
    <w:rsid w:val="00A8400E"/>
    <w:rsid w:val="00A84045"/>
    <w:rsid w:val="00A843A7"/>
    <w:rsid w:val="00A84410"/>
    <w:rsid w:val="00A8441E"/>
    <w:rsid w:val="00A84C75"/>
    <w:rsid w:val="00A84EC1"/>
    <w:rsid w:val="00A84FED"/>
    <w:rsid w:val="00A8512D"/>
    <w:rsid w:val="00A853DE"/>
    <w:rsid w:val="00A856F6"/>
    <w:rsid w:val="00A859E1"/>
    <w:rsid w:val="00A85A3D"/>
    <w:rsid w:val="00A85B98"/>
    <w:rsid w:val="00A85D25"/>
    <w:rsid w:val="00A85DDA"/>
    <w:rsid w:val="00A85FD5"/>
    <w:rsid w:val="00A8601C"/>
    <w:rsid w:val="00A86023"/>
    <w:rsid w:val="00A8656C"/>
    <w:rsid w:val="00A866A7"/>
    <w:rsid w:val="00A866B8"/>
    <w:rsid w:val="00A86F54"/>
    <w:rsid w:val="00A87254"/>
    <w:rsid w:val="00A87263"/>
    <w:rsid w:val="00A877B9"/>
    <w:rsid w:val="00A87862"/>
    <w:rsid w:val="00A87890"/>
    <w:rsid w:val="00A87B03"/>
    <w:rsid w:val="00A87D00"/>
    <w:rsid w:val="00A87D81"/>
    <w:rsid w:val="00A87F8E"/>
    <w:rsid w:val="00A87FF6"/>
    <w:rsid w:val="00A90038"/>
    <w:rsid w:val="00A90452"/>
    <w:rsid w:val="00A90638"/>
    <w:rsid w:val="00A906DB"/>
    <w:rsid w:val="00A9079A"/>
    <w:rsid w:val="00A90804"/>
    <w:rsid w:val="00A908B9"/>
    <w:rsid w:val="00A90A8D"/>
    <w:rsid w:val="00A90F57"/>
    <w:rsid w:val="00A9207D"/>
    <w:rsid w:val="00A9223B"/>
    <w:rsid w:val="00A92F4F"/>
    <w:rsid w:val="00A92F69"/>
    <w:rsid w:val="00A92FD6"/>
    <w:rsid w:val="00A9300A"/>
    <w:rsid w:val="00A931D1"/>
    <w:rsid w:val="00A934EE"/>
    <w:rsid w:val="00A936D0"/>
    <w:rsid w:val="00A943D9"/>
    <w:rsid w:val="00A94539"/>
    <w:rsid w:val="00A946AD"/>
    <w:rsid w:val="00A94D1F"/>
    <w:rsid w:val="00A968BE"/>
    <w:rsid w:val="00A96D90"/>
    <w:rsid w:val="00A96EDA"/>
    <w:rsid w:val="00A96F65"/>
    <w:rsid w:val="00A97032"/>
    <w:rsid w:val="00A97098"/>
    <w:rsid w:val="00A97112"/>
    <w:rsid w:val="00A9721A"/>
    <w:rsid w:val="00A97555"/>
    <w:rsid w:val="00A979AE"/>
    <w:rsid w:val="00A97A6B"/>
    <w:rsid w:val="00A97B05"/>
    <w:rsid w:val="00AA0340"/>
    <w:rsid w:val="00AA0391"/>
    <w:rsid w:val="00AA0B43"/>
    <w:rsid w:val="00AA0D98"/>
    <w:rsid w:val="00AA0F24"/>
    <w:rsid w:val="00AA13DF"/>
    <w:rsid w:val="00AA16B5"/>
    <w:rsid w:val="00AA1759"/>
    <w:rsid w:val="00AA17BC"/>
    <w:rsid w:val="00AA17E4"/>
    <w:rsid w:val="00AA1E59"/>
    <w:rsid w:val="00AA1FB8"/>
    <w:rsid w:val="00AA2001"/>
    <w:rsid w:val="00AA20AA"/>
    <w:rsid w:val="00AA278B"/>
    <w:rsid w:val="00AA2A6E"/>
    <w:rsid w:val="00AA2EB3"/>
    <w:rsid w:val="00AA32B3"/>
    <w:rsid w:val="00AA32E1"/>
    <w:rsid w:val="00AA3382"/>
    <w:rsid w:val="00AA351F"/>
    <w:rsid w:val="00AA38D1"/>
    <w:rsid w:val="00AA3AFB"/>
    <w:rsid w:val="00AA3F86"/>
    <w:rsid w:val="00AA42AE"/>
    <w:rsid w:val="00AA45A2"/>
    <w:rsid w:val="00AA4707"/>
    <w:rsid w:val="00AA488F"/>
    <w:rsid w:val="00AA4C37"/>
    <w:rsid w:val="00AA4D34"/>
    <w:rsid w:val="00AA4E30"/>
    <w:rsid w:val="00AA4E8E"/>
    <w:rsid w:val="00AA5016"/>
    <w:rsid w:val="00AA53CA"/>
    <w:rsid w:val="00AA5D32"/>
    <w:rsid w:val="00AA5E56"/>
    <w:rsid w:val="00AA5E89"/>
    <w:rsid w:val="00AA5ECE"/>
    <w:rsid w:val="00AA6379"/>
    <w:rsid w:val="00AA6458"/>
    <w:rsid w:val="00AA654C"/>
    <w:rsid w:val="00AA65EF"/>
    <w:rsid w:val="00AA661D"/>
    <w:rsid w:val="00AA6998"/>
    <w:rsid w:val="00AA6AFA"/>
    <w:rsid w:val="00AA6C43"/>
    <w:rsid w:val="00AA6C84"/>
    <w:rsid w:val="00AA75A3"/>
    <w:rsid w:val="00AA7CF3"/>
    <w:rsid w:val="00AA7D14"/>
    <w:rsid w:val="00AA7F83"/>
    <w:rsid w:val="00AB03AB"/>
    <w:rsid w:val="00AB0784"/>
    <w:rsid w:val="00AB07F4"/>
    <w:rsid w:val="00AB0843"/>
    <w:rsid w:val="00AB0880"/>
    <w:rsid w:val="00AB0B99"/>
    <w:rsid w:val="00AB1C86"/>
    <w:rsid w:val="00AB200B"/>
    <w:rsid w:val="00AB21D7"/>
    <w:rsid w:val="00AB266B"/>
    <w:rsid w:val="00AB27FF"/>
    <w:rsid w:val="00AB297B"/>
    <w:rsid w:val="00AB2C92"/>
    <w:rsid w:val="00AB301A"/>
    <w:rsid w:val="00AB32F3"/>
    <w:rsid w:val="00AB3B08"/>
    <w:rsid w:val="00AB3BC0"/>
    <w:rsid w:val="00AB3C74"/>
    <w:rsid w:val="00AB3EF7"/>
    <w:rsid w:val="00AB426B"/>
    <w:rsid w:val="00AB448A"/>
    <w:rsid w:val="00AB4D9D"/>
    <w:rsid w:val="00AB5138"/>
    <w:rsid w:val="00AB5F4B"/>
    <w:rsid w:val="00AB63C7"/>
    <w:rsid w:val="00AB63DC"/>
    <w:rsid w:val="00AB6906"/>
    <w:rsid w:val="00AB6BD8"/>
    <w:rsid w:val="00AB6CC3"/>
    <w:rsid w:val="00AB6D3E"/>
    <w:rsid w:val="00AB6F15"/>
    <w:rsid w:val="00AB721C"/>
    <w:rsid w:val="00AB746C"/>
    <w:rsid w:val="00AB79DA"/>
    <w:rsid w:val="00AB7B59"/>
    <w:rsid w:val="00AB7F1B"/>
    <w:rsid w:val="00AB7F24"/>
    <w:rsid w:val="00AC0001"/>
    <w:rsid w:val="00AC0199"/>
    <w:rsid w:val="00AC056F"/>
    <w:rsid w:val="00AC1198"/>
    <w:rsid w:val="00AC13A4"/>
    <w:rsid w:val="00AC141D"/>
    <w:rsid w:val="00AC1B59"/>
    <w:rsid w:val="00AC1D3B"/>
    <w:rsid w:val="00AC1D4D"/>
    <w:rsid w:val="00AC1D55"/>
    <w:rsid w:val="00AC1EA7"/>
    <w:rsid w:val="00AC250B"/>
    <w:rsid w:val="00AC25A9"/>
    <w:rsid w:val="00AC2894"/>
    <w:rsid w:val="00AC2A92"/>
    <w:rsid w:val="00AC37EE"/>
    <w:rsid w:val="00AC3A18"/>
    <w:rsid w:val="00AC3C77"/>
    <w:rsid w:val="00AC3F2B"/>
    <w:rsid w:val="00AC477C"/>
    <w:rsid w:val="00AC4943"/>
    <w:rsid w:val="00AC4D29"/>
    <w:rsid w:val="00AC4EDB"/>
    <w:rsid w:val="00AC514F"/>
    <w:rsid w:val="00AC520B"/>
    <w:rsid w:val="00AC53C4"/>
    <w:rsid w:val="00AC5537"/>
    <w:rsid w:val="00AC5968"/>
    <w:rsid w:val="00AC5C14"/>
    <w:rsid w:val="00AC5C92"/>
    <w:rsid w:val="00AC5DCF"/>
    <w:rsid w:val="00AC617A"/>
    <w:rsid w:val="00AC6283"/>
    <w:rsid w:val="00AC6349"/>
    <w:rsid w:val="00AC6387"/>
    <w:rsid w:val="00AC63A5"/>
    <w:rsid w:val="00AC6412"/>
    <w:rsid w:val="00AC655A"/>
    <w:rsid w:val="00AC6B42"/>
    <w:rsid w:val="00AC6C67"/>
    <w:rsid w:val="00AC711F"/>
    <w:rsid w:val="00AC77AA"/>
    <w:rsid w:val="00AC7AE6"/>
    <w:rsid w:val="00AC7C6B"/>
    <w:rsid w:val="00AC7CA9"/>
    <w:rsid w:val="00AC7ED6"/>
    <w:rsid w:val="00AD023B"/>
    <w:rsid w:val="00AD024B"/>
    <w:rsid w:val="00AD0798"/>
    <w:rsid w:val="00AD0E77"/>
    <w:rsid w:val="00AD0EDA"/>
    <w:rsid w:val="00AD1067"/>
    <w:rsid w:val="00AD1176"/>
    <w:rsid w:val="00AD1200"/>
    <w:rsid w:val="00AD1398"/>
    <w:rsid w:val="00AD154D"/>
    <w:rsid w:val="00AD186A"/>
    <w:rsid w:val="00AD1C33"/>
    <w:rsid w:val="00AD1F00"/>
    <w:rsid w:val="00AD1F59"/>
    <w:rsid w:val="00AD203E"/>
    <w:rsid w:val="00AD2667"/>
    <w:rsid w:val="00AD2987"/>
    <w:rsid w:val="00AD29F0"/>
    <w:rsid w:val="00AD2BFE"/>
    <w:rsid w:val="00AD2F43"/>
    <w:rsid w:val="00AD2F92"/>
    <w:rsid w:val="00AD3176"/>
    <w:rsid w:val="00AD3344"/>
    <w:rsid w:val="00AD366E"/>
    <w:rsid w:val="00AD3E37"/>
    <w:rsid w:val="00AD4236"/>
    <w:rsid w:val="00AD4415"/>
    <w:rsid w:val="00AD46B9"/>
    <w:rsid w:val="00AD48B8"/>
    <w:rsid w:val="00AD4FD9"/>
    <w:rsid w:val="00AD5111"/>
    <w:rsid w:val="00AD59C0"/>
    <w:rsid w:val="00AD5A26"/>
    <w:rsid w:val="00AD5BA9"/>
    <w:rsid w:val="00AD5E72"/>
    <w:rsid w:val="00AD5E73"/>
    <w:rsid w:val="00AD609B"/>
    <w:rsid w:val="00AD6161"/>
    <w:rsid w:val="00AD657F"/>
    <w:rsid w:val="00AD6B15"/>
    <w:rsid w:val="00AD7125"/>
    <w:rsid w:val="00AD72A4"/>
    <w:rsid w:val="00AD7397"/>
    <w:rsid w:val="00AD7BBE"/>
    <w:rsid w:val="00AD7C39"/>
    <w:rsid w:val="00AE0A3B"/>
    <w:rsid w:val="00AE0A5B"/>
    <w:rsid w:val="00AE0C04"/>
    <w:rsid w:val="00AE0FA9"/>
    <w:rsid w:val="00AE1062"/>
    <w:rsid w:val="00AE10F6"/>
    <w:rsid w:val="00AE11B9"/>
    <w:rsid w:val="00AE11F3"/>
    <w:rsid w:val="00AE12EE"/>
    <w:rsid w:val="00AE17D5"/>
    <w:rsid w:val="00AE1836"/>
    <w:rsid w:val="00AE1DE0"/>
    <w:rsid w:val="00AE1E5E"/>
    <w:rsid w:val="00AE1F37"/>
    <w:rsid w:val="00AE21F7"/>
    <w:rsid w:val="00AE2418"/>
    <w:rsid w:val="00AE2894"/>
    <w:rsid w:val="00AE298D"/>
    <w:rsid w:val="00AE2CAB"/>
    <w:rsid w:val="00AE2D17"/>
    <w:rsid w:val="00AE2DBC"/>
    <w:rsid w:val="00AE2FA2"/>
    <w:rsid w:val="00AE386F"/>
    <w:rsid w:val="00AE38A0"/>
    <w:rsid w:val="00AE4269"/>
    <w:rsid w:val="00AE4332"/>
    <w:rsid w:val="00AE4485"/>
    <w:rsid w:val="00AE4700"/>
    <w:rsid w:val="00AE49CD"/>
    <w:rsid w:val="00AE4B2D"/>
    <w:rsid w:val="00AE512B"/>
    <w:rsid w:val="00AE53BD"/>
    <w:rsid w:val="00AE5EB7"/>
    <w:rsid w:val="00AE651D"/>
    <w:rsid w:val="00AE6749"/>
    <w:rsid w:val="00AE71C6"/>
    <w:rsid w:val="00AE7206"/>
    <w:rsid w:val="00AE754A"/>
    <w:rsid w:val="00AE7908"/>
    <w:rsid w:val="00AE79A6"/>
    <w:rsid w:val="00AE7EE4"/>
    <w:rsid w:val="00AF025B"/>
    <w:rsid w:val="00AF0280"/>
    <w:rsid w:val="00AF07A0"/>
    <w:rsid w:val="00AF0EC7"/>
    <w:rsid w:val="00AF10AC"/>
    <w:rsid w:val="00AF1624"/>
    <w:rsid w:val="00AF17EA"/>
    <w:rsid w:val="00AF1A41"/>
    <w:rsid w:val="00AF240B"/>
    <w:rsid w:val="00AF279E"/>
    <w:rsid w:val="00AF2B33"/>
    <w:rsid w:val="00AF30AB"/>
    <w:rsid w:val="00AF36C1"/>
    <w:rsid w:val="00AF3918"/>
    <w:rsid w:val="00AF3C1D"/>
    <w:rsid w:val="00AF418D"/>
    <w:rsid w:val="00AF44E5"/>
    <w:rsid w:val="00AF54E2"/>
    <w:rsid w:val="00AF5978"/>
    <w:rsid w:val="00AF607F"/>
    <w:rsid w:val="00AF6153"/>
    <w:rsid w:val="00AF6304"/>
    <w:rsid w:val="00AF678F"/>
    <w:rsid w:val="00AF696B"/>
    <w:rsid w:val="00AF6A79"/>
    <w:rsid w:val="00AF6C04"/>
    <w:rsid w:val="00AF6FAB"/>
    <w:rsid w:val="00AF7398"/>
    <w:rsid w:val="00AF7401"/>
    <w:rsid w:val="00AF7862"/>
    <w:rsid w:val="00B0054E"/>
    <w:rsid w:val="00B00C04"/>
    <w:rsid w:val="00B00C3F"/>
    <w:rsid w:val="00B01161"/>
    <w:rsid w:val="00B011AD"/>
    <w:rsid w:val="00B01379"/>
    <w:rsid w:val="00B01B31"/>
    <w:rsid w:val="00B01BE4"/>
    <w:rsid w:val="00B02534"/>
    <w:rsid w:val="00B0261D"/>
    <w:rsid w:val="00B02B00"/>
    <w:rsid w:val="00B02FF8"/>
    <w:rsid w:val="00B03118"/>
    <w:rsid w:val="00B0383D"/>
    <w:rsid w:val="00B03989"/>
    <w:rsid w:val="00B03CF2"/>
    <w:rsid w:val="00B03F0F"/>
    <w:rsid w:val="00B04562"/>
    <w:rsid w:val="00B0504C"/>
    <w:rsid w:val="00B05743"/>
    <w:rsid w:val="00B059A1"/>
    <w:rsid w:val="00B05B47"/>
    <w:rsid w:val="00B05C36"/>
    <w:rsid w:val="00B05D7C"/>
    <w:rsid w:val="00B05F9D"/>
    <w:rsid w:val="00B0629D"/>
    <w:rsid w:val="00B063FD"/>
    <w:rsid w:val="00B066B0"/>
    <w:rsid w:val="00B06768"/>
    <w:rsid w:val="00B06876"/>
    <w:rsid w:val="00B069EF"/>
    <w:rsid w:val="00B06C21"/>
    <w:rsid w:val="00B06FAF"/>
    <w:rsid w:val="00B07377"/>
    <w:rsid w:val="00B075B5"/>
    <w:rsid w:val="00B07C8C"/>
    <w:rsid w:val="00B1025C"/>
    <w:rsid w:val="00B104F9"/>
    <w:rsid w:val="00B105A1"/>
    <w:rsid w:val="00B1086E"/>
    <w:rsid w:val="00B10871"/>
    <w:rsid w:val="00B10BE8"/>
    <w:rsid w:val="00B10D14"/>
    <w:rsid w:val="00B11539"/>
    <w:rsid w:val="00B1160E"/>
    <w:rsid w:val="00B118AD"/>
    <w:rsid w:val="00B118CC"/>
    <w:rsid w:val="00B11C0F"/>
    <w:rsid w:val="00B11C97"/>
    <w:rsid w:val="00B12183"/>
    <w:rsid w:val="00B125C6"/>
    <w:rsid w:val="00B12795"/>
    <w:rsid w:val="00B127EA"/>
    <w:rsid w:val="00B12B76"/>
    <w:rsid w:val="00B12C35"/>
    <w:rsid w:val="00B13368"/>
    <w:rsid w:val="00B13460"/>
    <w:rsid w:val="00B13555"/>
    <w:rsid w:val="00B139E5"/>
    <w:rsid w:val="00B13DA7"/>
    <w:rsid w:val="00B13E17"/>
    <w:rsid w:val="00B140AF"/>
    <w:rsid w:val="00B141A6"/>
    <w:rsid w:val="00B143C0"/>
    <w:rsid w:val="00B14636"/>
    <w:rsid w:val="00B1495E"/>
    <w:rsid w:val="00B1535E"/>
    <w:rsid w:val="00B15470"/>
    <w:rsid w:val="00B1560C"/>
    <w:rsid w:val="00B15888"/>
    <w:rsid w:val="00B15BA1"/>
    <w:rsid w:val="00B1620C"/>
    <w:rsid w:val="00B168D3"/>
    <w:rsid w:val="00B16ABC"/>
    <w:rsid w:val="00B16F5F"/>
    <w:rsid w:val="00B17700"/>
    <w:rsid w:val="00B17EFC"/>
    <w:rsid w:val="00B205BA"/>
    <w:rsid w:val="00B208F5"/>
    <w:rsid w:val="00B20C49"/>
    <w:rsid w:val="00B20E24"/>
    <w:rsid w:val="00B20FA7"/>
    <w:rsid w:val="00B21365"/>
    <w:rsid w:val="00B21EE1"/>
    <w:rsid w:val="00B21F18"/>
    <w:rsid w:val="00B22019"/>
    <w:rsid w:val="00B2218C"/>
    <w:rsid w:val="00B2231C"/>
    <w:rsid w:val="00B224EE"/>
    <w:rsid w:val="00B22586"/>
    <w:rsid w:val="00B2284E"/>
    <w:rsid w:val="00B2290C"/>
    <w:rsid w:val="00B229C5"/>
    <w:rsid w:val="00B22C77"/>
    <w:rsid w:val="00B22FCA"/>
    <w:rsid w:val="00B23067"/>
    <w:rsid w:val="00B23542"/>
    <w:rsid w:val="00B235ED"/>
    <w:rsid w:val="00B2390B"/>
    <w:rsid w:val="00B23D0A"/>
    <w:rsid w:val="00B23D6D"/>
    <w:rsid w:val="00B23FA4"/>
    <w:rsid w:val="00B24049"/>
    <w:rsid w:val="00B24344"/>
    <w:rsid w:val="00B24532"/>
    <w:rsid w:val="00B249AB"/>
    <w:rsid w:val="00B24AFF"/>
    <w:rsid w:val="00B24B1B"/>
    <w:rsid w:val="00B2519E"/>
    <w:rsid w:val="00B25226"/>
    <w:rsid w:val="00B253B1"/>
    <w:rsid w:val="00B259F6"/>
    <w:rsid w:val="00B25BA2"/>
    <w:rsid w:val="00B25DAC"/>
    <w:rsid w:val="00B25F60"/>
    <w:rsid w:val="00B25F76"/>
    <w:rsid w:val="00B260A4"/>
    <w:rsid w:val="00B270C9"/>
    <w:rsid w:val="00B270CA"/>
    <w:rsid w:val="00B27244"/>
    <w:rsid w:val="00B272A2"/>
    <w:rsid w:val="00B2795C"/>
    <w:rsid w:val="00B27980"/>
    <w:rsid w:val="00B27DB1"/>
    <w:rsid w:val="00B27DD5"/>
    <w:rsid w:val="00B27FD4"/>
    <w:rsid w:val="00B3024F"/>
    <w:rsid w:val="00B30D8E"/>
    <w:rsid w:val="00B31237"/>
    <w:rsid w:val="00B317B7"/>
    <w:rsid w:val="00B31879"/>
    <w:rsid w:val="00B31C06"/>
    <w:rsid w:val="00B3259B"/>
    <w:rsid w:val="00B32707"/>
    <w:rsid w:val="00B32B65"/>
    <w:rsid w:val="00B33005"/>
    <w:rsid w:val="00B33084"/>
    <w:rsid w:val="00B331F5"/>
    <w:rsid w:val="00B33331"/>
    <w:rsid w:val="00B336A7"/>
    <w:rsid w:val="00B336E0"/>
    <w:rsid w:val="00B33D3E"/>
    <w:rsid w:val="00B3412C"/>
    <w:rsid w:val="00B3436A"/>
    <w:rsid w:val="00B344AA"/>
    <w:rsid w:val="00B34B2B"/>
    <w:rsid w:val="00B34E4A"/>
    <w:rsid w:val="00B34EC9"/>
    <w:rsid w:val="00B350C2"/>
    <w:rsid w:val="00B3516A"/>
    <w:rsid w:val="00B35346"/>
    <w:rsid w:val="00B355D0"/>
    <w:rsid w:val="00B35788"/>
    <w:rsid w:val="00B35B54"/>
    <w:rsid w:val="00B35D53"/>
    <w:rsid w:val="00B35EB1"/>
    <w:rsid w:val="00B3612F"/>
    <w:rsid w:val="00B363E8"/>
    <w:rsid w:val="00B36506"/>
    <w:rsid w:val="00B36C54"/>
    <w:rsid w:val="00B36E29"/>
    <w:rsid w:val="00B36E8A"/>
    <w:rsid w:val="00B36EA3"/>
    <w:rsid w:val="00B3722B"/>
    <w:rsid w:val="00B37D8F"/>
    <w:rsid w:val="00B40CEB"/>
    <w:rsid w:val="00B40EEB"/>
    <w:rsid w:val="00B41481"/>
    <w:rsid w:val="00B415CE"/>
    <w:rsid w:val="00B41FF3"/>
    <w:rsid w:val="00B4212A"/>
    <w:rsid w:val="00B42979"/>
    <w:rsid w:val="00B429C3"/>
    <w:rsid w:val="00B42A2A"/>
    <w:rsid w:val="00B42B68"/>
    <w:rsid w:val="00B42DEE"/>
    <w:rsid w:val="00B430E7"/>
    <w:rsid w:val="00B430F0"/>
    <w:rsid w:val="00B4336D"/>
    <w:rsid w:val="00B4358A"/>
    <w:rsid w:val="00B444DA"/>
    <w:rsid w:val="00B44788"/>
    <w:rsid w:val="00B4496A"/>
    <w:rsid w:val="00B44A36"/>
    <w:rsid w:val="00B44AB6"/>
    <w:rsid w:val="00B44AEA"/>
    <w:rsid w:val="00B44DCF"/>
    <w:rsid w:val="00B44E7C"/>
    <w:rsid w:val="00B450DB"/>
    <w:rsid w:val="00B45172"/>
    <w:rsid w:val="00B4521B"/>
    <w:rsid w:val="00B4533F"/>
    <w:rsid w:val="00B45484"/>
    <w:rsid w:val="00B45752"/>
    <w:rsid w:val="00B45B30"/>
    <w:rsid w:val="00B45E25"/>
    <w:rsid w:val="00B46076"/>
    <w:rsid w:val="00B461C1"/>
    <w:rsid w:val="00B46245"/>
    <w:rsid w:val="00B46483"/>
    <w:rsid w:val="00B4696E"/>
    <w:rsid w:val="00B46DA9"/>
    <w:rsid w:val="00B46EBA"/>
    <w:rsid w:val="00B4774D"/>
    <w:rsid w:val="00B47BC7"/>
    <w:rsid w:val="00B47C91"/>
    <w:rsid w:val="00B47EE0"/>
    <w:rsid w:val="00B504B5"/>
    <w:rsid w:val="00B505E6"/>
    <w:rsid w:val="00B50870"/>
    <w:rsid w:val="00B509F8"/>
    <w:rsid w:val="00B5117A"/>
    <w:rsid w:val="00B51197"/>
    <w:rsid w:val="00B51222"/>
    <w:rsid w:val="00B51257"/>
    <w:rsid w:val="00B513F6"/>
    <w:rsid w:val="00B51980"/>
    <w:rsid w:val="00B519BE"/>
    <w:rsid w:val="00B51CAA"/>
    <w:rsid w:val="00B51D6C"/>
    <w:rsid w:val="00B52340"/>
    <w:rsid w:val="00B526D7"/>
    <w:rsid w:val="00B52911"/>
    <w:rsid w:val="00B5297E"/>
    <w:rsid w:val="00B52C23"/>
    <w:rsid w:val="00B52F6C"/>
    <w:rsid w:val="00B538FC"/>
    <w:rsid w:val="00B53BCD"/>
    <w:rsid w:val="00B53D2A"/>
    <w:rsid w:val="00B53FBF"/>
    <w:rsid w:val="00B5418A"/>
    <w:rsid w:val="00B54316"/>
    <w:rsid w:val="00B5431B"/>
    <w:rsid w:val="00B543FA"/>
    <w:rsid w:val="00B544D2"/>
    <w:rsid w:val="00B54DAB"/>
    <w:rsid w:val="00B54EF6"/>
    <w:rsid w:val="00B54F42"/>
    <w:rsid w:val="00B54F66"/>
    <w:rsid w:val="00B5506F"/>
    <w:rsid w:val="00B553D6"/>
    <w:rsid w:val="00B55898"/>
    <w:rsid w:val="00B55B11"/>
    <w:rsid w:val="00B56621"/>
    <w:rsid w:val="00B56755"/>
    <w:rsid w:val="00B5682B"/>
    <w:rsid w:val="00B56BEC"/>
    <w:rsid w:val="00B56D7C"/>
    <w:rsid w:val="00B5721A"/>
    <w:rsid w:val="00B57288"/>
    <w:rsid w:val="00B60139"/>
    <w:rsid w:val="00B6018D"/>
    <w:rsid w:val="00B602D2"/>
    <w:rsid w:val="00B6040D"/>
    <w:rsid w:val="00B60B56"/>
    <w:rsid w:val="00B60B7F"/>
    <w:rsid w:val="00B60EDC"/>
    <w:rsid w:val="00B61054"/>
    <w:rsid w:val="00B61412"/>
    <w:rsid w:val="00B6166B"/>
    <w:rsid w:val="00B617FA"/>
    <w:rsid w:val="00B6180F"/>
    <w:rsid w:val="00B6184B"/>
    <w:rsid w:val="00B61A59"/>
    <w:rsid w:val="00B61AF2"/>
    <w:rsid w:val="00B61C2C"/>
    <w:rsid w:val="00B61E0C"/>
    <w:rsid w:val="00B61EE0"/>
    <w:rsid w:val="00B61FEE"/>
    <w:rsid w:val="00B62154"/>
    <w:rsid w:val="00B6218F"/>
    <w:rsid w:val="00B625A6"/>
    <w:rsid w:val="00B62719"/>
    <w:rsid w:val="00B63194"/>
    <w:rsid w:val="00B63446"/>
    <w:rsid w:val="00B63AAC"/>
    <w:rsid w:val="00B64020"/>
    <w:rsid w:val="00B641F3"/>
    <w:rsid w:val="00B6469C"/>
    <w:rsid w:val="00B646D5"/>
    <w:rsid w:val="00B64E89"/>
    <w:rsid w:val="00B650FC"/>
    <w:rsid w:val="00B6531D"/>
    <w:rsid w:val="00B65597"/>
    <w:rsid w:val="00B65B6C"/>
    <w:rsid w:val="00B66074"/>
    <w:rsid w:val="00B66150"/>
    <w:rsid w:val="00B6632D"/>
    <w:rsid w:val="00B666D5"/>
    <w:rsid w:val="00B667F7"/>
    <w:rsid w:val="00B66A67"/>
    <w:rsid w:val="00B66BA4"/>
    <w:rsid w:val="00B66BB6"/>
    <w:rsid w:val="00B66DD9"/>
    <w:rsid w:val="00B6774C"/>
    <w:rsid w:val="00B6777E"/>
    <w:rsid w:val="00B677D6"/>
    <w:rsid w:val="00B677D7"/>
    <w:rsid w:val="00B67816"/>
    <w:rsid w:val="00B67D91"/>
    <w:rsid w:val="00B67FB0"/>
    <w:rsid w:val="00B701EB"/>
    <w:rsid w:val="00B70510"/>
    <w:rsid w:val="00B7066E"/>
    <w:rsid w:val="00B707B4"/>
    <w:rsid w:val="00B709C1"/>
    <w:rsid w:val="00B70A6B"/>
    <w:rsid w:val="00B70D7F"/>
    <w:rsid w:val="00B70ED6"/>
    <w:rsid w:val="00B71565"/>
    <w:rsid w:val="00B71E89"/>
    <w:rsid w:val="00B721AD"/>
    <w:rsid w:val="00B721BE"/>
    <w:rsid w:val="00B72843"/>
    <w:rsid w:val="00B728E5"/>
    <w:rsid w:val="00B729A7"/>
    <w:rsid w:val="00B72C11"/>
    <w:rsid w:val="00B72E2B"/>
    <w:rsid w:val="00B73B8C"/>
    <w:rsid w:val="00B73F93"/>
    <w:rsid w:val="00B74018"/>
    <w:rsid w:val="00B747B2"/>
    <w:rsid w:val="00B74845"/>
    <w:rsid w:val="00B74D06"/>
    <w:rsid w:val="00B74E54"/>
    <w:rsid w:val="00B75044"/>
    <w:rsid w:val="00B75105"/>
    <w:rsid w:val="00B75696"/>
    <w:rsid w:val="00B75BD7"/>
    <w:rsid w:val="00B75CBF"/>
    <w:rsid w:val="00B75EA5"/>
    <w:rsid w:val="00B763A3"/>
    <w:rsid w:val="00B765DE"/>
    <w:rsid w:val="00B7660F"/>
    <w:rsid w:val="00B76802"/>
    <w:rsid w:val="00B76A6F"/>
    <w:rsid w:val="00B76B75"/>
    <w:rsid w:val="00B76EB9"/>
    <w:rsid w:val="00B771A3"/>
    <w:rsid w:val="00B77C31"/>
    <w:rsid w:val="00B77FCF"/>
    <w:rsid w:val="00B80245"/>
    <w:rsid w:val="00B8024A"/>
    <w:rsid w:val="00B803BF"/>
    <w:rsid w:val="00B80676"/>
    <w:rsid w:val="00B806A6"/>
    <w:rsid w:val="00B80D02"/>
    <w:rsid w:val="00B81032"/>
    <w:rsid w:val="00B810FF"/>
    <w:rsid w:val="00B81294"/>
    <w:rsid w:val="00B81721"/>
    <w:rsid w:val="00B81839"/>
    <w:rsid w:val="00B81915"/>
    <w:rsid w:val="00B81996"/>
    <w:rsid w:val="00B81A4C"/>
    <w:rsid w:val="00B81D62"/>
    <w:rsid w:val="00B82473"/>
    <w:rsid w:val="00B825C3"/>
    <w:rsid w:val="00B825D7"/>
    <w:rsid w:val="00B826A8"/>
    <w:rsid w:val="00B82AC5"/>
    <w:rsid w:val="00B82AEE"/>
    <w:rsid w:val="00B82E70"/>
    <w:rsid w:val="00B82F91"/>
    <w:rsid w:val="00B83A29"/>
    <w:rsid w:val="00B83E11"/>
    <w:rsid w:val="00B83F53"/>
    <w:rsid w:val="00B83FE4"/>
    <w:rsid w:val="00B846D1"/>
    <w:rsid w:val="00B84B7B"/>
    <w:rsid w:val="00B84E8D"/>
    <w:rsid w:val="00B85F09"/>
    <w:rsid w:val="00B8606A"/>
    <w:rsid w:val="00B86235"/>
    <w:rsid w:val="00B8624F"/>
    <w:rsid w:val="00B8636A"/>
    <w:rsid w:val="00B86BDD"/>
    <w:rsid w:val="00B86BE2"/>
    <w:rsid w:val="00B8704F"/>
    <w:rsid w:val="00B871A2"/>
    <w:rsid w:val="00B873EB"/>
    <w:rsid w:val="00B87517"/>
    <w:rsid w:val="00B878A9"/>
    <w:rsid w:val="00B87D8A"/>
    <w:rsid w:val="00B90057"/>
    <w:rsid w:val="00B90367"/>
    <w:rsid w:val="00B90645"/>
    <w:rsid w:val="00B907A6"/>
    <w:rsid w:val="00B90B28"/>
    <w:rsid w:val="00B912CB"/>
    <w:rsid w:val="00B912D6"/>
    <w:rsid w:val="00B914AC"/>
    <w:rsid w:val="00B916F5"/>
    <w:rsid w:val="00B91ACA"/>
    <w:rsid w:val="00B922E2"/>
    <w:rsid w:val="00B92AB8"/>
    <w:rsid w:val="00B92F20"/>
    <w:rsid w:val="00B933D1"/>
    <w:rsid w:val="00B937B4"/>
    <w:rsid w:val="00B940AB"/>
    <w:rsid w:val="00B942B8"/>
    <w:rsid w:val="00B94314"/>
    <w:rsid w:val="00B943A6"/>
    <w:rsid w:val="00B94435"/>
    <w:rsid w:val="00B9477C"/>
    <w:rsid w:val="00B947D4"/>
    <w:rsid w:val="00B94947"/>
    <w:rsid w:val="00B94BA0"/>
    <w:rsid w:val="00B94D25"/>
    <w:rsid w:val="00B94D31"/>
    <w:rsid w:val="00B94F07"/>
    <w:rsid w:val="00B94FF7"/>
    <w:rsid w:val="00B95188"/>
    <w:rsid w:val="00B9549D"/>
    <w:rsid w:val="00B955CE"/>
    <w:rsid w:val="00B95A7A"/>
    <w:rsid w:val="00B966C8"/>
    <w:rsid w:val="00B96F79"/>
    <w:rsid w:val="00B97034"/>
    <w:rsid w:val="00B9714E"/>
    <w:rsid w:val="00B974C4"/>
    <w:rsid w:val="00B979B5"/>
    <w:rsid w:val="00B97E23"/>
    <w:rsid w:val="00BA02AF"/>
    <w:rsid w:val="00BA0614"/>
    <w:rsid w:val="00BA06DA"/>
    <w:rsid w:val="00BA0D58"/>
    <w:rsid w:val="00BA0FBD"/>
    <w:rsid w:val="00BA18E8"/>
    <w:rsid w:val="00BA214B"/>
    <w:rsid w:val="00BA2313"/>
    <w:rsid w:val="00BA26FB"/>
    <w:rsid w:val="00BA2766"/>
    <w:rsid w:val="00BA2926"/>
    <w:rsid w:val="00BA2A46"/>
    <w:rsid w:val="00BA32AA"/>
    <w:rsid w:val="00BA3C8D"/>
    <w:rsid w:val="00BA3E77"/>
    <w:rsid w:val="00BA4089"/>
    <w:rsid w:val="00BA451D"/>
    <w:rsid w:val="00BA45DB"/>
    <w:rsid w:val="00BA46E1"/>
    <w:rsid w:val="00BA4C25"/>
    <w:rsid w:val="00BA4EA5"/>
    <w:rsid w:val="00BA5193"/>
    <w:rsid w:val="00BA55B5"/>
    <w:rsid w:val="00BA57F2"/>
    <w:rsid w:val="00BA58C6"/>
    <w:rsid w:val="00BA5A59"/>
    <w:rsid w:val="00BA5A8D"/>
    <w:rsid w:val="00BA5D54"/>
    <w:rsid w:val="00BA6131"/>
    <w:rsid w:val="00BA629F"/>
    <w:rsid w:val="00BA65E2"/>
    <w:rsid w:val="00BA6E83"/>
    <w:rsid w:val="00BA712E"/>
    <w:rsid w:val="00BA7BAA"/>
    <w:rsid w:val="00BA7C5D"/>
    <w:rsid w:val="00BA7D97"/>
    <w:rsid w:val="00BA7DD1"/>
    <w:rsid w:val="00BB0083"/>
    <w:rsid w:val="00BB0099"/>
    <w:rsid w:val="00BB023B"/>
    <w:rsid w:val="00BB046B"/>
    <w:rsid w:val="00BB0556"/>
    <w:rsid w:val="00BB0577"/>
    <w:rsid w:val="00BB0815"/>
    <w:rsid w:val="00BB081C"/>
    <w:rsid w:val="00BB0E3F"/>
    <w:rsid w:val="00BB0F3E"/>
    <w:rsid w:val="00BB10D4"/>
    <w:rsid w:val="00BB1439"/>
    <w:rsid w:val="00BB1B86"/>
    <w:rsid w:val="00BB1CA8"/>
    <w:rsid w:val="00BB1FDF"/>
    <w:rsid w:val="00BB227E"/>
    <w:rsid w:val="00BB2D9C"/>
    <w:rsid w:val="00BB3A22"/>
    <w:rsid w:val="00BB3C69"/>
    <w:rsid w:val="00BB4D29"/>
    <w:rsid w:val="00BB4F6C"/>
    <w:rsid w:val="00BB5703"/>
    <w:rsid w:val="00BB57E8"/>
    <w:rsid w:val="00BB588F"/>
    <w:rsid w:val="00BB5BDF"/>
    <w:rsid w:val="00BB5C5B"/>
    <w:rsid w:val="00BB5C8A"/>
    <w:rsid w:val="00BB5DEA"/>
    <w:rsid w:val="00BB5EE9"/>
    <w:rsid w:val="00BB61B2"/>
    <w:rsid w:val="00BB6890"/>
    <w:rsid w:val="00BB695E"/>
    <w:rsid w:val="00BB6987"/>
    <w:rsid w:val="00BB6A2D"/>
    <w:rsid w:val="00BB6D9D"/>
    <w:rsid w:val="00BB7545"/>
    <w:rsid w:val="00BB7DD1"/>
    <w:rsid w:val="00BC0258"/>
    <w:rsid w:val="00BC03A5"/>
    <w:rsid w:val="00BC0637"/>
    <w:rsid w:val="00BC0AAE"/>
    <w:rsid w:val="00BC0E23"/>
    <w:rsid w:val="00BC0F91"/>
    <w:rsid w:val="00BC1015"/>
    <w:rsid w:val="00BC112F"/>
    <w:rsid w:val="00BC1258"/>
    <w:rsid w:val="00BC1353"/>
    <w:rsid w:val="00BC1673"/>
    <w:rsid w:val="00BC1747"/>
    <w:rsid w:val="00BC180C"/>
    <w:rsid w:val="00BC1A8B"/>
    <w:rsid w:val="00BC24F1"/>
    <w:rsid w:val="00BC2600"/>
    <w:rsid w:val="00BC271F"/>
    <w:rsid w:val="00BC293C"/>
    <w:rsid w:val="00BC2ACB"/>
    <w:rsid w:val="00BC2E60"/>
    <w:rsid w:val="00BC2F0C"/>
    <w:rsid w:val="00BC2F54"/>
    <w:rsid w:val="00BC335A"/>
    <w:rsid w:val="00BC36A2"/>
    <w:rsid w:val="00BC3791"/>
    <w:rsid w:val="00BC3BBE"/>
    <w:rsid w:val="00BC3E8A"/>
    <w:rsid w:val="00BC3F4E"/>
    <w:rsid w:val="00BC4325"/>
    <w:rsid w:val="00BC4586"/>
    <w:rsid w:val="00BC48F8"/>
    <w:rsid w:val="00BC4C2E"/>
    <w:rsid w:val="00BC4EE8"/>
    <w:rsid w:val="00BC50E7"/>
    <w:rsid w:val="00BC5518"/>
    <w:rsid w:val="00BC573E"/>
    <w:rsid w:val="00BC5A30"/>
    <w:rsid w:val="00BC5A37"/>
    <w:rsid w:val="00BC5B24"/>
    <w:rsid w:val="00BC5E06"/>
    <w:rsid w:val="00BC6726"/>
    <w:rsid w:val="00BC6851"/>
    <w:rsid w:val="00BC6B9F"/>
    <w:rsid w:val="00BC6C11"/>
    <w:rsid w:val="00BC6DDD"/>
    <w:rsid w:val="00BC712A"/>
    <w:rsid w:val="00BC7191"/>
    <w:rsid w:val="00BC71F0"/>
    <w:rsid w:val="00BC721E"/>
    <w:rsid w:val="00BC75BD"/>
    <w:rsid w:val="00BC7896"/>
    <w:rsid w:val="00BC79EE"/>
    <w:rsid w:val="00BC7B21"/>
    <w:rsid w:val="00BC7C78"/>
    <w:rsid w:val="00BD0067"/>
    <w:rsid w:val="00BD0136"/>
    <w:rsid w:val="00BD039C"/>
    <w:rsid w:val="00BD069B"/>
    <w:rsid w:val="00BD166F"/>
    <w:rsid w:val="00BD1957"/>
    <w:rsid w:val="00BD1C42"/>
    <w:rsid w:val="00BD1EE5"/>
    <w:rsid w:val="00BD2866"/>
    <w:rsid w:val="00BD2948"/>
    <w:rsid w:val="00BD2DCD"/>
    <w:rsid w:val="00BD3224"/>
    <w:rsid w:val="00BD3CC8"/>
    <w:rsid w:val="00BD3FA3"/>
    <w:rsid w:val="00BD412E"/>
    <w:rsid w:val="00BD439F"/>
    <w:rsid w:val="00BD446B"/>
    <w:rsid w:val="00BD4493"/>
    <w:rsid w:val="00BD4693"/>
    <w:rsid w:val="00BD48A7"/>
    <w:rsid w:val="00BD48EA"/>
    <w:rsid w:val="00BD4A0A"/>
    <w:rsid w:val="00BD53B9"/>
    <w:rsid w:val="00BD582A"/>
    <w:rsid w:val="00BD6209"/>
    <w:rsid w:val="00BD6210"/>
    <w:rsid w:val="00BD6449"/>
    <w:rsid w:val="00BD68B3"/>
    <w:rsid w:val="00BD6C22"/>
    <w:rsid w:val="00BD6D52"/>
    <w:rsid w:val="00BD6DFF"/>
    <w:rsid w:val="00BD6E7F"/>
    <w:rsid w:val="00BD72ED"/>
    <w:rsid w:val="00BD7480"/>
    <w:rsid w:val="00BD7A23"/>
    <w:rsid w:val="00BD7F97"/>
    <w:rsid w:val="00BE00AA"/>
    <w:rsid w:val="00BE0B51"/>
    <w:rsid w:val="00BE1387"/>
    <w:rsid w:val="00BE17D0"/>
    <w:rsid w:val="00BE182B"/>
    <w:rsid w:val="00BE194C"/>
    <w:rsid w:val="00BE1990"/>
    <w:rsid w:val="00BE1EEA"/>
    <w:rsid w:val="00BE1FA3"/>
    <w:rsid w:val="00BE2267"/>
    <w:rsid w:val="00BE226A"/>
    <w:rsid w:val="00BE24BE"/>
    <w:rsid w:val="00BE24CD"/>
    <w:rsid w:val="00BE2543"/>
    <w:rsid w:val="00BE260A"/>
    <w:rsid w:val="00BE2A63"/>
    <w:rsid w:val="00BE2D1F"/>
    <w:rsid w:val="00BE2DAF"/>
    <w:rsid w:val="00BE3208"/>
    <w:rsid w:val="00BE34A0"/>
    <w:rsid w:val="00BE3D7C"/>
    <w:rsid w:val="00BE3FC0"/>
    <w:rsid w:val="00BE4107"/>
    <w:rsid w:val="00BE413F"/>
    <w:rsid w:val="00BE45EB"/>
    <w:rsid w:val="00BE5067"/>
    <w:rsid w:val="00BE5112"/>
    <w:rsid w:val="00BE5409"/>
    <w:rsid w:val="00BE5634"/>
    <w:rsid w:val="00BE5932"/>
    <w:rsid w:val="00BE5B26"/>
    <w:rsid w:val="00BE5E29"/>
    <w:rsid w:val="00BE6104"/>
    <w:rsid w:val="00BE629F"/>
    <w:rsid w:val="00BE65D3"/>
    <w:rsid w:val="00BE6700"/>
    <w:rsid w:val="00BE6B89"/>
    <w:rsid w:val="00BE70EA"/>
    <w:rsid w:val="00BE7A6E"/>
    <w:rsid w:val="00BE7AE0"/>
    <w:rsid w:val="00BE7C1C"/>
    <w:rsid w:val="00BF05F8"/>
    <w:rsid w:val="00BF0910"/>
    <w:rsid w:val="00BF0B93"/>
    <w:rsid w:val="00BF0CAF"/>
    <w:rsid w:val="00BF0FF6"/>
    <w:rsid w:val="00BF1432"/>
    <w:rsid w:val="00BF14AE"/>
    <w:rsid w:val="00BF1706"/>
    <w:rsid w:val="00BF173B"/>
    <w:rsid w:val="00BF1779"/>
    <w:rsid w:val="00BF1B7B"/>
    <w:rsid w:val="00BF20C0"/>
    <w:rsid w:val="00BF231D"/>
    <w:rsid w:val="00BF2911"/>
    <w:rsid w:val="00BF2A9F"/>
    <w:rsid w:val="00BF2C3D"/>
    <w:rsid w:val="00BF2E3A"/>
    <w:rsid w:val="00BF2EC2"/>
    <w:rsid w:val="00BF3051"/>
    <w:rsid w:val="00BF31E2"/>
    <w:rsid w:val="00BF3204"/>
    <w:rsid w:val="00BF34FE"/>
    <w:rsid w:val="00BF36BE"/>
    <w:rsid w:val="00BF37B4"/>
    <w:rsid w:val="00BF3BD9"/>
    <w:rsid w:val="00BF3E61"/>
    <w:rsid w:val="00BF3F72"/>
    <w:rsid w:val="00BF426D"/>
    <w:rsid w:val="00BF4270"/>
    <w:rsid w:val="00BF44CD"/>
    <w:rsid w:val="00BF4711"/>
    <w:rsid w:val="00BF471F"/>
    <w:rsid w:val="00BF4752"/>
    <w:rsid w:val="00BF4780"/>
    <w:rsid w:val="00BF4A27"/>
    <w:rsid w:val="00BF4E75"/>
    <w:rsid w:val="00BF53F1"/>
    <w:rsid w:val="00BF5631"/>
    <w:rsid w:val="00BF57EE"/>
    <w:rsid w:val="00BF5BA2"/>
    <w:rsid w:val="00BF5E20"/>
    <w:rsid w:val="00BF683A"/>
    <w:rsid w:val="00BF6927"/>
    <w:rsid w:val="00BF6D36"/>
    <w:rsid w:val="00BF6EC8"/>
    <w:rsid w:val="00BF71BD"/>
    <w:rsid w:val="00BF73C6"/>
    <w:rsid w:val="00BF7746"/>
    <w:rsid w:val="00BF7E71"/>
    <w:rsid w:val="00BF7F43"/>
    <w:rsid w:val="00C00420"/>
    <w:rsid w:val="00C00493"/>
    <w:rsid w:val="00C005F1"/>
    <w:rsid w:val="00C007A9"/>
    <w:rsid w:val="00C007E1"/>
    <w:rsid w:val="00C0098E"/>
    <w:rsid w:val="00C00A78"/>
    <w:rsid w:val="00C010D2"/>
    <w:rsid w:val="00C0120B"/>
    <w:rsid w:val="00C0120C"/>
    <w:rsid w:val="00C01698"/>
    <w:rsid w:val="00C0170E"/>
    <w:rsid w:val="00C017BE"/>
    <w:rsid w:val="00C017C1"/>
    <w:rsid w:val="00C01D29"/>
    <w:rsid w:val="00C0202C"/>
    <w:rsid w:val="00C0222A"/>
    <w:rsid w:val="00C02517"/>
    <w:rsid w:val="00C025AE"/>
    <w:rsid w:val="00C0269F"/>
    <w:rsid w:val="00C02B0E"/>
    <w:rsid w:val="00C02E68"/>
    <w:rsid w:val="00C02E9A"/>
    <w:rsid w:val="00C03090"/>
    <w:rsid w:val="00C035B7"/>
    <w:rsid w:val="00C03625"/>
    <w:rsid w:val="00C03629"/>
    <w:rsid w:val="00C03B25"/>
    <w:rsid w:val="00C03C04"/>
    <w:rsid w:val="00C03D8B"/>
    <w:rsid w:val="00C04279"/>
    <w:rsid w:val="00C0487E"/>
    <w:rsid w:val="00C04A09"/>
    <w:rsid w:val="00C04AF2"/>
    <w:rsid w:val="00C04C84"/>
    <w:rsid w:val="00C04DBF"/>
    <w:rsid w:val="00C050B7"/>
    <w:rsid w:val="00C050BF"/>
    <w:rsid w:val="00C0520B"/>
    <w:rsid w:val="00C05213"/>
    <w:rsid w:val="00C05C57"/>
    <w:rsid w:val="00C069CC"/>
    <w:rsid w:val="00C06C1D"/>
    <w:rsid w:val="00C06E23"/>
    <w:rsid w:val="00C071F7"/>
    <w:rsid w:val="00C0773D"/>
    <w:rsid w:val="00C077F5"/>
    <w:rsid w:val="00C07A54"/>
    <w:rsid w:val="00C07B5C"/>
    <w:rsid w:val="00C07BA9"/>
    <w:rsid w:val="00C07E27"/>
    <w:rsid w:val="00C1007A"/>
    <w:rsid w:val="00C10148"/>
    <w:rsid w:val="00C1059B"/>
    <w:rsid w:val="00C1072D"/>
    <w:rsid w:val="00C107C1"/>
    <w:rsid w:val="00C108C8"/>
    <w:rsid w:val="00C10A90"/>
    <w:rsid w:val="00C10ACF"/>
    <w:rsid w:val="00C10AEE"/>
    <w:rsid w:val="00C10CAD"/>
    <w:rsid w:val="00C10E4D"/>
    <w:rsid w:val="00C111D4"/>
    <w:rsid w:val="00C1122B"/>
    <w:rsid w:val="00C114F2"/>
    <w:rsid w:val="00C11585"/>
    <w:rsid w:val="00C116EF"/>
    <w:rsid w:val="00C11A13"/>
    <w:rsid w:val="00C11A52"/>
    <w:rsid w:val="00C11A92"/>
    <w:rsid w:val="00C12062"/>
    <w:rsid w:val="00C12093"/>
    <w:rsid w:val="00C128C1"/>
    <w:rsid w:val="00C129C8"/>
    <w:rsid w:val="00C12BDD"/>
    <w:rsid w:val="00C12BF8"/>
    <w:rsid w:val="00C12E49"/>
    <w:rsid w:val="00C13221"/>
    <w:rsid w:val="00C137E6"/>
    <w:rsid w:val="00C13EDB"/>
    <w:rsid w:val="00C14029"/>
    <w:rsid w:val="00C14503"/>
    <w:rsid w:val="00C147DE"/>
    <w:rsid w:val="00C15099"/>
    <w:rsid w:val="00C150AD"/>
    <w:rsid w:val="00C15258"/>
    <w:rsid w:val="00C159F5"/>
    <w:rsid w:val="00C15C6D"/>
    <w:rsid w:val="00C15C76"/>
    <w:rsid w:val="00C15FF3"/>
    <w:rsid w:val="00C16230"/>
    <w:rsid w:val="00C16354"/>
    <w:rsid w:val="00C16827"/>
    <w:rsid w:val="00C16905"/>
    <w:rsid w:val="00C16AAC"/>
    <w:rsid w:val="00C16BE7"/>
    <w:rsid w:val="00C16C0A"/>
    <w:rsid w:val="00C16E30"/>
    <w:rsid w:val="00C173C7"/>
    <w:rsid w:val="00C173EB"/>
    <w:rsid w:val="00C176E4"/>
    <w:rsid w:val="00C17C63"/>
    <w:rsid w:val="00C17C70"/>
    <w:rsid w:val="00C2025F"/>
    <w:rsid w:val="00C2081F"/>
    <w:rsid w:val="00C20878"/>
    <w:rsid w:val="00C212F6"/>
    <w:rsid w:val="00C213D8"/>
    <w:rsid w:val="00C2141C"/>
    <w:rsid w:val="00C21529"/>
    <w:rsid w:val="00C2181A"/>
    <w:rsid w:val="00C2192C"/>
    <w:rsid w:val="00C21C70"/>
    <w:rsid w:val="00C21D59"/>
    <w:rsid w:val="00C21FBE"/>
    <w:rsid w:val="00C22492"/>
    <w:rsid w:val="00C226C8"/>
    <w:rsid w:val="00C229EE"/>
    <w:rsid w:val="00C22A85"/>
    <w:rsid w:val="00C22CAA"/>
    <w:rsid w:val="00C230A4"/>
    <w:rsid w:val="00C2349B"/>
    <w:rsid w:val="00C23690"/>
    <w:rsid w:val="00C23750"/>
    <w:rsid w:val="00C24372"/>
    <w:rsid w:val="00C2446B"/>
    <w:rsid w:val="00C24BBB"/>
    <w:rsid w:val="00C253C3"/>
    <w:rsid w:val="00C25471"/>
    <w:rsid w:val="00C257BF"/>
    <w:rsid w:val="00C258A2"/>
    <w:rsid w:val="00C25CC9"/>
    <w:rsid w:val="00C260C9"/>
    <w:rsid w:val="00C260EB"/>
    <w:rsid w:val="00C267EA"/>
    <w:rsid w:val="00C26A83"/>
    <w:rsid w:val="00C26D30"/>
    <w:rsid w:val="00C26E45"/>
    <w:rsid w:val="00C275FD"/>
    <w:rsid w:val="00C27CB1"/>
    <w:rsid w:val="00C30948"/>
    <w:rsid w:val="00C30EE3"/>
    <w:rsid w:val="00C30F7D"/>
    <w:rsid w:val="00C31025"/>
    <w:rsid w:val="00C3118F"/>
    <w:rsid w:val="00C313CF"/>
    <w:rsid w:val="00C317F9"/>
    <w:rsid w:val="00C319CB"/>
    <w:rsid w:val="00C31B51"/>
    <w:rsid w:val="00C31E54"/>
    <w:rsid w:val="00C32682"/>
    <w:rsid w:val="00C329BC"/>
    <w:rsid w:val="00C32B36"/>
    <w:rsid w:val="00C32B55"/>
    <w:rsid w:val="00C32BFC"/>
    <w:rsid w:val="00C32D40"/>
    <w:rsid w:val="00C33D3E"/>
    <w:rsid w:val="00C33D40"/>
    <w:rsid w:val="00C33FDA"/>
    <w:rsid w:val="00C3411B"/>
    <w:rsid w:val="00C3414C"/>
    <w:rsid w:val="00C349C7"/>
    <w:rsid w:val="00C34D74"/>
    <w:rsid w:val="00C35216"/>
    <w:rsid w:val="00C354F9"/>
    <w:rsid w:val="00C35672"/>
    <w:rsid w:val="00C359B7"/>
    <w:rsid w:val="00C35A9D"/>
    <w:rsid w:val="00C35D0A"/>
    <w:rsid w:val="00C35F03"/>
    <w:rsid w:val="00C3657B"/>
    <w:rsid w:val="00C3666E"/>
    <w:rsid w:val="00C36F18"/>
    <w:rsid w:val="00C3761F"/>
    <w:rsid w:val="00C37BB9"/>
    <w:rsid w:val="00C37EE6"/>
    <w:rsid w:val="00C40021"/>
    <w:rsid w:val="00C4012D"/>
    <w:rsid w:val="00C40273"/>
    <w:rsid w:val="00C40340"/>
    <w:rsid w:val="00C4037C"/>
    <w:rsid w:val="00C403CC"/>
    <w:rsid w:val="00C40433"/>
    <w:rsid w:val="00C40A7F"/>
    <w:rsid w:val="00C40D21"/>
    <w:rsid w:val="00C412D1"/>
    <w:rsid w:val="00C41501"/>
    <w:rsid w:val="00C41D06"/>
    <w:rsid w:val="00C42080"/>
    <w:rsid w:val="00C4209B"/>
    <w:rsid w:val="00C427F5"/>
    <w:rsid w:val="00C42935"/>
    <w:rsid w:val="00C429D7"/>
    <w:rsid w:val="00C42B6C"/>
    <w:rsid w:val="00C43464"/>
    <w:rsid w:val="00C43650"/>
    <w:rsid w:val="00C436D5"/>
    <w:rsid w:val="00C437CF"/>
    <w:rsid w:val="00C4398E"/>
    <w:rsid w:val="00C441A3"/>
    <w:rsid w:val="00C445E3"/>
    <w:rsid w:val="00C44736"/>
    <w:rsid w:val="00C447C0"/>
    <w:rsid w:val="00C449A7"/>
    <w:rsid w:val="00C44A47"/>
    <w:rsid w:val="00C44C7B"/>
    <w:rsid w:val="00C44D4E"/>
    <w:rsid w:val="00C45428"/>
    <w:rsid w:val="00C45434"/>
    <w:rsid w:val="00C45530"/>
    <w:rsid w:val="00C45987"/>
    <w:rsid w:val="00C45992"/>
    <w:rsid w:val="00C45B44"/>
    <w:rsid w:val="00C45D62"/>
    <w:rsid w:val="00C45D74"/>
    <w:rsid w:val="00C45DAE"/>
    <w:rsid w:val="00C4616D"/>
    <w:rsid w:val="00C466E2"/>
    <w:rsid w:val="00C46AB4"/>
    <w:rsid w:val="00C4717F"/>
    <w:rsid w:val="00C4734E"/>
    <w:rsid w:val="00C47756"/>
    <w:rsid w:val="00C479E4"/>
    <w:rsid w:val="00C47FCC"/>
    <w:rsid w:val="00C50089"/>
    <w:rsid w:val="00C50564"/>
    <w:rsid w:val="00C50A0F"/>
    <w:rsid w:val="00C50A2D"/>
    <w:rsid w:val="00C50E5C"/>
    <w:rsid w:val="00C51041"/>
    <w:rsid w:val="00C5117A"/>
    <w:rsid w:val="00C51286"/>
    <w:rsid w:val="00C51B22"/>
    <w:rsid w:val="00C520F1"/>
    <w:rsid w:val="00C5219C"/>
    <w:rsid w:val="00C522A4"/>
    <w:rsid w:val="00C52513"/>
    <w:rsid w:val="00C5275B"/>
    <w:rsid w:val="00C527AD"/>
    <w:rsid w:val="00C52FC2"/>
    <w:rsid w:val="00C53268"/>
    <w:rsid w:val="00C53371"/>
    <w:rsid w:val="00C53476"/>
    <w:rsid w:val="00C53989"/>
    <w:rsid w:val="00C539F8"/>
    <w:rsid w:val="00C53E3D"/>
    <w:rsid w:val="00C53EFC"/>
    <w:rsid w:val="00C54162"/>
    <w:rsid w:val="00C54184"/>
    <w:rsid w:val="00C5479D"/>
    <w:rsid w:val="00C55026"/>
    <w:rsid w:val="00C554E3"/>
    <w:rsid w:val="00C555DB"/>
    <w:rsid w:val="00C55687"/>
    <w:rsid w:val="00C560AD"/>
    <w:rsid w:val="00C560C6"/>
    <w:rsid w:val="00C562A7"/>
    <w:rsid w:val="00C562CF"/>
    <w:rsid w:val="00C56559"/>
    <w:rsid w:val="00C5676F"/>
    <w:rsid w:val="00C56900"/>
    <w:rsid w:val="00C569FB"/>
    <w:rsid w:val="00C56AD1"/>
    <w:rsid w:val="00C56B56"/>
    <w:rsid w:val="00C57312"/>
    <w:rsid w:val="00C57627"/>
    <w:rsid w:val="00C57C75"/>
    <w:rsid w:val="00C57F3E"/>
    <w:rsid w:val="00C601CB"/>
    <w:rsid w:val="00C60BE3"/>
    <w:rsid w:val="00C60D9A"/>
    <w:rsid w:val="00C60F7C"/>
    <w:rsid w:val="00C6111C"/>
    <w:rsid w:val="00C6111D"/>
    <w:rsid w:val="00C6157D"/>
    <w:rsid w:val="00C61F7F"/>
    <w:rsid w:val="00C620D6"/>
    <w:rsid w:val="00C621BC"/>
    <w:rsid w:val="00C62301"/>
    <w:rsid w:val="00C62352"/>
    <w:rsid w:val="00C624F4"/>
    <w:rsid w:val="00C62806"/>
    <w:rsid w:val="00C62852"/>
    <w:rsid w:val="00C629DB"/>
    <w:rsid w:val="00C62A12"/>
    <w:rsid w:val="00C6313E"/>
    <w:rsid w:val="00C6329B"/>
    <w:rsid w:val="00C633EA"/>
    <w:rsid w:val="00C63499"/>
    <w:rsid w:val="00C636BE"/>
    <w:rsid w:val="00C6377D"/>
    <w:rsid w:val="00C639BC"/>
    <w:rsid w:val="00C63C2D"/>
    <w:rsid w:val="00C63DC4"/>
    <w:rsid w:val="00C643F1"/>
    <w:rsid w:val="00C64CC2"/>
    <w:rsid w:val="00C64DCF"/>
    <w:rsid w:val="00C6523E"/>
    <w:rsid w:val="00C65460"/>
    <w:rsid w:val="00C65761"/>
    <w:rsid w:val="00C65882"/>
    <w:rsid w:val="00C658A7"/>
    <w:rsid w:val="00C65D35"/>
    <w:rsid w:val="00C66345"/>
    <w:rsid w:val="00C664BA"/>
    <w:rsid w:val="00C66D12"/>
    <w:rsid w:val="00C66E14"/>
    <w:rsid w:val="00C67404"/>
    <w:rsid w:val="00C677BC"/>
    <w:rsid w:val="00C679A7"/>
    <w:rsid w:val="00C67B61"/>
    <w:rsid w:val="00C67B80"/>
    <w:rsid w:val="00C70B0F"/>
    <w:rsid w:val="00C70DD3"/>
    <w:rsid w:val="00C70E6C"/>
    <w:rsid w:val="00C7108D"/>
    <w:rsid w:val="00C7131C"/>
    <w:rsid w:val="00C71B19"/>
    <w:rsid w:val="00C71BE7"/>
    <w:rsid w:val="00C71F86"/>
    <w:rsid w:val="00C725E4"/>
    <w:rsid w:val="00C7279E"/>
    <w:rsid w:val="00C727D4"/>
    <w:rsid w:val="00C72F75"/>
    <w:rsid w:val="00C73156"/>
    <w:rsid w:val="00C7346D"/>
    <w:rsid w:val="00C7351C"/>
    <w:rsid w:val="00C73660"/>
    <w:rsid w:val="00C73724"/>
    <w:rsid w:val="00C73D45"/>
    <w:rsid w:val="00C74857"/>
    <w:rsid w:val="00C75569"/>
    <w:rsid w:val="00C75B3C"/>
    <w:rsid w:val="00C75F36"/>
    <w:rsid w:val="00C75FC6"/>
    <w:rsid w:val="00C766F3"/>
    <w:rsid w:val="00C76CBF"/>
    <w:rsid w:val="00C76D71"/>
    <w:rsid w:val="00C770CB"/>
    <w:rsid w:val="00C770F8"/>
    <w:rsid w:val="00C77183"/>
    <w:rsid w:val="00C773D7"/>
    <w:rsid w:val="00C77420"/>
    <w:rsid w:val="00C77524"/>
    <w:rsid w:val="00C77A68"/>
    <w:rsid w:val="00C8027B"/>
    <w:rsid w:val="00C808B2"/>
    <w:rsid w:val="00C80DDF"/>
    <w:rsid w:val="00C80EBC"/>
    <w:rsid w:val="00C81B77"/>
    <w:rsid w:val="00C81DC4"/>
    <w:rsid w:val="00C81DD1"/>
    <w:rsid w:val="00C81E38"/>
    <w:rsid w:val="00C81F1F"/>
    <w:rsid w:val="00C81FC7"/>
    <w:rsid w:val="00C8235A"/>
    <w:rsid w:val="00C82583"/>
    <w:rsid w:val="00C82D18"/>
    <w:rsid w:val="00C82F9F"/>
    <w:rsid w:val="00C8334F"/>
    <w:rsid w:val="00C83459"/>
    <w:rsid w:val="00C83CC6"/>
    <w:rsid w:val="00C8411E"/>
    <w:rsid w:val="00C8434B"/>
    <w:rsid w:val="00C847A4"/>
    <w:rsid w:val="00C848CF"/>
    <w:rsid w:val="00C8492C"/>
    <w:rsid w:val="00C851EF"/>
    <w:rsid w:val="00C85C18"/>
    <w:rsid w:val="00C860B4"/>
    <w:rsid w:val="00C8612F"/>
    <w:rsid w:val="00C864E3"/>
    <w:rsid w:val="00C8664D"/>
    <w:rsid w:val="00C86908"/>
    <w:rsid w:val="00C86D46"/>
    <w:rsid w:val="00C87572"/>
    <w:rsid w:val="00C876A4"/>
    <w:rsid w:val="00C877CD"/>
    <w:rsid w:val="00C87829"/>
    <w:rsid w:val="00C8787F"/>
    <w:rsid w:val="00C87FCC"/>
    <w:rsid w:val="00C90407"/>
    <w:rsid w:val="00C90459"/>
    <w:rsid w:val="00C906E7"/>
    <w:rsid w:val="00C90A3D"/>
    <w:rsid w:val="00C90CDF"/>
    <w:rsid w:val="00C9130F"/>
    <w:rsid w:val="00C91517"/>
    <w:rsid w:val="00C9158B"/>
    <w:rsid w:val="00C915A9"/>
    <w:rsid w:val="00C91C53"/>
    <w:rsid w:val="00C91D3B"/>
    <w:rsid w:val="00C91F03"/>
    <w:rsid w:val="00C9214E"/>
    <w:rsid w:val="00C92243"/>
    <w:rsid w:val="00C92448"/>
    <w:rsid w:val="00C92B8D"/>
    <w:rsid w:val="00C92E22"/>
    <w:rsid w:val="00C92F5E"/>
    <w:rsid w:val="00C93020"/>
    <w:rsid w:val="00C934B1"/>
    <w:rsid w:val="00C93679"/>
    <w:rsid w:val="00C938E4"/>
    <w:rsid w:val="00C942E1"/>
    <w:rsid w:val="00C94318"/>
    <w:rsid w:val="00C944B5"/>
    <w:rsid w:val="00C944E3"/>
    <w:rsid w:val="00C94E2B"/>
    <w:rsid w:val="00C94EA2"/>
    <w:rsid w:val="00C94F11"/>
    <w:rsid w:val="00C9516A"/>
    <w:rsid w:val="00C95315"/>
    <w:rsid w:val="00C953DB"/>
    <w:rsid w:val="00C957CF"/>
    <w:rsid w:val="00C958D1"/>
    <w:rsid w:val="00C9621D"/>
    <w:rsid w:val="00C963F1"/>
    <w:rsid w:val="00C9641B"/>
    <w:rsid w:val="00C96537"/>
    <w:rsid w:val="00C96AD0"/>
    <w:rsid w:val="00C96F40"/>
    <w:rsid w:val="00C97027"/>
    <w:rsid w:val="00C9702A"/>
    <w:rsid w:val="00C972B0"/>
    <w:rsid w:val="00C97845"/>
    <w:rsid w:val="00C97A59"/>
    <w:rsid w:val="00C97CEF"/>
    <w:rsid w:val="00CA0005"/>
    <w:rsid w:val="00CA0242"/>
    <w:rsid w:val="00CA02D5"/>
    <w:rsid w:val="00CA0677"/>
    <w:rsid w:val="00CA0CAF"/>
    <w:rsid w:val="00CA0EB5"/>
    <w:rsid w:val="00CA143E"/>
    <w:rsid w:val="00CA2217"/>
    <w:rsid w:val="00CA22A8"/>
    <w:rsid w:val="00CA2798"/>
    <w:rsid w:val="00CA28BE"/>
    <w:rsid w:val="00CA2ADD"/>
    <w:rsid w:val="00CA2B92"/>
    <w:rsid w:val="00CA2D19"/>
    <w:rsid w:val="00CA2D63"/>
    <w:rsid w:val="00CA3021"/>
    <w:rsid w:val="00CA318E"/>
    <w:rsid w:val="00CA32D1"/>
    <w:rsid w:val="00CA35D2"/>
    <w:rsid w:val="00CA36C2"/>
    <w:rsid w:val="00CA388E"/>
    <w:rsid w:val="00CA38AB"/>
    <w:rsid w:val="00CA3BB6"/>
    <w:rsid w:val="00CA3BBE"/>
    <w:rsid w:val="00CA3C5D"/>
    <w:rsid w:val="00CA4185"/>
    <w:rsid w:val="00CA4312"/>
    <w:rsid w:val="00CA4609"/>
    <w:rsid w:val="00CA47CF"/>
    <w:rsid w:val="00CA4C7F"/>
    <w:rsid w:val="00CA5037"/>
    <w:rsid w:val="00CA52FA"/>
    <w:rsid w:val="00CA5486"/>
    <w:rsid w:val="00CA598F"/>
    <w:rsid w:val="00CA5B68"/>
    <w:rsid w:val="00CA5CB2"/>
    <w:rsid w:val="00CA5DB8"/>
    <w:rsid w:val="00CA5FB0"/>
    <w:rsid w:val="00CA6B3D"/>
    <w:rsid w:val="00CA6B70"/>
    <w:rsid w:val="00CA7237"/>
    <w:rsid w:val="00CA7750"/>
    <w:rsid w:val="00CA7B1F"/>
    <w:rsid w:val="00CA7E54"/>
    <w:rsid w:val="00CB0051"/>
    <w:rsid w:val="00CB055B"/>
    <w:rsid w:val="00CB08A8"/>
    <w:rsid w:val="00CB08C2"/>
    <w:rsid w:val="00CB0D08"/>
    <w:rsid w:val="00CB0DBD"/>
    <w:rsid w:val="00CB0E20"/>
    <w:rsid w:val="00CB0FA0"/>
    <w:rsid w:val="00CB179C"/>
    <w:rsid w:val="00CB1A24"/>
    <w:rsid w:val="00CB1B1F"/>
    <w:rsid w:val="00CB1C81"/>
    <w:rsid w:val="00CB1F3E"/>
    <w:rsid w:val="00CB216C"/>
    <w:rsid w:val="00CB2275"/>
    <w:rsid w:val="00CB23BD"/>
    <w:rsid w:val="00CB25B2"/>
    <w:rsid w:val="00CB2B28"/>
    <w:rsid w:val="00CB2D76"/>
    <w:rsid w:val="00CB2F36"/>
    <w:rsid w:val="00CB308F"/>
    <w:rsid w:val="00CB3186"/>
    <w:rsid w:val="00CB3260"/>
    <w:rsid w:val="00CB33E3"/>
    <w:rsid w:val="00CB35D4"/>
    <w:rsid w:val="00CB3656"/>
    <w:rsid w:val="00CB3C28"/>
    <w:rsid w:val="00CB4074"/>
    <w:rsid w:val="00CB429D"/>
    <w:rsid w:val="00CB46AB"/>
    <w:rsid w:val="00CB482A"/>
    <w:rsid w:val="00CB4A36"/>
    <w:rsid w:val="00CB530F"/>
    <w:rsid w:val="00CB539E"/>
    <w:rsid w:val="00CB63CD"/>
    <w:rsid w:val="00CB63F3"/>
    <w:rsid w:val="00CB6505"/>
    <w:rsid w:val="00CB68DC"/>
    <w:rsid w:val="00CB6A77"/>
    <w:rsid w:val="00CB7132"/>
    <w:rsid w:val="00CB716C"/>
    <w:rsid w:val="00CB7542"/>
    <w:rsid w:val="00CB75CF"/>
    <w:rsid w:val="00CB7BC3"/>
    <w:rsid w:val="00CB7DEF"/>
    <w:rsid w:val="00CB7F36"/>
    <w:rsid w:val="00CB7F72"/>
    <w:rsid w:val="00CC00D8"/>
    <w:rsid w:val="00CC04A0"/>
    <w:rsid w:val="00CC0532"/>
    <w:rsid w:val="00CC0671"/>
    <w:rsid w:val="00CC073F"/>
    <w:rsid w:val="00CC0FE7"/>
    <w:rsid w:val="00CC1001"/>
    <w:rsid w:val="00CC10F1"/>
    <w:rsid w:val="00CC141F"/>
    <w:rsid w:val="00CC19CF"/>
    <w:rsid w:val="00CC1D0B"/>
    <w:rsid w:val="00CC1D32"/>
    <w:rsid w:val="00CC1FC1"/>
    <w:rsid w:val="00CC21E6"/>
    <w:rsid w:val="00CC2321"/>
    <w:rsid w:val="00CC24B2"/>
    <w:rsid w:val="00CC26ED"/>
    <w:rsid w:val="00CC2FEC"/>
    <w:rsid w:val="00CC30C0"/>
    <w:rsid w:val="00CC30EC"/>
    <w:rsid w:val="00CC3654"/>
    <w:rsid w:val="00CC3936"/>
    <w:rsid w:val="00CC3E45"/>
    <w:rsid w:val="00CC414E"/>
    <w:rsid w:val="00CC4676"/>
    <w:rsid w:val="00CC4BD4"/>
    <w:rsid w:val="00CC4D2C"/>
    <w:rsid w:val="00CC4D36"/>
    <w:rsid w:val="00CC4D89"/>
    <w:rsid w:val="00CC55E1"/>
    <w:rsid w:val="00CC5603"/>
    <w:rsid w:val="00CC5645"/>
    <w:rsid w:val="00CC5B61"/>
    <w:rsid w:val="00CC6246"/>
    <w:rsid w:val="00CC62C9"/>
    <w:rsid w:val="00CC70FA"/>
    <w:rsid w:val="00CC7783"/>
    <w:rsid w:val="00CC7907"/>
    <w:rsid w:val="00CC79E4"/>
    <w:rsid w:val="00CC7A3D"/>
    <w:rsid w:val="00CC7B51"/>
    <w:rsid w:val="00CC7BE7"/>
    <w:rsid w:val="00CC7D36"/>
    <w:rsid w:val="00CC7DDB"/>
    <w:rsid w:val="00CC7EF3"/>
    <w:rsid w:val="00CD0082"/>
    <w:rsid w:val="00CD0119"/>
    <w:rsid w:val="00CD0168"/>
    <w:rsid w:val="00CD0217"/>
    <w:rsid w:val="00CD0471"/>
    <w:rsid w:val="00CD08B6"/>
    <w:rsid w:val="00CD0979"/>
    <w:rsid w:val="00CD0A77"/>
    <w:rsid w:val="00CD0A91"/>
    <w:rsid w:val="00CD0E3A"/>
    <w:rsid w:val="00CD1497"/>
    <w:rsid w:val="00CD19DA"/>
    <w:rsid w:val="00CD1A4E"/>
    <w:rsid w:val="00CD1A86"/>
    <w:rsid w:val="00CD1ABB"/>
    <w:rsid w:val="00CD1AF5"/>
    <w:rsid w:val="00CD20EC"/>
    <w:rsid w:val="00CD2649"/>
    <w:rsid w:val="00CD28D8"/>
    <w:rsid w:val="00CD2F06"/>
    <w:rsid w:val="00CD436D"/>
    <w:rsid w:val="00CD460B"/>
    <w:rsid w:val="00CD4A5E"/>
    <w:rsid w:val="00CD4B9C"/>
    <w:rsid w:val="00CD4E9F"/>
    <w:rsid w:val="00CD4EDA"/>
    <w:rsid w:val="00CD518E"/>
    <w:rsid w:val="00CD5602"/>
    <w:rsid w:val="00CD58D9"/>
    <w:rsid w:val="00CD598A"/>
    <w:rsid w:val="00CD5A55"/>
    <w:rsid w:val="00CD5BC8"/>
    <w:rsid w:val="00CD5FD5"/>
    <w:rsid w:val="00CD679E"/>
    <w:rsid w:val="00CD6859"/>
    <w:rsid w:val="00CD6CEF"/>
    <w:rsid w:val="00CD6D45"/>
    <w:rsid w:val="00CD6E92"/>
    <w:rsid w:val="00CD6FBB"/>
    <w:rsid w:val="00CD739D"/>
    <w:rsid w:val="00CD75F3"/>
    <w:rsid w:val="00CD7862"/>
    <w:rsid w:val="00CD79A7"/>
    <w:rsid w:val="00CD7EAD"/>
    <w:rsid w:val="00CD7FC0"/>
    <w:rsid w:val="00CE0315"/>
    <w:rsid w:val="00CE0379"/>
    <w:rsid w:val="00CE03C9"/>
    <w:rsid w:val="00CE04EC"/>
    <w:rsid w:val="00CE0833"/>
    <w:rsid w:val="00CE0A7F"/>
    <w:rsid w:val="00CE0B32"/>
    <w:rsid w:val="00CE0EA1"/>
    <w:rsid w:val="00CE10B4"/>
    <w:rsid w:val="00CE1BC4"/>
    <w:rsid w:val="00CE1CED"/>
    <w:rsid w:val="00CE1F03"/>
    <w:rsid w:val="00CE206D"/>
    <w:rsid w:val="00CE2430"/>
    <w:rsid w:val="00CE26AC"/>
    <w:rsid w:val="00CE29AF"/>
    <w:rsid w:val="00CE2EB7"/>
    <w:rsid w:val="00CE2EDE"/>
    <w:rsid w:val="00CE300E"/>
    <w:rsid w:val="00CE36FE"/>
    <w:rsid w:val="00CE3916"/>
    <w:rsid w:val="00CE3B44"/>
    <w:rsid w:val="00CE3D10"/>
    <w:rsid w:val="00CE4B47"/>
    <w:rsid w:val="00CE4C5E"/>
    <w:rsid w:val="00CE4E69"/>
    <w:rsid w:val="00CE5AC6"/>
    <w:rsid w:val="00CE5BE8"/>
    <w:rsid w:val="00CE628F"/>
    <w:rsid w:val="00CE647E"/>
    <w:rsid w:val="00CE64F4"/>
    <w:rsid w:val="00CE66F1"/>
    <w:rsid w:val="00CE678C"/>
    <w:rsid w:val="00CE687B"/>
    <w:rsid w:val="00CE6CD0"/>
    <w:rsid w:val="00CE6F3D"/>
    <w:rsid w:val="00CE70FD"/>
    <w:rsid w:val="00CE71F6"/>
    <w:rsid w:val="00CE728D"/>
    <w:rsid w:val="00CE75DD"/>
    <w:rsid w:val="00CE7B06"/>
    <w:rsid w:val="00CE7BFC"/>
    <w:rsid w:val="00CE7F00"/>
    <w:rsid w:val="00CF00CF"/>
    <w:rsid w:val="00CF080B"/>
    <w:rsid w:val="00CF0874"/>
    <w:rsid w:val="00CF0926"/>
    <w:rsid w:val="00CF09CA"/>
    <w:rsid w:val="00CF0A94"/>
    <w:rsid w:val="00CF0C08"/>
    <w:rsid w:val="00CF0E97"/>
    <w:rsid w:val="00CF0F24"/>
    <w:rsid w:val="00CF10DE"/>
    <w:rsid w:val="00CF11F8"/>
    <w:rsid w:val="00CF130F"/>
    <w:rsid w:val="00CF1451"/>
    <w:rsid w:val="00CF1481"/>
    <w:rsid w:val="00CF1521"/>
    <w:rsid w:val="00CF16C8"/>
    <w:rsid w:val="00CF1B12"/>
    <w:rsid w:val="00CF1B55"/>
    <w:rsid w:val="00CF1D86"/>
    <w:rsid w:val="00CF1E87"/>
    <w:rsid w:val="00CF21A6"/>
    <w:rsid w:val="00CF22A6"/>
    <w:rsid w:val="00CF2357"/>
    <w:rsid w:val="00CF26CB"/>
    <w:rsid w:val="00CF2877"/>
    <w:rsid w:val="00CF2FFA"/>
    <w:rsid w:val="00CF301E"/>
    <w:rsid w:val="00CF3795"/>
    <w:rsid w:val="00CF414F"/>
    <w:rsid w:val="00CF44D2"/>
    <w:rsid w:val="00CF46C2"/>
    <w:rsid w:val="00CF4D00"/>
    <w:rsid w:val="00CF4DEA"/>
    <w:rsid w:val="00CF5250"/>
    <w:rsid w:val="00CF53DC"/>
    <w:rsid w:val="00CF5532"/>
    <w:rsid w:val="00CF5798"/>
    <w:rsid w:val="00CF589F"/>
    <w:rsid w:val="00CF59A0"/>
    <w:rsid w:val="00CF5BF8"/>
    <w:rsid w:val="00CF5CDA"/>
    <w:rsid w:val="00CF5E81"/>
    <w:rsid w:val="00CF607C"/>
    <w:rsid w:val="00CF64AA"/>
    <w:rsid w:val="00CF6572"/>
    <w:rsid w:val="00CF658F"/>
    <w:rsid w:val="00CF65EF"/>
    <w:rsid w:val="00CF6813"/>
    <w:rsid w:val="00CF68BE"/>
    <w:rsid w:val="00CF6A8D"/>
    <w:rsid w:val="00CF74DF"/>
    <w:rsid w:val="00CF7765"/>
    <w:rsid w:val="00CF794C"/>
    <w:rsid w:val="00CF7A52"/>
    <w:rsid w:val="00D002F5"/>
    <w:rsid w:val="00D00618"/>
    <w:rsid w:val="00D006AA"/>
    <w:rsid w:val="00D00CAD"/>
    <w:rsid w:val="00D0117B"/>
    <w:rsid w:val="00D011F0"/>
    <w:rsid w:val="00D0124D"/>
    <w:rsid w:val="00D015B0"/>
    <w:rsid w:val="00D01B0A"/>
    <w:rsid w:val="00D02596"/>
    <w:rsid w:val="00D025A7"/>
    <w:rsid w:val="00D02671"/>
    <w:rsid w:val="00D02756"/>
    <w:rsid w:val="00D02758"/>
    <w:rsid w:val="00D028BE"/>
    <w:rsid w:val="00D02A0E"/>
    <w:rsid w:val="00D0306D"/>
    <w:rsid w:val="00D0351B"/>
    <w:rsid w:val="00D03A80"/>
    <w:rsid w:val="00D03E0C"/>
    <w:rsid w:val="00D03F49"/>
    <w:rsid w:val="00D0403B"/>
    <w:rsid w:val="00D0430B"/>
    <w:rsid w:val="00D044DE"/>
    <w:rsid w:val="00D04988"/>
    <w:rsid w:val="00D04B9D"/>
    <w:rsid w:val="00D04D54"/>
    <w:rsid w:val="00D04F2C"/>
    <w:rsid w:val="00D0554C"/>
    <w:rsid w:val="00D0557C"/>
    <w:rsid w:val="00D05892"/>
    <w:rsid w:val="00D059F2"/>
    <w:rsid w:val="00D05B13"/>
    <w:rsid w:val="00D063E7"/>
    <w:rsid w:val="00D06A38"/>
    <w:rsid w:val="00D06B64"/>
    <w:rsid w:val="00D07101"/>
    <w:rsid w:val="00D071FA"/>
    <w:rsid w:val="00D07906"/>
    <w:rsid w:val="00D07B91"/>
    <w:rsid w:val="00D07CDC"/>
    <w:rsid w:val="00D100EF"/>
    <w:rsid w:val="00D1082E"/>
    <w:rsid w:val="00D1103D"/>
    <w:rsid w:val="00D11056"/>
    <w:rsid w:val="00D110E4"/>
    <w:rsid w:val="00D11131"/>
    <w:rsid w:val="00D119B1"/>
    <w:rsid w:val="00D11A92"/>
    <w:rsid w:val="00D11BE0"/>
    <w:rsid w:val="00D11E9E"/>
    <w:rsid w:val="00D12293"/>
    <w:rsid w:val="00D123E2"/>
    <w:rsid w:val="00D12698"/>
    <w:rsid w:val="00D12AD8"/>
    <w:rsid w:val="00D12CCC"/>
    <w:rsid w:val="00D12D64"/>
    <w:rsid w:val="00D13281"/>
    <w:rsid w:val="00D1329B"/>
    <w:rsid w:val="00D13301"/>
    <w:rsid w:val="00D13675"/>
    <w:rsid w:val="00D13C67"/>
    <w:rsid w:val="00D14612"/>
    <w:rsid w:val="00D15079"/>
    <w:rsid w:val="00D1544F"/>
    <w:rsid w:val="00D15755"/>
    <w:rsid w:val="00D15832"/>
    <w:rsid w:val="00D15C71"/>
    <w:rsid w:val="00D16800"/>
    <w:rsid w:val="00D16DFF"/>
    <w:rsid w:val="00D170DD"/>
    <w:rsid w:val="00D17588"/>
    <w:rsid w:val="00D17ABA"/>
    <w:rsid w:val="00D17AD5"/>
    <w:rsid w:val="00D20195"/>
    <w:rsid w:val="00D20383"/>
    <w:rsid w:val="00D203C4"/>
    <w:rsid w:val="00D206C2"/>
    <w:rsid w:val="00D20988"/>
    <w:rsid w:val="00D20A66"/>
    <w:rsid w:val="00D20BFC"/>
    <w:rsid w:val="00D20DA8"/>
    <w:rsid w:val="00D20DC7"/>
    <w:rsid w:val="00D21274"/>
    <w:rsid w:val="00D21765"/>
    <w:rsid w:val="00D21778"/>
    <w:rsid w:val="00D21D83"/>
    <w:rsid w:val="00D220A8"/>
    <w:rsid w:val="00D22419"/>
    <w:rsid w:val="00D22B2B"/>
    <w:rsid w:val="00D22C40"/>
    <w:rsid w:val="00D22E21"/>
    <w:rsid w:val="00D232E1"/>
    <w:rsid w:val="00D2335E"/>
    <w:rsid w:val="00D23593"/>
    <w:rsid w:val="00D23862"/>
    <w:rsid w:val="00D24132"/>
    <w:rsid w:val="00D241A2"/>
    <w:rsid w:val="00D24C7D"/>
    <w:rsid w:val="00D24DE3"/>
    <w:rsid w:val="00D25369"/>
    <w:rsid w:val="00D25412"/>
    <w:rsid w:val="00D255FF"/>
    <w:rsid w:val="00D25DA2"/>
    <w:rsid w:val="00D26722"/>
    <w:rsid w:val="00D26A40"/>
    <w:rsid w:val="00D27544"/>
    <w:rsid w:val="00D2758A"/>
    <w:rsid w:val="00D27B29"/>
    <w:rsid w:val="00D27D5C"/>
    <w:rsid w:val="00D27E72"/>
    <w:rsid w:val="00D27E82"/>
    <w:rsid w:val="00D27F70"/>
    <w:rsid w:val="00D30051"/>
    <w:rsid w:val="00D300BD"/>
    <w:rsid w:val="00D30F67"/>
    <w:rsid w:val="00D311DF"/>
    <w:rsid w:val="00D3123E"/>
    <w:rsid w:val="00D3156D"/>
    <w:rsid w:val="00D31A58"/>
    <w:rsid w:val="00D31BA8"/>
    <w:rsid w:val="00D31BAC"/>
    <w:rsid w:val="00D31BC4"/>
    <w:rsid w:val="00D31D8A"/>
    <w:rsid w:val="00D31EE5"/>
    <w:rsid w:val="00D320F1"/>
    <w:rsid w:val="00D32374"/>
    <w:rsid w:val="00D32944"/>
    <w:rsid w:val="00D32F00"/>
    <w:rsid w:val="00D32FE3"/>
    <w:rsid w:val="00D33154"/>
    <w:rsid w:val="00D332DD"/>
    <w:rsid w:val="00D34006"/>
    <w:rsid w:val="00D34293"/>
    <w:rsid w:val="00D346D3"/>
    <w:rsid w:val="00D3497E"/>
    <w:rsid w:val="00D34F35"/>
    <w:rsid w:val="00D34F55"/>
    <w:rsid w:val="00D35309"/>
    <w:rsid w:val="00D354E9"/>
    <w:rsid w:val="00D359D6"/>
    <w:rsid w:val="00D35C14"/>
    <w:rsid w:val="00D35C1A"/>
    <w:rsid w:val="00D35E91"/>
    <w:rsid w:val="00D35F36"/>
    <w:rsid w:val="00D36087"/>
    <w:rsid w:val="00D363DF"/>
    <w:rsid w:val="00D3642A"/>
    <w:rsid w:val="00D365CD"/>
    <w:rsid w:val="00D36C08"/>
    <w:rsid w:val="00D36F83"/>
    <w:rsid w:val="00D37313"/>
    <w:rsid w:val="00D374EA"/>
    <w:rsid w:val="00D37AED"/>
    <w:rsid w:val="00D37B3A"/>
    <w:rsid w:val="00D401F3"/>
    <w:rsid w:val="00D402B2"/>
    <w:rsid w:val="00D40477"/>
    <w:rsid w:val="00D40570"/>
    <w:rsid w:val="00D4068C"/>
    <w:rsid w:val="00D409C9"/>
    <w:rsid w:val="00D40FA1"/>
    <w:rsid w:val="00D410DD"/>
    <w:rsid w:val="00D4132D"/>
    <w:rsid w:val="00D4140D"/>
    <w:rsid w:val="00D41568"/>
    <w:rsid w:val="00D41598"/>
    <w:rsid w:val="00D415C9"/>
    <w:rsid w:val="00D41624"/>
    <w:rsid w:val="00D41A5B"/>
    <w:rsid w:val="00D41AA1"/>
    <w:rsid w:val="00D41B2B"/>
    <w:rsid w:val="00D41BCF"/>
    <w:rsid w:val="00D41D70"/>
    <w:rsid w:val="00D41FAB"/>
    <w:rsid w:val="00D42007"/>
    <w:rsid w:val="00D420EC"/>
    <w:rsid w:val="00D4232D"/>
    <w:rsid w:val="00D4254D"/>
    <w:rsid w:val="00D4261A"/>
    <w:rsid w:val="00D42634"/>
    <w:rsid w:val="00D42898"/>
    <w:rsid w:val="00D42C51"/>
    <w:rsid w:val="00D42CFD"/>
    <w:rsid w:val="00D42EC6"/>
    <w:rsid w:val="00D42FDC"/>
    <w:rsid w:val="00D43625"/>
    <w:rsid w:val="00D437BF"/>
    <w:rsid w:val="00D43911"/>
    <w:rsid w:val="00D43C74"/>
    <w:rsid w:val="00D4449C"/>
    <w:rsid w:val="00D44B90"/>
    <w:rsid w:val="00D450B4"/>
    <w:rsid w:val="00D4514A"/>
    <w:rsid w:val="00D453CE"/>
    <w:rsid w:val="00D45441"/>
    <w:rsid w:val="00D45578"/>
    <w:rsid w:val="00D45935"/>
    <w:rsid w:val="00D45A76"/>
    <w:rsid w:val="00D45AB0"/>
    <w:rsid w:val="00D45D6D"/>
    <w:rsid w:val="00D45D98"/>
    <w:rsid w:val="00D461AF"/>
    <w:rsid w:val="00D4650A"/>
    <w:rsid w:val="00D46749"/>
    <w:rsid w:val="00D46B96"/>
    <w:rsid w:val="00D46F44"/>
    <w:rsid w:val="00D46F60"/>
    <w:rsid w:val="00D475A6"/>
    <w:rsid w:val="00D476DD"/>
    <w:rsid w:val="00D47D91"/>
    <w:rsid w:val="00D50114"/>
    <w:rsid w:val="00D50567"/>
    <w:rsid w:val="00D5059F"/>
    <w:rsid w:val="00D51975"/>
    <w:rsid w:val="00D51B73"/>
    <w:rsid w:val="00D522A9"/>
    <w:rsid w:val="00D522F7"/>
    <w:rsid w:val="00D52916"/>
    <w:rsid w:val="00D52EE4"/>
    <w:rsid w:val="00D530A2"/>
    <w:rsid w:val="00D53849"/>
    <w:rsid w:val="00D53C97"/>
    <w:rsid w:val="00D53E63"/>
    <w:rsid w:val="00D53EDD"/>
    <w:rsid w:val="00D53F03"/>
    <w:rsid w:val="00D54281"/>
    <w:rsid w:val="00D544E0"/>
    <w:rsid w:val="00D545A5"/>
    <w:rsid w:val="00D546E9"/>
    <w:rsid w:val="00D547BE"/>
    <w:rsid w:val="00D549DF"/>
    <w:rsid w:val="00D54B16"/>
    <w:rsid w:val="00D55063"/>
    <w:rsid w:val="00D55925"/>
    <w:rsid w:val="00D559FB"/>
    <w:rsid w:val="00D55BE4"/>
    <w:rsid w:val="00D560C9"/>
    <w:rsid w:val="00D561AA"/>
    <w:rsid w:val="00D567CF"/>
    <w:rsid w:val="00D568CF"/>
    <w:rsid w:val="00D56AC0"/>
    <w:rsid w:val="00D56AE9"/>
    <w:rsid w:val="00D56D00"/>
    <w:rsid w:val="00D579D8"/>
    <w:rsid w:val="00D60064"/>
    <w:rsid w:val="00D60643"/>
    <w:rsid w:val="00D60910"/>
    <w:rsid w:val="00D60B19"/>
    <w:rsid w:val="00D6100E"/>
    <w:rsid w:val="00D61597"/>
    <w:rsid w:val="00D6173F"/>
    <w:rsid w:val="00D6197B"/>
    <w:rsid w:val="00D61A2C"/>
    <w:rsid w:val="00D61A89"/>
    <w:rsid w:val="00D61FBA"/>
    <w:rsid w:val="00D625C0"/>
    <w:rsid w:val="00D62725"/>
    <w:rsid w:val="00D629DE"/>
    <w:rsid w:val="00D62AFE"/>
    <w:rsid w:val="00D62BAE"/>
    <w:rsid w:val="00D62F57"/>
    <w:rsid w:val="00D63039"/>
    <w:rsid w:val="00D63463"/>
    <w:rsid w:val="00D6347F"/>
    <w:rsid w:val="00D636B1"/>
    <w:rsid w:val="00D6440F"/>
    <w:rsid w:val="00D6443B"/>
    <w:rsid w:val="00D64508"/>
    <w:rsid w:val="00D64ECB"/>
    <w:rsid w:val="00D64ECF"/>
    <w:rsid w:val="00D65049"/>
    <w:rsid w:val="00D652CE"/>
    <w:rsid w:val="00D6545A"/>
    <w:rsid w:val="00D65463"/>
    <w:rsid w:val="00D65CEC"/>
    <w:rsid w:val="00D6604B"/>
    <w:rsid w:val="00D66511"/>
    <w:rsid w:val="00D66606"/>
    <w:rsid w:val="00D66702"/>
    <w:rsid w:val="00D66872"/>
    <w:rsid w:val="00D66D8D"/>
    <w:rsid w:val="00D670E8"/>
    <w:rsid w:val="00D67405"/>
    <w:rsid w:val="00D6791E"/>
    <w:rsid w:val="00D67CA2"/>
    <w:rsid w:val="00D706DE"/>
    <w:rsid w:val="00D70986"/>
    <w:rsid w:val="00D70A7A"/>
    <w:rsid w:val="00D70C70"/>
    <w:rsid w:val="00D70C85"/>
    <w:rsid w:val="00D70DB6"/>
    <w:rsid w:val="00D70FEA"/>
    <w:rsid w:val="00D710D6"/>
    <w:rsid w:val="00D71187"/>
    <w:rsid w:val="00D711AE"/>
    <w:rsid w:val="00D7196E"/>
    <w:rsid w:val="00D71A89"/>
    <w:rsid w:val="00D71B10"/>
    <w:rsid w:val="00D71BD6"/>
    <w:rsid w:val="00D71C4F"/>
    <w:rsid w:val="00D71D0E"/>
    <w:rsid w:val="00D71F75"/>
    <w:rsid w:val="00D720ED"/>
    <w:rsid w:val="00D72B00"/>
    <w:rsid w:val="00D72B0F"/>
    <w:rsid w:val="00D72D47"/>
    <w:rsid w:val="00D72F92"/>
    <w:rsid w:val="00D7305C"/>
    <w:rsid w:val="00D732D0"/>
    <w:rsid w:val="00D7336A"/>
    <w:rsid w:val="00D73652"/>
    <w:rsid w:val="00D74121"/>
    <w:rsid w:val="00D7450E"/>
    <w:rsid w:val="00D74CAF"/>
    <w:rsid w:val="00D74D1D"/>
    <w:rsid w:val="00D74D63"/>
    <w:rsid w:val="00D75064"/>
    <w:rsid w:val="00D7539C"/>
    <w:rsid w:val="00D756C4"/>
    <w:rsid w:val="00D75955"/>
    <w:rsid w:val="00D75D40"/>
    <w:rsid w:val="00D75FF1"/>
    <w:rsid w:val="00D762D1"/>
    <w:rsid w:val="00D765B2"/>
    <w:rsid w:val="00D76862"/>
    <w:rsid w:val="00D768B8"/>
    <w:rsid w:val="00D77762"/>
    <w:rsid w:val="00D777A8"/>
    <w:rsid w:val="00D77C66"/>
    <w:rsid w:val="00D77D9D"/>
    <w:rsid w:val="00D8043B"/>
    <w:rsid w:val="00D8053A"/>
    <w:rsid w:val="00D80CAA"/>
    <w:rsid w:val="00D80CD1"/>
    <w:rsid w:val="00D8111A"/>
    <w:rsid w:val="00D813C6"/>
    <w:rsid w:val="00D81458"/>
    <w:rsid w:val="00D8167D"/>
    <w:rsid w:val="00D81921"/>
    <w:rsid w:val="00D81CFC"/>
    <w:rsid w:val="00D81DCF"/>
    <w:rsid w:val="00D81DE5"/>
    <w:rsid w:val="00D82339"/>
    <w:rsid w:val="00D82400"/>
    <w:rsid w:val="00D8272B"/>
    <w:rsid w:val="00D83003"/>
    <w:rsid w:val="00D8333C"/>
    <w:rsid w:val="00D8363F"/>
    <w:rsid w:val="00D836AF"/>
    <w:rsid w:val="00D83997"/>
    <w:rsid w:val="00D83BFE"/>
    <w:rsid w:val="00D83E79"/>
    <w:rsid w:val="00D84084"/>
    <w:rsid w:val="00D840ED"/>
    <w:rsid w:val="00D843B1"/>
    <w:rsid w:val="00D849C6"/>
    <w:rsid w:val="00D84D9A"/>
    <w:rsid w:val="00D853A3"/>
    <w:rsid w:val="00D86461"/>
    <w:rsid w:val="00D867FA"/>
    <w:rsid w:val="00D869C2"/>
    <w:rsid w:val="00D87105"/>
    <w:rsid w:val="00D872A2"/>
    <w:rsid w:val="00D874AF"/>
    <w:rsid w:val="00D87626"/>
    <w:rsid w:val="00D87B10"/>
    <w:rsid w:val="00D90878"/>
    <w:rsid w:val="00D90D79"/>
    <w:rsid w:val="00D90D99"/>
    <w:rsid w:val="00D90EDA"/>
    <w:rsid w:val="00D91655"/>
    <w:rsid w:val="00D91883"/>
    <w:rsid w:val="00D91D32"/>
    <w:rsid w:val="00D91DD4"/>
    <w:rsid w:val="00D91EE5"/>
    <w:rsid w:val="00D91FEA"/>
    <w:rsid w:val="00D9237F"/>
    <w:rsid w:val="00D92426"/>
    <w:rsid w:val="00D92468"/>
    <w:rsid w:val="00D92477"/>
    <w:rsid w:val="00D927E2"/>
    <w:rsid w:val="00D92F1E"/>
    <w:rsid w:val="00D932FA"/>
    <w:rsid w:val="00D93B6F"/>
    <w:rsid w:val="00D93F77"/>
    <w:rsid w:val="00D94076"/>
    <w:rsid w:val="00D940CE"/>
    <w:rsid w:val="00D947C5"/>
    <w:rsid w:val="00D94859"/>
    <w:rsid w:val="00D94ED0"/>
    <w:rsid w:val="00D9519B"/>
    <w:rsid w:val="00D9537C"/>
    <w:rsid w:val="00D95B10"/>
    <w:rsid w:val="00D95F7F"/>
    <w:rsid w:val="00D9602C"/>
    <w:rsid w:val="00D960D6"/>
    <w:rsid w:val="00D9614D"/>
    <w:rsid w:val="00D961D4"/>
    <w:rsid w:val="00D96D35"/>
    <w:rsid w:val="00D9718B"/>
    <w:rsid w:val="00D974BD"/>
    <w:rsid w:val="00D97519"/>
    <w:rsid w:val="00D978F4"/>
    <w:rsid w:val="00DA0112"/>
    <w:rsid w:val="00DA020C"/>
    <w:rsid w:val="00DA0368"/>
    <w:rsid w:val="00DA065C"/>
    <w:rsid w:val="00DA0ADA"/>
    <w:rsid w:val="00DA0B36"/>
    <w:rsid w:val="00DA0BD7"/>
    <w:rsid w:val="00DA0D54"/>
    <w:rsid w:val="00DA0E87"/>
    <w:rsid w:val="00DA0FC6"/>
    <w:rsid w:val="00DA10F7"/>
    <w:rsid w:val="00DA11BE"/>
    <w:rsid w:val="00DA1392"/>
    <w:rsid w:val="00DA1636"/>
    <w:rsid w:val="00DA1C69"/>
    <w:rsid w:val="00DA1F72"/>
    <w:rsid w:val="00DA20EC"/>
    <w:rsid w:val="00DA261D"/>
    <w:rsid w:val="00DA27D8"/>
    <w:rsid w:val="00DA2AC3"/>
    <w:rsid w:val="00DA2D8D"/>
    <w:rsid w:val="00DA3002"/>
    <w:rsid w:val="00DA3217"/>
    <w:rsid w:val="00DA350F"/>
    <w:rsid w:val="00DA36DA"/>
    <w:rsid w:val="00DA399C"/>
    <w:rsid w:val="00DA3D92"/>
    <w:rsid w:val="00DA3ED4"/>
    <w:rsid w:val="00DA4023"/>
    <w:rsid w:val="00DA41A4"/>
    <w:rsid w:val="00DA4832"/>
    <w:rsid w:val="00DA48AA"/>
    <w:rsid w:val="00DA4B05"/>
    <w:rsid w:val="00DA5050"/>
    <w:rsid w:val="00DA52DE"/>
    <w:rsid w:val="00DA5531"/>
    <w:rsid w:val="00DA5582"/>
    <w:rsid w:val="00DA5D60"/>
    <w:rsid w:val="00DA5E2F"/>
    <w:rsid w:val="00DA6715"/>
    <w:rsid w:val="00DA6815"/>
    <w:rsid w:val="00DA6DD0"/>
    <w:rsid w:val="00DA6F7F"/>
    <w:rsid w:val="00DA7041"/>
    <w:rsid w:val="00DA7346"/>
    <w:rsid w:val="00DA74FD"/>
    <w:rsid w:val="00DA7D05"/>
    <w:rsid w:val="00DB053D"/>
    <w:rsid w:val="00DB094F"/>
    <w:rsid w:val="00DB0ADE"/>
    <w:rsid w:val="00DB0C94"/>
    <w:rsid w:val="00DB0CC9"/>
    <w:rsid w:val="00DB0DA6"/>
    <w:rsid w:val="00DB0F53"/>
    <w:rsid w:val="00DB10A4"/>
    <w:rsid w:val="00DB121D"/>
    <w:rsid w:val="00DB17B5"/>
    <w:rsid w:val="00DB1857"/>
    <w:rsid w:val="00DB1B52"/>
    <w:rsid w:val="00DB206E"/>
    <w:rsid w:val="00DB2240"/>
    <w:rsid w:val="00DB2289"/>
    <w:rsid w:val="00DB22EE"/>
    <w:rsid w:val="00DB247D"/>
    <w:rsid w:val="00DB249B"/>
    <w:rsid w:val="00DB2586"/>
    <w:rsid w:val="00DB2BAC"/>
    <w:rsid w:val="00DB2F0C"/>
    <w:rsid w:val="00DB313B"/>
    <w:rsid w:val="00DB3264"/>
    <w:rsid w:val="00DB341D"/>
    <w:rsid w:val="00DB3463"/>
    <w:rsid w:val="00DB35A6"/>
    <w:rsid w:val="00DB3B68"/>
    <w:rsid w:val="00DB3BE6"/>
    <w:rsid w:val="00DB3E8E"/>
    <w:rsid w:val="00DB402A"/>
    <w:rsid w:val="00DB40E4"/>
    <w:rsid w:val="00DB40FA"/>
    <w:rsid w:val="00DB44F4"/>
    <w:rsid w:val="00DB45FA"/>
    <w:rsid w:val="00DB46B4"/>
    <w:rsid w:val="00DB4B56"/>
    <w:rsid w:val="00DB4E43"/>
    <w:rsid w:val="00DB5049"/>
    <w:rsid w:val="00DB5193"/>
    <w:rsid w:val="00DB54A0"/>
    <w:rsid w:val="00DB5582"/>
    <w:rsid w:val="00DB58CA"/>
    <w:rsid w:val="00DB59CA"/>
    <w:rsid w:val="00DB5E5C"/>
    <w:rsid w:val="00DB5FE7"/>
    <w:rsid w:val="00DB6058"/>
    <w:rsid w:val="00DB61A1"/>
    <w:rsid w:val="00DB635E"/>
    <w:rsid w:val="00DB66F4"/>
    <w:rsid w:val="00DB7079"/>
    <w:rsid w:val="00DB716A"/>
    <w:rsid w:val="00DB743D"/>
    <w:rsid w:val="00DB75AC"/>
    <w:rsid w:val="00DB78E3"/>
    <w:rsid w:val="00DB7B0A"/>
    <w:rsid w:val="00DC0095"/>
    <w:rsid w:val="00DC0368"/>
    <w:rsid w:val="00DC03A4"/>
    <w:rsid w:val="00DC055E"/>
    <w:rsid w:val="00DC057B"/>
    <w:rsid w:val="00DC08BA"/>
    <w:rsid w:val="00DC09E1"/>
    <w:rsid w:val="00DC0C31"/>
    <w:rsid w:val="00DC1438"/>
    <w:rsid w:val="00DC16A1"/>
    <w:rsid w:val="00DC1768"/>
    <w:rsid w:val="00DC19AC"/>
    <w:rsid w:val="00DC1A09"/>
    <w:rsid w:val="00DC1C5F"/>
    <w:rsid w:val="00DC1EC1"/>
    <w:rsid w:val="00DC1F5B"/>
    <w:rsid w:val="00DC207A"/>
    <w:rsid w:val="00DC20E6"/>
    <w:rsid w:val="00DC21CD"/>
    <w:rsid w:val="00DC2366"/>
    <w:rsid w:val="00DC2586"/>
    <w:rsid w:val="00DC26AE"/>
    <w:rsid w:val="00DC2880"/>
    <w:rsid w:val="00DC296F"/>
    <w:rsid w:val="00DC2D5E"/>
    <w:rsid w:val="00DC34A2"/>
    <w:rsid w:val="00DC357C"/>
    <w:rsid w:val="00DC395B"/>
    <w:rsid w:val="00DC3CE7"/>
    <w:rsid w:val="00DC3D84"/>
    <w:rsid w:val="00DC3E71"/>
    <w:rsid w:val="00DC3EDE"/>
    <w:rsid w:val="00DC4095"/>
    <w:rsid w:val="00DC40BA"/>
    <w:rsid w:val="00DC423E"/>
    <w:rsid w:val="00DC4269"/>
    <w:rsid w:val="00DC4C4E"/>
    <w:rsid w:val="00DC5103"/>
    <w:rsid w:val="00DC59D0"/>
    <w:rsid w:val="00DC5D59"/>
    <w:rsid w:val="00DC5E86"/>
    <w:rsid w:val="00DC61F6"/>
    <w:rsid w:val="00DC63F9"/>
    <w:rsid w:val="00DC647B"/>
    <w:rsid w:val="00DC6CD3"/>
    <w:rsid w:val="00DC6E07"/>
    <w:rsid w:val="00DC7006"/>
    <w:rsid w:val="00DC70C5"/>
    <w:rsid w:val="00DC76C7"/>
    <w:rsid w:val="00DC7AAA"/>
    <w:rsid w:val="00DC7C0E"/>
    <w:rsid w:val="00DC7D8E"/>
    <w:rsid w:val="00DD015B"/>
    <w:rsid w:val="00DD01C1"/>
    <w:rsid w:val="00DD0618"/>
    <w:rsid w:val="00DD10B9"/>
    <w:rsid w:val="00DD12F4"/>
    <w:rsid w:val="00DD14AC"/>
    <w:rsid w:val="00DD23CD"/>
    <w:rsid w:val="00DD253B"/>
    <w:rsid w:val="00DD29C0"/>
    <w:rsid w:val="00DD2BB7"/>
    <w:rsid w:val="00DD359D"/>
    <w:rsid w:val="00DD3891"/>
    <w:rsid w:val="00DD3A44"/>
    <w:rsid w:val="00DD3B8B"/>
    <w:rsid w:val="00DD4340"/>
    <w:rsid w:val="00DD44B7"/>
    <w:rsid w:val="00DD4778"/>
    <w:rsid w:val="00DD47CA"/>
    <w:rsid w:val="00DD4870"/>
    <w:rsid w:val="00DD48FF"/>
    <w:rsid w:val="00DD4E55"/>
    <w:rsid w:val="00DD4EBB"/>
    <w:rsid w:val="00DD4F5F"/>
    <w:rsid w:val="00DD4FA0"/>
    <w:rsid w:val="00DD4FD1"/>
    <w:rsid w:val="00DD522C"/>
    <w:rsid w:val="00DD541E"/>
    <w:rsid w:val="00DD544E"/>
    <w:rsid w:val="00DD5456"/>
    <w:rsid w:val="00DD5632"/>
    <w:rsid w:val="00DD5A48"/>
    <w:rsid w:val="00DD5E94"/>
    <w:rsid w:val="00DD64C0"/>
    <w:rsid w:val="00DD6572"/>
    <w:rsid w:val="00DD6753"/>
    <w:rsid w:val="00DD6E80"/>
    <w:rsid w:val="00DD6FB1"/>
    <w:rsid w:val="00DD7472"/>
    <w:rsid w:val="00DD75B1"/>
    <w:rsid w:val="00DD75BC"/>
    <w:rsid w:val="00DD7611"/>
    <w:rsid w:val="00DD7ACA"/>
    <w:rsid w:val="00DD7CC6"/>
    <w:rsid w:val="00DE0286"/>
    <w:rsid w:val="00DE0C19"/>
    <w:rsid w:val="00DE0F69"/>
    <w:rsid w:val="00DE114A"/>
    <w:rsid w:val="00DE1270"/>
    <w:rsid w:val="00DE13F5"/>
    <w:rsid w:val="00DE1535"/>
    <w:rsid w:val="00DE16FB"/>
    <w:rsid w:val="00DE1920"/>
    <w:rsid w:val="00DE1CC8"/>
    <w:rsid w:val="00DE1E10"/>
    <w:rsid w:val="00DE2163"/>
    <w:rsid w:val="00DE2179"/>
    <w:rsid w:val="00DE229E"/>
    <w:rsid w:val="00DE23B6"/>
    <w:rsid w:val="00DE2C6F"/>
    <w:rsid w:val="00DE2EE6"/>
    <w:rsid w:val="00DE32A9"/>
    <w:rsid w:val="00DE336F"/>
    <w:rsid w:val="00DE337C"/>
    <w:rsid w:val="00DE39BC"/>
    <w:rsid w:val="00DE406B"/>
    <w:rsid w:val="00DE4317"/>
    <w:rsid w:val="00DE453C"/>
    <w:rsid w:val="00DE4740"/>
    <w:rsid w:val="00DE4795"/>
    <w:rsid w:val="00DE4A0C"/>
    <w:rsid w:val="00DE5177"/>
    <w:rsid w:val="00DE5561"/>
    <w:rsid w:val="00DE5F45"/>
    <w:rsid w:val="00DE5F57"/>
    <w:rsid w:val="00DE603E"/>
    <w:rsid w:val="00DE6360"/>
    <w:rsid w:val="00DE63DD"/>
    <w:rsid w:val="00DE63E3"/>
    <w:rsid w:val="00DE64D8"/>
    <w:rsid w:val="00DE6AB9"/>
    <w:rsid w:val="00DE6E46"/>
    <w:rsid w:val="00DE6F04"/>
    <w:rsid w:val="00DE6F1E"/>
    <w:rsid w:val="00DE7117"/>
    <w:rsid w:val="00DE72F9"/>
    <w:rsid w:val="00DE744D"/>
    <w:rsid w:val="00DE74F4"/>
    <w:rsid w:val="00DE7B90"/>
    <w:rsid w:val="00DE7C41"/>
    <w:rsid w:val="00DE7C51"/>
    <w:rsid w:val="00DE7F7B"/>
    <w:rsid w:val="00DF0116"/>
    <w:rsid w:val="00DF02FB"/>
    <w:rsid w:val="00DF06D4"/>
    <w:rsid w:val="00DF0732"/>
    <w:rsid w:val="00DF07AE"/>
    <w:rsid w:val="00DF136D"/>
    <w:rsid w:val="00DF14FC"/>
    <w:rsid w:val="00DF1542"/>
    <w:rsid w:val="00DF164B"/>
    <w:rsid w:val="00DF1D67"/>
    <w:rsid w:val="00DF1F5A"/>
    <w:rsid w:val="00DF1F5E"/>
    <w:rsid w:val="00DF2280"/>
    <w:rsid w:val="00DF23CF"/>
    <w:rsid w:val="00DF248E"/>
    <w:rsid w:val="00DF24A2"/>
    <w:rsid w:val="00DF2988"/>
    <w:rsid w:val="00DF2C35"/>
    <w:rsid w:val="00DF2F5C"/>
    <w:rsid w:val="00DF3280"/>
    <w:rsid w:val="00DF3EB5"/>
    <w:rsid w:val="00DF4070"/>
    <w:rsid w:val="00DF40FA"/>
    <w:rsid w:val="00DF4AEF"/>
    <w:rsid w:val="00DF4C83"/>
    <w:rsid w:val="00DF5105"/>
    <w:rsid w:val="00DF533D"/>
    <w:rsid w:val="00DF53C7"/>
    <w:rsid w:val="00DF565C"/>
    <w:rsid w:val="00DF5B84"/>
    <w:rsid w:val="00DF5D0E"/>
    <w:rsid w:val="00DF65EA"/>
    <w:rsid w:val="00DF6659"/>
    <w:rsid w:val="00DF6AAF"/>
    <w:rsid w:val="00DF6E0E"/>
    <w:rsid w:val="00DF6FC3"/>
    <w:rsid w:val="00DF70D9"/>
    <w:rsid w:val="00DF7376"/>
    <w:rsid w:val="00DF7563"/>
    <w:rsid w:val="00DF792C"/>
    <w:rsid w:val="00DF7C99"/>
    <w:rsid w:val="00DF7D44"/>
    <w:rsid w:val="00DF7FF6"/>
    <w:rsid w:val="00E0010D"/>
    <w:rsid w:val="00E003F9"/>
    <w:rsid w:val="00E0058D"/>
    <w:rsid w:val="00E00894"/>
    <w:rsid w:val="00E00CBA"/>
    <w:rsid w:val="00E0150C"/>
    <w:rsid w:val="00E01E0A"/>
    <w:rsid w:val="00E01F49"/>
    <w:rsid w:val="00E02379"/>
    <w:rsid w:val="00E0242D"/>
    <w:rsid w:val="00E0260E"/>
    <w:rsid w:val="00E02B1C"/>
    <w:rsid w:val="00E02DE2"/>
    <w:rsid w:val="00E02F7E"/>
    <w:rsid w:val="00E03087"/>
    <w:rsid w:val="00E0321C"/>
    <w:rsid w:val="00E03B61"/>
    <w:rsid w:val="00E03BD8"/>
    <w:rsid w:val="00E03BEE"/>
    <w:rsid w:val="00E040CB"/>
    <w:rsid w:val="00E0470A"/>
    <w:rsid w:val="00E050DA"/>
    <w:rsid w:val="00E0526A"/>
    <w:rsid w:val="00E0595A"/>
    <w:rsid w:val="00E05E1F"/>
    <w:rsid w:val="00E061B0"/>
    <w:rsid w:val="00E06217"/>
    <w:rsid w:val="00E06271"/>
    <w:rsid w:val="00E067F0"/>
    <w:rsid w:val="00E069DD"/>
    <w:rsid w:val="00E06AAC"/>
    <w:rsid w:val="00E06BC8"/>
    <w:rsid w:val="00E0741D"/>
    <w:rsid w:val="00E075A8"/>
    <w:rsid w:val="00E078AE"/>
    <w:rsid w:val="00E0794C"/>
    <w:rsid w:val="00E07B2C"/>
    <w:rsid w:val="00E07D25"/>
    <w:rsid w:val="00E1013A"/>
    <w:rsid w:val="00E108B6"/>
    <w:rsid w:val="00E10925"/>
    <w:rsid w:val="00E10BCF"/>
    <w:rsid w:val="00E10DB0"/>
    <w:rsid w:val="00E1109F"/>
    <w:rsid w:val="00E1110E"/>
    <w:rsid w:val="00E111D4"/>
    <w:rsid w:val="00E1125F"/>
    <w:rsid w:val="00E11346"/>
    <w:rsid w:val="00E113DC"/>
    <w:rsid w:val="00E11450"/>
    <w:rsid w:val="00E11662"/>
    <w:rsid w:val="00E1182F"/>
    <w:rsid w:val="00E1187D"/>
    <w:rsid w:val="00E11962"/>
    <w:rsid w:val="00E11B27"/>
    <w:rsid w:val="00E12128"/>
    <w:rsid w:val="00E1262A"/>
    <w:rsid w:val="00E12733"/>
    <w:rsid w:val="00E12A08"/>
    <w:rsid w:val="00E12ADF"/>
    <w:rsid w:val="00E12B07"/>
    <w:rsid w:val="00E12B67"/>
    <w:rsid w:val="00E12C66"/>
    <w:rsid w:val="00E12F7D"/>
    <w:rsid w:val="00E12FEC"/>
    <w:rsid w:val="00E130BC"/>
    <w:rsid w:val="00E13183"/>
    <w:rsid w:val="00E131F3"/>
    <w:rsid w:val="00E13B0E"/>
    <w:rsid w:val="00E13ECA"/>
    <w:rsid w:val="00E1401A"/>
    <w:rsid w:val="00E14579"/>
    <w:rsid w:val="00E14A4A"/>
    <w:rsid w:val="00E14DAD"/>
    <w:rsid w:val="00E1548F"/>
    <w:rsid w:val="00E155E8"/>
    <w:rsid w:val="00E15D41"/>
    <w:rsid w:val="00E16242"/>
    <w:rsid w:val="00E16545"/>
    <w:rsid w:val="00E167F6"/>
    <w:rsid w:val="00E174C0"/>
    <w:rsid w:val="00E17542"/>
    <w:rsid w:val="00E17586"/>
    <w:rsid w:val="00E202AC"/>
    <w:rsid w:val="00E205FA"/>
    <w:rsid w:val="00E20A43"/>
    <w:rsid w:val="00E20E95"/>
    <w:rsid w:val="00E211BE"/>
    <w:rsid w:val="00E223C9"/>
    <w:rsid w:val="00E227B3"/>
    <w:rsid w:val="00E22A7F"/>
    <w:rsid w:val="00E22BB6"/>
    <w:rsid w:val="00E230B0"/>
    <w:rsid w:val="00E23326"/>
    <w:rsid w:val="00E23993"/>
    <w:rsid w:val="00E243E2"/>
    <w:rsid w:val="00E2448A"/>
    <w:rsid w:val="00E24D4C"/>
    <w:rsid w:val="00E24FB4"/>
    <w:rsid w:val="00E25A3C"/>
    <w:rsid w:val="00E260D0"/>
    <w:rsid w:val="00E26408"/>
    <w:rsid w:val="00E2659C"/>
    <w:rsid w:val="00E2696F"/>
    <w:rsid w:val="00E26A2F"/>
    <w:rsid w:val="00E26C58"/>
    <w:rsid w:val="00E27197"/>
    <w:rsid w:val="00E273B8"/>
    <w:rsid w:val="00E278BD"/>
    <w:rsid w:val="00E27D5E"/>
    <w:rsid w:val="00E27DEF"/>
    <w:rsid w:val="00E27E05"/>
    <w:rsid w:val="00E27ECD"/>
    <w:rsid w:val="00E27F6B"/>
    <w:rsid w:val="00E30293"/>
    <w:rsid w:val="00E3032F"/>
    <w:rsid w:val="00E30339"/>
    <w:rsid w:val="00E3061E"/>
    <w:rsid w:val="00E307C6"/>
    <w:rsid w:val="00E30B8D"/>
    <w:rsid w:val="00E30D78"/>
    <w:rsid w:val="00E30ED1"/>
    <w:rsid w:val="00E30EF4"/>
    <w:rsid w:val="00E30FC8"/>
    <w:rsid w:val="00E316B5"/>
    <w:rsid w:val="00E31700"/>
    <w:rsid w:val="00E3196C"/>
    <w:rsid w:val="00E31BFB"/>
    <w:rsid w:val="00E31EAE"/>
    <w:rsid w:val="00E32147"/>
    <w:rsid w:val="00E323E6"/>
    <w:rsid w:val="00E3261B"/>
    <w:rsid w:val="00E32A58"/>
    <w:rsid w:val="00E32D16"/>
    <w:rsid w:val="00E335EC"/>
    <w:rsid w:val="00E337B2"/>
    <w:rsid w:val="00E33856"/>
    <w:rsid w:val="00E339B1"/>
    <w:rsid w:val="00E339FE"/>
    <w:rsid w:val="00E33B5C"/>
    <w:rsid w:val="00E33B7D"/>
    <w:rsid w:val="00E33F52"/>
    <w:rsid w:val="00E341C9"/>
    <w:rsid w:val="00E34349"/>
    <w:rsid w:val="00E343EF"/>
    <w:rsid w:val="00E34438"/>
    <w:rsid w:val="00E346F4"/>
    <w:rsid w:val="00E34790"/>
    <w:rsid w:val="00E34E2E"/>
    <w:rsid w:val="00E3580B"/>
    <w:rsid w:val="00E358EF"/>
    <w:rsid w:val="00E360B8"/>
    <w:rsid w:val="00E3618D"/>
    <w:rsid w:val="00E36290"/>
    <w:rsid w:val="00E36332"/>
    <w:rsid w:val="00E3658C"/>
    <w:rsid w:val="00E369F8"/>
    <w:rsid w:val="00E36D8E"/>
    <w:rsid w:val="00E36DF0"/>
    <w:rsid w:val="00E370D1"/>
    <w:rsid w:val="00E371FF"/>
    <w:rsid w:val="00E373BA"/>
    <w:rsid w:val="00E3744D"/>
    <w:rsid w:val="00E37688"/>
    <w:rsid w:val="00E37AFC"/>
    <w:rsid w:val="00E37B62"/>
    <w:rsid w:val="00E37E6B"/>
    <w:rsid w:val="00E37E86"/>
    <w:rsid w:val="00E37EA5"/>
    <w:rsid w:val="00E37FD1"/>
    <w:rsid w:val="00E402F1"/>
    <w:rsid w:val="00E403C9"/>
    <w:rsid w:val="00E406EC"/>
    <w:rsid w:val="00E40871"/>
    <w:rsid w:val="00E408A8"/>
    <w:rsid w:val="00E409DB"/>
    <w:rsid w:val="00E40BAB"/>
    <w:rsid w:val="00E40CD0"/>
    <w:rsid w:val="00E40F9A"/>
    <w:rsid w:val="00E411B6"/>
    <w:rsid w:val="00E415A2"/>
    <w:rsid w:val="00E416C8"/>
    <w:rsid w:val="00E41C70"/>
    <w:rsid w:val="00E41D4F"/>
    <w:rsid w:val="00E41D5D"/>
    <w:rsid w:val="00E41D5F"/>
    <w:rsid w:val="00E42493"/>
    <w:rsid w:val="00E424F6"/>
    <w:rsid w:val="00E42A2C"/>
    <w:rsid w:val="00E42E0F"/>
    <w:rsid w:val="00E43214"/>
    <w:rsid w:val="00E4332A"/>
    <w:rsid w:val="00E435DC"/>
    <w:rsid w:val="00E4363E"/>
    <w:rsid w:val="00E43762"/>
    <w:rsid w:val="00E4389E"/>
    <w:rsid w:val="00E43A34"/>
    <w:rsid w:val="00E43A90"/>
    <w:rsid w:val="00E43B45"/>
    <w:rsid w:val="00E43BF3"/>
    <w:rsid w:val="00E43EE5"/>
    <w:rsid w:val="00E441AD"/>
    <w:rsid w:val="00E443AD"/>
    <w:rsid w:val="00E4448B"/>
    <w:rsid w:val="00E44698"/>
    <w:rsid w:val="00E44AB4"/>
    <w:rsid w:val="00E44EDB"/>
    <w:rsid w:val="00E44F3B"/>
    <w:rsid w:val="00E44F64"/>
    <w:rsid w:val="00E45136"/>
    <w:rsid w:val="00E455E2"/>
    <w:rsid w:val="00E45A60"/>
    <w:rsid w:val="00E45BF4"/>
    <w:rsid w:val="00E45FB9"/>
    <w:rsid w:val="00E46610"/>
    <w:rsid w:val="00E46726"/>
    <w:rsid w:val="00E468BC"/>
    <w:rsid w:val="00E46C10"/>
    <w:rsid w:val="00E46C76"/>
    <w:rsid w:val="00E46C95"/>
    <w:rsid w:val="00E4724E"/>
    <w:rsid w:val="00E472EE"/>
    <w:rsid w:val="00E473B5"/>
    <w:rsid w:val="00E47F40"/>
    <w:rsid w:val="00E47F91"/>
    <w:rsid w:val="00E47F9A"/>
    <w:rsid w:val="00E50045"/>
    <w:rsid w:val="00E503B3"/>
    <w:rsid w:val="00E50748"/>
    <w:rsid w:val="00E510F0"/>
    <w:rsid w:val="00E51162"/>
    <w:rsid w:val="00E51186"/>
    <w:rsid w:val="00E513D6"/>
    <w:rsid w:val="00E5181B"/>
    <w:rsid w:val="00E518BF"/>
    <w:rsid w:val="00E51965"/>
    <w:rsid w:val="00E522EF"/>
    <w:rsid w:val="00E525E2"/>
    <w:rsid w:val="00E52683"/>
    <w:rsid w:val="00E528D0"/>
    <w:rsid w:val="00E52A1E"/>
    <w:rsid w:val="00E531C8"/>
    <w:rsid w:val="00E53298"/>
    <w:rsid w:val="00E535F6"/>
    <w:rsid w:val="00E5381E"/>
    <w:rsid w:val="00E53D93"/>
    <w:rsid w:val="00E53EA6"/>
    <w:rsid w:val="00E540C0"/>
    <w:rsid w:val="00E54364"/>
    <w:rsid w:val="00E54419"/>
    <w:rsid w:val="00E54603"/>
    <w:rsid w:val="00E5463F"/>
    <w:rsid w:val="00E54AF3"/>
    <w:rsid w:val="00E54BBC"/>
    <w:rsid w:val="00E5520E"/>
    <w:rsid w:val="00E554D9"/>
    <w:rsid w:val="00E55777"/>
    <w:rsid w:val="00E55B5A"/>
    <w:rsid w:val="00E55DE2"/>
    <w:rsid w:val="00E55EC0"/>
    <w:rsid w:val="00E5610F"/>
    <w:rsid w:val="00E56756"/>
    <w:rsid w:val="00E56812"/>
    <w:rsid w:val="00E56E17"/>
    <w:rsid w:val="00E57040"/>
    <w:rsid w:val="00E57141"/>
    <w:rsid w:val="00E571BD"/>
    <w:rsid w:val="00E5753A"/>
    <w:rsid w:val="00E575FA"/>
    <w:rsid w:val="00E5779D"/>
    <w:rsid w:val="00E60016"/>
    <w:rsid w:val="00E60765"/>
    <w:rsid w:val="00E60E01"/>
    <w:rsid w:val="00E61054"/>
    <w:rsid w:val="00E612B8"/>
    <w:rsid w:val="00E613A8"/>
    <w:rsid w:val="00E617D0"/>
    <w:rsid w:val="00E61940"/>
    <w:rsid w:val="00E61E2C"/>
    <w:rsid w:val="00E61F2A"/>
    <w:rsid w:val="00E62416"/>
    <w:rsid w:val="00E62515"/>
    <w:rsid w:val="00E6257F"/>
    <w:rsid w:val="00E625F7"/>
    <w:rsid w:val="00E627B9"/>
    <w:rsid w:val="00E62DB1"/>
    <w:rsid w:val="00E62FA4"/>
    <w:rsid w:val="00E630DC"/>
    <w:rsid w:val="00E631B0"/>
    <w:rsid w:val="00E6349C"/>
    <w:rsid w:val="00E634CC"/>
    <w:rsid w:val="00E63A6C"/>
    <w:rsid w:val="00E64036"/>
    <w:rsid w:val="00E648AF"/>
    <w:rsid w:val="00E649D9"/>
    <w:rsid w:val="00E64C57"/>
    <w:rsid w:val="00E64E74"/>
    <w:rsid w:val="00E6559C"/>
    <w:rsid w:val="00E65BE1"/>
    <w:rsid w:val="00E65E3D"/>
    <w:rsid w:val="00E66331"/>
    <w:rsid w:val="00E670EB"/>
    <w:rsid w:val="00E6730C"/>
    <w:rsid w:val="00E67542"/>
    <w:rsid w:val="00E67B0C"/>
    <w:rsid w:val="00E67DB2"/>
    <w:rsid w:val="00E702CF"/>
    <w:rsid w:val="00E70891"/>
    <w:rsid w:val="00E709D8"/>
    <w:rsid w:val="00E7106F"/>
    <w:rsid w:val="00E7183D"/>
    <w:rsid w:val="00E71FE7"/>
    <w:rsid w:val="00E7207A"/>
    <w:rsid w:val="00E72149"/>
    <w:rsid w:val="00E72392"/>
    <w:rsid w:val="00E726CC"/>
    <w:rsid w:val="00E7272F"/>
    <w:rsid w:val="00E72798"/>
    <w:rsid w:val="00E729DE"/>
    <w:rsid w:val="00E72EA1"/>
    <w:rsid w:val="00E73086"/>
    <w:rsid w:val="00E732CB"/>
    <w:rsid w:val="00E736B9"/>
    <w:rsid w:val="00E739D9"/>
    <w:rsid w:val="00E73C09"/>
    <w:rsid w:val="00E7416F"/>
    <w:rsid w:val="00E741B7"/>
    <w:rsid w:val="00E74301"/>
    <w:rsid w:val="00E74450"/>
    <w:rsid w:val="00E7450E"/>
    <w:rsid w:val="00E74A62"/>
    <w:rsid w:val="00E74BFB"/>
    <w:rsid w:val="00E75035"/>
    <w:rsid w:val="00E752DE"/>
    <w:rsid w:val="00E7533A"/>
    <w:rsid w:val="00E754D3"/>
    <w:rsid w:val="00E759B1"/>
    <w:rsid w:val="00E75BA7"/>
    <w:rsid w:val="00E75C56"/>
    <w:rsid w:val="00E75D41"/>
    <w:rsid w:val="00E75FF7"/>
    <w:rsid w:val="00E76105"/>
    <w:rsid w:val="00E7629F"/>
    <w:rsid w:val="00E7685C"/>
    <w:rsid w:val="00E77506"/>
    <w:rsid w:val="00E77864"/>
    <w:rsid w:val="00E8009B"/>
    <w:rsid w:val="00E80425"/>
    <w:rsid w:val="00E8058D"/>
    <w:rsid w:val="00E80781"/>
    <w:rsid w:val="00E80D16"/>
    <w:rsid w:val="00E80FAA"/>
    <w:rsid w:val="00E811EE"/>
    <w:rsid w:val="00E8129A"/>
    <w:rsid w:val="00E81791"/>
    <w:rsid w:val="00E81CEA"/>
    <w:rsid w:val="00E820AD"/>
    <w:rsid w:val="00E8231F"/>
    <w:rsid w:val="00E82514"/>
    <w:rsid w:val="00E82860"/>
    <w:rsid w:val="00E82A6C"/>
    <w:rsid w:val="00E833ED"/>
    <w:rsid w:val="00E83743"/>
    <w:rsid w:val="00E837DE"/>
    <w:rsid w:val="00E8399C"/>
    <w:rsid w:val="00E83C5E"/>
    <w:rsid w:val="00E83CCA"/>
    <w:rsid w:val="00E83CEA"/>
    <w:rsid w:val="00E83DCB"/>
    <w:rsid w:val="00E8477E"/>
    <w:rsid w:val="00E84BA9"/>
    <w:rsid w:val="00E84C4A"/>
    <w:rsid w:val="00E84DC9"/>
    <w:rsid w:val="00E84E7D"/>
    <w:rsid w:val="00E84ED4"/>
    <w:rsid w:val="00E8557E"/>
    <w:rsid w:val="00E855A9"/>
    <w:rsid w:val="00E8562E"/>
    <w:rsid w:val="00E859B2"/>
    <w:rsid w:val="00E85B13"/>
    <w:rsid w:val="00E85B8C"/>
    <w:rsid w:val="00E85D8B"/>
    <w:rsid w:val="00E85D90"/>
    <w:rsid w:val="00E86166"/>
    <w:rsid w:val="00E86478"/>
    <w:rsid w:val="00E8692A"/>
    <w:rsid w:val="00E86E17"/>
    <w:rsid w:val="00E86EF3"/>
    <w:rsid w:val="00E86FC3"/>
    <w:rsid w:val="00E87084"/>
    <w:rsid w:val="00E8735F"/>
    <w:rsid w:val="00E874A7"/>
    <w:rsid w:val="00E87512"/>
    <w:rsid w:val="00E87597"/>
    <w:rsid w:val="00E876B1"/>
    <w:rsid w:val="00E876C6"/>
    <w:rsid w:val="00E87D32"/>
    <w:rsid w:val="00E87DEF"/>
    <w:rsid w:val="00E87E3A"/>
    <w:rsid w:val="00E87EEE"/>
    <w:rsid w:val="00E901CD"/>
    <w:rsid w:val="00E90595"/>
    <w:rsid w:val="00E9078B"/>
    <w:rsid w:val="00E908C9"/>
    <w:rsid w:val="00E90B01"/>
    <w:rsid w:val="00E90FE6"/>
    <w:rsid w:val="00E9103C"/>
    <w:rsid w:val="00E917BC"/>
    <w:rsid w:val="00E91F65"/>
    <w:rsid w:val="00E91F84"/>
    <w:rsid w:val="00E92253"/>
    <w:rsid w:val="00E9234A"/>
    <w:rsid w:val="00E92364"/>
    <w:rsid w:val="00E924DA"/>
    <w:rsid w:val="00E92C56"/>
    <w:rsid w:val="00E92EC6"/>
    <w:rsid w:val="00E9307F"/>
    <w:rsid w:val="00E932F7"/>
    <w:rsid w:val="00E933AE"/>
    <w:rsid w:val="00E935AC"/>
    <w:rsid w:val="00E936B7"/>
    <w:rsid w:val="00E93924"/>
    <w:rsid w:val="00E93936"/>
    <w:rsid w:val="00E93CCE"/>
    <w:rsid w:val="00E944A1"/>
    <w:rsid w:val="00E944DB"/>
    <w:rsid w:val="00E946B3"/>
    <w:rsid w:val="00E947ED"/>
    <w:rsid w:val="00E94CDE"/>
    <w:rsid w:val="00E94D48"/>
    <w:rsid w:val="00E94ECB"/>
    <w:rsid w:val="00E94F2F"/>
    <w:rsid w:val="00E95147"/>
    <w:rsid w:val="00E9521A"/>
    <w:rsid w:val="00E954FB"/>
    <w:rsid w:val="00E9584E"/>
    <w:rsid w:val="00E958FB"/>
    <w:rsid w:val="00E95B18"/>
    <w:rsid w:val="00E95D6E"/>
    <w:rsid w:val="00E96081"/>
    <w:rsid w:val="00E961D3"/>
    <w:rsid w:val="00E963C1"/>
    <w:rsid w:val="00E9641F"/>
    <w:rsid w:val="00E9643A"/>
    <w:rsid w:val="00E9687D"/>
    <w:rsid w:val="00E96896"/>
    <w:rsid w:val="00E969B6"/>
    <w:rsid w:val="00E96B9C"/>
    <w:rsid w:val="00E96ED2"/>
    <w:rsid w:val="00E96F46"/>
    <w:rsid w:val="00E971D9"/>
    <w:rsid w:val="00EA00C4"/>
    <w:rsid w:val="00EA015D"/>
    <w:rsid w:val="00EA0224"/>
    <w:rsid w:val="00EA097D"/>
    <w:rsid w:val="00EA09AF"/>
    <w:rsid w:val="00EA12BF"/>
    <w:rsid w:val="00EA1672"/>
    <w:rsid w:val="00EA1766"/>
    <w:rsid w:val="00EA19B7"/>
    <w:rsid w:val="00EA1AC7"/>
    <w:rsid w:val="00EA1AD8"/>
    <w:rsid w:val="00EA22C8"/>
    <w:rsid w:val="00EA2A1F"/>
    <w:rsid w:val="00EA2D7C"/>
    <w:rsid w:val="00EA3117"/>
    <w:rsid w:val="00EA3671"/>
    <w:rsid w:val="00EA3763"/>
    <w:rsid w:val="00EA3965"/>
    <w:rsid w:val="00EA3AC3"/>
    <w:rsid w:val="00EA470B"/>
    <w:rsid w:val="00EA4A82"/>
    <w:rsid w:val="00EA4B09"/>
    <w:rsid w:val="00EA4DE6"/>
    <w:rsid w:val="00EA4E06"/>
    <w:rsid w:val="00EA4E58"/>
    <w:rsid w:val="00EA51F9"/>
    <w:rsid w:val="00EA5326"/>
    <w:rsid w:val="00EA5542"/>
    <w:rsid w:val="00EA5654"/>
    <w:rsid w:val="00EA5CCA"/>
    <w:rsid w:val="00EA5DBD"/>
    <w:rsid w:val="00EA69E2"/>
    <w:rsid w:val="00EA6A8E"/>
    <w:rsid w:val="00EA6B54"/>
    <w:rsid w:val="00EA6BB5"/>
    <w:rsid w:val="00EA6C1B"/>
    <w:rsid w:val="00EA70D0"/>
    <w:rsid w:val="00EA712C"/>
    <w:rsid w:val="00EA713B"/>
    <w:rsid w:val="00EA74AD"/>
    <w:rsid w:val="00EA764F"/>
    <w:rsid w:val="00EA7F51"/>
    <w:rsid w:val="00EA7FC1"/>
    <w:rsid w:val="00EB0751"/>
    <w:rsid w:val="00EB0796"/>
    <w:rsid w:val="00EB0B06"/>
    <w:rsid w:val="00EB0D14"/>
    <w:rsid w:val="00EB0E42"/>
    <w:rsid w:val="00EB0F6D"/>
    <w:rsid w:val="00EB128A"/>
    <w:rsid w:val="00EB151C"/>
    <w:rsid w:val="00EB1554"/>
    <w:rsid w:val="00EB1575"/>
    <w:rsid w:val="00EB169A"/>
    <w:rsid w:val="00EB1918"/>
    <w:rsid w:val="00EB1936"/>
    <w:rsid w:val="00EB1C68"/>
    <w:rsid w:val="00EB202A"/>
    <w:rsid w:val="00EB2170"/>
    <w:rsid w:val="00EB21E1"/>
    <w:rsid w:val="00EB2280"/>
    <w:rsid w:val="00EB23D9"/>
    <w:rsid w:val="00EB2B87"/>
    <w:rsid w:val="00EB2F55"/>
    <w:rsid w:val="00EB2FC6"/>
    <w:rsid w:val="00EB30D8"/>
    <w:rsid w:val="00EB32BD"/>
    <w:rsid w:val="00EB36DB"/>
    <w:rsid w:val="00EB3DFC"/>
    <w:rsid w:val="00EB45A9"/>
    <w:rsid w:val="00EB48AB"/>
    <w:rsid w:val="00EB4A1F"/>
    <w:rsid w:val="00EB4B75"/>
    <w:rsid w:val="00EB52B3"/>
    <w:rsid w:val="00EB52FA"/>
    <w:rsid w:val="00EB530F"/>
    <w:rsid w:val="00EB54D7"/>
    <w:rsid w:val="00EB5897"/>
    <w:rsid w:val="00EB5AD3"/>
    <w:rsid w:val="00EB5C36"/>
    <w:rsid w:val="00EB5FAA"/>
    <w:rsid w:val="00EB6FCC"/>
    <w:rsid w:val="00EB7079"/>
    <w:rsid w:val="00EB7244"/>
    <w:rsid w:val="00EB73BF"/>
    <w:rsid w:val="00EB7494"/>
    <w:rsid w:val="00EB74B1"/>
    <w:rsid w:val="00EB773C"/>
    <w:rsid w:val="00EC0164"/>
    <w:rsid w:val="00EC01FF"/>
    <w:rsid w:val="00EC0339"/>
    <w:rsid w:val="00EC051E"/>
    <w:rsid w:val="00EC0528"/>
    <w:rsid w:val="00EC0B83"/>
    <w:rsid w:val="00EC0F7D"/>
    <w:rsid w:val="00EC125D"/>
    <w:rsid w:val="00EC12F5"/>
    <w:rsid w:val="00EC16E7"/>
    <w:rsid w:val="00EC1ADE"/>
    <w:rsid w:val="00EC1F67"/>
    <w:rsid w:val="00EC2B2B"/>
    <w:rsid w:val="00EC3183"/>
    <w:rsid w:val="00EC35B9"/>
    <w:rsid w:val="00EC364C"/>
    <w:rsid w:val="00EC37EB"/>
    <w:rsid w:val="00EC39FE"/>
    <w:rsid w:val="00EC3C32"/>
    <w:rsid w:val="00EC3FFA"/>
    <w:rsid w:val="00EC40D9"/>
    <w:rsid w:val="00EC4AB9"/>
    <w:rsid w:val="00EC4AC8"/>
    <w:rsid w:val="00EC518D"/>
    <w:rsid w:val="00EC51E0"/>
    <w:rsid w:val="00EC52CB"/>
    <w:rsid w:val="00EC5715"/>
    <w:rsid w:val="00EC5AF3"/>
    <w:rsid w:val="00EC5DBE"/>
    <w:rsid w:val="00EC5EF1"/>
    <w:rsid w:val="00EC61EE"/>
    <w:rsid w:val="00EC63B9"/>
    <w:rsid w:val="00EC6818"/>
    <w:rsid w:val="00EC6C3C"/>
    <w:rsid w:val="00EC6C5A"/>
    <w:rsid w:val="00EC7DBA"/>
    <w:rsid w:val="00EC7FD0"/>
    <w:rsid w:val="00ED0DB0"/>
    <w:rsid w:val="00ED110B"/>
    <w:rsid w:val="00ED14BF"/>
    <w:rsid w:val="00ED1B23"/>
    <w:rsid w:val="00ED1E46"/>
    <w:rsid w:val="00ED1ED2"/>
    <w:rsid w:val="00ED1FF5"/>
    <w:rsid w:val="00ED244F"/>
    <w:rsid w:val="00ED2BDE"/>
    <w:rsid w:val="00ED2BFD"/>
    <w:rsid w:val="00ED2BFF"/>
    <w:rsid w:val="00ED2E58"/>
    <w:rsid w:val="00ED32A9"/>
    <w:rsid w:val="00ED3D21"/>
    <w:rsid w:val="00ED3D93"/>
    <w:rsid w:val="00ED42D3"/>
    <w:rsid w:val="00ED4671"/>
    <w:rsid w:val="00ED4693"/>
    <w:rsid w:val="00ED46EB"/>
    <w:rsid w:val="00ED4FFD"/>
    <w:rsid w:val="00ED532D"/>
    <w:rsid w:val="00ED57AC"/>
    <w:rsid w:val="00ED5804"/>
    <w:rsid w:val="00ED59D3"/>
    <w:rsid w:val="00ED5C67"/>
    <w:rsid w:val="00ED5F9D"/>
    <w:rsid w:val="00ED6465"/>
    <w:rsid w:val="00ED64FD"/>
    <w:rsid w:val="00ED716A"/>
    <w:rsid w:val="00ED7466"/>
    <w:rsid w:val="00ED7662"/>
    <w:rsid w:val="00ED7C74"/>
    <w:rsid w:val="00ED7CED"/>
    <w:rsid w:val="00EE01A2"/>
    <w:rsid w:val="00EE02EF"/>
    <w:rsid w:val="00EE0524"/>
    <w:rsid w:val="00EE076F"/>
    <w:rsid w:val="00EE0DD7"/>
    <w:rsid w:val="00EE110D"/>
    <w:rsid w:val="00EE128A"/>
    <w:rsid w:val="00EE1680"/>
    <w:rsid w:val="00EE16E4"/>
    <w:rsid w:val="00EE1D0E"/>
    <w:rsid w:val="00EE26B1"/>
    <w:rsid w:val="00EE275D"/>
    <w:rsid w:val="00EE29B2"/>
    <w:rsid w:val="00EE2A6C"/>
    <w:rsid w:val="00EE2B02"/>
    <w:rsid w:val="00EE2F0E"/>
    <w:rsid w:val="00EE2FD2"/>
    <w:rsid w:val="00EE3918"/>
    <w:rsid w:val="00EE3A79"/>
    <w:rsid w:val="00EE3B00"/>
    <w:rsid w:val="00EE3C8C"/>
    <w:rsid w:val="00EE41E4"/>
    <w:rsid w:val="00EE4749"/>
    <w:rsid w:val="00EE4E43"/>
    <w:rsid w:val="00EE4F4A"/>
    <w:rsid w:val="00EE51CC"/>
    <w:rsid w:val="00EE583C"/>
    <w:rsid w:val="00EE5870"/>
    <w:rsid w:val="00EE5875"/>
    <w:rsid w:val="00EE5FF0"/>
    <w:rsid w:val="00EE60B2"/>
    <w:rsid w:val="00EE653D"/>
    <w:rsid w:val="00EE6848"/>
    <w:rsid w:val="00EE698E"/>
    <w:rsid w:val="00EE6CED"/>
    <w:rsid w:val="00EE6F32"/>
    <w:rsid w:val="00EE716D"/>
    <w:rsid w:val="00EE782D"/>
    <w:rsid w:val="00EE7984"/>
    <w:rsid w:val="00EE7C2B"/>
    <w:rsid w:val="00EE7C8C"/>
    <w:rsid w:val="00EF0072"/>
    <w:rsid w:val="00EF0265"/>
    <w:rsid w:val="00EF0639"/>
    <w:rsid w:val="00EF0F62"/>
    <w:rsid w:val="00EF1094"/>
    <w:rsid w:val="00EF1336"/>
    <w:rsid w:val="00EF1BBA"/>
    <w:rsid w:val="00EF1C49"/>
    <w:rsid w:val="00EF21CE"/>
    <w:rsid w:val="00EF280A"/>
    <w:rsid w:val="00EF2C51"/>
    <w:rsid w:val="00EF3442"/>
    <w:rsid w:val="00EF385C"/>
    <w:rsid w:val="00EF3B6F"/>
    <w:rsid w:val="00EF3C5E"/>
    <w:rsid w:val="00EF3FB0"/>
    <w:rsid w:val="00EF4055"/>
    <w:rsid w:val="00EF43C9"/>
    <w:rsid w:val="00EF4523"/>
    <w:rsid w:val="00EF4B10"/>
    <w:rsid w:val="00EF4D16"/>
    <w:rsid w:val="00EF4F06"/>
    <w:rsid w:val="00EF53BC"/>
    <w:rsid w:val="00EF53D6"/>
    <w:rsid w:val="00EF5C20"/>
    <w:rsid w:val="00EF5D18"/>
    <w:rsid w:val="00EF619F"/>
    <w:rsid w:val="00EF61A9"/>
    <w:rsid w:val="00EF6363"/>
    <w:rsid w:val="00EF6460"/>
    <w:rsid w:val="00EF6569"/>
    <w:rsid w:val="00EF680C"/>
    <w:rsid w:val="00EF6DB5"/>
    <w:rsid w:val="00EF72C6"/>
    <w:rsid w:val="00EF7420"/>
    <w:rsid w:val="00EF7844"/>
    <w:rsid w:val="00EF7A87"/>
    <w:rsid w:val="00EF7CBC"/>
    <w:rsid w:val="00EF7FC2"/>
    <w:rsid w:val="00F0043F"/>
    <w:rsid w:val="00F006AD"/>
    <w:rsid w:val="00F00B89"/>
    <w:rsid w:val="00F00DEA"/>
    <w:rsid w:val="00F012A8"/>
    <w:rsid w:val="00F012CE"/>
    <w:rsid w:val="00F01565"/>
    <w:rsid w:val="00F01607"/>
    <w:rsid w:val="00F01889"/>
    <w:rsid w:val="00F018EB"/>
    <w:rsid w:val="00F01C5E"/>
    <w:rsid w:val="00F01FA8"/>
    <w:rsid w:val="00F02171"/>
    <w:rsid w:val="00F02253"/>
    <w:rsid w:val="00F02350"/>
    <w:rsid w:val="00F02697"/>
    <w:rsid w:val="00F02718"/>
    <w:rsid w:val="00F029D2"/>
    <w:rsid w:val="00F029F2"/>
    <w:rsid w:val="00F02B10"/>
    <w:rsid w:val="00F03209"/>
    <w:rsid w:val="00F0345A"/>
    <w:rsid w:val="00F0431B"/>
    <w:rsid w:val="00F04501"/>
    <w:rsid w:val="00F04860"/>
    <w:rsid w:val="00F04976"/>
    <w:rsid w:val="00F04F94"/>
    <w:rsid w:val="00F05315"/>
    <w:rsid w:val="00F056FC"/>
    <w:rsid w:val="00F05A89"/>
    <w:rsid w:val="00F05E37"/>
    <w:rsid w:val="00F06357"/>
    <w:rsid w:val="00F06416"/>
    <w:rsid w:val="00F06445"/>
    <w:rsid w:val="00F06E71"/>
    <w:rsid w:val="00F06F46"/>
    <w:rsid w:val="00F0708B"/>
    <w:rsid w:val="00F070BB"/>
    <w:rsid w:val="00F0730D"/>
    <w:rsid w:val="00F07656"/>
    <w:rsid w:val="00F076DB"/>
    <w:rsid w:val="00F07A23"/>
    <w:rsid w:val="00F07A32"/>
    <w:rsid w:val="00F07AFD"/>
    <w:rsid w:val="00F07E23"/>
    <w:rsid w:val="00F101DF"/>
    <w:rsid w:val="00F1025E"/>
    <w:rsid w:val="00F10338"/>
    <w:rsid w:val="00F1066F"/>
    <w:rsid w:val="00F10B2A"/>
    <w:rsid w:val="00F10BA6"/>
    <w:rsid w:val="00F10BA9"/>
    <w:rsid w:val="00F10C3A"/>
    <w:rsid w:val="00F110C9"/>
    <w:rsid w:val="00F110EA"/>
    <w:rsid w:val="00F1113C"/>
    <w:rsid w:val="00F11408"/>
    <w:rsid w:val="00F11479"/>
    <w:rsid w:val="00F1196E"/>
    <w:rsid w:val="00F11B85"/>
    <w:rsid w:val="00F11F6F"/>
    <w:rsid w:val="00F12438"/>
    <w:rsid w:val="00F129CB"/>
    <w:rsid w:val="00F12B73"/>
    <w:rsid w:val="00F12B78"/>
    <w:rsid w:val="00F12C22"/>
    <w:rsid w:val="00F12D4D"/>
    <w:rsid w:val="00F132B9"/>
    <w:rsid w:val="00F13924"/>
    <w:rsid w:val="00F139D8"/>
    <w:rsid w:val="00F13BAD"/>
    <w:rsid w:val="00F1415C"/>
    <w:rsid w:val="00F14359"/>
    <w:rsid w:val="00F14720"/>
    <w:rsid w:val="00F14787"/>
    <w:rsid w:val="00F14924"/>
    <w:rsid w:val="00F14C76"/>
    <w:rsid w:val="00F15638"/>
    <w:rsid w:val="00F15F94"/>
    <w:rsid w:val="00F1606D"/>
    <w:rsid w:val="00F167FD"/>
    <w:rsid w:val="00F16C4A"/>
    <w:rsid w:val="00F16EFF"/>
    <w:rsid w:val="00F1718F"/>
    <w:rsid w:val="00F171DC"/>
    <w:rsid w:val="00F174D9"/>
    <w:rsid w:val="00F176AA"/>
    <w:rsid w:val="00F17BAE"/>
    <w:rsid w:val="00F20162"/>
    <w:rsid w:val="00F20356"/>
    <w:rsid w:val="00F2039D"/>
    <w:rsid w:val="00F20445"/>
    <w:rsid w:val="00F2047C"/>
    <w:rsid w:val="00F204ED"/>
    <w:rsid w:val="00F2085F"/>
    <w:rsid w:val="00F20A64"/>
    <w:rsid w:val="00F20EBD"/>
    <w:rsid w:val="00F20F83"/>
    <w:rsid w:val="00F20FC3"/>
    <w:rsid w:val="00F21110"/>
    <w:rsid w:val="00F2129F"/>
    <w:rsid w:val="00F2196F"/>
    <w:rsid w:val="00F21B9D"/>
    <w:rsid w:val="00F21CC5"/>
    <w:rsid w:val="00F21D20"/>
    <w:rsid w:val="00F21E31"/>
    <w:rsid w:val="00F21F17"/>
    <w:rsid w:val="00F2256A"/>
    <w:rsid w:val="00F22584"/>
    <w:rsid w:val="00F22F71"/>
    <w:rsid w:val="00F23269"/>
    <w:rsid w:val="00F232AE"/>
    <w:rsid w:val="00F23363"/>
    <w:rsid w:val="00F23988"/>
    <w:rsid w:val="00F23B0B"/>
    <w:rsid w:val="00F23CA5"/>
    <w:rsid w:val="00F23D49"/>
    <w:rsid w:val="00F2491E"/>
    <w:rsid w:val="00F24B64"/>
    <w:rsid w:val="00F24C0B"/>
    <w:rsid w:val="00F24D18"/>
    <w:rsid w:val="00F24D60"/>
    <w:rsid w:val="00F24F27"/>
    <w:rsid w:val="00F25260"/>
    <w:rsid w:val="00F252C6"/>
    <w:rsid w:val="00F25382"/>
    <w:rsid w:val="00F25A7E"/>
    <w:rsid w:val="00F262A8"/>
    <w:rsid w:val="00F267D1"/>
    <w:rsid w:val="00F269CE"/>
    <w:rsid w:val="00F26E7A"/>
    <w:rsid w:val="00F271CE"/>
    <w:rsid w:val="00F272F4"/>
    <w:rsid w:val="00F27380"/>
    <w:rsid w:val="00F27504"/>
    <w:rsid w:val="00F2769A"/>
    <w:rsid w:val="00F276A0"/>
    <w:rsid w:val="00F2783C"/>
    <w:rsid w:val="00F2784E"/>
    <w:rsid w:val="00F27B9D"/>
    <w:rsid w:val="00F27D26"/>
    <w:rsid w:val="00F27E4C"/>
    <w:rsid w:val="00F27EE2"/>
    <w:rsid w:val="00F27F0E"/>
    <w:rsid w:val="00F3049B"/>
    <w:rsid w:val="00F305FE"/>
    <w:rsid w:val="00F30A39"/>
    <w:rsid w:val="00F30C9B"/>
    <w:rsid w:val="00F30F7F"/>
    <w:rsid w:val="00F3213E"/>
    <w:rsid w:val="00F3225F"/>
    <w:rsid w:val="00F3267C"/>
    <w:rsid w:val="00F32911"/>
    <w:rsid w:val="00F32D58"/>
    <w:rsid w:val="00F337B5"/>
    <w:rsid w:val="00F33D3C"/>
    <w:rsid w:val="00F3439C"/>
    <w:rsid w:val="00F34563"/>
    <w:rsid w:val="00F34696"/>
    <w:rsid w:val="00F348B2"/>
    <w:rsid w:val="00F34DC9"/>
    <w:rsid w:val="00F350CE"/>
    <w:rsid w:val="00F3518A"/>
    <w:rsid w:val="00F35208"/>
    <w:rsid w:val="00F36C98"/>
    <w:rsid w:val="00F36DA3"/>
    <w:rsid w:val="00F36E66"/>
    <w:rsid w:val="00F376A9"/>
    <w:rsid w:val="00F377EB"/>
    <w:rsid w:val="00F37A04"/>
    <w:rsid w:val="00F37C84"/>
    <w:rsid w:val="00F400A2"/>
    <w:rsid w:val="00F404D6"/>
    <w:rsid w:val="00F409CE"/>
    <w:rsid w:val="00F40ABC"/>
    <w:rsid w:val="00F416FF"/>
    <w:rsid w:val="00F4187B"/>
    <w:rsid w:val="00F4194F"/>
    <w:rsid w:val="00F41975"/>
    <w:rsid w:val="00F42015"/>
    <w:rsid w:val="00F421C1"/>
    <w:rsid w:val="00F42281"/>
    <w:rsid w:val="00F42679"/>
    <w:rsid w:val="00F427EF"/>
    <w:rsid w:val="00F42898"/>
    <w:rsid w:val="00F42A05"/>
    <w:rsid w:val="00F42B58"/>
    <w:rsid w:val="00F42E72"/>
    <w:rsid w:val="00F42F20"/>
    <w:rsid w:val="00F4317D"/>
    <w:rsid w:val="00F43428"/>
    <w:rsid w:val="00F43AB9"/>
    <w:rsid w:val="00F43D78"/>
    <w:rsid w:val="00F4436C"/>
    <w:rsid w:val="00F44BDD"/>
    <w:rsid w:val="00F44EDC"/>
    <w:rsid w:val="00F453DB"/>
    <w:rsid w:val="00F4548E"/>
    <w:rsid w:val="00F45683"/>
    <w:rsid w:val="00F4586B"/>
    <w:rsid w:val="00F45E49"/>
    <w:rsid w:val="00F45F3A"/>
    <w:rsid w:val="00F45FDE"/>
    <w:rsid w:val="00F46278"/>
    <w:rsid w:val="00F464FD"/>
    <w:rsid w:val="00F46653"/>
    <w:rsid w:val="00F467A7"/>
    <w:rsid w:val="00F4680F"/>
    <w:rsid w:val="00F46D83"/>
    <w:rsid w:val="00F47269"/>
    <w:rsid w:val="00F47365"/>
    <w:rsid w:val="00F4737D"/>
    <w:rsid w:val="00F47653"/>
    <w:rsid w:val="00F47680"/>
    <w:rsid w:val="00F47A7B"/>
    <w:rsid w:val="00F47B92"/>
    <w:rsid w:val="00F47D82"/>
    <w:rsid w:val="00F47DAE"/>
    <w:rsid w:val="00F47DFD"/>
    <w:rsid w:val="00F47E77"/>
    <w:rsid w:val="00F5000C"/>
    <w:rsid w:val="00F50083"/>
    <w:rsid w:val="00F504A4"/>
    <w:rsid w:val="00F50AF3"/>
    <w:rsid w:val="00F50B02"/>
    <w:rsid w:val="00F50BEC"/>
    <w:rsid w:val="00F50CB2"/>
    <w:rsid w:val="00F50EBC"/>
    <w:rsid w:val="00F5126F"/>
    <w:rsid w:val="00F5162E"/>
    <w:rsid w:val="00F517B8"/>
    <w:rsid w:val="00F51BE0"/>
    <w:rsid w:val="00F51C48"/>
    <w:rsid w:val="00F51D35"/>
    <w:rsid w:val="00F51ECD"/>
    <w:rsid w:val="00F5261E"/>
    <w:rsid w:val="00F52B43"/>
    <w:rsid w:val="00F52EF8"/>
    <w:rsid w:val="00F531FA"/>
    <w:rsid w:val="00F53A49"/>
    <w:rsid w:val="00F53D9F"/>
    <w:rsid w:val="00F5427C"/>
    <w:rsid w:val="00F54883"/>
    <w:rsid w:val="00F548CD"/>
    <w:rsid w:val="00F54C3B"/>
    <w:rsid w:val="00F5519C"/>
    <w:rsid w:val="00F55844"/>
    <w:rsid w:val="00F56049"/>
    <w:rsid w:val="00F56301"/>
    <w:rsid w:val="00F56B2C"/>
    <w:rsid w:val="00F56B96"/>
    <w:rsid w:val="00F56BB8"/>
    <w:rsid w:val="00F571CF"/>
    <w:rsid w:val="00F5724B"/>
    <w:rsid w:val="00F57273"/>
    <w:rsid w:val="00F57688"/>
    <w:rsid w:val="00F576A2"/>
    <w:rsid w:val="00F57717"/>
    <w:rsid w:val="00F57C95"/>
    <w:rsid w:val="00F57E51"/>
    <w:rsid w:val="00F60839"/>
    <w:rsid w:val="00F6112A"/>
    <w:rsid w:val="00F61235"/>
    <w:rsid w:val="00F61961"/>
    <w:rsid w:val="00F61BDE"/>
    <w:rsid w:val="00F61D9B"/>
    <w:rsid w:val="00F61E13"/>
    <w:rsid w:val="00F6271E"/>
    <w:rsid w:val="00F627E9"/>
    <w:rsid w:val="00F6280A"/>
    <w:rsid w:val="00F62895"/>
    <w:rsid w:val="00F62932"/>
    <w:rsid w:val="00F63703"/>
    <w:rsid w:val="00F639A1"/>
    <w:rsid w:val="00F639D1"/>
    <w:rsid w:val="00F63B09"/>
    <w:rsid w:val="00F63EA7"/>
    <w:rsid w:val="00F641AD"/>
    <w:rsid w:val="00F64252"/>
    <w:rsid w:val="00F6452C"/>
    <w:rsid w:val="00F64596"/>
    <w:rsid w:val="00F647A0"/>
    <w:rsid w:val="00F64AD7"/>
    <w:rsid w:val="00F656DA"/>
    <w:rsid w:val="00F6577A"/>
    <w:rsid w:val="00F657B6"/>
    <w:rsid w:val="00F66569"/>
    <w:rsid w:val="00F667B3"/>
    <w:rsid w:val="00F66FF0"/>
    <w:rsid w:val="00F67949"/>
    <w:rsid w:val="00F67B04"/>
    <w:rsid w:val="00F67C83"/>
    <w:rsid w:val="00F67D4D"/>
    <w:rsid w:val="00F67F16"/>
    <w:rsid w:val="00F70213"/>
    <w:rsid w:val="00F7048B"/>
    <w:rsid w:val="00F706D4"/>
    <w:rsid w:val="00F70F29"/>
    <w:rsid w:val="00F71048"/>
    <w:rsid w:val="00F71061"/>
    <w:rsid w:val="00F71123"/>
    <w:rsid w:val="00F71E31"/>
    <w:rsid w:val="00F71FD1"/>
    <w:rsid w:val="00F72413"/>
    <w:rsid w:val="00F724F2"/>
    <w:rsid w:val="00F7256F"/>
    <w:rsid w:val="00F7348F"/>
    <w:rsid w:val="00F7355D"/>
    <w:rsid w:val="00F739E5"/>
    <w:rsid w:val="00F74878"/>
    <w:rsid w:val="00F7492A"/>
    <w:rsid w:val="00F74DD4"/>
    <w:rsid w:val="00F74F22"/>
    <w:rsid w:val="00F75032"/>
    <w:rsid w:val="00F7554E"/>
    <w:rsid w:val="00F75D34"/>
    <w:rsid w:val="00F75F0A"/>
    <w:rsid w:val="00F76299"/>
    <w:rsid w:val="00F7633D"/>
    <w:rsid w:val="00F766FF"/>
    <w:rsid w:val="00F7686B"/>
    <w:rsid w:val="00F76973"/>
    <w:rsid w:val="00F76EA1"/>
    <w:rsid w:val="00F77081"/>
    <w:rsid w:val="00F77315"/>
    <w:rsid w:val="00F775A3"/>
    <w:rsid w:val="00F7778B"/>
    <w:rsid w:val="00F7786E"/>
    <w:rsid w:val="00F77BF1"/>
    <w:rsid w:val="00F77F4A"/>
    <w:rsid w:val="00F77F71"/>
    <w:rsid w:val="00F800A8"/>
    <w:rsid w:val="00F80270"/>
    <w:rsid w:val="00F80717"/>
    <w:rsid w:val="00F80CB2"/>
    <w:rsid w:val="00F80FED"/>
    <w:rsid w:val="00F81162"/>
    <w:rsid w:val="00F81488"/>
    <w:rsid w:val="00F81D33"/>
    <w:rsid w:val="00F822FF"/>
    <w:rsid w:val="00F82552"/>
    <w:rsid w:val="00F826B3"/>
    <w:rsid w:val="00F8277F"/>
    <w:rsid w:val="00F82C47"/>
    <w:rsid w:val="00F82C7C"/>
    <w:rsid w:val="00F82E46"/>
    <w:rsid w:val="00F82ED9"/>
    <w:rsid w:val="00F82FDB"/>
    <w:rsid w:val="00F834FF"/>
    <w:rsid w:val="00F83EC6"/>
    <w:rsid w:val="00F841FD"/>
    <w:rsid w:val="00F8433E"/>
    <w:rsid w:val="00F84B6F"/>
    <w:rsid w:val="00F84DE6"/>
    <w:rsid w:val="00F8543C"/>
    <w:rsid w:val="00F85465"/>
    <w:rsid w:val="00F85543"/>
    <w:rsid w:val="00F8557C"/>
    <w:rsid w:val="00F85C7D"/>
    <w:rsid w:val="00F8651E"/>
    <w:rsid w:val="00F867AC"/>
    <w:rsid w:val="00F868E6"/>
    <w:rsid w:val="00F86A71"/>
    <w:rsid w:val="00F86AD8"/>
    <w:rsid w:val="00F86AE5"/>
    <w:rsid w:val="00F86B16"/>
    <w:rsid w:val="00F86C66"/>
    <w:rsid w:val="00F87D47"/>
    <w:rsid w:val="00F902D6"/>
    <w:rsid w:val="00F906F3"/>
    <w:rsid w:val="00F90847"/>
    <w:rsid w:val="00F90A15"/>
    <w:rsid w:val="00F90E34"/>
    <w:rsid w:val="00F90FC6"/>
    <w:rsid w:val="00F91170"/>
    <w:rsid w:val="00F9142D"/>
    <w:rsid w:val="00F9168B"/>
    <w:rsid w:val="00F91740"/>
    <w:rsid w:val="00F917EE"/>
    <w:rsid w:val="00F9191B"/>
    <w:rsid w:val="00F9218C"/>
    <w:rsid w:val="00F922B4"/>
    <w:rsid w:val="00F9237B"/>
    <w:rsid w:val="00F923E3"/>
    <w:rsid w:val="00F923ED"/>
    <w:rsid w:val="00F926BE"/>
    <w:rsid w:val="00F9297D"/>
    <w:rsid w:val="00F92C89"/>
    <w:rsid w:val="00F936FA"/>
    <w:rsid w:val="00F937E3"/>
    <w:rsid w:val="00F93887"/>
    <w:rsid w:val="00F93C20"/>
    <w:rsid w:val="00F93DAA"/>
    <w:rsid w:val="00F940CC"/>
    <w:rsid w:val="00F941EA"/>
    <w:rsid w:val="00F9427C"/>
    <w:rsid w:val="00F942F2"/>
    <w:rsid w:val="00F94317"/>
    <w:rsid w:val="00F94322"/>
    <w:rsid w:val="00F944F2"/>
    <w:rsid w:val="00F945DF"/>
    <w:rsid w:val="00F94896"/>
    <w:rsid w:val="00F948E5"/>
    <w:rsid w:val="00F94AC6"/>
    <w:rsid w:val="00F94C0C"/>
    <w:rsid w:val="00F94F6E"/>
    <w:rsid w:val="00F94F82"/>
    <w:rsid w:val="00F951F9"/>
    <w:rsid w:val="00F9526F"/>
    <w:rsid w:val="00F9529C"/>
    <w:rsid w:val="00F958AB"/>
    <w:rsid w:val="00F95B14"/>
    <w:rsid w:val="00F95B27"/>
    <w:rsid w:val="00F95D5B"/>
    <w:rsid w:val="00F95D90"/>
    <w:rsid w:val="00F95FE3"/>
    <w:rsid w:val="00F962D7"/>
    <w:rsid w:val="00F96452"/>
    <w:rsid w:val="00F96863"/>
    <w:rsid w:val="00F96A3B"/>
    <w:rsid w:val="00F96B62"/>
    <w:rsid w:val="00F96BFA"/>
    <w:rsid w:val="00F96CFC"/>
    <w:rsid w:val="00F96D0F"/>
    <w:rsid w:val="00F96D51"/>
    <w:rsid w:val="00F97062"/>
    <w:rsid w:val="00F973ED"/>
    <w:rsid w:val="00F97758"/>
    <w:rsid w:val="00F97C45"/>
    <w:rsid w:val="00F97F5C"/>
    <w:rsid w:val="00FA035D"/>
    <w:rsid w:val="00FA0777"/>
    <w:rsid w:val="00FA0AAF"/>
    <w:rsid w:val="00FA0D4C"/>
    <w:rsid w:val="00FA0F98"/>
    <w:rsid w:val="00FA1149"/>
    <w:rsid w:val="00FA14AC"/>
    <w:rsid w:val="00FA21C2"/>
    <w:rsid w:val="00FA2857"/>
    <w:rsid w:val="00FA2897"/>
    <w:rsid w:val="00FA29F9"/>
    <w:rsid w:val="00FA2CCE"/>
    <w:rsid w:val="00FA2D0B"/>
    <w:rsid w:val="00FA2F09"/>
    <w:rsid w:val="00FA2F4C"/>
    <w:rsid w:val="00FA2FF6"/>
    <w:rsid w:val="00FA302E"/>
    <w:rsid w:val="00FA30D7"/>
    <w:rsid w:val="00FA342E"/>
    <w:rsid w:val="00FA379F"/>
    <w:rsid w:val="00FA3F04"/>
    <w:rsid w:val="00FA40EA"/>
    <w:rsid w:val="00FA4192"/>
    <w:rsid w:val="00FA4477"/>
    <w:rsid w:val="00FA4655"/>
    <w:rsid w:val="00FA466D"/>
    <w:rsid w:val="00FA49C1"/>
    <w:rsid w:val="00FA4D8E"/>
    <w:rsid w:val="00FA4EFA"/>
    <w:rsid w:val="00FA50D0"/>
    <w:rsid w:val="00FA55E4"/>
    <w:rsid w:val="00FA5CB4"/>
    <w:rsid w:val="00FA5D40"/>
    <w:rsid w:val="00FA5F1E"/>
    <w:rsid w:val="00FA6074"/>
    <w:rsid w:val="00FA617E"/>
    <w:rsid w:val="00FA6573"/>
    <w:rsid w:val="00FA6855"/>
    <w:rsid w:val="00FA6CF3"/>
    <w:rsid w:val="00FA6FA8"/>
    <w:rsid w:val="00FA76B4"/>
    <w:rsid w:val="00FA79D5"/>
    <w:rsid w:val="00FA7FD2"/>
    <w:rsid w:val="00FB0200"/>
    <w:rsid w:val="00FB08BA"/>
    <w:rsid w:val="00FB09C9"/>
    <w:rsid w:val="00FB0BCF"/>
    <w:rsid w:val="00FB123D"/>
    <w:rsid w:val="00FB1290"/>
    <w:rsid w:val="00FB13DA"/>
    <w:rsid w:val="00FB1852"/>
    <w:rsid w:val="00FB1C24"/>
    <w:rsid w:val="00FB1C92"/>
    <w:rsid w:val="00FB1DBA"/>
    <w:rsid w:val="00FB21AF"/>
    <w:rsid w:val="00FB21F5"/>
    <w:rsid w:val="00FB2310"/>
    <w:rsid w:val="00FB25ED"/>
    <w:rsid w:val="00FB26B1"/>
    <w:rsid w:val="00FB27B0"/>
    <w:rsid w:val="00FB29B8"/>
    <w:rsid w:val="00FB31F6"/>
    <w:rsid w:val="00FB32A8"/>
    <w:rsid w:val="00FB34D8"/>
    <w:rsid w:val="00FB35A8"/>
    <w:rsid w:val="00FB39BC"/>
    <w:rsid w:val="00FB3B40"/>
    <w:rsid w:val="00FB3DA3"/>
    <w:rsid w:val="00FB3F29"/>
    <w:rsid w:val="00FB3F46"/>
    <w:rsid w:val="00FB4004"/>
    <w:rsid w:val="00FB4233"/>
    <w:rsid w:val="00FB4A53"/>
    <w:rsid w:val="00FB4B1E"/>
    <w:rsid w:val="00FB4E2D"/>
    <w:rsid w:val="00FB4FF8"/>
    <w:rsid w:val="00FB5121"/>
    <w:rsid w:val="00FB517C"/>
    <w:rsid w:val="00FB5554"/>
    <w:rsid w:val="00FB55C7"/>
    <w:rsid w:val="00FB58BC"/>
    <w:rsid w:val="00FB5B94"/>
    <w:rsid w:val="00FB5DEB"/>
    <w:rsid w:val="00FB604F"/>
    <w:rsid w:val="00FB62E3"/>
    <w:rsid w:val="00FB6779"/>
    <w:rsid w:val="00FB6C56"/>
    <w:rsid w:val="00FB6EDF"/>
    <w:rsid w:val="00FB7189"/>
    <w:rsid w:val="00FB72DB"/>
    <w:rsid w:val="00FB7AC3"/>
    <w:rsid w:val="00FB7FFC"/>
    <w:rsid w:val="00FC010D"/>
    <w:rsid w:val="00FC02CC"/>
    <w:rsid w:val="00FC0A0F"/>
    <w:rsid w:val="00FC0AF2"/>
    <w:rsid w:val="00FC0EE7"/>
    <w:rsid w:val="00FC16EB"/>
    <w:rsid w:val="00FC1D68"/>
    <w:rsid w:val="00FC20B0"/>
    <w:rsid w:val="00FC21D3"/>
    <w:rsid w:val="00FC2204"/>
    <w:rsid w:val="00FC2409"/>
    <w:rsid w:val="00FC24D8"/>
    <w:rsid w:val="00FC27AB"/>
    <w:rsid w:val="00FC27B6"/>
    <w:rsid w:val="00FC2D3B"/>
    <w:rsid w:val="00FC2DCD"/>
    <w:rsid w:val="00FC3439"/>
    <w:rsid w:val="00FC3465"/>
    <w:rsid w:val="00FC365A"/>
    <w:rsid w:val="00FC37F7"/>
    <w:rsid w:val="00FC3860"/>
    <w:rsid w:val="00FC38E8"/>
    <w:rsid w:val="00FC3BBF"/>
    <w:rsid w:val="00FC4057"/>
    <w:rsid w:val="00FC4AAC"/>
    <w:rsid w:val="00FC4D97"/>
    <w:rsid w:val="00FC5130"/>
    <w:rsid w:val="00FC5564"/>
    <w:rsid w:val="00FC5652"/>
    <w:rsid w:val="00FC565A"/>
    <w:rsid w:val="00FC5737"/>
    <w:rsid w:val="00FC59DB"/>
    <w:rsid w:val="00FC59F2"/>
    <w:rsid w:val="00FC5C3A"/>
    <w:rsid w:val="00FC5D44"/>
    <w:rsid w:val="00FC5FC0"/>
    <w:rsid w:val="00FC611B"/>
    <w:rsid w:val="00FC61F7"/>
    <w:rsid w:val="00FC6423"/>
    <w:rsid w:val="00FC6586"/>
    <w:rsid w:val="00FC69C4"/>
    <w:rsid w:val="00FC6FF1"/>
    <w:rsid w:val="00FC7556"/>
    <w:rsid w:val="00FC7DEF"/>
    <w:rsid w:val="00FC7F4B"/>
    <w:rsid w:val="00FC7FDA"/>
    <w:rsid w:val="00FD0A13"/>
    <w:rsid w:val="00FD12D1"/>
    <w:rsid w:val="00FD14DB"/>
    <w:rsid w:val="00FD1A2B"/>
    <w:rsid w:val="00FD24B3"/>
    <w:rsid w:val="00FD26A6"/>
    <w:rsid w:val="00FD2A6F"/>
    <w:rsid w:val="00FD2C29"/>
    <w:rsid w:val="00FD33C2"/>
    <w:rsid w:val="00FD34A0"/>
    <w:rsid w:val="00FD3628"/>
    <w:rsid w:val="00FD3754"/>
    <w:rsid w:val="00FD377F"/>
    <w:rsid w:val="00FD3CDF"/>
    <w:rsid w:val="00FD3DEE"/>
    <w:rsid w:val="00FD4143"/>
    <w:rsid w:val="00FD48C3"/>
    <w:rsid w:val="00FD4E5D"/>
    <w:rsid w:val="00FD4E9E"/>
    <w:rsid w:val="00FD555F"/>
    <w:rsid w:val="00FD5649"/>
    <w:rsid w:val="00FD5A22"/>
    <w:rsid w:val="00FD5EAB"/>
    <w:rsid w:val="00FD60C3"/>
    <w:rsid w:val="00FD6111"/>
    <w:rsid w:val="00FD62ED"/>
    <w:rsid w:val="00FD6358"/>
    <w:rsid w:val="00FD657B"/>
    <w:rsid w:val="00FD66DF"/>
    <w:rsid w:val="00FD6E9E"/>
    <w:rsid w:val="00FD726B"/>
    <w:rsid w:val="00FD738A"/>
    <w:rsid w:val="00FD7836"/>
    <w:rsid w:val="00FD7A05"/>
    <w:rsid w:val="00FD7ECD"/>
    <w:rsid w:val="00FE0795"/>
    <w:rsid w:val="00FE09E6"/>
    <w:rsid w:val="00FE0BC6"/>
    <w:rsid w:val="00FE0F39"/>
    <w:rsid w:val="00FE0F3C"/>
    <w:rsid w:val="00FE0F8B"/>
    <w:rsid w:val="00FE1009"/>
    <w:rsid w:val="00FE1347"/>
    <w:rsid w:val="00FE17A9"/>
    <w:rsid w:val="00FE1B9C"/>
    <w:rsid w:val="00FE1D0E"/>
    <w:rsid w:val="00FE1D47"/>
    <w:rsid w:val="00FE217F"/>
    <w:rsid w:val="00FE21FC"/>
    <w:rsid w:val="00FE231B"/>
    <w:rsid w:val="00FE26EC"/>
    <w:rsid w:val="00FE2834"/>
    <w:rsid w:val="00FE2895"/>
    <w:rsid w:val="00FE35DA"/>
    <w:rsid w:val="00FE3724"/>
    <w:rsid w:val="00FE3BB0"/>
    <w:rsid w:val="00FE4136"/>
    <w:rsid w:val="00FE439A"/>
    <w:rsid w:val="00FE4B5A"/>
    <w:rsid w:val="00FE540A"/>
    <w:rsid w:val="00FE55CF"/>
    <w:rsid w:val="00FE5C66"/>
    <w:rsid w:val="00FE60A9"/>
    <w:rsid w:val="00FE623F"/>
    <w:rsid w:val="00FE6475"/>
    <w:rsid w:val="00FE6B04"/>
    <w:rsid w:val="00FE6C44"/>
    <w:rsid w:val="00FE710E"/>
    <w:rsid w:val="00FE768D"/>
    <w:rsid w:val="00FE7AA8"/>
    <w:rsid w:val="00FE7C09"/>
    <w:rsid w:val="00FE7C50"/>
    <w:rsid w:val="00FE7C94"/>
    <w:rsid w:val="00FE7FBB"/>
    <w:rsid w:val="00FF0040"/>
    <w:rsid w:val="00FF0195"/>
    <w:rsid w:val="00FF0316"/>
    <w:rsid w:val="00FF0D2D"/>
    <w:rsid w:val="00FF14C8"/>
    <w:rsid w:val="00FF15DC"/>
    <w:rsid w:val="00FF1659"/>
    <w:rsid w:val="00FF16BB"/>
    <w:rsid w:val="00FF1807"/>
    <w:rsid w:val="00FF1B9C"/>
    <w:rsid w:val="00FF230A"/>
    <w:rsid w:val="00FF2326"/>
    <w:rsid w:val="00FF2898"/>
    <w:rsid w:val="00FF28C3"/>
    <w:rsid w:val="00FF3049"/>
    <w:rsid w:val="00FF3777"/>
    <w:rsid w:val="00FF3880"/>
    <w:rsid w:val="00FF38B5"/>
    <w:rsid w:val="00FF46C0"/>
    <w:rsid w:val="00FF4DAD"/>
    <w:rsid w:val="00FF4ED0"/>
    <w:rsid w:val="00FF51DA"/>
    <w:rsid w:val="00FF5998"/>
    <w:rsid w:val="00FF59BD"/>
    <w:rsid w:val="00FF5A1B"/>
    <w:rsid w:val="00FF6B3F"/>
    <w:rsid w:val="00FF6E78"/>
    <w:rsid w:val="00FF704F"/>
    <w:rsid w:val="00FF7389"/>
    <w:rsid w:val="00FF7539"/>
    <w:rsid w:val="00FF76E3"/>
    <w:rsid w:val="00FF779B"/>
    <w:rsid w:val="00FF7C6B"/>
    <w:rsid w:val="00FF7FF6"/>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DFE24F"/>
  <w14:defaultImageDpi w14:val="330"/>
  <w15:docId w15:val="{3FC78FD0-A689-4102-BED2-FD64D07D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 Square Sans Pro" w:eastAsiaTheme="minorHAnsi" w:hAnsi="EC Square Sans Pro" w:cstheme="minorBidi"/>
        <w:lang w:val="fr-BE" w:eastAsia="en-US" w:bidi="ar-SA"/>
      </w:rPr>
    </w:rPrDefault>
    <w:pPrDefault>
      <w:pPr>
        <w:spacing w:before="240" w:after="240" w:line="264" w:lineRule="auto"/>
      </w:pPr>
    </w:pPrDefault>
  </w:docDefaults>
  <w:latentStyles w:defLockedState="0" w:defUIPriority="99" w:defSemiHidden="0" w:defUnhideWhenUsed="0" w:defQFormat="0" w:count="371">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8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lsdException w:name="Body Text 3" w:semiHidden="1" w:uiPriority="8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8B1072"/>
    <w:rPr>
      <w:lang w:val="en-GB"/>
    </w:rPr>
  </w:style>
  <w:style w:type="paragraph" w:styleId="Heading1">
    <w:name w:val="heading 1"/>
    <w:next w:val="Normal"/>
    <w:link w:val="Heading1Char"/>
    <w:qFormat/>
    <w:rsid w:val="00B64020"/>
    <w:pPr>
      <w:keepNext/>
      <w:keepLines/>
      <w:pageBreakBefore/>
      <w:suppressAutoHyphens/>
      <w:spacing w:before="0" w:after="480"/>
      <w:outlineLvl w:val="0"/>
    </w:pPr>
    <w:rPr>
      <w:rFonts w:eastAsia="EC Square Sans Pro" w:cs="Times New Roman"/>
      <w:color w:val="215E94" w:themeColor="text2"/>
      <w:sz w:val="48"/>
      <w:szCs w:val="21"/>
      <w:lang w:val="en-GB" w:eastAsia="zh-CN"/>
    </w:rPr>
  </w:style>
  <w:style w:type="paragraph" w:styleId="Heading2">
    <w:name w:val="heading 2"/>
    <w:basedOn w:val="Normal"/>
    <w:next w:val="Normal"/>
    <w:link w:val="Heading2Char"/>
    <w:unhideWhenUsed/>
    <w:qFormat/>
    <w:rsid w:val="00952AA2"/>
    <w:pPr>
      <w:keepNext/>
      <w:keepLines/>
      <w:pBdr>
        <w:bottom w:val="single" w:sz="6" w:space="1" w:color="92D050"/>
      </w:pBdr>
      <w:suppressAutoHyphens/>
      <w:spacing w:before="480"/>
      <w:outlineLvl w:val="1"/>
    </w:pPr>
    <w:rPr>
      <w:rFonts w:eastAsia="EC Square Sans Pro"/>
      <w:b/>
      <w:color w:val="215E94" w:themeColor="text2"/>
      <w:sz w:val="28"/>
      <w:szCs w:val="21"/>
      <w:lang w:eastAsia="zh-CN"/>
    </w:rPr>
  </w:style>
  <w:style w:type="paragraph" w:styleId="Heading3">
    <w:name w:val="heading 3"/>
    <w:basedOn w:val="Normal"/>
    <w:next w:val="Normal"/>
    <w:link w:val="Heading3Char"/>
    <w:unhideWhenUsed/>
    <w:qFormat/>
    <w:rsid w:val="00585AA7"/>
    <w:pPr>
      <w:keepNext/>
      <w:keepLines/>
      <w:suppressAutoHyphens/>
      <w:spacing w:before="480"/>
      <w:outlineLvl w:val="2"/>
    </w:pPr>
    <w:rPr>
      <w:rFonts w:eastAsiaTheme="majorEastAsia" w:cstheme="majorBidi"/>
      <w:b/>
      <w:color w:val="215E94" w:themeColor="text2"/>
      <w:sz w:val="28"/>
      <w:szCs w:val="24"/>
    </w:rPr>
  </w:style>
  <w:style w:type="paragraph" w:styleId="Heading4">
    <w:name w:val="heading 4"/>
    <w:basedOn w:val="Normal"/>
    <w:next w:val="Normal"/>
    <w:link w:val="Heading4Char"/>
    <w:unhideWhenUsed/>
    <w:qFormat/>
    <w:rsid w:val="008E3AF2"/>
    <w:pPr>
      <w:keepNext/>
      <w:keepLines/>
      <w:suppressAutoHyphens/>
      <w:spacing w:before="480"/>
      <w:outlineLvl w:val="3"/>
    </w:pPr>
    <w:rPr>
      <w:rFonts w:cs="Times New Roman"/>
      <w:color w:val="215E94" w:themeColor="text2"/>
      <w:sz w:val="24"/>
      <w:szCs w:val="22"/>
      <w:lang w:eastAsia="zh-CN"/>
    </w:rPr>
  </w:style>
  <w:style w:type="paragraph" w:styleId="Heading5">
    <w:name w:val="heading 5"/>
    <w:basedOn w:val="Normal"/>
    <w:next w:val="Normal"/>
    <w:link w:val="Heading5Char"/>
    <w:uiPriority w:val="99"/>
    <w:unhideWhenUsed/>
    <w:qFormat/>
    <w:rsid w:val="008E3AF2"/>
    <w:pPr>
      <w:keepNext/>
      <w:keepLines/>
      <w:suppressAutoHyphens/>
      <w:ind w:left="340"/>
      <w:outlineLvl w:val="4"/>
    </w:pPr>
    <w:rPr>
      <w:rFonts w:cs="Times New Roman"/>
      <w:b/>
      <w:color w:val="109146" w:themeColor="accent1"/>
      <w:sz w:val="24"/>
      <w:szCs w:val="22"/>
      <w:lang w:eastAsia="zh-CN"/>
      <w14:textOutline w14:w="9525" w14:cap="rnd" w14:cmpd="sng" w14:algn="ctr">
        <w14:noFill/>
        <w14:prstDash w14:val="solid"/>
        <w14:bevel/>
      </w14:textOutline>
    </w:rPr>
  </w:style>
  <w:style w:type="paragraph" w:styleId="Heading6">
    <w:name w:val="heading 6"/>
    <w:basedOn w:val="Normal"/>
    <w:next w:val="Normal"/>
    <w:link w:val="Heading6Char"/>
    <w:uiPriority w:val="99"/>
    <w:unhideWhenUsed/>
    <w:qFormat/>
    <w:rsid w:val="000A2E51"/>
    <w:pPr>
      <w:keepNext/>
      <w:keepLines/>
      <w:spacing w:before="200"/>
      <w:outlineLvl w:val="5"/>
    </w:pPr>
    <w:rPr>
      <w:rFonts w:eastAsiaTheme="majorEastAsia" w:cstheme="majorBidi"/>
      <w:i/>
      <w:iCs/>
      <w:color w:val="084822" w:themeColor="accent1" w:themeShade="7F"/>
    </w:rPr>
  </w:style>
  <w:style w:type="paragraph" w:styleId="Heading7">
    <w:name w:val="heading 7"/>
    <w:basedOn w:val="Normal"/>
    <w:next w:val="Normal"/>
    <w:link w:val="Heading7Char"/>
    <w:uiPriority w:val="99"/>
    <w:unhideWhenUsed/>
    <w:qFormat/>
    <w:rsid w:val="000A2E51"/>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9"/>
    <w:unhideWhenUsed/>
    <w:qFormat/>
    <w:rsid w:val="000A2E51"/>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9"/>
    <w:unhideWhenUsed/>
    <w:qFormat/>
    <w:rsid w:val="000A2E51"/>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020"/>
    <w:rPr>
      <w:rFonts w:eastAsia="EC Square Sans Pro" w:cs="Times New Roman"/>
      <w:color w:val="215E94" w:themeColor="text2"/>
      <w:sz w:val="48"/>
      <w:szCs w:val="21"/>
      <w:lang w:val="en-GB" w:eastAsia="zh-CN"/>
    </w:rPr>
  </w:style>
  <w:style w:type="character" w:customStyle="1" w:styleId="Heading2Char">
    <w:name w:val="Heading 2 Char"/>
    <w:basedOn w:val="DefaultParagraphFont"/>
    <w:link w:val="Heading2"/>
    <w:rsid w:val="00585AA7"/>
    <w:rPr>
      <w:rFonts w:eastAsia="EC Square Sans Pro"/>
      <w:b/>
      <w:color w:val="215E94" w:themeColor="text2"/>
      <w:sz w:val="28"/>
      <w:szCs w:val="21"/>
      <w:lang w:val="en-GB" w:eastAsia="zh-CN"/>
    </w:rPr>
  </w:style>
  <w:style w:type="character" w:customStyle="1" w:styleId="Heading3Char">
    <w:name w:val="Heading 3 Char"/>
    <w:basedOn w:val="DefaultParagraphFont"/>
    <w:link w:val="Heading3"/>
    <w:rsid w:val="00585AA7"/>
    <w:rPr>
      <w:rFonts w:eastAsiaTheme="majorEastAsia" w:cstheme="majorBidi"/>
      <w:b/>
      <w:color w:val="215E94" w:themeColor="text2"/>
      <w:sz w:val="28"/>
      <w:szCs w:val="24"/>
      <w:lang w:val="en-GB"/>
    </w:rPr>
  </w:style>
  <w:style w:type="character" w:customStyle="1" w:styleId="Heading4Char">
    <w:name w:val="Heading 4 Char"/>
    <w:basedOn w:val="DefaultParagraphFont"/>
    <w:link w:val="Heading4"/>
    <w:rsid w:val="005E5DAB"/>
    <w:rPr>
      <w:rFonts w:cs="Times New Roman"/>
      <w:color w:val="215E94" w:themeColor="text2"/>
      <w:sz w:val="24"/>
      <w:szCs w:val="22"/>
      <w:lang w:val="en-GB" w:eastAsia="zh-CN"/>
    </w:rPr>
  </w:style>
  <w:style w:type="character" w:customStyle="1" w:styleId="Heading5Char">
    <w:name w:val="Heading 5 Char"/>
    <w:basedOn w:val="DefaultParagraphFont"/>
    <w:link w:val="Heading5"/>
    <w:uiPriority w:val="99"/>
    <w:rsid w:val="00585AA7"/>
    <w:rPr>
      <w:rFonts w:cs="Times New Roman"/>
      <w:b/>
      <w:color w:val="109146" w:themeColor="accent1"/>
      <w:sz w:val="24"/>
      <w:szCs w:val="22"/>
      <w:lang w:val="en-GB" w:eastAsia="zh-CN"/>
      <w14:textOutline w14:w="9525" w14:cap="rnd" w14:cmpd="sng" w14:algn="ctr">
        <w14:noFill/>
        <w14:prstDash w14:val="solid"/>
        <w14:bevel/>
      </w14:textOutline>
    </w:rPr>
  </w:style>
  <w:style w:type="character" w:customStyle="1" w:styleId="Heading6Char">
    <w:name w:val="Heading 6 Char"/>
    <w:basedOn w:val="DefaultParagraphFont"/>
    <w:link w:val="Heading6"/>
    <w:uiPriority w:val="99"/>
    <w:rsid w:val="00BF57EE"/>
    <w:rPr>
      <w:rFonts w:eastAsiaTheme="majorEastAsia" w:cstheme="majorBidi"/>
      <w:i/>
      <w:iCs/>
      <w:color w:val="084822" w:themeColor="accent1" w:themeShade="7F"/>
      <w:lang w:val="en-GB"/>
    </w:rPr>
  </w:style>
  <w:style w:type="character" w:customStyle="1" w:styleId="Heading7Char">
    <w:name w:val="Heading 7 Char"/>
    <w:basedOn w:val="DefaultParagraphFont"/>
    <w:link w:val="Heading7"/>
    <w:uiPriority w:val="99"/>
    <w:rsid w:val="00BF57EE"/>
    <w:rPr>
      <w:rFonts w:eastAsiaTheme="majorEastAsia" w:cstheme="majorBidi"/>
      <w:i/>
      <w:iCs/>
      <w:color w:val="404040" w:themeColor="text1" w:themeTint="BF"/>
      <w:lang w:val="en-GB"/>
    </w:rPr>
  </w:style>
  <w:style w:type="character" w:customStyle="1" w:styleId="Heading8Char">
    <w:name w:val="Heading 8 Char"/>
    <w:basedOn w:val="DefaultParagraphFont"/>
    <w:link w:val="Heading8"/>
    <w:uiPriority w:val="99"/>
    <w:rsid w:val="00BF57EE"/>
    <w:rPr>
      <w:rFonts w:eastAsiaTheme="majorEastAsia" w:cstheme="majorBidi"/>
      <w:color w:val="404040" w:themeColor="text1" w:themeTint="BF"/>
      <w:lang w:val="en-GB"/>
    </w:rPr>
  </w:style>
  <w:style w:type="character" w:customStyle="1" w:styleId="Heading9Char">
    <w:name w:val="Heading 9 Char"/>
    <w:basedOn w:val="DefaultParagraphFont"/>
    <w:link w:val="Heading9"/>
    <w:uiPriority w:val="99"/>
    <w:rsid w:val="00BF57EE"/>
    <w:rPr>
      <w:rFonts w:eastAsiaTheme="majorEastAsia" w:cstheme="majorBidi"/>
      <w:i/>
      <w:iCs/>
      <w:color w:val="404040" w:themeColor="text1" w:themeTint="BF"/>
      <w:lang w:val="en-GB"/>
    </w:rPr>
  </w:style>
  <w:style w:type="paragraph" w:styleId="ListParagraph">
    <w:name w:val="List Paragraph"/>
    <w:basedOn w:val="Normal"/>
    <w:uiPriority w:val="34"/>
    <w:qFormat/>
    <w:rsid w:val="00A24339"/>
    <w:pPr>
      <w:ind w:left="720"/>
      <w:contextualSpacing/>
    </w:pPr>
  </w:style>
  <w:style w:type="table" w:styleId="GridTable2-Accent2">
    <w:name w:val="Grid Table 2 Accent 2"/>
    <w:basedOn w:val="TableNormal"/>
    <w:uiPriority w:val="47"/>
    <w:rsid w:val="00B430F0"/>
    <w:pPr>
      <w:spacing w:after="0" w:line="240" w:lineRule="auto"/>
    </w:pPr>
    <w:tblPr>
      <w:tblStyleRowBandSize w:val="1"/>
      <w:tblStyleColBandSize w:val="1"/>
      <w:tblBorders>
        <w:top w:val="single" w:sz="2" w:space="0" w:color="61D5ED" w:themeColor="accent2" w:themeTint="99"/>
        <w:bottom w:val="single" w:sz="2" w:space="0" w:color="61D5ED" w:themeColor="accent2" w:themeTint="99"/>
        <w:insideH w:val="single" w:sz="2" w:space="0" w:color="61D5ED" w:themeColor="accent2" w:themeTint="99"/>
        <w:insideV w:val="single" w:sz="2" w:space="0" w:color="61D5ED" w:themeColor="accent2" w:themeTint="99"/>
      </w:tblBorders>
    </w:tblPr>
    <w:tblStylePr w:type="firstRow">
      <w:rPr>
        <w:b/>
        <w:bCs/>
      </w:rPr>
      <w:tblPr/>
      <w:tcPr>
        <w:tcBorders>
          <w:top w:val="nil"/>
          <w:bottom w:val="single" w:sz="12" w:space="0" w:color="61D5ED" w:themeColor="accent2" w:themeTint="99"/>
          <w:insideH w:val="nil"/>
          <w:insideV w:val="nil"/>
        </w:tcBorders>
        <w:shd w:val="clear" w:color="auto" w:fill="FFFFFF" w:themeFill="background1"/>
      </w:tcPr>
    </w:tblStylePr>
    <w:tblStylePr w:type="lastRow">
      <w:rPr>
        <w:b/>
        <w:bCs/>
      </w:rPr>
      <w:tblPr/>
      <w:tcPr>
        <w:tcBorders>
          <w:top w:val="double" w:sz="2" w:space="0" w:color="61D5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GridTable4-Accent2">
    <w:name w:val="Grid Table 4 Accent 2"/>
    <w:basedOn w:val="TableNormal"/>
    <w:uiPriority w:val="49"/>
    <w:rsid w:val="00B430F0"/>
    <w:pPr>
      <w:spacing w:after="0" w:line="240" w:lineRule="auto"/>
    </w:p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color w:val="FFFFFF" w:themeColor="background1"/>
      </w:rPr>
      <w:tblPr/>
      <w:tcPr>
        <w:tcBorders>
          <w:top w:val="single" w:sz="4" w:space="0" w:color="16A7C4" w:themeColor="accent2"/>
          <w:left w:val="single" w:sz="4" w:space="0" w:color="16A7C4" w:themeColor="accent2"/>
          <w:bottom w:val="single" w:sz="4" w:space="0" w:color="16A7C4" w:themeColor="accent2"/>
          <w:right w:val="single" w:sz="4" w:space="0" w:color="16A7C4" w:themeColor="accent2"/>
          <w:insideH w:val="nil"/>
          <w:insideV w:val="nil"/>
        </w:tcBorders>
        <w:shd w:val="clear" w:color="auto" w:fill="16A7C4" w:themeFill="accent2"/>
      </w:tcPr>
    </w:tblStylePr>
    <w:tblStylePr w:type="lastRow">
      <w:rPr>
        <w:b/>
        <w:bCs/>
      </w:rPr>
      <w:tblPr/>
      <w:tcPr>
        <w:tcBorders>
          <w:top w:val="double" w:sz="4" w:space="0" w:color="16A7C4" w:themeColor="accent2"/>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TableGrid">
    <w:name w:val="Table Grid"/>
    <w:aliases w:val="Document Table,CV1,Standard table format,Simple table"/>
    <w:basedOn w:val="TableNormal"/>
    <w:uiPriority w:val="59"/>
    <w:rsid w:val="00F276A0"/>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sid w:val="007F126D"/>
    <w:rPr>
      <w:vertAlign w:val="superscript"/>
    </w:rPr>
  </w:style>
  <w:style w:type="paragraph" w:styleId="BalloonText">
    <w:name w:val="Balloon Text"/>
    <w:basedOn w:val="Normal"/>
    <w:link w:val="BalloonTextChar"/>
    <w:semiHidden/>
    <w:unhideWhenUsed/>
    <w:rsid w:val="00F276A0"/>
    <w:rPr>
      <w:rFonts w:cs="Segoe UI"/>
      <w:sz w:val="18"/>
      <w:szCs w:val="18"/>
    </w:rPr>
  </w:style>
  <w:style w:type="character" w:customStyle="1" w:styleId="BalloonTextChar">
    <w:name w:val="Balloon Text Char"/>
    <w:basedOn w:val="DefaultParagraphFont"/>
    <w:link w:val="BalloonText"/>
    <w:semiHidden/>
    <w:rsid w:val="00F276A0"/>
    <w:rPr>
      <w:rFonts w:cs="Segoe UI"/>
      <w:sz w:val="18"/>
      <w:szCs w:val="18"/>
      <w:lang w:val="en-GB"/>
    </w:rPr>
  </w:style>
  <w:style w:type="paragraph" w:styleId="Footer">
    <w:name w:val="footer"/>
    <w:basedOn w:val="amprFooter-Left"/>
    <w:link w:val="FooterChar"/>
    <w:uiPriority w:val="99"/>
    <w:unhideWhenUsed/>
    <w:rsid w:val="00A17F99"/>
    <w:pPr>
      <w:jc w:val="center"/>
    </w:pPr>
    <w:rPr>
      <w:noProof/>
    </w:rPr>
  </w:style>
  <w:style w:type="character" w:customStyle="1" w:styleId="FooterChar">
    <w:name w:val="Footer Char"/>
    <w:basedOn w:val="DefaultParagraphFont"/>
    <w:link w:val="Footer"/>
    <w:uiPriority w:val="99"/>
    <w:rsid w:val="00A17F99"/>
    <w:rPr>
      <w:rFonts w:eastAsia="EC Square Sans Pro" w:cs="Times New Roman"/>
      <w:noProof/>
      <w:szCs w:val="21"/>
      <w:lang w:val="en-GB" w:eastAsia="zh-CN"/>
    </w:rPr>
  </w:style>
  <w:style w:type="paragraph" w:styleId="CommentSubject">
    <w:name w:val="annotation subject"/>
    <w:basedOn w:val="Normal"/>
    <w:next w:val="Normal"/>
    <w:link w:val="CommentSubjectChar"/>
    <w:unhideWhenUsed/>
    <w:rsid w:val="0022044E"/>
    <w:pPr>
      <w:spacing w:after="200"/>
    </w:pPr>
    <w:rPr>
      <w:b/>
      <w:bCs/>
    </w:rPr>
  </w:style>
  <w:style w:type="character" w:customStyle="1" w:styleId="CommentSubjectChar">
    <w:name w:val="Comment Subject Char"/>
    <w:basedOn w:val="DefaultParagraphFont"/>
    <w:link w:val="CommentSubject"/>
    <w:rsid w:val="0022044E"/>
    <w:rPr>
      <w:b/>
      <w:bCs/>
      <w:lang w:val="en-GB"/>
    </w:rPr>
  </w:style>
  <w:style w:type="paragraph" w:styleId="Revision">
    <w:name w:val="Revision"/>
    <w:hidden/>
    <w:uiPriority w:val="99"/>
    <w:semiHidden/>
    <w:rsid w:val="00556021"/>
  </w:style>
  <w:style w:type="character" w:styleId="Hyperlink">
    <w:name w:val="Hyperlink"/>
    <w:basedOn w:val="DefaultParagraphFont"/>
    <w:uiPriority w:val="99"/>
    <w:unhideWhenUsed/>
    <w:rsid w:val="00B76EB9"/>
    <w:rPr>
      <w:rFonts w:ascii="EC Square Sans Pro" w:hAnsi="EC Square Sans Pro"/>
      <w:strike w:val="0"/>
      <w:dstrike w:val="0"/>
      <w:color w:val="007ACC"/>
      <w:u w:val="single" w:color="65BBC8"/>
      <w:effect w:val="none"/>
      <w:shd w:val="clear" w:color="auto" w:fill="auto"/>
      <w:lang w:val="en-GB"/>
    </w:rPr>
  </w:style>
  <w:style w:type="table" w:styleId="LightShading-Accent6">
    <w:name w:val="Light Shading Accent 6"/>
    <w:basedOn w:val="TableNormal"/>
    <w:uiPriority w:val="60"/>
    <w:rsid w:val="00946DA5"/>
    <w:rPr>
      <w:color w:val="BF8F00" w:themeColor="accent6" w:themeShade="BF"/>
      <w:lang w:eastAsia="en-GB"/>
    </w:rPr>
    <w:tblPr>
      <w:tblStyleRowBandSize w:val="1"/>
      <w:tblStyleColBandSize w:val="1"/>
      <w:tblBorders>
        <w:top w:val="single" w:sz="8" w:space="0" w:color="FFC000" w:themeColor="accent6"/>
        <w:bottom w:val="single" w:sz="8" w:space="0" w:color="FFC000" w:themeColor="accent6"/>
      </w:tblBorders>
    </w:tblPr>
    <w:tblStylePr w:type="fir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la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left w:val="nil"/>
          <w:right w:val="nil"/>
          <w:insideH w:val="nil"/>
          <w:insideV w:val="nil"/>
        </w:tcBorders>
        <w:shd w:val="clear" w:color="auto" w:fill="FFEFC0" w:themeFill="accent6" w:themeFillTint="3F"/>
      </w:tcPr>
    </w:tblStylePr>
  </w:style>
  <w:style w:type="paragraph" w:styleId="EndnoteText">
    <w:name w:val="endnote text"/>
    <w:basedOn w:val="Normal"/>
    <w:link w:val="EndnoteTextChar"/>
    <w:uiPriority w:val="99"/>
    <w:semiHidden/>
    <w:unhideWhenUsed/>
    <w:rsid w:val="00946DA5"/>
    <w:rPr>
      <w:rFonts w:eastAsia="Calibri"/>
    </w:rPr>
  </w:style>
  <w:style w:type="character" w:customStyle="1" w:styleId="EndnoteTextChar">
    <w:name w:val="Endnote Text Char"/>
    <w:basedOn w:val="DefaultParagraphFont"/>
    <w:link w:val="EndnoteText"/>
    <w:uiPriority w:val="99"/>
    <w:semiHidden/>
    <w:rsid w:val="00946DA5"/>
    <w:rPr>
      <w:rFonts w:eastAsia="Calibri"/>
      <w:lang w:val="en-GB"/>
    </w:rPr>
  </w:style>
  <w:style w:type="character" w:styleId="EndnoteReference">
    <w:name w:val="endnote reference"/>
    <w:basedOn w:val="DefaultParagraphFont"/>
    <w:semiHidden/>
    <w:unhideWhenUsed/>
    <w:rsid w:val="00946DA5"/>
    <w:rPr>
      <w:rFonts w:ascii="EC Square Sans Pro" w:hAnsi="EC Square Sans Pro"/>
      <w:vertAlign w:val="superscript"/>
      <w:lang w:val="en-GB"/>
    </w:rPr>
  </w:style>
  <w:style w:type="paragraph" w:styleId="ListBullet">
    <w:name w:val="List Bullet"/>
    <w:basedOn w:val="Normal"/>
    <w:uiPriority w:val="99"/>
    <w:semiHidden/>
    <w:unhideWhenUsed/>
    <w:rsid w:val="00946DA5"/>
    <w:pPr>
      <w:tabs>
        <w:tab w:val="num" w:pos="360"/>
      </w:tabs>
      <w:spacing w:before="120" w:after="120"/>
      <w:ind w:left="360" w:hanging="360"/>
      <w:contextualSpacing/>
      <w:jc w:val="both"/>
    </w:pPr>
    <w:rPr>
      <w:sz w:val="24"/>
    </w:rPr>
  </w:style>
  <w:style w:type="paragraph" w:styleId="ListBullet2">
    <w:name w:val="List Bullet 2"/>
    <w:basedOn w:val="Normal"/>
    <w:unhideWhenUsed/>
    <w:rsid w:val="00946DA5"/>
    <w:pPr>
      <w:tabs>
        <w:tab w:val="num" w:pos="643"/>
      </w:tabs>
      <w:spacing w:before="120" w:after="120"/>
      <w:ind w:left="643" w:hanging="360"/>
      <w:contextualSpacing/>
      <w:jc w:val="both"/>
    </w:pPr>
    <w:rPr>
      <w:sz w:val="24"/>
    </w:rPr>
  </w:style>
  <w:style w:type="paragraph" w:styleId="ListBullet3">
    <w:name w:val="List Bullet 3"/>
    <w:basedOn w:val="Normal"/>
    <w:uiPriority w:val="99"/>
    <w:semiHidden/>
    <w:unhideWhenUsed/>
    <w:rsid w:val="00946DA5"/>
    <w:pPr>
      <w:tabs>
        <w:tab w:val="num" w:pos="926"/>
      </w:tabs>
      <w:spacing w:before="120" w:after="120"/>
      <w:ind w:left="926" w:hanging="360"/>
      <w:contextualSpacing/>
      <w:jc w:val="both"/>
    </w:pPr>
    <w:rPr>
      <w:sz w:val="24"/>
    </w:rPr>
  </w:style>
  <w:style w:type="paragraph" w:styleId="ListBullet4">
    <w:name w:val="List Bullet 4"/>
    <w:basedOn w:val="Normal"/>
    <w:uiPriority w:val="99"/>
    <w:semiHidden/>
    <w:unhideWhenUsed/>
    <w:rsid w:val="00946DA5"/>
    <w:pPr>
      <w:tabs>
        <w:tab w:val="num" w:pos="1209"/>
      </w:tabs>
      <w:spacing w:before="120" w:after="120"/>
      <w:ind w:left="1209" w:hanging="360"/>
      <w:contextualSpacing/>
      <w:jc w:val="both"/>
    </w:pPr>
    <w:rPr>
      <w:sz w:val="24"/>
    </w:rPr>
  </w:style>
  <w:style w:type="table" w:styleId="LightShading-Accent5">
    <w:name w:val="Light Shading Accent 5"/>
    <w:basedOn w:val="TableNormal"/>
    <w:uiPriority w:val="60"/>
    <w:rsid w:val="00946DA5"/>
    <w:rPr>
      <w:color w:val="6DA92D" w:themeColor="accent5" w:themeShade="BF"/>
      <w:lang w:eastAsia="en-GB"/>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paragraph" w:styleId="TableofFigures">
    <w:name w:val="table of figures"/>
    <w:basedOn w:val="Normal"/>
    <w:next w:val="Normal"/>
    <w:uiPriority w:val="99"/>
    <w:semiHidden/>
    <w:unhideWhenUsed/>
    <w:rsid w:val="00946DA5"/>
    <w:pPr>
      <w:spacing w:before="120"/>
      <w:jc w:val="both"/>
    </w:pPr>
    <w:rPr>
      <w:sz w:val="24"/>
    </w:rPr>
  </w:style>
  <w:style w:type="paragraph" w:styleId="ListNumber">
    <w:name w:val="List Number"/>
    <w:basedOn w:val="Normal"/>
    <w:uiPriority w:val="99"/>
    <w:semiHidden/>
    <w:unhideWhenUsed/>
    <w:rsid w:val="00946DA5"/>
    <w:pPr>
      <w:tabs>
        <w:tab w:val="num" w:pos="360"/>
      </w:tabs>
      <w:spacing w:before="120" w:after="120"/>
      <w:ind w:left="360" w:hanging="360"/>
      <w:contextualSpacing/>
      <w:jc w:val="both"/>
    </w:pPr>
    <w:rPr>
      <w:sz w:val="24"/>
    </w:rPr>
  </w:style>
  <w:style w:type="paragraph" w:styleId="ListNumber2">
    <w:name w:val="List Number 2"/>
    <w:basedOn w:val="Normal"/>
    <w:uiPriority w:val="99"/>
    <w:semiHidden/>
    <w:unhideWhenUsed/>
    <w:rsid w:val="00946DA5"/>
    <w:pPr>
      <w:tabs>
        <w:tab w:val="num" w:pos="643"/>
      </w:tabs>
      <w:spacing w:before="120" w:after="120"/>
      <w:ind w:left="643" w:hanging="360"/>
      <w:contextualSpacing/>
      <w:jc w:val="both"/>
    </w:pPr>
    <w:rPr>
      <w:sz w:val="24"/>
    </w:rPr>
  </w:style>
  <w:style w:type="paragraph" w:styleId="ListNumber3">
    <w:name w:val="List Number 3"/>
    <w:basedOn w:val="Normal"/>
    <w:uiPriority w:val="99"/>
    <w:semiHidden/>
    <w:unhideWhenUsed/>
    <w:rsid w:val="00946DA5"/>
    <w:pPr>
      <w:tabs>
        <w:tab w:val="num" w:pos="926"/>
      </w:tabs>
      <w:spacing w:before="120" w:after="120"/>
      <w:ind w:left="926" w:hanging="360"/>
      <w:contextualSpacing/>
      <w:jc w:val="both"/>
    </w:pPr>
    <w:rPr>
      <w:sz w:val="24"/>
    </w:rPr>
  </w:style>
  <w:style w:type="paragraph" w:styleId="ListNumber4">
    <w:name w:val="List Number 4"/>
    <w:basedOn w:val="Normal"/>
    <w:uiPriority w:val="99"/>
    <w:semiHidden/>
    <w:unhideWhenUsed/>
    <w:rsid w:val="00946DA5"/>
    <w:pPr>
      <w:tabs>
        <w:tab w:val="num" w:pos="1209"/>
      </w:tabs>
      <w:spacing w:before="120" w:after="120"/>
      <w:ind w:left="1209" w:hanging="360"/>
      <w:contextualSpacing/>
      <w:jc w:val="both"/>
    </w:pPr>
    <w:rPr>
      <w:sz w:val="24"/>
    </w:rPr>
  </w:style>
  <w:style w:type="table" w:styleId="LightShading">
    <w:name w:val="Light Shading"/>
    <w:basedOn w:val="TableNormal"/>
    <w:uiPriority w:val="60"/>
    <w:rsid w:val="004D4C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amprBodyText"/>
    <w:next w:val="Normal"/>
    <w:link w:val="BodyTextChar"/>
    <w:uiPriority w:val="89"/>
    <w:semiHidden/>
    <w:qFormat/>
    <w:rsid w:val="00395986"/>
  </w:style>
  <w:style w:type="character" w:customStyle="1" w:styleId="BodyTextChar">
    <w:name w:val="Body Text Char"/>
    <w:basedOn w:val="DefaultParagraphFont"/>
    <w:link w:val="BodyText"/>
    <w:uiPriority w:val="89"/>
    <w:semiHidden/>
    <w:rsid w:val="008B1072"/>
    <w:rPr>
      <w:rFonts w:eastAsia="EC Square Sans Pro" w:cs="Times New Roman"/>
      <w:szCs w:val="21"/>
      <w:lang w:val="en-GB" w:eastAsia="zh-CN"/>
    </w:rPr>
  </w:style>
  <w:style w:type="paragraph" w:customStyle="1" w:styleId="Quotes">
    <w:name w:val="Quotes"/>
    <w:basedOn w:val="Normal"/>
    <w:link w:val="QuotesChar"/>
    <w:qFormat/>
    <w:rsid w:val="008E3AF2"/>
    <w:pPr>
      <w:ind w:left="851" w:right="851"/>
      <w:jc w:val="center"/>
    </w:pPr>
    <w:rPr>
      <w:rFonts w:eastAsia="Calibri"/>
      <w:i/>
      <w:color w:val="215E94" w:themeColor="text2"/>
      <w:sz w:val="28"/>
      <w:lang w:eastAsia="zh-CN"/>
    </w:rPr>
  </w:style>
  <w:style w:type="character" w:customStyle="1" w:styleId="QuotesChar">
    <w:name w:val="Quotes Char"/>
    <w:basedOn w:val="DefaultParagraphFont"/>
    <w:link w:val="Quotes"/>
    <w:rsid w:val="008E3AF2"/>
    <w:rPr>
      <w:rFonts w:eastAsia="Calibri"/>
      <w:i/>
      <w:color w:val="215E94" w:themeColor="text2"/>
      <w:sz w:val="28"/>
      <w:lang w:val="en-GB" w:eastAsia="zh-CN"/>
    </w:rPr>
  </w:style>
  <w:style w:type="paragraph" w:styleId="TOC1">
    <w:name w:val="toc 1"/>
    <w:basedOn w:val="Normal"/>
    <w:next w:val="Normal"/>
    <w:autoRedefine/>
    <w:uiPriority w:val="39"/>
    <w:unhideWhenUsed/>
    <w:qFormat/>
    <w:rsid w:val="003E475D"/>
    <w:pPr>
      <w:tabs>
        <w:tab w:val="right" w:leader="dot" w:pos="9072"/>
      </w:tabs>
      <w:spacing w:before="120" w:after="120"/>
      <w:jc w:val="both"/>
    </w:pPr>
    <w:rPr>
      <w:b/>
      <w:caps/>
    </w:rPr>
  </w:style>
  <w:style w:type="character" w:styleId="FollowedHyperlink">
    <w:name w:val="FollowedHyperlink"/>
    <w:basedOn w:val="DefaultParagraphFont"/>
    <w:uiPriority w:val="99"/>
    <w:semiHidden/>
    <w:unhideWhenUsed/>
    <w:rsid w:val="006F1ED8"/>
    <w:rPr>
      <w:rFonts w:ascii="EC Square Sans Pro" w:hAnsi="EC Square Sans Pro"/>
      <w:color w:val="800080" w:themeColor="followedHyperlink"/>
      <w:u w:val="single"/>
      <w:lang w:val="en-GB"/>
    </w:rPr>
  </w:style>
  <w:style w:type="table" w:styleId="MediumShading2-Accent1">
    <w:name w:val="Medium Shading 2 Accent 1"/>
    <w:basedOn w:val="TableNormal"/>
    <w:uiPriority w:val="64"/>
    <w:rsid w:val="009B74AB"/>
    <w:rPr>
      <w:rFonts w:ascii="Calibri" w:eastAsia="Calibri" w:hAnsi="Calibri" w:cs="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914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9146" w:themeFill="accent1"/>
      </w:tcPr>
    </w:tblStylePr>
    <w:tblStylePr w:type="lastCol">
      <w:rPr>
        <w:b/>
        <w:bCs/>
        <w:color w:val="FFFFFF" w:themeColor="background1"/>
      </w:rPr>
      <w:tblPr/>
      <w:tcPr>
        <w:tcBorders>
          <w:left w:val="nil"/>
          <w:right w:val="nil"/>
          <w:insideH w:val="nil"/>
          <w:insideV w:val="nil"/>
        </w:tcBorders>
        <w:shd w:val="clear" w:color="auto" w:fill="10914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semiHidden/>
    <w:unhideWhenUsed/>
    <w:rsid w:val="00BF57EE"/>
  </w:style>
  <w:style w:type="paragraph" w:styleId="BlockText">
    <w:name w:val="Block Text"/>
    <w:basedOn w:val="Normal"/>
    <w:uiPriority w:val="99"/>
    <w:semiHidden/>
    <w:unhideWhenUsed/>
    <w:rsid w:val="00BF57EE"/>
    <w:pPr>
      <w:pBdr>
        <w:top w:val="single" w:sz="2" w:space="10" w:color="109146" w:themeColor="accent1" w:shadow="1" w:frame="1"/>
        <w:left w:val="single" w:sz="2" w:space="10" w:color="109146" w:themeColor="accent1" w:shadow="1" w:frame="1"/>
        <w:bottom w:val="single" w:sz="2" w:space="10" w:color="109146" w:themeColor="accent1" w:shadow="1" w:frame="1"/>
        <w:right w:val="single" w:sz="2" w:space="10" w:color="109146" w:themeColor="accent1" w:shadow="1" w:frame="1"/>
      </w:pBdr>
      <w:ind w:left="1152" w:right="1152"/>
    </w:pPr>
    <w:rPr>
      <w:rFonts w:eastAsiaTheme="minorEastAsia"/>
      <w:i/>
      <w:iCs/>
      <w:color w:val="109146" w:themeColor="accent1"/>
    </w:rPr>
  </w:style>
  <w:style w:type="paragraph" w:styleId="BodyText2">
    <w:name w:val="Body Text 2"/>
    <w:basedOn w:val="amprBodyText"/>
    <w:link w:val="BodyText2Char"/>
    <w:uiPriority w:val="89"/>
    <w:semiHidden/>
    <w:rsid w:val="0056681C"/>
  </w:style>
  <w:style w:type="character" w:customStyle="1" w:styleId="BodyText2Char">
    <w:name w:val="Body Text 2 Char"/>
    <w:basedOn w:val="DefaultParagraphFont"/>
    <w:link w:val="BodyText2"/>
    <w:uiPriority w:val="89"/>
    <w:semiHidden/>
    <w:rsid w:val="008B1072"/>
    <w:rPr>
      <w:rFonts w:eastAsia="EC Square Sans Pro" w:cs="Times New Roman"/>
      <w:szCs w:val="21"/>
      <w:lang w:val="en-GB" w:eastAsia="zh-CN"/>
    </w:rPr>
  </w:style>
  <w:style w:type="paragraph" w:styleId="BodyText3">
    <w:name w:val="Body Text 3"/>
    <w:basedOn w:val="amprBodyText"/>
    <w:link w:val="BodyText3Char"/>
    <w:uiPriority w:val="89"/>
    <w:semiHidden/>
    <w:rsid w:val="00013105"/>
  </w:style>
  <w:style w:type="character" w:customStyle="1" w:styleId="BodyText3Char">
    <w:name w:val="Body Text 3 Char"/>
    <w:basedOn w:val="DefaultParagraphFont"/>
    <w:link w:val="BodyText3"/>
    <w:uiPriority w:val="89"/>
    <w:semiHidden/>
    <w:rsid w:val="008B1072"/>
    <w:rPr>
      <w:rFonts w:eastAsia="EC Square Sans Pro" w:cs="Times New Roman"/>
      <w:szCs w:val="21"/>
      <w:lang w:val="en-GB" w:eastAsia="zh-CN"/>
    </w:rPr>
  </w:style>
  <w:style w:type="paragraph" w:styleId="BodyTextFirstIndent">
    <w:name w:val="Body Text First Indent"/>
    <w:basedOn w:val="BodyText"/>
    <w:link w:val="BodyTextFirstIndentChar"/>
    <w:uiPriority w:val="99"/>
    <w:semiHidden/>
    <w:unhideWhenUsed/>
    <w:rsid w:val="00BF57EE"/>
    <w:pPr>
      <w:ind w:firstLine="360"/>
    </w:pPr>
  </w:style>
  <w:style w:type="character" w:customStyle="1" w:styleId="BodyTextFirstIndentChar">
    <w:name w:val="Body Text First Indent Char"/>
    <w:basedOn w:val="BodyTextChar"/>
    <w:link w:val="BodyTextFirstIndent"/>
    <w:uiPriority w:val="99"/>
    <w:semiHidden/>
    <w:rsid w:val="00BF57EE"/>
    <w:rPr>
      <w:rFonts w:eastAsia="EC Square Sans Pro" w:cs="Times New Roman"/>
      <w:color w:val="000000" w:themeColor="text1"/>
      <w:szCs w:val="21"/>
      <w:lang w:val="en-GB" w:eastAsia="zh-CN"/>
    </w:rPr>
  </w:style>
  <w:style w:type="paragraph" w:styleId="BodyTextIndent">
    <w:name w:val="Body Text Indent"/>
    <w:basedOn w:val="Normal"/>
    <w:link w:val="BodyTextIndentChar"/>
    <w:uiPriority w:val="99"/>
    <w:semiHidden/>
    <w:unhideWhenUsed/>
    <w:rsid w:val="00BF57EE"/>
    <w:pPr>
      <w:spacing w:after="120"/>
      <w:ind w:left="283"/>
    </w:pPr>
  </w:style>
  <w:style w:type="character" w:customStyle="1" w:styleId="BodyTextIndentChar">
    <w:name w:val="Body Text Indent Char"/>
    <w:basedOn w:val="DefaultParagraphFont"/>
    <w:link w:val="BodyTextIndent"/>
    <w:uiPriority w:val="99"/>
    <w:semiHidden/>
    <w:rsid w:val="00BF57EE"/>
    <w:rPr>
      <w:lang w:val="en-GB"/>
    </w:rPr>
  </w:style>
  <w:style w:type="paragraph" w:styleId="BodyTextFirstIndent2">
    <w:name w:val="Body Text First Indent 2"/>
    <w:basedOn w:val="BodyTextIndent"/>
    <w:link w:val="BodyTextFirstIndent2Char"/>
    <w:uiPriority w:val="99"/>
    <w:semiHidden/>
    <w:unhideWhenUsed/>
    <w:rsid w:val="00BF57E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57EE"/>
    <w:rPr>
      <w:lang w:val="en-GB"/>
    </w:rPr>
  </w:style>
  <w:style w:type="paragraph" w:styleId="BodyTextIndent2">
    <w:name w:val="Body Text Indent 2"/>
    <w:basedOn w:val="Normal"/>
    <w:link w:val="BodyTextIndent2Char"/>
    <w:uiPriority w:val="99"/>
    <w:semiHidden/>
    <w:unhideWhenUsed/>
    <w:rsid w:val="00BF57EE"/>
    <w:pPr>
      <w:spacing w:after="120" w:line="480" w:lineRule="auto"/>
      <w:ind w:left="283"/>
    </w:pPr>
  </w:style>
  <w:style w:type="character" w:customStyle="1" w:styleId="BodyTextIndent2Char">
    <w:name w:val="Body Text Indent 2 Char"/>
    <w:basedOn w:val="DefaultParagraphFont"/>
    <w:link w:val="BodyTextIndent2"/>
    <w:uiPriority w:val="99"/>
    <w:semiHidden/>
    <w:rsid w:val="00BF57EE"/>
    <w:rPr>
      <w:lang w:val="en-GB"/>
    </w:rPr>
  </w:style>
  <w:style w:type="paragraph" w:styleId="BodyTextIndent3">
    <w:name w:val="Body Text Indent 3"/>
    <w:basedOn w:val="Normal"/>
    <w:link w:val="BodyTextIndent3Char"/>
    <w:uiPriority w:val="99"/>
    <w:semiHidden/>
    <w:unhideWhenUsed/>
    <w:rsid w:val="00BF57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57EE"/>
    <w:rPr>
      <w:sz w:val="16"/>
      <w:szCs w:val="16"/>
      <w:lang w:val="en-GB"/>
    </w:rPr>
  </w:style>
  <w:style w:type="paragraph" w:styleId="Closing">
    <w:name w:val="Closing"/>
    <w:basedOn w:val="Normal"/>
    <w:link w:val="ClosingChar"/>
    <w:uiPriority w:val="99"/>
    <w:semiHidden/>
    <w:unhideWhenUsed/>
    <w:rsid w:val="00BF57EE"/>
    <w:pPr>
      <w:ind w:left="4252"/>
    </w:pPr>
  </w:style>
  <w:style w:type="character" w:customStyle="1" w:styleId="ClosingChar">
    <w:name w:val="Closing Char"/>
    <w:basedOn w:val="DefaultParagraphFont"/>
    <w:link w:val="Closing"/>
    <w:uiPriority w:val="99"/>
    <w:semiHidden/>
    <w:rsid w:val="00BF57EE"/>
    <w:rPr>
      <w:lang w:val="en-GB"/>
    </w:rPr>
  </w:style>
  <w:style w:type="paragraph" w:styleId="Date">
    <w:name w:val="Date"/>
    <w:basedOn w:val="Normal"/>
    <w:next w:val="Normal"/>
    <w:link w:val="DateChar"/>
    <w:uiPriority w:val="99"/>
    <w:semiHidden/>
    <w:unhideWhenUsed/>
    <w:rsid w:val="00BF57EE"/>
  </w:style>
  <w:style w:type="character" w:customStyle="1" w:styleId="DateChar">
    <w:name w:val="Date Char"/>
    <w:basedOn w:val="DefaultParagraphFont"/>
    <w:link w:val="Date"/>
    <w:uiPriority w:val="99"/>
    <w:semiHidden/>
    <w:rsid w:val="00BF57EE"/>
    <w:rPr>
      <w:lang w:val="en-GB"/>
    </w:rPr>
  </w:style>
  <w:style w:type="paragraph" w:styleId="DocumentMap">
    <w:name w:val="Document Map"/>
    <w:basedOn w:val="Normal"/>
    <w:link w:val="DocumentMapChar"/>
    <w:semiHidden/>
    <w:unhideWhenUsed/>
    <w:rsid w:val="00BF57EE"/>
    <w:rPr>
      <w:rFonts w:cs="Tahoma"/>
      <w:sz w:val="16"/>
      <w:szCs w:val="16"/>
    </w:rPr>
  </w:style>
  <w:style w:type="character" w:customStyle="1" w:styleId="DocumentMapChar">
    <w:name w:val="Document Map Char"/>
    <w:basedOn w:val="DefaultParagraphFont"/>
    <w:link w:val="DocumentMap"/>
    <w:semiHidden/>
    <w:rsid w:val="00BF57EE"/>
    <w:rPr>
      <w:rFonts w:cs="Tahoma"/>
      <w:sz w:val="16"/>
      <w:szCs w:val="16"/>
      <w:lang w:val="en-GB"/>
    </w:rPr>
  </w:style>
  <w:style w:type="paragraph" w:styleId="E-mailSignature">
    <w:name w:val="E-mail Signature"/>
    <w:basedOn w:val="Normal"/>
    <w:link w:val="E-mailSignatureChar"/>
    <w:uiPriority w:val="99"/>
    <w:semiHidden/>
    <w:unhideWhenUsed/>
    <w:rsid w:val="00BF57EE"/>
  </w:style>
  <w:style w:type="character" w:customStyle="1" w:styleId="E-mailSignatureChar">
    <w:name w:val="E-mail Signature Char"/>
    <w:basedOn w:val="DefaultParagraphFont"/>
    <w:link w:val="E-mailSignature"/>
    <w:uiPriority w:val="99"/>
    <w:semiHidden/>
    <w:rsid w:val="00BF57EE"/>
    <w:rPr>
      <w:lang w:val="en-GB"/>
    </w:rPr>
  </w:style>
  <w:style w:type="paragraph" w:styleId="EnvelopeAddress">
    <w:name w:val="envelope address"/>
    <w:basedOn w:val="Normal"/>
    <w:uiPriority w:val="99"/>
    <w:semiHidden/>
    <w:unhideWhenUsed/>
    <w:rsid w:val="00BF57EE"/>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BF57EE"/>
    <w:rPr>
      <w:rFonts w:eastAsiaTheme="majorEastAsia" w:cstheme="majorBidi"/>
    </w:rPr>
  </w:style>
  <w:style w:type="character" w:styleId="HTMLAcronym">
    <w:name w:val="HTML Acronym"/>
    <w:basedOn w:val="DefaultParagraphFont"/>
    <w:uiPriority w:val="99"/>
    <w:semiHidden/>
    <w:unhideWhenUsed/>
    <w:rsid w:val="00BF57EE"/>
    <w:rPr>
      <w:rFonts w:ascii="EC Square Sans Pro" w:hAnsi="EC Square Sans Pro"/>
      <w:lang w:val="en-GB"/>
    </w:rPr>
  </w:style>
  <w:style w:type="paragraph" w:styleId="HTMLAddress">
    <w:name w:val="HTML Address"/>
    <w:basedOn w:val="Normal"/>
    <w:link w:val="HTMLAddressChar"/>
    <w:uiPriority w:val="99"/>
    <w:semiHidden/>
    <w:unhideWhenUsed/>
    <w:rsid w:val="00BF57EE"/>
    <w:rPr>
      <w:i/>
      <w:iCs/>
    </w:rPr>
  </w:style>
  <w:style w:type="character" w:customStyle="1" w:styleId="HTMLAddressChar">
    <w:name w:val="HTML Address Char"/>
    <w:basedOn w:val="DefaultParagraphFont"/>
    <w:link w:val="HTMLAddress"/>
    <w:uiPriority w:val="99"/>
    <w:semiHidden/>
    <w:rsid w:val="00BF57EE"/>
    <w:rPr>
      <w:i/>
      <w:iCs/>
      <w:lang w:val="en-GB"/>
    </w:rPr>
  </w:style>
  <w:style w:type="character" w:styleId="HTMLCite">
    <w:name w:val="HTML Cite"/>
    <w:basedOn w:val="DefaultParagraphFont"/>
    <w:uiPriority w:val="99"/>
    <w:semiHidden/>
    <w:unhideWhenUsed/>
    <w:rsid w:val="00BF57EE"/>
    <w:rPr>
      <w:rFonts w:ascii="EC Square Sans Pro" w:hAnsi="EC Square Sans Pro"/>
      <w:i/>
      <w:iCs/>
      <w:lang w:val="en-GB"/>
    </w:rPr>
  </w:style>
  <w:style w:type="character" w:styleId="HTMLCode">
    <w:name w:val="HTML Code"/>
    <w:basedOn w:val="DefaultParagraphFont"/>
    <w:uiPriority w:val="99"/>
    <w:semiHidden/>
    <w:unhideWhenUsed/>
    <w:rsid w:val="00BF57EE"/>
    <w:rPr>
      <w:rFonts w:ascii="EC Square Sans Pro" w:hAnsi="EC Square Sans Pro" w:cs="Consolas"/>
      <w:sz w:val="20"/>
      <w:szCs w:val="20"/>
      <w:lang w:val="en-GB"/>
    </w:rPr>
  </w:style>
  <w:style w:type="character" w:styleId="HTMLDefinition">
    <w:name w:val="HTML Definition"/>
    <w:basedOn w:val="DefaultParagraphFont"/>
    <w:uiPriority w:val="99"/>
    <w:semiHidden/>
    <w:unhideWhenUsed/>
    <w:rsid w:val="00BF57EE"/>
    <w:rPr>
      <w:rFonts w:ascii="EC Square Sans Pro" w:hAnsi="EC Square Sans Pro"/>
      <w:i/>
      <w:iCs/>
      <w:lang w:val="en-GB"/>
    </w:rPr>
  </w:style>
  <w:style w:type="character" w:styleId="HTMLKeyboard">
    <w:name w:val="HTML Keyboard"/>
    <w:basedOn w:val="DefaultParagraphFont"/>
    <w:uiPriority w:val="99"/>
    <w:semiHidden/>
    <w:unhideWhenUsed/>
    <w:rsid w:val="00BF57EE"/>
    <w:rPr>
      <w:rFonts w:ascii="EC Square Sans Pro" w:hAnsi="EC Square Sans Pro" w:cs="Consolas"/>
      <w:sz w:val="20"/>
      <w:szCs w:val="20"/>
      <w:lang w:val="en-GB"/>
    </w:rPr>
  </w:style>
  <w:style w:type="paragraph" w:styleId="HTMLPreformatted">
    <w:name w:val="HTML Preformatted"/>
    <w:basedOn w:val="Normal"/>
    <w:link w:val="HTMLPreformattedChar"/>
    <w:uiPriority w:val="99"/>
    <w:semiHidden/>
    <w:unhideWhenUsed/>
    <w:rsid w:val="00BF57EE"/>
    <w:rPr>
      <w:rFonts w:cs="Consolas"/>
    </w:rPr>
  </w:style>
  <w:style w:type="character" w:customStyle="1" w:styleId="HTMLPreformattedChar">
    <w:name w:val="HTML Preformatted Char"/>
    <w:basedOn w:val="DefaultParagraphFont"/>
    <w:link w:val="HTMLPreformatted"/>
    <w:uiPriority w:val="99"/>
    <w:semiHidden/>
    <w:rsid w:val="00BF57EE"/>
    <w:rPr>
      <w:rFonts w:cs="Consolas"/>
      <w:lang w:val="en-GB"/>
    </w:rPr>
  </w:style>
  <w:style w:type="character" w:styleId="HTMLSample">
    <w:name w:val="HTML Sample"/>
    <w:basedOn w:val="DefaultParagraphFont"/>
    <w:uiPriority w:val="99"/>
    <w:semiHidden/>
    <w:unhideWhenUsed/>
    <w:rsid w:val="00BF57EE"/>
    <w:rPr>
      <w:rFonts w:ascii="EC Square Sans Pro" w:hAnsi="EC Square Sans Pro" w:cs="Consolas"/>
      <w:sz w:val="24"/>
      <w:szCs w:val="24"/>
      <w:lang w:val="en-GB"/>
    </w:rPr>
  </w:style>
  <w:style w:type="character" w:styleId="HTMLTypewriter">
    <w:name w:val="HTML Typewriter"/>
    <w:basedOn w:val="DefaultParagraphFont"/>
    <w:uiPriority w:val="99"/>
    <w:semiHidden/>
    <w:unhideWhenUsed/>
    <w:rsid w:val="00BF57EE"/>
    <w:rPr>
      <w:rFonts w:ascii="EC Square Sans Pro" w:hAnsi="EC Square Sans Pro" w:cs="Consolas"/>
      <w:sz w:val="20"/>
      <w:szCs w:val="20"/>
      <w:lang w:val="en-GB"/>
    </w:rPr>
  </w:style>
  <w:style w:type="character" w:styleId="HTMLVariable">
    <w:name w:val="HTML Variable"/>
    <w:basedOn w:val="DefaultParagraphFont"/>
    <w:uiPriority w:val="99"/>
    <w:semiHidden/>
    <w:unhideWhenUsed/>
    <w:rsid w:val="00BF57EE"/>
    <w:rPr>
      <w:rFonts w:ascii="EC Square Sans Pro" w:hAnsi="EC Square Sans Pro"/>
      <w:i/>
      <w:iCs/>
      <w:lang w:val="en-GB"/>
    </w:rPr>
  </w:style>
  <w:style w:type="paragraph" w:styleId="Index1">
    <w:name w:val="index 1"/>
    <w:basedOn w:val="Normal"/>
    <w:next w:val="Normal"/>
    <w:autoRedefine/>
    <w:uiPriority w:val="99"/>
    <w:semiHidden/>
    <w:unhideWhenUsed/>
    <w:rsid w:val="00BF57EE"/>
    <w:pPr>
      <w:ind w:left="200" w:hanging="200"/>
    </w:pPr>
  </w:style>
  <w:style w:type="paragraph" w:styleId="Index2">
    <w:name w:val="index 2"/>
    <w:basedOn w:val="Normal"/>
    <w:next w:val="Normal"/>
    <w:autoRedefine/>
    <w:uiPriority w:val="99"/>
    <w:semiHidden/>
    <w:unhideWhenUsed/>
    <w:rsid w:val="00BF57EE"/>
    <w:pPr>
      <w:ind w:left="400" w:hanging="200"/>
    </w:pPr>
  </w:style>
  <w:style w:type="paragraph" w:styleId="Index3">
    <w:name w:val="index 3"/>
    <w:basedOn w:val="Normal"/>
    <w:next w:val="Normal"/>
    <w:autoRedefine/>
    <w:uiPriority w:val="99"/>
    <w:semiHidden/>
    <w:unhideWhenUsed/>
    <w:rsid w:val="00BF57EE"/>
    <w:pPr>
      <w:ind w:left="600" w:hanging="200"/>
    </w:pPr>
  </w:style>
  <w:style w:type="paragraph" w:styleId="Index4">
    <w:name w:val="index 4"/>
    <w:basedOn w:val="Normal"/>
    <w:next w:val="Normal"/>
    <w:autoRedefine/>
    <w:uiPriority w:val="99"/>
    <w:semiHidden/>
    <w:unhideWhenUsed/>
    <w:rsid w:val="00BF57EE"/>
    <w:pPr>
      <w:ind w:left="800" w:hanging="200"/>
    </w:pPr>
  </w:style>
  <w:style w:type="paragraph" w:styleId="Index5">
    <w:name w:val="index 5"/>
    <w:basedOn w:val="Normal"/>
    <w:next w:val="Normal"/>
    <w:autoRedefine/>
    <w:uiPriority w:val="99"/>
    <w:semiHidden/>
    <w:unhideWhenUsed/>
    <w:rsid w:val="00BF57EE"/>
    <w:pPr>
      <w:ind w:left="1000" w:hanging="200"/>
    </w:pPr>
  </w:style>
  <w:style w:type="paragraph" w:styleId="Index6">
    <w:name w:val="index 6"/>
    <w:basedOn w:val="Normal"/>
    <w:next w:val="Normal"/>
    <w:autoRedefine/>
    <w:uiPriority w:val="99"/>
    <w:semiHidden/>
    <w:unhideWhenUsed/>
    <w:rsid w:val="00BF57EE"/>
    <w:pPr>
      <w:ind w:left="1200" w:hanging="200"/>
    </w:pPr>
  </w:style>
  <w:style w:type="paragraph" w:styleId="Index7">
    <w:name w:val="index 7"/>
    <w:basedOn w:val="Normal"/>
    <w:next w:val="Normal"/>
    <w:autoRedefine/>
    <w:uiPriority w:val="99"/>
    <w:semiHidden/>
    <w:unhideWhenUsed/>
    <w:rsid w:val="00BF57EE"/>
    <w:pPr>
      <w:ind w:left="1400" w:hanging="200"/>
    </w:pPr>
  </w:style>
  <w:style w:type="paragraph" w:styleId="Index8">
    <w:name w:val="index 8"/>
    <w:basedOn w:val="Normal"/>
    <w:next w:val="Normal"/>
    <w:autoRedefine/>
    <w:uiPriority w:val="99"/>
    <w:semiHidden/>
    <w:unhideWhenUsed/>
    <w:rsid w:val="00BF57EE"/>
    <w:pPr>
      <w:ind w:left="1600" w:hanging="200"/>
    </w:pPr>
  </w:style>
  <w:style w:type="paragraph" w:styleId="Index9">
    <w:name w:val="index 9"/>
    <w:basedOn w:val="Normal"/>
    <w:next w:val="Normal"/>
    <w:autoRedefine/>
    <w:uiPriority w:val="99"/>
    <w:semiHidden/>
    <w:unhideWhenUsed/>
    <w:rsid w:val="00BF57EE"/>
    <w:pPr>
      <w:ind w:left="1800" w:hanging="200"/>
    </w:pPr>
  </w:style>
  <w:style w:type="paragraph" w:styleId="IndexHeading">
    <w:name w:val="index heading"/>
    <w:basedOn w:val="Normal"/>
    <w:next w:val="Index1"/>
    <w:uiPriority w:val="99"/>
    <w:semiHidden/>
    <w:unhideWhenUsed/>
    <w:rsid w:val="00BF57EE"/>
    <w:rPr>
      <w:rFonts w:eastAsiaTheme="majorEastAsia" w:cstheme="majorBidi"/>
      <w:b/>
      <w:bCs/>
    </w:rPr>
  </w:style>
  <w:style w:type="character" w:styleId="LineNumber">
    <w:name w:val="line number"/>
    <w:basedOn w:val="DefaultParagraphFont"/>
    <w:uiPriority w:val="99"/>
    <w:semiHidden/>
    <w:unhideWhenUsed/>
    <w:rsid w:val="00BF57EE"/>
    <w:rPr>
      <w:rFonts w:ascii="EC Square Sans Pro" w:hAnsi="EC Square Sans Pro"/>
      <w:lang w:val="en-GB"/>
    </w:rPr>
  </w:style>
  <w:style w:type="paragraph" w:styleId="List">
    <w:name w:val="List"/>
    <w:basedOn w:val="Normal"/>
    <w:uiPriority w:val="99"/>
    <w:semiHidden/>
    <w:unhideWhenUsed/>
    <w:rsid w:val="00BF57EE"/>
    <w:pPr>
      <w:ind w:left="283" w:hanging="283"/>
      <w:contextualSpacing/>
    </w:pPr>
  </w:style>
  <w:style w:type="paragraph" w:styleId="List2">
    <w:name w:val="List 2"/>
    <w:basedOn w:val="Normal"/>
    <w:uiPriority w:val="99"/>
    <w:semiHidden/>
    <w:unhideWhenUsed/>
    <w:rsid w:val="00BF57EE"/>
    <w:pPr>
      <w:ind w:left="566" w:hanging="283"/>
      <w:contextualSpacing/>
    </w:pPr>
  </w:style>
  <w:style w:type="paragraph" w:styleId="List3">
    <w:name w:val="List 3"/>
    <w:basedOn w:val="Normal"/>
    <w:uiPriority w:val="99"/>
    <w:semiHidden/>
    <w:unhideWhenUsed/>
    <w:rsid w:val="00BF57EE"/>
    <w:pPr>
      <w:ind w:left="849" w:hanging="283"/>
      <w:contextualSpacing/>
    </w:pPr>
  </w:style>
  <w:style w:type="paragraph" w:styleId="List4">
    <w:name w:val="List 4"/>
    <w:basedOn w:val="Normal"/>
    <w:uiPriority w:val="99"/>
    <w:semiHidden/>
    <w:unhideWhenUsed/>
    <w:rsid w:val="00BF57EE"/>
    <w:pPr>
      <w:ind w:left="1132" w:hanging="283"/>
      <w:contextualSpacing/>
    </w:pPr>
  </w:style>
  <w:style w:type="paragraph" w:styleId="List5">
    <w:name w:val="List 5"/>
    <w:basedOn w:val="Normal"/>
    <w:uiPriority w:val="99"/>
    <w:semiHidden/>
    <w:unhideWhenUsed/>
    <w:rsid w:val="00BF57EE"/>
    <w:pPr>
      <w:ind w:left="1415" w:hanging="283"/>
      <w:contextualSpacing/>
    </w:pPr>
  </w:style>
  <w:style w:type="paragraph" w:styleId="ListBullet5">
    <w:name w:val="List Bullet 5"/>
    <w:basedOn w:val="Normal"/>
    <w:uiPriority w:val="99"/>
    <w:semiHidden/>
    <w:unhideWhenUsed/>
    <w:rsid w:val="00BF57EE"/>
    <w:pPr>
      <w:numPr>
        <w:numId w:val="1"/>
      </w:numPr>
      <w:contextualSpacing/>
    </w:pPr>
  </w:style>
  <w:style w:type="paragraph" w:styleId="ListContinue">
    <w:name w:val="List Continue"/>
    <w:basedOn w:val="Normal"/>
    <w:uiPriority w:val="99"/>
    <w:semiHidden/>
    <w:unhideWhenUsed/>
    <w:rsid w:val="00BF57EE"/>
    <w:pPr>
      <w:spacing w:after="120"/>
      <w:ind w:left="283"/>
      <w:contextualSpacing/>
    </w:pPr>
  </w:style>
  <w:style w:type="paragraph" w:styleId="ListContinue2">
    <w:name w:val="List Continue 2"/>
    <w:basedOn w:val="Normal"/>
    <w:uiPriority w:val="99"/>
    <w:semiHidden/>
    <w:unhideWhenUsed/>
    <w:rsid w:val="00BF57EE"/>
    <w:pPr>
      <w:spacing w:after="120"/>
      <w:ind w:left="566"/>
      <w:contextualSpacing/>
    </w:pPr>
  </w:style>
  <w:style w:type="paragraph" w:styleId="ListContinue3">
    <w:name w:val="List Continue 3"/>
    <w:basedOn w:val="Normal"/>
    <w:uiPriority w:val="99"/>
    <w:semiHidden/>
    <w:unhideWhenUsed/>
    <w:rsid w:val="00BF57EE"/>
    <w:pPr>
      <w:spacing w:after="120"/>
      <w:ind w:left="849"/>
      <w:contextualSpacing/>
    </w:pPr>
  </w:style>
  <w:style w:type="paragraph" w:styleId="ListContinue4">
    <w:name w:val="List Continue 4"/>
    <w:basedOn w:val="Normal"/>
    <w:uiPriority w:val="99"/>
    <w:semiHidden/>
    <w:unhideWhenUsed/>
    <w:rsid w:val="00BF57EE"/>
    <w:pPr>
      <w:spacing w:after="120"/>
      <w:ind w:left="1132"/>
      <w:contextualSpacing/>
    </w:pPr>
  </w:style>
  <w:style w:type="paragraph" w:styleId="ListContinue5">
    <w:name w:val="List Continue 5"/>
    <w:basedOn w:val="Normal"/>
    <w:uiPriority w:val="99"/>
    <w:semiHidden/>
    <w:unhideWhenUsed/>
    <w:rsid w:val="00BF57EE"/>
    <w:pPr>
      <w:spacing w:after="120"/>
      <w:ind w:left="1415"/>
      <w:contextualSpacing/>
    </w:pPr>
  </w:style>
  <w:style w:type="paragraph" w:styleId="ListNumber5">
    <w:name w:val="List Number 5"/>
    <w:basedOn w:val="Normal"/>
    <w:uiPriority w:val="99"/>
    <w:semiHidden/>
    <w:unhideWhenUsed/>
    <w:rsid w:val="00BF57EE"/>
    <w:pPr>
      <w:numPr>
        <w:numId w:val="2"/>
      </w:numPr>
      <w:contextualSpacing/>
    </w:pPr>
  </w:style>
  <w:style w:type="paragraph" w:styleId="MacroText">
    <w:name w:val="macro"/>
    <w:link w:val="MacroTextChar"/>
    <w:uiPriority w:val="99"/>
    <w:semiHidden/>
    <w:unhideWhenUsed/>
    <w:rsid w:val="00BF57EE"/>
    <w:pPr>
      <w:tabs>
        <w:tab w:val="left" w:pos="480"/>
        <w:tab w:val="left" w:pos="960"/>
        <w:tab w:val="left" w:pos="1440"/>
        <w:tab w:val="left" w:pos="1920"/>
        <w:tab w:val="left" w:pos="2400"/>
        <w:tab w:val="left" w:pos="2880"/>
        <w:tab w:val="left" w:pos="3360"/>
        <w:tab w:val="left" w:pos="3840"/>
        <w:tab w:val="left" w:pos="4320"/>
      </w:tabs>
    </w:pPr>
    <w:rPr>
      <w:rFonts w:cs="Consolas"/>
      <w:lang w:val="en-GB"/>
    </w:rPr>
  </w:style>
  <w:style w:type="character" w:customStyle="1" w:styleId="MacroTextChar">
    <w:name w:val="Macro Text Char"/>
    <w:basedOn w:val="DefaultParagraphFont"/>
    <w:link w:val="MacroText"/>
    <w:uiPriority w:val="99"/>
    <w:semiHidden/>
    <w:rsid w:val="00BF57EE"/>
    <w:rPr>
      <w:rFonts w:cs="Consolas"/>
      <w:lang w:val="en-GB"/>
    </w:rPr>
  </w:style>
  <w:style w:type="paragraph" w:styleId="MessageHeader">
    <w:name w:val="Message Header"/>
    <w:basedOn w:val="Normal"/>
    <w:link w:val="MessageHeaderChar"/>
    <w:uiPriority w:val="99"/>
    <w:semiHidden/>
    <w:unhideWhenUsed/>
    <w:rsid w:val="00BF57E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BF57EE"/>
    <w:rPr>
      <w:rFonts w:eastAsiaTheme="majorEastAsia" w:cstheme="majorBidi"/>
      <w:sz w:val="24"/>
      <w:szCs w:val="24"/>
      <w:shd w:val="pct20" w:color="auto" w:fill="auto"/>
      <w:lang w:val="en-GB"/>
    </w:rPr>
  </w:style>
  <w:style w:type="paragraph" w:styleId="NormalIndent">
    <w:name w:val="Normal Indent"/>
    <w:basedOn w:val="Normal"/>
    <w:uiPriority w:val="99"/>
    <w:semiHidden/>
    <w:unhideWhenUsed/>
    <w:rsid w:val="00BF57EE"/>
    <w:pPr>
      <w:ind w:left="720"/>
    </w:pPr>
  </w:style>
  <w:style w:type="paragraph" w:styleId="NoteHeading">
    <w:name w:val="Note Heading"/>
    <w:basedOn w:val="Normal"/>
    <w:next w:val="Normal"/>
    <w:link w:val="NoteHeadingChar"/>
    <w:uiPriority w:val="99"/>
    <w:semiHidden/>
    <w:unhideWhenUsed/>
    <w:rsid w:val="00BF57EE"/>
  </w:style>
  <w:style w:type="character" w:customStyle="1" w:styleId="NoteHeadingChar">
    <w:name w:val="Note Heading Char"/>
    <w:basedOn w:val="DefaultParagraphFont"/>
    <w:link w:val="NoteHeading"/>
    <w:uiPriority w:val="99"/>
    <w:semiHidden/>
    <w:rsid w:val="00BF57EE"/>
    <w:rPr>
      <w:lang w:val="en-GB"/>
    </w:rPr>
  </w:style>
  <w:style w:type="character" w:styleId="PageNumber">
    <w:name w:val="page number"/>
    <w:basedOn w:val="DefaultParagraphFont"/>
    <w:unhideWhenUsed/>
    <w:rsid w:val="00BF57EE"/>
    <w:rPr>
      <w:rFonts w:ascii="EC Square Sans Pro" w:hAnsi="EC Square Sans Pro"/>
      <w:lang w:val="en-GB"/>
    </w:rPr>
  </w:style>
  <w:style w:type="character" w:styleId="PlaceholderText">
    <w:name w:val="Placeholder Text"/>
    <w:basedOn w:val="DefaultParagraphFont"/>
    <w:uiPriority w:val="99"/>
    <w:semiHidden/>
    <w:rsid w:val="00BF57EE"/>
    <w:rPr>
      <w:rFonts w:ascii="EC Square Sans Pro" w:hAnsi="EC Square Sans Pro"/>
      <w:color w:val="808080"/>
      <w:lang w:val="en-GB"/>
    </w:rPr>
  </w:style>
  <w:style w:type="paragraph" w:styleId="PlainText">
    <w:name w:val="Plain Text"/>
    <w:basedOn w:val="Normal"/>
    <w:link w:val="PlainTextChar"/>
    <w:uiPriority w:val="99"/>
    <w:semiHidden/>
    <w:unhideWhenUsed/>
    <w:rsid w:val="00BF57EE"/>
    <w:rPr>
      <w:rFonts w:cs="Consolas"/>
      <w:sz w:val="21"/>
      <w:szCs w:val="21"/>
    </w:rPr>
  </w:style>
  <w:style w:type="character" w:customStyle="1" w:styleId="PlainTextChar">
    <w:name w:val="Plain Text Char"/>
    <w:basedOn w:val="DefaultParagraphFont"/>
    <w:link w:val="PlainText"/>
    <w:uiPriority w:val="99"/>
    <w:semiHidden/>
    <w:rsid w:val="00BF57EE"/>
    <w:rPr>
      <w:rFonts w:cs="Consolas"/>
      <w:sz w:val="21"/>
      <w:szCs w:val="21"/>
      <w:lang w:val="en-GB"/>
    </w:rPr>
  </w:style>
  <w:style w:type="paragraph" w:styleId="Salutation">
    <w:name w:val="Salutation"/>
    <w:basedOn w:val="Normal"/>
    <w:next w:val="Normal"/>
    <w:link w:val="SalutationChar"/>
    <w:uiPriority w:val="99"/>
    <w:semiHidden/>
    <w:unhideWhenUsed/>
    <w:rsid w:val="00BF57EE"/>
  </w:style>
  <w:style w:type="character" w:customStyle="1" w:styleId="SalutationChar">
    <w:name w:val="Salutation Char"/>
    <w:basedOn w:val="DefaultParagraphFont"/>
    <w:link w:val="Salutation"/>
    <w:uiPriority w:val="99"/>
    <w:semiHidden/>
    <w:rsid w:val="00BF57EE"/>
    <w:rPr>
      <w:lang w:val="en-GB"/>
    </w:rPr>
  </w:style>
  <w:style w:type="paragraph" w:styleId="Signature">
    <w:name w:val="Signature"/>
    <w:link w:val="SignatureChar"/>
    <w:uiPriority w:val="99"/>
    <w:rsid w:val="00CA2ADD"/>
    <w:pPr>
      <w:spacing w:before="400"/>
      <w:contextualSpacing/>
    </w:pPr>
    <w:rPr>
      <w:sz w:val="22"/>
      <w:szCs w:val="22"/>
      <w:lang w:val="en-GB"/>
    </w:rPr>
  </w:style>
  <w:style w:type="character" w:customStyle="1" w:styleId="SignatureChar">
    <w:name w:val="Signature Char"/>
    <w:basedOn w:val="DefaultParagraphFont"/>
    <w:link w:val="Signature"/>
    <w:uiPriority w:val="99"/>
    <w:rsid w:val="00CA2ADD"/>
    <w:rPr>
      <w:sz w:val="22"/>
      <w:szCs w:val="22"/>
      <w:lang w:val="en-GB"/>
    </w:rPr>
  </w:style>
  <w:style w:type="paragraph" w:styleId="TableofAuthorities">
    <w:name w:val="table of authorities"/>
    <w:basedOn w:val="Normal"/>
    <w:next w:val="Normal"/>
    <w:uiPriority w:val="99"/>
    <w:semiHidden/>
    <w:unhideWhenUsed/>
    <w:rsid w:val="00BF57EE"/>
    <w:pPr>
      <w:ind w:left="200" w:hanging="200"/>
    </w:pPr>
  </w:style>
  <w:style w:type="paragraph" w:styleId="TOAHeading">
    <w:name w:val="toa heading"/>
    <w:basedOn w:val="amprH1TITLE-noTOC"/>
    <w:next w:val="Normal"/>
    <w:uiPriority w:val="99"/>
    <w:semiHidden/>
    <w:unhideWhenUsed/>
    <w:rsid w:val="004023DA"/>
  </w:style>
  <w:style w:type="character" w:customStyle="1" w:styleId="BOLDBLUE">
    <w:name w:val="BOLD BLUE"/>
    <w:basedOn w:val="BodyTextChar"/>
    <w:uiPriority w:val="40"/>
    <w:semiHidden/>
    <w:qFormat/>
    <w:rsid w:val="004D4116"/>
    <w:rPr>
      <w:rFonts w:eastAsia="EC Square Sans Pro" w:cs="Times New Roman"/>
      <w:b/>
      <w:color w:val="215E94" w:themeColor="text2"/>
      <w:szCs w:val="21"/>
      <w:lang w:val="en-GB" w:eastAsia="fr-BE"/>
    </w:rPr>
  </w:style>
  <w:style w:type="table" w:styleId="ListTable2-Accent2">
    <w:name w:val="List Table 2 Accent 2"/>
    <w:basedOn w:val="TableNormal"/>
    <w:uiPriority w:val="47"/>
    <w:rsid w:val="00B430F0"/>
    <w:pPr>
      <w:spacing w:after="0" w:line="240" w:lineRule="auto"/>
    </w:pPr>
    <w:tblPr>
      <w:tblStyleRowBandSize w:val="1"/>
      <w:tblStyleColBandSize w:val="1"/>
      <w:tblBorders>
        <w:top w:val="single" w:sz="4" w:space="0" w:color="61D5ED" w:themeColor="accent2" w:themeTint="99"/>
        <w:bottom w:val="single" w:sz="4" w:space="0" w:color="61D5ED" w:themeColor="accent2" w:themeTint="99"/>
        <w:insideH w:val="single" w:sz="4" w:space="0" w:color="61D5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paragraph" w:styleId="Header">
    <w:name w:val="header"/>
    <w:basedOn w:val="amprHeader-Right"/>
    <w:link w:val="HeaderChar"/>
    <w:unhideWhenUsed/>
    <w:rsid w:val="008E3AF2"/>
  </w:style>
  <w:style w:type="character" w:customStyle="1" w:styleId="HeaderChar">
    <w:name w:val="Header Char"/>
    <w:basedOn w:val="DefaultParagraphFont"/>
    <w:link w:val="Header"/>
    <w:rsid w:val="008E3AF2"/>
    <w:rPr>
      <w:rFonts w:eastAsia="EC Square Sans Pro" w:cs="Times New Roman"/>
      <w:color w:val="767676"/>
      <w:szCs w:val="21"/>
      <w:lang w:val="en-GB" w:eastAsia="zh-CN"/>
    </w:rPr>
  </w:style>
  <w:style w:type="paragraph" w:styleId="NormalWeb">
    <w:name w:val="Normal (Web)"/>
    <w:basedOn w:val="Normal"/>
    <w:uiPriority w:val="99"/>
    <w:unhideWhenUsed/>
    <w:rsid w:val="00E901CD"/>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BASE-STYLE-TEXT"/>
    <w:link w:val="FootnoteTextChar"/>
    <w:unhideWhenUsed/>
    <w:qFormat/>
    <w:rsid w:val="00CE0A7F"/>
    <w:pPr>
      <w:spacing w:after="0" w:line="240" w:lineRule="auto"/>
      <w:ind w:left="357" w:hanging="357"/>
      <w:jc w:val="left"/>
    </w:pPr>
    <w:rPr>
      <w:sz w:val="20"/>
      <w:szCs w:val="20"/>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qFormat/>
    <w:rsid w:val="00CE0A7F"/>
    <w:rPr>
      <w:rFonts w:eastAsia="EC Square Sans Pro" w:cs="Times New Roman"/>
      <w:color w:val="000000" w:themeColor="text1"/>
      <w:lang w:val="en-GB" w:eastAsia="zh-CN"/>
    </w:rPr>
  </w:style>
  <w:style w:type="paragraph" w:customStyle="1" w:styleId="amprTable-ChartSOURCEandPhotoCAPTION">
    <w:name w:val="[ampr] Table-Chart SOURCE and Photo CAPTION"/>
    <w:next w:val="amprBodyText"/>
    <w:uiPriority w:val="2"/>
    <w:qFormat/>
    <w:rsid w:val="00491603"/>
    <w:pPr>
      <w:spacing w:before="40"/>
      <w:contextualSpacing/>
    </w:pPr>
    <w:rPr>
      <w:rFonts w:eastAsia="Calibri"/>
      <w:iCs/>
      <w:noProof/>
      <w:sz w:val="16"/>
      <w:szCs w:val="16"/>
      <w:lang w:val="en-GB" w:eastAsia="fr-BE"/>
    </w:rPr>
  </w:style>
  <w:style w:type="table" w:customStyle="1" w:styleId="AMPR2021">
    <w:name w:val="AMPR_2021"/>
    <w:basedOn w:val="TableNormal"/>
    <w:uiPriority w:val="99"/>
    <w:rsid w:val="000046DE"/>
    <w:pPr>
      <w:spacing w:before="100" w:after="100"/>
    </w:pPr>
    <w:rPr>
      <w:lang w:val="en-GB"/>
    </w:rPr>
    <w:tblPr>
      <w:tblStyleRowBandSize w:val="1"/>
      <w:tblStyleColBandSize w:val="1"/>
      <w:tblBorders>
        <w:top w:val="single" w:sz="4" w:space="0" w:color="8C8C8C"/>
        <w:bottom w:val="single" w:sz="4" w:space="0" w:color="8C8C8C"/>
        <w:insideH w:val="single" w:sz="4" w:space="0" w:color="8C8C8C"/>
      </w:tblBorders>
    </w:tblPr>
    <w:trPr>
      <w:cantSplit/>
    </w:trPr>
    <w:tblStylePr w:type="firstRow">
      <w:pPr>
        <w:wordWrap/>
        <w:jc w:val="center"/>
      </w:pPr>
      <w:rPr>
        <w:b/>
        <w:color w:val="FFFFFF" w:themeColor="background1"/>
      </w:rPr>
      <w:tblPr/>
      <w:tcPr>
        <w:tcBorders>
          <w:top w:val="nil"/>
          <w:left w:val="nil"/>
          <w:bottom w:val="nil"/>
          <w:right w:val="nil"/>
          <w:insideH w:val="nil"/>
          <w:insideV w:val="nil"/>
          <w:tl2br w:val="nil"/>
          <w:tr2bl w:val="nil"/>
        </w:tcBorders>
        <w:shd w:val="clear" w:color="auto" w:fill="215E94" w:themeFill="text2"/>
      </w:tcPr>
    </w:tblStylePr>
    <w:tblStylePr w:type="lastRow">
      <w:rPr>
        <w:b/>
        <w:color w:val="215E94" w:themeColor="text2"/>
      </w:rPr>
      <w:tblPr/>
      <w:tcPr>
        <w:tcBorders>
          <w:bottom w:val="nil"/>
        </w:tcBorders>
        <w:shd w:val="clear" w:color="auto" w:fill="FFFFFF" w:themeFill="background1"/>
      </w:tcPr>
    </w:tblStylePr>
    <w:tblStylePr w:type="firstCol">
      <w:pPr>
        <w:wordWrap/>
        <w:spacing w:beforeLines="0" w:before="100" w:beforeAutospacing="0" w:afterLines="0" w:after="100" w:afterAutospacing="0" w:line="22" w:lineRule="atLeast"/>
        <w:contextualSpacing w:val="0"/>
        <w:jc w:val="left"/>
      </w:pPr>
      <w:rPr>
        <w:b/>
        <w:i w:val="0"/>
        <w:color w:val="109146" w:themeColor="accent1"/>
      </w:rPr>
    </w:tblStylePr>
    <w:tblStylePr w:type="lastCol">
      <w:rPr>
        <w:b/>
      </w:rPr>
    </w:tblStylePr>
    <w:tblStylePr w:type="band2Vert">
      <w:rPr>
        <w:b w:val="0"/>
      </w:rPr>
      <w:tblPr/>
      <w:tcPr>
        <w:tcBorders>
          <w:top w:val="single" w:sz="4" w:space="0" w:color="8C8C8C"/>
          <w:left w:val="nil"/>
          <w:bottom w:val="single" w:sz="4" w:space="0" w:color="8C8C8C"/>
          <w:right w:val="nil"/>
          <w:insideH w:val="single" w:sz="4" w:space="0" w:color="8C8C8C"/>
          <w:insideV w:val="nil"/>
          <w:tl2br w:val="nil"/>
          <w:tr2bl w:val="nil"/>
        </w:tcBorders>
        <w:shd w:val="clear" w:color="auto" w:fill="F2F2F2" w:themeFill="background1" w:themeFillShade="F2"/>
      </w:tcPr>
    </w:tblStylePr>
    <w:tblStylePr w:type="band1Horz">
      <w:rPr>
        <w:b w:val="0"/>
      </w:rPr>
      <w:tblPr/>
      <w:tcPr>
        <w:tcBorders>
          <w:top w:val="single" w:sz="4" w:space="0" w:color="8C8C8C"/>
          <w:left w:val="nil"/>
          <w:bottom w:val="single" w:sz="4" w:space="0" w:color="8C8C8C"/>
          <w:right w:val="nil"/>
          <w:insideH w:val="nil"/>
          <w:insideV w:val="nil"/>
          <w:tl2br w:val="nil"/>
          <w:tr2bl w:val="nil"/>
        </w:tcBorders>
      </w:tcPr>
    </w:tblStylePr>
    <w:tblStylePr w:type="band2Horz">
      <w:rPr>
        <w:b w:val="0"/>
      </w:rPr>
      <w:tblPr/>
      <w:tcPr>
        <w:tcBorders>
          <w:top w:val="single" w:sz="4" w:space="0" w:color="8C8C8C"/>
          <w:left w:val="nil"/>
          <w:bottom w:val="single" w:sz="4" w:space="0" w:color="8C8C8C"/>
          <w:right w:val="nil"/>
          <w:insideH w:val="nil"/>
          <w:insideV w:val="nil"/>
          <w:tl2br w:val="nil"/>
          <w:tr2bl w:val="nil"/>
        </w:tcBorders>
        <w:shd w:val="clear" w:color="auto" w:fill="F2F2F2" w:themeFill="background1" w:themeFillShade="F2"/>
      </w:tcPr>
    </w:tblStylePr>
  </w:style>
  <w:style w:type="numbering" w:customStyle="1" w:styleId="Style1">
    <w:name w:val="Style1"/>
    <w:uiPriority w:val="99"/>
    <w:rsid w:val="00501737"/>
    <w:pPr>
      <w:numPr>
        <w:numId w:val="3"/>
      </w:numPr>
    </w:pPr>
  </w:style>
  <w:style w:type="paragraph" w:styleId="Caption">
    <w:name w:val="caption"/>
    <w:basedOn w:val="Normal"/>
    <w:next w:val="Normal"/>
    <w:link w:val="CaptionChar"/>
    <w:unhideWhenUsed/>
    <w:qFormat/>
    <w:rsid w:val="00923F19"/>
    <w:pPr>
      <w:spacing w:before="0" w:after="200"/>
    </w:pPr>
    <w:rPr>
      <w:i/>
      <w:iCs/>
      <w:color w:val="215E94" w:themeColor="text2"/>
      <w:sz w:val="18"/>
      <w:szCs w:val="18"/>
    </w:rPr>
  </w:style>
  <w:style w:type="paragraph" w:styleId="CommentText">
    <w:name w:val="annotation text"/>
    <w:basedOn w:val="Normal"/>
    <w:link w:val="CommentTextChar"/>
    <w:uiPriority w:val="99"/>
    <w:unhideWhenUsed/>
    <w:qFormat/>
    <w:rsid w:val="00923F19"/>
  </w:style>
  <w:style w:type="character" w:customStyle="1" w:styleId="CommentTextChar">
    <w:name w:val="Comment Text Char"/>
    <w:basedOn w:val="DefaultParagraphFont"/>
    <w:link w:val="CommentText"/>
    <w:uiPriority w:val="99"/>
    <w:rsid w:val="00923F19"/>
    <w:rPr>
      <w:lang w:val="en-GB"/>
    </w:rPr>
  </w:style>
  <w:style w:type="paragraph" w:styleId="IntenseQuote">
    <w:name w:val="Intense Quote"/>
    <w:basedOn w:val="Normal"/>
    <w:next w:val="Normal"/>
    <w:link w:val="IntenseQuoteChar"/>
    <w:uiPriority w:val="30"/>
    <w:semiHidden/>
    <w:rsid w:val="008E3AF2"/>
    <w:pPr>
      <w:keepLines/>
      <w:pBdr>
        <w:top w:val="single" w:sz="4" w:space="10" w:color="109146" w:themeColor="accent1"/>
        <w:bottom w:val="single" w:sz="4" w:space="10" w:color="109146" w:themeColor="accent1"/>
      </w:pBdr>
      <w:spacing w:before="360" w:after="360"/>
      <w:ind w:left="851" w:right="851"/>
      <w:jc w:val="center"/>
    </w:pPr>
    <w:rPr>
      <w:i/>
      <w:iCs/>
      <w:color w:val="215E94" w:themeColor="text2"/>
    </w:rPr>
  </w:style>
  <w:style w:type="character" w:customStyle="1" w:styleId="IntenseQuoteChar">
    <w:name w:val="Intense Quote Char"/>
    <w:basedOn w:val="DefaultParagraphFont"/>
    <w:link w:val="IntenseQuote"/>
    <w:uiPriority w:val="30"/>
    <w:rsid w:val="008E3AF2"/>
    <w:rPr>
      <w:i/>
      <w:iCs/>
      <w:color w:val="215E94" w:themeColor="text2"/>
      <w:lang w:val="en-GB"/>
    </w:rPr>
  </w:style>
  <w:style w:type="paragraph" w:styleId="NoSpacing">
    <w:name w:val="No Spacing"/>
    <w:uiPriority w:val="1"/>
    <w:rsid w:val="00923F19"/>
    <w:pPr>
      <w:spacing w:before="0" w:after="0"/>
    </w:pPr>
    <w:rPr>
      <w:lang w:val="en-GB"/>
    </w:rPr>
  </w:style>
  <w:style w:type="paragraph" w:customStyle="1" w:styleId="BASE-STYLE-TEXT">
    <w:name w:val="_BASE-STYLE-TEXT"/>
    <w:next w:val="Normal"/>
    <w:uiPriority w:val="40"/>
    <w:semiHidden/>
    <w:rsid w:val="00A14612"/>
    <w:pPr>
      <w:spacing w:before="0" w:after="200"/>
      <w:jc w:val="both"/>
    </w:pPr>
    <w:rPr>
      <w:rFonts w:eastAsia="EC Square Sans Pro" w:cs="Times New Roman"/>
      <w:color w:val="000000" w:themeColor="text1"/>
      <w:sz w:val="18"/>
      <w:szCs w:val="21"/>
      <w:lang w:val="en-GB" w:eastAsia="zh-CN"/>
    </w:rPr>
  </w:style>
  <w:style w:type="paragraph" w:customStyle="1" w:styleId="BASE-STYLE-HEADINGS">
    <w:name w:val="_BASE-STYLE-HEADINGS"/>
    <w:basedOn w:val="BASE-STYLE-TEXT"/>
    <w:next w:val="Normal"/>
    <w:uiPriority w:val="40"/>
    <w:semiHidden/>
    <w:rsid w:val="00A14612"/>
  </w:style>
  <w:style w:type="paragraph" w:customStyle="1" w:styleId="amprboxBLUEtext">
    <w:name w:val="[ampr box BLUE] text"/>
    <w:basedOn w:val="BASE-STYLE-TEXT"/>
    <w:uiPriority w:val="5"/>
    <w:qFormat/>
    <w:rsid w:val="00A14612"/>
    <w:pPr>
      <w:pBdr>
        <w:top w:val="single" w:sz="12" w:space="8" w:color="215E94" w:themeColor="text2"/>
        <w:left w:val="single" w:sz="12" w:space="8" w:color="215E94" w:themeColor="text2"/>
        <w:bottom w:val="single" w:sz="12" w:space="8" w:color="215E94" w:themeColor="text2"/>
        <w:right w:val="single" w:sz="12" w:space="8" w:color="215E94" w:themeColor="text2"/>
      </w:pBdr>
      <w:shd w:val="clear" w:color="auto" w:fill="215E94" w:themeFill="text2"/>
      <w:spacing w:before="240" w:after="240"/>
    </w:pPr>
    <w:rPr>
      <w:color w:val="FFFFFF" w:themeColor="background1"/>
      <w:sz w:val="20"/>
      <w:lang w:eastAsia="fr-BE"/>
    </w:rPr>
  </w:style>
  <w:style w:type="paragraph" w:customStyle="1" w:styleId="amprboxGREENdashedbulletlist">
    <w:name w:val="[ampr box GREEN dashed] bullet list"/>
    <w:basedOn w:val="amprboxGREENdashedtext"/>
    <w:uiPriority w:val="5"/>
    <w:qFormat/>
    <w:rsid w:val="00A14612"/>
    <w:pPr>
      <w:numPr>
        <w:numId w:val="7"/>
      </w:numPr>
      <w:spacing w:before="60" w:after="60"/>
      <w:ind w:left="357" w:hanging="357"/>
    </w:pPr>
  </w:style>
  <w:style w:type="paragraph" w:customStyle="1" w:styleId="amprboxGREENdashedheading">
    <w:name w:val="[ampr box GREEN dashed] heading"/>
    <w:basedOn w:val="amprboxGREENdashedtext"/>
    <w:next w:val="Normal"/>
    <w:uiPriority w:val="5"/>
    <w:qFormat/>
    <w:rsid w:val="00A14612"/>
    <w:pPr>
      <w:keepNext/>
    </w:pPr>
    <w:rPr>
      <w:b/>
      <w:color w:val="109146" w:themeColor="accent1"/>
    </w:rPr>
  </w:style>
  <w:style w:type="paragraph" w:customStyle="1" w:styleId="amprboxGREENdashedtext">
    <w:name w:val="[ampr box GREEN dashed] text"/>
    <w:basedOn w:val="BASE-STYLE-TEXT"/>
    <w:uiPriority w:val="5"/>
    <w:qFormat/>
    <w:rsid w:val="00A14612"/>
    <w:pPr>
      <w:keepLines/>
      <w:pBdr>
        <w:top w:val="dashSmallGap" w:sz="12" w:space="8" w:color="109146" w:themeColor="accent1"/>
        <w:left w:val="dashSmallGap" w:sz="12" w:space="8" w:color="109146" w:themeColor="accent1"/>
        <w:bottom w:val="dashSmallGap" w:sz="12" w:space="8" w:color="109146" w:themeColor="accent1"/>
        <w:right w:val="dashSmallGap" w:sz="12" w:space="8" w:color="109146" w:themeColor="accent1"/>
      </w:pBdr>
      <w:spacing w:before="240" w:after="240"/>
    </w:pPr>
    <w:rPr>
      <w:sz w:val="20"/>
      <w:lang w:eastAsia="fr-BE"/>
    </w:rPr>
  </w:style>
  <w:style w:type="character" w:customStyle="1" w:styleId="amprcharBoldBlue">
    <w:name w:val="[ampr char] Bold Blue"/>
    <w:qFormat/>
    <w:rsid w:val="004D4116"/>
    <w:rPr>
      <w:b/>
      <w:color w:val="215E94" w:themeColor="text2"/>
      <w:spacing w:val="1"/>
      <w:bdr w:val="none" w:sz="0" w:space="0" w:color="auto"/>
      <w:shd w:val="clear" w:color="auto" w:fill="auto"/>
      <w:lang w:val="en-GB"/>
    </w:rPr>
  </w:style>
  <w:style w:type="numbering" w:customStyle="1" w:styleId="amprLISTblackbullets">
    <w:name w:val="[ampr LIST black]  bullets"/>
    <w:uiPriority w:val="99"/>
    <w:rsid w:val="00CE0A7F"/>
    <w:pPr>
      <w:numPr>
        <w:numId w:val="4"/>
      </w:numPr>
    </w:pPr>
  </w:style>
  <w:style w:type="paragraph" w:customStyle="1" w:styleId="amprLISTblackbullets-L1">
    <w:name w:val="[ampr LIST black] bullets - L1"/>
    <w:basedOn w:val="BASE-STYLE-TEXT"/>
    <w:uiPriority w:val="5"/>
    <w:qFormat/>
    <w:rsid w:val="00A14612"/>
    <w:pPr>
      <w:numPr>
        <w:numId w:val="5"/>
      </w:numPr>
      <w:spacing w:before="60" w:after="60"/>
    </w:pPr>
    <w:rPr>
      <w:sz w:val="20"/>
      <w:lang w:eastAsia="fr-BE"/>
    </w:rPr>
  </w:style>
  <w:style w:type="paragraph" w:customStyle="1" w:styleId="amprLISTblackbullets-L2">
    <w:name w:val="[ampr LIST black] bullets - L2"/>
    <w:basedOn w:val="BASE-STYLE-TEXT"/>
    <w:uiPriority w:val="5"/>
    <w:qFormat/>
    <w:rsid w:val="00A14612"/>
    <w:pPr>
      <w:numPr>
        <w:ilvl w:val="1"/>
        <w:numId w:val="5"/>
      </w:numPr>
      <w:spacing w:before="60" w:after="60"/>
      <w:ind w:left="1434" w:hanging="357"/>
    </w:pPr>
    <w:rPr>
      <w:sz w:val="20"/>
      <w:lang w:eastAsia="fr-BE"/>
    </w:rPr>
  </w:style>
  <w:style w:type="numbering" w:customStyle="1" w:styleId="amprLISTgreenbullets">
    <w:name w:val="[ampr LIST green] bullets"/>
    <w:uiPriority w:val="99"/>
    <w:rsid w:val="00CE0A7F"/>
    <w:pPr>
      <w:numPr>
        <w:numId w:val="6"/>
      </w:numPr>
    </w:pPr>
  </w:style>
  <w:style w:type="paragraph" w:customStyle="1" w:styleId="amprLISTgreenbullets-L1">
    <w:name w:val="[ampr LIST green] bullets - L1"/>
    <w:basedOn w:val="BASE-STYLE-TEXT"/>
    <w:uiPriority w:val="5"/>
    <w:qFormat/>
    <w:rsid w:val="00A14612"/>
    <w:pPr>
      <w:numPr>
        <w:numId w:val="11"/>
      </w:numPr>
      <w:spacing w:before="60" w:after="60"/>
    </w:pPr>
    <w:rPr>
      <w:sz w:val="20"/>
      <w:lang w:eastAsia="fr-BE"/>
    </w:rPr>
  </w:style>
  <w:style w:type="paragraph" w:customStyle="1" w:styleId="amprLISTgreenbullets-L1consecutiveparagraph">
    <w:name w:val="[ampr LIST green] bullets - L1 (consecutive paragraph)"/>
    <w:basedOn w:val="amprLISTgreenbullets-L1"/>
    <w:uiPriority w:val="5"/>
    <w:qFormat/>
    <w:rsid w:val="007F3983"/>
    <w:pPr>
      <w:numPr>
        <w:numId w:val="0"/>
      </w:numPr>
      <w:ind w:left="720"/>
    </w:pPr>
  </w:style>
  <w:style w:type="paragraph" w:customStyle="1" w:styleId="amprLISTgreenbullets-L2">
    <w:name w:val="[ampr LIST green] bullets - L2"/>
    <w:basedOn w:val="BASE-STYLE-TEXT"/>
    <w:uiPriority w:val="5"/>
    <w:qFormat/>
    <w:rsid w:val="00A14612"/>
    <w:pPr>
      <w:numPr>
        <w:ilvl w:val="1"/>
        <w:numId w:val="11"/>
      </w:numPr>
      <w:spacing w:before="60" w:after="60"/>
      <w:ind w:left="1434" w:hanging="357"/>
    </w:pPr>
    <w:rPr>
      <w:sz w:val="20"/>
      <w:lang w:eastAsia="fr-BE"/>
    </w:rPr>
  </w:style>
  <w:style w:type="paragraph" w:customStyle="1" w:styleId="OPcomment">
    <w:name w:val="OP comment"/>
    <w:uiPriority w:val="89"/>
    <w:semiHidden/>
    <w:qFormat/>
    <w:rsid w:val="000D37DA"/>
    <w:pPr>
      <w:pBdr>
        <w:top w:val="single" w:sz="48" w:space="31" w:color="595959" w:themeColor="text1" w:themeTint="A6"/>
        <w:left w:val="single" w:sz="48" w:space="31" w:color="595959" w:themeColor="text1" w:themeTint="A6"/>
        <w:bottom w:val="single" w:sz="48" w:space="31" w:color="595959" w:themeColor="text1" w:themeTint="A6"/>
        <w:right w:val="single" w:sz="48" w:space="31" w:color="595959" w:themeColor="text1" w:themeTint="A6"/>
      </w:pBdr>
      <w:shd w:val="clear" w:color="auto" w:fill="595959" w:themeFill="text1" w:themeFillTint="A6"/>
      <w:spacing w:before="0" w:line="288" w:lineRule="auto"/>
      <w:ind w:left="-660" w:right="-680"/>
    </w:pPr>
    <w:rPr>
      <w:rFonts w:cs="Arial"/>
      <w:color w:val="FFFFFF"/>
      <w:sz w:val="24"/>
      <w:lang w:val="en-GB"/>
    </w:rPr>
  </w:style>
  <w:style w:type="paragraph" w:customStyle="1" w:styleId="amprBodyText">
    <w:name w:val="[ampr] Body Text"/>
    <w:basedOn w:val="BASE-STYLE-TEXT"/>
    <w:uiPriority w:val="1"/>
    <w:qFormat/>
    <w:rsid w:val="00A14612"/>
    <w:pPr>
      <w:spacing w:before="240" w:after="240"/>
      <w:jc w:val="left"/>
    </w:pPr>
    <w:rPr>
      <w:color w:val="auto"/>
      <w:sz w:val="20"/>
    </w:rPr>
  </w:style>
  <w:style w:type="paragraph" w:customStyle="1" w:styleId="amprTable-ChartTITLE">
    <w:name w:val="[ampr] Table-Chart TITLE"/>
    <w:basedOn w:val="BASE-STYLE-TEXT"/>
    <w:next w:val="amprTable-ChartSOURCEandPhotoCAPTION"/>
    <w:uiPriority w:val="2"/>
    <w:qFormat/>
    <w:rsid w:val="00CE0A7F"/>
    <w:pPr>
      <w:spacing w:before="40" w:after="0" w:line="240" w:lineRule="auto"/>
      <w:jc w:val="left"/>
    </w:pPr>
    <w:rPr>
      <w:rFonts w:ascii="EC Square Sans Cond Pro Medium" w:eastAsia="Calibri" w:hAnsi="EC Square Sans Cond Pro Medium"/>
      <w:color w:val="auto"/>
      <w:sz w:val="16"/>
      <w:szCs w:val="16"/>
      <w:lang w:eastAsia="fr-BE"/>
    </w:rPr>
  </w:style>
  <w:style w:type="paragraph" w:customStyle="1" w:styleId="amprFooter-Left">
    <w:name w:val="[ampr] Footer - Left"/>
    <w:basedOn w:val="BASE-STYLE-TEXT"/>
    <w:next w:val="amprBodyText"/>
    <w:uiPriority w:val="10"/>
    <w:qFormat/>
    <w:rsid w:val="00CE0A7F"/>
    <w:pPr>
      <w:spacing w:after="0" w:line="240" w:lineRule="auto"/>
      <w:jc w:val="left"/>
    </w:pPr>
    <w:rPr>
      <w:color w:val="auto"/>
      <w:sz w:val="20"/>
    </w:rPr>
  </w:style>
  <w:style w:type="paragraph" w:customStyle="1" w:styleId="amprFooter-Right">
    <w:name w:val="[ampr] Footer - Right"/>
    <w:basedOn w:val="BASE-STYLE-TEXT"/>
    <w:next w:val="amprBodyText"/>
    <w:uiPriority w:val="10"/>
    <w:qFormat/>
    <w:rsid w:val="00CE0A7F"/>
    <w:pPr>
      <w:spacing w:after="0" w:line="240" w:lineRule="auto"/>
      <w:jc w:val="right"/>
    </w:pPr>
    <w:rPr>
      <w:color w:val="auto"/>
      <w:sz w:val="20"/>
    </w:rPr>
  </w:style>
  <w:style w:type="paragraph" w:customStyle="1" w:styleId="amprHeader-Left">
    <w:name w:val="[ampr] Header - Left"/>
    <w:basedOn w:val="BASE-STYLE-TEXT"/>
    <w:next w:val="amprBodyText"/>
    <w:uiPriority w:val="10"/>
    <w:qFormat/>
    <w:rsid w:val="00952AA2"/>
    <w:pPr>
      <w:spacing w:after="0" w:line="240" w:lineRule="auto"/>
      <w:jc w:val="left"/>
    </w:pPr>
    <w:rPr>
      <w:color w:val="767676"/>
      <w:sz w:val="20"/>
    </w:rPr>
  </w:style>
  <w:style w:type="paragraph" w:customStyle="1" w:styleId="amprHeader-Right">
    <w:name w:val="[ampr] Header - Right"/>
    <w:basedOn w:val="BASE-STYLE-TEXT"/>
    <w:next w:val="amprBodyText"/>
    <w:uiPriority w:val="10"/>
    <w:qFormat/>
    <w:rsid w:val="00952AA2"/>
    <w:pPr>
      <w:spacing w:after="0" w:line="240" w:lineRule="auto"/>
      <w:jc w:val="right"/>
    </w:pPr>
    <w:rPr>
      <w:color w:val="767676"/>
      <w:sz w:val="20"/>
    </w:rPr>
  </w:style>
  <w:style w:type="paragraph" w:customStyle="1" w:styleId="amprImageplaceholder">
    <w:name w:val="[ampr] Image placeholder"/>
    <w:next w:val="amprBodyText"/>
    <w:uiPriority w:val="2"/>
    <w:qFormat/>
    <w:rsid w:val="00FD377F"/>
    <w:pPr>
      <w:spacing w:after="40" w:line="240" w:lineRule="auto"/>
      <w:jc w:val="center"/>
    </w:pPr>
    <w:rPr>
      <w:rFonts w:eastAsia="EC Square Sans Pro" w:cs="Times New Roman"/>
      <w:szCs w:val="21"/>
      <w:lang w:val="en-GB" w:eastAsia="zh-CN"/>
    </w:rPr>
  </w:style>
  <w:style w:type="paragraph" w:customStyle="1" w:styleId="amprH4Subhead1">
    <w:name w:val="[ampr H4] Subhead 1"/>
    <w:basedOn w:val="BASE-STYLE-HEADINGS"/>
    <w:next w:val="amprBodyText"/>
    <w:uiPriority w:val="9"/>
    <w:qFormat/>
    <w:rsid w:val="00A14612"/>
    <w:pPr>
      <w:keepNext/>
      <w:keepLines/>
      <w:suppressAutoHyphens/>
      <w:spacing w:before="480" w:after="240"/>
      <w:jc w:val="left"/>
      <w:outlineLvl w:val="3"/>
    </w:pPr>
    <w:rPr>
      <w:color w:val="215E94" w:themeColor="text2"/>
      <w:sz w:val="28"/>
    </w:rPr>
  </w:style>
  <w:style w:type="paragraph" w:customStyle="1" w:styleId="amprH5Subhead2">
    <w:name w:val="[ampr H5] Subhead 2"/>
    <w:basedOn w:val="BASE-STYLE-HEADINGS"/>
    <w:next w:val="amprBodyText"/>
    <w:uiPriority w:val="9"/>
    <w:qFormat/>
    <w:rsid w:val="00A14612"/>
    <w:pPr>
      <w:keepNext/>
      <w:keepLines/>
      <w:suppressAutoHyphens/>
      <w:spacing w:before="480" w:after="240"/>
      <w:jc w:val="left"/>
      <w:outlineLvl w:val="4"/>
    </w:pPr>
    <w:rPr>
      <w:b/>
      <w:color w:val="215E94" w:themeColor="text2"/>
      <w:sz w:val="24"/>
    </w:rPr>
  </w:style>
  <w:style w:type="paragraph" w:customStyle="1" w:styleId="amprH6Subhead3">
    <w:name w:val="[ampr H6] Subhead 3"/>
    <w:basedOn w:val="BASE-STYLE-HEADINGS"/>
    <w:next w:val="amprBodyText"/>
    <w:uiPriority w:val="9"/>
    <w:qFormat/>
    <w:rsid w:val="00A14612"/>
    <w:pPr>
      <w:keepNext/>
      <w:keepLines/>
      <w:suppressAutoHyphens/>
      <w:spacing w:before="240" w:after="240"/>
      <w:ind w:left="340"/>
      <w:jc w:val="left"/>
      <w:outlineLvl w:val="5"/>
    </w:pPr>
    <w:rPr>
      <w:b/>
      <w:color w:val="109146" w:themeColor="accent1"/>
      <w:sz w:val="24"/>
      <w14:textOutline w14:w="9525" w14:cap="rnd" w14:cmpd="sng" w14:algn="ctr">
        <w14:noFill/>
        <w14:prstDash w14:val="solid"/>
        <w14:bevel/>
      </w14:textOutline>
    </w:rPr>
  </w:style>
  <w:style w:type="paragraph" w:customStyle="1" w:styleId="amprH2TITLE1">
    <w:name w:val="[ampr H2] TITLE 1"/>
    <w:basedOn w:val="BASE-STYLE-HEADINGS"/>
    <w:next w:val="amprBodyText"/>
    <w:uiPriority w:val="9"/>
    <w:qFormat/>
    <w:rsid w:val="00A548B2"/>
    <w:pPr>
      <w:keepNext/>
      <w:keepLines/>
      <w:pageBreakBefore/>
      <w:suppressAutoHyphens/>
      <w:spacing w:after="720"/>
      <w:jc w:val="left"/>
      <w:outlineLvl w:val="1"/>
    </w:pPr>
    <w:rPr>
      <w:color w:val="215E94" w:themeColor="text2"/>
      <w:sz w:val="48"/>
    </w:rPr>
  </w:style>
  <w:style w:type="paragraph" w:customStyle="1" w:styleId="amprH1TITLE-noTOC">
    <w:name w:val="[ampr H1] TITLE - noTOC"/>
    <w:basedOn w:val="amprH2TITLE1"/>
    <w:next w:val="amprBodyText"/>
    <w:uiPriority w:val="9"/>
    <w:qFormat/>
    <w:rsid w:val="00B64020"/>
    <w:pPr>
      <w:spacing w:after="480"/>
      <w:outlineLvl w:val="0"/>
    </w:pPr>
  </w:style>
  <w:style w:type="paragraph" w:customStyle="1" w:styleId="amprH3Title2">
    <w:name w:val="[ampr H3] Title 2"/>
    <w:basedOn w:val="BASE-STYLE-HEADINGS"/>
    <w:next w:val="amprBodyText"/>
    <w:uiPriority w:val="9"/>
    <w:qFormat/>
    <w:rsid w:val="00A14612"/>
    <w:pPr>
      <w:keepNext/>
      <w:keepLines/>
      <w:pBdr>
        <w:bottom w:val="single" w:sz="6" w:space="1" w:color="92D050"/>
      </w:pBdr>
      <w:suppressAutoHyphens/>
      <w:spacing w:before="480" w:after="240"/>
      <w:jc w:val="left"/>
      <w:outlineLvl w:val="2"/>
    </w:pPr>
    <w:rPr>
      <w:b/>
      <w:color w:val="215E94" w:themeColor="text2"/>
      <w:sz w:val="28"/>
    </w:rPr>
  </w:style>
  <w:style w:type="paragraph" w:customStyle="1" w:styleId="amprH4Subhead1-Numbered-111">
    <w:name w:val="[ampr H4] Subhead 1 - Numbered - 1.1.1."/>
    <w:basedOn w:val="amprH4Subhead1"/>
    <w:next w:val="amprBodyText"/>
    <w:uiPriority w:val="9"/>
    <w:qFormat/>
    <w:rsid w:val="005E5DAB"/>
    <w:pPr>
      <w:numPr>
        <w:ilvl w:val="2"/>
        <w:numId w:val="13"/>
      </w:numPr>
    </w:pPr>
  </w:style>
  <w:style w:type="paragraph" w:customStyle="1" w:styleId="Hidelastparagraphafterthetable">
    <w:name w:val="_Hide last paragraph after the table"/>
    <w:next w:val="Normal"/>
    <w:uiPriority w:val="11"/>
    <w:rsid w:val="00CE0A7F"/>
    <w:pPr>
      <w:widowControl w:val="0"/>
      <w:spacing w:before="0" w:after="0" w:line="20" w:lineRule="exact"/>
    </w:pPr>
    <w:rPr>
      <w:rFonts w:asciiTheme="minorHAnsi" w:eastAsiaTheme="minorEastAsia" w:hAnsiTheme="minorHAnsi"/>
      <w:vanish/>
      <w:sz w:val="2"/>
      <w:szCs w:val="2"/>
      <w:lang w:val="en-GB"/>
    </w:rPr>
  </w:style>
  <w:style w:type="numbering" w:styleId="111111">
    <w:name w:val="Outline List 2"/>
    <w:basedOn w:val="NoList"/>
    <w:uiPriority w:val="99"/>
    <w:semiHidden/>
    <w:unhideWhenUsed/>
    <w:rsid w:val="00CE0A7F"/>
    <w:pPr>
      <w:numPr>
        <w:numId w:val="8"/>
      </w:numPr>
    </w:pPr>
  </w:style>
  <w:style w:type="numbering" w:styleId="1ai">
    <w:name w:val="Outline List 1"/>
    <w:basedOn w:val="NoList"/>
    <w:uiPriority w:val="99"/>
    <w:semiHidden/>
    <w:unhideWhenUsed/>
    <w:rsid w:val="00CE0A7F"/>
    <w:pPr>
      <w:numPr>
        <w:numId w:val="9"/>
      </w:numPr>
    </w:pPr>
  </w:style>
  <w:style w:type="numbering" w:styleId="ArticleSection">
    <w:name w:val="Outline List 3"/>
    <w:basedOn w:val="NoList"/>
    <w:uiPriority w:val="99"/>
    <w:semiHidden/>
    <w:unhideWhenUsed/>
    <w:rsid w:val="00CE0A7F"/>
    <w:pPr>
      <w:numPr>
        <w:numId w:val="10"/>
      </w:numPr>
    </w:pPr>
  </w:style>
  <w:style w:type="character" w:styleId="BookTitle">
    <w:name w:val="Book Title"/>
    <w:basedOn w:val="DefaultParagraphFont"/>
    <w:uiPriority w:val="33"/>
    <w:semiHidden/>
    <w:rsid w:val="00CE0A7F"/>
    <w:rPr>
      <w:b/>
      <w:bCs/>
      <w:i/>
      <w:iCs/>
      <w:spacing w:val="5"/>
      <w:lang w:val="en-GB"/>
    </w:rPr>
  </w:style>
  <w:style w:type="table" w:styleId="ColorfulGrid">
    <w:name w:val="Colorful Grid"/>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FF8D7" w:themeFill="accent1" w:themeFillTint="33"/>
    </w:tcPr>
    <w:tblStylePr w:type="firstRow">
      <w:rPr>
        <w:b/>
        <w:bCs/>
      </w:rPr>
      <w:tblPr/>
      <w:tcPr>
        <w:shd w:val="clear" w:color="auto" w:fill="81F1AF" w:themeFill="accent1" w:themeFillTint="66"/>
      </w:tcPr>
    </w:tblStylePr>
    <w:tblStylePr w:type="lastRow">
      <w:rPr>
        <w:b/>
        <w:bCs/>
        <w:color w:val="000000" w:themeColor="text1"/>
      </w:rPr>
      <w:tblPr/>
      <w:tcPr>
        <w:shd w:val="clear" w:color="auto" w:fill="81F1AF" w:themeFill="accent1" w:themeFillTint="66"/>
      </w:tcPr>
    </w:tblStylePr>
    <w:tblStylePr w:type="firstCol">
      <w:rPr>
        <w:color w:val="FFFFFF" w:themeColor="background1"/>
      </w:rPr>
      <w:tblPr/>
      <w:tcPr>
        <w:shd w:val="clear" w:color="auto" w:fill="0C6C34" w:themeFill="accent1" w:themeFillShade="BF"/>
      </w:tcPr>
    </w:tblStylePr>
    <w:tblStylePr w:type="lastCol">
      <w:rPr>
        <w:color w:val="FFFFFF" w:themeColor="background1"/>
      </w:rPr>
      <w:tblPr/>
      <w:tcPr>
        <w:shd w:val="clear" w:color="auto" w:fill="0C6C34" w:themeFill="accent1" w:themeFillShade="BF"/>
      </w:tcPr>
    </w:tblStylePr>
    <w:tblStylePr w:type="band1Vert">
      <w:tblPr/>
      <w:tcPr>
        <w:shd w:val="clear" w:color="auto" w:fill="62ED9C" w:themeFill="accent1" w:themeFillTint="7F"/>
      </w:tcPr>
    </w:tblStylePr>
    <w:tblStylePr w:type="band1Horz">
      <w:tblPr/>
      <w:tcPr>
        <w:shd w:val="clear" w:color="auto" w:fill="62ED9C" w:themeFill="accent1" w:themeFillTint="7F"/>
      </w:tcPr>
    </w:tblStylePr>
  </w:style>
  <w:style w:type="table" w:styleId="ColorfulGrid-Accent2">
    <w:name w:val="Colorful Grid Accent 2"/>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AF1F9" w:themeFill="accent2" w:themeFillTint="33"/>
    </w:tcPr>
    <w:tblStylePr w:type="firstRow">
      <w:rPr>
        <w:b/>
        <w:bCs/>
      </w:rPr>
      <w:tblPr/>
      <w:tcPr>
        <w:shd w:val="clear" w:color="auto" w:fill="95E3F3" w:themeFill="accent2" w:themeFillTint="66"/>
      </w:tcPr>
    </w:tblStylePr>
    <w:tblStylePr w:type="lastRow">
      <w:rPr>
        <w:b/>
        <w:bCs/>
        <w:color w:val="000000" w:themeColor="text1"/>
      </w:rPr>
      <w:tblPr/>
      <w:tcPr>
        <w:shd w:val="clear" w:color="auto" w:fill="95E3F3" w:themeFill="accent2" w:themeFillTint="66"/>
      </w:tcPr>
    </w:tblStylePr>
    <w:tblStylePr w:type="firstCol">
      <w:rPr>
        <w:color w:val="FFFFFF" w:themeColor="background1"/>
      </w:rPr>
      <w:tblPr/>
      <w:tcPr>
        <w:shd w:val="clear" w:color="auto" w:fill="107C92" w:themeFill="accent2" w:themeFillShade="BF"/>
      </w:tcPr>
    </w:tblStylePr>
    <w:tblStylePr w:type="lastCol">
      <w:rPr>
        <w:color w:val="FFFFFF" w:themeColor="background1"/>
      </w:rPr>
      <w:tblPr/>
      <w:tcPr>
        <w:shd w:val="clear" w:color="auto" w:fill="107C92" w:themeFill="accent2" w:themeFillShade="BF"/>
      </w:tcPr>
    </w:tblStylePr>
    <w:tblStylePr w:type="band1Vert">
      <w:tblPr/>
      <w:tcPr>
        <w:shd w:val="clear" w:color="auto" w:fill="7CDCF0" w:themeFill="accent2" w:themeFillTint="7F"/>
      </w:tcPr>
    </w:tblStylePr>
    <w:tblStylePr w:type="band1Horz">
      <w:tblPr/>
      <w:tcPr>
        <w:shd w:val="clear" w:color="auto" w:fill="7CDCF0" w:themeFill="accent2" w:themeFillTint="7F"/>
      </w:tcPr>
    </w:tblStylePr>
  </w:style>
  <w:style w:type="table" w:styleId="ColorfulGrid-Accent3">
    <w:name w:val="Colorful Grid Accent 3"/>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0D1" w:themeFill="accent3" w:themeFillTint="33"/>
    </w:tcPr>
    <w:tblStylePr w:type="firstRow">
      <w:rPr>
        <w:b/>
        <w:bCs/>
      </w:rPr>
      <w:tblPr/>
      <w:tcPr>
        <w:shd w:val="clear" w:color="auto" w:fill="ECC1A4" w:themeFill="accent3" w:themeFillTint="66"/>
      </w:tcPr>
    </w:tblStylePr>
    <w:tblStylePr w:type="lastRow">
      <w:rPr>
        <w:b/>
        <w:bCs/>
        <w:color w:val="000000" w:themeColor="text1"/>
      </w:rPr>
      <w:tblPr/>
      <w:tcPr>
        <w:shd w:val="clear" w:color="auto" w:fill="ECC1A4" w:themeFill="accent3" w:themeFillTint="66"/>
      </w:tcPr>
    </w:tblStylePr>
    <w:tblStylePr w:type="firstCol">
      <w:rPr>
        <w:color w:val="FFFFFF" w:themeColor="background1"/>
      </w:rPr>
      <w:tblPr/>
      <w:tcPr>
        <w:shd w:val="clear" w:color="auto" w:fill="934D1E" w:themeFill="accent3" w:themeFillShade="BF"/>
      </w:tcPr>
    </w:tblStylePr>
    <w:tblStylePr w:type="lastCol">
      <w:rPr>
        <w:color w:val="FFFFFF" w:themeColor="background1"/>
      </w:rPr>
      <w:tblPr/>
      <w:tcPr>
        <w:shd w:val="clear" w:color="auto" w:fill="934D1E" w:themeFill="accent3" w:themeFillShade="BF"/>
      </w:tcPr>
    </w:tblStylePr>
    <w:tblStylePr w:type="band1Vert">
      <w:tblPr/>
      <w:tcPr>
        <w:shd w:val="clear" w:color="auto" w:fill="E7B28E" w:themeFill="accent3" w:themeFillTint="7F"/>
      </w:tcPr>
    </w:tblStylePr>
    <w:tblStylePr w:type="band1Horz">
      <w:tblPr/>
      <w:tcPr>
        <w:shd w:val="clear" w:color="auto" w:fill="E7B28E" w:themeFill="accent3" w:themeFillTint="7F"/>
      </w:tcPr>
    </w:tblStylePr>
  </w:style>
  <w:style w:type="table" w:styleId="ColorfulGrid-Accent4">
    <w:name w:val="Colorful Grid Accent 4"/>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6CCE5" w:themeFill="accent4" w:themeFillTint="33"/>
    </w:tcPr>
    <w:tblStylePr w:type="firstRow">
      <w:rPr>
        <w:b/>
        <w:bCs/>
      </w:rPr>
      <w:tblPr/>
      <w:tcPr>
        <w:shd w:val="clear" w:color="auto" w:fill="ED99CB" w:themeFill="accent4" w:themeFillTint="66"/>
      </w:tcPr>
    </w:tblStylePr>
    <w:tblStylePr w:type="lastRow">
      <w:rPr>
        <w:b/>
        <w:bCs/>
        <w:color w:val="000000" w:themeColor="text1"/>
      </w:rPr>
      <w:tblPr/>
      <w:tcPr>
        <w:shd w:val="clear" w:color="auto" w:fill="ED99CB" w:themeFill="accent4" w:themeFillTint="66"/>
      </w:tcPr>
    </w:tblStylePr>
    <w:tblStylePr w:type="firstCol">
      <w:rPr>
        <w:color w:val="FFFFFF" w:themeColor="background1"/>
      </w:rPr>
      <w:tblPr/>
      <w:tcPr>
        <w:shd w:val="clear" w:color="auto" w:fill="88175A" w:themeFill="accent4" w:themeFillShade="BF"/>
      </w:tcPr>
    </w:tblStylePr>
    <w:tblStylePr w:type="lastCol">
      <w:rPr>
        <w:color w:val="FFFFFF" w:themeColor="background1"/>
      </w:rPr>
      <w:tblPr/>
      <w:tcPr>
        <w:shd w:val="clear" w:color="auto" w:fill="88175A" w:themeFill="accent4" w:themeFillShade="BF"/>
      </w:tcPr>
    </w:tblStylePr>
    <w:tblStylePr w:type="band1Vert">
      <w:tblPr/>
      <w:tcPr>
        <w:shd w:val="clear" w:color="auto" w:fill="E980BF" w:themeFill="accent4" w:themeFillTint="7F"/>
      </w:tcPr>
    </w:tblStylePr>
    <w:tblStylePr w:type="band1Horz">
      <w:tblPr/>
      <w:tcPr>
        <w:shd w:val="clear" w:color="auto" w:fill="E980BF" w:themeFill="accent4" w:themeFillTint="7F"/>
      </w:tcPr>
    </w:tblStylePr>
  </w:style>
  <w:style w:type="table" w:styleId="ColorfulGrid-Accent5">
    <w:name w:val="Colorful Grid Accent 5"/>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6" w:themeFillTint="33"/>
    </w:tcPr>
    <w:tblStylePr w:type="firstRow">
      <w:rPr>
        <w:b/>
        <w:bCs/>
      </w:rPr>
      <w:tblPr/>
      <w:tcPr>
        <w:shd w:val="clear" w:color="auto" w:fill="FFE599" w:themeFill="accent6" w:themeFillTint="66"/>
      </w:tcPr>
    </w:tblStylePr>
    <w:tblStylePr w:type="lastRow">
      <w:rPr>
        <w:b/>
        <w:bCs/>
        <w:color w:val="000000" w:themeColor="text1"/>
      </w:rPr>
      <w:tblPr/>
      <w:tcPr>
        <w:shd w:val="clear" w:color="auto" w:fill="FFE599" w:themeFill="accent6" w:themeFillTint="66"/>
      </w:tcPr>
    </w:tblStylePr>
    <w:tblStylePr w:type="firstCol">
      <w:rPr>
        <w:color w:val="FFFFFF" w:themeColor="background1"/>
      </w:rPr>
      <w:tblPr/>
      <w:tcPr>
        <w:shd w:val="clear" w:color="auto" w:fill="BF8F00" w:themeFill="accent6" w:themeFillShade="BF"/>
      </w:tcPr>
    </w:tblStylePr>
    <w:tblStylePr w:type="lastCol">
      <w:rPr>
        <w:color w:val="FFFFFF" w:themeColor="background1"/>
      </w:rPr>
      <w:tblPr/>
      <w:tcPr>
        <w:shd w:val="clear" w:color="auto" w:fill="BF8F00" w:themeFill="accent6" w:themeFillShade="BF"/>
      </w:tc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ColorfulList">
    <w:name w:val="Colorful List"/>
    <w:basedOn w:val="TableNormal"/>
    <w:uiPriority w:val="72"/>
    <w:semiHidden/>
    <w:unhideWhenUsed/>
    <w:rsid w:val="00CE0A7F"/>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1859C" w:themeFill="accent2" w:themeFillShade="CC"/>
      </w:tcPr>
    </w:tblStylePr>
    <w:tblStylePr w:type="lastRow">
      <w:rPr>
        <w:b/>
        <w:bCs/>
        <w:color w:val="1185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E0A7F"/>
    <w:pPr>
      <w:spacing w:before="0" w:after="0"/>
    </w:pPr>
    <w:rPr>
      <w:color w:val="000000" w:themeColor="text1"/>
    </w:rPr>
    <w:tblPr>
      <w:tblStyleRowBandSize w:val="1"/>
      <w:tblStyleColBandSize w:val="1"/>
    </w:tblPr>
    <w:tcPr>
      <w:shd w:val="clear" w:color="auto" w:fill="E0FBEB" w:themeFill="accent1" w:themeFillTint="19"/>
    </w:tcPr>
    <w:tblStylePr w:type="firstRow">
      <w:rPr>
        <w:b/>
        <w:bCs/>
        <w:color w:val="FFFFFF" w:themeColor="background1"/>
      </w:rPr>
      <w:tblPr/>
      <w:tcPr>
        <w:tcBorders>
          <w:bottom w:val="single" w:sz="12" w:space="0" w:color="FFFFFF" w:themeColor="background1"/>
        </w:tcBorders>
        <w:shd w:val="clear" w:color="auto" w:fill="11859C" w:themeFill="accent2" w:themeFillShade="CC"/>
      </w:tcPr>
    </w:tblStylePr>
    <w:tblStylePr w:type="lastRow">
      <w:rPr>
        <w:b/>
        <w:bCs/>
        <w:color w:val="1185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6CD" w:themeFill="accent1" w:themeFillTint="3F"/>
      </w:tcPr>
    </w:tblStylePr>
    <w:tblStylePr w:type="band1Horz">
      <w:tblPr/>
      <w:tcPr>
        <w:shd w:val="clear" w:color="auto" w:fill="BFF8D7" w:themeFill="accent1" w:themeFillTint="33"/>
      </w:tcPr>
    </w:tblStylePr>
  </w:style>
  <w:style w:type="table" w:styleId="ColorfulList-Accent2">
    <w:name w:val="Colorful List Accent 2"/>
    <w:basedOn w:val="TableNormal"/>
    <w:uiPriority w:val="72"/>
    <w:semiHidden/>
    <w:unhideWhenUsed/>
    <w:rsid w:val="00CE0A7F"/>
    <w:pPr>
      <w:spacing w:before="0" w:after="0"/>
    </w:pPr>
    <w:rPr>
      <w:color w:val="000000" w:themeColor="text1"/>
    </w:rPr>
    <w:tblPr>
      <w:tblStyleRowBandSize w:val="1"/>
      <w:tblStyleColBandSize w:val="1"/>
    </w:tblPr>
    <w:tcPr>
      <w:shd w:val="clear" w:color="auto" w:fill="E5F8FC" w:themeFill="accent2" w:themeFillTint="19"/>
    </w:tcPr>
    <w:tblStylePr w:type="firstRow">
      <w:rPr>
        <w:b/>
        <w:bCs/>
        <w:color w:val="FFFFFF" w:themeColor="background1"/>
      </w:rPr>
      <w:tblPr/>
      <w:tcPr>
        <w:tcBorders>
          <w:bottom w:val="single" w:sz="12" w:space="0" w:color="FFFFFF" w:themeColor="background1"/>
        </w:tcBorders>
        <w:shd w:val="clear" w:color="auto" w:fill="11859C" w:themeFill="accent2" w:themeFillShade="CC"/>
      </w:tcPr>
    </w:tblStylePr>
    <w:tblStylePr w:type="lastRow">
      <w:rPr>
        <w:b/>
        <w:bCs/>
        <w:color w:val="1185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EF7" w:themeFill="accent2" w:themeFillTint="3F"/>
      </w:tcPr>
    </w:tblStylePr>
    <w:tblStylePr w:type="band1Horz">
      <w:tblPr/>
      <w:tcPr>
        <w:shd w:val="clear" w:color="auto" w:fill="CAF1F9" w:themeFill="accent2" w:themeFillTint="33"/>
      </w:tcPr>
    </w:tblStylePr>
  </w:style>
  <w:style w:type="table" w:styleId="ColorfulList-Accent3">
    <w:name w:val="Colorful List Accent 3"/>
    <w:basedOn w:val="TableNormal"/>
    <w:uiPriority w:val="72"/>
    <w:semiHidden/>
    <w:unhideWhenUsed/>
    <w:rsid w:val="00CE0A7F"/>
    <w:pPr>
      <w:spacing w:before="0" w:after="0"/>
    </w:pPr>
    <w:rPr>
      <w:color w:val="000000" w:themeColor="text1"/>
    </w:rPr>
    <w:tblPr>
      <w:tblStyleRowBandSize w:val="1"/>
      <w:tblStyleColBandSize w:val="1"/>
    </w:tblPr>
    <w:tcPr>
      <w:shd w:val="clear" w:color="auto" w:fill="FAEFE8" w:themeFill="accent3" w:themeFillTint="19"/>
    </w:tcPr>
    <w:tblStylePr w:type="firstRow">
      <w:rPr>
        <w:b/>
        <w:bCs/>
        <w:color w:val="FFFFFF" w:themeColor="background1"/>
      </w:rPr>
      <w:tblPr/>
      <w:tcPr>
        <w:tcBorders>
          <w:bottom w:val="single" w:sz="12" w:space="0" w:color="FFFFFF" w:themeColor="background1"/>
        </w:tcBorders>
        <w:shd w:val="clear" w:color="auto" w:fill="921861" w:themeFill="accent4" w:themeFillShade="CC"/>
      </w:tcPr>
    </w:tblStylePr>
    <w:tblStylePr w:type="lastRow">
      <w:rPr>
        <w:b/>
        <w:bCs/>
        <w:color w:val="92186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8C7" w:themeFill="accent3" w:themeFillTint="3F"/>
      </w:tcPr>
    </w:tblStylePr>
    <w:tblStylePr w:type="band1Horz">
      <w:tblPr/>
      <w:tcPr>
        <w:shd w:val="clear" w:color="auto" w:fill="F5E0D1" w:themeFill="accent3" w:themeFillTint="33"/>
      </w:tcPr>
    </w:tblStylePr>
  </w:style>
  <w:style w:type="table" w:styleId="ColorfulList-Accent4">
    <w:name w:val="Colorful List Accent 4"/>
    <w:basedOn w:val="TableNormal"/>
    <w:uiPriority w:val="72"/>
    <w:semiHidden/>
    <w:unhideWhenUsed/>
    <w:rsid w:val="00CE0A7F"/>
    <w:pPr>
      <w:spacing w:before="0" w:after="0"/>
    </w:pPr>
    <w:rPr>
      <w:color w:val="000000" w:themeColor="text1"/>
    </w:rPr>
    <w:tblPr>
      <w:tblStyleRowBandSize w:val="1"/>
      <w:tblStyleColBandSize w:val="1"/>
    </w:tblPr>
    <w:tcPr>
      <w:shd w:val="clear" w:color="auto" w:fill="FAE5F2" w:themeFill="accent4" w:themeFillTint="19"/>
    </w:tcPr>
    <w:tblStylePr w:type="firstRow">
      <w:rPr>
        <w:b/>
        <w:bCs/>
        <w:color w:val="FFFFFF" w:themeColor="background1"/>
      </w:rPr>
      <w:tblPr/>
      <w:tcPr>
        <w:tcBorders>
          <w:bottom w:val="single" w:sz="12" w:space="0" w:color="FFFFFF" w:themeColor="background1"/>
        </w:tcBorders>
        <w:shd w:val="clear" w:color="auto" w:fill="9D5221" w:themeFill="accent3" w:themeFillShade="CC"/>
      </w:tcPr>
    </w:tblStylePr>
    <w:tblStylePr w:type="lastRow">
      <w:rPr>
        <w:b/>
        <w:bCs/>
        <w:color w:val="9D52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0DF" w:themeFill="accent4" w:themeFillTint="3F"/>
      </w:tcPr>
    </w:tblStylePr>
    <w:tblStylePr w:type="band1Horz">
      <w:tblPr/>
      <w:tcPr>
        <w:shd w:val="clear" w:color="auto" w:fill="F6CCE5" w:themeFill="accent4" w:themeFillTint="33"/>
      </w:tcPr>
    </w:tblStylePr>
  </w:style>
  <w:style w:type="table" w:styleId="ColorfulList-Accent5">
    <w:name w:val="Colorful List Accent 5"/>
    <w:basedOn w:val="TableNormal"/>
    <w:uiPriority w:val="72"/>
    <w:semiHidden/>
    <w:unhideWhenUsed/>
    <w:rsid w:val="00CE0A7F"/>
    <w:pPr>
      <w:spacing w:before="0" w:after="0"/>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CC9900" w:themeFill="accent6" w:themeFillShade="CC"/>
      </w:tcPr>
    </w:tblStylePr>
    <w:tblStylePr w:type="lastRow">
      <w:rPr>
        <w:b/>
        <w:bCs/>
        <w:color w:val="CC9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CE0A7F"/>
    <w:pPr>
      <w:spacing w:before="0" w:after="0"/>
    </w:pPr>
    <w:rPr>
      <w:color w:val="000000" w:themeColor="text1"/>
    </w:rPr>
    <w:tblPr>
      <w:tblStyleRowBandSize w:val="1"/>
      <w:tblStyleColBandSize w:val="1"/>
    </w:tblPr>
    <w:tcPr>
      <w:shd w:val="clear" w:color="auto" w:fill="FFF8E6"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6" w:themeFillTint="3F"/>
      </w:tcPr>
    </w:tblStylePr>
    <w:tblStylePr w:type="band1Horz">
      <w:tblPr/>
      <w:tcPr>
        <w:shd w:val="clear" w:color="auto" w:fill="FFF2CC" w:themeFill="accent6" w:themeFillTint="33"/>
      </w:tcPr>
    </w:tblStylePr>
  </w:style>
  <w:style w:type="table" w:styleId="ColorfulShading">
    <w:name w:val="Colorful Shading"/>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16A7C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16A7C4" w:themeColor="accent2"/>
        <w:left w:val="single" w:sz="4" w:space="0" w:color="109146" w:themeColor="accent1"/>
        <w:bottom w:val="single" w:sz="4" w:space="0" w:color="109146" w:themeColor="accent1"/>
        <w:right w:val="single" w:sz="4" w:space="0" w:color="109146" w:themeColor="accent1"/>
        <w:insideH w:val="single" w:sz="4" w:space="0" w:color="FFFFFF" w:themeColor="background1"/>
        <w:insideV w:val="single" w:sz="4" w:space="0" w:color="FFFFFF" w:themeColor="background1"/>
      </w:tblBorders>
    </w:tblPr>
    <w:tcPr>
      <w:shd w:val="clear" w:color="auto" w:fill="E0FBEB" w:themeFill="accent1" w:themeFillTint="19"/>
    </w:tcPr>
    <w:tblStylePr w:type="firstRow">
      <w:rPr>
        <w:b/>
        <w:bCs/>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629" w:themeFill="accent1" w:themeFillShade="99"/>
      </w:tcPr>
    </w:tblStylePr>
    <w:tblStylePr w:type="firstCol">
      <w:rPr>
        <w:color w:val="FFFFFF" w:themeColor="background1"/>
      </w:rPr>
      <w:tblPr/>
      <w:tcPr>
        <w:tcBorders>
          <w:top w:val="nil"/>
          <w:left w:val="nil"/>
          <w:bottom w:val="nil"/>
          <w:right w:val="nil"/>
          <w:insideH w:val="single" w:sz="4" w:space="0" w:color="095629" w:themeColor="accent1" w:themeShade="99"/>
          <w:insideV w:val="nil"/>
        </w:tcBorders>
        <w:shd w:val="clear" w:color="auto" w:fill="0956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5629" w:themeFill="accent1" w:themeFillShade="99"/>
      </w:tcPr>
    </w:tblStylePr>
    <w:tblStylePr w:type="band1Vert">
      <w:tblPr/>
      <w:tcPr>
        <w:shd w:val="clear" w:color="auto" w:fill="81F1AF" w:themeFill="accent1" w:themeFillTint="66"/>
      </w:tcPr>
    </w:tblStylePr>
    <w:tblStylePr w:type="band1Horz">
      <w:tblPr/>
      <w:tcPr>
        <w:shd w:val="clear" w:color="auto" w:fill="62ED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16A7C4" w:themeColor="accent2"/>
        <w:left w:val="single" w:sz="4" w:space="0" w:color="16A7C4" w:themeColor="accent2"/>
        <w:bottom w:val="single" w:sz="4" w:space="0" w:color="16A7C4" w:themeColor="accent2"/>
        <w:right w:val="single" w:sz="4" w:space="0" w:color="16A7C4" w:themeColor="accent2"/>
        <w:insideH w:val="single" w:sz="4" w:space="0" w:color="FFFFFF" w:themeColor="background1"/>
        <w:insideV w:val="single" w:sz="4" w:space="0" w:color="FFFFFF" w:themeColor="background1"/>
      </w:tblBorders>
    </w:tblPr>
    <w:tcPr>
      <w:shd w:val="clear" w:color="auto" w:fill="E5F8FC" w:themeFill="accent2" w:themeFillTint="19"/>
    </w:tcPr>
    <w:tblStylePr w:type="firstRow">
      <w:rPr>
        <w:b/>
        <w:bCs/>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75" w:themeFill="accent2" w:themeFillShade="99"/>
      </w:tcPr>
    </w:tblStylePr>
    <w:tblStylePr w:type="firstCol">
      <w:rPr>
        <w:color w:val="FFFFFF" w:themeColor="background1"/>
      </w:rPr>
      <w:tblPr/>
      <w:tcPr>
        <w:tcBorders>
          <w:top w:val="nil"/>
          <w:left w:val="nil"/>
          <w:bottom w:val="nil"/>
          <w:right w:val="nil"/>
          <w:insideH w:val="single" w:sz="4" w:space="0" w:color="0D6375" w:themeColor="accent2" w:themeShade="99"/>
          <w:insideV w:val="nil"/>
        </w:tcBorders>
        <w:shd w:val="clear" w:color="auto" w:fill="0D63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6375" w:themeFill="accent2" w:themeFillShade="99"/>
      </w:tcPr>
    </w:tblStylePr>
    <w:tblStylePr w:type="band1Vert">
      <w:tblPr/>
      <w:tcPr>
        <w:shd w:val="clear" w:color="auto" w:fill="95E3F3" w:themeFill="accent2" w:themeFillTint="66"/>
      </w:tcPr>
    </w:tblStylePr>
    <w:tblStylePr w:type="band1Horz">
      <w:tblPr/>
      <w:tcPr>
        <w:shd w:val="clear" w:color="auto" w:fill="7CDCF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B71F7A" w:themeColor="accent4"/>
        <w:left w:val="single" w:sz="4" w:space="0" w:color="C56829" w:themeColor="accent3"/>
        <w:bottom w:val="single" w:sz="4" w:space="0" w:color="C56829" w:themeColor="accent3"/>
        <w:right w:val="single" w:sz="4" w:space="0" w:color="C56829" w:themeColor="accent3"/>
        <w:insideH w:val="single" w:sz="4" w:space="0" w:color="FFFFFF" w:themeColor="background1"/>
        <w:insideV w:val="single" w:sz="4" w:space="0" w:color="FFFFFF" w:themeColor="background1"/>
      </w:tblBorders>
    </w:tblPr>
    <w:tcPr>
      <w:shd w:val="clear" w:color="auto" w:fill="FAEFE8" w:themeFill="accent3" w:themeFillTint="19"/>
    </w:tcPr>
    <w:tblStylePr w:type="firstRow">
      <w:rPr>
        <w:b/>
        <w:bCs/>
      </w:rPr>
      <w:tblPr/>
      <w:tcPr>
        <w:tcBorders>
          <w:top w:val="nil"/>
          <w:left w:val="nil"/>
          <w:bottom w:val="single" w:sz="24" w:space="0" w:color="B71F7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E18" w:themeFill="accent3" w:themeFillShade="99"/>
      </w:tcPr>
    </w:tblStylePr>
    <w:tblStylePr w:type="firstCol">
      <w:rPr>
        <w:color w:val="FFFFFF" w:themeColor="background1"/>
      </w:rPr>
      <w:tblPr/>
      <w:tcPr>
        <w:tcBorders>
          <w:top w:val="nil"/>
          <w:left w:val="nil"/>
          <w:bottom w:val="nil"/>
          <w:right w:val="nil"/>
          <w:insideH w:val="single" w:sz="4" w:space="0" w:color="763E18" w:themeColor="accent3" w:themeShade="99"/>
          <w:insideV w:val="nil"/>
        </w:tcBorders>
        <w:shd w:val="clear" w:color="auto" w:fill="763E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E18" w:themeFill="accent3" w:themeFillShade="99"/>
      </w:tcPr>
    </w:tblStylePr>
    <w:tblStylePr w:type="band1Vert">
      <w:tblPr/>
      <w:tcPr>
        <w:shd w:val="clear" w:color="auto" w:fill="ECC1A4" w:themeFill="accent3" w:themeFillTint="66"/>
      </w:tcPr>
    </w:tblStylePr>
    <w:tblStylePr w:type="band1Horz">
      <w:tblPr/>
      <w:tcPr>
        <w:shd w:val="clear" w:color="auto" w:fill="E7B28E" w:themeFill="accent3" w:themeFillTint="7F"/>
      </w:tcPr>
    </w:tblStylePr>
  </w:style>
  <w:style w:type="table" w:styleId="ColorfulShading-Accent4">
    <w:name w:val="Colorful Shading Accent 4"/>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C56829" w:themeColor="accent3"/>
        <w:left w:val="single" w:sz="4" w:space="0" w:color="B71F7A" w:themeColor="accent4"/>
        <w:bottom w:val="single" w:sz="4" w:space="0" w:color="B71F7A" w:themeColor="accent4"/>
        <w:right w:val="single" w:sz="4" w:space="0" w:color="B71F7A" w:themeColor="accent4"/>
        <w:insideH w:val="single" w:sz="4" w:space="0" w:color="FFFFFF" w:themeColor="background1"/>
        <w:insideV w:val="single" w:sz="4" w:space="0" w:color="FFFFFF" w:themeColor="background1"/>
      </w:tblBorders>
    </w:tblPr>
    <w:tcPr>
      <w:shd w:val="clear" w:color="auto" w:fill="FAE5F2" w:themeFill="accent4" w:themeFillTint="19"/>
    </w:tcPr>
    <w:tblStylePr w:type="firstRow">
      <w:rPr>
        <w:b/>
        <w:bCs/>
      </w:rPr>
      <w:tblPr/>
      <w:tcPr>
        <w:tcBorders>
          <w:top w:val="nil"/>
          <w:left w:val="nil"/>
          <w:bottom w:val="single" w:sz="24" w:space="0" w:color="C568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248" w:themeFill="accent4" w:themeFillShade="99"/>
      </w:tcPr>
    </w:tblStylePr>
    <w:tblStylePr w:type="firstCol">
      <w:rPr>
        <w:color w:val="FFFFFF" w:themeColor="background1"/>
      </w:rPr>
      <w:tblPr/>
      <w:tcPr>
        <w:tcBorders>
          <w:top w:val="nil"/>
          <w:left w:val="nil"/>
          <w:bottom w:val="nil"/>
          <w:right w:val="nil"/>
          <w:insideH w:val="single" w:sz="4" w:space="0" w:color="6D1248" w:themeColor="accent4" w:themeShade="99"/>
          <w:insideV w:val="nil"/>
        </w:tcBorders>
        <w:shd w:val="clear" w:color="auto" w:fill="6D12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248" w:themeFill="accent4" w:themeFillShade="99"/>
      </w:tcPr>
    </w:tblStylePr>
    <w:tblStylePr w:type="band1Vert">
      <w:tblPr/>
      <w:tcPr>
        <w:shd w:val="clear" w:color="auto" w:fill="ED99CB" w:themeFill="accent4" w:themeFillTint="66"/>
      </w:tcPr>
    </w:tblStylePr>
    <w:tblStylePr w:type="band1Horz">
      <w:tblPr/>
      <w:tcPr>
        <w:shd w:val="clear" w:color="auto" w:fill="E980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FFC00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92D050" w:themeColor="accent5"/>
        <w:left w:val="single" w:sz="4" w:space="0" w:color="FFC000" w:themeColor="accent6"/>
        <w:bottom w:val="single" w:sz="4" w:space="0" w:color="FFC000" w:themeColor="accent6"/>
        <w:right w:val="single" w:sz="4" w:space="0" w:color="FFC000" w:themeColor="accent6"/>
        <w:insideH w:val="single" w:sz="4" w:space="0" w:color="FFFFFF" w:themeColor="background1"/>
        <w:insideV w:val="single" w:sz="4" w:space="0" w:color="FFFFFF" w:themeColor="background1"/>
      </w:tblBorders>
    </w:tblPr>
    <w:tcPr>
      <w:shd w:val="clear" w:color="auto" w:fill="FFF8E6"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6" w:themeFillShade="99"/>
      </w:tcPr>
    </w:tblStylePr>
    <w:tblStylePr w:type="firstCol">
      <w:rPr>
        <w:color w:val="FFFFFF" w:themeColor="background1"/>
      </w:rPr>
      <w:tblPr/>
      <w:tcPr>
        <w:tcBorders>
          <w:top w:val="nil"/>
          <w:left w:val="nil"/>
          <w:bottom w:val="nil"/>
          <w:right w:val="nil"/>
          <w:insideH w:val="single" w:sz="4" w:space="0" w:color="997300" w:themeColor="accent6" w:themeShade="99"/>
          <w:insideV w:val="nil"/>
        </w:tcBorders>
        <w:shd w:val="clear" w:color="auto" w:fill="997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6" w:themeFillShade="99"/>
      </w:tcPr>
    </w:tblStylePr>
    <w:tblStylePr w:type="band1Vert">
      <w:tblPr/>
      <w:tcPr>
        <w:shd w:val="clear" w:color="auto" w:fill="FFE599" w:themeFill="accent6" w:themeFillTint="66"/>
      </w:tcPr>
    </w:tblStylePr>
    <w:tblStylePr w:type="band1Horz">
      <w:tblPr/>
      <w:tcPr>
        <w:shd w:val="clear" w:color="auto" w:fill="FFD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qFormat/>
    <w:rsid w:val="00CE0A7F"/>
    <w:rPr>
      <w:sz w:val="16"/>
      <w:szCs w:val="16"/>
      <w:lang w:val="en-GB"/>
    </w:rPr>
  </w:style>
  <w:style w:type="table" w:styleId="DarkList">
    <w:name w:val="Dark List"/>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10914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8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6C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6C34" w:themeFill="accent1" w:themeFillShade="BF"/>
      </w:tcPr>
    </w:tblStylePr>
    <w:tblStylePr w:type="band1Vert">
      <w:tblPr/>
      <w:tcPr>
        <w:tcBorders>
          <w:top w:val="nil"/>
          <w:left w:val="nil"/>
          <w:bottom w:val="nil"/>
          <w:right w:val="nil"/>
          <w:insideH w:val="nil"/>
          <w:insideV w:val="nil"/>
        </w:tcBorders>
        <w:shd w:val="clear" w:color="auto" w:fill="0C6C34" w:themeFill="accent1" w:themeFillShade="BF"/>
      </w:tcPr>
    </w:tblStylePr>
    <w:tblStylePr w:type="band1Horz">
      <w:tblPr/>
      <w:tcPr>
        <w:tcBorders>
          <w:top w:val="nil"/>
          <w:left w:val="nil"/>
          <w:bottom w:val="nil"/>
          <w:right w:val="nil"/>
          <w:insideH w:val="nil"/>
          <w:insideV w:val="nil"/>
        </w:tcBorders>
        <w:shd w:val="clear" w:color="auto" w:fill="0C6C34" w:themeFill="accent1" w:themeFillShade="BF"/>
      </w:tcPr>
    </w:tblStylePr>
  </w:style>
  <w:style w:type="table" w:styleId="DarkList-Accent2">
    <w:name w:val="Dark List Accent 2"/>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16A7C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07C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07C92" w:themeFill="accent2" w:themeFillShade="BF"/>
      </w:tcPr>
    </w:tblStylePr>
    <w:tblStylePr w:type="band1Vert">
      <w:tblPr/>
      <w:tcPr>
        <w:tcBorders>
          <w:top w:val="nil"/>
          <w:left w:val="nil"/>
          <w:bottom w:val="nil"/>
          <w:right w:val="nil"/>
          <w:insideH w:val="nil"/>
          <w:insideV w:val="nil"/>
        </w:tcBorders>
        <w:shd w:val="clear" w:color="auto" w:fill="107C92" w:themeFill="accent2" w:themeFillShade="BF"/>
      </w:tcPr>
    </w:tblStylePr>
    <w:tblStylePr w:type="band1Horz">
      <w:tblPr/>
      <w:tcPr>
        <w:tcBorders>
          <w:top w:val="nil"/>
          <w:left w:val="nil"/>
          <w:bottom w:val="nil"/>
          <w:right w:val="nil"/>
          <w:insideH w:val="nil"/>
          <w:insideV w:val="nil"/>
        </w:tcBorders>
        <w:shd w:val="clear" w:color="auto" w:fill="107C92" w:themeFill="accent2" w:themeFillShade="BF"/>
      </w:tcPr>
    </w:tblStylePr>
  </w:style>
  <w:style w:type="table" w:styleId="DarkList-Accent3">
    <w:name w:val="Dark List Accent 3"/>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C568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3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D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D1E" w:themeFill="accent3" w:themeFillShade="BF"/>
      </w:tcPr>
    </w:tblStylePr>
    <w:tblStylePr w:type="band1Vert">
      <w:tblPr/>
      <w:tcPr>
        <w:tcBorders>
          <w:top w:val="nil"/>
          <w:left w:val="nil"/>
          <w:bottom w:val="nil"/>
          <w:right w:val="nil"/>
          <w:insideH w:val="nil"/>
          <w:insideV w:val="nil"/>
        </w:tcBorders>
        <w:shd w:val="clear" w:color="auto" w:fill="934D1E" w:themeFill="accent3" w:themeFillShade="BF"/>
      </w:tcPr>
    </w:tblStylePr>
    <w:tblStylePr w:type="band1Horz">
      <w:tblPr/>
      <w:tcPr>
        <w:tcBorders>
          <w:top w:val="nil"/>
          <w:left w:val="nil"/>
          <w:bottom w:val="nil"/>
          <w:right w:val="nil"/>
          <w:insideH w:val="nil"/>
          <w:insideV w:val="nil"/>
        </w:tcBorders>
        <w:shd w:val="clear" w:color="auto" w:fill="934D1E" w:themeFill="accent3" w:themeFillShade="BF"/>
      </w:tcPr>
    </w:tblStylePr>
  </w:style>
  <w:style w:type="table" w:styleId="DarkList-Accent4">
    <w:name w:val="Dark List Accent 4"/>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B71F7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F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17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175A" w:themeFill="accent4" w:themeFillShade="BF"/>
      </w:tcPr>
    </w:tblStylePr>
    <w:tblStylePr w:type="band1Vert">
      <w:tblPr/>
      <w:tcPr>
        <w:tcBorders>
          <w:top w:val="nil"/>
          <w:left w:val="nil"/>
          <w:bottom w:val="nil"/>
          <w:right w:val="nil"/>
          <w:insideH w:val="nil"/>
          <w:insideV w:val="nil"/>
        </w:tcBorders>
        <w:shd w:val="clear" w:color="auto" w:fill="88175A" w:themeFill="accent4" w:themeFillShade="BF"/>
      </w:tcPr>
    </w:tblStylePr>
    <w:tblStylePr w:type="band1Horz">
      <w:tblPr/>
      <w:tcPr>
        <w:tcBorders>
          <w:top w:val="nil"/>
          <w:left w:val="nil"/>
          <w:bottom w:val="nil"/>
          <w:right w:val="nil"/>
          <w:insideH w:val="nil"/>
          <w:insideV w:val="nil"/>
        </w:tcBorders>
        <w:shd w:val="clear" w:color="auto" w:fill="88175A" w:themeFill="accent4" w:themeFillShade="BF"/>
      </w:tcPr>
    </w:tblStylePr>
  </w:style>
  <w:style w:type="table" w:styleId="DarkList-Accent5">
    <w:name w:val="Dark List Accent 5"/>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FFC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6" w:themeFillShade="BF"/>
      </w:tcPr>
    </w:tblStylePr>
    <w:tblStylePr w:type="band1Vert">
      <w:tblPr/>
      <w:tcPr>
        <w:tcBorders>
          <w:top w:val="nil"/>
          <w:left w:val="nil"/>
          <w:bottom w:val="nil"/>
          <w:right w:val="nil"/>
          <w:insideH w:val="nil"/>
          <w:insideV w:val="nil"/>
        </w:tcBorders>
        <w:shd w:val="clear" w:color="auto" w:fill="BF8F00" w:themeFill="accent6" w:themeFillShade="BF"/>
      </w:tcPr>
    </w:tblStylePr>
    <w:tblStylePr w:type="band1Horz">
      <w:tblPr/>
      <w:tcPr>
        <w:tcBorders>
          <w:top w:val="nil"/>
          <w:left w:val="nil"/>
          <w:bottom w:val="nil"/>
          <w:right w:val="nil"/>
          <w:insideH w:val="nil"/>
          <w:insideV w:val="nil"/>
        </w:tcBorders>
        <w:shd w:val="clear" w:color="auto" w:fill="BF8F00" w:themeFill="accent6" w:themeFillShade="BF"/>
      </w:tcPr>
    </w:tblStylePr>
  </w:style>
  <w:style w:type="character" w:styleId="Emphasis">
    <w:name w:val="Emphasis"/>
    <w:basedOn w:val="DefaultParagraphFont"/>
    <w:uiPriority w:val="20"/>
    <w:qFormat/>
    <w:rsid w:val="00CE0A7F"/>
    <w:rPr>
      <w:i/>
      <w:iCs/>
      <w:lang w:val="en-GB"/>
    </w:rPr>
  </w:style>
  <w:style w:type="table" w:styleId="GridTable1Light">
    <w:name w:val="Grid Table 1 Light"/>
    <w:basedOn w:val="TableNormal"/>
    <w:uiPriority w:val="46"/>
    <w:rsid w:val="00CE0A7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0A7F"/>
    <w:pPr>
      <w:spacing w:after="0"/>
    </w:pPr>
    <w:tblPr>
      <w:tblStyleRowBandSize w:val="1"/>
      <w:tblStyleColBandSize w:val="1"/>
      <w:tblBorders>
        <w:top w:val="single" w:sz="4" w:space="0" w:color="81F1AF" w:themeColor="accent1" w:themeTint="66"/>
        <w:left w:val="single" w:sz="4" w:space="0" w:color="81F1AF" w:themeColor="accent1" w:themeTint="66"/>
        <w:bottom w:val="single" w:sz="4" w:space="0" w:color="81F1AF" w:themeColor="accent1" w:themeTint="66"/>
        <w:right w:val="single" w:sz="4" w:space="0" w:color="81F1AF" w:themeColor="accent1" w:themeTint="66"/>
        <w:insideH w:val="single" w:sz="4" w:space="0" w:color="81F1AF" w:themeColor="accent1" w:themeTint="66"/>
        <w:insideV w:val="single" w:sz="4" w:space="0" w:color="81F1AF" w:themeColor="accent1" w:themeTint="66"/>
      </w:tblBorders>
    </w:tblPr>
    <w:tblStylePr w:type="firstRow">
      <w:rPr>
        <w:b/>
        <w:bCs/>
      </w:rPr>
      <w:tblPr/>
      <w:tcPr>
        <w:tcBorders>
          <w:bottom w:val="single" w:sz="12" w:space="0" w:color="42EA88" w:themeColor="accent1" w:themeTint="99"/>
        </w:tcBorders>
      </w:tcPr>
    </w:tblStylePr>
    <w:tblStylePr w:type="lastRow">
      <w:rPr>
        <w:b/>
        <w:bCs/>
      </w:rPr>
      <w:tblPr/>
      <w:tcPr>
        <w:tcBorders>
          <w:top w:val="double" w:sz="2" w:space="0" w:color="42E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E0A7F"/>
    <w:pPr>
      <w:spacing w:after="0"/>
    </w:pPr>
    <w:tblPr>
      <w:tblStyleRowBandSize w:val="1"/>
      <w:tblStyleColBandSize w:val="1"/>
      <w:tblBorders>
        <w:top w:val="single" w:sz="4" w:space="0" w:color="95E3F3" w:themeColor="accent2" w:themeTint="66"/>
        <w:left w:val="single" w:sz="4" w:space="0" w:color="95E3F3" w:themeColor="accent2" w:themeTint="66"/>
        <w:bottom w:val="single" w:sz="4" w:space="0" w:color="95E3F3" w:themeColor="accent2" w:themeTint="66"/>
        <w:right w:val="single" w:sz="4" w:space="0" w:color="95E3F3" w:themeColor="accent2" w:themeTint="66"/>
        <w:insideH w:val="single" w:sz="4" w:space="0" w:color="95E3F3" w:themeColor="accent2" w:themeTint="66"/>
        <w:insideV w:val="single" w:sz="4" w:space="0" w:color="95E3F3" w:themeColor="accent2" w:themeTint="66"/>
      </w:tblBorders>
    </w:tblPr>
    <w:tblStylePr w:type="firstRow">
      <w:rPr>
        <w:b/>
        <w:bCs/>
      </w:rPr>
      <w:tblPr/>
      <w:tcPr>
        <w:tcBorders>
          <w:bottom w:val="single" w:sz="12" w:space="0" w:color="61D5ED" w:themeColor="accent2" w:themeTint="99"/>
        </w:tcBorders>
      </w:tcPr>
    </w:tblStylePr>
    <w:tblStylePr w:type="lastRow">
      <w:rPr>
        <w:b/>
        <w:bCs/>
      </w:rPr>
      <w:tblPr/>
      <w:tcPr>
        <w:tcBorders>
          <w:top w:val="double" w:sz="2" w:space="0" w:color="61D5E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0A7F"/>
    <w:pPr>
      <w:spacing w:after="0"/>
    </w:pPr>
    <w:tblPr>
      <w:tblStyleRowBandSize w:val="1"/>
      <w:tblStyleColBandSize w:val="1"/>
      <w:tblBorders>
        <w:top w:val="single" w:sz="4" w:space="0" w:color="ECC1A4" w:themeColor="accent3" w:themeTint="66"/>
        <w:left w:val="single" w:sz="4" w:space="0" w:color="ECC1A4" w:themeColor="accent3" w:themeTint="66"/>
        <w:bottom w:val="single" w:sz="4" w:space="0" w:color="ECC1A4" w:themeColor="accent3" w:themeTint="66"/>
        <w:right w:val="single" w:sz="4" w:space="0" w:color="ECC1A4" w:themeColor="accent3" w:themeTint="66"/>
        <w:insideH w:val="single" w:sz="4" w:space="0" w:color="ECC1A4" w:themeColor="accent3" w:themeTint="66"/>
        <w:insideV w:val="single" w:sz="4" w:space="0" w:color="ECC1A4" w:themeColor="accent3" w:themeTint="66"/>
      </w:tblBorders>
    </w:tblPr>
    <w:tblStylePr w:type="firstRow">
      <w:rPr>
        <w:b/>
        <w:bCs/>
      </w:rPr>
      <w:tblPr/>
      <w:tcPr>
        <w:tcBorders>
          <w:bottom w:val="single" w:sz="12" w:space="0" w:color="E2A277" w:themeColor="accent3" w:themeTint="99"/>
        </w:tcBorders>
      </w:tcPr>
    </w:tblStylePr>
    <w:tblStylePr w:type="lastRow">
      <w:rPr>
        <w:b/>
        <w:bCs/>
      </w:rPr>
      <w:tblPr/>
      <w:tcPr>
        <w:tcBorders>
          <w:top w:val="double" w:sz="2" w:space="0" w:color="E2A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0A7F"/>
    <w:pPr>
      <w:spacing w:after="0"/>
    </w:pPr>
    <w:tblPr>
      <w:tblStyleRowBandSize w:val="1"/>
      <w:tblStyleColBandSize w:val="1"/>
      <w:tblBorders>
        <w:top w:val="single" w:sz="4" w:space="0" w:color="ED99CB" w:themeColor="accent4" w:themeTint="66"/>
        <w:left w:val="single" w:sz="4" w:space="0" w:color="ED99CB" w:themeColor="accent4" w:themeTint="66"/>
        <w:bottom w:val="single" w:sz="4" w:space="0" w:color="ED99CB" w:themeColor="accent4" w:themeTint="66"/>
        <w:right w:val="single" w:sz="4" w:space="0" w:color="ED99CB" w:themeColor="accent4" w:themeTint="66"/>
        <w:insideH w:val="single" w:sz="4" w:space="0" w:color="ED99CB" w:themeColor="accent4" w:themeTint="66"/>
        <w:insideV w:val="single" w:sz="4" w:space="0" w:color="ED99CB" w:themeColor="accent4" w:themeTint="66"/>
      </w:tblBorders>
    </w:tblPr>
    <w:tblStylePr w:type="firstRow">
      <w:rPr>
        <w:b/>
        <w:bCs/>
      </w:rPr>
      <w:tblPr/>
      <w:tcPr>
        <w:tcBorders>
          <w:bottom w:val="single" w:sz="12" w:space="0" w:color="E567B2" w:themeColor="accent4" w:themeTint="99"/>
        </w:tcBorders>
      </w:tcPr>
    </w:tblStylePr>
    <w:tblStylePr w:type="lastRow">
      <w:rPr>
        <w:b/>
        <w:bCs/>
      </w:rPr>
      <w:tblPr/>
      <w:tcPr>
        <w:tcBorders>
          <w:top w:val="double" w:sz="2" w:space="0" w:color="E567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0A7F"/>
    <w:pPr>
      <w:spacing w:after="0"/>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0A7F"/>
    <w:pPr>
      <w:spacing w:after="0"/>
    </w:pPr>
    <w:tblPr>
      <w:tblStyleRowBandSize w:val="1"/>
      <w:tblStyleColBandSize w:val="1"/>
      <w:tblBorders>
        <w:top w:val="single" w:sz="4" w:space="0" w:color="FFE599" w:themeColor="accent6" w:themeTint="66"/>
        <w:left w:val="single" w:sz="4" w:space="0" w:color="FFE599" w:themeColor="accent6" w:themeTint="66"/>
        <w:bottom w:val="single" w:sz="4" w:space="0" w:color="FFE599" w:themeColor="accent6" w:themeTint="66"/>
        <w:right w:val="single" w:sz="4" w:space="0" w:color="FFE599" w:themeColor="accent6" w:themeTint="66"/>
        <w:insideH w:val="single" w:sz="4" w:space="0" w:color="FFE599" w:themeColor="accent6" w:themeTint="66"/>
        <w:insideV w:val="single" w:sz="4" w:space="0" w:color="FFE599" w:themeColor="accent6" w:themeTint="66"/>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2" w:space="0" w:color="FFD9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E0A7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E0A7F"/>
    <w:pPr>
      <w:spacing w:after="0"/>
    </w:pPr>
    <w:tblPr>
      <w:tblStyleRowBandSize w:val="1"/>
      <w:tblStyleColBandSize w:val="1"/>
      <w:tblBorders>
        <w:top w:val="single" w:sz="2" w:space="0" w:color="42EA88" w:themeColor="accent1" w:themeTint="99"/>
        <w:bottom w:val="single" w:sz="2" w:space="0" w:color="42EA88" w:themeColor="accent1" w:themeTint="99"/>
        <w:insideH w:val="single" w:sz="2" w:space="0" w:color="42EA88" w:themeColor="accent1" w:themeTint="99"/>
        <w:insideV w:val="single" w:sz="2" w:space="0" w:color="42EA88" w:themeColor="accent1" w:themeTint="99"/>
      </w:tblBorders>
    </w:tblPr>
    <w:tblStylePr w:type="firstRow">
      <w:rPr>
        <w:b/>
        <w:bCs/>
      </w:rPr>
      <w:tblPr/>
      <w:tcPr>
        <w:tcBorders>
          <w:top w:val="nil"/>
          <w:bottom w:val="single" w:sz="12" w:space="0" w:color="42EA88" w:themeColor="accent1" w:themeTint="99"/>
          <w:insideH w:val="nil"/>
          <w:insideV w:val="nil"/>
        </w:tcBorders>
        <w:shd w:val="clear" w:color="auto" w:fill="FFFFFF" w:themeFill="background1"/>
      </w:tcPr>
    </w:tblStylePr>
    <w:tblStylePr w:type="lastRow">
      <w:rPr>
        <w:b/>
        <w:bCs/>
      </w:rPr>
      <w:tblPr/>
      <w:tcPr>
        <w:tcBorders>
          <w:top w:val="double" w:sz="2" w:space="0" w:color="42E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GridTable2-Accent3">
    <w:name w:val="Grid Table 2 Accent 3"/>
    <w:basedOn w:val="TableNormal"/>
    <w:uiPriority w:val="47"/>
    <w:rsid w:val="00CE0A7F"/>
    <w:pPr>
      <w:spacing w:after="0"/>
    </w:pPr>
    <w:tblPr>
      <w:tblStyleRowBandSize w:val="1"/>
      <w:tblStyleColBandSize w:val="1"/>
      <w:tblBorders>
        <w:top w:val="single" w:sz="2" w:space="0" w:color="E2A277" w:themeColor="accent3" w:themeTint="99"/>
        <w:bottom w:val="single" w:sz="2" w:space="0" w:color="E2A277" w:themeColor="accent3" w:themeTint="99"/>
        <w:insideH w:val="single" w:sz="2" w:space="0" w:color="E2A277" w:themeColor="accent3" w:themeTint="99"/>
        <w:insideV w:val="single" w:sz="2" w:space="0" w:color="E2A277" w:themeColor="accent3" w:themeTint="99"/>
      </w:tblBorders>
    </w:tblPr>
    <w:tblStylePr w:type="firstRow">
      <w:rPr>
        <w:b/>
        <w:bCs/>
      </w:rPr>
      <w:tblPr/>
      <w:tcPr>
        <w:tcBorders>
          <w:top w:val="nil"/>
          <w:bottom w:val="single" w:sz="12" w:space="0" w:color="E2A277" w:themeColor="accent3" w:themeTint="99"/>
          <w:insideH w:val="nil"/>
          <w:insideV w:val="nil"/>
        </w:tcBorders>
        <w:shd w:val="clear" w:color="auto" w:fill="FFFFFF" w:themeFill="background1"/>
      </w:tcPr>
    </w:tblStylePr>
    <w:tblStylePr w:type="lastRow">
      <w:rPr>
        <w:b/>
        <w:bCs/>
      </w:rPr>
      <w:tblPr/>
      <w:tcPr>
        <w:tcBorders>
          <w:top w:val="double" w:sz="2" w:space="0" w:color="E2A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GridTable2-Accent4">
    <w:name w:val="Grid Table 2 Accent 4"/>
    <w:basedOn w:val="TableNormal"/>
    <w:uiPriority w:val="47"/>
    <w:rsid w:val="00CE0A7F"/>
    <w:pPr>
      <w:spacing w:after="0"/>
    </w:pPr>
    <w:tblPr>
      <w:tblStyleRowBandSize w:val="1"/>
      <w:tblStyleColBandSize w:val="1"/>
      <w:tblBorders>
        <w:top w:val="single" w:sz="2" w:space="0" w:color="E567B2" w:themeColor="accent4" w:themeTint="99"/>
        <w:bottom w:val="single" w:sz="2" w:space="0" w:color="E567B2" w:themeColor="accent4" w:themeTint="99"/>
        <w:insideH w:val="single" w:sz="2" w:space="0" w:color="E567B2" w:themeColor="accent4" w:themeTint="99"/>
        <w:insideV w:val="single" w:sz="2" w:space="0" w:color="E567B2" w:themeColor="accent4" w:themeTint="99"/>
      </w:tblBorders>
    </w:tblPr>
    <w:tblStylePr w:type="firstRow">
      <w:rPr>
        <w:b/>
        <w:bCs/>
      </w:rPr>
      <w:tblPr/>
      <w:tcPr>
        <w:tcBorders>
          <w:top w:val="nil"/>
          <w:bottom w:val="single" w:sz="12" w:space="0" w:color="E567B2" w:themeColor="accent4" w:themeTint="99"/>
          <w:insideH w:val="nil"/>
          <w:insideV w:val="nil"/>
        </w:tcBorders>
        <w:shd w:val="clear" w:color="auto" w:fill="FFFFFF" w:themeFill="background1"/>
      </w:tcPr>
    </w:tblStylePr>
    <w:tblStylePr w:type="lastRow">
      <w:rPr>
        <w:b/>
        <w:bCs/>
      </w:rPr>
      <w:tblPr/>
      <w:tcPr>
        <w:tcBorders>
          <w:top w:val="double" w:sz="2" w:space="0" w:color="E567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GridTable2-Accent5">
    <w:name w:val="Grid Table 2 Accent 5"/>
    <w:basedOn w:val="TableNormal"/>
    <w:uiPriority w:val="47"/>
    <w:rsid w:val="00CE0A7F"/>
    <w:pPr>
      <w:spacing w:after="0"/>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GridTable2-Accent6">
    <w:name w:val="Grid Table 2 Accent 6"/>
    <w:basedOn w:val="TableNormal"/>
    <w:uiPriority w:val="47"/>
    <w:rsid w:val="00CE0A7F"/>
    <w:pPr>
      <w:spacing w:after="0"/>
    </w:pPr>
    <w:tblPr>
      <w:tblStyleRowBandSize w:val="1"/>
      <w:tblStyleColBandSize w:val="1"/>
      <w:tblBorders>
        <w:top w:val="single" w:sz="2" w:space="0" w:color="FFD966" w:themeColor="accent6" w:themeTint="99"/>
        <w:bottom w:val="single" w:sz="2" w:space="0" w:color="FFD966" w:themeColor="accent6" w:themeTint="99"/>
        <w:insideH w:val="single" w:sz="2" w:space="0" w:color="FFD966" w:themeColor="accent6" w:themeTint="99"/>
        <w:insideV w:val="single" w:sz="2" w:space="0" w:color="FFD966" w:themeColor="accent6" w:themeTint="99"/>
      </w:tblBorders>
    </w:tblPr>
    <w:tblStylePr w:type="firstRow">
      <w:rPr>
        <w:b/>
        <w:bCs/>
      </w:rPr>
      <w:tblPr/>
      <w:tcPr>
        <w:tcBorders>
          <w:top w:val="nil"/>
          <w:bottom w:val="single" w:sz="12" w:space="0" w:color="FFD966" w:themeColor="accent6" w:themeTint="99"/>
          <w:insideH w:val="nil"/>
          <w:insideV w:val="nil"/>
        </w:tcBorders>
        <w:shd w:val="clear" w:color="auto" w:fill="FFFFFF" w:themeFill="background1"/>
      </w:tcPr>
    </w:tblStylePr>
    <w:tblStylePr w:type="lastRow">
      <w:rPr>
        <w:b/>
        <w:bCs/>
      </w:rPr>
      <w:tblPr/>
      <w:tcPr>
        <w:tcBorders>
          <w:top w:val="double" w:sz="2" w:space="0" w:color="FFD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3">
    <w:name w:val="Grid Table 3"/>
    <w:basedOn w:val="TableNormal"/>
    <w:uiPriority w:val="48"/>
    <w:rsid w:val="00CE0A7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E0A7F"/>
    <w:pPr>
      <w:spacing w:after="0"/>
    </w:p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8D7" w:themeFill="accent1" w:themeFillTint="33"/>
      </w:tcPr>
    </w:tblStylePr>
    <w:tblStylePr w:type="band1Horz">
      <w:tblPr/>
      <w:tcPr>
        <w:shd w:val="clear" w:color="auto" w:fill="BFF8D7" w:themeFill="accent1" w:themeFillTint="33"/>
      </w:tcPr>
    </w:tblStylePr>
    <w:tblStylePr w:type="neCell">
      <w:tblPr/>
      <w:tcPr>
        <w:tcBorders>
          <w:bottom w:val="single" w:sz="4" w:space="0" w:color="42EA88" w:themeColor="accent1" w:themeTint="99"/>
        </w:tcBorders>
      </w:tcPr>
    </w:tblStylePr>
    <w:tblStylePr w:type="nwCell">
      <w:tblPr/>
      <w:tcPr>
        <w:tcBorders>
          <w:bottom w:val="single" w:sz="4" w:space="0" w:color="42EA88" w:themeColor="accent1" w:themeTint="99"/>
        </w:tcBorders>
      </w:tcPr>
    </w:tblStylePr>
    <w:tblStylePr w:type="seCell">
      <w:tblPr/>
      <w:tcPr>
        <w:tcBorders>
          <w:top w:val="single" w:sz="4" w:space="0" w:color="42EA88" w:themeColor="accent1" w:themeTint="99"/>
        </w:tcBorders>
      </w:tcPr>
    </w:tblStylePr>
    <w:tblStylePr w:type="swCell">
      <w:tblPr/>
      <w:tcPr>
        <w:tcBorders>
          <w:top w:val="single" w:sz="4" w:space="0" w:color="42EA88" w:themeColor="accent1" w:themeTint="99"/>
        </w:tcBorders>
      </w:tcPr>
    </w:tblStylePr>
  </w:style>
  <w:style w:type="table" w:styleId="GridTable3-Accent2">
    <w:name w:val="Grid Table 3 Accent 2"/>
    <w:basedOn w:val="TableNormal"/>
    <w:uiPriority w:val="48"/>
    <w:rsid w:val="00CE0A7F"/>
    <w:pPr>
      <w:spacing w:after="0"/>
    </w:p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9" w:themeFill="accent2" w:themeFillTint="33"/>
      </w:tcPr>
    </w:tblStylePr>
    <w:tblStylePr w:type="band1Horz">
      <w:tblPr/>
      <w:tcPr>
        <w:shd w:val="clear" w:color="auto" w:fill="CAF1F9" w:themeFill="accent2" w:themeFillTint="33"/>
      </w:tcPr>
    </w:tblStylePr>
    <w:tblStylePr w:type="neCell">
      <w:tblPr/>
      <w:tcPr>
        <w:tcBorders>
          <w:bottom w:val="single" w:sz="4" w:space="0" w:color="61D5ED" w:themeColor="accent2" w:themeTint="99"/>
        </w:tcBorders>
      </w:tcPr>
    </w:tblStylePr>
    <w:tblStylePr w:type="nwCell">
      <w:tblPr/>
      <w:tcPr>
        <w:tcBorders>
          <w:bottom w:val="single" w:sz="4" w:space="0" w:color="61D5ED" w:themeColor="accent2" w:themeTint="99"/>
        </w:tcBorders>
      </w:tcPr>
    </w:tblStylePr>
    <w:tblStylePr w:type="seCell">
      <w:tblPr/>
      <w:tcPr>
        <w:tcBorders>
          <w:top w:val="single" w:sz="4" w:space="0" w:color="61D5ED" w:themeColor="accent2" w:themeTint="99"/>
        </w:tcBorders>
      </w:tcPr>
    </w:tblStylePr>
    <w:tblStylePr w:type="swCell">
      <w:tblPr/>
      <w:tcPr>
        <w:tcBorders>
          <w:top w:val="single" w:sz="4" w:space="0" w:color="61D5ED" w:themeColor="accent2" w:themeTint="99"/>
        </w:tcBorders>
      </w:tcPr>
    </w:tblStylePr>
  </w:style>
  <w:style w:type="table" w:styleId="GridTable3-Accent3">
    <w:name w:val="Grid Table 3 Accent 3"/>
    <w:basedOn w:val="TableNormal"/>
    <w:uiPriority w:val="48"/>
    <w:rsid w:val="00CE0A7F"/>
    <w:pPr>
      <w:spacing w:after="0"/>
    </w:p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0D1" w:themeFill="accent3" w:themeFillTint="33"/>
      </w:tcPr>
    </w:tblStylePr>
    <w:tblStylePr w:type="band1Horz">
      <w:tblPr/>
      <w:tcPr>
        <w:shd w:val="clear" w:color="auto" w:fill="F5E0D1" w:themeFill="accent3" w:themeFillTint="33"/>
      </w:tcPr>
    </w:tblStylePr>
    <w:tblStylePr w:type="neCell">
      <w:tblPr/>
      <w:tcPr>
        <w:tcBorders>
          <w:bottom w:val="single" w:sz="4" w:space="0" w:color="E2A277" w:themeColor="accent3" w:themeTint="99"/>
        </w:tcBorders>
      </w:tcPr>
    </w:tblStylePr>
    <w:tblStylePr w:type="nwCell">
      <w:tblPr/>
      <w:tcPr>
        <w:tcBorders>
          <w:bottom w:val="single" w:sz="4" w:space="0" w:color="E2A277" w:themeColor="accent3" w:themeTint="99"/>
        </w:tcBorders>
      </w:tcPr>
    </w:tblStylePr>
    <w:tblStylePr w:type="seCell">
      <w:tblPr/>
      <w:tcPr>
        <w:tcBorders>
          <w:top w:val="single" w:sz="4" w:space="0" w:color="E2A277" w:themeColor="accent3" w:themeTint="99"/>
        </w:tcBorders>
      </w:tcPr>
    </w:tblStylePr>
    <w:tblStylePr w:type="swCell">
      <w:tblPr/>
      <w:tcPr>
        <w:tcBorders>
          <w:top w:val="single" w:sz="4" w:space="0" w:color="E2A277" w:themeColor="accent3" w:themeTint="99"/>
        </w:tcBorders>
      </w:tcPr>
    </w:tblStylePr>
  </w:style>
  <w:style w:type="table" w:styleId="GridTable3-Accent4">
    <w:name w:val="Grid Table 3 Accent 4"/>
    <w:basedOn w:val="TableNormal"/>
    <w:uiPriority w:val="48"/>
    <w:rsid w:val="00CE0A7F"/>
    <w:pPr>
      <w:spacing w:after="0"/>
    </w:p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CE5" w:themeFill="accent4" w:themeFillTint="33"/>
      </w:tcPr>
    </w:tblStylePr>
    <w:tblStylePr w:type="band1Horz">
      <w:tblPr/>
      <w:tcPr>
        <w:shd w:val="clear" w:color="auto" w:fill="F6CCE5" w:themeFill="accent4" w:themeFillTint="33"/>
      </w:tcPr>
    </w:tblStylePr>
    <w:tblStylePr w:type="neCell">
      <w:tblPr/>
      <w:tcPr>
        <w:tcBorders>
          <w:bottom w:val="single" w:sz="4" w:space="0" w:color="E567B2" w:themeColor="accent4" w:themeTint="99"/>
        </w:tcBorders>
      </w:tcPr>
    </w:tblStylePr>
    <w:tblStylePr w:type="nwCell">
      <w:tblPr/>
      <w:tcPr>
        <w:tcBorders>
          <w:bottom w:val="single" w:sz="4" w:space="0" w:color="E567B2" w:themeColor="accent4" w:themeTint="99"/>
        </w:tcBorders>
      </w:tcPr>
    </w:tblStylePr>
    <w:tblStylePr w:type="seCell">
      <w:tblPr/>
      <w:tcPr>
        <w:tcBorders>
          <w:top w:val="single" w:sz="4" w:space="0" w:color="E567B2" w:themeColor="accent4" w:themeTint="99"/>
        </w:tcBorders>
      </w:tcPr>
    </w:tblStylePr>
    <w:tblStylePr w:type="swCell">
      <w:tblPr/>
      <w:tcPr>
        <w:tcBorders>
          <w:top w:val="single" w:sz="4" w:space="0" w:color="E567B2" w:themeColor="accent4" w:themeTint="99"/>
        </w:tcBorders>
      </w:tcPr>
    </w:tblStylePr>
  </w:style>
  <w:style w:type="table" w:styleId="GridTable3-Accent5">
    <w:name w:val="Grid Table 3 Accent 5"/>
    <w:basedOn w:val="TableNormal"/>
    <w:uiPriority w:val="48"/>
    <w:rsid w:val="00CE0A7F"/>
    <w:pPr>
      <w:spacing w:after="0"/>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styleId="GridTable3-Accent6">
    <w:name w:val="Grid Table 3 Accent 6"/>
    <w:basedOn w:val="TableNormal"/>
    <w:uiPriority w:val="48"/>
    <w:rsid w:val="00CE0A7F"/>
    <w:pPr>
      <w:spacing w:after="0"/>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GridTable4">
    <w:name w:val="Grid Table 4"/>
    <w:basedOn w:val="TableNormal"/>
    <w:uiPriority w:val="49"/>
    <w:rsid w:val="00CE0A7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E0A7F"/>
    <w:pPr>
      <w:spacing w:after="0"/>
    </w:p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color w:val="FFFFFF" w:themeColor="background1"/>
      </w:rPr>
      <w:tblPr/>
      <w:tcPr>
        <w:tcBorders>
          <w:top w:val="single" w:sz="4" w:space="0" w:color="109146" w:themeColor="accent1"/>
          <w:left w:val="single" w:sz="4" w:space="0" w:color="109146" w:themeColor="accent1"/>
          <w:bottom w:val="single" w:sz="4" w:space="0" w:color="109146" w:themeColor="accent1"/>
          <w:right w:val="single" w:sz="4" w:space="0" w:color="109146" w:themeColor="accent1"/>
          <w:insideH w:val="nil"/>
          <w:insideV w:val="nil"/>
        </w:tcBorders>
        <w:shd w:val="clear" w:color="auto" w:fill="109146" w:themeFill="accent1"/>
      </w:tcPr>
    </w:tblStylePr>
    <w:tblStylePr w:type="lastRow">
      <w:rPr>
        <w:b/>
        <w:bCs/>
      </w:rPr>
      <w:tblPr/>
      <w:tcPr>
        <w:tcBorders>
          <w:top w:val="double" w:sz="4" w:space="0" w:color="109146" w:themeColor="accent1"/>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GridTable4-Accent3">
    <w:name w:val="Grid Table 4 Accent 3"/>
    <w:basedOn w:val="TableNormal"/>
    <w:uiPriority w:val="49"/>
    <w:rsid w:val="00CE0A7F"/>
    <w:pPr>
      <w:spacing w:after="0"/>
    </w:p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color w:val="FFFFFF" w:themeColor="background1"/>
      </w:rPr>
      <w:tblPr/>
      <w:tcPr>
        <w:tcBorders>
          <w:top w:val="single" w:sz="4" w:space="0" w:color="C56829" w:themeColor="accent3"/>
          <w:left w:val="single" w:sz="4" w:space="0" w:color="C56829" w:themeColor="accent3"/>
          <w:bottom w:val="single" w:sz="4" w:space="0" w:color="C56829" w:themeColor="accent3"/>
          <w:right w:val="single" w:sz="4" w:space="0" w:color="C56829" w:themeColor="accent3"/>
          <w:insideH w:val="nil"/>
          <w:insideV w:val="nil"/>
        </w:tcBorders>
        <w:shd w:val="clear" w:color="auto" w:fill="C56829" w:themeFill="accent3"/>
      </w:tcPr>
    </w:tblStylePr>
    <w:tblStylePr w:type="lastRow">
      <w:rPr>
        <w:b/>
        <w:bCs/>
      </w:rPr>
      <w:tblPr/>
      <w:tcPr>
        <w:tcBorders>
          <w:top w:val="double" w:sz="4" w:space="0" w:color="C56829" w:themeColor="accent3"/>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GridTable4-Accent4">
    <w:name w:val="Grid Table 4 Accent 4"/>
    <w:basedOn w:val="TableNormal"/>
    <w:uiPriority w:val="49"/>
    <w:rsid w:val="00CE0A7F"/>
    <w:pPr>
      <w:spacing w:after="0"/>
    </w:p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color w:val="FFFFFF" w:themeColor="background1"/>
      </w:rPr>
      <w:tblPr/>
      <w:tcPr>
        <w:tcBorders>
          <w:top w:val="single" w:sz="4" w:space="0" w:color="B71F7A" w:themeColor="accent4"/>
          <w:left w:val="single" w:sz="4" w:space="0" w:color="B71F7A" w:themeColor="accent4"/>
          <w:bottom w:val="single" w:sz="4" w:space="0" w:color="B71F7A" w:themeColor="accent4"/>
          <w:right w:val="single" w:sz="4" w:space="0" w:color="B71F7A" w:themeColor="accent4"/>
          <w:insideH w:val="nil"/>
          <w:insideV w:val="nil"/>
        </w:tcBorders>
        <w:shd w:val="clear" w:color="auto" w:fill="B71F7A" w:themeFill="accent4"/>
      </w:tcPr>
    </w:tblStylePr>
    <w:tblStylePr w:type="lastRow">
      <w:rPr>
        <w:b/>
        <w:bCs/>
      </w:rPr>
      <w:tblPr/>
      <w:tcPr>
        <w:tcBorders>
          <w:top w:val="double" w:sz="4" w:space="0" w:color="B71F7A" w:themeColor="accent4"/>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GridTable4-Accent5">
    <w:name w:val="Grid Table 4 Accent 5"/>
    <w:basedOn w:val="TableNormal"/>
    <w:uiPriority w:val="49"/>
    <w:rsid w:val="00CE0A7F"/>
    <w:pPr>
      <w:spacing w:after="0"/>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GridTable4-Accent6">
    <w:name w:val="Grid Table 4 Accent 6"/>
    <w:basedOn w:val="TableNormal"/>
    <w:uiPriority w:val="49"/>
    <w:rsid w:val="00CE0A7F"/>
    <w:pPr>
      <w:spacing w:after="0"/>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insideV w:val="nil"/>
        </w:tcBorders>
        <w:shd w:val="clear" w:color="auto" w:fill="FFC000" w:themeFill="accent6"/>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5Dark">
    <w:name w:val="Grid Table 5 Dark"/>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8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14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14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14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146" w:themeFill="accent1"/>
      </w:tcPr>
    </w:tblStylePr>
    <w:tblStylePr w:type="band1Vert">
      <w:tblPr/>
      <w:tcPr>
        <w:shd w:val="clear" w:color="auto" w:fill="81F1AF" w:themeFill="accent1" w:themeFillTint="66"/>
      </w:tcPr>
    </w:tblStylePr>
    <w:tblStylePr w:type="band1Horz">
      <w:tblPr/>
      <w:tcPr>
        <w:shd w:val="clear" w:color="auto" w:fill="81F1AF" w:themeFill="accent1" w:themeFillTint="66"/>
      </w:tcPr>
    </w:tblStylePr>
  </w:style>
  <w:style w:type="table" w:styleId="GridTable5Dark-Accent2">
    <w:name w:val="Grid Table 5 Dark Accent 2"/>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A7C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A7C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A7C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A7C4" w:themeFill="accent2"/>
      </w:tcPr>
    </w:tblStylePr>
    <w:tblStylePr w:type="band1Vert">
      <w:tblPr/>
      <w:tcPr>
        <w:shd w:val="clear" w:color="auto" w:fill="95E3F3" w:themeFill="accent2" w:themeFillTint="66"/>
      </w:tcPr>
    </w:tblStylePr>
    <w:tblStylePr w:type="band1Horz">
      <w:tblPr/>
      <w:tcPr>
        <w:shd w:val="clear" w:color="auto" w:fill="95E3F3" w:themeFill="accent2" w:themeFillTint="66"/>
      </w:tcPr>
    </w:tblStylePr>
  </w:style>
  <w:style w:type="table" w:styleId="GridTable5Dark-Accent3">
    <w:name w:val="Grid Table 5 Dark Accent 3"/>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0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68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68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68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6829" w:themeFill="accent3"/>
      </w:tcPr>
    </w:tblStylePr>
    <w:tblStylePr w:type="band1Vert">
      <w:tblPr/>
      <w:tcPr>
        <w:shd w:val="clear" w:color="auto" w:fill="ECC1A4" w:themeFill="accent3" w:themeFillTint="66"/>
      </w:tcPr>
    </w:tblStylePr>
    <w:tblStylePr w:type="band1Horz">
      <w:tblPr/>
      <w:tcPr>
        <w:shd w:val="clear" w:color="auto" w:fill="ECC1A4" w:themeFill="accent3" w:themeFillTint="66"/>
      </w:tcPr>
    </w:tblStylePr>
  </w:style>
  <w:style w:type="table" w:styleId="GridTable5Dark-Accent4">
    <w:name w:val="Grid Table 5 Dark Accent 4"/>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C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1F7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1F7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1F7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1F7A" w:themeFill="accent4"/>
      </w:tcPr>
    </w:tblStylePr>
    <w:tblStylePr w:type="band1Vert">
      <w:tblPr/>
      <w:tcPr>
        <w:shd w:val="clear" w:color="auto" w:fill="ED99CB" w:themeFill="accent4" w:themeFillTint="66"/>
      </w:tcPr>
    </w:tblStylePr>
    <w:tblStylePr w:type="band1Horz">
      <w:tblPr/>
      <w:tcPr>
        <w:shd w:val="clear" w:color="auto" w:fill="ED99CB" w:themeFill="accent4" w:themeFillTint="66"/>
      </w:tcPr>
    </w:tblStylePr>
  </w:style>
  <w:style w:type="table" w:styleId="GridTable5Dark-Accent5">
    <w:name w:val="Grid Table 5 Dark Accent 5"/>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styleId="GridTable5Dark-Accent6">
    <w:name w:val="Grid Table 5 Dark Accent 6"/>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6"/>
      </w:tcPr>
    </w:tblStylePr>
    <w:tblStylePr w:type="band1Vert">
      <w:tblPr/>
      <w:tcPr>
        <w:shd w:val="clear" w:color="auto" w:fill="FFE599" w:themeFill="accent6" w:themeFillTint="66"/>
      </w:tcPr>
    </w:tblStylePr>
    <w:tblStylePr w:type="band1Horz">
      <w:tblPr/>
      <w:tcPr>
        <w:shd w:val="clear" w:color="auto" w:fill="FFE599" w:themeFill="accent6" w:themeFillTint="66"/>
      </w:tcPr>
    </w:tblStylePr>
  </w:style>
  <w:style w:type="table" w:styleId="GridTable6Colorful">
    <w:name w:val="Grid Table 6 Colorful"/>
    <w:basedOn w:val="TableNormal"/>
    <w:uiPriority w:val="51"/>
    <w:rsid w:val="00CE0A7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0A7F"/>
    <w:pPr>
      <w:spacing w:after="0"/>
    </w:pPr>
    <w:rPr>
      <w:color w:val="0C6C34" w:themeColor="accent1" w:themeShade="BF"/>
    </w:r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rPr>
      <w:tblPr/>
      <w:tcPr>
        <w:tcBorders>
          <w:bottom w:val="single" w:sz="12" w:space="0" w:color="42EA88" w:themeColor="accent1" w:themeTint="99"/>
        </w:tcBorders>
      </w:tcPr>
    </w:tblStylePr>
    <w:tblStylePr w:type="lastRow">
      <w:rPr>
        <w:b/>
        <w:bCs/>
      </w:rPr>
      <w:tblPr/>
      <w:tcPr>
        <w:tcBorders>
          <w:top w:val="double" w:sz="4" w:space="0" w:color="42EA88" w:themeColor="accent1" w:themeTint="99"/>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GridTable6Colorful-Accent2">
    <w:name w:val="Grid Table 6 Colorful Accent 2"/>
    <w:basedOn w:val="TableNormal"/>
    <w:uiPriority w:val="51"/>
    <w:rsid w:val="00CE0A7F"/>
    <w:pPr>
      <w:spacing w:after="0"/>
    </w:pPr>
    <w:rPr>
      <w:color w:val="107C92" w:themeColor="accent2" w:themeShade="BF"/>
    </w:r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rPr>
      <w:tblPr/>
      <w:tcPr>
        <w:tcBorders>
          <w:bottom w:val="single" w:sz="12" w:space="0" w:color="61D5ED" w:themeColor="accent2" w:themeTint="99"/>
        </w:tcBorders>
      </w:tcPr>
    </w:tblStylePr>
    <w:tblStylePr w:type="lastRow">
      <w:rPr>
        <w:b/>
        <w:bCs/>
      </w:rPr>
      <w:tblPr/>
      <w:tcPr>
        <w:tcBorders>
          <w:top w:val="double" w:sz="4" w:space="0" w:color="61D5ED" w:themeColor="accent2" w:themeTint="99"/>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GridTable6Colorful-Accent3">
    <w:name w:val="Grid Table 6 Colorful Accent 3"/>
    <w:basedOn w:val="TableNormal"/>
    <w:uiPriority w:val="51"/>
    <w:rsid w:val="00CE0A7F"/>
    <w:pPr>
      <w:spacing w:after="0"/>
    </w:pPr>
    <w:rPr>
      <w:color w:val="934D1E" w:themeColor="accent3" w:themeShade="BF"/>
    </w:r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rPr>
      <w:tblPr/>
      <w:tcPr>
        <w:tcBorders>
          <w:bottom w:val="single" w:sz="12" w:space="0" w:color="E2A277" w:themeColor="accent3" w:themeTint="99"/>
        </w:tcBorders>
      </w:tcPr>
    </w:tblStylePr>
    <w:tblStylePr w:type="lastRow">
      <w:rPr>
        <w:b/>
        <w:bCs/>
      </w:rPr>
      <w:tblPr/>
      <w:tcPr>
        <w:tcBorders>
          <w:top w:val="double" w:sz="4" w:space="0" w:color="E2A277" w:themeColor="accent3" w:themeTint="99"/>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GridTable6Colorful-Accent4">
    <w:name w:val="Grid Table 6 Colorful Accent 4"/>
    <w:basedOn w:val="TableNormal"/>
    <w:uiPriority w:val="51"/>
    <w:rsid w:val="00CE0A7F"/>
    <w:pPr>
      <w:spacing w:after="0"/>
    </w:pPr>
    <w:rPr>
      <w:color w:val="88175A" w:themeColor="accent4" w:themeShade="BF"/>
    </w:r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rPr>
      <w:tblPr/>
      <w:tcPr>
        <w:tcBorders>
          <w:bottom w:val="single" w:sz="12" w:space="0" w:color="E567B2" w:themeColor="accent4" w:themeTint="99"/>
        </w:tcBorders>
      </w:tcPr>
    </w:tblStylePr>
    <w:tblStylePr w:type="lastRow">
      <w:rPr>
        <w:b/>
        <w:bCs/>
      </w:rPr>
      <w:tblPr/>
      <w:tcPr>
        <w:tcBorders>
          <w:top w:val="double" w:sz="4" w:space="0" w:color="E567B2" w:themeColor="accent4" w:themeTint="99"/>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GridTable6Colorful-Accent5">
    <w:name w:val="Grid Table 6 Colorful Accent 5"/>
    <w:basedOn w:val="TableNormal"/>
    <w:uiPriority w:val="51"/>
    <w:rsid w:val="00CE0A7F"/>
    <w:pPr>
      <w:spacing w:after="0"/>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GridTable6Colorful-Accent6">
    <w:name w:val="Grid Table 6 Colorful Accent 6"/>
    <w:basedOn w:val="TableNormal"/>
    <w:uiPriority w:val="51"/>
    <w:rsid w:val="00CE0A7F"/>
    <w:pPr>
      <w:spacing w:after="0"/>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7Colorful">
    <w:name w:val="Grid Table 7 Colorful"/>
    <w:basedOn w:val="TableNormal"/>
    <w:uiPriority w:val="52"/>
    <w:rsid w:val="00CE0A7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E0A7F"/>
    <w:pPr>
      <w:spacing w:after="0"/>
    </w:pPr>
    <w:rPr>
      <w:color w:val="0C6C34" w:themeColor="accent1" w:themeShade="BF"/>
    </w:r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8D7" w:themeFill="accent1" w:themeFillTint="33"/>
      </w:tcPr>
    </w:tblStylePr>
    <w:tblStylePr w:type="band1Horz">
      <w:tblPr/>
      <w:tcPr>
        <w:shd w:val="clear" w:color="auto" w:fill="BFF8D7" w:themeFill="accent1" w:themeFillTint="33"/>
      </w:tcPr>
    </w:tblStylePr>
    <w:tblStylePr w:type="neCell">
      <w:tblPr/>
      <w:tcPr>
        <w:tcBorders>
          <w:bottom w:val="single" w:sz="4" w:space="0" w:color="42EA88" w:themeColor="accent1" w:themeTint="99"/>
        </w:tcBorders>
      </w:tcPr>
    </w:tblStylePr>
    <w:tblStylePr w:type="nwCell">
      <w:tblPr/>
      <w:tcPr>
        <w:tcBorders>
          <w:bottom w:val="single" w:sz="4" w:space="0" w:color="42EA88" w:themeColor="accent1" w:themeTint="99"/>
        </w:tcBorders>
      </w:tcPr>
    </w:tblStylePr>
    <w:tblStylePr w:type="seCell">
      <w:tblPr/>
      <w:tcPr>
        <w:tcBorders>
          <w:top w:val="single" w:sz="4" w:space="0" w:color="42EA88" w:themeColor="accent1" w:themeTint="99"/>
        </w:tcBorders>
      </w:tcPr>
    </w:tblStylePr>
    <w:tblStylePr w:type="swCell">
      <w:tblPr/>
      <w:tcPr>
        <w:tcBorders>
          <w:top w:val="single" w:sz="4" w:space="0" w:color="42EA88" w:themeColor="accent1" w:themeTint="99"/>
        </w:tcBorders>
      </w:tcPr>
    </w:tblStylePr>
  </w:style>
  <w:style w:type="table" w:styleId="GridTable7Colorful-Accent2">
    <w:name w:val="Grid Table 7 Colorful Accent 2"/>
    <w:basedOn w:val="TableNormal"/>
    <w:uiPriority w:val="52"/>
    <w:rsid w:val="00CE0A7F"/>
    <w:pPr>
      <w:spacing w:after="0"/>
    </w:pPr>
    <w:rPr>
      <w:color w:val="107C92" w:themeColor="accent2" w:themeShade="BF"/>
    </w:r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9" w:themeFill="accent2" w:themeFillTint="33"/>
      </w:tcPr>
    </w:tblStylePr>
    <w:tblStylePr w:type="band1Horz">
      <w:tblPr/>
      <w:tcPr>
        <w:shd w:val="clear" w:color="auto" w:fill="CAF1F9" w:themeFill="accent2" w:themeFillTint="33"/>
      </w:tcPr>
    </w:tblStylePr>
    <w:tblStylePr w:type="neCell">
      <w:tblPr/>
      <w:tcPr>
        <w:tcBorders>
          <w:bottom w:val="single" w:sz="4" w:space="0" w:color="61D5ED" w:themeColor="accent2" w:themeTint="99"/>
        </w:tcBorders>
      </w:tcPr>
    </w:tblStylePr>
    <w:tblStylePr w:type="nwCell">
      <w:tblPr/>
      <w:tcPr>
        <w:tcBorders>
          <w:bottom w:val="single" w:sz="4" w:space="0" w:color="61D5ED" w:themeColor="accent2" w:themeTint="99"/>
        </w:tcBorders>
      </w:tcPr>
    </w:tblStylePr>
    <w:tblStylePr w:type="seCell">
      <w:tblPr/>
      <w:tcPr>
        <w:tcBorders>
          <w:top w:val="single" w:sz="4" w:space="0" w:color="61D5ED" w:themeColor="accent2" w:themeTint="99"/>
        </w:tcBorders>
      </w:tcPr>
    </w:tblStylePr>
    <w:tblStylePr w:type="swCell">
      <w:tblPr/>
      <w:tcPr>
        <w:tcBorders>
          <w:top w:val="single" w:sz="4" w:space="0" w:color="61D5ED" w:themeColor="accent2" w:themeTint="99"/>
        </w:tcBorders>
      </w:tcPr>
    </w:tblStylePr>
  </w:style>
  <w:style w:type="table" w:styleId="GridTable7Colorful-Accent3">
    <w:name w:val="Grid Table 7 Colorful Accent 3"/>
    <w:basedOn w:val="TableNormal"/>
    <w:uiPriority w:val="52"/>
    <w:rsid w:val="00CE0A7F"/>
    <w:pPr>
      <w:spacing w:after="0"/>
    </w:pPr>
    <w:rPr>
      <w:color w:val="934D1E" w:themeColor="accent3" w:themeShade="BF"/>
    </w:r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0D1" w:themeFill="accent3" w:themeFillTint="33"/>
      </w:tcPr>
    </w:tblStylePr>
    <w:tblStylePr w:type="band1Horz">
      <w:tblPr/>
      <w:tcPr>
        <w:shd w:val="clear" w:color="auto" w:fill="F5E0D1" w:themeFill="accent3" w:themeFillTint="33"/>
      </w:tcPr>
    </w:tblStylePr>
    <w:tblStylePr w:type="neCell">
      <w:tblPr/>
      <w:tcPr>
        <w:tcBorders>
          <w:bottom w:val="single" w:sz="4" w:space="0" w:color="E2A277" w:themeColor="accent3" w:themeTint="99"/>
        </w:tcBorders>
      </w:tcPr>
    </w:tblStylePr>
    <w:tblStylePr w:type="nwCell">
      <w:tblPr/>
      <w:tcPr>
        <w:tcBorders>
          <w:bottom w:val="single" w:sz="4" w:space="0" w:color="E2A277" w:themeColor="accent3" w:themeTint="99"/>
        </w:tcBorders>
      </w:tcPr>
    </w:tblStylePr>
    <w:tblStylePr w:type="seCell">
      <w:tblPr/>
      <w:tcPr>
        <w:tcBorders>
          <w:top w:val="single" w:sz="4" w:space="0" w:color="E2A277" w:themeColor="accent3" w:themeTint="99"/>
        </w:tcBorders>
      </w:tcPr>
    </w:tblStylePr>
    <w:tblStylePr w:type="swCell">
      <w:tblPr/>
      <w:tcPr>
        <w:tcBorders>
          <w:top w:val="single" w:sz="4" w:space="0" w:color="E2A277" w:themeColor="accent3" w:themeTint="99"/>
        </w:tcBorders>
      </w:tcPr>
    </w:tblStylePr>
  </w:style>
  <w:style w:type="table" w:styleId="GridTable7Colorful-Accent4">
    <w:name w:val="Grid Table 7 Colorful Accent 4"/>
    <w:basedOn w:val="TableNormal"/>
    <w:uiPriority w:val="52"/>
    <w:rsid w:val="00CE0A7F"/>
    <w:pPr>
      <w:spacing w:after="0"/>
    </w:pPr>
    <w:rPr>
      <w:color w:val="88175A" w:themeColor="accent4" w:themeShade="BF"/>
    </w:r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CE5" w:themeFill="accent4" w:themeFillTint="33"/>
      </w:tcPr>
    </w:tblStylePr>
    <w:tblStylePr w:type="band1Horz">
      <w:tblPr/>
      <w:tcPr>
        <w:shd w:val="clear" w:color="auto" w:fill="F6CCE5" w:themeFill="accent4" w:themeFillTint="33"/>
      </w:tcPr>
    </w:tblStylePr>
    <w:tblStylePr w:type="neCell">
      <w:tblPr/>
      <w:tcPr>
        <w:tcBorders>
          <w:bottom w:val="single" w:sz="4" w:space="0" w:color="E567B2" w:themeColor="accent4" w:themeTint="99"/>
        </w:tcBorders>
      </w:tcPr>
    </w:tblStylePr>
    <w:tblStylePr w:type="nwCell">
      <w:tblPr/>
      <w:tcPr>
        <w:tcBorders>
          <w:bottom w:val="single" w:sz="4" w:space="0" w:color="E567B2" w:themeColor="accent4" w:themeTint="99"/>
        </w:tcBorders>
      </w:tcPr>
    </w:tblStylePr>
    <w:tblStylePr w:type="seCell">
      <w:tblPr/>
      <w:tcPr>
        <w:tcBorders>
          <w:top w:val="single" w:sz="4" w:space="0" w:color="E567B2" w:themeColor="accent4" w:themeTint="99"/>
        </w:tcBorders>
      </w:tcPr>
    </w:tblStylePr>
    <w:tblStylePr w:type="swCell">
      <w:tblPr/>
      <w:tcPr>
        <w:tcBorders>
          <w:top w:val="single" w:sz="4" w:space="0" w:color="E567B2" w:themeColor="accent4" w:themeTint="99"/>
        </w:tcBorders>
      </w:tcPr>
    </w:tblStylePr>
  </w:style>
  <w:style w:type="table" w:styleId="GridTable7Colorful-Accent5">
    <w:name w:val="Grid Table 7 Colorful Accent 5"/>
    <w:basedOn w:val="TableNormal"/>
    <w:uiPriority w:val="52"/>
    <w:rsid w:val="00CE0A7F"/>
    <w:pPr>
      <w:spacing w:after="0"/>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styleId="GridTable7Colorful-Accent6">
    <w:name w:val="Grid Table 7 Colorful Accent 6"/>
    <w:basedOn w:val="TableNormal"/>
    <w:uiPriority w:val="52"/>
    <w:rsid w:val="00CE0A7F"/>
    <w:pPr>
      <w:spacing w:after="0"/>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character" w:styleId="IntenseEmphasis">
    <w:name w:val="Intense Emphasis"/>
    <w:basedOn w:val="DefaultParagraphFont"/>
    <w:uiPriority w:val="21"/>
    <w:semiHidden/>
    <w:rsid w:val="004D4116"/>
    <w:rPr>
      <w:i/>
      <w:iCs/>
      <w:color w:val="215E94" w:themeColor="text2"/>
      <w:lang w:val="en-GB"/>
    </w:rPr>
  </w:style>
  <w:style w:type="character" w:styleId="IntenseReference">
    <w:name w:val="Intense Reference"/>
    <w:basedOn w:val="DefaultParagraphFont"/>
    <w:uiPriority w:val="32"/>
    <w:semiHidden/>
    <w:rsid w:val="004D4116"/>
    <w:rPr>
      <w:b/>
      <w:bCs/>
      <w:smallCaps/>
      <w:color w:val="215E94" w:themeColor="text2"/>
      <w:spacing w:val="5"/>
      <w:lang w:val="en-GB"/>
    </w:rPr>
  </w:style>
  <w:style w:type="table" w:styleId="LightGrid">
    <w:name w:val="Light Grid"/>
    <w:basedOn w:val="TableNormal"/>
    <w:uiPriority w:val="62"/>
    <w:semiHidden/>
    <w:unhideWhenUsed/>
    <w:rsid w:val="00CE0A7F"/>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E0A7F"/>
    <w:pPr>
      <w:spacing w:before="0" w:after="0"/>
    </w:p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insideH w:val="single" w:sz="8" w:space="0" w:color="109146" w:themeColor="accent1"/>
        <w:insideV w:val="single" w:sz="8" w:space="0" w:color="10914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9146" w:themeColor="accent1"/>
          <w:left w:val="single" w:sz="8" w:space="0" w:color="109146" w:themeColor="accent1"/>
          <w:bottom w:val="single" w:sz="18" w:space="0" w:color="109146" w:themeColor="accent1"/>
          <w:right w:val="single" w:sz="8" w:space="0" w:color="109146" w:themeColor="accent1"/>
          <w:insideH w:val="nil"/>
          <w:insideV w:val="single" w:sz="8" w:space="0" w:color="10914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9146" w:themeColor="accent1"/>
          <w:left w:val="single" w:sz="8" w:space="0" w:color="109146" w:themeColor="accent1"/>
          <w:bottom w:val="single" w:sz="8" w:space="0" w:color="109146" w:themeColor="accent1"/>
          <w:right w:val="single" w:sz="8" w:space="0" w:color="109146" w:themeColor="accent1"/>
          <w:insideH w:val="nil"/>
          <w:insideV w:val="single" w:sz="8" w:space="0" w:color="10914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tcPr>
    </w:tblStylePr>
    <w:tblStylePr w:type="band1Vert">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shd w:val="clear" w:color="auto" w:fill="B1F6CD" w:themeFill="accent1" w:themeFillTint="3F"/>
      </w:tcPr>
    </w:tblStylePr>
    <w:tblStylePr w:type="band1Horz">
      <w:tblPr/>
      <w:tcPr>
        <w:tcBorders>
          <w:top w:val="single" w:sz="8" w:space="0" w:color="109146" w:themeColor="accent1"/>
          <w:left w:val="single" w:sz="8" w:space="0" w:color="109146" w:themeColor="accent1"/>
          <w:bottom w:val="single" w:sz="8" w:space="0" w:color="109146" w:themeColor="accent1"/>
          <w:right w:val="single" w:sz="8" w:space="0" w:color="109146" w:themeColor="accent1"/>
          <w:insideV w:val="single" w:sz="8" w:space="0" w:color="109146" w:themeColor="accent1"/>
        </w:tcBorders>
        <w:shd w:val="clear" w:color="auto" w:fill="B1F6CD" w:themeFill="accent1" w:themeFillTint="3F"/>
      </w:tcPr>
    </w:tblStylePr>
    <w:tblStylePr w:type="band2Horz">
      <w:tblPr/>
      <w:tcPr>
        <w:tcBorders>
          <w:top w:val="single" w:sz="8" w:space="0" w:color="109146" w:themeColor="accent1"/>
          <w:left w:val="single" w:sz="8" w:space="0" w:color="109146" w:themeColor="accent1"/>
          <w:bottom w:val="single" w:sz="8" w:space="0" w:color="109146" w:themeColor="accent1"/>
          <w:right w:val="single" w:sz="8" w:space="0" w:color="109146" w:themeColor="accent1"/>
          <w:insideV w:val="single" w:sz="8" w:space="0" w:color="109146" w:themeColor="accent1"/>
        </w:tcBorders>
      </w:tcPr>
    </w:tblStylePr>
  </w:style>
  <w:style w:type="table" w:styleId="LightGrid-Accent2">
    <w:name w:val="Light Grid Accent 2"/>
    <w:basedOn w:val="TableNormal"/>
    <w:uiPriority w:val="62"/>
    <w:semiHidden/>
    <w:unhideWhenUsed/>
    <w:rsid w:val="00CE0A7F"/>
    <w:pPr>
      <w:spacing w:before="0" w:after="0"/>
    </w:p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insideH w:val="single" w:sz="8" w:space="0" w:color="16A7C4" w:themeColor="accent2"/>
        <w:insideV w:val="single" w:sz="8" w:space="0" w:color="16A7C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A7C4" w:themeColor="accent2"/>
          <w:left w:val="single" w:sz="8" w:space="0" w:color="16A7C4" w:themeColor="accent2"/>
          <w:bottom w:val="single" w:sz="18" w:space="0" w:color="16A7C4" w:themeColor="accent2"/>
          <w:right w:val="single" w:sz="8" w:space="0" w:color="16A7C4" w:themeColor="accent2"/>
          <w:insideH w:val="nil"/>
          <w:insideV w:val="single" w:sz="8" w:space="0" w:color="16A7C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A7C4" w:themeColor="accent2"/>
          <w:left w:val="single" w:sz="8" w:space="0" w:color="16A7C4" w:themeColor="accent2"/>
          <w:bottom w:val="single" w:sz="8" w:space="0" w:color="16A7C4" w:themeColor="accent2"/>
          <w:right w:val="single" w:sz="8" w:space="0" w:color="16A7C4" w:themeColor="accent2"/>
          <w:insideH w:val="nil"/>
          <w:insideV w:val="single" w:sz="8" w:space="0" w:color="16A7C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tcPr>
    </w:tblStylePr>
    <w:tblStylePr w:type="band1Vert">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shd w:val="clear" w:color="auto" w:fill="BDEEF7" w:themeFill="accent2" w:themeFillTint="3F"/>
      </w:tcPr>
    </w:tblStylePr>
    <w:tblStylePr w:type="band1Horz">
      <w:tblPr/>
      <w:tcPr>
        <w:tcBorders>
          <w:top w:val="single" w:sz="8" w:space="0" w:color="16A7C4" w:themeColor="accent2"/>
          <w:left w:val="single" w:sz="8" w:space="0" w:color="16A7C4" w:themeColor="accent2"/>
          <w:bottom w:val="single" w:sz="8" w:space="0" w:color="16A7C4" w:themeColor="accent2"/>
          <w:right w:val="single" w:sz="8" w:space="0" w:color="16A7C4" w:themeColor="accent2"/>
          <w:insideV w:val="single" w:sz="8" w:space="0" w:color="16A7C4" w:themeColor="accent2"/>
        </w:tcBorders>
        <w:shd w:val="clear" w:color="auto" w:fill="BDEEF7" w:themeFill="accent2" w:themeFillTint="3F"/>
      </w:tcPr>
    </w:tblStylePr>
    <w:tblStylePr w:type="band2Horz">
      <w:tblPr/>
      <w:tcPr>
        <w:tcBorders>
          <w:top w:val="single" w:sz="8" w:space="0" w:color="16A7C4" w:themeColor="accent2"/>
          <w:left w:val="single" w:sz="8" w:space="0" w:color="16A7C4" w:themeColor="accent2"/>
          <w:bottom w:val="single" w:sz="8" w:space="0" w:color="16A7C4" w:themeColor="accent2"/>
          <w:right w:val="single" w:sz="8" w:space="0" w:color="16A7C4" w:themeColor="accent2"/>
          <w:insideV w:val="single" w:sz="8" w:space="0" w:color="16A7C4" w:themeColor="accent2"/>
        </w:tcBorders>
      </w:tcPr>
    </w:tblStylePr>
  </w:style>
  <w:style w:type="table" w:styleId="LightGrid-Accent3">
    <w:name w:val="Light Grid Accent 3"/>
    <w:basedOn w:val="TableNormal"/>
    <w:uiPriority w:val="62"/>
    <w:semiHidden/>
    <w:unhideWhenUsed/>
    <w:rsid w:val="00CE0A7F"/>
    <w:pPr>
      <w:spacing w:before="0" w:after="0"/>
    </w:p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insideH w:val="single" w:sz="8" w:space="0" w:color="C56829" w:themeColor="accent3"/>
        <w:insideV w:val="single" w:sz="8" w:space="0" w:color="C568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6829" w:themeColor="accent3"/>
          <w:left w:val="single" w:sz="8" w:space="0" w:color="C56829" w:themeColor="accent3"/>
          <w:bottom w:val="single" w:sz="18" w:space="0" w:color="C56829" w:themeColor="accent3"/>
          <w:right w:val="single" w:sz="8" w:space="0" w:color="C56829" w:themeColor="accent3"/>
          <w:insideH w:val="nil"/>
          <w:insideV w:val="single" w:sz="8" w:space="0" w:color="C568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6829" w:themeColor="accent3"/>
          <w:left w:val="single" w:sz="8" w:space="0" w:color="C56829" w:themeColor="accent3"/>
          <w:bottom w:val="single" w:sz="8" w:space="0" w:color="C56829" w:themeColor="accent3"/>
          <w:right w:val="single" w:sz="8" w:space="0" w:color="C56829" w:themeColor="accent3"/>
          <w:insideH w:val="nil"/>
          <w:insideV w:val="single" w:sz="8" w:space="0" w:color="C568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tcPr>
    </w:tblStylePr>
    <w:tblStylePr w:type="band1Vert">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shd w:val="clear" w:color="auto" w:fill="F3D8C7" w:themeFill="accent3" w:themeFillTint="3F"/>
      </w:tcPr>
    </w:tblStylePr>
    <w:tblStylePr w:type="band1Horz">
      <w:tblPr/>
      <w:tcPr>
        <w:tcBorders>
          <w:top w:val="single" w:sz="8" w:space="0" w:color="C56829" w:themeColor="accent3"/>
          <w:left w:val="single" w:sz="8" w:space="0" w:color="C56829" w:themeColor="accent3"/>
          <w:bottom w:val="single" w:sz="8" w:space="0" w:color="C56829" w:themeColor="accent3"/>
          <w:right w:val="single" w:sz="8" w:space="0" w:color="C56829" w:themeColor="accent3"/>
          <w:insideV w:val="single" w:sz="8" w:space="0" w:color="C56829" w:themeColor="accent3"/>
        </w:tcBorders>
        <w:shd w:val="clear" w:color="auto" w:fill="F3D8C7" w:themeFill="accent3" w:themeFillTint="3F"/>
      </w:tcPr>
    </w:tblStylePr>
    <w:tblStylePr w:type="band2Horz">
      <w:tblPr/>
      <w:tcPr>
        <w:tcBorders>
          <w:top w:val="single" w:sz="8" w:space="0" w:color="C56829" w:themeColor="accent3"/>
          <w:left w:val="single" w:sz="8" w:space="0" w:color="C56829" w:themeColor="accent3"/>
          <w:bottom w:val="single" w:sz="8" w:space="0" w:color="C56829" w:themeColor="accent3"/>
          <w:right w:val="single" w:sz="8" w:space="0" w:color="C56829" w:themeColor="accent3"/>
          <w:insideV w:val="single" w:sz="8" w:space="0" w:color="C56829" w:themeColor="accent3"/>
        </w:tcBorders>
      </w:tcPr>
    </w:tblStylePr>
  </w:style>
  <w:style w:type="table" w:styleId="LightGrid-Accent4">
    <w:name w:val="Light Grid Accent 4"/>
    <w:basedOn w:val="TableNormal"/>
    <w:uiPriority w:val="62"/>
    <w:semiHidden/>
    <w:unhideWhenUsed/>
    <w:rsid w:val="00CE0A7F"/>
    <w:pPr>
      <w:spacing w:before="0" w:after="0"/>
    </w:p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insideH w:val="single" w:sz="8" w:space="0" w:color="B71F7A" w:themeColor="accent4"/>
        <w:insideV w:val="single" w:sz="8" w:space="0" w:color="B71F7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F7A" w:themeColor="accent4"/>
          <w:left w:val="single" w:sz="8" w:space="0" w:color="B71F7A" w:themeColor="accent4"/>
          <w:bottom w:val="single" w:sz="18" w:space="0" w:color="B71F7A" w:themeColor="accent4"/>
          <w:right w:val="single" w:sz="8" w:space="0" w:color="B71F7A" w:themeColor="accent4"/>
          <w:insideH w:val="nil"/>
          <w:insideV w:val="single" w:sz="8" w:space="0" w:color="B71F7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F7A" w:themeColor="accent4"/>
          <w:left w:val="single" w:sz="8" w:space="0" w:color="B71F7A" w:themeColor="accent4"/>
          <w:bottom w:val="single" w:sz="8" w:space="0" w:color="B71F7A" w:themeColor="accent4"/>
          <w:right w:val="single" w:sz="8" w:space="0" w:color="B71F7A" w:themeColor="accent4"/>
          <w:insideH w:val="nil"/>
          <w:insideV w:val="single" w:sz="8" w:space="0" w:color="B71F7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tcPr>
    </w:tblStylePr>
    <w:tblStylePr w:type="band1Vert">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shd w:val="clear" w:color="auto" w:fill="F4C0DF" w:themeFill="accent4" w:themeFillTint="3F"/>
      </w:tcPr>
    </w:tblStylePr>
    <w:tblStylePr w:type="band1Horz">
      <w:tblPr/>
      <w:tcPr>
        <w:tcBorders>
          <w:top w:val="single" w:sz="8" w:space="0" w:color="B71F7A" w:themeColor="accent4"/>
          <w:left w:val="single" w:sz="8" w:space="0" w:color="B71F7A" w:themeColor="accent4"/>
          <w:bottom w:val="single" w:sz="8" w:space="0" w:color="B71F7A" w:themeColor="accent4"/>
          <w:right w:val="single" w:sz="8" w:space="0" w:color="B71F7A" w:themeColor="accent4"/>
          <w:insideV w:val="single" w:sz="8" w:space="0" w:color="B71F7A" w:themeColor="accent4"/>
        </w:tcBorders>
        <w:shd w:val="clear" w:color="auto" w:fill="F4C0DF" w:themeFill="accent4" w:themeFillTint="3F"/>
      </w:tcPr>
    </w:tblStylePr>
    <w:tblStylePr w:type="band2Horz">
      <w:tblPr/>
      <w:tcPr>
        <w:tcBorders>
          <w:top w:val="single" w:sz="8" w:space="0" w:color="B71F7A" w:themeColor="accent4"/>
          <w:left w:val="single" w:sz="8" w:space="0" w:color="B71F7A" w:themeColor="accent4"/>
          <w:bottom w:val="single" w:sz="8" w:space="0" w:color="B71F7A" w:themeColor="accent4"/>
          <w:right w:val="single" w:sz="8" w:space="0" w:color="B71F7A" w:themeColor="accent4"/>
          <w:insideV w:val="single" w:sz="8" w:space="0" w:color="B71F7A" w:themeColor="accent4"/>
        </w:tcBorders>
      </w:tcPr>
    </w:tblStylePr>
  </w:style>
  <w:style w:type="table" w:styleId="LightGrid-Accent5">
    <w:name w:val="Light Grid Accent 5"/>
    <w:basedOn w:val="TableNormal"/>
    <w:uiPriority w:val="62"/>
    <w:semiHidden/>
    <w:unhideWhenUsed/>
    <w:rsid w:val="00CE0A7F"/>
    <w:pPr>
      <w:spacing w:before="0" w:after="0"/>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CE0A7F"/>
    <w:pPr>
      <w:spacing w:before="0" w:after="0"/>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18" w:space="0" w:color="FFC000" w:themeColor="accent6"/>
          <w:right w:val="single" w:sz="8" w:space="0" w:color="FFC000" w:themeColor="accent6"/>
          <w:insideH w:val="nil"/>
          <w:insideV w:val="single" w:sz="8" w:space="0" w:color="FFC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insideH w:val="nil"/>
          <w:insideV w:val="single" w:sz="8" w:space="0" w:color="FFC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shd w:val="clear" w:color="auto" w:fill="FFEFC0" w:themeFill="accent6" w:themeFillTint="3F"/>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shd w:val="clear" w:color="auto" w:fill="FFEFC0" w:themeFill="accent6" w:themeFillTint="3F"/>
      </w:tcPr>
    </w:tblStylePr>
    <w:tblStylePr w:type="band2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tcPr>
    </w:tblStylePr>
  </w:style>
  <w:style w:type="table" w:styleId="LightList">
    <w:name w:val="Light List"/>
    <w:basedOn w:val="TableNormal"/>
    <w:uiPriority w:val="61"/>
    <w:semiHidden/>
    <w:unhideWhenUsed/>
    <w:rsid w:val="00CE0A7F"/>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E0A7F"/>
    <w:pPr>
      <w:spacing w:before="0" w:after="0"/>
    </w:p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tblBorders>
    </w:tblPr>
    <w:tblStylePr w:type="firstRow">
      <w:pPr>
        <w:spacing w:before="0" w:after="0" w:line="240" w:lineRule="auto"/>
      </w:pPr>
      <w:rPr>
        <w:b/>
        <w:bCs/>
        <w:color w:val="FFFFFF" w:themeColor="background1"/>
      </w:rPr>
      <w:tblPr/>
      <w:tcPr>
        <w:shd w:val="clear" w:color="auto" w:fill="109146" w:themeFill="accent1"/>
      </w:tcPr>
    </w:tblStylePr>
    <w:tblStylePr w:type="lastRow">
      <w:pPr>
        <w:spacing w:before="0" w:after="0" w:line="240" w:lineRule="auto"/>
      </w:pPr>
      <w:rPr>
        <w:b/>
        <w:bCs/>
      </w:rPr>
      <w:tblPr/>
      <w:tcPr>
        <w:tcBorders>
          <w:top w:val="double" w:sz="6" w:space="0" w:color="109146" w:themeColor="accent1"/>
          <w:left w:val="single" w:sz="8" w:space="0" w:color="109146" w:themeColor="accent1"/>
          <w:bottom w:val="single" w:sz="8" w:space="0" w:color="109146" w:themeColor="accent1"/>
          <w:right w:val="single" w:sz="8" w:space="0" w:color="109146" w:themeColor="accent1"/>
        </w:tcBorders>
      </w:tcPr>
    </w:tblStylePr>
    <w:tblStylePr w:type="firstCol">
      <w:rPr>
        <w:b/>
        <w:bCs/>
      </w:rPr>
    </w:tblStylePr>
    <w:tblStylePr w:type="lastCol">
      <w:rPr>
        <w:b/>
        <w:bCs/>
      </w:rPr>
    </w:tblStylePr>
    <w:tblStylePr w:type="band1Vert">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tcPr>
    </w:tblStylePr>
    <w:tblStylePr w:type="band1Horz">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tcPr>
    </w:tblStylePr>
  </w:style>
  <w:style w:type="table" w:styleId="LightList-Accent2">
    <w:name w:val="Light List Accent 2"/>
    <w:basedOn w:val="TableNormal"/>
    <w:uiPriority w:val="61"/>
    <w:semiHidden/>
    <w:unhideWhenUsed/>
    <w:rsid w:val="00CE0A7F"/>
    <w:pPr>
      <w:spacing w:before="0" w:after="0"/>
    </w:p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tblBorders>
    </w:tblPr>
    <w:tblStylePr w:type="firstRow">
      <w:pPr>
        <w:spacing w:before="0" w:after="0" w:line="240" w:lineRule="auto"/>
      </w:pPr>
      <w:rPr>
        <w:b/>
        <w:bCs/>
        <w:color w:val="FFFFFF" w:themeColor="background1"/>
      </w:rPr>
      <w:tblPr/>
      <w:tcPr>
        <w:shd w:val="clear" w:color="auto" w:fill="16A7C4" w:themeFill="accent2"/>
      </w:tcPr>
    </w:tblStylePr>
    <w:tblStylePr w:type="lastRow">
      <w:pPr>
        <w:spacing w:before="0" w:after="0" w:line="240" w:lineRule="auto"/>
      </w:pPr>
      <w:rPr>
        <w:b/>
        <w:bCs/>
      </w:rPr>
      <w:tblPr/>
      <w:tcPr>
        <w:tcBorders>
          <w:top w:val="double" w:sz="6" w:space="0" w:color="16A7C4" w:themeColor="accent2"/>
          <w:left w:val="single" w:sz="8" w:space="0" w:color="16A7C4" w:themeColor="accent2"/>
          <w:bottom w:val="single" w:sz="8" w:space="0" w:color="16A7C4" w:themeColor="accent2"/>
          <w:right w:val="single" w:sz="8" w:space="0" w:color="16A7C4" w:themeColor="accent2"/>
        </w:tcBorders>
      </w:tcPr>
    </w:tblStylePr>
    <w:tblStylePr w:type="firstCol">
      <w:rPr>
        <w:b/>
        <w:bCs/>
      </w:rPr>
    </w:tblStylePr>
    <w:tblStylePr w:type="lastCol">
      <w:rPr>
        <w:b/>
        <w:bCs/>
      </w:rPr>
    </w:tblStylePr>
    <w:tblStylePr w:type="band1Vert">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tcPr>
    </w:tblStylePr>
    <w:tblStylePr w:type="band1Horz">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tcPr>
    </w:tblStylePr>
  </w:style>
  <w:style w:type="table" w:styleId="LightList-Accent3">
    <w:name w:val="Light List Accent 3"/>
    <w:basedOn w:val="TableNormal"/>
    <w:uiPriority w:val="61"/>
    <w:semiHidden/>
    <w:unhideWhenUsed/>
    <w:rsid w:val="00CE0A7F"/>
    <w:pPr>
      <w:spacing w:before="0" w:after="0"/>
    </w:p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tblBorders>
    </w:tblPr>
    <w:tblStylePr w:type="firstRow">
      <w:pPr>
        <w:spacing w:before="0" w:after="0" w:line="240" w:lineRule="auto"/>
      </w:pPr>
      <w:rPr>
        <w:b/>
        <w:bCs/>
        <w:color w:val="FFFFFF" w:themeColor="background1"/>
      </w:rPr>
      <w:tblPr/>
      <w:tcPr>
        <w:shd w:val="clear" w:color="auto" w:fill="C56829" w:themeFill="accent3"/>
      </w:tcPr>
    </w:tblStylePr>
    <w:tblStylePr w:type="lastRow">
      <w:pPr>
        <w:spacing w:before="0" w:after="0" w:line="240" w:lineRule="auto"/>
      </w:pPr>
      <w:rPr>
        <w:b/>
        <w:bCs/>
      </w:rPr>
      <w:tblPr/>
      <w:tcPr>
        <w:tcBorders>
          <w:top w:val="double" w:sz="6" w:space="0" w:color="C56829" w:themeColor="accent3"/>
          <w:left w:val="single" w:sz="8" w:space="0" w:color="C56829" w:themeColor="accent3"/>
          <w:bottom w:val="single" w:sz="8" w:space="0" w:color="C56829" w:themeColor="accent3"/>
          <w:right w:val="single" w:sz="8" w:space="0" w:color="C56829" w:themeColor="accent3"/>
        </w:tcBorders>
      </w:tcPr>
    </w:tblStylePr>
    <w:tblStylePr w:type="firstCol">
      <w:rPr>
        <w:b/>
        <w:bCs/>
      </w:rPr>
    </w:tblStylePr>
    <w:tblStylePr w:type="lastCol">
      <w:rPr>
        <w:b/>
        <w:bCs/>
      </w:rPr>
    </w:tblStylePr>
    <w:tblStylePr w:type="band1Vert">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tcPr>
    </w:tblStylePr>
    <w:tblStylePr w:type="band1Horz">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tcPr>
    </w:tblStylePr>
  </w:style>
  <w:style w:type="table" w:styleId="LightList-Accent4">
    <w:name w:val="Light List Accent 4"/>
    <w:basedOn w:val="TableNormal"/>
    <w:uiPriority w:val="61"/>
    <w:semiHidden/>
    <w:unhideWhenUsed/>
    <w:rsid w:val="00CE0A7F"/>
    <w:pPr>
      <w:spacing w:before="0" w:after="0"/>
    </w:p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tblBorders>
    </w:tblPr>
    <w:tblStylePr w:type="firstRow">
      <w:pPr>
        <w:spacing w:before="0" w:after="0" w:line="240" w:lineRule="auto"/>
      </w:pPr>
      <w:rPr>
        <w:b/>
        <w:bCs/>
        <w:color w:val="FFFFFF" w:themeColor="background1"/>
      </w:rPr>
      <w:tblPr/>
      <w:tcPr>
        <w:shd w:val="clear" w:color="auto" w:fill="B71F7A" w:themeFill="accent4"/>
      </w:tcPr>
    </w:tblStylePr>
    <w:tblStylePr w:type="lastRow">
      <w:pPr>
        <w:spacing w:before="0" w:after="0" w:line="240" w:lineRule="auto"/>
      </w:pPr>
      <w:rPr>
        <w:b/>
        <w:bCs/>
      </w:rPr>
      <w:tblPr/>
      <w:tcPr>
        <w:tcBorders>
          <w:top w:val="double" w:sz="6" w:space="0" w:color="B71F7A" w:themeColor="accent4"/>
          <w:left w:val="single" w:sz="8" w:space="0" w:color="B71F7A" w:themeColor="accent4"/>
          <w:bottom w:val="single" w:sz="8" w:space="0" w:color="B71F7A" w:themeColor="accent4"/>
          <w:right w:val="single" w:sz="8" w:space="0" w:color="B71F7A" w:themeColor="accent4"/>
        </w:tcBorders>
      </w:tcPr>
    </w:tblStylePr>
    <w:tblStylePr w:type="firstCol">
      <w:rPr>
        <w:b/>
        <w:bCs/>
      </w:rPr>
    </w:tblStylePr>
    <w:tblStylePr w:type="lastCol">
      <w:rPr>
        <w:b/>
        <w:bCs/>
      </w:rPr>
    </w:tblStylePr>
    <w:tblStylePr w:type="band1Vert">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tcPr>
    </w:tblStylePr>
    <w:tblStylePr w:type="band1Horz">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tcPr>
    </w:tblStylePr>
  </w:style>
  <w:style w:type="table" w:styleId="LightList-Accent5">
    <w:name w:val="Light List Accent 5"/>
    <w:basedOn w:val="TableNormal"/>
    <w:uiPriority w:val="61"/>
    <w:semiHidden/>
    <w:unhideWhenUsed/>
    <w:rsid w:val="00CE0A7F"/>
    <w:pPr>
      <w:spacing w:before="0" w:after="0"/>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CE0A7F"/>
    <w:pPr>
      <w:spacing w:before="0" w:after="0"/>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pPr>
        <w:spacing w:before="0" w:after="0" w:line="240" w:lineRule="auto"/>
      </w:pPr>
      <w:rPr>
        <w:b/>
        <w:bCs/>
        <w:color w:val="FFFFFF" w:themeColor="background1"/>
      </w:rPr>
      <w:tblPr/>
      <w:tcPr>
        <w:shd w:val="clear" w:color="auto" w:fill="FFC000" w:themeFill="accent6"/>
      </w:tcPr>
    </w:tblStylePr>
    <w:tblStylePr w:type="lastRow">
      <w:pPr>
        <w:spacing w:before="0" w:after="0" w:line="240" w:lineRule="auto"/>
      </w:pPr>
      <w:rPr>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tcBorders>
      </w:tcPr>
    </w:tblStylePr>
    <w:tblStylePr w:type="firstCol">
      <w:rPr>
        <w:b/>
        <w:bCs/>
      </w:rPr>
    </w:tblStylePr>
    <w:tblStylePr w:type="lastCol">
      <w:rPr>
        <w:b/>
        <w:bCs/>
      </w:r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style>
  <w:style w:type="table" w:styleId="LightShading-Accent1">
    <w:name w:val="Light Shading Accent 1"/>
    <w:basedOn w:val="TableNormal"/>
    <w:uiPriority w:val="60"/>
    <w:semiHidden/>
    <w:unhideWhenUsed/>
    <w:rsid w:val="00CE0A7F"/>
    <w:pPr>
      <w:spacing w:before="0" w:after="0"/>
    </w:pPr>
    <w:rPr>
      <w:color w:val="0C6C34" w:themeColor="accent1" w:themeShade="BF"/>
    </w:rPr>
    <w:tblPr>
      <w:tblStyleRowBandSize w:val="1"/>
      <w:tblStyleColBandSize w:val="1"/>
      <w:tblBorders>
        <w:top w:val="single" w:sz="8" w:space="0" w:color="109146" w:themeColor="accent1"/>
        <w:bottom w:val="single" w:sz="8" w:space="0" w:color="109146" w:themeColor="accent1"/>
      </w:tblBorders>
    </w:tblPr>
    <w:tblStylePr w:type="firstRow">
      <w:pPr>
        <w:spacing w:before="0" w:after="0" w:line="240" w:lineRule="auto"/>
      </w:pPr>
      <w:rPr>
        <w:b/>
        <w:bCs/>
      </w:rPr>
      <w:tblPr/>
      <w:tcPr>
        <w:tcBorders>
          <w:top w:val="single" w:sz="8" w:space="0" w:color="109146" w:themeColor="accent1"/>
          <w:left w:val="nil"/>
          <w:bottom w:val="single" w:sz="8" w:space="0" w:color="109146" w:themeColor="accent1"/>
          <w:right w:val="nil"/>
          <w:insideH w:val="nil"/>
          <w:insideV w:val="nil"/>
        </w:tcBorders>
      </w:tcPr>
    </w:tblStylePr>
    <w:tblStylePr w:type="lastRow">
      <w:pPr>
        <w:spacing w:before="0" w:after="0" w:line="240" w:lineRule="auto"/>
      </w:pPr>
      <w:rPr>
        <w:b/>
        <w:bCs/>
      </w:rPr>
      <w:tblPr/>
      <w:tcPr>
        <w:tcBorders>
          <w:top w:val="single" w:sz="8" w:space="0" w:color="109146" w:themeColor="accent1"/>
          <w:left w:val="nil"/>
          <w:bottom w:val="single" w:sz="8" w:space="0" w:color="10914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6CD" w:themeFill="accent1" w:themeFillTint="3F"/>
      </w:tcPr>
    </w:tblStylePr>
    <w:tblStylePr w:type="band1Horz">
      <w:tblPr/>
      <w:tcPr>
        <w:tcBorders>
          <w:left w:val="nil"/>
          <w:right w:val="nil"/>
          <w:insideH w:val="nil"/>
          <w:insideV w:val="nil"/>
        </w:tcBorders>
        <w:shd w:val="clear" w:color="auto" w:fill="B1F6CD" w:themeFill="accent1" w:themeFillTint="3F"/>
      </w:tcPr>
    </w:tblStylePr>
  </w:style>
  <w:style w:type="table" w:styleId="LightShading-Accent2">
    <w:name w:val="Light Shading Accent 2"/>
    <w:basedOn w:val="TableNormal"/>
    <w:uiPriority w:val="60"/>
    <w:semiHidden/>
    <w:unhideWhenUsed/>
    <w:rsid w:val="00CE0A7F"/>
    <w:pPr>
      <w:spacing w:before="0" w:after="0"/>
    </w:pPr>
    <w:rPr>
      <w:color w:val="107C92" w:themeColor="accent2" w:themeShade="BF"/>
    </w:rPr>
    <w:tblPr>
      <w:tblStyleRowBandSize w:val="1"/>
      <w:tblStyleColBandSize w:val="1"/>
      <w:tblBorders>
        <w:top w:val="single" w:sz="8" w:space="0" w:color="16A7C4" w:themeColor="accent2"/>
        <w:bottom w:val="single" w:sz="8" w:space="0" w:color="16A7C4" w:themeColor="accent2"/>
      </w:tblBorders>
    </w:tblPr>
    <w:tblStylePr w:type="firstRow">
      <w:pPr>
        <w:spacing w:before="0" w:after="0" w:line="240" w:lineRule="auto"/>
      </w:pPr>
      <w:rPr>
        <w:b/>
        <w:bCs/>
      </w:rPr>
      <w:tblPr/>
      <w:tcPr>
        <w:tcBorders>
          <w:top w:val="single" w:sz="8" w:space="0" w:color="16A7C4" w:themeColor="accent2"/>
          <w:left w:val="nil"/>
          <w:bottom w:val="single" w:sz="8" w:space="0" w:color="16A7C4" w:themeColor="accent2"/>
          <w:right w:val="nil"/>
          <w:insideH w:val="nil"/>
          <w:insideV w:val="nil"/>
        </w:tcBorders>
      </w:tcPr>
    </w:tblStylePr>
    <w:tblStylePr w:type="lastRow">
      <w:pPr>
        <w:spacing w:before="0" w:after="0" w:line="240" w:lineRule="auto"/>
      </w:pPr>
      <w:rPr>
        <w:b/>
        <w:bCs/>
      </w:rPr>
      <w:tblPr/>
      <w:tcPr>
        <w:tcBorders>
          <w:top w:val="single" w:sz="8" w:space="0" w:color="16A7C4" w:themeColor="accent2"/>
          <w:left w:val="nil"/>
          <w:bottom w:val="single" w:sz="8" w:space="0" w:color="16A7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EF7" w:themeFill="accent2" w:themeFillTint="3F"/>
      </w:tcPr>
    </w:tblStylePr>
    <w:tblStylePr w:type="band1Horz">
      <w:tblPr/>
      <w:tcPr>
        <w:tcBorders>
          <w:left w:val="nil"/>
          <w:right w:val="nil"/>
          <w:insideH w:val="nil"/>
          <w:insideV w:val="nil"/>
        </w:tcBorders>
        <w:shd w:val="clear" w:color="auto" w:fill="BDEEF7" w:themeFill="accent2" w:themeFillTint="3F"/>
      </w:tcPr>
    </w:tblStylePr>
  </w:style>
  <w:style w:type="table" w:styleId="LightShading-Accent3">
    <w:name w:val="Light Shading Accent 3"/>
    <w:basedOn w:val="TableNormal"/>
    <w:uiPriority w:val="60"/>
    <w:semiHidden/>
    <w:unhideWhenUsed/>
    <w:rsid w:val="00CE0A7F"/>
    <w:pPr>
      <w:spacing w:before="0" w:after="0"/>
    </w:pPr>
    <w:rPr>
      <w:color w:val="934D1E" w:themeColor="accent3" w:themeShade="BF"/>
    </w:rPr>
    <w:tblPr>
      <w:tblStyleRowBandSize w:val="1"/>
      <w:tblStyleColBandSize w:val="1"/>
      <w:tblBorders>
        <w:top w:val="single" w:sz="8" w:space="0" w:color="C56829" w:themeColor="accent3"/>
        <w:bottom w:val="single" w:sz="8" w:space="0" w:color="C56829" w:themeColor="accent3"/>
      </w:tblBorders>
    </w:tblPr>
    <w:tblStylePr w:type="firstRow">
      <w:pPr>
        <w:spacing w:before="0" w:after="0" w:line="240" w:lineRule="auto"/>
      </w:pPr>
      <w:rPr>
        <w:b/>
        <w:bCs/>
      </w:rPr>
      <w:tblPr/>
      <w:tcPr>
        <w:tcBorders>
          <w:top w:val="single" w:sz="8" w:space="0" w:color="C56829" w:themeColor="accent3"/>
          <w:left w:val="nil"/>
          <w:bottom w:val="single" w:sz="8" w:space="0" w:color="C56829" w:themeColor="accent3"/>
          <w:right w:val="nil"/>
          <w:insideH w:val="nil"/>
          <w:insideV w:val="nil"/>
        </w:tcBorders>
      </w:tcPr>
    </w:tblStylePr>
    <w:tblStylePr w:type="lastRow">
      <w:pPr>
        <w:spacing w:before="0" w:after="0" w:line="240" w:lineRule="auto"/>
      </w:pPr>
      <w:rPr>
        <w:b/>
        <w:bCs/>
      </w:rPr>
      <w:tblPr/>
      <w:tcPr>
        <w:tcBorders>
          <w:top w:val="single" w:sz="8" w:space="0" w:color="C56829" w:themeColor="accent3"/>
          <w:left w:val="nil"/>
          <w:bottom w:val="single" w:sz="8" w:space="0" w:color="C568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8C7" w:themeFill="accent3" w:themeFillTint="3F"/>
      </w:tcPr>
    </w:tblStylePr>
    <w:tblStylePr w:type="band1Horz">
      <w:tblPr/>
      <w:tcPr>
        <w:tcBorders>
          <w:left w:val="nil"/>
          <w:right w:val="nil"/>
          <w:insideH w:val="nil"/>
          <w:insideV w:val="nil"/>
        </w:tcBorders>
        <w:shd w:val="clear" w:color="auto" w:fill="F3D8C7" w:themeFill="accent3" w:themeFillTint="3F"/>
      </w:tcPr>
    </w:tblStylePr>
  </w:style>
  <w:style w:type="table" w:styleId="LightShading-Accent4">
    <w:name w:val="Light Shading Accent 4"/>
    <w:basedOn w:val="TableNormal"/>
    <w:uiPriority w:val="60"/>
    <w:semiHidden/>
    <w:unhideWhenUsed/>
    <w:rsid w:val="00CE0A7F"/>
    <w:pPr>
      <w:spacing w:before="0" w:after="0"/>
    </w:pPr>
    <w:rPr>
      <w:color w:val="88175A" w:themeColor="accent4" w:themeShade="BF"/>
    </w:rPr>
    <w:tblPr>
      <w:tblStyleRowBandSize w:val="1"/>
      <w:tblStyleColBandSize w:val="1"/>
      <w:tblBorders>
        <w:top w:val="single" w:sz="8" w:space="0" w:color="B71F7A" w:themeColor="accent4"/>
        <w:bottom w:val="single" w:sz="8" w:space="0" w:color="B71F7A" w:themeColor="accent4"/>
      </w:tblBorders>
    </w:tblPr>
    <w:tblStylePr w:type="firstRow">
      <w:pPr>
        <w:spacing w:before="0" w:after="0" w:line="240" w:lineRule="auto"/>
      </w:pPr>
      <w:rPr>
        <w:b/>
        <w:bCs/>
      </w:rPr>
      <w:tblPr/>
      <w:tcPr>
        <w:tcBorders>
          <w:top w:val="single" w:sz="8" w:space="0" w:color="B71F7A" w:themeColor="accent4"/>
          <w:left w:val="nil"/>
          <w:bottom w:val="single" w:sz="8" w:space="0" w:color="B71F7A" w:themeColor="accent4"/>
          <w:right w:val="nil"/>
          <w:insideH w:val="nil"/>
          <w:insideV w:val="nil"/>
        </w:tcBorders>
      </w:tcPr>
    </w:tblStylePr>
    <w:tblStylePr w:type="lastRow">
      <w:pPr>
        <w:spacing w:before="0" w:after="0" w:line="240" w:lineRule="auto"/>
      </w:pPr>
      <w:rPr>
        <w:b/>
        <w:bCs/>
      </w:rPr>
      <w:tblPr/>
      <w:tcPr>
        <w:tcBorders>
          <w:top w:val="single" w:sz="8" w:space="0" w:color="B71F7A" w:themeColor="accent4"/>
          <w:left w:val="nil"/>
          <w:bottom w:val="single" w:sz="8" w:space="0" w:color="B71F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0DF" w:themeFill="accent4" w:themeFillTint="3F"/>
      </w:tcPr>
    </w:tblStylePr>
    <w:tblStylePr w:type="band1Horz">
      <w:tblPr/>
      <w:tcPr>
        <w:tcBorders>
          <w:left w:val="nil"/>
          <w:right w:val="nil"/>
          <w:insideH w:val="nil"/>
          <w:insideV w:val="nil"/>
        </w:tcBorders>
        <w:shd w:val="clear" w:color="auto" w:fill="F4C0DF" w:themeFill="accent4" w:themeFillTint="3F"/>
      </w:tcPr>
    </w:tblStylePr>
  </w:style>
  <w:style w:type="table" w:styleId="ListTable1Light">
    <w:name w:val="List Table 1 Light"/>
    <w:basedOn w:val="TableNormal"/>
    <w:uiPriority w:val="46"/>
    <w:rsid w:val="00CE0A7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E0A7F"/>
    <w:pPr>
      <w:spacing w:after="0"/>
    </w:pPr>
    <w:tblPr>
      <w:tblStyleRowBandSize w:val="1"/>
      <w:tblStyleColBandSize w:val="1"/>
    </w:tblPr>
    <w:tblStylePr w:type="firstRow">
      <w:rPr>
        <w:b/>
        <w:bCs/>
      </w:rPr>
      <w:tblPr/>
      <w:tcPr>
        <w:tcBorders>
          <w:bottom w:val="single" w:sz="4" w:space="0" w:color="42EA88" w:themeColor="accent1" w:themeTint="99"/>
        </w:tcBorders>
      </w:tcPr>
    </w:tblStylePr>
    <w:tblStylePr w:type="lastRow">
      <w:rPr>
        <w:b/>
        <w:bCs/>
      </w:rPr>
      <w:tblPr/>
      <w:tcPr>
        <w:tcBorders>
          <w:top w:val="single" w:sz="4" w:space="0" w:color="42EA88" w:themeColor="accent1" w:themeTint="99"/>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1Light-Accent2">
    <w:name w:val="List Table 1 Light Accent 2"/>
    <w:basedOn w:val="TableNormal"/>
    <w:uiPriority w:val="46"/>
    <w:rsid w:val="00CE0A7F"/>
    <w:pPr>
      <w:spacing w:after="0"/>
    </w:pPr>
    <w:tblPr>
      <w:tblStyleRowBandSize w:val="1"/>
      <w:tblStyleColBandSize w:val="1"/>
    </w:tblPr>
    <w:tblStylePr w:type="firstRow">
      <w:rPr>
        <w:b/>
        <w:bCs/>
      </w:rPr>
      <w:tblPr/>
      <w:tcPr>
        <w:tcBorders>
          <w:bottom w:val="single" w:sz="4" w:space="0" w:color="61D5ED" w:themeColor="accent2" w:themeTint="99"/>
        </w:tcBorders>
      </w:tcPr>
    </w:tblStylePr>
    <w:tblStylePr w:type="lastRow">
      <w:rPr>
        <w:b/>
        <w:bCs/>
      </w:rPr>
      <w:tblPr/>
      <w:tcPr>
        <w:tcBorders>
          <w:top w:val="single" w:sz="4" w:space="0" w:color="61D5ED" w:themeColor="accent2" w:themeTint="99"/>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ListTable1Light-Accent3">
    <w:name w:val="List Table 1 Light Accent 3"/>
    <w:basedOn w:val="TableNormal"/>
    <w:uiPriority w:val="46"/>
    <w:rsid w:val="00CE0A7F"/>
    <w:pPr>
      <w:spacing w:after="0"/>
    </w:pPr>
    <w:tblPr>
      <w:tblStyleRowBandSize w:val="1"/>
      <w:tblStyleColBandSize w:val="1"/>
    </w:tblPr>
    <w:tblStylePr w:type="firstRow">
      <w:rPr>
        <w:b/>
        <w:bCs/>
      </w:rPr>
      <w:tblPr/>
      <w:tcPr>
        <w:tcBorders>
          <w:bottom w:val="single" w:sz="4" w:space="0" w:color="E2A277" w:themeColor="accent3" w:themeTint="99"/>
        </w:tcBorders>
      </w:tcPr>
    </w:tblStylePr>
    <w:tblStylePr w:type="lastRow">
      <w:rPr>
        <w:b/>
        <w:bCs/>
      </w:rPr>
      <w:tblPr/>
      <w:tcPr>
        <w:tcBorders>
          <w:top w:val="single" w:sz="4" w:space="0" w:color="E2A277" w:themeColor="accent3" w:themeTint="99"/>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1Light-Accent4">
    <w:name w:val="List Table 1 Light Accent 4"/>
    <w:basedOn w:val="TableNormal"/>
    <w:uiPriority w:val="46"/>
    <w:rsid w:val="00CE0A7F"/>
    <w:pPr>
      <w:spacing w:after="0"/>
    </w:pPr>
    <w:tblPr>
      <w:tblStyleRowBandSize w:val="1"/>
      <w:tblStyleColBandSize w:val="1"/>
    </w:tblPr>
    <w:tblStylePr w:type="firstRow">
      <w:rPr>
        <w:b/>
        <w:bCs/>
      </w:rPr>
      <w:tblPr/>
      <w:tcPr>
        <w:tcBorders>
          <w:bottom w:val="single" w:sz="4" w:space="0" w:color="E567B2" w:themeColor="accent4" w:themeTint="99"/>
        </w:tcBorders>
      </w:tcPr>
    </w:tblStylePr>
    <w:tblStylePr w:type="lastRow">
      <w:rPr>
        <w:b/>
        <w:bCs/>
      </w:rPr>
      <w:tblPr/>
      <w:tcPr>
        <w:tcBorders>
          <w:top w:val="single" w:sz="4" w:space="0" w:color="E567B2" w:themeColor="accent4" w:themeTint="99"/>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1Light-Accent5">
    <w:name w:val="List Table 1 Light Accent 5"/>
    <w:basedOn w:val="TableNormal"/>
    <w:uiPriority w:val="46"/>
    <w:rsid w:val="00CE0A7F"/>
    <w:pPr>
      <w:spacing w:after="0"/>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1Light-Accent6">
    <w:name w:val="List Table 1 Light Accent 6"/>
    <w:basedOn w:val="TableNormal"/>
    <w:uiPriority w:val="46"/>
    <w:rsid w:val="00CE0A7F"/>
    <w:pPr>
      <w:spacing w:after="0"/>
    </w:pPr>
    <w:tblPr>
      <w:tblStyleRowBandSize w:val="1"/>
      <w:tblStyleColBandSize w:val="1"/>
    </w:tblPr>
    <w:tblStylePr w:type="firstRow">
      <w:rPr>
        <w:b/>
        <w:bCs/>
      </w:rPr>
      <w:tblPr/>
      <w:tcPr>
        <w:tcBorders>
          <w:bottom w:val="single" w:sz="4" w:space="0" w:color="FFD966" w:themeColor="accent6" w:themeTint="99"/>
        </w:tcBorders>
      </w:tcPr>
    </w:tblStylePr>
    <w:tblStylePr w:type="lastRow">
      <w:rPr>
        <w:b/>
        <w:bCs/>
      </w:rPr>
      <w:tblPr/>
      <w:tcPr>
        <w:tcBorders>
          <w:top w:val="sing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2">
    <w:name w:val="List Table 2"/>
    <w:basedOn w:val="TableNormal"/>
    <w:uiPriority w:val="47"/>
    <w:rsid w:val="00CE0A7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E0A7F"/>
    <w:pPr>
      <w:spacing w:after="0"/>
    </w:pPr>
    <w:tblPr>
      <w:tblStyleRowBandSize w:val="1"/>
      <w:tblStyleColBandSize w:val="1"/>
      <w:tblBorders>
        <w:top w:val="single" w:sz="4" w:space="0" w:color="42EA88" w:themeColor="accent1" w:themeTint="99"/>
        <w:bottom w:val="single" w:sz="4" w:space="0" w:color="42EA88" w:themeColor="accent1" w:themeTint="99"/>
        <w:insideH w:val="single" w:sz="4" w:space="0" w:color="42E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2-Accent3">
    <w:name w:val="List Table 2 Accent 3"/>
    <w:basedOn w:val="TableNormal"/>
    <w:uiPriority w:val="47"/>
    <w:rsid w:val="00CE0A7F"/>
    <w:pPr>
      <w:spacing w:after="0"/>
    </w:pPr>
    <w:tblPr>
      <w:tblStyleRowBandSize w:val="1"/>
      <w:tblStyleColBandSize w:val="1"/>
      <w:tblBorders>
        <w:top w:val="single" w:sz="4" w:space="0" w:color="E2A277" w:themeColor="accent3" w:themeTint="99"/>
        <w:bottom w:val="single" w:sz="4" w:space="0" w:color="E2A277" w:themeColor="accent3" w:themeTint="99"/>
        <w:insideH w:val="single" w:sz="4" w:space="0" w:color="E2A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2-Accent4">
    <w:name w:val="List Table 2 Accent 4"/>
    <w:basedOn w:val="TableNormal"/>
    <w:uiPriority w:val="47"/>
    <w:rsid w:val="00CE0A7F"/>
    <w:pPr>
      <w:spacing w:after="0"/>
    </w:pPr>
    <w:tblPr>
      <w:tblStyleRowBandSize w:val="1"/>
      <w:tblStyleColBandSize w:val="1"/>
      <w:tblBorders>
        <w:top w:val="single" w:sz="4" w:space="0" w:color="E567B2" w:themeColor="accent4" w:themeTint="99"/>
        <w:bottom w:val="single" w:sz="4" w:space="0" w:color="E567B2" w:themeColor="accent4" w:themeTint="99"/>
        <w:insideH w:val="single" w:sz="4" w:space="0" w:color="E567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2-Accent5">
    <w:name w:val="List Table 2 Accent 5"/>
    <w:basedOn w:val="TableNormal"/>
    <w:uiPriority w:val="47"/>
    <w:rsid w:val="00CE0A7F"/>
    <w:pPr>
      <w:spacing w:after="0"/>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2-Accent6">
    <w:name w:val="List Table 2 Accent 6"/>
    <w:basedOn w:val="TableNormal"/>
    <w:uiPriority w:val="47"/>
    <w:rsid w:val="00CE0A7F"/>
    <w:pPr>
      <w:spacing w:after="0"/>
    </w:pPr>
    <w:tblPr>
      <w:tblStyleRowBandSize w:val="1"/>
      <w:tblStyleColBandSize w:val="1"/>
      <w:tblBorders>
        <w:top w:val="single" w:sz="4" w:space="0" w:color="FFD966" w:themeColor="accent6" w:themeTint="99"/>
        <w:bottom w:val="single" w:sz="4" w:space="0" w:color="FFD966" w:themeColor="accent6" w:themeTint="99"/>
        <w:insideH w:val="single" w:sz="4" w:space="0" w:color="FFD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3">
    <w:name w:val="List Table 3"/>
    <w:basedOn w:val="TableNormal"/>
    <w:uiPriority w:val="48"/>
    <w:rsid w:val="00CE0A7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E0A7F"/>
    <w:pPr>
      <w:spacing w:after="0"/>
    </w:pPr>
    <w:tblPr>
      <w:tblStyleRowBandSize w:val="1"/>
      <w:tblStyleColBandSize w:val="1"/>
      <w:tblBorders>
        <w:top w:val="single" w:sz="4" w:space="0" w:color="109146" w:themeColor="accent1"/>
        <w:left w:val="single" w:sz="4" w:space="0" w:color="109146" w:themeColor="accent1"/>
        <w:bottom w:val="single" w:sz="4" w:space="0" w:color="109146" w:themeColor="accent1"/>
        <w:right w:val="single" w:sz="4" w:space="0" w:color="109146" w:themeColor="accent1"/>
      </w:tblBorders>
    </w:tblPr>
    <w:tblStylePr w:type="firstRow">
      <w:rPr>
        <w:b/>
        <w:bCs/>
        <w:color w:val="FFFFFF" w:themeColor="background1"/>
      </w:rPr>
      <w:tblPr/>
      <w:tcPr>
        <w:shd w:val="clear" w:color="auto" w:fill="109146" w:themeFill="accent1"/>
      </w:tcPr>
    </w:tblStylePr>
    <w:tblStylePr w:type="lastRow">
      <w:rPr>
        <w:b/>
        <w:bCs/>
      </w:rPr>
      <w:tblPr/>
      <w:tcPr>
        <w:tcBorders>
          <w:top w:val="double" w:sz="4" w:space="0" w:color="1091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9146" w:themeColor="accent1"/>
          <w:right w:val="single" w:sz="4" w:space="0" w:color="109146" w:themeColor="accent1"/>
        </w:tcBorders>
      </w:tcPr>
    </w:tblStylePr>
    <w:tblStylePr w:type="band1Horz">
      <w:tblPr/>
      <w:tcPr>
        <w:tcBorders>
          <w:top w:val="single" w:sz="4" w:space="0" w:color="109146" w:themeColor="accent1"/>
          <w:bottom w:val="single" w:sz="4" w:space="0" w:color="1091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9146" w:themeColor="accent1"/>
          <w:left w:val="nil"/>
        </w:tcBorders>
      </w:tcPr>
    </w:tblStylePr>
    <w:tblStylePr w:type="swCell">
      <w:tblPr/>
      <w:tcPr>
        <w:tcBorders>
          <w:top w:val="double" w:sz="4" w:space="0" w:color="109146" w:themeColor="accent1"/>
          <w:right w:val="nil"/>
        </w:tcBorders>
      </w:tcPr>
    </w:tblStylePr>
  </w:style>
  <w:style w:type="table" w:styleId="ListTable3-Accent2">
    <w:name w:val="List Table 3 Accent 2"/>
    <w:basedOn w:val="TableNormal"/>
    <w:uiPriority w:val="48"/>
    <w:rsid w:val="00CE0A7F"/>
    <w:pPr>
      <w:spacing w:after="0"/>
    </w:pPr>
    <w:tblPr>
      <w:tblStyleRowBandSize w:val="1"/>
      <w:tblStyleColBandSize w:val="1"/>
      <w:tblBorders>
        <w:top w:val="single" w:sz="4" w:space="0" w:color="16A7C4" w:themeColor="accent2"/>
        <w:left w:val="single" w:sz="4" w:space="0" w:color="16A7C4" w:themeColor="accent2"/>
        <w:bottom w:val="single" w:sz="4" w:space="0" w:color="16A7C4" w:themeColor="accent2"/>
        <w:right w:val="single" w:sz="4" w:space="0" w:color="16A7C4" w:themeColor="accent2"/>
      </w:tblBorders>
    </w:tblPr>
    <w:tblStylePr w:type="firstRow">
      <w:rPr>
        <w:b/>
        <w:bCs/>
        <w:color w:val="FFFFFF" w:themeColor="background1"/>
      </w:rPr>
      <w:tblPr/>
      <w:tcPr>
        <w:shd w:val="clear" w:color="auto" w:fill="16A7C4" w:themeFill="accent2"/>
      </w:tcPr>
    </w:tblStylePr>
    <w:tblStylePr w:type="lastRow">
      <w:rPr>
        <w:b/>
        <w:bCs/>
      </w:rPr>
      <w:tblPr/>
      <w:tcPr>
        <w:tcBorders>
          <w:top w:val="double" w:sz="4" w:space="0" w:color="16A7C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A7C4" w:themeColor="accent2"/>
          <w:right w:val="single" w:sz="4" w:space="0" w:color="16A7C4" w:themeColor="accent2"/>
        </w:tcBorders>
      </w:tcPr>
    </w:tblStylePr>
    <w:tblStylePr w:type="band1Horz">
      <w:tblPr/>
      <w:tcPr>
        <w:tcBorders>
          <w:top w:val="single" w:sz="4" w:space="0" w:color="16A7C4" w:themeColor="accent2"/>
          <w:bottom w:val="single" w:sz="4" w:space="0" w:color="16A7C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A7C4" w:themeColor="accent2"/>
          <w:left w:val="nil"/>
        </w:tcBorders>
      </w:tcPr>
    </w:tblStylePr>
    <w:tblStylePr w:type="swCell">
      <w:tblPr/>
      <w:tcPr>
        <w:tcBorders>
          <w:top w:val="double" w:sz="4" w:space="0" w:color="16A7C4" w:themeColor="accent2"/>
          <w:right w:val="nil"/>
        </w:tcBorders>
      </w:tcPr>
    </w:tblStylePr>
  </w:style>
  <w:style w:type="table" w:styleId="ListTable3-Accent3">
    <w:name w:val="List Table 3 Accent 3"/>
    <w:basedOn w:val="TableNormal"/>
    <w:uiPriority w:val="48"/>
    <w:rsid w:val="00CE0A7F"/>
    <w:pPr>
      <w:spacing w:after="0"/>
    </w:pPr>
    <w:tblPr>
      <w:tblStyleRowBandSize w:val="1"/>
      <w:tblStyleColBandSize w:val="1"/>
      <w:tblBorders>
        <w:top w:val="single" w:sz="4" w:space="0" w:color="C56829" w:themeColor="accent3"/>
        <w:left w:val="single" w:sz="4" w:space="0" w:color="C56829" w:themeColor="accent3"/>
        <w:bottom w:val="single" w:sz="4" w:space="0" w:color="C56829" w:themeColor="accent3"/>
        <w:right w:val="single" w:sz="4" w:space="0" w:color="C56829" w:themeColor="accent3"/>
      </w:tblBorders>
    </w:tblPr>
    <w:tblStylePr w:type="firstRow">
      <w:rPr>
        <w:b/>
        <w:bCs/>
        <w:color w:val="FFFFFF" w:themeColor="background1"/>
      </w:rPr>
      <w:tblPr/>
      <w:tcPr>
        <w:shd w:val="clear" w:color="auto" w:fill="C56829" w:themeFill="accent3"/>
      </w:tcPr>
    </w:tblStylePr>
    <w:tblStylePr w:type="lastRow">
      <w:rPr>
        <w:b/>
        <w:bCs/>
      </w:rPr>
      <w:tblPr/>
      <w:tcPr>
        <w:tcBorders>
          <w:top w:val="double" w:sz="4" w:space="0" w:color="C568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6829" w:themeColor="accent3"/>
          <w:right w:val="single" w:sz="4" w:space="0" w:color="C56829" w:themeColor="accent3"/>
        </w:tcBorders>
      </w:tcPr>
    </w:tblStylePr>
    <w:tblStylePr w:type="band1Horz">
      <w:tblPr/>
      <w:tcPr>
        <w:tcBorders>
          <w:top w:val="single" w:sz="4" w:space="0" w:color="C56829" w:themeColor="accent3"/>
          <w:bottom w:val="single" w:sz="4" w:space="0" w:color="C568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6829" w:themeColor="accent3"/>
          <w:left w:val="nil"/>
        </w:tcBorders>
      </w:tcPr>
    </w:tblStylePr>
    <w:tblStylePr w:type="swCell">
      <w:tblPr/>
      <w:tcPr>
        <w:tcBorders>
          <w:top w:val="double" w:sz="4" w:space="0" w:color="C56829" w:themeColor="accent3"/>
          <w:right w:val="nil"/>
        </w:tcBorders>
      </w:tcPr>
    </w:tblStylePr>
  </w:style>
  <w:style w:type="table" w:styleId="ListTable3-Accent4">
    <w:name w:val="List Table 3 Accent 4"/>
    <w:basedOn w:val="TableNormal"/>
    <w:uiPriority w:val="48"/>
    <w:rsid w:val="00CE0A7F"/>
    <w:pPr>
      <w:spacing w:after="0"/>
    </w:pPr>
    <w:tblPr>
      <w:tblStyleRowBandSize w:val="1"/>
      <w:tblStyleColBandSize w:val="1"/>
      <w:tblBorders>
        <w:top w:val="single" w:sz="4" w:space="0" w:color="B71F7A" w:themeColor="accent4"/>
        <w:left w:val="single" w:sz="4" w:space="0" w:color="B71F7A" w:themeColor="accent4"/>
        <w:bottom w:val="single" w:sz="4" w:space="0" w:color="B71F7A" w:themeColor="accent4"/>
        <w:right w:val="single" w:sz="4" w:space="0" w:color="B71F7A" w:themeColor="accent4"/>
      </w:tblBorders>
    </w:tblPr>
    <w:tblStylePr w:type="firstRow">
      <w:rPr>
        <w:b/>
        <w:bCs/>
        <w:color w:val="FFFFFF" w:themeColor="background1"/>
      </w:rPr>
      <w:tblPr/>
      <w:tcPr>
        <w:shd w:val="clear" w:color="auto" w:fill="B71F7A" w:themeFill="accent4"/>
      </w:tcPr>
    </w:tblStylePr>
    <w:tblStylePr w:type="lastRow">
      <w:rPr>
        <w:b/>
        <w:bCs/>
      </w:rPr>
      <w:tblPr/>
      <w:tcPr>
        <w:tcBorders>
          <w:top w:val="double" w:sz="4" w:space="0" w:color="B71F7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1F7A" w:themeColor="accent4"/>
          <w:right w:val="single" w:sz="4" w:space="0" w:color="B71F7A" w:themeColor="accent4"/>
        </w:tcBorders>
      </w:tcPr>
    </w:tblStylePr>
    <w:tblStylePr w:type="band1Horz">
      <w:tblPr/>
      <w:tcPr>
        <w:tcBorders>
          <w:top w:val="single" w:sz="4" w:space="0" w:color="B71F7A" w:themeColor="accent4"/>
          <w:bottom w:val="single" w:sz="4" w:space="0" w:color="B71F7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1F7A" w:themeColor="accent4"/>
          <w:left w:val="nil"/>
        </w:tcBorders>
      </w:tcPr>
    </w:tblStylePr>
    <w:tblStylePr w:type="swCell">
      <w:tblPr/>
      <w:tcPr>
        <w:tcBorders>
          <w:top w:val="double" w:sz="4" w:space="0" w:color="B71F7A" w:themeColor="accent4"/>
          <w:right w:val="nil"/>
        </w:tcBorders>
      </w:tcPr>
    </w:tblStylePr>
  </w:style>
  <w:style w:type="table" w:styleId="ListTable3-Accent5">
    <w:name w:val="List Table 3 Accent 5"/>
    <w:basedOn w:val="TableNormal"/>
    <w:uiPriority w:val="48"/>
    <w:rsid w:val="00CE0A7F"/>
    <w:pPr>
      <w:spacing w:after="0"/>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styleId="ListTable3-Accent6">
    <w:name w:val="List Table 3 Accent 6"/>
    <w:basedOn w:val="TableNormal"/>
    <w:uiPriority w:val="48"/>
    <w:rsid w:val="00CE0A7F"/>
    <w:pPr>
      <w:spacing w:after="0"/>
    </w:pPr>
    <w:tblPr>
      <w:tblStyleRowBandSize w:val="1"/>
      <w:tblStyleColBandSize w:val="1"/>
      <w:tblBorders>
        <w:top w:val="single" w:sz="4" w:space="0" w:color="FFC000" w:themeColor="accent6"/>
        <w:left w:val="single" w:sz="4" w:space="0" w:color="FFC000" w:themeColor="accent6"/>
        <w:bottom w:val="single" w:sz="4" w:space="0" w:color="FFC000" w:themeColor="accent6"/>
        <w:right w:val="single" w:sz="4" w:space="0" w:color="FFC000" w:themeColor="accent6"/>
      </w:tblBorders>
    </w:tblPr>
    <w:tblStylePr w:type="firstRow">
      <w:rPr>
        <w:b/>
        <w:bCs/>
        <w:color w:val="FFFFFF" w:themeColor="background1"/>
      </w:rPr>
      <w:tblPr/>
      <w:tcPr>
        <w:shd w:val="clear" w:color="auto" w:fill="FFC000" w:themeFill="accent6"/>
      </w:tcPr>
    </w:tblStylePr>
    <w:tblStylePr w:type="lastRow">
      <w:rPr>
        <w:b/>
        <w:bCs/>
      </w:rPr>
      <w:tblPr/>
      <w:tcPr>
        <w:tcBorders>
          <w:top w:val="double" w:sz="4" w:space="0" w:color="FFC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6"/>
          <w:right w:val="single" w:sz="4" w:space="0" w:color="FFC000" w:themeColor="accent6"/>
        </w:tcBorders>
      </w:tcPr>
    </w:tblStylePr>
    <w:tblStylePr w:type="band1Horz">
      <w:tblPr/>
      <w:tcPr>
        <w:tcBorders>
          <w:top w:val="single" w:sz="4" w:space="0" w:color="FFC000" w:themeColor="accent6"/>
          <w:bottom w:val="single" w:sz="4" w:space="0" w:color="FFC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6"/>
          <w:left w:val="nil"/>
        </w:tcBorders>
      </w:tcPr>
    </w:tblStylePr>
    <w:tblStylePr w:type="swCell">
      <w:tblPr/>
      <w:tcPr>
        <w:tcBorders>
          <w:top w:val="double" w:sz="4" w:space="0" w:color="FFC000" w:themeColor="accent6"/>
          <w:right w:val="nil"/>
        </w:tcBorders>
      </w:tcPr>
    </w:tblStylePr>
  </w:style>
  <w:style w:type="table" w:styleId="ListTable4">
    <w:name w:val="List Table 4"/>
    <w:basedOn w:val="TableNormal"/>
    <w:uiPriority w:val="49"/>
    <w:rsid w:val="00CE0A7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E0A7F"/>
    <w:pPr>
      <w:spacing w:after="0"/>
    </w:p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tblBorders>
    </w:tblPr>
    <w:tblStylePr w:type="firstRow">
      <w:rPr>
        <w:b/>
        <w:bCs/>
        <w:color w:val="FFFFFF" w:themeColor="background1"/>
      </w:rPr>
      <w:tblPr/>
      <w:tcPr>
        <w:tcBorders>
          <w:top w:val="single" w:sz="4" w:space="0" w:color="109146" w:themeColor="accent1"/>
          <w:left w:val="single" w:sz="4" w:space="0" w:color="109146" w:themeColor="accent1"/>
          <w:bottom w:val="single" w:sz="4" w:space="0" w:color="109146" w:themeColor="accent1"/>
          <w:right w:val="single" w:sz="4" w:space="0" w:color="109146" w:themeColor="accent1"/>
          <w:insideH w:val="nil"/>
        </w:tcBorders>
        <w:shd w:val="clear" w:color="auto" w:fill="109146" w:themeFill="accent1"/>
      </w:tcPr>
    </w:tblStylePr>
    <w:tblStylePr w:type="lastRow">
      <w:rPr>
        <w:b/>
        <w:bCs/>
      </w:rPr>
      <w:tblPr/>
      <w:tcPr>
        <w:tcBorders>
          <w:top w:val="double" w:sz="4" w:space="0" w:color="42EA88" w:themeColor="accent1" w:themeTint="99"/>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4-Accent2">
    <w:name w:val="List Table 4 Accent 2"/>
    <w:basedOn w:val="TableNormal"/>
    <w:uiPriority w:val="49"/>
    <w:rsid w:val="00CE0A7F"/>
    <w:pPr>
      <w:spacing w:after="0"/>
    </w:p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tblBorders>
    </w:tblPr>
    <w:tblStylePr w:type="firstRow">
      <w:rPr>
        <w:b/>
        <w:bCs/>
        <w:color w:val="FFFFFF" w:themeColor="background1"/>
      </w:rPr>
      <w:tblPr/>
      <w:tcPr>
        <w:tcBorders>
          <w:top w:val="single" w:sz="4" w:space="0" w:color="16A7C4" w:themeColor="accent2"/>
          <w:left w:val="single" w:sz="4" w:space="0" w:color="16A7C4" w:themeColor="accent2"/>
          <w:bottom w:val="single" w:sz="4" w:space="0" w:color="16A7C4" w:themeColor="accent2"/>
          <w:right w:val="single" w:sz="4" w:space="0" w:color="16A7C4" w:themeColor="accent2"/>
          <w:insideH w:val="nil"/>
        </w:tcBorders>
        <w:shd w:val="clear" w:color="auto" w:fill="16A7C4" w:themeFill="accent2"/>
      </w:tcPr>
    </w:tblStylePr>
    <w:tblStylePr w:type="lastRow">
      <w:rPr>
        <w:b/>
        <w:bCs/>
      </w:rPr>
      <w:tblPr/>
      <w:tcPr>
        <w:tcBorders>
          <w:top w:val="double" w:sz="4" w:space="0" w:color="61D5ED" w:themeColor="accent2" w:themeTint="99"/>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ListTable4-Accent3">
    <w:name w:val="List Table 4 Accent 3"/>
    <w:basedOn w:val="TableNormal"/>
    <w:uiPriority w:val="49"/>
    <w:rsid w:val="00CE0A7F"/>
    <w:pPr>
      <w:spacing w:after="0"/>
    </w:p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tblBorders>
    </w:tblPr>
    <w:tblStylePr w:type="firstRow">
      <w:rPr>
        <w:b/>
        <w:bCs/>
        <w:color w:val="FFFFFF" w:themeColor="background1"/>
      </w:rPr>
      <w:tblPr/>
      <w:tcPr>
        <w:tcBorders>
          <w:top w:val="single" w:sz="4" w:space="0" w:color="C56829" w:themeColor="accent3"/>
          <w:left w:val="single" w:sz="4" w:space="0" w:color="C56829" w:themeColor="accent3"/>
          <w:bottom w:val="single" w:sz="4" w:space="0" w:color="C56829" w:themeColor="accent3"/>
          <w:right w:val="single" w:sz="4" w:space="0" w:color="C56829" w:themeColor="accent3"/>
          <w:insideH w:val="nil"/>
        </w:tcBorders>
        <w:shd w:val="clear" w:color="auto" w:fill="C56829" w:themeFill="accent3"/>
      </w:tcPr>
    </w:tblStylePr>
    <w:tblStylePr w:type="lastRow">
      <w:rPr>
        <w:b/>
        <w:bCs/>
      </w:rPr>
      <w:tblPr/>
      <w:tcPr>
        <w:tcBorders>
          <w:top w:val="double" w:sz="4" w:space="0" w:color="E2A277" w:themeColor="accent3" w:themeTint="99"/>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4-Accent4">
    <w:name w:val="List Table 4 Accent 4"/>
    <w:basedOn w:val="TableNormal"/>
    <w:uiPriority w:val="49"/>
    <w:rsid w:val="00CE0A7F"/>
    <w:pPr>
      <w:spacing w:after="0"/>
    </w:p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tblBorders>
    </w:tblPr>
    <w:tblStylePr w:type="firstRow">
      <w:rPr>
        <w:b/>
        <w:bCs/>
        <w:color w:val="FFFFFF" w:themeColor="background1"/>
      </w:rPr>
      <w:tblPr/>
      <w:tcPr>
        <w:tcBorders>
          <w:top w:val="single" w:sz="4" w:space="0" w:color="B71F7A" w:themeColor="accent4"/>
          <w:left w:val="single" w:sz="4" w:space="0" w:color="B71F7A" w:themeColor="accent4"/>
          <w:bottom w:val="single" w:sz="4" w:space="0" w:color="B71F7A" w:themeColor="accent4"/>
          <w:right w:val="single" w:sz="4" w:space="0" w:color="B71F7A" w:themeColor="accent4"/>
          <w:insideH w:val="nil"/>
        </w:tcBorders>
        <w:shd w:val="clear" w:color="auto" w:fill="B71F7A" w:themeFill="accent4"/>
      </w:tcPr>
    </w:tblStylePr>
    <w:tblStylePr w:type="lastRow">
      <w:rPr>
        <w:b/>
        <w:bCs/>
      </w:rPr>
      <w:tblPr/>
      <w:tcPr>
        <w:tcBorders>
          <w:top w:val="double" w:sz="4" w:space="0" w:color="E567B2" w:themeColor="accent4" w:themeTint="99"/>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4-Accent5">
    <w:name w:val="List Table 4 Accent 5"/>
    <w:basedOn w:val="TableNormal"/>
    <w:uiPriority w:val="49"/>
    <w:rsid w:val="00CE0A7F"/>
    <w:pPr>
      <w:spacing w:after="0"/>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4-Accent6">
    <w:name w:val="List Table 4 Accent 6"/>
    <w:basedOn w:val="TableNormal"/>
    <w:uiPriority w:val="49"/>
    <w:rsid w:val="00CE0A7F"/>
    <w:pPr>
      <w:spacing w:after="0"/>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tcBorders>
        <w:shd w:val="clear" w:color="auto" w:fill="FFC000" w:themeFill="accent6"/>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5Dark">
    <w:name w:val="List Table 5 Dark"/>
    <w:basedOn w:val="TableNormal"/>
    <w:uiPriority w:val="50"/>
    <w:rsid w:val="00CE0A7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E0A7F"/>
    <w:pPr>
      <w:spacing w:after="0"/>
    </w:pPr>
    <w:rPr>
      <w:color w:val="FFFFFF" w:themeColor="background1"/>
    </w:rPr>
    <w:tblPr>
      <w:tblStyleRowBandSize w:val="1"/>
      <w:tblStyleColBandSize w:val="1"/>
      <w:tblBorders>
        <w:top w:val="single" w:sz="24" w:space="0" w:color="109146" w:themeColor="accent1"/>
        <w:left w:val="single" w:sz="24" w:space="0" w:color="109146" w:themeColor="accent1"/>
        <w:bottom w:val="single" w:sz="24" w:space="0" w:color="109146" w:themeColor="accent1"/>
        <w:right w:val="single" w:sz="24" w:space="0" w:color="109146" w:themeColor="accent1"/>
      </w:tblBorders>
    </w:tblPr>
    <w:tcPr>
      <w:shd w:val="clear" w:color="auto" w:fill="10914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E0A7F"/>
    <w:pPr>
      <w:spacing w:after="0"/>
    </w:pPr>
    <w:rPr>
      <w:color w:val="FFFFFF" w:themeColor="background1"/>
    </w:rPr>
    <w:tblPr>
      <w:tblStyleRowBandSize w:val="1"/>
      <w:tblStyleColBandSize w:val="1"/>
      <w:tblBorders>
        <w:top w:val="single" w:sz="24" w:space="0" w:color="16A7C4" w:themeColor="accent2"/>
        <w:left w:val="single" w:sz="24" w:space="0" w:color="16A7C4" w:themeColor="accent2"/>
        <w:bottom w:val="single" w:sz="24" w:space="0" w:color="16A7C4" w:themeColor="accent2"/>
        <w:right w:val="single" w:sz="24" w:space="0" w:color="16A7C4" w:themeColor="accent2"/>
      </w:tblBorders>
    </w:tblPr>
    <w:tcPr>
      <w:shd w:val="clear" w:color="auto" w:fill="16A7C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E0A7F"/>
    <w:pPr>
      <w:spacing w:after="0"/>
    </w:pPr>
    <w:rPr>
      <w:color w:val="FFFFFF" w:themeColor="background1"/>
    </w:rPr>
    <w:tblPr>
      <w:tblStyleRowBandSize w:val="1"/>
      <w:tblStyleColBandSize w:val="1"/>
      <w:tblBorders>
        <w:top w:val="single" w:sz="24" w:space="0" w:color="C56829" w:themeColor="accent3"/>
        <w:left w:val="single" w:sz="24" w:space="0" w:color="C56829" w:themeColor="accent3"/>
        <w:bottom w:val="single" w:sz="24" w:space="0" w:color="C56829" w:themeColor="accent3"/>
        <w:right w:val="single" w:sz="24" w:space="0" w:color="C56829" w:themeColor="accent3"/>
      </w:tblBorders>
    </w:tblPr>
    <w:tcPr>
      <w:shd w:val="clear" w:color="auto" w:fill="C568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E0A7F"/>
    <w:pPr>
      <w:spacing w:after="0"/>
    </w:pPr>
    <w:rPr>
      <w:color w:val="FFFFFF" w:themeColor="background1"/>
    </w:rPr>
    <w:tblPr>
      <w:tblStyleRowBandSize w:val="1"/>
      <w:tblStyleColBandSize w:val="1"/>
      <w:tblBorders>
        <w:top w:val="single" w:sz="24" w:space="0" w:color="B71F7A" w:themeColor="accent4"/>
        <w:left w:val="single" w:sz="24" w:space="0" w:color="B71F7A" w:themeColor="accent4"/>
        <w:bottom w:val="single" w:sz="24" w:space="0" w:color="B71F7A" w:themeColor="accent4"/>
        <w:right w:val="single" w:sz="24" w:space="0" w:color="B71F7A" w:themeColor="accent4"/>
      </w:tblBorders>
    </w:tblPr>
    <w:tcPr>
      <w:shd w:val="clear" w:color="auto" w:fill="B71F7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E0A7F"/>
    <w:pPr>
      <w:spacing w:after="0"/>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E0A7F"/>
    <w:pPr>
      <w:spacing w:after="0"/>
    </w:pPr>
    <w:rPr>
      <w:color w:val="FFFFFF" w:themeColor="background1"/>
    </w:rPr>
    <w:tblPr>
      <w:tblStyleRowBandSize w:val="1"/>
      <w:tblStyleColBandSize w:val="1"/>
      <w:tblBorders>
        <w:top w:val="single" w:sz="24" w:space="0" w:color="FFC000" w:themeColor="accent6"/>
        <w:left w:val="single" w:sz="24" w:space="0" w:color="FFC000" w:themeColor="accent6"/>
        <w:bottom w:val="single" w:sz="24" w:space="0" w:color="FFC000" w:themeColor="accent6"/>
        <w:right w:val="single" w:sz="24" w:space="0" w:color="FFC000" w:themeColor="accent6"/>
      </w:tblBorders>
    </w:tblPr>
    <w:tcPr>
      <w:shd w:val="clear" w:color="auto" w:fill="FFC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E0A7F"/>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E0A7F"/>
    <w:pPr>
      <w:spacing w:after="0"/>
    </w:pPr>
    <w:rPr>
      <w:color w:val="0C6C34" w:themeColor="accent1" w:themeShade="BF"/>
    </w:rPr>
    <w:tblPr>
      <w:tblStyleRowBandSize w:val="1"/>
      <w:tblStyleColBandSize w:val="1"/>
      <w:tblBorders>
        <w:top w:val="single" w:sz="4" w:space="0" w:color="109146" w:themeColor="accent1"/>
        <w:bottom w:val="single" w:sz="4" w:space="0" w:color="109146" w:themeColor="accent1"/>
      </w:tblBorders>
    </w:tblPr>
    <w:tblStylePr w:type="firstRow">
      <w:rPr>
        <w:b/>
        <w:bCs/>
      </w:rPr>
      <w:tblPr/>
      <w:tcPr>
        <w:tcBorders>
          <w:bottom w:val="single" w:sz="4" w:space="0" w:color="109146" w:themeColor="accent1"/>
        </w:tcBorders>
      </w:tcPr>
    </w:tblStylePr>
    <w:tblStylePr w:type="lastRow">
      <w:rPr>
        <w:b/>
        <w:bCs/>
      </w:rPr>
      <w:tblPr/>
      <w:tcPr>
        <w:tcBorders>
          <w:top w:val="double" w:sz="4" w:space="0" w:color="109146" w:themeColor="accent1"/>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6Colorful-Accent2">
    <w:name w:val="List Table 6 Colorful Accent 2"/>
    <w:basedOn w:val="TableNormal"/>
    <w:uiPriority w:val="51"/>
    <w:rsid w:val="00CE0A7F"/>
    <w:pPr>
      <w:spacing w:after="0"/>
    </w:pPr>
    <w:rPr>
      <w:color w:val="107C92" w:themeColor="accent2" w:themeShade="BF"/>
    </w:rPr>
    <w:tblPr>
      <w:tblStyleRowBandSize w:val="1"/>
      <w:tblStyleColBandSize w:val="1"/>
      <w:tblBorders>
        <w:top w:val="single" w:sz="4" w:space="0" w:color="16A7C4" w:themeColor="accent2"/>
        <w:bottom w:val="single" w:sz="4" w:space="0" w:color="16A7C4" w:themeColor="accent2"/>
      </w:tblBorders>
    </w:tblPr>
    <w:tblStylePr w:type="firstRow">
      <w:rPr>
        <w:b/>
        <w:bCs/>
      </w:rPr>
      <w:tblPr/>
      <w:tcPr>
        <w:tcBorders>
          <w:bottom w:val="single" w:sz="4" w:space="0" w:color="16A7C4" w:themeColor="accent2"/>
        </w:tcBorders>
      </w:tcPr>
    </w:tblStylePr>
    <w:tblStylePr w:type="lastRow">
      <w:rPr>
        <w:b/>
        <w:bCs/>
      </w:rPr>
      <w:tblPr/>
      <w:tcPr>
        <w:tcBorders>
          <w:top w:val="double" w:sz="4" w:space="0" w:color="16A7C4" w:themeColor="accent2"/>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ListTable6Colorful-Accent3">
    <w:name w:val="List Table 6 Colorful Accent 3"/>
    <w:basedOn w:val="TableNormal"/>
    <w:uiPriority w:val="51"/>
    <w:rsid w:val="00CE0A7F"/>
    <w:pPr>
      <w:spacing w:after="0"/>
    </w:pPr>
    <w:rPr>
      <w:color w:val="934D1E" w:themeColor="accent3" w:themeShade="BF"/>
    </w:rPr>
    <w:tblPr>
      <w:tblStyleRowBandSize w:val="1"/>
      <w:tblStyleColBandSize w:val="1"/>
      <w:tblBorders>
        <w:top w:val="single" w:sz="4" w:space="0" w:color="C56829" w:themeColor="accent3"/>
        <w:bottom w:val="single" w:sz="4" w:space="0" w:color="C56829" w:themeColor="accent3"/>
      </w:tblBorders>
    </w:tblPr>
    <w:tblStylePr w:type="firstRow">
      <w:rPr>
        <w:b/>
        <w:bCs/>
      </w:rPr>
      <w:tblPr/>
      <w:tcPr>
        <w:tcBorders>
          <w:bottom w:val="single" w:sz="4" w:space="0" w:color="C56829" w:themeColor="accent3"/>
        </w:tcBorders>
      </w:tcPr>
    </w:tblStylePr>
    <w:tblStylePr w:type="lastRow">
      <w:rPr>
        <w:b/>
        <w:bCs/>
      </w:rPr>
      <w:tblPr/>
      <w:tcPr>
        <w:tcBorders>
          <w:top w:val="double" w:sz="4" w:space="0" w:color="C56829" w:themeColor="accent3"/>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6Colorful-Accent4">
    <w:name w:val="List Table 6 Colorful Accent 4"/>
    <w:basedOn w:val="TableNormal"/>
    <w:uiPriority w:val="51"/>
    <w:rsid w:val="00CE0A7F"/>
    <w:pPr>
      <w:spacing w:after="0"/>
    </w:pPr>
    <w:rPr>
      <w:color w:val="88175A" w:themeColor="accent4" w:themeShade="BF"/>
    </w:rPr>
    <w:tblPr>
      <w:tblStyleRowBandSize w:val="1"/>
      <w:tblStyleColBandSize w:val="1"/>
      <w:tblBorders>
        <w:top w:val="single" w:sz="4" w:space="0" w:color="B71F7A" w:themeColor="accent4"/>
        <w:bottom w:val="single" w:sz="4" w:space="0" w:color="B71F7A" w:themeColor="accent4"/>
      </w:tblBorders>
    </w:tblPr>
    <w:tblStylePr w:type="firstRow">
      <w:rPr>
        <w:b/>
        <w:bCs/>
      </w:rPr>
      <w:tblPr/>
      <w:tcPr>
        <w:tcBorders>
          <w:bottom w:val="single" w:sz="4" w:space="0" w:color="B71F7A" w:themeColor="accent4"/>
        </w:tcBorders>
      </w:tcPr>
    </w:tblStylePr>
    <w:tblStylePr w:type="lastRow">
      <w:rPr>
        <w:b/>
        <w:bCs/>
      </w:rPr>
      <w:tblPr/>
      <w:tcPr>
        <w:tcBorders>
          <w:top w:val="double" w:sz="4" w:space="0" w:color="B71F7A" w:themeColor="accent4"/>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6Colorful-Accent5">
    <w:name w:val="List Table 6 Colorful Accent 5"/>
    <w:basedOn w:val="TableNormal"/>
    <w:uiPriority w:val="51"/>
    <w:rsid w:val="00CE0A7F"/>
    <w:pPr>
      <w:spacing w:after="0"/>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6Colorful-Accent6">
    <w:name w:val="List Table 6 Colorful Accent 6"/>
    <w:basedOn w:val="TableNormal"/>
    <w:uiPriority w:val="51"/>
    <w:rsid w:val="00CE0A7F"/>
    <w:pPr>
      <w:spacing w:after="0"/>
    </w:pPr>
    <w:rPr>
      <w:color w:val="BF8F00" w:themeColor="accent6" w:themeShade="BF"/>
    </w:rPr>
    <w:tblPr>
      <w:tblStyleRowBandSize w:val="1"/>
      <w:tblStyleColBandSize w:val="1"/>
      <w:tblBorders>
        <w:top w:val="single" w:sz="4" w:space="0" w:color="FFC000" w:themeColor="accent6"/>
        <w:bottom w:val="single" w:sz="4" w:space="0" w:color="FFC000" w:themeColor="accent6"/>
      </w:tblBorders>
    </w:tblPr>
    <w:tblStylePr w:type="firstRow">
      <w:rPr>
        <w:b/>
        <w:bCs/>
      </w:rPr>
      <w:tblPr/>
      <w:tcPr>
        <w:tcBorders>
          <w:bottom w:val="single" w:sz="4" w:space="0" w:color="FFC000" w:themeColor="accent6"/>
        </w:tcBorders>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7Colorful">
    <w:name w:val="List Table 7 Colorful"/>
    <w:basedOn w:val="TableNormal"/>
    <w:uiPriority w:val="52"/>
    <w:rsid w:val="00CE0A7F"/>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0A7F"/>
    <w:pPr>
      <w:spacing w:after="0"/>
    </w:pPr>
    <w:rPr>
      <w:color w:val="0C6C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14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14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14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146" w:themeColor="accent1"/>
        </w:tcBorders>
        <w:shd w:val="clear" w:color="auto" w:fill="FFFFFF" w:themeFill="background1"/>
      </w:tcPr>
    </w:tblStylePr>
    <w:tblStylePr w:type="band1Vert">
      <w:tblPr/>
      <w:tcPr>
        <w:shd w:val="clear" w:color="auto" w:fill="BFF8D7" w:themeFill="accent1" w:themeFillTint="33"/>
      </w:tcPr>
    </w:tblStylePr>
    <w:tblStylePr w:type="band1Horz">
      <w:tblPr/>
      <w:tcPr>
        <w:shd w:val="clear" w:color="auto" w:fill="BFF8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E0A7F"/>
    <w:pPr>
      <w:spacing w:after="0"/>
    </w:pPr>
    <w:rPr>
      <w:color w:val="107C9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A7C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A7C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A7C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A7C4" w:themeColor="accent2"/>
        </w:tcBorders>
        <w:shd w:val="clear" w:color="auto" w:fill="FFFFFF" w:themeFill="background1"/>
      </w:tcPr>
    </w:tblStylePr>
    <w:tblStylePr w:type="band1Vert">
      <w:tblPr/>
      <w:tcPr>
        <w:shd w:val="clear" w:color="auto" w:fill="CAF1F9" w:themeFill="accent2" w:themeFillTint="33"/>
      </w:tcPr>
    </w:tblStylePr>
    <w:tblStylePr w:type="band1Horz">
      <w:tblPr/>
      <w:tcPr>
        <w:shd w:val="clear" w:color="auto" w:fill="CAF1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E0A7F"/>
    <w:pPr>
      <w:spacing w:after="0"/>
    </w:pPr>
    <w:rPr>
      <w:color w:val="934D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68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68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68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6829" w:themeColor="accent3"/>
        </w:tcBorders>
        <w:shd w:val="clear" w:color="auto" w:fill="FFFFFF" w:themeFill="background1"/>
      </w:tcPr>
    </w:tblStylePr>
    <w:tblStylePr w:type="band1Vert">
      <w:tblPr/>
      <w:tcPr>
        <w:shd w:val="clear" w:color="auto" w:fill="F5E0D1" w:themeFill="accent3" w:themeFillTint="33"/>
      </w:tcPr>
    </w:tblStylePr>
    <w:tblStylePr w:type="band1Horz">
      <w:tblPr/>
      <w:tcPr>
        <w:shd w:val="clear" w:color="auto" w:fill="F5E0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E0A7F"/>
    <w:pPr>
      <w:spacing w:after="0"/>
    </w:pPr>
    <w:rPr>
      <w:color w:val="8817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1F7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1F7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1F7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1F7A" w:themeColor="accent4"/>
        </w:tcBorders>
        <w:shd w:val="clear" w:color="auto" w:fill="FFFFFF" w:themeFill="background1"/>
      </w:tcPr>
    </w:tblStylePr>
    <w:tblStylePr w:type="band1Vert">
      <w:tblPr/>
      <w:tcPr>
        <w:shd w:val="clear" w:color="auto" w:fill="F6CCE5" w:themeFill="accent4" w:themeFillTint="33"/>
      </w:tcPr>
    </w:tblStylePr>
    <w:tblStylePr w:type="band1Horz">
      <w:tblPr/>
      <w:tcPr>
        <w:shd w:val="clear" w:color="auto" w:fill="F6CC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E0A7F"/>
    <w:pPr>
      <w:spacing w:after="0"/>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E0A7F"/>
    <w:pPr>
      <w:spacing w:after="0"/>
    </w:pPr>
    <w:rPr>
      <w:color w:val="BF8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6"/>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E0A7F"/>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E0A7F"/>
    <w:pPr>
      <w:spacing w:before="0" w:after="0"/>
    </w:pPr>
    <w:tblPr>
      <w:tblStyleRowBandSize w:val="1"/>
      <w:tblStyleColBandSize w:val="1"/>
      <w:tblBorders>
        <w:top w:val="single" w:sz="8"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single" w:sz="8" w:space="0" w:color="18DF6B" w:themeColor="accent1" w:themeTint="BF"/>
        <w:insideV w:val="single" w:sz="8" w:space="0" w:color="18DF6B" w:themeColor="accent1" w:themeTint="BF"/>
      </w:tblBorders>
    </w:tblPr>
    <w:tcPr>
      <w:shd w:val="clear" w:color="auto" w:fill="B1F6CD" w:themeFill="accent1" w:themeFillTint="3F"/>
    </w:tcPr>
    <w:tblStylePr w:type="firstRow">
      <w:rPr>
        <w:b/>
        <w:bCs/>
      </w:rPr>
    </w:tblStylePr>
    <w:tblStylePr w:type="lastRow">
      <w:rPr>
        <w:b/>
        <w:bCs/>
      </w:rPr>
      <w:tblPr/>
      <w:tcPr>
        <w:tcBorders>
          <w:top w:val="single" w:sz="18" w:space="0" w:color="18DF6B" w:themeColor="accent1" w:themeTint="BF"/>
        </w:tcBorders>
      </w:tcPr>
    </w:tblStylePr>
    <w:tblStylePr w:type="firstCol">
      <w:rPr>
        <w:b/>
        <w:bCs/>
      </w:rPr>
    </w:tblStylePr>
    <w:tblStylePr w:type="lastCol">
      <w:rPr>
        <w:b/>
        <w:bCs/>
      </w:rPr>
    </w:tblStylePr>
    <w:tblStylePr w:type="band1Vert">
      <w:tblPr/>
      <w:tcPr>
        <w:shd w:val="clear" w:color="auto" w:fill="62ED9C" w:themeFill="accent1" w:themeFillTint="7F"/>
      </w:tcPr>
    </w:tblStylePr>
    <w:tblStylePr w:type="band1Horz">
      <w:tblPr/>
      <w:tcPr>
        <w:shd w:val="clear" w:color="auto" w:fill="62ED9C" w:themeFill="accent1" w:themeFillTint="7F"/>
      </w:tcPr>
    </w:tblStylePr>
  </w:style>
  <w:style w:type="table" w:styleId="MediumGrid1-Accent2">
    <w:name w:val="Medium Grid 1 Accent 2"/>
    <w:basedOn w:val="TableNormal"/>
    <w:uiPriority w:val="67"/>
    <w:semiHidden/>
    <w:unhideWhenUsed/>
    <w:rsid w:val="00CE0A7F"/>
    <w:pPr>
      <w:spacing w:before="0" w:after="0"/>
    </w:pPr>
    <w:tblPr>
      <w:tblStyleRowBandSize w:val="1"/>
      <w:tblStyleColBandSize w:val="1"/>
      <w:tblBorders>
        <w:top w:val="single" w:sz="8"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single" w:sz="8" w:space="0" w:color="3ACBE9" w:themeColor="accent2" w:themeTint="BF"/>
        <w:insideV w:val="single" w:sz="8" w:space="0" w:color="3ACBE9" w:themeColor="accent2" w:themeTint="BF"/>
      </w:tblBorders>
    </w:tblPr>
    <w:tcPr>
      <w:shd w:val="clear" w:color="auto" w:fill="BDEEF7" w:themeFill="accent2" w:themeFillTint="3F"/>
    </w:tcPr>
    <w:tblStylePr w:type="firstRow">
      <w:rPr>
        <w:b/>
        <w:bCs/>
      </w:rPr>
    </w:tblStylePr>
    <w:tblStylePr w:type="lastRow">
      <w:rPr>
        <w:b/>
        <w:bCs/>
      </w:rPr>
      <w:tblPr/>
      <w:tcPr>
        <w:tcBorders>
          <w:top w:val="single" w:sz="18" w:space="0" w:color="3ACBE9" w:themeColor="accent2" w:themeTint="BF"/>
        </w:tcBorders>
      </w:tcPr>
    </w:tblStylePr>
    <w:tblStylePr w:type="firstCol">
      <w:rPr>
        <w:b/>
        <w:bCs/>
      </w:rPr>
    </w:tblStylePr>
    <w:tblStylePr w:type="lastCol">
      <w:rPr>
        <w:b/>
        <w:bCs/>
      </w:rPr>
    </w:tblStylePr>
    <w:tblStylePr w:type="band1Vert">
      <w:tblPr/>
      <w:tcPr>
        <w:shd w:val="clear" w:color="auto" w:fill="7CDCF0" w:themeFill="accent2" w:themeFillTint="7F"/>
      </w:tcPr>
    </w:tblStylePr>
    <w:tblStylePr w:type="band1Horz">
      <w:tblPr/>
      <w:tcPr>
        <w:shd w:val="clear" w:color="auto" w:fill="7CDCF0" w:themeFill="accent2" w:themeFillTint="7F"/>
      </w:tcPr>
    </w:tblStylePr>
  </w:style>
  <w:style w:type="table" w:styleId="MediumGrid1-Accent3">
    <w:name w:val="Medium Grid 1 Accent 3"/>
    <w:basedOn w:val="TableNormal"/>
    <w:uiPriority w:val="67"/>
    <w:semiHidden/>
    <w:unhideWhenUsed/>
    <w:rsid w:val="00CE0A7F"/>
    <w:pPr>
      <w:spacing w:before="0" w:after="0"/>
    </w:pPr>
    <w:tblPr>
      <w:tblStyleRowBandSize w:val="1"/>
      <w:tblStyleColBandSize w:val="1"/>
      <w:tblBorders>
        <w:top w:val="single" w:sz="8"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single" w:sz="8" w:space="0" w:color="DB8B56" w:themeColor="accent3" w:themeTint="BF"/>
        <w:insideV w:val="single" w:sz="8" w:space="0" w:color="DB8B56" w:themeColor="accent3" w:themeTint="BF"/>
      </w:tblBorders>
    </w:tblPr>
    <w:tcPr>
      <w:shd w:val="clear" w:color="auto" w:fill="F3D8C7" w:themeFill="accent3" w:themeFillTint="3F"/>
    </w:tcPr>
    <w:tblStylePr w:type="firstRow">
      <w:rPr>
        <w:b/>
        <w:bCs/>
      </w:rPr>
    </w:tblStylePr>
    <w:tblStylePr w:type="lastRow">
      <w:rPr>
        <w:b/>
        <w:bCs/>
      </w:rPr>
      <w:tblPr/>
      <w:tcPr>
        <w:tcBorders>
          <w:top w:val="single" w:sz="18" w:space="0" w:color="DB8B56" w:themeColor="accent3" w:themeTint="BF"/>
        </w:tcBorders>
      </w:tcPr>
    </w:tblStylePr>
    <w:tblStylePr w:type="firstCol">
      <w:rPr>
        <w:b/>
        <w:bCs/>
      </w:rPr>
    </w:tblStylePr>
    <w:tblStylePr w:type="lastCol">
      <w:rPr>
        <w:b/>
        <w:bCs/>
      </w:rPr>
    </w:tblStylePr>
    <w:tblStylePr w:type="band1Vert">
      <w:tblPr/>
      <w:tcPr>
        <w:shd w:val="clear" w:color="auto" w:fill="E7B28E" w:themeFill="accent3" w:themeFillTint="7F"/>
      </w:tcPr>
    </w:tblStylePr>
    <w:tblStylePr w:type="band1Horz">
      <w:tblPr/>
      <w:tcPr>
        <w:shd w:val="clear" w:color="auto" w:fill="E7B28E" w:themeFill="accent3" w:themeFillTint="7F"/>
      </w:tcPr>
    </w:tblStylePr>
  </w:style>
  <w:style w:type="table" w:styleId="MediumGrid1-Accent4">
    <w:name w:val="Medium Grid 1 Accent 4"/>
    <w:basedOn w:val="TableNormal"/>
    <w:uiPriority w:val="67"/>
    <w:semiHidden/>
    <w:unhideWhenUsed/>
    <w:rsid w:val="00CE0A7F"/>
    <w:pPr>
      <w:spacing w:before="0" w:after="0"/>
    </w:pPr>
    <w:tblPr>
      <w:tblStyleRowBandSize w:val="1"/>
      <w:tblStyleColBandSize w:val="1"/>
      <w:tblBorders>
        <w:top w:val="single" w:sz="8"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single" w:sz="8" w:space="0" w:color="DE419F" w:themeColor="accent4" w:themeTint="BF"/>
        <w:insideV w:val="single" w:sz="8" w:space="0" w:color="DE419F" w:themeColor="accent4" w:themeTint="BF"/>
      </w:tblBorders>
    </w:tblPr>
    <w:tcPr>
      <w:shd w:val="clear" w:color="auto" w:fill="F4C0DF" w:themeFill="accent4" w:themeFillTint="3F"/>
    </w:tcPr>
    <w:tblStylePr w:type="firstRow">
      <w:rPr>
        <w:b/>
        <w:bCs/>
      </w:rPr>
    </w:tblStylePr>
    <w:tblStylePr w:type="lastRow">
      <w:rPr>
        <w:b/>
        <w:bCs/>
      </w:rPr>
      <w:tblPr/>
      <w:tcPr>
        <w:tcBorders>
          <w:top w:val="single" w:sz="18" w:space="0" w:color="DE419F" w:themeColor="accent4" w:themeTint="BF"/>
        </w:tcBorders>
      </w:tcPr>
    </w:tblStylePr>
    <w:tblStylePr w:type="firstCol">
      <w:rPr>
        <w:b/>
        <w:bCs/>
      </w:rPr>
    </w:tblStylePr>
    <w:tblStylePr w:type="lastCol">
      <w:rPr>
        <w:b/>
        <w:bCs/>
      </w:rPr>
    </w:tblStylePr>
    <w:tblStylePr w:type="band1Vert">
      <w:tblPr/>
      <w:tcPr>
        <w:shd w:val="clear" w:color="auto" w:fill="E980BF" w:themeFill="accent4" w:themeFillTint="7F"/>
      </w:tcPr>
    </w:tblStylePr>
    <w:tblStylePr w:type="band1Horz">
      <w:tblPr/>
      <w:tcPr>
        <w:shd w:val="clear" w:color="auto" w:fill="E980BF" w:themeFill="accent4" w:themeFillTint="7F"/>
      </w:tcPr>
    </w:tblStylePr>
  </w:style>
  <w:style w:type="table" w:styleId="MediumGrid1-Accent5">
    <w:name w:val="Medium Grid 1 Accent 5"/>
    <w:basedOn w:val="TableNormal"/>
    <w:uiPriority w:val="67"/>
    <w:semiHidden/>
    <w:unhideWhenUsed/>
    <w:rsid w:val="00CE0A7F"/>
    <w:pPr>
      <w:spacing w:before="0" w:after="0"/>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CE0A7F"/>
    <w:pPr>
      <w:spacing w:before="0" w:after="0"/>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insideV w:val="single" w:sz="8" w:space="0" w:color="FFCF40" w:themeColor="accent6" w:themeTint="BF"/>
      </w:tblBorders>
    </w:tblPr>
    <w:tcPr>
      <w:shd w:val="clear" w:color="auto" w:fill="FFEFC0" w:themeFill="accent6" w:themeFillTint="3F"/>
    </w:tcPr>
    <w:tblStylePr w:type="firstRow">
      <w:rPr>
        <w:b/>
        <w:bCs/>
      </w:rPr>
    </w:tblStylePr>
    <w:tblStylePr w:type="lastRow">
      <w:rPr>
        <w:b/>
        <w:bCs/>
      </w:rPr>
      <w:tblPr/>
      <w:tcPr>
        <w:tcBorders>
          <w:top w:val="single" w:sz="18" w:space="0" w:color="FFCF40" w:themeColor="accent6" w:themeTint="BF"/>
        </w:tcBorders>
      </w:tcPr>
    </w:tblStylePr>
    <w:tblStylePr w:type="firstCol">
      <w:rPr>
        <w:b/>
        <w:bCs/>
      </w:rPr>
    </w:tblStylePr>
    <w:tblStylePr w:type="lastCol">
      <w:rPr>
        <w:b/>
        <w:bCs/>
      </w:r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MediumGrid2">
    <w:name w:val="Medium Grid 2"/>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insideH w:val="single" w:sz="8" w:space="0" w:color="109146" w:themeColor="accent1"/>
        <w:insideV w:val="single" w:sz="8" w:space="0" w:color="109146" w:themeColor="accent1"/>
      </w:tblBorders>
    </w:tblPr>
    <w:tcPr>
      <w:shd w:val="clear" w:color="auto" w:fill="B1F6CD" w:themeFill="accent1" w:themeFillTint="3F"/>
    </w:tcPr>
    <w:tblStylePr w:type="firstRow">
      <w:rPr>
        <w:b/>
        <w:bCs/>
        <w:color w:val="000000" w:themeColor="text1"/>
      </w:rPr>
      <w:tblPr/>
      <w:tcPr>
        <w:shd w:val="clear" w:color="auto" w:fill="E0FB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8D7" w:themeFill="accent1" w:themeFillTint="33"/>
      </w:tcPr>
    </w:tblStylePr>
    <w:tblStylePr w:type="band1Vert">
      <w:tblPr/>
      <w:tcPr>
        <w:shd w:val="clear" w:color="auto" w:fill="62ED9C" w:themeFill="accent1" w:themeFillTint="7F"/>
      </w:tcPr>
    </w:tblStylePr>
    <w:tblStylePr w:type="band1Horz">
      <w:tblPr/>
      <w:tcPr>
        <w:tcBorders>
          <w:insideH w:val="single" w:sz="6" w:space="0" w:color="109146" w:themeColor="accent1"/>
          <w:insideV w:val="single" w:sz="6" w:space="0" w:color="109146" w:themeColor="accent1"/>
        </w:tcBorders>
        <w:shd w:val="clear" w:color="auto" w:fill="62ED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insideH w:val="single" w:sz="8" w:space="0" w:color="16A7C4" w:themeColor="accent2"/>
        <w:insideV w:val="single" w:sz="8" w:space="0" w:color="16A7C4" w:themeColor="accent2"/>
      </w:tblBorders>
    </w:tblPr>
    <w:tcPr>
      <w:shd w:val="clear" w:color="auto" w:fill="BDEEF7" w:themeFill="accent2" w:themeFillTint="3F"/>
    </w:tcPr>
    <w:tblStylePr w:type="firstRow">
      <w:rPr>
        <w:b/>
        <w:bCs/>
        <w:color w:val="000000" w:themeColor="text1"/>
      </w:rPr>
      <w:tblPr/>
      <w:tcPr>
        <w:shd w:val="clear" w:color="auto" w:fill="E5F8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1F9" w:themeFill="accent2" w:themeFillTint="33"/>
      </w:tcPr>
    </w:tblStylePr>
    <w:tblStylePr w:type="band1Vert">
      <w:tblPr/>
      <w:tcPr>
        <w:shd w:val="clear" w:color="auto" w:fill="7CDCF0" w:themeFill="accent2" w:themeFillTint="7F"/>
      </w:tcPr>
    </w:tblStylePr>
    <w:tblStylePr w:type="band1Horz">
      <w:tblPr/>
      <w:tcPr>
        <w:tcBorders>
          <w:insideH w:val="single" w:sz="6" w:space="0" w:color="16A7C4" w:themeColor="accent2"/>
          <w:insideV w:val="single" w:sz="6" w:space="0" w:color="16A7C4" w:themeColor="accent2"/>
        </w:tcBorders>
        <w:shd w:val="clear" w:color="auto" w:fill="7CDCF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insideH w:val="single" w:sz="8" w:space="0" w:color="C56829" w:themeColor="accent3"/>
        <w:insideV w:val="single" w:sz="8" w:space="0" w:color="C56829" w:themeColor="accent3"/>
      </w:tblBorders>
    </w:tblPr>
    <w:tcPr>
      <w:shd w:val="clear" w:color="auto" w:fill="F3D8C7" w:themeFill="accent3" w:themeFillTint="3F"/>
    </w:tcPr>
    <w:tblStylePr w:type="firstRow">
      <w:rPr>
        <w:b/>
        <w:bCs/>
        <w:color w:val="000000" w:themeColor="text1"/>
      </w:rPr>
      <w:tblPr/>
      <w:tcPr>
        <w:shd w:val="clear" w:color="auto" w:fill="FA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0D1" w:themeFill="accent3" w:themeFillTint="33"/>
      </w:tcPr>
    </w:tblStylePr>
    <w:tblStylePr w:type="band1Vert">
      <w:tblPr/>
      <w:tcPr>
        <w:shd w:val="clear" w:color="auto" w:fill="E7B28E" w:themeFill="accent3" w:themeFillTint="7F"/>
      </w:tcPr>
    </w:tblStylePr>
    <w:tblStylePr w:type="band1Horz">
      <w:tblPr/>
      <w:tcPr>
        <w:tcBorders>
          <w:insideH w:val="single" w:sz="6" w:space="0" w:color="C56829" w:themeColor="accent3"/>
          <w:insideV w:val="single" w:sz="6" w:space="0" w:color="C56829" w:themeColor="accent3"/>
        </w:tcBorders>
        <w:shd w:val="clear" w:color="auto" w:fill="E7B2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insideH w:val="single" w:sz="8" w:space="0" w:color="B71F7A" w:themeColor="accent4"/>
        <w:insideV w:val="single" w:sz="8" w:space="0" w:color="B71F7A" w:themeColor="accent4"/>
      </w:tblBorders>
    </w:tblPr>
    <w:tcPr>
      <w:shd w:val="clear" w:color="auto" w:fill="F4C0DF" w:themeFill="accent4" w:themeFillTint="3F"/>
    </w:tcPr>
    <w:tblStylePr w:type="firstRow">
      <w:rPr>
        <w:b/>
        <w:bCs/>
        <w:color w:val="000000" w:themeColor="text1"/>
      </w:rPr>
      <w:tblPr/>
      <w:tcPr>
        <w:shd w:val="clear" w:color="auto" w:fill="FAE5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CE5" w:themeFill="accent4" w:themeFillTint="33"/>
      </w:tcPr>
    </w:tblStylePr>
    <w:tblStylePr w:type="band1Vert">
      <w:tblPr/>
      <w:tcPr>
        <w:shd w:val="clear" w:color="auto" w:fill="E980BF" w:themeFill="accent4" w:themeFillTint="7F"/>
      </w:tcPr>
    </w:tblStylePr>
    <w:tblStylePr w:type="band1Horz">
      <w:tblPr/>
      <w:tcPr>
        <w:tcBorders>
          <w:insideH w:val="single" w:sz="6" w:space="0" w:color="B71F7A" w:themeColor="accent4"/>
          <w:insideV w:val="single" w:sz="6" w:space="0" w:color="B71F7A" w:themeColor="accent4"/>
        </w:tcBorders>
        <w:shd w:val="clear" w:color="auto" w:fill="E980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cPr>
      <w:shd w:val="clear" w:color="auto" w:fill="FFEFC0" w:themeFill="accent6" w:themeFillTint="3F"/>
    </w:tcPr>
    <w:tblStylePr w:type="firstRow">
      <w:rPr>
        <w:b/>
        <w:bCs/>
        <w:color w:val="000000" w:themeColor="text1"/>
      </w:rPr>
      <w:tblPr/>
      <w:tcPr>
        <w:shd w:val="clear" w:color="auto" w:fill="FFF8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6" w:themeFillTint="33"/>
      </w:tcPr>
    </w:tblStylePr>
    <w:tblStylePr w:type="band1Vert">
      <w:tblPr/>
      <w:tcPr>
        <w:shd w:val="clear" w:color="auto" w:fill="FFDF80" w:themeFill="accent6" w:themeFillTint="7F"/>
      </w:tcPr>
    </w:tblStylePr>
    <w:tblStylePr w:type="band1Horz">
      <w:tblPr/>
      <w:tcPr>
        <w:tcBorders>
          <w:insideH w:val="single" w:sz="6" w:space="0" w:color="FFC000" w:themeColor="accent6"/>
          <w:insideV w:val="single" w:sz="6" w:space="0" w:color="FFC000" w:themeColor="accent6"/>
        </w:tcBorders>
        <w:shd w:val="clear" w:color="auto" w:fill="FFD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F6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914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914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914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914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ED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ED9C" w:themeFill="accent1" w:themeFillTint="7F"/>
      </w:tcPr>
    </w:tblStylePr>
  </w:style>
  <w:style w:type="table" w:styleId="MediumGrid3-Accent2">
    <w:name w:val="Medium Grid 3 Accent 2"/>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E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A7C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A7C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A7C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A7C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DC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DCF0" w:themeFill="accent2" w:themeFillTint="7F"/>
      </w:tcPr>
    </w:tblStylePr>
  </w:style>
  <w:style w:type="table" w:styleId="MediumGrid3-Accent3">
    <w:name w:val="Medium Grid 3 Accent 3"/>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8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68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68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68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68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2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28E" w:themeFill="accent3" w:themeFillTint="7F"/>
      </w:tcPr>
    </w:tblStylePr>
  </w:style>
  <w:style w:type="table" w:styleId="MediumGrid3-Accent4">
    <w:name w:val="Medium Grid 3 Accent 4"/>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0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1F7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1F7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1F7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1F7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80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80BF" w:themeFill="accent4" w:themeFillTint="7F"/>
      </w:tcPr>
    </w:tblStylePr>
  </w:style>
  <w:style w:type="table" w:styleId="MediumGrid3-Accent5">
    <w:name w:val="Medium Grid 3 Accent 5"/>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6" w:themeFillTint="7F"/>
      </w:tcPr>
    </w:tblStylePr>
  </w:style>
  <w:style w:type="table" w:styleId="MediumList1">
    <w:name w:val="Medium List 1"/>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5E9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109146" w:themeColor="accent1"/>
        <w:bottom w:val="single" w:sz="8" w:space="0" w:color="109146" w:themeColor="accent1"/>
      </w:tblBorders>
    </w:tblPr>
    <w:tblStylePr w:type="firstRow">
      <w:rPr>
        <w:rFonts w:asciiTheme="majorHAnsi" w:eastAsiaTheme="majorEastAsia" w:hAnsiTheme="majorHAnsi" w:cstheme="majorBidi"/>
      </w:rPr>
      <w:tblPr/>
      <w:tcPr>
        <w:tcBorders>
          <w:top w:val="nil"/>
          <w:bottom w:val="single" w:sz="8" w:space="0" w:color="109146" w:themeColor="accent1"/>
        </w:tcBorders>
      </w:tcPr>
    </w:tblStylePr>
    <w:tblStylePr w:type="lastRow">
      <w:rPr>
        <w:b/>
        <w:bCs/>
        <w:color w:val="215E94" w:themeColor="text2"/>
      </w:rPr>
      <w:tblPr/>
      <w:tcPr>
        <w:tcBorders>
          <w:top w:val="single" w:sz="8" w:space="0" w:color="109146" w:themeColor="accent1"/>
          <w:bottom w:val="single" w:sz="8" w:space="0" w:color="109146" w:themeColor="accent1"/>
        </w:tcBorders>
      </w:tcPr>
    </w:tblStylePr>
    <w:tblStylePr w:type="firstCol">
      <w:rPr>
        <w:b/>
        <w:bCs/>
      </w:rPr>
    </w:tblStylePr>
    <w:tblStylePr w:type="lastCol">
      <w:rPr>
        <w:b/>
        <w:bCs/>
      </w:rPr>
      <w:tblPr/>
      <w:tcPr>
        <w:tcBorders>
          <w:top w:val="single" w:sz="8" w:space="0" w:color="109146" w:themeColor="accent1"/>
          <w:bottom w:val="single" w:sz="8" w:space="0" w:color="109146" w:themeColor="accent1"/>
        </w:tcBorders>
      </w:tcPr>
    </w:tblStylePr>
    <w:tblStylePr w:type="band1Vert">
      <w:tblPr/>
      <w:tcPr>
        <w:shd w:val="clear" w:color="auto" w:fill="B1F6CD" w:themeFill="accent1" w:themeFillTint="3F"/>
      </w:tcPr>
    </w:tblStylePr>
    <w:tblStylePr w:type="band1Horz">
      <w:tblPr/>
      <w:tcPr>
        <w:shd w:val="clear" w:color="auto" w:fill="B1F6CD" w:themeFill="accent1" w:themeFillTint="3F"/>
      </w:tcPr>
    </w:tblStylePr>
  </w:style>
  <w:style w:type="table" w:styleId="MediumList1-Accent2">
    <w:name w:val="Medium List 1 Accent 2"/>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16A7C4" w:themeColor="accent2"/>
        <w:bottom w:val="single" w:sz="8" w:space="0" w:color="16A7C4" w:themeColor="accent2"/>
      </w:tblBorders>
    </w:tblPr>
    <w:tblStylePr w:type="firstRow">
      <w:rPr>
        <w:rFonts w:asciiTheme="majorHAnsi" w:eastAsiaTheme="majorEastAsia" w:hAnsiTheme="majorHAnsi" w:cstheme="majorBidi"/>
      </w:rPr>
      <w:tblPr/>
      <w:tcPr>
        <w:tcBorders>
          <w:top w:val="nil"/>
          <w:bottom w:val="single" w:sz="8" w:space="0" w:color="16A7C4" w:themeColor="accent2"/>
        </w:tcBorders>
      </w:tcPr>
    </w:tblStylePr>
    <w:tblStylePr w:type="lastRow">
      <w:rPr>
        <w:b/>
        <w:bCs/>
        <w:color w:val="215E94" w:themeColor="text2"/>
      </w:rPr>
      <w:tblPr/>
      <w:tcPr>
        <w:tcBorders>
          <w:top w:val="single" w:sz="8" w:space="0" w:color="16A7C4" w:themeColor="accent2"/>
          <w:bottom w:val="single" w:sz="8" w:space="0" w:color="16A7C4" w:themeColor="accent2"/>
        </w:tcBorders>
      </w:tcPr>
    </w:tblStylePr>
    <w:tblStylePr w:type="firstCol">
      <w:rPr>
        <w:b/>
        <w:bCs/>
      </w:rPr>
    </w:tblStylePr>
    <w:tblStylePr w:type="lastCol">
      <w:rPr>
        <w:b/>
        <w:bCs/>
      </w:rPr>
      <w:tblPr/>
      <w:tcPr>
        <w:tcBorders>
          <w:top w:val="single" w:sz="8" w:space="0" w:color="16A7C4" w:themeColor="accent2"/>
          <w:bottom w:val="single" w:sz="8" w:space="0" w:color="16A7C4" w:themeColor="accent2"/>
        </w:tcBorders>
      </w:tcPr>
    </w:tblStylePr>
    <w:tblStylePr w:type="band1Vert">
      <w:tblPr/>
      <w:tcPr>
        <w:shd w:val="clear" w:color="auto" w:fill="BDEEF7" w:themeFill="accent2" w:themeFillTint="3F"/>
      </w:tcPr>
    </w:tblStylePr>
    <w:tblStylePr w:type="band1Horz">
      <w:tblPr/>
      <w:tcPr>
        <w:shd w:val="clear" w:color="auto" w:fill="BDEEF7" w:themeFill="accent2" w:themeFillTint="3F"/>
      </w:tcPr>
    </w:tblStylePr>
  </w:style>
  <w:style w:type="table" w:styleId="MediumList1-Accent3">
    <w:name w:val="Medium List 1 Accent 3"/>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C56829" w:themeColor="accent3"/>
        <w:bottom w:val="single" w:sz="8" w:space="0" w:color="C56829" w:themeColor="accent3"/>
      </w:tblBorders>
    </w:tblPr>
    <w:tblStylePr w:type="firstRow">
      <w:rPr>
        <w:rFonts w:asciiTheme="majorHAnsi" w:eastAsiaTheme="majorEastAsia" w:hAnsiTheme="majorHAnsi" w:cstheme="majorBidi"/>
      </w:rPr>
      <w:tblPr/>
      <w:tcPr>
        <w:tcBorders>
          <w:top w:val="nil"/>
          <w:bottom w:val="single" w:sz="8" w:space="0" w:color="C56829" w:themeColor="accent3"/>
        </w:tcBorders>
      </w:tcPr>
    </w:tblStylePr>
    <w:tblStylePr w:type="lastRow">
      <w:rPr>
        <w:b/>
        <w:bCs/>
        <w:color w:val="215E94" w:themeColor="text2"/>
      </w:rPr>
      <w:tblPr/>
      <w:tcPr>
        <w:tcBorders>
          <w:top w:val="single" w:sz="8" w:space="0" w:color="C56829" w:themeColor="accent3"/>
          <w:bottom w:val="single" w:sz="8" w:space="0" w:color="C56829" w:themeColor="accent3"/>
        </w:tcBorders>
      </w:tcPr>
    </w:tblStylePr>
    <w:tblStylePr w:type="firstCol">
      <w:rPr>
        <w:b/>
        <w:bCs/>
      </w:rPr>
    </w:tblStylePr>
    <w:tblStylePr w:type="lastCol">
      <w:rPr>
        <w:b/>
        <w:bCs/>
      </w:rPr>
      <w:tblPr/>
      <w:tcPr>
        <w:tcBorders>
          <w:top w:val="single" w:sz="8" w:space="0" w:color="C56829" w:themeColor="accent3"/>
          <w:bottom w:val="single" w:sz="8" w:space="0" w:color="C56829" w:themeColor="accent3"/>
        </w:tcBorders>
      </w:tcPr>
    </w:tblStylePr>
    <w:tblStylePr w:type="band1Vert">
      <w:tblPr/>
      <w:tcPr>
        <w:shd w:val="clear" w:color="auto" w:fill="F3D8C7" w:themeFill="accent3" w:themeFillTint="3F"/>
      </w:tcPr>
    </w:tblStylePr>
    <w:tblStylePr w:type="band1Horz">
      <w:tblPr/>
      <w:tcPr>
        <w:shd w:val="clear" w:color="auto" w:fill="F3D8C7" w:themeFill="accent3" w:themeFillTint="3F"/>
      </w:tcPr>
    </w:tblStylePr>
  </w:style>
  <w:style w:type="table" w:styleId="MediumList1-Accent4">
    <w:name w:val="Medium List 1 Accent 4"/>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B71F7A" w:themeColor="accent4"/>
        <w:bottom w:val="single" w:sz="8" w:space="0" w:color="B71F7A" w:themeColor="accent4"/>
      </w:tblBorders>
    </w:tblPr>
    <w:tblStylePr w:type="firstRow">
      <w:rPr>
        <w:rFonts w:asciiTheme="majorHAnsi" w:eastAsiaTheme="majorEastAsia" w:hAnsiTheme="majorHAnsi" w:cstheme="majorBidi"/>
      </w:rPr>
      <w:tblPr/>
      <w:tcPr>
        <w:tcBorders>
          <w:top w:val="nil"/>
          <w:bottom w:val="single" w:sz="8" w:space="0" w:color="B71F7A" w:themeColor="accent4"/>
        </w:tcBorders>
      </w:tcPr>
    </w:tblStylePr>
    <w:tblStylePr w:type="lastRow">
      <w:rPr>
        <w:b/>
        <w:bCs/>
        <w:color w:val="215E94" w:themeColor="text2"/>
      </w:rPr>
      <w:tblPr/>
      <w:tcPr>
        <w:tcBorders>
          <w:top w:val="single" w:sz="8" w:space="0" w:color="B71F7A" w:themeColor="accent4"/>
          <w:bottom w:val="single" w:sz="8" w:space="0" w:color="B71F7A" w:themeColor="accent4"/>
        </w:tcBorders>
      </w:tcPr>
    </w:tblStylePr>
    <w:tblStylePr w:type="firstCol">
      <w:rPr>
        <w:b/>
        <w:bCs/>
      </w:rPr>
    </w:tblStylePr>
    <w:tblStylePr w:type="lastCol">
      <w:rPr>
        <w:b/>
        <w:bCs/>
      </w:rPr>
      <w:tblPr/>
      <w:tcPr>
        <w:tcBorders>
          <w:top w:val="single" w:sz="8" w:space="0" w:color="B71F7A" w:themeColor="accent4"/>
          <w:bottom w:val="single" w:sz="8" w:space="0" w:color="B71F7A" w:themeColor="accent4"/>
        </w:tcBorders>
      </w:tcPr>
    </w:tblStylePr>
    <w:tblStylePr w:type="band1Vert">
      <w:tblPr/>
      <w:tcPr>
        <w:shd w:val="clear" w:color="auto" w:fill="F4C0DF" w:themeFill="accent4" w:themeFillTint="3F"/>
      </w:tcPr>
    </w:tblStylePr>
    <w:tblStylePr w:type="band1Horz">
      <w:tblPr/>
      <w:tcPr>
        <w:shd w:val="clear" w:color="auto" w:fill="F4C0DF" w:themeFill="accent4" w:themeFillTint="3F"/>
      </w:tcPr>
    </w:tblStylePr>
  </w:style>
  <w:style w:type="table" w:styleId="MediumList1-Accent5">
    <w:name w:val="Medium List 1 Accent 5"/>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15E9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FFC000" w:themeColor="accent6"/>
        <w:bottom w:val="single" w:sz="8" w:space="0" w:color="FFC000" w:themeColor="accent6"/>
      </w:tblBorders>
    </w:tblPr>
    <w:tblStylePr w:type="firstRow">
      <w:rPr>
        <w:rFonts w:asciiTheme="majorHAnsi" w:eastAsiaTheme="majorEastAsia" w:hAnsiTheme="majorHAnsi" w:cstheme="majorBidi"/>
      </w:rPr>
      <w:tblPr/>
      <w:tcPr>
        <w:tcBorders>
          <w:top w:val="nil"/>
          <w:bottom w:val="single" w:sz="8" w:space="0" w:color="FFC000" w:themeColor="accent6"/>
        </w:tcBorders>
      </w:tcPr>
    </w:tblStylePr>
    <w:tblStylePr w:type="lastRow">
      <w:rPr>
        <w:b/>
        <w:bCs/>
        <w:color w:val="215E94" w:themeColor="text2"/>
      </w:rPr>
      <w:tblPr/>
      <w:tcPr>
        <w:tcBorders>
          <w:top w:val="single" w:sz="8" w:space="0" w:color="FFC000" w:themeColor="accent6"/>
          <w:bottom w:val="single" w:sz="8" w:space="0" w:color="FFC000" w:themeColor="accent6"/>
        </w:tcBorders>
      </w:tcPr>
    </w:tblStylePr>
    <w:tblStylePr w:type="firstCol">
      <w:rPr>
        <w:b/>
        <w:bCs/>
      </w:rPr>
    </w:tblStylePr>
    <w:tblStylePr w:type="lastCol">
      <w:rPr>
        <w:b/>
        <w:bCs/>
      </w:rPr>
      <w:tblPr/>
      <w:tcPr>
        <w:tcBorders>
          <w:top w:val="single" w:sz="8" w:space="0" w:color="FFC000" w:themeColor="accent6"/>
          <w:bottom w:val="single" w:sz="8" w:space="0" w:color="FFC000" w:themeColor="accent6"/>
        </w:tcBorders>
      </w:tcPr>
    </w:tblStylePr>
    <w:tblStylePr w:type="band1Vert">
      <w:tblPr/>
      <w:tcPr>
        <w:shd w:val="clear" w:color="auto" w:fill="FFEFC0" w:themeFill="accent6" w:themeFillTint="3F"/>
      </w:tcPr>
    </w:tblStylePr>
    <w:tblStylePr w:type="band1Horz">
      <w:tblPr/>
      <w:tcPr>
        <w:shd w:val="clear" w:color="auto" w:fill="FFEFC0" w:themeFill="accent6" w:themeFillTint="3F"/>
      </w:tcPr>
    </w:tblStylePr>
  </w:style>
  <w:style w:type="table" w:styleId="MediumList2">
    <w:name w:val="Medium List 2"/>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tblBorders>
    </w:tblPr>
    <w:tblStylePr w:type="firstRow">
      <w:rPr>
        <w:sz w:val="24"/>
        <w:szCs w:val="24"/>
      </w:rPr>
      <w:tblPr/>
      <w:tcPr>
        <w:tcBorders>
          <w:top w:val="nil"/>
          <w:left w:val="nil"/>
          <w:bottom w:val="single" w:sz="24" w:space="0" w:color="10914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9146" w:themeColor="accent1"/>
          <w:insideH w:val="nil"/>
          <w:insideV w:val="nil"/>
        </w:tcBorders>
        <w:shd w:val="clear" w:color="auto" w:fill="FFFFFF" w:themeFill="background1"/>
      </w:tcPr>
    </w:tblStylePr>
    <w:tblStylePr w:type="lastCol">
      <w:tblPr/>
      <w:tcPr>
        <w:tcBorders>
          <w:top w:val="nil"/>
          <w:left w:val="single" w:sz="8" w:space="0" w:color="10914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6CD" w:themeFill="accent1" w:themeFillTint="3F"/>
      </w:tcPr>
    </w:tblStylePr>
    <w:tblStylePr w:type="band1Horz">
      <w:tblPr/>
      <w:tcPr>
        <w:tcBorders>
          <w:top w:val="nil"/>
          <w:bottom w:val="nil"/>
          <w:insideH w:val="nil"/>
          <w:insideV w:val="nil"/>
        </w:tcBorders>
        <w:shd w:val="clear" w:color="auto" w:fill="B1F6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tblBorders>
    </w:tblPr>
    <w:tblStylePr w:type="firstRow">
      <w:rPr>
        <w:sz w:val="24"/>
        <w:szCs w:val="24"/>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A7C4" w:themeColor="accent2"/>
          <w:insideH w:val="nil"/>
          <w:insideV w:val="nil"/>
        </w:tcBorders>
        <w:shd w:val="clear" w:color="auto" w:fill="FFFFFF" w:themeFill="background1"/>
      </w:tcPr>
    </w:tblStylePr>
    <w:tblStylePr w:type="lastCol">
      <w:tblPr/>
      <w:tcPr>
        <w:tcBorders>
          <w:top w:val="nil"/>
          <w:left w:val="single" w:sz="8" w:space="0" w:color="16A7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EF7" w:themeFill="accent2" w:themeFillTint="3F"/>
      </w:tcPr>
    </w:tblStylePr>
    <w:tblStylePr w:type="band1Horz">
      <w:tblPr/>
      <w:tcPr>
        <w:tcBorders>
          <w:top w:val="nil"/>
          <w:bottom w:val="nil"/>
          <w:insideH w:val="nil"/>
          <w:insideV w:val="nil"/>
        </w:tcBorders>
        <w:shd w:val="clear" w:color="auto" w:fill="BDEE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tblBorders>
    </w:tblPr>
    <w:tblStylePr w:type="firstRow">
      <w:rPr>
        <w:sz w:val="24"/>
        <w:szCs w:val="24"/>
      </w:rPr>
      <w:tblPr/>
      <w:tcPr>
        <w:tcBorders>
          <w:top w:val="nil"/>
          <w:left w:val="nil"/>
          <w:bottom w:val="single" w:sz="24" w:space="0" w:color="C568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6829" w:themeColor="accent3"/>
          <w:insideH w:val="nil"/>
          <w:insideV w:val="nil"/>
        </w:tcBorders>
        <w:shd w:val="clear" w:color="auto" w:fill="FFFFFF" w:themeFill="background1"/>
      </w:tcPr>
    </w:tblStylePr>
    <w:tblStylePr w:type="lastCol">
      <w:tblPr/>
      <w:tcPr>
        <w:tcBorders>
          <w:top w:val="nil"/>
          <w:left w:val="single" w:sz="8" w:space="0" w:color="C568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8C7" w:themeFill="accent3" w:themeFillTint="3F"/>
      </w:tcPr>
    </w:tblStylePr>
    <w:tblStylePr w:type="band1Horz">
      <w:tblPr/>
      <w:tcPr>
        <w:tcBorders>
          <w:top w:val="nil"/>
          <w:bottom w:val="nil"/>
          <w:insideH w:val="nil"/>
          <w:insideV w:val="nil"/>
        </w:tcBorders>
        <w:shd w:val="clear" w:color="auto" w:fill="F3D8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tblBorders>
    </w:tblPr>
    <w:tblStylePr w:type="firstRow">
      <w:rPr>
        <w:sz w:val="24"/>
        <w:szCs w:val="24"/>
      </w:rPr>
      <w:tblPr/>
      <w:tcPr>
        <w:tcBorders>
          <w:top w:val="nil"/>
          <w:left w:val="nil"/>
          <w:bottom w:val="single" w:sz="24" w:space="0" w:color="B71F7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1F7A" w:themeColor="accent4"/>
          <w:insideH w:val="nil"/>
          <w:insideV w:val="nil"/>
        </w:tcBorders>
        <w:shd w:val="clear" w:color="auto" w:fill="FFFFFF" w:themeFill="background1"/>
      </w:tcPr>
    </w:tblStylePr>
    <w:tblStylePr w:type="lastCol">
      <w:tblPr/>
      <w:tcPr>
        <w:tcBorders>
          <w:top w:val="nil"/>
          <w:left w:val="single" w:sz="8" w:space="0" w:color="B71F7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0DF" w:themeFill="accent4" w:themeFillTint="3F"/>
      </w:tcPr>
    </w:tblStylePr>
    <w:tblStylePr w:type="band1Horz">
      <w:tblPr/>
      <w:tcPr>
        <w:tcBorders>
          <w:top w:val="nil"/>
          <w:bottom w:val="nil"/>
          <w:insideH w:val="nil"/>
          <w:insideV w:val="nil"/>
        </w:tcBorders>
        <w:shd w:val="clear" w:color="auto" w:fill="F4C0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rPr>
        <w:sz w:val="24"/>
        <w:szCs w:val="24"/>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6"/>
          <w:insideH w:val="nil"/>
          <w:insideV w:val="nil"/>
        </w:tcBorders>
        <w:shd w:val="clear" w:color="auto" w:fill="FFFFFF" w:themeFill="background1"/>
      </w:tcPr>
    </w:tblStylePr>
    <w:tblStylePr w:type="lastCol">
      <w:tblPr/>
      <w:tcPr>
        <w:tcBorders>
          <w:top w:val="nil"/>
          <w:left w:val="single" w:sz="8" w:space="0" w:color="FFC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top w:val="nil"/>
          <w:bottom w:val="nil"/>
          <w:insideH w:val="nil"/>
          <w:insideV w:val="nil"/>
        </w:tcBorders>
        <w:shd w:val="clear" w:color="auto" w:fill="FFE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E0A7F"/>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E0A7F"/>
    <w:pPr>
      <w:spacing w:before="0" w:after="0"/>
    </w:pPr>
    <w:tblPr>
      <w:tblStyleRowBandSize w:val="1"/>
      <w:tblStyleColBandSize w:val="1"/>
      <w:tblBorders>
        <w:top w:val="single" w:sz="8"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single" w:sz="8" w:space="0" w:color="18DF6B" w:themeColor="accent1" w:themeTint="BF"/>
      </w:tblBorders>
    </w:tblPr>
    <w:tblStylePr w:type="firstRow">
      <w:pPr>
        <w:spacing w:before="0" w:after="0" w:line="240" w:lineRule="auto"/>
      </w:pPr>
      <w:rPr>
        <w:b/>
        <w:bCs/>
        <w:color w:val="FFFFFF" w:themeColor="background1"/>
      </w:rPr>
      <w:tblPr/>
      <w:tcPr>
        <w:tcBorders>
          <w:top w:val="single" w:sz="8"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nil"/>
          <w:insideV w:val="nil"/>
        </w:tcBorders>
        <w:shd w:val="clear" w:color="auto" w:fill="109146" w:themeFill="accent1"/>
      </w:tcPr>
    </w:tblStylePr>
    <w:tblStylePr w:type="lastRow">
      <w:pPr>
        <w:spacing w:before="0" w:after="0" w:line="240" w:lineRule="auto"/>
      </w:pPr>
      <w:rPr>
        <w:b/>
        <w:bCs/>
      </w:rPr>
      <w:tblPr/>
      <w:tcPr>
        <w:tcBorders>
          <w:top w:val="double" w:sz="6"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F6CD" w:themeFill="accent1" w:themeFillTint="3F"/>
      </w:tcPr>
    </w:tblStylePr>
    <w:tblStylePr w:type="band1Horz">
      <w:tblPr/>
      <w:tcPr>
        <w:tcBorders>
          <w:insideH w:val="nil"/>
          <w:insideV w:val="nil"/>
        </w:tcBorders>
        <w:shd w:val="clear" w:color="auto" w:fill="B1F6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E0A7F"/>
    <w:pPr>
      <w:spacing w:before="0" w:after="0"/>
    </w:pPr>
    <w:tblPr>
      <w:tblStyleRowBandSize w:val="1"/>
      <w:tblStyleColBandSize w:val="1"/>
      <w:tblBorders>
        <w:top w:val="single" w:sz="8"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single" w:sz="8" w:space="0" w:color="3ACBE9" w:themeColor="accent2" w:themeTint="BF"/>
      </w:tblBorders>
    </w:tblPr>
    <w:tblStylePr w:type="firstRow">
      <w:pPr>
        <w:spacing w:before="0" w:after="0" w:line="240" w:lineRule="auto"/>
      </w:pPr>
      <w:rPr>
        <w:b/>
        <w:bCs/>
        <w:color w:val="FFFFFF" w:themeColor="background1"/>
      </w:rPr>
      <w:tblPr/>
      <w:tcPr>
        <w:tcBorders>
          <w:top w:val="single" w:sz="8"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nil"/>
          <w:insideV w:val="nil"/>
        </w:tcBorders>
        <w:shd w:val="clear" w:color="auto" w:fill="16A7C4" w:themeFill="accent2"/>
      </w:tcPr>
    </w:tblStylePr>
    <w:tblStylePr w:type="lastRow">
      <w:pPr>
        <w:spacing w:before="0" w:after="0" w:line="240" w:lineRule="auto"/>
      </w:pPr>
      <w:rPr>
        <w:b/>
        <w:bCs/>
      </w:rPr>
      <w:tblPr/>
      <w:tcPr>
        <w:tcBorders>
          <w:top w:val="double" w:sz="6"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EF7" w:themeFill="accent2" w:themeFillTint="3F"/>
      </w:tcPr>
    </w:tblStylePr>
    <w:tblStylePr w:type="band1Horz">
      <w:tblPr/>
      <w:tcPr>
        <w:tcBorders>
          <w:insideH w:val="nil"/>
          <w:insideV w:val="nil"/>
        </w:tcBorders>
        <w:shd w:val="clear" w:color="auto" w:fill="BDEE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E0A7F"/>
    <w:pPr>
      <w:spacing w:before="0" w:after="0"/>
    </w:pPr>
    <w:tblPr>
      <w:tblStyleRowBandSize w:val="1"/>
      <w:tblStyleColBandSize w:val="1"/>
      <w:tblBorders>
        <w:top w:val="single" w:sz="8"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single" w:sz="8" w:space="0" w:color="DB8B56" w:themeColor="accent3" w:themeTint="BF"/>
      </w:tblBorders>
    </w:tblPr>
    <w:tblStylePr w:type="firstRow">
      <w:pPr>
        <w:spacing w:before="0" w:after="0" w:line="240" w:lineRule="auto"/>
      </w:pPr>
      <w:rPr>
        <w:b/>
        <w:bCs/>
        <w:color w:val="FFFFFF" w:themeColor="background1"/>
      </w:rPr>
      <w:tblPr/>
      <w:tcPr>
        <w:tcBorders>
          <w:top w:val="single" w:sz="8"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nil"/>
          <w:insideV w:val="nil"/>
        </w:tcBorders>
        <w:shd w:val="clear" w:color="auto" w:fill="C56829" w:themeFill="accent3"/>
      </w:tcPr>
    </w:tblStylePr>
    <w:tblStylePr w:type="lastRow">
      <w:pPr>
        <w:spacing w:before="0" w:after="0" w:line="240" w:lineRule="auto"/>
      </w:pPr>
      <w:rPr>
        <w:b/>
        <w:bCs/>
      </w:rPr>
      <w:tblPr/>
      <w:tcPr>
        <w:tcBorders>
          <w:top w:val="double" w:sz="6"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D8C7" w:themeFill="accent3" w:themeFillTint="3F"/>
      </w:tcPr>
    </w:tblStylePr>
    <w:tblStylePr w:type="band1Horz">
      <w:tblPr/>
      <w:tcPr>
        <w:tcBorders>
          <w:insideH w:val="nil"/>
          <w:insideV w:val="nil"/>
        </w:tcBorders>
        <w:shd w:val="clear" w:color="auto" w:fill="F3D8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E0A7F"/>
    <w:pPr>
      <w:spacing w:before="0" w:after="0"/>
    </w:pPr>
    <w:tblPr>
      <w:tblStyleRowBandSize w:val="1"/>
      <w:tblStyleColBandSize w:val="1"/>
      <w:tblBorders>
        <w:top w:val="single" w:sz="8"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single" w:sz="8" w:space="0" w:color="DE419F" w:themeColor="accent4" w:themeTint="BF"/>
      </w:tblBorders>
    </w:tblPr>
    <w:tblStylePr w:type="firstRow">
      <w:pPr>
        <w:spacing w:before="0" w:after="0" w:line="240" w:lineRule="auto"/>
      </w:pPr>
      <w:rPr>
        <w:b/>
        <w:bCs/>
        <w:color w:val="FFFFFF" w:themeColor="background1"/>
      </w:rPr>
      <w:tblPr/>
      <w:tcPr>
        <w:tcBorders>
          <w:top w:val="single" w:sz="8"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nil"/>
          <w:insideV w:val="nil"/>
        </w:tcBorders>
        <w:shd w:val="clear" w:color="auto" w:fill="B71F7A" w:themeFill="accent4"/>
      </w:tcPr>
    </w:tblStylePr>
    <w:tblStylePr w:type="lastRow">
      <w:pPr>
        <w:spacing w:before="0" w:after="0" w:line="240" w:lineRule="auto"/>
      </w:pPr>
      <w:rPr>
        <w:b/>
        <w:bCs/>
      </w:rPr>
      <w:tblPr/>
      <w:tcPr>
        <w:tcBorders>
          <w:top w:val="double" w:sz="6"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C0DF" w:themeFill="accent4" w:themeFillTint="3F"/>
      </w:tcPr>
    </w:tblStylePr>
    <w:tblStylePr w:type="band1Horz">
      <w:tblPr/>
      <w:tcPr>
        <w:tcBorders>
          <w:insideH w:val="nil"/>
          <w:insideV w:val="nil"/>
        </w:tcBorders>
        <w:shd w:val="clear" w:color="auto" w:fill="F4C0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E0A7F"/>
    <w:pPr>
      <w:spacing w:before="0" w:after="0"/>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E0A7F"/>
    <w:pPr>
      <w:spacing w:before="0" w:after="0"/>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tblBorders>
    </w:tblPr>
    <w:tblStylePr w:type="firstRow">
      <w:pPr>
        <w:spacing w:before="0" w:after="0" w:line="240" w:lineRule="auto"/>
      </w:pPr>
      <w:rPr>
        <w:b/>
        <w:bCs/>
        <w:color w:val="FFFFFF" w:themeColor="background1"/>
      </w:rPr>
      <w:tblPr/>
      <w:tcPr>
        <w:tc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shd w:val="clear" w:color="auto" w:fill="FFC000" w:themeFill="accent6"/>
      </w:tcPr>
    </w:tblStylePr>
    <w:tblStylePr w:type="lastRow">
      <w:pPr>
        <w:spacing w:before="0" w:after="0" w:line="240" w:lineRule="auto"/>
      </w:pPr>
      <w:rPr>
        <w:b/>
        <w:bCs/>
      </w:rPr>
      <w:tblPr/>
      <w:tcPr>
        <w:tcBorders>
          <w:top w:val="double" w:sz="6"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6" w:themeFillTint="3F"/>
      </w:tcPr>
    </w:tblStylePr>
    <w:tblStylePr w:type="band1Horz">
      <w:tblPr/>
      <w:tcPr>
        <w:tcBorders>
          <w:insideH w:val="nil"/>
          <w:insideV w:val="nil"/>
        </w:tcBorders>
        <w:shd w:val="clear" w:color="auto" w:fill="FFE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A7C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6A7C4" w:themeFill="accent2"/>
      </w:tcPr>
    </w:tblStylePr>
    <w:tblStylePr w:type="lastCol">
      <w:rPr>
        <w:b/>
        <w:bCs/>
        <w:color w:val="FFFFFF" w:themeColor="background1"/>
      </w:rPr>
      <w:tblPr/>
      <w:tcPr>
        <w:tcBorders>
          <w:left w:val="nil"/>
          <w:right w:val="nil"/>
          <w:insideH w:val="nil"/>
          <w:insideV w:val="nil"/>
        </w:tcBorders>
        <w:shd w:val="clear" w:color="auto" w:fill="16A7C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68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56829" w:themeFill="accent3"/>
      </w:tcPr>
    </w:tblStylePr>
    <w:tblStylePr w:type="lastCol">
      <w:rPr>
        <w:b/>
        <w:bCs/>
        <w:color w:val="FFFFFF" w:themeColor="background1"/>
      </w:rPr>
      <w:tblPr/>
      <w:tcPr>
        <w:tcBorders>
          <w:left w:val="nil"/>
          <w:right w:val="nil"/>
          <w:insideH w:val="nil"/>
          <w:insideV w:val="nil"/>
        </w:tcBorders>
        <w:shd w:val="clear" w:color="auto" w:fill="C568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1F7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1F7A" w:themeFill="accent4"/>
      </w:tcPr>
    </w:tblStylePr>
    <w:tblStylePr w:type="lastCol">
      <w:rPr>
        <w:b/>
        <w:bCs/>
        <w:color w:val="FFFFFF" w:themeColor="background1"/>
      </w:rPr>
      <w:tblPr/>
      <w:tcPr>
        <w:tcBorders>
          <w:left w:val="nil"/>
          <w:right w:val="nil"/>
          <w:insideH w:val="nil"/>
          <w:insideV w:val="nil"/>
        </w:tcBorders>
        <w:shd w:val="clear" w:color="auto" w:fill="B71F7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6"/>
      </w:tcPr>
    </w:tblStylePr>
    <w:tblStylePr w:type="lastCol">
      <w:rPr>
        <w:b/>
        <w:bCs/>
        <w:color w:val="FFFFFF" w:themeColor="background1"/>
      </w:rPr>
      <w:tblPr/>
      <w:tcPr>
        <w:tcBorders>
          <w:left w:val="nil"/>
          <w:right w:val="nil"/>
          <w:insideH w:val="nil"/>
          <w:insideV w:val="nil"/>
        </w:tcBorders>
        <w:shd w:val="clear" w:color="auto" w:fill="FFC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CE0A7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0A7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E0A7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0A7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0A7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E0A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0A7F"/>
    <w:rPr>
      <w:i/>
      <w:iCs/>
      <w:color w:val="404040" w:themeColor="text1" w:themeTint="BF"/>
      <w:lang w:val="en-GB"/>
    </w:rPr>
  </w:style>
  <w:style w:type="character" w:styleId="Strong">
    <w:name w:val="Strong"/>
    <w:basedOn w:val="DefaultParagraphFont"/>
    <w:uiPriority w:val="22"/>
    <w:qFormat/>
    <w:rsid w:val="00CE0A7F"/>
    <w:rPr>
      <w:b/>
      <w:bCs/>
      <w:lang w:val="en-GB"/>
    </w:rPr>
  </w:style>
  <w:style w:type="paragraph" w:styleId="Subtitle">
    <w:name w:val="Subtitle"/>
    <w:basedOn w:val="Normal"/>
    <w:next w:val="Normal"/>
    <w:link w:val="SubtitleChar"/>
    <w:uiPriority w:val="11"/>
    <w:rsid w:val="008E3AF2"/>
    <w:pPr>
      <w:numPr>
        <w:ilvl w:val="1"/>
      </w:numPr>
    </w:pPr>
    <w:rPr>
      <w:rFonts w:asciiTheme="minorHAnsi" w:eastAsiaTheme="minorEastAsia" w:hAnsiTheme="minorHAnsi"/>
      <w:color w:val="000000" w:themeColor="text1"/>
      <w:spacing w:val="15"/>
      <w:sz w:val="22"/>
      <w:szCs w:val="22"/>
    </w:rPr>
  </w:style>
  <w:style w:type="character" w:customStyle="1" w:styleId="SubtitleChar">
    <w:name w:val="Subtitle Char"/>
    <w:basedOn w:val="DefaultParagraphFont"/>
    <w:link w:val="Subtitle"/>
    <w:uiPriority w:val="11"/>
    <w:rsid w:val="008E3AF2"/>
    <w:rPr>
      <w:rFonts w:asciiTheme="minorHAnsi" w:eastAsiaTheme="minorEastAsia" w:hAnsiTheme="minorHAnsi"/>
      <w:color w:val="000000" w:themeColor="text1"/>
      <w:spacing w:val="15"/>
      <w:sz w:val="22"/>
      <w:szCs w:val="22"/>
      <w:lang w:val="en-GB"/>
    </w:rPr>
  </w:style>
  <w:style w:type="character" w:styleId="SubtleEmphasis">
    <w:name w:val="Subtle Emphasis"/>
    <w:basedOn w:val="DefaultParagraphFont"/>
    <w:uiPriority w:val="19"/>
    <w:semiHidden/>
    <w:rsid w:val="00CE0A7F"/>
    <w:rPr>
      <w:i/>
      <w:iCs/>
      <w:color w:val="404040" w:themeColor="text1" w:themeTint="BF"/>
      <w:lang w:val="en-GB"/>
    </w:rPr>
  </w:style>
  <w:style w:type="character" w:styleId="SubtleReference">
    <w:name w:val="Subtle Reference"/>
    <w:basedOn w:val="DefaultParagraphFont"/>
    <w:uiPriority w:val="31"/>
    <w:semiHidden/>
    <w:qFormat/>
    <w:rsid w:val="00CE0A7F"/>
    <w:rPr>
      <w:smallCaps/>
      <w:color w:val="5A5A5A" w:themeColor="text1" w:themeTint="A5"/>
      <w:lang w:val="en-GB"/>
    </w:rPr>
  </w:style>
  <w:style w:type="table" w:styleId="Table3Deffects1">
    <w:name w:val="Table 3D effects 1"/>
    <w:basedOn w:val="TableNormal"/>
    <w:uiPriority w:val="99"/>
    <w:semiHidden/>
    <w:unhideWhenUsed/>
    <w:rsid w:val="00CE0A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0A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0A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0A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0A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0A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0A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0A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0A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0A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0A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0A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0A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0A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0A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0A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0A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0A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0A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0A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0A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0A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0A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E0A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E0A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0A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0A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0A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0A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0A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0A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E0A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0A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0A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0A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0A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0A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0A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0A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E0A7F"/>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A7F"/>
    <w:rPr>
      <w:rFonts w:asciiTheme="majorHAnsi" w:eastAsiaTheme="majorEastAsia" w:hAnsiTheme="majorHAnsi" w:cstheme="majorBidi"/>
      <w:spacing w:val="-10"/>
      <w:kern w:val="28"/>
      <w:sz w:val="56"/>
      <w:szCs w:val="56"/>
      <w:lang w:val="en-GB"/>
    </w:rPr>
  </w:style>
  <w:style w:type="paragraph" w:styleId="TOC2">
    <w:name w:val="toc 2"/>
    <w:basedOn w:val="Normal"/>
    <w:next w:val="Normal"/>
    <w:autoRedefine/>
    <w:uiPriority w:val="39"/>
    <w:unhideWhenUsed/>
    <w:qFormat/>
    <w:rsid w:val="003E475D"/>
    <w:pPr>
      <w:tabs>
        <w:tab w:val="left" w:pos="880"/>
        <w:tab w:val="right" w:leader="dot" w:pos="9072"/>
        <w:tab w:val="right" w:leader="dot" w:pos="9594"/>
      </w:tabs>
      <w:spacing w:before="0" w:after="120" w:line="240" w:lineRule="auto"/>
      <w:ind w:left="357"/>
    </w:pPr>
  </w:style>
  <w:style w:type="paragraph" w:styleId="TOC3">
    <w:name w:val="toc 3"/>
    <w:basedOn w:val="Normal"/>
    <w:next w:val="Normal"/>
    <w:autoRedefine/>
    <w:uiPriority w:val="39"/>
    <w:unhideWhenUsed/>
    <w:qFormat/>
    <w:rsid w:val="004023DA"/>
    <w:pPr>
      <w:spacing w:after="100"/>
      <w:ind w:left="720"/>
    </w:pPr>
  </w:style>
  <w:style w:type="paragraph" w:styleId="TOC4">
    <w:name w:val="toc 4"/>
    <w:basedOn w:val="Normal"/>
    <w:next w:val="Normal"/>
    <w:autoRedefine/>
    <w:uiPriority w:val="39"/>
    <w:semiHidden/>
    <w:unhideWhenUsed/>
    <w:rsid w:val="00CE0A7F"/>
    <w:pPr>
      <w:spacing w:after="100"/>
      <w:ind w:left="600"/>
    </w:pPr>
  </w:style>
  <w:style w:type="paragraph" w:styleId="TOC5">
    <w:name w:val="toc 5"/>
    <w:basedOn w:val="Normal"/>
    <w:next w:val="Normal"/>
    <w:autoRedefine/>
    <w:uiPriority w:val="39"/>
    <w:semiHidden/>
    <w:unhideWhenUsed/>
    <w:rsid w:val="00CE0A7F"/>
    <w:pPr>
      <w:spacing w:after="100"/>
      <w:ind w:left="800"/>
    </w:pPr>
  </w:style>
  <w:style w:type="paragraph" w:styleId="TOC6">
    <w:name w:val="toc 6"/>
    <w:basedOn w:val="Normal"/>
    <w:next w:val="Normal"/>
    <w:autoRedefine/>
    <w:uiPriority w:val="39"/>
    <w:semiHidden/>
    <w:unhideWhenUsed/>
    <w:rsid w:val="00CE0A7F"/>
    <w:pPr>
      <w:spacing w:after="100"/>
      <w:ind w:left="1000"/>
    </w:pPr>
  </w:style>
  <w:style w:type="paragraph" w:styleId="TOC7">
    <w:name w:val="toc 7"/>
    <w:basedOn w:val="Normal"/>
    <w:next w:val="Normal"/>
    <w:autoRedefine/>
    <w:uiPriority w:val="39"/>
    <w:semiHidden/>
    <w:unhideWhenUsed/>
    <w:rsid w:val="00CE0A7F"/>
    <w:pPr>
      <w:spacing w:after="100"/>
      <w:ind w:left="1200"/>
    </w:pPr>
  </w:style>
  <w:style w:type="paragraph" w:styleId="TOC8">
    <w:name w:val="toc 8"/>
    <w:basedOn w:val="Normal"/>
    <w:next w:val="Normal"/>
    <w:autoRedefine/>
    <w:uiPriority w:val="39"/>
    <w:semiHidden/>
    <w:unhideWhenUsed/>
    <w:rsid w:val="00CE0A7F"/>
    <w:pPr>
      <w:spacing w:after="100"/>
      <w:ind w:left="1400"/>
    </w:pPr>
  </w:style>
  <w:style w:type="paragraph" w:styleId="TOC9">
    <w:name w:val="toc 9"/>
    <w:basedOn w:val="Normal"/>
    <w:next w:val="Normal"/>
    <w:autoRedefine/>
    <w:uiPriority w:val="39"/>
    <w:semiHidden/>
    <w:unhideWhenUsed/>
    <w:rsid w:val="00CE0A7F"/>
    <w:pPr>
      <w:spacing w:after="100"/>
      <w:ind w:left="1600"/>
    </w:pPr>
  </w:style>
  <w:style w:type="paragraph" w:styleId="TOCHeading">
    <w:name w:val="TOC Heading"/>
    <w:basedOn w:val="amprH1TITLE-noTOC"/>
    <w:next w:val="Normal"/>
    <w:uiPriority w:val="39"/>
    <w:unhideWhenUsed/>
    <w:qFormat/>
    <w:rsid w:val="004023DA"/>
  </w:style>
  <w:style w:type="paragraph" w:customStyle="1" w:styleId="amprH2TITLE1-Numbered-1">
    <w:name w:val="[ampr H2] TITLE 1 - Numbered - 1."/>
    <w:basedOn w:val="amprH2TITLE1"/>
    <w:next w:val="amprBodyText"/>
    <w:uiPriority w:val="9"/>
    <w:qFormat/>
    <w:rsid w:val="00723E31"/>
    <w:pPr>
      <w:pageBreakBefore w:val="0"/>
      <w:numPr>
        <w:numId w:val="13"/>
      </w:numPr>
      <w:spacing w:before="360"/>
    </w:pPr>
  </w:style>
  <w:style w:type="paragraph" w:customStyle="1" w:styleId="amprH3Title2-Numbered-11">
    <w:name w:val="[ampr H3] Title 2 - Numbered - 1.1."/>
    <w:basedOn w:val="amprH3Title2"/>
    <w:next w:val="amprBodyText"/>
    <w:uiPriority w:val="9"/>
    <w:qFormat/>
    <w:rsid w:val="00212F51"/>
    <w:pPr>
      <w:numPr>
        <w:ilvl w:val="1"/>
        <w:numId w:val="13"/>
      </w:numPr>
      <w:ind w:left="576" w:hanging="576"/>
    </w:pPr>
  </w:style>
  <w:style w:type="paragraph" w:customStyle="1" w:styleId="amprH5Subhead2-Numbered-1111">
    <w:name w:val="[ampr H5] Subhead 2 - Numbered - 1.1.1.1."/>
    <w:basedOn w:val="amprH5Subhead2"/>
    <w:next w:val="amprBodyText"/>
    <w:uiPriority w:val="9"/>
    <w:qFormat/>
    <w:rsid w:val="00B526D7"/>
    <w:pPr>
      <w:numPr>
        <w:ilvl w:val="3"/>
        <w:numId w:val="13"/>
      </w:numPr>
    </w:pPr>
  </w:style>
  <w:style w:type="table" w:customStyle="1" w:styleId="amprbox1">
    <w:name w:val="[ampr] box 1"/>
    <w:basedOn w:val="TableNormal"/>
    <w:uiPriority w:val="99"/>
    <w:rsid w:val="007A6370"/>
    <w:pPr>
      <w:keepLines/>
    </w:pPr>
    <w:tblPr>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blBorders>
      <w:tblCellMar>
        <w:left w:w="198" w:type="dxa"/>
        <w:right w:w="198" w:type="dxa"/>
      </w:tblCellMar>
    </w:tblPr>
    <w:trPr>
      <w:jc w:val="center"/>
    </w:trPr>
    <w:tcPr>
      <w:shd w:val="clear" w:color="auto" w:fill="F2F2F2" w:themeFill="background1" w:themeFillShade="F2"/>
    </w:tcPr>
  </w:style>
  <w:style w:type="paragraph" w:customStyle="1" w:styleId="amprboxGREYtext">
    <w:name w:val="[ampr box GREY] text"/>
    <w:basedOn w:val="BASE-STYLE-TEXT"/>
    <w:uiPriority w:val="5"/>
    <w:qFormat/>
    <w:rsid w:val="00A14612"/>
    <w:pPr>
      <w:pBdr>
        <w:top w:val="single" w:sz="12" w:space="8" w:color="F2F2F2" w:themeColor="background1" w:themeShade="F2"/>
        <w:left w:val="single" w:sz="12" w:space="8" w:color="F2F2F2" w:themeColor="background1" w:themeShade="F2"/>
        <w:bottom w:val="single" w:sz="12" w:space="8" w:color="F2F2F2" w:themeColor="background1" w:themeShade="F2"/>
        <w:right w:val="single" w:sz="12" w:space="8" w:color="F2F2F2" w:themeColor="background1" w:themeShade="F2"/>
      </w:pBdr>
      <w:shd w:val="clear" w:color="auto" w:fill="F2F2F2" w:themeFill="background1" w:themeFillShade="F2"/>
      <w:spacing w:before="240" w:after="240"/>
    </w:pPr>
    <w:rPr>
      <w:color w:val="auto"/>
      <w:sz w:val="20"/>
      <w:lang w:eastAsia="fr-BE"/>
    </w:rPr>
  </w:style>
  <w:style w:type="paragraph" w:customStyle="1" w:styleId="amprLISTblackbullets-L1consecutiveparagraph">
    <w:name w:val="[ampr LIST black] bullets - L1 (consecutive paragraph)"/>
    <w:basedOn w:val="amprLISTblackbullets-L1"/>
    <w:uiPriority w:val="5"/>
    <w:qFormat/>
    <w:rsid w:val="007F3983"/>
    <w:pPr>
      <w:numPr>
        <w:numId w:val="0"/>
      </w:numPr>
      <w:ind w:left="720"/>
    </w:pPr>
  </w:style>
  <w:style w:type="paragraph" w:customStyle="1" w:styleId="amprLISTblackbullets-L2consecutiveparagraph">
    <w:name w:val="[ampr LIST black] bullets - L2 (consecutive paragraph)"/>
    <w:basedOn w:val="amprLISTblackbullets-L2"/>
    <w:uiPriority w:val="5"/>
    <w:qFormat/>
    <w:rsid w:val="007F3983"/>
    <w:pPr>
      <w:numPr>
        <w:ilvl w:val="0"/>
        <w:numId w:val="0"/>
      </w:numPr>
      <w:ind w:left="1435"/>
    </w:pPr>
  </w:style>
  <w:style w:type="paragraph" w:customStyle="1" w:styleId="amprLISTgreenbullets-L2consecutiveparagraph">
    <w:name w:val="[ampr LIST green] bullets - L2 (consecutive paragraph)"/>
    <w:basedOn w:val="amprLISTgreenbullets-L2"/>
    <w:uiPriority w:val="5"/>
    <w:qFormat/>
    <w:rsid w:val="007F3983"/>
    <w:pPr>
      <w:numPr>
        <w:ilvl w:val="0"/>
        <w:numId w:val="0"/>
      </w:numPr>
      <w:ind w:left="1435"/>
    </w:pPr>
  </w:style>
  <w:style w:type="paragraph" w:customStyle="1" w:styleId="amprH1Sectiontitle">
    <w:name w:val="[ampr H1] Section title"/>
    <w:basedOn w:val="BASE-STYLE-HEADINGS"/>
    <w:next w:val="amprBodyText"/>
    <w:uiPriority w:val="9"/>
    <w:qFormat/>
    <w:rsid w:val="005F0759"/>
    <w:pPr>
      <w:spacing w:before="8000" w:after="240"/>
      <w:ind w:left="4321"/>
      <w:jc w:val="left"/>
      <w:outlineLvl w:val="0"/>
    </w:pPr>
    <w:rPr>
      <w:rFonts w:ascii="EC Square Sans Pro Light" w:eastAsiaTheme="minorHAnsi" w:hAnsi="EC Square Sans Pro Light" w:cstheme="minorBidi"/>
      <w:color w:val="FFFFFF" w:themeColor="background1"/>
      <w:sz w:val="96"/>
      <w:szCs w:val="96"/>
    </w:rPr>
  </w:style>
  <w:style w:type="numbering" w:customStyle="1" w:styleId="amprHLISTNumberedheadings">
    <w:name w:val="[ampr H LIST] Numbered headings"/>
    <w:uiPriority w:val="99"/>
    <w:rsid w:val="00B62719"/>
    <w:pPr>
      <w:numPr>
        <w:numId w:val="12"/>
      </w:numPr>
    </w:pPr>
  </w:style>
  <w:style w:type="table" w:customStyle="1" w:styleId="amprbox2">
    <w:name w:val="[ampr] box 2"/>
    <w:basedOn w:val="TableNormal"/>
    <w:uiPriority w:val="99"/>
    <w:rsid w:val="00E80FAA"/>
    <w:pPr>
      <w:keepLines/>
    </w:pPr>
    <w:rPr>
      <w:color w:val="FFFFFF" w:themeColor="background1"/>
    </w:rPr>
    <w:tblPr>
      <w:jc w:val="center"/>
      <w:tblBorders>
        <w:top w:val="single" w:sz="12" w:space="0" w:color="215E94" w:themeColor="text2"/>
        <w:left w:val="single" w:sz="12" w:space="0" w:color="215E94" w:themeColor="text2"/>
        <w:bottom w:val="single" w:sz="12" w:space="0" w:color="215E94" w:themeColor="text2"/>
        <w:right w:val="single" w:sz="12" w:space="0" w:color="215E94" w:themeColor="text2"/>
        <w:insideH w:val="single" w:sz="12" w:space="0" w:color="215E94" w:themeColor="text2"/>
        <w:insideV w:val="single" w:sz="12" w:space="0" w:color="215E94" w:themeColor="text2"/>
      </w:tblBorders>
      <w:tblCellMar>
        <w:left w:w="198" w:type="dxa"/>
        <w:right w:w="198" w:type="dxa"/>
      </w:tblCellMar>
    </w:tblPr>
    <w:trPr>
      <w:jc w:val="center"/>
    </w:trPr>
    <w:tcPr>
      <w:shd w:val="clear" w:color="auto" w:fill="215E94" w:themeFill="text2"/>
    </w:tcPr>
  </w:style>
  <w:style w:type="table" w:customStyle="1" w:styleId="amprbox3">
    <w:name w:val="[ampr] box 3"/>
    <w:basedOn w:val="TableNormal"/>
    <w:uiPriority w:val="99"/>
    <w:rsid w:val="00DD14AC"/>
    <w:pPr>
      <w:keepLines/>
    </w:pPr>
    <w:tblPr>
      <w:jc w:val="center"/>
      <w:tblBorders>
        <w:top w:val="dashSmallGap" w:sz="12" w:space="0" w:color="109146" w:themeColor="accent1"/>
        <w:left w:val="dashSmallGap" w:sz="12" w:space="0" w:color="109146" w:themeColor="accent1"/>
        <w:bottom w:val="dashSmallGap" w:sz="12" w:space="0" w:color="109146" w:themeColor="accent1"/>
        <w:right w:val="dashSmallGap" w:sz="12" w:space="0" w:color="109146" w:themeColor="accent1"/>
      </w:tblBorders>
      <w:tblCellMar>
        <w:left w:w="198" w:type="dxa"/>
        <w:right w:w="198" w:type="dxa"/>
      </w:tblCellMar>
    </w:tblPr>
    <w:trPr>
      <w:jc w:val="center"/>
    </w:trPr>
    <w:tcPr>
      <w:shd w:val="clear" w:color="auto" w:fill="auto"/>
    </w:tcPr>
  </w:style>
  <w:style w:type="paragraph" w:customStyle="1" w:styleId="amprboxBLUEdashedtext">
    <w:name w:val="[ampr box BLUE dashed] text"/>
    <w:basedOn w:val="BASE-STYLE-TEXT"/>
    <w:uiPriority w:val="5"/>
    <w:qFormat/>
    <w:rsid w:val="007A2517"/>
    <w:pPr>
      <w:keepLines/>
      <w:pBdr>
        <w:top w:val="dashSmallGap" w:sz="12" w:space="8" w:color="215E94" w:themeColor="text2"/>
        <w:left w:val="dashSmallGap" w:sz="12" w:space="8" w:color="215E94" w:themeColor="text2"/>
        <w:bottom w:val="dashSmallGap" w:sz="12" w:space="8" w:color="215E94" w:themeColor="text2"/>
        <w:right w:val="dashSmallGap" w:sz="12" w:space="8" w:color="215E94" w:themeColor="text2"/>
      </w:pBdr>
      <w:spacing w:before="240" w:after="240"/>
    </w:pPr>
    <w:rPr>
      <w:sz w:val="20"/>
      <w:lang w:eastAsia="fr-BE"/>
    </w:rPr>
  </w:style>
  <w:style w:type="paragraph" w:customStyle="1" w:styleId="amprboxBLUEdashedheading">
    <w:name w:val="[ampr box BLUE dashed] heading"/>
    <w:basedOn w:val="amprboxBLUEdashedtext"/>
    <w:next w:val="amprboxBLUEdashedtext"/>
    <w:uiPriority w:val="5"/>
    <w:qFormat/>
    <w:rsid w:val="007A2517"/>
    <w:pPr>
      <w:keepNext/>
    </w:pPr>
    <w:rPr>
      <w:b/>
      <w:color w:val="215E94" w:themeColor="text2"/>
    </w:rPr>
  </w:style>
  <w:style w:type="paragraph" w:customStyle="1" w:styleId="amprboxBLUEdashedbulletlist">
    <w:name w:val="[ampr box BLUE dashed] bullet list"/>
    <w:basedOn w:val="amprboxBLUEdashedtext"/>
    <w:next w:val="amprboxBLUEdashedtext"/>
    <w:uiPriority w:val="5"/>
    <w:qFormat/>
    <w:rsid w:val="00710DF6"/>
    <w:pPr>
      <w:numPr>
        <w:numId w:val="14"/>
      </w:numPr>
      <w:spacing w:before="60" w:after="60"/>
      <w:ind w:left="357" w:hanging="357"/>
    </w:pPr>
  </w:style>
  <w:style w:type="paragraph" w:customStyle="1" w:styleId="amprLISTOrdered-L1">
    <w:name w:val="[ampr LIST Ordered] - L1"/>
    <w:basedOn w:val="BASE-STYLE-TEXT"/>
    <w:uiPriority w:val="5"/>
    <w:qFormat/>
    <w:rsid w:val="00E415A2"/>
    <w:pPr>
      <w:numPr>
        <w:numId w:val="15"/>
      </w:numPr>
      <w:spacing w:before="80" w:after="80"/>
    </w:pPr>
    <w:rPr>
      <w:rFonts w:ascii="Proxima Nova" w:hAnsi="Proxima Nova"/>
      <w:szCs w:val="22"/>
    </w:rPr>
  </w:style>
  <w:style w:type="paragraph" w:customStyle="1" w:styleId="amprLISTOrdered-L2">
    <w:name w:val="[ampr LIST Ordered] - L2"/>
    <w:basedOn w:val="amprLISTOrdered-L1"/>
    <w:uiPriority w:val="5"/>
    <w:qFormat/>
    <w:rsid w:val="001C0BF8"/>
    <w:pPr>
      <w:numPr>
        <w:ilvl w:val="1"/>
      </w:numPr>
    </w:pPr>
  </w:style>
  <w:style w:type="paragraph" w:customStyle="1" w:styleId="amprLISTOrdered-L3">
    <w:name w:val="[ampr LIST Ordered] - L3"/>
    <w:basedOn w:val="amprLISTOrdered-L2"/>
    <w:uiPriority w:val="5"/>
    <w:qFormat/>
    <w:rsid w:val="001C0BF8"/>
    <w:pPr>
      <w:numPr>
        <w:ilvl w:val="2"/>
      </w:numPr>
    </w:pPr>
  </w:style>
  <w:style w:type="paragraph" w:customStyle="1" w:styleId="amprLISTOrdered-L1consecutiveparagraph">
    <w:name w:val="[ampr LIST Ordered] - L1 (consecutive paragraph)"/>
    <w:basedOn w:val="amprLISTOrdered-L1"/>
    <w:uiPriority w:val="5"/>
    <w:qFormat/>
    <w:rsid w:val="001C0BF8"/>
    <w:pPr>
      <w:numPr>
        <w:numId w:val="0"/>
      </w:numPr>
      <w:ind w:left="714"/>
    </w:pPr>
  </w:style>
  <w:style w:type="paragraph" w:customStyle="1" w:styleId="amprLISTOrdered-L2consecutiveparagraph">
    <w:name w:val="[ampr LIST Ordered] - L2 (consecutive paragraph)"/>
    <w:basedOn w:val="amprLISTOrdered-L2"/>
    <w:uiPriority w:val="5"/>
    <w:qFormat/>
    <w:rsid w:val="001C0BF8"/>
    <w:pPr>
      <w:numPr>
        <w:ilvl w:val="0"/>
        <w:numId w:val="0"/>
      </w:numPr>
      <w:ind w:left="1185"/>
    </w:pPr>
  </w:style>
  <w:style w:type="paragraph" w:customStyle="1" w:styleId="amprLISTOrdered-L3consecutiveparagraph">
    <w:name w:val="[ampr LIST Ordered] - L3 (consecutive paragraph)"/>
    <w:basedOn w:val="amprLISTOrdered-L3"/>
    <w:uiPriority w:val="5"/>
    <w:qFormat/>
    <w:rsid w:val="000046DE"/>
    <w:pPr>
      <w:numPr>
        <w:ilvl w:val="0"/>
        <w:numId w:val="0"/>
      </w:numPr>
      <w:ind w:left="1769"/>
    </w:pPr>
  </w:style>
  <w:style w:type="numbering" w:customStyle="1" w:styleId="amprLIST-Ordered">
    <w:name w:val="[ampr LIST]-Ordered"/>
    <w:uiPriority w:val="99"/>
    <w:rsid w:val="001C0BF8"/>
    <w:pPr>
      <w:numPr>
        <w:numId w:val="15"/>
      </w:numPr>
    </w:pPr>
  </w:style>
  <w:style w:type="paragraph" w:customStyle="1" w:styleId="amprLISTOrdered-L4">
    <w:name w:val="[ampr LIST Ordered] - L4"/>
    <w:basedOn w:val="amprLISTOrdered-L3"/>
    <w:uiPriority w:val="5"/>
    <w:qFormat/>
    <w:rsid w:val="001C0BF8"/>
    <w:pPr>
      <w:numPr>
        <w:ilvl w:val="3"/>
      </w:numPr>
    </w:pPr>
  </w:style>
  <w:style w:type="paragraph" w:customStyle="1" w:styleId="amprLISTOrdered-L4consecutiveparagraph">
    <w:name w:val="[ampr LIST Ordered] - L4 (consecutive paragraph)"/>
    <w:basedOn w:val="amprLISTOrdered-L4"/>
    <w:uiPriority w:val="5"/>
    <w:qFormat/>
    <w:rsid w:val="000046DE"/>
    <w:pPr>
      <w:numPr>
        <w:ilvl w:val="0"/>
        <w:numId w:val="0"/>
      </w:numPr>
      <w:ind w:left="2466"/>
    </w:pPr>
  </w:style>
  <w:style w:type="paragraph" w:customStyle="1" w:styleId="amprLISTMixed-L1">
    <w:name w:val="[ampr LIST Mixed] - L1"/>
    <w:basedOn w:val="BASE-STYLE-TEXT"/>
    <w:uiPriority w:val="5"/>
    <w:qFormat/>
    <w:rsid w:val="001C0BF8"/>
    <w:pPr>
      <w:numPr>
        <w:numId w:val="17"/>
      </w:numPr>
      <w:spacing w:before="80" w:after="80"/>
    </w:pPr>
    <w:rPr>
      <w:szCs w:val="22"/>
    </w:rPr>
  </w:style>
  <w:style w:type="paragraph" w:customStyle="1" w:styleId="amprLISTMixed-L2">
    <w:name w:val="[ampr LIST Mixed] - L2"/>
    <w:basedOn w:val="amprLISTMixed-L1"/>
    <w:uiPriority w:val="5"/>
    <w:qFormat/>
    <w:rsid w:val="001C0BF8"/>
    <w:pPr>
      <w:numPr>
        <w:ilvl w:val="1"/>
      </w:numPr>
    </w:pPr>
  </w:style>
  <w:style w:type="paragraph" w:customStyle="1" w:styleId="amprLISTMixed-L3">
    <w:name w:val="[ampr LIST Mixed] - L3"/>
    <w:basedOn w:val="amprLISTMixed-L2"/>
    <w:uiPriority w:val="5"/>
    <w:qFormat/>
    <w:rsid w:val="001C0BF8"/>
    <w:pPr>
      <w:numPr>
        <w:ilvl w:val="2"/>
      </w:numPr>
    </w:pPr>
  </w:style>
  <w:style w:type="paragraph" w:customStyle="1" w:styleId="amprLISTMixed-L1consecutiveparagraph">
    <w:name w:val="[ampr LIST Mixed] - L1 (consecutive paragraph)"/>
    <w:basedOn w:val="amprLISTMixed-L1"/>
    <w:uiPriority w:val="5"/>
    <w:qFormat/>
    <w:rsid w:val="001C0BF8"/>
    <w:pPr>
      <w:numPr>
        <w:numId w:val="0"/>
      </w:numPr>
      <w:ind w:left="714"/>
    </w:pPr>
  </w:style>
  <w:style w:type="paragraph" w:customStyle="1" w:styleId="amprLISTMixed-L2consecutiveparagraph">
    <w:name w:val="[ampr LIST Mixed] - L2 (consecutive paragraph)"/>
    <w:basedOn w:val="amprLISTMixed-L2"/>
    <w:uiPriority w:val="5"/>
    <w:qFormat/>
    <w:rsid w:val="001C0BF8"/>
    <w:pPr>
      <w:numPr>
        <w:ilvl w:val="0"/>
        <w:numId w:val="0"/>
      </w:numPr>
      <w:ind w:left="1072"/>
    </w:pPr>
  </w:style>
  <w:style w:type="paragraph" w:customStyle="1" w:styleId="amprLISTMixed-L3consecutiveparagraph">
    <w:name w:val="[ampr LIST Mixed] - L3 (consecutive paragraph)"/>
    <w:basedOn w:val="amprLISTMixed-L3"/>
    <w:uiPriority w:val="5"/>
    <w:qFormat/>
    <w:rsid w:val="001C0BF8"/>
    <w:pPr>
      <w:numPr>
        <w:ilvl w:val="0"/>
        <w:numId w:val="0"/>
      </w:numPr>
      <w:ind w:left="1429"/>
    </w:pPr>
  </w:style>
  <w:style w:type="numbering" w:customStyle="1" w:styleId="amprLIST-Mixed">
    <w:name w:val="[ampr LIST]-Mixed"/>
    <w:uiPriority w:val="99"/>
    <w:rsid w:val="001C0BF8"/>
    <w:pPr>
      <w:numPr>
        <w:numId w:val="16"/>
      </w:numPr>
    </w:pPr>
  </w:style>
  <w:style w:type="table" w:customStyle="1" w:styleId="AMPR20212">
    <w:name w:val="AMPR_2021_2"/>
    <w:basedOn w:val="TableNormal"/>
    <w:uiPriority w:val="99"/>
    <w:rsid w:val="00A81DDC"/>
    <w:pPr>
      <w:spacing w:before="60" w:after="60" w:line="240" w:lineRule="auto"/>
    </w:pPr>
    <w:tblPr>
      <w:jc w:val="center"/>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rPr>
      <w:jc w:val="center"/>
    </w:trPr>
    <w:tcPr>
      <w:shd w:val="clear" w:color="auto" w:fill="F2F2F2" w:themeFill="background1" w:themeFillShade="F2"/>
    </w:tcPr>
    <w:tblStylePr w:type="firstRow">
      <w:pPr>
        <w:wordWrap/>
        <w:spacing w:beforeLines="0" w:before="100" w:beforeAutospacing="0" w:afterLines="0" w:after="100" w:afterAutospacing="0" w:line="240" w:lineRule="auto"/>
        <w:contextualSpacing w:val="0"/>
      </w:pPr>
      <w:rPr>
        <w:b/>
        <w:color w:val="FFFFFF" w:themeColor="background1"/>
      </w:rPr>
      <w:tblPr/>
      <w:tcPr>
        <w:tcBorders>
          <w:top w:val="single" w:sz="4" w:space="0" w:color="215E94" w:themeColor="text2"/>
          <w:left w:val="single" w:sz="4" w:space="0" w:color="215E94" w:themeColor="text2"/>
          <w:bottom w:val="single" w:sz="4" w:space="0" w:color="215E94" w:themeColor="text2"/>
          <w:right w:val="single" w:sz="4" w:space="0" w:color="215E94" w:themeColor="text2"/>
          <w:insideH w:val="nil"/>
          <w:insideV w:val="single" w:sz="4" w:space="0" w:color="FFFFFF" w:themeColor="background1"/>
          <w:tl2br w:val="nil"/>
          <w:tr2bl w:val="nil"/>
        </w:tcBorders>
        <w:shd w:val="clear" w:color="auto" w:fill="215E94" w:themeFill="text2"/>
      </w:tcPr>
    </w:tblStylePr>
    <w:tblStylePr w:type="firstCol">
      <w:rPr>
        <w:b/>
        <w:i w:val="0"/>
        <w:color w:val="109146" w:themeColor="accent1"/>
      </w:rPr>
    </w:tblStylePr>
  </w:style>
  <w:style w:type="paragraph" w:customStyle="1" w:styleId="ZCom">
    <w:name w:val="Z_Com"/>
    <w:basedOn w:val="Normal"/>
    <w:next w:val="ZDGName"/>
    <w:rsid w:val="00D66606"/>
    <w:pPr>
      <w:widowControl w:val="0"/>
      <w:autoSpaceDE w:val="0"/>
      <w:autoSpaceDN w:val="0"/>
      <w:spacing w:before="0" w:after="0" w:line="240" w:lineRule="auto"/>
      <w:ind w:right="85"/>
      <w:jc w:val="both"/>
    </w:pPr>
    <w:rPr>
      <w:rFonts w:ascii="Arial" w:eastAsia="Times New Roman" w:hAnsi="Arial" w:cs="Arial"/>
      <w:sz w:val="24"/>
      <w:szCs w:val="24"/>
      <w:lang w:val="fr-FR" w:eastAsia="ko-KR"/>
    </w:rPr>
  </w:style>
  <w:style w:type="paragraph" w:customStyle="1" w:styleId="ZDGName">
    <w:name w:val="Z_DGName"/>
    <w:basedOn w:val="Normal"/>
    <w:rsid w:val="00D66606"/>
    <w:pPr>
      <w:widowControl w:val="0"/>
      <w:autoSpaceDE w:val="0"/>
      <w:autoSpaceDN w:val="0"/>
      <w:spacing w:before="0" w:after="0" w:line="240" w:lineRule="auto"/>
      <w:ind w:right="85"/>
    </w:pPr>
    <w:rPr>
      <w:rFonts w:ascii="Arial" w:eastAsia="Times New Roman" w:hAnsi="Arial" w:cs="Arial"/>
      <w:sz w:val="16"/>
      <w:szCs w:val="16"/>
      <w:lang w:val="fr-FR" w:eastAsia="ko-KR"/>
    </w:rPr>
  </w:style>
  <w:style w:type="paragraph" w:customStyle="1" w:styleId="NoteHead">
    <w:name w:val="NoteHead"/>
    <w:basedOn w:val="Normal"/>
    <w:next w:val="Normal"/>
    <w:rsid w:val="00D66606"/>
    <w:pPr>
      <w:spacing w:before="720" w:after="720" w:line="240" w:lineRule="auto"/>
      <w:jc w:val="center"/>
    </w:pPr>
    <w:rPr>
      <w:rFonts w:ascii="Times New Roman" w:eastAsia="Times New Roman" w:hAnsi="Times New Roman" w:cs="Times New Roman"/>
      <w:b/>
      <w:smallCaps/>
      <w:sz w:val="24"/>
      <w:lang w:val="en-IE"/>
    </w:rPr>
  </w:style>
  <w:style w:type="paragraph" w:customStyle="1" w:styleId="Text3">
    <w:name w:val="Text 3"/>
    <w:basedOn w:val="Normal"/>
    <w:rsid w:val="00D66606"/>
    <w:pPr>
      <w:spacing w:before="120" w:after="120" w:line="240" w:lineRule="auto"/>
      <w:ind w:left="851"/>
      <w:jc w:val="both"/>
    </w:pPr>
    <w:rPr>
      <w:rFonts w:ascii="Times New Roman" w:eastAsia="Times New Roman" w:hAnsi="Times New Roman" w:cs="Times New Roman"/>
      <w:sz w:val="24"/>
      <w:lang w:val="en-IE" w:eastAsia="fr-BE"/>
    </w:rPr>
  </w:style>
  <w:style w:type="paragraph" w:customStyle="1" w:styleId="Tiret0">
    <w:name w:val="Tiret 0"/>
    <w:basedOn w:val="Normal"/>
    <w:link w:val="Tiret0Char"/>
    <w:uiPriority w:val="99"/>
    <w:rsid w:val="00D66606"/>
    <w:pPr>
      <w:numPr>
        <w:numId w:val="18"/>
      </w:numPr>
      <w:spacing w:before="120" w:after="120" w:line="240" w:lineRule="auto"/>
      <w:jc w:val="both"/>
    </w:pPr>
    <w:rPr>
      <w:rFonts w:ascii="Times New Roman" w:eastAsia="Times New Roman" w:hAnsi="Times New Roman" w:cs="Times New Roman"/>
      <w:sz w:val="24"/>
      <w:szCs w:val="24"/>
      <w:lang w:val="en-IE" w:eastAsia="en-GB"/>
    </w:rPr>
  </w:style>
  <w:style w:type="character" w:customStyle="1" w:styleId="Tiret0Char">
    <w:name w:val="Tiret 0 Char"/>
    <w:basedOn w:val="DefaultParagraphFont"/>
    <w:link w:val="Tiret0"/>
    <w:uiPriority w:val="99"/>
    <w:rsid w:val="00D66606"/>
    <w:rPr>
      <w:rFonts w:ascii="Times New Roman" w:eastAsia="Times New Roman" w:hAnsi="Times New Roman" w:cs="Times New Roman"/>
      <w:sz w:val="24"/>
      <w:szCs w:val="24"/>
      <w:lang w:val="en-IE" w:eastAsia="en-GB"/>
    </w:rPr>
  </w:style>
  <w:style w:type="paragraph" w:customStyle="1" w:styleId="Text1">
    <w:name w:val="Text 1"/>
    <w:basedOn w:val="Normal"/>
    <w:link w:val="Text1Char"/>
    <w:rsid w:val="00D66606"/>
    <w:pPr>
      <w:spacing w:before="0" w:line="240" w:lineRule="auto"/>
      <w:ind w:left="482"/>
      <w:jc w:val="both"/>
    </w:pPr>
    <w:rPr>
      <w:rFonts w:ascii="Times New Roman" w:eastAsia="Times New Roman" w:hAnsi="Times New Roman" w:cs="Times New Roman"/>
      <w:sz w:val="24"/>
      <w:lang w:val="en-IE"/>
    </w:rPr>
  </w:style>
  <w:style w:type="paragraph" w:customStyle="1" w:styleId="Text2">
    <w:name w:val="Text 2"/>
    <w:basedOn w:val="Normal"/>
    <w:rsid w:val="00D66606"/>
    <w:pPr>
      <w:tabs>
        <w:tab w:val="left" w:pos="2160"/>
      </w:tabs>
      <w:spacing w:before="0" w:line="240" w:lineRule="auto"/>
      <w:ind w:left="1077"/>
      <w:jc w:val="both"/>
    </w:pPr>
    <w:rPr>
      <w:rFonts w:ascii="Times New Roman" w:eastAsia="Times New Roman" w:hAnsi="Times New Roman" w:cs="Times New Roman"/>
      <w:sz w:val="24"/>
      <w:lang w:val="en-IE"/>
    </w:rPr>
  </w:style>
  <w:style w:type="paragraph" w:customStyle="1" w:styleId="Subject">
    <w:name w:val="Subject"/>
    <w:basedOn w:val="Normal"/>
    <w:next w:val="Normal"/>
    <w:rsid w:val="00D66606"/>
    <w:pPr>
      <w:spacing w:before="0" w:after="480" w:line="240" w:lineRule="auto"/>
      <w:ind w:left="1191" w:hanging="1191"/>
    </w:pPr>
    <w:rPr>
      <w:rFonts w:ascii="Times New Roman" w:eastAsia="Times New Roman" w:hAnsi="Times New Roman" w:cs="Times New Roman"/>
      <w:b/>
      <w:sz w:val="24"/>
      <w:lang w:val="en-IE"/>
    </w:rPr>
  </w:style>
  <w:style w:type="character" w:customStyle="1" w:styleId="Text1Char">
    <w:name w:val="Text 1 Char"/>
    <w:basedOn w:val="DefaultParagraphFont"/>
    <w:link w:val="Text1"/>
    <w:rsid w:val="00D66606"/>
    <w:rPr>
      <w:rFonts w:ascii="Times New Roman" w:eastAsia="Times New Roman" w:hAnsi="Times New Roman" w:cs="Times New Roman"/>
      <w:sz w:val="24"/>
      <w:lang w:val="en-IE"/>
    </w:rPr>
  </w:style>
  <w:style w:type="paragraph" w:customStyle="1" w:styleId="Default">
    <w:name w:val="Default"/>
    <w:rsid w:val="00D66606"/>
    <w:pPr>
      <w:autoSpaceDE w:val="0"/>
      <w:autoSpaceDN w:val="0"/>
      <w:adjustRightInd w:val="0"/>
      <w:spacing w:before="0" w:after="0" w:line="240" w:lineRule="auto"/>
    </w:pPr>
    <w:rPr>
      <w:rFonts w:ascii="EUAlbertina" w:eastAsia="Times New Roman" w:hAnsi="EUAlbertina" w:cs="EUAlbertina"/>
      <w:color w:val="000000"/>
      <w:sz w:val="24"/>
      <w:szCs w:val="24"/>
      <w:lang w:val="en-GB" w:eastAsia="en-GB"/>
    </w:rPr>
  </w:style>
  <w:style w:type="paragraph" w:customStyle="1" w:styleId="CM1">
    <w:name w:val="CM1"/>
    <w:basedOn w:val="Default"/>
    <w:next w:val="Default"/>
    <w:uiPriority w:val="99"/>
    <w:rsid w:val="00D66606"/>
    <w:rPr>
      <w:rFonts w:cs="Times New Roman"/>
      <w:color w:val="auto"/>
    </w:rPr>
  </w:style>
  <w:style w:type="paragraph" w:customStyle="1" w:styleId="CM3">
    <w:name w:val="CM3"/>
    <w:basedOn w:val="Default"/>
    <w:next w:val="Default"/>
    <w:uiPriority w:val="99"/>
    <w:rsid w:val="00D66606"/>
    <w:rPr>
      <w:rFonts w:cs="Times New Roman"/>
      <w:color w:val="auto"/>
    </w:rPr>
  </w:style>
  <w:style w:type="character" w:customStyle="1" w:styleId="Marker">
    <w:name w:val="Marker"/>
    <w:basedOn w:val="DefaultParagraphFont"/>
    <w:rsid w:val="00D66606"/>
    <w:rPr>
      <w:color w:val="0000FF"/>
      <w:shd w:val="clear" w:color="auto" w:fill="auto"/>
    </w:rPr>
  </w:style>
  <w:style w:type="paragraph" w:customStyle="1" w:styleId="Pagedecouverture">
    <w:name w:val="Page de couverture"/>
    <w:basedOn w:val="Normal"/>
    <w:next w:val="Normal"/>
    <w:rsid w:val="00D66606"/>
    <w:pPr>
      <w:spacing w:before="0" w:after="0" w:line="240" w:lineRule="auto"/>
      <w:jc w:val="both"/>
    </w:pPr>
    <w:rPr>
      <w:rFonts w:ascii="Times New Roman" w:hAnsi="Times New Roman" w:cs="Times New Roman"/>
      <w:sz w:val="24"/>
      <w:szCs w:val="22"/>
      <w:lang w:val="en-IE"/>
    </w:rPr>
  </w:style>
  <w:style w:type="paragraph" w:customStyle="1" w:styleId="FooterCoverPage">
    <w:name w:val="Footer Cover Page"/>
    <w:basedOn w:val="Normal"/>
    <w:link w:val="FooterCoverPageChar"/>
    <w:rsid w:val="00D6660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CaptionChar">
    <w:name w:val="Caption Char"/>
    <w:basedOn w:val="DefaultParagraphFont"/>
    <w:link w:val="Caption"/>
    <w:rsid w:val="00D66606"/>
    <w:rPr>
      <w:i/>
      <w:iCs/>
      <w:color w:val="215E94" w:themeColor="text2"/>
      <w:sz w:val="18"/>
      <w:szCs w:val="18"/>
      <w:lang w:val="en-GB"/>
    </w:rPr>
  </w:style>
  <w:style w:type="character" w:customStyle="1" w:styleId="FooterCoverPageChar">
    <w:name w:val="Footer Cover Page Char"/>
    <w:basedOn w:val="CaptionChar"/>
    <w:link w:val="FooterCoverPage"/>
    <w:rsid w:val="00D66606"/>
    <w:rPr>
      <w:rFonts w:ascii="Times New Roman" w:hAnsi="Times New Roman" w:cs="Times New Roman"/>
      <w:i w:val="0"/>
      <w:iCs w:val="0"/>
      <w:color w:val="215E94" w:themeColor="text2"/>
      <w:sz w:val="24"/>
      <w:szCs w:val="18"/>
      <w:lang w:val="en-GB"/>
    </w:rPr>
  </w:style>
  <w:style w:type="paragraph" w:customStyle="1" w:styleId="FooterSensitivity">
    <w:name w:val="Footer Sensitivity"/>
    <w:basedOn w:val="Normal"/>
    <w:link w:val="FooterSensitivityChar"/>
    <w:rsid w:val="00D6660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aptionChar"/>
    <w:link w:val="FooterSensitivity"/>
    <w:rsid w:val="00D66606"/>
    <w:rPr>
      <w:rFonts w:ascii="Times New Roman" w:hAnsi="Times New Roman" w:cs="Times New Roman"/>
      <w:b/>
      <w:i w:val="0"/>
      <w:iCs w:val="0"/>
      <w:color w:val="215E94" w:themeColor="text2"/>
      <w:sz w:val="32"/>
      <w:szCs w:val="18"/>
      <w:lang w:val="en-GB"/>
    </w:rPr>
  </w:style>
  <w:style w:type="paragraph" w:customStyle="1" w:styleId="HeaderCoverPage">
    <w:name w:val="Header Cover Page"/>
    <w:basedOn w:val="Normal"/>
    <w:link w:val="HeaderCoverPageChar"/>
    <w:rsid w:val="00D66606"/>
    <w:pPr>
      <w:tabs>
        <w:tab w:val="center" w:pos="4535"/>
        <w:tab w:val="right" w:pos="9071"/>
      </w:tabs>
      <w:spacing w:before="0" w:after="120" w:line="240" w:lineRule="auto"/>
      <w:jc w:val="both"/>
    </w:pPr>
    <w:rPr>
      <w:rFonts w:ascii="Times New Roman" w:hAnsi="Times New Roman" w:cs="Times New Roman"/>
      <w:sz w:val="24"/>
    </w:rPr>
  </w:style>
  <w:style w:type="character" w:customStyle="1" w:styleId="HeaderCoverPageChar">
    <w:name w:val="Header Cover Page Char"/>
    <w:basedOn w:val="CaptionChar"/>
    <w:link w:val="HeaderCoverPage"/>
    <w:rsid w:val="00D66606"/>
    <w:rPr>
      <w:rFonts w:ascii="Times New Roman" w:hAnsi="Times New Roman" w:cs="Times New Roman"/>
      <w:i w:val="0"/>
      <w:iCs w:val="0"/>
      <w:color w:val="215E94" w:themeColor="text2"/>
      <w:sz w:val="24"/>
      <w:szCs w:val="18"/>
      <w:lang w:val="en-GB"/>
    </w:rPr>
  </w:style>
  <w:style w:type="paragraph" w:customStyle="1" w:styleId="HeaderSensitivity">
    <w:name w:val="Header Sensitivity"/>
    <w:basedOn w:val="Normal"/>
    <w:link w:val="HeaderSensitivityChar"/>
    <w:rsid w:val="00D66606"/>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aptionChar"/>
    <w:link w:val="HeaderSensitivity"/>
    <w:rsid w:val="00D66606"/>
    <w:rPr>
      <w:rFonts w:ascii="Times New Roman" w:hAnsi="Times New Roman" w:cs="Times New Roman"/>
      <w:b/>
      <w:i w:val="0"/>
      <w:iCs w:val="0"/>
      <w:color w:val="215E94" w:themeColor="text2"/>
      <w:sz w:val="32"/>
      <w:szCs w:val="18"/>
      <w:lang w:val="en-GB"/>
    </w:rPr>
  </w:style>
  <w:style w:type="character" w:customStyle="1" w:styleId="WW8Num4z1">
    <w:name w:val="WW8Num4z1"/>
    <w:rsid w:val="00D66606"/>
    <w:rPr>
      <w:rFonts w:ascii="Wingdings" w:hAnsi="Wingdings" w:cs="Symbol" w:hint="default"/>
    </w:rPr>
  </w:style>
  <w:style w:type="character" w:customStyle="1" w:styleId="footnotereference0">
    <w:name w:val="footnotereference"/>
    <w:basedOn w:val="DefaultParagraphFont"/>
    <w:rsid w:val="00D66606"/>
    <w:rPr>
      <w:rFonts w:ascii="Times New Roman" w:hAnsi="Times New Roman" w:cs="Times New Roman" w:hint="default"/>
    </w:rPr>
  </w:style>
  <w:style w:type="paragraph" w:customStyle="1" w:styleId="SecurityMarking">
    <w:name w:val="SecurityMarking"/>
    <w:basedOn w:val="Normal"/>
    <w:rsid w:val="00D66606"/>
    <w:pPr>
      <w:spacing w:before="0" w:after="0" w:line="276" w:lineRule="auto"/>
      <w:ind w:left="5103"/>
    </w:pPr>
    <w:rPr>
      <w:rFonts w:ascii="Times New Roman" w:hAnsi="Times New Roman" w:cs="Times New Roman"/>
      <w:sz w:val="28"/>
      <w:szCs w:val="22"/>
      <w:lang w:val="en-IE"/>
    </w:rPr>
  </w:style>
  <w:style w:type="paragraph" w:customStyle="1" w:styleId="DateMarking">
    <w:name w:val="DateMarking"/>
    <w:basedOn w:val="Normal"/>
    <w:rsid w:val="00D66606"/>
    <w:pPr>
      <w:spacing w:before="0" w:after="0" w:line="276" w:lineRule="auto"/>
      <w:ind w:left="5103"/>
    </w:pPr>
    <w:rPr>
      <w:rFonts w:ascii="Times New Roman" w:hAnsi="Times New Roman" w:cs="Times New Roman"/>
      <w:i/>
      <w:sz w:val="28"/>
      <w:szCs w:val="22"/>
      <w:lang w:val="en-IE"/>
    </w:rPr>
  </w:style>
  <w:style w:type="paragraph" w:customStyle="1" w:styleId="ReleasableTo">
    <w:name w:val="ReleasableTo"/>
    <w:basedOn w:val="Normal"/>
    <w:rsid w:val="00D66606"/>
    <w:pPr>
      <w:spacing w:before="0" w:after="0" w:line="276" w:lineRule="auto"/>
      <w:ind w:left="5103"/>
    </w:pPr>
    <w:rPr>
      <w:rFonts w:ascii="Times New Roman" w:hAnsi="Times New Roman" w:cs="Times New Roman"/>
      <w:i/>
      <w:sz w:val="28"/>
      <w:szCs w:val="22"/>
      <w:lang w:val="en-IE"/>
    </w:rPr>
  </w:style>
  <w:style w:type="paragraph" w:customStyle="1" w:styleId="HeaderSensitivityRight">
    <w:name w:val="Header Sensitivity Right"/>
    <w:basedOn w:val="Normal"/>
    <w:rsid w:val="00D66606"/>
    <w:pPr>
      <w:spacing w:before="0" w:after="120" w:line="240" w:lineRule="auto"/>
      <w:jc w:val="right"/>
    </w:pPr>
    <w:rPr>
      <w:rFonts w:ascii="Times New Roman" w:hAnsi="Times New Roman" w:cs="Times New Roman"/>
      <w:sz w:val="28"/>
    </w:rPr>
  </w:style>
  <w:style w:type="paragraph" w:customStyle="1" w:styleId="Point0">
    <w:name w:val="Point 0"/>
    <w:basedOn w:val="Normal"/>
    <w:uiPriority w:val="99"/>
    <w:rsid w:val="00D66606"/>
    <w:pPr>
      <w:spacing w:before="120" w:after="120" w:line="240" w:lineRule="auto"/>
      <w:ind w:left="850" w:hanging="850"/>
      <w:jc w:val="both"/>
    </w:pPr>
    <w:rPr>
      <w:rFonts w:ascii="Times New Roman" w:eastAsiaTheme="minorEastAsia" w:hAnsi="Times New Roman" w:cs="Times New Roman"/>
      <w:sz w:val="24"/>
      <w:szCs w:val="24"/>
      <w:lang w:val="en-IE" w:eastAsia="en-GB"/>
    </w:rPr>
  </w:style>
  <w:style w:type="character" w:customStyle="1" w:styleId="markedcontent">
    <w:name w:val="markedcontent"/>
    <w:basedOn w:val="DefaultParagraphFont"/>
    <w:rsid w:val="00D66606"/>
  </w:style>
  <w:style w:type="paragraph" w:customStyle="1" w:styleId="title-bold">
    <w:name w:val="title-bold"/>
    <w:basedOn w:val="Normal"/>
    <w:rsid w:val="00D6660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Mention1">
    <w:name w:val="Mention1"/>
    <w:basedOn w:val="DefaultParagraphFont"/>
    <w:uiPriority w:val="99"/>
    <w:unhideWhenUsed/>
    <w:rsid w:val="00407D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56518824">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54498362">
      <w:bodyDiv w:val="1"/>
      <w:marLeft w:val="0"/>
      <w:marRight w:val="0"/>
      <w:marTop w:val="0"/>
      <w:marBottom w:val="0"/>
      <w:divBdr>
        <w:top w:val="none" w:sz="0" w:space="0" w:color="auto"/>
        <w:left w:val="none" w:sz="0" w:space="0" w:color="auto"/>
        <w:bottom w:val="none" w:sz="0" w:space="0" w:color="auto"/>
        <w:right w:val="none" w:sz="0" w:space="0" w:color="auto"/>
      </w:divBdr>
    </w:div>
    <w:div w:id="163471648">
      <w:bodyDiv w:val="1"/>
      <w:marLeft w:val="0"/>
      <w:marRight w:val="0"/>
      <w:marTop w:val="0"/>
      <w:marBottom w:val="0"/>
      <w:divBdr>
        <w:top w:val="none" w:sz="0" w:space="0" w:color="auto"/>
        <w:left w:val="none" w:sz="0" w:space="0" w:color="auto"/>
        <w:bottom w:val="none" w:sz="0" w:space="0" w:color="auto"/>
        <w:right w:val="none" w:sz="0" w:space="0" w:color="auto"/>
      </w:divBdr>
      <w:divsChild>
        <w:div w:id="1545603797">
          <w:marLeft w:val="0"/>
          <w:marRight w:val="0"/>
          <w:marTop w:val="0"/>
          <w:marBottom w:val="0"/>
          <w:divBdr>
            <w:top w:val="none" w:sz="0" w:space="0" w:color="auto"/>
            <w:left w:val="none" w:sz="0" w:space="0" w:color="auto"/>
            <w:bottom w:val="none" w:sz="0" w:space="0" w:color="auto"/>
            <w:right w:val="none" w:sz="0" w:space="0" w:color="auto"/>
          </w:divBdr>
          <w:divsChild>
            <w:div w:id="2087412605">
              <w:marLeft w:val="0"/>
              <w:marRight w:val="0"/>
              <w:marTop w:val="0"/>
              <w:marBottom w:val="0"/>
              <w:divBdr>
                <w:top w:val="none" w:sz="0" w:space="0" w:color="auto"/>
                <w:left w:val="none" w:sz="0" w:space="0" w:color="auto"/>
                <w:bottom w:val="none" w:sz="0" w:space="0" w:color="auto"/>
                <w:right w:val="none" w:sz="0" w:space="0" w:color="auto"/>
              </w:divBdr>
              <w:divsChild>
                <w:div w:id="414977839">
                  <w:marLeft w:val="0"/>
                  <w:marRight w:val="0"/>
                  <w:marTop w:val="0"/>
                  <w:marBottom w:val="0"/>
                  <w:divBdr>
                    <w:top w:val="none" w:sz="0" w:space="0" w:color="auto"/>
                    <w:left w:val="none" w:sz="0" w:space="0" w:color="auto"/>
                    <w:bottom w:val="none" w:sz="0" w:space="0" w:color="auto"/>
                    <w:right w:val="none" w:sz="0" w:space="0" w:color="auto"/>
                  </w:divBdr>
                  <w:divsChild>
                    <w:div w:id="1951547590">
                      <w:marLeft w:val="0"/>
                      <w:marRight w:val="0"/>
                      <w:marTop w:val="0"/>
                      <w:marBottom w:val="0"/>
                      <w:divBdr>
                        <w:top w:val="none" w:sz="0" w:space="0" w:color="auto"/>
                        <w:left w:val="none" w:sz="0" w:space="0" w:color="auto"/>
                        <w:bottom w:val="none" w:sz="0" w:space="0" w:color="auto"/>
                        <w:right w:val="none" w:sz="0" w:space="0" w:color="auto"/>
                      </w:divBdr>
                      <w:divsChild>
                        <w:div w:id="1997223519">
                          <w:marLeft w:val="0"/>
                          <w:marRight w:val="0"/>
                          <w:marTop w:val="0"/>
                          <w:marBottom w:val="0"/>
                          <w:divBdr>
                            <w:top w:val="none" w:sz="0" w:space="0" w:color="auto"/>
                            <w:left w:val="none" w:sz="0" w:space="0" w:color="auto"/>
                            <w:bottom w:val="none" w:sz="0" w:space="0" w:color="auto"/>
                            <w:right w:val="none" w:sz="0" w:space="0" w:color="auto"/>
                          </w:divBdr>
                          <w:divsChild>
                            <w:div w:id="665859235">
                              <w:marLeft w:val="-225"/>
                              <w:marRight w:val="-225"/>
                              <w:marTop w:val="0"/>
                              <w:marBottom w:val="0"/>
                              <w:divBdr>
                                <w:top w:val="none" w:sz="0" w:space="0" w:color="auto"/>
                                <w:left w:val="none" w:sz="0" w:space="0" w:color="auto"/>
                                <w:bottom w:val="none" w:sz="0" w:space="0" w:color="auto"/>
                                <w:right w:val="none" w:sz="0" w:space="0" w:color="auto"/>
                              </w:divBdr>
                              <w:divsChild>
                                <w:div w:id="1634603584">
                                  <w:marLeft w:val="0"/>
                                  <w:marRight w:val="0"/>
                                  <w:marTop w:val="0"/>
                                  <w:marBottom w:val="133"/>
                                  <w:divBdr>
                                    <w:top w:val="none" w:sz="0" w:space="0" w:color="auto"/>
                                    <w:left w:val="none" w:sz="0" w:space="0" w:color="auto"/>
                                    <w:bottom w:val="none" w:sz="0" w:space="0" w:color="auto"/>
                                    <w:right w:val="none" w:sz="0" w:space="0" w:color="auto"/>
                                  </w:divBdr>
                                  <w:divsChild>
                                    <w:div w:id="8583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07642439">
      <w:bodyDiv w:val="1"/>
      <w:marLeft w:val="0"/>
      <w:marRight w:val="0"/>
      <w:marTop w:val="0"/>
      <w:marBottom w:val="0"/>
      <w:divBdr>
        <w:top w:val="none" w:sz="0" w:space="0" w:color="auto"/>
        <w:left w:val="none" w:sz="0" w:space="0" w:color="auto"/>
        <w:bottom w:val="none" w:sz="0" w:space="0" w:color="auto"/>
        <w:right w:val="none" w:sz="0" w:space="0" w:color="auto"/>
      </w:divBdr>
    </w:div>
    <w:div w:id="229850510">
      <w:bodyDiv w:val="1"/>
      <w:marLeft w:val="0"/>
      <w:marRight w:val="0"/>
      <w:marTop w:val="0"/>
      <w:marBottom w:val="0"/>
      <w:divBdr>
        <w:top w:val="none" w:sz="0" w:space="0" w:color="auto"/>
        <w:left w:val="none" w:sz="0" w:space="0" w:color="auto"/>
        <w:bottom w:val="none" w:sz="0" w:space="0" w:color="auto"/>
        <w:right w:val="none" w:sz="0" w:space="0" w:color="auto"/>
      </w:divBdr>
    </w:div>
    <w:div w:id="23385457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54618136">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78669119">
      <w:bodyDiv w:val="1"/>
      <w:marLeft w:val="0"/>
      <w:marRight w:val="0"/>
      <w:marTop w:val="0"/>
      <w:marBottom w:val="0"/>
      <w:divBdr>
        <w:top w:val="none" w:sz="0" w:space="0" w:color="auto"/>
        <w:left w:val="none" w:sz="0" w:space="0" w:color="auto"/>
        <w:bottom w:val="none" w:sz="0" w:space="0" w:color="auto"/>
        <w:right w:val="none" w:sz="0" w:space="0" w:color="auto"/>
      </w:divBdr>
    </w:div>
    <w:div w:id="382218318">
      <w:bodyDiv w:val="1"/>
      <w:marLeft w:val="0"/>
      <w:marRight w:val="0"/>
      <w:marTop w:val="0"/>
      <w:marBottom w:val="0"/>
      <w:divBdr>
        <w:top w:val="none" w:sz="0" w:space="0" w:color="auto"/>
        <w:left w:val="none" w:sz="0" w:space="0" w:color="auto"/>
        <w:bottom w:val="none" w:sz="0" w:space="0" w:color="auto"/>
        <w:right w:val="none" w:sz="0" w:space="0" w:color="auto"/>
      </w:divBdr>
      <w:divsChild>
        <w:div w:id="13771394">
          <w:marLeft w:val="0"/>
          <w:marRight w:val="0"/>
          <w:marTop w:val="0"/>
          <w:marBottom w:val="0"/>
          <w:divBdr>
            <w:top w:val="none" w:sz="0" w:space="0" w:color="auto"/>
            <w:left w:val="none" w:sz="0" w:space="0" w:color="auto"/>
            <w:bottom w:val="none" w:sz="0" w:space="0" w:color="auto"/>
            <w:right w:val="none" w:sz="0" w:space="0" w:color="auto"/>
          </w:divBdr>
        </w:div>
        <w:div w:id="351037791">
          <w:marLeft w:val="0"/>
          <w:marRight w:val="0"/>
          <w:marTop w:val="0"/>
          <w:marBottom w:val="0"/>
          <w:divBdr>
            <w:top w:val="none" w:sz="0" w:space="0" w:color="auto"/>
            <w:left w:val="none" w:sz="0" w:space="0" w:color="auto"/>
            <w:bottom w:val="none" w:sz="0" w:space="0" w:color="auto"/>
            <w:right w:val="none" w:sz="0" w:space="0" w:color="auto"/>
          </w:divBdr>
        </w:div>
        <w:div w:id="1160927742">
          <w:marLeft w:val="0"/>
          <w:marRight w:val="0"/>
          <w:marTop w:val="0"/>
          <w:marBottom w:val="0"/>
          <w:divBdr>
            <w:top w:val="none" w:sz="0" w:space="0" w:color="auto"/>
            <w:left w:val="none" w:sz="0" w:space="0" w:color="auto"/>
            <w:bottom w:val="none" w:sz="0" w:space="0" w:color="auto"/>
            <w:right w:val="none" w:sz="0" w:space="0" w:color="auto"/>
          </w:divBdr>
        </w:div>
        <w:div w:id="1696610093">
          <w:marLeft w:val="0"/>
          <w:marRight w:val="0"/>
          <w:marTop w:val="0"/>
          <w:marBottom w:val="0"/>
          <w:divBdr>
            <w:top w:val="none" w:sz="0" w:space="0" w:color="auto"/>
            <w:left w:val="none" w:sz="0" w:space="0" w:color="auto"/>
            <w:bottom w:val="none" w:sz="0" w:space="0" w:color="auto"/>
            <w:right w:val="none" w:sz="0" w:space="0" w:color="auto"/>
          </w:divBdr>
        </w:div>
        <w:div w:id="1951353634">
          <w:marLeft w:val="0"/>
          <w:marRight w:val="0"/>
          <w:marTop w:val="0"/>
          <w:marBottom w:val="0"/>
          <w:divBdr>
            <w:top w:val="none" w:sz="0" w:space="0" w:color="auto"/>
            <w:left w:val="none" w:sz="0" w:space="0" w:color="auto"/>
            <w:bottom w:val="none" w:sz="0" w:space="0" w:color="auto"/>
            <w:right w:val="none" w:sz="0" w:space="0" w:color="auto"/>
          </w:divBdr>
        </w:div>
      </w:divsChild>
    </w:div>
    <w:div w:id="441609357">
      <w:bodyDiv w:val="1"/>
      <w:marLeft w:val="0"/>
      <w:marRight w:val="0"/>
      <w:marTop w:val="0"/>
      <w:marBottom w:val="0"/>
      <w:divBdr>
        <w:top w:val="none" w:sz="0" w:space="0" w:color="auto"/>
        <w:left w:val="none" w:sz="0" w:space="0" w:color="auto"/>
        <w:bottom w:val="none" w:sz="0" w:space="0" w:color="auto"/>
        <w:right w:val="none" w:sz="0" w:space="0" w:color="auto"/>
      </w:divBdr>
      <w:divsChild>
        <w:div w:id="583799303">
          <w:marLeft w:val="0"/>
          <w:marRight w:val="0"/>
          <w:marTop w:val="0"/>
          <w:marBottom w:val="0"/>
          <w:divBdr>
            <w:top w:val="none" w:sz="0" w:space="0" w:color="auto"/>
            <w:left w:val="none" w:sz="0" w:space="0" w:color="auto"/>
            <w:bottom w:val="none" w:sz="0" w:space="0" w:color="auto"/>
            <w:right w:val="none" w:sz="0" w:space="0" w:color="auto"/>
          </w:divBdr>
          <w:divsChild>
            <w:div w:id="208156326">
              <w:marLeft w:val="0"/>
              <w:marRight w:val="0"/>
              <w:marTop w:val="0"/>
              <w:marBottom w:val="0"/>
              <w:divBdr>
                <w:top w:val="none" w:sz="0" w:space="0" w:color="auto"/>
                <w:left w:val="none" w:sz="0" w:space="0" w:color="auto"/>
                <w:bottom w:val="none" w:sz="0" w:space="0" w:color="auto"/>
                <w:right w:val="none" w:sz="0" w:space="0" w:color="auto"/>
              </w:divBdr>
              <w:divsChild>
                <w:div w:id="702243767">
                  <w:marLeft w:val="0"/>
                  <w:marRight w:val="0"/>
                  <w:marTop w:val="0"/>
                  <w:marBottom w:val="0"/>
                  <w:divBdr>
                    <w:top w:val="none" w:sz="0" w:space="0" w:color="auto"/>
                    <w:left w:val="none" w:sz="0" w:space="0" w:color="auto"/>
                    <w:bottom w:val="none" w:sz="0" w:space="0" w:color="auto"/>
                    <w:right w:val="none" w:sz="0" w:space="0" w:color="auto"/>
                  </w:divBdr>
                  <w:divsChild>
                    <w:div w:id="64422346">
                      <w:marLeft w:val="0"/>
                      <w:marRight w:val="0"/>
                      <w:marTop w:val="0"/>
                      <w:marBottom w:val="0"/>
                      <w:divBdr>
                        <w:top w:val="none" w:sz="0" w:space="0" w:color="auto"/>
                        <w:left w:val="none" w:sz="0" w:space="0" w:color="auto"/>
                        <w:bottom w:val="none" w:sz="0" w:space="0" w:color="auto"/>
                        <w:right w:val="none" w:sz="0" w:space="0" w:color="auto"/>
                      </w:divBdr>
                      <w:divsChild>
                        <w:div w:id="1014117586">
                          <w:marLeft w:val="0"/>
                          <w:marRight w:val="0"/>
                          <w:marTop w:val="0"/>
                          <w:marBottom w:val="0"/>
                          <w:divBdr>
                            <w:top w:val="none" w:sz="0" w:space="0" w:color="auto"/>
                            <w:left w:val="none" w:sz="0" w:space="0" w:color="auto"/>
                            <w:bottom w:val="none" w:sz="0" w:space="0" w:color="auto"/>
                            <w:right w:val="none" w:sz="0" w:space="0" w:color="auto"/>
                          </w:divBdr>
                          <w:divsChild>
                            <w:div w:id="1535147112">
                              <w:marLeft w:val="-225"/>
                              <w:marRight w:val="-225"/>
                              <w:marTop w:val="0"/>
                              <w:marBottom w:val="0"/>
                              <w:divBdr>
                                <w:top w:val="none" w:sz="0" w:space="0" w:color="auto"/>
                                <w:left w:val="none" w:sz="0" w:space="0" w:color="auto"/>
                                <w:bottom w:val="none" w:sz="0" w:space="0" w:color="auto"/>
                                <w:right w:val="none" w:sz="0" w:space="0" w:color="auto"/>
                              </w:divBdr>
                              <w:divsChild>
                                <w:div w:id="759565836">
                                  <w:marLeft w:val="0"/>
                                  <w:marRight w:val="0"/>
                                  <w:marTop w:val="0"/>
                                  <w:marBottom w:val="133"/>
                                  <w:divBdr>
                                    <w:top w:val="none" w:sz="0" w:space="0" w:color="auto"/>
                                    <w:left w:val="none" w:sz="0" w:space="0" w:color="auto"/>
                                    <w:bottom w:val="none" w:sz="0" w:space="0" w:color="auto"/>
                                    <w:right w:val="none" w:sz="0" w:space="0" w:color="auto"/>
                                  </w:divBdr>
                                  <w:divsChild>
                                    <w:div w:id="20977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45589">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11606774">
      <w:bodyDiv w:val="1"/>
      <w:marLeft w:val="0"/>
      <w:marRight w:val="0"/>
      <w:marTop w:val="0"/>
      <w:marBottom w:val="0"/>
      <w:divBdr>
        <w:top w:val="none" w:sz="0" w:space="0" w:color="auto"/>
        <w:left w:val="none" w:sz="0" w:space="0" w:color="auto"/>
        <w:bottom w:val="none" w:sz="0" w:space="0" w:color="auto"/>
        <w:right w:val="none" w:sz="0" w:space="0" w:color="auto"/>
      </w:divBdr>
    </w:div>
    <w:div w:id="520163498">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536430408">
      <w:bodyDiv w:val="1"/>
      <w:marLeft w:val="0"/>
      <w:marRight w:val="0"/>
      <w:marTop w:val="0"/>
      <w:marBottom w:val="0"/>
      <w:divBdr>
        <w:top w:val="none" w:sz="0" w:space="0" w:color="auto"/>
        <w:left w:val="none" w:sz="0" w:space="0" w:color="auto"/>
        <w:bottom w:val="none" w:sz="0" w:space="0" w:color="auto"/>
        <w:right w:val="none" w:sz="0" w:space="0" w:color="auto"/>
      </w:divBdr>
    </w:div>
    <w:div w:id="542403621">
      <w:bodyDiv w:val="1"/>
      <w:marLeft w:val="0"/>
      <w:marRight w:val="0"/>
      <w:marTop w:val="0"/>
      <w:marBottom w:val="0"/>
      <w:divBdr>
        <w:top w:val="none" w:sz="0" w:space="0" w:color="auto"/>
        <w:left w:val="none" w:sz="0" w:space="0" w:color="auto"/>
        <w:bottom w:val="none" w:sz="0" w:space="0" w:color="auto"/>
        <w:right w:val="none" w:sz="0" w:space="0" w:color="auto"/>
      </w:divBdr>
    </w:div>
    <w:div w:id="559828176">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3287929">
      <w:bodyDiv w:val="1"/>
      <w:marLeft w:val="0"/>
      <w:marRight w:val="0"/>
      <w:marTop w:val="0"/>
      <w:marBottom w:val="0"/>
      <w:divBdr>
        <w:top w:val="none" w:sz="0" w:space="0" w:color="auto"/>
        <w:left w:val="none" w:sz="0" w:space="0" w:color="auto"/>
        <w:bottom w:val="none" w:sz="0" w:space="0" w:color="auto"/>
        <w:right w:val="none" w:sz="0" w:space="0" w:color="auto"/>
      </w:divBdr>
    </w:div>
    <w:div w:id="80500499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857163708">
      <w:bodyDiv w:val="1"/>
      <w:marLeft w:val="0"/>
      <w:marRight w:val="0"/>
      <w:marTop w:val="0"/>
      <w:marBottom w:val="0"/>
      <w:divBdr>
        <w:top w:val="none" w:sz="0" w:space="0" w:color="auto"/>
        <w:left w:val="none" w:sz="0" w:space="0" w:color="auto"/>
        <w:bottom w:val="none" w:sz="0" w:space="0" w:color="auto"/>
        <w:right w:val="none" w:sz="0" w:space="0" w:color="auto"/>
      </w:divBdr>
      <w:divsChild>
        <w:div w:id="384569576">
          <w:marLeft w:val="0"/>
          <w:marRight w:val="0"/>
          <w:marTop w:val="0"/>
          <w:marBottom w:val="0"/>
          <w:divBdr>
            <w:top w:val="none" w:sz="0" w:space="0" w:color="auto"/>
            <w:left w:val="none" w:sz="0" w:space="0" w:color="auto"/>
            <w:bottom w:val="none" w:sz="0" w:space="0" w:color="auto"/>
            <w:right w:val="none" w:sz="0" w:space="0" w:color="auto"/>
          </w:divBdr>
          <w:divsChild>
            <w:div w:id="1145314700">
              <w:marLeft w:val="0"/>
              <w:marRight w:val="0"/>
              <w:marTop w:val="0"/>
              <w:marBottom w:val="0"/>
              <w:divBdr>
                <w:top w:val="none" w:sz="0" w:space="0" w:color="auto"/>
                <w:left w:val="none" w:sz="0" w:space="0" w:color="auto"/>
                <w:bottom w:val="none" w:sz="0" w:space="0" w:color="auto"/>
                <w:right w:val="none" w:sz="0" w:space="0" w:color="auto"/>
              </w:divBdr>
              <w:divsChild>
                <w:div w:id="603004632">
                  <w:marLeft w:val="0"/>
                  <w:marRight w:val="0"/>
                  <w:marTop w:val="0"/>
                  <w:marBottom w:val="0"/>
                  <w:divBdr>
                    <w:top w:val="none" w:sz="0" w:space="0" w:color="auto"/>
                    <w:left w:val="none" w:sz="0" w:space="0" w:color="auto"/>
                    <w:bottom w:val="none" w:sz="0" w:space="0" w:color="auto"/>
                    <w:right w:val="none" w:sz="0" w:space="0" w:color="auto"/>
                  </w:divBdr>
                  <w:divsChild>
                    <w:div w:id="1084837614">
                      <w:marLeft w:val="0"/>
                      <w:marRight w:val="0"/>
                      <w:marTop w:val="0"/>
                      <w:marBottom w:val="0"/>
                      <w:divBdr>
                        <w:top w:val="none" w:sz="0" w:space="0" w:color="auto"/>
                        <w:left w:val="none" w:sz="0" w:space="0" w:color="auto"/>
                        <w:bottom w:val="none" w:sz="0" w:space="0" w:color="auto"/>
                        <w:right w:val="none" w:sz="0" w:space="0" w:color="auto"/>
                      </w:divBdr>
                      <w:divsChild>
                        <w:div w:id="1277252659">
                          <w:marLeft w:val="0"/>
                          <w:marRight w:val="0"/>
                          <w:marTop w:val="0"/>
                          <w:marBottom w:val="0"/>
                          <w:divBdr>
                            <w:top w:val="none" w:sz="0" w:space="0" w:color="auto"/>
                            <w:left w:val="none" w:sz="0" w:space="0" w:color="auto"/>
                            <w:bottom w:val="none" w:sz="0" w:space="0" w:color="auto"/>
                            <w:right w:val="none" w:sz="0" w:space="0" w:color="auto"/>
                          </w:divBdr>
                          <w:divsChild>
                            <w:div w:id="1596985510">
                              <w:marLeft w:val="-225"/>
                              <w:marRight w:val="-225"/>
                              <w:marTop w:val="0"/>
                              <w:marBottom w:val="0"/>
                              <w:divBdr>
                                <w:top w:val="none" w:sz="0" w:space="0" w:color="auto"/>
                                <w:left w:val="none" w:sz="0" w:space="0" w:color="auto"/>
                                <w:bottom w:val="none" w:sz="0" w:space="0" w:color="auto"/>
                                <w:right w:val="none" w:sz="0" w:space="0" w:color="auto"/>
                              </w:divBdr>
                              <w:divsChild>
                                <w:div w:id="267006942">
                                  <w:marLeft w:val="0"/>
                                  <w:marRight w:val="0"/>
                                  <w:marTop w:val="0"/>
                                  <w:marBottom w:val="133"/>
                                  <w:divBdr>
                                    <w:top w:val="none" w:sz="0" w:space="0" w:color="auto"/>
                                    <w:left w:val="none" w:sz="0" w:space="0" w:color="auto"/>
                                    <w:bottom w:val="none" w:sz="0" w:space="0" w:color="auto"/>
                                    <w:right w:val="none" w:sz="0" w:space="0" w:color="auto"/>
                                  </w:divBdr>
                                  <w:divsChild>
                                    <w:div w:id="302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5261">
      <w:bodyDiv w:val="1"/>
      <w:marLeft w:val="0"/>
      <w:marRight w:val="0"/>
      <w:marTop w:val="0"/>
      <w:marBottom w:val="0"/>
      <w:divBdr>
        <w:top w:val="none" w:sz="0" w:space="0" w:color="auto"/>
        <w:left w:val="none" w:sz="0" w:space="0" w:color="auto"/>
        <w:bottom w:val="none" w:sz="0" w:space="0" w:color="auto"/>
        <w:right w:val="none" w:sz="0" w:space="0" w:color="auto"/>
      </w:divBdr>
      <w:divsChild>
        <w:div w:id="303899439">
          <w:marLeft w:val="0"/>
          <w:marRight w:val="0"/>
          <w:marTop w:val="0"/>
          <w:marBottom w:val="0"/>
          <w:divBdr>
            <w:top w:val="none" w:sz="0" w:space="0" w:color="auto"/>
            <w:left w:val="none" w:sz="0" w:space="0" w:color="auto"/>
            <w:bottom w:val="none" w:sz="0" w:space="0" w:color="auto"/>
            <w:right w:val="none" w:sz="0" w:space="0" w:color="auto"/>
          </w:divBdr>
        </w:div>
        <w:div w:id="701439095">
          <w:marLeft w:val="0"/>
          <w:marRight w:val="0"/>
          <w:marTop w:val="0"/>
          <w:marBottom w:val="0"/>
          <w:divBdr>
            <w:top w:val="none" w:sz="0" w:space="0" w:color="auto"/>
            <w:left w:val="none" w:sz="0" w:space="0" w:color="auto"/>
            <w:bottom w:val="none" w:sz="0" w:space="0" w:color="auto"/>
            <w:right w:val="none" w:sz="0" w:space="0" w:color="auto"/>
          </w:divBdr>
        </w:div>
        <w:div w:id="1441416683">
          <w:marLeft w:val="0"/>
          <w:marRight w:val="0"/>
          <w:marTop w:val="0"/>
          <w:marBottom w:val="0"/>
          <w:divBdr>
            <w:top w:val="none" w:sz="0" w:space="0" w:color="auto"/>
            <w:left w:val="none" w:sz="0" w:space="0" w:color="auto"/>
            <w:bottom w:val="none" w:sz="0" w:space="0" w:color="auto"/>
            <w:right w:val="none" w:sz="0" w:space="0" w:color="auto"/>
          </w:divBdr>
        </w:div>
        <w:div w:id="1603300060">
          <w:marLeft w:val="0"/>
          <w:marRight w:val="0"/>
          <w:marTop w:val="0"/>
          <w:marBottom w:val="0"/>
          <w:divBdr>
            <w:top w:val="none" w:sz="0" w:space="0" w:color="auto"/>
            <w:left w:val="none" w:sz="0" w:space="0" w:color="auto"/>
            <w:bottom w:val="none" w:sz="0" w:space="0" w:color="auto"/>
            <w:right w:val="none" w:sz="0" w:space="0" w:color="auto"/>
          </w:divBdr>
        </w:div>
        <w:div w:id="1743327301">
          <w:marLeft w:val="0"/>
          <w:marRight w:val="0"/>
          <w:marTop w:val="0"/>
          <w:marBottom w:val="0"/>
          <w:divBdr>
            <w:top w:val="none" w:sz="0" w:space="0" w:color="auto"/>
            <w:left w:val="none" w:sz="0" w:space="0" w:color="auto"/>
            <w:bottom w:val="none" w:sz="0" w:space="0" w:color="auto"/>
            <w:right w:val="none" w:sz="0" w:space="0" w:color="auto"/>
          </w:divBdr>
        </w:div>
      </w:divsChild>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28268341">
      <w:bodyDiv w:val="1"/>
      <w:marLeft w:val="0"/>
      <w:marRight w:val="0"/>
      <w:marTop w:val="0"/>
      <w:marBottom w:val="0"/>
      <w:divBdr>
        <w:top w:val="none" w:sz="0" w:space="0" w:color="auto"/>
        <w:left w:val="none" w:sz="0" w:space="0" w:color="auto"/>
        <w:bottom w:val="none" w:sz="0" w:space="0" w:color="auto"/>
        <w:right w:val="none" w:sz="0" w:space="0" w:color="auto"/>
      </w:divBdr>
    </w:div>
    <w:div w:id="944770525">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374190">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986012970">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5354747">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53848113">
      <w:bodyDiv w:val="1"/>
      <w:marLeft w:val="0"/>
      <w:marRight w:val="0"/>
      <w:marTop w:val="0"/>
      <w:marBottom w:val="0"/>
      <w:divBdr>
        <w:top w:val="none" w:sz="0" w:space="0" w:color="auto"/>
        <w:left w:val="none" w:sz="0" w:space="0" w:color="auto"/>
        <w:bottom w:val="none" w:sz="0" w:space="0" w:color="auto"/>
        <w:right w:val="none" w:sz="0" w:space="0" w:color="auto"/>
      </w:divBdr>
    </w:div>
    <w:div w:id="1062874348">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88123358">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39819049">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68946028">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4191890">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66124783">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710452589">
      <w:bodyDiv w:val="1"/>
      <w:marLeft w:val="0"/>
      <w:marRight w:val="0"/>
      <w:marTop w:val="0"/>
      <w:marBottom w:val="0"/>
      <w:divBdr>
        <w:top w:val="none" w:sz="0" w:space="0" w:color="auto"/>
        <w:left w:val="none" w:sz="0" w:space="0" w:color="auto"/>
        <w:bottom w:val="none" w:sz="0" w:space="0" w:color="auto"/>
        <w:right w:val="none" w:sz="0" w:space="0" w:color="auto"/>
      </w:divBdr>
    </w:div>
    <w:div w:id="1724908724">
      <w:bodyDiv w:val="1"/>
      <w:marLeft w:val="0"/>
      <w:marRight w:val="0"/>
      <w:marTop w:val="0"/>
      <w:marBottom w:val="0"/>
      <w:divBdr>
        <w:top w:val="none" w:sz="0" w:space="0" w:color="auto"/>
        <w:left w:val="none" w:sz="0" w:space="0" w:color="auto"/>
        <w:bottom w:val="none" w:sz="0" w:space="0" w:color="auto"/>
        <w:right w:val="none" w:sz="0" w:space="0" w:color="auto"/>
      </w:divBdr>
    </w:div>
    <w:div w:id="1762994582">
      <w:bodyDiv w:val="1"/>
      <w:marLeft w:val="0"/>
      <w:marRight w:val="0"/>
      <w:marTop w:val="0"/>
      <w:marBottom w:val="0"/>
      <w:divBdr>
        <w:top w:val="none" w:sz="0" w:space="0" w:color="auto"/>
        <w:left w:val="none" w:sz="0" w:space="0" w:color="auto"/>
        <w:bottom w:val="none" w:sz="0" w:space="0" w:color="auto"/>
        <w:right w:val="none" w:sz="0" w:space="0" w:color="auto"/>
      </w:divBdr>
    </w:div>
    <w:div w:id="1799684705">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46168020">
      <w:bodyDiv w:val="1"/>
      <w:marLeft w:val="0"/>
      <w:marRight w:val="0"/>
      <w:marTop w:val="0"/>
      <w:marBottom w:val="0"/>
      <w:divBdr>
        <w:top w:val="none" w:sz="0" w:space="0" w:color="auto"/>
        <w:left w:val="none" w:sz="0" w:space="0" w:color="auto"/>
        <w:bottom w:val="none" w:sz="0" w:space="0" w:color="auto"/>
        <w:right w:val="none" w:sz="0" w:space="0" w:color="auto"/>
      </w:divBdr>
    </w:div>
    <w:div w:id="1848014453">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870487796">
      <w:bodyDiv w:val="1"/>
      <w:marLeft w:val="0"/>
      <w:marRight w:val="0"/>
      <w:marTop w:val="0"/>
      <w:marBottom w:val="0"/>
      <w:divBdr>
        <w:top w:val="none" w:sz="0" w:space="0" w:color="auto"/>
        <w:left w:val="none" w:sz="0" w:space="0" w:color="auto"/>
        <w:bottom w:val="none" w:sz="0" w:space="0" w:color="auto"/>
        <w:right w:val="none" w:sz="0" w:space="0" w:color="auto"/>
      </w:divBdr>
    </w:div>
    <w:div w:id="1874463715">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1975064939">
      <w:bodyDiv w:val="1"/>
      <w:marLeft w:val="0"/>
      <w:marRight w:val="0"/>
      <w:marTop w:val="0"/>
      <w:marBottom w:val="0"/>
      <w:divBdr>
        <w:top w:val="none" w:sz="0" w:space="0" w:color="auto"/>
        <w:left w:val="none" w:sz="0" w:space="0" w:color="auto"/>
        <w:bottom w:val="none" w:sz="0" w:space="0" w:color="auto"/>
        <w:right w:val="none" w:sz="0" w:space="0" w:color="auto"/>
      </w:divBdr>
    </w:div>
    <w:div w:id="2036493993">
      <w:bodyDiv w:val="1"/>
      <w:marLeft w:val="0"/>
      <w:marRight w:val="0"/>
      <w:marTop w:val="0"/>
      <w:marBottom w:val="0"/>
      <w:divBdr>
        <w:top w:val="none" w:sz="0" w:space="0" w:color="auto"/>
        <w:left w:val="none" w:sz="0" w:space="0" w:color="auto"/>
        <w:bottom w:val="none" w:sz="0" w:space="0" w:color="auto"/>
        <w:right w:val="none" w:sz="0" w:space="0" w:color="auto"/>
      </w:divBdr>
    </w:div>
    <w:div w:id="2047292501">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472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2" Type="http://schemas.openxmlformats.org/officeDocument/2006/relationships/hyperlink" Target="https://ec.europa.eu/info/publications/european-economic-forecast-spring-2022_en" TargetMode="External"/><Relationship Id="rId1" Type="http://schemas.openxmlformats.org/officeDocument/2006/relationships/hyperlink" Target="https://ec.europa.eu/info/publications/european-economic-forecast-spring-2022_en" TargetMode="Externa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215E94"/>
      </a:dk2>
      <a:lt2>
        <a:srgbClr val="F2F2F2"/>
      </a:lt2>
      <a:accent1>
        <a:srgbClr val="109146"/>
      </a:accent1>
      <a:accent2>
        <a:srgbClr val="16A7C4"/>
      </a:accent2>
      <a:accent3>
        <a:srgbClr val="C56829"/>
      </a:accent3>
      <a:accent4>
        <a:srgbClr val="B71F7A"/>
      </a:accent4>
      <a:accent5>
        <a:srgbClr val="92D050"/>
      </a:accent5>
      <a:accent6>
        <a:srgbClr val="FFC000"/>
      </a:accent6>
      <a:hlink>
        <a:srgbClr val="007ACC"/>
      </a:hlink>
      <a:folHlink>
        <a:srgbClr val="800080"/>
      </a:folHlink>
    </a:clrScheme>
    <a:fontScheme name="FONT EC Square">
      <a:majorFont>
        <a:latin typeface="EC Square Sans Pro"/>
        <a:ea typeface=""/>
        <a:cs typeface=""/>
      </a:majorFont>
      <a:minorFont>
        <a:latin typeface="EC Squar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78d0848-0cce-44bc-8931-8052bd5de5b6">EN</EC_Collab_DocumentLanguage>
    <EC_Collab_Status xmlns="f78d0848-0cce-44bc-8931-8052bd5de5b6">Draft</EC_Collab_Status>
    <EC_Collab_Reference xmlns="f78d0848-0cce-44bc-8931-8052bd5de5b6" xsi:nil="true"/>
    <EC_ARES_TRANSFERRED_BY xmlns="f78d0848-0cce-44bc-8931-8052bd5de5b6" xsi:nil="true"/>
    <EC_ARES_NUMBER xmlns="f78d0848-0cce-44bc-8931-8052bd5de5b6">
      <Url xsi:nil="true"/>
      <Description xsi:nil="true"/>
    </EC_ARES_NUMBER>
    <EC_ARES_DATE_TRANSFERRED xmlns="f78d0848-0cce-44bc-8931-8052bd5de5b6" xsi:nil="true"/>
    <_dlc_DocId xmlns="b9a1bbf4-3872-40cb-a1a3-b88a292b9176">NHRUTF4F6DR2-152895277-623</_dlc_DocId>
    <_dlc_DocIdUrl xmlns="b9a1bbf4-3872-40cb-a1a3-b88a292b9176">
      <Url>https://myintracomm-collab.ec.europa.eu/dg/budg/unit-B1-site/_layouts/15/DocIdRedir.aspx?ID=NHRUTF4F6DR2-152895277-623</Url>
      <Description>NHRUTF4F6DR2-152895277-623</Description>
    </_dlc_DocIdUrl>
    <SharedWithUsers xmlns="2e73dc95-9ddd-4ab8-a319-7bef957e83bb">
      <UserInfo>
        <DisplayName>FILIPKOVA Lenka</DisplayName>
        <AccountId>751</AccountId>
        <AccountType/>
      </UserInfo>
      <UserInfo>
        <DisplayName>ION Andrei</DisplayName>
        <AccountId>627</AccountId>
        <AccountType/>
      </UserInfo>
      <UserInfo>
        <DisplayName>CHUCHEV Atanas</DisplayName>
        <AccountId>272</AccountId>
        <AccountType/>
      </UserInfo>
      <UserInfo>
        <DisplayName>LOPEZ LLEDO Juan Jose</DisplayName>
        <AccountId>793</AccountId>
        <AccountType/>
      </UserInfo>
      <UserInfo>
        <DisplayName>SAIL Etienne</DisplayName>
        <AccountId>2679</AccountId>
        <AccountType/>
      </UserInfo>
      <UserInfo>
        <DisplayName>GERRITSEN Jan</DisplayName>
        <AccountId>608</AccountId>
        <AccountType/>
      </UserInfo>
      <UserInfo>
        <DisplayName>BONANOMI Francesco</DisplayName>
        <AccountId>761</AccountId>
        <AccountType/>
      </UserInfo>
      <UserInfo>
        <DisplayName>ESCLAPEZ Pierre-Yves</DisplayName>
        <AccountId>1203</AccountId>
        <AccountType/>
      </UserInfo>
      <UserInfo>
        <DisplayName>SCHMIDT-FABER Claudius</DisplayName>
        <AccountId>804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5470B514A2418498415EF2CB00EE337" ma:contentTypeVersion="6" ma:contentTypeDescription="Create a new document in this library." ma:contentTypeScope="" ma:versionID="91e5a90e98b4ce5cf2d74ac31dd7b226">
  <xsd:schema xmlns:xsd="http://www.w3.org/2001/XMLSchema" xmlns:xs="http://www.w3.org/2001/XMLSchema" xmlns:p="http://schemas.microsoft.com/office/2006/metadata/properties" xmlns:ns3="f78d0848-0cce-44bc-8931-8052bd5de5b6" xmlns:ns4="b9a1bbf4-3872-40cb-a1a3-b88a292b9176" xmlns:ns5="2e73dc95-9ddd-4ab8-a319-7bef957e83bb" targetNamespace="http://schemas.microsoft.com/office/2006/metadata/properties" ma:root="true" ma:fieldsID="f35a554dadcbe1a92b3d69350a2d030a" ns3:_="" ns4:_="" ns5:_="">
    <xsd:import namespace="f78d0848-0cce-44bc-8931-8052bd5de5b6"/>
    <xsd:import namespace="b9a1bbf4-3872-40cb-a1a3-b88a292b9176"/>
    <xsd:import namespace="2e73dc95-9ddd-4ab8-a319-7bef957e83b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4:_dlc_DocId" minOccurs="0"/>
                <xsd:element ref="ns4:_dlc_DocIdUrl" minOccurs="0"/>
                <xsd:element ref="ns4: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0848-0cce-44bc-8931-8052bd5de5b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73dc95-9ddd-4ab8-a319-7bef957e83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32D953-E476-477A-9BB5-CC6C9245F445}">
  <ds:schemaRefs>
    <ds:schemaRef ds:uri="http://schemas.microsoft.com/office/infopath/2007/PartnerControls"/>
    <ds:schemaRef ds:uri="http://purl.org/dc/elements/1.1/"/>
    <ds:schemaRef ds:uri="http://schemas.microsoft.com/office/2006/metadata/properties"/>
    <ds:schemaRef ds:uri="b9a1bbf4-3872-40cb-a1a3-b88a292b9176"/>
    <ds:schemaRef ds:uri="http://purl.org/dc/terms/"/>
    <ds:schemaRef ds:uri="http://schemas.openxmlformats.org/package/2006/metadata/core-properties"/>
    <ds:schemaRef ds:uri="2e73dc95-9ddd-4ab8-a319-7bef957e83bb"/>
    <ds:schemaRef ds:uri="http://schemas.microsoft.com/office/2006/documentManagement/types"/>
    <ds:schemaRef ds:uri="f78d0848-0cce-44bc-8931-8052bd5de5b6"/>
    <ds:schemaRef ds:uri="http://www.w3.org/XML/1998/namespace"/>
    <ds:schemaRef ds:uri="http://purl.org/dc/dcmitype/"/>
  </ds:schemaRefs>
</ds:datastoreItem>
</file>

<file path=customXml/itemProps2.xml><?xml version="1.0" encoding="utf-8"?>
<ds:datastoreItem xmlns:ds="http://schemas.openxmlformats.org/officeDocument/2006/customXml" ds:itemID="{F1CBB7A0-8A52-4271-8D5E-E3713224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0848-0cce-44bc-8931-8052bd5de5b6"/>
    <ds:schemaRef ds:uri="b9a1bbf4-3872-40cb-a1a3-b88a292b9176"/>
    <ds:schemaRef ds:uri="2e73dc95-9ddd-4ab8-a319-7bef957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C461E-6167-41DD-9826-8090DD560F81}">
  <ds:schemaRefs>
    <ds:schemaRef ds:uri="http://schemas.microsoft.com/sharepoint/events"/>
  </ds:schemaRefs>
</ds:datastoreItem>
</file>

<file path=customXml/itemProps4.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5.xml><?xml version="1.0" encoding="utf-8"?>
<ds:datastoreItem xmlns:ds="http://schemas.openxmlformats.org/officeDocument/2006/customXml" ds:itemID="{74F71D4F-DACF-4E42-A5FD-2F8D2D7A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5927</Words>
  <Characters>31534</Characters>
  <Application>Microsoft Office Word</Application>
  <DocSecurity>0</DocSecurity>
  <Lines>955</Lines>
  <Paragraphs>693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2022-03-20T21:30:00Z</cp:lastPrinted>
  <dcterms:created xsi:type="dcterms:W3CDTF">2022-06-07T18:32:00Z</dcterms:created>
  <dcterms:modified xsi:type="dcterms:W3CDTF">2022-06-23T12:43:00Z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Last edited using">
    <vt:lpwstr>LW 8.0, Build 20220128</vt:lpwstr>
  </property>
  <property fmtid="{D5CDD505-2E9C-101B-9397-08002B2CF9AE}" pid="6" name="Created using">
    <vt:lpwstr>LW 6.0.1, Build 20180503</vt:lpwstr>
  </property>
  <property fmtid="{D5CDD505-2E9C-101B-9397-08002B2CF9AE}" pid="7" name="DocStatus">
    <vt:lpwstr>Green</vt:lpwstr>
  </property>
  <property fmtid="{D5CDD505-2E9C-101B-9397-08002B2CF9AE}" pid="8" name="synchronize">
    <vt:lpwstr>on</vt:lpwstr>
  </property>
  <property fmtid="{D5CDD505-2E9C-101B-9397-08002B2CF9AE}" pid="9" name="CPTemplateID">
    <vt:lpwstr>CP-006</vt:lpwstr>
  </property>
  <property fmtid="{D5CDD505-2E9C-101B-9397-08002B2CF9AE}" pid="10" name="_LW_INVALIDATED__LW_INVALIDATED_ContentTypeId">
    <vt:lpwstr>0x010100258AA79CEB83498886A3A0868112325000189CB87B1E53E74D8E56C76F27A51955</vt:lpwstr>
  </property>
  <property fmtid="{D5CDD505-2E9C-101B-9397-08002B2CF9AE}" pid="11" name="ContentTypeId">
    <vt:lpwstr>0x010100258AA79CEB83498886A3A086811232500005470B514A2418498415EF2CB00EE337</vt:lpwstr>
  </property>
  <property fmtid="{D5CDD505-2E9C-101B-9397-08002B2CF9AE}" pid="12" name="_dlc_DocIdItemGuid">
    <vt:lpwstr>612815d5-7b94-4e92-b123-ce86cafd4f18</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2022-05-17T07:30:17Z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5bd134ee-e9e5-4153-9fea-730183349a8b</vt:lpwstr>
  </property>
  <property fmtid="{D5CDD505-2E9C-101B-9397-08002B2CF9AE}" pid="19" name="MSIP_Label_6bd9ddd1-4d20-43f6-abfa-fc3c07406f94_ContentBits">
    <vt:lpwstr>0</vt:lpwstr>
  </property>
</Properties>
</file>