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F02A7" w14:textId="76ADCA8A" w:rsidR="00EB21E1" w:rsidRDefault="00240A9A" w:rsidP="00240A9A">
      <w:pPr>
        <w:pStyle w:val="Pagedecouverture"/>
        <w:rPr>
          <w:noProof/>
        </w:rPr>
      </w:pPr>
      <w:bookmarkStart w:id="0" w:name="_Toc456026166"/>
      <w:bookmarkStart w:id="1" w:name="LW_BM_COVERPAGE"/>
      <w:r>
        <w:rPr>
          <w:noProof/>
        </w:rPr>
        <w:pict w14:anchorId="02DB1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2EC4AB-271F-49D4-B64E-5A00D8ED3F4B" style="width:455.15pt;height:337.05pt">
            <v:imagedata r:id="rId12" o:title=""/>
          </v:shape>
        </w:pict>
      </w:r>
    </w:p>
    <w:bookmarkEnd w:id="1"/>
    <w:p w14:paraId="6CB2888C" w14:textId="77777777" w:rsidR="00002A26" w:rsidRPr="00002A26" w:rsidRDefault="00002A26" w:rsidP="00002A26">
      <w:pPr>
        <w:pStyle w:val="Pagedecouverture"/>
        <w:rPr>
          <w:noProof/>
        </w:rPr>
        <w:sectPr w:rsidR="00002A26" w:rsidRPr="00002A26" w:rsidSect="00240A9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14:paraId="2007F954" w14:textId="77777777" w:rsidR="00D66606" w:rsidRPr="007E3223" w:rsidRDefault="00D66606" w:rsidP="00D66606">
      <w:pPr>
        <w:pStyle w:val="TOCHeading"/>
        <w:rPr>
          <w:noProof/>
        </w:rPr>
      </w:pPr>
      <w:bookmarkStart w:id="2" w:name="_Toc107422046"/>
      <w:bookmarkStart w:id="3" w:name="_Toc494974436"/>
      <w:bookmarkStart w:id="4" w:name="_Toc524523057"/>
      <w:bookmarkStart w:id="5" w:name="_GoBack"/>
      <w:bookmarkEnd w:id="0"/>
      <w:bookmarkEnd w:id="5"/>
      <w:r>
        <w:rPr>
          <w:noProof/>
        </w:rPr>
        <w:lastRenderedPageBreak/>
        <w:t>Inhoud</w:t>
      </w:r>
      <w:bookmarkEnd w:id="2"/>
    </w:p>
    <w:p w14:paraId="36031CC7" w14:textId="634B5D66" w:rsidR="00F45E8C" w:rsidRDefault="00D66606">
      <w:pPr>
        <w:pStyle w:val="TOC1"/>
        <w:rPr>
          <w:rFonts w:asciiTheme="minorHAnsi" w:eastAsiaTheme="minorEastAsia" w:hAnsiTheme="minorHAnsi"/>
          <w:b w:val="0"/>
          <w:caps w:val="0"/>
          <w:noProof/>
          <w:sz w:val="22"/>
          <w:szCs w:val="22"/>
          <w:lang w:val="en-US"/>
        </w:rPr>
      </w:pPr>
      <w:r>
        <w:rPr>
          <w:noProof/>
        </w:rPr>
        <w:fldChar w:fldCharType="begin"/>
      </w:r>
      <w:r>
        <w:rPr>
          <w:noProof/>
        </w:rPr>
        <w:instrText>TOC \o "1-3" \h \z \u</w:instrText>
      </w:r>
      <w:r>
        <w:rPr>
          <w:noProof/>
        </w:rPr>
        <w:fldChar w:fldCharType="separate"/>
      </w:r>
      <w:hyperlink w:anchor="_Toc107422046" w:history="1">
        <w:r w:rsidR="00F45E8C" w:rsidRPr="006C3382">
          <w:rPr>
            <w:rStyle w:val="Hyperlink"/>
            <w:noProof/>
          </w:rPr>
          <w:t>Inhoud</w:t>
        </w:r>
        <w:r w:rsidR="00F45E8C">
          <w:rPr>
            <w:noProof/>
            <w:webHidden/>
          </w:rPr>
          <w:tab/>
        </w:r>
        <w:r w:rsidR="00F45E8C">
          <w:rPr>
            <w:noProof/>
            <w:webHidden/>
          </w:rPr>
          <w:fldChar w:fldCharType="begin"/>
        </w:r>
        <w:r w:rsidR="00F45E8C">
          <w:rPr>
            <w:noProof/>
            <w:webHidden/>
          </w:rPr>
          <w:instrText xml:space="preserve"> PAGEREF _Toc107422046 \h </w:instrText>
        </w:r>
        <w:r w:rsidR="00F45E8C">
          <w:rPr>
            <w:noProof/>
            <w:webHidden/>
          </w:rPr>
        </w:r>
        <w:r w:rsidR="00F45E8C">
          <w:rPr>
            <w:noProof/>
            <w:webHidden/>
          </w:rPr>
          <w:fldChar w:fldCharType="separate"/>
        </w:r>
        <w:r w:rsidR="00F45E8C">
          <w:rPr>
            <w:noProof/>
            <w:webHidden/>
          </w:rPr>
          <w:t>1</w:t>
        </w:r>
        <w:r w:rsidR="00F45E8C">
          <w:rPr>
            <w:noProof/>
            <w:webHidden/>
          </w:rPr>
          <w:fldChar w:fldCharType="end"/>
        </w:r>
      </w:hyperlink>
    </w:p>
    <w:p w14:paraId="3073C33A" w14:textId="7B0EA2B1" w:rsidR="00F45E8C" w:rsidRDefault="00240A9A">
      <w:pPr>
        <w:pStyle w:val="TOC2"/>
        <w:rPr>
          <w:rFonts w:asciiTheme="minorHAnsi" w:eastAsiaTheme="minorEastAsia" w:hAnsiTheme="minorHAnsi"/>
          <w:noProof/>
          <w:sz w:val="22"/>
          <w:szCs w:val="22"/>
          <w:lang w:val="en-US"/>
        </w:rPr>
      </w:pPr>
      <w:hyperlink w:anchor="_Toc107422047" w:history="1">
        <w:r w:rsidR="00F45E8C" w:rsidRPr="006C3382">
          <w:rPr>
            <w:rStyle w:val="Hyperlink"/>
            <w:noProof/>
          </w:rPr>
          <w:t>1.</w:t>
        </w:r>
        <w:r w:rsidR="00F45E8C">
          <w:rPr>
            <w:rFonts w:asciiTheme="minorHAnsi" w:eastAsiaTheme="minorEastAsia" w:hAnsiTheme="minorHAnsi"/>
            <w:noProof/>
            <w:sz w:val="22"/>
            <w:szCs w:val="22"/>
            <w:lang w:val="en-US"/>
          </w:rPr>
          <w:tab/>
        </w:r>
        <w:r w:rsidR="00F45E8C" w:rsidRPr="006C3382">
          <w:rPr>
            <w:rStyle w:val="Hyperlink"/>
            <w:noProof/>
          </w:rPr>
          <w:t>Prognose van uitstromen van de EU-begroting 2023-2027</w:t>
        </w:r>
        <w:r w:rsidR="00F45E8C">
          <w:rPr>
            <w:noProof/>
            <w:webHidden/>
          </w:rPr>
          <w:tab/>
        </w:r>
        <w:r w:rsidR="00F45E8C">
          <w:rPr>
            <w:noProof/>
            <w:webHidden/>
          </w:rPr>
          <w:fldChar w:fldCharType="begin"/>
        </w:r>
        <w:r w:rsidR="00F45E8C">
          <w:rPr>
            <w:noProof/>
            <w:webHidden/>
          </w:rPr>
          <w:instrText xml:space="preserve"> PAGEREF _Toc107422047 \h </w:instrText>
        </w:r>
        <w:r w:rsidR="00F45E8C">
          <w:rPr>
            <w:noProof/>
            <w:webHidden/>
          </w:rPr>
        </w:r>
        <w:r w:rsidR="00F45E8C">
          <w:rPr>
            <w:noProof/>
            <w:webHidden/>
          </w:rPr>
          <w:fldChar w:fldCharType="separate"/>
        </w:r>
        <w:r w:rsidR="00F45E8C">
          <w:rPr>
            <w:noProof/>
            <w:webHidden/>
          </w:rPr>
          <w:t>2</w:t>
        </w:r>
        <w:r w:rsidR="00F45E8C">
          <w:rPr>
            <w:noProof/>
            <w:webHidden/>
          </w:rPr>
          <w:fldChar w:fldCharType="end"/>
        </w:r>
      </w:hyperlink>
    </w:p>
    <w:p w14:paraId="6415661A" w14:textId="219951DB" w:rsidR="00F45E8C" w:rsidRDefault="00240A9A">
      <w:pPr>
        <w:pStyle w:val="TOC3"/>
        <w:tabs>
          <w:tab w:val="left" w:pos="1400"/>
          <w:tab w:val="right" w:leader="dot" w:pos="9594"/>
        </w:tabs>
        <w:rPr>
          <w:rFonts w:asciiTheme="minorHAnsi" w:eastAsiaTheme="minorEastAsia" w:hAnsiTheme="minorHAnsi"/>
          <w:noProof/>
          <w:sz w:val="22"/>
          <w:szCs w:val="22"/>
          <w:lang w:val="en-US"/>
        </w:rPr>
      </w:pPr>
      <w:hyperlink w:anchor="_Toc107422048" w:history="1">
        <w:r w:rsidR="00F45E8C" w:rsidRPr="006C3382">
          <w:rPr>
            <w:rStyle w:val="Hyperlink"/>
            <w:noProof/>
          </w:rPr>
          <w:t>1.1.</w:t>
        </w:r>
        <w:r w:rsidR="00F45E8C">
          <w:rPr>
            <w:rFonts w:asciiTheme="minorHAnsi" w:eastAsiaTheme="minorEastAsia" w:hAnsiTheme="minorHAnsi"/>
            <w:noProof/>
            <w:sz w:val="22"/>
            <w:szCs w:val="22"/>
            <w:lang w:val="en-US"/>
          </w:rPr>
          <w:tab/>
        </w:r>
        <w:r w:rsidR="00F45E8C" w:rsidRPr="006C3382">
          <w:rPr>
            <w:rStyle w:val="Hyperlink"/>
            <w:noProof/>
          </w:rPr>
          <w:t>Betalingen in verband met de vastleggingen van het MFK 2021-2027</w:t>
        </w:r>
        <w:r w:rsidR="00F45E8C">
          <w:rPr>
            <w:noProof/>
            <w:webHidden/>
          </w:rPr>
          <w:tab/>
        </w:r>
        <w:r w:rsidR="00F45E8C">
          <w:rPr>
            <w:noProof/>
            <w:webHidden/>
          </w:rPr>
          <w:fldChar w:fldCharType="begin"/>
        </w:r>
        <w:r w:rsidR="00F45E8C">
          <w:rPr>
            <w:noProof/>
            <w:webHidden/>
          </w:rPr>
          <w:instrText xml:space="preserve"> PAGEREF _Toc107422048 \h </w:instrText>
        </w:r>
        <w:r w:rsidR="00F45E8C">
          <w:rPr>
            <w:noProof/>
            <w:webHidden/>
          </w:rPr>
        </w:r>
        <w:r w:rsidR="00F45E8C">
          <w:rPr>
            <w:noProof/>
            <w:webHidden/>
          </w:rPr>
          <w:fldChar w:fldCharType="separate"/>
        </w:r>
        <w:r w:rsidR="00F45E8C">
          <w:rPr>
            <w:noProof/>
            <w:webHidden/>
          </w:rPr>
          <w:t>5</w:t>
        </w:r>
        <w:r w:rsidR="00F45E8C">
          <w:rPr>
            <w:noProof/>
            <w:webHidden/>
          </w:rPr>
          <w:fldChar w:fldCharType="end"/>
        </w:r>
      </w:hyperlink>
    </w:p>
    <w:p w14:paraId="23FAF213" w14:textId="63C54F71" w:rsidR="00F45E8C" w:rsidRDefault="00240A9A">
      <w:pPr>
        <w:pStyle w:val="TOC3"/>
        <w:tabs>
          <w:tab w:val="left" w:pos="1400"/>
          <w:tab w:val="right" w:leader="dot" w:pos="9594"/>
        </w:tabs>
        <w:rPr>
          <w:rFonts w:asciiTheme="minorHAnsi" w:eastAsiaTheme="minorEastAsia" w:hAnsiTheme="minorHAnsi"/>
          <w:noProof/>
          <w:sz w:val="22"/>
          <w:szCs w:val="22"/>
          <w:lang w:val="en-US"/>
        </w:rPr>
      </w:pPr>
      <w:hyperlink w:anchor="_Toc107422049" w:history="1">
        <w:r w:rsidR="00F45E8C" w:rsidRPr="006C3382">
          <w:rPr>
            <w:rStyle w:val="Hyperlink"/>
            <w:noProof/>
          </w:rPr>
          <w:t>1.2.</w:t>
        </w:r>
        <w:r w:rsidR="00F45E8C">
          <w:rPr>
            <w:rFonts w:asciiTheme="minorHAnsi" w:eastAsiaTheme="minorEastAsia" w:hAnsiTheme="minorHAnsi"/>
            <w:noProof/>
            <w:sz w:val="22"/>
            <w:szCs w:val="22"/>
            <w:lang w:val="en-US"/>
          </w:rPr>
          <w:tab/>
        </w:r>
        <w:r w:rsidR="00F45E8C" w:rsidRPr="006C3382">
          <w:rPr>
            <w:rStyle w:val="Hyperlink"/>
            <w:noProof/>
          </w:rPr>
          <w:t>Betalingen voor de voltooiing van vastleggingen van vóór 2021</w:t>
        </w:r>
        <w:r w:rsidR="00F45E8C">
          <w:rPr>
            <w:noProof/>
            <w:webHidden/>
          </w:rPr>
          <w:tab/>
        </w:r>
        <w:r w:rsidR="00F45E8C">
          <w:rPr>
            <w:noProof/>
            <w:webHidden/>
          </w:rPr>
          <w:fldChar w:fldCharType="begin"/>
        </w:r>
        <w:r w:rsidR="00F45E8C">
          <w:rPr>
            <w:noProof/>
            <w:webHidden/>
          </w:rPr>
          <w:instrText xml:space="preserve"> PAGEREF _Toc107422049 \h </w:instrText>
        </w:r>
        <w:r w:rsidR="00F45E8C">
          <w:rPr>
            <w:noProof/>
            <w:webHidden/>
          </w:rPr>
        </w:r>
        <w:r w:rsidR="00F45E8C">
          <w:rPr>
            <w:noProof/>
            <w:webHidden/>
          </w:rPr>
          <w:fldChar w:fldCharType="separate"/>
        </w:r>
        <w:r w:rsidR="00F45E8C">
          <w:rPr>
            <w:noProof/>
            <w:webHidden/>
          </w:rPr>
          <w:t>8</w:t>
        </w:r>
        <w:r w:rsidR="00F45E8C">
          <w:rPr>
            <w:noProof/>
            <w:webHidden/>
          </w:rPr>
          <w:fldChar w:fldCharType="end"/>
        </w:r>
      </w:hyperlink>
    </w:p>
    <w:p w14:paraId="6D259BB1" w14:textId="76B7A37A" w:rsidR="00F45E8C" w:rsidRDefault="00240A9A">
      <w:pPr>
        <w:pStyle w:val="TOC3"/>
        <w:tabs>
          <w:tab w:val="left" w:pos="1400"/>
          <w:tab w:val="right" w:leader="dot" w:pos="9594"/>
        </w:tabs>
        <w:rPr>
          <w:rFonts w:asciiTheme="minorHAnsi" w:eastAsiaTheme="minorEastAsia" w:hAnsiTheme="minorHAnsi"/>
          <w:noProof/>
          <w:sz w:val="22"/>
          <w:szCs w:val="22"/>
          <w:lang w:val="en-US"/>
        </w:rPr>
      </w:pPr>
      <w:hyperlink w:anchor="_Toc107422050" w:history="1">
        <w:r w:rsidR="00F45E8C" w:rsidRPr="006C3382">
          <w:rPr>
            <w:rStyle w:val="Hyperlink"/>
            <w:noProof/>
          </w:rPr>
          <w:t>1.3.</w:t>
        </w:r>
        <w:r w:rsidR="00F45E8C">
          <w:rPr>
            <w:rFonts w:asciiTheme="minorHAnsi" w:eastAsiaTheme="minorEastAsia" w:hAnsiTheme="minorHAnsi"/>
            <w:noProof/>
            <w:sz w:val="22"/>
            <w:szCs w:val="22"/>
            <w:lang w:val="en-US"/>
          </w:rPr>
          <w:tab/>
        </w:r>
        <w:r w:rsidR="00F45E8C" w:rsidRPr="006C3382">
          <w:rPr>
            <w:rStyle w:val="Hyperlink"/>
            <w:noProof/>
          </w:rPr>
          <w:t>Vrijmakingen</w:t>
        </w:r>
        <w:r w:rsidR="00F45E8C">
          <w:rPr>
            <w:noProof/>
            <w:webHidden/>
          </w:rPr>
          <w:tab/>
        </w:r>
        <w:r w:rsidR="00F45E8C">
          <w:rPr>
            <w:noProof/>
            <w:webHidden/>
          </w:rPr>
          <w:fldChar w:fldCharType="begin"/>
        </w:r>
        <w:r w:rsidR="00F45E8C">
          <w:rPr>
            <w:noProof/>
            <w:webHidden/>
          </w:rPr>
          <w:instrText xml:space="preserve"> PAGEREF _Toc107422050 \h </w:instrText>
        </w:r>
        <w:r w:rsidR="00F45E8C">
          <w:rPr>
            <w:noProof/>
            <w:webHidden/>
          </w:rPr>
        </w:r>
        <w:r w:rsidR="00F45E8C">
          <w:rPr>
            <w:noProof/>
            <w:webHidden/>
          </w:rPr>
          <w:fldChar w:fldCharType="separate"/>
        </w:r>
        <w:r w:rsidR="00F45E8C">
          <w:rPr>
            <w:noProof/>
            <w:webHidden/>
          </w:rPr>
          <w:t>9</w:t>
        </w:r>
        <w:r w:rsidR="00F45E8C">
          <w:rPr>
            <w:noProof/>
            <w:webHidden/>
          </w:rPr>
          <w:fldChar w:fldCharType="end"/>
        </w:r>
      </w:hyperlink>
    </w:p>
    <w:p w14:paraId="56D2B881" w14:textId="6B367B22" w:rsidR="00F45E8C" w:rsidRDefault="00240A9A">
      <w:pPr>
        <w:pStyle w:val="TOC3"/>
        <w:tabs>
          <w:tab w:val="left" w:pos="1400"/>
          <w:tab w:val="right" w:leader="dot" w:pos="9594"/>
        </w:tabs>
        <w:rPr>
          <w:rFonts w:asciiTheme="minorHAnsi" w:eastAsiaTheme="minorEastAsia" w:hAnsiTheme="minorHAnsi"/>
          <w:noProof/>
          <w:sz w:val="22"/>
          <w:szCs w:val="22"/>
          <w:lang w:val="en-US"/>
        </w:rPr>
      </w:pPr>
      <w:hyperlink w:anchor="_Toc107422051" w:history="1">
        <w:r w:rsidR="00F45E8C" w:rsidRPr="006C3382">
          <w:rPr>
            <w:rStyle w:val="Hyperlink"/>
            <w:noProof/>
          </w:rPr>
          <w:t>1.4.</w:t>
        </w:r>
        <w:r w:rsidR="00F45E8C">
          <w:rPr>
            <w:rFonts w:asciiTheme="minorHAnsi" w:eastAsiaTheme="minorEastAsia" w:hAnsiTheme="minorHAnsi"/>
            <w:noProof/>
            <w:sz w:val="22"/>
            <w:szCs w:val="22"/>
            <w:lang w:val="en-US"/>
          </w:rPr>
          <w:tab/>
        </w:r>
        <w:r w:rsidR="00F45E8C" w:rsidRPr="006C3382">
          <w:rPr>
            <w:rStyle w:val="Hyperlink"/>
            <w:noProof/>
          </w:rPr>
          <w:t>NextGenerationEU</w:t>
        </w:r>
        <w:r w:rsidR="00F45E8C">
          <w:rPr>
            <w:noProof/>
            <w:webHidden/>
          </w:rPr>
          <w:tab/>
        </w:r>
        <w:r w:rsidR="00F45E8C">
          <w:rPr>
            <w:noProof/>
            <w:webHidden/>
          </w:rPr>
          <w:fldChar w:fldCharType="begin"/>
        </w:r>
        <w:r w:rsidR="00F45E8C">
          <w:rPr>
            <w:noProof/>
            <w:webHidden/>
          </w:rPr>
          <w:instrText xml:space="preserve"> PAGEREF _Toc107422051 \h </w:instrText>
        </w:r>
        <w:r w:rsidR="00F45E8C">
          <w:rPr>
            <w:noProof/>
            <w:webHidden/>
          </w:rPr>
        </w:r>
        <w:r w:rsidR="00F45E8C">
          <w:rPr>
            <w:noProof/>
            <w:webHidden/>
          </w:rPr>
          <w:fldChar w:fldCharType="separate"/>
        </w:r>
        <w:r w:rsidR="00F45E8C">
          <w:rPr>
            <w:noProof/>
            <w:webHidden/>
          </w:rPr>
          <w:t>10</w:t>
        </w:r>
        <w:r w:rsidR="00F45E8C">
          <w:rPr>
            <w:noProof/>
            <w:webHidden/>
          </w:rPr>
          <w:fldChar w:fldCharType="end"/>
        </w:r>
      </w:hyperlink>
    </w:p>
    <w:p w14:paraId="6CFD1995" w14:textId="5E7E1F71" w:rsidR="00F45E8C" w:rsidRDefault="00240A9A">
      <w:pPr>
        <w:pStyle w:val="TOC3"/>
        <w:tabs>
          <w:tab w:val="left" w:pos="1400"/>
          <w:tab w:val="right" w:leader="dot" w:pos="9594"/>
        </w:tabs>
        <w:rPr>
          <w:rFonts w:asciiTheme="minorHAnsi" w:eastAsiaTheme="minorEastAsia" w:hAnsiTheme="minorHAnsi"/>
          <w:noProof/>
          <w:sz w:val="22"/>
          <w:szCs w:val="22"/>
          <w:lang w:val="en-US"/>
        </w:rPr>
      </w:pPr>
      <w:hyperlink w:anchor="_Toc107422052" w:history="1">
        <w:r w:rsidR="00F45E8C" w:rsidRPr="006C3382">
          <w:rPr>
            <w:rStyle w:val="Hyperlink"/>
            <w:noProof/>
          </w:rPr>
          <w:t>1.5.</w:t>
        </w:r>
        <w:r w:rsidR="00F45E8C">
          <w:rPr>
            <w:rFonts w:asciiTheme="minorHAnsi" w:eastAsiaTheme="minorEastAsia" w:hAnsiTheme="minorHAnsi"/>
            <w:noProof/>
            <w:sz w:val="22"/>
            <w:szCs w:val="22"/>
            <w:lang w:val="en-US"/>
          </w:rPr>
          <w:tab/>
        </w:r>
        <w:r w:rsidR="00F45E8C" w:rsidRPr="006C3382">
          <w:rPr>
            <w:rStyle w:val="Hyperlink"/>
            <w:noProof/>
          </w:rPr>
          <w:t>Ontwikkeling van de omvang van de uitstaande vastleggingen</w:t>
        </w:r>
        <w:r w:rsidR="00F45E8C">
          <w:rPr>
            <w:noProof/>
            <w:webHidden/>
          </w:rPr>
          <w:tab/>
        </w:r>
        <w:r w:rsidR="00F45E8C">
          <w:rPr>
            <w:noProof/>
            <w:webHidden/>
          </w:rPr>
          <w:fldChar w:fldCharType="begin"/>
        </w:r>
        <w:r w:rsidR="00F45E8C">
          <w:rPr>
            <w:noProof/>
            <w:webHidden/>
          </w:rPr>
          <w:instrText xml:space="preserve"> PAGEREF _Toc107422052 \h </w:instrText>
        </w:r>
        <w:r w:rsidR="00F45E8C">
          <w:rPr>
            <w:noProof/>
            <w:webHidden/>
          </w:rPr>
        </w:r>
        <w:r w:rsidR="00F45E8C">
          <w:rPr>
            <w:noProof/>
            <w:webHidden/>
          </w:rPr>
          <w:fldChar w:fldCharType="separate"/>
        </w:r>
        <w:r w:rsidR="00F45E8C">
          <w:rPr>
            <w:noProof/>
            <w:webHidden/>
          </w:rPr>
          <w:t>11</w:t>
        </w:r>
        <w:r w:rsidR="00F45E8C">
          <w:rPr>
            <w:noProof/>
            <w:webHidden/>
          </w:rPr>
          <w:fldChar w:fldCharType="end"/>
        </w:r>
      </w:hyperlink>
    </w:p>
    <w:p w14:paraId="44CB5879" w14:textId="09F5A76A" w:rsidR="00F45E8C" w:rsidRDefault="00240A9A">
      <w:pPr>
        <w:pStyle w:val="TOC2"/>
        <w:rPr>
          <w:rFonts w:asciiTheme="minorHAnsi" w:eastAsiaTheme="minorEastAsia" w:hAnsiTheme="minorHAnsi"/>
          <w:noProof/>
          <w:sz w:val="22"/>
          <w:szCs w:val="22"/>
          <w:lang w:val="en-US"/>
        </w:rPr>
      </w:pPr>
      <w:hyperlink w:anchor="_Toc107422053" w:history="1">
        <w:r w:rsidR="00F45E8C" w:rsidRPr="006C3382">
          <w:rPr>
            <w:rStyle w:val="Hyperlink"/>
            <w:noProof/>
          </w:rPr>
          <w:t>2.</w:t>
        </w:r>
        <w:r w:rsidR="00F45E8C">
          <w:rPr>
            <w:rFonts w:asciiTheme="minorHAnsi" w:eastAsiaTheme="minorEastAsia" w:hAnsiTheme="minorHAnsi"/>
            <w:noProof/>
            <w:sz w:val="22"/>
            <w:szCs w:val="22"/>
            <w:lang w:val="en-US"/>
          </w:rPr>
          <w:tab/>
        </w:r>
        <w:r w:rsidR="00F45E8C" w:rsidRPr="006C3382">
          <w:rPr>
            <w:rStyle w:val="Hyperlink"/>
            <w:noProof/>
          </w:rPr>
          <w:t>Prognose van instromen van de EU-begroting 2023-2027</w:t>
        </w:r>
        <w:r w:rsidR="00F45E8C">
          <w:rPr>
            <w:noProof/>
            <w:webHidden/>
          </w:rPr>
          <w:tab/>
        </w:r>
        <w:r w:rsidR="00F45E8C">
          <w:rPr>
            <w:noProof/>
            <w:webHidden/>
          </w:rPr>
          <w:fldChar w:fldCharType="begin"/>
        </w:r>
        <w:r w:rsidR="00F45E8C">
          <w:rPr>
            <w:noProof/>
            <w:webHidden/>
          </w:rPr>
          <w:instrText xml:space="preserve"> PAGEREF _Toc107422053 \h </w:instrText>
        </w:r>
        <w:r w:rsidR="00F45E8C">
          <w:rPr>
            <w:noProof/>
            <w:webHidden/>
          </w:rPr>
        </w:r>
        <w:r w:rsidR="00F45E8C">
          <w:rPr>
            <w:noProof/>
            <w:webHidden/>
          </w:rPr>
          <w:fldChar w:fldCharType="separate"/>
        </w:r>
        <w:r w:rsidR="00F45E8C">
          <w:rPr>
            <w:noProof/>
            <w:webHidden/>
          </w:rPr>
          <w:t>12</w:t>
        </w:r>
        <w:r w:rsidR="00F45E8C">
          <w:rPr>
            <w:noProof/>
            <w:webHidden/>
          </w:rPr>
          <w:fldChar w:fldCharType="end"/>
        </w:r>
      </w:hyperlink>
    </w:p>
    <w:p w14:paraId="480DF0CC" w14:textId="107BCEB3" w:rsidR="00F45E8C" w:rsidRDefault="00240A9A">
      <w:pPr>
        <w:pStyle w:val="TOC2"/>
        <w:rPr>
          <w:rFonts w:asciiTheme="minorHAnsi" w:eastAsiaTheme="minorEastAsia" w:hAnsiTheme="minorHAnsi"/>
          <w:noProof/>
          <w:sz w:val="22"/>
          <w:szCs w:val="22"/>
          <w:lang w:val="en-US"/>
        </w:rPr>
      </w:pPr>
      <w:hyperlink w:anchor="_Toc107422054" w:history="1">
        <w:r w:rsidR="00F45E8C" w:rsidRPr="006C3382">
          <w:rPr>
            <w:rStyle w:val="Hyperlink"/>
            <w:noProof/>
          </w:rPr>
          <w:t>3.</w:t>
        </w:r>
        <w:r w:rsidR="00F45E8C">
          <w:rPr>
            <w:rFonts w:asciiTheme="minorHAnsi" w:eastAsiaTheme="minorEastAsia" w:hAnsiTheme="minorHAnsi"/>
            <w:noProof/>
            <w:sz w:val="22"/>
            <w:szCs w:val="22"/>
            <w:lang w:val="en-US"/>
          </w:rPr>
          <w:tab/>
        </w:r>
        <w:r w:rsidR="00F45E8C" w:rsidRPr="006C3382">
          <w:rPr>
            <w:rStyle w:val="Hyperlink"/>
            <w:noProof/>
          </w:rPr>
          <w:t>Conclusies</w:t>
        </w:r>
        <w:r w:rsidR="00F45E8C">
          <w:rPr>
            <w:noProof/>
            <w:webHidden/>
          </w:rPr>
          <w:tab/>
        </w:r>
        <w:r w:rsidR="00F45E8C">
          <w:rPr>
            <w:noProof/>
            <w:webHidden/>
          </w:rPr>
          <w:fldChar w:fldCharType="begin"/>
        </w:r>
        <w:r w:rsidR="00F45E8C">
          <w:rPr>
            <w:noProof/>
            <w:webHidden/>
          </w:rPr>
          <w:instrText xml:space="preserve"> PAGEREF _Toc107422054 \h </w:instrText>
        </w:r>
        <w:r w:rsidR="00F45E8C">
          <w:rPr>
            <w:noProof/>
            <w:webHidden/>
          </w:rPr>
        </w:r>
        <w:r w:rsidR="00F45E8C">
          <w:rPr>
            <w:noProof/>
            <w:webHidden/>
          </w:rPr>
          <w:fldChar w:fldCharType="separate"/>
        </w:r>
        <w:r w:rsidR="00F45E8C">
          <w:rPr>
            <w:noProof/>
            <w:webHidden/>
          </w:rPr>
          <w:t>13</w:t>
        </w:r>
        <w:r w:rsidR="00F45E8C">
          <w:rPr>
            <w:noProof/>
            <w:webHidden/>
          </w:rPr>
          <w:fldChar w:fldCharType="end"/>
        </w:r>
      </w:hyperlink>
    </w:p>
    <w:p w14:paraId="59DBAFF4" w14:textId="07FC28DA" w:rsidR="00F45E8C" w:rsidRDefault="00240A9A">
      <w:pPr>
        <w:pStyle w:val="TOC2"/>
        <w:rPr>
          <w:rFonts w:asciiTheme="minorHAnsi" w:eastAsiaTheme="minorEastAsia" w:hAnsiTheme="minorHAnsi"/>
          <w:noProof/>
          <w:sz w:val="22"/>
          <w:szCs w:val="22"/>
          <w:lang w:val="en-US"/>
        </w:rPr>
      </w:pPr>
      <w:hyperlink w:anchor="_Toc107422055" w:history="1">
        <w:r w:rsidR="00F45E8C" w:rsidRPr="006C3382">
          <w:rPr>
            <w:rStyle w:val="Hyperlink"/>
            <w:noProof/>
          </w:rPr>
          <w:t>Bijlage I — Resultaten van de prognose*</w:t>
        </w:r>
        <w:r w:rsidR="00F45E8C">
          <w:rPr>
            <w:noProof/>
            <w:webHidden/>
          </w:rPr>
          <w:tab/>
        </w:r>
        <w:r w:rsidR="00F45E8C">
          <w:rPr>
            <w:noProof/>
            <w:webHidden/>
          </w:rPr>
          <w:fldChar w:fldCharType="begin"/>
        </w:r>
        <w:r w:rsidR="00F45E8C">
          <w:rPr>
            <w:noProof/>
            <w:webHidden/>
          </w:rPr>
          <w:instrText xml:space="preserve"> PAGEREF _Toc107422055 \h </w:instrText>
        </w:r>
        <w:r w:rsidR="00F45E8C">
          <w:rPr>
            <w:noProof/>
            <w:webHidden/>
          </w:rPr>
        </w:r>
        <w:r w:rsidR="00F45E8C">
          <w:rPr>
            <w:noProof/>
            <w:webHidden/>
          </w:rPr>
          <w:fldChar w:fldCharType="separate"/>
        </w:r>
        <w:r w:rsidR="00F45E8C">
          <w:rPr>
            <w:noProof/>
            <w:webHidden/>
          </w:rPr>
          <w:t>15</w:t>
        </w:r>
        <w:r w:rsidR="00F45E8C">
          <w:rPr>
            <w:noProof/>
            <w:webHidden/>
          </w:rPr>
          <w:fldChar w:fldCharType="end"/>
        </w:r>
      </w:hyperlink>
    </w:p>
    <w:p w14:paraId="5BFA086B" w14:textId="1AA9AD04" w:rsidR="00F45E8C" w:rsidRDefault="00240A9A">
      <w:pPr>
        <w:pStyle w:val="TOC2"/>
        <w:rPr>
          <w:rFonts w:asciiTheme="minorHAnsi" w:eastAsiaTheme="minorEastAsia" w:hAnsiTheme="minorHAnsi"/>
          <w:noProof/>
          <w:sz w:val="22"/>
          <w:szCs w:val="22"/>
          <w:lang w:val="en-US"/>
        </w:rPr>
      </w:pPr>
      <w:hyperlink w:anchor="_Toc107422056" w:history="1">
        <w:r w:rsidR="00F45E8C" w:rsidRPr="006C3382">
          <w:rPr>
            <w:rStyle w:val="Hyperlink"/>
            <w:noProof/>
          </w:rPr>
          <w:t>Tabel 1.1 — Langetermijnprognose voor toekomstige uitstromen in 2023-2027 voor het MFK</w:t>
        </w:r>
        <w:r w:rsidR="00F45E8C">
          <w:rPr>
            <w:noProof/>
            <w:webHidden/>
          </w:rPr>
          <w:tab/>
        </w:r>
        <w:r w:rsidR="00F45E8C">
          <w:rPr>
            <w:noProof/>
            <w:webHidden/>
          </w:rPr>
          <w:fldChar w:fldCharType="begin"/>
        </w:r>
        <w:r w:rsidR="00F45E8C">
          <w:rPr>
            <w:noProof/>
            <w:webHidden/>
          </w:rPr>
          <w:instrText xml:space="preserve"> PAGEREF _Toc107422056 \h </w:instrText>
        </w:r>
        <w:r w:rsidR="00F45E8C">
          <w:rPr>
            <w:noProof/>
            <w:webHidden/>
          </w:rPr>
        </w:r>
        <w:r w:rsidR="00F45E8C">
          <w:rPr>
            <w:noProof/>
            <w:webHidden/>
          </w:rPr>
          <w:fldChar w:fldCharType="separate"/>
        </w:r>
        <w:r w:rsidR="00F45E8C">
          <w:rPr>
            <w:noProof/>
            <w:webHidden/>
          </w:rPr>
          <w:t>15</w:t>
        </w:r>
        <w:r w:rsidR="00F45E8C">
          <w:rPr>
            <w:noProof/>
            <w:webHidden/>
          </w:rPr>
          <w:fldChar w:fldCharType="end"/>
        </w:r>
      </w:hyperlink>
    </w:p>
    <w:p w14:paraId="2221D67A" w14:textId="6FF930E1" w:rsidR="00F45E8C" w:rsidRDefault="00240A9A">
      <w:pPr>
        <w:pStyle w:val="TOC2"/>
        <w:rPr>
          <w:rFonts w:asciiTheme="minorHAnsi" w:eastAsiaTheme="minorEastAsia" w:hAnsiTheme="minorHAnsi"/>
          <w:noProof/>
          <w:sz w:val="22"/>
          <w:szCs w:val="22"/>
          <w:lang w:val="en-US"/>
        </w:rPr>
      </w:pPr>
      <w:hyperlink w:anchor="_Toc107422057" w:history="1">
        <w:r w:rsidR="00F45E8C" w:rsidRPr="006C3382">
          <w:rPr>
            <w:rStyle w:val="Hyperlink"/>
            <w:noProof/>
          </w:rPr>
          <w:t>Tabel 1.2 — Betalingen in verband met de vastleggingen van het MFK 2021-2027</w:t>
        </w:r>
        <w:r w:rsidR="00F45E8C">
          <w:rPr>
            <w:noProof/>
            <w:webHidden/>
          </w:rPr>
          <w:tab/>
        </w:r>
        <w:r w:rsidR="00F45E8C">
          <w:rPr>
            <w:noProof/>
            <w:webHidden/>
          </w:rPr>
          <w:fldChar w:fldCharType="begin"/>
        </w:r>
        <w:r w:rsidR="00F45E8C">
          <w:rPr>
            <w:noProof/>
            <w:webHidden/>
          </w:rPr>
          <w:instrText xml:space="preserve"> PAGEREF _Toc107422057 \h </w:instrText>
        </w:r>
        <w:r w:rsidR="00F45E8C">
          <w:rPr>
            <w:noProof/>
            <w:webHidden/>
          </w:rPr>
        </w:r>
        <w:r w:rsidR="00F45E8C">
          <w:rPr>
            <w:noProof/>
            <w:webHidden/>
          </w:rPr>
          <w:fldChar w:fldCharType="separate"/>
        </w:r>
        <w:r w:rsidR="00F45E8C">
          <w:rPr>
            <w:noProof/>
            <w:webHidden/>
          </w:rPr>
          <w:t>16</w:t>
        </w:r>
        <w:r w:rsidR="00F45E8C">
          <w:rPr>
            <w:noProof/>
            <w:webHidden/>
          </w:rPr>
          <w:fldChar w:fldCharType="end"/>
        </w:r>
      </w:hyperlink>
    </w:p>
    <w:p w14:paraId="072DC57D" w14:textId="2E0EAF5E" w:rsidR="00F45E8C" w:rsidRDefault="00240A9A">
      <w:pPr>
        <w:pStyle w:val="TOC2"/>
        <w:rPr>
          <w:rFonts w:asciiTheme="minorHAnsi" w:eastAsiaTheme="minorEastAsia" w:hAnsiTheme="minorHAnsi"/>
          <w:noProof/>
          <w:sz w:val="22"/>
          <w:szCs w:val="22"/>
          <w:lang w:val="en-US"/>
        </w:rPr>
      </w:pPr>
      <w:hyperlink w:anchor="_Toc107422058" w:history="1">
        <w:r w:rsidR="00F45E8C" w:rsidRPr="006C3382">
          <w:rPr>
            <w:rStyle w:val="Hyperlink"/>
            <w:noProof/>
          </w:rPr>
          <w:t>Tabel 1.3 — Betalingen voor de voltooiing van de vastleggingen van vóór 2021</w:t>
        </w:r>
        <w:r w:rsidR="00F45E8C">
          <w:rPr>
            <w:noProof/>
            <w:webHidden/>
          </w:rPr>
          <w:tab/>
        </w:r>
        <w:r w:rsidR="00F45E8C">
          <w:rPr>
            <w:noProof/>
            <w:webHidden/>
          </w:rPr>
          <w:fldChar w:fldCharType="begin"/>
        </w:r>
        <w:r w:rsidR="00F45E8C">
          <w:rPr>
            <w:noProof/>
            <w:webHidden/>
          </w:rPr>
          <w:instrText xml:space="preserve"> PAGEREF _Toc107422058 \h </w:instrText>
        </w:r>
        <w:r w:rsidR="00F45E8C">
          <w:rPr>
            <w:noProof/>
            <w:webHidden/>
          </w:rPr>
        </w:r>
        <w:r w:rsidR="00F45E8C">
          <w:rPr>
            <w:noProof/>
            <w:webHidden/>
          </w:rPr>
          <w:fldChar w:fldCharType="separate"/>
        </w:r>
        <w:r w:rsidR="00F45E8C">
          <w:rPr>
            <w:noProof/>
            <w:webHidden/>
          </w:rPr>
          <w:t>17</w:t>
        </w:r>
        <w:r w:rsidR="00F45E8C">
          <w:rPr>
            <w:noProof/>
            <w:webHidden/>
          </w:rPr>
          <w:fldChar w:fldCharType="end"/>
        </w:r>
      </w:hyperlink>
    </w:p>
    <w:p w14:paraId="01FE049C" w14:textId="22D779EF" w:rsidR="00F45E8C" w:rsidRDefault="00240A9A">
      <w:pPr>
        <w:pStyle w:val="TOC2"/>
        <w:rPr>
          <w:rFonts w:asciiTheme="minorHAnsi" w:eastAsiaTheme="minorEastAsia" w:hAnsiTheme="minorHAnsi"/>
          <w:noProof/>
          <w:sz w:val="22"/>
          <w:szCs w:val="22"/>
          <w:lang w:val="en-US"/>
        </w:rPr>
      </w:pPr>
      <w:hyperlink w:anchor="_Toc107422059" w:history="1">
        <w:r w:rsidR="00F45E8C" w:rsidRPr="006C3382">
          <w:rPr>
            <w:rStyle w:val="Hyperlink"/>
            <w:noProof/>
          </w:rPr>
          <w:t>Tabel 2 — Geraamde vrijmakingen</w:t>
        </w:r>
        <w:r w:rsidR="00F45E8C">
          <w:rPr>
            <w:noProof/>
            <w:webHidden/>
          </w:rPr>
          <w:tab/>
        </w:r>
        <w:r w:rsidR="00F45E8C">
          <w:rPr>
            <w:noProof/>
            <w:webHidden/>
          </w:rPr>
          <w:fldChar w:fldCharType="begin"/>
        </w:r>
        <w:r w:rsidR="00F45E8C">
          <w:rPr>
            <w:noProof/>
            <w:webHidden/>
          </w:rPr>
          <w:instrText xml:space="preserve"> PAGEREF _Toc107422059 \h </w:instrText>
        </w:r>
        <w:r w:rsidR="00F45E8C">
          <w:rPr>
            <w:noProof/>
            <w:webHidden/>
          </w:rPr>
        </w:r>
        <w:r w:rsidR="00F45E8C">
          <w:rPr>
            <w:noProof/>
            <w:webHidden/>
          </w:rPr>
          <w:fldChar w:fldCharType="separate"/>
        </w:r>
        <w:r w:rsidR="00F45E8C">
          <w:rPr>
            <w:noProof/>
            <w:webHidden/>
          </w:rPr>
          <w:t>18</w:t>
        </w:r>
        <w:r w:rsidR="00F45E8C">
          <w:rPr>
            <w:noProof/>
            <w:webHidden/>
          </w:rPr>
          <w:fldChar w:fldCharType="end"/>
        </w:r>
      </w:hyperlink>
    </w:p>
    <w:p w14:paraId="090390FE" w14:textId="30A17438" w:rsidR="00F45E8C" w:rsidRDefault="00240A9A">
      <w:pPr>
        <w:pStyle w:val="TOC2"/>
        <w:rPr>
          <w:rFonts w:asciiTheme="minorHAnsi" w:eastAsiaTheme="minorEastAsia" w:hAnsiTheme="minorHAnsi"/>
          <w:noProof/>
          <w:sz w:val="22"/>
          <w:szCs w:val="22"/>
          <w:lang w:val="en-US"/>
        </w:rPr>
      </w:pPr>
      <w:hyperlink w:anchor="_Toc107422060" w:history="1">
        <w:r w:rsidR="00F45E8C" w:rsidRPr="006C3382">
          <w:rPr>
            <w:rStyle w:val="Hyperlink"/>
            <w:noProof/>
          </w:rPr>
          <w:t>Tabel 3 — Langetermijnprognose van uitstromen voor NextGenerationEU</w:t>
        </w:r>
        <w:r w:rsidR="00F45E8C">
          <w:rPr>
            <w:noProof/>
            <w:webHidden/>
          </w:rPr>
          <w:tab/>
        </w:r>
        <w:r w:rsidR="00F45E8C">
          <w:rPr>
            <w:noProof/>
            <w:webHidden/>
          </w:rPr>
          <w:fldChar w:fldCharType="begin"/>
        </w:r>
        <w:r w:rsidR="00F45E8C">
          <w:rPr>
            <w:noProof/>
            <w:webHidden/>
          </w:rPr>
          <w:instrText xml:space="preserve"> PAGEREF _Toc107422060 \h </w:instrText>
        </w:r>
        <w:r w:rsidR="00F45E8C">
          <w:rPr>
            <w:noProof/>
            <w:webHidden/>
          </w:rPr>
        </w:r>
        <w:r w:rsidR="00F45E8C">
          <w:rPr>
            <w:noProof/>
            <w:webHidden/>
          </w:rPr>
          <w:fldChar w:fldCharType="separate"/>
        </w:r>
        <w:r w:rsidR="00F45E8C">
          <w:rPr>
            <w:noProof/>
            <w:webHidden/>
          </w:rPr>
          <w:t>19</w:t>
        </w:r>
        <w:r w:rsidR="00F45E8C">
          <w:rPr>
            <w:noProof/>
            <w:webHidden/>
          </w:rPr>
          <w:fldChar w:fldCharType="end"/>
        </w:r>
      </w:hyperlink>
    </w:p>
    <w:p w14:paraId="68DE1C37" w14:textId="3B553C90" w:rsidR="00F45E8C" w:rsidRDefault="00240A9A">
      <w:pPr>
        <w:pStyle w:val="TOC2"/>
        <w:rPr>
          <w:rFonts w:asciiTheme="minorHAnsi" w:eastAsiaTheme="minorEastAsia" w:hAnsiTheme="minorHAnsi"/>
          <w:noProof/>
          <w:sz w:val="22"/>
          <w:szCs w:val="22"/>
          <w:lang w:val="en-US"/>
        </w:rPr>
      </w:pPr>
      <w:hyperlink w:anchor="_Toc107422061" w:history="1">
        <w:r w:rsidR="00F45E8C" w:rsidRPr="006C3382">
          <w:rPr>
            <w:rStyle w:val="Hyperlink"/>
            <w:noProof/>
          </w:rPr>
          <w:t>Tabel 4 — Verandering in het totaal aan uitstaande vastleggingen van 2023 tot en met 2027</w:t>
        </w:r>
        <w:r w:rsidR="00F45E8C">
          <w:rPr>
            <w:noProof/>
            <w:webHidden/>
          </w:rPr>
          <w:tab/>
        </w:r>
        <w:r w:rsidR="00F45E8C">
          <w:rPr>
            <w:noProof/>
            <w:webHidden/>
          </w:rPr>
          <w:fldChar w:fldCharType="begin"/>
        </w:r>
        <w:r w:rsidR="00F45E8C">
          <w:rPr>
            <w:noProof/>
            <w:webHidden/>
          </w:rPr>
          <w:instrText xml:space="preserve"> PAGEREF _Toc107422061 \h </w:instrText>
        </w:r>
        <w:r w:rsidR="00F45E8C">
          <w:rPr>
            <w:noProof/>
            <w:webHidden/>
          </w:rPr>
        </w:r>
        <w:r w:rsidR="00F45E8C">
          <w:rPr>
            <w:noProof/>
            <w:webHidden/>
          </w:rPr>
          <w:fldChar w:fldCharType="separate"/>
        </w:r>
        <w:r w:rsidR="00F45E8C">
          <w:rPr>
            <w:noProof/>
            <w:webHidden/>
          </w:rPr>
          <w:t>19</w:t>
        </w:r>
        <w:r w:rsidR="00F45E8C">
          <w:rPr>
            <w:noProof/>
            <w:webHidden/>
          </w:rPr>
          <w:fldChar w:fldCharType="end"/>
        </w:r>
      </w:hyperlink>
    </w:p>
    <w:p w14:paraId="2BED66CE" w14:textId="36F3B69C" w:rsidR="00F45E8C" w:rsidRDefault="00240A9A">
      <w:pPr>
        <w:pStyle w:val="TOC2"/>
        <w:rPr>
          <w:rFonts w:asciiTheme="minorHAnsi" w:eastAsiaTheme="minorEastAsia" w:hAnsiTheme="minorHAnsi"/>
          <w:noProof/>
          <w:sz w:val="22"/>
          <w:szCs w:val="22"/>
          <w:lang w:val="en-US"/>
        </w:rPr>
      </w:pPr>
      <w:hyperlink w:anchor="_Toc107422062" w:history="1">
        <w:r w:rsidR="00F45E8C" w:rsidRPr="006C3382">
          <w:rPr>
            <w:rStyle w:val="Hyperlink"/>
            <w:noProof/>
          </w:rPr>
          <w:t>Tabel 5 — Langetermijnprognose van toekomstige instromen op de EU-begroting voor 2023-2027</w:t>
        </w:r>
        <w:r w:rsidR="00F45E8C">
          <w:rPr>
            <w:noProof/>
            <w:webHidden/>
          </w:rPr>
          <w:tab/>
        </w:r>
        <w:r w:rsidR="00F45E8C">
          <w:rPr>
            <w:noProof/>
            <w:webHidden/>
          </w:rPr>
          <w:fldChar w:fldCharType="begin"/>
        </w:r>
        <w:r w:rsidR="00F45E8C">
          <w:rPr>
            <w:noProof/>
            <w:webHidden/>
          </w:rPr>
          <w:instrText xml:space="preserve"> PAGEREF _Toc107422062 \h </w:instrText>
        </w:r>
        <w:r w:rsidR="00F45E8C">
          <w:rPr>
            <w:noProof/>
            <w:webHidden/>
          </w:rPr>
        </w:r>
        <w:r w:rsidR="00F45E8C">
          <w:rPr>
            <w:noProof/>
            <w:webHidden/>
          </w:rPr>
          <w:fldChar w:fldCharType="separate"/>
        </w:r>
        <w:r w:rsidR="00F45E8C">
          <w:rPr>
            <w:noProof/>
            <w:webHidden/>
          </w:rPr>
          <w:t>20</w:t>
        </w:r>
        <w:r w:rsidR="00F45E8C">
          <w:rPr>
            <w:noProof/>
            <w:webHidden/>
          </w:rPr>
          <w:fldChar w:fldCharType="end"/>
        </w:r>
      </w:hyperlink>
    </w:p>
    <w:p w14:paraId="2074266C" w14:textId="308D40FE" w:rsidR="00D66606" w:rsidRPr="007E3223" w:rsidRDefault="00D66606" w:rsidP="00F45E8C">
      <w:pPr>
        <w:pStyle w:val="TOC2"/>
        <w:rPr>
          <w:noProof/>
        </w:rPr>
      </w:pPr>
      <w:r>
        <w:rPr>
          <w:noProof/>
        </w:rPr>
        <w:fldChar w:fldCharType="end"/>
      </w:r>
      <w:r>
        <w:rPr>
          <w:noProof/>
        </w:rPr>
        <w:br w:type="page"/>
        <w:t>Inleiding</w:t>
      </w:r>
      <w:bookmarkEnd w:id="3"/>
      <w:bookmarkEnd w:id="4"/>
    </w:p>
    <w:p w14:paraId="22F2B8A8" w14:textId="0A01AA3E" w:rsidR="00D66606" w:rsidRPr="008E6982" w:rsidRDefault="00D66606" w:rsidP="00D66606">
      <w:pPr>
        <w:spacing w:after="120" w:line="276" w:lineRule="auto"/>
        <w:jc w:val="both"/>
        <w:rPr>
          <w:noProof/>
        </w:rPr>
      </w:pPr>
      <w:r>
        <w:rPr>
          <w:noProof/>
        </w:rPr>
        <w:t>Dit verslag bevat prognoses voor de in- en uitstromen van de EU-begroting voor de periode 2023-2027</w:t>
      </w:r>
      <w:r>
        <w:rPr>
          <w:noProof/>
          <w:vertAlign w:val="superscript"/>
        </w:rPr>
        <w:endnoteReference w:id="2"/>
      </w:r>
      <w:r>
        <w:rPr>
          <w:noProof/>
        </w:rPr>
        <w:t>. Het is de tweede editie van de langetermijnprognose voor ontvangsten en uitgaven die voortvloeien uit het meerjarig financieel kader (MFK) 2021-2027</w:t>
      </w:r>
      <w:r>
        <w:rPr>
          <w:noProof/>
          <w:vertAlign w:val="superscript"/>
        </w:rPr>
        <w:endnoteReference w:id="3"/>
      </w:r>
      <w:r>
        <w:rPr>
          <w:noProof/>
        </w:rPr>
        <w:t xml:space="preserve"> en NextGenerationEU</w:t>
      </w:r>
      <w:r>
        <w:rPr>
          <w:noProof/>
          <w:vertAlign w:val="superscript"/>
        </w:rPr>
        <w:endnoteReference w:id="4"/>
      </w:r>
      <w:r>
        <w:rPr>
          <w:noProof/>
        </w:rPr>
        <w:t>, en actualiseert de ramingen in het verslag van juni 2021</w:t>
      </w:r>
      <w:r>
        <w:rPr>
          <w:rStyle w:val="EndnoteReference"/>
          <w:noProof/>
        </w:rPr>
        <w:endnoteReference w:id="5"/>
      </w:r>
      <w:r>
        <w:rPr>
          <w:noProof/>
        </w:rPr>
        <w:t>.</w:t>
      </w:r>
    </w:p>
    <w:p w14:paraId="54A2BA14" w14:textId="05104C30" w:rsidR="00D66606" w:rsidRPr="008E6982" w:rsidRDefault="00D66606" w:rsidP="00D66606">
      <w:pPr>
        <w:spacing w:after="120" w:line="276" w:lineRule="auto"/>
        <w:jc w:val="both"/>
        <w:rPr>
          <w:noProof/>
        </w:rPr>
      </w:pPr>
      <w:r>
        <w:rPr>
          <w:noProof/>
        </w:rPr>
        <w:t>De prognose heeft betrekking op de komende vijf jaar, overeenkomstig artikel 247, lid 1, punt c), van het financieel reglement</w:t>
      </w:r>
      <w:r>
        <w:rPr>
          <w:noProof/>
          <w:vertAlign w:val="superscript"/>
        </w:rPr>
        <w:endnoteReference w:id="6"/>
      </w:r>
      <w:r>
        <w:rPr>
          <w:noProof/>
        </w:rPr>
        <w:t xml:space="preserve">. De periode valt grotendeels samen met het verslag van vorig jaar, dat bij wijze van uitzondering zeven jaar van 2021 tot 2027 besloeg om een volledig overzicht te geven van de verwachte inkomsten- en uitgavenstromen binnen de maxima van het recentelijk vastgestelde MFK. </w:t>
      </w:r>
    </w:p>
    <w:p w14:paraId="01C98230" w14:textId="520F0483" w:rsidR="00D66606" w:rsidRPr="008E6982" w:rsidRDefault="00D66606" w:rsidP="00D66606">
      <w:pPr>
        <w:spacing w:after="120" w:line="276" w:lineRule="auto"/>
        <w:jc w:val="both"/>
        <w:rPr>
          <w:noProof/>
        </w:rPr>
      </w:pPr>
      <w:r>
        <w:rPr>
          <w:noProof/>
        </w:rPr>
        <w:t>Naast de MFK-ramingen worden in deze prognose de verwachte betalingen voor alle programma’s in het kader van NextGenerationEU geactualiseerd. Deze uitgaven komen boven op de uitgaven onder het MFK en zullen uitsluitend worden gefinancierd door inkomsten uit leningen op de kapitaalmarkten.</w:t>
      </w:r>
    </w:p>
    <w:p w14:paraId="2A9414A6" w14:textId="6A546FF6" w:rsidR="00D66606" w:rsidRDefault="00D66606" w:rsidP="00D66606">
      <w:pPr>
        <w:spacing w:after="120" w:line="276" w:lineRule="auto"/>
        <w:jc w:val="both"/>
        <w:rPr>
          <w:noProof/>
        </w:rPr>
      </w:pPr>
      <w:bookmarkStart w:id="6" w:name="_Toc494974438"/>
      <w:bookmarkStart w:id="7" w:name="_Toc524523058"/>
      <w:r>
        <w:rPr>
          <w:noProof/>
        </w:rPr>
        <w:t>Betalingen uit de EU-begroting verlopen volgens vastleggingen. De ramingen in dit verslag zijn gebaseerd op de vastleggingen van de bij de ontwerpbegroting 2023</w:t>
      </w:r>
      <w:r>
        <w:rPr>
          <w:rStyle w:val="EndnoteReference"/>
          <w:noProof/>
        </w:rPr>
        <w:endnoteReference w:id="7"/>
      </w:r>
      <w:r>
        <w:rPr>
          <w:noProof/>
        </w:rPr>
        <w:t xml:space="preserve"> gevoegde financiële programmering. Het gaat onder meer om de aanpassing</w:t>
      </w:r>
      <w:r>
        <w:rPr>
          <w:noProof/>
          <w:vertAlign w:val="superscript"/>
        </w:rPr>
        <w:endnoteReference w:id="8"/>
      </w:r>
      <w:r>
        <w:rPr>
          <w:noProof/>
        </w:rPr>
        <w:t xml:space="preserve"> van het MFK voor de late vaststelling van regels en programma’s onder gedeeld beheer overeenkomstig artikel 7 van de MFK-verordening, de programmaspecifieke aanpassingen uit hoofde van artikel 5 van de MFK-verordening</w:t>
      </w:r>
      <w:r>
        <w:rPr>
          <w:noProof/>
          <w:vertAlign w:val="superscript"/>
        </w:rPr>
        <w:endnoteReference w:id="9"/>
      </w:r>
      <w:r>
        <w:rPr>
          <w:noProof/>
        </w:rPr>
        <w:t xml:space="preserve"> en het hergebruik van vrijgemaakte middelen op grond van artikel 15, lid 3</w:t>
      </w:r>
      <w:r>
        <w:rPr>
          <w:noProof/>
          <w:vertAlign w:val="superscript"/>
        </w:rPr>
        <w:endnoteReference w:id="10"/>
      </w:r>
      <w:r>
        <w:rPr>
          <w:noProof/>
        </w:rPr>
        <w:t>, van het financieel reglement. Wat de inkomsten betreft, is de prognose gebaseerd op het stelsel van inkomsten van het eigenmiddelenbesluit</w:t>
      </w:r>
      <w:r>
        <w:rPr>
          <w:noProof/>
          <w:vertAlign w:val="superscript"/>
        </w:rPr>
        <w:endnoteReference w:id="11"/>
      </w:r>
      <w:r>
        <w:rPr>
          <w:noProof/>
        </w:rPr>
        <w:t>. Bij de inkomstenprognoses is ook rekening gehouden met het Akkoord inzake de terugtrekking van het Verenigd Koninkrijk van Groot-Brittannië en Noord-Ierland uit de Europese Unie en de Europese Gemeenschap voor Atoomenergie</w:t>
      </w:r>
      <w:r>
        <w:rPr>
          <w:noProof/>
          <w:vertAlign w:val="superscript"/>
        </w:rPr>
        <w:endnoteReference w:id="12"/>
      </w:r>
      <w:r>
        <w:rPr>
          <w:noProof/>
        </w:rPr>
        <w:t xml:space="preserve"> (hierna: “terugtrekkingsakkoord”).</w:t>
      </w:r>
    </w:p>
    <w:p w14:paraId="0DE8FA67" w14:textId="77777777" w:rsidR="00D66606" w:rsidRPr="007E3223" w:rsidRDefault="00D66606" w:rsidP="009F63E4">
      <w:pPr>
        <w:pStyle w:val="amprH2TITLE1-Numbered-1"/>
        <w:rPr>
          <w:noProof/>
        </w:rPr>
      </w:pPr>
      <w:r>
        <w:rPr>
          <w:noProof/>
        </w:rPr>
        <w:t xml:space="preserve"> </w:t>
      </w:r>
      <w:bookmarkStart w:id="8" w:name="_Toc107422047"/>
      <w:r>
        <w:rPr>
          <w:noProof/>
        </w:rPr>
        <w:t>P</w:t>
      </w:r>
      <w:bookmarkEnd w:id="6"/>
      <w:bookmarkEnd w:id="7"/>
      <w:r>
        <w:rPr>
          <w:noProof/>
        </w:rPr>
        <w:t>rognose van uitstromen van de EU-begroting 2023-2027</w:t>
      </w:r>
      <w:bookmarkEnd w:id="8"/>
    </w:p>
    <w:p w14:paraId="3DDB0095" w14:textId="2CBDA971" w:rsidR="00D66606" w:rsidRPr="00B74430" w:rsidRDefault="00D66606" w:rsidP="00D66606">
      <w:pPr>
        <w:spacing w:after="120" w:line="276" w:lineRule="auto"/>
        <w:jc w:val="both"/>
        <w:rPr>
          <w:noProof/>
        </w:rPr>
      </w:pPr>
      <w:r>
        <w:rPr>
          <w:noProof/>
        </w:rPr>
        <w:t xml:space="preserve">De betalingen uit hoofde van het MFK in de komende vijf jaar zullen naar verwachting oplopen tot 1 156 miljard EUR, waarvan 873 miljard EUR binnen het MFK-betalingsmaximum en 278 miljard EUR voor niet-terugbetaalbare steun in het kader van NextGenerationEU. </w:t>
      </w:r>
    </w:p>
    <w:p w14:paraId="15B232B1" w14:textId="031A292C" w:rsidR="00D66606" w:rsidRPr="001A3ACE" w:rsidRDefault="00D66606" w:rsidP="00D66606">
      <w:pPr>
        <w:spacing w:after="120" w:line="276" w:lineRule="auto"/>
        <w:jc w:val="both"/>
        <w:rPr>
          <w:noProof/>
        </w:rPr>
      </w:pPr>
      <w:r>
        <w:rPr>
          <w:noProof/>
        </w:rPr>
        <w:t>De prognose bevat ramingen voor de toekomstige programmaspecifieke aanpassingen die voortvloeien uit artikel 5 van de MFK-verordening en voor het hergebruik van vrijgemaakte middelen krachtens artikel 15, lid 3, van het financieel reglement, die in de jaren 2024-2027 zullen worden toegewezen. De programmaspecifieke aanpassingen zullen ook leiden tot een automatische opwaartse correctie van de MFK-maxima voor vastleggingen en betalingen van 9,4 miljard EUR boven op de voor 2022 en 2023 uitgevoerde aanpassingen van in totaal 3,3 miljard EUR</w:t>
      </w:r>
      <w:r>
        <w:rPr>
          <w:noProof/>
          <w:vertAlign w:val="superscript"/>
        </w:rPr>
        <w:endnoteReference w:id="13"/>
      </w:r>
      <w:r>
        <w:rPr>
          <w:noProof/>
        </w:rPr>
        <w:t>. De exacte jaarlijkse aanpassing zal afhangen van de inkomsten uit boeten in mededingingszaken in het voorgaande jaar voor een totaalbedrag van 11 miljard EUR (in prijzen van 2018) tegen 2027.</w:t>
      </w:r>
    </w:p>
    <w:p w14:paraId="796595FE" w14:textId="77777777" w:rsidR="005F0959" w:rsidRDefault="005F0959">
      <w:pPr>
        <w:rPr>
          <w:rStyle w:val="amprcharBoldBlue"/>
          <w:rFonts w:eastAsia="EC Square Sans Pro" w:cs="Times New Roman"/>
          <w:noProof/>
          <w:szCs w:val="21"/>
        </w:rPr>
      </w:pPr>
      <w:r>
        <w:rPr>
          <w:noProof/>
        </w:rPr>
        <w:br w:type="page"/>
      </w:r>
    </w:p>
    <w:p w14:paraId="704F6C9E" w14:textId="44D3DABE" w:rsidR="00D66606" w:rsidRDefault="00D66606" w:rsidP="009F63E4">
      <w:pPr>
        <w:pStyle w:val="amprBodyText"/>
        <w:rPr>
          <w:rStyle w:val="amprcharBoldBlue"/>
          <w:noProof/>
        </w:rPr>
      </w:pPr>
      <w:r>
        <w:rPr>
          <w:rStyle w:val="amprcharBoldBlue"/>
          <w:noProof/>
        </w:rPr>
        <w:t xml:space="preserve">Grafiek </w:t>
      </w:r>
      <w:r>
        <w:rPr>
          <w:rStyle w:val="amprcharBoldBlue"/>
          <w:noProof/>
        </w:rPr>
        <w:fldChar w:fldCharType="begin"/>
      </w:r>
      <w:r>
        <w:rPr>
          <w:rStyle w:val="amprcharBoldBlue"/>
          <w:noProof/>
        </w:rPr>
        <w:instrText xml:space="preserve"> SEQ Chart \* ARABIC </w:instrText>
      </w:r>
      <w:r>
        <w:rPr>
          <w:rStyle w:val="amprcharBoldBlue"/>
          <w:noProof/>
        </w:rPr>
        <w:fldChar w:fldCharType="separate"/>
      </w:r>
      <w:r>
        <w:rPr>
          <w:rStyle w:val="amprcharBoldBlue"/>
          <w:noProof/>
        </w:rPr>
        <w:t>1</w:t>
      </w:r>
      <w:r>
        <w:rPr>
          <w:rStyle w:val="amprcharBoldBlue"/>
          <w:noProof/>
        </w:rPr>
        <w:fldChar w:fldCharType="end"/>
      </w:r>
      <w:r>
        <w:rPr>
          <w:rStyle w:val="amprcharBoldBlue"/>
          <w:noProof/>
        </w:rPr>
        <w:t xml:space="preserve"> – Betalingsprognoses per categorie (in miljard EUR)</w:t>
      </w:r>
    </w:p>
    <w:p w14:paraId="17B87E6A" w14:textId="098121E1" w:rsidR="00312EE2" w:rsidRPr="009F63E4" w:rsidRDefault="00305A78" w:rsidP="00312EE2">
      <w:pPr>
        <w:pStyle w:val="amprBodyText"/>
        <w:jc w:val="center"/>
        <w:rPr>
          <w:rStyle w:val="amprcharBoldBlue"/>
          <w:noProof/>
        </w:rPr>
      </w:pPr>
      <w:r>
        <w:rPr>
          <w:b/>
          <w:noProof/>
          <w:color w:val="215E94" w:themeColor="text2"/>
          <w:lang w:val="en-GB" w:eastAsia="en-GB"/>
        </w:rPr>
        <mc:AlternateContent>
          <mc:Choice Requires="wpg">
            <w:drawing>
              <wp:anchor distT="0" distB="0" distL="114300" distR="114300" simplePos="0" relativeHeight="251664384" behindDoc="0" locked="0" layoutInCell="1" allowOverlap="1" wp14:anchorId="39FD5BED" wp14:editId="1ECF9968">
                <wp:simplePos x="0" y="0"/>
                <wp:positionH relativeFrom="column">
                  <wp:posOffset>208229</wp:posOffset>
                </wp:positionH>
                <wp:positionV relativeFrom="paragraph">
                  <wp:posOffset>117338</wp:posOffset>
                </wp:positionV>
                <wp:extent cx="5634355" cy="2957384"/>
                <wp:effectExtent l="0" t="0" r="0" b="0"/>
                <wp:wrapNone/>
                <wp:docPr id="24" name="Group 24"/>
                <wp:cNvGraphicFramePr/>
                <a:graphic xmlns:a="http://schemas.openxmlformats.org/drawingml/2006/main">
                  <a:graphicData uri="http://schemas.microsoft.com/office/word/2010/wordprocessingGroup">
                    <wpg:wgp>
                      <wpg:cNvGrpSpPr/>
                      <wpg:grpSpPr>
                        <a:xfrm>
                          <a:off x="0" y="0"/>
                          <a:ext cx="5634355" cy="2957384"/>
                          <a:chOff x="0" y="0"/>
                          <a:chExt cx="5634355" cy="2957384"/>
                        </a:xfrm>
                      </wpg:grpSpPr>
                      <wps:wsp>
                        <wps:cNvPr id="3" name="Text Box 2"/>
                        <wps:cNvSpPr txBox="1">
                          <a:spLocks noChangeArrowheads="1"/>
                        </wps:cNvSpPr>
                        <wps:spPr bwMode="auto">
                          <a:xfrm>
                            <a:off x="238897" y="749643"/>
                            <a:ext cx="1902563" cy="577695"/>
                          </a:xfrm>
                          <a:prstGeom prst="rect">
                            <a:avLst/>
                          </a:prstGeom>
                          <a:noFill/>
                          <a:ln w="9525">
                            <a:noFill/>
                            <a:miter lim="800000"/>
                            <a:headEnd/>
                            <a:tailEnd/>
                          </a:ln>
                        </wps:spPr>
                        <wps:txbx>
                          <w:txbxContent>
                            <w:p w14:paraId="13468C5C" w14:textId="10E49ADE" w:rsidR="00857477" w:rsidRPr="00305A78" w:rsidRDefault="00857477" w:rsidP="00312EE2">
                              <w:pPr>
                                <w:jc w:val="center"/>
                                <w:rPr>
                                  <w:b/>
                                  <w:color w:val="FFFFFF" w:themeColor="background1"/>
                                  <w:sz w:val="24"/>
                                </w:rPr>
                              </w:pPr>
                              <w:r>
                                <w:rPr>
                                  <w:b/>
                                  <w:color w:val="FFFFFF" w:themeColor="background1"/>
                                  <w:sz w:val="24"/>
                                </w:rPr>
                                <w:t>NextGenerationEU</w:t>
                              </w:r>
                            </w:p>
                          </w:txbxContent>
                        </wps:txbx>
                        <wps:bodyPr rot="0" vert="horz" wrap="square" lIns="91440" tIns="45720" rIns="91440" bIns="45720" anchor="t" anchorCtr="0">
                          <a:noAutofit/>
                        </wps:bodyPr>
                      </wps:wsp>
                      <wps:wsp>
                        <wps:cNvPr id="6" name="Text Box 2"/>
                        <wps:cNvSpPr txBox="1">
                          <a:spLocks noChangeArrowheads="1"/>
                        </wps:cNvSpPr>
                        <wps:spPr bwMode="auto">
                          <a:xfrm>
                            <a:off x="2594918" y="1663513"/>
                            <a:ext cx="2003424" cy="607059"/>
                          </a:xfrm>
                          <a:prstGeom prst="rect">
                            <a:avLst/>
                          </a:prstGeom>
                          <a:noFill/>
                          <a:ln w="9525">
                            <a:noFill/>
                            <a:miter lim="800000"/>
                            <a:headEnd/>
                            <a:tailEnd/>
                          </a:ln>
                        </wps:spPr>
                        <wps:txbx>
                          <w:txbxContent>
                            <w:p w14:paraId="3B098ACD" w14:textId="4560F52F" w:rsidR="00857477" w:rsidRPr="00305A78" w:rsidRDefault="00857477" w:rsidP="00312EE2">
                              <w:pPr>
                                <w:jc w:val="center"/>
                                <w:rPr>
                                  <w:rStyle w:val="amprcharBoldBlue"/>
                                  <w:color w:val="FFFFFF" w:themeColor="background1"/>
                                  <w:sz w:val="24"/>
                                  <w:szCs w:val="24"/>
                                </w:rPr>
                              </w:pPr>
                              <w:r>
                                <w:rPr>
                                  <w:rStyle w:val="amprcharBoldBlue"/>
                                  <w:color w:val="FFFFFF" w:themeColor="background1"/>
                                  <w:sz w:val="24"/>
                                </w:rPr>
                                <w:t>MFK 2021-2027</w:t>
                              </w:r>
                            </w:p>
                          </w:txbxContent>
                        </wps:txbx>
                        <wps:bodyPr rot="0" vert="horz" wrap="square" lIns="91440" tIns="45720" rIns="91440" bIns="45720" anchor="t" anchorCtr="0">
                          <a:spAutoFit/>
                        </wps:bodyPr>
                      </wps:wsp>
                      <wps:wsp>
                        <wps:cNvPr id="14" name="Text Box 2"/>
                        <wps:cNvSpPr txBox="1">
                          <a:spLocks noChangeArrowheads="1"/>
                        </wps:cNvSpPr>
                        <wps:spPr bwMode="auto">
                          <a:xfrm>
                            <a:off x="164756" y="2446638"/>
                            <a:ext cx="1219200" cy="510746"/>
                          </a:xfrm>
                          <a:prstGeom prst="rect">
                            <a:avLst/>
                          </a:prstGeom>
                          <a:noFill/>
                          <a:ln w="9525">
                            <a:noFill/>
                            <a:miter lim="800000"/>
                            <a:headEnd/>
                            <a:tailEnd/>
                          </a:ln>
                        </wps:spPr>
                        <wps:txbx>
                          <w:txbxContent>
                            <w:p w14:paraId="55DBA37F" w14:textId="5D8E9B1C" w:rsidR="00857477" w:rsidRPr="00312EE2" w:rsidRDefault="00857477" w:rsidP="00312EE2">
                              <w:pPr>
                                <w:jc w:val="center"/>
                                <w:rPr>
                                  <w:rStyle w:val="amprcharBoldBlue"/>
                                  <w:color w:val="FFFFFF" w:themeColor="background1"/>
                                  <w:sz w:val="24"/>
                                </w:rPr>
                              </w:pPr>
                              <w:r>
                                <w:rPr>
                                  <w:rStyle w:val="amprcharBoldBlue"/>
                                  <w:color w:val="FFFFFF" w:themeColor="background1"/>
                                  <w:sz w:val="24"/>
                                </w:rPr>
                                <w:t>Afronding</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0"/>
                            <a:ext cx="477795" cy="436279"/>
                          </a:xfrm>
                          <a:prstGeom prst="rect">
                            <a:avLst/>
                          </a:prstGeom>
                          <a:noFill/>
                          <a:ln w="9525">
                            <a:noFill/>
                            <a:miter lim="800000"/>
                            <a:headEnd/>
                            <a:tailEnd/>
                          </a:ln>
                        </wps:spPr>
                        <wps:txbx>
                          <w:txbxContent>
                            <w:p w14:paraId="0FD88574" w14:textId="7F710124" w:rsidR="00857477" w:rsidRPr="00312EE2" w:rsidRDefault="00857477" w:rsidP="00312EE2">
                              <w:pPr>
                                <w:jc w:val="center"/>
                                <w:rPr>
                                  <w:b/>
                                  <w:color w:val="808080" w:themeColor="background1" w:themeShade="80"/>
                                </w:rPr>
                              </w:pPr>
                              <w:r>
                                <w:rPr>
                                  <w:b/>
                                  <w:color w:val="808080" w:themeColor="background1" w:themeShade="80"/>
                                </w:rPr>
                                <w:t>264</w:t>
                              </w:r>
                            </w:p>
                            <w:p w14:paraId="694CBFCD" w14:textId="1E49CA09"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1120345" y="247135"/>
                            <a:ext cx="477795" cy="436279"/>
                          </a:xfrm>
                          <a:prstGeom prst="rect">
                            <a:avLst/>
                          </a:prstGeom>
                          <a:noFill/>
                          <a:ln w="9525">
                            <a:noFill/>
                            <a:miter lim="800000"/>
                            <a:headEnd/>
                            <a:tailEnd/>
                          </a:ln>
                        </wps:spPr>
                        <wps:txbx>
                          <w:txbxContent>
                            <w:p w14:paraId="2E0FEC5E" w14:textId="44C025DD" w:rsidR="00857477" w:rsidRPr="00312EE2" w:rsidRDefault="00857477" w:rsidP="00312EE2">
                              <w:pPr>
                                <w:jc w:val="center"/>
                                <w:rPr>
                                  <w:b/>
                                  <w:color w:val="808080" w:themeColor="background1" w:themeShade="80"/>
                                </w:rPr>
                              </w:pPr>
                              <w:r>
                                <w:rPr>
                                  <w:b/>
                                  <w:color w:val="808080" w:themeColor="background1" w:themeShade="80"/>
                                </w:rPr>
                                <w:t>232</w:t>
                              </w:r>
                            </w:p>
                            <w:p w14:paraId="33EB9DAD"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7" name="Text Box 2"/>
                        <wps:cNvSpPr txBox="1">
                          <a:spLocks noChangeArrowheads="1"/>
                        </wps:cNvSpPr>
                        <wps:spPr bwMode="auto">
                          <a:xfrm>
                            <a:off x="2520778" y="378940"/>
                            <a:ext cx="477795" cy="436279"/>
                          </a:xfrm>
                          <a:prstGeom prst="rect">
                            <a:avLst/>
                          </a:prstGeom>
                          <a:noFill/>
                          <a:ln w="9525">
                            <a:noFill/>
                            <a:miter lim="800000"/>
                            <a:headEnd/>
                            <a:tailEnd/>
                          </a:ln>
                        </wps:spPr>
                        <wps:txbx>
                          <w:txbxContent>
                            <w:p w14:paraId="01963EEB" w14:textId="13DA2D53" w:rsidR="00857477" w:rsidRPr="00312EE2" w:rsidRDefault="00857477" w:rsidP="00312EE2">
                              <w:pPr>
                                <w:jc w:val="center"/>
                                <w:rPr>
                                  <w:b/>
                                  <w:color w:val="808080" w:themeColor="background1" w:themeShade="80"/>
                                </w:rPr>
                              </w:pPr>
                              <w:r>
                                <w:rPr>
                                  <w:b/>
                                  <w:color w:val="808080" w:themeColor="background1" w:themeShade="80"/>
                                </w:rPr>
                                <w:t>225</w:t>
                              </w:r>
                            </w:p>
                            <w:p w14:paraId="7BF863A8"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3880021" y="238897"/>
                            <a:ext cx="477520" cy="411446"/>
                          </a:xfrm>
                          <a:prstGeom prst="rect">
                            <a:avLst/>
                          </a:prstGeom>
                          <a:noFill/>
                          <a:ln w="9525">
                            <a:noFill/>
                            <a:miter lim="800000"/>
                            <a:headEnd/>
                            <a:tailEnd/>
                          </a:ln>
                        </wps:spPr>
                        <wps:txbx>
                          <w:txbxContent>
                            <w:p w14:paraId="108A16F6" w14:textId="14BC1E58" w:rsidR="00857477" w:rsidRPr="00312EE2" w:rsidRDefault="00857477" w:rsidP="00312EE2">
                              <w:pPr>
                                <w:jc w:val="center"/>
                                <w:rPr>
                                  <w:b/>
                                  <w:color w:val="808080" w:themeColor="background1" w:themeShade="80"/>
                                </w:rPr>
                              </w:pPr>
                              <w:r>
                                <w:rPr>
                                  <w:b/>
                                  <w:color w:val="808080" w:themeColor="background1" w:themeShade="80"/>
                                </w:rPr>
                                <w:t>240</w:t>
                              </w:r>
                            </w:p>
                            <w:p w14:paraId="1C9F8913"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5156560" y="650302"/>
                            <a:ext cx="477795" cy="511085"/>
                          </a:xfrm>
                          <a:prstGeom prst="rect">
                            <a:avLst/>
                          </a:prstGeom>
                          <a:noFill/>
                          <a:ln w="9525">
                            <a:noFill/>
                            <a:miter lim="800000"/>
                            <a:headEnd/>
                            <a:tailEnd/>
                          </a:ln>
                        </wps:spPr>
                        <wps:txbx>
                          <w:txbxContent>
                            <w:p w14:paraId="76A7F446" w14:textId="346D3019" w:rsidR="00857477" w:rsidRPr="00312EE2" w:rsidRDefault="00857477" w:rsidP="00312EE2">
                              <w:pPr>
                                <w:jc w:val="center"/>
                                <w:rPr>
                                  <w:b/>
                                  <w:color w:val="808080" w:themeColor="background1" w:themeShade="80"/>
                                </w:rPr>
                              </w:pPr>
                              <w:r>
                                <w:rPr>
                                  <w:b/>
                                  <w:color w:val="808080" w:themeColor="background1" w:themeShade="80"/>
                                </w:rPr>
                                <w:t>194</w:t>
                              </w:r>
                            </w:p>
                            <w:p w14:paraId="24530C0E" w14:textId="77777777" w:rsidR="00857477" w:rsidRPr="00312EE2" w:rsidRDefault="00857477" w:rsidP="00312EE2">
                              <w:pPr>
                                <w:jc w:val="center"/>
                                <w:rPr>
                                  <w:b/>
                                  <w:color w:val="808080" w:themeColor="background1" w:themeShade="80"/>
                                  <w:lang w:val="en-IE"/>
                                </w:rPr>
                              </w:pPr>
                            </w:p>
                          </w:txbxContent>
                        </wps:txbx>
                        <wps:bodyPr rot="0" vert="horz" wrap="square" lIns="91440" tIns="45720" rIns="91440" bIns="45720" anchor="t" anchorCtr="0">
                          <a:noAutofit/>
                        </wps:bodyPr>
                      </wps:wsp>
                      <wps:wsp>
                        <wps:cNvPr id="23" name="Text Box 2"/>
                        <wps:cNvSpPr txBox="1">
                          <a:spLocks noChangeArrowheads="1"/>
                        </wps:cNvSpPr>
                        <wps:spPr bwMode="auto">
                          <a:xfrm>
                            <a:off x="4143632" y="329513"/>
                            <a:ext cx="1441519" cy="486032"/>
                          </a:xfrm>
                          <a:prstGeom prst="rect">
                            <a:avLst/>
                          </a:prstGeom>
                          <a:noFill/>
                          <a:ln w="9525">
                            <a:noFill/>
                            <a:miter lim="800000"/>
                            <a:headEnd/>
                            <a:tailEnd/>
                          </a:ln>
                        </wps:spPr>
                        <wps:txbx>
                          <w:txbxContent>
                            <w:p w14:paraId="5B90A08B" w14:textId="603ADF2D" w:rsidR="00857477" w:rsidRPr="00312EE2" w:rsidRDefault="00857477" w:rsidP="00312EE2">
                              <w:pPr>
                                <w:jc w:val="right"/>
                                <w:rPr>
                                  <w:i/>
                                  <w:color w:val="808080" w:themeColor="background1" w:themeShade="80"/>
                                </w:rPr>
                              </w:pPr>
                              <w:r>
                                <w:rPr>
                                  <w:i/>
                                  <w:color w:val="808080" w:themeColor="background1" w:themeShade="80"/>
                                </w:rPr>
                                <w:t>Jaargemiddelde: 231</w:t>
                              </w:r>
                            </w:p>
                          </w:txbxContent>
                        </wps:txbx>
                        <wps:bodyPr rot="0" vert="horz" wrap="square" lIns="91440" tIns="45720" rIns="91440" bIns="45720" anchor="t" anchorCtr="0">
                          <a:noAutofit/>
                        </wps:bodyPr>
                      </wps:wsp>
                    </wpg:wgp>
                  </a:graphicData>
                </a:graphic>
              </wp:anchor>
            </w:drawing>
          </mc:Choice>
          <mc:Fallback>
            <w:pict>
              <v:group w14:anchorId="39FD5BED" id="Group 24" o:spid="_x0000_s1026" style="position:absolute;left:0;text-align:left;margin-left:16.4pt;margin-top:9.25pt;width:443.65pt;height:232.85pt;z-index:251664384" coordsize="56343,2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">
                <v:shapetype id="_x0000_t202" coordsize="21600,21600" o:spt="202" path="m,l,21600r21600,l21600,xe">
                  <v:stroke joinstyle="miter"/>
                  <v:path gradientshapeok="t" o:connecttype="rect"/>
                </v:shapetype>
                <v:shape id="_x0000_s1027" type="#_x0000_t202" style="position:absolute;left:2388;top:7496;width:19026;height: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468C5C" w14:textId="10E49ADE" w:rsidR="00857477" w:rsidRPr="00305A78" w:rsidRDefault="00857477" w:rsidP="00312EE2">
                        <w:pPr>
                          <w:jc w:val="center"/>
                          <w:rPr>
                            <w:b/>
                            <w:color w:val="FFFFFF" w:themeColor="background1"/>
                            <w:sz w:val="24"/>
                          </w:rPr>
                        </w:pPr>
                        <w:r>
                          <w:rPr>
                            <w:b/>
                            <w:color w:val="FFFFFF" w:themeColor="background1"/>
                            <w:sz w:val="24"/>
                          </w:rPr>
                          <w:t>NextGenerationEU</w:t>
                        </w:r>
                      </w:p>
                    </w:txbxContent>
                  </v:textbox>
                </v:shape>
                <v:shape id="_x0000_s1028" type="#_x0000_t202" style="position:absolute;left:25949;top:16635;width:20034;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098ACD" w14:textId="4560F52F" w:rsidR="00857477" w:rsidRPr="00305A78" w:rsidRDefault="00857477" w:rsidP="00312EE2">
                        <w:pPr>
                          <w:jc w:val="center"/>
                          <w:rPr>
                            <w:rStyle w:val="amprcharBoldBlue"/>
                            <w:color w:val="FFFFFF" w:themeColor="background1"/>
                            <w:sz w:val="24"/>
                            <w:szCs w:val="24"/>
                          </w:rPr>
                        </w:pPr>
                        <w:r>
                          <w:rPr>
                            <w:rStyle w:val="amprcharBoldBlue"/>
                            <w:color w:val="FFFFFF" w:themeColor="background1"/>
                            <w:sz w:val="24"/>
                          </w:rPr>
                          <w:t>MFK 2021-2027</w:t>
                        </w:r>
                      </w:p>
                    </w:txbxContent>
                  </v:textbox>
                </v:shape>
                <v:shape id="_x0000_s1029" type="#_x0000_t202" style="position:absolute;left:1647;top:24466;width:12192;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5DBA37F" w14:textId="5D8E9B1C" w:rsidR="00857477" w:rsidRPr="00312EE2" w:rsidRDefault="00857477" w:rsidP="00312EE2">
                        <w:pPr>
                          <w:jc w:val="center"/>
                          <w:rPr>
                            <w:rStyle w:val="amprcharBoldBlue"/>
                            <w:color w:val="FFFFFF" w:themeColor="background1"/>
                            <w:sz w:val="24"/>
                          </w:rPr>
                        </w:pPr>
                        <w:r>
                          <w:rPr>
                            <w:rStyle w:val="amprcharBoldBlue"/>
                            <w:color w:val="FFFFFF" w:themeColor="background1"/>
                            <w:sz w:val="24"/>
                          </w:rPr>
                          <w:t>Afronding</w:t>
                        </w:r>
                      </w:p>
                    </w:txbxContent>
                  </v:textbox>
                </v:shape>
                <v:shape id="_x0000_s1030" type="#_x0000_t202" style="position:absolute;width:4777;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FD88574" w14:textId="7F710124" w:rsidR="00857477" w:rsidRPr="00312EE2" w:rsidRDefault="00857477" w:rsidP="00312EE2">
                        <w:pPr>
                          <w:jc w:val="center"/>
                          <w:rPr>
                            <w:b/>
                            <w:color w:val="808080" w:themeColor="background1" w:themeShade="80"/>
                          </w:rPr>
                        </w:pPr>
                        <w:r>
                          <w:rPr>
                            <w:b/>
                            <w:color w:val="808080" w:themeColor="background1" w:themeShade="80"/>
                          </w:rPr>
                          <w:t>264</w:t>
                        </w:r>
                      </w:p>
                      <w:p w14:paraId="694CBFCD" w14:textId="1E49CA09" w:rsidR="00857477" w:rsidRPr="00312EE2" w:rsidRDefault="00857477" w:rsidP="00312EE2">
                        <w:pPr>
                          <w:jc w:val="center"/>
                          <w:rPr>
                            <w:b/>
                            <w:color w:val="808080" w:themeColor="background1" w:themeShade="80"/>
                            <w:lang w:val="en-IE"/>
                          </w:rPr>
                        </w:pPr>
                      </w:p>
                    </w:txbxContent>
                  </v:textbox>
                </v:shape>
                <v:shape id="_x0000_s1031" type="#_x0000_t202" style="position:absolute;left:11203;top:2471;width:4778;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E0FEC5E" w14:textId="44C025DD" w:rsidR="00857477" w:rsidRPr="00312EE2" w:rsidRDefault="00857477" w:rsidP="00312EE2">
                        <w:pPr>
                          <w:jc w:val="center"/>
                          <w:rPr>
                            <w:b/>
                            <w:color w:val="808080" w:themeColor="background1" w:themeShade="80"/>
                          </w:rPr>
                        </w:pPr>
                        <w:r>
                          <w:rPr>
                            <w:b/>
                            <w:color w:val="808080" w:themeColor="background1" w:themeShade="80"/>
                          </w:rPr>
                          <w:t>232</w:t>
                        </w:r>
                      </w:p>
                      <w:p w14:paraId="33EB9DAD" w14:textId="77777777" w:rsidR="00857477" w:rsidRPr="00312EE2" w:rsidRDefault="00857477" w:rsidP="00312EE2">
                        <w:pPr>
                          <w:jc w:val="center"/>
                          <w:rPr>
                            <w:b/>
                            <w:color w:val="808080" w:themeColor="background1" w:themeShade="80"/>
                            <w:lang w:val="en-IE"/>
                          </w:rPr>
                        </w:pPr>
                      </w:p>
                    </w:txbxContent>
                  </v:textbox>
                </v:shape>
                <v:shape id="_x0000_s1032" type="#_x0000_t202" style="position:absolute;left:25207;top:3789;width:4778;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63EEB" w14:textId="13DA2D53" w:rsidR="00857477" w:rsidRPr="00312EE2" w:rsidRDefault="00857477" w:rsidP="00312EE2">
                        <w:pPr>
                          <w:jc w:val="center"/>
                          <w:rPr>
                            <w:b/>
                            <w:color w:val="808080" w:themeColor="background1" w:themeShade="80"/>
                          </w:rPr>
                        </w:pPr>
                        <w:r>
                          <w:rPr>
                            <w:b/>
                            <w:color w:val="808080" w:themeColor="background1" w:themeShade="80"/>
                          </w:rPr>
                          <w:t>225</w:t>
                        </w:r>
                      </w:p>
                      <w:p w14:paraId="7BF863A8" w14:textId="77777777" w:rsidR="00857477" w:rsidRPr="00312EE2" w:rsidRDefault="00857477" w:rsidP="00312EE2">
                        <w:pPr>
                          <w:jc w:val="center"/>
                          <w:rPr>
                            <w:b/>
                            <w:color w:val="808080" w:themeColor="background1" w:themeShade="80"/>
                            <w:lang w:val="en-IE"/>
                          </w:rPr>
                        </w:pPr>
                      </w:p>
                    </w:txbxContent>
                  </v:textbox>
                </v:shape>
                <v:shape id="_x0000_s1033" type="#_x0000_t202" style="position:absolute;left:38800;top:2388;width:477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08A16F6" w14:textId="14BC1E58" w:rsidR="00857477" w:rsidRPr="00312EE2" w:rsidRDefault="00857477" w:rsidP="00312EE2">
                        <w:pPr>
                          <w:jc w:val="center"/>
                          <w:rPr>
                            <w:b/>
                            <w:color w:val="808080" w:themeColor="background1" w:themeShade="80"/>
                          </w:rPr>
                        </w:pPr>
                        <w:r>
                          <w:rPr>
                            <w:b/>
                            <w:color w:val="808080" w:themeColor="background1" w:themeShade="80"/>
                          </w:rPr>
                          <w:t>240</w:t>
                        </w:r>
                      </w:p>
                      <w:p w14:paraId="1C9F8913" w14:textId="77777777" w:rsidR="00857477" w:rsidRPr="00312EE2" w:rsidRDefault="00857477" w:rsidP="00312EE2">
                        <w:pPr>
                          <w:jc w:val="center"/>
                          <w:rPr>
                            <w:b/>
                            <w:color w:val="808080" w:themeColor="background1" w:themeShade="80"/>
                            <w:lang w:val="en-IE"/>
                          </w:rPr>
                        </w:pPr>
                      </w:p>
                    </w:txbxContent>
                  </v:textbox>
                </v:shape>
                <v:shape id="_x0000_s1034" type="#_x0000_t202" style="position:absolute;left:51565;top:6503;width:4778;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6A7F446" w14:textId="346D3019" w:rsidR="00857477" w:rsidRPr="00312EE2" w:rsidRDefault="00857477" w:rsidP="00312EE2">
                        <w:pPr>
                          <w:jc w:val="center"/>
                          <w:rPr>
                            <w:b/>
                            <w:color w:val="808080" w:themeColor="background1" w:themeShade="80"/>
                          </w:rPr>
                        </w:pPr>
                        <w:r>
                          <w:rPr>
                            <w:b/>
                            <w:color w:val="808080" w:themeColor="background1" w:themeShade="80"/>
                          </w:rPr>
                          <w:t>194</w:t>
                        </w:r>
                      </w:p>
                      <w:p w14:paraId="24530C0E" w14:textId="77777777" w:rsidR="00857477" w:rsidRPr="00312EE2" w:rsidRDefault="00857477" w:rsidP="00312EE2">
                        <w:pPr>
                          <w:jc w:val="center"/>
                          <w:rPr>
                            <w:b/>
                            <w:color w:val="808080" w:themeColor="background1" w:themeShade="80"/>
                            <w:lang w:val="en-IE"/>
                          </w:rPr>
                        </w:pPr>
                      </w:p>
                    </w:txbxContent>
                  </v:textbox>
                </v:shape>
                <v:shape id="_x0000_s1035" type="#_x0000_t202" style="position:absolute;left:41436;top:3295;width:14415;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90A08B" w14:textId="603ADF2D" w:rsidR="00857477" w:rsidRPr="00312EE2" w:rsidRDefault="00857477" w:rsidP="00312EE2">
                        <w:pPr>
                          <w:jc w:val="right"/>
                          <w:rPr>
                            <w:i/>
                            <w:color w:val="808080" w:themeColor="background1" w:themeShade="80"/>
                          </w:rPr>
                        </w:pPr>
                        <w:r>
                          <w:rPr>
                            <w:i/>
                            <w:color w:val="808080" w:themeColor="background1" w:themeShade="80"/>
                          </w:rPr>
                          <w:t>Jaargemiddelde: 231</w:t>
                        </w:r>
                      </w:p>
                    </w:txbxContent>
                  </v:textbox>
                </v:shape>
              </v:group>
            </w:pict>
          </mc:Fallback>
        </mc:AlternateContent>
      </w:r>
      <w:r>
        <w:rPr>
          <w:b/>
          <w:noProof/>
          <w:color w:val="215E94" w:themeColor="text2"/>
          <w:lang w:val="en-GB" w:eastAsia="en-GB"/>
        </w:rPr>
        <mc:AlternateContent>
          <mc:Choice Requires="wps">
            <w:drawing>
              <wp:anchor distT="0" distB="0" distL="114300" distR="114300" simplePos="0" relativeHeight="251648000" behindDoc="0" locked="0" layoutInCell="1" allowOverlap="1" wp14:anchorId="223CCD62" wp14:editId="1D3CE873">
                <wp:simplePos x="0" y="0"/>
                <wp:positionH relativeFrom="column">
                  <wp:posOffset>340034</wp:posOffset>
                </wp:positionH>
                <wp:positionV relativeFrom="paragraph">
                  <wp:posOffset>842267</wp:posOffset>
                </wp:positionV>
                <wp:extent cx="5403627" cy="0"/>
                <wp:effectExtent l="0" t="0" r="26035" b="19050"/>
                <wp:wrapNone/>
                <wp:docPr id="20" name="Straight Connector 20"/>
                <wp:cNvGraphicFramePr/>
                <a:graphic xmlns:a="http://schemas.openxmlformats.org/drawingml/2006/main">
                  <a:graphicData uri="http://schemas.microsoft.com/office/word/2010/wordprocessingShape">
                    <wps:wsp>
                      <wps:cNvCnPr/>
                      <wps:spPr>
                        <a:xfrm>
                          <a:off x="0" y="0"/>
                          <a:ext cx="5403627" cy="0"/>
                        </a:xfrm>
                        <a:prstGeom prst="line">
                          <a:avLst/>
                        </a:prstGeom>
                        <a:ln w="19050">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03740" id="Straight Connector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66.3pt" to="452.2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" strokecolor="#7f7f7f [1612]" strokeweight="1.5pt">
                <v:stroke dashstyle="dash"/>
              </v:line>
            </w:pict>
          </mc:Fallback>
        </mc:AlternateContent>
      </w:r>
      <w:r>
        <w:rPr>
          <w:rStyle w:val="amprcharBoldBlue"/>
          <w:noProof/>
          <w:lang w:val="en-GB" w:eastAsia="en-GB"/>
        </w:rPr>
        <w:drawing>
          <wp:inline distT="0" distB="0" distL="0" distR="0" wp14:anchorId="6C1452CA" wp14:editId="44AE4A0F">
            <wp:extent cx="6022018" cy="3451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427" cy="3456474"/>
                    </a:xfrm>
                    <a:prstGeom prst="rect">
                      <a:avLst/>
                    </a:prstGeom>
                    <a:noFill/>
                  </pic:spPr>
                </pic:pic>
              </a:graphicData>
            </a:graphic>
          </wp:inline>
        </w:drawing>
      </w:r>
    </w:p>
    <w:p w14:paraId="23DF9E6A" w14:textId="5959569E" w:rsidR="00D66606" w:rsidRPr="00B74430" w:rsidRDefault="00D66606" w:rsidP="00D66606">
      <w:pPr>
        <w:spacing w:after="120" w:line="276" w:lineRule="auto"/>
        <w:jc w:val="both"/>
        <w:rPr>
          <w:noProof/>
        </w:rPr>
      </w:pPr>
      <w:r>
        <w:rPr>
          <w:noProof/>
        </w:rPr>
        <w:t>De geraamde betalingen uit de EU-begroting zijn niet gelijk verdeeld over de referentieperiode. Zij zijn afhankelijk van de verwachte ontwikkeling van: 1) de geleidelijke invoering van betalingen voor de nieuwe MFK-programma’s (66 % van de totale betalingen), 2) het tempo van uitbetalingen onder NextGenerationEU (24 % van de betalingen) en 3) de voltooiing van vastleggingen uit de periode 2014-2020 en eerder (10 % van de betalingen). Het geschatte jaargemiddelde van de uitstromen bedraagt 231 miljard EUR, waarvan 56 miljard EUR moet worden gefinancierd door leningen op de kapitaalmarkten voor NextGenerationEU-programma’s.</w:t>
      </w:r>
    </w:p>
    <w:p w14:paraId="54CD1AB4" w14:textId="70B9F687" w:rsidR="00D66606" w:rsidRPr="00B74430" w:rsidRDefault="00D66606" w:rsidP="00D66606">
      <w:pPr>
        <w:spacing w:after="120" w:line="276" w:lineRule="auto"/>
        <w:jc w:val="both"/>
        <w:rPr>
          <w:noProof/>
        </w:rPr>
      </w:pPr>
      <w:r>
        <w:rPr>
          <w:noProof/>
        </w:rPr>
        <w:t>De betalingen zullen naar verwachting gestaag dalen na een piek in 2023, hetgeen grotendeels het gevolg is van de vervroegde uitbetaling van NextGenerationEU-kredieten. Een tijdelijke opleving van de uitstromen wordt verwacht in 2026, wanneer alle definitieve betalingen onder NextGenerationEU moeten zijn afgerond. Vanaf 2027 omvat de prognose vrijwel uitsluitend betalingen in het kader van de MFK-programma’s voor 2021-2027.</w:t>
      </w:r>
    </w:p>
    <w:p w14:paraId="5B864F32" w14:textId="36951B67" w:rsidR="00D66606" w:rsidRPr="00DC2085" w:rsidRDefault="00D66606" w:rsidP="00D66606">
      <w:pPr>
        <w:spacing w:after="120" w:line="276" w:lineRule="auto"/>
        <w:jc w:val="both"/>
        <w:rPr>
          <w:noProof/>
        </w:rPr>
      </w:pPr>
      <w:r>
        <w:rPr>
          <w:noProof/>
        </w:rPr>
        <w:t>Gelet op de uitgaven in het kader van het huidige MFK en de afronding van eerdere kaders, bedragen de geraamde betalingen gemiddeld 175 miljard EUR, waarbij 2023-2024 onder het gemiddelde en 2026-2027 boven het gemiddelde ligt. Het verschil tussen het piekjaar voor betalingen (2027) en het jaar met de laagste betalingen (2024) bedraagt ruwweg 36 miljard EUR. Dit patroon is ook waargenomen in eerdere MFK’s als gevolg van de geleidelijke uitfasering van afsluitende betalingen van de vorige financiële kaders en de nieuwe uitgavenprogramma’s die in de tweede helft van het respectieve MFK op kruissnelheid komen.</w:t>
      </w:r>
    </w:p>
    <w:p w14:paraId="4A9908E8" w14:textId="0128082F" w:rsidR="00FC02CC" w:rsidRDefault="00D66606" w:rsidP="00D66606">
      <w:pPr>
        <w:spacing w:after="120" w:line="276" w:lineRule="auto"/>
        <w:jc w:val="both"/>
        <w:rPr>
          <w:noProof/>
        </w:rPr>
      </w:pPr>
      <w:r>
        <w:rPr>
          <w:noProof/>
        </w:rPr>
        <w:t xml:space="preserve">De geraamde marge binnen het MFK-betalingsmaximum bedraagt 5,5 miljard EUR en 11 miljard EUR in respectievelijk 2023 en 2024. Voor de periode 2025-2027 kan de jaarlijkse marge negatief uitvallen in vergelijking met de huidige maxima voor betalingen, waarbij de prognose het maximum voor de drie jaar samen met 24,6 miljard EUR overschrijdt. Deze afwijkingen in de loop der jaren zijn eenvoudigweg het gevolg van het betalingsmaximum dat in reële termen op een stabiel niveau is vastgesteld, terwijl de uitvoering naar verwachting een variabel traject zal volgen. Uit hoofde van het automatische aanpassingsmechanisme van artikel 11, lid 1, punt b), van de MFK-verordening zullen de bedragen die in een bepaald jaar niet zijn uitgegeven ertoe leiden dat het maximum voor de volgende jaren naar boven wordt bijgesteld. De verwachte positieve marges vóór 2025 zullen de maxima in 2025-2027 dan ook naar boven bijstellen (binnen de in artikel 11, lid 3, van de MFK-verordening vastgestelde maximumbedragen). Gezien deze aanpassing en de toekomstige programmaspecifieke aanpassing uit hoofde van artikel 5 van de MFK-verordening (waardoor de betalingsmaxima met nog eens 9,4 miljard EUR zullen worden verhoogd), komt de huidige betalingsprognose voor de laatste drie jaar van het MFK overeen met het algemene betalingsmaximum van het MFK voor 2021-2027. </w:t>
      </w:r>
      <w:r>
        <w:rPr>
          <w:noProof/>
        </w:rPr>
        <w:br w:type="page"/>
      </w:r>
    </w:p>
    <w:p w14:paraId="6BF77AA7" w14:textId="0BCF7481" w:rsidR="00D66606" w:rsidRDefault="007D38D2" w:rsidP="00D66606">
      <w:pPr>
        <w:spacing w:after="120" w:line="276" w:lineRule="auto"/>
        <w:jc w:val="both"/>
        <w:rPr>
          <w:rStyle w:val="amprcharBoldBlue"/>
          <w:noProof/>
        </w:rPr>
      </w:pPr>
      <w:r>
        <w:rPr>
          <w:rStyle w:val="amprcharBoldBlue"/>
          <w:noProof/>
          <w:lang w:val="en-GB" w:eastAsia="en-GB"/>
        </w:rPr>
        <mc:AlternateContent>
          <mc:Choice Requires="wps">
            <w:drawing>
              <wp:anchor distT="45720" distB="45720" distL="114300" distR="114300" simplePos="0" relativeHeight="251654144" behindDoc="0" locked="0" layoutInCell="1" allowOverlap="1" wp14:anchorId="262676CD" wp14:editId="6D5C09D2">
                <wp:simplePos x="0" y="0"/>
                <wp:positionH relativeFrom="column">
                  <wp:posOffset>4052407</wp:posOffset>
                </wp:positionH>
                <wp:positionV relativeFrom="paragraph">
                  <wp:posOffset>81915</wp:posOffset>
                </wp:positionV>
                <wp:extent cx="1888528" cy="75143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528" cy="751438"/>
                        </a:xfrm>
                        <a:prstGeom prst="rect">
                          <a:avLst/>
                        </a:prstGeom>
                        <a:noFill/>
                        <a:ln w="9525">
                          <a:noFill/>
                          <a:miter lim="800000"/>
                          <a:headEnd/>
                          <a:tailEnd/>
                        </a:ln>
                      </wps:spPr>
                      <wps:txbx>
                        <w:txbxContent>
                          <w:p w14:paraId="16BC81FE" w14:textId="062A5DB4" w:rsidR="00857477" w:rsidRDefault="00857477" w:rsidP="007D38D2">
                            <w:r>
                              <w:t>Betalingsmaximum: 2025-2027 (incl. verhoging SMI volgens art. 11, lid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2676CD" id="Text Box 2" o:spid="_x0000_s1036" type="#_x0000_t202" style="position:absolute;left:0;text-align:left;margin-left:319.1pt;margin-top:6.45pt;width:148.7pt;height:59.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" filled="f" stroked="f">
                <v:textbox>
                  <w:txbxContent>
                    <w:p w14:paraId="16BC81FE" w14:textId="062A5DB4" w:rsidR="00857477" w:rsidRDefault="00857477" w:rsidP="007D38D2">
                      <w:r>
                        <w:t>Betalingsmaximum: 2025-2027 (incl. verhoging SMI volgens art. 11, lid 3)</w:t>
                      </w:r>
                    </w:p>
                  </w:txbxContent>
                </v:textbox>
              </v:shape>
            </w:pict>
          </mc:Fallback>
        </mc:AlternateContent>
      </w:r>
      <w:r>
        <w:rPr>
          <w:rStyle w:val="amprcharBoldBlue"/>
          <w:noProof/>
        </w:rPr>
        <w:t xml:space="preserve">Grafiek </w:t>
      </w:r>
      <w:r>
        <w:rPr>
          <w:rStyle w:val="amprcharBoldBlue"/>
          <w:noProof/>
        </w:rPr>
        <w:fldChar w:fldCharType="begin"/>
      </w:r>
      <w:r>
        <w:rPr>
          <w:rStyle w:val="amprcharBoldBlue"/>
          <w:noProof/>
        </w:rPr>
        <w:instrText xml:space="preserve"> SEQ Chart \* ARABIC </w:instrText>
      </w:r>
      <w:r>
        <w:rPr>
          <w:rStyle w:val="amprcharBoldBlue"/>
          <w:noProof/>
        </w:rPr>
        <w:fldChar w:fldCharType="separate"/>
      </w:r>
      <w:r>
        <w:rPr>
          <w:rStyle w:val="amprcharBoldBlue"/>
          <w:noProof/>
        </w:rPr>
        <w:t>2</w:t>
      </w:r>
      <w:r>
        <w:rPr>
          <w:rStyle w:val="amprcharBoldBlue"/>
          <w:noProof/>
        </w:rPr>
        <w:fldChar w:fldCharType="end"/>
      </w:r>
      <w:r>
        <w:rPr>
          <w:rStyle w:val="amprcharBoldBlue"/>
          <w:noProof/>
        </w:rPr>
        <w:t xml:space="preserve"> – Betalingsprognose tegenover betalingsmaximum van het MFK (in miljard EUR)</w:t>
      </w:r>
    </w:p>
    <w:p w14:paraId="1D3D7505" w14:textId="2BB2FCC9" w:rsidR="00D66606" w:rsidRPr="00F81488" w:rsidRDefault="007D38D2" w:rsidP="00F81488">
      <w:pPr>
        <w:spacing w:after="120" w:line="276" w:lineRule="auto"/>
        <w:jc w:val="both"/>
        <w:rPr>
          <w:b/>
          <w:noProof/>
          <w:color w:val="215E94" w:themeColor="text2"/>
          <w:spacing w:val="1"/>
        </w:rPr>
      </w:pPr>
      <w:r>
        <w:rPr>
          <w:rStyle w:val="amprcharBoldBlue"/>
          <w:noProof/>
          <w:lang w:val="en-GB" w:eastAsia="en-GB"/>
        </w:rPr>
        <mc:AlternateContent>
          <mc:Choice Requires="wps">
            <w:drawing>
              <wp:anchor distT="45720" distB="45720" distL="114300" distR="114300" simplePos="0" relativeHeight="251658240" behindDoc="0" locked="0" layoutInCell="1" allowOverlap="1" wp14:anchorId="0BB6C6BE" wp14:editId="7EF1BE76">
                <wp:simplePos x="0" y="0"/>
                <wp:positionH relativeFrom="column">
                  <wp:posOffset>4043045</wp:posOffset>
                </wp:positionH>
                <wp:positionV relativeFrom="paragraph">
                  <wp:posOffset>480223</wp:posOffset>
                </wp:positionV>
                <wp:extent cx="1888490" cy="596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596900"/>
                        </a:xfrm>
                        <a:prstGeom prst="rect">
                          <a:avLst/>
                        </a:prstGeom>
                        <a:noFill/>
                        <a:ln w="9525">
                          <a:noFill/>
                          <a:miter lim="800000"/>
                          <a:headEnd/>
                          <a:tailEnd/>
                        </a:ln>
                      </wps:spPr>
                      <wps:txbx>
                        <w:txbxContent>
                          <w:p w14:paraId="3853B32B" w14:textId="57CB0CA4" w:rsidR="00857477" w:rsidRDefault="00857477" w:rsidP="007D38D2">
                            <w:r>
                              <w:t>Geraamde betalingen (binnen het MFK-maximum)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B6C6BE" id="_x0000_s1037" type="#_x0000_t202" style="position:absolute;left:0;text-align:left;margin-left:318.35pt;margin-top:37.8pt;width:148.7pt;height: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" filled="f" stroked="f">
                <v:textbox>
                  <w:txbxContent>
                    <w:p w14:paraId="3853B32B" w14:textId="57CB0CA4" w:rsidR="00857477" w:rsidRDefault="00857477" w:rsidP="007D38D2">
                      <w:r>
                        <w:t>Geraamde betalingen (binnen het MFK-maximum)</w:t>
                      </w:r>
                    </w:p>
                  </w:txbxContent>
                </v:textbox>
              </v:shape>
            </w:pict>
          </mc:Fallback>
        </mc:AlternateContent>
      </w:r>
      <w:r>
        <w:rPr>
          <w:rStyle w:val="amprcharBoldBlue"/>
          <w:noProof/>
          <w:lang w:val="en-GB" w:eastAsia="en-GB"/>
        </w:rPr>
        <mc:AlternateContent>
          <mc:Choice Requires="wps">
            <w:drawing>
              <wp:anchor distT="45720" distB="45720" distL="114300" distR="114300" simplePos="0" relativeHeight="251656192" behindDoc="0" locked="0" layoutInCell="1" allowOverlap="1" wp14:anchorId="631F16B3" wp14:editId="1B24BAC4">
                <wp:simplePos x="0" y="0"/>
                <wp:positionH relativeFrom="column">
                  <wp:posOffset>4048597</wp:posOffset>
                </wp:positionH>
                <wp:positionV relativeFrom="paragraph">
                  <wp:posOffset>1077595</wp:posOffset>
                </wp:positionV>
                <wp:extent cx="1888490" cy="7512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751205"/>
                        </a:xfrm>
                        <a:prstGeom prst="rect">
                          <a:avLst/>
                        </a:prstGeom>
                        <a:noFill/>
                        <a:ln w="9525">
                          <a:noFill/>
                          <a:miter lim="800000"/>
                          <a:headEnd/>
                          <a:tailEnd/>
                        </a:ln>
                      </wps:spPr>
                      <wps:txbx>
                        <w:txbxContent>
                          <w:p w14:paraId="449A2D2F" w14:textId="5D50D80A" w:rsidR="00857477" w:rsidRDefault="00857477" w:rsidP="007D38D2">
                            <w:r>
                              <w:t>Betalingsmaximum (technische aanpassing 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1F16B3" id="_x0000_s1038" type="#_x0000_t202" style="position:absolute;left:0;text-align:left;margin-left:318.8pt;margin-top:84.85pt;width:148.7pt;height:5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" filled="f" stroked="f">
                <v:textbox>
                  <w:txbxContent>
                    <w:p w14:paraId="449A2D2F" w14:textId="5D50D80A" w:rsidR="00857477" w:rsidRDefault="00857477" w:rsidP="007D38D2">
                      <w:r>
                        <w:t>Betalingsmaximum (technische aanpassing 2023)</w:t>
                      </w:r>
                    </w:p>
                  </w:txbxContent>
                </v:textbox>
              </v:shape>
            </w:pict>
          </mc:Fallback>
        </mc:AlternateContent>
      </w:r>
      <w:r>
        <w:rPr>
          <w:rStyle w:val="amprcharBoldBlue"/>
          <w:noProof/>
          <w:lang w:val="en-GB" w:eastAsia="en-GB"/>
        </w:rPr>
        <w:drawing>
          <wp:inline distT="0" distB="0" distL="0" distR="0" wp14:anchorId="542C2388" wp14:editId="6B1DBB74">
            <wp:extent cx="4572635"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59BF030D" w14:textId="77777777" w:rsidR="00D66606" w:rsidRDefault="00D66606" w:rsidP="009F63E4">
      <w:pPr>
        <w:pStyle w:val="amprH3Title2-Numbered-11"/>
        <w:rPr>
          <w:noProof/>
        </w:rPr>
      </w:pPr>
      <w:bookmarkStart w:id="9" w:name="_Toc524523059"/>
      <w:bookmarkStart w:id="10" w:name="_Toc107422048"/>
      <w:r>
        <w:rPr>
          <w:noProof/>
        </w:rPr>
        <w:t>Betalingen</w:t>
      </w:r>
      <w:bookmarkEnd w:id="9"/>
      <w:r>
        <w:rPr>
          <w:noProof/>
        </w:rPr>
        <w:t xml:space="preserve"> in verband met de vastleggingen van het MFK 2021-2027</w:t>
      </w:r>
      <w:bookmarkEnd w:id="10"/>
    </w:p>
    <w:p w14:paraId="0FE4F972" w14:textId="77777777" w:rsidR="00D66606" w:rsidRPr="00692170" w:rsidRDefault="00D66606" w:rsidP="00D66606">
      <w:pPr>
        <w:spacing w:after="120" w:line="276" w:lineRule="auto"/>
        <w:jc w:val="both"/>
        <w:rPr>
          <w:noProof/>
        </w:rPr>
      </w:pPr>
      <w:r>
        <w:rPr>
          <w:noProof/>
        </w:rPr>
        <w:t>Het cohesiebeleid en het gemeenschappelijk landbouwbeleid (GLB) zijn goed voor meer dan de helft van de geraamde betalingen uit hoofde van het MFK 2021-2027. De langetermijnprognose is dus grotendeels gebaseerd op de verwachte uitvoering van deze twee beleidsmaatregelen.</w:t>
      </w:r>
    </w:p>
    <w:p w14:paraId="5E423738" w14:textId="77777777" w:rsidR="00D66606" w:rsidRPr="00FE7A6F" w:rsidRDefault="00D66606" w:rsidP="009F63E4">
      <w:pPr>
        <w:pStyle w:val="amprH4Subhead1"/>
        <w:rPr>
          <w:noProof/>
        </w:rPr>
      </w:pPr>
      <w:r>
        <w:rPr>
          <w:noProof/>
        </w:rPr>
        <w:t>Rubriek 2a – Cohesiebeleid</w:t>
      </w:r>
    </w:p>
    <w:p w14:paraId="2D4D5103" w14:textId="3E0BEB89" w:rsidR="00D66606" w:rsidRPr="00976B91" w:rsidRDefault="00D66606" w:rsidP="00D66606">
      <w:pPr>
        <w:spacing w:after="120" w:line="276" w:lineRule="auto"/>
        <w:jc w:val="both"/>
        <w:rPr>
          <w:noProof/>
        </w:rPr>
      </w:pPr>
      <w:r>
        <w:rPr>
          <w:noProof/>
        </w:rPr>
        <w:t>De voor de periode 2023-2027 geraamde betalingen voor de nieuwe programmering van het cohesiebeleid bedragen 177 miljard EUR, ongeveer 8 miljard EUR minder dan in de prognose van vorig jaar. De belangrijke vertragingen</w:t>
      </w:r>
      <w:r>
        <w:rPr>
          <w:rStyle w:val="EndnoteReference"/>
          <w:noProof/>
        </w:rPr>
        <w:endnoteReference w:id="14"/>
      </w:r>
      <w:r>
        <w:rPr>
          <w:noProof/>
        </w:rPr>
        <w:t xml:space="preserve"> bij de start van de programmeringsperiode 2021-2027 zullen bepalend zijn voor de betalingen gedurende de resterende looptijd van het MFK. In 2021 werd geen nationaal programma vastgesteld; alle programma’s zullen naar verwachting eind 2022 worden goedgekeurd. De COVID-19-pandemie en de noodzaak om de herstelinitiatieven op te nemen in het wetgevingspakket waarover in de loop van 2020 werd onderhandeld, hebben geleid tot een latere vaststelling van de desbetreffende rechtshandelingen, hetgeen de waargenomen vertragingen voor een groot deel verklaart. Daarnaast kan ook de door de nationale autoriteiten gelegde nadruk op de uitvoering van NextGenerationEU een rol hebben gespeeld. De technische aanname voor deze prognose is dat lidstaten vanaf 2024 de in de periode 2021-2023 opgelopen vertragingen gedeeltelijk zullen gaan inlopen en in de laatste jaren van het MFK een uitvoeringssnelheid zullen bereiken die vergelijkbaar is met die van de periode 2014-2020. Deze aanname wordt ingegeven door toegenomen onzekerheid vanwege de huidige geopolitieke en economische instabiliteit, maar ook door het ontbreken van een relevante historische benchmark voor de uitvoering van projecten op lange termijn.</w:t>
      </w:r>
    </w:p>
    <w:p w14:paraId="0A29A8A0" w14:textId="783B45E8" w:rsidR="00D66606" w:rsidRDefault="00D66606" w:rsidP="00D66606">
      <w:pPr>
        <w:spacing w:after="120" w:line="276" w:lineRule="auto"/>
        <w:jc w:val="both"/>
        <w:rPr>
          <w:noProof/>
        </w:rPr>
      </w:pPr>
      <w:r>
        <w:rPr>
          <w:noProof/>
        </w:rPr>
        <w:t>Er zijn opwaartse en neerwaartse risico’s bij deze prognose. De lidstaten kunnen zich extra inspannen om de uitvoering vanaf 2023 te versnellen en de uitvoeringssnelheid van de vorige programmeringsperiode zou eerder kunnen worden bereikt. Betalingen kunnen daarnaast ook sneller plaatsvinden dankzij het initiatief REPowerEU</w:t>
      </w:r>
      <w:r>
        <w:rPr>
          <w:rStyle w:val="EndnoteReference"/>
          <w:noProof/>
        </w:rPr>
        <w:endnoteReference w:id="15"/>
      </w:r>
      <w:r>
        <w:rPr>
          <w:noProof/>
        </w:rPr>
        <w:t>, in het kader waarvan de Commissie heeft voorgesteld dat de lidstaten tot 12,5 % van hun cohesietoewijzingen kunnen overdragen naar de faciliteit voor herstel en veerkracht (hetgeen niet wordt weerspiegeld in de prognose), waarbij de reeds beschikbare mogelijkheid tot overdracht van 5 % wordt aangevuld met de mogelijke overdracht van 7,5 % enkel voor REPowerEU-doelstellingen. Als de lidstaten daarentegen geen extra inspanningen leveren, zal een vertraging van één jaar blijven bestaan. Deze vertraagde betalingen leiden mogelijk tot een ongekend hoog niveau van vrijmakingen door de vrijmakingsregels van n+3.</w:t>
      </w:r>
    </w:p>
    <w:p w14:paraId="2657C08E" w14:textId="77777777" w:rsidR="00F81488" w:rsidRDefault="00F81488">
      <w:pPr>
        <w:rPr>
          <w:rStyle w:val="amprcharBoldBlue"/>
          <w:noProof/>
        </w:rPr>
      </w:pPr>
      <w:r>
        <w:rPr>
          <w:noProof/>
        </w:rPr>
        <w:br w:type="page"/>
      </w:r>
    </w:p>
    <w:p w14:paraId="7B36AF01" w14:textId="4B9AF1D8" w:rsidR="00D66606" w:rsidRDefault="00D66606" w:rsidP="00D66606">
      <w:pPr>
        <w:spacing w:after="120" w:line="276" w:lineRule="auto"/>
        <w:jc w:val="both"/>
        <w:rPr>
          <w:rStyle w:val="amprcharBoldBlue"/>
          <w:noProof/>
        </w:rPr>
      </w:pPr>
      <w:r>
        <w:rPr>
          <w:rStyle w:val="amprcharBoldBlue"/>
          <w:noProof/>
        </w:rPr>
        <w:t>Grafiek 3 – Betalingsprognose voor rubriek 2a (MFK-vastleggingen 2021-2027) en opwaartse en neerwaartse scenario’s (in miljard EUR)</w:t>
      </w:r>
    </w:p>
    <w:p w14:paraId="27A7CD94" w14:textId="422650A6" w:rsidR="00BD72ED" w:rsidRDefault="00BD72ED" w:rsidP="00D66606">
      <w:pPr>
        <w:spacing w:after="120" w:line="276" w:lineRule="auto"/>
        <w:jc w:val="both"/>
        <w:rPr>
          <w:rStyle w:val="amprcharBoldBlue"/>
          <w:noProof/>
        </w:rPr>
      </w:pPr>
      <w:r>
        <w:rPr>
          <w:rStyle w:val="amprcharBoldBlue"/>
          <w:noProof/>
          <w:lang w:val="en-GB" w:eastAsia="en-GB"/>
        </w:rPr>
        <mc:AlternateContent>
          <mc:Choice Requires="wps">
            <w:drawing>
              <wp:anchor distT="45720" distB="45720" distL="114300" distR="114300" simplePos="0" relativeHeight="251660288" behindDoc="0" locked="0" layoutInCell="1" allowOverlap="1" wp14:anchorId="12750163" wp14:editId="6EAD5191">
                <wp:simplePos x="0" y="0"/>
                <wp:positionH relativeFrom="column">
                  <wp:posOffset>2481700</wp:posOffset>
                </wp:positionH>
                <wp:positionV relativeFrom="paragraph">
                  <wp:posOffset>1239091</wp:posOffset>
                </wp:positionV>
                <wp:extent cx="1367481" cy="650789"/>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481" cy="650789"/>
                        </a:xfrm>
                        <a:prstGeom prst="rect">
                          <a:avLst/>
                        </a:prstGeom>
                        <a:noFill/>
                        <a:ln w="9525">
                          <a:noFill/>
                          <a:miter lim="800000"/>
                          <a:headEnd/>
                          <a:tailEnd/>
                        </a:ln>
                      </wps:spPr>
                      <wps:txbx>
                        <w:txbxContent>
                          <w:p w14:paraId="60D3C148" w14:textId="77777777" w:rsidR="00857477" w:rsidRDefault="00857477" w:rsidP="00A838A7">
                            <w:pPr>
                              <w:spacing w:before="0" w:after="0"/>
                              <w:jc w:val="center"/>
                              <w:rPr>
                                <w:b/>
                                <w:color w:val="C56829"/>
                              </w:rPr>
                            </w:pPr>
                            <w:r>
                              <w:rPr>
                                <w:b/>
                                <w:color w:val="C56829"/>
                              </w:rPr>
                              <w:t xml:space="preserve">Prognose </w:t>
                            </w:r>
                          </w:p>
                          <w:p w14:paraId="162BAFB0" w14:textId="7D045F87" w:rsidR="00857477" w:rsidRPr="006B1167" w:rsidRDefault="00857477" w:rsidP="00A838A7">
                            <w:pPr>
                              <w:spacing w:before="0" w:after="0"/>
                              <w:jc w:val="center"/>
                              <w:rPr>
                                <w:b/>
                                <w:color w:val="C56829"/>
                              </w:rPr>
                            </w:pPr>
                            <w:r>
                              <w:rPr>
                                <w:b/>
                                <w:color w:val="C56829"/>
                              </w:rPr>
                              <w:t>Betalingen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750163" id="_x0000_s1039" type="#_x0000_t202" style="position:absolute;left:0;text-align:left;margin-left:195.4pt;margin-top:97.55pt;width:107.7pt;height:5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" filled="f" stroked="f">
                <v:textbox>
                  <w:txbxContent>
                    <w:p w14:paraId="60D3C148" w14:textId="77777777" w:rsidR="00857477" w:rsidRDefault="00857477" w:rsidP="00A838A7">
                      <w:pPr>
                        <w:spacing w:before="0" w:after="0"/>
                        <w:jc w:val="center"/>
                        <w:rPr>
                          <w:b/>
                          <w:color w:val="C56829"/>
                        </w:rPr>
                      </w:pPr>
                      <w:r>
                        <w:rPr>
                          <w:b/>
                          <w:color w:val="C56829"/>
                        </w:rPr>
                        <w:t xml:space="preserve">Prognose </w:t>
                      </w:r>
                    </w:p>
                    <w:p w14:paraId="162BAFB0" w14:textId="7D045F87" w:rsidR="00857477" w:rsidRPr="006B1167" w:rsidRDefault="00857477" w:rsidP="00A838A7">
                      <w:pPr>
                        <w:spacing w:before="0" w:after="0"/>
                        <w:jc w:val="center"/>
                        <w:rPr>
                          <w:b/>
                          <w:color w:val="C56829"/>
                        </w:rPr>
                      </w:pPr>
                      <w:r>
                        <w:rPr>
                          <w:b/>
                          <w:color w:val="C56829"/>
                        </w:rPr>
                        <w:t>Betalingen</w:t>
                      </w:r>
                    </w:p>
                  </w:txbxContent>
                </v:textbox>
              </v:shape>
            </w:pict>
          </mc:Fallback>
        </mc:AlternateContent>
      </w:r>
      <w:r>
        <w:rPr>
          <w:rStyle w:val="amprcharBoldBlue"/>
          <w:noProof/>
          <w:lang w:val="en-GB" w:eastAsia="en-GB"/>
        </w:rPr>
        <mc:AlternateContent>
          <mc:Choice Requires="wps">
            <w:drawing>
              <wp:anchor distT="45720" distB="45720" distL="114300" distR="114300" simplePos="0" relativeHeight="251666432" behindDoc="0" locked="0" layoutInCell="1" allowOverlap="1" wp14:anchorId="1ADB61C4" wp14:editId="0A1F0E68">
                <wp:simplePos x="0" y="0"/>
                <wp:positionH relativeFrom="column">
                  <wp:posOffset>3939146</wp:posOffset>
                </wp:positionH>
                <wp:positionV relativeFrom="paragraph">
                  <wp:posOffset>1675868</wp:posOffset>
                </wp:positionV>
                <wp:extent cx="1806112" cy="568411"/>
                <wp:effectExtent l="0" t="0" r="0" b="31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112" cy="568411"/>
                        </a:xfrm>
                        <a:prstGeom prst="rect">
                          <a:avLst/>
                        </a:prstGeom>
                        <a:noFill/>
                        <a:ln w="9525">
                          <a:noFill/>
                          <a:miter lim="800000"/>
                          <a:headEnd/>
                          <a:tailEnd/>
                        </a:ln>
                      </wps:spPr>
                      <wps:txbx>
                        <w:txbxContent>
                          <w:p w14:paraId="0A9C377E" w14:textId="62181478" w:rsidR="00857477" w:rsidRPr="00A838A7" w:rsidRDefault="00857477" w:rsidP="00A838A7">
                            <w:pPr>
                              <w:jc w:val="center"/>
                              <w:rPr>
                                <w:color w:val="215E94"/>
                              </w:rPr>
                            </w:pPr>
                            <w:r>
                              <w:rPr>
                                <w:color w:val="215E94"/>
                              </w:rPr>
                              <w:t>Neerwaarts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DB61C4" id="_x0000_s1040" type="#_x0000_t202" style="position:absolute;left:0;text-align:left;margin-left:310.15pt;margin-top:131.95pt;width:142.2pt;height:4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" filled="f" stroked="f">
                <v:textbox>
                  <w:txbxContent>
                    <w:p w14:paraId="0A9C377E" w14:textId="62181478" w:rsidR="00857477" w:rsidRPr="00A838A7" w:rsidRDefault="00857477" w:rsidP="00A838A7">
                      <w:pPr>
                        <w:jc w:val="center"/>
                        <w:rPr>
                          <w:color w:val="215E94"/>
                        </w:rPr>
                      </w:pPr>
                      <w:r>
                        <w:rPr>
                          <w:color w:val="215E94"/>
                        </w:rPr>
                        <w:t>Neerwaarts scenario</w:t>
                      </w:r>
                    </w:p>
                  </w:txbxContent>
                </v:textbox>
              </v:shape>
            </w:pict>
          </mc:Fallback>
        </mc:AlternateContent>
      </w:r>
      <w:r>
        <w:rPr>
          <w:rStyle w:val="amprcharBoldBlue"/>
          <w:noProof/>
          <w:lang w:val="en-GB" w:eastAsia="en-GB"/>
        </w:rPr>
        <mc:AlternateContent>
          <mc:Choice Requires="wps">
            <w:drawing>
              <wp:anchor distT="45720" distB="45720" distL="114300" distR="114300" simplePos="0" relativeHeight="251662336" behindDoc="0" locked="0" layoutInCell="1" allowOverlap="1" wp14:anchorId="1936E9D2" wp14:editId="64786074">
                <wp:simplePos x="0" y="0"/>
                <wp:positionH relativeFrom="column">
                  <wp:posOffset>754723</wp:posOffset>
                </wp:positionH>
                <wp:positionV relativeFrom="paragraph">
                  <wp:posOffset>789357</wp:posOffset>
                </wp:positionV>
                <wp:extent cx="1806112" cy="568411"/>
                <wp:effectExtent l="0" t="0" r="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112" cy="568411"/>
                        </a:xfrm>
                        <a:prstGeom prst="rect">
                          <a:avLst/>
                        </a:prstGeom>
                        <a:noFill/>
                        <a:ln w="9525">
                          <a:noFill/>
                          <a:miter lim="800000"/>
                          <a:headEnd/>
                          <a:tailEnd/>
                        </a:ln>
                      </wps:spPr>
                      <wps:txbx>
                        <w:txbxContent>
                          <w:p w14:paraId="49E030EC" w14:textId="428B9C2D" w:rsidR="00857477" w:rsidRPr="00A838A7" w:rsidRDefault="00857477" w:rsidP="00A838A7">
                            <w:pPr>
                              <w:jc w:val="center"/>
                              <w:rPr>
                                <w:color w:val="215E94"/>
                              </w:rPr>
                            </w:pPr>
                            <w:r>
                              <w:rPr>
                                <w:color w:val="215E94"/>
                              </w:rPr>
                              <w:t>Opwaarts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36E9D2" id="_x0000_s1041" type="#_x0000_t202" style="position:absolute;left:0;text-align:left;margin-left:59.45pt;margin-top:62.15pt;width:142.2pt;height:4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" filled="f" stroked="f">
                <v:textbox>
                  <w:txbxContent>
                    <w:p w14:paraId="49E030EC" w14:textId="428B9C2D" w:rsidR="00857477" w:rsidRPr="00A838A7" w:rsidRDefault="00857477" w:rsidP="00A838A7">
                      <w:pPr>
                        <w:jc w:val="center"/>
                        <w:rPr>
                          <w:color w:val="215E94"/>
                        </w:rPr>
                      </w:pPr>
                      <w:r>
                        <w:rPr>
                          <w:color w:val="215E94"/>
                        </w:rPr>
                        <w:t>Opwaarts scenario</w:t>
                      </w:r>
                    </w:p>
                  </w:txbxContent>
                </v:textbox>
              </v:shape>
            </w:pict>
          </mc:Fallback>
        </mc:AlternateContent>
      </w:r>
      <w:r>
        <w:rPr>
          <w:rStyle w:val="amprcharBoldBlue"/>
          <w:noProof/>
          <w:lang w:val="en-GB" w:eastAsia="en-GB"/>
        </w:rPr>
        <w:drawing>
          <wp:inline distT="0" distB="0" distL="0" distR="0" wp14:anchorId="1634C3CE" wp14:editId="79193693">
            <wp:extent cx="6066155" cy="2743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6155" cy="2743200"/>
                    </a:xfrm>
                    <a:prstGeom prst="rect">
                      <a:avLst/>
                    </a:prstGeom>
                    <a:noFill/>
                  </pic:spPr>
                </pic:pic>
              </a:graphicData>
            </a:graphic>
          </wp:inline>
        </w:drawing>
      </w:r>
    </w:p>
    <w:p w14:paraId="0F8D6E90" w14:textId="77777777" w:rsidR="00D66606" w:rsidRPr="00FE7A6F" w:rsidRDefault="00D66606" w:rsidP="009F63E4">
      <w:pPr>
        <w:pStyle w:val="amprH4Subhead1"/>
        <w:rPr>
          <w:noProof/>
        </w:rPr>
      </w:pPr>
      <w:r>
        <w:rPr>
          <w:noProof/>
        </w:rPr>
        <w:t>Rubriek 3 – Gemeenschappelijk landbouwbeleid (GLB)</w:t>
      </w:r>
    </w:p>
    <w:p w14:paraId="3FD74595" w14:textId="14A278D6" w:rsidR="00D66606" w:rsidRPr="0061541B" w:rsidRDefault="00D66606" w:rsidP="00D66606">
      <w:pPr>
        <w:spacing w:after="120" w:line="276" w:lineRule="auto"/>
        <w:jc w:val="both"/>
        <w:rPr>
          <w:noProof/>
        </w:rPr>
      </w:pPr>
      <w:r>
        <w:rPr>
          <w:noProof/>
        </w:rPr>
        <w:t>De voor de eerste pijler van het GLB geraamde betalingen — 208 miljard EUR voor de periode 2023-2027 — weerspiegelen de meest recente financiële programmering en de overdrachten door lidstaten tussen de twee pijlers van het GLB.</w:t>
      </w:r>
    </w:p>
    <w:p w14:paraId="4095329B" w14:textId="0F386C2F" w:rsidR="00D66606" w:rsidRDefault="00D66606" w:rsidP="00D66606">
      <w:pPr>
        <w:spacing w:after="120" w:line="276" w:lineRule="auto"/>
        <w:jc w:val="both"/>
        <w:rPr>
          <w:noProof/>
        </w:rPr>
      </w:pPr>
      <w:r>
        <w:rPr>
          <w:noProof/>
        </w:rPr>
        <w:t>In tegenstelling tot het cohesiebeleid worden er geen vertragingen verwacht bij de uitvoering van pijler II — het Europees Landbouwfonds voor plattelandsontwikkeling (Elfpo) — dankzij de overgangsbepalingen van twee jaar, waarbij de programma’s voor de periode 2014-2020 tot 2022 werden verlengd. Aangezien alle lidstaten hun strategische plannen voor het nieuwe GLB hebben ingediend, zal de daadwerkelijke uitvoering van de programma’s voor de periode 2023-2027 naar verwachting reeds in 2023 van start gaan, een jaar eerder dan in het verslag met prognoses van juni 2021 werd aangenomen.</w:t>
      </w:r>
    </w:p>
    <w:p w14:paraId="36C3371B" w14:textId="0C273DEB" w:rsidR="00D66606" w:rsidRDefault="00D66606" w:rsidP="00D66606">
      <w:pPr>
        <w:spacing w:after="120" w:line="276" w:lineRule="auto"/>
        <w:jc w:val="both"/>
        <w:rPr>
          <w:noProof/>
        </w:rPr>
      </w:pPr>
      <w:r>
        <w:rPr>
          <w:noProof/>
        </w:rPr>
        <w:t>De betalingsprognose die voortvloeit uit het MFK 2021-2027 omvat ook betalingen in het kader van de laatste twee tranches (2021 en 2022) van de vorige programmeringsperiode. De tranches zullen naar verwachting tot 2026 worden uitbetaald (zie punt 2.2. Betalingen betreffende vastleggingen van vóór 2021)</w:t>
      </w:r>
    </w:p>
    <w:p w14:paraId="7A25D5A1" w14:textId="22746C31" w:rsidR="00D66606" w:rsidRDefault="00D66606" w:rsidP="00D66606">
      <w:pPr>
        <w:spacing w:after="120" w:line="276" w:lineRule="auto"/>
        <w:jc w:val="both"/>
        <w:rPr>
          <w:noProof/>
        </w:rPr>
      </w:pPr>
      <w:r>
        <w:rPr>
          <w:noProof/>
        </w:rPr>
        <w:t>Aangezien de Elfpo-programma’s voor de periode 2014-2022 op schema liggen en de nieuwe GLB-plannen momenteel worden goedgekeurd, zal de uitvoering van het Elfpo naar verwachting geen vertraging oplopen. Voor de periode 2024-2027 worden echter enkele jaarlijkse afwijkingen verwacht, waarbij betalingen zich met name in 2026 concentreren doordat de voltooiing van de vorige programma’s (volgens de vrijmakingsregel van n+3) deels samenvalt met de snellere invoering van de nieuwe programma’s (volgens de vrijmakingsregel van n+2). Bovendien kunnen de Elfpo-betalingen in het kader van het REPowerEU-initiatief mogelijk versneld plaatsvinden, net als bij de fondsen voor het cohesiebeleid (zie punt hierboven).</w:t>
      </w:r>
    </w:p>
    <w:p w14:paraId="188184FD" w14:textId="77777777" w:rsidR="00D66606" w:rsidRPr="00FE7A6F" w:rsidRDefault="00D66606" w:rsidP="009F63E4">
      <w:pPr>
        <w:pStyle w:val="amprH4Subhead1"/>
        <w:rPr>
          <w:noProof/>
        </w:rPr>
      </w:pPr>
      <w:r>
        <w:rPr>
          <w:noProof/>
        </w:rPr>
        <w:t>Overige programma’s en rubrieken</w:t>
      </w:r>
    </w:p>
    <w:p w14:paraId="3BD7AF5C" w14:textId="12F034D5" w:rsidR="00D66606" w:rsidRPr="0061541B" w:rsidRDefault="00D66606" w:rsidP="00D66606">
      <w:pPr>
        <w:spacing w:after="120" w:line="276" w:lineRule="auto"/>
        <w:jc w:val="both"/>
        <w:rPr>
          <w:noProof/>
        </w:rPr>
      </w:pPr>
      <w:r>
        <w:rPr>
          <w:noProof/>
        </w:rPr>
        <w:t>Gedurende de periode van vijf jaar neemt de omvang van de geraamde betalingen in alle andere rubrieken toe door een combinatie van factoren:</w:t>
      </w:r>
    </w:p>
    <w:p w14:paraId="5C6F20E8" w14:textId="7A8C2F46" w:rsidR="00D66606" w:rsidRPr="0061541B" w:rsidRDefault="00D66606" w:rsidP="00D255FF">
      <w:pPr>
        <w:numPr>
          <w:ilvl w:val="0"/>
          <w:numId w:val="21"/>
        </w:numPr>
        <w:spacing w:before="0" w:after="120" w:line="276" w:lineRule="auto"/>
        <w:jc w:val="both"/>
        <w:rPr>
          <w:noProof/>
          <w:color w:val="000000" w:themeColor="text1"/>
        </w:rPr>
      </w:pPr>
      <w:r>
        <w:rPr>
          <w:noProof/>
        </w:rPr>
        <w:t>Nieuwe initiatieven zoals de beveiligde connectiviteit van de Unie</w:t>
      </w:r>
      <w:r>
        <w:rPr>
          <w:rStyle w:val="EndnoteReference"/>
          <w:noProof/>
        </w:rPr>
        <w:endnoteReference w:id="16"/>
      </w:r>
      <w:r>
        <w:rPr>
          <w:noProof/>
        </w:rPr>
        <w:t xml:space="preserve"> en de Europese chipwet</w:t>
      </w:r>
      <w:r>
        <w:rPr>
          <w:rStyle w:val="EndnoteReference"/>
          <w:noProof/>
        </w:rPr>
        <w:endnoteReference w:id="17"/>
      </w:r>
      <w:r>
        <w:rPr>
          <w:noProof/>
        </w:rPr>
        <w:t xml:space="preserve"> zullen leiden tot vervroegde betalingen, voornamelijk uit hoofde van rubriek 1.</w:t>
      </w:r>
    </w:p>
    <w:p w14:paraId="2E4E3EDF" w14:textId="156FC0F1" w:rsidR="00D66606" w:rsidRPr="0061541B" w:rsidRDefault="00D66606" w:rsidP="00D255FF">
      <w:pPr>
        <w:numPr>
          <w:ilvl w:val="0"/>
          <w:numId w:val="21"/>
        </w:numPr>
        <w:spacing w:before="0" w:after="120" w:line="276" w:lineRule="auto"/>
        <w:jc w:val="both"/>
        <w:rPr>
          <w:noProof/>
          <w:color w:val="000000" w:themeColor="text1"/>
        </w:rPr>
      </w:pPr>
      <w:r>
        <w:rPr>
          <w:noProof/>
        </w:rPr>
        <w:t>De meest recente geopolitieke uitdagingen vereisen snellere betalingen voor de programma’s uit rubriek 4 — Migratie en grensbeheer, rubriek 5 — Veiligheid en defensie, en rubriek 6 — Nabuurschap en internationaal beleid.</w:t>
      </w:r>
    </w:p>
    <w:p w14:paraId="0ACEBBA5" w14:textId="2D1DDBFF" w:rsidR="00D66606" w:rsidRDefault="00D66606" w:rsidP="00EC52CB">
      <w:pPr>
        <w:numPr>
          <w:ilvl w:val="0"/>
          <w:numId w:val="21"/>
        </w:numPr>
        <w:spacing w:before="0" w:after="120" w:line="276" w:lineRule="auto"/>
        <w:jc w:val="both"/>
        <w:rPr>
          <w:noProof/>
        </w:rPr>
      </w:pPr>
      <w:r>
        <w:rPr>
          <w:noProof/>
        </w:rPr>
        <w:t>De vertraagde start van sommige programma’s in 2021 zal leiden tot een herverdeling van betalingen in latere jaren. Een belangrijkere wijziging ten opzichte van de prognose van vorig jaar heeft betrekking op de reserve voor aanpassing aan de brexit, waarvoor de goedgekeurde rechtshandeling</w:t>
      </w:r>
      <w:r>
        <w:rPr>
          <w:rStyle w:val="EndnoteReference"/>
          <w:noProof/>
        </w:rPr>
        <w:endnoteReference w:id="18"/>
      </w:r>
      <w:r>
        <w:rPr>
          <w:noProof/>
        </w:rPr>
        <w:t xml:space="preserve"> voorziet in een gelijkmatigere verdeling van betalingen over de jaren in vergelijking met het voorstel van de Commissie voor een omvangrijke voorfinancieringstranche, die ten grondslag lag aan de prognoses van vorig jaar.</w:t>
      </w:r>
    </w:p>
    <w:p w14:paraId="3801591F" w14:textId="028E15BB" w:rsidR="00D66606" w:rsidRPr="009F63E4" w:rsidRDefault="00D66606" w:rsidP="009F63E4">
      <w:pPr>
        <w:pStyle w:val="amprH3Title2-Numbered-11"/>
        <w:rPr>
          <w:noProof/>
        </w:rPr>
      </w:pPr>
      <w:bookmarkStart w:id="11" w:name="_Toc74213162"/>
      <w:bookmarkStart w:id="12" w:name="_Toc107422049"/>
      <w:bookmarkEnd w:id="11"/>
      <w:r>
        <w:rPr>
          <w:noProof/>
        </w:rPr>
        <w:t>Betalingen voor de voltooiing van vastleggingen van vóór 2021</w:t>
      </w:r>
      <w:bookmarkEnd w:id="12"/>
    </w:p>
    <w:p w14:paraId="26C4CC3C" w14:textId="6CC74D05" w:rsidR="00D66606" w:rsidRPr="00DB241A" w:rsidRDefault="00D66606" w:rsidP="00D66606">
      <w:pPr>
        <w:spacing w:after="120" w:line="276" w:lineRule="auto"/>
        <w:jc w:val="both"/>
        <w:rPr>
          <w:noProof/>
        </w:rPr>
      </w:pPr>
      <w:r>
        <w:rPr>
          <w:noProof/>
        </w:rPr>
        <w:t xml:space="preserve">De geraamde betalingen voor de voltooiing van vastleggingen van vóór 2021 (RAL staat voor </w:t>
      </w:r>
      <w:r>
        <w:rPr>
          <w:i/>
          <w:noProof/>
        </w:rPr>
        <w:t>reste à liquider</w:t>
      </w:r>
      <w:r>
        <w:rPr>
          <w:noProof/>
        </w:rPr>
        <w:t>) worden geactualiseerd om rekening te houden met de in 2021 verrichte en in de begroting van 2022 geplande betalingen. De raming van 110 miljard EUR voor de komende vijf jaar stemt grotendeels overeen met de prognose van vorig jaar, zij het met een aantal jaarlijkse verschillen.</w:t>
      </w:r>
    </w:p>
    <w:p w14:paraId="66DBE8B2" w14:textId="77777777" w:rsidR="00D66606" w:rsidRPr="00FE7A6F" w:rsidRDefault="00D66606" w:rsidP="009F63E4">
      <w:pPr>
        <w:pStyle w:val="amprH4Subhead1"/>
        <w:rPr>
          <w:noProof/>
        </w:rPr>
      </w:pPr>
      <w:r>
        <w:rPr>
          <w:noProof/>
        </w:rPr>
        <w:t>Rubriek 2a – Cohesiebeleid</w:t>
      </w:r>
    </w:p>
    <w:p w14:paraId="1D7AD8C5" w14:textId="77777777" w:rsidR="00D66606" w:rsidRPr="0030653F" w:rsidRDefault="00D66606" w:rsidP="00D66606">
      <w:pPr>
        <w:spacing w:after="120" w:line="276" w:lineRule="auto"/>
        <w:jc w:val="both"/>
        <w:rPr>
          <w:noProof/>
        </w:rPr>
      </w:pPr>
      <w:r>
        <w:rPr>
          <w:noProof/>
        </w:rPr>
        <w:t>De meeste betalingen betreffende vastleggingen van vóór 2021 (58 %) hebben betrekking op de vorige programmeringsperiode van de fondsen voor het cohesiebeleid, die nu volop worden aangewend. De betalingsvoorspellingen zijn gebaseerd op de meest recente prognose van de lidstaten (januari 2022) en beschikbare informatie over de uitvoering op het terrein. Met de door de Commissie op 8 maart 2022 voorgestelde actie voor vluchtelingen in Europa in het kader van het Cohesiebeleid (CARE)</w:t>
      </w:r>
      <w:r>
        <w:rPr>
          <w:rStyle w:val="EndnoteReference"/>
          <w:noProof/>
        </w:rPr>
        <w:endnoteReference w:id="19"/>
      </w:r>
      <w:r>
        <w:rPr>
          <w:noProof/>
        </w:rPr>
        <w:t xml:space="preserve"> zullen lidstaten alle niet-geprogrammeerde financiering uit de periode 2014-2020 versneld kunnen aanwenden, waarbij betalingen vervroegd zullen plaatsvinden in 2022 en 2023. In vergelijking met het verslag van vorig jaar valt de betalingsprognose voor 2024 hierdoor lager uit.</w:t>
      </w:r>
    </w:p>
    <w:p w14:paraId="0CDACAD2" w14:textId="77777777" w:rsidR="00D66606" w:rsidRPr="0030653F" w:rsidRDefault="00D66606" w:rsidP="00D66606">
      <w:pPr>
        <w:spacing w:after="120" w:line="276" w:lineRule="auto"/>
        <w:jc w:val="both"/>
        <w:rPr>
          <w:noProof/>
        </w:rPr>
      </w:pPr>
      <w:r>
        <w:rPr>
          <w:noProof/>
        </w:rPr>
        <w:t>Het laatste boekjaar voor de Europese structuur- en investeringsfondsen (ESI-fondsen) eindigt in juni 2024, maar de meeste betalingen worden tegen eind 2023 verwacht. Afsluitende betalingen na 2024 zullen naar verwachting beperkt zijn, rekening houdend met het inhoudingspercentage en de voorfinanciering.</w:t>
      </w:r>
    </w:p>
    <w:p w14:paraId="40A3982E" w14:textId="77777777" w:rsidR="00D66606" w:rsidRPr="00FE7A6F" w:rsidRDefault="00D66606" w:rsidP="009F63E4">
      <w:pPr>
        <w:pStyle w:val="amprH4Subhead1"/>
        <w:rPr>
          <w:noProof/>
        </w:rPr>
      </w:pPr>
      <w:r>
        <w:rPr>
          <w:noProof/>
        </w:rPr>
        <w:t xml:space="preserve">Rubriek 3 – Gemeenschappelijk landbouwbeleid </w:t>
      </w:r>
    </w:p>
    <w:p w14:paraId="5F11F7E6" w14:textId="77777777" w:rsidR="00D66606" w:rsidRPr="009713AE" w:rsidRDefault="00D66606" w:rsidP="00D66606">
      <w:pPr>
        <w:spacing w:after="120" w:line="276" w:lineRule="auto"/>
        <w:jc w:val="both"/>
        <w:rPr>
          <w:noProof/>
        </w:rPr>
      </w:pPr>
      <w:r>
        <w:rPr>
          <w:noProof/>
        </w:rPr>
        <w:t>De verwachte voltooiing van de operationele programma’s voor de periode 2014-2022 stemt grotendeels overeen met de prognose van vorig jaar. Deze bevat echter een nieuw element, namelijk het effect van de onlangs voorgestelde</w:t>
      </w:r>
      <w:r>
        <w:rPr>
          <w:rStyle w:val="EndnoteReference"/>
          <w:noProof/>
        </w:rPr>
        <w:endnoteReference w:id="20"/>
      </w:r>
      <w:r>
        <w:rPr>
          <w:noProof/>
        </w:rPr>
        <w:t xml:space="preserve"> forfaitaire betalingen aan landbouwers en kmo’s in de voedselverwerkende sector. 450 miljoen EUR aan betalingen zullen bijgevolg reeds in 2023 en niet in 2024-2025 plaatsvinden.</w:t>
      </w:r>
    </w:p>
    <w:p w14:paraId="4F600E91" w14:textId="77777777" w:rsidR="00D66606" w:rsidRPr="00FE7A6F" w:rsidRDefault="00D66606" w:rsidP="009F63E4">
      <w:pPr>
        <w:pStyle w:val="amprH4Subhead1"/>
        <w:rPr>
          <w:noProof/>
        </w:rPr>
      </w:pPr>
      <w:r>
        <w:rPr>
          <w:noProof/>
        </w:rPr>
        <w:t>Overige programma’s en rubrieken</w:t>
      </w:r>
    </w:p>
    <w:p w14:paraId="331BAC9D" w14:textId="3B6493D1" w:rsidR="00D66606" w:rsidRPr="0061541B" w:rsidRDefault="00D66606" w:rsidP="00D66606">
      <w:pPr>
        <w:spacing w:after="120" w:line="276" w:lineRule="auto"/>
        <w:jc w:val="both"/>
        <w:rPr>
          <w:noProof/>
        </w:rPr>
      </w:pPr>
      <w:r>
        <w:rPr>
          <w:noProof/>
        </w:rPr>
        <w:t>De overgrote meerderheid (84 %) van de uitstaande betalingen voor de resterende begrotingsonderdelen is nagenoeg gelijk verdeeld over rubriek 1 — Interne markt, innovatie en digitaal beleid en rubriek 6 — Nabuurschap en de wereld. Terwijl de voltooiingsactiviteiten uit hoofde van rubriek 1 nu eerder worden verwacht dan uit eerdere ramingen naar voren kwam, zijn de geactualiseerde verwachtingen voor projecten uit rubriek 6 meer naar 2025-2026 verschoven.</w:t>
      </w:r>
    </w:p>
    <w:p w14:paraId="47B9D801" w14:textId="4B4DFA1F" w:rsidR="00D66606" w:rsidRPr="007E3223" w:rsidRDefault="00D66606" w:rsidP="009F63E4">
      <w:pPr>
        <w:pStyle w:val="amprH3Title2-Numbered-11"/>
        <w:rPr>
          <w:noProof/>
        </w:rPr>
      </w:pPr>
      <w:bookmarkStart w:id="13" w:name="_Toc71370937"/>
      <w:bookmarkStart w:id="14" w:name="_Toc71377349"/>
      <w:bookmarkStart w:id="15" w:name="_Toc71392500"/>
      <w:bookmarkStart w:id="16" w:name="_Toc71399666"/>
      <w:bookmarkStart w:id="17" w:name="_Toc71454330"/>
      <w:bookmarkStart w:id="18" w:name="_Toc71462280"/>
      <w:bookmarkStart w:id="19" w:name="_Toc71462312"/>
      <w:bookmarkStart w:id="20" w:name="_Toc71370938"/>
      <w:bookmarkStart w:id="21" w:name="_Toc71377350"/>
      <w:bookmarkStart w:id="22" w:name="_Toc71392501"/>
      <w:bookmarkStart w:id="23" w:name="_Toc71399667"/>
      <w:bookmarkStart w:id="24" w:name="_Toc71454331"/>
      <w:bookmarkStart w:id="25" w:name="_Toc71462281"/>
      <w:bookmarkStart w:id="26" w:name="_Toc71462313"/>
      <w:bookmarkStart w:id="27" w:name="_Toc71370939"/>
      <w:bookmarkStart w:id="28" w:name="_Toc71377351"/>
      <w:bookmarkStart w:id="29" w:name="_Toc71392502"/>
      <w:bookmarkStart w:id="30" w:name="_Toc71399668"/>
      <w:bookmarkStart w:id="31" w:name="_Toc71454332"/>
      <w:bookmarkStart w:id="32" w:name="_Toc71462282"/>
      <w:bookmarkStart w:id="33" w:name="_Toc71462314"/>
      <w:bookmarkStart w:id="34" w:name="_Toc71224921"/>
      <w:bookmarkStart w:id="35" w:name="_Toc71226625"/>
      <w:bookmarkStart w:id="36" w:name="_Toc71232395"/>
      <w:bookmarkStart w:id="37" w:name="_Toc71370940"/>
      <w:bookmarkStart w:id="38" w:name="_Toc71377352"/>
      <w:bookmarkStart w:id="39" w:name="_Toc71392503"/>
      <w:bookmarkStart w:id="40" w:name="_Toc71399669"/>
      <w:bookmarkStart w:id="41" w:name="_Toc71454333"/>
      <w:bookmarkStart w:id="42" w:name="_Toc71462283"/>
      <w:bookmarkStart w:id="43" w:name="_Toc71462315"/>
      <w:bookmarkStart w:id="44" w:name="_Toc71224922"/>
      <w:bookmarkStart w:id="45" w:name="_Toc71226626"/>
      <w:bookmarkStart w:id="46" w:name="_Toc71232396"/>
      <w:bookmarkStart w:id="47" w:name="_Toc71370941"/>
      <w:bookmarkStart w:id="48" w:name="_Toc71377353"/>
      <w:bookmarkStart w:id="49" w:name="_Toc71392504"/>
      <w:bookmarkStart w:id="50" w:name="_Toc71399670"/>
      <w:bookmarkStart w:id="51" w:name="_Toc71454334"/>
      <w:bookmarkStart w:id="52" w:name="_Toc71462284"/>
      <w:bookmarkStart w:id="53" w:name="_Toc71462316"/>
      <w:bookmarkStart w:id="54" w:name="_Toc524523063"/>
      <w:bookmarkStart w:id="55" w:name="_Toc10742205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noProof/>
        </w:rPr>
        <w:t>Vrijmakingen</w:t>
      </w:r>
      <w:bookmarkEnd w:id="54"/>
      <w:bookmarkEnd w:id="55"/>
    </w:p>
    <w:p w14:paraId="3FA07774" w14:textId="73E47FFB" w:rsidR="00D66606" w:rsidRPr="00B74430" w:rsidRDefault="00D66606" w:rsidP="00D66606">
      <w:pPr>
        <w:spacing w:after="120" w:line="276" w:lineRule="auto"/>
        <w:jc w:val="both"/>
        <w:rPr>
          <w:noProof/>
        </w:rPr>
      </w:pPr>
      <w:r>
        <w:rPr>
          <w:noProof/>
        </w:rPr>
        <w:t>De totale geraamde vrijmakingen voor de periode 2023-2027 bedragen 7,6 miljard EUR, een lichte daling ten opzichte van de prognose van vorig jaar, die uitging van 8,4 miljard EUR. Er zijn echter enkele noemenswaardige veranderingen.</w:t>
      </w:r>
    </w:p>
    <w:p w14:paraId="0A1375DC" w14:textId="77777777" w:rsidR="00D66606" w:rsidRPr="00B74430" w:rsidRDefault="00D66606" w:rsidP="009F63E4">
      <w:pPr>
        <w:pStyle w:val="amprH4Subhead1"/>
        <w:rPr>
          <w:noProof/>
        </w:rPr>
      </w:pPr>
      <w:r>
        <w:rPr>
          <w:noProof/>
        </w:rPr>
        <w:t>Rubriek 2a – Cohesiebeleid</w:t>
      </w:r>
    </w:p>
    <w:p w14:paraId="279D2ECC" w14:textId="703110B5" w:rsidR="00D66606" w:rsidRDefault="00D66606" w:rsidP="00D66606">
      <w:pPr>
        <w:spacing w:after="120" w:line="276" w:lineRule="auto"/>
        <w:jc w:val="both"/>
        <w:rPr>
          <w:noProof/>
        </w:rPr>
      </w:pPr>
      <w:r>
        <w:rPr>
          <w:noProof/>
        </w:rPr>
        <w:t>De vrijmakingen met betrekking tot de voltooiing van de vorige programma’s in het kader van de ESI-fondsen zijn aanzienlijk gedaald van 3,7 miljard EUR tot 0,4 miljard EUR. Dit heeft te maken met het medefinancieringspercentage van 100 % voor het boekjaar 2021-2022 in het kader van het CARE-initiatief, dat volledige absorptie zal vergemakkelijken en het risico van vrijmakingen tijdens het afsluitingsproces van de programma’s tot een minimum zal beperken.</w:t>
      </w:r>
    </w:p>
    <w:p w14:paraId="54191296" w14:textId="63F01483" w:rsidR="00D66606" w:rsidRPr="0030653F" w:rsidRDefault="009A3D1D" w:rsidP="00D66606">
      <w:pPr>
        <w:spacing w:after="120" w:line="276" w:lineRule="auto"/>
        <w:jc w:val="both"/>
        <w:rPr>
          <w:noProof/>
        </w:rPr>
      </w:pPr>
      <w:r>
        <w:rPr>
          <w:noProof/>
        </w:rPr>
        <w:t xml:space="preserve">Uitgaande van dezelfde technische aannames als die welke voor de betalingsramingen zijn gehanteerd is er een beperkt risico van vrijmakingen in de nieuwe cohesieprogramma’s vanaf 2026. In het vijfde jaar van de nieuwe programmeringsperiode zijn de vrijmakingsdoelstellingen voor de vastleggingen van 2022 en 2023 van toepassing, maar het percentage ingediende betalingsaanvragen zou nog steeds achterblijven bij het historische tempo als gevolg van de vertragingen bij aanvang van de programma’s. Het risico van vrijmaking zou kunnen afnemen indien de uitvoering in 2024 voldoende wordt versneld. Als zich echter geen versnelling voordoet en de uitvoeringssnelheid in de buurt van de historische percentages van 2014-2020 (inclusief de vertraging van één jaar) blijft liggen, zou het risico van vrijmaking exponentieel toenemen. In dit extreme scenario, waarbij de vertraging bij de start van de programmering niet wezenlijk wordt ingelopen, zou een groot deel van de geherprogrammeerde tranche van 2021 daadwerkelijk verloren kunnen gaan. </w:t>
      </w:r>
    </w:p>
    <w:p w14:paraId="60EAF376" w14:textId="77777777" w:rsidR="00D66606" w:rsidRPr="00B74430" w:rsidRDefault="00D66606" w:rsidP="009F63E4">
      <w:pPr>
        <w:pStyle w:val="amprH4Subhead1"/>
        <w:rPr>
          <w:noProof/>
        </w:rPr>
      </w:pPr>
      <w:r>
        <w:rPr>
          <w:noProof/>
        </w:rPr>
        <w:t>Rubriek 3 – Gemeenschappelijk landbouwbeleid</w:t>
      </w:r>
    </w:p>
    <w:p w14:paraId="308AD015" w14:textId="4091CB1C" w:rsidR="00D66606" w:rsidRPr="00B74430" w:rsidRDefault="00D66606" w:rsidP="00D66606">
      <w:pPr>
        <w:spacing w:after="120" w:line="276" w:lineRule="auto"/>
        <w:jc w:val="both"/>
        <w:rPr>
          <w:noProof/>
        </w:rPr>
      </w:pPr>
      <w:r>
        <w:rPr>
          <w:noProof/>
        </w:rPr>
        <w:t xml:space="preserve">Bijna twee derde van de in rubriek 3 van het MFK geraamde vrijmakingen heeft betrekking op het Elfpo. De prognose voor de afsluiting van de Elfpo-programma’s 2014-2022 blijft gebaseerd op de aanname dat er sprake zal zijn van verbetering ten opzichte van de periode 2007-2013. Het algemene resultaat is lager dan de prognose voor 2021, rekening houdend met het effect van de nieuwe forfaitaire betalingen voor landbouwers en kmo’s in de voedselverwerkende sector. De vrijmakingen in het kader van het Elfpo voor de periode 2014-2022 zullen naar verwachting in 2026 plaatsvinden tijdens het afsluitingsproces. Vrijmakingen in het kader van de strategische GLB-plannen 2023-2027 worden niet verwacht vóór de afsluiting ervan (d.w.z. tegen 2029-2030) en vallen niet onder dit verslag. </w:t>
      </w:r>
    </w:p>
    <w:p w14:paraId="585D83C7" w14:textId="77777777" w:rsidR="00D66606" w:rsidRPr="00B74430" w:rsidRDefault="00D66606" w:rsidP="009F63E4">
      <w:pPr>
        <w:pStyle w:val="amprH4Subhead1"/>
        <w:rPr>
          <w:noProof/>
        </w:rPr>
      </w:pPr>
      <w:r>
        <w:rPr>
          <w:noProof/>
        </w:rPr>
        <w:t>Overige programma’s en rubrieken</w:t>
      </w:r>
    </w:p>
    <w:p w14:paraId="16955471" w14:textId="335ECF1A" w:rsidR="00D66606" w:rsidRPr="00010F1C" w:rsidRDefault="00D66606" w:rsidP="00D66606">
      <w:pPr>
        <w:spacing w:after="120" w:line="276" w:lineRule="auto"/>
        <w:jc w:val="both"/>
        <w:rPr>
          <w:noProof/>
        </w:rPr>
      </w:pPr>
      <w:r>
        <w:rPr>
          <w:noProof/>
        </w:rPr>
        <w:t>Voor de programma’s die centraal door de Commissie worden beheerd, is de prognose voor vrijmakingen gebaseerd op de meest recente informatie op projectniveau. Als nieuw element wordt een prognose voor vrijmakingen in het kader van de nieuwe MFK-programma’s overwogen, die berust op de historische vrijmakingspercentages van de desbetreffende voorgaande programma’s. De vrijmakingen zijn geraamd voor de volledige verslagperiode. Het exacte jaar van vrijmaking hangt af van het afsluitingsproces van afzonderlijke projecten en acties en kan niet nauwkeurig worden geraamd.</w:t>
      </w:r>
    </w:p>
    <w:p w14:paraId="79D54325" w14:textId="77777777" w:rsidR="00D66606" w:rsidRPr="007E3223" w:rsidRDefault="00D66606" w:rsidP="009F63E4">
      <w:pPr>
        <w:pStyle w:val="amprH3Title2-Numbered-11"/>
        <w:rPr>
          <w:noProof/>
        </w:rPr>
      </w:pPr>
      <w:bookmarkStart w:id="56" w:name="_Toc524523066"/>
      <w:r>
        <w:rPr>
          <w:noProof/>
        </w:rPr>
        <w:tab/>
      </w:r>
      <w:bookmarkStart w:id="57" w:name="_Toc107422051"/>
      <w:r>
        <w:rPr>
          <w:noProof/>
        </w:rPr>
        <w:t>NextGenerationEU</w:t>
      </w:r>
      <w:bookmarkEnd w:id="57"/>
    </w:p>
    <w:p w14:paraId="057DE951" w14:textId="2B588B7A" w:rsidR="00D66606" w:rsidRPr="000B12C9" w:rsidRDefault="00D66606" w:rsidP="00D66606">
      <w:pPr>
        <w:spacing w:after="120" w:line="276" w:lineRule="auto"/>
        <w:jc w:val="both"/>
        <w:rPr>
          <w:noProof/>
        </w:rPr>
      </w:pPr>
      <w:r>
        <w:rPr>
          <w:noProof/>
        </w:rPr>
        <w:t>NextGenerationEU is een tijdelijk noodinstrument voor crisisrespons, herstel en veerkracht. Het niet-terugbetaalbare deel van NextGenerationEU bestaat uit externe bestemmingsontvangsten en wordt gebruikt om hervormingsprioriteiten snel te ondersteunen en een aantal voor het herstel cruciale programma’s te versterken. Om het effect van NextGenerationEU op transparante wijze in kaart te brengen, worden de ramingen betreffende het verwachte gebruik van de externe bestemmingsontvangsten voor elk programma afzonderlijk opgenomen (zie tabel 3). De ramingen zijn vastgesteld op basis van de jaarlijkse vastleggingstranches waarin de bij de ontwerpbegroting van 2023 gevoegde financiële programmering voorziet.</w:t>
      </w:r>
    </w:p>
    <w:p w14:paraId="4A6C7A1A" w14:textId="2B09C554" w:rsidR="00D66606" w:rsidRPr="004C5E30" w:rsidRDefault="00D66606" w:rsidP="00D66606">
      <w:pPr>
        <w:spacing w:after="120" w:line="276" w:lineRule="auto"/>
        <w:jc w:val="both"/>
        <w:rPr>
          <w:noProof/>
        </w:rPr>
      </w:pPr>
      <w:r>
        <w:rPr>
          <w:noProof/>
        </w:rPr>
        <w:t xml:space="preserve">Centraal in NextGenerationEU staat de </w:t>
      </w:r>
      <w:r>
        <w:rPr>
          <w:rStyle w:val="amprcharBoldBlue"/>
          <w:noProof/>
        </w:rPr>
        <w:t>herstel- en veerkrachtfaciliteit</w:t>
      </w:r>
      <w:r>
        <w:rPr>
          <w:noProof/>
        </w:rPr>
        <w:t>, die goed is voor 80 % van de niet-terugbetaalbare toewijzingen</w:t>
      </w:r>
      <w:r>
        <w:rPr>
          <w:noProof/>
          <w:vertAlign w:val="superscript"/>
        </w:rPr>
        <w:endnoteReference w:id="21"/>
      </w:r>
      <w:r>
        <w:rPr>
          <w:noProof/>
        </w:rPr>
        <w:t>. De uitstromen van NextGenerationEU worden dan ook in ruime mate bepaald door het tempo van uitbetalingen voor de herstel- en veerkrachtfaciliteit. De faciliteit is in de uitvoeringsfase gekomen en vordert snel volgens het door de lidstaten vastgestelde tijdschema van hervormingen en investeringen. Eind mei 2022 hadden 26 lidstaten hun herstel- en veerkrachtplan</w:t>
      </w:r>
      <w:r>
        <w:rPr>
          <w:rStyle w:val="EndnoteReference"/>
          <w:noProof/>
        </w:rPr>
        <w:endnoteReference w:id="22"/>
      </w:r>
      <w:r>
        <w:rPr>
          <w:noProof/>
        </w:rPr>
        <w:t xml:space="preserve"> formeel ingediend. De Commissie betaalde een voorfinanciering van maximaal 13 % van de financiële bijdrage aan 21 lidstaten die daarom hadden verzocht. Overeenkomstig de RRF-verordening komt geen enkele lidstaat meer in aanmerking voor voorfinanciering (na 31</w:t>
      </w:r>
      <w:r w:rsidR="00F45E8C">
        <w:rPr>
          <w:rFonts w:ascii="Calibri" w:hAnsi="Calibri" w:cs="Calibri"/>
          <w:noProof/>
        </w:rPr>
        <w:t> </w:t>
      </w:r>
      <w:r>
        <w:rPr>
          <w:noProof/>
        </w:rPr>
        <w:t>december</w:t>
      </w:r>
      <w:r w:rsidR="00F45E8C">
        <w:rPr>
          <w:rFonts w:ascii="Calibri" w:hAnsi="Calibri" w:cs="Calibri"/>
          <w:noProof/>
        </w:rPr>
        <w:t> </w:t>
      </w:r>
      <w:r>
        <w:rPr>
          <w:noProof/>
        </w:rPr>
        <w:t>2021). Uitbetalingen vinden plaats na de positieve beoordeling van betalingsaanvragen die in het kader van de herstel- en veerkrachtfaciliteit tot twee keer per jaar per lidstaat kunnen worden ingediend, na het behalen van de mijlpalen en streefdoelen die zijn vastgelegd in de uit hoofde van de verordening tot instelling van de herstel- en veerkrachtfaciliteit vastgestelde uitvoeringsbesluiten van de Raad. De betalingsprognose voor 2023-2027 is gebaseerd op de goedgekeurde plannen, zoals beoordeeld door de Commissie, op de gegevens die de lidstaten in het kader van hun rapportageverplichtingen hebben verstrekt, en op de ontwikkelingen bij de uitvoering van de faciliteit tot medio mei 2022.</w:t>
      </w:r>
    </w:p>
    <w:p w14:paraId="3E9521B2" w14:textId="6760E4EA" w:rsidR="00D66606" w:rsidRPr="007306B5" w:rsidRDefault="00D66606" w:rsidP="00D66606">
      <w:pPr>
        <w:spacing w:after="120" w:line="276" w:lineRule="auto"/>
        <w:jc w:val="both"/>
        <w:rPr>
          <w:noProof/>
        </w:rPr>
      </w:pPr>
      <w:r>
        <w:rPr>
          <w:rStyle w:val="amprcharBoldBlue"/>
          <w:noProof/>
        </w:rPr>
        <w:t>REACT-EU</w:t>
      </w:r>
      <w:r>
        <w:rPr>
          <w:noProof/>
        </w:rPr>
        <w:t xml:space="preserve"> is het op één na grootste onderdeel van NextGenerationEU, goed voor 12 % van de niet-terugbetaalbare steun. Het vormt de brug tussen de programmeringsperioden 2014-2020 en 2021-2027 voor cohesiebeleid, waardoor aanvullende bronnen in 2021 en 2022 worden verdeeld via een aantal van de fondsen voor het cohesiebeleid. REACT-EU-vastleggingen vinden plaats over een periode van twee jaar (2021-2022). De meeste tussentijdse en definitieve betalingen zullen plaatsvinden in de jaren 2022-2024, overeenkomstig de doelstellingen van REACT-EU om de uitvoering te versnellen door gebruik te maken van bestaande programma’s en te voorzien in volledige flexibiliteit van uitvoeringsregels. In vergelijking met de prognose van vorig jaar worden de betalingen nog vroeger verricht, aangezien de lidstaten middelen in het kader van REACT-EU kunnen gebruiken om de recente stroom mensen die Oekraïne ontvluchten na de Russische invasie op te vangen. Om de uitbetaling van resterende middelen te versnellen, is de wetgeving gewijzigd om een verhoging van de voorfinancieringen en vereenvoudigde kostenopties mogelijk te maken</w:t>
      </w:r>
      <w:r>
        <w:rPr>
          <w:rStyle w:val="EndnoteReference"/>
          <w:noProof/>
        </w:rPr>
        <w:endnoteReference w:id="23"/>
      </w:r>
      <w:r>
        <w:rPr>
          <w:noProof/>
        </w:rPr>
        <w:t>. Tegen eind 2025 worden enkele beperkte afsluitende betalingen verwacht.</w:t>
      </w:r>
    </w:p>
    <w:p w14:paraId="7A3A72DE" w14:textId="0B3AC1FF" w:rsidR="00D66606" w:rsidRPr="000B12C9" w:rsidRDefault="00D66606" w:rsidP="00D66606">
      <w:pPr>
        <w:spacing w:after="120" w:line="276" w:lineRule="auto"/>
        <w:jc w:val="both"/>
        <w:rPr>
          <w:noProof/>
        </w:rPr>
      </w:pPr>
      <w:r>
        <w:rPr>
          <w:noProof/>
        </w:rPr>
        <w:t>De vijf andere door NextGenerationEU ondersteunde programma’s</w:t>
      </w:r>
      <w:r>
        <w:rPr>
          <w:rStyle w:val="EndnoteReference"/>
          <w:noProof/>
        </w:rPr>
        <w:endnoteReference w:id="24"/>
      </w:r>
      <w:r>
        <w:rPr>
          <w:noProof/>
        </w:rPr>
        <w:t xml:space="preserve"> nemen de resterende 8 % van de niet-terugbetaalbare toewijzing voor hun rekening. Bij de betalingsprognose is rekening gehouden met de ervaring met voorgaande programma’s, zoals de kortere cyclus van vastleggingen en de aandacht voor onmiddellijke herstelbehoeften. Het </w:t>
      </w:r>
      <w:r>
        <w:rPr>
          <w:rStyle w:val="amprcharBoldBlue"/>
          <w:noProof/>
        </w:rPr>
        <w:t>fonds voor een rechtvaardige transitie</w:t>
      </w:r>
      <w:r>
        <w:rPr>
          <w:noProof/>
        </w:rPr>
        <w:t xml:space="preserve">, dat volledig nieuw is, wordt beïnvloed door de vertraging bij de vaststelling van het MFK en programmaspecifieke wetgeving. De vaststelling van de programma’s van de meeste lidstaten wordt in 2022 verwacht, en bijna alle uitbetalingen zullen naar verwachting over 2023-2026 worden gespreid. Voor </w:t>
      </w:r>
      <w:r>
        <w:rPr>
          <w:rStyle w:val="amprcharBoldBlue"/>
          <w:noProof/>
        </w:rPr>
        <w:t>InvestEU</w:t>
      </w:r>
      <w:r>
        <w:rPr>
          <w:noProof/>
        </w:rPr>
        <w:t xml:space="preserve"> is de prognose een weerspiegeling van de verwachte voorzieningsregeling van de begrotingsgarantie en van de betalingsprognose voor de InvestEU-advieshub en het InvestEU-portaal.</w:t>
      </w:r>
    </w:p>
    <w:p w14:paraId="2F559A3F" w14:textId="68311712" w:rsidR="00D66606" w:rsidRPr="000B12C9" w:rsidRDefault="00D66606" w:rsidP="00D66606">
      <w:pPr>
        <w:spacing w:after="120" w:line="276" w:lineRule="auto"/>
        <w:jc w:val="both"/>
        <w:rPr>
          <w:noProof/>
        </w:rPr>
      </w:pPr>
      <w:r>
        <w:rPr>
          <w:noProof/>
        </w:rPr>
        <w:t>De prognose gaat ervan uit dat alle NextGenerationEU-middelen voor operationele activiteiten tegen eind 2023 zullen worden vastgelegd en eind 2026 zullen zijn uitbetaald, hetgeen de in de toepasselijke wetgeving vastgestelde termijnen. Daarom worden er geen vrijmakingen geraamd.</w:t>
      </w:r>
    </w:p>
    <w:p w14:paraId="020B3670" w14:textId="49AD9068" w:rsidR="00D66606" w:rsidRPr="007E3223" w:rsidRDefault="00D66606" w:rsidP="009F63E4">
      <w:pPr>
        <w:pStyle w:val="amprH3Title2-Numbered-11"/>
        <w:rPr>
          <w:noProof/>
        </w:rPr>
      </w:pPr>
      <w:bookmarkStart w:id="58" w:name="_Toc524523064"/>
      <w:r>
        <w:rPr>
          <w:noProof/>
        </w:rPr>
        <w:tab/>
      </w:r>
      <w:bookmarkStart w:id="59" w:name="_Toc107422052"/>
      <w:r>
        <w:rPr>
          <w:noProof/>
        </w:rPr>
        <w:t>Ontwikkeling van de omvang van de uitstaande vastleggingen</w:t>
      </w:r>
      <w:bookmarkEnd w:id="58"/>
      <w:bookmarkEnd w:id="59"/>
    </w:p>
    <w:p w14:paraId="0334081C" w14:textId="6E8BBD8A" w:rsidR="00D66606" w:rsidRDefault="00D66606" w:rsidP="00D66606">
      <w:pPr>
        <w:spacing w:after="120" w:line="276" w:lineRule="auto"/>
        <w:jc w:val="both"/>
        <w:rPr>
          <w:noProof/>
        </w:rPr>
      </w:pPr>
      <w:r>
        <w:rPr>
          <w:noProof/>
        </w:rPr>
        <w:t>In de periode 2021-2027 zou er eind 2023 een historische piek van de RAL zijn, wanneer zij mogelijk meer dan 458 miljard EUR bedraagt. Dit is een tijdelijk effect als gevolg van de uitvoering van NextGenerationEU. Vanaf 2024 zal de RAL in verband met NextGenerationEU geleidelijk worden afgewikkeld tot eind 2026, wanneer de betalingen voor vastleggingen voor NextGenerationEU voltooid moeten zijn.</w:t>
      </w:r>
    </w:p>
    <w:p w14:paraId="7E27CE19" w14:textId="76CCA65A" w:rsidR="00D66606" w:rsidRDefault="00D66606" w:rsidP="00D66606">
      <w:pPr>
        <w:spacing w:after="120" w:line="276" w:lineRule="auto"/>
        <w:jc w:val="both"/>
        <w:rPr>
          <w:noProof/>
        </w:rPr>
      </w:pPr>
      <w:r>
        <w:rPr>
          <w:noProof/>
        </w:rPr>
        <w:t>Enkel rekening houdend met de RAL die voortvloeit uit het MFK 2021-2027 en vorige kaders, kan eind 2027 cumulatief een nominale stijging van ongeveer 55 miljard EUR (+ 21 %) worden verwacht ten opzichte van het begin van de referentieperiode. Deze wijziging van de RAL is vergelijkbaar met de omvang van een jaarlijkse vastleggingstranche in het kader van het cohesiebeleid. Aangezien cohesie het grootste deel van de RAL uitmaakt, is het van bijzonder belang voor de ontwikkeling ervan. Door het akkoord om een N + 3-vrijmakingsregel te handhaven, gekoppeld aan de vertragingen in het nieuwe programmeringsproces, worden betalingen naar het einde van het MFK en naar de jaren daarna verschoven (zie punt 2.1). Dit leidt ook tot een zekere overschatting van de toename van de RAL omdat deze de verandering weergeeft tussen een jaar met lage RAL (eind 2022 zullen grote delen van de voltooiingsactiviteiten zijn betaald, maar de meeste nieuwe vastleggingen voor het cohesiebeleid moeten nog worden gedaan) en een jaar met een piek van de RAL (eind 2027 zullen alle vastleggingen voor het cohesiebeleid zijn gedaan, maar meer dan de helft van de betalingen zal in de komende jaren plaatsvinden).</w:t>
      </w:r>
    </w:p>
    <w:p w14:paraId="581A8133" w14:textId="2416C25C" w:rsidR="00D66606" w:rsidRDefault="00D66606" w:rsidP="00D66606">
      <w:pPr>
        <w:spacing w:after="120" w:line="276" w:lineRule="auto"/>
        <w:jc w:val="both"/>
        <w:rPr>
          <w:noProof/>
        </w:rPr>
      </w:pPr>
      <w:r>
        <w:rPr>
          <w:noProof/>
        </w:rPr>
        <w:t>Afgezet tegen de omvang van de EU-economie neemt de RAL in feite af. Van begin 2023 tot eind 2027 zal de RAL (met uitzondering van NextGenerationEU) naar verwachting dalen van 1,7 % tot 1,6 % van het bruto nationaal inkomen van de EU. Hieruit blijkt dat de nominale groei van de RAL veelal niet opweegt tegen de nominale groei van de EU-economie.</w:t>
      </w:r>
    </w:p>
    <w:p w14:paraId="52E3BACC" w14:textId="5C88E773" w:rsidR="00A36594" w:rsidRDefault="00A36594" w:rsidP="00A36594">
      <w:pPr>
        <w:spacing w:after="120" w:line="276" w:lineRule="auto"/>
        <w:jc w:val="both"/>
        <w:rPr>
          <w:rStyle w:val="amprcharBoldBlue"/>
          <w:noProof/>
        </w:rPr>
      </w:pPr>
      <w:r>
        <w:rPr>
          <w:rStyle w:val="amprcharBoldBlue"/>
          <w:noProof/>
        </w:rPr>
        <w:t>Grafiek 4 — Ontwikkeling van het niveau van uitstaande vastleggingen (RAL) in de periode 2023-2027, uitgedrukt als percentage van het bruto nationaal inkomen van de Unie</w:t>
      </w:r>
    </w:p>
    <w:p w14:paraId="3D1BEE5B" w14:textId="45B8689B" w:rsidR="00A36594" w:rsidRPr="009F63E4" w:rsidRDefault="007D38D2" w:rsidP="007D38D2">
      <w:pPr>
        <w:spacing w:after="120" w:line="276" w:lineRule="auto"/>
        <w:jc w:val="center"/>
        <w:rPr>
          <w:rStyle w:val="amprcharBoldBlue"/>
          <w:noProof/>
        </w:rPr>
      </w:pPr>
      <w:r>
        <w:rPr>
          <w:rStyle w:val="amprcharBoldBlue"/>
          <w:noProof/>
          <w:lang w:val="en-GB" w:eastAsia="en-GB"/>
        </w:rPr>
        <mc:AlternateContent>
          <mc:Choice Requires="wps">
            <w:drawing>
              <wp:anchor distT="45720" distB="45720" distL="114300" distR="114300" simplePos="0" relativeHeight="251650048" behindDoc="0" locked="0" layoutInCell="1" allowOverlap="1" wp14:anchorId="3DAFC7C2" wp14:editId="574FAFF2">
                <wp:simplePos x="0" y="0"/>
                <wp:positionH relativeFrom="column">
                  <wp:posOffset>995007</wp:posOffset>
                </wp:positionH>
                <wp:positionV relativeFrom="paragraph">
                  <wp:posOffset>764376</wp:posOffset>
                </wp:positionV>
                <wp:extent cx="200372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1404620"/>
                        </a:xfrm>
                        <a:prstGeom prst="rect">
                          <a:avLst/>
                        </a:prstGeom>
                        <a:noFill/>
                        <a:ln w="9525">
                          <a:noFill/>
                          <a:miter lim="800000"/>
                          <a:headEnd/>
                          <a:tailEnd/>
                        </a:ln>
                      </wps:spPr>
                      <wps:txbx>
                        <w:txbxContent>
                          <w:p w14:paraId="61CD3B4A" w14:textId="68106F74" w:rsidR="00857477" w:rsidRPr="007D38D2" w:rsidRDefault="00857477">
                            <w:pPr>
                              <w:rPr>
                                <w:rStyle w:val="amprcharBoldBlue"/>
                                <w:color w:val="FFFFFF" w:themeColor="background1"/>
                                <w:sz w:val="28"/>
                              </w:rPr>
                            </w:pPr>
                            <w:r>
                              <w:rPr>
                                <w:rStyle w:val="amprcharBoldBlue"/>
                                <w:color w:val="FFFFFF" w:themeColor="background1"/>
                                <w:sz w:val="28"/>
                              </w:rPr>
                              <w:t>NextGenerationEU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FC7C2" id="_x0000_s1042" type="#_x0000_t202" style="position:absolute;left:0;text-align:left;margin-left:78.35pt;margin-top:60.2pt;width:157.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" filled="f" stroked="f">
                <v:textbox style="mso-fit-shape-to-text:t">
                  <w:txbxContent>
                    <w:p w14:paraId="61CD3B4A" w14:textId="68106F74" w:rsidR="00857477" w:rsidRPr="007D38D2" w:rsidRDefault="00857477">
                      <w:pPr>
                        <w:rPr>
                          <w:rStyle w:val="amprcharBoldBlue"/>
                          <w:color w:val="FFFFFF" w:themeColor="background1"/>
                          <w:sz w:val="28"/>
                        </w:rPr>
                      </w:pPr>
                      <w:r>
                        <w:rPr>
                          <w:rStyle w:val="amprcharBoldBlue"/>
                          <w:color w:val="FFFFFF" w:themeColor="background1"/>
                          <w:sz w:val="28"/>
                        </w:rPr>
                        <w:t>NextGenerationEU</w:t>
                      </w:r>
                    </w:p>
                  </w:txbxContent>
                </v:textbox>
              </v:shape>
            </w:pict>
          </mc:Fallback>
        </mc:AlternateContent>
      </w:r>
      <w:r>
        <w:rPr>
          <w:rStyle w:val="amprcharBoldBlue"/>
          <w:noProof/>
          <w:lang w:val="en-GB" w:eastAsia="en-GB"/>
        </w:rPr>
        <mc:AlternateContent>
          <mc:Choice Requires="wps">
            <w:drawing>
              <wp:anchor distT="45720" distB="45720" distL="114300" distR="114300" simplePos="0" relativeHeight="251652096" behindDoc="0" locked="0" layoutInCell="1" allowOverlap="1" wp14:anchorId="452A5320" wp14:editId="271DAB36">
                <wp:simplePos x="0" y="0"/>
                <wp:positionH relativeFrom="column">
                  <wp:posOffset>2981551</wp:posOffset>
                </wp:positionH>
                <wp:positionV relativeFrom="paragraph">
                  <wp:posOffset>2114116</wp:posOffset>
                </wp:positionV>
                <wp:extent cx="2003729"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729" cy="1404620"/>
                        </a:xfrm>
                        <a:prstGeom prst="rect">
                          <a:avLst/>
                        </a:prstGeom>
                        <a:noFill/>
                        <a:ln w="9525">
                          <a:noFill/>
                          <a:miter lim="800000"/>
                          <a:headEnd/>
                          <a:tailEnd/>
                        </a:ln>
                      </wps:spPr>
                      <wps:txbx>
                        <w:txbxContent>
                          <w:p w14:paraId="527B7B27" w14:textId="74D1B091" w:rsidR="00857477" w:rsidRPr="007D38D2" w:rsidRDefault="00857477" w:rsidP="007D38D2">
                            <w:pPr>
                              <w:jc w:val="center"/>
                              <w:rPr>
                                <w:rStyle w:val="amprcharBoldBlue"/>
                                <w:color w:val="FFFFFF" w:themeColor="background1"/>
                                <w:sz w:val="28"/>
                              </w:rPr>
                            </w:pPr>
                            <w:r>
                              <w:rPr>
                                <w:rStyle w:val="amprcharBoldBlue"/>
                                <w:color w:val="FFFFFF" w:themeColor="background1"/>
                                <w:sz w:val="28"/>
                              </w:rPr>
                              <w:t>MFK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2A5320" id="_x0000_s1043" type="#_x0000_t202" style="position:absolute;left:0;text-align:left;margin-left:234.75pt;margin-top:166.45pt;width:157.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" filled="f" stroked="f">
                <v:textbox style="mso-fit-shape-to-text:t">
                  <w:txbxContent>
                    <w:p w14:paraId="527B7B27" w14:textId="74D1B091" w:rsidR="00857477" w:rsidRPr="007D38D2" w:rsidRDefault="00857477" w:rsidP="007D38D2">
                      <w:pPr>
                        <w:jc w:val="center"/>
                        <w:rPr>
                          <w:rStyle w:val="amprcharBoldBlue"/>
                          <w:color w:val="FFFFFF" w:themeColor="background1"/>
                          <w:sz w:val="28"/>
                        </w:rPr>
                      </w:pPr>
                      <w:r>
                        <w:rPr>
                          <w:rStyle w:val="amprcharBoldBlue"/>
                          <w:color w:val="FFFFFF" w:themeColor="background1"/>
                          <w:sz w:val="28"/>
                        </w:rPr>
                        <w:t>MFK</w:t>
                      </w:r>
                    </w:p>
                  </w:txbxContent>
                </v:textbox>
              </v:shape>
            </w:pict>
          </mc:Fallback>
        </mc:AlternateContent>
      </w:r>
      <w:r>
        <w:rPr>
          <w:rStyle w:val="amprcharBoldBlue"/>
          <w:noProof/>
          <w:lang w:val="en-GB" w:eastAsia="en-GB"/>
        </w:rPr>
        <w:drawing>
          <wp:inline distT="0" distB="0" distL="0" distR="0" wp14:anchorId="628EFF98" wp14:editId="383DF75B">
            <wp:extent cx="5462270" cy="3456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2270" cy="3456940"/>
                    </a:xfrm>
                    <a:prstGeom prst="rect">
                      <a:avLst/>
                    </a:prstGeom>
                    <a:noFill/>
                  </pic:spPr>
                </pic:pic>
              </a:graphicData>
            </a:graphic>
          </wp:inline>
        </w:drawing>
      </w:r>
    </w:p>
    <w:p w14:paraId="0BDB57EC" w14:textId="77777777" w:rsidR="00D66606" w:rsidRPr="007E3223" w:rsidRDefault="00D66606" w:rsidP="009F63E4">
      <w:pPr>
        <w:pStyle w:val="amprH2TITLE1-Numbered-1"/>
        <w:rPr>
          <w:noProof/>
        </w:rPr>
      </w:pPr>
      <w:bookmarkStart w:id="60" w:name="_Toc107422053"/>
      <w:r>
        <w:rPr>
          <w:noProof/>
        </w:rPr>
        <w:t>Prognose van instromen van de EU-begroting 2023-2027</w:t>
      </w:r>
      <w:bookmarkEnd w:id="60"/>
    </w:p>
    <w:p w14:paraId="78C8BCC4" w14:textId="182AFA0C" w:rsidR="00D66606" w:rsidRPr="00A225DB" w:rsidRDefault="00D66606" w:rsidP="00D66606">
      <w:pPr>
        <w:spacing w:after="120" w:line="276" w:lineRule="auto"/>
        <w:jc w:val="both"/>
        <w:rPr>
          <w:noProof/>
        </w:rPr>
      </w:pPr>
      <w:r>
        <w:rPr>
          <w:noProof/>
        </w:rPr>
        <w:t>De EU-begroting wordt gefinancierd met eigen middelen en andere ontvangsten. Bovendien kan de Unie middelen lenen om NextGenerationEU te financieren. De Commissie mobiliseert de middelen via verrichtingen op de internationale kapitaalmarkten, overeenkomstig de financieringsbehoeften van de uitgavenprogramma’s van NextGenerationEU (zie punt 2.4). Daartoe hanteert de Commissie een gediversifieerde financieringsstrategie</w:t>
      </w:r>
      <w:r>
        <w:rPr>
          <w:rStyle w:val="EndnoteReference"/>
          <w:noProof/>
        </w:rPr>
        <w:endnoteReference w:id="25"/>
      </w:r>
      <w:r>
        <w:rPr>
          <w:noProof/>
        </w:rPr>
        <w:t xml:space="preserve"> en publiceert zij in het kader van deze strategie jaarlijkse leningsbesluiten en halfjaarlijkse financieringsplannen. In de huidige prognose ligt de nadruk op de inkomsten die nodig zijn om de begrotingsuitgaven in het kader van het MFK te financieren.</w:t>
      </w:r>
    </w:p>
    <w:p w14:paraId="47FEA8B5" w14:textId="77777777" w:rsidR="00D66606" w:rsidRPr="00A225DB" w:rsidRDefault="00D66606" w:rsidP="00D66606">
      <w:pPr>
        <w:spacing w:after="120" w:line="276" w:lineRule="auto"/>
        <w:jc w:val="both"/>
        <w:rPr>
          <w:noProof/>
        </w:rPr>
      </w:pPr>
      <w:r>
        <w:rPr>
          <w:noProof/>
        </w:rPr>
        <w:t>Het totale bedrag aan eigen middelen dat nodig is om de begroting te financieren, wordt bepaald door de totale uitgaven minus overige inkomsten. Hieruit volgt dat de prognose van de begrotingsontvangsten van de EU in 2023-2027 gebaseerd is op het principe dat uitgaven gekoppeld moeten zijn aan ontvangsten; de totale ontvangsten staan dus gelijk aan de totale uitgaven.</w:t>
      </w:r>
    </w:p>
    <w:p w14:paraId="0F9B0B30" w14:textId="43C761CC" w:rsidR="00D66606" w:rsidRPr="00A225DB" w:rsidRDefault="00D66606" w:rsidP="00D66606">
      <w:pPr>
        <w:spacing w:after="120" w:line="276" w:lineRule="auto"/>
        <w:jc w:val="both"/>
        <w:rPr>
          <w:noProof/>
        </w:rPr>
      </w:pPr>
      <w:r>
        <w:rPr>
          <w:noProof/>
        </w:rPr>
        <w:t>Sinds 2021 heeft het Verenigd Koninkrijk, in overeenstemming met het terugtrekkingsakkoord (deel V), bijgedragen aan de EU-begroting met betrekking tot uitstaande vastleggingen van vorige meerjarige financiële kaders. Dit omvat de RAL aan het einde van 2020 alsook de pensioenen en andere in de financiële afwikkeling vastgelegde verantwoordelijkheden. De bijdrage van het Verenigd Koninkrijk vormt “overige ontvangsten” van de EU-begroting en maakt geen deel uit van de eigen middelen van de EU. Zij zal geleidelijk wegvallen naarmate de nog betaalbaar te stellen vastleggingen worden voldaan.</w:t>
      </w:r>
    </w:p>
    <w:p w14:paraId="4A08E556" w14:textId="77777777" w:rsidR="00D66606" w:rsidRPr="00A225DB" w:rsidRDefault="00D66606" w:rsidP="00D66606">
      <w:pPr>
        <w:spacing w:after="120" w:line="276" w:lineRule="auto"/>
        <w:jc w:val="both"/>
        <w:rPr>
          <w:noProof/>
        </w:rPr>
      </w:pPr>
      <w:r>
        <w:rPr>
          <w:noProof/>
        </w:rPr>
        <w:t>Overige diverse elementen die niet tot de eigen middelen van de EU behoren, worden verondersteld nominaal constant te blijven op het niveau van de ontwerpbegroting van 2023.</w:t>
      </w:r>
    </w:p>
    <w:p w14:paraId="5252F739" w14:textId="1AE1BFF9" w:rsidR="00D66606" w:rsidRPr="00A225DB" w:rsidRDefault="00D66606" w:rsidP="00D66606">
      <w:pPr>
        <w:spacing w:after="120" w:line="276" w:lineRule="auto"/>
        <w:jc w:val="both"/>
        <w:rPr>
          <w:noProof/>
        </w:rPr>
      </w:pPr>
      <w:r>
        <w:rPr>
          <w:noProof/>
        </w:rPr>
        <w:t>De overblijvende financiering — nationale bijdragen en douanerechten — vormt het grootste deel van de inkomsten die nodig zijn om de begrotingsuitgaven in evenwicht te houden. De geraamde ontvangsten zijn gebaseerd op de parameters van het eigenmiddelenbesluit 2020, waarmee een nieuw eigen middel op basis van niet-gerecycled kunststof verpakkingsafval werd ingevoerd. In de voorspellingen zijn verder de verfijnde op btw gebaseerde eigen middelen opgenomen, alsook het hogere percentage dat lidstaten op douanerechten inhouden om hun inningskosten te dekken. Deze houden geen rekening met de voorstellen van de Commissie inzake nieuwe eigen middelen van 22 december 2021</w:t>
      </w:r>
      <w:r>
        <w:rPr>
          <w:rStyle w:val="EndnoteReference"/>
          <w:noProof/>
          <w:lang w:eastAsia="ko-KR"/>
        </w:rPr>
        <w:endnoteReference w:id="26"/>
      </w:r>
      <w:r>
        <w:rPr>
          <w:noProof/>
        </w:rPr>
        <w:t>. Dit geldt ook voor toekomstige voorstellen die de Commissie heeft toegezegd te zullen indienen in overeenstemming met het Interinstitutioneel Akkoord (IIA)</w:t>
      </w:r>
      <w:r>
        <w:rPr>
          <w:rStyle w:val="EndnoteReference"/>
          <w:noProof/>
          <w:lang w:eastAsia="ko-KR"/>
        </w:rPr>
        <w:endnoteReference w:id="27"/>
      </w:r>
      <w:r>
        <w:rPr>
          <w:noProof/>
        </w:rPr>
        <w:t>.</w:t>
      </w:r>
    </w:p>
    <w:p w14:paraId="275DAEC6" w14:textId="28EA488F" w:rsidR="00F45E8C" w:rsidRDefault="00D66606" w:rsidP="00D66606">
      <w:pPr>
        <w:spacing w:after="120" w:line="276" w:lineRule="auto"/>
        <w:jc w:val="both"/>
        <w:rPr>
          <w:noProof/>
        </w:rPr>
      </w:pPr>
      <w:r>
        <w:rPr>
          <w:noProof/>
        </w:rPr>
        <w:t>Als gemiddelde voor de periode 2023-2027 worden de nationale bijdragen geraamd op 146 miljard EUR per jaar, of 0,8 % van het bruto nationaal inkomen (BNI) van de EU. De ontwikkeling van nationale bijdragen tijdens de prognoseperiode wordt hoofdzakelijk bepaald door de uitgavencyclus en de uitfasering van de bijdrage van het Verenigd Koninkrijk. Van 2025 tot 2027 zullen de nationale bijdragen blijven toenemen door stijgende uitgaven als gevolg van de nieuwe programma’s die op kruissnelheid komen en de uitfasering van de bijdrage van het Verenigd Koninkrijk aan de RAL.</w:t>
      </w:r>
    </w:p>
    <w:p w14:paraId="3EEE6BE4" w14:textId="77777777" w:rsidR="00F45E8C" w:rsidRDefault="00F45E8C">
      <w:pPr>
        <w:rPr>
          <w:noProof/>
        </w:rPr>
      </w:pPr>
      <w:r>
        <w:rPr>
          <w:noProof/>
        </w:rPr>
        <w:br w:type="page"/>
      </w:r>
    </w:p>
    <w:p w14:paraId="398E734E" w14:textId="77777777" w:rsidR="00791D78" w:rsidRDefault="00791D78" w:rsidP="00D66606">
      <w:pPr>
        <w:spacing w:after="120" w:line="276" w:lineRule="auto"/>
        <w:jc w:val="both"/>
        <w:rPr>
          <w:noProof/>
        </w:rPr>
      </w:pPr>
    </w:p>
    <w:p w14:paraId="78D341BB" w14:textId="0ADB0BEC" w:rsidR="009F63E4" w:rsidRDefault="00D66606" w:rsidP="009F63E4">
      <w:pPr>
        <w:spacing w:after="120" w:line="276" w:lineRule="auto"/>
        <w:jc w:val="both"/>
        <w:rPr>
          <w:rStyle w:val="amprcharBoldBlue"/>
          <w:noProof/>
        </w:rPr>
      </w:pPr>
      <w:r>
        <w:rPr>
          <w:rStyle w:val="amprcharBoldBlue"/>
          <w:noProof/>
        </w:rPr>
        <w:t>Grafiek 5 – Inkomstenprognose voor financiering van het MFK 2023-2027 (in miljard EUR)</w:t>
      </w:r>
    </w:p>
    <w:p w14:paraId="60979369" w14:textId="285D7706" w:rsidR="002E1AE4" w:rsidRPr="001E65D8" w:rsidRDefault="008217C3" w:rsidP="001E65D8">
      <w:pPr>
        <w:spacing w:after="120" w:line="276" w:lineRule="auto"/>
        <w:jc w:val="both"/>
        <w:rPr>
          <w:b/>
          <w:noProof/>
          <w:color w:val="215E94" w:themeColor="text2"/>
          <w:spacing w:val="1"/>
        </w:rPr>
      </w:pPr>
      <w:r>
        <w:rPr>
          <w:noProof/>
          <w:lang w:val="en-GB" w:eastAsia="en-GB"/>
        </w:rPr>
        <mc:AlternateContent>
          <mc:Choice Requires="wpg">
            <w:drawing>
              <wp:anchor distT="0" distB="0" distL="114300" distR="114300" simplePos="0" relativeHeight="251668480" behindDoc="0" locked="0" layoutInCell="1" allowOverlap="1" wp14:anchorId="35340496" wp14:editId="51729F3C">
                <wp:simplePos x="0" y="0"/>
                <wp:positionH relativeFrom="column">
                  <wp:posOffset>4631947</wp:posOffset>
                </wp:positionH>
                <wp:positionV relativeFrom="paragraph">
                  <wp:posOffset>242948</wp:posOffset>
                </wp:positionV>
                <wp:extent cx="2001795" cy="2733314"/>
                <wp:effectExtent l="0" t="0" r="0" b="0"/>
                <wp:wrapNone/>
                <wp:docPr id="199" name="Group 199"/>
                <wp:cNvGraphicFramePr/>
                <a:graphic xmlns:a="http://schemas.openxmlformats.org/drawingml/2006/main">
                  <a:graphicData uri="http://schemas.microsoft.com/office/word/2010/wordprocessingGroup">
                    <wpg:wgp>
                      <wpg:cNvGrpSpPr/>
                      <wpg:grpSpPr>
                        <a:xfrm>
                          <a:off x="0" y="0"/>
                          <a:ext cx="2001795" cy="2733314"/>
                          <a:chOff x="0" y="199291"/>
                          <a:chExt cx="2001795" cy="2361595"/>
                        </a:xfrm>
                      </wpg:grpSpPr>
                      <wps:wsp>
                        <wps:cNvPr id="194" name="Text Box 2"/>
                        <wps:cNvSpPr txBox="1">
                          <a:spLocks noChangeArrowheads="1"/>
                        </wps:cNvSpPr>
                        <wps:spPr bwMode="auto">
                          <a:xfrm>
                            <a:off x="0" y="199291"/>
                            <a:ext cx="2001795" cy="369038"/>
                          </a:xfrm>
                          <a:prstGeom prst="rect">
                            <a:avLst/>
                          </a:prstGeom>
                          <a:noFill/>
                          <a:ln w="9525">
                            <a:noFill/>
                            <a:miter lim="800000"/>
                            <a:headEnd/>
                            <a:tailEnd/>
                          </a:ln>
                        </wps:spPr>
                        <wps:txbx>
                          <w:txbxContent>
                            <w:p w14:paraId="7FFFBF8C" w14:textId="7B1699A0" w:rsidR="00857477" w:rsidRPr="008217C3" w:rsidRDefault="00857477" w:rsidP="001E65D8">
                              <w:pPr>
                                <w:spacing w:before="0" w:after="0"/>
                                <w:rPr>
                                  <w:i/>
                                  <w:color w:val="808080" w:themeColor="background1" w:themeShade="80"/>
                                </w:rPr>
                              </w:pPr>
                              <w:r>
                                <w:rPr>
                                  <w:i/>
                                  <w:color w:val="808080" w:themeColor="background1" w:themeShade="80"/>
                                </w:rPr>
                                <w:t>Maximum van de eigen middelen 2,00 % BNI</w:t>
                              </w:r>
                            </w:p>
                          </w:txbxContent>
                        </wps:txbx>
                        <wps:bodyPr rot="0" vert="horz" wrap="square" lIns="91440" tIns="45720" rIns="91440" bIns="45720" anchor="ctr" anchorCtr="0">
                          <a:noAutofit/>
                        </wps:bodyPr>
                      </wps:wsp>
                      <wps:wsp>
                        <wps:cNvPr id="195" name="Text Box 2"/>
                        <wps:cNvSpPr txBox="1">
                          <a:spLocks noChangeArrowheads="1"/>
                        </wps:cNvSpPr>
                        <wps:spPr bwMode="auto">
                          <a:xfrm>
                            <a:off x="0" y="716639"/>
                            <a:ext cx="2001795" cy="372342"/>
                          </a:xfrm>
                          <a:prstGeom prst="rect">
                            <a:avLst/>
                          </a:prstGeom>
                          <a:noFill/>
                          <a:ln w="9525">
                            <a:noFill/>
                            <a:miter lim="800000"/>
                            <a:headEnd/>
                            <a:tailEnd/>
                          </a:ln>
                        </wps:spPr>
                        <wps:txbx>
                          <w:txbxContent>
                            <w:p w14:paraId="0664BD4D" w14:textId="5A0B382C" w:rsidR="00857477" w:rsidRPr="008217C3" w:rsidRDefault="00857477" w:rsidP="001E65D8">
                              <w:pPr>
                                <w:spacing w:before="0" w:after="0"/>
                                <w:rPr>
                                  <w:i/>
                                  <w:color w:val="808080" w:themeColor="background1" w:themeShade="80"/>
                                </w:rPr>
                              </w:pPr>
                              <w:r>
                                <w:rPr>
                                  <w:i/>
                                  <w:color w:val="808080" w:themeColor="background1" w:themeShade="80"/>
                                </w:rPr>
                                <w:t>Maximum van de eigen middelen 1,40 % BNI</w:t>
                              </w:r>
                            </w:p>
                          </w:txbxContent>
                        </wps:txbx>
                        <wps:bodyPr rot="0" vert="horz" wrap="square" lIns="91440" tIns="45720" rIns="91440" bIns="45720" anchor="ctr" anchorCtr="0">
                          <a:noAutofit/>
                        </wps:bodyPr>
                      </wps:wsp>
                      <wps:wsp>
                        <wps:cNvPr id="196" name="Text Box 2"/>
                        <wps:cNvSpPr txBox="1">
                          <a:spLocks noChangeArrowheads="1"/>
                        </wps:cNvSpPr>
                        <wps:spPr bwMode="auto">
                          <a:xfrm>
                            <a:off x="0" y="1318054"/>
                            <a:ext cx="2001795" cy="568411"/>
                          </a:xfrm>
                          <a:prstGeom prst="rect">
                            <a:avLst/>
                          </a:prstGeom>
                          <a:noFill/>
                          <a:ln w="9525">
                            <a:noFill/>
                            <a:miter lim="800000"/>
                            <a:headEnd/>
                            <a:tailEnd/>
                          </a:ln>
                        </wps:spPr>
                        <wps:txbx>
                          <w:txbxContent>
                            <w:p w14:paraId="43310347" w14:textId="50ED9472" w:rsidR="00857477" w:rsidRPr="008217C3" w:rsidRDefault="00857477" w:rsidP="008217C3">
                              <w:pPr>
                                <w:rPr>
                                  <w:b/>
                                  <w:color w:val="215E94"/>
                                </w:rPr>
                              </w:pPr>
                              <w:r>
                                <w:rPr>
                                  <w:b/>
                                  <w:color w:val="215E94"/>
                                </w:rPr>
                                <w:t>Nationale bijdragen</w:t>
                              </w:r>
                            </w:p>
                          </w:txbxContent>
                        </wps:txbx>
                        <wps:bodyPr rot="0" vert="horz" wrap="square" lIns="91440" tIns="45720" rIns="91440" bIns="45720" anchor="ctr" anchorCtr="0">
                          <a:noAutofit/>
                        </wps:bodyPr>
                      </wps:wsp>
                      <wps:wsp>
                        <wps:cNvPr id="197" name="Text Box 2"/>
                        <wps:cNvSpPr txBox="1">
                          <a:spLocks noChangeArrowheads="1"/>
                        </wps:cNvSpPr>
                        <wps:spPr bwMode="auto">
                          <a:xfrm>
                            <a:off x="0" y="2150075"/>
                            <a:ext cx="2001520" cy="237867"/>
                          </a:xfrm>
                          <a:prstGeom prst="rect">
                            <a:avLst/>
                          </a:prstGeom>
                          <a:noFill/>
                          <a:ln w="9525">
                            <a:noFill/>
                            <a:miter lim="800000"/>
                            <a:headEnd/>
                            <a:tailEnd/>
                          </a:ln>
                        </wps:spPr>
                        <wps:txbx>
                          <w:txbxContent>
                            <w:p w14:paraId="3F600376" w14:textId="726D9283" w:rsidR="00857477" w:rsidRPr="008217C3" w:rsidRDefault="00857477" w:rsidP="008217C3">
                              <w:pPr>
                                <w:spacing w:before="0" w:after="0"/>
                                <w:rPr>
                                  <w:b/>
                                  <w:color w:val="C56829"/>
                                  <w:sz w:val="18"/>
                                </w:rPr>
                              </w:pPr>
                              <w:r>
                                <w:rPr>
                                  <w:b/>
                                  <w:color w:val="C56829"/>
                                  <w:sz w:val="18"/>
                                </w:rPr>
                                <w:t>Traditionele eigen middelen (netto)</w:t>
                              </w:r>
                            </w:p>
                          </w:txbxContent>
                        </wps:txbx>
                        <wps:bodyPr rot="0" vert="horz" wrap="square" lIns="91440" tIns="45720" rIns="91440" bIns="45720" anchor="ctr" anchorCtr="0">
                          <a:noAutofit/>
                        </wps:bodyPr>
                      </wps:wsp>
                      <wps:wsp>
                        <wps:cNvPr id="198" name="Text Box 2"/>
                        <wps:cNvSpPr txBox="1">
                          <a:spLocks noChangeArrowheads="1"/>
                        </wps:cNvSpPr>
                        <wps:spPr bwMode="auto">
                          <a:xfrm>
                            <a:off x="0" y="2339546"/>
                            <a:ext cx="2001795" cy="221340"/>
                          </a:xfrm>
                          <a:prstGeom prst="rect">
                            <a:avLst/>
                          </a:prstGeom>
                          <a:noFill/>
                          <a:ln w="9525">
                            <a:noFill/>
                            <a:miter lim="800000"/>
                            <a:headEnd/>
                            <a:tailEnd/>
                          </a:ln>
                        </wps:spPr>
                        <wps:txbx>
                          <w:txbxContent>
                            <w:p w14:paraId="1729FDCD" w14:textId="65FD2AD3" w:rsidR="00857477" w:rsidRPr="008217C3" w:rsidRDefault="00857477" w:rsidP="008217C3">
                              <w:pPr>
                                <w:spacing w:before="0" w:after="0"/>
                                <w:rPr>
                                  <w:b/>
                                  <w:color w:val="109146"/>
                                  <w:sz w:val="18"/>
                                </w:rPr>
                              </w:pPr>
                              <w:r>
                                <w:rPr>
                                  <w:b/>
                                  <w:color w:val="109146"/>
                                  <w:sz w:val="18"/>
                                </w:rPr>
                                <w:t>Overige ontvangsten</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5340496" id="Group 199" o:spid="_x0000_s1044" style="position:absolute;left:0;text-align:left;margin-left:364.7pt;margin-top:19.15pt;width:157.6pt;height:215.2pt;z-index:251668480;mso-height-relative:margin" coordorigin=",1992" coordsize="20017,2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">
                <v:shape id="_x0000_s1045" type="#_x0000_t202" style="position:absolute;top:1992;width:20017;height:3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HewgAAANwAAAAPAAAAZHJzL2Rvd25yZXYueG1sRE/dasIw&#10;FL4f7B3CGexmzNQh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DKL4HewgAAANwAAAAPAAAA&#10;AAAAAAAAAAAAAAcCAABkcnMvZG93bnJldi54bWxQSwUGAAAAAAMAAwC3AAAA9gIAAAAA&#10;" filled="f" stroked="f">
                  <v:textbox>
                    <w:txbxContent>
                      <w:p w14:paraId="7FFFBF8C" w14:textId="7B1699A0" w:rsidR="00857477" w:rsidRPr="008217C3" w:rsidRDefault="00857477" w:rsidP="001E65D8">
                        <w:pPr>
                          <w:spacing w:before="0" w:after="0"/>
                          <w:rPr>
                            <w:i/>
                            <w:color w:val="808080" w:themeColor="background1" w:themeShade="80"/>
                          </w:rPr>
                        </w:pPr>
                        <w:r>
                          <w:rPr>
                            <w:i/>
                            <w:color w:val="808080" w:themeColor="background1" w:themeShade="80"/>
                          </w:rPr>
                          <w:t>Maximum van de eigen middelen 2,00 % BNI</w:t>
                        </w:r>
                      </w:p>
                    </w:txbxContent>
                  </v:textbox>
                </v:shape>
                <v:shape id="_x0000_s1046" type="#_x0000_t202" style="position:absolute;top:7166;width:20017;height:3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RFwgAAANwAAAAPAAAAZHJzL2Rvd25yZXYueG1sRE/dasIw&#10;FL4f7B3CGexmzNSB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ClYyRFwgAAANwAAAAPAAAA&#10;AAAAAAAAAAAAAAcCAABkcnMvZG93bnJldi54bWxQSwUGAAAAAAMAAwC3AAAA9gIAAAAA&#10;" filled="f" stroked="f">
                  <v:textbox>
                    <w:txbxContent>
                      <w:p w14:paraId="0664BD4D" w14:textId="5A0B382C" w:rsidR="00857477" w:rsidRPr="008217C3" w:rsidRDefault="00857477" w:rsidP="001E65D8">
                        <w:pPr>
                          <w:spacing w:before="0" w:after="0"/>
                          <w:rPr>
                            <w:i/>
                            <w:color w:val="808080" w:themeColor="background1" w:themeShade="80"/>
                          </w:rPr>
                        </w:pPr>
                        <w:r>
                          <w:rPr>
                            <w:i/>
                            <w:color w:val="808080" w:themeColor="background1" w:themeShade="80"/>
                          </w:rPr>
                          <w:t>Maximum van de eigen middelen 1,40 % BNI</w:t>
                        </w:r>
                      </w:p>
                    </w:txbxContent>
                  </v:textbox>
                </v:shape>
                <v:shape id="_x0000_s1047" type="#_x0000_t202" style="position:absolute;top:13180;width:20017;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" filled="f" stroked="f">
                  <v:textbox>
                    <w:txbxContent>
                      <w:p w14:paraId="43310347" w14:textId="50ED9472" w:rsidR="00857477" w:rsidRPr="008217C3" w:rsidRDefault="00857477" w:rsidP="008217C3">
                        <w:pPr>
                          <w:rPr>
                            <w:b/>
                            <w:color w:val="215E94"/>
                          </w:rPr>
                        </w:pPr>
                        <w:r>
                          <w:rPr>
                            <w:b/>
                            <w:color w:val="215E94"/>
                          </w:rPr>
                          <w:t>Nationale bijdragen</w:t>
                        </w:r>
                      </w:p>
                    </w:txbxContent>
                  </v:textbox>
                </v:shape>
                <v:shape id="_x0000_s1048" type="#_x0000_t202" style="position:absolute;top:21500;width:20015;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" filled="f" stroked="f">
                  <v:textbox>
                    <w:txbxContent>
                      <w:p w14:paraId="3F600376" w14:textId="726D9283" w:rsidR="00857477" w:rsidRPr="008217C3" w:rsidRDefault="00857477" w:rsidP="008217C3">
                        <w:pPr>
                          <w:spacing w:before="0" w:after="0"/>
                          <w:rPr>
                            <w:b/>
                            <w:color w:val="C56829"/>
                            <w:sz w:val="18"/>
                          </w:rPr>
                        </w:pPr>
                        <w:r>
                          <w:rPr>
                            <w:b/>
                            <w:color w:val="C56829"/>
                            <w:sz w:val="18"/>
                          </w:rPr>
                          <w:t>Traditionele eigen middelen (netto)</w:t>
                        </w:r>
                      </w:p>
                    </w:txbxContent>
                  </v:textbox>
                </v:shape>
                <v:shape id="_x0000_s1049" type="#_x0000_t202" style="position:absolute;top:23395;width:20017;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" filled="f" stroked="f">
                  <v:textbox>
                    <w:txbxContent>
                      <w:p w14:paraId="1729FDCD" w14:textId="65FD2AD3" w:rsidR="00857477" w:rsidRPr="008217C3" w:rsidRDefault="00857477" w:rsidP="008217C3">
                        <w:pPr>
                          <w:spacing w:before="0" w:after="0"/>
                          <w:rPr>
                            <w:b/>
                            <w:color w:val="109146"/>
                            <w:sz w:val="18"/>
                          </w:rPr>
                        </w:pPr>
                        <w:r>
                          <w:rPr>
                            <w:b/>
                            <w:color w:val="109146"/>
                            <w:sz w:val="18"/>
                          </w:rPr>
                          <w:t>Overige ontvangsten</w:t>
                        </w:r>
                      </w:p>
                    </w:txbxContent>
                  </v:textbox>
                </v:shape>
              </v:group>
            </w:pict>
          </mc:Fallback>
        </mc:AlternateContent>
      </w:r>
      <w:r>
        <w:rPr>
          <w:rStyle w:val="amprcharBoldBlue"/>
          <w:noProof/>
          <w:lang w:val="en-GB" w:eastAsia="en-GB"/>
        </w:rPr>
        <w:drawing>
          <wp:inline distT="0" distB="0" distL="0" distR="0" wp14:anchorId="01199D5D" wp14:editId="72B0701F">
            <wp:extent cx="4834255" cy="315785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4255" cy="3157855"/>
                    </a:xfrm>
                    <a:prstGeom prst="rect">
                      <a:avLst/>
                    </a:prstGeom>
                    <a:noFill/>
                  </pic:spPr>
                </pic:pic>
              </a:graphicData>
            </a:graphic>
          </wp:inline>
        </w:drawing>
      </w:r>
      <w:r>
        <w:rPr>
          <w:noProof/>
          <w:color w:val="FF0000"/>
          <w:highlight w:val="yellow"/>
          <w:shd w:val="clear" w:color="auto" w:fill="E6E6E6"/>
        </w:rPr>
        <w:t xml:space="preserve"> </w:t>
      </w:r>
    </w:p>
    <w:p w14:paraId="22FBAD09" w14:textId="7D3075A3" w:rsidR="00D66606" w:rsidRPr="00A225DB" w:rsidRDefault="00D66606" w:rsidP="00D66606">
      <w:pPr>
        <w:spacing w:after="120" w:line="276" w:lineRule="auto"/>
        <w:jc w:val="both"/>
        <w:rPr>
          <w:noProof/>
        </w:rPr>
      </w:pPr>
      <w:r>
        <w:rPr>
          <w:noProof/>
        </w:rPr>
        <w:t>In een willekeurig jaar mag het totaal van de eigen middelen die de EU heeft verzameld niet hoger liggen dan het maximum van de eigen middelen dat in het eigenmiddelenbesluit is vastgesteld</w:t>
      </w:r>
      <w:r>
        <w:rPr>
          <w:rStyle w:val="EndnoteReference"/>
          <w:noProof/>
        </w:rPr>
        <w:endnoteReference w:id="28"/>
      </w:r>
      <w:r>
        <w:rPr>
          <w:noProof/>
        </w:rPr>
        <w:t>, ofwel 1,40 % van het BNI van de EU-lidstaten, met een bijkomende tijdelijke toename van 0,6 % van het BNI van de EU voor het dekken van alle verantwoordelijkheden van de EU voor op de kapitaalmarkten afgesloten leningen om NextGenerationEU te financieren. Hoewel de eigen middelen naar verwachting tot 2027 gestaag zullen toenemen, zal de beschikbare marge binnen het maximum van de eigen middelen (de zogenaamde “marge”) naar verwachting grotendeels stabiel blijven, aangezien het bruto nationaal inkomen van de Unie in de loop van de referentieperiode naar verwachting geleidelijk zal toenemen</w:t>
      </w:r>
      <w:r>
        <w:rPr>
          <w:rStyle w:val="EndnoteReference"/>
          <w:noProof/>
        </w:rPr>
        <w:endnoteReference w:id="29"/>
      </w:r>
      <w:r>
        <w:rPr>
          <w:noProof/>
        </w:rPr>
        <w:t xml:space="preserve">. De marge bedraagt gemiddeld 187 miljard EUR over de periode, waarvan 104 miljard EUR voor de verhoging van NextGenerationEU. </w:t>
      </w:r>
    </w:p>
    <w:p w14:paraId="2C29EB24" w14:textId="1FA3A031" w:rsidR="00D66606" w:rsidRDefault="00D66606" w:rsidP="00D66606">
      <w:pPr>
        <w:spacing w:after="120" w:line="276" w:lineRule="auto"/>
        <w:jc w:val="both"/>
        <w:rPr>
          <w:noProof/>
        </w:rPr>
      </w:pPr>
      <w:r>
        <w:rPr>
          <w:noProof/>
        </w:rPr>
        <w:t>De EU-begroting voorziet in de betalingen van interesten op de geleende middelen die in het kader van NextGenerationEU aan niet-terugbetaalbare steun zijn toegewezen sinds de leningen in 2021 van start gingen. De eigen middelen die nodig zijn om die kosten te financieren, worden opgenomen in de tijdelijke toename van 0,6 % van het BNI van de EU van het maximum van de eigen middelen. Voor de periode 2021-2027 is in totaal 14,7 miljard EUR gepland om de kosten van NextGenerationEU te financieren</w:t>
      </w:r>
      <w:r>
        <w:rPr>
          <w:noProof/>
          <w:vertAlign w:val="superscript"/>
        </w:rPr>
        <w:endnoteReference w:id="30"/>
      </w:r>
      <w:r>
        <w:rPr>
          <w:noProof/>
        </w:rPr>
        <w:t>. De geplande kosten worden naar achteren verschoven zodat de progressieve uitrol van leningen wordt weerspiegeld. Tegelijkertijd zijn er onzekerheden met betrekking tot de financieringskosten van NGEU in het licht van de snelle en aanzienlijke stijging van de rentetarieven op de financiële markten sinds december 2021.</w:t>
      </w:r>
      <w:bookmarkStart w:id="61" w:name="_Toc71745280"/>
      <w:bookmarkStart w:id="62" w:name="_Toc524523073"/>
      <w:bookmarkEnd w:id="61"/>
    </w:p>
    <w:p w14:paraId="5F2E98BF" w14:textId="77777777" w:rsidR="00D66606" w:rsidRPr="009F63E4" w:rsidRDefault="00D66606" w:rsidP="009F63E4">
      <w:pPr>
        <w:pStyle w:val="amprH2TITLE1-Numbered-1"/>
        <w:rPr>
          <w:noProof/>
        </w:rPr>
      </w:pPr>
      <w:bookmarkStart w:id="63" w:name="_Toc107422054"/>
      <w:r>
        <w:rPr>
          <w:noProof/>
        </w:rPr>
        <w:t>Conclusies</w:t>
      </w:r>
      <w:bookmarkEnd w:id="62"/>
      <w:bookmarkEnd w:id="63"/>
    </w:p>
    <w:p w14:paraId="19A6BAF8" w14:textId="751D1ADB" w:rsidR="00D66606" w:rsidRDefault="00D66606" w:rsidP="00D66606">
      <w:pPr>
        <w:spacing w:after="120" w:line="276" w:lineRule="auto"/>
        <w:jc w:val="both"/>
        <w:rPr>
          <w:noProof/>
        </w:rPr>
      </w:pPr>
      <w:r>
        <w:rPr>
          <w:rStyle w:val="amprcharBoldBlue"/>
          <w:noProof/>
        </w:rPr>
        <w:t>De huidige prognose is opgesteld in een context van grote onzekerheid als gevolg van de oorlog in Oekraïne.</w:t>
      </w:r>
      <w:r>
        <w:rPr>
          <w:noProof/>
        </w:rPr>
        <w:t xml:space="preserve"> De reeds voorgestelde initiatieven ter ondersteuning van de lidstaten en specifieke sectoren werken volledige absorptie en versnelde betalingen voor lopende programma’s in de hand. Dankzij externe financieringsinstrumenten komt er meer financiering beschikbaar voor Oekraïne en de naburige partnerlanden. De vraag zal naar verwachting hoog blijven, hetgeen impliceert dat er voorschotbetalingen uit de relevante EU-begrotingsinstrumenten zullen worden verricht, zoals weerspiegeld in de prognoses. </w:t>
      </w:r>
    </w:p>
    <w:p w14:paraId="66954B32" w14:textId="74598029" w:rsidR="00D66606" w:rsidRDefault="00D66606" w:rsidP="00D66606">
      <w:pPr>
        <w:spacing w:after="120" w:line="276" w:lineRule="auto"/>
        <w:jc w:val="both"/>
        <w:rPr>
          <w:noProof/>
        </w:rPr>
      </w:pPr>
      <w:r>
        <w:rPr>
          <w:rStyle w:val="amprcharBoldBlue"/>
          <w:noProof/>
        </w:rPr>
        <w:t>Het MFK-betalingsmaximum blijft toereikend om de geraamde betalingen in elk van de komende vijf jaar te dekken dankzij de MFK-mechanismen voor automatische aanpassing</w:t>
      </w:r>
      <w:r>
        <w:rPr>
          <w:noProof/>
        </w:rPr>
        <w:t>, met name de mogelijkheid om ongebruikte bedragen over te schrijven aan het einde van de periode, wanneer de behoeften hun hoogtepunt zullen bereiken. De nettomarge over de periode 2023-2027 bedraagt echter ruwweg EUR 1,3 miljard. De omvang ervan zal nauwlettend in het oog moeten worden gehouden, met name om de potentiële effecten van nieuwe beleidsinitiatieven of van een verdere versnelling van de betalingen voor lopende programma’s te meten.</w:t>
      </w:r>
    </w:p>
    <w:p w14:paraId="449619A4" w14:textId="76E900C1" w:rsidR="003A1CCD" w:rsidRDefault="003A1CCD" w:rsidP="00D66606">
      <w:pPr>
        <w:spacing w:after="120" w:line="276" w:lineRule="auto"/>
        <w:jc w:val="both"/>
        <w:rPr>
          <w:noProof/>
        </w:rPr>
      </w:pPr>
      <w:r>
        <w:rPr>
          <w:rStyle w:val="amprcharBoldBlue"/>
          <w:noProof/>
        </w:rPr>
        <w:t>Hoewel de voltooiing van de lopende programma’s is gevorderd, heeft de late goedkeuring van het wetgevingspakket van het MFK 2021-2027 als gevolg van de COVID-19-pandemie geleid tot meer vertragingen bij aanvang van het MFK en grotere risico’s van vrijmaking</w:t>
      </w:r>
      <w:r>
        <w:rPr>
          <w:b/>
          <w:noProof/>
        </w:rPr>
        <w:t xml:space="preserve"> </w:t>
      </w:r>
      <w:r>
        <w:rPr>
          <w:noProof/>
        </w:rPr>
        <w:t>dan eerder was verwacht voor de meeste nieuwe programma’s onder gedeeld beheer. Dit verschuift betalingsbehoeften naar de resterende looptijd van het MFK. Een ander gevolg is het grotere risico dat middelen verloren gaan in de latere jaren van de programmeringsperiode als gevolg van automatische vrijmakingen indien de lidstaten zich geen inspanningen getroosten om de initiële vertragingen ongedaan te maken, te beginnen vanaf de eerste jaren van de daadwerkelijke uitvoering.</w:t>
      </w:r>
    </w:p>
    <w:p w14:paraId="0872BC19" w14:textId="77777777" w:rsidR="00D66606" w:rsidRDefault="00D66606" w:rsidP="00D66606">
      <w:pPr>
        <w:spacing w:after="120" w:line="276" w:lineRule="auto"/>
        <w:jc w:val="both"/>
        <w:rPr>
          <w:noProof/>
        </w:rPr>
      </w:pPr>
      <w:r>
        <w:rPr>
          <w:rStyle w:val="amprcharBoldBlue"/>
          <w:noProof/>
        </w:rPr>
        <w:t>Dankzij de steun van NextGenerationEU voor investeringen en hervormingen zal de EU-begroting de komende jaren centraal blijven staan in het Europees economisch herstel na COVID-19</w:t>
      </w:r>
      <w:r>
        <w:rPr>
          <w:noProof/>
        </w:rPr>
        <w:t>, wanneer de vorige MFK-programma’s aflopen en voordat de nieuwe programma’s op kruissnelheid komen</w:t>
      </w:r>
      <w:r>
        <w:rPr>
          <w:b/>
          <w:noProof/>
        </w:rPr>
        <w:t>.</w:t>
      </w:r>
      <w:r>
        <w:rPr>
          <w:noProof/>
        </w:rPr>
        <w:t xml:space="preserve"> De noodzaak om NextGenerationEU-middelen vóór de uiterste uitbetalingstermijn in 2026 aan te wenden, kan nadelig uitpakken voor het vermogen van de lidstaten om extra inspanningen te leveren om de start van de nieuwe programmeringsperiode voor middelen onder gedeeld beheer in het kader van het MFK te versnellen.</w:t>
      </w:r>
    </w:p>
    <w:p w14:paraId="34A6B305" w14:textId="77777777" w:rsidR="00D66606" w:rsidRPr="007C50BD" w:rsidRDefault="00D66606" w:rsidP="00D66606">
      <w:pPr>
        <w:spacing w:after="120" w:line="276" w:lineRule="auto"/>
        <w:jc w:val="both"/>
        <w:rPr>
          <w:noProof/>
        </w:rPr>
      </w:pPr>
      <w:r>
        <w:rPr>
          <w:rStyle w:val="amprcharBoldBlue"/>
          <w:noProof/>
        </w:rPr>
        <w:t>NextGenerationEU zal ook een tijdelijk effect hebben op het niveau van uitstaande vastleggingen van de EU</w:t>
      </w:r>
      <w:r>
        <w:rPr>
          <w:noProof/>
        </w:rPr>
        <w:t>, die eind 2023 een piek zullen bereiken en vervolgens tegen eind 2027 geleidelijk zullen terugkeren naar niveaus die vergelijkbaar zijn met het begin van de MFK-periode. Hoewel de RAL aan het eind van het MFK nominaal stijgt ten opzichte van 2023, valt de RAL gemeten als percentage van het bruto nationaal inkomen van de EU lager uit, hetgeen aantoont dat de nominale groei van de economie van de EU opweegt tegen de accumulatie van uitstaande vastleggingen uit de EU-begroting.</w:t>
      </w:r>
    </w:p>
    <w:p w14:paraId="26A9934F" w14:textId="2DFD7AAC" w:rsidR="00862C30" w:rsidRDefault="00D66606" w:rsidP="00862C30">
      <w:pPr>
        <w:spacing w:after="120" w:line="276" w:lineRule="auto"/>
        <w:jc w:val="both"/>
        <w:rPr>
          <w:noProof/>
        </w:rPr>
      </w:pPr>
      <w:r>
        <w:rPr>
          <w:rStyle w:val="amprcharBoldBlue"/>
          <w:noProof/>
        </w:rPr>
        <w:t>De geraamde ontvangsten (meestal eigen middelen van de EU) die nodig zijn om de begroting te financieren, zullen gestaag toenemen in overeenstemming met de MFK-uitgaven</w:t>
      </w:r>
      <w:r>
        <w:rPr>
          <w:noProof/>
        </w:rPr>
        <w:t>. De omvang van de beschikbare marge binnen het maximum van de eigen middelen (de “marge”) zal echter relatief stabiel blijven, aangezien de toenemende inkomstenbehoeften overeenkomen met de verwachte nominale groei van de EU-economie.</w:t>
      </w:r>
    </w:p>
    <w:p w14:paraId="2ED560C2" w14:textId="77777777" w:rsidR="00862C30" w:rsidRDefault="00862C30" w:rsidP="00862C30">
      <w:pPr>
        <w:spacing w:after="120" w:line="276" w:lineRule="auto"/>
        <w:jc w:val="both"/>
        <w:rPr>
          <w:noProof/>
        </w:rPr>
        <w:sectPr w:rsidR="00862C30" w:rsidSect="00D66606">
          <w:headerReference w:type="even" r:id="rId24"/>
          <w:headerReference w:type="default" r:id="rId25"/>
          <w:footerReference w:type="even" r:id="rId26"/>
          <w:footerReference w:type="default" r:id="rId27"/>
          <w:headerReference w:type="first" r:id="rId28"/>
          <w:footerReference w:type="first" r:id="rId29"/>
          <w:pgSz w:w="11906" w:h="16838"/>
          <w:pgMar w:top="1321" w:right="1151" w:bottom="1440" w:left="1151" w:header="720" w:footer="720" w:gutter="0"/>
          <w:pgNumType w:start="1"/>
          <w:cols w:space="720"/>
          <w:docGrid w:linePitch="326"/>
        </w:sectPr>
      </w:pPr>
    </w:p>
    <w:p w14:paraId="41A964E0" w14:textId="7ED3D567" w:rsidR="00B37D8F" w:rsidRPr="0078468D" w:rsidRDefault="00D66606" w:rsidP="002D2B32">
      <w:pPr>
        <w:pStyle w:val="amprH2TITLE1"/>
        <w:rPr>
          <w:noProof/>
          <w:color w:val="FF0000"/>
        </w:rPr>
      </w:pPr>
      <w:bookmarkStart w:id="64" w:name="_Toc107422055"/>
      <w:bookmarkStart w:id="65" w:name="_Toc524523074"/>
      <w:bookmarkEnd w:id="56"/>
      <w:r>
        <w:rPr>
          <w:noProof/>
          <w:color w:val="109146" w:themeColor="accent1"/>
        </w:rPr>
        <w:t>Bijlage I — Resultaten van de prognose*</w:t>
      </w:r>
      <w:bookmarkEnd w:id="64"/>
    </w:p>
    <w:bookmarkEnd w:id="65"/>
    <w:p w14:paraId="16DE3CA3" w14:textId="5C460399" w:rsidR="00B37D8F" w:rsidRPr="00F86C66" w:rsidRDefault="001E65D8" w:rsidP="00782CFE">
      <w:pPr>
        <w:pStyle w:val="amprH3Title2"/>
        <w:jc w:val="both"/>
        <w:outlineLvl w:val="9"/>
        <w:rPr>
          <w:b w:val="0"/>
          <w:i/>
          <w:noProof/>
        </w:rPr>
      </w:pPr>
      <w:r>
        <w:rPr>
          <w:b w:val="0"/>
          <w:i/>
          <w:noProof/>
          <w:color w:val="auto"/>
          <w:sz w:val="20"/>
        </w:rPr>
        <w:t>* Alle waarden zijn uitgedrukt in miljarden euro’s, lopende prijzen, tenzij anders aangegeven.</w:t>
      </w:r>
      <w:r>
        <w:rPr>
          <w:i/>
          <w:noProof/>
        </w:rPr>
        <w:t xml:space="preserve"> </w:t>
      </w:r>
      <w:r>
        <w:rPr>
          <w:b w:val="0"/>
          <w:i/>
          <w:noProof/>
          <w:color w:val="auto"/>
          <w:sz w:val="20"/>
        </w:rPr>
        <w:t>Door het afronden klopt het totaal mogelijk niet exact.</w:t>
      </w:r>
    </w:p>
    <w:p w14:paraId="5CBF3403" w14:textId="6FAE902F" w:rsidR="00D66606" w:rsidRPr="0078468D" w:rsidRDefault="00D66606" w:rsidP="0078468D">
      <w:pPr>
        <w:pStyle w:val="Heading2"/>
        <w:tabs>
          <w:tab w:val="num" w:pos="0"/>
        </w:tabs>
        <w:spacing w:before="240" w:after="120"/>
        <w:rPr>
          <w:noProof/>
          <w:spacing w:val="-10"/>
        </w:rPr>
      </w:pPr>
      <w:bookmarkStart w:id="66" w:name="_Toc107422056"/>
      <w:r>
        <w:rPr>
          <w:noProof/>
        </w:rPr>
        <w:t xml:space="preserve">Tabel </w:t>
      </w:r>
      <w:r w:rsidR="00F45E8C">
        <w:rPr>
          <w:noProof/>
        </w:rPr>
        <w:fldChar w:fldCharType="begin"/>
      </w:r>
      <w:r w:rsidR="00F45E8C">
        <w:rPr>
          <w:noProof/>
        </w:rPr>
        <w:instrText xml:space="preserve"> SEQ Table \* ARABIC </w:instrText>
      </w:r>
      <w:r w:rsidR="00F45E8C">
        <w:rPr>
          <w:noProof/>
        </w:rPr>
        <w:fldChar w:fldCharType="separate"/>
      </w:r>
      <w:r>
        <w:rPr>
          <w:noProof/>
        </w:rPr>
        <w:t>1</w:t>
      </w:r>
      <w:r w:rsidR="00F45E8C">
        <w:rPr>
          <w:noProof/>
        </w:rPr>
        <w:fldChar w:fldCharType="end"/>
      </w:r>
      <w:r>
        <w:rPr>
          <w:noProof/>
        </w:rPr>
        <w:t>.1 — Langetermijnprognose voor toekomstige uitstromen in 2023-2027 voor het MFK</w:t>
      </w:r>
      <w:bookmarkEnd w:id="66"/>
    </w:p>
    <w:tbl>
      <w:tblPr>
        <w:tblStyle w:val="AMPR2021"/>
        <w:tblW w:w="9750" w:type="dxa"/>
        <w:tblLayout w:type="fixed"/>
        <w:tblLook w:val="06A0" w:firstRow="1" w:lastRow="0" w:firstColumn="1" w:lastColumn="0" w:noHBand="1" w:noVBand="1"/>
      </w:tblPr>
      <w:tblGrid>
        <w:gridCol w:w="3288"/>
        <w:gridCol w:w="1077"/>
        <w:gridCol w:w="1077"/>
        <w:gridCol w:w="1077"/>
        <w:gridCol w:w="1077"/>
        <w:gridCol w:w="1077"/>
        <w:gridCol w:w="1077"/>
      </w:tblGrid>
      <w:tr w:rsidR="00D66606" w:rsidRPr="0091354A" w14:paraId="14A16EA2" w14:textId="77777777" w:rsidTr="00D255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8" w:type="dxa"/>
          </w:tcPr>
          <w:p w14:paraId="2E3B4B88" w14:textId="77777777" w:rsidR="00D66606" w:rsidRPr="0091354A" w:rsidRDefault="00D66606" w:rsidP="00D66606">
            <w:pPr>
              <w:rPr>
                <w:rFonts w:eastAsia="Calibri"/>
                <w:noProof/>
                <w:sz w:val="22"/>
                <w:szCs w:val="18"/>
              </w:rPr>
            </w:pPr>
            <w:r>
              <w:rPr>
                <w:noProof/>
                <w:sz w:val="22"/>
              </w:rPr>
              <w:t>Jaar</w:t>
            </w:r>
          </w:p>
        </w:tc>
        <w:tc>
          <w:tcPr>
            <w:tcW w:w="1077" w:type="dxa"/>
          </w:tcPr>
          <w:p w14:paraId="33CD5E39"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2023</w:t>
            </w:r>
          </w:p>
        </w:tc>
        <w:tc>
          <w:tcPr>
            <w:tcW w:w="1077" w:type="dxa"/>
          </w:tcPr>
          <w:p w14:paraId="68A484ED"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2024</w:t>
            </w:r>
          </w:p>
        </w:tc>
        <w:tc>
          <w:tcPr>
            <w:tcW w:w="1077" w:type="dxa"/>
          </w:tcPr>
          <w:p w14:paraId="0A8C583C"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2025</w:t>
            </w:r>
          </w:p>
        </w:tc>
        <w:tc>
          <w:tcPr>
            <w:tcW w:w="1077" w:type="dxa"/>
          </w:tcPr>
          <w:p w14:paraId="4521AAFF"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2026</w:t>
            </w:r>
          </w:p>
        </w:tc>
        <w:tc>
          <w:tcPr>
            <w:tcW w:w="1077" w:type="dxa"/>
          </w:tcPr>
          <w:p w14:paraId="37A9D121"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2027</w:t>
            </w:r>
          </w:p>
        </w:tc>
        <w:tc>
          <w:tcPr>
            <w:tcW w:w="1077" w:type="dxa"/>
          </w:tcPr>
          <w:p w14:paraId="08C8A653"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Totaal</w:t>
            </w:r>
          </w:p>
        </w:tc>
      </w:tr>
      <w:tr w:rsidR="00CF607C" w:rsidRPr="0091354A" w14:paraId="531011E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101E0456" w14:textId="77777777" w:rsidR="00CF607C" w:rsidRPr="0091354A" w:rsidRDefault="00CF607C" w:rsidP="00CF607C">
            <w:pPr>
              <w:spacing w:after="120"/>
              <w:rPr>
                <w:rFonts w:eastAsia="Calibri"/>
                <w:bCs/>
                <w:i/>
                <w:noProof/>
                <w:sz w:val="22"/>
                <w:szCs w:val="18"/>
              </w:rPr>
            </w:pPr>
            <w:r>
              <w:rPr>
                <w:i/>
                <w:noProof/>
                <w:sz w:val="22"/>
              </w:rPr>
              <w:t>Vastleggingsmaximum</w:t>
            </w:r>
          </w:p>
        </w:tc>
        <w:tc>
          <w:tcPr>
            <w:tcW w:w="1077" w:type="dxa"/>
            <w:vAlign w:val="center"/>
          </w:tcPr>
          <w:p w14:paraId="6A9915A8" w14:textId="40D5442A"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182,7</w:t>
            </w:r>
          </w:p>
        </w:tc>
        <w:tc>
          <w:tcPr>
            <w:tcW w:w="1077" w:type="dxa"/>
            <w:vAlign w:val="center"/>
          </w:tcPr>
          <w:p w14:paraId="0DE0B3A3" w14:textId="50A4D5E0"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184,3</w:t>
            </w:r>
          </w:p>
        </w:tc>
        <w:tc>
          <w:tcPr>
            <w:tcW w:w="1077" w:type="dxa"/>
            <w:vAlign w:val="center"/>
          </w:tcPr>
          <w:p w14:paraId="00583362" w14:textId="5EADCB50"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187,9</w:t>
            </w:r>
          </w:p>
        </w:tc>
        <w:tc>
          <w:tcPr>
            <w:tcW w:w="1077" w:type="dxa"/>
            <w:vAlign w:val="center"/>
          </w:tcPr>
          <w:p w14:paraId="52B7EECC" w14:textId="4C5DAD34"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179,7</w:t>
            </w:r>
          </w:p>
        </w:tc>
        <w:tc>
          <w:tcPr>
            <w:tcW w:w="1077" w:type="dxa"/>
            <w:vAlign w:val="center"/>
          </w:tcPr>
          <w:p w14:paraId="7550EACA" w14:textId="40CA885F"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185,4</w:t>
            </w:r>
          </w:p>
        </w:tc>
        <w:tc>
          <w:tcPr>
            <w:tcW w:w="1077" w:type="dxa"/>
            <w:vAlign w:val="center"/>
          </w:tcPr>
          <w:p w14:paraId="3C4C3813" w14:textId="34DE6E3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b/>
                <w:i/>
                <w:noProof/>
                <w:sz w:val="22"/>
              </w:rPr>
              <w:t>919,9</w:t>
            </w:r>
          </w:p>
        </w:tc>
      </w:tr>
      <w:tr w:rsidR="00CF607C" w:rsidRPr="0091354A" w14:paraId="186252CA"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2A8CE048" w14:textId="77777777" w:rsidR="00CF607C" w:rsidRPr="0091354A" w:rsidRDefault="00CF607C" w:rsidP="00CF607C">
            <w:pPr>
              <w:spacing w:after="120"/>
              <w:rPr>
                <w:rFonts w:eastAsia="Calibri"/>
                <w:bCs/>
                <w:i/>
                <w:noProof/>
                <w:sz w:val="22"/>
                <w:szCs w:val="18"/>
              </w:rPr>
            </w:pPr>
            <w:r>
              <w:rPr>
                <w:i/>
                <w:noProof/>
                <w:sz w:val="22"/>
              </w:rPr>
              <w:t>Betalingsmaximum</w:t>
            </w:r>
          </w:p>
        </w:tc>
        <w:tc>
          <w:tcPr>
            <w:tcW w:w="1077" w:type="dxa"/>
            <w:vAlign w:val="center"/>
          </w:tcPr>
          <w:p w14:paraId="7984F78E" w14:textId="5438102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168,6</w:t>
            </w:r>
          </w:p>
        </w:tc>
        <w:tc>
          <w:tcPr>
            <w:tcW w:w="1077" w:type="dxa"/>
            <w:vAlign w:val="center"/>
          </w:tcPr>
          <w:p w14:paraId="7D19F4C6" w14:textId="05D1450D"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168,9</w:t>
            </w:r>
          </w:p>
        </w:tc>
        <w:tc>
          <w:tcPr>
            <w:tcW w:w="1077" w:type="dxa"/>
            <w:vAlign w:val="center"/>
          </w:tcPr>
          <w:p w14:paraId="67D0493D" w14:textId="4852A7C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172,2</w:t>
            </w:r>
          </w:p>
        </w:tc>
        <w:tc>
          <w:tcPr>
            <w:tcW w:w="1077" w:type="dxa"/>
            <w:vAlign w:val="center"/>
          </w:tcPr>
          <w:p w14:paraId="3C9685FF" w14:textId="25FACBD8"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175,7</w:t>
            </w:r>
          </w:p>
        </w:tc>
        <w:tc>
          <w:tcPr>
            <w:tcW w:w="1077" w:type="dxa"/>
            <w:vAlign w:val="center"/>
          </w:tcPr>
          <w:p w14:paraId="759F637F" w14:textId="216AD571"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i/>
                <w:noProof/>
                <w:sz w:val="22"/>
              </w:rPr>
              <w:t>179,2</w:t>
            </w:r>
          </w:p>
        </w:tc>
        <w:tc>
          <w:tcPr>
            <w:tcW w:w="1077" w:type="dxa"/>
            <w:vAlign w:val="center"/>
          </w:tcPr>
          <w:p w14:paraId="7EB8F37F" w14:textId="1A8B1DD4"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bCs/>
                <w:i/>
                <w:noProof/>
                <w:color w:val="109146" w:themeColor="accent1"/>
                <w:sz w:val="22"/>
                <w:szCs w:val="18"/>
              </w:rPr>
            </w:pPr>
            <w:r>
              <w:rPr>
                <w:b/>
                <w:i/>
                <w:noProof/>
                <w:sz w:val="22"/>
              </w:rPr>
              <w:t>864,5</w:t>
            </w:r>
          </w:p>
        </w:tc>
      </w:tr>
      <w:tr w:rsidR="00CF607C" w:rsidRPr="0091354A" w14:paraId="00D009C4"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0F0EC868" w14:textId="1A47C8FE" w:rsidR="00CF607C" w:rsidRPr="0091354A" w:rsidRDefault="00CF607C" w:rsidP="00EF280A">
            <w:pPr>
              <w:spacing w:after="120"/>
              <w:rPr>
                <w:rFonts w:eastAsia="Calibri"/>
                <w:b w:val="0"/>
                <w:bCs/>
                <w:i/>
                <w:noProof/>
                <w:sz w:val="22"/>
                <w:szCs w:val="18"/>
              </w:rPr>
            </w:pPr>
            <w:r>
              <w:rPr>
                <w:b w:val="0"/>
                <w:i/>
                <w:noProof/>
              </w:rPr>
              <w:t>Aanvullende aanpassing voor artikel 5 van het MFK (raming voor toekomstige jaren)</w:t>
            </w:r>
          </w:p>
        </w:tc>
        <w:tc>
          <w:tcPr>
            <w:tcW w:w="1077" w:type="dxa"/>
            <w:vAlign w:val="center"/>
          </w:tcPr>
          <w:p w14:paraId="452AFA06" w14:textId="66041652"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0,0</w:t>
            </w:r>
          </w:p>
        </w:tc>
        <w:tc>
          <w:tcPr>
            <w:tcW w:w="1077" w:type="dxa"/>
            <w:vAlign w:val="center"/>
          </w:tcPr>
          <w:p w14:paraId="1CC69385" w14:textId="45D92C7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1,7</w:t>
            </w:r>
          </w:p>
        </w:tc>
        <w:tc>
          <w:tcPr>
            <w:tcW w:w="1077" w:type="dxa"/>
            <w:vAlign w:val="center"/>
          </w:tcPr>
          <w:p w14:paraId="091618E8" w14:textId="378CBC69"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1,7</w:t>
            </w:r>
          </w:p>
        </w:tc>
        <w:tc>
          <w:tcPr>
            <w:tcW w:w="1077" w:type="dxa"/>
            <w:vAlign w:val="center"/>
          </w:tcPr>
          <w:p w14:paraId="2FC6299D" w14:textId="2D24CB6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1,8</w:t>
            </w:r>
          </w:p>
        </w:tc>
        <w:tc>
          <w:tcPr>
            <w:tcW w:w="1077" w:type="dxa"/>
            <w:vAlign w:val="center"/>
          </w:tcPr>
          <w:p w14:paraId="603741C0" w14:textId="779D1925"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4,2</w:t>
            </w:r>
          </w:p>
        </w:tc>
        <w:tc>
          <w:tcPr>
            <w:tcW w:w="1077" w:type="dxa"/>
            <w:vAlign w:val="center"/>
          </w:tcPr>
          <w:p w14:paraId="42E25B29" w14:textId="60DA86A4"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Pr>
                <w:b/>
                <w:i/>
                <w:noProof/>
                <w:sz w:val="22"/>
              </w:rPr>
              <w:t>9,4</w:t>
            </w:r>
          </w:p>
        </w:tc>
      </w:tr>
      <w:tr w:rsidR="00CF607C" w:rsidRPr="0091354A" w14:paraId="40B8710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48135DD3" w14:textId="77777777" w:rsidR="00CF607C" w:rsidRPr="0091354A" w:rsidRDefault="00CF607C" w:rsidP="00CF607C">
            <w:pPr>
              <w:spacing w:after="120"/>
              <w:rPr>
                <w:rFonts w:eastAsia="Calibri"/>
                <w:b w:val="0"/>
                <w:bCs/>
                <w:noProof/>
                <w:sz w:val="22"/>
                <w:szCs w:val="18"/>
              </w:rPr>
            </w:pPr>
            <w:r>
              <w:rPr>
                <w:b w:val="0"/>
                <w:noProof/>
                <w:sz w:val="22"/>
              </w:rPr>
              <w:t>Vastleggingen (geprogrammeerd)*</w:t>
            </w:r>
          </w:p>
        </w:tc>
        <w:tc>
          <w:tcPr>
            <w:tcW w:w="1077" w:type="dxa"/>
            <w:vAlign w:val="center"/>
          </w:tcPr>
          <w:p w14:paraId="2A033548" w14:textId="3A6C387D"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185,7</w:t>
            </w:r>
          </w:p>
        </w:tc>
        <w:tc>
          <w:tcPr>
            <w:tcW w:w="1077" w:type="dxa"/>
            <w:vAlign w:val="center"/>
          </w:tcPr>
          <w:p w14:paraId="581FD0FD" w14:textId="64BFF75D"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187,4</w:t>
            </w:r>
          </w:p>
        </w:tc>
        <w:tc>
          <w:tcPr>
            <w:tcW w:w="1077" w:type="dxa"/>
            <w:vAlign w:val="center"/>
          </w:tcPr>
          <w:p w14:paraId="57A15ED6" w14:textId="33819077"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192,2</w:t>
            </w:r>
          </w:p>
        </w:tc>
        <w:tc>
          <w:tcPr>
            <w:tcW w:w="1077" w:type="dxa"/>
            <w:vAlign w:val="center"/>
          </w:tcPr>
          <w:p w14:paraId="64C02B48" w14:textId="0C8FEB5E"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183,0</w:t>
            </w:r>
          </w:p>
        </w:tc>
        <w:tc>
          <w:tcPr>
            <w:tcW w:w="1077" w:type="dxa"/>
            <w:vAlign w:val="center"/>
          </w:tcPr>
          <w:p w14:paraId="3B494671" w14:textId="0845293A"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191,0</w:t>
            </w:r>
          </w:p>
        </w:tc>
        <w:tc>
          <w:tcPr>
            <w:tcW w:w="1077" w:type="dxa"/>
            <w:vAlign w:val="center"/>
          </w:tcPr>
          <w:p w14:paraId="05203C5D" w14:textId="604B52C3"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Pr>
                <w:b/>
                <w:i/>
                <w:noProof/>
                <w:sz w:val="22"/>
              </w:rPr>
              <w:t>939,4</w:t>
            </w:r>
          </w:p>
        </w:tc>
      </w:tr>
      <w:tr w:rsidR="00CF607C" w:rsidRPr="0091354A" w14:paraId="22F0EAFD"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7ED62BE8" w14:textId="77777777" w:rsidR="00CF607C" w:rsidRPr="0091354A" w:rsidRDefault="00CF607C" w:rsidP="00CF607C">
            <w:pPr>
              <w:spacing w:after="120"/>
              <w:rPr>
                <w:rFonts w:eastAsia="Calibri"/>
                <w:b w:val="0"/>
                <w:bCs/>
                <w:noProof/>
                <w:sz w:val="22"/>
                <w:szCs w:val="18"/>
              </w:rPr>
            </w:pPr>
            <w:r>
              <w:rPr>
                <w:b w:val="0"/>
                <w:noProof/>
                <w:sz w:val="22"/>
              </w:rPr>
              <w:t>Geraamde betalingen*</w:t>
            </w:r>
          </w:p>
        </w:tc>
        <w:tc>
          <w:tcPr>
            <w:tcW w:w="1077" w:type="dxa"/>
            <w:vAlign w:val="center"/>
          </w:tcPr>
          <w:p w14:paraId="795F4CDA" w14:textId="44B2E1A0"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166,3</w:t>
            </w:r>
          </w:p>
        </w:tc>
        <w:tc>
          <w:tcPr>
            <w:tcW w:w="1077" w:type="dxa"/>
            <w:vAlign w:val="center"/>
          </w:tcPr>
          <w:p w14:paraId="581444D9" w14:textId="1D86885A"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158,0</w:t>
            </w:r>
          </w:p>
        </w:tc>
        <w:tc>
          <w:tcPr>
            <w:tcW w:w="1077" w:type="dxa"/>
            <w:vAlign w:val="center"/>
          </w:tcPr>
          <w:p w14:paraId="1CA22A33" w14:textId="4D299446"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176,3</w:t>
            </w:r>
          </w:p>
        </w:tc>
        <w:tc>
          <w:tcPr>
            <w:tcW w:w="1077" w:type="dxa"/>
            <w:vAlign w:val="center"/>
          </w:tcPr>
          <w:p w14:paraId="1439B98D" w14:textId="4F2A2861"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182,8</w:t>
            </w:r>
          </w:p>
        </w:tc>
        <w:tc>
          <w:tcPr>
            <w:tcW w:w="1077" w:type="dxa"/>
            <w:vAlign w:val="center"/>
          </w:tcPr>
          <w:p w14:paraId="05901398" w14:textId="1F5C011C"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193,9</w:t>
            </w:r>
          </w:p>
        </w:tc>
        <w:tc>
          <w:tcPr>
            <w:tcW w:w="1077" w:type="dxa"/>
            <w:vAlign w:val="center"/>
          </w:tcPr>
          <w:p w14:paraId="034C58A2" w14:textId="4EF680BA" w:rsidR="00CF607C" w:rsidRPr="0078468D" w:rsidRDefault="00D51975" w:rsidP="00C63499">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Pr>
                <w:b/>
                <w:i/>
                <w:noProof/>
                <w:sz w:val="22"/>
              </w:rPr>
              <w:t>877,3</w:t>
            </w:r>
          </w:p>
        </w:tc>
      </w:tr>
      <w:tr w:rsidR="00CF607C" w:rsidRPr="00CF607C" w14:paraId="65964239"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288" w:type="dxa"/>
          </w:tcPr>
          <w:p w14:paraId="0F739EDE" w14:textId="77777777" w:rsidR="00CF607C" w:rsidRPr="0091354A" w:rsidRDefault="00CF607C" w:rsidP="00CF607C">
            <w:pPr>
              <w:spacing w:after="120"/>
              <w:rPr>
                <w:rFonts w:eastAsia="Calibri"/>
                <w:b w:val="0"/>
                <w:bCs/>
                <w:noProof/>
                <w:sz w:val="22"/>
                <w:szCs w:val="18"/>
              </w:rPr>
            </w:pPr>
            <w:r>
              <w:rPr>
                <w:b w:val="0"/>
                <w:i/>
                <w:noProof/>
              </w:rPr>
              <w:t>waarvan Speciale Instrumenten**</w:t>
            </w:r>
          </w:p>
        </w:tc>
        <w:tc>
          <w:tcPr>
            <w:tcW w:w="1077" w:type="dxa"/>
            <w:vAlign w:val="center"/>
          </w:tcPr>
          <w:p w14:paraId="61A2628B" w14:textId="3E577F6F"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3,2</w:t>
            </w:r>
          </w:p>
        </w:tc>
        <w:tc>
          <w:tcPr>
            <w:tcW w:w="1077" w:type="dxa"/>
            <w:vAlign w:val="center"/>
          </w:tcPr>
          <w:p w14:paraId="2DAB5BAB" w14:textId="3DC08E9B"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0,1</w:t>
            </w:r>
          </w:p>
        </w:tc>
        <w:tc>
          <w:tcPr>
            <w:tcW w:w="1077" w:type="dxa"/>
            <w:vAlign w:val="center"/>
          </w:tcPr>
          <w:p w14:paraId="21E87B8D" w14:textId="1F2B9C8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1,2</w:t>
            </w:r>
          </w:p>
        </w:tc>
        <w:tc>
          <w:tcPr>
            <w:tcW w:w="1077" w:type="dxa"/>
            <w:vAlign w:val="center"/>
          </w:tcPr>
          <w:p w14:paraId="6ED88E30" w14:textId="67201D0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0,0</w:t>
            </w:r>
          </w:p>
        </w:tc>
        <w:tc>
          <w:tcPr>
            <w:tcW w:w="1077" w:type="dxa"/>
            <w:vAlign w:val="center"/>
          </w:tcPr>
          <w:p w14:paraId="04D3A999" w14:textId="5605EA9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i/>
                <w:noProof/>
                <w:color w:val="109146" w:themeColor="accent1"/>
              </w:rPr>
            </w:pPr>
            <w:r>
              <w:rPr>
                <w:i/>
                <w:noProof/>
              </w:rPr>
              <w:t>0,0</w:t>
            </w:r>
          </w:p>
        </w:tc>
        <w:tc>
          <w:tcPr>
            <w:tcW w:w="1077" w:type="dxa"/>
            <w:vAlign w:val="center"/>
          </w:tcPr>
          <w:p w14:paraId="471E0442" w14:textId="3C063970"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color w:val="109146" w:themeColor="accent1"/>
                <w:sz w:val="22"/>
                <w:szCs w:val="18"/>
              </w:rPr>
            </w:pPr>
            <w:r>
              <w:rPr>
                <w:b/>
                <w:i/>
                <w:noProof/>
                <w:sz w:val="22"/>
              </w:rPr>
              <w:t>4,6</w:t>
            </w:r>
          </w:p>
        </w:tc>
      </w:tr>
    </w:tbl>
    <w:p w14:paraId="50777446" w14:textId="77777777" w:rsidR="00D255FF" w:rsidRDefault="00D255FF" w:rsidP="00D66606">
      <w:pPr>
        <w:pStyle w:val="Heading2"/>
        <w:tabs>
          <w:tab w:val="num" w:pos="0"/>
        </w:tabs>
        <w:spacing w:before="240" w:after="120"/>
        <w:rPr>
          <w:noProof/>
        </w:rPr>
      </w:pPr>
      <w:r>
        <w:rPr>
          <w:noProof/>
        </w:rPr>
        <w:br w:type="page"/>
      </w:r>
    </w:p>
    <w:p w14:paraId="11B48D08" w14:textId="77777777" w:rsidR="00D66606" w:rsidRPr="00812A24" w:rsidRDefault="00D66606" w:rsidP="00D66606">
      <w:pPr>
        <w:pStyle w:val="Heading2"/>
        <w:tabs>
          <w:tab w:val="num" w:pos="0"/>
        </w:tabs>
        <w:spacing w:before="240" w:after="120"/>
        <w:rPr>
          <w:noProof/>
          <w:spacing w:val="-10"/>
        </w:rPr>
      </w:pPr>
      <w:bookmarkStart w:id="67" w:name="_Toc107422057"/>
      <w:r>
        <w:rPr>
          <w:noProof/>
        </w:rPr>
        <w:t xml:space="preserve">Tabel </w:t>
      </w:r>
      <w:r w:rsidR="00F45E8C">
        <w:rPr>
          <w:noProof/>
        </w:rPr>
        <w:fldChar w:fldCharType="begin"/>
      </w:r>
      <w:r w:rsidR="00F45E8C">
        <w:rPr>
          <w:noProof/>
        </w:rPr>
        <w:instrText xml:space="preserve"> SEQ Table \* ARABIC </w:instrText>
      </w:r>
      <w:r w:rsidR="00F45E8C">
        <w:rPr>
          <w:noProof/>
        </w:rPr>
        <w:fldChar w:fldCharType="separate"/>
      </w:r>
      <w:r>
        <w:rPr>
          <w:noProof/>
        </w:rPr>
        <w:t>1</w:t>
      </w:r>
      <w:r w:rsidR="00F45E8C">
        <w:rPr>
          <w:noProof/>
        </w:rPr>
        <w:fldChar w:fldCharType="end"/>
      </w:r>
      <w:r>
        <w:rPr>
          <w:noProof/>
        </w:rPr>
        <w:t>.2 — Betalingen in verband met de vastleggingen van het MFK 2021-2027</w:t>
      </w:r>
      <w:bookmarkEnd w:id="67"/>
    </w:p>
    <w:tbl>
      <w:tblPr>
        <w:tblStyle w:val="AMPR2021"/>
        <w:tblW w:w="0" w:type="auto"/>
        <w:tblLayout w:type="fixed"/>
        <w:tblCellMar>
          <w:left w:w="85" w:type="dxa"/>
        </w:tblCellMar>
        <w:tblLook w:val="06A0" w:firstRow="1" w:lastRow="0" w:firstColumn="1" w:lastColumn="0" w:noHBand="1" w:noVBand="1"/>
      </w:tblPr>
      <w:tblGrid>
        <w:gridCol w:w="3771"/>
        <w:gridCol w:w="986"/>
        <w:gridCol w:w="987"/>
        <w:gridCol w:w="986"/>
        <w:gridCol w:w="987"/>
        <w:gridCol w:w="986"/>
        <w:gridCol w:w="987"/>
      </w:tblGrid>
      <w:tr w:rsidR="00D66606" w:rsidRPr="0091354A" w14:paraId="1C8C40E8" w14:textId="77777777" w:rsidTr="005C3B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1" w:type="dxa"/>
          </w:tcPr>
          <w:p w14:paraId="56931916" w14:textId="77777777" w:rsidR="00D66606" w:rsidRPr="0091354A" w:rsidRDefault="00D66606" w:rsidP="00D66606">
            <w:pPr>
              <w:spacing w:after="120"/>
              <w:rPr>
                <w:rFonts w:eastAsia="Calibri"/>
                <w:b w:val="0"/>
                <w:bCs/>
                <w:noProof/>
                <w:sz w:val="22"/>
                <w:szCs w:val="18"/>
              </w:rPr>
            </w:pPr>
            <w:r>
              <w:rPr>
                <w:noProof/>
                <w:sz w:val="22"/>
              </w:rPr>
              <w:t>MFK-rubriek</w:t>
            </w:r>
          </w:p>
        </w:tc>
        <w:tc>
          <w:tcPr>
            <w:tcW w:w="986" w:type="dxa"/>
          </w:tcPr>
          <w:p w14:paraId="64364F23"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2023</w:t>
            </w:r>
          </w:p>
        </w:tc>
        <w:tc>
          <w:tcPr>
            <w:tcW w:w="987" w:type="dxa"/>
          </w:tcPr>
          <w:p w14:paraId="1286CC02"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2024</w:t>
            </w:r>
          </w:p>
        </w:tc>
        <w:tc>
          <w:tcPr>
            <w:tcW w:w="986" w:type="dxa"/>
          </w:tcPr>
          <w:p w14:paraId="584D177B"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2025</w:t>
            </w:r>
          </w:p>
        </w:tc>
        <w:tc>
          <w:tcPr>
            <w:tcW w:w="987" w:type="dxa"/>
          </w:tcPr>
          <w:p w14:paraId="208AB0B6"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2026</w:t>
            </w:r>
          </w:p>
        </w:tc>
        <w:tc>
          <w:tcPr>
            <w:tcW w:w="986" w:type="dxa"/>
          </w:tcPr>
          <w:p w14:paraId="03AA0698"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2027</w:t>
            </w:r>
          </w:p>
        </w:tc>
        <w:tc>
          <w:tcPr>
            <w:tcW w:w="987" w:type="dxa"/>
          </w:tcPr>
          <w:p w14:paraId="2CCBABD8" w14:textId="77777777" w:rsidR="00D66606" w:rsidRPr="0091354A" w:rsidRDefault="00D66606" w:rsidP="00D66606">
            <w:pPr>
              <w:spacing w:after="120"/>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Totaal</w:t>
            </w:r>
          </w:p>
        </w:tc>
      </w:tr>
      <w:tr w:rsidR="00CF607C" w:rsidRPr="0091354A" w14:paraId="42EEEF8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4BA2CA0A" w14:textId="77777777" w:rsidR="00CF607C" w:rsidRPr="003F3DAF" w:rsidRDefault="00CF607C" w:rsidP="00CF607C">
            <w:pPr>
              <w:spacing w:after="120"/>
              <w:rPr>
                <w:rFonts w:eastAsia="Calibri"/>
                <w:bCs/>
                <w:noProof/>
                <w:sz w:val="22"/>
                <w:szCs w:val="18"/>
              </w:rPr>
            </w:pPr>
            <w:r>
              <w:rPr>
                <w:noProof/>
                <w:sz w:val="22"/>
              </w:rPr>
              <w:t>1 Eengemaakte markt, innovatie en digitaal beleid</w:t>
            </w:r>
          </w:p>
        </w:tc>
        <w:tc>
          <w:tcPr>
            <w:tcW w:w="986" w:type="dxa"/>
            <w:vAlign w:val="center"/>
          </w:tcPr>
          <w:p w14:paraId="3F2DBF98" w14:textId="4EF7C8C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15,5</w:t>
            </w:r>
          </w:p>
        </w:tc>
        <w:tc>
          <w:tcPr>
            <w:tcW w:w="987" w:type="dxa"/>
            <w:vAlign w:val="center"/>
          </w:tcPr>
          <w:p w14:paraId="591BFB84" w14:textId="12DEBAF0"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18,2</w:t>
            </w:r>
          </w:p>
        </w:tc>
        <w:tc>
          <w:tcPr>
            <w:tcW w:w="986" w:type="dxa"/>
            <w:vAlign w:val="center"/>
          </w:tcPr>
          <w:p w14:paraId="218CD3DE" w14:textId="05B63C98"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21,0</w:t>
            </w:r>
          </w:p>
        </w:tc>
        <w:tc>
          <w:tcPr>
            <w:tcW w:w="987" w:type="dxa"/>
            <w:vAlign w:val="center"/>
          </w:tcPr>
          <w:p w14:paraId="32A8A81E" w14:textId="3B3F378F"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22,2</w:t>
            </w:r>
          </w:p>
        </w:tc>
        <w:tc>
          <w:tcPr>
            <w:tcW w:w="986" w:type="dxa"/>
            <w:vAlign w:val="center"/>
          </w:tcPr>
          <w:p w14:paraId="0B4650C8" w14:textId="03434677"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22,8</w:t>
            </w:r>
          </w:p>
        </w:tc>
        <w:tc>
          <w:tcPr>
            <w:tcW w:w="987" w:type="dxa"/>
            <w:vAlign w:val="center"/>
          </w:tcPr>
          <w:p w14:paraId="2395BFE1" w14:textId="46F2EAB8"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99,8</w:t>
            </w:r>
          </w:p>
        </w:tc>
      </w:tr>
      <w:tr w:rsidR="00CF607C" w:rsidRPr="0091354A" w14:paraId="37D3510C"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3690C1A" w14:textId="77777777" w:rsidR="00CF607C" w:rsidRPr="003F3DAF" w:rsidRDefault="00CF607C" w:rsidP="00CF607C">
            <w:pPr>
              <w:spacing w:after="120"/>
              <w:rPr>
                <w:rFonts w:eastAsia="Calibri"/>
                <w:bCs/>
                <w:noProof/>
                <w:sz w:val="22"/>
                <w:szCs w:val="18"/>
              </w:rPr>
            </w:pPr>
            <w:r>
              <w:rPr>
                <w:noProof/>
                <w:sz w:val="22"/>
              </w:rPr>
              <w:t>2 Cohesie, veerkracht en waarden</w:t>
            </w:r>
          </w:p>
        </w:tc>
        <w:tc>
          <w:tcPr>
            <w:tcW w:w="986" w:type="dxa"/>
            <w:vAlign w:val="center"/>
          </w:tcPr>
          <w:p w14:paraId="50022267" w14:textId="7023641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11,8</w:t>
            </w:r>
          </w:p>
        </w:tc>
        <w:tc>
          <w:tcPr>
            <w:tcW w:w="987" w:type="dxa"/>
            <w:vAlign w:val="center"/>
          </w:tcPr>
          <w:p w14:paraId="7CEEA4E7" w14:textId="18C4CA7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25,5</w:t>
            </w:r>
          </w:p>
        </w:tc>
        <w:tc>
          <w:tcPr>
            <w:tcW w:w="986" w:type="dxa"/>
            <w:vAlign w:val="center"/>
          </w:tcPr>
          <w:p w14:paraId="6A3929CD" w14:textId="5098CCF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53,3</w:t>
            </w:r>
          </w:p>
        </w:tc>
        <w:tc>
          <w:tcPr>
            <w:tcW w:w="987" w:type="dxa"/>
            <w:vAlign w:val="center"/>
          </w:tcPr>
          <w:p w14:paraId="2E058F4A" w14:textId="10FCECD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58,9</w:t>
            </w:r>
          </w:p>
        </w:tc>
        <w:tc>
          <w:tcPr>
            <w:tcW w:w="986" w:type="dxa"/>
            <w:vAlign w:val="center"/>
          </w:tcPr>
          <w:p w14:paraId="2656E05A" w14:textId="5217A3C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76,1</w:t>
            </w:r>
          </w:p>
        </w:tc>
        <w:tc>
          <w:tcPr>
            <w:tcW w:w="987" w:type="dxa"/>
            <w:vAlign w:val="center"/>
          </w:tcPr>
          <w:p w14:paraId="6DE9A7B2" w14:textId="6FF35D7D"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225,6</w:t>
            </w:r>
          </w:p>
        </w:tc>
      </w:tr>
      <w:tr w:rsidR="003F3DAF" w:rsidRPr="0091354A" w14:paraId="48645CD0"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43DCC20" w14:textId="77777777" w:rsidR="003F3DAF" w:rsidRPr="003F3DAF" w:rsidRDefault="003F3DAF" w:rsidP="00CF607C">
            <w:pPr>
              <w:spacing w:after="120"/>
              <w:rPr>
                <w:rFonts w:eastAsia="Calibri"/>
                <w:b w:val="0"/>
                <w:noProof/>
                <w:sz w:val="22"/>
                <w:szCs w:val="18"/>
              </w:rPr>
            </w:pPr>
            <w:r>
              <w:rPr>
                <w:b w:val="0"/>
                <w:noProof/>
                <w:sz w:val="22"/>
              </w:rPr>
              <w:t>2.1 Economische, sociale en territoriale cohesie</w:t>
            </w:r>
          </w:p>
        </w:tc>
        <w:tc>
          <w:tcPr>
            <w:tcW w:w="986" w:type="dxa"/>
            <w:vAlign w:val="center"/>
          </w:tcPr>
          <w:p w14:paraId="31CCE07C" w14:textId="66566DD5"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5,4</w:t>
            </w:r>
          </w:p>
        </w:tc>
        <w:tc>
          <w:tcPr>
            <w:tcW w:w="987" w:type="dxa"/>
            <w:vAlign w:val="center"/>
          </w:tcPr>
          <w:p w14:paraId="1BCCCE5D" w14:textId="1CC07419"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16,9</w:t>
            </w:r>
          </w:p>
        </w:tc>
        <w:tc>
          <w:tcPr>
            <w:tcW w:w="986" w:type="dxa"/>
            <w:vAlign w:val="center"/>
          </w:tcPr>
          <w:p w14:paraId="1B158D0B" w14:textId="1E32B641"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44,0</w:t>
            </w:r>
          </w:p>
        </w:tc>
        <w:tc>
          <w:tcPr>
            <w:tcW w:w="987" w:type="dxa"/>
            <w:vAlign w:val="center"/>
          </w:tcPr>
          <w:p w14:paraId="24D0AEDF" w14:textId="1A86A6EB"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48,1</w:t>
            </w:r>
          </w:p>
        </w:tc>
        <w:tc>
          <w:tcPr>
            <w:tcW w:w="986" w:type="dxa"/>
            <w:vAlign w:val="center"/>
          </w:tcPr>
          <w:p w14:paraId="74D16C9D" w14:textId="3ABE4DE7"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63,0</w:t>
            </w:r>
          </w:p>
        </w:tc>
        <w:tc>
          <w:tcPr>
            <w:tcW w:w="987" w:type="dxa"/>
            <w:vAlign w:val="center"/>
          </w:tcPr>
          <w:p w14:paraId="2140A771" w14:textId="31BF6A2A"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177,4</w:t>
            </w:r>
          </w:p>
        </w:tc>
      </w:tr>
      <w:tr w:rsidR="003F3DAF" w:rsidRPr="0091354A" w14:paraId="3B417026"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14A77891" w14:textId="77777777" w:rsidR="003F3DAF" w:rsidRPr="003F3DAF" w:rsidRDefault="003F3DAF" w:rsidP="00CF607C">
            <w:pPr>
              <w:spacing w:after="120"/>
              <w:rPr>
                <w:rFonts w:eastAsia="Calibri"/>
                <w:b w:val="0"/>
                <w:noProof/>
                <w:sz w:val="22"/>
                <w:szCs w:val="18"/>
              </w:rPr>
            </w:pPr>
            <w:r>
              <w:rPr>
                <w:b w:val="0"/>
                <w:noProof/>
                <w:sz w:val="22"/>
              </w:rPr>
              <w:t>2.2 Cohesie, veerkracht en waarden</w:t>
            </w:r>
          </w:p>
        </w:tc>
        <w:tc>
          <w:tcPr>
            <w:tcW w:w="986" w:type="dxa"/>
            <w:vAlign w:val="center"/>
          </w:tcPr>
          <w:p w14:paraId="77C92099" w14:textId="17589F88"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6,4</w:t>
            </w:r>
          </w:p>
        </w:tc>
        <w:tc>
          <w:tcPr>
            <w:tcW w:w="987" w:type="dxa"/>
            <w:vAlign w:val="center"/>
          </w:tcPr>
          <w:p w14:paraId="79F48A2F" w14:textId="44AC6D8C"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8,5</w:t>
            </w:r>
          </w:p>
        </w:tc>
        <w:tc>
          <w:tcPr>
            <w:tcW w:w="986" w:type="dxa"/>
            <w:vAlign w:val="center"/>
          </w:tcPr>
          <w:p w14:paraId="35662FFA" w14:textId="25F3629C"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9,3</w:t>
            </w:r>
          </w:p>
        </w:tc>
        <w:tc>
          <w:tcPr>
            <w:tcW w:w="987" w:type="dxa"/>
            <w:vAlign w:val="center"/>
          </w:tcPr>
          <w:p w14:paraId="2C4B49E3" w14:textId="051AD0D8"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10,8</w:t>
            </w:r>
          </w:p>
        </w:tc>
        <w:tc>
          <w:tcPr>
            <w:tcW w:w="986" w:type="dxa"/>
            <w:vAlign w:val="center"/>
          </w:tcPr>
          <w:p w14:paraId="5F5E488E" w14:textId="70CA9D99"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13,1</w:t>
            </w:r>
          </w:p>
        </w:tc>
        <w:tc>
          <w:tcPr>
            <w:tcW w:w="987" w:type="dxa"/>
            <w:vAlign w:val="center"/>
          </w:tcPr>
          <w:p w14:paraId="3F12472D" w14:textId="280CDA17"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48,2</w:t>
            </w:r>
          </w:p>
        </w:tc>
      </w:tr>
      <w:tr w:rsidR="00CF607C" w:rsidRPr="0091354A" w14:paraId="2051F0A3"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587843BC" w14:textId="77777777" w:rsidR="00CF607C" w:rsidRPr="003F3DAF" w:rsidRDefault="00CF607C" w:rsidP="00CF607C">
            <w:pPr>
              <w:spacing w:after="120"/>
              <w:rPr>
                <w:rFonts w:eastAsia="Calibri"/>
                <w:bCs/>
                <w:noProof/>
                <w:sz w:val="22"/>
                <w:szCs w:val="18"/>
              </w:rPr>
            </w:pPr>
            <w:r>
              <w:rPr>
                <w:noProof/>
                <w:sz w:val="22"/>
              </w:rPr>
              <w:t>3 Natuurlijke hulpbronnen en milieu</w:t>
            </w:r>
          </w:p>
        </w:tc>
        <w:tc>
          <w:tcPr>
            <w:tcW w:w="986" w:type="dxa"/>
            <w:vAlign w:val="center"/>
          </w:tcPr>
          <w:p w14:paraId="18CB6CA6" w14:textId="1017603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46,1</w:t>
            </w:r>
          </w:p>
        </w:tc>
        <w:tc>
          <w:tcPr>
            <w:tcW w:w="987" w:type="dxa"/>
            <w:vAlign w:val="center"/>
          </w:tcPr>
          <w:p w14:paraId="4F13DE9E" w14:textId="6BD34990"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56,1</w:t>
            </w:r>
          </w:p>
        </w:tc>
        <w:tc>
          <w:tcPr>
            <w:tcW w:w="986" w:type="dxa"/>
            <w:vAlign w:val="center"/>
          </w:tcPr>
          <w:p w14:paraId="485023B9" w14:textId="23BA17D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58,8</w:t>
            </w:r>
          </w:p>
        </w:tc>
        <w:tc>
          <w:tcPr>
            <w:tcW w:w="987" w:type="dxa"/>
            <w:vAlign w:val="center"/>
          </w:tcPr>
          <w:p w14:paraId="45773F42" w14:textId="3532718C"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61,0</w:t>
            </w:r>
          </w:p>
        </w:tc>
        <w:tc>
          <w:tcPr>
            <w:tcW w:w="986" w:type="dxa"/>
            <w:vAlign w:val="center"/>
          </w:tcPr>
          <w:p w14:paraId="0AC292A8" w14:textId="6B3ACFC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56,9</w:t>
            </w:r>
          </w:p>
        </w:tc>
        <w:tc>
          <w:tcPr>
            <w:tcW w:w="987" w:type="dxa"/>
            <w:vAlign w:val="center"/>
          </w:tcPr>
          <w:p w14:paraId="6580FC0A" w14:textId="4A42609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278,9</w:t>
            </w:r>
          </w:p>
        </w:tc>
      </w:tr>
      <w:tr w:rsidR="003F3DAF" w:rsidRPr="0091354A" w14:paraId="2FDE77D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DCEAF96" w14:textId="77777777" w:rsidR="003F3DAF" w:rsidRPr="003F3DAF" w:rsidRDefault="003F3DAF" w:rsidP="00CF607C">
            <w:pPr>
              <w:spacing w:after="120"/>
              <w:rPr>
                <w:rFonts w:eastAsia="Calibri"/>
                <w:b w:val="0"/>
                <w:noProof/>
                <w:sz w:val="22"/>
                <w:szCs w:val="18"/>
              </w:rPr>
            </w:pPr>
            <w:r>
              <w:rPr>
                <w:b w:val="0"/>
                <w:noProof/>
                <w:sz w:val="22"/>
              </w:rPr>
              <w:t>3.1 Marktgerelateerde uitgaven en rechtstreekse betalingen</w:t>
            </w:r>
          </w:p>
        </w:tc>
        <w:tc>
          <w:tcPr>
            <w:tcW w:w="986" w:type="dxa"/>
            <w:vAlign w:val="center"/>
          </w:tcPr>
          <w:p w14:paraId="2D32ED2E" w14:textId="6F810D9F"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40,7</w:t>
            </w:r>
          </w:p>
        </w:tc>
        <w:tc>
          <w:tcPr>
            <w:tcW w:w="987" w:type="dxa"/>
            <w:vAlign w:val="center"/>
          </w:tcPr>
          <w:p w14:paraId="15C1C678" w14:textId="44F47B81"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41,6</w:t>
            </w:r>
          </w:p>
        </w:tc>
        <w:tc>
          <w:tcPr>
            <w:tcW w:w="986" w:type="dxa"/>
            <w:vAlign w:val="center"/>
          </w:tcPr>
          <w:p w14:paraId="45E7AB61" w14:textId="7232EFAF"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41,8</w:t>
            </w:r>
          </w:p>
        </w:tc>
        <w:tc>
          <w:tcPr>
            <w:tcW w:w="987" w:type="dxa"/>
            <w:vAlign w:val="center"/>
          </w:tcPr>
          <w:p w14:paraId="63A69482" w14:textId="2721F507"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41,9</w:t>
            </w:r>
          </w:p>
        </w:tc>
        <w:tc>
          <w:tcPr>
            <w:tcW w:w="986" w:type="dxa"/>
            <w:vAlign w:val="center"/>
          </w:tcPr>
          <w:p w14:paraId="089C2B21" w14:textId="5CC1C91C"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42,0</w:t>
            </w:r>
          </w:p>
        </w:tc>
        <w:tc>
          <w:tcPr>
            <w:tcW w:w="987" w:type="dxa"/>
            <w:vAlign w:val="center"/>
          </w:tcPr>
          <w:p w14:paraId="6A2F33AE" w14:textId="114D2086"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208,1</w:t>
            </w:r>
          </w:p>
        </w:tc>
      </w:tr>
      <w:tr w:rsidR="003F3DAF" w:rsidRPr="0091354A" w14:paraId="01C48D8D"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75E55C80" w14:textId="77777777" w:rsidR="003F3DAF" w:rsidRPr="003F3DAF" w:rsidRDefault="003F3DAF" w:rsidP="00CF607C">
            <w:pPr>
              <w:spacing w:after="120"/>
              <w:rPr>
                <w:rFonts w:eastAsia="Calibri"/>
                <w:b w:val="0"/>
                <w:noProof/>
                <w:sz w:val="22"/>
                <w:szCs w:val="18"/>
              </w:rPr>
            </w:pPr>
            <w:r>
              <w:rPr>
                <w:b w:val="0"/>
                <w:noProof/>
                <w:sz w:val="22"/>
              </w:rPr>
              <w:t>3.2 Overige programma’s van Natuurlijke hulpbronnen en milieu</w:t>
            </w:r>
          </w:p>
        </w:tc>
        <w:tc>
          <w:tcPr>
            <w:tcW w:w="986" w:type="dxa"/>
            <w:vAlign w:val="center"/>
          </w:tcPr>
          <w:p w14:paraId="7B1AA231" w14:textId="56E576FD"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5,4</w:t>
            </w:r>
          </w:p>
        </w:tc>
        <w:tc>
          <w:tcPr>
            <w:tcW w:w="987" w:type="dxa"/>
            <w:vAlign w:val="center"/>
          </w:tcPr>
          <w:p w14:paraId="47CD3034" w14:textId="3C12BE99"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14,5</w:t>
            </w:r>
          </w:p>
        </w:tc>
        <w:tc>
          <w:tcPr>
            <w:tcW w:w="986" w:type="dxa"/>
            <w:vAlign w:val="center"/>
          </w:tcPr>
          <w:p w14:paraId="25BF2537" w14:textId="3626C2A2"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17,0</w:t>
            </w:r>
          </w:p>
        </w:tc>
        <w:tc>
          <w:tcPr>
            <w:tcW w:w="987" w:type="dxa"/>
            <w:vAlign w:val="center"/>
          </w:tcPr>
          <w:p w14:paraId="31037F28" w14:textId="08058C88"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19,1</w:t>
            </w:r>
          </w:p>
        </w:tc>
        <w:tc>
          <w:tcPr>
            <w:tcW w:w="986" w:type="dxa"/>
            <w:vAlign w:val="center"/>
          </w:tcPr>
          <w:p w14:paraId="6E31E2A4" w14:textId="57ED026A" w:rsidR="003F3DAF"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14,9</w:t>
            </w:r>
          </w:p>
        </w:tc>
        <w:tc>
          <w:tcPr>
            <w:tcW w:w="987" w:type="dxa"/>
            <w:vAlign w:val="center"/>
          </w:tcPr>
          <w:p w14:paraId="0AD0A7DD" w14:textId="3A828183" w:rsidR="003F3DAF"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70,8</w:t>
            </w:r>
          </w:p>
        </w:tc>
      </w:tr>
      <w:tr w:rsidR="00CF607C" w:rsidRPr="0091354A" w14:paraId="7498120D"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6C76F98A" w14:textId="77777777" w:rsidR="00CF607C" w:rsidRPr="003F3DAF" w:rsidRDefault="00CF607C" w:rsidP="00CF607C">
            <w:pPr>
              <w:spacing w:after="120"/>
              <w:rPr>
                <w:rFonts w:eastAsia="Calibri"/>
                <w:bCs/>
                <w:noProof/>
                <w:sz w:val="22"/>
                <w:szCs w:val="18"/>
              </w:rPr>
            </w:pPr>
            <w:r>
              <w:rPr>
                <w:noProof/>
                <w:sz w:val="22"/>
              </w:rPr>
              <w:t>4 Migratie en grensbeheer</w:t>
            </w:r>
          </w:p>
        </w:tc>
        <w:tc>
          <w:tcPr>
            <w:tcW w:w="986" w:type="dxa"/>
            <w:vAlign w:val="center"/>
          </w:tcPr>
          <w:p w14:paraId="2B50207E" w14:textId="3BAF52BC"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2,4</w:t>
            </w:r>
          </w:p>
        </w:tc>
        <w:tc>
          <w:tcPr>
            <w:tcW w:w="987" w:type="dxa"/>
            <w:vAlign w:val="center"/>
          </w:tcPr>
          <w:p w14:paraId="3BFB47D5" w14:textId="5005CF7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3,8</w:t>
            </w:r>
          </w:p>
        </w:tc>
        <w:tc>
          <w:tcPr>
            <w:tcW w:w="986" w:type="dxa"/>
            <w:vAlign w:val="center"/>
          </w:tcPr>
          <w:p w14:paraId="31FF89DA" w14:textId="09F4C18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4,4</w:t>
            </w:r>
          </w:p>
        </w:tc>
        <w:tc>
          <w:tcPr>
            <w:tcW w:w="987" w:type="dxa"/>
            <w:vAlign w:val="center"/>
          </w:tcPr>
          <w:p w14:paraId="33583102" w14:textId="0DB21657"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4,7</w:t>
            </w:r>
          </w:p>
        </w:tc>
        <w:tc>
          <w:tcPr>
            <w:tcW w:w="986" w:type="dxa"/>
            <w:vAlign w:val="center"/>
          </w:tcPr>
          <w:p w14:paraId="595CF823" w14:textId="040FD27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4,8</w:t>
            </w:r>
          </w:p>
        </w:tc>
        <w:tc>
          <w:tcPr>
            <w:tcW w:w="987" w:type="dxa"/>
            <w:vAlign w:val="center"/>
          </w:tcPr>
          <w:p w14:paraId="5EA82B75" w14:textId="6E09BDF3"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20,1</w:t>
            </w:r>
          </w:p>
        </w:tc>
      </w:tr>
      <w:tr w:rsidR="00CF607C" w:rsidRPr="0091354A" w14:paraId="59AB1A0A"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08F961CE" w14:textId="77777777" w:rsidR="00CF607C" w:rsidRPr="003F3DAF" w:rsidRDefault="00CF607C" w:rsidP="00CF607C">
            <w:pPr>
              <w:spacing w:after="120"/>
              <w:rPr>
                <w:rFonts w:eastAsia="Calibri"/>
                <w:bCs/>
                <w:noProof/>
                <w:sz w:val="22"/>
                <w:szCs w:val="18"/>
              </w:rPr>
            </w:pPr>
            <w:r>
              <w:rPr>
                <w:noProof/>
                <w:sz w:val="22"/>
              </w:rPr>
              <w:t>5 Veiligheid en defensie</w:t>
            </w:r>
          </w:p>
        </w:tc>
        <w:tc>
          <w:tcPr>
            <w:tcW w:w="986" w:type="dxa"/>
            <w:vAlign w:val="center"/>
          </w:tcPr>
          <w:p w14:paraId="6229D0A9" w14:textId="06C8FF41"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0,9</w:t>
            </w:r>
          </w:p>
        </w:tc>
        <w:tc>
          <w:tcPr>
            <w:tcW w:w="987" w:type="dxa"/>
            <w:vAlign w:val="center"/>
          </w:tcPr>
          <w:p w14:paraId="7936BF67" w14:textId="67F50A59"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1,8</w:t>
            </w:r>
          </w:p>
        </w:tc>
        <w:tc>
          <w:tcPr>
            <w:tcW w:w="986" w:type="dxa"/>
            <w:vAlign w:val="center"/>
          </w:tcPr>
          <w:p w14:paraId="4459D4B8" w14:textId="3E9AD8D7"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1,9</w:t>
            </w:r>
          </w:p>
        </w:tc>
        <w:tc>
          <w:tcPr>
            <w:tcW w:w="987" w:type="dxa"/>
            <w:vAlign w:val="center"/>
          </w:tcPr>
          <w:p w14:paraId="45426BE3" w14:textId="557D8825"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2,3</w:t>
            </w:r>
          </w:p>
        </w:tc>
        <w:tc>
          <w:tcPr>
            <w:tcW w:w="986" w:type="dxa"/>
            <w:vAlign w:val="center"/>
          </w:tcPr>
          <w:p w14:paraId="2031C386" w14:textId="4BDCDDB0"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2,3</w:t>
            </w:r>
          </w:p>
        </w:tc>
        <w:tc>
          <w:tcPr>
            <w:tcW w:w="987" w:type="dxa"/>
            <w:vAlign w:val="center"/>
          </w:tcPr>
          <w:p w14:paraId="3026C046" w14:textId="73319881"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9,2</w:t>
            </w:r>
          </w:p>
        </w:tc>
      </w:tr>
      <w:tr w:rsidR="00CF607C" w:rsidRPr="0091354A" w14:paraId="25B0D557"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1412DEF5" w14:textId="77777777" w:rsidR="00CF607C" w:rsidRPr="003F3DAF" w:rsidRDefault="00CF607C" w:rsidP="00CF607C">
            <w:pPr>
              <w:spacing w:after="120"/>
              <w:rPr>
                <w:rFonts w:eastAsia="Calibri"/>
                <w:bCs/>
                <w:noProof/>
                <w:sz w:val="22"/>
                <w:szCs w:val="18"/>
              </w:rPr>
            </w:pPr>
            <w:r>
              <w:rPr>
                <w:noProof/>
                <w:sz w:val="22"/>
              </w:rPr>
              <w:t>6 Nabuurschap en internationaal beleid</w:t>
            </w:r>
          </w:p>
        </w:tc>
        <w:tc>
          <w:tcPr>
            <w:tcW w:w="986" w:type="dxa"/>
            <w:vAlign w:val="center"/>
          </w:tcPr>
          <w:p w14:paraId="33001101" w14:textId="50B4787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9,5</w:t>
            </w:r>
          </w:p>
        </w:tc>
        <w:tc>
          <w:tcPr>
            <w:tcW w:w="987" w:type="dxa"/>
            <w:vAlign w:val="center"/>
          </w:tcPr>
          <w:p w14:paraId="24992F74" w14:textId="367E1A6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13,0</w:t>
            </w:r>
          </w:p>
        </w:tc>
        <w:tc>
          <w:tcPr>
            <w:tcW w:w="986" w:type="dxa"/>
            <w:vAlign w:val="center"/>
          </w:tcPr>
          <w:p w14:paraId="23BE31AF" w14:textId="1EC81C4B"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15,0</w:t>
            </w:r>
          </w:p>
        </w:tc>
        <w:tc>
          <w:tcPr>
            <w:tcW w:w="987" w:type="dxa"/>
            <w:vAlign w:val="center"/>
          </w:tcPr>
          <w:p w14:paraId="5284D76C" w14:textId="7DF21D2B"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15,7</w:t>
            </w:r>
          </w:p>
        </w:tc>
        <w:tc>
          <w:tcPr>
            <w:tcW w:w="986" w:type="dxa"/>
            <w:vAlign w:val="center"/>
          </w:tcPr>
          <w:p w14:paraId="4D4923B3" w14:textId="4C55F61A"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15,6</w:t>
            </w:r>
          </w:p>
        </w:tc>
        <w:tc>
          <w:tcPr>
            <w:tcW w:w="987" w:type="dxa"/>
            <w:vAlign w:val="center"/>
          </w:tcPr>
          <w:p w14:paraId="09EB5F39" w14:textId="18CF2A79"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69,0</w:t>
            </w:r>
          </w:p>
        </w:tc>
      </w:tr>
      <w:tr w:rsidR="00CF607C" w:rsidRPr="0091354A" w14:paraId="39286299"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0BF536F6" w14:textId="77777777" w:rsidR="00CF607C" w:rsidRPr="003F3DAF" w:rsidRDefault="00CF607C" w:rsidP="00CF607C">
            <w:pPr>
              <w:spacing w:after="120"/>
              <w:rPr>
                <w:rFonts w:eastAsia="Calibri"/>
                <w:bCs/>
                <w:noProof/>
                <w:sz w:val="22"/>
                <w:szCs w:val="18"/>
              </w:rPr>
            </w:pPr>
            <w:r>
              <w:rPr>
                <w:noProof/>
                <w:sz w:val="22"/>
              </w:rPr>
              <w:t>7 Europees openbaar bestuur</w:t>
            </w:r>
          </w:p>
        </w:tc>
        <w:tc>
          <w:tcPr>
            <w:tcW w:w="986" w:type="dxa"/>
            <w:vAlign w:val="center"/>
          </w:tcPr>
          <w:p w14:paraId="594A325D" w14:textId="5E9D346E"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11,4</w:t>
            </w:r>
          </w:p>
        </w:tc>
        <w:tc>
          <w:tcPr>
            <w:tcW w:w="987" w:type="dxa"/>
            <w:vAlign w:val="center"/>
          </w:tcPr>
          <w:p w14:paraId="0E7B0011" w14:textId="4FF13CF2"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11,8</w:t>
            </w:r>
          </w:p>
        </w:tc>
        <w:tc>
          <w:tcPr>
            <w:tcW w:w="986" w:type="dxa"/>
            <w:vAlign w:val="center"/>
          </w:tcPr>
          <w:p w14:paraId="1FBE3D55" w14:textId="74BBF9B6"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12,2</w:t>
            </w:r>
          </w:p>
        </w:tc>
        <w:tc>
          <w:tcPr>
            <w:tcW w:w="987" w:type="dxa"/>
            <w:vAlign w:val="center"/>
          </w:tcPr>
          <w:p w14:paraId="60439F59" w14:textId="6A67A73D"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12,6</w:t>
            </w:r>
          </w:p>
        </w:tc>
        <w:tc>
          <w:tcPr>
            <w:tcW w:w="986" w:type="dxa"/>
            <w:vAlign w:val="center"/>
          </w:tcPr>
          <w:p w14:paraId="1D44FF63" w14:textId="2587AD32"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13,0</w:t>
            </w:r>
          </w:p>
        </w:tc>
        <w:tc>
          <w:tcPr>
            <w:tcW w:w="987" w:type="dxa"/>
            <w:vAlign w:val="center"/>
          </w:tcPr>
          <w:p w14:paraId="7B063B93" w14:textId="610C2F6E"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61,0</w:t>
            </w:r>
          </w:p>
        </w:tc>
      </w:tr>
      <w:tr w:rsidR="00CF607C" w:rsidRPr="0091354A" w14:paraId="1C9537A1"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5D5B6C82" w14:textId="77777777" w:rsidR="00CF607C" w:rsidRPr="003F3DAF" w:rsidRDefault="00CF607C" w:rsidP="00CF607C">
            <w:pPr>
              <w:spacing w:after="120"/>
              <w:rPr>
                <w:rFonts w:eastAsia="Calibri"/>
                <w:bCs/>
                <w:noProof/>
                <w:sz w:val="22"/>
                <w:szCs w:val="18"/>
              </w:rPr>
            </w:pPr>
            <w:r>
              <w:rPr>
                <w:noProof/>
                <w:sz w:val="22"/>
              </w:rPr>
              <w:t>Speciale instrumenten</w:t>
            </w:r>
          </w:p>
        </w:tc>
        <w:tc>
          <w:tcPr>
            <w:tcW w:w="986" w:type="dxa"/>
            <w:vAlign w:val="center"/>
          </w:tcPr>
          <w:p w14:paraId="175EAAC5" w14:textId="2B8467C1"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2,7</w:t>
            </w:r>
          </w:p>
        </w:tc>
        <w:tc>
          <w:tcPr>
            <w:tcW w:w="987" w:type="dxa"/>
            <w:vAlign w:val="center"/>
          </w:tcPr>
          <w:p w14:paraId="25C9FE7E" w14:textId="77777777" w:rsidR="00CF607C" w:rsidRPr="00CF607C" w:rsidRDefault="00CF607C"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986" w:type="dxa"/>
            <w:vAlign w:val="center"/>
          </w:tcPr>
          <w:p w14:paraId="5134E0B8" w14:textId="118D13F5" w:rsidR="00CF607C" w:rsidRPr="0091354A"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1,1</w:t>
            </w:r>
          </w:p>
        </w:tc>
        <w:tc>
          <w:tcPr>
            <w:tcW w:w="987" w:type="dxa"/>
            <w:vAlign w:val="center"/>
          </w:tcPr>
          <w:p w14:paraId="749DCE7A" w14:textId="77777777" w:rsidR="00CF607C" w:rsidRPr="00CF607C" w:rsidRDefault="00CF607C"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986" w:type="dxa"/>
            <w:vAlign w:val="center"/>
          </w:tcPr>
          <w:p w14:paraId="65072424" w14:textId="77777777" w:rsidR="00CF607C" w:rsidRPr="00CF607C" w:rsidRDefault="00CF607C"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987" w:type="dxa"/>
            <w:vAlign w:val="center"/>
          </w:tcPr>
          <w:p w14:paraId="5E0262CD" w14:textId="6C43645C"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3,8</w:t>
            </w:r>
          </w:p>
        </w:tc>
      </w:tr>
      <w:tr w:rsidR="00CF607C" w:rsidRPr="0091354A" w14:paraId="3BDAC534"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3771" w:type="dxa"/>
          </w:tcPr>
          <w:p w14:paraId="2383D735" w14:textId="77777777" w:rsidR="00CF607C" w:rsidRPr="003F3DAF" w:rsidRDefault="00CF607C" w:rsidP="00CF607C">
            <w:pPr>
              <w:spacing w:after="120"/>
              <w:rPr>
                <w:bCs/>
                <w:noProof/>
                <w:sz w:val="22"/>
                <w:szCs w:val="18"/>
              </w:rPr>
            </w:pPr>
            <w:r>
              <w:rPr>
                <w:noProof/>
                <w:sz w:val="22"/>
              </w:rPr>
              <w:t>Totaal</w:t>
            </w:r>
          </w:p>
        </w:tc>
        <w:tc>
          <w:tcPr>
            <w:tcW w:w="986" w:type="dxa"/>
            <w:vAlign w:val="center"/>
          </w:tcPr>
          <w:p w14:paraId="13E3DD2E" w14:textId="706E0CC3"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100,3</w:t>
            </w:r>
          </w:p>
        </w:tc>
        <w:tc>
          <w:tcPr>
            <w:tcW w:w="987" w:type="dxa"/>
            <w:vAlign w:val="center"/>
          </w:tcPr>
          <w:p w14:paraId="27A8E7C8" w14:textId="48EC920B"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130,3</w:t>
            </w:r>
          </w:p>
        </w:tc>
        <w:tc>
          <w:tcPr>
            <w:tcW w:w="986" w:type="dxa"/>
            <w:vAlign w:val="center"/>
          </w:tcPr>
          <w:p w14:paraId="15D0B4BB" w14:textId="36AB9DEB"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167,8</w:t>
            </w:r>
          </w:p>
        </w:tc>
        <w:tc>
          <w:tcPr>
            <w:tcW w:w="987" w:type="dxa"/>
            <w:vAlign w:val="center"/>
          </w:tcPr>
          <w:p w14:paraId="02B231F2" w14:textId="61B55235" w:rsidR="00CF607C" w:rsidRPr="0078468D" w:rsidRDefault="00D51975" w:rsidP="00E26C58">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177,4</w:t>
            </w:r>
          </w:p>
        </w:tc>
        <w:tc>
          <w:tcPr>
            <w:tcW w:w="986" w:type="dxa"/>
            <w:vAlign w:val="center"/>
          </w:tcPr>
          <w:p w14:paraId="0932B362" w14:textId="027C1333" w:rsidR="00CF607C" w:rsidRPr="0078468D"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191,6</w:t>
            </w:r>
          </w:p>
        </w:tc>
        <w:tc>
          <w:tcPr>
            <w:tcW w:w="987" w:type="dxa"/>
            <w:vAlign w:val="center"/>
          </w:tcPr>
          <w:p w14:paraId="79187F5B" w14:textId="6CF9472B" w:rsidR="00CF607C" w:rsidRPr="00CF607C" w:rsidRDefault="00D51975"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767,4</w:t>
            </w:r>
          </w:p>
        </w:tc>
      </w:tr>
    </w:tbl>
    <w:p w14:paraId="60FA5CDB" w14:textId="77777777" w:rsidR="00812A24" w:rsidRDefault="00812A24" w:rsidP="00D66606">
      <w:pPr>
        <w:pStyle w:val="Heading2"/>
        <w:tabs>
          <w:tab w:val="num" w:pos="0"/>
        </w:tabs>
        <w:rPr>
          <w:rFonts w:cs="Times New Roman"/>
          <w:b w:val="0"/>
          <w:noProof/>
          <w:color w:val="auto"/>
          <w:sz w:val="20"/>
        </w:rPr>
      </w:pPr>
      <w:r>
        <w:rPr>
          <w:noProof/>
        </w:rPr>
        <w:br w:type="page"/>
      </w:r>
    </w:p>
    <w:p w14:paraId="52CC2FE2" w14:textId="06360214" w:rsidR="00D66606" w:rsidRPr="0091354A" w:rsidRDefault="00D66606" w:rsidP="00D66606">
      <w:pPr>
        <w:pStyle w:val="Heading2"/>
        <w:tabs>
          <w:tab w:val="num" w:pos="0"/>
        </w:tabs>
        <w:rPr>
          <w:noProof/>
        </w:rPr>
      </w:pPr>
      <w:bookmarkStart w:id="68" w:name="_Toc107422058"/>
      <w:r>
        <w:rPr>
          <w:noProof/>
        </w:rPr>
        <w:t xml:space="preserve">Tabel </w:t>
      </w:r>
      <w:r w:rsidR="00F45E8C">
        <w:rPr>
          <w:noProof/>
        </w:rPr>
        <w:fldChar w:fldCharType="begin"/>
      </w:r>
      <w:r w:rsidR="00F45E8C">
        <w:rPr>
          <w:noProof/>
        </w:rPr>
        <w:instrText xml:space="preserve"> SEQ Table \* ARABIC </w:instrText>
      </w:r>
      <w:r w:rsidR="00F45E8C">
        <w:rPr>
          <w:noProof/>
        </w:rPr>
        <w:fldChar w:fldCharType="separate"/>
      </w:r>
      <w:r>
        <w:rPr>
          <w:noProof/>
        </w:rPr>
        <w:t>1</w:t>
      </w:r>
      <w:r w:rsidR="00F45E8C">
        <w:rPr>
          <w:noProof/>
        </w:rPr>
        <w:fldChar w:fldCharType="end"/>
      </w:r>
      <w:r>
        <w:rPr>
          <w:noProof/>
        </w:rPr>
        <w:t>.3 — Betalingen voor de voltooiing van de vastleggingen van vóór 2021</w:t>
      </w:r>
      <w:bookmarkEnd w:id="68"/>
    </w:p>
    <w:tbl>
      <w:tblPr>
        <w:tblStyle w:val="AMPR2021"/>
        <w:tblW w:w="0" w:type="auto"/>
        <w:tblLayout w:type="fixed"/>
        <w:tblLook w:val="06A0" w:firstRow="1" w:lastRow="0" w:firstColumn="1" w:lastColumn="0" w:noHBand="1" w:noVBand="1"/>
      </w:tblPr>
      <w:tblGrid>
        <w:gridCol w:w="4065"/>
        <w:gridCol w:w="937"/>
        <w:gridCol w:w="937"/>
        <w:gridCol w:w="937"/>
        <w:gridCol w:w="937"/>
        <w:gridCol w:w="800"/>
        <w:gridCol w:w="1107"/>
      </w:tblGrid>
      <w:tr w:rsidR="00D66606" w:rsidRPr="0091354A" w14:paraId="6B2FFF98" w14:textId="77777777" w:rsidTr="00F86C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65" w:type="dxa"/>
          </w:tcPr>
          <w:p w14:paraId="7E55E2B0" w14:textId="77777777" w:rsidR="00D66606" w:rsidRPr="0091354A" w:rsidRDefault="00D66606" w:rsidP="00D66606">
            <w:pPr>
              <w:rPr>
                <w:rFonts w:eastAsia="Calibri"/>
                <w:b w:val="0"/>
                <w:bCs/>
                <w:noProof/>
                <w:sz w:val="22"/>
                <w:szCs w:val="18"/>
              </w:rPr>
            </w:pPr>
            <w:r>
              <w:rPr>
                <w:noProof/>
                <w:sz w:val="22"/>
              </w:rPr>
              <w:t>MFK-rubriek</w:t>
            </w:r>
          </w:p>
        </w:tc>
        <w:tc>
          <w:tcPr>
            <w:tcW w:w="937" w:type="dxa"/>
          </w:tcPr>
          <w:p w14:paraId="3FE6883A"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2023</w:t>
            </w:r>
          </w:p>
        </w:tc>
        <w:tc>
          <w:tcPr>
            <w:tcW w:w="937" w:type="dxa"/>
          </w:tcPr>
          <w:p w14:paraId="0A04F084"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2024</w:t>
            </w:r>
          </w:p>
        </w:tc>
        <w:tc>
          <w:tcPr>
            <w:tcW w:w="937" w:type="dxa"/>
          </w:tcPr>
          <w:p w14:paraId="7A8BAA74"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2025</w:t>
            </w:r>
          </w:p>
        </w:tc>
        <w:tc>
          <w:tcPr>
            <w:tcW w:w="937" w:type="dxa"/>
          </w:tcPr>
          <w:p w14:paraId="5B170E50"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2026</w:t>
            </w:r>
          </w:p>
        </w:tc>
        <w:tc>
          <w:tcPr>
            <w:tcW w:w="800" w:type="dxa"/>
          </w:tcPr>
          <w:p w14:paraId="1E8CFBBD"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2027</w:t>
            </w:r>
          </w:p>
        </w:tc>
        <w:tc>
          <w:tcPr>
            <w:tcW w:w="1107" w:type="dxa"/>
          </w:tcPr>
          <w:p w14:paraId="21A251FC"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Totaal</w:t>
            </w:r>
          </w:p>
        </w:tc>
      </w:tr>
      <w:tr w:rsidR="00D66606" w:rsidRPr="0091354A" w14:paraId="3B58121C"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nil"/>
              <w:bottom w:val="single" w:sz="2" w:space="0" w:color="auto"/>
            </w:tcBorders>
          </w:tcPr>
          <w:p w14:paraId="2B6D5C43" w14:textId="5D33F437" w:rsidR="00D66606" w:rsidRPr="003F3DAF" w:rsidRDefault="00D66606" w:rsidP="00D66606">
            <w:pPr>
              <w:spacing w:after="120"/>
              <w:rPr>
                <w:rFonts w:eastAsia="Calibri"/>
                <w:bCs/>
                <w:noProof/>
                <w:sz w:val="22"/>
                <w:szCs w:val="18"/>
              </w:rPr>
            </w:pPr>
            <w:r>
              <w:rPr>
                <w:noProof/>
                <w:sz w:val="22"/>
              </w:rPr>
              <w:t>1 Eengemaakte markt, innovatie en digitaal beleid</w:t>
            </w:r>
          </w:p>
        </w:tc>
        <w:tc>
          <w:tcPr>
            <w:tcW w:w="937" w:type="dxa"/>
            <w:tcBorders>
              <w:top w:val="nil"/>
              <w:left w:val="nil"/>
              <w:bottom w:val="single" w:sz="2" w:space="0" w:color="auto"/>
              <w:right w:val="nil"/>
            </w:tcBorders>
            <w:shd w:val="clear" w:color="auto" w:fill="auto"/>
            <w:vAlign w:val="center"/>
          </w:tcPr>
          <w:p w14:paraId="1D793B80" w14:textId="322C2CF1"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5,4</w:t>
            </w:r>
          </w:p>
        </w:tc>
        <w:tc>
          <w:tcPr>
            <w:tcW w:w="937" w:type="dxa"/>
            <w:tcBorders>
              <w:top w:val="nil"/>
              <w:left w:val="nil"/>
              <w:bottom w:val="single" w:sz="2" w:space="0" w:color="auto"/>
              <w:right w:val="nil"/>
            </w:tcBorders>
            <w:shd w:val="clear" w:color="auto" w:fill="auto"/>
            <w:vAlign w:val="center"/>
          </w:tcPr>
          <w:p w14:paraId="4EEC6A13" w14:textId="63C4EEB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4,1</w:t>
            </w:r>
          </w:p>
        </w:tc>
        <w:tc>
          <w:tcPr>
            <w:tcW w:w="937" w:type="dxa"/>
            <w:tcBorders>
              <w:top w:val="nil"/>
              <w:left w:val="nil"/>
              <w:bottom w:val="single" w:sz="2" w:space="0" w:color="auto"/>
              <w:right w:val="nil"/>
            </w:tcBorders>
            <w:shd w:val="clear" w:color="auto" w:fill="auto"/>
            <w:vAlign w:val="center"/>
          </w:tcPr>
          <w:p w14:paraId="5EAE4D2B" w14:textId="1507DD0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3,1</w:t>
            </w:r>
          </w:p>
        </w:tc>
        <w:tc>
          <w:tcPr>
            <w:tcW w:w="937" w:type="dxa"/>
            <w:tcBorders>
              <w:top w:val="nil"/>
              <w:left w:val="nil"/>
              <w:bottom w:val="single" w:sz="2" w:space="0" w:color="auto"/>
              <w:right w:val="nil"/>
            </w:tcBorders>
            <w:shd w:val="clear" w:color="auto" w:fill="auto"/>
            <w:vAlign w:val="center"/>
          </w:tcPr>
          <w:p w14:paraId="5FD34489" w14:textId="69B6D52B"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1,8</w:t>
            </w:r>
          </w:p>
        </w:tc>
        <w:tc>
          <w:tcPr>
            <w:tcW w:w="800" w:type="dxa"/>
            <w:tcBorders>
              <w:top w:val="nil"/>
              <w:left w:val="nil"/>
              <w:bottom w:val="single" w:sz="2" w:space="0" w:color="auto"/>
              <w:right w:val="nil"/>
            </w:tcBorders>
            <w:shd w:val="clear" w:color="auto" w:fill="auto"/>
            <w:vAlign w:val="center"/>
          </w:tcPr>
          <w:p w14:paraId="46F91469" w14:textId="261CAFFC"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1,3</w:t>
            </w:r>
          </w:p>
        </w:tc>
        <w:tc>
          <w:tcPr>
            <w:tcW w:w="1107" w:type="dxa"/>
            <w:tcBorders>
              <w:top w:val="nil"/>
              <w:left w:val="nil"/>
              <w:bottom w:val="single" w:sz="2" w:space="0" w:color="auto"/>
              <w:right w:val="nil"/>
            </w:tcBorders>
            <w:shd w:val="clear" w:color="auto" w:fill="auto"/>
            <w:vAlign w:val="center"/>
          </w:tcPr>
          <w:p w14:paraId="5C90D569" w14:textId="3598167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15,6</w:t>
            </w:r>
          </w:p>
        </w:tc>
      </w:tr>
      <w:tr w:rsidR="00D66606" w:rsidRPr="0091354A" w14:paraId="46569AB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3CBB8467" w14:textId="0AF8751F" w:rsidR="00D66606" w:rsidRPr="003F3DAF" w:rsidRDefault="00D66606" w:rsidP="00D66606">
            <w:pPr>
              <w:spacing w:after="120"/>
              <w:rPr>
                <w:rFonts w:eastAsia="Calibri"/>
                <w:bCs/>
                <w:noProof/>
                <w:sz w:val="22"/>
                <w:szCs w:val="18"/>
              </w:rPr>
            </w:pPr>
            <w:r>
              <w:rPr>
                <w:noProof/>
                <w:sz w:val="22"/>
              </w:rPr>
              <w:t>2 Cohesie, veerkracht en waarden</w:t>
            </w:r>
          </w:p>
        </w:tc>
        <w:tc>
          <w:tcPr>
            <w:tcW w:w="937" w:type="dxa"/>
            <w:tcBorders>
              <w:top w:val="single" w:sz="2" w:space="0" w:color="auto"/>
              <w:left w:val="nil"/>
              <w:bottom w:val="single" w:sz="2" w:space="0" w:color="auto"/>
              <w:right w:val="nil"/>
            </w:tcBorders>
            <w:shd w:val="clear" w:color="auto" w:fill="auto"/>
            <w:vAlign w:val="center"/>
          </w:tcPr>
          <w:p w14:paraId="00D34128" w14:textId="26A28463"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44,0</w:t>
            </w:r>
          </w:p>
        </w:tc>
        <w:tc>
          <w:tcPr>
            <w:tcW w:w="937" w:type="dxa"/>
            <w:tcBorders>
              <w:top w:val="single" w:sz="2" w:space="0" w:color="auto"/>
              <w:left w:val="nil"/>
              <w:bottom w:val="single" w:sz="2" w:space="0" w:color="auto"/>
              <w:right w:val="nil"/>
            </w:tcBorders>
            <w:shd w:val="clear" w:color="auto" w:fill="auto"/>
            <w:vAlign w:val="center"/>
          </w:tcPr>
          <w:p w14:paraId="437757EC" w14:textId="43BD836F"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18,0</w:t>
            </w:r>
          </w:p>
        </w:tc>
        <w:tc>
          <w:tcPr>
            <w:tcW w:w="937" w:type="dxa"/>
            <w:tcBorders>
              <w:top w:val="single" w:sz="2" w:space="0" w:color="auto"/>
              <w:left w:val="nil"/>
              <w:bottom w:val="single" w:sz="2" w:space="0" w:color="auto"/>
              <w:right w:val="nil"/>
            </w:tcBorders>
            <w:shd w:val="clear" w:color="auto" w:fill="auto"/>
            <w:vAlign w:val="center"/>
          </w:tcPr>
          <w:p w14:paraId="5474E202" w14:textId="58681F60"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1,3</w:t>
            </w:r>
          </w:p>
        </w:tc>
        <w:tc>
          <w:tcPr>
            <w:tcW w:w="937" w:type="dxa"/>
            <w:tcBorders>
              <w:top w:val="single" w:sz="2" w:space="0" w:color="auto"/>
              <w:left w:val="nil"/>
              <w:bottom w:val="single" w:sz="2" w:space="0" w:color="auto"/>
              <w:right w:val="nil"/>
            </w:tcBorders>
            <w:shd w:val="clear" w:color="auto" w:fill="auto"/>
            <w:vAlign w:val="center"/>
          </w:tcPr>
          <w:p w14:paraId="230F53E6" w14:textId="2D888EDA"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1,2</w:t>
            </w:r>
          </w:p>
        </w:tc>
        <w:tc>
          <w:tcPr>
            <w:tcW w:w="800" w:type="dxa"/>
            <w:tcBorders>
              <w:top w:val="single" w:sz="2" w:space="0" w:color="auto"/>
              <w:left w:val="nil"/>
              <w:bottom w:val="single" w:sz="2" w:space="0" w:color="auto"/>
              <w:right w:val="nil"/>
            </w:tcBorders>
            <w:shd w:val="clear" w:color="auto" w:fill="auto"/>
            <w:vAlign w:val="center"/>
          </w:tcPr>
          <w:p w14:paraId="1E126AFC" w14:textId="6ADD0707"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0,2</w:t>
            </w:r>
          </w:p>
        </w:tc>
        <w:tc>
          <w:tcPr>
            <w:tcW w:w="1107" w:type="dxa"/>
            <w:tcBorders>
              <w:top w:val="single" w:sz="2" w:space="0" w:color="auto"/>
              <w:left w:val="nil"/>
              <w:bottom w:val="single" w:sz="2" w:space="0" w:color="auto"/>
              <w:right w:val="nil"/>
            </w:tcBorders>
            <w:shd w:val="clear" w:color="auto" w:fill="auto"/>
            <w:vAlign w:val="center"/>
          </w:tcPr>
          <w:p w14:paraId="439F0383" w14:textId="3C637C7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64,6</w:t>
            </w:r>
          </w:p>
        </w:tc>
      </w:tr>
      <w:tr w:rsidR="003F3DAF" w:rsidRPr="0091354A" w14:paraId="14DFAD08"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3082A51B" w14:textId="1C402B73" w:rsidR="003F3DAF" w:rsidRPr="003F3DAF" w:rsidRDefault="003F3DAF" w:rsidP="00D66606">
            <w:pPr>
              <w:spacing w:after="120"/>
              <w:rPr>
                <w:rFonts w:eastAsia="Calibri"/>
                <w:b w:val="0"/>
                <w:noProof/>
                <w:sz w:val="22"/>
                <w:szCs w:val="18"/>
              </w:rPr>
            </w:pPr>
            <w:r>
              <w:rPr>
                <w:b w:val="0"/>
                <w:noProof/>
                <w:sz w:val="22"/>
              </w:rPr>
              <w:t>2.1 Economische, sociale en territoriale cohesie</w:t>
            </w:r>
          </w:p>
        </w:tc>
        <w:tc>
          <w:tcPr>
            <w:tcW w:w="937" w:type="dxa"/>
            <w:tcBorders>
              <w:top w:val="single" w:sz="2" w:space="0" w:color="auto"/>
              <w:left w:val="nil"/>
              <w:bottom w:val="single" w:sz="2" w:space="0" w:color="auto"/>
              <w:right w:val="nil"/>
            </w:tcBorders>
            <w:shd w:val="clear" w:color="auto" w:fill="auto"/>
            <w:vAlign w:val="center"/>
          </w:tcPr>
          <w:p w14:paraId="1F04CE42" w14:textId="4FAAFB35"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43,7</w:t>
            </w:r>
          </w:p>
        </w:tc>
        <w:tc>
          <w:tcPr>
            <w:tcW w:w="937" w:type="dxa"/>
            <w:tcBorders>
              <w:top w:val="single" w:sz="2" w:space="0" w:color="auto"/>
              <w:left w:val="nil"/>
              <w:bottom w:val="single" w:sz="2" w:space="0" w:color="auto"/>
              <w:right w:val="nil"/>
            </w:tcBorders>
            <w:shd w:val="clear" w:color="auto" w:fill="auto"/>
            <w:vAlign w:val="center"/>
          </w:tcPr>
          <w:p w14:paraId="16697E77" w14:textId="6D740481"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17,7</w:t>
            </w:r>
          </w:p>
        </w:tc>
        <w:tc>
          <w:tcPr>
            <w:tcW w:w="937" w:type="dxa"/>
            <w:tcBorders>
              <w:top w:val="single" w:sz="2" w:space="0" w:color="auto"/>
              <w:left w:val="nil"/>
              <w:bottom w:val="single" w:sz="2" w:space="0" w:color="auto"/>
              <w:right w:val="nil"/>
            </w:tcBorders>
            <w:shd w:val="clear" w:color="auto" w:fill="auto"/>
            <w:vAlign w:val="center"/>
          </w:tcPr>
          <w:p w14:paraId="68254F74" w14:textId="16DDCA6B"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1,2</w:t>
            </w:r>
          </w:p>
        </w:tc>
        <w:tc>
          <w:tcPr>
            <w:tcW w:w="937" w:type="dxa"/>
            <w:tcBorders>
              <w:top w:val="single" w:sz="2" w:space="0" w:color="auto"/>
              <w:left w:val="nil"/>
              <w:bottom w:val="single" w:sz="2" w:space="0" w:color="auto"/>
              <w:right w:val="nil"/>
            </w:tcBorders>
            <w:shd w:val="clear" w:color="auto" w:fill="auto"/>
            <w:vAlign w:val="center"/>
          </w:tcPr>
          <w:p w14:paraId="7A660621" w14:textId="55AB2098"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1,1</w:t>
            </w:r>
          </w:p>
        </w:tc>
        <w:tc>
          <w:tcPr>
            <w:tcW w:w="800" w:type="dxa"/>
            <w:tcBorders>
              <w:top w:val="single" w:sz="2" w:space="0" w:color="auto"/>
              <w:left w:val="nil"/>
              <w:bottom w:val="single" w:sz="2" w:space="0" w:color="auto"/>
              <w:right w:val="nil"/>
            </w:tcBorders>
            <w:shd w:val="clear" w:color="auto" w:fill="auto"/>
            <w:vAlign w:val="center"/>
          </w:tcPr>
          <w:p w14:paraId="37061CE5" w14:textId="210E4A20"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0,2</w:t>
            </w:r>
          </w:p>
        </w:tc>
        <w:tc>
          <w:tcPr>
            <w:tcW w:w="1107" w:type="dxa"/>
            <w:tcBorders>
              <w:top w:val="single" w:sz="2" w:space="0" w:color="auto"/>
              <w:left w:val="nil"/>
              <w:bottom w:val="single" w:sz="2" w:space="0" w:color="auto"/>
              <w:right w:val="nil"/>
            </w:tcBorders>
            <w:shd w:val="clear" w:color="auto" w:fill="auto"/>
            <w:vAlign w:val="center"/>
          </w:tcPr>
          <w:p w14:paraId="008F4F3E" w14:textId="3C3E7E7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63,9</w:t>
            </w:r>
          </w:p>
        </w:tc>
      </w:tr>
      <w:tr w:rsidR="003F3DAF" w:rsidRPr="0091354A" w14:paraId="234A3C2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198FA52C" w14:textId="44C34454" w:rsidR="003F3DAF" w:rsidRPr="003F3DAF" w:rsidRDefault="003F3DAF" w:rsidP="00D66606">
            <w:pPr>
              <w:spacing w:after="120"/>
              <w:rPr>
                <w:rFonts w:eastAsia="Calibri"/>
                <w:b w:val="0"/>
                <w:noProof/>
                <w:sz w:val="22"/>
                <w:szCs w:val="18"/>
              </w:rPr>
            </w:pPr>
            <w:r>
              <w:rPr>
                <w:b w:val="0"/>
                <w:noProof/>
                <w:sz w:val="22"/>
              </w:rPr>
              <w:t>2.2 Cohesie, veerkracht en waarden</w:t>
            </w:r>
          </w:p>
        </w:tc>
        <w:tc>
          <w:tcPr>
            <w:tcW w:w="937" w:type="dxa"/>
            <w:tcBorders>
              <w:top w:val="single" w:sz="2" w:space="0" w:color="auto"/>
              <w:left w:val="nil"/>
              <w:bottom w:val="single" w:sz="2" w:space="0" w:color="auto"/>
              <w:right w:val="nil"/>
            </w:tcBorders>
            <w:shd w:val="clear" w:color="auto" w:fill="auto"/>
            <w:vAlign w:val="center"/>
          </w:tcPr>
          <w:p w14:paraId="36C051F7" w14:textId="4486C16C"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0,3</w:t>
            </w:r>
          </w:p>
        </w:tc>
        <w:tc>
          <w:tcPr>
            <w:tcW w:w="937" w:type="dxa"/>
            <w:tcBorders>
              <w:top w:val="single" w:sz="2" w:space="0" w:color="auto"/>
              <w:left w:val="nil"/>
              <w:bottom w:val="single" w:sz="2" w:space="0" w:color="auto"/>
              <w:right w:val="nil"/>
            </w:tcBorders>
            <w:shd w:val="clear" w:color="auto" w:fill="auto"/>
            <w:vAlign w:val="center"/>
          </w:tcPr>
          <w:p w14:paraId="0B15476D" w14:textId="00B7216F"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0,3</w:t>
            </w:r>
          </w:p>
        </w:tc>
        <w:tc>
          <w:tcPr>
            <w:tcW w:w="937" w:type="dxa"/>
            <w:tcBorders>
              <w:top w:val="single" w:sz="2" w:space="0" w:color="auto"/>
              <w:left w:val="nil"/>
              <w:bottom w:val="single" w:sz="2" w:space="0" w:color="auto"/>
              <w:right w:val="nil"/>
            </w:tcBorders>
            <w:shd w:val="clear" w:color="auto" w:fill="auto"/>
            <w:vAlign w:val="center"/>
          </w:tcPr>
          <w:p w14:paraId="4A61DA24" w14:textId="0C8A409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0,1</w:t>
            </w:r>
          </w:p>
        </w:tc>
        <w:tc>
          <w:tcPr>
            <w:tcW w:w="937" w:type="dxa"/>
            <w:tcBorders>
              <w:top w:val="single" w:sz="2" w:space="0" w:color="auto"/>
              <w:left w:val="nil"/>
              <w:bottom w:val="single" w:sz="2" w:space="0" w:color="auto"/>
              <w:right w:val="nil"/>
            </w:tcBorders>
            <w:shd w:val="clear" w:color="auto" w:fill="auto"/>
            <w:vAlign w:val="center"/>
          </w:tcPr>
          <w:p w14:paraId="26FA841A" w14:textId="2EDCD393"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0,1</w:t>
            </w:r>
          </w:p>
        </w:tc>
        <w:tc>
          <w:tcPr>
            <w:tcW w:w="800" w:type="dxa"/>
            <w:tcBorders>
              <w:top w:val="single" w:sz="2" w:space="0" w:color="auto"/>
              <w:left w:val="nil"/>
              <w:bottom w:val="single" w:sz="2" w:space="0" w:color="auto"/>
              <w:right w:val="nil"/>
            </w:tcBorders>
            <w:shd w:val="clear" w:color="auto" w:fill="auto"/>
            <w:vAlign w:val="center"/>
          </w:tcPr>
          <w:p w14:paraId="73AA97EF" w14:textId="68AD70E6"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0,0</w:t>
            </w:r>
          </w:p>
        </w:tc>
        <w:tc>
          <w:tcPr>
            <w:tcW w:w="1107" w:type="dxa"/>
            <w:tcBorders>
              <w:top w:val="single" w:sz="2" w:space="0" w:color="auto"/>
              <w:left w:val="nil"/>
              <w:bottom w:val="single" w:sz="2" w:space="0" w:color="auto"/>
              <w:right w:val="nil"/>
            </w:tcBorders>
            <w:shd w:val="clear" w:color="auto" w:fill="auto"/>
            <w:vAlign w:val="center"/>
          </w:tcPr>
          <w:p w14:paraId="72939864" w14:textId="60D11C7B"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0,7</w:t>
            </w:r>
          </w:p>
        </w:tc>
      </w:tr>
      <w:tr w:rsidR="00D66606" w:rsidRPr="0091354A" w14:paraId="7763CA41"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71F349F6" w14:textId="11D7B1B8" w:rsidR="00D66606" w:rsidRPr="003F3DAF" w:rsidRDefault="00D66606" w:rsidP="00D66606">
            <w:pPr>
              <w:spacing w:after="120"/>
              <w:rPr>
                <w:rFonts w:eastAsia="Calibri"/>
                <w:bCs/>
                <w:noProof/>
                <w:sz w:val="22"/>
                <w:szCs w:val="18"/>
              </w:rPr>
            </w:pPr>
            <w:r>
              <w:rPr>
                <w:noProof/>
                <w:sz w:val="22"/>
              </w:rPr>
              <w:t>3 Natuurlijke hulpbronnen en milieu</w:t>
            </w:r>
          </w:p>
        </w:tc>
        <w:tc>
          <w:tcPr>
            <w:tcW w:w="937" w:type="dxa"/>
            <w:tcBorders>
              <w:top w:val="single" w:sz="2" w:space="0" w:color="auto"/>
              <w:left w:val="nil"/>
              <w:bottom w:val="single" w:sz="2" w:space="0" w:color="auto"/>
              <w:right w:val="nil"/>
            </w:tcBorders>
            <w:shd w:val="clear" w:color="auto" w:fill="auto"/>
            <w:vAlign w:val="center"/>
          </w:tcPr>
          <w:p w14:paraId="1D694460" w14:textId="513E72A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11,4</w:t>
            </w:r>
          </w:p>
        </w:tc>
        <w:tc>
          <w:tcPr>
            <w:tcW w:w="937" w:type="dxa"/>
            <w:tcBorders>
              <w:top w:val="single" w:sz="2" w:space="0" w:color="auto"/>
              <w:left w:val="nil"/>
              <w:bottom w:val="single" w:sz="2" w:space="0" w:color="auto"/>
              <w:right w:val="nil"/>
            </w:tcBorders>
            <w:shd w:val="clear" w:color="auto" w:fill="auto"/>
            <w:vAlign w:val="center"/>
          </w:tcPr>
          <w:p w14:paraId="6A70E0D4" w14:textId="63C12D9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1,0</w:t>
            </w:r>
          </w:p>
        </w:tc>
        <w:tc>
          <w:tcPr>
            <w:tcW w:w="937" w:type="dxa"/>
            <w:tcBorders>
              <w:top w:val="single" w:sz="2" w:space="0" w:color="auto"/>
              <w:left w:val="nil"/>
              <w:bottom w:val="single" w:sz="2" w:space="0" w:color="auto"/>
              <w:right w:val="nil"/>
            </w:tcBorders>
            <w:shd w:val="clear" w:color="auto" w:fill="auto"/>
            <w:vAlign w:val="center"/>
          </w:tcPr>
          <w:p w14:paraId="076E0993" w14:textId="04FEA0D2"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0,4</w:t>
            </w:r>
          </w:p>
        </w:tc>
        <w:tc>
          <w:tcPr>
            <w:tcW w:w="937" w:type="dxa"/>
            <w:tcBorders>
              <w:top w:val="single" w:sz="2" w:space="0" w:color="auto"/>
              <w:left w:val="nil"/>
              <w:bottom w:val="single" w:sz="2" w:space="0" w:color="auto"/>
              <w:right w:val="nil"/>
            </w:tcBorders>
            <w:shd w:val="clear" w:color="auto" w:fill="auto"/>
            <w:vAlign w:val="center"/>
          </w:tcPr>
          <w:p w14:paraId="2371F6BD" w14:textId="376C5D2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0,4</w:t>
            </w:r>
          </w:p>
        </w:tc>
        <w:tc>
          <w:tcPr>
            <w:tcW w:w="800" w:type="dxa"/>
            <w:tcBorders>
              <w:top w:val="single" w:sz="2" w:space="0" w:color="auto"/>
              <w:left w:val="nil"/>
              <w:bottom w:val="single" w:sz="2" w:space="0" w:color="auto"/>
              <w:right w:val="nil"/>
            </w:tcBorders>
            <w:shd w:val="clear" w:color="auto" w:fill="auto"/>
            <w:vAlign w:val="center"/>
          </w:tcPr>
          <w:p w14:paraId="66137C30" w14:textId="533E51DF"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0,1</w:t>
            </w:r>
          </w:p>
        </w:tc>
        <w:tc>
          <w:tcPr>
            <w:tcW w:w="1107" w:type="dxa"/>
            <w:tcBorders>
              <w:top w:val="single" w:sz="2" w:space="0" w:color="auto"/>
              <w:left w:val="nil"/>
              <w:bottom w:val="single" w:sz="2" w:space="0" w:color="auto"/>
              <w:right w:val="nil"/>
            </w:tcBorders>
            <w:shd w:val="clear" w:color="auto" w:fill="auto"/>
            <w:vAlign w:val="center"/>
          </w:tcPr>
          <w:p w14:paraId="14901AE0" w14:textId="18D7B467"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13,3</w:t>
            </w:r>
          </w:p>
        </w:tc>
      </w:tr>
      <w:tr w:rsidR="003F3DAF" w:rsidRPr="0091354A" w14:paraId="49AD9940"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710131CB" w14:textId="760113E3" w:rsidR="003F3DAF" w:rsidRPr="003F3DAF" w:rsidRDefault="003F3DAF" w:rsidP="003F3DAF">
            <w:pPr>
              <w:rPr>
                <w:rFonts w:eastAsia="Calibri"/>
                <w:b w:val="0"/>
                <w:noProof/>
                <w:sz w:val="22"/>
                <w:szCs w:val="18"/>
              </w:rPr>
            </w:pPr>
            <w:r>
              <w:rPr>
                <w:b w:val="0"/>
                <w:noProof/>
                <w:sz w:val="22"/>
              </w:rPr>
              <w:t xml:space="preserve"> 3.1 Marktgerelateerde uitgaven en rechtstreekse betalingen</w:t>
            </w:r>
          </w:p>
        </w:tc>
        <w:tc>
          <w:tcPr>
            <w:tcW w:w="937" w:type="dxa"/>
            <w:tcBorders>
              <w:top w:val="single" w:sz="2" w:space="0" w:color="auto"/>
              <w:left w:val="nil"/>
              <w:bottom w:val="single" w:sz="2" w:space="0" w:color="auto"/>
              <w:right w:val="nil"/>
            </w:tcBorders>
            <w:shd w:val="clear" w:color="auto" w:fill="auto"/>
            <w:vAlign w:val="center"/>
          </w:tcPr>
          <w:p w14:paraId="55E0223E" w14:textId="2630857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0,0</w:t>
            </w:r>
          </w:p>
        </w:tc>
        <w:tc>
          <w:tcPr>
            <w:tcW w:w="937" w:type="dxa"/>
            <w:tcBorders>
              <w:top w:val="single" w:sz="2" w:space="0" w:color="auto"/>
              <w:left w:val="nil"/>
              <w:bottom w:val="single" w:sz="2" w:space="0" w:color="auto"/>
              <w:right w:val="nil"/>
            </w:tcBorders>
            <w:shd w:val="clear" w:color="auto" w:fill="auto"/>
            <w:vAlign w:val="center"/>
          </w:tcPr>
          <w:p w14:paraId="128E9B23"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937" w:type="dxa"/>
            <w:tcBorders>
              <w:top w:val="single" w:sz="2" w:space="0" w:color="auto"/>
              <w:left w:val="nil"/>
              <w:bottom w:val="single" w:sz="2" w:space="0" w:color="auto"/>
              <w:right w:val="nil"/>
            </w:tcBorders>
            <w:shd w:val="clear" w:color="auto" w:fill="auto"/>
            <w:vAlign w:val="center"/>
          </w:tcPr>
          <w:p w14:paraId="03E255CD"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937" w:type="dxa"/>
            <w:tcBorders>
              <w:top w:val="single" w:sz="2" w:space="0" w:color="auto"/>
              <w:left w:val="nil"/>
              <w:bottom w:val="single" w:sz="2" w:space="0" w:color="auto"/>
              <w:right w:val="nil"/>
            </w:tcBorders>
            <w:shd w:val="clear" w:color="auto" w:fill="auto"/>
            <w:vAlign w:val="center"/>
          </w:tcPr>
          <w:p w14:paraId="1D0242E9"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800" w:type="dxa"/>
            <w:tcBorders>
              <w:top w:val="single" w:sz="2" w:space="0" w:color="auto"/>
              <w:left w:val="nil"/>
              <w:bottom w:val="single" w:sz="2" w:space="0" w:color="auto"/>
              <w:right w:val="nil"/>
            </w:tcBorders>
            <w:shd w:val="clear" w:color="auto" w:fill="auto"/>
            <w:vAlign w:val="center"/>
          </w:tcPr>
          <w:p w14:paraId="7ACDA947" w14:textId="77777777" w:rsidR="003F3DAF" w:rsidRPr="0078468D" w:rsidRDefault="003F3DAF"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p>
        </w:tc>
        <w:tc>
          <w:tcPr>
            <w:tcW w:w="1107" w:type="dxa"/>
            <w:tcBorders>
              <w:top w:val="single" w:sz="2" w:space="0" w:color="auto"/>
              <w:left w:val="nil"/>
              <w:bottom w:val="single" w:sz="2" w:space="0" w:color="auto"/>
              <w:right w:val="nil"/>
            </w:tcBorders>
            <w:shd w:val="clear" w:color="auto" w:fill="auto"/>
            <w:vAlign w:val="center"/>
          </w:tcPr>
          <w:p w14:paraId="3EE3F151" w14:textId="2E7D3352"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0,0</w:t>
            </w:r>
          </w:p>
        </w:tc>
      </w:tr>
      <w:tr w:rsidR="003F3DAF" w:rsidRPr="0091354A" w14:paraId="7D96F6F5"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71E90A65" w14:textId="256BCC2B" w:rsidR="003F3DAF" w:rsidRPr="003F3DAF" w:rsidRDefault="003F3DAF" w:rsidP="003F3DAF">
            <w:pPr>
              <w:rPr>
                <w:rFonts w:eastAsia="Calibri"/>
                <w:b w:val="0"/>
                <w:noProof/>
                <w:sz w:val="22"/>
                <w:szCs w:val="18"/>
              </w:rPr>
            </w:pPr>
            <w:r>
              <w:rPr>
                <w:b w:val="0"/>
                <w:noProof/>
                <w:sz w:val="22"/>
              </w:rPr>
              <w:t xml:space="preserve"> 3.2 Overige programma’s van Natuurlijke hulpbronnen en milieu</w:t>
            </w:r>
          </w:p>
        </w:tc>
        <w:tc>
          <w:tcPr>
            <w:tcW w:w="937" w:type="dxa"/>
            <w:tcBorders>
              <w:top w:val="single" w:sz="2" w:space="0" w:color="auto"/>
              <w:left w:val="nil"/>
              <w:bottom w:val="single" w:sz="2" w:space="0" w:color="auto"/>
              <w:right w:val="nil"/>
            </w:tcBorders>
            <w:shd w:val="clear" w:color="auto" w:fill="auto"/>
            <w:vAlign w:val="center"/>
          </w:tcPr>
          <w:p w14:paraId="1440B77C" w14:textId="1426ABC1"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11,4</w:t>
            </w:r>
          </w:p>
        </w:tc>
        <w:tc>
          <w:tcPr>
            <w:tcW w:w="937" w:type="dxa"/>
            <w:tcBorders>
              <w:top w:val="single" w:sz="2" w:space="0" w:color="auto"/>
              <w:left w:val="nil"/>
              <w:bottom w:val="single" w:sz="2" w:space="0" w:color="auto"/>
              <w:right w:val="nil"/>
            </w:tcBorders>
            <w:shd w:val="clear" w:color="auto" w:fill="auto"/>
            <w:vAlign w:val="center"/>
          </w:tcPr>
          <w:p w14:paraId="11CBCE04" w14:textId="2A97D23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1,0</w:t>
            </w:r>
          </w:p>
        </w:tc>
        <w:tc>
          <w:tcPr>
            <w:tcW w:w="937" w:type="dxa"/>
            <w:tcBorders>
              <w:top w:val="single" w:sz="2" w:space="0" w:color="auto"/>
              <w:left w:val="nil"/>
              <w:bottom w:val="single" w:sz="2" w:space="0" w:color="auto"/>
              <w:right w:val="nil"/>
            </w:tcBorders>
            <w:shd w:val="clear" w:color="auto" w:fill="auto"/>
            <w:vAlign w:val="center"/>
          </w:tcPr>
          <w:p w14:paraId="52AB2B3F" w14:textId="1D6896A5"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0,4</w:t>
            </w:r>
          </w:p>
        </w:tc>
        <w:tc>
          <w:tcPr>
            <w:tcW w:w="937" w:type="dxa"/>
            <w:tcBorders>
              <w:top w:val="single" w:sz="2" w:space="0" w:color="auto"/>
              <w:left w:val="nil"/>
              <w:bottom w:val="single" w:sz="2" w:space="0" w:color="auto"/>
              <w:right w:val="nil"/>
            </w:tcBorders>
            <w:shd w:val="clear" w:color="auto" w:fill="auto"/>
            <w:vAlign w:val="center"/>
          </w:tcPr>
          <w:p w14:paraId="0BA6E7C8" w14:textId="50680BC9"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0,4</w:t>
            </w:r>
          </w:p>
        </w:tc>
        <w:tc>
          <w:tcPr>
            <w:tcW w:w="800" w:type="dxa"/>
            <w:tcBorders>
              <w:top w:val="single" w:sz="2" w:space="0" w:color="auto"/>
              <w:left w:val="nil"/>
              <w:bottom w:val="single" w:sz="2" w:space="0" w:color="auto"/>
              <w:right w:val="nil"/>
            </w:tcBorders>
            <w:shd w:val="clear" w:color="auto" w:fill="auto"/>
            <w:vAlign w:val="center"/>
          </w:tcPr>
          <w:p w14:paraId="1D16999B" w14:textId="429901AD"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0,1</w:t>
            </w:r>
          </w:p>
        </w:tc>
        <w:tc>
          <w:tcPr>
            <w:tcW w:w="1107" w:type="dxa"/>
            <w:tcBorders>
              <w:top w:val="single" w:sz="2" w:space="0" w:color="auto"/>
              <w:left w:val="nil"/>
              <w:bottom w:val="single" w:sz="2" w:space="0" w:color="auto"/>
              <w:right w:val="nil"/>
            </w:tcBorders>
            <w:shd w:val="clear" w:color="auto" w:fill="auto"/>
            <w:vAlign w:val="center"/>
          </w:tcPr>
          <w:p w14:paraId="070FA0C2" w14:textId="02E213A8" w:rsidR="003F3DAF"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13,3</w:t>
            </w:r>
          </w:p>
        </w:tc>
      </w:tr>
      <w:tr w:rsidR="00D66606" w:rsidRPr="0091354A" w14:paraId="4F3FC723"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238D15F5" w14:textId="52664CEF" w:rsidR="00D66606" w:rsidRPr="003F3DAF" w:rsidRDefault="00D66606" w:rsidP="00D66606">
            <w:pPr>
              <w:spacing w:after="120"/>
              <w:rPr>
                <w:rFonts w:eastAsia="Calibri"/>
                <w:bCs/>
                <w:noProof/>
                <w:sz w:val="22"/>
                <w:szCs w:val="18"/>
              </w:rPr>
            </w:pPr>
            <w:r>
              <w:rPr>
                <w:noProof/>
                <w:sz w:val="22"/>
              </w:rPr>
              <w:t>4 Migratie en grensbeheer</w:t>
            </w:r>
          </w:p>
        </w:tc>
        <w:tc>
          <w:tcPr>
            <w:tcW w:w="937" w:type="dxa"/>
            <w:tcBorders>
              <w:top w:val="single" w:sz="2" w:space="0" w:color="auto"/>
              <w:left w:val="nil"/>
              <w:bottom w:val="single" w:sz="2" w:space="0" w:color="auto"/>
              <w:right w:val="nil"/>
            </w:tcBorders>
            <w:shd w:val="clear" w:color="auto" w:fill="auto"/>
            <w:vAlign w:val="center"/>
          </w:tcPr>
          <w:p w14:paraId="769022B4" w14:textId="3618C44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0,7</w:t>
            </w:r>
          </w:p>
        </w:tc>
        <w:tc>
          <w:tcPr>
            <w:tcW w:w="937" w:type="dxa"/>
            <w:tcBorders>
              <w:top w:val="single" w:sz="2" w:space="0" w:color="auto"/>
              <w:left w:val="nil"/>
              <w:bottom w:val="single" w:sz="2" w:space="0" w:color="auto"/>
              <w:right w:val="nil"/>
            </w:tcBorders>
            <w:shd w:val="clear" w:color="auto" w:fill="auto"/>
            <w:vAlign w:val="center"/>
          </w:tcPr>
          <w:p w14:paraId="12905744" w14:textId="6F2EFD7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0,5</w:t>
            </w:r>
          </w:p>
        </w:tc>
        <w:tc>
          <w:tcPr>
            <w:tcW w:w="937" w:type="dxa"/>
            <w:tcBorders>
              <w:top w:val="single" w:sz="2" w:space="0" w:color="auto"/>
              <w:left w:val="nil"/>
              <w:bottom w:val="single" w:sz="2" w:space="0" w:color="auto"/>
              <w:right w:val="nil"/>
            </w:tcBorders>
            <w:shd w:val="clear" w:color="auto" w:fill="auto"/>
            <w:vAlign w:val="center"/>
          </w:tcPr>
          <w:p w14:paraId="4670998E" w14:textId="78BE79A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0,1</w:t>
            </w:r>
          </w:p>
        </w:tc>
        <w:tc>
          <w:tcPr>
            <w:tcW w:w="937" w:type="dxa"/>
            <w:tcBorders>
              <w:top w:val="single" w:sz="2" w:space="0" w:color="auto"/>
              <w:left w:val="nil"/>
              <w:bottom w:val="single" w:sz="2" w:space="0" w:color="auto"/>
              <w:right w:val="nil"/>
            </w:tcBorders>
            <w:shd w:val="clear" w:color="auto" w:fill="auto"/>
            <w:vAlign w:val="center"/>
          </w:tcPr>
          <w:p w14:paraId="68BFABDC" w14:textId="3E4DB0CB"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0,0</w:t>
            </w:r>
          </w:p>
        </w:tc>
        <w:tc>
          <w:tcPr>
            <w:tcW w:w="800" w:type="dxa"/>
            <w:tcBorders>
              <w:top w:val="single" w:sz="2" w:space="0" w:color="auto"/>
              <w:left w:val="nil"/>
              <w:bottom w:val="single" w:sz="2" w:space="0" w:color="auto"/>
              <w:right w:val="nil"/>
            </w:tcBorders>
            <w:shd w:val="clear" w:color="auto" w:fill="auto"/>
            <w:vAlign w:val="center"/>
          </w:tcPr>
          <w:p w14:paraId="1C30F782" w14:textId="45842D58"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0,0</w:t>
            </w:r>
          </w:p>
        </w:tc>
        <w:tc>
          <w:tcPr>
            <w:tcW w:w="1107" w:type="dxa"/>
            <w:tcBorders>
              <w:top w:val="single" w:sz="2" w:space="0" w:color="auto"/>
              <w:left w:val="nil"/>
              <w:bottom w:val="single" w:sz="2" w:space="0" w:color="auto"/>
              <w:right w:val="nil"/>
            </w:tcBorders>
            <w:shd w:val="clear" w:color="auto" w:fill="auto"/>
            <w:vAlign w:val="center"/>
          </w:tcPr>
          <w:p w14:paraId="1D93EEE0" w14:textId="7ACC5B63"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1,3</w:t>
            </w:r>
          </w:p>
        </w:tc>
      </w:tr>
      <w:tr w:rsidR="00D66606" w:rsidRPr="0091354A" w14:paraId="2ECBD4B2"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5CC779A8" w14:textId="04D9A955" w:rsidR="00D66606" w:rsidRPr="003F3DAF" w:rsidRDefault="00D66606" w:rsidP="00D66606">
            <w:pPr>
              <w:spacing w:after="120"/>
              <w:rPr>
                <w:rFonts w:eastAsia="Calibri"/>
                <w:bCs/>
                <w:noProof/>
                <w:sz w:val="22"/>
                <w:szCs w:val="18"/>
              </w:rPr>
            </w:pPr>
            <w:r>
              <w:rPr>
                <w:noProof/>
                <w:sz w:val="22"/>
              </w:rPr>
              <w:t>5 Veiligheid en defensie</w:t>
            </w:r>
          </w:p>
        </w:tc>
        <w:tc>
          <w:tcPr>
            <w:tcW w:w="937" w:type="dxa"/>
            <w:tcBorders>
              <w:top w:val="single" w:sz="2" w:space="0" w:color="auto"/>
              <w:left w:val="nil"/>
              <w:bottom w:val="single" w:sz="2" w:space="0" w:color="auto"/>
              <w:right w:val="nil"/>
            </w:tcBorders>
            <w:shd w:val="clear" w:color="auto" w:fill="auto"/>
            <w:vAlign w:val="center"/>
          </w:tcPr>
          <w:p w14:paraId="6B930A1B" w14:textId="0CDADDA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0,2</w:t>
            </w:r>
          </w:p>
        </w:tc>
        <w:tc>
          <w:tcPr>
            <w:tcW w:w="937" w:type="dxa"/>
            <w:tcBorders>
              <w:top w:val="single" w:sz="2" w:space="0" w:color="auto"/>
              <w:left w:val="nil"/>
              <w:bottom w:val="single" w:sz="2" w:space="0" w:color="auto"/>
              <w:right w:val="nil"/>
            </w:tcBorders>
            <w:shd w:val="clear" w:color="auto" w:fill="auto"/>
            <w:vAlign w:val="center"/>
          </w:tcPr>
          <w:p w14:paraId="02F7931E" w14:textId="4377014D"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0,2</w:t>
            </w:r>
          </w:p>
        </w:tc>
        <w:tc>
          <w:tcPr>
            <w:tcW w:w="937" w:type="dxa"/>
            <w:tcBorders>
              <w:top w:val="single" w:sz="2" w:space="0" w:color="auto"/>
              <w:left w:val="nil"/>
              <w:bottom w:val="single" w:sz="2" w:space="0" w:color="auto"/>
              <w:right w:val="nil"/>
            </w:tcBorders>
            <w:shd w:val="clear" w:color="auto" w:fill="auto"/>
            <w:vAlign w:val="center"/>
          </w:tcPr>
          <w:p w14:paraId="6ED38930" w14:textId="4779BD71"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0,2</w:t>
            </w:r>
          </w:p>
        </w:tc>
        <w:tc>
          <w:tcPr>
            <w:tcW w:w="937" w:type="dxa"/>
            <w:tcBorders>
              <w:top w:val="single" w:sz="2" w:space="0" w:color="auto"/>
              <w:left w:val="nil"/>
              <w:bottom w:val="single" w:sz="2" w:space="0" w:color="auto"/>
              <w:right w:val="nil"/>
            </w:tcBorders>
            <w:shd w:val="clear" w:color="auto" w:fill="auto"/>
            <w:vAlign w:val="center"/>
          </w:tcPr>
          <w:p w14:paraId="4442E57C" w14:textId="2465630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0,1</w:t>
            </w:r>
          </w:p>
        </w:tc>
        <w:tc>
          <w:tcPr>
            <w:tcW w:w="800" w:type="dxa"/>
            <w:tcBorders>
              <w:top w:val="single" w:sz="2" w:space="0" w:color="auto"/>
              <w:left w:val="nil"/>
              <w:bottom w:val="single" w:sz="2" w:space="0" w:color="auto"/>
              <w:right w:val="nil"/>
            </w:tcBorders>
            <w:shd w:val="clear" w:color="auto" w:fill="auto"/>
            <w:vAlign w:val="center"/>
          </w:tcPr>
          <w:p w14:paraId="556A97F1" w14:textId="6095E31B"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0,0</w:t>
            </w:r>
          </w:p>
        </w:tc>
        <w:tc>
          <w:tcPr>
            <w:tcW w:w="1107" w:type="dxa"/>
            <w:tcBorders>
              <w:top w:val="single" w:sz="2" w:space="0" w:color="auto"/>
              <w:left w:val="nil"/>
              <w:bottom w:val="single" w:sz="2" w:space="0" w:color="auto"/>
              <w:right w:val="nil"/>
            </w:tcBorders>
            <w:shd w:val="clear" w:color="auto" w:fill="auto"/>
            <w:vAlign w:val="center"/>
          </w:tcPr>
          <w:p w14:paraId="7553E6D8" w14:textId="7136668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0,7</w:t>
            </w:r>
          </w:p>
        </w:tc>
      </w:tr>
      <w:tr w:rsidR="00D66606" w:rsidRPr="0091354A" w14:paraId="1D29321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single" w:sz="2" w:space="0" w:color="auto"/>
            </w:tcBorders>
          </w:tcPr>
          <w:p w14:paraId="5CAB7D9D" w14:textId="3E259CD3" w:rsidR="00D66606" w:rsidRPr="003F3DAF" w:rsidRDefault="00D66606" w:rsidP="00D66606">
            <w:pPr>
              <w:spacing w:after="120"/>
              <w:rPr>
                <w:rFonts w:eastAsia="Calibri"/>
                <w:bCs/>
                <w:noProof/>
                <w:sz w:val="22"/>
                <w:szCs w:val="18"/>
              </w:rPr>
            </w:pPr>
            <w:r>
              <w:rPr>
                <w:noProof/>
                <w:sz w:val="22"/>
              </w:rPr>
              <w:t>6 Nabuurschap en internationaal beleid</w:t>
            </w:r>
          </w:p>
        </w:tc>
        <w:tc>
          <w:tcPr>
            <w:tcW w:w="937" w:type="dxa"/>
            <w:tcBorders>
              <w:top w:val="single" w:sz="2" w:space="0" w:color="auto"/>
              <w:left w:val="nil"/>
              <w:bottom w:val="single" w:sz="2" w:space="0" w:color="auto"/>
              <w:right w:val="nil"/>
            </w:tcBorders>
            <w:shd w:val="clear" w:color="auto" w:fill="auto"/>
            <w:vAlign w:val="center"/>
          </w:tcPr>
          <w:p w14:paraId="39FEDEC8" w14:textId="4F088CE8"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4,2</w:t>
            </w:r>
          </w:p>
        </w:tc>
        <w:tc>
          <w:tcPr>
            <w:tcW w:w="937" w:type="dxa"/>
            <w:tcBorders>
              <w:top w:val="single" w:sz="2" w:space="0" w:color="auto"/>
              <w:left w:val="nil"/>
              <w:bottom w:val="single" w:sz="2" w:space="0" w:color="auto"/>
              <w:right w:val="nil"/>
            </w:tcBorders>
            <w:shd w:val="clear" w:color="auto" w:fill="auto"/>
            <w:vAlign w:val="center"/>
          </w:tcPr>
          <w:p w14:paraId="01B563F8" w14:textId="161272E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3,9</w:t>
            </w:r>
          </w:p>
        </w:tc>
        <w:tc>
          <w:tcPr>
            <w:tcW w:w="937" w:type="dxa"/>
            <w:tcBorders>
              <w:top w:val="single" w:sz="2" w:space="0" w:color="auto"/>
              <w:left w:val="nil"/>
              <w:bottom w:val="single" w:sz="2" w:space="0" w:color="auto"/>
              <w:right w:val="nil"/>
            </w:tcBorders>
            <w:shd w:val="clear" w:color="auto" w:fill="auto"/>
            <w:vAlign w:val="center"/>
          </w:tcPr>
          <w:p w14:paraId="26C8D53F" w14:textId="5CCFD559"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3,5</w:t>
            </w:r>
          </w:p>
        </w:tc>
        <w:tc>
          <w:tcPr>
            <w:tcW w:w="937" w:type="dxa"/>
            <w:tcBorders>
              <w:top w:val="single" w:sz="2" w:space="0" w:color="auto"/>
              <w:left w:val="nil"/>
              <w:bottom w:val="single" w:sz="2" w:space="0" w:color="auto"/>
              <w:right w:val="nil"/>
            </w:tcBorders>
            <w:shd w:val="clear" w:color="auto" w:fill="auto"/>
            <w:vAlign w:val="center"/>
          </w:tcPr>
          <w:p w14:paraId="01A9958E" w14:textId="2C389CB6"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1,9</w:t>
            </w:r>
          </w:p>
        </w:tc>
        <w:tc>
          <w:tcPr>
            <w:tcW w:w="800" w:type="dxa"/>
            <w:tcBorders>
              <w:top w:val="single" w:sz="2" w:space="0" w:color="auto"/>
              <w:left w:val="nil"/>
              <w:bottom w:val="single" w:sz="2" w:space="0" w:color="auto"/>
              <w:right w:val="nil"/>
            </w:tcBorders>
            <w:shd w:val="clear" w:color="auto" w:fill="auto"/>
            <w:vAlign w:val="center"/>
          </w:tcPr>
          <w:p w14:paraId="61DB0D86" w14:textId="12E0C2BE"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Cs/>
                <w:i/>
                <w:noProof/>
                <w:sz w:val="22"/>
                <w:szCs w:val="18"/>
              </w:rPr>
            </w:pPr>
            <w:r>
              <w:rPr>
                <w:i/>
                <w:noProof/>
                <w:sz w:val="22"/>
              </w:rPr>
              <w:t>0,7</w:t>
            </w:r>
          </w:p>
        </w:tc>
        <w:tc>
          <w:tcPr>
            <w:tcW w:w="1107" w:type="dxa"/>
            <w:tcBorders>
              <w:top w:val="single" w:sz="2" w:space="0" w:color="auto"/>
              <w:left w:val="nil"/>
              <w:bottom w:val="single" w:sz="2" w:space="0" w:color="auto"/>
              <w:right w:val="nil"/>
            </w:tcBorders>
            <w:shd w:val="clear" w:color="auto" w:fill="auto"/>
            <w:vAlign w:val="center"/>
          </w:tcPr>
          <w:p w14:paraId="2BA2BC94" w14:textId="539BB79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14,2</w:t>
            </w:r>
          </w:p>
        </w:tc>
      </w:tr>
      <w:tr w:rsidR="00D66606" w:rsidRPr="0091354A" w14:paraId="6F46A104" w14:textId="77777777" w:rsidTr="00F86C66">
        <w:trPr>
          <w:trHeight w:val="465"/>
        </w:trPr>
        <w:tc>
          <w:tcPr>
            <w:cnfStyle w:val="001000000000" w:firstRow="0" w:lastRow="0" w:firstColumn="1" w:lastColumn="0" w:oddVBand="0" w:evenVBand="0" w:oddHBand="0" w:evenHBand="0" w:firstRowFirstColumn="0" w:firstRowLastColumn="0" w:lastRowFirstColumn="0" w:lastRowLastColumn="0"/>
            <w:tcW w:w="4065" w:type="dxa"/>
            <w:tcBorders>
              <w:top w:val="single" w:sz="2" w:space="0" w:color="auto"/>
              <w:bottom w:val="nil"/>
            </w:tcBorders>
          </w:tcPr>
          <w:p w14:paraId="50744CCA" w14:textId="5B166D6F" w:rsidR="00D66606" w:rsidRPr="0091354A" w:rsidRDefault="00D66606" w:rsidP="00D66606">
            <w:pPr>
              <w:spacing w:after="120"/>
              <w:rPr>
                <w:rFonts w:eastAsia="Calibri"/>
                <w:noProof/>
                <w:sz w:val="22"/>
                <w:szCs w:val="18"/>
              </w:rPr>
            </w:pPr>
            <w:r>
              <w:rPr>
                <w:noProof/>
                <w:sz w:val="22"/>
              </w:rPr>
              <w:t>Totaal</w:t>
            </w:r>
          </w:p>
        </w:tc>
        <w:tc>
          <w:tcPr>
            <w:tcW w:w="937" w:type="dxa"/>
            <w:tcBorders>
              <w:top w:val="single" w:sz="2" w:space="0" w:color="auto"/>
              <w:left w:val="nil"/>
              <w:bottom w:val="nil"/>
              <w:right w:val="nil"/>
            </w:tcBorders>
            <w:shd w:val="clear" w:color="auto" w:fill="auto"/>
            <w:vAlign w:val="center"/>
          </w:tcPr>
          <w:p w14:paraId="18B2BB73" w14:textId="17DEB0B0"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65,9</w:t>
            </w:r>
          </w:p>
        </w:tc>
        <w:tc>
          <w:tcPr>
            <w:tcW w:w="937" w:type="dxa"/>
            <w:tcBorders>
              <w:top w:val="single" w:sz="2" w:space="0" w:color="auto"/>
              <w:left w:val="nil"/>
              <w:bottom w:val="nil"/>
              <w:right w:val="nil"/>
            </w:tcBorders>
            <w:shd w:val="clear" w:color="auto" w:fill="auto"/>
            <w:vAlign w:val="center"/>
          </w:tcPr>
          <w:p w14:paraId="1BCDEAFE" w14:textId="552D1672"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27,7</w:t>
            </w:r>
          </w:p>
        </w:tc>
        <w:tc>
          <w:tcPr>
            <w:tcW w:w="937" w:type="dxa"/>
            <w:tcBorders>
              <w:top w:val="single" w:sz="2" w:space="0" w:color="auto"/>
              <w:left w:val="nil"/>
              <w:bottom w:val="nil"/>
              <w:right w:val="nil"/>
            </w:tcBorders>
            <w:shd w:val="clear" w:color="auto" w:fill="auto"/>
            <w:vAlign w:val="center"/>
          </w:tcPr>
          <w:p w14:paraId="45BCDF4D" w14:textId="3DC2EA55"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8,5</w:t>
            </w:r>
          </w:p>
        </w:tc>
        <w:tc>
          <w:tcPr>
            <w:tcW w:w="937" w:type="dxa"/>
            <w:tcBorders>
              <w:top w:val="single" w:sz="2" w:space="0" w:color="auto"/>
              <w:left w:val="nil"/>
              <w:bottom w:val="nil"/>
              <w:right w:val="nil"/>
            </w:tcBorders>
            <w:shd w:val="clear" w:color="auto" w:fill="auto"/>
            <w:vAlign w:val="center"/>
          </w:tcPr>
          <w:p w14:paraId="79CF5C52" w14:textId="79A48D53"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5,4</w:t>
            </w:r>
          </w:p>
        </w:tc>
        <w:tc>
          <w:tcPr>
            <w:tcW w:w="800" w:type="dxa"/>
            <w:tcBorders>
              <w:top w:val="single" w:sz="2" w:space="0" w:color="auto"/>
              <w:left w:val="nil"/>
              <w:bottom w:val="nil"/>
              <w:right w:val="nil"/>
            </w:tcBorders>
            <w:shd w:val="clear" w:color="auto" w:fill="auto"/>
            <w:vAlign w:val="center"/>
          </w:tcPr>
          <w:p w14:paraId="23159D58" w14:textId="38CEB02D"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2,4</w:t>
            </w:r>
          </w:p>
        </w:tc>
        <w:tc>
          <w:tcPr>
            <w:tcW w:w="1107" w:type="dxa"/>
            <w:tcBorders>
              <w:top w:val="single" w:sz="2" w:space="0" w:color="auto"/>
              <w:left w:val="nil"/>
              <w:bottom w:val="nil"/>
              <w:right w:val="nil"/>
            </w:tcBorders>
            <w:shd w:val="clear" w:color="auto" w:fill="auto"/>
            <w:vAlign w:val="center"/>
          </w:tcPr>
          <w:p w14:paraId="0F41EDA6" w14:textId="6C496E1C" w:rsidR="00D66606" w:rsidRPr="0078468D" w:rsidRDefault="008D3D17"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109,8</w:t>
            </w:r>
          </w:p>
        </w:tc>
      </w:tr>
    </w:tbl>
    <w:p w14:paraId="039BFAA3" w14:textId="041FB803" w:rsidR="00D66606" w:rsidRPr="00BF37B4" w:rsidRDefault="00D66606" w:rsidP="00D66606">
      <w:pPr>
        <w:rPr>
          <w:b/>
          <w:i/>
          <w:noProof/>
          <w:sz w:val="18"/>
        </w:rPr>
      </w:pPr>
      <w:r>
        <w:rPr>
          <w:i/>
          <w:noProof/>
          <w:sz w:val="18"/>
        </w:rPr>
        <w:t xml:space="preserve">* De totale vastleggingen en geraamde betalingen omvatten kredieten die voortvloeien uit artikel 5 van de MFK-verordening en artikel 15, lid 3, van het financieel reglement. Niet-toegewezen marges worden niet meegerekend. </w:t>
      </w:r>
    </w:p>
    <w:p w14:paraId="11EAED26" w14:textId="29D469E9" w:rsidR="00D66606" w:rsidRPr="00BF37B4" w:rsidRDefault="00D66606" w:rsidP="00D66606">
      <w:pPr>
        <w:rPr>
          <w:i/>
          <w:noProof/>
          <w:sz w:val="18"/>
        </w:rPr>
      </w:pPr>
      <w:r>
        <w:rPr>
          <w:i/>
          <w:noProof/>
          <w:sz w:val="18"/>
        </w:rPr>
        <w:t xml:space="preserve">** De bedragen voor speciale instrumenten omvatten het Solidariteitsfonds, de reserve voor noodhulp, het Europees Fonds voor aanpassing aan de globalisering, de reserve voor aanpassing aan de brexit en het flexibiliteitsinstrument. In de onderstaande tabellen zijn betalingen met betrekking tot de terbeschikkingstellingen van het flexibiliteitsinstrument in de respectieve rubrieken opgenomen. </w:t>
      </w:r>
    </w:p>
    <w:p w14:paraId="3841A67B" w14:textId="77777777" w:rsidR="002D2B32" w:rsidRDefault="002D2B32" w:rsidP="002D2B32">
      <w:pPr>
        <w:pStyle w:val="Heading2"/>
        <w:tabs>
          <w:tab w:val="num" w:pos="0"/>
        </w:tabs>
        <w:rPr>
          <w:rFonts w:cs="Times New Roman"/>
          <w:b w:val="0"/>
          <w:noProof/>
          <w:color w:val="auto"/>
          <w:sz w:val="20"/>
        </w:rPr>
      </w:pPr>
      <w:r>
        <w:rPr>
          <w:noProof/>
        </w:rPr>
        <w:br w:type="page"/>
      </w:r>
    </w:p>
    <w:p w14:paraId="1D321221" w14:textId="613EE177" w:rsidR="00D66606" w:rsidRPr="00812A24" w:rsidRDefault="00D66606" w:rsidP="00812A24">
      <w:pPr>
        <w:pStyle w:val="Heading2"/>
        <w:rPr>
          <w:noProof/>
        </w:rPr>
      </w:pPr>
      <w:bookmarkStart w:id="69" w:name="_Toc107422059"/>
      <w:r>
        <w:rPr>
          <w:noProof/>
        </w:rPr>
        <w:t>Tabel 2 — Geraamde vrijmakingen</w:t>
      </w:r>
      <w:bookmarkEnd w:id="69"/>
    </w:p>
    <w:tbl>
      <w:tblPr>
        <w:tblStyle w:val="AMPR2021"/>
        <w:tblW w:w="0" w:type="auto"/>
        <w:tblLayout w:type="fixed"/>
        <w:tblLook w:val="06A0" w:firstRow="1" w:lastRow="0" w:firstColumn="1" w:lastColumn="0" w:noHBand="1" w:noVBand="1"/>
      </w:tblPr>
      <w:tblGrid>
        <w:gridCol w:w="5102"/>
        <w:gridCol w:w="1529"/>
        <w:gridCol w:w="1559"/>
        <w:gridCol w:w="1559"/>
      </w:tblGrid>
      <w:tr w:rsidR="00D66606" w:rsidRPr="0091354A" w14:paraId="702BC1DB" w14:textId="77777777" w:rsidTr="003F3DA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102" w:type="dxa"/>
          </w:tcPr>
          <w:p w14:paraId="24EE46C5" w14:textId="77777777" w:rsidR="00D66606" w:rsidRPr="0091354A" w:rsidRDefault="00D66606" w:rsidP="00D66606">
            <w:pPr>
              <w:rPr>
                <w:rFonts w:eastAsia="Calibri"/>
                <w:b w:val="0"/>
                <w:bCs/>
                <w:noProof/>
                <w:sz w:val="22"/>
                <w:szCs w:val="18"/>
              </w:rPr>
            </w:pPr>
            <w:r>
              <w:rPr>
                <w:noProof/>
                <w:sz w:val="22"/>
              </w:rPr>
              <w:t>MFK-rubriek</w:t>
            </w:r>
          </w:p>
        </w:tc>
        <w:tc>
          <w:tcPr>
            <w:tcW w:w="1529" w:type="dxa"/>
          </w:tcPr>
          <w:p w14:paraId="641DC8AF"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Afronding</w:t>
            </w:r>
          </w:p>
        </w:tc>
        <w:tc>
          <w:tcPr>
            <w:tcW w:w="1559" w:type="dxa"/>
          </w:tcPr>
          <w:p w14:paraId="65A8C899"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MFK</w:t>
            </w:r>
          </w:p>
        </w:tc>
        <w:tc>
          <w:tcPr>
            <w:tcW w:w="1559" w:type="dxa"/>
          </w:tcPr>
          <w:p w14:paraId="17248C6C"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Totaal</w:t>
            </w:r>
          </w:p>
        </w:tc>
      </w:tr>
      <w:tr w:rsidR="003F3DAF" w:rsidRPr="0091354A" w14:paraId="0C6425A5"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59B8D85B" w14:textId="77777777" w:rsidR="003F3DAF" w:rsidRPr="0091354A" w:rsidRDefault="003F3DAF" w:rsidP="003F3DAF">
            <w:pPr>
              <w:spacing w:after="120"/>
              <w:rPr>
                <w:rFonts w:eastAsia="Calibri"/>
                <w:b w:val="0"/>
                <w:bCs/>
                <w:noProof/>
                <w:sz w:val="22"/>
                <w:szCs w:val="18"/>
              </w:rPr>
            </w:pPr>
            <w:r>
              <w:rPr>
                <w:noProof/>
                <w:sz w:val="22"/>
              </w:rPr>
              <w:t>1 Eengemaakte markt, innovatie en digitaal beleid</w:t>
            </w:r>
          </w:p>
        </w:tc>
        <w:tc>
          <w:tcPr>
            <w:tcW w:w="1529" w:type="dxa"/>
            <w:vAlign w:val="center"/>
          </w:tcPr>
          <w:p w14:paraId="2351072F" w14:textId="7B3F8414"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1,5</w:t>
            </w:r>
          </w:p>
        </w:tc>
        <w:tc>
          <w:tcPr>
            <w:tcW w:w="1559" w:type="dxa"/>
            <w:vAlign w:val="center"/>
          </w:tcPr>
          <w:p w14:paraId="768D4DAB" w14:textId="4EBAEA8D"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1,5</w:t>
            </w:r>
          </w:p>
        </w:tc>
        <w:tc>
          <w:tcPr>
            <w:tcW w:w="1559" w:type="dxa"/>
            <w:vAlign w:val="center"/>
          </w:tcPr>
          <w:p w14:paraId="25E990C9" w14:textId="73C503A7"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3,0</w:t>
            </w:r>
          </w:p>
        </w:tc>
      </w:tr>
      <w:tr w:rsidR="003F3DAF" w:rsidRPr="0091354A" w14:paraId="5FC48C8A"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7904EE60" w14:textId="77777777" w:rsidR="003F3DAF" w:rsidRPr="0091354A" w:rsidRDefault="003F3DAF" w:rsidP="003F3DAF">
            <w:pPr>
              <w:spacing w:after="120"/>
              <w:rPr>
                <w:rFonts w:eastAsia="Calibri"/>
                <w:b w:val="0"/>
                <w:bCs/>
                <w:noProof/>
                <w:sz w:val="22"/>
                <w:szCs w:val="18"/>
              </w:rPr>
            </w:pPr>
            <w:r>
              <w:rPr>
                <w:noProof/>
                <w:sz w:val="22"/>
              </w:rPr>
              <w:t>2 Cohesie, veerkracht en waarden</w:t>
            </w:r>
          </w:p>
        </w:tc>
        <w:tc>
          <w:tcPr>
            <w:tcW w:w="1529" w:type="dxa"/>
            <w:vAlign w:val="center"/>
          </w:tcPr>
          <w:p w14:paraId="4D39C4FF" w14:textId="682A151A"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0,7</w:t>
            </w:r>
          </w:p>
        </w:tc>
        <w:tc>
          <w:tcPr>
            <w:tcW w:w="1559" w:type="dxa"/>
            <w:vAlign w:val="center"/>
          </w:tcPr>
          <w:p w14:paraId="3C4748AC" w14:textId="317874F7"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1,0</w:t>
            </w:r>
          </w:p>
        </w:tc>
        <w:tc>
          <w:tcPr>
            <w:tcW w:w="1559" w:type="dxa"/>
            <w:vAlign w:val="center"/>
          </w:tcPr>
          <w:p w14:paraId="15BBC6C1" w14:textId="752BFE7F"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1,7</w:t>
            </w:r>
          </w:p>
        </w:tc>
      </w:tr>
      <w:tr w:rsidR="003F3DAF" w:rsidRPr="0091354A" w14:paraId="19F61026"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5F0A954" w14:textId="5951803E" w:rsidR="003F3DAF" w:rsidRPr="006E68CD" w:rsidRDefault="003F3DAF" w:rsidP="003F3DAF">
            <w:pPr>
              <w:spacing w:after="120"/>
              <w:rPr>
                <w:rFonts w:eastAsia="Calibri"/>
                <w:noProof/>
                <w:sz w:val="22"/>
                <w:szCs w:val="18"/>
              </w:rPr>
            </w:pPr>
            <w:r>
              <w:rPr>
                <w:b w:val="0"/>
                <w:noProof/>
                <w:sz w:val="22"/>
              </w:rPr>
              <w:t>2.1 Economische, sociale en territoriale cohesie</w:t>
            </w:r>
          </w:p>
        </w:tc>
        <w:tc>
          <w:tcPr>
            <w:tcW w:w="1529" w:type="dxa"/>
            <w:vAlign w:val="center"/>
          </w:tcPr>
          <w:p w14:paraId="1C9CC446" w14:textId="33CF3504"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0,4</w:t>
            </w:r>
          </w:p>
        </w:tc>
        <w:tc>
          <w:tcPr>
            <w:tcW w:w="1559" w:type="dxa"/>
            <w:vAlign w:val="center"/>
          </w:tcPr>
          <w:p w14:paraId="45227337" w14:textId="2F319D11"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0,4</w:t>
            </w:r>
          </w:p>
        </w:tc>
        <w:tc>
          <w:tcPr>
            <w:tcW w:w="1559" w:type="dxa"/>
            <w:vAlign w:val="center"/>
          </w:tcPr>
          <w:p w14:paraId="55AAF140" w14:textId="1D635B03"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0,8</w:t>
            </w:r>
          </w:p>
        </w:tc>
      </w:tr>
      <w:tr w:rsidR="003F3DAF" w:rsidRPr="0091354A" w14:paraId="65C8EC33"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17B2ED9C" w14:textId="5B090814" w:rsidR="003F3DAF" w:rsidRPr="006E68CD" w:rsidRDefault="003F3DAF" w:rsidP="003F3DAF">
            <w:pPr>
              <w:spacing w:after="120"/>
              <w:rPr>
                <w:rFonts w:eastAsia="Calibri"/>
                <w:noProof/>
                <w:sz w:val="22"/>
                <w:szCs w:val="18"/>
              </w:rPr>
            </w:pPr>
            <w:r>
              <w:rPr>
                <w:b w:val="0"/>
                <w:noProof/>
                <w:sz w:val="22"/>
              </w:rPr>
              <w:t>2.2 Cohesie, veerkracht en waarden</w:t>
            </w:r>
          </w:p>
        </w:tc>
        <w:tc>
          <w:tcPr>
            <w:tcW w:w="1529" w:type="dxa"/>
            <w:vAlign w:val="center"/>
          </w:tcPr>
          <w:p w14:paraId="46524460" w14:textId="07A740A9"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0,3</w:t>
            </w:r>
          </w:p>
        </w:tc>
        <w:tc>
          <w:tcPr>
            <w:tcW w:w="1559" w:type="dxa"/>
            <w:vAlign w:val="center"/>
          </w:tcPr>
          <w:p w14:paraId="5D15F462" w14:textId="36683A35"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0,7</w:t>
            </w:r>
          </w:p>
        </w:tc>
        <w:tc>
          <w:tcPr>
            <w:tcW w:w="1559" w:type="dxa"/>
            <w:vAlign w:val="center"/>
          </w:tcPr>
          <w:p w14:paraId="2E4D47D1" w14:textId="578DE08A"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0,9</w:t>
            </w:r>
          </w:p>
        </w:tc>
      </w:tr>
      <w:tr w:rsidR="003F3DAF" w:rsidRPr="0091354A" w14:paraId="1B56BBBE"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B20C7C9" w14:textId="77777777" w:rsidR="003F3DAF" w:rsidRPr="0091354A" w:rsidRDefault="003F3DAF" w:rsidP="003F3DAF">
            <w:pPr>
              <w:spacing w:after="120"/>
              <w:rPr>
                <w:rFonts w:eastAsia="Calibri"/>
                <w:b w:val="0"/>
                <w:bCs/>
                <w:noProof/>
                <w:sz w:val="22"/>
                <w:szCs w:val="18"/>
              </w:rPr>
            </w:pPr>
            <w:r>
              <w:rPr>
                <w:noProof/>
                <w:sz w:val="22"/>
              </w:rPr>
              <w:t>3 Natuurlijke hulpbronnen en milieu</w:t>
            </w:r>
          </w:p>
        </w:tc>
        <w:tc>
          <w:tcPr>
            <w:tcW w:w="1529" w:type="dxa"/>
            <w:vAlign w:val="center"/>
          </w:tcPr>
          <w:p w14:paraId="639D686C" w14:textId="78EBED70"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0,8</w:t>
            </w:r>
          </w:p>
        </w:tc>
        <w:tc>
          <w:tcPr>
            <w:tcW w:w="1559" w:type="dxa"/>
            <w:vAlign w:val="center"/>
          </w:tcPr>
          <w:p w14:paraId="28BBE18F" w14:textId="0E00E3B1"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0,8</w:t>
            </w:r>
          </w:p>
        </w:tc>
        <w:tc>
          <w:tcPr>
            <w:tcW w:w="1559" w:type="dxa"/>
            <w:vAlign w:val="center"/>
          </w:tcPr>
          <w:p w14:paraId="4AC8FB1F" w14:textId="532BB678"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1,5</w:t>
            </w:r>
          </w:p>
        </w:tc>
      </w:tr>
      <w:tr w:rsidR="003F3DAF" w:rsidRPr="0091354A" w14:paraId="1E09E5D0"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17D277D5" w14:textId="282FB3FB" w:rsidR="003F3DAF" w:rsidRPr="006E68CD" w:rsidRDefault="003F3DAF" w:rsidP="003F3DAF">
            <w:pPr>
              <w:spacing w:after="120"/>
              <w:rPr>
                <w:rFonts w:eastAsia="Calibri"/>
                <w:noProof/>
                <w:sz w:val="22"/>
                <w:szCs w:val="18"/>
              </w:rPr>
            </w:pPr>
            <w:r>
              <w:rPr>
                <w:b w:val="0"/>
                <w:noProof/>
                <w:sz w:val="22"/>
              </w:rPr>
              <w:t>3.2 Overige programma’s van Natuurlijke hulpbronnen en milieu</w:t>
            </w:r>
          </w:p>
        </w:tc>
        <w:tc>
          <w:tcPr>
            <w:tcW w:w="1529" w:type="dxa"/>
            <w:vAlign w:val="center"/>
          </w:tcPr>
          <w:p w14:paraId="004BE699" w14:textId="4F040A23"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0,8</w:t>
            </w:r>
          </w:p>
        </w:tc>
        <w:tc>
          <w:tcPr>
            <w:tcW w:w="1559" w:type="dxa"/>
            <w:vAlign w:val="center"/>
          </w:tcPr>
          <w:p w14:paraId="7ADA223E" w14:textId="6905B3CF"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0,8</w:t>
            </w:r>
          </w:p>
        </w:tc>
        <w:tc>
          <w:tcPr>
            <w:tcW w:w="1559" w:type="dxa"/>
            <w:vAlign w:val="center"/>
          </w:tcPr>
          <w:p w14:paraId="1D609A3D" w14:textId="1ACFF6E6"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1,5</w:t>
            </w:r>
          </w:p>
        </w:tc>
      </w:tr>
      <w:tr w:rsidR="003F3DAF" w:rsidRPr="0091354A" w14:paraId="5B84A525"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6BEB6B8B" w14:textId="77777777" w:rsidR="003F3DAF" w:rsidRPr="0091354A" w:rsidRDefault="003F3DAF" w:rsidP="003F3DAF">
            <w:pPr>
              <w:spacing w:after="120"/>
              <w:rPr>
                <w:rFonts w:eastAsia="Calibri"/>
                <w:b w:val="0"/>
                <w:bCs/>
                <w:noProof/>
                <w:sz w:val="22"/>
                <w:szCs w:val="18"/>
              </w:rPr>
            </w:pPr>
            <w:r>
              <w:rPr>
                <w:noProof/>
                <w:sz w:val="22"/>
              </w:rPr>
              <w:t>4 Migratie en grensbeheer</w:t>
            </w:r>
          </w:p>
        </w:tc>
        <w:tc>
          <w:tcPr>
            <w:tcW w:w="1529" w:type="dxa"/>
            <w:vAlign w:val="center"/>
          </w:tcPr>
          <w:p w14:paraId="41899221" w14:textId="373FA235"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0,3</w:t>
            </w:r>
          </w:p>
        </w:tc>
        <w:tc>
          <w:tcPr>
            <w:tcW w:w="1559" w:type="dxa"/>
            <w:vAlign w:val="center"/>
          </w:tcPr>
          <w:p w14:paraId="55B7E5B6" w14:textId="1F3E9E20"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0,5</w:t>
            </w:r>
          </w:p>
        </w:tc>
        <w:tc>
          <w:tcPr>
            <w:tcW w:w="1559" w:type="dxa"/>
            <w:vAlign w:val="center"/>
          </w:tcPr>
          <w:p w14:paraId="0AF45C46" w14:textId="4045076B"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0,8</w:t>
            </w:r>
          </w:p>
        </w:tc>
      </w:tr>
      <w:tr w:rsidR="003F3DAF" w:rsidRPr="0091354A" w14:paraId="23FC577F"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0AC073BB" w14:textId="77777777" w:rsidR="003F3DAF" w:rsidRPr="0091354A" w:rsidRDefault="003F3DAF" w:rsidP="003F3DAF">
            <w:pPr>
              <w:spacing w:after="120"/>
              <w:rPr>
                <w:rFonts w:eastAsia="Calibri"/>
                <w:b w:val="0"/>
                <w:bCs/>
                <w:noProof/>
                <w:sz w:val="22"/>
                <w:szCs w:val="18"/>
              </w:rPr>
            </w:pPr>
            <w:r>
              <w:rPr>
                <w:noProof/>
                <w:sz w:val="22"/>
              </w:rPr>
              <w:t>5 Veiligheid en defensie</w:t>
            </w:r>
          </w:p>
        </w:tc>
        <w:tc>
          <w:tcPr>
            <w:tcW w:w="1529" w:type="dxa"/>
            <w:vAlign w:val="center"/>
          </w:tcPr>
          <w:p w14:paraId="14248702" w14:textId="333A6CE3"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0,1</w:t>
            </w:r>
          </w:p>
        </w:tc>
        <w:tc>
          <w:tcPr>
            <w:tcW w:w="1559" w:type="dxa"/>
            <w:vAlign w:val="center"/>
          </w:tcPr>
          <w:p w14:paraId="585C026F" w14:textId="63701236"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0,1</w:t>
            </w:r>
          </w:p>
        </w:tc>
        <w:tc>
          <w:tcPr>
            <w:tcW w:w="1559" w:type="dxa"/>
            <w:vAlign w:val="center"/>
          </w:tcPr>
          <w:p w14:paraId="5CD64AB1" w14:textId="5D7781F9"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0,1</w:t>
            </w:r>
          </w:p>
        </w:tc>
      </w:tr>
      <w:tr w:rsidR="003F3DAF" w:rsidRPr="0091354A" w14:paraId="20C81CAC"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22B56BE5" w14:textId="77777777" w:rsidR="003F3DAF" w:rsidRPr="0091354A" w:rsidRDefault="003F3DAF" w:rsidP="003F3DAF">
            <w:pPr>
              <w:spacing w:after="120"/>
              <w:rPr>
                <w:rFonts w:eastAsia="Calibri"/>
                <w:b w:val="0"/>
                <w:bCs/>
                <w:noProof/>
                <w:sz w:val="22"/>
                <w:szCs w:val="18"/>
              </w:rPr>
            </w:pPr>
            <w:r>
              <w:rPr>
                <w:noProof/>
                <w:sz w:val="22"/>
              </w:rPr>
              <w:t>6 Nabuurschap en internationaal beleid</w:t>
            </w:r>
          </w:p>
        </w:tc>
        <w:tc>
          <w:tcPr>
            <w:tcW w:w="1529" w:type="dxa"/>
            <w:vAlign w:val="center"/>
          </w:tcPr>
          <w:p w14:paraId="24F8F1FB" w14:textId="4CC21DED"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0,1</w:t>
            </w:r>
          </w:p>
        </w:tc>
        <w:tc>
          <w:tcPr>
            <w:tcW w:w="1559" w:type="dxa"/>
            <w:vAlign w:val="center"/>
          </w:tcPr>
          <w:p w14:paraId="7D67F017" w14:textId="4E02D939"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0,3</w:t>
            </w:r>
          </w:p>
        </w:tc>
        <w:tc>
          <w:tcPr>
            <w:tcW w:w="1559" w:type="dxa"/>
            <w:vAlign w:val="center"/>
          </w:tcPr>
          <w:p w14:paraId="17728E41" w14:textId="5E544E86"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0,4</w:t>
            </w:r>
          </w:p>
        </w:tc>
      </w:tr>
      <w:tr w:rsidR="003F3DAF" w:rsidRPr="0091354A" w14:paraId="09827BE7" w14:textId="77777777" w:rsidTr="0078468D">
        <w:trPr>
          <w:trHeight w:val="300"/>
        </w:trPr>
        <w:tc>
          <w:tcPr>
            <w:cnfStyle w:val="001000000000" w:firstRow="0" w:lastRow="0" w:firstColumn="1" w:lastColumn="0" w:oddVBand="0" w:evenVBand="0" w:oddHBand="0" w:evenHBand="0" w:firstRowFirstColumn="0" w:firstRowLastColumn="0" w:lastRowFirstColumn="0" w:lastRowLastColumn="0"/>
            <w:tcW w:w="5102" w:type="dxa"/>
          </w:tcPr>
          <w:p w14:paraId="376CAE5A" w14:textId="77777777" w:rsidR="003F3DAF" w:rsidRPr="006E68CD" w:rsidRDefault="003F3DAF" w:rsidP="003F3DAF">
            <w:pPr>
              <w:spacing w:after="120"/>
              <w:rPr>
                <w:noProof/>
                <w:sz w:val="22"/>
                <w:szCs w:val="18"/>
              </w:rPr>
            </w:pPr>
            <w:r>
              <w:rPr>
                <w:noProof/>
                <w:sz w:val="22"/>
              </w:rPr>
              <w:t>Totaal</w:t>
            </w:r>
          </w:p>
        </w:tc>
        <w:tc>
          <w:tcPr>
            <w:tcW w:w="1529" w:type="dxa"/>
            <w:vAlign w:val="center"/>
          </w:tcPr>
          <w:p w14:paraId="5F6995F9" w14:textId="63555D51"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3,4</w:t>
            </w:r>
          </w:p>
        </w:tc>
        <w:tc>
          <w:tcPr>
            <w:tcW w:w="1559" w:type="dxa"/>
            <w:vAlign w:val="center"/>
          </w:tcPr>
          <w:p w14:paraId="70AB6525" w14:textId="5CE9E92E"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4,1</w:t>
            </w:r>
          </w:p>
        </w:tc>
        <w:tc>
          <w:tcPr>
            <w:tcW w:w="1559" w:type="dxa"/>
            <w:vAlign w:val="center"/>
          </w:tcPr>
          <w:p w14:paraId="7A5427A9" w14:textId="14A3741D" w:rsidR="003F3DAF" w:rsidRPr="0078468D" w:rsidRDefault="0007611D" w:rsidP="0078468D">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7,6</w:t>
            </w:r>
          </w:p>
        </w:tc>
      </w:tr>
    </w:tbl>
    <w:p w14:paraId="28227D46" w14:textId="77777777" w:rsidR="00812A24" w:rsidRDefault="00812A24" w:rsidP="00812A24">
      <w:pPr>
        <w:pStyle w:val="Heading2"/>
        <w:rPr>
          <w:rFonts w:cs="Times New Roman"/>
          <w:b w:val="0"/>
          <w:noProof/>
          <w:color w:val="auto"/>
          <w:sz w:val="20"/>
        </w:rPr>
      </w:pPr>
      <w:r>
        <w:rPr>
          <w:noProof/>
        </w:rPr>
        <w:br w:type="page"/>
      </w:r>
    </w:p>
    <w:p w14:paraId="6DD809FB" w14:textId="4BAF88DE" w:rsidR="00D66606" w:rsidRPr="00812A24" w:rsidRDefault="00D66606" w:rsidP="00812A24">
      <w:pPr>
        <w:pStyle w:val="Heading2"/>
        <w:rPr>
          <w:noProof/>
        </w:rPr>
      </w:pPr>
      <w:bookmarkStart w:id="70" w:name="_Toc107422060"/>
      <w:r>
        <w:rPr>
          <w:noProof/>
        </w:rPr>
        <w:t>Tabel 3 — Langetermijnprognose van uitstromen voor NextGenerationEU</w:t>
      </w:r>
      <w:bookmarkEnd w:id="70"/>
    </w:p>
    <w:tbl>
      <w:tblPr>
        <w:tblStyle w:val="AMPR2021"/>
        <w:tblW w:w="0" w:type="auto"/>
        <w:tblLayout w:type="fixed"/>
        <w:tblLook w:val="06A0" w:firstRow="1" w:lastRow="0" w:firstColumn="1" w:lastColumn="0" w:noHBand="1" w:noVBand="1"/>
      </w:tblPr>
      <w:tblGrid>
        <w:gridCol w:w="4025"/>
        <w:gridCol w:w="964"/>
        <w:gridCol w:w="964"/>
        <w:gridCol w:w="964"/>
        <w:gridCol w:w="964"/>
        <w:gridCol w:w="964"/>
        <w:gridCol w:w="964"/>
      </w:tblGrid>
      <w:tr w:rsidR="00D66606" w:rsidRPr="0091354A" w14:paraId="567FA151" w14:textId="77777777" w:rsidTr="00F86C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25" w:type="dxa"/>
          </w:tcPr>
          <w:p w14:paraId="1403E3D0" w14:textId="77777777" w:rsidR="00D66606" w:rsidRPr="006E68CD" w:rsidRDefault="00D66606" w:rsidP="00D66606">
            <w:pPr>
              <w:rPr>
                <w:rFonts w:eastAsia="Calibri"/>
                <w:noProof/>
                <w:sz w:val="22"/>
                <w:szCs w:val="18"/>
              </w:rPr>
            </w:pPr>
            <w:r>
              <w:rPr>
                <w:noProof/>
                <w:sz w:val="22"/>
              </w:rPr>
              <w:t>Programma</w:t>
            </w:r>
          </w:p>
        </w:tc>
        <w:tc>
          <w:tcPr>
            <w:tcW w:w="964" w:type="dxa"/>
          </w:tcPr>
          <w:p w14:paraId="74475F54"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2023</w:t>
            </w:r>
          </w:p>
        </w:tc>
        <w:tc>
          <w:tcPr>
            <w:tcW w:w="964" w:type="dxa"/>
          </w:tcPr>
          <w:p w14:paraId="7120FF44"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2024</w:t>
            </w:r>
          </w:p>
        </w:tc>
        <w:tc>
          <w:tcPr>
            <w:tcW w:w="964" w:type="dxa"/>
          </w:tcPr>
          <w:p w14:paraId="19EDC752"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2025</w:t>
            </w:r>
          </w:p>
        </w:tc>
        <w:tc>
          <w:tcPr>
            <w:tcW w:w="964" w:type="dxa"/>
          </w:tcPr>
          <w:p w14:paraId="520452C1"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2026</w:t>
            </w:r>
          </w:p>
        </w:tc>
        <w:tc>
          <w:tcPr>
            <w:tcW w:w="964" w:type="dxa"/>
          </w:tcPr>
          <w:p w14:paraId="0AE79846"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2027</w:t>
            </w:r>
          </w:p>
        </w:tc>
        <w:tc>
          <w:tcPr>
            <w:tcW w:w="964" w:type="dxa"/>
          </w:tcPr>
          <w:p w14:paraId="71C966F4" w14:textId="77777777" w:rsidR="00D66606" w:rsidRPr="006E68CD"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Totaal</w:t>
            </w:r>
          </w:p>
        </w:tc>
      </w:tr>
      <w:tr w:rsidR="00753354" w:rsidRPr="0091354A" w14:paraId="0678794E"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nil"/>
              <w:bottom w:val="single" w:sz="2" w:space="0" w:color="404040" w:themeColor="text1" w:themeTint="BF"/>
            </w:tcBorders>
          </w:tcPr>
          <w:p w14:paraId="795C71DF" w14:textId="77777777" w:rsidR="00753354" w:rsidRPr="0091354A" w:rsidRDefault="00753354" w:rsidP="00753354">
            <w:pPr>
              <w:spacing w:after="120"/>
              <w:rPr>
                <w:rFonts w:eastAsia="Calibri"/>
                <w:b w:val="0"/>
                <w:bCs/>
                <w:noProof/>
                <w:sz w:val="22"/>
                <w:szCs w:val="18"/>
              </w:rPr>
            </w:pPr>
            <w:r>
              <w:rPr>
                <w:noProof/>
                <w:sz w:val="22"/>
              </w:rPr>
              <w:t>Horizon Europa</w:t>
            </w:r>
          </w:p>
        </w:tc>
        <w:tc>
          <w:tcPr>
            <w:tcW w:w="964" w:type="dxa"/>
            <w:tcBorders>
              <w:top w:val="nil"/>
              <w:left w:val="nil"/>
              <w:bottom w:val="single" w:sz="2" w:space="0" w:color="404040" w:themeColor="text1" w:themeTint="BF"/>
              <w:right w:val="nil"/>
            </w:tcBorders>
            <w:shd w:val="clear" w:color="auto" w:fill="auto"/>
            <w:vAlign w:val="center"/>
          </w:tcPr>
          <w:p w14:paraId="6A8962DB" w14:textId="5DAA2D50"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1,8</w:t>
            </w:r>
          </w:p>
        </w:tc>
        <w:tc>
          <w:tcPr>
            <w:tcW w:w="964" w:type="dxa"/>
            <w:tcBorders>
              <w:top w:val="nil"/>
              <w:left w:val="nil"/>
              <w:bottom w:val="single" w:sz="2" w:space="0" w:color="404040" w:themeColor="text1" w:themeTint="BF"/>
              <w:right w:val="nil"/>
            </w:tcBorders>
            <w:shd w:val="clear" w:color="auto" w:fill="auto"/>
            <w:vAlign w:val="center"/>
          </w:tcPr>
          <w:p w14:paraId="33A26CA9" w14:textId="6499396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1,3</w:t>
            </w:r>
          </w:p>
        </w:tc>
        <w:tc>
          <w:tcPr>
            <w:tcW w:w="964" w:type="dxa"/>
            <w:tcBorders>
              <w:top w:val="nil"/>
              <w:left w:val="nil"/>
              <w:bottom w:val="single" w:sz="2" w:space="0" w:color="404040" w:themeColor="text1" w:themeTint="BF"/>
              <w:right w:val="nil"/>
            </w:tcBorders>
            <w:shd w:val="clear" w:color="auto" w:fill="auto"/>
            <w:vAlign w:val="center"/>
          </w:tcPr>
          <w:p w14:paraId="792F67F5" w14:textId="653C922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0,4</w:t>
            </w:r>
          </w:p>
        </w:tc>
        <w:tc>
          <w:tcPr>
            <w:tcW w:w="964" w:type="dxa"/>
            <w:tcBorders>
              <w:top w:val="nil"/>
              <w:left w:val="nil"/>
              <w:bottom w:val="single" w:sz="2" w:space="0" w:color="404040" w:themeColor="text1" w:themeTint="BF"/>
              <w:right w:val="nil"/>
            </w:tcBorders>
            <w:shd w:val="clear" w:color="auto" w:fill="auto"/>
            <w:vAlign w:val="center"/>
          </w:tcPr>
          <w:p w14:paraId="2AB416AB" w14:textId="5FC03C5C"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0,1</w:t>
            </w:r>
          </w:p>
        </w:tc>
        <w:tc>
          <w:tcPr>
            <w:tcW w:w="964" w:type="dxa"/>
            <w:tcBorders>
              <w:top w:val="nil"/>
              <w:left w:val="nil"/>
              <w:bottom w:val="single" w:sz="2" w:space="0" w:color="404040" w:themeColor="text1" w:themeTint="BF"/>
              <w:right w:val="nil"/>
            </w:tcBorders>
            <w:shd w:val="clear" w:color="auto" w:fill="auto"/>
            <w:vAlign w:val="center"/>
          </w:tcPr>
          <w:p w14:paraId="59D670EA" w14:textId="6CD86CDC"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nil"/>
              <w:left w:val="nil"/>
              <w:bottom w:val="single" w:sz="2" w:space="0" w:color="404040" w:themeColor="text1" w:themeTint="BF"/>
              <w:right w:val="nil"/>
            </w:tcBorders>
            <w:shd w:val="clear" w:color="auto" w:fill="auto"/>
            <w:vAlign w:val="center"/>
          </w:tcPr>
          <w:p w14:paraId="12B6B633" w14:textId="45D5332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3,5</w:t>
            </w:r>
          </w:p>
        </w:tc>
      </w:tr>
      <w:tr w:rsidR="00753354" w:rsidRPr="0091354A" w14:paraId="7BFAA26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56D25058" w14:textId="77777777" w:rsidR="00753354" w:rsidRPr="0091354A" w:rsidRDefault="00753354" w:rsidP="00753354">
            <w:pPr>
              <w:spacing w:after="120"/>
              <w:rPr>
                <w:rFonts w:eastAsia="Calibri"/>
                <w:b w:val="0"/>
                <w:bCs/>
                <w:noProof/>
                <w:sz w:val="22"/>
                <w:szCs w:val="18"/>
              </w:rPr>
            </w:pPr>
            <w:r>
              <w:rPr>
                <w:noProof/>
                <w:sz w:val="22"/>
              </w:rPr>
              <w:t>InvestEU-fonds</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D6123D9" w14:textId="1F18232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72A91A8A" w14:textId="7C08792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C6C10C0" w14:textId="6C1D015E"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8CB6FE4" w14:textId="2FCA6D82"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F904502" w14:textId="03D7DF8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CB44D00" w14:textId="0BA72CF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4,7</w:t>
            </w:r>
          </w:p>
        </w:tc>
      </w:tr>
      <w:tr w:rsidR="00753354" w:rsidRPr="0091354A" w14:paraId="6401E43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59366752" w14:textId="77777777" w:rsidR="00753354" w:rsidRPr="0091354A" w:rsidRDefault="00753354" w:rsidP="00753354">
            <w:pPr>
              <w:spacing w:after="120"/>
              <w:rPr>
                <w:rFonts w:eastAsia="Calibri"/>
                <w:b w:val="0"/>
                <w:bCs/>
                <w:noProof/>
                <w:sz w:val="22"/>
                <w:szCs w:val="18"/>
              </w:rPr>
            </w:pPr>
            <w:r>
              <w:rPr>
                <w:noProof/>
                <w:sz w:val="22"/>
              </w:rPr>
              <w:t>Europees Fonds voor Regionale Ontwikkeling (EFRO)</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7269D51" w14:textId="2773C66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F6DEED0" w14:textId="1F90629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3,5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776F78DA" w14:textId="01234BF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1,1</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A7C347E" w14:textId="422722E5"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9F66B76" w14:textId="727279F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D8575B7" w14:textId="2CBCF42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14,6</w:t>
            </w:r>
          </w:p>
        </w:tc>
      </w:tr>
      <w:tr w:rsidR="00753354" w:rsidRPr="0091354A" w14:paraId="48EACCF5"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379DF48B" w14:textId="77777777" w:rsidR="00753354" w:rsidRPr="0091354A" w:rsidRDefault="00753354" w:rsidP="00753354">
            <w:pPr>
              <w:spacing w:after="120"/>
              <w:rPr>
                <w:rFonts w:eastAsia="Calibri"/>
                <w:b w:val="0"/>
                <w:bCs/>
                <w:noProof/>
                <w:sz w:val="22"/>
                <w:szCs w:val="18"/>
              </w:rPr>
            </w:pPr>
            <w:r>
              <w:rPr>
                <w:noProof/>
                <w:sz w:val="22"/>
              </w:rPr>
              <w:t>Europees Sociaal Fonds (ESF)</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41BB400E" w14:textId="0FE9DFE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5,5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47951E78" w14:textId="1A3EF88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6,2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EBEC313" w14:textId="7CD156E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2,4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74E95CE" w14:textId="0600433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CD5DADF" w14:textId="531FB10E"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33A9174" w14:textId="01D84DA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14,1</w:t>
            </w:r>
          </w:p>
        </w:tc>
      </w:tr>
      <w:tr w:rsidR="00753354" w:rsidRPr="0091354A" w14:paraId="134C9CCD"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72C5A738" w14:textId="77777777" w:rsidR="00753354" w:rsidRPr="0091354A" w:rsidRDefault="00753354" w:rsidP="00753354">
            <w:pPr>
              <w:spacing w:after="120"/>
              <w:rPr>
                <w:rFonts w:eastAsia="Calibri"/>
                <w:b w:val="0"/>
                <w:bCs/>
                <w:noProof/>
                <w:sz w:val="22"/>
                <w:szCs w:val="18"/>
              </w:rPr>
            </w:pPr>
            <w:r>
              <w:rPr>
                <w:noProof/>
                <w:sz w:val="22"/>
              </w:rPr>
              <w:t>Europese faciliteit voor herstel en veerkracht</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3AD15D8" w14:textId="6227411A"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76,4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422BB4BE" w14:textId="16F968F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56,9</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1C1BC7C" w14:textId="54C815C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38,5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068A443" w14:textId="32E1B93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50,6</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9724F31" w14:textId="0121FFCE"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154F51F" w14:textId="105F40C7"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222,4</w:t>
            </w:r>
          </w:p>
        </w:tc>
      </w:tr>
      <w:tr w:rsidR="00753354" w:rsidRPr="0091354A" w14:paraId="3F431158"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7D282595" w14:textId="77777777" w:rsidR="00753354" w:rsidRPr="0091354A" w:rsidRDefault="00753354" w:rsidP="00753354">
            <w:pPr>
              <w:spacing w:after="120"/>
              <w:rPr>
                <w:rFonts w:eastAsia="Calibri"/>
                <w:b w:val="0"/>
                <w:bCs/>
                <w:noProof/>
                <w:sz w:val="22"/>
                <w:szCs w:val="18"/>
              </w:rPr>
            </w:pPr>
            <w:r>
              <w:rPr>
                <w:noProof/>
                <w:sz w:val="22"/>
              </w:rPr>
              <w:t>Uniemechanisme voor civiele bescherming (RescEU)</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836BF6A" w14:textId="3144DBF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0,5</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75A09C5" w14:textId="39B6CD7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0,8</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4359041" w14:textId="34F4F15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65EBBE3D" w14:textId="33DB3AB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FEE25F2" w14:textId="7C6893C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E326B17" w14:textId="52FB6CC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1,9</w:t>
            </w:r>
          </w:p>
        </w:tc>
      </w:tr>
      <w:tr w:rsidR="00753354" w:rsidRPr="0091354A" w14:paraId="20EB6E9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0AFD3B75" w14:textId="77777777" w:rsidR="00753354" w:rsidRPr="0091354A" w:rsidRDefault="00753354" w:rsidP="00753354">
            <w:pPr>
              <w:spacing w:after="120"/>
              <w:rPr>
                <w:rFonts w:eastAsia="Calibri"/>
                <w:b w:val="0"/>
                <w:bCs/>
                <w:noProof/>
                <w:sz w:val="22"/>
                <w:szCs w:val="18"/>
              </w:rPr>
            </w:pPr>
            <w:r>
              <w:rPr>
                <w:noProof/>
                <w:sz w:val="22"/>
              </w:rPr>
              <w:t>Europees Landbouwfonds voor plattelandsontwikkeling (Elfpo)</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FDEACDB" w14:textId="1288DC72"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2,4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C9A0DA0" w14:textId="277DC63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2,1</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D097238" w14:textId="1F2962A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1,4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E6F7F92" w14:textId="11B974A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0,7</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67DEAD7" w14:textId="12BC42E5"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7A71C0A" w14:textId="5B5F0F1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6,6</w:t>
            </w:r>
          </w:p>
        </w:tc>
      </w:tr>
      <w:tr w:rsidR="00753354" w:rsidRPr="0091354A" w14:paraId="550D59DA"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single" w:sz="2" w:space="0" w:color="404040" w:themeColor="text1" w:themeTint="BF"/>
            </w:tcBorders>
          </w:tcPr>
          <w:p w14:paraId="02FF8C14" w14:textId="77777777" w:rsidR="00753354" w:rsidRPr="0091354A" w:rsidRDefault="00753354" w:rsidP="00753354">
            <w:pPr>
              <w:spacing w:after="120"/>
              <w:rPr>
                <w:rFonts w:eastAsia="Calibri"/>
                <w:b w:val="0"/>
                <w:bCs/>
                <w:noProof/>
                <w:sz w:val="22"/>
                <w:szCs w:val="18"/>
              </w:rPr>
            </w:pPr>
            <w:r>
              <w:rPr>
                <w:noProof/>
                <w:sz w:val="22"/>
              </w:rPr>
              <w:t>Fonds voor een rechtvaardige transitie</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0AD853A" w14:textId="188C66A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0,2</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3BDCD11F" w14:textId="7612968A" w:rsidR="00753354" w:rsidRPr="0078468D" w:rsidRDefault="00E26C58"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2,4</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214F74F2" w14:textId="13376959"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4,0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004623DC" w14:textId="4A329703" w:rsidR="00753354" w:rsidRPr="0078468D" w:rsidRDefault="00E26C58"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4,1</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1DDA6E63" w14:textId="2A0889D3"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i/>
                <w:noProof/>
                <w:sz w:val="22"/>
                <w:szCs w:val="18"/>
              </w:rPr>
            </w:pPr>
            <w:r>
              <w:rPr>
                <w:i/>
                <w:noProof/>
                <w:sz w:val="22"/>
              </w:rPr>
              <w:t>0,0</w:t>
            </w:r>
          </w:p>
        </w:tc>
        <w:tc>
          <w:tcPr>
            <w:tcW w:w="964" w:type="dxa"/>
            <w:tcBorders>
              <w:top w:val="single" w:sz="2" w:space="0" w:color="404040" w:themeColor="text1" w:themeTint="BF"/>
              <w:left w:val="nil"/>
              <w:bottom w:val="single" w:sz="2" w:space="0" w:color="404040" w:themeColor="text1" w:themeTint="BF"/>
              <w:right w:val="nil"/>
            </w:tcBorders>
            <w:shd w:val="clear" w:color="auto" w:fill="auto"/>
            <w:vAlign w:val="center"/>
          </w:tcPr>
          <w:p w14:paraId="5FC9A009" w14:textId="249C38C6"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10,7</w:t>
            </w:r>
          </w:p>
        </w:tc>
      </w:tr>
      <w:tr w:rsidR="00753354" w:rsidRPr="0091354A" w14:paraId="4B56B5BF" w14:textId="77777777" w:rsidTr="00F86C66">
        <w:trPr>
          <w:trHeight w:val="300"/>
        </w:trPr>
        <w:tc>
          <w:tcPr>
            <w:cnfStyle w:val="001000000000" w:firstRow="0" w:lastRow="0" w:firstColumn="1" w:lastColumn="0" w:oddVBand="0" w:evenVBand="0" w:oddHBand="0" w:evenHBand="0" w:firstRowFirstColumn="0" w:firstRowLastColumn="0" w:lastRowFirstColumn="0" w:lastRowLastColumn="0"/>
            <w:tcW w:w="4025" w:type="dxa"/>
            <w:tcBorders>
              <w:top w:val="single" w:sz="2" w:space="0" w:color="404040" w:themeColor="text1" w:themeTint="BF"/>
              <w:bottom w:val="nil"/>
            </w:tcBorders>
          </w:tcPr>
          <w:p w14:paraId="7C3CDF33" w14:textId="77777777" w:rsidR="00753354" w:rsidRPr="0091354A" w:rsidRDefault="00753354" w:rsidP="00753354">
            <w:pPr>
              <w:spacing w:after="120"/>
              <w:rPr>
                <w:rFonts w:eastAsia="Calibri"/>
                <w:noProof/>
                <w:sz w:val="22"/>
                <w:szCs w:val="18"/>
              </w:rPr>
            </w:pPr>
            <w:r>
              <w:rPr>
                <w:noProof/>
                <w:sz w:val="22"/>
              </w:rPr>
              <w:t>Totaal</w:t>
            </w:r>
          </w:p>
        </w:tc>
        <w:tc>
          <w:tcPr>
            <w:tcW w:w="964" w:type="dxa"/>
            <w:tcBorders>
              <w:top w:val="single" w:sz="2" w:space="0" w:color="404040" w:themeColor="text1" w:themeTint="BF"/>
              <w:left w:val="nil"/>
              <w:bottom w:val="nil"/>
              <w:right w:val="nil"/>
            </w:tcBorders>
            <w:shd w:val="clear" w:color="auto" w:fill="auto"/>
            <w:vAlign w:val="center"/>
          </w:tcPr>
          <w:p w14:paraId="464BB405" w14:textId="11D81E6B"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98,0</w:t>
            </w:r>
          </w:p>
        </w:tc>
        <w:tc>
          <w:tcPr>
            <w:tcW w:w="964" w:type="dxa"/>
            <w:tcBorders>
              <w:top w:val="single" w:sz="2" w:space="0" w:color="404040" w:themeColor="text1" w:themeTint="BF"/>
              <w:left w:val="nil"/>
              <w:bottom w:val="nil"/>
              <w:right w:val="nil"/>
            </w:tcBorders>
            <w:shd w:val="clear" w:color="auto" w:fill="auto"/>
            <w:vAlign w:val="center"/>
          </w:tcPr>
          <w:p w14:paraId="6145ED78" w14:textId="2B13978F"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74,5</w:t>
            </w:r>
          </w:p>
        </w:tc>
        <w:tc>
          <w:tcPr>
            <w:tcW w:w="964" w:type="dxa"/>
            <w:tcBorders>
              <w:top w:val="single" w:sz="2" w:space="0" w:color="404040" w:themeColor="text1" w:themeTint="BF"/>
              <w:left w:val="nil"/>
              <w:bottom w:val="nil"/>
              <w:right w:val="nil"/>
            </w:tcBorders>
            <w:shd w:val="clear" w:color="auto" w:fill="auto"/>
            <w:vAlign w:val="center"/>
          </w:tcPr>
          <w:p w14:paraId="52B403A3" w14:textId="29AA14A1"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48,9</w:t>
            </w:r>
          </w:p>
        </w:tc>
        <w:tc>
          <w:tcPr>
            <w:tcW w:w="964" w:type="dxa"/>
            <w:tcBorders>
              <w:top w:val="single" w:sz="2" w:space="0" w:color="404040" w:themeColor="text1" w:themeTint="BF"/>
              <w:left w:val="nil"/>
              <w:bottom w:val="nil"/>
              <w:right w:val="nil"/>
            </w:tcBorders>
            <w:shd w:val="clear" w:color="auto" w:fill="auto"/>
            <w:vAlign w:val="center"/>
          </w:tcPr>
          <w:p w14:paraId="5EFC6565" w14:textId="24D2D224"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56,8</w:t>
            </w:r>
          </w:p>
        </w:tc>
        <w:tc>
          <w:tcPr>
            <w:tcW w:w="964" w:type="dxa"/>
            <w:tcBorders>
              <w:top w:val="single" w:sz="2" w:space="0" w:color="404040" w:themeColor="text1" w:themeTint="BF"/>
              <w:left w:val="nil"/>
              <w:bottom w:val="nil"/>
              <w:right w:val="nil"/>
            </w:tcBorders>
            <w:shd w:val="clear" w:color="auto" w:fill="auto"/>
            <w:vAlign w:val="center"/>
          </w:tcPr>
          <w:p w14:paraId="13CAC416" w14:textId="77A2F38B"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0,2</w:t>
            </w:r>
          </w:p>
        </w:tc>
        <w:tc>
          <w:tcPr>
            <w:tcW w:w="964" w:type="dxa"/>
            <w:tcBorders>
              <w:top w:val="single" w:sz="2" w:space="0" w:color="404040" w:themeColor="text1" w:themeTint="BF"/>
              <w:left w:val="nil"/>
              <w:bottom w:val="nil"/>
              <w:right w:val="nil"/>
            </w:tcBorders>
            <w:shd w:val="clear" w:color="auto" w:fill="auto"/>
            <w:vAlign w:val="center"/>
          </w:tcPr>
          <w:p w14:paraId="64D14526" w14:textId="41661FE5" w:rsidR="00753354" w:rsidRPr="0078468D" w:rsidRDefault="00CF1E87" w:rsidP="00010355">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i/>
                <w:noProof/>
                <w:sz w:val="22"/>
                <w:szCs w:val="18"/>
              </w:rPr>
            </w:pPr>
            <w:r>
              <w:rPr>
                <w:b/>
                <w:i/>
                <w:noProof/>
                <w:sz w:val="22"/>
              </w:rPr>
              <w:t>278,4</w:t>
            </w:r>
          </w:p>
        </w:tc>
      </w:tr>
    </w:tbl>
    <w:p w14:paraId="58872C4A" w14:textId="77777777" w:rsidR="00D66606" w:rsidRDefault="00D66606" w:rsidP="00D66606">
      <w:pPr>
        <w:rPr>
          <w:noProof/>
        </w:rPr>
      </w:pPr>
    </w:p>
    <w:p w14:paraId="221B26C0" w14:textId="17FE1550" w:rsidR="00D66606" w:rsidRDefault="00D66606" w:rsidP="005C3B14">
      <w:pPr>
        <w:pStyle w:val="Heading2"/>
        <w:rPr>
          <w:noProof/>
        </w:rPr>
      </w:pPr>
      <w:bookmarkStart w:id="71" w:name="_Toc107422061"/>
      <w:r>
        <w:rPr>
          <w:noProof/>
        </w:rPr>
        <w:t>Tabel 4 — Verandering in het totaal aan uitstaande vastleggingen van 2023 tot en met 2027</w:t>
      </w:r>
      <w:bookmarkEnd w:id="71"/>
    </w:p>
    <w:tbl>
      <w:tblPr>
        <w:tblW w:w="9961" w:type="dxa"/>
        <w:tblInd w:w="93" w:type="dxa"/>
        <w:tblLook w:val="04A0" w:firstRow="1" w:lastRow="0" w:firstColumn="1" w:lastColumn="0" w:noHBand="0" w:noVBand="1"/>
      </w:tblPr>
      <w:tblGrid>
        <w:gridCol w:w="9961"/>
      </w:tblGrid>
      <w:tr w:rsidR="00D66606" w:rsidRPr="007E3223" w14:paraId="1064B21F" w14:textId="77777777" w:rsidTr="00D66606">
        <w:trPr>
          <w:trHeight w:val="315"/>
        </w:trPr>
        <w:tc>
          <w:tcPr>
            <w:tcW w:w="9961" w:type="dxa"/>
            <w:shd w:val="clear" w:color="auto" w:fill="auto"/>
            <w:noWrap/>
            <w:vAlign w:val="center"/>
            <w:hideMark/>
          </w:tcPr>
          <w:tbl>
            <w:tblPr>
              <w:tblStyle w:val="AMPR2021"/>
              <w:tblW w:w="0" w:type="auto"/>
              <w:tblLook w:val="06A0" w:firstRow="1" w:lastRow="0" w:firstColumn="1" w:lastColumn="0" w:noHBand="1" w:noVBand="1"/>
            </w:tblPr>
            <w:tblGrid>
              <w:gridCol w:w="1230"/>
              <w:gridCol w:w="1647"/>
              <w:gridCol w:w="1647"/>
              <w:gridCol w:w="1647"/>
              <w:gridCol w:w="1849"/>
              <w:gridCol w:w="1647"/>
              <w:gridCol w:w="64"/>
            </w:tblGrid>
            <w:tr w:rsidR="00D66606" w:rsidRPr="0091354A" w14:paraId="3B03A292" w14:textId="77777777" w:rsidTr="00ED4693">
              <w:trPr>
                <w:gridAfter w:val="1"/>
                <w:cnfStyle w:val="100000000000" w:firstRow="1" w:lastRow="0" w:firstColumn="0" w:lastColumn="0" w:oddVBand="0" w:evenVBand="0" w:oddHBand="0" w:evenHBand="0" w:firstRowFirstColumn="0" w:firstRowLastColumn="0" w:lastRowFirstColumn="0" w:lastRowLastColumn="0"/>
                <w:wAfter w:w="64" w:type="dxa"/>
                <w:trHeight w:val="300"/>
              </w:trPr>
              <w:tc>
                <w:tcPr>
                  <w:cnfStyle w:val="001000000000" w:firstRow="0" w:lastRow="0" w:firstColumn="1" w:lastColumn="0" w:oddVBand="0" w:evenVBand="0" w:oddHBand="0" w:evenHBand="0" w:firstRowFirstColumn="0" w:firstRowLastColumn="0" w:lastRowFirstColumn="0" w:lastRowLastColumn="0"/>
                  <w:tcW w:w="1230" w:type="dxa"/>
                </w:tcPr>
                <w:p w14:paraId="06AA6906" w14:textId="77777777" w:rsidR="00D66606" w:rsidRPr="0091354A" w:rsidRDefault="00D66606" w:rsidP="00D66606">
                  <w:pPr>
                    <w:rPr>
                      <w:rFonts w:eastAsia="Calibri"/>
                      <w:noProof/>
                      <w:sz w:val="22"/>
                      <w:szCs w:val="18"/>
                    </w:rPr>
                  </w:pPr>
                  <w:r>
                    <w:rPr>
                      <w:noProof/>
                      <w:sz w:val="22"/>
                    </w:rPr>
                    <w:t>Bron</w:t>
                  </w:r>
                </w:p>
              </w:tc>
              <w:tc>
                <w:tcPr>
                  <w:tcW w:w="1647" w:type="dxa"/>
                </w:tcPr>
                <w:p w14:paraId="528BB36A" w14:textId="48CD349F"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RAL begin-2023* (raming)</w:t>
                  </w:r>
                </w:p>
              </w:tc>
              <w:tc>
                <w:tcPr>
                  <w:tcW w:w="1647" w:type="dxa"/>
                </w:tcPr>
                <w:p w14:paraId="546ED81A"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Vastleggingen 2023-2027</w:t>
                  </w:r>
                </w:p>
              </w:tc>
              <w:tc>
                <w:tcPr>
                  <w:tcW w:w="1647" w:type="dxa"/>
                </w:tcPr>
                <w:p w14:paraId="3B653B2E"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Betalingen 2023-2027</w:t>
                  </w:r>
                </w:p>
              </w:tc>
              <w:tc>
                <w:tcPr>
                  <w:tcW w:w="1849" w:type="dxa"/>
                </w:tcPr>
                <w:p w14:paraId="359C3678"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Vrijmakingen 2023-2027</w:t>
                  </w:r>
                </w:p>
              </w:tc>
              <w:tc>
                <w:tcPr>
                  <w:tcW w:w="1647" w:type="dxa"/>
                </w:tcPr>
                <w:p w14:paraId="44E25C81" w14:textId="77777777" w:rsidR="00D66606" w:rsidRPr="0091354A" w:rsidRDefault="00D66606" w:rsidP="00D66606">
                  <w:pPr>
                    <w:cnfStyle w:val="100000000000" w:firstRow="1" w:lastRow="0" w:firstColumn="0" w:lastColumn="0" w:oddVBand="0" w:evenVBand="0" w:oddHBand="0" w:evenHBand="0" w:firstRowFirstColumn="0" w:firstRowLastColumn="0" w:lastRowFirstColumn="0" w:lastRowLastColumn="0"/>
                    <w:rPr>
                      <w:rFonts w:eastAsia="Calibri"/>
                      <w:b w:val="0"/>
                      <w:bCs/>
                      <w:noProof/>
                      <w:sz w:val="22"/>
                      <w:szCs w:val="18"/>
                    </w:rPr>
                  </w:pPr>
                  <w:r>
                    <w:rPr>
                      <w:noProof/>
                      <w:sz w:val="22"/>
                    </w:rPr>
                    <w:t>RAL eind 2027</w:t>
                  </w:r>
                </w:p>
              </w:tc>
            </w:tr>
            <w:tr w:rsidR="00ED4693" w:rsidRPr="00F86C66" w14:paraId="2B769F33" w14:textId="77777777" w:rsidTr="007D485F">
              <w:trPr>
                <w:gridAfter w:val="1"/>
                <w:wAfter w:w="64" w:type="dxa"/>
                <w:trHeight w:val="454"/>
              </w:trPr>
              <w:tc>
                <w:tcPr>
                  <w:cnfStyle w:val="001000000000" w:firstRow="0" w:lastRow="0" w:firstColumn="1" w:lastColumn="0" w:oddVBand="0" w:evenVBand="0" w:oddHBand="0" w:evenHBand="0" w:firstRowFirstColumn="0" w:firstRowLastColumn="0" w:lastRowFirstColumn="0" w:lastRowLastColumn="0"/>
                  <w:tcW w:w="1230" w:type="dxa"/>
                </w:tcPr>
                <w:p w14:paraId="15808F7C" w14:textId="77777777" w:rsidR="00ED4693" w:rsidRPr="0091354A" w:rsidRDefault="00ED4693" w:rsidP="00ED4693">
                  <w:pPr>
                    <w:rPr>
                      <w:rFonts w:eastAsia="Calibri"/>
                      <w:noProof/>
                      <w:sz w:val="22"/>
                      <w:szCs w:val="18"/>
                    </w:rPr>
                  </w:pPr>
                  <w:r>
                    <w:rPr>
                      <w:noProof/>
                      <w:sz w:val="22"/>
                    </w:rPr>
                    <w:t xml:space="preserve">MFK </w:t>
                  </w:r>
                </w:p>
              </w:tc>
              <w:tc>
                <w:tcPr>
                  <w:tcW w:w="1647" w:type="dxa"/>
                  <w:vAlign w:val="bottom"/>
                </w:tcPr>
                <w:p w14:paraId="000D56BA" w14:textId="05E26C89"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259,8</w:t>
                  </w:r>
                </w:p>
              </w:tc>
              <w:tc>
                <w:tcPr>
                  <w:tcW w:w="1647" w:type="dxa"/>
                  <w:vAlign w:val="bottom"/>
                </w:tcPr>
                <w:p w14:paraId="1AC4C669" w14:textId="5A6A7D2A"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939,4</w:t>
                  </w:r>
                </w:p>
              </w:tc>
              <w:tc>
                <w:tcPr>
                  <w:tcW w:w="1647" w:type="dxa"/>
                  <w:vAlign w:val="bottom"/>
                </w:tcPr>
                <w:p w14:paraId="09FC5D67" w14:textId="46D48339" w:rsidR="00ED4693" w:rsidRPr="00F86C66" w:rsidRDefault="00CF1E87" w:rsidP="00C63499">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877,3</w:t>
                  </w:r>
                </w:p>
              </w:tc>
              <w:tc>
                <w:tcPr>
                  <w:tcW w:w="1849" w:type="dxa"/>
                  <w:vAlign w:val="bottom"/>
                </w:tcPr>
                <w:p w14:paraId="3197DC76" w14:textId="31AF2DD0"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7,6</w:t>
                  </w:r>
                </w:p>
              </w:tc>
              <w:tc>
                <w:tcPr>
                  <w:tcW w:w="1647" w:type="dxa"/>
                  <w:vAlign w:val="bottom"/>
                </w:tcPr>
                <w:p w14:paraId="29F15C82" w14:textId="0E255717" w:rsidR="00ED4693" w:rsidRPr="00F86C66" w:rsidRDefault="00F86C66"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314,4</w:t>
                  </w:r>
                </w:p>
              </w:tc>
            </w:tr>
            <w:tr w:rsidR="00D66606" w:rsidRPr="0091354A" w14:paraId="42B3C074" w14:textId="77777777" w:rsidTr="0078468D">
              <w:trPr>
                <w:trHeight w:val="454"/>
              </w:trPr>
              <w:tc>
                <w:tcPr>
                  <w:cnfStyle w:val="001000000000" w:firstRow="0" w:lastRow="0" w:firstColumn="1" w:lastColumn="0" w:oddVBand="0" w:evenVBand="0" w:oddHBand="0" w:evenHBand="0" w:firstRowFirstColumn="0" w:firstRowLastColumn="0" w:lastRowFirstColumn="0" w:lastRowLastColumn="0"/>
                  <w:tcW w:w="1230" w:type="dxa"/>
                </w:tcPr>
                <w:p w14:paraId="00C6354F" w14:textId="77777777" w:rsidR="00D66606" w:rsidRPr="0091354A" w:rsidRDefault="00D66606" w:rsidP="00D66606">
                  <w:pPr>
                    <w:rPr>
                      <w:rFonts w:eastAsia="Calibri"/>
                      <w:noProof/>
                      <w:sz w:val="22"/>
                      <w:szCs w:val="18"/>
                    </w:rPr>
                  </w:pPr>
                  <w:r>
                    <w:rPr>
                      <w:noProof/>
                      <w:sz w:val="22"/>
                    </w:rPr>
                    <w:t xml:space="preserve">NGEU </w:t>
                  </w:r>
                </w:p>
              </w:tc>
              <w:tc>
                <w:tcPr>
                  <w:tcW w:w="1647" w:type="dxa"/>
                  <w:vAlign w:val="bottom"/>
                </w:tcPr>
                <w:p w14:paraId="4EF7B9A4" w14:textId="423C7848"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165,4</w:t>
                  </w:r>
                </w:p>
              </w:tc>
              <w:tc>
                <w:tcPr>
                  <w:tcW w:w="1647" w:type="dxa"/>
                  <w:vAlign w:val="bottom"/>
                </w:tcPr>
                <w:p w14:paraId="1099AD49" w14:textId="24DF43F1"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113,0</w:t>
                  </w:r>
                </w:p>
              </w:tc>
              <w:tc>
                <w:tcPr>
                  <w:tcW w:w="1647" w:type="dxa"/>
                  <w:vAlign w:val="bottom"/>
                </w:tcPr>
                <w:p w14:paraId="72998D40" w14:textId="243E299A"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278,4</w:t>
                  </w:r>
                </w:p>
              </w:tc>
              <w:tc>
                <w:tcPr>
                  <w:tcW w:w="1849" w:type="dxa"/>
                  <w:vAlign w:val="bottom"/>
                </w:tcPr>
                <w:p w14:paraId="07CCD840" w14:textId="77777777" w:rsidR="00D66606" w:rsidRPr="00F86C66" w:rsidRDefault="00D66606"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p>
              </w:tc>
              <w:tc>
                <w:tcPr>
                  <w:tcW w:w="1647" w:type="dxa"/>
                  <w:gridSpan w:val="2"/>
                  <w:vAlign w:val="bottom"/>
                </w:tcPr>
                <w:p w14:paraId="5890B670" w14:textId="7FCEC37F" w:rsidR="00D66606"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noProof/>
                      <w:sz w:val="22"/>
                      <w:szCs w:val="18"/>
                    </w:rPr>
                  </w:pPr>
                  <w:r>
                    <w:rPr>
                      <w:noProof/>
                      <w:sz w:val="22"/>
                    </w:rPr>
                    <w:t>0,0</w:t>
                  </w:r>
                </w:p>
              </w:tc>
            </w:tr>
            <w:tr w:rsidR="00ED4693" w:rsidRPr="0091354A" w14:paraId="6288F48E" w14:textId="77777777" w:rsidTr="0078468D">
              <w:trPr>
                <w:trHeight w:val="454"/>
              </w:trPr>
              <w:tc>
                <w:tcPr>
                  <w:cnfStyle w:val="001000000000" w:firstRow="0" w:lastRow="0" w:firstColumn="1" w:lastColumn="0" w:oddVBand="0" w:evenVBand="0" w:oddHBand="0" w:evenHBand="0" w:firstRowFirstColumn="0" w:firstRowLastColumn="0" w:lastRowFirstColumn="0" w:lastRowLastColumn="0"/>
                  <w:tcW w:w="1230" w:type="dxa"/>
                </w:tcPr>
                <w:p w14:paraId="04EAECD9" w14:textId="77777777" w:rsidR="00ED4693" w:rsidRPr="0091354A" w:rsidRDefault="00ED4693" w:rsidP="00ED4693">
                  <w:pPr>
                    <w:rPr>
                      <w:rFonts w:eastAsia="Calibri"/>
                      <w:noProof/>
                      <w:sz w:val="22"/>
                      <w:szCs w:val="18"/>
                    </w:rPr>
                  </w:pPr>
                  <w:r>
                    <w:rPr>
                      <w:noProof/>
                      <w:sz w:val="22"/>
                    </w:rPr>
                    <w:t>Totaal</w:t>
                  </w:r>
                </w:p>
              </w:tc>
              <w:tc>
                <w:tcPr>
                  <w:tcW w:w="1647" w:type="dxa"/>
                  <w:tcBorders>
                    <w:top w:val="nil"/>
                    <w:left w:val="nil"/>
                    <w:bottom w:val="nil"/>
                    <w:right w:val="nil"/>
                  </w:tcBorders>
                  <w:shd w:val="clear" w:color="auto" w:fill="auto"/>
                  <w:vAlign w:val="bottom"/>
                </w:tcPr>
                <w:p w14:paraId="438CF7FB" w14:textId="3A2ED513"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425,1</w:t>
                  </w:r>
                </w:p>
              </w:tc>
              <w:tc>
                <w:tcPr>
                  <w:tcW w:w="1647" w:type="dxa"/>
                  <w:tcBorders>
                    <w:top w:val="nil"/>
                    <w:left w:val="nil"/>
                    <w:bottom w:val="nil"/>
                    <w:right w:val="nil"/>
                  </w:tcBorders>
                  <w:shd w:val="clear" w:color="auto" w:fill="auto"/>
                  <w:vAlign w:val="bottom"/>
                </w:tcPr>
                <w:p w14:paraId="1212260A" w14:textId="70C537E6"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1052,5</w:t>
                  </w:r>
                </w:p>
              </w:tc>
              <w:tc>
                <w:tcPr>
                  <w:tcW w:w="1647" w:type="dxa"/>
                  <w:tcBorders>
                    <w:top w:val="nil"/>
                    <w:left w:val="nil"/>
                    <w:bottom w:val="nil"/>
                    <w:right w:val="nil"/>
                  </w:tcBorders>
                  <w:shd w:val="clear" w:color="auto" w:fill="auto"/>
                  <w:vAlign w:val="bottom"/>
                </w:tcPr>
                <w:p w14:paraId="5D49F68B" w14:textId="58FE784D"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1155,6</w:t>
                  </w:r>
                </w:p>
              </w:tc>
              <w:tc>
                <w:tcPr>
                  <w:tcW w:w="1849" w:type="dxa"/>
                  <w:tcBorders>
                    <w:top w:val="nil"/>
                    <w:left w:val="nil"/>
                    <w:bottom w:val="nil"/>
                    <w:right w:val="nil"/>
                  </w:tcBorders>
                  <w:shd w:val="clear" w:color="auto" w:fill="auto"/>
                  <w:vAlign w:val="bottom"/>
                </w:tcPr>
                <w:p w14:paraId="79841313" w14:textId="786C36CE"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7,6</w:t>
                  </w:r>
                </w:p>
              </w:tc>
              <w:tc>
                <w:tcPr>
                  <w:tcW w:w="1647" w:type="dxa"/>
                  <w:gridSpan w:val="2"/>
                  <w:tcBorders>
                    <w:top w:val="nil"/>
                    <w:left w:val="nil"/>
                    <w:bottom w:val="nil"/>
                    <w:right w:val="nil"/>
                  </w:tcBorders>
                  <w:shd w:val="clear" w:color="auto" w:fill="auto"/>
                  <w:vAlign w:val="bottom"/>
                </w:tcPr>
                <w:p w14:paraId="5ADCC546" w14:textId="18B2B959" w:rsidR="00ED4693" w:rsidRPr="00F86C66" w:rsidRDefault="00CF1E87" w:rsidP="00F86C66">
                  <w:pPr>
                    <w:spacing w:after="120" w:line="22" w:lineRule="atLeast"/>
                    <w:jc w:val="right"/>
                    <w:cnfStyle w:val="000000000000" w:firstRow="0" w:lastRow="0" w:firstColumn="0" w:lastColumn="0" w:oddVBand="0" w:evenVBand="0" w:oddHBand="0" w:evenHBand="0" w:firstRowFirstColumn="0" w:firstRowLastColumn="0" w:lastRowFirstColumn="0" w:lastRowLastColumn="0"/>
                    <w:rPr>
                      <w:rFonts w:eastAsia="Calibri"/>
                      <w:b/>
                      <w:noProof/>
                      <w:sz w:val="22"/>
                      <w:szCs w:val="18"/>
                    </w:rPr>
                  </w:pPr>
                  <w:r>
                    <w:rPr>
                      <w:b/>
                      <w:noProof/>
                      <w:sz w:val="22"/>
                    </w:rPr>
                    <w:t>314,4</w:t>
                  </w:r>
                </w:p>
              </w:tc>
            </w:tr>
          </w:tbl>
          <w:p w14:paraId="3B1ADB88" w14:textId="77777777" w:rsidR="00D66606" w:rsidRPr="007E3223" w:rsidRDefault="00D66606" w:rsidP="00D66606">
            <w:pPr>
              <w:rPr>
                <w:noProof/>
              </w:rPr>
            </w:pPr>
          </w:p>
        </w:tc>
      </w:tr>
      <w:tr w:rsidR="00D66606" w:rsidRPr="007E3223" w14:paraId="09B7AA8C" w14:textId="77777777" w:rsidTr="00D66606">
        <w:trPr>
          <w:trHeight w:val="290"/>
        </w:trPr>
        <w:tc>
          <w:tcPr>
            <w:tcW w:w="9961" w:type="dxa"/>
            <w:shd w:val="clear" w:color="auto" w:fill="auto"/>
            <w:vAlign w:val="center"/>
            <w:hideMark/>
          </w:tcPr>
          <w:p w14:paraId="02120E35" w14:textId="59439660" w:rsidR="00D66606" w:rsidRPr="007E3223" w:rsidRDefault="00D66606" w:rsidP="00D66606">
            <w:pPr>
              <w:rPr>
                <w:i/>
                <w:iCs/>
                <w:noProof/>
                <w:szCs w:val="22"/>
              </w:rPr>
            </w:pPr>
            <w:r>
              <w:rPr>
                <w:i/>
                <w:noProof/>
              </w:rPr>
              <w:t>* De RAL begin 2022 omvat 3,3 miljard EUR uit bijdragen van derde landen aan specifieke programma’s van het MFK 2014-2020, hetgeen niet is opgenomen in de tabel.</w:t>
            </w:r>
          </w:p>
        </w:tc>
      </w:tr>
    </w:tbl>
    <w:p w14:paraId="6616858A" w14:textId="77777777" w:rsidR="00D66606" w:rsidRPr="007E3223" w:rsidRDefault="00D66606" w:rsidP="00D66606">
      <w:pPr>
        <w:pStyle w:val="Heading2"/>
        <w:rPr>
          <w:noProof/>
        </w:rPr>
        <w:sectPr w:rsidR="00D66606" w:rsidRPr="007E3223" w:rsidSect="00D66606">
          <w:headerReference w:type="even" r:id="rId30"/>
          <w:headerReference w:type="default" r:id="rId31"/>
          <w:footerReference w:type="even" r:id="rId32"/>
          <w:footerReference w:type="default" r:id="rId33"/>
          <w:headerReference w:type="first" r:id="rId34"/>
          <w:footerReference w:type="first" r:id="rId35"/>
          <w:pgSz w:w="11906" w:h="16838"/>
          <w:pgMar w:top="1321" w:right="1151" w:bottom="1440" w:left="1151" w:header="720" w:footer="720" w:gutter="0"/>
          <w:cols w:space="720"/>
          <w:docGrid w:linePitch="326"/>
        </w:sectPr>
      </w:pPr>
    </w:p>
    <w:p w14:paraId="090DF750" w14:textId="77777777" w:rsidR="00D66606" w:rsidRPr="007E3223" w:rsidRDefault="00D66606" w:rsidP="00D66606">
      <w:pPr>
        <w:pStyle w:val="Heading2"/>
        <w:rPr>
          <w:noProof/>
        </w:rPr>
      </w:pPr>
      <w:bookmarkStart w:id="72" w:name="_Toc74236911"/>
      <w:bookmarkStart w:id="73" w:name="_Toc107422062"/>
      <w:r>
        <w:rPr>
          <w:noProof/>
        </w:rPr>
        <w:t>Tabel 5 — Langetermijnprognose van toekomstige instromen op de EU-begroting voor 2023-2027</w:t>
      </w:r>
      <w:bookmarkEnd w:id="72"/>
      <w:bookmarkEnd w:id="73"/>
    </w:p>
    <w:tbl>
      <w:tblPr>
        <w:tblStyle w:val="AMPR2021"/>
        <w:tblW w:w="9242" w:type="dxa"/>
        <w:tblLayout w:type="fixed"/>
        <w:tblLook w:val="04A0" w:firstRow="1" w:lastRow="0" w:firstColumn="1" w:lastColumn="0" w:noHBand="0" w:noVBand="1"/>
      </w:tblPr>
      <w:tblGrid>
        <w:gridCol w:w="2608"/>
        <w:gridCol w:w="850"/>
        <w:gridCol w:w="964"/>
        <w:gridCol w:w="964"/>
        <w:gridCol w:w="964"/>
        <w:gridCol w:w="964"/>
        <w:gridCol w:w="964"/>
        <w:gridCol w:w="964"/>
      </w:tblGrid>
      <w:tr w:rsidR="009E5562" w:rsidRPr="007E3223" w14:paraId="246DCB60" w14:textId="77777777" w:rsidTr="007846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7D569BD" w14:textId="6D08A248" w:rsidR="00D66606" w:rsidRPr="00F86C66" w:rsidRDefault="00D66606" w:rsidP="0078468D">
            <w:pPr>
              <w:jc w:val="left"/>
              <w:rPr>
                <w:b w:val="0"/>
                <w:iCs/>
                <w:noProof/>
                <w:sz w:val="18"/>
                <w:szCs w:val="18"/>
              </w:rPr>
            </w:pPr>
          </w:p>
        </w:tc>
        <w:tc>
          <w:tcPr>
            <w:tcW w:w="850" w:type="dxa"/>
          </w:tcPr>
          <w:p w14:paraId="514661E8" w14:textId="77777777" w:rsidR="00D66606" w:rsidRPr="005C3B14" w:rsidRDefault="00D66606" w:rsidP="00D66606">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p>
        </w:tc>
        <w:tc>
          <w:tcPr>
            <w:tcW w:w="964" w:type="dxa"/>
            <w:noWrap/>
            <w:vAlign w:val="center"/>
            <w:hideMark/>
          </w:tcPr>
          <w:p w14:paraId="1426F101"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Pr>
                <w:b w:val="0"/>
                <w:noProof/>
                <w:sz w:val="18"/>
              </w:rPr>
              <w:t>2023</w:t>
            </w:r>
          </w:p>
        </w:tc>
        <w:tc>
          <w:tcPr>
            <w:tcW w:w="964" w:type="dxa"/>
            <w:noWrap/>
            <w:vAlign w:val="center"/>
            <w:hideMark/>
          </w:tcPr>
          <w:p w14:paraId="34F8602C"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Pr>
                <w:b w:val="0"/>
                <w:noProof/>
                <w:sz w:val="18"/>
              </w:rPr>
              <w:t>2024</w:t>
            </w:r>
          </w:p>
        </w:tc>
        <w:tc>
          <w:tcPr>
            <w:tcW w:w="964" w:type="dxa"/>
            <w:noWrap/>
            <w:vAlign w:val="center"/>
            <w:hideMark/>
          </w:tcPr>
          <w:p w14:paraId="378E434A"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Pr>
                <w:b w:val="0"/>
                <w:noProof/>
                <w:sz w:val="18"/>
              </w:rPr>
              <w:t>2025</w:t>
            </w:r>
          </w:p>
        </w:tc>
        <w:tc>
          <w:tcPr>
            <w:tcW w:w="964" w:type="dxa"/>
            <w:noWrap/>
            <w:vAlign w:val="center"/>
            <w:hideMark/>
          </w:tcPr>
          <w:p w14:paraId="67B83669"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Pr>
                <w:b w:val="0"/>
                <w:noProof/>
                <w:sz w:val="18"/>
              </w:rPr>
              <w:t>2026</w:t>
            </w:r>
          </w:p>
        </w:tc>
        <w:tc>
          <w:tcPr>
            <w:tcW w:w="964" w:type="dxa"/>
            <w:noWrap/>
            <w:vAlign w:val="center"/>
            <w:hideMark/>
          </w:tcPr>
          <w:p w14:paraId="210C53C1" w14:textId="77777777"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Pr>
                <w:b w:val="0"/>
                <w:noProof/>
                <w:sz w:val="18"/>
              </w:rPr>
              <w:t>2027</w:t>
            </w:r>
          </w:p>
        </w:tc>
        <w:tc>
          <w:tcPr>
            <w:tcW w:w="964" w:type="dxa"/>
            <w:noWrap/>
            <w:vAlign w:val="center"/>
            <w:hideMark/>
          </w:tcPr>
          <w:p w14:paraId="70F5E562" w14:textId="7F469E96" w:rsidR="00D66606" w:rsidRPr="005C3B14" w:rsidRDefault="00D66606" w:rsidP="009E5562">
            <w:pPr>
              <w:jc w:val="right"/>
              <w:cnfStyle w:val="100000000000" w:firstRow="1" w:lastRow="0" w:firstColumn="0" w:lastColumn="0" w:oddVBand="0" w:evenVBand="0" w:oddHBand="0" w:evenHBand="0" w:firstRowFirstColumn="0" w:firstRowLastColumn="0" w:lastRowFirstColumn="0" w:lastRowLastColumn="0"/>
              <w:rPr>
                <w:b w:val="0"/>
                <w:bCs/>
                <w:noProof/>
                <w:sz w:val="18"/>
                <w:szCs w:val="18"/>
              </w:rPr>
            </w:pPr>
            <w:r>
              <w:rPr>
                <w:b w:val="0"/>
                <w:noProof/>
                <w:sz w:val="18"/>
              </w:rPr>
              <w:t xml:space="preserve">Totaal </w:t>
            </w:r>
          </w:p>
        </w:tc>
      </w:tr>
      <w:tr w:rsidR="009E5562" w:rsidRPr="007E3223" w14:paraId="62B42F4B"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231FF592" w14:textId="77777777" w:rsidR="00D66606" w:rsidRPr="007E3223" w:rsidRDefault="00D66606" w:rsidP="009E5562">
            <w:pPr>
              <w:rPr>
                <w:b w:val="0"/>
                <w:bCs/>
                <w:noProof/>
                <w:color w:val="FFFFFF"/>
                <w:sz w:val="18"/>
                <w:szCs w:val="18"/>
              </w:rPr>
            </w:pPr>
            <w:r>
              <w:rPr>
                <w:b w:val="0"/>
                <w:noProof/>
                <w:color w:val="FFFFFF"/>
                <w:sz w:val="18"/>
              </w:rPr>
              <w:t>INSTROMEN</w:t>
            </w:r>
          </w:p>
        </w:tc>
        <w:tc>
          <w:tcPr>
            <w:tcW w:w="850" w:type="dxa"/>
            <w:vAlign w:val="center"/>
          </w:tcPr>
          <w:p w14:paraId="1C1CB7C2" w14:textId="77777777" w:rsidR="00D66606" w:rsidRPr="007E3223" w:rsidRDefault="00D66606" w:rsidP="00010355">
            <w:pPr>
              <w:jc w:val="center"/>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14C25F87" w14:textId="6D855D14"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7FD76D8B" w14:textId="3050C9F8"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069273D9" w14:textId="2660F2C2"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3B72F32C" w14:textId="704DB0C6"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43E7A052" w14:textId="6F8393E3"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c>
          <w:tcPr>
            <w:tcW w:w="964" w:type="dxa"/>
            <w:noWrap/>
            <w:vAlign w:val="center"/>
            <w:hideMark/>
          </w:tcPr>
          <w:p w14:paraId="27FE529E" w14:textId="25CD6453" w:rsidR="00D66606" w:rsidRPr="007E3223" w:rsidRDefault="00D66606" w:rsidP="0078468D">
            <w:pPr>
              <w:jc w:val="right"/>
              <w:cnfStyle w:val="000000100000" w:firstRow="0" w:lastRow="0" w:firstColumn="0" w:lastColumn="0" w:oddVBand="0" w:evenVBand="0" w:oddHBand="1" w:evenHBand="0" w:firstRowFirstColumn="0" w:firstRowLastColumn="0" w:lastRowFirstColumn="0" w:lastRowLastColumn="0"/>
              <w:rPr>
                <w:b/>
                <w:bCs/>
                <w:noProof/>
                <w:color w:val="FFFFFF"/>
                <w:sz w:val="18"/>
                <w:szCs w:val="18"/>
              </w:rPr>
            </w:pPr>
          </w:p>
        </w:tc>
      </w:tr>
      <w:tr w:rsidR="00E62416" w:rsidRPr="007E3223" w14:paraId="7CD46419"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35873D6B" w14:textId="77777777" w:rsidR="00E62416" w:rsidRPr="0078468D" w:rsidRDefault="00E62416" w:rsidP="00E62416">
            <w:pPr>
              <w:rPr>
                <w:bCs/>
                <w:i/>
                <w:iCs/>
                <w:noProof/>
                <w:color w:val="000000"/>
                <w:sz w:val="18"/>
                <w:szCs w:val="18"/>
              </w:rPr>
            </w:pPr>
            <w:r>
              <w:rPr>
                <w:i/>
                <w:noProof/>
                <w:color w:val="000000"/>
                <w:sz w:val="18"/>
              </w:rPr>
              <w:t>Maximum van de eigen middelen in % van het bruto nationaal inkomen van de EU</w:t>
            </w:r>
          </w:p>
        </w:tc>
        <w:tc>
          <w:tcPr>
            <w:tcW w:w="850" w:type="dxa"/>
            <w:vAlign w:val="center"/>
          </w:tcPr>
          <w:p w14:paraId="204BFE4D" w14:textId="77777777" w:rsidR="00E62416" w:rsidRPr="00FB19AB" w:rsidRDefault="00E62416" w:rsidP="00E62416">
            <w:pPr>
              <w:jc w:val="center"/>
              <w:cnfStyle w:val="000000010000" w:firstRow="0" w:lastRow="0" w:firstColumn="0" w:lastColumn="0" w:oddVBand="0" w:evenVBand="0" w:oddHBand="0" w:evenHBand="1" w:firstRowFirstColumn="0" w:firstRowLastColumn="0" w:lastRowFirstColumn="0" w:lastRowLastColumn="0"/>
              <w:rPr>
                <w:bCs/>
                <w:i/>
                <w:iCs/>
                <w:noProof/>
                <w:color w:val="000000"/>
                <w:sz w:val="18"/>
                <w:szCs w:val="18"/>
              </w:rPr>
            </w:pPr>
          </w:p>
        </w:tc>
        <w:tc>
          <w:tcPr>
            <w:tcW w:w="964" w:type="dxa"/>
            <w:noWrap/>
            <w:vAlign w:val="center"/>
            <w:hideMark/>
          </w:tcPr>
          <w:p w14:paraId="1E678DF1" w14:textId="0DBD4856"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Pr>
                <w:b/>
                <w:i/>
                <w:noProof/>
                <w:color w:val="000000"/>
              </w:rPr>
              <w:t>2,00 %</w:t>
            </w:r>
          </w:p>
        </w:tc>
        <w:tc>
          <w:tcPr>
            <w:tcW w:w="964" w:type="dxa"/>
            <w:noWrap/>
            <w:vAlign w:val="center"/>
            <w:hideMark/>
          </w:tcPr>
          <w:p w14:paraId="05BD1259" w14:textId="010458EE"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Pr>
                <w:b/>
                <w:i/>
                <w:noProof/>
                <w:color w:val="000000"/>
              </w:rPr>
              <w:t>2,00 %</w:t>
            </w:r>
          </w:p>
        </w:tc>
        <w:tc>
          <w:tcPr>
            <w:tcW w:w="964" w:type="dxa"/>
            <w:noWrap/>
            <w:vAlign w:val="center"/>
            <w:hideMark/>
          </w:tcPr>
          <w:p w14:paraId="417591DC" w14:textId="551F50C5"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Pr>
                <w:b/>
                <w:i/>
                <w:noProof/>
                <w:color w:val="000000"/>
              </w:rPr>
              <w:t>2,00 %</w:t>
            </w:r>
          </w:p>
        </w:tc>
        <w:tc>
          <w:tcPr>
            <w:tcW w:w="964" w:type="dxa"/>
            <w:noWrap/>
            <w:vAlign w:val="center"/>
            <w:hideMark/>
          </w:tcPr>
          <w:p w14:paraId="5669813C" w14:textId="69D46CCF"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Pr>
                <w:b/>
                <w:i/>
                <w:noProof/>
                <w:color w:val="000000"/>
              </w:rPr>
              <w:t>2,00 %</w:t>
            </w:r>
          </w:p>
        </w:tc>
        <w:tc>
          <w:tcPr>
            <w:tcW w:w="964" w:type="dxa"/>
            <w:noWrap/>
            <w:vAlign w:val="center"/>
            <w:hideMark/>
          </w:tcPr>
          <w:p w14:paraId="288FAC3F" w14:textId="7F0FC41C"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Pr>
                <w:b/>
                <w:i/>
                <w:noProof/>
                <w:color w:val="000000"/>
              </w:rPr>
              <w:t>2,00 %</w:t>
            </w:r>
          </w:p>
        </w:tc>
        <w:tc>
          <w:tcPr>
            <w:tcW w:w="964" w:type="dxa"/>
            <w:noWrap/>
            <w:vAlign w:val="center"/>
            <w:hideMark/>
          </w:tcPr>
          <w:p w14:paraId="2ACFB15F" w14:textId="1E62DF13" w:rsidR="00E62416" w:rsidRPr="0078468D" w:rsidRDefault="00E62416" w:rsidP="00E62416">
            <w:pPr>
              <w:jc w:val="right"/>
              <w:cnfStyle w:val="000000010000" w:firstRow="0" w:lastRow="0" w:firstColumn="0" w:lastColumn="0" w:oddVBand="0" w:evenVBand="0" w:oddHBand="0" w:evenHBand="1" w:firstRowFirstColumn="0" w:firstRowLastColumn="0" w:lastRowFirstColumn="0" w:lastRowLastColumn="0"/>
              <w:rPr>
                <w:b/>
                <w:bCs/>
                <w:noProof/>
              </w:rPr>
            </w:pPr>
            <w:r>
              <w:rPr>
                <w:b/>
                <w:i/>
                <w:noProof/>
                <w:color w:val="000000"/>
              </w:rPr>
              <w:t>n.v.t.</w:t>
            </w:r>
          </w:p>
        </w:tc>
      </w:tr>
      <w:tr w:rsidR="00E62416" w:rsidRPr="007E3223" w14:paraId="7E1AB344"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B110412" w14:textId="77777777" w:rsidR="00E62416" w:rsidRPr="0078468D" w:rsidRDefault="00E62416" w:rsidP="00E62416">
            <w:pPr>
              <w:rPr>
                <w:b w:val="0"/>
                <w:i/>
                <w:iCs/>
                <w:noProof/>
                <w:color w:val="000000"/>
                <w:sz w:val="18"/>
                <w:szCs w:val="18"/>
              </w:rPr>
            </w:pPr>
            <w:r>
              <w:rPr>
                <w:b w:val="0"/>
                <w:i/>
                <w:noProof/>
                <w:color w:val="000000"/>
                <w:sz w:val="18"/>
              </w:rPr>
              <w:t xml:space="preserve">      waarvan tijdelijke toename voor NGEU</w:t>
            </w:r>
          </w:p>
        </w:tc>
        <w:tc>
          <w:tcPr>
            <w:tcW w:w="850" w:type="dxa"/>
            <w:vAlign w:val="center"/>
          </w:tcPr>
          <w:p w14:paraId="56D62372" w14:textId="77777777" w:rsidR="00E62416" w:rsidRPr="00FB19AB" w:rsidRDefault="00E62416" w:rsidP="00E62416">
            <w:pPr>
              <w:jc w:val="center"/>
              <w:cnfStyle w:val="000000100000" w:firstRow="0" w:lastRow="0" w:firstColumn="0" w:lastColumn="0" w:oddVBand="0" w:evenVBand="0" w:oddHBand="1" w:evenHBand="0" w:firstRowFirstColumn="0" w:firstRowLastColumn="0" w:lastRowFirstColumn="0" w:lastRowLastColumn="0"/>
              <w:rPr>
                <w:i/>
                <w:iCs/>
                <w:noProof/>
                <w:color w:val="000000"/>
                <w:sz w:val="18"/>
                <w:szCs w:val="18"/>
              </w:rPr>
            </w:pPr>
          </w:p>
        </w:tc>
        <w:tc>
          <w:tcPr>
            <w:tcW w:w="964" w:type="dxa"/>
            <w:noWrap/>
            <w:vAlign w:val="center"/>
            <w:hideMark/>
          </w:tcPr>
          <w:p w14:paraId="701A9E75" w14:textId="7E6AB8C1"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Pr>
                <w:i/>
                <w:noProof/>
                <w:color w:val="000000"/>
              </w:rPr>
              <w:t>0,60 %</w:t>
            </w:r>
          </w:p>
        </w:tc>
        <w:tc>
          <w:tcPr>
            <w:tcW w:w="964" w:type="dxa"/>
            <w:noWrap/>
            <w:vAlign w:val="center"/>
            <w:hideMark/>
          </w:tcPr>
          <w:p w14:paraId="483DEABC" w14:textId="050F93D6"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Pr>
                <w:i/>
                <w:noProof/>
                <w:color w:val="000000"/>
              </w:rPr>
              <w:t>0,60 %</w:t>
            </w:r>
          </w:p>
        </w:tc>
        <w:tc>
          <w:tcPr>
            <w:tcW w:w="964" w:type="dxa"/>
            <w:noWrap/>
            <w:vAlign w:val="center"/>
            <w:hideMark/>
          </w:tcPr>
          <w:p w14:paraId="0A630E6F" w14:textId="44CB585A"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Pr>
                <w:i/>
                <w:noProof/>
                <w:color w:val="000000"/>
              </w:rPr>
              <w:t>0,60 %</w:t>
            </w:r>
          </w:p>
        </w:tc>
        <w:tc>
          <w:tcPr>
            <w:tcW w:w="964" w:type="dxa"/>
            <w:noWrap/>
            <w:vAlign w:val="center"/>
            <w:hideMark/>
          </w:tcPr>
          <w:p w14:paraId="152D6D87" w14:textId="29897EC3"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Pr>
                <w:i/>
                <w:noProof/>
                <w:color w:val="000000"/>
              </w:rPr>
              <w:t>0,60 %</w:t>
            </w:r>
          </w:p>
        </w:tc>
        <w:tc>
          <w:tcPr>
            <w:tcW w:w="964" w:type="dxa"/>
            <w:noWrap/>
            <w:vAlign w:val="center"/>
            <w:hideMark/>
          </w:tcPr>
          <w:p w14:paraId="0ACF862C" w14:textId="5416366F"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Pr>
                <w:i/>
                <w:noProof/>
                <w:color w:val="000000"/>
              </w:rPr>
              <w:t>0,60 %</w:t>
            </w:r>
          </w:p>
        </w:tc>
        <w:tc>
          <w:tcPr>
            <w:tcW w:w="964" w:type="dxa"/>
            <w:noWrap/>
            <w:vAlign w:val="center"/>
            <w:hideMark/>
          </w:tcPr>
          <w:p w14:paraId="565B0D51" w14:textId="094BFCC5" w:rsidR="00E62416" w:rsidRPr="0078468D" w:rsidRDefault="00E62416" w:rsidP="00E62416">
            <w:pPr>
              <w:jc w:val="right"/>
              <w:cnfStyle w:val="000000100000" w:firstRow="0" w:lastRow="0" w:firstColumn="0" w:lastColumn="0" w:oddVBand="0" w:evenVBand="0" w:oddHBand="1" w:evenHBand="0" w:firstRowFirstColumn="0" w:firstRowLastColumn="0" w:lastRowFirstColumn="0" w:lastRowLastColumn="0"/>
              <w:rPr>
                <w:noProof/>
              </w:rPr>
            </w:pPr>
            <w:r>
              <w:rPr>
                <w:i/>
                <w:noProof/>
                <w:color w:val="000000"/>
              </w:rPr>
              <w:t>n.v.t.</w:t>
            </w:r>
          </w:p>
        </w:tc>
      </w:tr>
      <w:tr w:rsidR="00E62416" w:rsidRPr="007E3223" w14:paraId="45151AB5"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615C258C" w14:textId="645E7E37" w:rsidR="00E62416" w:rsidRPr="0078468D" w:rsidRDefault="00E62416" w:rsidP="00E62416">
            <w:pPr>
              <w:rPr>
                <w:bCs/>
                <w:i/>
                <w:iCs/>
                <w:noProof/>
                <w:sz w:val="18"/>
                <w:szCs w:val="18"/>
              </w:rPr>
            </w:pPr>
            <w:r>
              <w:rPr>
                <w:i/>
                <w:noProof/>
                <w:color w:val="auto"/>
                <w:sz w:val="18"/>
              </w:rPr>
              <w:t>Maximum van de eigen middelen, uitgedrukt in miljard EUR*</w:t>
            </w:r>
          </w:p>
        </w:tc>
        <w:tc>
          <w:tcPr>
            <w:tcW w:w="850" w:type="dxa"/>
            <w:vAlign w:val="center"/>
          </w:tcPr>
          <w:p w14:paraId="271950CA"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bCs/>
                <w:i/>
                <w:iCs/>
                <w:noProof/>
                <w:sz w:val="18"/>
                <w:szCs w:val="18"/>
              </w:rPr>
            </w:pPr>
            <w:r>
              <w:rPr>
                <w:i/>
                <w:noProof/>
                <w:sz w:val="18"/>
              </w:rPr>
              <w:t>a</w:t>
            </w:r>
          </w:p>
        </w:tc>
        <w:tc>
          <w:tcPr>
            <w:tcW w:w="964" w:type="dxa"/>
            <w:noWrap/>
            <w:vAlign w:val="center"/>
            <w:hideMark/>
          </w:tcPr>
          <w:p w14:paraId="113D2290" w14:textId="2A58E89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326,9</w:t>
            </w:r>
          </w:p>
        </w:tc>
        <w:tc>
          <w:tcPr>
            <w:tcW w:w="964" w:type="dxa"/>
            <w:noWrap/>
            <w:vAlign w:val="center"/>
            <w:hideMark/>
          </w:tcPr>
          <w:p w14:paraId="7163A53B" w14:textId="3DFC5F1A"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342,0</w:t>
            </w:r>
          </w:p>
        </w:tc>
        <w:tc>
          <w:tcPr>
            <w:tcW w:w="964" w:type="dxa"/>
            <w:noWrap/>
            <w:vAlign w:val="center"/>
            <w:hideMark/>
          </w:tcPr>
          <w:p w14:paraId="16C6CE1C" w14:textId="4A0D44FC"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357,0</w:t>
            </w:r>
          </w:p>
        </w:tc>
        <w:tc>
          <w:tcPr>
            <w:tcW w:w="964" w:type="dxa"/>
            <w:noWrap/>
            <w:vAlign w:val="center"/>
            <w:hideMark/>
          </w:tcPr>
          <w:p w14:paraId="63DDBD72" w14:textId="2D1A413D"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371,8</w:t>
            </w:r>
          </w:p>
        </w:tc>
        <w:tc>
          <w:tcPr>
            <w:tcW w:w="964" w:type="dxa"/>
            <w:noWrap/>
            <w:vAlign w:val="center"/>
            <w:hideMark/>
          </w:tcPr>
          <w:p w14:paraId="4CB99DDF" w14:textId="7FA028F2"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386,3</w:t>
            </w:r>
          </w:p>
        </w:tc>
        <w:tc>
          <w:tcPr>
            <w:tcW w:w="964" w:type="dxa"/>
            <w:noWrap/>
            <w:vAlign w:val="center"/>
            <w:hideMark/>
          </w:tcPr>
          <w:p w14:paraId="07EA5D97" w14:textId="158D35B3"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b/>
                <w:i/>
                <w:noProof/>
                <w:color w:val="000000"/>
              </w:rPr>
              <w:t>n.v.t.</w:t>
            </w:r>
          </w:p>
        </w:tc>
      </w:tr>
      <w:tr w:rsidR="00E62416" w:rsidRPr="007E3223" w14:paraId="17BEFE53"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5AE7C13" w14:textId="6E933638" w:rsidR="00E62416" w:rsidRPr="0078468D" w:rsidRDefault="00E62416" w:rsidP="00E62416">
            <w:pPr>
              <w:rPr>
                <w:b w:val="0"/>
                <w:i/>
                <w:iCs/>
                <w:noProof/>
                <w:color w:val="000000"/>
                <w:sz w:val="18"/>
                <w:szCs w:val="18"/>
              </w:rPr>
            </w:pPr>
            <w:r>
              <w:rPr>
                <w:i/>
                <w:noProof/>
                <w:color w:val="000000"/>
                <w:sz w:val="18"/>
              </w:rPr>
              <w:t xml:space="preserve"> </w:t>
            </w:r>
            <w:r>
              <w:rPr>
                <w:b w:val="0"/>
                <w:i/>
                <w:noProof/>
                <w:color w:val="000000"/>
                <w:sz w:val="18"/>
              </w:rPr>
              <w:t>waarvan tijdelijke toename voor NGEU</w:t>
            </w:r>
          </w:p>
        </w:tc>
        <w:tc>
          <w:tcPr>
            <w:tcW w:w="850" w:type="dxa"/>
            <w:vAlign w:val="center"/>
          </w:tcPr>
          <w:p w14:paraId="21DADB71"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i/>
                <w:iCs/>
                <w:noProof/>
                <w:sz w:val="18"/>
                <w:szCs w:val="18"/>
              </w:rPr>
            </w:pPr>
            <w:r>
              <w:rPr>
                <w:i/>
                <w:noProof/>
                <w:sz w:val="18"/>
              </w:rPr>
              <w:t>a</w:t>
            </w:r>
          </w:p>
        </w:tc>
        <w:tc>
          <w:tcPr>
            <w:tcW w:w="964" w:type="dxa"/>
            <w:noWrap/>
            <w:vAlign w:val="center"/>
            <w:hideMark/>
          </w:tcPr>
          <w:p w14:paraId="64213F29" w14:textId="115623E3"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98,1</w:t>
            </w:r>
          </w:p>
        </w:tc>
        <w:tc>
          <w:tcPr>
            <w:tcW w:w="964" w:type="dxa"/>
            <w:noWrap/>
            <w:vAlign w:val="center"/>
            <w:hideMark/>
          </w:tcPr>
          <w:p w14:paraId="6A81022D" w14:textId="3C3080B2"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102,6</w:t>
            </w:r>
          </w:p>
        </w:tc>
        <w:tc>
          <w:tcPr>
            <w:tcW w:w="964" w:type="dxa"/>
            <w:noWrap/>
            <w:vAlign w:val="center"/>
            <w:hideMark/>
          </w:tcPr>
          <w:p w14:paraId="723D62F8" w14:textId="6844A567"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107,1</w:t>
            </w:r>
          </w:p>
        </w:tc>
        <w:tc>
          <w:tcPr>
            <w:tcW w:w="964" w:type="dxa"/>
            <w:noWrap/>
            <w:vAlign w:val="center"/>
            <w:hideMark/>
          </w:tcPr>
          <w:p w14:paraId="380AB024" w14:textId="5053CBD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111,5</w:t>
            </w:r>
          </w:p>
        </w:tc>
        <w:tc>
          <w:tcPr>
            <w:tcW w:w="964" w:type="dxa"/>
            <w:noWrap/>
            <w:vAlign w:val="center"/>
            <w:hideMark/>
          </w:tcPr>
          <w:p w14:paraId="0D142C39" w14:textId="13E14A7D"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115,9</w:t>
            </w:r>
          </w:p>
        </w:tc>
        <w:tc>
          <w:tcPr>
            <w:tcW w:w="964" w:type="dxa"/>
            <w:noWrap/>
            <w:vAlign w:val="center"/>
            <w:hideMark/>
          </w:tcPr>
          <w:p w14:paraId="59F143B3" w14:textId="44DA8CFE"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color w:val="000000"/>
              </w:rPr>
              <w:t>n.v.t.</w:t>
            </w:r>
          </w:p>
        </w:tc>
      </w:tr>
      <w:tr w:rsidR="00E62416" w:rsidRPr="007E3223" w14:paraId="522FECE5"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52F76E5" w14:textId="77777777" w:rsidR="00E62416" w:rsidRPr="0078468D" w:rsidRDefault="00E62416" w:rsidP="00E62416">
            <w:pPr>
              <w:rPr>
                <w:b w:val="0"/>
                <w:noProof/>
                <w:color w:val="000000"/>
                <w:sz w:val="18"/>
                <w:szCs w:val="18"/>
              </w:rPr>
            </w:pPr>
            <w:r>
              <w:rPr>
                <w:b w:val="0"/>
                <w:noProof/>
                <w:color w:val="000000"/>
                <w:sz w:val="18"/>
              </w:rPr>
              <w:t>Netto-omvang traditionele eigen middelen**</w:t>
            </w:r>
          </w:p>
        </w:tc>
        <w:tc>
          <w:tcPr>
            <w:tcW w:w="850" w:type="dxa"/>
            <w:vAlign w:val="center"/>
          </w:tcPr>
          <w:p w14:paraId="58F0E045"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i/>
                <w:noProof/>
                <w:sz w:val="18"/>
                <w:szCs w:val="18"/>
              </w:rPr>
            </w:pPr>
            <w:r>
              <w:rPr>
                <w:i/>
                <w:noProof/>
                <w:sz w:val="18"/>
              </w:rPr>
              <w:t>b</w:t>
            </w:r>
          </w:p>
        </w:tc>
        <w:tc>
          <w:tcPr>
            <w:tcW w:w="964" w:type="dxa"/>
            <w:noWrap/>
            <w:vAlign w:val="center"/>
            <w:hideMark/>
          </w:tcPr>
          <w:p w14:paraId="2BD88FEF" w14:textId="666B8D4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21,6</w:t>
            </w:r>
          </w:p>
        </w:tc>
        <w:tc>
          <w:tcPr>
            <w:tcW w:w="964" w:type="dxa"/>
            <w:noWrap/>
            <w:vAlign w:val="center"/>
            <w:hideMark/>
          </w:tcPr>
          <w:p w14:paraId="2E1687A3" w14:textId="0222B11F"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22,6</w:t>
            </w:r>
          </w:p>
        </w:tc>
        <w:tc>
          <w:tcPr>
            <w:tcW w:w="964" w:type="dxa"/>
            <w:noWrap/>
            <w:vAlign w:val="center"/>
            <w:hideMark/>
          </w:tcPr>
          <w:p w14:paraId="315E3A74" w14:textId="5A1D101B"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23,6</w:t>
            </w:r>
          </w:p>
        </w:tc>
        <w:tc>
          <w:tcPr>
            <w:tcW w:w="964" w:type="dxa"/>
            <w:noWrap/>
            <w:vAlign w:val="center"/>
            <w:hideMark/>
          </w:tcPr>
          <w:p w14:paraId="06F53D80" w14:textId="16E5629B"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24,6</w:t>
            </w:r>
          </w:p>
        </w:tc>
        <w:tc>
          <w:tcPr>
            <w:tcW w:w="964" w:type="dxa"/>
            <w:noWrap/>
            <w:vAlign w:val="center"/>
            <w:hideMark/>
          </w:tcPr>
          <w:p w14:paraId="09450450" w14:textId="414F53DC"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25,6</w:t>
            </w:r>
          </w:p>
        </w:tc>
        <w:tc>
          <w:tcPr>
            <w:tcW w:w="964" w:type="dxa"/>
            <w:noWrap/>
            <w:vAlign w:val="center"/>
            <w:hideMark/>
          </w:tcPr>
          <w:p w14:paraId="37C31601" w14:textId="0BDA28B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118,0</w:t>
            </w:r>
          </w:p>
        </w:tc>
      </w:tr>
      <w:tr w:rsidR="00E62416" w:rsidRPr="007E3223" w14:paraId="62C91527"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39FE071" w14:textId="77777777" w:rsidR="00E62416" w:rsidRPr="0078468D" w:rsidRDefault="00E62416" w:rsidP="00E62416">
            <w:pPr>
              <w:rPr>
                <w:b w:val="0"/>
                <w:noProof/>
                <w:color w:val="000000"/>
                <w:sz w:val="18"/>
                <w:szCs w:val="18"/>
              </w:rPr>
            </w:pPr>
            <w:r>
              <w:rPr>
                <w:b w:val="0"/>
                <w:noProof/>
                <w:color w:val="000000"/>
                <w:sz w:val="18"/>
              </w:rPr>
              <w:t>Nationale bijdragen***</w:t>
            </w:r>
          </w:p>
        </w:tc>
        <w:tc>
          <w:tcPr>
            <w:tcW w:w="850" w:type="dxa"/>
            <w:vAlign w:val="center"/>
          </w:tcPr>
          <w:p w14:paraId="7771FAF5"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i/>
                <w:noProof/>
                <w:sz w:val="18"/>
                <w:szCs w:val="18"/>
              </w:rPr>
            </w:pPr>
            <w:r>
              <w:rPr>
                <w:i/>
                <w:noProof/>
                <w:sz w:val="18"/>
              </w:rPr>
              <w:t>c</w:t>
            </w:r>
          </w:p>
        </w:tc>
        <w:tc>
          <w:tcPr>
            <w:tcW w:w="964" w:type="dxa"/>
            <w:noWrap/>
            <w:vAlign w:val="center"/>
            <w:hideMark/>
          </w:tcPr>
          <w:p w14:paraId="6AB573C6" w14:textId="2F8465AD"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132,6</w:t>
            </w:r>
          </w:p>
        </w:tc>
        <w:tc>
          <w:tcPr>
            <w:tcW w:w="964" w:type="dxa"/>
            <w:noWrap/>
            <w:vAlign w:val="center"/>
            <w:hideMark/>
          </w:tcPr>
          <w:p w14:paraId="4E276CFD" w14:textId="225EEA06"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127,7</w:t>
            </w:r>
          </w:p>
        </w:tc>
        <w:tc>
          <w:tcPr>
            <w:tcW w:w="964" w:type="dxa"/>
            <w:noWrap/>
            <w:vAlign w:val="center"/>
            <w:hideMark/>
          </w:tcPr>
          <w:p w14:paraId="598CFBA0" w14:textId="1DE8561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148,4</w:t>
            </w:r>
          </w:p>
        </w:tc>
        <w:tc>
          <w:tcPr>
            <w:tcW w:w="964" w:type="dxa"/>
            <w:noWrap/>
            <w:vAlign w:val="center"/>
            <w:hideMark/>
          </w:tcPr>
          <w:p w14:paraId="109E218A" w14:textId="0CC63D13"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155,1</w:t>
            </w:r>
          </w:p>
        </w:tc>
        <w:tc>
          <w:tcPr>
            <w:tcW w:w="964" w:type="dxa"/>
            <w:noWrap/>
            <w:vAlign w:val="center"/>
            <w:hideMark/>
          </w:tcPr>
          <w:p w14:paraId="1D795AA4" w14:textId="2529910C"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165,5</w:t>
            </w:r>
          </w:p>
        </w:tc>
        <w:tc>
          <w:tcPr>
            <w:tcW w:w="964" w:type="dxa"/>
            <w:noWrap/>
            <w:vAlign w:val="center"/>
            <w:hideMark/>
          </w:tcPr>
          <w:p w14:paraId="5396FF32" w14:textId="2886DF87"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729,4</w:t>
            </w:r>
          </w:p>
        </w:tc>
      </w:tr>
      <w:tr w:rsidR="00E62416" w:rsidRPr="007E3223" w14:paraId="41471204"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73D59E6" w14:textId="77777777" w:rsidR="00E62416" w:rsidRPr="0078468D" w:rsidRDefault="00E62416" w:rsidP="00E62416">
            <w:pPr>
              <w:rPr>
                <w:bCs/>
                <w:noProof/>
                <w:color w:val="000000"/>
                <w:sz w:val="18"/>
                <w:szCs w:val="18"/>
              </w:rPr>
            </w:pPr>
            <w:r>
              <w:rPr>
                <w:noProof/>
                <w:color w:val="000000"/>
                <w:sz w:val="18"/>
              </w:rPr>
              <w:t>Totaal eigen middelen</w:t>
            </w:r>
          </w:p>
        </w:tc>
        <w:tc>
          <w:tcPr>
            <w:tcW w:w="850" w:type="dxa"/>
            <w:vAlign w:val="center"/>
          </w:tcPr>
          <w:p w14:paraId="67AEB980"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bCs/>
                <w:i/>
                <w:noProof/>
                <w:sz w:val="18"/>
                <w:szCs w:val="18"/>
              </w:rPr>
            </w:pPr>
            <w:r>
              <w:rPr>
                <w:i/>
                <w:noProof/>
                <w:sz w:val="18"/>
              </w:rPr>
              <w:t>d = b+c</w:t>
            </w:r>
          </w:p>
        </w:tc>
        <w:tc>
          <w:tcPr>
            <w:tcW w:w="964" w:type="dxa"/>
            <w:noWrap/>
            <w:vAlign w:val="center"/>
            <w:hideMark/>
          </w:tcPr>
          <w:p w14:paraId="350F4163" w14:textId="24400FF3"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154,2</w:t>
            </w:r>
          </w:p>
        </w:tc>
        <w:tc>
          <w:tcPr>
            <w:tcW w:w="964" w:type="dxa"/>
            <w:noWrap/>
            <w:vAlign w:val="center"/>
            <w:hideMark/>
          </w:tcPr>
          <w:p w14:paraId="254C3D4C" w14:textId="3A51BAE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150,4</w:t>
            </w:r>
          </w:p>
        </w:tc>
        <w:tc>
          <w:tcPr>
            <w:tcW w:w="964" w:type="dxa"/>
            <w:noWrap/>
            <w:vAlign w:val="center"/>
            <w:hideMark/>
          </w:tcPr>
          <w:p w14:paraId="78D84746" w14:textId="6F4F94F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172,0</w:t>
            </w:r>
          </w:p>
        </w:tc>
        <w:tc>
          <w:tcPr>
            <w:tcW w:w="964" w:type="dxa"/>
            <w:noWrap/>
            <w:vAlign w:val="center"/>
            <w:hideMark/>
          </w:tcPr>
          <w:p w14:paraId="1C335140" w14:textId="01A59BD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179,7</w:t>
            </w:r>
          </w:p>
        </w:tc>
        <w:tc>
          <w:tcPr>
            <w:tcW w:w="964" w:type="dxa"/>
            <w:noWrap/>
            <w:vAlign w:val="center"/>
            <w:hideMark/>
          </w:tcPr>
          <w:p w14:paraId="77C0D1CC" w14:textId="5A67454F"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191,2</w:t>
            </w:r>
          </w:p>
        </w:tc>
        <w:tc>
          <w:tcPr>
            <w:tcW w:w="964" w:type="dxa"/>
            <w:noWrap/>
            <w:vAlign w:val="center"/>
            <w:hideMark/>
          </w:tcPr>
          <w:p w14:paraId="3B3D7F3D" w14:textId="50D261B8"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847,4</w:t>
            </w:r>
          </w:p>
        </w:tc>
      </w:tr>
      <w:tr w:rsidR="00E62416" w:rsidRPr="007E3223" w14:paraId="775252FF"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E8AE889" w14:textId="41096DAD" w:rsidR="00E62416" w:rsidRPr="0078468D" w:rsidRDefault="00E62416" w:rsidP="00E62416">
            <w:pPr>
              <w:rPr>
                <w:b w:val="0"/>
                <w:i/>
                <w:iCs/>
                <w:noProof/>
                <w:color w:val="000000"/>
                <w:sz w:val="18"/>
                <w:szCs w:val="18"/>
              </w:rPr>
            </w:pPr>
            <w:r>
              <w:rPr>
                <w:b w:val="0"/>
                <w:i/>
                <w:noProof/>
                <w:color w:val="000000"/>
                <w:sz w:val="18"/>
              </w:rPr>
              <w:t xml:space="preserve">     waarvan eigen middelen in verband met NGEU-verantwoordelijkheden</w:t>
            </w:r>
          </w:p>
        </w:tc>
        <w:tc>
          <w:tcPr>
            <w:tcW w:w="850" w:type="dxa"/>
            <w:vAlign w:val="center"/>
          </w:tcPr>
          <w:p w14:paraId="1207BBBF"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i/>
                <w:noProof/>
                <w:sz w:val="18"/>
                <w:szCs w:val="18"/>
              </w:rPr>
            </w:pPr>
            <w:r>
              <w:rPr>
                <w:i/>
                <w:noProof/>
                <w:sz w:val="18"/>
              </w:rPr>
              <w:t>d</w:t>
            </w:r>
          </w:p>
        </w:tc>
        <w:tc>
          <w:tcPr>
            <w:tcW w:w="964" w:type="dxa"/>
            <w:noWrap/>
            <w:vAlign w:val="center"/>
            <w:hideMark/>
          </w:tcPr>
          <w:p w14:paraId="4DBA380C" w14:textId="1F10EB9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1,0</w:t>
            </w:r>
          </w:p>
        </w:tc>
        <w:tc>
          <w:tcPr>
            <w:tcW w:w="964" w:type="dxa"/>
            <w:noWrap/>
            <w:vAlign w:val="center"/>
            <w:hideMark/>
          </w:tcPr>
          <w:p w14:paraId="7C04FDE5" w14:textId="72A08B51"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2,1</w:t>
            </w:r>
          </w:p>
        </w:tc>
        <w:tc>
          <w:tcPr>
            <w:tcW w:w="964" w:type="dxa"/>
            <w:noWrap/>
            <w:vAlign w:val="center"/>
            <w:hideMark/>
          </w:tcPr>
          <w:p w14:paraId="668D3CB7" w14:textId="6647F8B9"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2,7</w:t>
            </w:r>
          </w:p>
        </w:tc>
        <w:tc>
          <w:tcPr>
            <w:tcW w:w="964" w:type="dxa"/>
            <w:noWrap/>
            <w:vAlign w:val="center"/>
            <w:hideMark/>
          </w:tcPr>
          <w:p w14:paraId="535F2281" w14:textId="77ECD4E1"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3,7</w:t>
            </w:r>
          </w:p>
        </w:tc>
        <w:tc>
          <w:tcPr>
            <w:tcW w:w="964" w:type="dxa"/>
            <w:noWrap/>
            <w:vAlign w:val="center"/>
            <w:hideMark/>
          </w:tcPr>
          <w:p w14:paraId="03BB8988" w14:textId="19118F8F"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5,0</w:t>
            </w:r>
          </w:p>
        </w:tc>
        <w:tc>
          <w:tcPr>
            <w:tcW w:w="964" w:type="dxa"/>
            <w:noWrap/>
            <w:vAlign w:val="center"/>
            <w:hideMark/>
          </w:tcPr>
          <w:p w14:paraId="4C97D1A4" w14:textId="5D555050"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14,5</w:t>
            </w:r>
          </w:p>
        </w:tc>
      </w:tr>
      <w:tr w:rsidR="00E62416" w:rsidRPr="007E3223" w14:paraId="383306AC"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2C46F959" w14:textId="77777777" w:rsidR="00E62416" w:rsidRPr="0078468D" w:rsidRDefault="00E62416" w:rsidP="00E62416">
            <w:pPr>
              <w:rPr>
                <w:b w:val="0"/>
                <w:noProof/>
                <w:color w:val="000000"/>
                <w:sz w:val="18"/>
                <w:szCs w:val="18"/>
              </w:rPr>
            </w:pPr>
            <w:r>
              <w:rPr>
                <w:b w:val="0"/>
                <w:noProof/>
                <w:color w:val="000000"/>
                <w:sz w:val="18"/>
              </w:rPr>
              <w:t>Overige ontvangsten (waaronder de voorlopige bijdrage van het VK)</w:t>
            </w:r>
          </w:p>
        </w:tc>
        <w:tc>
          <w:tcPr>
            <w:tcW w:w="850" w:type="dxa"/>
            <w:vAlign w:val="center"/>
          </w:tcPr>
          <w:p w14:paraId="39D896C9"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i/>
                <w:noProof/>
                <w:sz w:val="18"/>
                <w:szCs w:val="18"/>
              </w:rPr>
            </w:pPr>
            <w:r>
              <w:rPr>
                <w:i/>
                <w:noProof/>
                <w:sz w:val="18"/>
              </w:rPr>
              <w:t>e</w:t>
            </w:r>
          </w:p>
        </w:tc>
        <w:tc>
          <w:tcPr>
            <w:tcW w:w="964" w:type="dxa"/>
            <w:noWrap/>
            <w:vAlign w:val="center"/>
            <w:hideMark/>
          </w:tcPr>
          <w:p w14:paraId="451D737D" w14:textId="180A91D3"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12,1</w:t>
            </w:r>
          </w:p>
        </w:tc>
        <w:tc>
          <w:tcPr>
            <w:tcW w:w="964" w:type="dxa"/>
            <w:noWrap/>
            <w:vAlign w:val="center"/>
            <w:hideMark/>
          </w:tcPr>
          <w:p w14:paraId="15E44D6B" w14:textId="6BE9B890"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7,6</w:t>
            </w:r>
          </w:p>
        </w:tc>
        <w:tc>
          <w:tcPr>
            <w:tcW w:w="964" w:type="dxa"/>
            <w:noWrap/>
            <w:vAlign w:val="center"/>
            <w:hideMark/>
          </w:tcPr>
          <w:p w14:paraId="727AAE87" w14:textId="23DD2580"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4,3</w:t>
            </w:r>
          </w:p>
        </w:tc>
        <w:tc>
          <w:tcPr>
            <w:tcW w:w="964" w:type="dxa"/>
            <w:noWrap/>
            <w:vAlign w:val="center"/>
            <w:hideMark/>
          </w:tcPr>
          <w:p w14:paraId="678654C5" w14:textId="3911C18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3,1</w:t>
            </w:r>
          </w:p>
        </w:tc>
        <w:tc>
          <w:tcPr>
            <w:tcW w:w="964" w:type="dxa"/>
            <w:noWrap/>
            <w:vAlign w:val="center"/>
            <w:hideMark/>
          </w:tcPr>
          <w:p w14:paraId="276F00C7" w14:textId="4528E459"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2,7</w:t>
            </w:r>
          </w:p>
        </w:tc>
        <w:tc>
          <w:tcPr>
            <w:tcW w:w="964" w:type="dxa"/>
            <w:noWrap/>
            <w:vAlign w:val="center"/>
            <w:hideMark/>
          </w:tcPr>
          <w:p w14:paraId="687DABC1" w14:textId="6F56E6F7"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29,8</w:t>
            </w:r>
          </w:p>
        </w:tc>
      </w:tr>
      <w:tr w:rsidR="00E62416" w:rsidRPr="009E5562" w14:paraId="518EF390" w14:textId="77777777" w:rsidTr="00010355">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893BC1E" w14:textId="77777777" w:rsidR="00E62416" w:rsidRPr="0078468D" w:rsidRDefault="00E62416" w:rsidP="00E62416">
            <w:pPr>
              <w:rPr>
                <w:bCs/>
                <w:noProof/>
                <w:color w:val="000000"/>
                <w:sz w:val="18"/>
                <w:szCs w:val="18"/>
              </w:rPr>
            </w:pPr>
            <w:r>
              <w:rPr>
                <w:noProof/>
                <w:color w:val="000000"/>
                <w:sz w:val="18"/>
              </w:rPr>
              <w:t>TOTAAL ONTVANGSTEN</w:t>
            </w:r>
          </w:p>
        </w:tc>
        <w:tc>
          <w:tcPr>
            <w:tcW w:w="850" w:type="dxa"/>
            <w:vAlign w:val="center"/>
          </w:tcPr>
          <w:p w14:paraId="76A4973F" w14:textId="77777777" w:rsidR="00E62416" w:rsidRPr="0078468D" w:rsidRDefault="00E62416" w:rsidP="00E62416">
            <w:pPr>
              <w:jc w:val="center"/>
              <w:cnfStyle w:val="000000100000" w:firstRow="0" w:lastRow="0" w:firstColumn="0" w:lastColumn="0" w:oddVBand="0" w:evenVBand="0" w:oddHBand="1" w:evenHBand="0" w:firstRowFirstColumn="0" w:firstRowLastColumn="0" w:lastRowFirstColumn="0" w:lastRowLastColumn="0"/>
              <w:rPr>
                <w:b/>
                <w:bCs/>
                <w:i/>
                <w:noProof/>
                <w:sz w:val="18"/>
                <w:szCs w:val="18"/>
              </w:rPr>
            </w:pPr>
            <w:r>
              <w:rPr>
                <w:b/>
                <w:i/>
                <w:noProof/>
                <w:sz w:val="18"/>
              </w:rPr>
              <w:t>d+e</w:t>
            </w:r>
          </w:p>
        </w:tc>
        <w:tc>
          <w:tcPr>
            <w:tcW w:w="964" w:type="dxa"/>
            <w:noWrap/>
            <w:vAlign w:val="center"/>
            <w:hideMark/>
          </w:tcPr>
          <w:p w14:paraId="234B4F9D" w14:textId="143E21F0"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Pr>
                <w:b/>
                <w:i/>
                <w:noProof/>
              </w:rPr>
              <w:t>166,3</w:t>
            </w:r>
          </w:p>
        </w:tc>
        <w:tc>
          <w:tcPr>
            <w:tcW w:w="964" w:type="dxa"/>
            <w:noWrap/>
            <w:vAlign w:val="center"/>
            <w:hideMark/>
          </w:tcPr>
          <w:p w14:paraId="1B39FA1A" w14:textId="19A79A3D"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Pr>
                <w:b/>
                <w:i/>
                <w:noProof/>
              </w:rPr>
              <w:t>158,0</w:t>
            </w:r>
          </w:p>
        </w:tc>
        <w:tc>
          <w:tcPr>
            <w:tcW w:w="964" w:type="dxa"/>
            <w:noWrap/>
            <w:vAlign w:val="center"/>
            <w:hideMark/>
          </w:tcPr>
          <w:p w14:paraId="1A3C768A" w14:textId="7A8F9E1F"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Pr>
                <w:b/>
                <w:i/>
                <w:noProof/>
              </w:rPr>
              <w:t>176,3</w:t>
            </w:r>
          </w:p>
        </w:tc>
        <w:tc>
          <w:tcPr>
            <w:tcW w:w="964" w:type="dxa"/>
            <w:noWrap/>
            <w:vAlign w:val="center"/>
            <w:hideMark/>
          </w:tcPr>
          <w:p w14:paraId="1C9C3D5D" w14:textId="3140FF11"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Pr>
                <w:b/>
                <w:i/>
                <w:noProof/>
              </w:rPr>
              <w:t>182,8</w:t>
            </w:r>
          </w:p>
        </w:tc>
        <w:tc>
          <w:tcPr>
            <w:tcW w:w="964" w:type="dxa"/>
            <w:noWrap/>
            <w:vAlign w:val="center"/>
            <w:hideMark/>
          </w:tcPr>
          <w:p w14:paraId="30EAD93A" w14:textId="2225EF5A"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Pr>
                <w:b/>
                <w:i/>
                <w:noProof/>
              </w:rPr>
              <w:t>193,9</w:t>
            </w:r>
          </w:p>
        </w:tc>
        <w:tc>
          <w:tcPr>
            <w:tcW w:w="964" w:type="dxa"/>
            <w:noWrap/>
            <w:vAlign w:val="center"/>
            <w:hideMark/>
          </w:tcPr>
          <w:p w14:paraId="3C9C41A4" w14:textId="7AEC69E4"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
                <w:bCs/>
                <w:i/>
                <w:noProof/>
              </w:rPr>
            </w:pPr>
            <w:r>
              <w:rPr>
                <w:b/>
                <w:i/>
                <w:noProof/>
              </w:rPr>
              <w:t>877,3</w:t>
            </w:r>
          </w:p>
        </w:tc>
      </w:tr>
      <w:tr w:rsidR="00E62416" w:rsidRPr="00FE7A6F" w14:paraId="148698D5" w14:textId="77777777" w:rsidTr="000103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7422C3FC" w14:textId="1270CB43" w:rsidR="00E62416" w:rsidRPr="0078468D" w:rsidRDefault="00E62416" w:rsidP="00E62416">
            <w:pPr>
              <w:rPr>
                <w:bCs/>
                <w:i/>
                <w:iCs/>
                <w:noProof/>
                <w:sz w:val="18"/>
                <w:szCs w:val="18"/>
              </w:rPr>
            </w:pPr>
            <w:r>
              <w:rPr>
                <w:i/>
                <w:noProof/>
                <w:sz w:val="18"/>
              </w:rPr>
              <w:t xml:space="preserve">Beschikbare marge binnen het maximum van de eigen middelen </w:t>
            </w:r>
          </w:p>
        </w:tc>
        <w:tc>
          <w:tcPr>
            <w:tcW w:w="850" w:type="dxa"/>
            <w:vAlign w:val="center"/>
          </w:tcPr>
          <w:p w14:paraId="74C5913B" w14:textId="77777777" w:rsidR="00E62416" w:rsidRPr="00FE7A6F" w:rsidRDefault="00E62416" w:rsidP="00E62416">
            <w:pPr>
              <w:jc w:val="center"/>
              <w:cnfStyle w:val="000000010000" w:firstRow="0" w:lastRow="0" w:firstColumn="0" w:lastColumn="0" w:oddVBand="0" w:evenVBand="0" w:oddHBand="0" w:evenHBand="1" w:firstRowFirstColumn="0" w:firstRowLastColumn="0" w:lastRowFirstColumn="0" w:lastRowLastColumn="0"/>
              <w:rPr>
                <w:bCs/>
                <w:i/>
                <w:iCs/>
                <w:noProof/>
                <w:sz w:val="18"/>
                <w:szCs w:val="18"/>
              </w:rPr>
            </w:pPr>
            <w:r>
              <w:rPr>
                <w:i/>
                <w:noProof/>
                <w:sz w:val="18"/>
              </w:rPr>
              <w:t>a-d</w:t>
            </w:r>
          </w:p>
        </w:tc>
        <w:tc>
          <w:tcPr>
            <w:tcW w:w="964" w:type="dxa"/>
            <w:noWrap/>
            <w:vAlign w:val="center"/>
          </w:tcPr>
          <w:p w14:paraId="5A6179D8" w14:textId="602ECF38"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172,7</w:t>
            </w:r>
          </w:p>
        </w:tc>
        <w:tc>
          <w:tcPr>
            <w:tcW w:w="964" w:type="dxa"/>
            <w:noWrap/>
            <w:vAlign w:val="center"/>
          </w:tcPr>
          <w:p w14:paraId="688C4595" w14:textId="215B9E2A"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191,6</w:t>
            </w:r>
          </w:p>
        </w:tc>
        <w:tc>
          <w:tcPr>
            <w:tcW w:w="964" w:type="dxa"/>
            <w:noWrap/>
            <w:vAlign w:val="center"/>
          </w:tcPr>
          <w:p w14:paraId="68565778" w14:textId="7DE19DB8"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185,0</w:t>
            </w:r>
          </w:p>
        </w:tc>
        <w:tc>
          <w:tcPr>
            <w:tcW w:w="964" w:type="dxa"/>
            <w:noWrap/>
            <w:vAlign w:val="center"/>
          </w:tcPr>
          <w:p w14:paraId="5366777A" w14:textId="064FA545"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192,1</w:t>
            </w:r>
          </w:p>
        </w:tc>
        <w:tc>
          <w:tcPr>
            <w:tcW w:w="964" w:type="dxa"/>
            <w:noWrap/>
            <w:vAlign w:val="center"/>
          </w:tcPr>
          <w:p w14:paraId="1D0257D8" w14:textId="38C64725" w:rsidR="00E62416" w:rsidRPr="0078468D"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rPr>
              <w:t>195,1</w:t>
            </w:r>
          </w:p>
        </w:tc>
        <w:tc>
          <w:tcPr>
            <w:tcW w:w="964" w:type="dxa"/>
            <w:noWrap/>
            <w:vAlign w:val="center"/>
          </w:tcPr>
          <w:p w14:paraId="7DF0A8BF" w14:textId="1A673122" w:rsidR="00E62416" w:rsidRPr="00C63499" w:rsidRDefault="00E62416" w:rsidP="00E62416">
            <w:pPr>
              <w:spacing w:after="120" w:line="22" w:lineRule="atLeast"/>
              <w:jc w:val="right"/>
              <w:cnfStyle w:val="000000010000" w:firstRow="0" w:lastRow="0" w:firstColumn="0" w:lastColumn="0" w:oddVBand="0" w:evenVBand="0" w:oddHBand="0" w:evenHBand="1" w:firstRowFirstColumn="0" w:firstRowLastColumn="0" w:lastRowFirstColumn="0" w:lastRowLastColumn="0"/>
              <w:rPr>
                <w:rFonts w:eastAsia="Calibri"/>
                <w:bCs/>
                <w:i/>
                <w:noProof/>
              </w:rPr>
            </w:pPr>
            <w:r>
              <w:rPr>
                <w:i/>
                <w:noProof/>
                <w:color w:val="000000"/>
              </w:rPr>
              <w:t>n.v.t.</w:t>
            </w:r>
          </w:p>
        </w:tc>
      </w:tr>
      <w:tr w:rsidR="00E62416" w:rsidRPr="00FE7A6F" w14:paraId="12B95DA0" w14:textId="77777777" w:rsidTr="000103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0AA1D728" w14:textId="6BD0773D" w:rsidR="00E62416" w:rsidRPr="0078468D" w:rsidRDefault="00E62416" w:rsidP="00E62416">
            <w:pPr>
              <w:rPr>
                <w:b w:val="0"/>
                <w:bCs/>
                <w:i/>
                <w:iCs/>
                <w:noProof/>
                <w:sz w:val="18"/>
                <w:szCs w:val="18"/>
              </w:rPr>
            </w:pPr>
            <w:r>
              <w:rPr>
                <w:b w:val="0"/>
                <w:i/>
                <w:noProof/>
                <w:sz w:val="18"/>
              </w:rPr>
              <w:t xml:space="preserve">     waarvan marge binnen de tijdelijke toename voor NGEU</w:t>
            </w:r>
          </w:p>
        </w:tc>
        <w:tc>
          <w:tcPr>
            <w:tcW w:w="850" w:type="dxa"/>
            <w:vAlign w:val="center"/>
          </w:tcPr>
          <w:p w14:paraId="7DC7E0B6" w14:textId="77777777" w:rsidR="00E62416" w:rsidRPr="00FE7A6F" w:rsidRDefault="00E62416" w:rsidP="00E62416">
            <w:pPr>
              <w:jc w:val="center"/>
              <w:cnfStyle w:val="000000100000" w:firstRow="0" w:lastRow="0" w:firstColumn="0" w:lastColumn="0" w:oddVBand="0" w:evenVBand="0" w:oddHBand="1" w:evenHBand="0" w:firstRowFirstColumn="0" w:firstRowLastColumn="0" w:lastRowFirstColumn="0" w:lastRowLastColumn="0"/>
              <w:rPr>
                <w:bCs/>
                <w:i/>
                <w:iCs/>
                <w:noProof/>
                <w:sz w:val="18"/>
                <w:szCs w:val="18"/>
              </w:rPr>
            </w:pPr>
            <w:r>
              <w:rPr>
                <w:i/>
                <w:noProof/>
                <w:sz w:val="18"/>
              </w:rPr>
              <w:t>a-d</w:t>
            </w:r>
          </w:p>
        </w:tc>
        <w:tc>
          <w:tcPr>
            <w:tcW w:w="964" w:type="dxa"/>
            <w:noWrap/>
            <w:vAlign w:val="center"/>
          </w:tcPr>
          <w:p w14:paraId="78049562" w14:textId="103994B2"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97,0</w:t>
            </w:r>
          </w:p>
        </w:tc>
        <w:tc>
          <w:tcPr>
            <w:tcW w:w="964" w:type="dxa"/>
            <w:noWrap/>
            <w:vAlign w:val="center"/>
          </w:tcPr>
          <w:p w14:paraId="62E3C6C3" w14:textId="7E60D07E"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100,5</w:t>
            </w:r>
          </w:p>
        </w:tc>
        <w:tc>
          <w:tcPr>
            <w:tcW w:w="964" w:type="dxa"/>
            <w:noWrap/>
            <w:vAlign w:val="center"/>
          </w:tcPr>
          <w:p w14:paraId="574D11E9" w14:textId="15CBA97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104,4</w:t>
            </w:r>
          </w:p>
        </w:tc>
        <w:tc>
          <w:tcPr>
            <w:tcW w:w="964" w:type="dxa"/>
            <w:noWrap/>
            <w:vAlign w:val="center"/>
          </w:tcPr>
          <w:p w14:paraId="42B50723" w14:textId="12D8E858"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107,8</w:t>
            </w:r>
          </w:p>
        </w:tc>
        <w:tc>
          <w:tcPr>
            <w:tcW w:w="964" w:type="dxa"/>
            <w:noWrap/>
            <w:vAlign w:val="center"/>
          </w:tcPr>
          <w:p w14:paraId="35DFAE58" w14:textId="535A5FC0"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rPr>
              <w:t>110,9</w:t>
            </w:r>
          </w:p>
        </w:tc>
        <w:tc>
          <w:tcPr>
            <w:tcW w:w="964" w:type="dxa"/>
            <w:noWrap/>
            <w:vAlign w:val="center"/>
          </w:tcPr>
          <w:p w14:paraId="61303DA2" w14:textId="305E7EC3" w:rsidR="00E62416" w:rsidRPr="0078468D" w:rsidRDefault="00E62416" w:rsidP="00E62416">
            <w:pPr>
              <w:spacing w:after="120" w:line="22" w:lineRule="atLeast"/>
              <w:jc w:val="right"/>
              <w:cnfStyle w:val="000000100000" w:firstRow="0" w:lastRow="0" w:firstColumn="0" w:lastColumn="0" w:oddVBand="0" w:evenVBand="0" w:oddHBand="1" w:evenHBand="0" w:firstRowFirstColumn="0" w:firstRowLastColumn="0" w:lastRowFirstColumn="0" w:lastRowLastColumn="0"/>
              <w:rPr>
                <w:rFonts w:eastAsia="Calibri"/>
                <w:bCs/>
                <w:i/>
                <w:noProof/>
              </w:rPr>
            </w:pPr>
            <w:r>
              <w:rPr>
                <w:i/>
                <w:noProof/>
                <w:color w:val="000000"/>
              </w:rPr>
              <w:t>n.v.t.</w:t>
            </w:r>
          </w:p>
        </w:tc>
      </w:tr>
    </w:tbl>
    <w:p w14:paraId="3E644640" w14:textId="77777777" w:rsidR="005C3B14" w:rsidRPr="005C3B14" w:rsidRDefault="005C3B14" w:rsidP="005C3B14">
      <w:pPr>
        <w:rPr>
          <w:bCs/>
          <w:i/>
          <w:iCs/>
          <w:noProof/>
          <w:sz w:val="18"/>
          <w:szCs w:val="18"/>
        </w:rPr>
      </w:pPr>
      <w:r>
        <w:rPr>
          <w:i/>
          <w:noProof/>
          <w:sz w:val="18"/>
        </w:rPr>
        <w:t>* Maximum van eigen middelen — berekend op basis van de economische prognose van het voorjaar van 2022 voor het bruto nationaal inkomen van de EU-27 voor 2023-2027.</w:t>
      </w:r>
    </w:p>
    <w:p w14:paraId="27E7CD1C" w14:textId="77777777" w:rsidR="005C3B14" w:rsidRPr="005C3B14" w:rsidRDefault="005C3B14" w:rsidP="005C3B14">
      <w:pPr>
        <w:rPr>
          <w:bCs/>
          <w:i/>
          <w:iCs/>
          <w:noProof/>
          <w:sz w:val="18"/>
          <w:szCs w:val="18"/>
        </w:rPr>
      </w:pPr>
      <w:r>
        <w:rPr>
          <w:i/>
          <w:noProof/>
          <w:sz w:val="18"/>
        </w:rPr>
        <w:t xml:space="preserve">** De traditionele eigen middelen worden geraamd op basis van een inhoudingspercentage van 25 % aan inningskosten. </w:t>
      </w:r>
    </w:p>
    <w:p w14:paraId="6C497A92" w14:textId="02B46612" w:rsidR="00D66606" w:rsidRPr="005C3B14" w:rsidRDefault="005C3B14" w:rsidP="005C3B14">
      <w:pPr>
        <w:rPr>
          <w:bCs/>
          <w:i/>
          <w:iCs/>
          <w:noProof/>
          <w:sz w:val="18"/>
          <w:szCs w:val="18"/>
        </w:rPr>
      </w:pPr>
      <w:r>
        <w:rPr>
          <w:i/>
          <w:noProof/>
          <w:sz w:val="18"/>
        </w:rPr>
        <w:t>*** Nationale bijdragen omvatten de op het bruto nationaal inkomen gebaseerde eigen middelen, de hervormde eigen middelen btw en de nieuwe eigen middelen op basis van niet-gerecycled kunststof verpakkingsafval.</w:t>
      </w:r>
    </w:p>
    <w:p w14:paraId="16426B77" w14:textId="77777777" w:rsidR="00D66606" w:rsidRPr="005C3B14" w:rsidRDefault="00D66606" w:rsidP="00D66606">
      <w:pPr>
        <w:rPr>
          <w:i/>
          <w:noProof/>
        </w:rPr>
        <w:sectPr w:rsidR="00D66606" w:rsidRPr="005C3B14" w:rsidSect="005C3B14">
          <w:headerReference w:type="even" r:id="rId36"/>
          <w:headerReference w:type="default" r:id="rId37"/>
          <w:footerReference w:type="even" r:id="rId38"/>
          <w:footerReference w:type="default" r:id="rId39"/>
          <w:headerReference w:type="first" r:id="rId40"/>
          <w:footerReference w:type="first" r:id="rId41"/>
          <w:pgSz w:w="11906" w:h="16838"/>
          <w:pgMar w:top="1321" w:right="1151" w:bottom="1440" w:left="1151" w:header="720" w:footer="720" w:gutter="0"/>
          <w:cols w:space="720"/>
          <w:docGrid w:linePitch="326"/>
        </w:sectPr>
      </w:pPr>
    </w:p>
    <w:p w14:paraId="481D4782" w14:textId="77777777" w:rsidR="00D66606" w:rsidRPr="00FC02CC" w:rsidRDefault="00D66606" w:rsidP="00FC02CC">
      <w:pPr>
        <w:rPr>
          <w:noProof/>
          <w:lang w:eastAsia="zh-CN"/>
        </w:rPr>
      </w:pPr>
    </w:p>
    <w:sectPr w:rsidR="00D66606" w:rsidRPr="00FC02CC" w:rsidSect="00D66606">
      <w:headerReference w:type="even" r:id="rId42"/>
      <w:headerReference w:type="default" r:id="rId43"/>
      <w:footerReference w:type="even" r:id="rId44"/>
      <w:footerReference w:type="default" r:id="rId45"/>
      <w:headerReference w:type="first" r:id="rId46"/>
      <w:footerReference w:type="first" r:id="rId47"/>
      <w:pgSz w:w="11906" w:h="16838"/>
      <w:pgMar w:top="1321" w:right="1151" w:bottom="1440" w:left="11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14A1" w14:textId="77777777" w:rsidR="00857477" w:rsidRPr="008442F6" w:rsidRDefault="00857477" w:rsidP="00F24D18">
      <w:r>
        <w:separator/>
      </w:r>
    </w:p>
    <w:p w14:paraId="2C5640BA" w14:textId="77777777" w:rsidR="00857477" w:rsidRPr="008442F6" w:rsidRDefault="00857477"/>
    <w:p w14:paraId="03FDEA0E" w14:textId="77777777" w:rsidR="00857477" w:rsidRDefault="00857477"/>
  </w:endnote>
  <w:endnote w:type="continuationSeparator" w:id="0">
    <w:p w14:paraId="4D5419BB" w14:textId="77777777" w:rsidR="00857477" w:rsidRPr="008442F6" w:rsidRDefault="00857477" w:rsidP="00F24D18">
      <w:r>
        <w:continuationSeparator/>
      </w:r>
    </w:p>
    <w:p w14:paraId="2E6BE916" w14:textId="77777777" w:rsidR="00857477" w:rsidRPr="008442F6" w:rsidRDefault="00857477"/>
    <w:p w14:paraId="7CD9B5C6" w14:textId="77777777" w:rsidR="00857477" w:rsidRDefault="00857477"/>
  </w:endnote>
  <w:endnote w:type="continuationNotice" w:id="1">
    <w:p w14:paraId="1A34D3EA" w14:textId="77777777" w:rsidR="00857477" w:rsidRPr="008442F6" w:rsidRDefault="00857477"/>
    <w:p w14:paraId="77B270A7" w14:textId="77777777" w:rsidR="00857477" w:rsidRPr="008442F6" w:rsidRDefault="00857477"/>
    <w:p w14:paraId="13989CCC" w14:textId="77777777" w:rsidR="00857477" w:rsidRDefault="00857477"/>
  </w:endnote>
  <w:endnote w:id="2">
    <w:p w14:paraId="58145D8F" w14:textId="77777777" w:rsidR="00857477" w:rsidRDefault="00857477" w:rsidP="006D0A86">
      <w:pPr>
        <w:pStyle w:val="EndnoteText"/>
        <w:spacing w:line="276" w:lineRule="auto"/>
        <w:jc w:val="both"/>
      </w:pPr>
      <w:r>
        <w:rPr>
          <w:rStyle w:val="EndnoteReference"/>
        </w:rPr>
        <w:endnoteRef/>
      </w:r>
      <w:r>
        <w:t xml:space="preserve"> Tenzij anders is aangegeven, zijn alle bedragen in het verslag uitgedrukt in lopende prijzen.</w:t>
      </w:r>
    </w:p>
  </w:endnote>
  <w:endnote w:id="3">
    <w:p w14:paraId="205610CA" w14:textId="77777777" w:rsidR="00857477" w:rsidRPr="0019731F" w:rsidRDefault="00857477" w:rsidP="006D0A86">
      <w:pPr>
        <w:pStyle w:val="EndnoteText"/>
        <w:spacing w:line="276" w:lineRule="auto"/>
        <w:jc w:val="both"/>
        <w:rPr>
          <w:highlight w:val="yellow"/>
        </w:rPr>
      </w:pPr>
      <w:r>
        <w:rPr>
          <w:rStyle w:val="EndnoteReference"/>
        </w:rPr>
        <w:endnoteRef/>
      </w:r>
      <w:r>
        <w:t xml:space="preserve"> Verordening (EU, Euratom) 2020/2093 van de Raad tot bepaling van het meerjarig financieel kader voor de jaren 2021-2027 (PB L 433I van 22.12.2020, blz. 11).</w:t>
      </w:r>
    </w:p>
  </w:endnote>
  <w:endnote w:id="4">
    <w:p w14:paraId="20CEE70F" w14:textId="77777777" w:rsidR="00857477" w:rsidRPr="0019731F" w:rsidRDefault="00857477" w:rsidP="006D0A86">
      <w:pPr>
        <w:pStyle w:val="EndnoteText"/>
        <w:spacing w:line="276" w:lineRule="auto"/>
        <w:jc w:val="both"/>
        <w:rPr>
          <w:highlight w:val="yellow"/>
        </w:rPr>
      </w:pPr>
      <w:r>
        <w:rPr>
          <w:rStyle w:val="EndnoteReference"/>
        </w:rPr>
        <w:endnoteRef/>
      </w:r>
      <w:r>
        <w:t xml:space="preserve"> Verordening (EU) 2020/2094 van de Raad tot vaststelling van een herstelinstrument van de Europese Unie ter ondersteuning van het herstel na de COVID-19-crisis (PB L 433I van 22.12.2020, blz. 23) (“NextGenerationEU”)</w:t>
      </w:r>
    </w:p>
  </w:endnote>
  <w:endnote w:id="5">
    <w:p w14:paraId="3C82DD7A" w14:textId="72C4DC56" w:rsidR="00857477" w:rsidRDefault="00857477" w:rsidP="006D0A86">
      <w:pPr>
        <w:pStyle w:val="EndnoteText"/>
        <w:spacing w:line="276" w:lineRule="auto"/>
        <w:jc w:val="both"/>
      </w:pPr>
      <w:r>
        <w:rPr>
          <w:rStyle w:val="EndnoteReference"/>
        </w:rPr>
        <w:endnoteRef/>
      </w:r>
      <w:r>
        <w:t xml:space="preserve"> COM(2021) 343 van 30.6.2021.</w:t>
      </w:r>
    </w:p>
  </w:endnote>
  <w:endnote w:id="6">
    <w:p w14:paraId="03775F8D" w14:textId="77777777" w:rsidR="00857477" w:rsidRDefault="00857477" w:rsidP="006D0A86">
      <w:pPr>
        <w:pStyle w:val="EndnoteText"/>
        <w:spacing w:line="276" w:lineRule="auto"/>
        <w:jc w:val="both"/>
      </w:pPr>
      <w:r>
        <w:rPr>
          <w:rStyle w:val="EndnoteReference"/>
        </w:rPr>
        <w:endnoteRef/>
      </w:r>
      <w:r>
        <w:t xml:space="preserve"> Verordening (EU, Euratom) 2018/1046 van het Europees Parlement en de Raad van 18 juli 2018 tot vaststelling van de financiële regels van toepassing op de algemene begroting van de Unie, tot wijziging van Verordeningen (EU) nr. 1296/2013, (EU) nr. 1301/2013, (EU) nr. 1303/2013, (EU) nr. 1304/2013, (EU) nr. 1309/2013, (EU) nr. 1316/2013, (EU) nr. 223/2014, (EU) nr. 283/2014 en Besluit nr. 541/2014/EU en tot intrekking van Verordening (EU, Euratom) nr. 966/2012 (PB L 193 van 30.7.2018, blz. 1).</w:t>
      </w:r>
    </w:p>
  </w:endnote>
  <w:endnote w:id="7">
    <w:p w14:paraId="1599499D" w14:textId="1797E366" w:rsidR="00857477" w:rsidRPr="0078468D" w:rsidRDefault="00857477" w:rsidP="006D0A86">
      <w:pPr>
        <w:pStyle w:val="EndnoteText"/>
        <w:spacing w:line="276" w:lineRule="auto"/>
        <w:jc w:val="both"/>
      </w:pPr>
      <w:r>
        <w:rPr>
          <w:rStyle w:val="EndnoteReference"/>
        </w:rPr>
        <w:endnoteRef/>
      </w:r>
      <w:r>
        <w:t xml:space="preserve"> COM(2022) 400 – juni 2022.</w:t>
      </w:r>
    </w:p>
  </w:endnote>
  <w:endnote w:id="8">
    <w:p w14:paraId="34A9D803" w14:textId="22434747" w:rsidR="00857477" w:rsidRPr="0078468D" w:rsidRDefault="00857477" w:rsidP="006D0A86">
      <w:pPr>
        <w:pStyle w:val="EndnoteText"/>
        <w:spacing w:line="276" w:lineRule="auto"/>
        <w:jc w:val="both"/>
      </w:pPr>
      <w:r>
        <w:rPr>
          <w:rStyle w:val="EndnoteReference"/>
        </w:rPr>
        <w:endnoteRef/>
      </w:r>
      <w:r>
        <w:t xml:space="preserve"> COM(2022) 80 definitief van 28.1.2022.</w:t>
      </w:r>
    </w:p>
  </w:endnote>
  <w:endnote w:id="9">
    <w:p w14:paraId="72D0CBF8" w14:textId="38FB7807" w:rsidR="00857477" w:rsidRDefault="00857477" w:rsidP="006D0A86">
      <w:pPr>
        <w:pStyle w:val="EndnoteText"/>
        <w:spacing w:line="276" w:lineRule="auto"/>
        <w:jc w:val="both"/>
      </w:pPr>
      <w:r>
        <w:rPr>
          <w:rStyle w:val="EndnoteReference"/>
        </w:rPr>
        <w:endnoteRef/>
      </w:r>
      <w:r>
        <w:t xml:space="preserve"> Artikel 5 van de MFK-verordening voorziet in de extra toewijzing van vastleggings- en betalingskredieten voor een vooraf gedefinieerde lijst van programma’s, voor een bedrag dat gelijk is aan de inkomsten uit geldboeten in mededingingszaken, zoals in het jaar n-1 opgenomen in de begroting overeenkomstig artikel 107 van het financieel reglement.</w:t>
      </w:r>
    </w:p>
  </w:endnote>
  <w:endnote w:id="10">
    <w:p w14:paraId="4F2DE3FA" w14:textId="77777777" w:rsidR="00857477" w:rsidRDefault="00857477" w:rsidP="006D0A86">
      <w:pPr>
        <w:pStyle w:val="EndnoteText"/>
        <w:spacing w:line="276" w:lineRule="auto"/>
        <w:jc w:val="both"/>
      </w:pPr>
      <w:r>
        <w:rPr>
          <w:vertAlign w:val="superscript"/>
        </w:rPr>
        <w:endnoteRef/>
      </w:r>
      <w:r>
        <w:t xml:space="preserve"> Artikel 15, lid 3, van het financieel reglement bepaalt dat vastleggingskredieten die overeenkomen met het bedrag aan vrijmakingen in verband met onderzoeksprojecten, in het kader van de begrotingsprocedure wederopgevoerd kunnen worden ten gunste van het onderzoeksprogramma waartoe de projecten behoren of de opvolger daarvan.</w:t>
      </w:r>
    </w:p>
  </w:endnote>
  <w:endnote w:id="11">
    <w:p w14:paraId="2E8FC377" w14:textId="77777777" w:rsidR="00857477" w:rsidRDefault="00857477" w:rsidP="006D0A86">
      <w:pPr>
        <w:pStyle w:val="NormalWeb"/>
        <w:spacing w:before="0" w:beforeAutospacing="0" w:after="0" w:afterAutospacing="0" w:line="276" w:lineRule="auto"/>
        <w:jc w:val="both"/>
      </w:pPr>
      <w:r>
        <w:rPr>
          <w:rStyle w:val="EndnoteReference"/>
        </w:rPr>
        <w:endnoteRef/>
      </w:r>
      <w:r>
        <w:t xml:space="preserve"> </w:t>
      </w:r>
      <w:r>
        <w:rPr>
          <w:rFonts w:ascii="EC Square Sans Pro" w:hAnsi="EC Square Sans Pro"/>
          <w:sz w:val="20"/>
        </w:rPr>
        <w:t>Besluit (EU, Euratom) 2020/2053 van de Raad van 14 december 2020 betreffende het stelsel van eigen middelen van de Europese Unie en tot intrekking van Besluit 2014/335/EU, Euratom (PB L 424 van 15.12.2020, blz. 1).</w:t>
      </w:r>
    </w:p>
  </w:endnote>
  <w:endnote w:id="12">
    <w:p w14:paraId="5C4A774F" w14:textId="77777777" w:rsidR="00857477" w:rsidRPr="0078468D" w:rsidRDefault="00857477" w:rsidP="006D0A86">
      <w:pPr>
        <w:pStyle w:val="EndnoteText"/>
        <w:tabs>
          <w:tab w:val="left" w:pos="8134"/>
        </w:tabs>
        <w:spacing w:line="276" w:lineRule="auto"/>
        <w:jc w:val="both"/>
      </w:pPr>
      <w:r>
        <w:rPr>
          <w:rStyle w:val="EndnoteReference"/>
        </w:rPr>
        <w:endnoteRef/>
      </w:r>
      <w:r>
        <w:t xml:space="preserve"> PB C 66I van 19.2.2019, blz. 1.</w:t>
      </w:r>
      <w:r>
        <w:tab/>
      </w:r>
    </w:p>
  </w:endnote>
  <w:endnote w:id="13">
    <w:p w14:paraId="2FCFEBB0" w14:textId="4453896C" w:rsidR="00857477" w:rsidRPr="0078468D" w:rsidRDefault="00857477" w:rsidP="006D0A86">
      <w:pPr>
        <w:pStyle w:val="EndnoteText"/>
        <w:spacing w:line="276" w:lineRule="auto"/>
        <w:jc w:val="both"/>
      </w:pPr>
      <w:r>
        <w:rPr>
          <w:rStyle w:val="EndnoteReference"/>
        </w:rPr>
        <w:endnoteRef/>
      </w:r>
      <w:r>
        <w:t xml:space="preserve"> COM(2021) 365 van 7.6.2021, en COM(2022) 266 van 7.6.2022.</w:t>
      </w:r>
    </w:p>
  </w:endnote>
  <w:endnote w:id="14">
    <w:p w14:paraId="56919E8C" w14:textId="7C19B4A7" w:rsidR="00857477" w:rsidRDefault="00857477" w:rsidP="006D0A86">
      <w:pPr>
        <w:pStyle w:val="CommentText"/>
        <w:jc w:val="both"/>
      </w:pPr>
      <w:r>
        <w:rPr>
          <w:rStyle w:val="EndnoteReference"/>
        </w:rPr>
        <w:endnoteRef/>
      </w:r>
      <w:r>
        <w:t xml:space="preserve"> In de langetermijnprognose voor 2021 werd uitgegaan van een vertraging die vergelijkbaar was met die in de periode 2014-2020, toen betaling van ongeveer de helft van de in het eerste uitvoeringsjaar verschuldigde bedragen moest worden uitgesteld.</w:t>
      </w:r>
    </w:p>
  </w:endnote>
  <w:endnote w:id="15">
    <w:p w14:paraId="598B6170" w14:textId="26FF9C55" w:rsidR="00857477" w:rsidRPr="009E3DD5" w:rsidRDefault="00857477" w:rsidP="006D0A86">
      <w:pPr>
        <w:pStyle w:val="EndnoteText"/>
        <w:jc w:val="both"/>
      </w:pPr>
      <w:r>
        <w:rPr>
          <w:rStyle w:val="EndnoteReference"/>
        </w:rPr>
        <w:endnoteRef/>
      </w:r>
      <w:r>
        <w:t xml:space="preserve"> COM(2022) 231 definitief van 18.5.2022.</w:t>
      </w:r>
    </w:p>
  </w:endnote>
  <w:endnote w:id="16">
    <w:p w14:paraId="569745B3" w14:textId="25E85EF9" w:rsidR="00857477" w:rsidRPr="006E68CD" w:rsidRDefault="00857477" w:rsidP="006D0A86">
      <w:pPr>
        <w:pStyle w:val="EndnoteText"/>
        <w:jc w:val="both"/>
      </w:pPr>
      <w:r>
        <w:rPr>
          <w:rStyle w:val="EndnoteReference"/>
        </w:rPr>
        <w:endnoteRef/>
      </w:r>
      <w:r>
        <w:t xml:space="preserve"> COM(2022) 57 definitief van 15.2.2022.</w:t>
      </w:r>
    </w:p>
  </w:endnote>
  <w:endnote w:id="17">
    <w:p w14:paraId="0459CF1B" w14:textId="77777777" w:rsidR="00857477" w:rsidRPr="006E68CD" w:rsidRDefault="00857477" w:rsidP="006D0A86">
      <w:pPr>
        <w:pStyle w:val="EndnoteText"/>
        <w:jc w:val="both"/>
      </w:pPr>
      <w:r>
        <w:rPr>
          <w:rStyle w:val="EndnoteReference"/>
        </w:rPr>
        <w:endnoteRef/>
      </w:r>
      <w:r>
        <w:t xml:space="preserve"> COM(2022) 46 van 8.2.2022.</w:t>
      </w:r>
    </w:p>
  </w:endnote>
  <w:endnote w:id="18">
    <w:p w14:paraId="6A56E86E" w14:textId="4C16C3B5" w:rsidR="00857477" w:rsidRPr="00E11450" w:rsidRDefault="00857477" w:rsidP="0004060C">
      <w:pPr>
        <w:pStyle w:val="title-bold"/>
      </w:pPr>
      <w:r>
        <w:rPr>
          <w:rStyle w:val="EndnoteReference"/>
        </w:rPr>
        <w:endnoteRef/>
      </w:r>
      <w:r>
        <w:t xml:space="preserve"> </w:t>
      </w:r>
      <w:r>
        <w:rPr>
          <w:rFonts w:ascii="EC Square Sans Pro" w:hAnsi="EC Square Sans Pro"/>
          <w:sz w:val="20"/>
        </w:rPr>
        <w:t>Verordening (EU) 2021/1755 van het Europees Parlement en de Raad van 6 oktober 2021 tot oprichting van de reserve voor aanpassing aan de Brexit (PB L 357 van 8.10.2021, blz. 1).</w:t>
      </w:r>
    </w:p>
  </w:endnote>
  <w:endnote w:id="19">
    <w:p w14:paraId="046AE194" w14:textId="5D58C4F2" w:rsidR="00857477" w:rsidRPr="0078468D" w:rsidRDefault="00857477" w:rsidP="006D0A86">
      <w:pPr>
        <w:pStyle w:val="EndnoteText"/>
        <w:spacing w:line="276" w:lineRule="auto"/>
        <w:jc w:val="both"/>
      </w:pPr>
      <w:r>
        <w:rPr>
          <w:rStyle w:val="EndnoteReference"/>
        </w:rPr>
        <w:endnoteRef/>
      </w:r>
      <w:r>
        <w:t xml:space="preserve"> COM(2022) 109 definitief van 8.3.2022.</w:t>
      </w:r>
    </w:p>
  </w:endnote>
  <w:endnote w:id="20">
    <w:p w14:paraId="135CA909" w14:textId="48C4D9CB" w:rsidR="00857477" w:rsidRPr="00F81180" w:rsidRDefault="00857477" w:rsidP="006D0A86">
      <w:pPr>
        <w:pStyle w:val="EndnoteText"/>
        <w:spacing w:line="276" w:lineRule="auto"/>
        <w:jc w:val="both"/>
      </w:pPr>
      <w:r>
        <w:rPr>
          <w:rStyle w:val="EndnoteReference"/>
        </w:rPr>
        <w:endnoteRef/>
      </w:r>
      <w:r>
        <w:t xml:space="preserve"> COM(2022) 242 definitief van 20.5.2022.</w:t>
      </w:r>
    </w:p>
  </w:endnote>
  <w:endnote w:id="21">
    <w:p w14:paraId="64CD6F92" w14:textId="790B08B2" w:rsidR="00857477" w:rsidRPr="001C521D" w:rsidRDefault="00857477" w:rsidP="006D0A86">
      <w:pPr>
        <w:pStyle w:val="EndnoteText"/>
        <w:spacing w:line="276" w:lineRule="auto"/>
        <w:jc w:val="both"/>
      </w:pPr>
      <w:r>
        <w:rPr>
          <w:rStyle w:val="EndnoteReference"/>
        </w:rPr>
        <w:endnoteRef/>
      </w:r>
      <w:r>
        <w:t xml:space="preserve"> Gezien het vraaggestuurde uitvoeringsmechanisme is er geen prognose beschikbaar voor de leencomponent van de herstel- en veerkrachtfaciliteit (net als voor andere op leningen gebaseerde instrumenten die buiten de begroting worden uitgevoerd).</w:t>
      </w:r>
    </w:p>
  </w:endnote>
  <w:endnote w:id="22">
    <w:p w14:paraId="362A277F" w14:textId="77777777" w:rsidR="00857477" w:rsidRPr="00752A58" w:rsidRDefault="00857477" w:rsidP="006D0A86">
      <w:pPr>
        <w:pStyle w:val="EndnoteText"/>
        <w:jc w:val="both"/>
      </w:pPr>
      <w:r>
        <w:rPr>
          <w:rStyle w:val="EndnoteReference"/>
        </w:rPr>
        <w:endnoteRef/>
      </w:r>
      <w:r>
        <w:t xml:space="preserve"> Met één lidstaat vinden besprekingen plaats op basis van een ontwerpplan.</w:t>
      </w:r>
    </w:p>
  </w:endnote>
  <w:endnote w:id="23">
    <w:p w14:paraId="383E21CF" w14:textId="45B708D3" w:rsidR="00857477" w:rsidRPr="0078468D" w:rsidRDefault="00857477" w:rsidP="006D0A86">
      <w:pPr>
        <w:pStyle w:val="EndnoteText"/>
        <w:spacing w:line="276" w:lineRule="auto"/>
        <w:jc w:val="both"/>
      </w:pPr>
      <w:r>
        <w:rPr>
          <w:rStyle w:val="EndnoteReference"/>
        </w:rPr>
        <w:endnoteRef/>
      </w:r>
      <w:r>
        <w:t xml:space="preserve"> Verordening (EU) 2022/613 van het Europees Parlement en de Raad van 12 april 2022 tot wijziging van Verordeningen (EU) nr. 1303/2013 en (EU) nr. 223/2014 wat betreft de verhoging van de voorfinanciering uit de React-EU-middelen en de vaststelling van eenheidskosten (PB L 115 van 13.4.2022, blz. 38).</w:t>
      </w:r>
    </w:p>
  </w:endnote>
  <w:endnote w:id="24">
    <w:p w14:paraId="2A2A8C4B" w14:textId="1E1B42DA" w:rsidR="00857477" w:rsidRPr="0004060C" w:rsidRDefault="00857477">
      <w:pPr>
        <w:pStyle w:val="EndnoteText"/>
      </w:pPr>
      <w:r>
        <w:rPr>
          <w:rStyle w:val="EndnoteReference"/>
        </w:rPr>
        <w:endnoteRef/>
      </w:r>
      <w:r>
        <w:t xml:space="preserve"> Fonds voor een rechtvaardige transitie, Europees Landbouwfonds voor plattelandsontwikkeling, Horizon Europa, InvestEU-fonds en het Uniemechanisme voor civiele bescherming (RescEU)</w:t>
      </w:r>
    </w:p>
  </w:endnote>
  <w:endnote w:id="25">
    <w:p w14:paraId="42A3E002" w14:textId="795B27A0" w:rsidR="00857477" w:rsidRPr="0078468D" w:rsidRDefault="00857477" w:rsidP="006D0A86">
      <w:pPr>
        <w:pStyle w:val="EndnoteText"/>
        <w:spacing w:line="276" w:lineRule="auto"/>
        <w:jc w:val="both"/>
      </w:pPr>
      <w:r>
        <w:rPr>
          <w:rStyle w:val="EndnoteReference"/>
        </w:rPr>
        <w:endnoteRef/>
      </w:r>
      <w:r>
        <w:t xml:space="preserve"> COM(2021) 250 definitief van 14.4.2021.</w:t>
      </w:r>
    </w:p>
  </w:endnote>
  <w:endnote w:id="26">
    <w:p w14:paraId="23D59674" w14:textId="6B0B4ED7" w:rsidR="00857477" w:rsidRPr="0078468D" w:rsidRDefault="00857477" w:rsidP="006D0A86">
      <w:pPr>
        <w:pStyle w:val="EndnoteText"/>
        <w:spacing w:line="276" w:lineRule="auto"/>
        <w:jc w:val="both"/>
      </w:pPr>
      <w:r>
        <w:rPr>
          <w:rStyle w:val="EndnoteReference"/>
        </w:rPr>
        <w:endnoteRef/>
      </w:r>
      <w:r>
        <w:t xml:space="preserve"> COM(2021) 570 definitief van 22.12.2021.</w:t>
      </w:r>
    </w:p>
  </w:endnote>
  <w:endnote w:id="27">
    <w:p w14:paraId="39C4DF55" w14:textId="0B77B17A" w:rsidR="00857477" w:rsidRPr="007D4DE1" w:rsidRDefault="00857477" w:rsidP="006D0A86">
      <w:pPr>
        <w:pStyle w:val="title-bold"/>
        <w:jc w:val="both"/>
      </w:pPr>
      <w:r>
        <w:rPr>
          <w:rStyle w:val="EndnoteReference"/>
        </w:rPr>
        <w:endnoteRef/>
      </w:r>
      <w:r>
        <w:t xml:space="preserve"> </w:t>
      </w:r>
      <w:r>
        <w:rPr>
          <w:rFonts w:ascii="EC Square Sans Pro" w:hAnsi="EC Square Sans Pro"/>
          <w:sz w:val="20"/>
        </w:rPr>
        <w:t>Bijlage II, deel B, bij het Interinstitutioneel Akkoord van 16 december 2020 tussen het Europees Parlement, de Raad van de Europese Unie en de Europese Commissie betreffende begrotingsdiscipline, samenwerking in begrotingszaken en goed financieel beheer, alsmede betreffende nieuwe eigen middelen, met inbegrip van een routekaart voor de invoering van nieuwe eigen middelen (PB L 433I van 22.12.2020, blz. 28).</w:t>
      </w:r>
    </w:p>
  </w:endnote>
  <w:endnote w:id="28">
    <w:p w14:paraId="53F99EEE" w14:textId="77777777" w:rsidR="00857477" w:rsidRDefault="00857477" w:rsidP="006D0A86">
      <w:pPr>
        <w:pStyle w:val="EndnoteText"/>
        <w:jc w:val="both"/>
      </w:pPr>
      <w:r>
        <w:rPr>
          <w:rStyle w:val="EndnoteReference"/>
        </w:rPr>
        <w:endnoteRef/>
      </w:r>
      <w:r>
        <w:t xml:space="preserve"> Besluit (EU, Euratom) 2020/2053 van de Raad van 14 december 2020 (PB L 424/1 van 15.12.2020).</w:t>
      </w:r>
    </w:p>
  </w:endnote>
  <w:endnote w:id="29">
    <w:p w14:paraId="5CD78F31" w14:textId="05CD22AC" w:rsidR="00857477" w:rsidRPr="00F56049" w:rsidRDefault="00857477" w:rsidP="006D0A86">
      <w:pPr>
        <w:pStyle w:val="EndnoteText"/>
        <w:jc w:val="both"/>
      </w:pPr>
      <w:r>
        <w:rPr>
          <w:rStyle w:val="EndnoteReference"/>
        </w:rPr>
        <w:endnoteRef/>
      </w:r>
      <w:r>
        <w:t xml:space="preserve"> Europese Commissie, Europese economische prognoses (voorjaar 2022): </w:t>
      </w:r>
      <w:hyperlink r:id="rId1" w:history="1">
        <w:r>
          <w:rPr>
            <w:rStyle w:val="Hyperlink"/>
          </w:rPr>
          <w:t>Europese economische prognose</w:t>
        </w:r>
      </w:hyperlink>
      <w:hyperlink r:id="rId2" w:history="1">
        <w:r>
          <w:rPr>
            <w:rStyle w:val="Hyperlink"/>
          </w:rPr>
          <w:t xml:space="preserve"> Voorjaar 2022 |</w:t>
        </w:r>
      </w:hyperlink>
      <w:hyperlink r:id="rId3" w:history="1">
        <w:r>
          <w:rPr>
            <w:rStyle w:val="Hyperlink"/>
          </w:rPr>
          <w:t xml:space="preserve"> Europese Commissie (europa.eu)</w:t>
        </w:r>
      </w:hyperlink>
      <w:r>
        <w:t>, (</w:t>
      </w:r>
      <w:hyperlink r:id="rId4" w:history="1">
        <w:r>
          <w:rPr>
            <w:rStyle w:val="Hyperlink"/>
          </w:rPr>
          <w:t>https://ec.europa.eu/info/publications/european-economic-forecast-spring-2022_en</w:t>
        </w:r>
      </w:hyperlink>
      <w:r>
        <w:t xml:space="preserve">) </w:t>
      </w:r>
    </w:p>
  </w:endnote>
  <w:endnote w:id="30">
    <w:p w14:paraId="2A52F28B" w14:textId="77777777" w:rsidR="00857477" w:rsidRDefault="00857477" w:rsidP="006D0A86">
      <w:pPr>
        <w:spacing w:line="276" w:lineRule="auto"/>
        <w:jc w:val="both"/>
      </w:pPr>
      <w:r>
        <w:rPr>
          <w:rStyle w:val="EndnoteReference"/>
        </w:rPr>
        <w:endnoteRef/>
      </w:r>
      <w:r>
        <w:t xml:space="preserve"> Onverminderd de inbreng van nieuwe eigen middelen om de terugbetalings- en interestkosten van NextGenerationEU te dekken.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Bahnschrift Light"/>
    <w:charset w:val="00"/>
    <w:family w:val="swiss"/>
    <w:pitch w:val="variable"/>
    <w:sig w:usb0="00000001" w:usb1="5000E0FB" w:usb2="00000000" w:usb3="00000000" w:csb0="0000019F" w:csb1="00000000"/>
  </w:font>
  <w:font w:name="Proxima Nova">
    <w:altName w:val="EC Square Sans Pro Medium"/>
    <w:panose1 w:val="00000000000000000000"/>
    <w:charset w:val="00"/>
    <w:family w:val="modern"/>
    <w:notTrueType/>
    <w:pitch w:val="variable"/>
    <w:sig w:usb0="00000001" w:usb1="5000E0FB" w:usb2="00000000" w:usb3="00000000" w:csb0="0000019F" w:csb1="00000000"/>
  </w:font>
  <w:font w:name="Nirmala UI">
    <w:panose1 w:val="020B0502040204020203"/>
    <w:charset w:val="00"/>
    <w:family w:val="swiss"/>
    <w:pitch w:val="variable"/>
    <w:sig w:usb0="80FF8023" w:usb1="00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EC Square Sans Cond Pro Medium">
    <w:charset w:val="00"/>
    <w:family w:val="swiss"/>
    <w:pitch w:val="variable"/>
    <w:sig w:usb0="A00002BF" w:usb1="500000DB" w:usb2="00000000" w:usb3="00000000" w:csb0="0000019F" w:csb1="00000000"/>
  </w:font>
  <w:font w:name="EC Square Sans Pro Light">
    <w:charset w:val="00"/>
    <w:family w:val="swiss"/>
    <w:pitch w:val="variable"/>
    <w:sig w:usb0="A00002BF" w:usb1="5000E0FB" w:usb2="00000000" w:usb3="00000000" w:csb0="0000019F" w:csb1="00000000"/>
  </w:font>
  <w:font w:name="EUAlbertina">
    <w:altName w:val="Times New Roman"/>
    <w:charset w:val="00"/>
    <w:family w:val="auto"/>
    <w:pitch w:val="variable"/>
    <w:sig w:usb0="800002EF" w:usb1="1000E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0823" w14:textId="77777777" w:rsidR="00240A9A" w:rsidRPr="00240A9A" w:rsidRDefault="00240A9A" w:rsidP="00240A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E98C" w14:textId="77777777" w:rsidR="00857477" w:rsidRDefault="008574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227597"/>
      <w:docPartObj>
        <w:docPartGallery w:val="Page Numbers (Bottom of Page)"/>
        <w:docPartUnique/>
      </w:docPartObj>
    </w:sdtPr>
    <w:sdtEndPr/>
    <w:sdtContent>
      <w:p w14:paraId="5350FF42" w14:textId="4F823B4F" w:rsidR="00857477" w:rsidRDefault="008574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40A9A">
          <w:t>21</w:t>
        </w:r>
        <w:r>
          <w:rPr>
            <w:color w:val="2B579A"/>
            <w:shd w:val="clear" w:color="auto" w:fill="E6E6E6"/>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26F2" w14:textId="77777777" w:rsidR="00857477" w:rsidRDefault="008574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B3DA" w14:textId="77777777" w:rsidR="00857477" w:rsidRDefault="008574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09441"/>
      <w:docPartObj>
        <w:docPartGallery w:val="Page Numbers (Bottom of Page)"/>
        <w:docPartUnique/>
      </w:docPartObj>
    </w:sdtPr>
    <w:sdtEndPr/>
    <w:sdtContent>
      <w:p w14:paraId="4A23D577" w14:textId="572421E6" w:rsidR="00857477" w:rsidRDefault="008574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40A9A">
          <w:t>24</w:t>
        </w:r>
        <w:r>
          <w:rPr>
            <w:color w:val="2B579A"/>
            <w:shd w:val="clear" w:color="auto" w:fill="E6E6E6"/>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07B0" w14:textId="77777777" w:rsidR="00857477" w:rsidRDefault="0085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CA6B" w14:textId="77EACD11" w:rsidR="002F49F5" w:rsidRPr="00240A9A" w:rsidRDefault="00240A9A" w:rsidP="00240A9A">
    <w:pPr>
      <w:pStyle w:val="FooterCoverPage"/>
      <w:rPr>
        <w:rFonts w:ascii="Arial" w:hAnsi="Arial" w:cs="Arial"/>
        <w:b/>
        <w:sz w:val="48"/>
      </w:rPr>
    </w:pPr>
    <w:r w:rsidRPr="00240A9A">
      <w:rPr>
        <w:rFonts w:ascii="Arial" w:hAnsi="Arial" w:cs="Arial"/>
        <w:b/>
        <w:sz w:val="48"/>
      </w:rPr>
      <w:t>NL</w:t>
    </w:r>
    <w:r w:rsidRPr="00240A9A">
      <w:rPr>
        <w:rFonts w:ascii="Arial" w:hAnsi="Arial" w:cs="Arial"/>
        <w:b/>
        <w:sz w:val="48"/>
      </w:rPr>
      <w:tab/>
    </w:r>
    <w:r w:rsidRPr="00240A9A">
      <w:rPr>
        <w:rFonts w:ascii="Arial" w:hAnsi="Arial" w:cs="Arial"/>
        <w:b/>
        <w:sz w:val="48"/>
      </w:rPr>
      <w:tab/>
    </w:r>
    <w:r w:rsidRPr="00240A9A">
      <w:tab/>
    </w:r>
    <w:r w:rsidRPr="00240A9A">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5C67" w14:textId="77777777" w:rsidR="00240A9A" w:rsidRPr="00240A9A" w:rsidRDefault="00240A9A" w:rsidP="00240A9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07089"/>
      <w:docPartObj>
        <w:docPartGallery w:val="Page Numbers (Bottom of Page)"/>
        <w:docPartUnique/>
      </w:docPartObj>
    </w:sdtPr>
    <w:sdtEndPr/>
    <w:sdtContent>
      <w:p w14:paraId="6F86C383" w14:textId="7C0384FF" w:rsidR="00857477" w:rsidRPr="002E6AD1" w:rsidRDefault="00857477" w:rsidP="000A2689">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09605"/>
      <w:docPartObj>
        <w:docPartGallery w:val="Page Numbers (Bottom of Page)"/>
        <w:docPartUnique/>
      </w:docPartObj>
    </w:sdtPr>
    <w:sdtEndPr/>
    <w:sdtContent>
      <w:p w14:paraId="5A920B67" w14:textId="7B438964" w:rsidR="00857477" w:rsidRPr="00C677BC" w:rsidRDefault="00857477">
        <w:pPr>
          <w:pStyle w:val="Footer"/>
        </w:pPr>
        <w:r>
          <w:fldChar w:fldCharType="begin"/>
        </w:r>
        <w:r>
          <w:instrText xml:space="preserve"> PAGE   \* MERGEFORMAT </w:instrText>
        </w:r>
        <w:r>
          <w:fldChar w:fldCharType="separate"/>
        </w:r>
        <w:r w:rsidR="00240A9A">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1703" w14:textId="77777777" w:rsidR="00857477" w:rsidRDefault="008574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519663"/>
      <w:docPartObj>
        <w:docPartGallery w:val="Page Numbers (Bottom of Page)"/>
        <w:docPartUnique/>
      </w:docPartObj>
    </w:sdtPr>
    <w:sdtEndPr/>
    <w:sdtContent>
      <w:p w14:paraId="08D54973" w14:textId="23E42487" w:rsidR="00857477" w:rsidRDefault="00857477" w:rsidP="00C677BC">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t>20</w:t>
        </w:r>
        <w:r>
          <w:rPr>
            <w:color w:val="2B579A"/>
            <w:shd w:val="clear" w:color="auto" w:fill="E6E6E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84086"/>
      <w:docPartObj>
        <w:docPartGallery w:val="Page Numbers (Bottom of Page)"/>
        <w:docPartUnique/>
      </w:docPartObj>
    </w:sdtPr>
    <w:sdtEndPr/>
    <w:sdtContent>
      <w:p w14:paraId="41450761" w14:textId="60E340D9" w:rsidR="00857477" w:rsidRDefault="008574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40A9A">
          <w:t>20</w:t>
        </w:r>
        <w:r>
          <w:rPr>
            <w:color w:val="2B579A"/>
            <w:shd w:val="clear" w:color="auto" w:fill="E6E6E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B0FF" w14:textId="77777777" w:rsidR="00857477" w:rsidRDefault="0085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DF31" w14:textId="77777777" w:rsidR="00857477" w:rsidRDefault="00857477">
      <w:r>
        <w:separator/>
      </w:r>
    </w:p>
  </w:footnote>
  <w:footnote w:type="continuationSeparator" w:id="0">
    <w:p w14:paraId="01738CCE" w14:textId="77777777" w:rsidR="00857477" w:rsidRPr="008442F6" w:rsidRDefault="00857477" w:rsidP="00F24D18">
      <w:r>
        <w:continuationSeparator/>
      </w:r>
    </w:p>
  </w:footnote>
  <w:footnote w:type="continuationNotice" w:id="1">
    <w:p w14:paraId="57156B97" w14:textId="77777777" w:rsidR="00857477" w:rsidRPr="001B2A9F" w:rsidRDefault="00857477" w:rsidP="001B2A9F">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FA21" w14:textId="77777777" w:rsidR="00240A9A" w:rsidRPr="00240A9A" w:rsidRDefault="00240A9A" w:rsidP="00240A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380E" w14:textId="77777777" w:rsidR="00857477" w:rsidRDefault="008574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4107" w14:textId="77777777" w:rsidR="00857477" w:rsidRDefault="008574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8DB3F" w14:textId="77777777" w:rsidR="00857477" w:rsidRDefault="008574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02F3" w14:textId="77777777" w:rsidR="00857477" w:rsidRDefault="008574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9EDA" w14:textId="77777777" w:rsidR="00857477" w:rsidRDefault="008574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BB1D" w14:textId="77777777" w:rsidR="00857477" w:rsidRDefault="00857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7833" w14:textId="77777777" w:rsidR="00240A9A" w:rsidRPr="00240A9A" w:rsidRDefault="00240A9A" w:rsidP="00240A9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58C29" w14:textId="77777777" w:rsidR="00240A9A" w:rsidRPr="00240A9A" w:rsidRDefault="00240A9A" w:rsidP="00240A9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B135" w14:textId="77777777" w:rsidR="00857477" w:rsidRDefault="008574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C421" w14:textId="77777777" w:rsidR="00857477" w:rsidRDefault="008574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0945" w14:textId="77777777" w:rsidR="00857477" w:rsidRDefault="008574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F2B38" w14:textId="77777777" w:rsidR="00857477" w:rsidRDefault="008574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0AAD" w14:textId="77777777" w:rsidR="00857477" w:rsidRDefault="008574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A63B" w14:textId="77777777" w:rsidR="00857477" w:rsidRDefault="0085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A011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B8B6D3F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49579D"/>
    <w:multiLevelType w:val="multilevel"/>
    <w:tmpl w:val="A08C8E34"/>
    <w:styleLink w:val="amprLIST-Ordered"/>
    <w:lvl w:ilvl="0">
      <w:start w:val="1"/>
      <w:numFmt w:val="decimal"/>
      <w:pStyle w:val="amprLISTOrdered-L1"/>
      <w:lvlText w:val="%1."/>
      <w:lvlJc w:val="left"/>
      <w:pPr>
        <w:ind w:left="714" w:hanging="357"/>
      </w:pPr>
      <w:rPr>
        <w:rFonts w:hint="default"/>
      </w:rPr>
    </w:lvl>
    <w:lvl w:ilvl="1">
      <w:start w:val="1"/>
      <w:numFmt w:val="decimal"/>
      <w:pStyle w:val="amprLISTOrdered-L2"/>
      <w:lvlText w:val="%1.%2."/>
      <w:lvlJc w:val="left"/>
      <w:pPr>
        <w:ind w:left="1185" w:hanging="471"/>
      </w:pPr>
      <w:rPr>
        <w:rFonts w:hint="default"/>
      </w:rPr>
    </w:lvl>
    <w:lvl w:ilvl="2">
      <w:start w:val="1"/>
      <w:numFmt w:val="decimal"/>
      <w:pStyle w:val="amprLISTOrdered-L3"/>
      <w:lvlText w:val="%1.%2.%3."/>
      <w:lvlJc w:val="left"/>
      <w:pPr>
        <w:ind w:left="1769" w:hanging="584"/>
      </w:pPr>
      <w:rPr>
        <w:rFonts w:hint="default"/>
      </w:rPr>
    </w:lvl>
    <w:lvl w:ilvl="3">
      <w:start w:val="1"/>
      <w:numFmt w:val="decimal"/>
      <w:pStyle w:val="amprLISTOrdered-L4"/>
      <w:lvlText w:val="%1.%2.%3.%4."/>
      <w:lvlJc w:val="left"/>
      <w:pPr>
        <w:ind w:left="2466" w:hanging="6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1B48C7"/>
    <w:multiLevelType w:val="hybridMultilevel"/>
    <w:tmpl w:val="D6D43D2A"/>
    <w:lvl w:ilvl="0" w:tplc="24482FE6">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AF0196"/>
    <w:multiLevelType w:val="multilevel"/>
    <w:tmpl w:val="D6C29086"/>
    <w:styleLink w:val="amprHLISTNumberedheadings"/>
    <w:lvl w:ilvl="0">
      <w:start w:val="1"/>
      <w:numFmt w:val="decimal"/>
      <w:pStyle w:val="amprH2TITLE1-Numbered-1"/>
      <w:lvlText w:val="%1."/>
      <w:lvlJc w:val="left"/>
      <w:pPr>
        <w:ind w:left="578" w:hanging="578"/>
      </w:pPr>
      <w:rPr>
        <w:rFonts w:hint="default"/>
      </w:rPr>
    </w:lvl>
    <w:lvl w:ilvl="1">
      <w:start w:val="1"/>
      <w:numFmt w:val="decimal"/>
      <w:pStyle w:val="amprH3Title2-Numbered-11"/>
      <w:lvlText w:val="%1.%2."/>
      <w:lvlJc w:val="left"/>
      <w:pPr>
        <w:ind w:left="1928" w:hanging="578"/>
      </w:pPr>
      <w:rPr>
        <w:rFonts w:hint="default"/>
      </w:rPr>
    </w:lvl>
    <w:lvl w:ilvl="2">
      <w:start w:val="1"/>
      <w:numFmt w:val="decimal"/>
      <w:pStyle w:val="amprH4Subhead1-Numbered-111"/>
      <w:lvlText w:val="%1.%2.%3."/>
      <w:lvlJc w:val="left"/>
      <w:pPr>
        <w:ind w:left="578" w:hanging="578"/>
      </w:pPr>
      <w:rPr>
        <w:rFonts w:hint="default"/>
      </w:rPr>
    </w:lvl>
    <w:lvl w:ilvl="3">
      <w:start w:val="1"/>
      <w:numFmt w:val="decimal"/>
      <w:pStyle w:val="amprH5Subhead2-Numbered-1111"/>
      <w:lvlText w:val="%1.%2.%3.%4."/>
      <w:lvlJc w:val="left"/>
      <w:pPr>
        <w:ind w:left="578" w:hanging="578"/>
      </w:pPr>
      <w:rPr>
        <w:rFonts w:hint="default"/>
      </w:rPr>
    </w:lvl>
    <w:lvl w:ilvl="4">
      <w:start w:val="1"/>
      <w:numFmt w:val="lowerLetter"/>
      <w:lvlText w:val="(%5)"/>
      <w:lvlJc w:val="left"/>
      <w:pPr>
        <w:ind w:left="578" w:hanging="578"/>
      </w:pPr>
      <w:rPr>
        <w:rFonts w:hint="default"/>
      </w:rPr>
    </w:lvl>
    <w:lvl w:ilvl="5">
      <w:start w:val="1"/>
      <w:numFmt w:val="lowerRoman"/>
      <w:lvlText w:val="(%6)"/>
      <w:lvlJc w:val="left"/>
      <w:pPr>
        <w:ind w:left="578" w:hanging="578"/>
      </w:pPr>
      <w:rPr>
        <w:rFonts w:hint="default"/>
      </w:rPr>
    </w:lvl>
    <w:lvl w:ilvl="6">
      <w:start w:val="1"/>
      <w:numFmt w:val="decimal"/>
      <w:lvlText w:val="%7."/>
      <w:lvlJc w:val="left"/>
      <w:pPr>
        <w:ind w:left="578" w:hanging="578"/>
      </w:pPr>
      <w:rPr>
        <w:rFonts w:hint="default"/>
      </w:rPr>
    </w:lvl>
    <w:lvl w:ilvl="7">
      <w:start w:val="1"/>
      <w:numFmt w:val="lowerLetter"/>
      <w:lvlText w:val="%8."/>
      <w:lvlJc w:val="left"/>
      <w:pPr>
        <w:ind w:left="578" w:hanging="578"/>
      </w:pPr>
      <w:rPr>
        <w:rFonts w:hint="default"/>
      </w:rPr>
    </w:lvl>
    <w:lvl w:ilvl="8">
      <w:start w:val="1"/>
      <w:numFmt w:val="lowerRoman"/>
      <w:lvlText w:val="%9."/>
      <w:lvlJc w:val="left"/>
      <w:pPr>
        <w:ind w:left="578" w:hanging="578"/>
      </w:pPr>
      <w:rPr>
        <w:rFonts w:hint="default"/>
      </w:rPr>
    </w:lvl>
  </w:abstractNum>
  <w:abstractNum w:abstractNumId="5" w15:restartNumberingAfterBreak="0">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7" w15:restartNumberingAfterBreak="0">
    <w:nsid w:val="1C47181D"/>
    <w:multiLevelType w:val="multilevel"/>
    <w:tmpl w:val="2A9AD0EE"/>
    <w:styleLink w:val="amprLISTblackbullets"/>
    <w:lvl w:ilvl="0">
      <w:start w:val="1"/>
      <w:numFmt w:val="bullet"/>
      <w:pStyle w:val="amprLISTblackbullets-L1"/>
      <w:lvlText w:val=""/>
      <w:lvlJc w:val="left"/>
      <w:pPr>
        <w:ind w:left="714" w:hanging="357"/>
      </w:pPr>
      <w:rPr>
        <w:rFonts w:ascii="Symbol" w:hAnsi="Symbol" w:hint="default"/>
      </w:rPr>
    </w:lvl>
    <w:lvl w:ilvl="1">
      <w:start w:val="1"/>
      <w:numFmt w:val="bullet"/>
      <w:pStyle w:val="amprLISTblackbullets-L2"/>
      <w:lvlText w:val="—"/>
      <w:lvlJc w:val="left"/>
      <w:pPr>
        <w:ind w:left="1435" w:hanging="358"/>
      </w:pPr>
      <w:rPr>
        <w:rFonts w:ascii="EC Square Sans Pro" w:hAnsi="EC Square Sans Pro" w:hint="default"/>
      </w:rPr>
    </w:lvl>
    <w:lvl w:ilvl="2">
      <w:start w:val="1"/>
      <w:numFmt w:val="bullet"/>
      <w:lvlText w:val=""/>
      <w:lvlJc w:val="left"/>
      <w:pPr>
        <w:ind w:left="2155" w:hanging="355"/>
      </w:pPr>
      <w:rPr>
        <w:rFonts w:ascii="Wingdings" w:hAnsi="Wingdings" w:hint="default"/>
      </w:rPr>
    </w:lvl>
    <w:lvl w:ilvl="3">
      <w:start w:val="1"/>
      <w:numFmt w:val="bullet"/>
      <w:lvlText w:val=""/>
      <w:lvlJc w:val="left"/>
      <w:pPr>
        <w:ind w:left="2875" w:hanging="355"/>
      </w:pPr>
      <w:rPr>
        <w:rFonts w:ascii="Symbol" w:hAnsi="Symbol" w:hint="default"/>
      </w:rPr>
    </w:lvl>
    <w:lvl w:ilvl="4">
      <w:start w:val="1"/>
      <w:numFmt w:val="bullet"/>
      <w:lvlText w:val="o"/>
      <w:lvlJc w:val="left"/>
      <w:pPr>
        <w:ind w:left="3595" w:hanging="355"/>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B22A4D"/>
    <w:multiLevelType w:val="multilevel"/>
    <w:tmpl w:val="78248A56"/>
    <w:numStyleLink w:val="amprLISTgreenbullets"/>
  </w:abstractNum>
  <w:abstractNum w:abstractNumId="10"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lvlText w:val="–"/>
      <w:lvlJc w:val="left"/>
      <w:pPr>
        <w:tabs>
          <w:tab w:val="num" w:pos="2551"/>
        </w:tabs>
        <w:ind w:left="2551" w:hanging="567"/>
      </w:pPr>
    </w:lvl>
  </w:abstractNum>
  <w:abstractNum w:abstractNumId="12" w15:restartNumberingAfterBreak="0">
    <w:nsid w:val="309C18B6"/>
    <w:multiLevelType w:val="multilevel"/>
    <w:tmpl w:val="6110FEBA"/>
    <w:name w:val="ListNumberNonindentedNumbering65"/>
    <w:styleLink w:val="amprLIST-Mixed"/>
    <w:lvl w:ilvl="0">
      <w:start w:val="1"/>
      <w:numFmt w:val="decimal"/>
      <w:pStyle w:val="amprLISTMixed-L1"/>
      <w:lvlText w:val="%1."/>
      <w:lvlJc w:val="left"/>
      <w:pPr>
        <w:ind w:left="714" w:hanging="357"/>
      </w:pPr>
      <w:rPr>
        <w:rFonts w:hint="default"/>
      </w:rPr>
    </w:lvl>
    <w:lvl w:ilvl="1">
      <w:start w:val="1"/>
      <w:numFmt w:val="lowerLetter"/>
      <w:pStyle w:val="amprLISTMixed-L2"/>
      <w:lvlText w:val="(%2)"/>
      <w:lvlJc w:val="left"/>
      <w:pPr>
        <w:ind w:left="1071" w:hanging="357"/>
      </w:pPr>
      <w:rPr>
        <w:rFonts w:hint="default"/>
      </w:rPr>
    </w:lvl>
    <w:lvl w:ilvl="2">
      <w:start w:val="1"/>
      <w:numFmt w:val="bullet"/>
      <w:pStyle w:val="amprLISTMixed-L3"/>
      <w:lvlText w:val="—"/>
      <w:lvlJc w:val="left"/>
      <w:pPr>
        <w:ind w:left="1428" w:hanging="357"/>
      </w:pPr>
      <w:rPr>
        <w:rFonts w:ascii="Proxima Nova" w:hAnsi="Proxima Nova" w:hint="default"/>
        <w:color w:val="auto"/>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3" w15:restartNumberingAfterBreak="0">
    <w:nsid w:val="32CE3C72"/>
    <w:multiLevelType w:val="hybridMultilevel"/>
    <w:tmpl w:val="39E0BB52"/>
    <w:lvl w:ilvl="0" w:tplc="CA606920">
      <w:start w:val="1"/>
      <w:numFmt w:val="bullet"/>
      <w:pStyle w:val="amprboxBLUEdashed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81849"/>
    <w:multiLevelType w:val="hybridMultilevel"/>
    <w:tmpl w:val="84682B5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77125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F61F8"/>
    <w:multiLevelType w:val="multilevel"/>
    <w:tmpl w:val="60A07854"/>
    <w:styleLink w:val="Style1"/>
    <w:lvl w:ilvl="0">
      <w:start w:val="1"/>
      <w:numFmt w:val="decimal"/>
      <w:lvlText w:val="%1"/>
      <w:lvlJc w:val="left"/>
      <w:pPr>
        <w:ind w:left="432" w:hanging="432"/>
      </w:pPr>
      <w:rPr>
        <w:rFonts w:hint="default"/>
        <w:caps/>
        <w:strike w:val="0"/>
        <w:dstrike w:val="0"/>
        <w:vanish/>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A2D2032"/>
    <w:multiLevelType w:val="hybridMultilevel"/>
    <w:tmpl w:val="2C48129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1A17B2"/>
    <w:multiLevelType w:val="multilevel"/>
    <w:tmpl w:val="6110FEBA"/>
    <w:numStyleLink w:val="amprLIST-Mixed"/>
  </w:abstractNum>
  <w:abstractNum w:abstractNumId="19" w15:restartNumberingAfterBreak="0">
    <w:nsid w:val="3BE453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57A2B"/>
    <w:multiLevelType w:val="hybridMultilevel"/>
    <w:tmpl w:val="BD16A592"/>
    <w:lvl w:ilvl="0" w:tplc="AE2A343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4" w15:restartNumberingAfterBreak="0">
    <w:nsid w:val="469C0FD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26" w15:restartNumberingAfterBreak="0">
    <w:nsid w:val="52B23671"/>
    <w:multiLevelType w:val="multilevel"/>
    <w:tmpl w:val="3E4EA4C8"/>
    <w:lvl w:ilvl="0">
      <w:start w:val="1"/>
      <w:numFmt w:val="bullet"/>
      <w:pStyle w:val="amprboxGREENdashed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28" w15:restartNumberingAfterBreak="0">
    <w:nsid w:val="59BB2205"/>
    <w:multiLevelType w:val="multilevel"/>
    <w:tmpl w:val="78248A56"/>
    <w:styleLink w:val="amprLISTgreenbullets"/>
    <w:lvl w:ilvl="0">
      <w:start w:val="1"/>
      <w:numFmt w:val="bullet"/>
      <w:pStyle w:val="amprLISTgreenbullets-L1"/>
      <w:lvlText w:val=""/>
      <w:lvlJc w:val="left"/>
      <w:pPr>
        <w:ind w:left="714" w:hanging="357"/>
      </w:pPr>
      <w:rPr>
        <w:rFonts w:ascii="Symbol" w:hAnsi="Symbol" w:hint="default"/>
        <w:color w:val="109146" w:themeColor="accent1"/>
      </w:rPr>
    </w:lvl>
    <w:lvl w:ilvl="1">
      <w:start w:val="1"/>
      <w:numFmt w:val="bullet"/>
      <w:pStyle w:val="amprLISTgreenbullets-L2"/>
      <w:lvlText w:val="—"/>
      <w:lvlJc w:val="left"/>
      <w:pPr>
        <w:ind w:left="1435" w:hanging="358"/>
      </w:pPr>
      <w:rPr>
        <w:rFonts w:ascii="EC Square Sans Pro" w:hAnsi="EC Square Sans Pro" w:hint="default"/>
        <w:color w:val="109146" w:themeColor="accent1"/>
      </w:rPr>
    </w:lvl>
    <w:lvl w:ilvl="2">
      <w:start w:val="1"/>
      <w:numFmt w:val="bullet"/>
      <w:lvlText w:val=""/>
      <w:lvlJc w:val="left"/>
      <w:pPr>
        <w:ind w:left="2155" w:hanging="358"/>
      </w:pPr>
      <w:rPr>
        <w:rFonts w:ascii="Wingdings" w:hAnsi="Wingdings" w:hint="default"/>
      </w:rPr>
    </w:lvl>
    <w:lvl w:ilvl="3">
      <w:start w:val="1"/>
      <w:numFmt w:val="bullet"/>
      <w:lvlText w:val=""/>
      <w:lvlJc w:val="left"/>
      <w:pPr>
        <w:ind w:left="2875" w:hanging="358"/>
      </w:pPr>
      <w:rPr>
        <w:rFonts w:ascii="Symbol" w:hAnsi="Symbol" w:hint="default"/>
      </w:rPr>
    </w:lvl>
    <w:lvl w:ilvl="4">
      <w:start w:val="1"/>
      <w:numFmt w:val="bullet"/>
      <w:lvlText w:val="o"/>
      <w:lvlJc w:val="left"/>
      <w:pPr>
        <w:ind w:left="3595" w:hanging="357"/>
      </w:pPr>
      <w:rPr>
        <w:rFonts w:ascii="Courier New" w:hAnsi="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9"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2" w15:restartNumberingAfterBreak="0">
    <w:nsid w:val="5EA810B0"/>
    <w:multiLevelType w:val="multilevel"/>
    <w:tmpl w:val="D6C29086"/>
    <w:numStyleLink w:val="amprHLISTNumberedheadings"/>
  </w:abstractNum>
  <w:abstractNum w:abstractNumId="33" w15:restartNumberingAfterBreak="0">
    <w:nsid w:val="6227387F"/>
    <w:multiLevelType w:val="multilevel"/>
    <w:tmpl w:val="2A9AD0EE"/>
    <w:numStyleLink w:val="amprLISTblackbullets"/>
  </w:abstractNum>
  <w:abstractNum w:abstractNumId="3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36" w15:restartNumberingAfterBreak="0">
    <w:nsid w:val="6D78636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38" w15:restartNumberingAfterBreak="0">
    <w:nsid w:val="7ECE6A82"/>
    <w:multiLevelType w:val="multilevel"/>
    <w:tmpl w:val="C7520AF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6"/>
  </w:num>
  <w:num w:numId="4">
    <w:abstractNumId w:val="7"/>
  </w:num>
  <w:num w:numId="5">
    <w:abstractNumId w:val="33"/>
  </w:num>
  <w:num w:numId="6">
    <w:abstractNumId w:val="28"/>
  </w:num>
  <w:num w:numId="7">
    <w:abstractNumId w:val="26"/>
  </w:num>
  <w:num w:numId="8">
    <w:abstractNumId w:val="19"/>
  </w:num>
  <w:num w:numId="9">
    <w:abstractNumId w:val="24"/>
  </w:num>
  <w:num w:numId="10">
    <w:abstractNumId w:val="36"/>
  </w:num>
  <w:num w:numId="11">
    <w:abstractNumId w:val="9"/>
  </w:num>
  <w:num w:numId="12">
    <w:abstractNumId w:val="4"/>
  </w:num>
  <w:num w:numId="13">
    <w:abstractNumId w:val="32"/>
    <w:lvlOverride w:ilvl="0">
      <w:lvl w:ilvl="0">
        <w:start w:val="1"/>
        <w:numFmt w:val="decimal"/>
        <w:pStyle w:val="amprH2TITLE1-Numbered-1"/>
        <w:lvlText w:val="%1."/>
        <w:lvlJc w:val="left"/>
        <w:pPr>
          <w:ind w:left="578" w:hanging="578"/>
        </w:pPr>
        <w:rPr>
          <w:rFonts w:hint="default"/>
        </w:rPr>
      </w:lvl>
    </w:lvlOverride>
    <w:lvlOverride w:ilvl="1">
      <w:lvl w:ilvl="1">
        <w:start w:val="1"/>
        <w:numFmt w:val="decimal"/>
        <w:pStyle w:val="amprH3Title2-Numbered-11"/>
        <w:lvlText w:val="%1.%2."/>
        <w:lvlJc w:val="left"/>
        <w:pPr>
          <w:ind w:left="1928" w:hanging="578"/>
        </w:pPr>
        <w:rPr>
          <w:rFonts w:hint="default"/>
        </w:rPr>
      </w:lvl>
    </w:lvlOverride>
    <w:lvlOverride w:ilvl="2">
      <w:lvl w:ilvl="2">
        <w:start w:val="1"/>
        <w:numFmt w:val="decimal"/>
        <w:pStyle w:val="amprH4Subhead1-Numbered-111"/>
        <w:lvlText w:val="%1.%2.%3."/>
        <w:lvlJc w:val="left"/>
        <w:pPr>
          <w:ind w:left="578" w:hanging="578"/>
        </w:pPr>
        <w:rPr>
          <w:rFonts w:hint="default"/>
        </w:rPr>
      </w:lvl>
    </w:lvlOverride>
    <w:lvlOverride w:ilvl="3">
      <w:lvl w:ilvl="3">
        <w:start w:val="1"/>
        <w:numFmt w:val="decimal"/>
        <w:pStyle w:val="amprH5Subhead2-Numbered-1111"/>
        <w:lvlText w:val="%1.%2.%3.%4."/>
        <w:lvlJc w:val="left"/>
        <w:pPr>
          <w:ind w:left="578" w:hanging="578"/>
        </w:pPr>
        <w:rPr>
          <w:rFonts w:hint="default"/>
        </w:rPr>
      </w:lvl>
    </w:lvlOverride>
    <w:lvlOverride w:ilvl="4">
      <w:lvl w:ilvl="4">
        <w:start w:val="1"/>
        <w:numFmt w:val="lowerLetter"/>
        <w:lvlText w:val="(%5)"/>
        <w:lvlJc w:val="left"/>
        <w:pPr>
          <w:ind w:left="578" w:hanging="578"/>
        </w:pPr>
        <w:rPr>
          <w:rFonts w:hint="default"/>
        </w:rPr>
      </w:lvl>
    </w:lvlOverride>
    <w:lvlOverride w:ilvl="5">
      <w:lvl w:ilvl="5">
        <w:start w:val="1"/>
        <w:numFmt w:val="lowerRoman"/>
        <w:lvlText w:val="(%6)"/>
        <w:lvlJc w:val="left"/>
        <w:pPr>
          <w:ind w:left="578" w:hanging="578"/>
        </w:pPr>
        <w:rPr>
          <w:rFonts w:hint="default"/>
        </w:rPr>
      </w:lvl>
    </w:lvlOverride>
    <w:lvlOverride w:ilvl="6">
      <w:lvl w:ilvl="6">
        <w:start w:val="1"/>
        <w:numFmt w:val="decimal"/>
        <w:lvlText w:val="%7."/>
        <w:lvlJc w:val="left"/>
        <w:pPr>
          <w:ind w:left="578" w:hanging="578"/>
        </w:pPr>
        <w:rPr>
          <w:rFonts w:hint="default"/>
        </w:rPr>
      </w:lvl>
    </w:lvlOverride>
    <w:lvlOverride w:ilvl="7">
      <w:lvl w:ilvl="7">
        <w:start w:val="1"/>
        <w:numFmt w:val="lowerLetter"/>
        <w:lvlText w:val="%8."/>
        <w:lvlJc w:val="left"/>
        <w:pPr>
          <w:ind w:left="578" w:hanging="578"/>
        </w:pPr>
        <w:rPr>
          <w:rFonts w:hint="default"/>
        </w:rPr>
      </w:lvl>
    </w:lvlOverride>
    <w:lvlOverride w:ilvl="8">
      <w:lvl w:ilvl="8">
        <w:start w:val="1"/>
        <w:numFmt w:val="lowerRoman"/>
        <w:lvlText w:val="%9."/>
        <w:lvlJc w:val="left"/>
        <w:pPr>
          <w:ind w:left="578" w:hanging="578"/>
        </w:pPr>
        <w:rPr>
          <w:rFonts w:hint="default"/>
        </w:rPr>
      </w:lvl>
    </w:lvlOverride>
  </w:num>
  <w:num w:numId="14">
    <w:abstractNumId w:val="13"/>
  </w:num>
  <w:num w:numId="15">
    <w:abstractNumId w:val="2"/>
  </w:num>
  <w:num w:numId="16">
    <w:abstractNumId w:val="12"/>
  </w:num>
  <w:num w:numId="17">
    <w:abstractNumId w:val="18"/>
  </w:num>
  <w:num w:numId="18">
    <w:abstractNumId w:val="25"/>
  </w:num>
  <w:num w:numId="19">
    <w:abstractNumId w:val="5"/>
  </w:num>
  <w:num w:numId="20">
    <w:abstractNumId w:val="15"/>
  </w:num>
  <w:num w:numId="21">
    <w:abstractNumId w:val="20"/>
  </w:num>
  <w:num w:numId="22">
    <w:abstractNumId w:val="38"/>
  </w:num>
  <w:num w:numId="23">
    <w:abstractNumId w:val="3"/>
  </w:num>
  <w:num w:numId="24">
    <w:abstractNumId w:val="32"/>
    <w:lvlOverride w:ilvl="0">
      <w:startOverride w:val="1"/>
      <w:lvl w:ilvl="0">
        <w:start w:val="1"/>
        <w:numFmt w:val="decimal"/>
        <w:pStyle w:val="amprH2TITLE1-Numbered-1"/>
        <w:lvlText w:val="%1."/>
        <w:lvlJc w:val="left"/>
        <w:pPr>
          <w:ind w:left="578" w:hanging="578"/>
        </w:pPr>
        <w:rPr>
          <w:rFonts w:hint="default"/>
        </w:rPr>
      </w:lvl>
    </w:lvlOverride>
    <w:lvlOverride w:ilvl="1">
      <w:startOverride w:val="1"/>
      <w:lvl w:ilvl="1">
        <w:start w:val="1"/>
        <w:numFmt w:val="decimal"/>
        <w:pStyle w:val="amprH3Title2-Numbered-11"/>
        <w:lvlText w:val="%1.%2."/>
        <w:lvlJc w:val="left"/>
        <w:pPr>
          <w:ind w:left="1928" w:hanging="578"/>
        </w:pPr>
        <w:rPr>
          <w:rFonts w:hint="default"/>
        </w:rPr>
      </w:lvl>
    </w:lvlOverride>
    <w:lvlOverride w:ilvl="2">
      <w:startOverride w:val="1"/>
      <w:lvl w:ilvl="2">
        <w:start w:val="1"/>
        <w:numFmt w:val="decimal"/>
        <w:pStyle w:val="amprH4Subhead1-Numbered-111"/>
        <w:lvlText w:val="%1.%2.%3."/>
        <w:lvlJc w:val="left"/>
        <w:pPr>
          <w:ind w:left="578" w:hanging="578"/>
        </w:pPr>
        <w:rPr>
          <w:rFonts w:hint="default"/>
        </w:rPr>
      </w:lvl>
    </w:lvlOverride>
    <w:lvlOverride w:ilvl="3">
      <w:startOverride w:val="1"/>
      <w:lvl w:ilvl="3">
        <w:start w:val="1"/>
        <w:numFmt w:val="decimal"/>
        <w:pStyle w:val="amprH5Subhead2-Numbered-1111"/>
        <w:lvlText w:val="%1.%2.%3.%4."/>
        <w:lvlJc w:val="left"/>
        <w:pPr>
          <w:ind w:left="578" w:hanging="578"/>
        </w:pPr>
        <w:rPr>
          <w:rFonts w:hint="default"/>
        </w:rPr>
      </w:lvl>
    </w:lvlOverride>
    <w:lvlOverride w:ilvl="4">
      <w:startOverride w:val="1"/>
      <w:lvl w:ilvl="4">
        <w:start w:val="1"/>
        <w:numFmt w:val="lowerLetter"/>
        <w:lvlText w:val="(%5)"/>
        <w:lvlJc w:val="left"/>
        <w:pPr>
          <w:ind w:left="578" w:hanging="578"/>
        </w:pPr>
        <w:rPr>
          <w:rFonts w:hint="default"/>
        </w:rPr>
      </w:lvl>
    </w:lvlOverride>
    <w:lvlOverride w:ilvl="5">
      <w:startOverride w:val="1"/>
      <w:lvl w:ilvl="5">
        <w:start w:val="1"/>
        <w:numFmt w:val="lowerRoman"/>
        <w:lvlText w:val="(%6)"/>
        <w:lvlJc w:val="left"/>
        <w:pPr>
          <w:ind w:left="578" w:hanging="578"/>
        </w:pPr>
        <w:rPr>
          <w:rFonts w:hint="default"/>
        </w:rPr>
      </w:lvl>
    </w:lvlOverride>
    <w:lvlOverride w:ilvl="6">
      <w:startOverride w:val="1"/>
      <w:lvl w:ilvl="6">
        <w:start w:val="1"/>
        <w:numFmt w:val="decimal"/>
        <w:lvlText w:val="%7."/>
        <w:lvlJc w:val="left"/>
        <w:pPr>
          <w:ind w:left="578" w:hanging="578"/>
        </w:pPr>
        <w:rPr>
          <w:rFonts w:hint="default"/>
        </w:rPr>
      </w:lvl>
    </w:lvlOverride>
    <w:lvlOverride w:ilvl="7">
      <w:startOverride w:val="1"/>
      <w:lvl w:ilvl="7">
        <w:start w:val="1"/>
        <w:numFmt w:val="lowerLetter"/>
        <w:lvlText w:val="%8."/>
        <w:lvlJc w:val="left"/>
        <w:pPr>
          <w:ind w:left="578" w:hanging="578"/>
        </w:pPr>
        <w:rPr>
          <w:rFonts w:hint="default"/>
        </w:rPr>
      </w:lvl>
    </w:lvlOverride>
    <w:lvlOverride w:ilvl="8">
      <w:startOverride w:val="1"/>
      <w:lvl w:ilvl="8">
        <w:start w:val="1"/>
        <w:numFmt w:val="lowerRoman"/>
        <w:lvlText w:val="%9."/>
        <w:lvlJc w:val="left"/>
        <w:pPr>
          <w:ind w:left="578" w:hanging="578"/>
        </w:pPr>
        <w:rPr>
          <w:rFonts w:hint="default"/>
        </w:rPr>
      </w:lvl>
    </w:lvlOverride>
  </w:num>
  <w:num w:numId="25">
    <w:abstractNumId w:val="14"/>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fi-FI"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da-DK" w:vendorID="64" w:dllVersion="131078" w:nlCheck="1" w:checkStyle="0"/>
  <w:activeWritingStyle w:appName="MSWord" w:lang="nl-NL" w:vendorID="64" w:dllVersion="131078" w:nlCheck="1" w:checkStyle="0"/>
  <w:activeWritingStyle w:appName="MSWord" w:lang="fr-CA" w:vendorID="64" w:dllVersion="131078" w:nlCheck="1" w:checkStyle="0"/>
  <w:activeWritingStyle w:appName="MSWord" w:lang="de-AT" w:vendorID="64" w:dllVersion="131078" w:nlCheck="1" w:checkStyle="0"/>
  <w:activeWritingStyle w:appName="MSWord" w:lang="nl-BE" w:vendorID="64" w:dllVersion="131078" w:nlCheck="1" w:checkStyle="0"/>
  <w:activeWritingStyle w:appName="MSWord" w:lang="nb-NO"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NAME_DOC_TBL00001" w:val="DOC_TBL00001"/>
    <w:docVar w:name="DocStatus" w:val="Green"/>
    <w:docVar w:name="LW_CORRIGENDUM" w:val="&lt;UNUSED&gt;"/>
    <w:docVar w:name="LW_COVERPAGE_EXISTS" w:val="True"/>
    <w:docVar w:name="LW_COVERPAGE_GUID" w:val="4B2EC4AB-271F-49D4-B64E-5A00D8ED3F4B"/>
    <w:docVar w:name="LW_COVERPAGE_TYPE" w:val="1"/>
    <w:docVar w:name="LW_CROSSREFERENCE" w:val="{SWD(2022) 175 final}"/>
    <w:docVar w:name="LW_DocType" w:val="NORMAL"/>
    <w:docVar w:name="LW_EMISSION" w:val="30.6.2022"/>
    <w:docVar w:name="LW_EMISSION_ISODATE" w:val="2022-06-30"/>
    <w:docVar w:name="LW_EMISSION_LOCATION" w:val="BRX"/>
    <w:docVar w:name="LW_EMISSION_PREFIX" w:val="Brussel, "/>
    <w:docVar w:name="LW_EMISSION_SUFFIX" w:val=" "/>
    <w:docVar w:name="LW_ID_DOCTYPE_NONLW" w:val="CP-006"/>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2)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ngetermijnprognose van toekomstige instromen en uitstromen van de EU-begroting (2023-2027)"/>
    <w:docVar w:name="LW_TYPE.DOC.CP" w:val="VERSLAG VAN DE COMMISSIE AAN HET EUROPEES PARLEMENT EN DE RAAD"/>
    <w:docVar w:name="LwApiVersions" w:val="LW4CoDe 1.23.2.0; LW 8.0, Build 20211117"/>
  </w:docVars>
  <w:rsids>
    <w:rsidRoot w:val="00D66606"/>
    <w:rsid w:val="00000507"/>
    <w:rsid w:val="000005E4"/>
    <w:rsid w:val="000005E7"/>
    <w:rsid w:val="00000720"/>
    <w:rsid w:val="000009CB"/>
    <w:rsid w:val="00001261"/>
    <w:rsid w:val="00001488"/>
    <w:rsid w:val="000016E0"/>
    <w:rsid w:val="0000190A"/>
    <w:rsid w:val="00001A49"/>
    <w:rsid w:val="00001D88"/>
    <w:rsid w:val="0000200E"/>
    <w:rsid w:val="0000213D"/>
    <w:rsid w:val="00002538"/>
    <w:rsid w:val="0000267A"/>
    <w:rsid w:val="000027FF"/>
    <w:rsid w:val="00002A26"/>
    <w:rsid w:val="00002B6B"/>
    <w:rsid w:val="00002D9B"/>
    <w:rsid w:val="00003119"/>
    <w:rsid w:val="000031AA"/>
    <w:rsid w:val="0000321D"/>
    <w:rsid w:val="00003805"/>
    <w:rsid w:val="00003829"/>
    <w:rsid w:val="000040E5"/>
    <w:rsid w:val="00004167"/>
    <w:rsid w:val="00004384"/>
    <w:rsid w:val="00004469"/>
    <w:rsid w:val="00004620"/>
    <w:rsid w:val="000046DE"/>
    <w:rsid w:val="000048D6"/>
    <w:rsid w:val="00004E2B"/>
    <w:rsid w:val="000050FB"/>
    <w:rsid w:val="00005132"/>
    <w:rsid w:val="0000559C"/>
    <w:rsid w:val="0000593E"/>
    <w:rsid w:val="00005D68"/>
    <w:rsid w:val="00005DA9"/>
    <w:rsid w:val="00005EEA"/>
    <w:rsid w:val="000064D4"/>
    <w:rsid w:val="000065A2"/>
    <w:rsid w:val="00006973"/>
    <w:rsid w:val="000069DE"/>
    <w:rsid w:val="00007250"/>
    <w:rsid w:val="00007977"/>
    <w:rsid w:val="00007C3C"/>
    <w:rsid w:val="00007C67"/>
    <w:rsid w:val="00007C6D"/>
    <w:rsid w:val="00007E68"/>
    <w:rsid w:val="00007E73"/>
    <w:rsid w:val="00010355"/>
    <w:rsid w:val="000104BC"/>
    <w:rsid w:val="00010502"/>
    <w:rsid w:val="0001064F"/>
    <w:rsid w:val="00010CB4"/>
    <w:rsid w:val="00010D9D"/>
    <w:rsid w:val="0001152F"/>
    <w:rsid w:val="000115F8"/>
    <w:rsid w:val="00011976"/>
    <w:rsid w:val="00011F5F"/>
    <w:rsid w:val="00011FFD"/>
    <w:rsid w:val="00012407"/>
    <w:rsid w:val="00012740"/>
    <w:rsid w:val="00012ACF"/>
    <w:rsid w:val="00012B33"/>
    <w:rsid w:val="00012D44"/>
    <w:rsid w:val="00013105"/>
    <w:rsid w:val="0001323A"/>
    <w:rsid w:val="000133D5"/>
    <w:rsid w:val="00014013"/>
    <w:rsid w:val="00014576"/>
    <w:rsid w:val="00014620"/>
    <w:rsid w:val="00014F27"/>
    <w:rsid w:val="000150E2"/>
    <w:rsid w:val="0001514F"/>
    <w:rsid w:val="00015933"/>
    <w:rsid w:val="000159FC"/>
    <w:rsid w:val="00015C59"/>
    <w:rsid w:val="00015EE9"/>
    <w:rsid w:val="00015F48"/>
    <w:rsid w:val="000167FB"/>
    <w:rsid w:val="00016BBA"/>
    <w:rsid w:val="00016ED6"/>
    <w:rsid w:val="00016F45"/>
    <w:rsid w:val="000170F1"/>
    <w:rsid w:val="000172C9"/>
    <w:rsid w:val="0001741F"/>
    <w:rsid w:val="000174ED"/>
    <w:rsid w:val="000175D6"/>
    <w:rsid w:val="00017BF1"/>
    <w:rsid w:val="00017D44"/>
    <w:rsid w:val="00017E1D"/>
    <w:rsid w:val="00017E38"/>
    <w:rsid w:val="000201E7"/>
    <w:rsid w:val="000202E8"/>
    <w:rsid w:val="0002047B"/>
    <w:rsid w:val="00020506"/>
    <w:rsid w:val="0002094E"/>
    <w:rsid w:val="000209DD"/>
    <w:rsid w:val="00020B47"/>
    <w:rsid w:val="00021484"/>
    <w:rsid w:val="000219D0"/>
    <w:rsid w:val="000219D4"/>
    <w:rsid w:val="00021B2F"/>
    <w:rsid w:val="00021ED8"/>
    <w:rsid w:val="0002250D"/>
    <w:rsid w:val="000233FA"/>
    <w:rsid w:val="00023425"/>
    <w:rsid w:val="000234E5"/>
    <w:rsid w:val="00023A9A"/>
    <w:rsid w:val="00023B26"/>
    <w:rsid w:val="00023DBA"/>
    <w:rsid w:val="00023ED2"/>
    <w:rsid w:val="00023F61"/>
    <w:rsid w:val="000241FE"/>
    <w:rsid w:val="000242A1"/>
    <w:rsid w:val="0002474F"/>
    <w:rsid w:val="0002478C"/>
    <w:rsid w:val="00024A32"/>
    <w:rsid w:val="00024B2C"/>
    <w:rsid w:val="00024BDD"/>
    <w:rsid w:val="00024EF7"/>
    <w:rsid w:val="00024EF8"/>
    <w:rsid w:val="00024F34"/>
    <w:rsid w:val="000250C5"/>
    <w:rsid w:val="000258F8"/>
    <w:rsid w:val="000259DA"/>
    <w:rsid w:val="00025B13"/>
    <w:rsid w:val="00026228"/>
    <w:rsid w:val="00026591"/>
    <w:rsid w:val="00026B33"/>
    <w:rsid w:val="00026DD2"/>
    <w:rsid w:val="00027323"/>
    <w:rsid w:val="00027805"/>
    <w:rsid w:val="00027E9F"/>
    <w:rsid w:val="00027FDC"/>
    <w:rsid w:val="00030766"/>
    <w:rsid w:val="000308E3"/>
    <w:rsid w:val="00030A31"/>
    <w:rsid w:val="00030A51"/>
    <w:rsid w:val="00030CB2"/>
    <w:rsid w:val="0003102B"/>
    <w:rsid w:val="0003119B"/>
    <w:rsid w:val="00031574"/>
    <w:rsid w:val="0003237C"/>
    <w:rsid w:val="00032424"/>
    <w:rsid w:val="0003270C"/>
    <w:rsid w:val="0003290A"/>
    <w:rsid w:val="00032DF9"/>
    <w:rsid w:val="00032F54"/>
    <w:rsid w:val="00033B24"/>
    <w:rsid w:val="00033B67"/>
    <w:rsid w:val="00033BAA"/>
    <w:rsid w:val="0003444F"/>
    <w:rsid w:val="00034679"/>
    <w:rsid w:val="00034A0B"/>
    <w:rsid w:val="00034E26"/>
    <w:rsid w:val="00034EF1"/>
    <w:rsid w:val="00034F75"/>
    <w:rsid w:val="0003568E"/>
    <w:rsid w:val="000357D0"/>
    <w:rsid w:val="00035878"/>
    <w:rsid w:val="000359DA"/>
    <w:rsid w:val="00035B41"/>
    <w:rsid w:val="00035E18"/>
    <w:rsid w:val="00035F01"/>
    <w:rsid w:val="00036126"/>
    <w:rsid w:val="00036ADC"/>
    <w:rsid w:val="00036BEB"/>
    <w:rsid w:val="00036E86"/>
    <w:rsid w:val="0003757D"/>
    <w:rsid w:val="00037670"/>
    <w:rsid w:val="0004057D"/>
    <w:rsid w:val="000405B7"/>
    <w:rsid w:val="0004060C"/>
    <w:rsid w:val="00040994"/>
    <w:rsid w:val="00040A29"/>
    <w:rsid w:val="00040A9E"/>
    <w:rsid w:val="00040B9E"/>
    <w:rsid w:val="00041373"/>
    <w:rsid w:val="0004158A"/>
    <w:rsid w:val="0004160F"/>
    <w:rsid w:val="0004196F"/>
    <w:rsid w:val="00041C11"/>
    <w:rsid w:val="00041C8E"/>
    <w:rsid w:val="00041FA3"/>
    <w:rsid w:val="00042317"/>
    <w:rsid w:val="00042544"/>
    <w:rsid w:val="0004284B"/>
    <w:rsid w:val="00042D3B"/>
    <w:rsid w:val="00042F19"/>
    <w:rsid w:val="00043140"/>
    <w:rsid w:val="000433A4"/>
    <w:rsid w:val="00043719"/>
    <w:rsid w:val="000437F4"/>
    <w:rsid w:val="00043C71"/>
    <w:rsid w:val="00043F3F"/>
    <w:rsid w:val="000443B3"/>
    <w:rsid w:val="0004480D"/>
    <w:rsid w:val="000449DB"/>
    <w:rsid w:val="00044D56"/>
    <w:rsid w:val="00044FA8"/>
    <w:rsid w:val="000450CE"/>
    <w:rsid w:val="00045699"/>
    <w:rsid w:val="00045BA5"/>
    <w:rsid w:val="000467E4"/>
    <w:rsid w:val="00046888"/>
    <w:rsid w:val="00046C6C"/>
    <w:rsid w:val="00046FC3"/>
    <w:rsid w:val="00046FF3"/>
    <w:rsid w:val="00047505"/>
    <w:rsid w:val="00047897"/>
    <w:rsid w:val="000501F5"/>
    <w:rsid w:val="00050335"/>
    <w:rsid w:val="000506D2"/>
    <w:rsid w:val="00050C59"/>
    <w:rsid w:val="00050E51"/>
    <w:rsid w:val="00050FA4"/>
    <w:rsid w:val="0005100E"/>
    <w:rsid w:val="0005133C"/>
    <w:rsid w:val="00051411"/>
    <w:rsid w:val="00051897"/>
    <w:rsid w:val="000518FF"/>
    <w:rsid w:val="0005199C"/>
    <w:rsid w:val="000523E0"/>
    <w:rsid w:val="00052B9C"/>
    <w:rsid w:val="00052C3C"/>
    <w:rsid w:val="00052E6D"/>
    <w:rsid w:val="00052FDD"/>
    <w:rsid w:val="00053409"/>
    <w:rsid w:val="000538A2"/>
    <w:rsid w:val="00053B0A"/>
    <w:rsid w:val="00053B26"/>
    <w:rsid w:val="00053C1F"/>
    <w:rsid w:val="00053CB1"/>
    <w:rsid w:val="00053D04"/>
    <w:rsid w:val="000544A6"/>
    <w:rsid w:val="000548A8"/>
    <w:rsid w:val="00054D10"/>
    <w:rsid w:val="00055538"/>
    <w:rsid w:val="000559F7"/>
    <w:rsid w:val="00055B94"/>
    <w:rsid w:val="00055CD6"/>
    <w:rsid w:val="0005608F"/>
    <w:rsid w:val="000569BD"/>
    <w:rsid w:val="00056A3D"/>
    <w:rsid w:val="00057439"/>
    <w:rsid w:val="0005798F"/>
    <w:rsid w:val="000579D7"/>
    <w:rsid w:val="00057AD1"/>
    <w:rsid w:val="00057C97"/>
    <w:rsid w:val="00057DC1"/>
    <w:rsid w:val="00057DE1"/>
    <w:rsid w:val="00060384"/>
    <w:rsid w:val="000606F1"/>
    <w:rsid w:val="00060C98"/>
    <w:rsid w:val="00060F3D"/>
    <w:rsid w:val="00061102"/>
    <w:rsid w:val="00061406"/>
    <w:rsid w:val="0006156B"/>
    <w:rsid w:val="000615E4"/>
    <w:rsid w:val="00061651"/>
    <w:rsid w:val="000618CC"/>
    <w:rsid w:val="00061A43"/>
    <w:rsid w:val="00061B1E"/>
    <w:rsid w:val="00061BB5"/>
    <w:rsid w:val="00061CEF"/>
    <w:rsid w:val="00061F5B"/>
    <w:rsid w:val="00062156"/>
    <w:rsid w:val="000621DD"/>
    <w:rsid w:val="00062302"/>
    <w:rsid w:val="0006282D"/>
    <w:rsid w:val="000628BD"/>
    <w:rsid w:val="00062978"/>
    <w:rsid w:val="00062B87"/>
    <w:rsid w:val="00062E71"/>
    <w:rsid w:val="00062F11"/>
    <w:rsid w:val="000632A5"/>
    <w:rsid w:val="000634B2"/>
    <w:rsid w:val="000634D9"/>
    <w:rsid w:val="00063A02"/>
    <w:rsid w:val="00064118"/>
    <w:rsid w:val="000641D7"/>
    <w:rsid w:val="000644DD"/>
    <w:rsid w:val="00064B88"/>
    <w:rsid w:val="00064C43"/>
    <w:rsid w:val="00065305"/>
    <w:rsid w:val="000656B1"/>
    <w:rsid w:val="0006581A"/>
    <w:rsid w:val="00065953"/>
    <w:rsid w:val="00065F2D"/>
    <w:rsid w:val="00065F65"/>
    <w:rsid w:val="000667F2"/>
    <w:rsid w:val="00066BD9"/>
    <w:rsid w:val="00066C2B"/>
    <w:rsid w:val="00066C40"/>
    <w:rsid w:val="000674B8"/>
    <w:rsid w:val="0006753B"/>
    <w:rsid w:val="00067A83"/>
    <w:rsid w:val="00067B33"/>
    <w:rsid w:val="00067EA3"/>
    <w:rsid w:val="00070077"/>
    <w:rsid w:val="000700A1"/>
    <w:rsid w:val="000700E3"/>
    <w:rsid w:val="00070153"/>
    <w:rsid w:val="000705E0"/>
    <w:rsid w:val="0007067D"/>
    <w:rsid w:val="0007084B"/>
    <w:rsid w:val="0007092F"/>
    <w:rsid w:val="00070B14"/>
    <w:rsid w:val="00070BCE"/>
    <w:rsid w:val="00070D2F"/>
    <w:rsid w:val="00070FCF"/>
    <w:rsid w:val="00071919"/>
    <w:rsid w:val="00071949"/>
    <w:rsid w:val="00071D4B"/>
    <w:rsid w:val="00071DF1"/>
    <w:rsid w:val="0007252E"/>
    <w:rsid w:val="00072772"/>
    <w:rsid w:val="0007294F"/>
    <w:rsid w:val="00072CEC"/>
    <w:rsid w:val="00072D44"/>
    <w:rsid w:val="00072FA0"/>
    <w:rsid w:val="0007328F"/>
    <w:rsid w:val="00073298"/>
    <w:rsid w:val="0007333D"/>
    <w:rsid w:val="00073376"/>
    <w:rsid w:val="000734F6"/>
    <w:rsid w:val="00073710"/>
    <w:rsid w:val="0007372F"/>
    <w:rsid w:val="00073AAC"/>
    <w:rsid w:val="00074550"/>
    <w:rsid w:val="00074A0F"/>
    <w:rsid w:val="00074A7E"/>
    <w:rsid w:val="00074C6E"/>
    <w:rsid w:val="00074D62"/>
    <w:rsid w:val="0007573D"/>
    <w:rsid w:val="00075783"/>
    <w:rsid w:val="00075ACE"/>
    <w:rsid w:val="00075B56"/>
    <w:rsid w:val="00075BF5"/>
    <w:rsid w:val="0007611D"/>
    <w:rsid w:val="000762C5"/>
    <w:rsid w:val="00076E30"/>
    <w:rsid w:val="00077106"/>
    <w:rsid w:val="0007720E"/>
    <w:rsid w:val="000779F6"/>
    <w:rsid w:val="00077B61"/>
    <w:rsid w:val="00080132"/>
    <w:rsid w:val="000807FB"/>
    <w:rsid w:val="000808FF"/>
    <w:rsid w:val="00080A2E"/>
    <w:rsid w:val="00080B17"/>
    <w:rsid w:val="00080DEF"/>
    <w:rsid w:val="00080ED1"/>
    <w:rsid w:val="00081296"/>
    <w:rsid w:val="00081565"/>
    <w:rsid w:val="000815E6"/>
    <w:rsid w:val="0008195D"/>
    <w:rsid w:val="00081A7A"/>
    <w:rsid w:val="00081DF8"/>
    <w:rsid w:val="00081E4A"/>
    <w:rsid w:val="00081FA0"/>
    <w:rsid w:val="00082198"/>
    <w:rsid w:val="000821B5"/>
    <w:rsid w:val="000821BE"/>
    <w:rsid w:val="000821D2"/>
    <w:rsid w:val="0008220E"/>
    <w:rsid w:val="00082B6D"/>
    <w:rsid w:val="00082B9B"/>
    <w:rsid w:val="000833BC"/>
    <w:rsid w:val="00083745"/>
    <w:rsid w:val="000839AE"/>
    <w:rsid w:val="00083E8A"/>
    <w:rsid w:val="00084140"/>
    <w:rsid w:val="00084496"/>
    <w:rsid w:val="000845CB"/>
    <w:rsid w:val="000847AE"/>
    <w:rsid w:val="00084A1F"/>
    <w:rsid w:val="00084A71"/>
    <w:rsid w:val="00084AC9"/>
    <w:rsid w:val="00085A74"/>
    <w:rsid w:val="00085EF5"/>
    <w:rsid w:val="00085FC6"/>
    <w:rsid w:val="000861EE"/>
    <w:rsid w:val="000862CD"/>
    <w:rsid w:val="0008637B"/>
    <w:rsid w:val="000864FB"/>
    <w:rsid w:val="00086931"/>
    <w:rsid w:val="00086FE6"/>
    <w:rsid w:val="00087070"/>
    <w:rsid w:val="0008776D"/>
    <w:rsid w:val="00087B61"/>
    <w:rsid w:val="00087D4D"/>
    <w:rsid w:val="00087E8F"/>
    <w:rsid w:val="00087F44"/>
    <w:rsid w:val="0009007E"/>
    <w:rsid w:val="00090661"/>
    <w:rsid w:val="00090B0A"/>
    <w:rsid w:val="00090D39"/>
    <w:rsid w:val="00090DF8"/>
    <w:rsid w:val="00091924"/>
    <w:rsid w:val="000922DC"/>
    <w:rsid w:val="00092733"/>
    <w:rsid w:val="0009294D"/>
    <w:rsid w:val="00092A2C"/>
    <w:rsid w:val="00092B2B"/>
    <w:rsid w:val="00092F11"/>
    <w:rsid w:val="00093163"/>
    <w:rsid w:val="00093309"/>
    <w:rsid w:val="00093866"/>
    <w:rsid w:val="00093D52"/>
    <w:rsid w:val="0009408B"/>
    <w:rsid w:val="000941DF"/>
    <w:rsid w:val="0009473F"/>
    <w:rsid w:val="00094A76"/>
    <w:rsid w:val="00095070"/>
    <w:rsid w:val="000950B6"/>
    <w:rsid w:val="0009511A"/>
    <w:rsid w:val="00095120"/>
    <w:rsid w:val="000956AF"/>
    <w:rsid w:val="00095808"/>
    <w:rsid w:val="00095AED"/>
    <w:rsid w:val="00095D3D"/>
    <w:rsid w:val="00095EE7"/>
    <w:rsid w:val="00096A41"/>
    <w:rsid w:val="00096C12"/>
    <w:rsid w:val="000970B2"/>
    <w:rsid w:val="000970F5"/>
    <w:rsid w:val="00097189"/>
    <w:rsid w:val="00097190"/>
    <w:rsid w:val="00097794"/>
    <w:rsid w:val="00097904"/>
    <w:rsid w:val="00097B1B"/>
    <w:rsid w:val="000A0298"/>
    <w:rsid w:val="000A08B7"/>
    <w:rsid w:val="000A095C"/>
    <w:rsid w:val="000A0989"/>
    <w:rsid w:val="000A1041"/>
    <w:rsid w:val="000A10A9"/>
    <w:rsid w:val="000A15B1"/>
    <w:rsid w:val="000A1A21"/>
    <w:rsid w:val="000A1B7B"/>
    <w:rsid w:val="000A23D5"/>
    <w:rsid w:val="000A2689"/>
    <w:rsid w:val="000A27DB"/>
    <w:rsid w:val="000A2DB2"/>
    <w:rsid w:val="000A2E51"/>
    <w:rsid w:val="000A2F9D"/>
    <w:rsid w:val="000A33BD"/>
    <w:rsid w:val="000A3445"/>
    <w:rsid w:val="000A3645"/>
    <w:rsid w:val="000A3842"/>
    <w:rsid w:val="000A3B05"/>
    <w:rsid w:val="000A3B8C"/>
    <w:rsid w:val="000A3D37"/>
    <w:rsid w:val="000A467D"/>
    <w:rsid w:val="000A4702"/>
    <w:rsid w:val="000A48C9"/>
    <w:rsid w:val="000A49F6"/>
    <w:rsid w:val="000A4E1E"/>
    <w:rsid w:val="000A5553"/>
    <w:rsid w:val="000A557E"/>
    <w:rsid w:val="000A5C2B"/>
    <w:rsid w:val="000A5E4B"/>
    <w:rsid w:val="000A5F87"/>
    <w:rsid w:val="000A60D0"/>
    <w:rsid w:val="000A62BD"/>
    <w:rsid w:val="000A6528"/>
    <w:rsid w:val="000A6829"/>
    <w:rsid w:val="000A70DE"/>
    <w:rsid w:val="000A72C0"/>
    <w:rsid w:val="000A73B2"/>
    <w:rsid w:val="000A7657"/>
    <w:rsid w:val="000A7D91"/>
    <w:rsid w:val="000B0051"/>
    <w:rsid w:val="000B0064"/>
    <w:rsid w:val="000B034E"/>
    <w:rsid w:val="000B0374"/>
    <w:rsid w:val="000B0748"/>
    <w:rsid w:val="000B0881"/>
    <w:rsid w:val="000B119A"/>
    <w:rsid w:val="000B1326"/>
    <w:rsid w:val="000B14CB"/>
    <w:rsid w:val="000B14FA"/>
    <w:rsid w:val="000B152C"/>
    <w:rsid w:val="000B19C0"/>
    <w:rsid w:val="000B1D41"/>
    <w:rsid w:val="000B1E2E"/>
    <w:rsid w:val="000B2356"/>
    <w:rsid w:val="000B2710"/>
    <w:rsid w:val="000B27AC"/>
    <w:rsid w:val="000B2CBD"/>
    <w:rsid w:val="000B2D2B"/>
    <w:rsid w:val="000B3077"/>
    <w:rsid w:val="000B34A2"/>
    <w:rsid w:val="000B3A1F"/>
    <w:rsid w:val="000B3AE5"/>
    <w:rsid w:val="000B3BF2"/>
    <w:rsid w:val="000B4046"/>
    <w:rsid w:val="000B42B0"/>
    <w:rsid w:val="000B498D"/>
    <w:rsid w:val="000B4B5A"/>
    <w:rsid w:val="000B4D5F"/>
    <w:rsid w:val="000B4E20"/>
    <w:rsid w:val="000B50B1"/>
    <w:rsid w:val="000B52E5"/>
    <w:rsid w:val="000B539C"/>
    <w:rsid w:val="000B5454"/>
    <w:rsid w:val="000B5955"/>
    <w:rsid w:val="000B5AA1"/>
    <w:rsid w:val="000B5AB8"/>
    <w:rsid w:val="000B5B42"/>
    <w:rsid w:val="000B604F"/>
    <w:rsid w:val="000B693C"/>
    <w:rsid w:val="000B69C3"/>
    <w:rsid w:val="000B6A4B"/>
    <w:rsid w:val="000B7025"/>
    <w:rsid w:val="000B7280"/>
    <w:rsid w:val="000B728B"/>
    <w:rsid w:val="000B73D9"/>
    <w:rsid w:val="000B7405"/>
    <w:rsid w:val="000B7EAC"/>
    <w:rsid w:val="000C026A"/>
    <w:rsid w:val="000C04AC"/>
    <w:rsid w:val="000C06AE"/>
    <w:rsid w:val="000C079D"/>
    <w:rsid w:val="000C0D7B"/>
    <w:rsid w:val="000C0DC5"/>
    <w:rsid w:val="000C136A"/>
    <w:rsid w:val="000C156A"/>
    <w:rsid w:val="000C1AA7"/>
    <w:rsid w:val="000C1BFD"/>
    <w:rsid w:val="000C2685"/>
    <w:rsid w:val="000C26D2"/>
    <w:rsid w:val="000C280C"/>
    <w:rsid w:val="000C2B6E"/>
    <w:rsid w:val="000C2C4F"/>
    <w:rsid w:val="000C2CEC"/>
    <w:rsid w:val="000C3326"/>
    <w:rsid w:val="000C383F"/>
    <w:rsid w:val="000C3A6B"/>
    <w:rsid w:val="000C3BD2"/>
    <w:rsid w:val="000C3BF5"/>
    <w:rsid w:val="000C3BFA"/>
    <w:rsid w:val="000C3E19"/>
    <w:rsid w:val="000C3E61"/>
    <w:rsid w:val="000C3E77"/>
    <w:rsid w:val="000C3EFC"/>
    <w:rsid w:val="000C3F0F"/>
    <w:rsid w:val="000C3F1B"/>
    <w:rsid w:val="000C3F75"/>
    <w:rsid w:val="000C410D"/>
    <w:rsid w:val="000C45C7"/>
    <w:rsid w:val="000C4661"/>
    <w:rsid w:val="000C4788"/>
    <w:rsid w:val="000C47FD"/>
    <w:rsid w:val="000C4FCE"/>
    <w:rsid w:val="000C5FAD"/>
    <w:rsid w:val="000C6450"/>
    <w:rsid w:val="000C67AD"/>
    <w:rsid w:val="000C69FF"/>
    <w:rsid w:val="000C737E"/>
    <w:rsid w:val="000C73F3"/>
    <w:rsid w:val="000C7ACD"/>
    <w:rsid w:val="000C7BA4"/>
    <w:rsid w:val="000D059C"/>
    <w:rsid w:val="000D0929"/>
    <w:rsid w:val="000D0979"/>
    <w:rsid w:val="000D0D0E"/>
    <w:rsid w:val="000D0F70"/>
    <w:rsid w:val="000D1226"/>
    <w:rsid w:val="000D13EF"/>
    <w:rsid w:val="000D13F5"/>
    <w:rsid w:val="000D1789"/>
    <w:rsid w:val="000D18FB"/>
    <w:rsid w:val="000D192A"/>
    <w:rsid w:val="000D1BBE"/>
    <w:rsid w:val="000D223D"/>
    <w:rsid w:val="000D262C"/>
    <w:rsid w:val="000D2A0A"/>
    <w:rsid w:val="000D2E51"/>
    <w:rsid w:val="000D31F3"/>
    <w:rsid w:val="000D36DF"/>
    <w:rsid w:val="000D373C"/>
    <w:rsid w:val="000D3777"/>
    <w:rsid w:val="000D37DA"/>
    <w:rsid w:val="000D3B3F"/>
    <w:rsid w:val="000D3C1F"/>
    <w:rsid w:val="000D3CF8"/>
    <w:rsid w:val="000D3DEA"/>
    <w:rsid w:val="000D4596"/>
    <w:rsid w:val="000D4941"/>
    <w:rsid w:val="000D4C7B"/>
    <w:rsid w:val="000D4D10"/>
    <w:rsid w:val="000D512F"/>
    <w:rsid w:val="000D535D"/>
    <w:rsid w:val="000D59CD"/>
    <w:rsid w:val="000D5B7E"/>
    <w:rsid w:val="000D5C1A"/>
    <w:rsid w:val="000D5CF0"/>
    <w:rsid w:val="000D5ED2"/>
    <w:rsid w:val="000D604A"/>
    <w:rsid w:val="000D60E8"/>
    <w:rsid w:val="000D65E0"/>
    <w:rsid w:val="000D70D8"/>
    <w:rsid w:val="000D7126"/>
    <w:rsid w:val="000D747A"/>
    <w:rsid w:val="000D776A"/>
    <w:rsid w:val="000D7B67"/>
    <w:rsid w:val="000D7C65"/>
    <w:rsid w:val="000D7D5A"/>
    <w:rsid w:val="000D7FA9"/>
    <w:rsid w:val="000E0634"/>
    <w:rsid w:val="000E0B9E"/>
    <w:rsid w:val="000E0EF8"/>
    <w:rsid w:val="000E0FEA"/>
    <w:rsid w:val="000E134B"/>
    <w:rsid w:val="000E1797"/>
    <w:rsid w:val="000E1863"/>
    <w:rsid w:val="000E1BF8"/>
    <w:rsid w:val="000E1E25"/>
    <w:rsid w:val="000E1F3A"/>
    <w:rsid w:val="000E26EE"/>
    <w:rsid w:val="000E3245"/>
    <w:rsid w:val="000E345A"/>
    <w:rsid w:val="000E3515"/>
    <w:rsid w:val="000E3C6D"/>
    <w:rsid w:val="000E41A0"/>
    <w:rsid w:val="000E44A4"/>
    <w:rsid w:val="000E469D"/>
    <w:rsid w:val="000E4F90"/>
    <w:rsid w:val="000E54BB"/>
    <w:rsid w:val="000E58EA"/>
    <w:rsid w:val="000E5C36"/>
    <w:rsid w:val="000E5F4F"/>
    <w:rsid w:val="000E6013"/>
    <w:rsid w:val="000E65F3"/>
    <w:rsid w:val="000E6620"/>
    <w:rsid w:val="000E6B44"/>
    <w:rsid w:val="000E6E5A"/>
    <w:rsid w:val="000E74A6"/>
    <w:rsid w:val="000E7955"/>
    <w:rsid w:val="000E7E50"/>
    <w:rsid w:val="000F04A1"/>
    <w:rsid w:val="000F04B7"/>
    <w:rsid w:val="000F0FE1"/>
    <w:rsid w:val="000F1157"/>
    <w:rsid w:val="000F11B6"/>
    <w:rsid w:val="000F125E"/>
    <w:rsid w:val="000F12DC"/>
    <w:rsid w:val="000F15D0"/>
    <w:rsid w:val="000F165F"/>
    <w:rsid w:val="000F1663"/>
    <w:rsid w:val="000F179E"/>
    <w:rsid w:val="000F1803"/>
    <w:rsid w:val="000F188F"/>
    <w:rsid w:val="000F1D77"/>
    <w:rsid w:val="000F2057"/>
    <w:rsid w:val="000F231A"/>
    <w:rsid w:val="000F24AD"/>
    <w:rsid w:val="000F2702"/>
    <w:rsid w:val="000F295A"/>
    <w:rsid w:val="000F2DB6"/>
    <w:rsid w:val="000F2FDB"/>
    <w:rsid w:val="000F2FF9"/>
    <w:rsid w:val="000F3514"/>
    <w:rsid w:val="000F35A8"/>
    <w:rsid w:val="000F3654"/>
    <w:rsid w:val="000F3786"/>
    <w:rsid w:val="000F3ABB"/>
    <w:rsid w:val="000F3BC4"/>
    <w:rsid w:val="000F3BF4"/>
    <w:rsid w:val="000F4094"/>
    <w:rsid w:val="000F463B"/>
    <w:rsid w:val="000F46F8"/>
    <w:rsid w:val="000F47F7"/>
    <w:rsid w:val="000F48C2"/>
    <w:rsid w:val="000F4983"/>
    <w:rsid w:val="000F50C1"/>
    <w:rsid w:val="000F5406"/>
    <w:rsid w:val="000F549B"/>
    <w:rsid w:val="000F5590"/>
    <w:rsid w:val="000F5A50"/>
    <w:rsid w:val="000F5B11"/>
    <w:rsid w:val="000F5F18"/>
    <w:rsid w:val="000F61BB"/>
    <w:rsid w:val="000F6B77"/>
    <w:rsid w:val="000F6B85"/>
    <w:rsid w:val="000F6FD9"/>
    <w:rsid w:val="000F724F"/>
    <w:rsid w:val="000F72DD"/>
    <w:rsid w:val="000F7B31"/>
    <w:rsid w:val="000F7D9A"/>
    <w:rsid w:val="00100145"/>
    <w:rsid w:val="00100165"/>
    <w:rsid w:val="001004B7"/>
    <w:rsid w:val="001004CE"/>
    <w:rsid w:val="00100540"/>
    <w:rsid w:val="0010095B"/>
    <w:rsid w:val="00100DB9"/>
    <w:rsid w:val="00101619"/>
    <w:rsid w:val="0010170C"/>
    <w:rsid w:val="00101D4D"/>
    <w:rsid w:val="00101E9E"/>
    <w:rsid w:val="001024AC"/>
    <w:rsid w:val="0010255D"/>
    <w:rsid w:val="001025BA"/>
    <w:rsid w:val="001027D0"/>
    <w:rsid w:val="00102867"/>
    <w:rsid w:val="00102987"/>
    <w:rsid w:val="0010299C"/>
    <w:rsid w:val="00102A46"/>
    <w:rsid w:val="00102DDB"/>
    <w:rsid w:val="00102FED"/>
    <w:rsid w:val="001033B2"/>
    <w:rsid w:val="00103857"/>
    <w:rsid w:val="00103BB9"/>
    <w:rsid w:val="00103F1C"/>
    <w:rsid w:val="001045AB"/>
    <w:rsid w:val="00105085"/>
    <w:rsid w:val="0010545E"/>
    <w:rsid w:val="0010549E"/>
    <w:rsid w:val="00105521"/>
    <w:rsid w:val="00105838"/>
    <w:rsid w:val="00105B74"/>
    <w:rsid w:val="00105CC7"/>
    <w:rsid w:val="0010633D"/>
    <w:rsid w:val="001065F0"/>
    <w:rsid w:val="00106B52"/>
    <w:rsid w:val="00106C7D"/>
    <w:rsid w:val="00106E52"/>
    <w:rsid w:val="0010703B"/>
    <w:rsid w:val="00107263"/>
    <w:rsid w:val="001073A9"/>
    <w:rsid w:val="00107DA0"/>
    <w:rsid w:val="00107DA8"/>
    <w:rsid w:val="00110017"/>
    <w:rsid w:val="001101A1"/>
    <w:rsid w:val="0011083B"/>
    <w:rsid w:val="00110876"/>
    <w:rsid w:val="00110B57"/>
    <w:rsid w:val="001112C1"/>
    <w:rsid w:val="00111769"/>
    <w:rsid w:val="0011187D"/>
    <w:rsid w:val="001118B5"/>
    <w:rsid w:val="00111929"/>
    <w:rsid w:val="00111B71"/>
    <w:rsid w:val="001122E7"/>
    <w:rsid w:val="0011250F"/>
    <w:rsid w:val="00112841"/>
    <w:rsid w:val="0011292F"/>
    <w:rsid w:val="00112D26"/>
    <w:rsid w:val="001131C0"/>
    <w:rsid w:val="0011375F"/>
    <w:rsid w:val="001148F9"/>
    <w:rsid w:val="00114CAD"/>
    <w:rsid w:val="00114DC0"/>
    <w:rsid w:val="00114EC4"/>
    <w:rsid w:val="00115173"/>
    <w:rsid w:val="00115218"/>
    <w:rsid w:val="001154AE"/>
    <w:rsid w:val="001167D9"/>
    <w:rsid w:val="00117434"/>
    <w:rsid w:val="00117775"/>
    <w:rsid w:val="00117B07"/>
    <w:rsid w:val="00117F6D"/>
    <w:rsid w:val="00120532"/>
    <w:rsid w:val="0012060B"/>
    <w:rsid w:val="001214E9"/>
    <w:rsid w:val="00121824"/>
    <w:rsid w:val="00122B12"/>
    <w:rsid w:val="00122D57"/>
    <w:rsid w:val="00122F99"/>
    <w:rsid w:val="0012310E"/>
    <w:rsid w:val="00123243"/>
    <w:rsid w:val="00123664"/>
    <w:rsid w:val="00123B93"/>
    <w:rsid w:val="00123BEA"/>
    <w:rsid w:val="00123DAD"/>
    <w:rsid w:val="00123EFE"/>
    <w:rsid w:val="0012437D"/>
    <w:rsid w:val="00124B3F"/>
    <w:rsid w:val="00124ED7"/>
    <w:rsid w:val="00124EE3"/>
    <w:rsid w:val="00125248"/>
    <w:rsid w:val="00125440"/>
    <w:rsid w:val="001254CC"/>
    <w:rsid w:val="001255AC"/>
    <w:rsid w:val="0012574C"/>
    <w:rsid w:val="00125D98"/>
    <w:rsid w:val="0012629F"/>
    <w:rsid w:val="00126568"/>
    <w:rsid w:val="00126827"/>
    <w:rsid w:val="00126A05"/>
    <w:rsid w:val="00126CF7"/>
    <w:rsid w:val="00126E2F"/>
    <w:rsid w:val="00126EB7"/>
    <w:rsid w:val="00127C19"/>
    <w:rsid w:val="00130409"/>
    <w:rsid w:val="00130460"/>
    <w:rsid w:val="0013077B"/>
    <w:rsid w:val="0013097F"/>
    <w:rsid w:val="001309AB"/>
    <w:rsid w:val="00130B42"/>
    <w:rsid w:val="00130B6E"/>
    <w:rsid w:val="00130BF2"/>
    <w:rsid w:val="00130F7C"/>
    <w:rsid w:val="00131099"/>
    <w:rsid w:val="001311DB"/>
    <w:rsid w:val="001313A6"/>
    <w:rsid w:val="0013141F"/>
    <w:rsid w:val="00131522"/>
    <w:rsid w:val="0013169C"/>
    <w:rsid w:val="001317E4"/>
    <w:rsid w:val="0013189B"/>
    <w:rsid w:val="00131A9B"/>
    <w:rsid w:val="00131BC2"/>
    <w:rsid w:val="00131D32"/>
    <w:rsid w:val="00131F51"/>
    <w:rsid w:val="0013263F"/>
    <w:rsid w:val="0013273B"/>
    <w:rsid w:val="00133290"/>
    <w:rsid w:val="001332F9"/>
    <w:rsid w:val="00133900"/>
    <w:rsid w:val="00133B60"/>
    <w:rsid w:val="00133C9C"/>
    <w:rsid w:val="00133D84"/>
    <w:rsid w:val="00133E7A"/>
    <w:rsid w:val="00133F88"/>
    <w:rsid w:val="00133FF4"/>
    <w:rsid w:val="00134634"/>
    <w:rsid w:val="001349C7"/>
    <w:rsid w:val="00134A26"/>
    <w:rsid w:val="001353E7"/>
    <w:rsid w:val="0013576F"/>
    <w:rsid w:val="0013599E"/>
    <w:rsid w:val="00135E6D"/>
    <w:rsid w:val="00135EE2"/>
    <w:rsid w:val="0013617D"/>
    <w:rsid w:val="0013622D"/>
    <w:rsid w:val="00136499"/>
    <w:rsid w:val="00136745"/>
    <w:rsid w:val="00136C9D"/>
    <w:rsid w:val="00136DA3"/>
    <w:rsid w:val="00137505"/>
    <w:rsid w:val="001378AC"/>
    <w:rsid w:val="001378BF"/>
    <w:rsid w:val="00137900"/>
    <w:rsid w:val="00137F6C"/>
    <w:rsid w:val="00140062"/>
    <w:rsid w:val="001404A8"/>
    <w:rsid w:val="0014072F"/>
    <w:rsid w:val="00140AA8"/>
    <w:rsid w:val="00140D9F"/>
    <w:rsid w:val="00140ED2"/>
    <w:rsid w:val="00140F34"/>
    <w:rsid w:val="00141099"/>
    <w:rsid w:val="00141295"/>
    <w:rsid w:val="0014153A"/>
    <w:rsid w:val="00141692"/>
    <w:rsid w:val="00141A0B"/>
    <w:rsid w:val="00141E2B"/>
    <w:rsid w:val="00141F59"/>
    <w:rsid w:val="00142218"/>
    <w:rsid w:val="001422FC"/>
    <w:rsid w:val="001424B7"/>
    <w:rsid w:val="0014252A"/>
    <w:rsid w:val="00142550"/>
    <w:rsid w:val="001425DC"/>
    <w:rsid w:val="001427B1"/>
    <w:rsid w:val="001427E9"/>
    <w:rsid w:val="00142872"/>
    <w:rsid w:val="00142A48"/>
    <w:rsid w:val="00142F35"/>
    <w:rsid w:val="0014325D"/>
    <w:rsid w:val="001432E2"/>
    <w:rsid w:val="001440D9"/>
    <w:rsid w:val="0014480C"/>
    <w:rsid w:val="001449BE"/>
    <w:rsid w:val="00144B60"/>
    <w:rsid w:val="00144E1B"/>
    <w:rsid w:val="00144EBC"/>
    <w:rsid w:val="001451B3"/>
    <w:rsid w:val="0014530F"/>
    <w:rsid w:val="00145321"/>
    <w:rsid w:val="0014591D"/>
    <w:rsid w:val="00145E5A"/>
    <w:rsid w:val="00145F16"/>
    <w:rsid w:val="001463F3"/>
    <w:rsid w:val="00146627"/>
    <w:rsid w:val="001469C1"/>
    <w:rsid w:val="00146A65"/>
    <w:rsid w:val="00146AE0"/>
    <w:rsid w:val="00146C7B"/>
    <w:rsid w:val="00147157"/>
    <w:rsid w:val="00147394"/>
    <w:rsid w:val="001474F8"/>
    <w:rsid w:val="00147A27"/>
    <w:rsid w:val="00147EF4"/>
    <w:rsid w:val="00150068"/>
    <w:rsid w:val="00150142"/>
    <w:rsid w:val="0015064F"/>
    <w:rsid w:val="0015065F"/>
    <w:rsid w:val="00150B61"/>
    <w:rsid w:val="00151038"/>
    <w:rsid w:val="00151159"/>
    <w:rsid w:val="001517C8"/>
    <w:rsid w:val="00151D8E"/>
    <w:rsid w:val="00151F71"/>
    <w:rsid w:val="00152001"/>
    <w:rsid w:val="00152634"/>
    <w:rsid w:val="001528FF"/>
    <w:rsid w:val="001529D2"/>
    <w:rsid w:val="00152F6A"/>
    <w:rsid w:val="00153001"/>
    <w:rsid w:val="001535E3"/>
    <w:rsid w:val="00153769"/>
    <w:rsid w:val="001538CC"/>
    <w:rsid w:val="001538F5"/>
    <w:rsid w:val="001539D8"/>
    <w:rsid w:val="00153E6E"/>
    <w:rsid w:val="00154044"/>
    <w:rsid w:val="001544DC"/>
    <w:rsid w:val="0015482E"/>
    <w:rsid w:val="00154A98"/>
    <w:rsid w:val="00154FAA"/>
    <w:rsid w:val="0015502C"/>
    <w:rsid w:val="001551AE"/>
    <w:rsid w:val="00155395"/>
    <w:rsid w:val="0015543B"/>
    <w:rsid w:val="00155A3F"/>
    <w:rsid w:val="00155DE9"/>
    <w:rsid w:val="0015616B"/>
    <w:rsid w:val="00156185"/>
    <w:rsid w:val="00156B87"/>
    <w:rsid w:val="00156DE2"/>
    <w:rsid w:val="00156FA6"/>
    <w:rsid w:val="00157260"/>
    <w:rsid w:val="00157333"/>
    <w:rsid w:val="001577C2"/>
    <w:rsid w:val="00157887"/>
    <w:rsid w:val="00157A1A"/>
    <w:rsid w:val="00157DFD"/>
    <w:rsid w:val="00157E4F"/>
    <w:rsid w:val="001604DF"/>
    <w:rsid w:val="001605A2"/>
    <w:rsid w:val="001606F7"/>
    <w:rsid w:val="00160CF5"/>
    <w:rsid w:val="00161000"/>
    <w:rsid w:val="00161740"/>
    <w:rsid w:val="001618FD"/>
    <w:rsid w:val="00161C0B"/>
    <w:rsid w:val="00161EB0"/>
    <w:rsid w:val="00162226"/>
    <w:rsid w:val="001623CF"/>
    <w:rsid w:val="001626C5"/>
    <w:rsid w:val="00162779"/>
    <w:rsid w:val="001629A2"/>
    <w:rsid w:val="001633AD"/>
    <w:rsid w:val="00163998"/>
    <w:rsid w:val="00163B86"/>
    <w:rsid w:val="00163E49"/>
    <w:rsid w:val="001641D2"/>
    <w:rsid w:val="0016438E"/>
    <w:rsid w:val="00164607"/>
    <w:rsid w:val="0016472B"/>
    <w:rsid w:val="00164816"/>
    <w:rsid w:val="00164934"/>
    <w:rsid w:val="00164E04"/>
    <w:rsid w:val="00165200"/>
    <w:rsid w:val="001653E7"/>
    <w:rsid w:val="0016577A"/>
    <w:rsid w:val="001657BA"/>
    <w:rsid w:val="00165B45"/>
    <w:rsid w:val="00165BAB"/>
    <w:rsid w:val="00165D7F"/>
    <w:rsid w:val="00165EDC"/>
    <w:rsid w:val="00166343"/>
    <w:rsid w:val="00166964"/>
    <w:rsid w:val="00166CE9"/>
    <w:rsid w:val="001673FF"/>
    <w:rsid w:val="00167FA9"/>
    <w:rsid w:val="001701A2"/>
    <w:rsid w:val="0017032B"/>
    <w:rsid w:val="0017040E"/>
    <w:rsid w:val="00170A65"/>
    <w:rsid w:val="00170AAC"/>
    <w:rsid w:val="00170DEF"/>
    <w:rsid w:val="0017113F"/>
    <w:rsid w:val="001711FD"/>
    <w:rsid w:val="0017137B"/>
    <w:rsid w:val="00171560"/>
    <w:rsid w:val="00171CCF"/>
    <w:rsid w:val="00171DCE"/>
    <w:rsid w:val="00171F7B"/>
    <w:rsid w:val="00172314"/>
    <w:rsid w:val="00172FEC"/>
    <w:rsid w:val="001733AD"/>
    <w:rsid w:val="00173FEC"/>
    <w:rsid w:val="0017405D"/>
    <w:rsid w:val="001740E9"/>
    <w:rsid w:val="00174419"/>
    <w:rsid w:val="001748E9"/>
    <w:rsid w:val="001757F1"/>
    <w:rsid w:val="00175846"/>
    <w:rsid w:val="001759CC"/>
    <w:rsid w:val="00175A22"/>
    <w:rsid w:val="00175AF9"/>
    <w:rsid w:val="00175E25"/>
    <w:rsid w:val="00175E89"/>
    <w:rsid w:val="00175F0C"/>
    <w:rsid w:val="00175F37"/>
    <w:rsid w:val="00175F9F"/>
    <w:rsid w:val="001761BC"/>
    <w:rsid w:val="00176915"/>
    <w:rsid w:val="0017694C"/>
    <w:rsid w:val="00176E67"/>
    <w:rsid w:val="001770A8"/>
    <w:rsid w:val="0017726D"/>
    <w:rsid w:val="00177283"/>
    <w:rsid w:val="00177498"/>
    <w:rsid w:val="00177504"/>
    <w:rsid w:val="00177755"/>
    <w:rsid w:val="001779CC"/>
    <w:rsid w:val="00177C15"/>
    <w:rsid w:val="00177C98"/>
    <w:rsid w:val="001800B8"/>
    <w:rsid w:val="00180487"/>
    <w:rsid w:val="00180544"/>
    <w:rsid w:val="001806A1"/>
    <w:rsid w:val="00180FAA"/>
    <w:rsid w:val="001812DB"/>
    <w:rsid w:val="00181340"/>
    <w:rsid w:val="001817DC"/>
    <w:rsid w:val="0018199D"/>
    <w:rsid w:val="00181B7D"/>
    <w:rsid w:val="00181E35"/>
    <w:rsid w:val="001821EA"/>
    <w:rsid w:val="00182268"/>
    <w:rsid w:val="001824A4"/>
    <w:rsid w:val="00182C9F"/>
    <w:rsid w:val="00183937"/>
    <w:rsid w:val="00183BA0"/>
    <w:rsid w:val="00183C71"/>
    <w:rsid w:val="00183D06"/>
    <w:rsid w:val="00183ED9"/>
    <w:rsid w:val="00183EE7"/>
    <w:rsid w:val="00184269"/>
    <w:rsid w:val="00184517"/>
    <w:rsid w:val="0018492F"/>
    <w:rsid w:val="001850DB"/>
    <w:rsid w:val="00185218"/>
    <w:rsid w:val="00185839"/>
    <w:rsid w:val="0018592C"/>
    <w:rsid w:val="00185A0A"/>
    <w:rsid w:val="00185B3E"/>
    <w:rsid w:val="00185E2E"/>
    <w:rsid w:val="00186041"/>
    <w:rsid w:val="0018610C"/>
    <w:rsid w:val="00186163"/>
    <w:rsid w:val="001863C0"/>
    <w:rsid w:val="001865C7"/>
    <w:rsid w:val="00186893"/>
    <w:rsid w:val="001868D5"/>
    <w:rsid w:val="00186D82"/>
    <w:rsid w:val="001873EB"/>
    <w:rsid w:val="001874DC"/>
    <w:rsid w:val="001876BB"/>
    <w:rsid w:val="001876FB"/>
    <w:rsid w:val="00187C44"/>
    <w:rsid w:val="00187E6D"/>
    <w:rsid w:val="00187FAF"/>
    <w:rsid w:val="001900B2"/>
    <w:rsid w:val="001908A0"/>
    <w:rsid w:val="00190A6E"/>
    <w:rsid w:val="00190BF0"/>
    <w:rsid w:val="00190F73"/>
    <w:rsid w:val="0019134A"/>
    <w:rsid w:val="00191673"/>
    <w:rsid w:val="0019176D"/>
    <w:rsid w:val="0019187A"/>
    <w:rsid w:val="001919D3"/>
    <w:rsid w:val="00191F6C"/>
    <w:rsid w:val="00191FA4"/>
    <w:rsid w:val="001920C7"/>
    <w:rsid w:val="0019228F"/>
    <w:rsid w:val="001924B7"/>
    <w:rsid w:val="0019259D"/>
    <w:rsid w:val="001925ED"/>
    <w:rsid w:val="0019270B"/>
    <w:rsid w:val="00192D59"/>
    <w:rsid w:val="00193217"/>
    <w:rsid w:val="00193989"/>
    <w:rsid w:val="00193D79"/>
    <w:rsid w:val="00194117"/>
    <w:rsid w:val="00194583"/>
    <w:rsid w:val="00194B18"/>
    <w:rsid w:val="00194BFB"/>
    <w:rsid w:val="00194C90"/>
    <w:rsid w:val="00194F84"/>
    <w:rsid w:val="0019513F"/>
    <w:rsid w:val="001953AE"/>
    <w:rsid w:val="00195773"/>
    <w:rsid w:val="00195857"/>
    <w:rsid w:val="00195E6B"/>
    <w:rsid w:val="0019642B"/>
    <w:rsid w:val="00196504"/>
    <w:rsid w:val="001966EB"/>
    <w:rsid w:val="00196819"/>
    <w:rsid w:val="00196DDE"/>
    <w:rsid w:val="00196FF0"/>
    <w:rsid w:val="0019712D"/>
    <w:rsid w:val="001972A2"/>
    <w:rsid w:val="00197400"/>
    <w:rsid w:val="00197808"/>
    <w:rsid w:val="001978E5"/>
    <w:rsid w:val="001979F7"/>
    <w:rsid w:val="00197ADD"/>
    <w:rsid w:val="00197B7E"/>
    <w:rsid w:val="00197C7B"/>
    <w:rsid w:val="00197FE3"/>
    <w:rsid w:val="00197FF8"/>
    <w:rsid w:val="001A012D"/>
    <w:rsid w:val="001A0350"/>
    <w:rsid w:val="001A081B"/>
    <w:rsid w:val="001A0A06"/>
    <w:rsid w:val="001A0A68"/>
    <w:rsid w:val="001A1CFD"/>
    <w:rsid w:val="001A209F"/>
    <w:rsid w:val="001A212E"/>
    <w:rsid w:val="001A241B"/>
    <w:rsid w:val="001A278C"/>
    <w:rsid w:val="001A2998"/>
    <w:rsid w:val="001A2A69"/>
    <w:rsid w:val="001A2CFF"/>
    <w:rsid w:val="001A2E17"/>
    <w:rsid w:val="001A301A"/>
    <w:rsid w:val="001A317D"/>
    <w:rsid w:val="001A3AC8"/>
    <w:rsid w:val="001A3CB7"/>
    <w:rsid w:val="001A3D6F"/>
    <w:rsid w:val="001A3D82"/>
    <w:rsid w:val="001A3D98"/>
    <w:rsid w:val="001A3F24"/>
    <w:rsid w:val="001A406E"/>
    <w:rsid w:val="001A40B0"/>
    <w:rsid w:val="001A445B"/>
    <w:rsid w:val="001A4571"/>
    <w:rsid w:val="001A4A14"/>
    <w:rsid w:val="001A4E9B"/>
    <w:rsid w:val="001A5309"/>
    <w:rsid w:val="001A5369"/>
    <w:rsid w:val="001A53DB"/>
    <w:rsid w:val="001A5636"/>
    <w:rsid w:val="001A57DB"/>
    <w:rsid w:val="001A5967"/>
    <w:rsid w:val="001A5A8F"/>
    <w:rsid w:val="001A5E30"/>
    <w:rsid w:val="001A6C94"/>
    <w:rsid w:val="001A7083"/>
    <w:rsid w:val="001A72F8"/>
    <w:rsid w:val="001A7351"/>
    <w:rsid w:val="001A747B"/>
    <w:rsid w:val="001A7564"/>
    <w:rsid w:val="001A7609"/>
    <w:rsid w:val="001A760F"/>
    <w:rsid w:val="001A78C6"/>
    <w:rsid w:val="001A799D"/>
    <w:rsid w:val="001A7D4B"/>
    <w:rsid w:val="001A7F90"/>
    <w:rsid w:val="001B04B9"/>
    <w:rsid w:val="001B0662"/>
    <w:rsid w:val="001B0B71"/>
    <w:rsid w:val="001B1278"/>
    <w:rsid w:val="001B134A"/>
    <w:rsid w:val="001B1505"/>
    <w:rsid w:val="001B17D4"/>
    <w:rsid w:val="001B199F"/>
    <w:rsid w:val="001B1A25"/>
    <w:rsid w:val="001B1A9C"/>
    <w:rsid w:val="001B1BC3"/>
    <w:rsid w:val="001B1E56"/>
    <w:rsid w:val="001B1F28"/>
    <w:rsid w:val="001B23C3"/>
    <w:rsid w:val="001B28E1"/>
    <w:rsid w:val="001B2A9F"/>
    <w:rsid w:val="001B2CC5"/>
    <w:rsid w:val="001B3040"/>
    <w:rsid w:val="001B3822"/>
    <w:rsid w:val="001B38AB"/>
    <w:rsid w:val="001B3B91"/>
    <w:rsid w:val="001B3BD0"/>
    <w:rsid w:val="001B3C4D"/>
    <w:rsid w:val="001B412E"/>
    <w:rsid w:val="001B4925"/>
    <w:rsid w:val="001B510E"/>
    <w:rsid w:val="001B5579"/>
    <w:rsid w:val="001B5BD3"/>
    <w:rsid w:val="001B5D03"/>
    <w:rsid w:val="001B647A"/>
    <w:rsid w:val="001B64FA"/>
    <w:rsid w:val="001B68D9"/>
    <w:rsid w:val="001B699B"/>
    <w:rsid w:val="001B6B4D"/>
    <w:rsid w:val="001B6CFB"/>
    <w:rsid w:val="001B6D36"/>
    <w:rsid w:val="001B6E6E"/>
    <w:rsid w:val="001B76ED"/>
    <w:rsid w:val="001B7D3B"/>
    <w:rsid w:val="001B7D61"/>
    <w:rsid w:val="001B7E79"/>
    <w:rsid w:val="001C0199"/>
    <w:rsid w:val="001C02FA"/>
    <w:rsid w:val="001C06C7"/>
    <w:rsid w:val="001C0AD2"/>
    <w:rsid w:val="001C0BF8"/>
    <w:rsid w:val="001C1345"/>
    <w:rsid w:val="001C1437"/>
    <w:rsid w:val="001C160B"/>
    <w:rsid w:val="001C1661"/>
    <w:rsid w:val="001C1815"/>
    <w:rsid w:val="001C18B1"/>
    <w:rsid w:val="001C1AF2"/>
    <w:rsid w:val="001C1BA4"/>
    <w:rsid w:val="001C1CED"/>
    <w:rsid w:val="001C2185"/>
    <w:rsid w:val="001C22D2"/>
    <w:rsid w:val="001C241F"/>
    <w:rsid w:val="001C2B7B"/>
    <w:rsid w:val="001C2D8D"/>
    <w:rsid w:val="001C3144"/>
    <w:rsid w:val="001C32B3"/>
    <w:rsid w:val="001C32EB"/>
    <w:rsid w:val="001C350D"/>
    <w:rsid w:val="001C3835"/>
    <w:rsid w:val="001C38C5"/>
    <w:rsid w:val="001C3AE0"/>
    <w:rsid w:val="001C3AEA"/>
    <w:rsid w:val="001C3BF0"/>
    <w:rsid w:val="001C4049"/>
    <w:rsid w:val="001C44EC"/>
    <w:rsid w:val="001C4800"/>
    <w:rsid w:val="001C4AB0"/>
    <w:rsid w:val="001C4D0B"/>
    <w:rsid w:val="001C4F4C"/>
    <w:rsid w:val="001C5155"/>
    <w:rsid w:val="001C554F"/>
    <w:rsid w:val="001C5651"/>
    <w:rsid w:val="001C57EC"/>
    <w:rsid w:val="001C5C95"/>
    <w:rsid w:val="001C61E1"/>
    <w:rsid w:val="001C6315"/>
    <w:rsid w:val="001C6316"/>
    <w:rsid w:val="001C64AB"/>
    <w:rsid w:val="001C6566"/>
    <w:rsid w:val="001C6576"/>
    <w:rsid w:val="001C6911"/>
    <w:rsid w:val="001C6CEB"/>
    <w:rsid w:val="001C6F51"/>
    <w:rsid w:val="001C76F4"/>
    <w:rsid w:val="001C78D6"/>
    <w:rsid w:val="001C7D6C"/>
    <w:rsid w:val="001D0128"/>
    <w:rsid w:val="001D028D"/>
    <w:rsid w:val="001D02D2"/>
    <w:rsid w:val="001D042D"/>
    <w:rsid w:val="001D0B6E"/>
    <w:rsid w:val="001D0F73"/>
    <w:rsid w:val="001D11C8"/>
    <w:rsid w:val="001D12C3"/>
    <w:rsid w:val="001D135D"/>
    <w:rsid w:val="001D1AFC"/>
    <w:rsid w:val="001D1B26"/>
    <w:rsid w:val="001D1D0B"/>
    <w:rsid w:val="001D1F24"/>
    <w:rsid w:val="001D2113"/>
    <w:rsid w:val="001D228E"/>
    <w:rsid w:val="001D25AB"/>
    <w:rsid w:val="001D2FED"/>
    <w:rsid w:val="001D3168"/>
    <w:rsid w:val="001D3295"/>
    <w:rsid w:val="001D387B"/>
    <w:rsid w:val="001D38BE"/>
    <w:rsid w:val="001D3AE7"/>
    <w:rsid w:val="001D45E2"/>
    <w:rsid w:val="001D4858"/>
    <w:rsid w:val="001D5061"/>
    <w:rsid w:val="001D50DF"/>
    <w:rsid w:val="001D5285"/>
    <w:rsid w:val="001D553F"/>
    <w:rsid w:val="001D5843"/>
    <w:rsid w:val="001D5C07"/>
    <w:rsid w:val="001D5E2E"/>
    <w:rsid w:val="001D6BAD"/>
    <w:rsid w:val="001D6CAC"/>
    <w:rsid w:val="001D7531"/>
    <w:rsid w:val="001D7789"/>
    <w:rsid w:val="001D7803"/>
    <w:rsid w:val="001D7A66"/>
    <w:rsid w:val="001D7B74"/>
    <w:rsid w:val="001D7CCF"/>
    <w:rsid w:val="001D7E9D"/>
    <w:rsid w:val="001D7ED5"/>
    <w:rsid w:val="001D7FC1"/>
    <w:rsid w:val="001E00C0"/>
    <w:rsid w:val="001E03B5"/>
    <w:rsid w:val="001E0414"/>
    <w:rsid w:val="001E06F3"/>
    <w:rsid w:val="001E0707"/>
    <w:rsid w:val="001E0738"/>
    <w:rsid w:val="001E09EF"/>
    <w:rsid w:val="001E13EA"/>
    <w:rsid w:val="001E1469"/>
    <w:rsid w:val="001E1544"/>
    <w:rsid w:val="001E16C5"/>
    <w:rsid w:val="001E1D76"/>
    <w:rsid w:val="001E1E5B"/>
    <w:rsid w:val="001E2165"/>
    <w:rsid w:val="001E2244"/>
    <w:rsid w:val="001E23AE"/>
    <w:rsid w:val="001E2458"/>
    <w:rsid w:val="001E2AFD"/>
    <w:rsid w:val="001E2BAC"/>
    <w:rsid w:val="001E2F68"/>
    <w:rsid w:val="001E2F74"/>
    <w:rsid w:val="001E2F86"/>
    <w:rsid w:val="001E302B"/>
    <w:rsid w:val="001E3199"/>
    <w:rsid w:val="001E31C5"/>
    <w:rsid w:val="001E3335"/>
    <w:rsid w:val="001E389F"/>
    <w:rsid w:val="001E45DC"/>
    <w:rsid w:val="001E4840"/>
    <w:rsid w:val="001E4DD2"/>
    <w:rsid w:val="001E50DB"/>
    <w:rsid w:val="001E531F"/>
    <w:rsid w:val="001E55AE"/>
    <w:rsid w:val="001E5B0E"/>
    <w:rsid w:val="001E5B2F"/>
    <w:rsid w:val="001E5C84"/>
    <w:rsid w:val="001E5D0E"/>
    <w:rsid w:val="001E5ED6"/>
    <w:rsid w:val="001E611B"/>
    <w:rsid w:val="001E64D0"/>
    <w:rsid w:val="001E65D8"/>
    <w:rsid w:val="001E65EE"/>
    <w:rsid w:val="001E680A"/>
    <w:rsid w:val="001E6B3B"/>
    <w:rsid w:val="001E6E87"/>
    <w:rsid w:val="001E6EC4"/>
    <w:rsid w:val="001E6F11"/>
    <w:rsid w:val="001E6F4A"/>
    <w:rsid w:val="001E70D2"/>
    <w:rsid w:val="001E7581"/>
    <w:rsid w:val="001E7A29"/>
    <w:rsid w:val="001E7BE1"/>
    <w:rsid w:val="001F004C"/>
    <w:rsid w:val="001F02B6"/>
    <w:rsid w:val="001F0399"/>
    <w:rsid w:val="001F0451"/>
    <w:rsid w:val="001F08B5"/>
    <w:rsid w:val="001F0997"/>
    <w:rsid w:val="001F09AA"/>
    <w:rsid w:val="001F0A0F"/>
    <w:rsid w:val="001F0B73"/>
    <w:rsid w:val="001F1683"/>
    <w:rsid w:val="001F1C40"/>
    <w:rsid w:val="001F2430"/>
    <w:rsid w:val="001F27AF"/>
    <w:rsid w:val="001F2B9B"/>
    <w:rsid w:val="001F2FD1"/>
    <w:rsid w:val="001F30CA"/>
    <w:rsid w:val="001F3283"/>
    <w:rsid w:val="001F419B"/>
    <w:rsid w:val="001F45C4"/>
    <w:rsid w:val="001F49CD"/>
    <w:rsid w:val="001F4D9A"/>
    <w:rsid w:val="001F4F33"/>
    <w:rsid w:val="001F5079"/>
    <w:rsid w:val="001F53A3"/>
    <w:rsid w:val="001F53AE"/>
    <w:rsid w:val="001F5507"/>
    <w:rsid w:val="001F5593"/>
    <w:rsid w:val="001F5643"/>
    <w:rsid w:val="001F5D0E"/>
    <w:rsid w:val="001F5FA3"/>
    <w:rsid w:val="001F60F5"/>
    <w:rsid w:val="001F63D6"/>
    <w:rsid w:val="001F6A44"/>
    <w:rsid w:val="001F6F49"/>
    <w:rsid w:val="001F712D"/>
    <w:rsid w:val="001F728C"/>
    <w:rsid w:val="001F760F"/>
    <w:rsid w:val="001F7C9F"/>
    <w:rsid w:val="0020003B"/>
    <w:rsid w:val="0020007E"/>
    <w:rsid w:val="00200317"/>
    <w:rsid w:val="002004C7"/>
    <w:rsid w:val="002005B3"/>
    <w:rsid w:val="00200C26"/>
    <w:rsid w:val="00200D15"/>
    <w:rsid w:val="0020114B"/>
    <w:rsid w:val="00201212"/>
    <w:rsid w:val="00201394"/>
    <w:rsid w:val="0020157D"/>
    <w:rsid w:val="00201751"/>
    <w:rsid w:val="002017DC"/>
    <w:rsid w:val="00201804"/>
    <w:rsid w:val="00201AB7"/>
    <w:rsid w:val="00202149"/>
    <w:rsid w:val="00202466"/>
    <w:rsid w:val="0020284C"/>
    <w:rsid w:val="0020288D"/>
    <w:rsid w:val="00202A24"/>
    <w:rsid w:val="00202BE3"/>
    <w:rsid w:val="0020338B"/>
    <w:rsid w:val="002033E1"/>
    <w:rsid w:val="00203430"/>
    <w:rsid w:val="00203CE9"/>
    <w:rsid w:val="00204AF5"/>
    <w:rsid w:val="00204BF2"/>
    <w:rsid w:val="00204DD8"/>
    <w:rsid w:val="002053D6"/>
    <w:rsid w:val="0020577A"/>
    <w:rsid w:val="0020582A"/>
    <w:rsid w:val="00205907"/>
    <w:rsid w:val="00205EC7"/>
    <w:rsid w:val="00205F2F"/>
    <w:rsid w:val="00206152"/>
    <w:rsid w:val="00206A7A"/>
    <w:rsid w:val="00206DE4"/>
    <w:rsid w:val="002070B9"/>
    <w:rsid w:val="00207255"/>
    <w:rsid w:val="002077EF"/>
    <w:rsid w:val="002079F4"/>
    <w:rsid w:val="002100B3"/>
    <w:rsid w:val="002103EE"/>
    <w:rsid w:val="002103F1"/>
    <w:rsid w:val="002106F1"/>
    <w:rsid w:val="002107C2"/>
    <w:rsid w:val="00210AB9"/>
    <w:rsid w:val="00210C0C"/>
    <w:rsid w:val="00210FBB"/>
    <w:rsid w:val="00211077"/>
    <w:rsid w:val="0021126E"/>
    <w:rsid w:val="002113CE"/>
    <w:rsid w:val="0021146B"/>
    <w:rsid w:val="0021152D"/>
    <w:rsid w:val="00211694"/>
    <w:rsid w:val="00211BEF"/>
    <w:rsid w:val="002121F3"/>
    <w:rsid w:val="0021235D"/>
    <w:rsid w:val="0021249C"/>
    <w:rsid w:val="00212533"/>
    <w:rsid w:val="00212D99"/>
    <w:rsid w:val="00212F51"/>
    <w:rsid w:val="0021304E"/>
    <w:rsid w:val="0021342E"/>
    <w:rsid w:val="002136C0"/>
    <w:rsid w:val="00214705"/>
    <w:rsid w:val="00214877"/>
    <w:rsid w:val="00214B0C"/>
    <w:rsid w:val="00214BC8"/>
    <w:rsid w:val="00214CF9"/>
    <w:rsid w:val="00214F9D"/>
    <w:rsid w:val="0021512B"/>
    <w:rsid w:val="002154CF"/>
    <w:rsid w:val="00215585"/>
    <w:rsid w:val="00215587"/>
    <w:rsid w:val="002155F0"/>
    <w:rsid w:val="00215963"/>
    <w:rsid w:val="00215F04"/>
    <w:rsid w:val="00215FAA"/>
    <w:rsid w:val="00216293"/>
    <w:rsid w:val="0021632C"/>
    <w:rsid w:val="002164F8"/>
    <w:rsid w:val="0021681F"/>
    <w:rsid w:val="00216BC7"/>
    <w:rsid w:val="00216D3D"/>
    <w:rsid w:val="002171D7"/>
    <w:rsid w:val="002171F6"/>
    <w:rsid w:val="0021724D"/>
    <w:rsid w:val="00217625"/>
    <w:rsid w:val="00217804"/>
    <w:rsid w:val="00217A6F"/>
    <w:rsid w:val="00217ED3"/>
    <w:rsid w:val="0022017F"/>
    <w:rsid w:val="00220242"/>
    <w:rsid w:val="0022044E"/>
    <w:rsid w:val="00220706"/>
    <w:rsid w:val="00220CB7"/>
    <w:rsid w:val="002211F5"/>
    <w:rsid w:val="00221231"/>
    <w:rsid w:val="0022140F"/>
    <w:rsid w:val="0022194D"/>
    <w:rsid w:val="00221CC4"/>
    <w:rsid w:val="00221E89"/>
    <w:rsid w:val="00221FBC"/>
    <w:rsid w:val="0022285A"/>
    <w:rsid w:val="00223180"/>
    <w:rsid w:val="0022342A"/>
    <w:rsid w:val="002239B8"/>
    <w:rsid w:val="00224173"/>
    <w:rsid w:val="00224853"/>
    <w:rsid w:val="00224856"/>
    <w:rsid w:val="00224939"/>
    <w:rsid w:val="00224AC7"/>
    <w:rsid w:val="0022512D"/>
    <w:rsid w:val="00225378"/>
    <w:rsid w:val="00225558"/>
    <w:rsid w:val="00225964"/>
    <w:rsid w:val="0022596D"/>
    <w:rsid w:val="00225A2E"/>
    <w:rsid w:val="00225C05"/>
    <w:rsid w:val="00225C33"/>
    <w:rsid w:val="00225D16"/>
    <w:rsid w:val="00225F1D"/>
    <w:rsid w:val="00226959"/>
    <w:rsid w:val="0022705C"/>
    <w:rsid w:val="00227220"/>
    <w:rsid w:val="00227363"/>
    <w:rsid w:val="002275FF"/>
    <w:rsid w:val="002278A9"/>
    <w:rsid w:val="00227BA0"/>
    <w:rsid w:val="00227E83"/>
    <w:rsid w:val="0023008B"/>
    <w:rsid w:val="00230544"/>
    <w:rsid w:val="00230935"/>
    <w:rsid w:val="002309E0"/>
    <w:rsid w:val="002313C3"/>
    <w:rsid w:val="002314AC"/>
    <w:rsid w:val="00232081"/>
    <w:rsid w:val="002321F1"/>
    <w:rsid w:val="0023228C"/>
    <w:rsid w:val="00232499"/>
    <w:rsid w:val="00232646"/>
    <w:rsid w:val="0023287A"/>
    <w:rsid w:val="002329FE"/>
    <w:rsid w:val="00232BC0"/>
    <w:rsid w:val="00233377"/>
    <w:rsid w:val="00233455"/>
    <w:rsid w:val="00233D22"/>
    <w:rsid w:val="00233E59"/>
    <w:rsid w:val="00234084"/>
    <w:rsid w:val="0023429B"/>
    <w:rsid w:val="0023459D"/>
    <w:rsid w:val="00234A0B"/>
    <w:rsid w:val="00234F8B"/>
    <w:rsid w:val="0023526C"/>
    <w:rsid w:val="00235902"/>
    <w:rsid w:val="00235BA3"/>
    <w:rsid w:val="00235BCE"/>
    <w:rsid w:val="00236210"/>
    <w:rsid w:val="00236244"/>
    <w:rsid w:val="0023667C"/>
    <w:rsid w:val="002367B0"/>
    <w:rsid w:val="0023688E"/>
    <w:rsid w:val="0023699D"/>
    <w:rsid w:val="00236B09"/>
    <w:rsid w:val="00236D20"/>
    <w:rsid w:val="00236F7C"/>
    <w:rsid w:val="002372AD"/>
    <w:rsid w:val="0023739B"/>
    <w:rsid w:val="002376B7"/>
    <w:rsid w:val="0023778A"/>
    <w:rsid w:val="00237A33"/>
    <w:rsid w:val="00240063"/>
    <w:rsid w:val="00240366"/>
    <w:rsid w:val="002406F4"/>
    <w:rsid w:val="00240A9A"/>
    <w:rsid w:val="00241111"/>
    <w:rsid w:val="0024162B"/>
    <w:rsid w:val="00241CE4"/>
    <w:rsid w:val="00241E2D"/>
    <w:rsid w:val="00241E62"/>
    <w:rsid w:val="00242439"/>
    <w:rsid w:val="0024250C"/>
    <w:rsid w:val="0024283A"/>
    <w:rsid w:val="002428AD"/>
    <w:rsid w:val="00242AE2"/>
    <w:rsid w:val="00242FF0"/>
    <w:rsid w:val="0024316E"/>
    <w:rsid w:val="00243293"/>
    <w:rsid w:val="00243AF7"/>
    <w:rsid w:val="002440CD"/>
    <w:rsid w:val="00244AFB"/>
    <w:rsid w:val="00244E11"/>
    <w:rsid w:val="00244F6C"/>
    <w:rsid w:val="002453D8"/>
    <w:rsid w:val="00245A71"/>
    <w:rsid w:val="00245B8D"/>
    <w:rsid w:val="00245C9D"/>
    <w:rsid w:val="00245E8D"/>
    <w:rsid w:val="00245ECD"/>
    <w:rsid w:val="00246083"/>
    <w:rsid w:val="002460B3"/>
    <w:rsid w:val="0024650B"/>
    <w:rsid w:val="00246A1B"/>
    <w:rsid w:val="00246A6E"/>
    <w:rsid w:val="00246D49"/>
    <w:rsid w:val="00246E91"/>
    <w:rsid w:val="0024714D"/>
    <w:rsid w:val="002471FA"/>
    <w:rsid w:val="0024790E"/>
    <w:rsid w:val="00247932"/>
    <w:rsid w:val="00247F94"/>
    <w:rsid w:val="00250040"/>
    <w:rsid w:val="00250385"/>
    <w:rsid w:val="002505F8"/>
    <w:rsid w:val="002508CF"/>
    <w:rsid w:val="00250A33"/>
    <w:rsid w:val="00250B45"/>
    <w:rsid w:val="002510D0"/>
    <w:rsid w:val="00251143"/>
    <w:rsid w:val="00251409"/>
    <w:rsid w:val="0025149D"/>
    <w:rsid w:val="00251846"/>
    <w:rsid w:val="00251BE7"/>
    <w:rsid w:val="00251FCB"/>
    <w:rsid w:val="00251FE8"/>
    <w:rsid w:val="0025249E"/>
    <w:rsid w:val="00252FA8"/>
    <w:rsid w:val="0025312D"/>
    <w:rsid w:val="002532F2"/>
    <w:rsid w:val="00253546"/>
    <w:rsid w:val="00253592"/>
    <w:rsid w:val="002536D9"/>
    <w:rsid w:val="002537B4"/>
    <w:rsid w:val="00253862"/>
    <w:rsid w:val="00253D88"/>
    <w:rsid w:val="00253F4E"/>
    <w:rsid w:val="00254220"/>
    <w:rsid w:val="00254763"/>
    <w:rsid w:val="002547BA"/>
    <w:rsid w:val="00254DB5"/>
    <w:rsid w:val="00254E07"/>
    <w:rsid w:val="0025539E"/>
    <w:rsid w:val="002553D1"/>
    <w:rsid w:val="0025569F"/>
    <w:rsid w:val="002558ED"/>
    <w:rsid w:val="00255C02"/>
    <w:rsid w:val="00255D31"/>
    <w:rsid w:val="00255D9B"/>
    <w:rsid w:val="00255FFD"/>
    <w:rsid w:val="002561EE"/>
    <w:rsid w:val="0025664A"/>
    <w:rsid w:val="00256BBB"/>
    <w:rsid w:val="00256C97"/>
    <w:rsid w:val="00256FD2"/>
    <w:rsid w:val="00257155"/>
    <w:rsid w:val="00257380"/>
    <w:rsid w:val="00257554"/>
    <w:rsid w:val="00260201"/>
    <w:rsid w:val="00260210"/>
    <w:rsid w:val="00260810"/>
    <w:rsid w:val="00260937"/>
    <w:rsid w:val="002609B1"/>
    <w:rsid w:val="00260E7C"/>
    <w:rsid w:val="00260F34"/>
    <w:rsid w:val="00260F86"/>
    <w:rsid w:val="0026104B"/>
    <w:rsid w:val="00261078"/>
    <w:rsid w:val="00261520"/>
    <w:rsid w:val="0026177A"/>
    <w:rsid w:val="00261C1C"/>
    <w:rsid w:val="00261D13"/>
    <w:rsid w:val="00261F34"/>
    <w:rsid w:val="00262102"/>
    <w:rsid w:val="0026219C"/>
    <w:rsid w:val="00262326"/>
    <w:rsid w:val="00262FC0"/>
    <w:rsid w:val="002638AE"/>
    <w:rsid w:val="002639A1"/>
    <w:rsid w:val="002639D2"/>
    <w:rsid w:val="00263DF6"/>
    <w:rsid w:val="00263E2C"/>
    <w:rsid w:val="002643B8"/>
    <w:rsid w:val="002647E1"/>
    <w:rsid w:val="002649BD"/>
    <w:rsid w:val="00264A8A"/>
    <w:rsid w:val="00264CCA"/>
    <w:rsid w:val="00265372"/>
    <w:rsid w:val="00265422"/>
    <w:rsid w:val="0026557E"/>
    <w:rsid w:val="00265C50"/>
    <w:rsid w:val="00265DAC"/>
    <w:rsid w:val="00265DE4"/>
    <w:rsid w:val="00266206"/>
    <w:rsid w:val="00266227"/>
    <w:rsid w:val="002664A6"/>
    <w:rsid w:val="00266B12"/>
    <w:rsid w:val="00266B40"/>
    <w:rsid w:val="00266DC1"/>
    <w:rsid w:val="00266F19"/>
    <w:rsid w:val="00267006"/>
    <w:rsid w:val="002671E2"/>
    <w:rsid w:val="002672CF"/>
    <w:rsid w:val="002673AF"/>
    <w:rsid w:val="00270205"/>
    <w:rsid w:val="0027069E"/>
    <w:rsid w:val="00270832"/>
    <w:rsid w:val="00270AAB"/>
    <w:rsid w:val="00270C40"/>
    <w:rsid w:val="00271129"/>
    <w:rsid w:val="00271325"/>
    <w:rsid w:val="00271336"/>
    <w:rsid w:val="00271506"/>
    <w:rsid w:val="002719B7"/>
    <w:rsid w:val="002719D1"/>
    <w:rsid w:val="00271BDC"/>
    <w:rsid w:val="00271ED4"/>
    <w:rsid w:val="002724F9"/>
    <w:rsid w:val="00272936"/>
    <w:rsid w:val="00272B93"/>
    <w:rsid w:val="00272BCB"/>
    <w:rsid w:val="00272EBA"/>
    <w:rsid w:val="002730F0"/>
    <w:rsid w:val="002731E8"/>
    <w:rsid w:val="00273222"/>
    <w:rsid w:val="002734EC"/>
    <w:rsid w:val="00273644"/>
    <w:rsid w:val="002736B2"/>
    <w:rsid w:val="00273C87"/>
    <w:rsid w:val="002740A8"/>
    <w:rsid w:val="00274739"/>
    <w:rsid w:val="00274943"/>
    <w:rsid w:val="00274C40"/>
    <w:rsid w:val="002754A9"/>
    <w:rsid w:val="002755CC"/>
    <w:rsid w:val="0027575C"/>
    <w:rsid w:val="00275D68"/>
    <w:rsid w:val="00275F73"/>
    <w:rsid w:val="002762AB"/>
    <w:rsid w:val="00276985"/>
    <w:rsid w:val="002769C2"/>
    <w:rsid w:val="00276B51"/>
    <w:rsid w:val="00276C4E"/>
    <w:rsid w:val="0027700A"/>
    <w:rsid w:val="0027720D"/>
    <w:rsid w:val="00277240"/>
    <w:rsid w:val="00277538"/>
    <w:rsid w:val="00277B09"/>
    <w:rsid w:val="00277B7A"/>
    <w:rsid w:val="00277B90"/>
    <w:rsid w:val="00277CB7"/>
    <w:rsid w:val="00280253"/>
    <w:rsid w:val="0028083D"/>
    <w:rsid w:val="0028102B"/>
    <w:rsid w:val="00281540"/>
    <w:rsid w:val="002816AB"/>
    <w:rsid w:val="00281858"/>
    <w:rsid w:val="00281D05"/>
    <w:rsid w:val="00282257"/>
    <w:rsid w:val="00282483"/>
    <w:rsid w:val="00282786"/>
    <w:rsid w:val="00282876"/>
    <w:rsid w:val="002828E3"/>
    <w:rsid w:val="00282DA3"/>
    <w:rsid w:val="00282EFC"/>
    <w:rsid w:val="002837A5"/>
    <w:rsid w:val="002838A3"/>
    <w:rsid w:val="002838E7"/>
    <w:rsid w:val="00283A5E"/>
    <w:rsid w:val="00283DEA"/>
    <w:rsid w:val="00283DF1"/>
    <w:rsid w:val="00283F08"/>
    <w:rsid w:val="0028428A"/>
    <w:rsid w:val="002843F7"/>
    <w:rsid w:val="002849BE"/>
    <w:rsid w:val="00284ADF"/>
    <w:rsid w:val="00284BA0"/>
    <w:rsid w:val="00284DA8"/>
    <w:rsid w:val="00284FC1"/>
    <w:rsid w:val="00285E37"/>
    <w:rsid w:val="00285E71"/>
    <w:rsid w:val="00286069"/>
    <w:rsid w:val="0028610C"/>
    <w:rsid w:val="0028665E"/>
    <w:rsid w:val="00286855"/>
    <w:rsid w:val="00286C77"/>
    <w:rsid w:val="00286D79"/>
    <w:rsid w:val="002872FA"/>
    <w:rsid w:val="00287356"/>
    <w:rsid w:val="002874B0"/>
    <w:rsid w:val="00287907"/>
    <w:rsid w:val="00287AFC"/>
    <w:rsid w:val="00287BE9"/>
    <w:rsid w:val="00290048"/>
    <w:rsid w:val="002909B4"/>
    <w:rsid w:val="00290E6B"/>
    <w:rsid w:val="00291154"/>
    <w:rsid w:val="002911B2"/>
    <w:rsid w:val="002912BC"/>
    <w:rsid w:val="00291376"/>
    <w:rsid w:val="00291D08"/>
    <w:rsid w:val="00291FD1"/>
    <w:rsid w:val="002922C9"/>
    <w:rsid w:val="002923E5"/>
    <w:rsid w:val="002925BA"/>
    <w:rsid w:val="00292898"/>
    <w:rsid w:val="00292B92"/>
    <w:rsid w:val="00292BFF"/>
    <w:rsid w:val="00292CFB"/>
    <w:rsid w:val="00293404"/>
    <w:rsid w:val="002935FF"/>
    <w:rsid w:val="00293A26"/>
    <w:rsid w:val="00293C33"/>
    <w:rsid w:val="00293FF2"/>
    <w:rsid w:val="00294451"/>
    <w:rsid w:val="002948D4"/>
    <w:rsid w:val="0029497F"/>
    <w:rsid w:val="00295410"/>
    <w:rsid w:val="00295692"/>
    <w:rsid w:val="00295DC8"/>
    <w:rsid w:val="002960F0"/>
    <w:rsid w:val="002962BB"/>
    <w:rsid w:val="00296499"/>
    <w:rsid w:val="00296FD6"/>
    <w:rsid w:val="00297025"/>
    <w:rsid w:val="002970EF"/>
    <w:rsid w:val="002977CB"/>
    <w:rsid w:val="00297D8C"/>
    <w:rsid w:val="00297EBD"/>
    <w:rsid w:val="00297FF4"/>
    <w:rsid w:val="002A00EB"/>
    <w:rsid w:val="002A0448"/>
    <w:rsid w:val="002A0481"/>
    <w:rsid w:val="002A0484"/>
    <w:rsid w:val="002A0A16"/>
    <w:rsid w:val="002A0A1A"/>
    <w:rsid w:val="002A0A78"/>
    <w:rsid w:val="002A0BFD"/>
    <w:rsid w:val="002A0CC3"/>
    <w:rsid w:val="002A0D2C"/>
    <w:rsid w:val="002A10BF"/>
    <w:rsid w:val="002A1329"/>
    <w:rsid w:val="002A1447"/>
    <w:rsid w:val="002A1794"/>
    <w:rsid w:val="002A18D2"/>
    <w:rsid w:val="002A1A6E"/>
    <w:rsid w:val="002A1C7E"/>
    <w:rsid w:val="002A203C"/>
    <w:rsid w:val="002A207D"/>
    <w:rsid w:val="002A22B5"/>
    <w:rsid w:val="002A232B"/>
    <w:rsid w:val="002A2371"/>
    <w:rsid w:val="002A239B"/>
    <w:rsid w:val="002A27B3"/>
    <w:rsid w:val="002A2857"/>
    <w:rsid w:val="002A2923"/>
    <w:rsid w:val="002A2A10"/>
    <w:rsid w:val="002A2D9A"/>
    <w:rsid w:val="002A33FA"/>
    <w:rsid w:val="002A3585"/>
    <w:rsid w:val="002A393D"/>
    <w:rsid w:val="002A39BF"/>
    <w:rsid w:val="002A3B5F"/>
    <w:rsid w:val="002A3D25"/>
    <w:rsid w:val="002A4325"/>
    <w:rsid w:val="002A4764"/>
    <w:rsid w:val="002A4A4C"/>
    <w:rsid w:val="002A544F"/>
    <w:rsid w:val="002A580F"/>
    <w:rsid w:val="002A58C3"/>
    <w:rsid w:val="002A5AED"/>
    <w:rsid w:val="002A5E18"/>
    <w:rsid w:val="002A637C"/>
    <w:rsid w:val="002A673A"/>
    <w:rsid w:val="002A7113"/>
    <w:rsid w:val="002A7310"/>
    <w:rsid w:val="002A77C9"/>
    <w:rsid w:val="002A7DE7"/>
    <w:rsid w:val="002A7F59"/>
    <w:rsid w:val="002B00EE"/>
    <w:rsid w:val="002B0332"/>
    <w:rsid w:val="002B03C7"/>
    <w:rsid w:val="002B07E8"/>
    <w:rsid w:val="002B0D96"/>
    <w:rsid w:val="002B107F"/>
    <w:rsid w:val="002B10E4"/>
    <w:rsid w:val="002B127E"/>
    <w:rsid w:val="002B12E1"/>
    <w:rsid w:val="002B16A7"/>
    <w:rsid w:val="002B1730"/>
    <w:rsid w:val="002B1B78"/>
    <w:rsid w:val="002B2307"/>
    <w:rsid w:val="002B2490"/>
    <w:rsid w:val="002B24A6"/>
    <w:rsid w:val="002B2843"/>
    <w:rsid w:val="002B2D49"/>
    <w:rsid w:val="002B2D8D"/>
    <w:rsid w:val="002B2F15"/>
    <w:rsid w:val="002B2F49"/>
    <w:rsid w:val="002B3069"/>
    <w:rsid w:val="002B3381"/>
    <w:rsid w:val="002B3439"/>
    <w:rsid w:val="002B3444"/>
    <w:rsid w:val="002B3704"/>
    <w:rsid w:val="002B3A39"/>
    <w:rsid w:val="002B3A3A"/>
    <w:rsid w:val="002B3AB4"/>
    <w:rsid w:val="002B3CD8"/>
    <w:rsid w:val="002B3E10"/>
    <w:rsid w:val="002B4281"/>
    <w:rsid w:val="002B4726"/>
    <w:rsid w:val="002B4751"/>
    <w:rsid w:val="002B48DF"/>
    <w:rsid w:val="002B4A28"/>
    <w:rsid w:val="002B4C95"/>
    <w:rsid w:val="002B4D5C"/>
    <w:rsid w:val="002B4FB3"/>
    <w:rsid w:val="002B5296"/>
    <w:rsid w:val="002B54C6"/>
    <w:rsid w:val="002B5B5E"/>
    <w:rsid w:val="002B5F47"/>
    <w:rsid w:val="002B602C"/>
    <w:rsid w:val="002B6670"/>
    <w:rsid w:val="002B677C"/>
    <w:rsid w:val="002B6BA2"/>
    <w:rsid w:val="002B6CFC"/>
    <w:rsid w:val="002B7018"/>
    <w:rsid w:val="002B75B3"/>
    <w:rsid w:val="002B77F2"/>
    <w:rsid w:val="002B79A7"/>
    <w:rsid w:val="002B7A1A"/>
    <w:rsid w:val="002B7BBF"/>
    <w:rsid w:val="002B7D2E"/>
    <w:rsid w:val="002B7E7B"/>
    <w:rsid w:val="002B7EF8"/>
    <w:rsid w:val="002C00E8"/>
    <w:rsid w:val="002C01C2"/>
    <w:rsid w:val="002C03BC"/>
    <w:rsid w:val="002C05BD"/>
    <w:rsid w:val="002C0A66"/>
    <w:rsid w:val="002C0E71"/>
    <w:rsid w:val="002C10FE"/>
    <w:rsid w:val="002C1144"/>
    <w:rsid w:val="002C11DB"/>
    <w:rsid w:val="002C1345"/>
    <w:rsid w:val="002C14FA"/>
    <w:rsid w:val="002C16B3"/>
    <w:rsid w:val="002C17CD"/>
    <w:rsid w:val="002C1CD0"/>
    <w:rsid w:val="002C2027"/>
    <w:rsid w:val="002C2550"/>
    <w:rsid w:val="002C2A93"/>
    <w:rsid w:val="002C2B53"/>
    <w:rsid w:val="002C2B80"/>
    <w:rsid w:val="002C2FC9"/>
    <w:rsid w:val="002C31B0"/>
    <w:rsid w:val="002C34D0"/>
    <w:rsid w:val="002C36AE"/>
    <w:rsid w:val="002C38A5"/>
    <w:rsid w:val="002C3D3E"/>
    <w:rsid w:val="002C3D79"/>
    <w:rsid w:val="002C4889"/>
    <w:rsid w:val="002C4F86"/>
    <w:rsid w:val="002C5330"/>
    <w:rsid w:val="002C5471"/>
    <w:rsid w:val="002C5629"/>
    <w:rsid w:val="002C5677"/>
    <w:rsid w:val="002C56B1"/>
    <w:rsid w:val="002C585E"/>
    <w:rsid w:val="002C5D17"/>
    <w:rsid w:val="002C5D7C"/>
    <w:rsid w:val="002C626B"/>
    <w:rsid w:val="002C6539"/>
    <w:rsid w:val="002C6B3C"/>
    <w:rsid w:val="002C6D0C"/>
    <w:rsid w:val="002C6F87"/>
    <w:rsid w:val="002C7406"/>
    <w:rsid w:val="002C75F9"/>
    <w:rsid w:val="002C78F4"/>
    <w:rsid w:val="002C7919"/>
    <w:rsid w:val="002D00B6"/>
    <w:rsid w:val="002D01A6"/>
    <w:rsid w:val="002D0A61"/>
    <w:rsid w:val="002D1154"/>
    <w:rsid w:val="002D12CC"/>
    <w:rsid w:val="002D16CD"/>
    <w:rsid w:val="002D209D"/>
    <w:rsid w:val="002D26CE"/>
    <w:rsid w:val="002D2749"/>
    <w:rsid w:val="002D27DB"/>
    <w:rsid w:val="002D2B32"/>
    <w:rsid w:val="002D2F03"/>
    <w:rsid w:val="002D311F"/>
    <w:rsid w:val="002D35C8"/>
    <w:rsid w:val="002D3C0F"/>
    <w:rsid w:val="002D40FB"/>
    <w:rsid w:val="002D4447"/>
    <w:rsid w:val="002D462C"/>
    <w:rsid w:val="002D4B7E"/>
    <w:rsid w:val="002D591E"/>
    <w:rsid w:val="002D5CBF"/>
    <w:rsid w:val="002D5D51"/>
    <w:rsid w:val="002D5E2C"/>
    <w:rsid w:val="002D62A9"/>
    <w:rsid w:val="002D63BE"/>
    <w:rsid w:val="002D6651"/>
    <w:rsid w:val="002D6D6F"/>
    <w:rsid w:val="002D6ED3"/>
    <w:rsid w:val="002D6EF4"/>
    <w:rsid w:val="002D7369"/>
    <w:rsid w:val="002D7729"/>
    <w:rsid w:val="002D7769"/>
    <w:rsid w:val="002D7932"/>
    <w:rsid w:val="002E0530"/>
    <w:rsid w:val="002E073B"/>
    <w:rsid w:val="002E0886"/>
    <w:rsid w:val="002E08BF"/>
    <w:rsid w:val="002E0E23"/>
    <w:rsid w:val="002E13F0"/>
    <w:rsid w:val="002E1560"/>
    <w:rsid w:val="002E1602"/>
    <w:rsid w:val="002E1701"/>
    <w:rsid w:val="002E179D"/>
    <w:rsid w:val="002E1AE4"/>
    <w:rsid w:val="002E22CF"/>
    <w:rsid w:val="002E2345"/>
    <w:rsid w:val="002E247F"/>
    <w:rsid w:val="002E2951"/>
    <w:rsid w:val="002E2CE1"/>
    <w:rsid w:val="002E2CF7"/>
    <w:rsid w:val="002E2CFD"/>
    <w:rsid w:val="002E3087"/>
    <w:rsid w:val="002E30B9"/>
    <w:rsid w:val="002E35BF"/>
    <w:rsid w:val="002E3772"/>
    <w:rsid w:val="002E3A1C"/>
    <w:rsid w:val="002E3A99"/>
    <w:rsid w:val="002E3B50"/>
    <w:rsid w:val="002E3E85"/>
    <w:rsid w:val="002E4294"/>
    <w:rsid w:val="002E42CE"/>
    <w:rsid w:val="002E47FF"/>
    <w:rsid w:val="002E49EB"/>
    <w:rsid w:val="002E5090"/>
    <w:rsid w:val="002E55A6"/>
    <w:rsid w:val="002E5644"/>
    <w:rsid w:val="002E5A5D"/>
    <w:rsid w:val="002E5AE3"/>
    <w:rsid w:val="002E5C5B"/>
    <w:rsid w:val="002E6375"/>
    <w:rsid w:val="002E641B"/>
    <w:rsid w:val="002E684B"/>
    <w:rsid w:val="002E6A65"/>
    <w:rsid w:val="002E6ABD"/>
    <w:rsid w:val="002E6AD1"/>
    <w:rsid w:val="002E6B1C"/>
    <w:rsid w:val="002E6C52"/>
    <w:rsid w:val="002E6C7F"/>
    <w:rsid w:val="002E711C"/>
    <w:rsid w:val="002E7260"/>
    <w:rsid w:val="002E7413"/>
    <w:rsid w:val="002E7B69"/>
    <w:rsid w:val="002E7D3D"/>
    <w:rsid w:val="002E7E9E"/>
    <w:rsid w:val="002F00AA"/>
    <w:rsid w:val="002F02D8"/>
    <w:rsid w:val="002F0507"/>
    <w:rsid w:val="002F0E9B"/>
    <w:rsid w:val="002F11BC"/>
    <w:rsid w:val="002F125C"/>
    <w:rsid w:val="002F1328"/>
    <w:rsid w:val="002F18B5"/>
    <w:rsid w:val="002F1A9A"/>
    <w:rsid w:val="002F1BBC"/>
    <w:rsid w:val="002F23EF"/>
    <w:rsid w:val="002F254C"/>
    <w:rsid w:val="002F304A"/>
    <w:rsid w:val="002F3097"/>
    <w:rsid w:val="002F30F9"/>
    <w:rsid w:val="002F311E"/>
    <w:rsid w:val="002F31F8"/>
    <w:rsid w:val="002F34A4"/>
    <w:rsid w:val="002F3587"/>
    <w:rsid w:val="002F35DC"/>
    <w:rsid w:val="002F3B5E"/>
    <w:rsid w:val="002F3F96"/>
    <w:rsid w:val="002F411D"/>
    <w:rsid w:val="002F452F"/>
    <w:rsid w:val="002F45DC"/>
    <w:rsid w:val="002F47D3"/>
    <w:rsid w:val="002F4940"/>
    <w:rsid w:val="002F49F5"/>
    <w:rsid w:val="002F4DA7"/>
    <w:rsid w:val="002F4EA8"/>
    <w:rsid w:val="002F5A3D"/>
    <w:rsid w:val="002F5D1A"/>
    <w:rsid w:val="002F5D6E"/>
    <w:rsid w:val="002F5E55"/>
    <w:rsid w:val="002F6078"/>
    <w:rsid w:val="002F62D4"/>
    <w:rsid w:val="002F68C1"/>
    <w:rsid w:val="002F6E92"/>
    <w:rsid w:val="002F6ECB"/>
    <w:rsid w:val="002F700B"/>
    <w:rsid w:val="002F7546"/>
    <w:rsid w:val="002F76B6"/>
    <w:rsid w:val="002F78BC"/>
    <w:rsid w:val="002F7C26"/>
    <w:rsid w:val="002F7FB1"/>
    <w:rsid w:val="0030027D"/>
    <w:rsid w:val="003002A1"/>
    <w:rsid w:val="0030030A"/>
    <w:rsid w:val="0030049E"/>
    <w:rsid w:val="003004C0"/>
    <w:rsid w:val="00300CF5"/>
    <w:rsid w:val="003013A1"/>
    <w:rsid w:val="0030165A"/>
    <w:rsid w:val="003016B1"/>
    <w:rsid w:val="00301B93"/>
    <w:rsid w:val="00301E38"/>
    <w:rsid w:val="00301E56"/>
    <w:rsid w:val="00301FBD"/>
    <w:rsid w:val="0030202C"/>
    <w:rsid w:val="00302058"/>
    <w:rsid w:val="003022F9"/>
    <w:rsid w:val="0030277E"/>
    <w:rsid w:val="00302C16"/>
    <w:rsid w:val="003032A6"/>
    <w:rsid w:val="003032C6"/>
    <w:rsid w:val="0030336E"/>
    <w:rsid w:val="0030337A"/>
    <w:rsid w:val="00303BC8"/>
    <w:rsid w:val="00303D48"/>
    <w:rsid w:val="00303DE6"/>
    <w:rsid w:val="0030404B"/>
    <w:rsid w:val="00304197"/>
    <w:rsid w:val="003043B3"/>
    <w:rsid w:val="00304671"/>
    <w:rsid w:val="0030484E"/>
    <w:rsid w:val="003048F8"/>
    <w:rsid w:val="00304D04"/>
    <w:rsid w:val="00304DBF"/>
    <w:rsid w:val="00304DF9"/>
    <w:rsid w:val="00305022"/>
    <w:rsid w:val="003052C3"/>
    <w:rsid w:val="003059C9"/>
    <w:rsid w:val="00305A78"/>
    <w:rsid w:val="00305ADE"/>
    <w:rsid w:val="00305C72"/>
    <w:rsid w:val="003063DE"/>
    <w:rsid w:val="0030648F"/>
    <w:rsid w:val="003064CA"/>
    <w:rsid w:val="003065E3"/>
    <w:rsid w:val="003067FA"/>
    <w:rsid w:val="00306D5B"/>
    <w:rsid w:val="00306D60"/>
    <w:rsid w:val="00306DFA"/>
    <w:rsid w:val="00306F35"/>
    <w:rsid w:val="00307246"/>
    <w:rsid w:val="00307A43"/>
    <w:rsid w:val="00307E76"/>
    <w:rsid w:val="00307E9B"/>
    <w:rsid w:val="00307FC7"/>
    <w:rsid w:val="003101E9"/>
    <w:rsid w:val="0031031E"/>
    <w:rsid w:val="003107B8"/>
    <w:rsid w:val="00310B30"/>
    <w:rsid w:val="00310C14"/>
    <w:rsid w:val="00310DBF"/>
    <w:rsid w:val="00310EAB"/>
    <w:rsid w:val="00310FC6"/>
    <w:rsid w:val="003110B7"/>
    <w:rsid w:val="00311122"/>
    <w:rsid w:val="00311750"/>
    <w:rsid w:val="003119D3"/>
    <w:rsid w:val="00311B03"/>
    <w:rsid w:val="00311F16"/>
    <w:rsid w:val="00311F8F"/>
    <w:rsid w:val="00311FA5"/>
    <w:rsid w:val="00312169"/>
    <w:rsid w:val="00312279"/>
    <w:rsid w:val="00312793"/>
    <w:rsid w:val="003127C7"/>
    <w:rsid w:val="003127D2"/>
    <w:rsid w:val="00312A39"/>
    <w:rsid w:val="00312EE2"/>
    <w:rsid w:val="003133F3"/>
    <w:rsid w:val="00313462"/>
    <w:rsid w:val="003136B6"/>
    <w:rsid w:val="00313A0F"/>
    <w:rsid w:val="00313EB7"/>
    <w:rsid w:val="0031408E"/>
    <w:rsid w:val="003143B5"/>
    <w:rsid w:val="00314913"/>
    <w:rsid w:val="00314989"/>
    <w:rsid w:val="00314F00"/>
    <w:rsid w:val="00314FFC"/>
    <w:rsid w:val="00315023"/>
    <w:rsid w:val="0031502A"/>
    <w:rsid w:val="003150E1"/>
    <w:rsid w:val="00315186"/>
    <w:rsid w:val="003154C8"/>
    <w:rsid w:val="00315A0A"/>
    <w:rsid w:val="00316096"/>
    <w:rsid w:val="00316438"/>
    <w:rsid w:val="00316668"/>
    <w:rsid w:val="00316FA7"/>
    <w:rsid w:val="00316FF3"/>
    <w:rsid w:val="0031704A"/>
    <w:rsid w:val="00317613"/>
    <w:rsid w:val="00317ACD"/>
    <w:rsid w:val="00317C4D"/>
    <w:rsid w:val="00317CAE"/>
    <w:rsid w:val="00317DDC"/>
    <w:rsid w:val="00320112"/>
    <w:rsid w:val="003208F2"/>
    <w:rsid w:val="00320EEA"/>
    <w:rsid w:val="00320F0E"/>
    <w:rsid w:val="00321310"/>
    <w:rsid w:val="00321611"/>
    <w:rsid w:val="003217BF"/>
    <w:rsid w:val="0032181E"/>
    <w:rsid w:val="00321AF2"/>
    <w:rsid w:val="00321F74"/>
    <w:rsid w:val="0032206E"/>
    <w:rsid w:val="003221E9"/>
    <w:rsid w:val="0032236C"/>
    <w:rsid w:val="00322983"/>
    <w:rsid w:val="00322B67"/>
    <w:rsid w:val="00322BD3"/>
    <w:rsid w:val="00322CF3"/>
    <w:rsid w:val="003232EB"/>
    <w:rsid w:val="003233C9"/>
    <w:rsid w:val="0032364F"/>
    <w:rsid w:val="00323A30"/>
    <w:rsid w:val="00323C01"/>
    <w:rsid w:val="00323D6D"/>
    <w:rsid w:val="00324014"/>
    <w:rsid w:val="0032451D"/>
    <w:rsid w:val="0032452C"/>
    <w:rsid w:val="0032506A"/>
    <w:rsid w:val="00325445"/>
    <w:rsid w:val="00325BB1"/>
    <w:rsid w:val="00325E85"/>
    <w:rsid w:val="0032611A"/>
    <w:rsid w:val="00326124"/>
    <w:rsid w:val="003261B6"/>
    <w:rsid w:val="0032629A"/>
    <w:rsid w:val="003268AB"/>
    <w:rsid w:val="00326976"/>
    <w:rsid w:val="00326BEA"/>
    <w:rsid w:val="00326D2C"/>
    <w:rsid w:val="00326E72"/>
    <w:rsid w:val="0032775D"/>
    <w:rsid w:val="00327856"/>
    <w:rsid w:val="00327F3B"/>
    <w:rsid w:val="00330237"/>
    <w:rsid w:val="00330307"/>
    <w:rsid w:val="00330537"/>
    <w:rsid w:val="003305F6"/>
    <w:rsid w:val="00330BDB"/>
    <w:rsid w:val="00330E58"/>
    <w:rsid w:val="00331490"/>
    <w:rsid w:val="00331662"/>
    <w:rsid w:val="003316C6"/>
    <w:rsid w:val="00331754"/>
    <w:rsid w:val="003318AA"/>
    <w:rsid w:val="00331E33"/>
    <w:rsid w:val="0033210A"/>
    <w:rsid w:val="003323DF"/>
    <w:rsid w:val="003325E3"/>
    <w:rsid w:val="00332843"/>
    <w:rsid w:val="00332897"/>
    <w:rsid w:val="0033290E"/>
    <w:rsid w:val="00332C28"/>
    <w:rsid w:val="00332E7E"/>
    <w:rsid w:val="0033388E"/>
    <w:rsid w:val="00333F67"/>
    <w:rsid w:val="003342F3"/>
    <w:rsid w:val="00334604"/>
    <w:rsid w:val="00334C4A"/>
    <w:rsid w:val="00334EA6"/>
    <w:rsid w:val="003350E6"/>
    <w:rsid w:val="00335593"/>
    <w:rsid w:val="00335DE9"/>
    <w:rsid w:val="00336064"/>
    <w:rsid w:val="0033624E"/>
    <w:rsid w:val="0033666F"/>
    <w:rsid w:val="00336768"/>
    <w:rsid w:val="00336DD9"/>
    <w:rsid w:val="00337409"/>
    <w:rsid w:val="00337699"/>
    <w:rsid w:val="003378DD"/>
    <w:rsid w:val="00337B48"/>
    <w:rsid w:val="00341066"/>
    <w:rsid w:val="003414FB"/>
    <w:rsid w:val="0034150E"/>
    <w:rsid w:val="003417EA"/>
    <w:rsid w:val="00341827"/>
    <w:rsid w:val="003418AA"/>
    <w:rsid w:val="00341B4F"/>
    <w:rsid w:val="00341E2A"/>
    <w:rsid w:val="00341F4C"/>
    <w:rsid w:val="00343139"/>
    <w:rsid w:val="003432F4"/>
    <w:rsid w:val="00343343"/>
    <w:rsid w:val="00343566"/>
    <w:rsid w:val="00343733"/>
    <w:rsid w:val="0034414D"/>
    <w:rsid w:val="0034442A"/>
    <w:rsid w:val="0034475A"/>
    <w:rsid w:val="00344809"/>
    <w:rsid w:val="00344A4C"/>
    <w:rsid w:val="00345147"/>
    <w:rsid w:val="003451D6"/>
    <w:rsid w:val="003454F2"/>
    <w:rsid w:val="003459A8"/>
    <w:rsid w:val="00345C00"/>
    <w:rsid w:val="00345C18"/>
    <w:rsid w:val="0034665E"/>
    <w:rsid w:val="003466D0"/>
    <w:rsid w:val="00346AC6"/>
    <w:rsid w:val="00346D0E"/>
    <w:rsid w:val="00347003"/>
    <w:rsid w:val="0034719F"/>
    <w:rsid w:val="00347516"/>
    <w:rsid w:val="0034751B"/>
    <w:rsid w:val="00347619"/>
    <w:rsid w:val="003476DC"/>
    <w:rsid w:val="00347723"/>
    <w:rsid w:val="0034775C"/>
    <w:rsid w:val="00347BDF"/>
    <w:rsid w:val="00347D38"/>
    <w:rsid w:val="00347DAF"/>
    <w:rsid w:val="00350128"/>
    <w:rsid w:val="00350566"/>
    <w:rsid w:val="00350610"/>
    <w:rsid w:val="0035080B"/>
    <w:rsid w:val="003509F3"/>
    <w:rsid w:val="00351310"/>
    <w:rsid w:val="00351619"/>
    <w:rsid w:val="0035168A"/>
    <w:rsid w:val="0035172B"/>
    <w:rsid w:val="003518C9"/>
    <w:rsid w:val="003518F2"/>
    <w:rsid w:val="00351AFA"/>
    <w:rsid w:val="003521C8"/>
    <w:rsid w:val="003522E9"/>
    <w:rsid w:val="0035265E"/>
    <w:rsid w:val="00353034"/>
    <w:rsid w:val="003534FA"/>
    <w:rsid w:val="00353511"/>
    <w:rsid w:val="00353923"/>
    <w:rsid w:val="00353A00"/>
    <w:rsid w:val="00353B28"/>
    <w:rsid w:val="00353D40"/>
    <w:rsid w:val="00354267"/>
    <w:rsid w:val="00354502"/>
    <w:rsid w:val="00354C82"/>
    <w:rsid w:val="00355219"/>
    <w:rsid w:val="003553E4"/>
    <w:rsid w:val="003556EF"/>
    <w:rsid w:val="00355D6B"/>
    <w:rsid w:val="00355FB7"/>
    <w:rsid w:val="00356427"/>
    <w:rsid w:val="0035678A"/>
    <w:rsid w:val="00356C3A"/>
    <w:rsid w:val="00356CA7"/>
    <w:rsid w:val="00356DA3"/>
    <w:rsid w:val="00356DD3"/>
    <w:rsid w:val="00356F4F"/>
    <w:rsid w:val="0035735C"/>
    <w:rsid w:val="00357394"/>
    <w:rsid w:val="00357443"/>
    <w:rsid w:val="003574EA"/>
    <w:rsid w:val="0035750A"/>
    <w:rsid w:val="0035764F"/>
    <w:rsid w:val="00357715"/>
    <w:rsid w:val="00357B8F"/>
    <w:rsid w:val="00357F5D"/>
    <w:rsid w:val="00360031"/>
    <w:rsid w:val="003601F8"/>
    <w:rsid w:val="00360232"/>
    <w:rsid w:val="0036069E"/>
    <w:rsid w:val="00360BC8"/>
    <w:rsid w:val="00360F84"/>
    <w:rsid w:val="0036159A"/>
    <w:rsid w:val="003615CA"/>
    <w:rsid w:val="00361644"/>
    <w:rsid w:val="0036199C"/>
    <w:rsid w:val="00362497"/>
    <w:rsid w:val="00362637"/>
    <w:rsid w:val="003629BB"/>
    <w:rsid w:val="00362AEC"/>
    <w:rsid w:val="00362C89"/>
    <w:rsid w:val="00362D7C"/>
    <w:rsid w:val="00362DEC"/>
    <w:rsid w:val="00362F84"/>
    <w:rsid w:val="00362FC1"/>
    <w:rsid w:val="00363152"/>
    <w:rsid w:val="0036327A"/>
    <w:rsid w:val="003632DD"/>
    <w:rsid w:val="00363347"/>
    <w:rsid w:val="00363804"/>
    <w:rsid w:val="0036392B"/>
    <w:rsid w:val="00363A40"/>
    <w:rsid w:val="00363F4E"/>
    <w:rsid w:val="00363F57"/>
    <w:rsid w:val="00363F5F"/>
    <w:rsid w:val="00364284"/>
    <w:rsid w:val="003645EF"/>
    <w:rsid w:val="003647F5"/>
    <w:rsid w:val="00364872"/>
    <w:rsid w:val="00364C61"/>
    <w:rsid w:val="00364FDB"/>
    <w:rsid w:val="003653F9"/>
    <w:rsid w:val="003655F8"/>
    <w:rsid w:val="00365658"/>
    <w:rsid w:val="00365862"/>
    <w:rsid w:val="00365930"/>
    <w:rsid w:val="00365C34"/>
    <w:rsid w:val="00365D2A"/>
    <w:rsid w:val="0036613F"/>
    <w:rsid w:val="0036697F"/>
    <w:rsid w:val="00366D9F"/>
    <w:rsid w:val="0036718D"/>
    <w:rsid w:val="003678A2"/>
    <w:rsid w:val="00367D0F"/>
    <w:rsid w:val="003701AA"/>
    <w:rsid w:val="00370543"/>
    <w:rsid w:val="00370881"/>
    <w:rsid w:val="003709FB"/>
    <w:rsid w:val="00370A21"/>
    <w:rsid w:val="00370CC4"/>
    <w:rsid w:val="003712D8"/>
    <w:rsid w:val="0037197F"/>
    <w:rsid w:val="00371AA9"/>
    <w:rsid w:val="00371C3F"/>
    <w:rsid w:val="00372032"/>
    <w:rsid w:val="003723DA"/>
    <w:rsid w:val="00372A3D"/>
    <w:rsid w:val="00373212"/>
    <w:rsid w:val="0037341B"/>
    <w:rsid w:val="003739CE"/>
    <w:rsid w:val="00373AB1"/>
    <w:rsid w:val="00373BDC"/>
    <w:rsid w:val="00373CFC"/>
    <w:rsid w:val="003741D5"/>
    <w:rsid w:val="00374599"/>
    <w:rsid w:val="003747D6"/>
    <w:rsid w:val="00374B38"/>
    <w:rsid w:val="00374C33"/>
    <w:rsid w:val="00374D51"/>
    <w:rsid w:val="00374E75"/>
    <w:rsid w:val="00374EBD"/>
    <w:rsid w:val="003750E4"/>
    <w:rsid w:val="0037513B"/>
    <w:rsid w:val="0037516C"/>
    <w:rsid w:val="003753EB"/>
    <w:rsid w:val="00375505"/>
    <w:rsid w:val="00375898"/>
    <w:rsid w:val="00375F22"/>
    <w:rsid w:val="00376019"/>
    <w:rsid w:val="00376072"/>
    <w:rsid w:val="00376121"/>
    <w:rsid w:val="0037614F"/>
    <w:rsid w:val="00376274"/>
    <w:rsid w:val="00376534"/>
    <w:rsid w:val="0037691F"/>
    <w:rsid w:val="00376934"/>
    <w:rsid w:val="00376D35"/>
    <w:rsid w:val="00377154"/>
    <w:rsid w:val="00377603"/>
    <w:rsid w:val="00377929"/>
    <w:rsid w:val="00377B72"/>
    <w:rsid w:val="003802B3"/>
    <w:rsid w:val="003805C4"/>
    <w:rsid w:val="00380CB6"/>
    <w:rsid w:val="00380D2A"/>
    <w:rsid w:val="00380E2C"/>
    <w:rsid w:val="00380E9B"/>
    <w:rsid w:val="00381104"/>
    <w:rsid w:val="00381213"/>
    <w:rsid w:val="00381556"/>
    <w:rsid w:val="0038159B"/>
    <w:rsid w:val="00381980"/>
    <w:rsid w:val="00381B3D"/>
    <w:rsid w:val="00381F42"/>
    <w:rsid w:val="00382001"/>
    <w:rsid w:val="0038221E"/>
    <w:rsid w:val="0038279F"/>
    <w:rsid w:val="003828AE"/>
    <w:rsid w:val="003829B0"/>
    <w:rsid w:val="00382C1C"/>
    <w:rsid w:val="00382F0B"/>
    <w:rsid w:val="00382FEF"/>
    <w:rsid w:val="0038301A"/>
    <w:rsid w:val="00383486"/>
    <w:rsid w:val="0038366C"/>
    <w:rsid w:val="00383998"/>
    <w:rsid w:val="00383A43"/>
    <w:rsid w:val="00383D12"/>
    <w:rsid w:val="0038413F"/>
    <w:rsid w:val="00384147"/>
    <w:rsid w:val="003844B4"/>
    <w:rsid w:val="00384B25"/>
    <w:rsid w:val="00384B8C"/>
    <w:rsid w:val="00385067"/>
    <w:rsid w:val="00385346"/>
    <w:rsid w:val="00385468"/>
    <w:rsid w:val="00385672"/>
    <w:rsid w:val="00385932"/>
    <w:rsid w:val="003859C9"/>
    <w:rsid w:val="00385B85"/>
    <w:rsid w:val="00385C4B"/>
    <w:rsid w:val="00385E3E"/>
    <w:rsid w:val="00386747"/>
    <w:rsid w:val="00386A1F"/>
    <w:rsid w:val="00386AC0"/>
    <w:rsid w:val="0038709C"/>
    <w:rsid w:val="003871BF"/>
    <w:rsid w:val="00387835"/>
    <w:rsid w:val="00387B6B"/>
    <w:rsid w:val="00387D58"/>
    <w:rsid w:val="00387F96"/>
    <w:rsid w:val="0039059D"/>
    <w:rsid w:val="00390647"/>
    <w:rsid w:val="00390929"/>
    <w:rsid w:val="00390962"/>
    <w:rsid w:val="00390C80"/>
    <w:rsid w:val="003911F9"/>
    <w:rsid w:val="00391B11"/>
    <w:rsid w:val="00391E01"/>
    <w:rsid w:val="00392493"/>
    <w:rsid w:val="00392586"/>
    <w:rsid w:val="0039285C"/>
    <w:rsid w:val="00392B35"/>
    <w:rsid w:val="00392C8A"/>
    <w:rsid w:val="00392DC2"/>
    <w:rsid w:val="00392F59"/>
    <w:rsid w:val="00392FEF"/>
    <w:rsid w:val="00393993"/>
    <w:rsid w:val="003939FA"/>
    <w:rsid w:val="00393B8D"/>
    <w:rsid w:val="00393C8F"/>
    <w:rsid w:val="00393E69"/>
    <w:rsid w:val="00394128"/>
    <w:rsid w:val="003946B8"/>
    <w:rsid w:val="003948AB"/>
    <w:rsid w:val="00394B84"/>
    <w:rsid w:val="00394BAA"/>
    <w:rsid w:val="00394D9E"/>
    <w:rsid w:val="003952BF"/>
    <w:rsid w:val="00395629"/>
    <w:rsid w:val="0039563A"/>
    <w:rsid w:val="003956DC"/>
    <w:rsid w:val="003958EE"/>
    <w:rsid w:val="003958F2"/>
    <w:rsid w:val="00395986"/>
    <w:rsid w:val="00395F35"/>
    <w:rsid w:val="003960C5"/>
    <w:rsid w:val="003965D4"/>
    <w:rsid w:val="003969CE"/>
    <w:rsid w:val="00396E20"/>
    <w:rsid w:val="003971A1"/>
    <w:rsid w:val="003977E8"/>
    <w:rsid w:val="003978DD"/>
    <w:rsid w:val="003979E1"/>
    <w:rsid w:val="00397C1B"/>
    <w:rsid w:val="00397C6A"/>
    <w:rsid w:val="003A012E"/>
    <w:rsid w:val="003A0254"/>
    <w:rsid w:val="003A0408"/>
    <w:rsid w:val="003A0BD6"/>
    <w:rsid w:val="003A0C33"/>
    <w:rsid w:val="003A0C6B"/>
    <w:rsid w:val="003A0E0E"/>
    <w:rsid w:val="003A131D"/>
    <w:rsid w:val="003A13D6"/>
    <w:rsid w:val="003A1508"/>
    <w:rsid w:val="003A185F"/>
    <w:rsid w:val="003A1CCD"/>
    <w:rsid w:val="003A1F6B"/>
    <w:rsid w:val="003A2270"/>
    <w:rsid w:val="003A2428"/>
    <w:rsid w:val="003A2532"/>
    <w:rsid w:val="003A2B05"/>
    <w:rsid w:val="003A2B17"/>
    <w:rsid w:val="003A2D6C"/>
    <w:rsid w:val="003A2EA6"/>
    <w:rsid w:val="003A3192"/>
    <w:rsid w:val="003A3827"/>
    <w:rsid w:val="003A3A12"/>
    <w:rsid w:val="003A3B56"/>
    <w:rsid w:val="003A3E17"/>
    <w:rsid w:val="003A40A2"/>
    <w:rsid w:val="003A4262"/>
    <w:rsid w:val="003A437A"/>
    <w:rsid w:val="003A44F0"/>
    <w:rsid w:val="003A45B1"/>
    <w:rsid w:val="003A4678"/>
    <w:rsid w:val="003A4832"/>
    <w:rsid w:val="003A4987"/>
    <w:rsid w:val="003A4ABE"/>
    <w:rsid w:val="003A51E7"/>
    <w:rsid w:val="003A560A"/>
    <w:rsid w:val="003A58A3"/>
    <w:rsid w:val="003A5928"/>
    <w:rsid w:val="003A5C00"/>
    <w:rsid w:val="003A5F4A"/>
    <w:rsid w:val="003A663D"/>
    <w:rsid w:val="003A6788"/>
    <w:rsid w:val="003A6AFF"/>
    <w:rsid w:val="003A6CB9"/>
    <w:rsid w:val="003A7016"/>
    <w:rsid w:val="003A75F0"/>
    <w:rsid w:val="003A7912"/>
    <w:rsid w:val="003A7B42"/>
    <w:rsid w:val="003B03AE"/>
    <w:rsid w:val="003B03C6"/>
    <w:rsid w:val="003B04A0"/>
    <w:rsid w:val="003B0AB5"/>
    <w:rsid w:val="003B0AF4"/>
    <w:rsid w:val="003B0B61"/>
    <w:rsid w:val="003B14B8"/>
    <w:rsid w:val="003B1751"/>
    <w:rsid w:val="003B22BD"/>
    <w:rsid w:val="003B24B7"/>
    <w:rsid w:val="003B30DF"/>
    <w:rsid w:val="003B3A2B"/>
    <w:rsid w:val="003B3CF0"/>
    <w:rsid w:val="003B4081"/>
    <w:rsid w:val="003B44AF"/>
    <w:rsid w:val="003B47CE"/>
    <w:rsid w:val="003B4E22"/>
    <w:rsid w:val="003B50B8"/>
    <w:rsid w:val="003B538A"/>
    <w:rsid w:val="003B5794"/>
    <w:rsid w:val="003B58A7"/>
    <w:rsid w:val="003B5C0A"/>
    <w:rsid w:val="003B5D4C"/>
    <w:rsid w:val="003B6127"/>
    <w:rsid w:val="003B632E"/>
    <w:rsid w:val="003B67C4"/>
    <w:rsid w:val="003B75C0"/>
    <w:rsid w:val="003B771A"/>
    <w:rsid w:val="003B7871"/>
    <w:rsid w:val="003B789E"/>
    <w:rsid w:val="003B7ECA"/>
    <w:rsid w:val="003C0416"/>
    <w:rsid w:val="003C0431"/>
    <w:rsid w:val="003C0461"/>
    <w:rsid w:val="003C0780"/>
    <w:rsid w:val="003C0DBC"/>
    <w:rsid w:val="003C0F9B"/>
    <w:rsid w:val="003C106B"/>
    <w:rsid w:val="003C1548"/>
    <w:rsid w:val="003C15AE"/>
    <w:rsid w:val="003C16E7"/>
    <w:rsid w:val="003C1AE6"/>
    <w:rsid w:val="003C1BED"/>
    <w:rsid w:val="003C1E46"/>
    <w:rsid w:val="003C2000"/>
    <w:rsid w:val="003C20D1"/>
    <w:rsid w:val="003C27AA"/>
    <w:rsid w:val="003C32ED"/>
    <w:rsid w:val="003C407D"/>
    <w:rsid w:val="003C43A8"/>
    <w:rsid w:val="003C442A"/>
    <w:rsid w:val="003C447A"/>
    <w:rsid w:val="003C448B"/>
    <w:rsid w:val="003C5A66"/>
    <w:rsid w:val="003C5B86"/>
    <w:rsid w:val="003C5FC8"/>
    <w:rsid w:val="003C60E0"/>
    <w:rsid w:val="003C673B"/>
    <w:rsid w:val="003C697A"/>
    <w:rsid w:val="003C6A3E"/>
    <w:rsid w:val="003C6F05"/>
    <w:rsid w:val="003C7078"/>
    <w:rsid w:val="003C7093"/>
    <w:rsid w:val="003C7109"/>
    <w:rsid w:val="003C7379"/>
    <w:rsid w:val="003C76B3"/>
    <w:rsid w:val="003C76B7"/>
    <w:rsid w:val="003C7D8A"/>
    <w:rsid w:val="003C7EC3"/>
    <w:rsid w:val="003D0082"/>
    <w:rsid w:val="003D0241"/>
    <w:rsid w:val="003D050C"/>
    <w:rsid w:val="003D064E"/>
    <w:rsid w:val="003D08EB"/>
    <w:rsid w:val="003D0A51"/>
    <w:rsid w:val="003D0CE7"/>
    <w:rsid w:val="003D0E4B"/>
    <w:rsid w:val="003D130F"/>
    <w:rsid w:val="003D140A"/>
    <w:rsid w:val="003D14B0"/>
    <w:rsid w:val="003D15DE"/>
    <w:rsid w:val="003D1C68"/>
    <w:rsid w:val="003D1EF6"/>
    <w:rsid w:val="003D20EC"/>
    <w:rsid w:val="003D2935"/>
    <w:rsid w:val="003D2CFC"/>
    <w:rsid w:val="003D2EF0"/>
    <w:rsid w:val="003D2FA4"/>
    <w:rsid w:val="003D30C2"/>
    <w:rsid w:val="003D357B"/>
    <w:rsid w:val="003D38FE"/>
    <w:rsid w:val="003D3F1A"/>
    <w:rsid w:val="003D4517"/>
    <w:rsid w:val="003D48BB"/>
    <w:rsid w:val="003D48EC"/>
    <w:rsid w:val="003D4E39"/>
    <w:rsid w:val="003D4F70"/>
    <w:rsid w:val="003D533C"/>
    <w:rsid w:val="003D55F2"/>
    <w:rsid w:val="003D561D"/>
    <w:rsid w:val="003D57F0"/>
    <w:rsid w:val="003D5BF2"/>
    <w:rsid w:val="003D5F2F"/>
    <w:rsid w:val="003D62D7"/>
    <w:rsid w:val="003D6477"/>
    <w:rsid w:val="003D66B7"/>
    <w:rsid w:val="003D69BD"/>
    <w:rsid w:val="003D6B8A"/>
    <w:rsid w:val="003D6F72"/>
    <w:rsid w:val="003D7066"/>
    <w:rsid w:val="003D717A"/>
    <w:rsid w:val="003D7255"/>
    <w:rsid w:val="003D75CC"/>
    <w:rsid w:val="003D7864"/>
    <w:rsid w:val="003D7A28"/>
    <w:rsid w:val="003D7AE6"/>
    <w:rsid w:val="003D7E8A"/>
    <w:rsid w:val="003E02D6"/>
    <w:rsid w:val="003E0526"/>
    <w:rsid w:val="003E0835"/>
    <w:rsid w:val="003E08B3"/>
    <w:rsid w:val="003E0C2E"/>
    <w:rsid w:val="003E1303"/>
    <w:rsid w:val="003E15AB"/>
    <w:rsid w:val="003E1668"/>
    <w:rsid w:val="003E17BA"/>
    <w:rsid w:val="003E18F1"/>
    <w:rsid w:val="003E19A1"/>
    <w:rsid w:val="003E1B1F"/>
    <w:rsid w:val="003E1D79"/>
    <w:rsid w:val="003E2348"/>
    <w:rsid w:val="003E2833"/>
    <w:rsid w:val="003E2883"/>
    <w:rsid w:val="003E2B7B"/>
    <w:rsid w:val="003E2BEF"/>
    <w:rsid w:val="003E3267"/>
    <w:rsid w:val="003E332E"/>
    <w:rsid w:val="003E362A"/>
    <w:rsid w:val="003E3F12"/>
    <w:rsid w:val="003E3FC5"/>
    <w:rsid w:val="003E40A8"/>
    <w:rsid w:val="003E40D1"/>
    <w:rsid w:val="003E42AF"/>
    <w:rsid w:val="003E475D"/>
    <w:rsid w:val="003E4775"/>
    <w:rsid w:val="003E4998"/>
    <w:rsid w:val="003E4A0E"/>
    <w:rsid w:val="003E4B70"/>
    <w:rsid w:val="003E4BFE"/>
    <w:rsid w:val="003E4D55"/>
    <w:rsid w:val="003E4FB5"/>
    <w:rsid w:val="003E5540"/>
    <w:rsid w:val="003E5893"/>
    <w:rsid w:val="003E58F9"/>
    <w:rsid w:val="003E5C1E"/>
    <w:rsid w:val="003E5C4D"/>
    <w:rsid w:val="003E5D43"/>
    <w:rsid w:val="003E6240"/>
    <w:rsid w:val="003E6453"/>
    <w:rsid w:val="003E6941"/>
    <w:rsid w:val="003E6984"/>
    <w:rsid w:val="003E69A8"/>
    <w:rsid w:val="003E6CA0"/>
    <w:rsid w:val="003E6F5E"/>
    <w:rsid w:val="003E71D5"/>
    <w:rsid w:val="003E73E5"/>
    <w:rsid w:val="003E7521"/>
    <w:rsid w:val="003E77A0"/>
    <w:rsid w:val="003E79B8"/>
    <w:rsid w:val="003E7A82"/>
    <w:rsid w:val="003E7D66"/>
    <w:rsid w:val="003E7E01"/>
    <w:rsid w:val="003F0052"/>
    <w:rsid w:val="003F01EC"/>
    <w:rsid w:val="003F05B0"/>
    <w:rsid w:val="003F06C3"/>
    <w:rsid w:val="003F09F5"/>
    <w:rsid w:val="003F12AF"/>
    <w:rsid w:val="003F142F"/>
    <w:rsid w:val="003F1572"/>
    <w:rsid w:val="003F18E1"/>
    <w:rsid w:val="003F19F4"/>
    <w:rsid w:val="003F1A41"/>
    <w:rsid w:val="003F1B3B"/>
    <w:rsid w:val="003F1F57"/>
    <w:rsid w:val="003F2029"/>
    <w:rsid w:val="003F20A2"/>
    <w:rsid w:val="003F235A"/>
    <w:rsid w:val="003F2432"/>
    <w:rsid w:val="003F2C16"/>
    <w:rsid w:val="003F2CCF"/>
    <w:rsid w:val="003F2DC7"/>
    <w:rsid w:val="003F2DD6"/>
    <w:rsid w:val="003F2EEA"/>
    <w:rsid w:val="003F3052"/>
    <w:rsid w:val="003F30A9"/>
    <w:rsid w:val="003F3155"/>
    <w:rsid w:val="003F33BF"/>
    <w:rsid w:val="003F353D"/>
    <w:rsid w:val="003F36C6"/>
    <w:rsid w:val="003F3DAF"/>
    <w:rsid w:val="003F3FAA"/>
    <w:rsid w:val="003F41B1"/>
    <w:rsid w:val="003F441B"/>
    <w:rsid w:val="003F4523"/>
    <w:rsid w:val="003F470B"/>
    <w:rsid w:val="003F4842"/>
    <w:rsid w:val="003F4D2C"/>
    <w:rsid w:val="003F4DFA"/>
    <w:rsid w:val="003F4F31"/>
    <w:rsid w:val="003F55E9"/>
    <w:rsid w:val="003F5963"/>
    <w:rsid w:val="003F5A4C"/>
    <w:rsid w:val="003F5BB8"/>
    <w:rsid w:val="003F5E45"/>
    <w:rsid w:val="003F618D"/>
    <w:rsid w:val="003F67B4"/>
    <w:rsid w:val="003F6B5F"/>
    <w:rsid w:val="003F6E95"/>
    <w:rsid w:val="003F75BA"/>
    <w:rsid w:val="00400717"/>
    <w:rsid w:val="00400913"/>
    <w:rsid w:val="00400A0A"/>
    <w:rsid w:val="00400C3C"/>
    <w:rsid w:val="00400EB9"/>
    <w:rsid w:val="004010E0"/>
    <w:rsid w:val="004012A1"/>
    <w:rsid w:val="0040148F"/>
    <w:rsid w:val="00401845"/>
    <w:rsid w:val="00402311"/>
    <w:rsid w:val="004023DA"/>
    <w:rsid w:val="00402677"/>
    <w:rsid w:val="00402760"/>
    <w:rsid w:val="00402C75"/>
    <w:rsid w:val="00403050"/>
    <w:rsid w:val="00403745"/>
    <w:rsid w:val="0040376A"/>
    <w:rsid w:val="0040377D"/>
    <w:rsid w:val="00403C18"/>
    <w:rsid w:val="00403C25"/>
    <w:rsid w:val="00403FE4"/>
    <w:rsid w:val="004042F0"/>
    <w:rsid w:val="004042F3"/>
    <w:rsid w:val="004044AA"/>
    <w:rsid w:val="004044C4"/>
    <w:rsid w:val="00404643"/>
    <w:rsid w:val="00404683"/>
    <w:rsid w:val="00404747"/>
    <w:rsid w:val="00404B05"/>
    <w:rsid w:val="00404B63"/>
    <w:rsid w:val="00404D7C"/>
    <w:rsid w:val="00404E92"/>
    <w:rsid w:val="004053B9"/>
    <w:rsid w:val="00405731"/>
    <w:rsid w:val="00405805"/>
    <w:rsid w:val="00405AD6"/>
    <w:rsid w:val="00406317"/>
    <w:rsid w:val="00406431"/>
    <w:rsid w:val="00406524"/>
    <w:rsid w:val="0040752C"/>
    <w:rsid w:val="004075BE"/>
    <w:rsid w:val="00407842"/>
    <w:rsid w:val="00407B48"/>
    <w:rsid w:val="00407C35"/>
    <w:rsid w:val="00407C38"/>
    <w:rsid w:val="00407D59"/>
    <w:rsid w:val="00407E80"/>
    <w:rsid w:val="00407FE5"/>
    <w:rsid w:val="00410E08"/>
    <w:rsid w:val="0041137F"/>
    <w:rsid w:val="00411503"/>
    <w:rsid w:val="00411A45"/>
    <w:rsid w:val="00412662"/>
    <w:rsid w:val="004127E0"/>
    <w:rsid w:val="004127F8"/>
    <w:rsid w:val="00412F1F"/>
    <w:rsid w:val="0041345E"/>
    <w:rsid w:val="004136CF"/>
    <w:rsid w:val="00413982"/>
    <w:rsid w:val="00413A87"/>
    <w:rsid w:val="00413B8E"/>
    <w:rsid w:val="00413F1D"/>
    <w:rsid w:val="0041410C"/>
    <w:rsid w:val="00414261"/>
    <w:rsid w:val="00414A52"/>
    <w:rsid w:val="00415080"/>
    <w:rsid w:val="00415201"/>
    <w:rsid w:val="00415BAF"/>
    <w:rsid w:val="0041609B"/>
    <w:rsid w:val="004160BF"/>
    <w:rsid w:val="004166BE"/>
    <w:rsid w:val="004167BD"/>
    <w:rsid w:val="004176E3"/>
    <w:rsid w:val="004179D9"/>
    <w:rsid w:val="00417A8C"/>
    <w:rsid w:val="00420269"/>
    <w:rsid w:val="004206D9"/>
    <w:rsid w:val="004208D1"/>
    <w:rsid w:val="00420AF0"/>
    <w:rsid w:val="00420BE5"/>
    <w:rsid w:val="00420BE9"/>
    <w:rsid w:val="00420EC8"/>
    <w:rsid w:val="00420F9F"/>
    <w:rsid w:val="0042102F"/>
    <w:rsid w:val="0042109D"/>
    <w:rsid w:val="0042123A"/>
    <w:rsid w:val="00421391"/>
    <w:rsid w:val="0042157B"/>
    <w:rsid w:val="004219BC"/>
    <w:rsid w:val="00421B85"/>
    <w:rsid w:val="00421EBE"/>
    <w:rsid w:val="004222CD"/>
    <w:rsid w:val="00422569"/>
    <w:rsid w:val="0042286A"/>
    <w:rsid w:val="00422C69"/>
    <w:rsid w:val="0042307F"/>
    <w:rsid w:val="004230C5"/>
    <w:rsid w:val="004236A2"/>
    <w:rsid w:val="00423744"/>
    <w:rsid w:val="00423902"/>
    <w:rsid w:val="00423A29"/>
    <w:rsid w:val="00423D24"/>
    <w:rsid w:val="00423D3B"/>
    <w:rsid w:val="00424018"/>
    <w:rsid w:val="00424188"/>
    <w:rsid w:val="00424352"/>
    <w:rsid w:val="00424538"/>
    <w:rsid w:val="004245BE"/>
    <w:rsid w:val="00425DE0"/>
    <w:rsid w:val="00425FEA"/>
    <w:rsid w:val="00426281"/>
    <w:rsid w:val="004262F1"/>
    <w:rsid w:val="0042643F"/>
    <w:rsid w:val="00426818"/>
    <w:rsid w:val="00426BEE"/>
    <w:rsid w:val="00426C43"/>
    <w:rsid w:val="0042717F"/>
    <w:rsid w:val="0042734A"/>
    <w:rsid w:val="004273E8"/>
    <w:rsid w:val="00427596"/>
    <w:rsid w:val="004276C2"/>
    <w:rsid w:val="00427829"/>
    <w:rsid w:val="0042792D"/>
    <w:rsid w:val="004279AA"/>
    <w:rsid w:val="00427AED"/>
    <w:rsid w:val="00427BAF"/>
    <w:rsid w:val="00427C9F"/>
    <w:rsid w:val="0043027C"/>
    <w:rsid w:val="004309D0"/>
    <w:rsid w:val="00430A31"/>
    <w:rsid w:val="00430AE2"/>
    <w:rsid w:val="004317A7"/>
    <w:rsid w:val="004318E2"/>
    <w:rsid w:val="00431A20"/>
    <w:rsid w:val="00431C87"/>
    <w:rsid w:val="0043209F"/>
    <w:rsid w:val="00432278"/>
    <w:rsid w:val="004327E0"/>
    <w:rsid w:val="004330F6"/>
    <w:rsid w:val="00433309"/>
    <w:rsid w:val="004334D2"/>
    <w:rsid w:val="004336BA"/>
    <w:rsid w:val="004339F5"/>
    <w:rsid w:val="00433CC5"/>
    <w:rsid w:val="00433E50"/>
    <w:rsid w:val="00434355"/>
    <w:rsid w:val="00434447"/>
    <w:rsid w:val="0043449B"/>
    <w:rsid w:val="0043471D"/>
    <w:rsid w:val="004349E1"/>
    <w:rsid w:val="00434B2F"/>
    <w:rsid w:val="00434CF7"/>
    <w:rsid w:val="00434D18"/>
    <w:rsid w:val="00434D89"/>
    <w:rsid w:val="00434E08"/>
    <w:rsid w:val="00434FC7"/>
    <w:rsid w:val="004354ED"/>
    <w:rsid w:val="004357D6"/>
    <w:rsid w:val="00435915"/>
    <w:rsid w:val="00435998"/>
    <w:rsid w:val="00435AEE"/>
    <w:rsid w:val="00435F6E"/>
    <w:rsid w:val="004361A7"/>
    <w:rsid w:val="00436614"/>
    <w:rsid w:val="004368A6"/>
    <w:rsid w:val="00436B74"/>
    <w:rsid w:val="00436E5A"/>
    <w:rsid w:val="00436EB4"/>
    <w:rsid w:val="00437342"/>
    <w:rsid w:val="00437446"/>
    <w:rsid w:val="00437813"/>
    <w:rsid w:val="004400DB"/>
    <w:rsid w:val="00440139"/>
    <w:rsid w:val="00440336"/>
    <w:rsid w:val="0044040B"/>
    <w:rsid w:val="004407A5"/>
    <w:rsid w:val="00440CD7"/>
    <w:rsid w:val="004416ED"/>
    <w:rsid w:val="00441A74"/>
    <w:rsid w:val="00441FCA"/>
    <w:rsid w:val="0044211C"/>
    <w:rsid w:val="0044221A"/>
    <w:rsid w:val="0044276B"/>
    <w:rsid w:val="00442B6B"/>
    <w:rsid w:val="0044351B"/>
    <w:rsid w:val="00443616"/>
    <w:rsid w:val="004439D4"/>
    <w:rsid w:val="00443ACC"/>
    <w:rsid w:val="00443BAB"/>
    <w:rsid w:val="00443C2E"/>
    <w:rsid w:val="00443F54"/>
    <w:rsid w:val="00444757"/>
    <w:rsid w:val="00444873"/>
    <w:rsid w:val="00444B8D"/>
    <w:rsid w:val="00444C94"/>
    <w:rsid w:val="00444D7D"/>
    <w:rsid w:val="00444D9B"/>
    <w:rsid w:val="00444F33"/>
    <w:rsid w:val="0044505B"/>
    <w:rsid w:val="0044569B"/>
    <w:rsid w:val="0044575E"/>
    <w:rsid w:val="00445EA7"/>
    <w:rsid w:val="004460A0"/>
    <w:rsid w:val="00446282"/>
    <w:rsid w:val="004463AB"/>
    <w:rsid w:val="00446451"/>
    <w:rsid w:val="00446915"/>
    <w:rsid w:val="00446A25"/>
    <w:rsid w:val="00446BC7"/>
    <w:rsid w:val="0044749B"/>
    <w:rsid w:val="004474EA"/>
    <w:rsid w:val="0044772B"/>
    <w:rsid w:val="00450336"/>
    <w:rsid w:val="0045051C"/>
    <w:rsid w:val="0045082A"/>
    <w:rsid w:val="004509A3"/>
    <w:rsid w:val="00450A71"/>
    <w:rsid w:val="00450C06"/>
    <w:rsid w:val="00450CCC"/>
    <w:rsid w:val="00450CE1"/>
    <w:rsid w:val="0045123A"/>
    <w:rsid w:val="00451806"/>
    <w:rsid w:val="00451E2C"/>
    <w:rsid w:val="00451F87"/>
    <w:rsid w:val="00451FB2"/>
    <w:rsid w:val="00452268"/>
    <w:rsid w:val="0045261B"/>
    <w:rsid w:val="004527C2"/>
    <w:rsid w:val="00452D93"/>
    <w:rsid w:val="00452F97"/>
    <w:rsid w:val="004532AB"/>
    <w:rsid w:val="00453421"/>
    <w:rsid w:val="0045350B"/>
    <w:rsid w:val="0045385A"/>
    <w:rsid w:val="00453A52"/>
    <w:rsid w:val="00454052"/>
    <w:rsid w:val="00454BAA"/>
    <w:rsid w:val="004551B3"/>
    <w:rsid w:val="0045569A"/>
    <w:rsid w:val="004557D3"/>
    <w:rsid w:val="00455DB7"/>
    <w:rsid w:val="0045682D"/>
    <w:rsid w:val="00456C9A"/>
    <w:rsid w:val="00456D85"/>
    <w:rsid w:val="00456E54"/>
    <w:rsid w:val="00456F20"/>
    <w:rsid w:val="0045701F"/>
    <w:rsid w:val="0045753D"/>
    <w:rsid w:val="0045759F"/>
    <w:rsid w:val="0045770C"/>
    <w:rsid w:val="004577C1"/>
    <w:rsid w:val="004577D4"/>
    <w:rsid w:val="00457CBE"/>
    <w:rsid w:val="00457D91"/>
    <w:rsid w:val="0046006C"/>
    <w:rsid w:val="004605EA"/>
    <w:rsid w:val="00460987"/>
    <w:rsid w:val="00461282"/>
    <w:rsid w:val="004618C6"/>
    <w:rsid w:val="004619EB"/>
    <w:rsid w:val="00461A95"/>
    <w:rsid w:val="00461C34"/>
    <w:rsid w:val="00461C4A"/>
    <w:rsid w:val="00461E5F"/>
    <w:rsid w:val="00462130"/>
    <w:rsid w:val="0046262C"/>
    <w:rsid w:val="0046270E"/>
    <w:rsid w:val="00462F75"/>
    <w:rsid w:val="0046362A"/>
    <w:rsid w:val="0046373E"/>
    <w:rsid w:val="00464288"/>
    <w:rsid w:val="004644C6"/>
    <w:rsid w:val="00464F74"/>
    <w:rsid w:val="00465184"/>
    <w:rsid w:val="00465639"/>
    <w:rsid w:val="00465B60"/>
    <w:rsid w:val="00465D1D"/>
    <w:rsid w:val="00465D72"/>
    <w:rsid w:val="00465F02"/>
    <w:rsid w:val="00466373"/>
    <w:rsid w:val="0046641F"/>
    <w:rsid w:val="0046664D"/>
    <w:rsid w:val="004668C9"/>
    <w:rsid w:val="00466A1A"/>
    <w:rsid w:val="00466FB5"/>
    <w:rsid w:val="00467233"/>
    <w:rsid w:val="00467253"/>
    <w:rsid w:val="0046766A"/>
    <w:rsid w:val="00467891"/>
    <w:rsid w:val="00467C5C"/>
    <w:rsid w:val="004702F1"/>
    <w:rsid w:val="0047057D"/>
    <w:rsid w:val="0047086A"/>
    <w:rsid w:val="00470B72"/>
    <w:rsid w:val="00470C58"/>
    <w:rsid w:val="00471318"/>
    <w:rsid w:val="00471323"/>
    <w:rsid w:val="0047148B"/>
    <w:rsid w:val="004715B3"/>
    <w:rsid w:val="00471CC2"/>
    <w:rsid w:val="00471D07"/>
    <w:rsid w:val="0047201F"/>
    <w:rsid w:val="00472187"/>
    <w:rsid w:val="00472A99"/>
    <w:rsid w:val="00472D07"/>
    <w:rsid w:val="00472FEC"/>
    <w:rsid w:val="00473087"/>
    <w:rsid w:val="00473098"/>
    <w:rsid w:val="00473AD5"/>
    <w:rsid w:val="004740BC"/>
    <w:rsid w:val="00475365"/>
    <w:rsid w:val="004755F7"/>
    <w:rsid w:val="00475721"/>
    <w:rsid w:val="00475CE6"/>
    <w:rsid w:val="00475D4B"/>
    <w:rsid w:val="004760C9"/>
    <w:rsid w:val="0047636F"/>
    <w:rsid w:val="004765E2"/>
    <w:rsid w:val="0047689C"/>
    <w:rsid w:val="004769CF"/>
    <w:rsid w:val="00476C3C"/>
    <w:rsid w:val="00476EA4"/>
    <w:rsid w:val="004771DB"/>
    <w:rsid w:val="00477416"/>
    <w:rsid w:val="004774CE"/>
    <w:rsid w:val="0047786F"/>
    <w:rsid w:val="00477AD0"/>
    <w:rsid w:val="0048002E"/>
    <w:rsid w:val="0048026D"/>
    <w:rsid w:val="00480423"/>
    <w:rsid w:val="00480441"/>
    <w:rsid w:val="0048063A"/>
    <w:rsid w:val="00480BB5"/>
    <w:rsid w:val="00481085"/>
    <w:rsid w:val="0048162B"/>
    <w:rsid w:val="004818A9"/>
    <w:rsid w:val="00481B36"/>
    <w:rsid w:val="00481BE2"/>
    <w:rsid w:val="00481EBE"/>
    <w:rsid w:val="00481F6B"/>
    <w:rsid w:val="00481FFE"/>
    <w:rsid w:val="0048238D"/>
    <w:rsid w:val="004824BF"/>
    <w:rsid w:val="00482DC2"/>
    <w:rsid w:val="00482F55"/>
    <w:rsid w:val="00483239"/>
    <w:rsid w:val="0048370D"/>
    <w:rsid w:val="004838E3"/>
    <w:rsid w:val="00483DEB"/>
    <w:rsid w:val="00483F4C"/>
    <w:rsid w:val="004840BD"/>
    <w:rsid w:val="00484281"/>
    <w:rsid w:val="004846FB"/>
    <w:rsid w:val="00485294"/>
    <w:rsid w:val="0048577D"/>
    <w:rsid w:val="0048588B"/>
    <w:rsid w:val="00485983"/>
    <w:rsid w:val="00485ED0"/>
    <w:rsid w:val="00486083"/>
    <w:rsid w:val="004864E8"/>
    <w:rsid w:val="00486A7A"/>
    <w:rsid w:val="00486B18"/>
    <w:rsid w:val="00486C11"/>
    <w:rsid w:val="00486C1B"/>
    <w:rsid w:val="00486FFD"/>
    <w:rsid w:val="004877E8"/>
    <w:rsid w:val="0048797A"/>
    <w:rsid w:val="00487980"/>
    <w:rsid w:val="004906A3"/>
    <w:rsid w:val="00490817"/>
    <w:rsid w:val="0049127B"/>
    <w:rsid w:val="004912D7"/>
    <w:rsid w:val="0049138F"/>
    <w:rsid w:val="00491570"/>
    <w:rsid w:val="00491593"/>
    <w:rsid w:val="00491603"/>
    <w:rsid w:val="004916FF"/>
    <w:rsid w:val="00491B53"/>
    <w:rsid w:val="00491BD7"/>
    <w:rsid w:val="00491E34"/>
    <w:rsid w:val="00491FBD"/>
    <w:rsid w:val="004925E6"/>
    <w:rsid w:val="00492819"/>
    <w:rsid w:val="00492C76"/>
    <w:rsid w:val="00492CE0"/>
    <w:rsid w:val="00492FC8"/>
    <w:rsid w:val="0049314B"/>
    <w:rsid w:val="004931C2"/>
    <w:rsid w:val="004939CB"/>
    <w:rsid w:val="00493B53"/>
    <w:rsid w:val="00493E53"/>
    <w:rsid w:val="004943C9"/>
    <w:rsid w:val="00494B64"/>
    <w:rsid w:val="004951CC"/>
    <w:rsid w:val="004952FD"/>
    <w:rsid w:val="004953FB"/>
    <w:rsid w:val="004957E9"/>
    <w:rsid w:val="00495C5C"/>
    <w:rsid w:val="00495E48"/>
    <w:rsid w:val="00495EBD"/>
    <w:rsid w:val="00495FA3"/>
    <w:rsid w:val="00496290"/>
    <w:rsid w:val="0049677F"/>
    <w:rsid w:val="00496B8A"/>
    <w:rsid w:val="00496CB2"/>
    <w:rsid w:val="00496CE1"/>
    <w:rsid w:val="00496D36"/>
    <w:rsid w:val="004970E9"/>
    <w:rsid w:val="0049716E"/>
    <w:rsid w:val="004972EB"/>
    <w:rsid w:val="0049758A"/>
    <w:rsid w:val="0049788E"/>
    <w:rsid w:val="00497C52"/>
    <w:rsid w:val="00497E9B"/>
    <w:rsid w:val="004A0168"/>
    <w:rsid w:val="004A02B5"/>
    <w:rsid w:val="004A0871"/>
    <w:rsid w:val="004A0E95"/>
    <w:rsid w:val="004A1228"/>
    <w:rsid w:val="004A1C28"/>
    <w:rsid w:val="004A1CA1"/>
    <w:rsid w:val="004A266A"/>
    <w:rsid w:val="004A2AC5"/>
    <w:rsid w:val="004A301F"/>
    <w:rsid w:val="004A318E"/>
    <w:rsid w:val="004A3284"/>
    <w:rsid w:val="004A33CC"/>
    <w:rsid w:val="004A367F"/>
    <w:rsid w:val="004A380C"/>
    <w:rsid w:val="004A3E3F"/>
    <w:rsid w:val="004A4455"/>
    <w:rsid w:val="004A48A0"/>
    <w:rsid w:val="004A4931"/>
    <w:rsid w:val="004A4D14"/>
    <w:rsid w:val="004A504A"/>
    <w:rsid w:val="004A58DD"/>
    <w:rsid w:val="004A5AD5"/>
    <w:rsid w:val="004A5ED1"/>
    <w:rsid w:val="004A60D4"/>
    <w:rsid w:val="004A61D0"/>
    <w:rsid w:val="004A6BFD"/>
    <w:rsid w:val="004A6C1A"/>
    <w:rsid w:val="004A719B"/>
    <w:rsid w:val="004A7564"/>
    <w:rsid w:val="004A7FA3"/>
    <w:rsid w:val="004B0313"/>
    <w:rsid w:val="004B079E"/>
    <w:rsid w:val="004B07CC"/>
    <w:rsid w:val="004B0C99"/>
    <w:rsid w:val="004B0D2D"/>
    <w:rsid w:val="004B177F"/>
    <w:rsid w:val="004B2235"/>
    <w:rsid w:val="004B26CA"/>
    <w:rsid w:val="004B3335"/>
    <w:rsid w:val="004B3645"/>
    <w:rsid w:val="004B40B6"/>
    <w:rsid w:val="004B4193"/>
    <w:rsid w:val="004B41F5"/>
    <w:rsid w:val="004B46E9"/>
    <w:rsid w:val="004B4BF4"/>
    <w:rsid w:val="004B4CF4"/>
    <w:rsid w:val="004B4D60"/>
    <w:rsid w:val="004B4F02"/>
    <w:rsid w:val="004B50D5"/>
    <w:rsid w:val="004B50F3"/>
    <w:rsid w:val="004B51F6"/>
    <w:rsid w:val="004B5A01"/>
    <w:rsid w:val="004B5A4B"/>
    <w:rsid w:val="004B5FE8"/>
    <w:rsid w:val="004B625F"/>
    <w:rsid w:val="004B6659"/>
    <w:rsid w:val="004B6735"/>
    <w:rsid w:val="004B6805"/>
    <w:rsid w:val="004B6989"/>
    <w:rsid w:val="004B6D68"/>
    <w:rsid w:val="004B721B"/>
    <w:rsid w:val="004B721C"/>
    <w:rsid w:val="004B77F2"/>
    <w:rsid w:val="004B7B9D"/>
    <w:rsid w:val="004B7D19"/>
    <w:rsid w:val="004B7E75"/>
    <w:rsid w:val="004C014F"/>
    <w:rsid w:val="004C0154"/>
    <w:rsid w:val="004C03FA"/>
    <w:rsid w:val="004C041B"/>
    <w:rsid w:val="004C05A5"/>
    <w:rsid w:val="004C0779"/>
    <w:rsid w:val="004C083B"/>
    <w:rsid w:val="004C084F"/>
    <w:rsid w:val="004C0BB7"/>
    <w:rsid w:val="004C0C7E"/>
    <w:rsid w:val="004C1133"/>
    <w:rsid w:val="004C1189"/>
    <w:rsid w:val="004C1300"/>
    <w:rsid w:val="004C1670"/>
    <w:rsid w:val="004C16EC"/>
    <w:rsid w:val="004C1745"/>
    <w:rsid w:val="004C1DDD"/>
    <w:rsid w:val="004C2555"/>
    <w:rsid w:val="004C2796"/>
    <w:rsid w:val="004C28DF"/>
    <w:rsid w:val="004C2E5D"/>
    <w:rsid w:val="004C3093"/>
    <w:rsid w:val="004C31CA"/>
    <w:rsid w:val="004C3228"/>
    <w:rsid w:val="004C3410"/>
    <w:rsid w:val="004C3559"/>
    <w:rsid w:val="004C444D"/>
    <w:rsid w:val="004C461A"/>
    <w:rsid w:val="004C46B1"/>
    <w:rsid w:val="004C47B7"/>
    <w:rsid w:val="004C485D"/>
    <w:rsid w:val="004C4DAF"/>
    <w:rsid w:val="004C4F6C"/>
    <w:rsid w:val="004C5201"/>
    <w:rsid w:val="004C5292"/>
    <w:rsid w:val="004C58B3"/>
    <w:rsid w:val="004C58C7"/>
    <w:rsid w:val="004C5D86"/>
    <w:rsid w:val="004C5F04"/>
    <w:rsid w:val="004C5F76"/>
    <w:rsid w:val="004C6431"/>
    <w:rsid w:val="004C68D1"/>
    <w:rsid w:val="004C6A86"/>
    <w:rsid w:val="004C6C4F"/>
    <w:rsid w:val="004C6CE9"/>
    <w:rsid w:val="004C6CF7"/>
    <w:rsid w:val="004C78E5"/>
    <w:rsid w:val="004D000E"/>
    <w:rsid w:val="004D0434"/>
    <w:rsid w:val="004D04A3"/>
    <w:rsid w:val="004D148C"/>
    <w:rsid w:val="004D1670"/>
    <w:rsid w:val="004D1BD9"/>
    <w:rsid w:val="004D1C99"/>
    <w:rsid w:val="004D2469"/>
    <w:rsid w:val="004D29C4"/>
    <w:rsid w:val="004D2C4F"/>
    <w:rsid w:val="004D2FD9"/>
    <w:rsid w:val="004D33B1"/>
    <w:rsid w:val="004D3652"/>
    <w:rsid w:val="004D38B2"/>
    <w:rsid w:val="004D3B3C"/>
    <w:rsid w:val="004D3C4F"/>
    <w:rsid w:val="004D3C5E"/>
    <w:rsid w:val="004D3F66"/>
    <w:rsid w:val="004D4116"/>
    <w:rsid w:val="004D42F1"/>
    <w:rsid w:val="004D440F"/>
    <w:rsid w:val="004D46D1"/>
    <w:rsid w:val="004D4920"/>
    <w:rsid w:val="004D4C90"/>
    <w:rsid w:val="004D4F6A"/>
    <w:rsid w:val="004D5447"/>
    <w:rsid w:val="004D5496"/>
    <w:rsid w:val="004D550C"/>
    <w:rsid w:val="004D56AC"/>
    <w:rsid w:val="004D5D65"/>
    <w:rsid w:val="004D5D84"/>
    <w:rsid w:val="004D6055"/>
    <w:rsid w:val="004D6478"/>
    <w:rsid w:val="004D657F"/>
    <w:rsid w:val="004D6BD2"/>
    <w:rsid w:val="004D6FAB"/>
    <w:rsid w:val="004D7186"/>
    <w:rsid w:val="004D76BF"/>
    <w:rsid w:val="004D7806"/>
    <w:rsid w:val="004D7D48"/>
    <w:rsid w:val="004D7E53"/>
    <w:rsid w:val="004E05D9"/>
    <w:rsid w:val="004E084C"/>
    <w:rsid w:val="004E08AD"/>
    <w:rsid w:val="004E0A7C"/>
    <w:rsid w:val="004E0CD4"/>
    <w:rsid w:val="004E0E48"/>
    <w:rsid w:val="004E0FA1"/>
    <w:rsid w:val="004E0FF6"/>
    <w:rsid w:val="004E1AA4"/>
    <w:rsid w:val="004E1E5B"/>
    <w:rsid w:val="004E210E"/>
    <w:rsid w:val="004E2151"/>
    <w:rsid w:val="004E2193"/>
    <w:rsid w:val="004E22C0"/>
    <w:rsid w:val="004E234C"/>
    <w:rsid w:val="004E2CDB"/>
    <w:rsid w:val="004E31D8"/>
    <w:rsid w:val="004E3986"/>
    <w:rsid w:val="004E3B26"/>
    <w:rsid w:val="004E3D10"/>
    <w:rsid w:val="004E3D7E"/>
    <w:rsid w:val="004E40BD"/>
    <w:rsid w:val="004E41EB"/>
    <w:rsid w:val="004E4D62"/>
    <w:rsid w:val="004E4EC0"/>
    <w:rsid w:val="004E5334"/>
    <w:rsid w:val="004E552E"/>
    <w:rsid w:val="004E5594"/>
    <w:rsid w:val="004E57A5"/>
    <w:rsid w:val="004E5E1E"/>
    <w:rsid w:val="004E5F2C"/>
    <w:rsid w:val="004E607C"/>
    <w:rsid w:val="004E618A"/>
    <w:rsid w:val="004E62E7"/>
    <w:rsid w:val="004E63F1"/>
    <w:rsid w:val="004E6D7F"/>
    <w:rsid w:val="004E70A0"/>
    <w:rsid w:val="004E71E5"/>
    <w:rsid w:val="004E72EA"/>
    <w:rsid w:val="004E7564"/>
    <w:rsid w:val="004E7962"/>
    <w:rsid w:val="004E7C55"/>
    <w:rsid w:val="004E7F33"/>
    <w:rsid w:val="004F051F"/>
    <w:rsid w:val="004F09D8"/>
    <w:rsid w:val="004F0A76"/>
    <w:rsid w:val="004F0F9D"/>
    <w:rsid w:val="004F1090"/>
    <w:rsid w:val="004F111B"/>
    <w:rsid w:val="004F139A"/>
    <w:rsid w:val="004F15CB"/>
    <w:rsid w:val="004F16F4"/>
    <w:rsid w:val="004F18B9"/>
    <w:rsid w:val="004F1A91"/>
    <w:rsid w:val="004F1BCB"/>
    <w:rsid w:val="004F1C35"/>
    <w:rsid w:val="004F1C51"/>
    <w:rsid w:val="004F21DC"/>
    <w:rsid w:val="004F23D5"/>
    <w:rsid w:val="004F2563"/>
    <w:rsid w:val="004F2AB8"/>
    <w:rsid w:val="004F2CCF"/>
    <w:rsid w:val="004F2D8F"/>
    <w:rsid w:val="004F305B"/>
    <w:rsid w:val="004F39C0"/>
    <w:rsid w:val="004F4230"/>
    <w:rsid w:val="004F449B"/>
    <w:rsid w:val="004F45D2"/>
    <w:rsid w:val="004F469D"/>
    <w:rsid w:val="004F49A6"/>
    <w:rsid w:val="004F4A87"/>
    <w:rsid w:val="004F4F05"/>
    <w:rsid w:val="004F502F"/>
    <w:rsid w:val="004F50FC"/>
    <w:rsid w:val="004F5661"/>
    <w:rsid w:val="004F58FE"/>
    <w:rsid w:val="004F5F01"/>
    <w:rsid w:val="004F658B"/>
    <w:rsid w:val="004F674F"/>
    <w:rsid w:val="004F67DA"/>
    <w:rsid w:val="004F68CD"/>
    <w:rsid w:val="004F698E"/>
    <w:rsid w:val="004F69C1"/>
    <w:rsid w:val="004F6C83"/>
    <w:rsid w:val="004F6CB5"/>
    <w:rsid w:val="004F6CF9"/>
    <w:rsid w:val="004F73F0"/>
    <w:rsid w:val="004F76E2"/>
    <w:rsid w:val="004F7825"/>
    <w:rsid w:val="004F7881"/>
    <w:rsid w:val="004F79EB"/>
    <w:rsid w:val="004F7F45"/>
    <w:rsid w:val="004F7F8A"/>
    <w:rsid w:val="00500286"/>
    <w:rsid w:val="00500292"/>
    <w:rsid w:val="00500515"/>
    <w:rsid w:val="005005CF"/>
    <w:rsid w:val="00500717"/>
    <w:rsid w:val="00501019"/>
    <w:rsid w:val="005010C3"/>
    <w:rsid w:val="005010E4"/>
    <w:rsid w:val="0050118A"/>
    <w:rsid w:val="005011A7"/>
    <w:rsid w:val="005011D1"/>
    <w:rsid w:val="00501343"/>
    <w:rsid w:val="0050150C"/>
    <w:rsid w:val="0050155A"/>
    <w:rsid w:val="0050158B"/>
    <w:rsid w:val="00501737"/>
    <w:rsid w:val="0050190D"/>
    <w:rsid w:val="00501A1E"/>
    <w:rsid w:val="00501ABD"/>
    <w:rsid w:val="00501EAE"/>
    <w:rsid w:val="00501FBC"/>
    <w:rsid w:val="005027B3"/>
    <w:rsid w:val="005036DE"/>
    <w:rsid w:val="0050396E"/>
    <w:rsid w:val="00503C8E"/>
    <w:rsid w:val="005045B0"/>
    <w:rsid w:val="00504774"/>
    <w:rsid w:val="00504B91"/>
    <w:rsid w:val="00505159"/>
    <w:rsid w:val="0050527E"/>
    <w:rsid w:val="005052FB"/>
    <w:rsid w:val="0050542A"/>
    <w:rsid w:val="00505941"/>
    <w:rsid w:val="00505BB4"/>
    <w:rsid w:val="00505DBD"/>
    <w:rsid w:val="005061E5"/>
    <w:rsid w:val="005066E0"/>
    <w:rsid w:val="00506861"/>
    <w:rsid w:val="00506EB8"/>
    <w:rsid w:val="00506EFD"/>
    <w:rsid w:val="0050710C"/>
    <w:rsid w:val="00507193"/>
    <w:rsid w:val="0050743D"/>
    <w:rsid w:val="005074DB"/>
    <w:rsid w:val="00507A30"/>
    <w:rsid w:val="00507FD7"/>
    <w:rsid w:val="005100A4"/>
    <w:rsid w:val="00510257"/>
    <w:rsid w:val="00510A5C"/>
    <w:rsid w:val="00510D3D"/>
    <w:rsid w:val="005110B2"/>
    <w:rsid w:val="00511109"/>
    <w:rsid w:val="00511F8F"/>
    <w:rsid w:val="00512162"/>
    <w:rsid w:val="00512266"/>
    <w:rsid w:val="005122B4"/>
    <w:rsid w:val="005125E8"/>
    <w:rsid w:val="00512723"/>
    <w:rsid w:val="005128AA"/>
    <w:rsid w:val="00512926"/>
    <w:rsid w:val="0051292C"/>
    <w:rsid w:val="00512A24"/>
    <w:rsid w:val="00512B24"/>
    <w:rsid w:val="00512DB6"/>
    <w:rsid w:val="00513049"/>
    <w:rsid w:val="005131CF"/>
    <w:rsid w:val="00513947"/>
    <w:rsid w:val="00513AA4"/>
    <w:rsid w:val="00513D4C"/>
    <w:rsid w:val="00513D7B"/>
    <w:rsid w:val="00514212"/>
    <w:rsid w:val="005143FC"/>
    <w:rsid w:val="00514745"/>
    <w:rsid w:val="0051474E"/>
    <w:rsid w:val="0051493C"/>
    <w:rsid w:val="00514A9A"/>
    <w:rsid w:val="00514D60"/>
    <w:rsid w:val="005151F8"/>
    <w:rsid w:val="005153D3"/>
    <w:rsid w:val="00515463"/>
    <w:rsid w:val="005157DD"/>
    <w:rsid w:val="00515DA3"/>
    <w:rsid w:val="0051602E"/>
    <w:rsid w:val="005162F8"/>
    <w:rsid w:val="00516302"/>
    <w:rsid w:val="00516367"/>
    <w:rsid w:val="00516437"/>
    <w:rsid w:val="00516578"/>
    <w:rsid w:val="005166B8"/>
    <w:rsid w:val="0051697B"/>
    <w:rsid w:val="005178E8"/>
    <w:rsid w:val="00517AE1"/>
    <w:rsid w:val="00517BC0"/>
    <w:rsid w:val="00517FFB"/>
    <w:rsid w:val="005205C2"/>
    <w:rsid w:val="005208E1"/>
    <w:rsid w:val="00520A58"/>
    <w:rsid w:val="00521797"/>
    <w:rsid w:val="00521C18"/>
    <w:rsid w:val="0052234B"/>
    <w:rsid w:val="00522BDE"/>
    <w:rsid w:val="00522C3F"/>
    <w:rsid w:val="00523108"/>
    <w:rsid w:val="005231B2"/>
    <w:rsid w:val="00523470"/>
    <w:rsid w:val="00523F3B"/>
    <w:rsid w:val="00523F4B"/>
    <w:rsid w:val="0052448E"/>
    <w:rsid w:val="00524878"/>
    <w:rsid w:val="00524AA9"/>
    <w:rsid w:val="00524EA6"/>
    <w:rsid w:val="005251C6"/>
    <w:rsid w:val="00525204"/>
    <w:rsid w:val="00525422"/>
    <w:rsid w:val="00525563"/>
    <w:rsid w:val="00525582"/>
    <w:rsid w:val="00525B45"/>
    <w:rsid w:val="00525C76"/>
    <w:rsid w:val="00525D49"/>
    <w:rsid w:val="00526207"/>
    <w:rsid w:val="0052637E"/>
    <w:rsid w:val="00526791"/>
    <w:rsid w:val="00526A6B"/>
    <w:rsid w:val="00526C96"/>
    <w:rsid w:val="00526DB0"/>
    <w:rsid w:val="00527913"/>
    <w:rsid w:val="0053053F"/>
    <w:rsid w:val="00530671"/>
    <w:rsid w:val="005306AA"/>
    <w:rsid w:val="00530763"/>
    <w:rsid w:val="00530CEF"/>
    <w:rsid w:val="0053128E"/>
    <w:rsid w:val="005319AC"/>
    <w:rsid w:val="00531C10"/>
    <w:rsid w:val="00531C27"/>
    <w:rsid w:val="00531D8C"/>
    <w:rsid w:val="00532054"/>
    <w:rsid w:val="00532120"/>
    <w:rsid w:val="00532196"/>
    <w:rsid w:val="00532525"/>
    <w:rsid w:val="005325F9"/>
    <w:rsid w:val="00532F02"/>
    <w:rsid w:val="00533380"/>
    <w:rsid w:val="00533493"/>
    <w:rsid w:val="00533730"/>
    <w:rsid w:val="00533CF9"/>
    <w:rsid w:val="00533D09"/>
    <w:rsid w:val="00533DAD"/>
    <w:rsid w:val="00534295"/>
    <w:rsid w:val="005342D5"/>
    <w:rsid w:val="00534426"/>
    <w:rsid w:val="005348F6"/>
    <w:rsid w:val="005350A7"/>
    <w:rsid w:val="005352CD"/>
    <w:rsid w:val="0053576E"/>
    <w:rsid w:val="00535A10"/>
    <w:rsid w:val="00535A8F"/>
    <w:rsid w:val="00535C8A"/>
    <w:rsid w:val="00536058"/>
    <w:rsid w:val="005360CA"/>
    <w:rsid w:val="005365EA"/>
    <w:rsid w:val="005366CA"/>
    <w:rsid w:val="005367CC"/>
    <w:rsid w:val="0053690D"/>
    <w:rsid w:val="00536CA6"/>
    <w:rsid w:val="005370D4"/>
    <w:rsid w:val="005372F3"/>
    <w:rsid w:val="00537537"/>
    <w:rsid w:val="00537599"/>
    <w:rsid w:val="00537AE1"/>
    <w:rsid w:val="00537BF8"/>
    <w:rsid w:val="00537D80"/>
    <w:rsid w:val="00537FD6"/>
    <w:rsid w:val="00540097"/>
    <w:rsid w:val="0054009E"/>
    <w:rsid w:val="005401AD"/>
    <w:rsid w:val="00540473"/>
    <w:rsid w:val="00540747"/>
    <w:rsid w:val="005407F1"/>
    <w:rsid w:val="00540C66"/>
    <w:rsid w:val="00540E0A"/>
    <w:rsid w:val="0054142C"/>
    <w:rsid w:val="005415EE"/>
    <w:rsid w:val="005417E6"/>
    <w:rsid w:val="00541961"/>
    <w:rsid w:val="00541A92"/>
    <w:rsid w:val="00541F63"/>
    <w:rsid w:val="00542092"/>
    <w:rsid w:val="005426EE"/>
    <w:rsid w:val="00542BD0"/>
    <w:rsid w:val="00543152"/>
    <w:rsid w:val="0054317B"/>
    <w:rsid w:val="005434EA"/>
    <w:rsid w:val="00543763"/>
    <w:rsid w:val="00543800"/>
    <w:rsid w:val="00543AB9"/>
    <w:rsid w:val="00543AC8"/>
    <w:rsid w:val="00543BAF"/>
    <w:rsid w:val="00543DC9"/>
    <w:rsid w:val="00543E8F"/>
    <w:rsid w:val="005447C7"/>
    <w:rsid w:val="005448A4"/>
    <w:rsid w:val="0054491F"/>
    <w:rsid w:val="00544953"/>
    <w:rsid w:val="0054504A"/>
    <w:rsid w:val="00545479"/>
    <w:rsid w:val="005455E5"/>
    <w:rsid w:val="00545FA3"/>
    <w:rsid w:val="005462EE"/>
    <w:rsid w:val="00546331"/>
    <w:rsid w:val="005463F7"/>
    <w:rsid w:val="0054650D"/>
    <w:rsid w:val="0054671A"/>
    <w:rsid w:val="00546883"/>
    <w:rsid w:val="00546F58"/>
    <w:rsid w:val="00547AC0"/>
    <w:rsid w:val="00547D53"/>
    <w:rsid w:val="00547E41"/>
    <w:rsid w:val="00547E47"/>
    <w:rsid w:val="00550390"/>
    <w:rsid w:val="00550413"/>
    <w:rsid w:val="00550565"/>
    <w:rsid w:val="00550575"/>
    <w:rsid w:val="005505CB"/>
    <w:rsid w:val="00550802"/>
    <w:rsid w:val="00550D04"/>
    <w:rsid w:val="00550FCE"/>
    <w:rsid w:val="0055149C"/>
    <w:rsid w:val="005514FE"/>
    <w:rsid w:val="005515C7"/>
    <w:rsid w:val="00551849"/>
    <w:rsid w:val="00551A87"/>
    <w:rsid w:val="005520C3"/>
    <w:rsid w:val="00552715"/>
    <w:rsid w:val="005529F2"/>
    <w:rsid w:val="00552A16"/>
    <w:rsid w:val="00552BB5"/>
    <w:rsid w:val="00552C12"/>
    <w:rsid w:val="00552D8A"/>
    <w:rsid w:val="00552D99"/>
    <w:rsid w:val="00552E6F"/>
    <w:rsid w:val="00553176"/>
    <w:rsid w:val="00553195"/>
    <w:rsid w:val="005531A4"/>
    <w:rsid w:val="00553414"/>
    <w:rsid w:val="00553541"/>
    <w:rsid w:val="00553627"/>
    <w:rsid w:val="00553634"/>
    <w:rsid w:val="00553746"/>
    <w:rsid w:val="00553752"/>
    <w:rsid w:val="0055492C"/>
    <w:rsid w:val="00554F43"/>
    <w:rsid w:val="00555212"/>
    <w:rsid w:val="00555356"/>
    <w:rsid w:val="005559FF"/>
    <w:rsid w:val="00555B9E"/>
    <w:rsid w:val="00556021"/>
    <w:rsid w:val="00556554"/>
    <w:rsid w:val="005569FF"/>
    <w:rsid w:val="00556A2B"/>
    <w:rsid w:val="00556BAB"/>
    <w:rsid w:val="00556CBB"/>
    <w:rsid w:val="0055790B"/>
    <w:rsid w:val="00557D08"/>
    <w:rsid w:val="00557D0A"/>
    <w:rsid w:val="00557FFB"/>
    <w:rsid w:val="00560C4F"/>
    <w:rsid w:val="00560CD0"/>
    <w:rsid w:val="005610E8"/>
    <w:rsid w:val="00561849"/>
    <w:rsid w:val="00561E1B"/>
    <w:rsid w:val="00561F59"/>
    <w:rsid w:val="00562092"/>
    <w:rsid w:val="00562589"/>
    <w:rsid w:val="0056259D"/>
    <w:rsid w:val="005625F4"/>
    <w:rsid w:val="00562732"/>
    <w:rsid w:val="00562B9C"/>
    <w:rsid w:val="0056329A"/>
    <w:rsid w:val="005633CB"/>
    <w:rsid w:val="00563487"/>
    <w:rsid w:val="0056386A"/>
    <w:rsid w:val="005639DE"/>
    <w:rsid w:val="005640F4"/>
    <w:rsid w:val="00564415"/>
    <w:rsid w:val="0056493B"/>
    <w:rsid w:val="00564947"/>
    <w:rsid w:val="00564D46"/>
    <w:rsid w:val="00564DB0"/>
    <w:rsid w:val="00564DB7"/>
    <w:rsid w:val="00565466"/>
    <w:rsid w:val="00565A73"/>
    <w:rsid w:val="00565AF9"/>
    <w:rsid w:val="005660DC"/>
    <w:rsid w:val="0056681C"/>
    <w:rsid w:val="00566BBB"/>
    <w:rsid w:val="00566CC4"/>
    <w:rsid w:val="00566E6C"/>
    <w:rsid w:val="00567536"/>
    <w:rsid w:val="0056787A"/>
    <w:rsid w:val="00567BEE"/>
    <w:rsid w:val="00570276"/>
    <w:rsid w:val="00570390"/>
    <w:rsid w:val="005704DA"/>
    <w:rsid w:val="00570524"/>
    <w:rsid w:val="00570720"/>
    <w:rsid w:val="0057094C"/>
    <w:rsid w:val="00570C2A"/>
    <w:rsid w:val="005713A6"/>
    <w:rsid w:val="005713CB"/>
    <w:rsid w:val="005718EC"/>
    <w:rsid w:val="00571B69"/>
    <w:rsid w:val="0057239F"/>
    <w:rsid w:val="0057273B"/>
    <w:rsid w:val="00572798"/>
    <w:rsid w:val="00572A78"/>
    <w:rsid w:val="00572CB4"/>
    <w:rsid w:val="00572ED3"/>
    <w:rsid w:val="00573367"/>
    <w:rsid w:val="0057344B"/>
    <w:rsid w:val="00573601"/>
    <w:rsid w:val="00573721"/>
    <w:rsid w:val="005737C2"/>
    <w:rsid w:val="00573BD4"/>
    <w:rsid w:val="0057438C"/>
    <w:rsid w:val="005745EB"/>
    <w:rsid w:val="0057477F"/>
    <w:rsid w:val="00574C05"/>
    <w:rsid w:val="005750E0"/>
    <w:rsid w:val="00576107"/>
    <w:rsid w:val="0057616D"/>
    <w:rsid w:val="00576300"/>
    <w:rsid w:val="00576627"/>
    <w:rsid w:val="00576A8F"/>
    <w:rsid w:val="00576B4E"/>
    <w:rsid w:val="00576E69"/>
    <w:rsid w:val="0057735F"/>
    <w:rsid w:val="0057736A"/>
    <w:rsid w:val="00577577"/>
    <w:rsid w:val="00577FA2"/>
    <w:rsid w:val="00580E0C"/>
    <w:rsid w:val="005811D3"/>
    <w:rsid w:val="00581466"/>
    <w:rsid w:val="0058179F"/>
    <w:rsid w:val="005817DF"/>
    <w:rsid w:val="00581A0A"/>
    <w:rsid w:val="00581D55"/>
    <w:rsid w:val="00582263"/>
    <w:rsid w:val="005823A8"/>
    <w:rsid w:val="00582807"/>
    <w:rsid w:val="00582A9B"/>
    <w:rsid w:val="00582C0C"/>
    <w:rsid w:val="00582DC8"/>
    <w:rsid w:val="005833B1"/>
    <w:rsid w:val="0058367A"/>
    <w:rsid w:val="00583985"/>
    <w:rsid w:val="00583A8C"/>
    <w:rsid w:val="00583BB1"/>
    <w:rsid w:val="005842D4"/>
    <w:rsid w:val="005844FA"/>
    <w:rsid w:val="005845F2"/>
    <w:rsid w:val="00584C44"/>
    <w:rsid w:val="0058523B"/>
    <w:rsid w:val="00585AA7"/>
    <w:rsid w:val="00585AEA"/>
    <w:rsid w:val="00585B06"/>
    <w:rsid w:val="00586029"/>
    <w:rsid w:val="005862D7"/>
    <w:rsid w:val="00586494"/>
    <w:rsid w:val="00586556"/>
    <w:rsid w:val="005868F1"/>
    <w:rsid w:val="005872E9"/>
    <w:rsid w:val="00587442"/>
    <w:rsid w:val="005875BD"/>
    <w:rsid w:val="005875CF"/>
    <w:rsid w:val="005877F3"/>
    <w:rsid w:val="00587812"/>
    <w:rsid w:val="00587E1D"/>
    <w:rsid w:val="005900BD"/>
    <w:rsid w:val="00590146"/>
    <w:rsid w:val="0059038A"/>
    <w:rsid w:val="00590487"/>
    <w:rsid w:val="00590945"/>
    <w:rsid w:val="00590CC6"/>
    <w:rsid w:val="00590DCF"/>
    <w:rsid w:val="00591347"/>
    <w:rsid w:val="005913FD"/>
    <w:rsid w:val="00591675"/>
    <w:rsid w:val="005917DE"/>
    <w:rsid w:val="00591952"/>
    <w:rsid w:val="00591EA1"/>
    <w:rsid w:val="00592122"/>
    <w:rsid w:val="00592363"/>
    <w:rsid w:val="005924E4"/>
    <w:rsid w:val="005925C3"/>
    <w:rsid w:val="005926AD"/>
    <w:rsid w:val="00592976"/>
    <w:rsid w:val="00592B8F"/>
    <w:rsid w:val="00592D81"/>
    <w:rsid w:val="00592D94"/>
    <w:rsid w:val="0059311C"/>
    <w:rsid w:val="00593561"/>
    <w:rsid w:val="005936F5"/>
    <w:rsid w:val="00593955"/>
    <w:rsid w:val="00593A2C"/>
    <w:rsid w:val="00593AEA"/>
    <w:rsid w:val="00593B78"/>
    <w:rsid w:val="00593FAA"/>
    <w:rsid w:val="0059411B"/>
    <w:rsid w:val="005941EE"/>
    <w:rsid w:val="00594A98"/>
    <w:rsid w:val="00594E7B"/>
    <w:rsid w:val="00595145"/>
    <w:rsid w:val="0059552D"/>
    <w:rsid w:val="00595634"/>
    <w:rsid w:val="00595645"/>
    <w:rsid w:val="005957A8"/>
    <w:rsid w:val="00595A12"/>
    <w:rsid w:val="00595CA2"/>
    <w:rsid w:val="00595D0D"/>
    <w:rsid w:val="00595D18"/>
    <w:rsid w:val="00595E22"/>
    <w:rsid w:val="005962F2"/>
    <w:rsid w:val="005963D1"/>
    <w:rsid w:val="005964FD"/>
    <w:rsid w:val="00596729"/>
    <w:rsid w:val="005968AD"/>
    <w:rsid w:val="00596AAE"/>
    <w:rsid w:val="00596BF4"/>
    <w:rsid w:val="00597111"/>
    <w:rsid w:val="0059732E"/>
    <w:rsid w:val="0059759F"/>
    <w:rsid w:val="00597757"/>
    <w:rsid w:val="00597868"/>
    <w:rsid w:val="00597A8C"/>
    <w:rsid w:val="00597BB4"/>
    <w:rsid w:val="00597E31"/>
    <w:rsid w:val="00597EF4"/>
    <w:rsid w:val="005A059D"/>
    <w:rsid w:val="005A0981"/>
    <w:rsid w:val="005A0CEB"/>
    <w:rsid w:val="005A1088"/>
    <w:rsid w:val="005A1331"/>
    <w:rsid w:val="005A147F"/>
    <w:rsid w:val="005A14BC"/>
    <w:rsid w:val="005A14D2"/>
    <w:rsid w:val="005A158E"/>
    <w:rsid w:val="005A168E"/>
    <w:rsid w:val="005A1853"/>
    <w:rsid w:val="005A205F"/>
    <w:rsid w:val="005A2077"/>
    <w:rsid w:val="005A2A89"/>
    <w:rsid w:val="005A2AEE"/>
    <w:rsid w:val="005A2F57"/>
    <w:rsid w:val="005A2F6A"/>
    <w:rsid w:val="005A32D1"/>
    <w:rsid w:val="005A3310"/>
    <w:rsid w:val="005A3327"/>
    <w:rsid w:val="005A3730"/>
    <w:rsid w:val="005A3B1D"/>
    <w:rsid w:val="005A3B37"/>
    <w:rsid w:val="005A3BCB"/>
    <w:rsid w:val="005A3C19"/>
    <w:rsid w:val="005A471B"/>
    <w:rsid w:val="005A4735"/>
    <w:rsid w:val="005A486C"/>
    <w:rsid w:val="005A4BA3"/>
    <w:rsid w:val="005A4D81"/>
    <w:rsid w:val="005A4FA3"/>
    <w:rsid w:val="005A5567"/>
    <w:rsid w:val="005A584E"/>
    <w:rsid w:val="005A5B93"/>
    <w:rsid w:val="005A67B2"/>
    <w:rsid w:val="005A681C"/>
    <w:rsid w:val="005A6862"/>
    <w:rsid w:val="005A6A81"/>
    <w:rsid w:val="005A6BA8"/>
    <w:rsid w:val="005A6D72"/>
    <w:rsid w:val="005A7354"/>
    <w:rsid w:val="005A765B"/>
    <w:rsid w:val="005A76A7"/>
    <w:rsid w:val="005A781A"/>
    <w:rsid w:val="005A79C7"/>
    <w:rsid w:val="005A7BF9"/>
    <w:rsid w:val="005A7C04"/>
    <w:rsid w:val="005A7C8E"/>
    <w:rsid w:val="005A7F87"/>
    <w:rsid w:val="005B0297"/>
    <w:rsid w:val="005B037B"/>
    <w:rsid w:val="005B04E0"/>
    <w:rsid w:val="005B0772"/>
    <w:rsid w:val="005B0848"/>
    <w:rsid w:val="005B0865"/>
    <w:rsid w:val="005B08A8"/>
    <w:rsid w:val="005B0900"/>
    <w:rsid w:val="005B0907"/>
    <w:rsid w:val="005B09CE"/>
    <w:rsid w:val="005B12D2"/>
    <w:rsid w:val="005B1476"/>
    <w:rsid w:val="005B1589"/>
    <w:rsid w:val="005B1841"/>
    <w:rsid w:val="005B1AF9"/>
    <w:rsid w:val="005B1C93"/>
    <w:rsid w:val="005B21A9"/>
    <w:rsid w:val="005B250F"/>
    <w:rsid w:val="005B2541"/>
    <w:rsid w:val="005B26AE"/>
    <w:rsid w:val="005B26BE"/>
    <w:rsid w:val="005B2720"/>
    <w:rsid w:val="005B3732"/>
    <w:rsid w:val="005B3875"/>
    <w:rsid w:val="005B3907"/>
    <w:rsid w:val="005B41C5"/>
    <w:rsid w:val="005B41D2"/>
    <w:rsid w:val="005B420D"/>
    <w:rsid w:val="005B4330"/>
    <w:rsid w:val="005B4550"/>
    <w:rsid w:val="005B45CE"/>
    <w:rsid w:val="005B4B55"/>
    <w:rsid w:val="005B4CD9"/>
    <w:rsid w:val="005B4F39"/>
    <w:rsid w:val="005B4FBE"/>
    <w:rsid w:val="005B5059"/>
    <w:rsid w:val="005B5110"/>
    <w:rsid w:val="005B5137"/>
    <w:rsid w:val="005B552A"/>
    <w:rsid w:val="005B584C"/>
    <w:rsid w:val="005B58C8"/>
    <w:rsid w:val="005B6072"/>
    <w:rsid w:val="005B6187"/>
    <w:rsid w:val="005B6678"/>
    <w:rsid w:val="005B6849"/>
    <w:rsid w:val="005B6A10"/>
    <w:rsid w:val="005B6AEE"/>
    <w:rsid w:val="005B6F38"/>
    <w:rsid w:val="005B74D4"/>
    <w:rsid w:val="005B77F5"/>
    <w:rsid w:val="005B7BCC"/>
    <w:rsid w:val="005B7EC5"/>
    <w:rsid w:val="005C05EB"/>
    <w:rsid w:val="005C07A6"/>
    <w:rsid w:val="005C0849"/>
    <w:rsid w:val="005C0B69"/>
    <w:rsid w:val="005C0E47"/>
    <w:rsid w:val="005C1133"/>
    <w:rsid w:val="005C122C"/>
    <w:rsid w:val="005C17C5"/>
    <w:rsid w:val="005C1818"/>
    <w:rsid w:val="005C18C2"/>
    <w:rsid w:val="005C1953"/>
    <w:rsid w:val="005C1B91"/>
    <w:rsid w:val="005C24E8"/>
    <w:rsid w:val="005C266B"/>
    <w:rsid w:val="005C2683"/>
    <w:rsid w:val="005C2C8C"/>
    <w:rsid w:val="005C2D99"/>
    <w:rsid w:val="005C2E1C"/>
    <w:rsid w:val="005C363E"/>
    <w:rsid w:val="005C38D6"/>
    <w:rsid w:val="005C3B14"/>
    <w:rsid w:val="005C447E"/>
    <w:rsid w:val="005C4C3A"/>
    <w:rsid w:val="005C4C55"/>
    <w:rsid w:val="005C5133"/>
    <w:rsid w:val="005C51B6"/>
    <w:rsid w:val="005C52FE"/>
    <w:rsid w:val="005C5711"/>
    <w:rsid w:val="005C59AB"/>
    <w:rsid w:val="005C5CA1"/>
    <w:rsid w:val="005C6325"/>
    <w:rsid w:val="005C642B"/>
    <w:rsid w:val="005C74B8"/>
    <w:rsid w:val="005C7B52"/>
    <w:rsid w:val="005C7E11"/>
    <w:rsid w:val="005C7E1A"/>
    <w:rsid w:val="005C7FA7"/>
    <w:rsid w:val="005C7FAB"/>
    <w:rsid w:val="005D026F"/>
    <w:rsid w:val="005D0480"/>
    <w:rsid w:val="005D159E"/>
    <w:rsid w:val="005D1B1A"/>
    <w:rsid w:val="005D1BC5"/>
    <w:rsid w:val="005D1CAA"/>
    <w:rsid w:val="005D1D79"/>
    <w:rsid w:val="005D219F"/>
    <w:rsid w:val="005D2279"/>
    <w:rsid w:val="005D2286"/>
    <w:rsid w:val="005D29F7"/>
    <w:rsid w:val="005D2B46"/>
    <w:rsid w:val="005D2D0A"/>
    <w:rsid w:val="005D326B"/>
    <w:rsid w:val="005D32C0"/>
    <w:rsid w:val="005D347B"/>
    <w:rsid w:val="005D34B8"/>
    <w:rsid w:val="005D36C6"/>
    <w:rsid w:val="005D3C0B"/>
    <w:rsid w:val="005D3CE7"/>
    <w:rsid w:val="005D3E7F"/>
    <w:rsid w:val="005D3F0B"/>
    <w:rsid w:val="005D3F54"/>
    <w:rsid w:val="005D4695"/>
    <w:rsid w:val="005D4B5D"/>
    <w:rsid w:val="005D50BD"/>
    <w:rsid w:val="005D5374"/>
    <w:rsid w:val="005D5767"/>
    <w:rsid w:val="005D5F13"/>
    <w:rsid w:val="005D69A2"/>
    <w:rsid w:val="005D6D6C"/>
    <w:rsid w:val="005D70C3"/>
    <w:rsid w:val="005D7331"/>
    <w:rsid w:val="005D751E"/>
    <w:rsid w:val="005D779D"/>
    <w:rsid w:val="005D7A55"/>
    <w:rsid w:val="005D7ABC"/>
    <w:rsid w:val="005D7B75"/>
    <w:rsid w:val="005D7BC6"/>
    <w:rsid w:val="005D7EEC"/>
    <w:rsid w:val="005D7F88"/>
    <w:rsid w:val="005E008F"/>
    <w:rsid w:val="005E02C9"/>
    <w:rsid w:val="005E03CA"/>
    <w:rsid w:val="005E0809"/>
    <w:rsid w:val="005E0FA7"/>
    <w:rsid w:val="005E104B"/>
    <w:rsid w:val="005E107A"/>
    <w:rsid w:val="005E146A"/>
    <w:rsid w:val="005E17C7"/>
    <w:rsid w:val="005E1822"/>
    <w:rsid w:val="005E1967"/>
    <w:rsid w:val="005E1C73"/>
    <w:rsid w:val="005E1D31"/>
    <w:rsid w:val="005E26E6"/>
    <w:rsid w:val="005E2AD3"/>
    <w:rsid w:val="005E2B08"/>
    <w:rsid w:val="005E38C1"/>
    <w:rsid w:val="005E39D1"/>
    <w:rsid w:val="005E3AAF"/>
    <w:rsid w:val="005E3B90"/>
    <w:rsid w:val="005E3D13"/>
    <w:rsid w:val="005E4000"/>
    <w:rsid w:val="005E40BF"/>
    <w:rsid w:val="005E416F"/>
    <w:rsid w:val="005E43DC"/>
    <w:rsid w:val="005E4B1E"/>
    <w:rsid w:val="005E5035"/>
    <w:rsid w:val="005E58BE"/>
    <w:rsid w:val="005E5B6F"/>
    <w:rsid w:val="005E5CBC"/>
    <w:rsid w:val="005E5DAB"/>
    <w:rsid w:val="005E5DF2"/>
    <w:rsid w:val="005E5EBA"/>
    <w:rsid w:val="005E607D"/>
    <w:rsid w:val="005E639B"/>
    <w:rsid w:val="005E6810"/>
    <w:rsid w:val="005E6967"/>
    <w:rsid w:val="005E6B24"/>
    <w:rsid w:val="005E6EF5"/>
    <w:rsid w:val="005E7185"/>
    <w:rsid w:val="005E72CE"/>
    <w:rsid w:val="005E78E2"/>
    <w:rsid w:val="005E7917"/>
    <w:rsid w:val="005E79B8"/>
    <w:rsid w:val="005E7B29"/>
    <w:rsid w:val="005E7C0B"/>
    <w:rsid w:val="005E7F25"/>
    <w:rsid w:val="005F00FD"/>
    <w:rsid w:val="005F02C2"/>
    <w:rsid w:val="005F0759"/>
    <w:rsid w:val="005F07D2"/>
    <w:rsid w:val="005F07DE"/>
    <w:rsid w:val="005F07FB"/>
    <w:rsid w:val="005F0959"/>
    <w:rsid w:val="005F0C56"/>
    <w:rsid w:val="005F0CB7"/>
    <w:rsid w:val="005F0FF1"/>
    <w:rsid w:val="005F1106"/>
    <w:rsid w:val="005F1422"/>
    <w:rsid w:val="005F1C57"/>
    <w:rsid w:val="005F2106"/>
    <w:rsid w:val="005F25C3"/>
    <w:rsid w:val="005F2622"/>
    <w:rsid w:val="005F30A1"/>
    <w:rsid w:val="005F3402"/>
    <w:rsid w:val="005F3856"/>
    <w:rsid w:val="005F388B"/>
    <w:rsid w:val="005F38B7"/>
    <w:rsid w:val="005F3A8E"/>
    <w:rsid w:val="005F3CFF"/>
    <w:rsid w:val="005F3E45"/>
    <w:rsid w:val="005F419B"/>
    <w:rsid w:val="005F420F"/>
    <w:rsid w:val="005F4EF9"/>
    <w:rsid w:val="005F5638"/>
    <w:rsid w:val="005F56CA"/>
    <w:rsid w:val="005F57A8"/>
    <w:rsid w:val="005F57CC"/>
    <w:rsid w:val="005F5852"/>
    <w:rsid w:val="005F58D3"/>
    <w:rsid w:val="005F5AAA"/>
    <w:rsid w:val="005F6FFA"/>
    <w:rsid w:val="005F71C1"/>
    <w:rsid w:val="005F71D6"/>
    <w:rsid w:val="005F7228"/>
    <w:rsid w:val="005F7996"/>
    <w:rsid w:val="005F7A26"/>
    <w:rsid w:val="005F7BFB"/>
    <w:rsid w:val="005F7E1C"/>
    <w:rsid w:val="006001A6"/>
    <w:rsid w:val="006001D2"/>
    <w:rsid w:val="006006D7"/>
    <w:rsid w:val="00600774"/>
    <w:rsid w:val="00600A7A"/>
    <w:rsid w:val="00600B95"/>
    <w:rsid w:val="00600EB3"/>
    <w:rsid w:val="00600F2E"/>
    <w:rsid w:val="00600F8F"/>
    <w:rsid w:val="00601590"/>
    <w:rsid w:val="006016A8"/>
    <w:rsid w:val="00601853"/>
    <w:rsid w:val="00601E6D"/>
    <w:rsid w:val="00601FDD"/>
    <w:rsid w:val="00602A62"/>
    <w:rsid w:val="00603676"/>
    <w:rsid w:val="006037EB"/>
    <w:rsid w:val="006037EF"/>
    <w:rsid w:val="00603954"/>
    <w:rsid w:val="00604193"/>
    <w:rsid w:val="00604A24"/>
    <w:rsid w:val="00604C13"/>
    <w:rsid w:val="00604CE5"/>
    <w:rsid w:val="00604E48"/>
    <w:rsid w:val="0060516F"/>
    <w:rsid w:val="006053B0"/>
    <w:rsid w:val="006055D7"/>
    <w:rsid w:val="0060590F"/>
    <w:rsid w:val="00605A23"/>
    <w:rsid w:val="006062A3"/>
    <w:rsid w:val="006065A2"/>
    <w:rsid w:val="00606D80"/>
    <w:rsid w:val="00606F72"/>
    <w:rsid w:val="0060704A"/>
    <w:rsid w:val="00607628"/>
    <w:rsid w:val="00607859"/>
    <w:rsid w:val="00607911"/>
    <w:rsid w:val="00607ADA"/>
    <w:rsid w:val="00607BDF"/>
    <w:rsid w:val="0061051E"/>
    <w:rsid w:val="00610804"/>
    <w:rsid w:val="006109CC"/>
    <w:rsid w:val="00610B6E"/>
    <w:rsid w:val="00610C97"/>
    <w:rsid w:val="00610D6E"/>
    <w:rsid w:val="00610EBF"/>
    <w:rsid w:val="00610ED0"/>
    <w:rsid w:val="00610F09"/>
    <w:rsid w:val="0061122F"/>
    <w:rsid w:val="00611336"/>
    <w:rsid w:val="006116E7"/>
    <w:rsid w:val="00611882"/>
    <w:rsid w:val="00611A67"/>
    <w:rsid w:val="00611B12"/>
    <w:rsid w:val="00611DA1"/>
    <w:rsid w:val="00611FE2"/>
    <w:rsid w:val="006120BE"/>
    <w:rsid w:val="00612560"/>
    <w:rsid w:val="00612629"/>
    <w:rsid w:val="0061274E"/>
    <w:rsid w:val="00612757"/>
    <w:rsid w:val="00612774"/>
    <w:rsid w:val="0061289C"/>
    <w:rsid w:val="00613539"/>
    <w:rsid w:val="00613559"/>
    <w:rsid w:val="00613564"/>
    <w:rsid w:val="006136E3"/>
    <w:rsid w:val="00614246"/>
    <w:rsid w:val="00614472"/>
    <w:rsid w:val="00614803"/>
    <w:rsid w:val="00614BA5"/>
    <w:rsid w:val="00614D5B"/>
    <w:rsid w:val="006153B8"/>
    <w:rsid w:val="006156EF"/>
    <w:rsid w:val="00615985"/>
    <w:rsid w:val="00615A3F"/>
    <w:rsid w:val="00616156"/>
    <w:rsid w:val="006162D7"/>
    <w:rsid w:val="006163AD"/>
    <w:rsid w:val="0061656A"/>
    <w:rsid w:val="006166FA"/>
    <w:rsid w:val="00616C77"/>
    <w:rsid w:val="00616F57"/>
    <w:rsid w:val="00617019"/>
    <w:rsid w:val="00617221"/>
    <w:rsid w:val="006176B6"/>
    <w:rsid w:val="006178DF"/>
    <w:rsid w:val="00620582"/>
    <w:rsid w:val="006205E2"/>
    <w:rsid w:val="006207EC"/>
    <w:rsid w:val="00620B3C"/>
    <w:rsid w:val="00620DDB"/>
    <w:rsid w:val="00620EF3"/>
    <w:rsid w:val="006210B2"/>
    <w:rsid w:val="006211AE"/>
    <w:rsid w:val="006213EC"/>
    <w:rsid w:val="00621753"/>
    <w:rsid w:val="00621A54"/>
    <w:rsid w:val="00621AD9"/>
    <w:rsid w:val="00621B55"/>
    <w:rsid w:val="00621F34"/>
    <w:rsid w:val="00621FB5"/>
    <w:rsid w:val="00621FFB"/>
    <w:rsid w:val="006221A4"/>
    <w:rsid w:val="00622267"/>
    <w:rsid w:val="0062249A"/>
    <w:rsid w:val="006224D5"/>
    <w:rsid w:val="00622587"/>
    <w:rsid w:val="0062263B"/>
    <w:rsid w:val="00622884"/>
    <w:rsid w:val="00622B46"/>
    <w:rsid w:val="00622BCC"/>
    <w:rsid w:val="00622E09"/>
    <w:rsid w:val="00623013"/>
    <w:rsid w:val="00623525"/>
    <w:rsid w:val="00623F86"/>
    <w:rsid w:val="006244C6"/>
    <w:rsid w:val="0062483F"/>
    <w:rsid w:val="00624B86"/>
    <w:rsid w:val="00624CB3"/>
    <w:rsid w:val="00625030"/>
    <w:rsid w:val="006252E4"/>
    <w:rsid w:val="00625356"/>
    <w:rsid w:val="006254A0"/>
    <w:rsid w:val="006254CD"/>
    <w:rsid w:val="006254E4"/>
    <w:rsid w:val="006255A4"/>
    <w:rsid w:val="00625688"/>
    <w:rsid w:val="00625808"/>
    <w:rsid w:val="006259A0"/>
    <w:rsid w:val="00625A1E"/>
    <w:rsid w:val="00626046"/>
    <w:rsid w:val="006262F5"/>
    <w:rsid w:val="00626496"/>
    <w:rsid w:val="00626BF7"/>
    <w:rsid w:val="00626CAB"/>
    <w:rsid w:val="00626D1B"/>
    <w:rsid w:val="00626F58"/>
    <w:rsid w:val="00627076"/>
    <w:rsid w:val="00627915"/>
    <w:rsid w:val="006279B7"/>
    <w:rsid w:val="00627A0F"/>
    <w:rsid w:val="00627B94"/>
    <w:rsid w:val="00627CFD"/>
    <w:rsid w:val="00630059"/>
    <w:rsid w:val="006303BC"/>
    <w:rsid w:val="006307D2"/>
    <w:rsid w:val="00630851"/>
    <w:rsid w:val="00630863"/>
    <w:rsid w:val="00630932"/>
    <w:rsid w:val="00630AD3"/>
    <w:rsid w:val="00630C24"/>
    <w:rsid w:val="00630C96"/>
    <w:rsid w:val="00630E8F"/>
    <w:rsid w:val="0063132D"/>
    <w:rsid w:val="00631414"/>
    <w:rsid w:val="00631A64"/>
    <w:rsid w:val="00631C20"/>
    <w:rsid w:val="00631EE0"/>
    <w:rsid w:val="00632772"/>
    <w:rsid w:val="0063295A"/>
    <w:rsid w:val="0063344B"/>
    <w:rsid w:val="006335EA"/>
    <w:rsid w:val="00633659"/>
    <w:rsid w:val="00633BFE"/>
    <w:rsid w:val="00633D4D"/>
    <w:rsid w:val="006342CF"/>
    <w:rsid w:val="006342DD"/>
    <w:rsid w:val="00634A30"/>
    <w:rsid w:val="00635138"/>
    <w:rsid w:val="006351D9"/>
    <w:rsid w:val="006353F5"/>
    <w:rsid w:val="0063545B"/>
    <w:rsid w:val="00635523"/>
    <w:rsid w:val="00635663"/>
    <w:rsid w:val="006358FB"/>
    <w:rsid w:val="00635B22"/>
    <w:rsid w:val="00635E9B"/>
    <w:rsid w:val="00635F2E"/>
    <w:rsid w:val="006360BE"/>
    <w:rsid w:val="00636A56"/>
    <w:rsid w:val="00636ECA"/>
    <w:rsid w:val="006370D5"/>
    <w:rsid w:val="00637413"/>
    <w:rsid w:val="00637491"/>
    <w:rsid w:val="00637541"/>
    <w:rsid w:val="00637BBF"/>
    <w:rsid w:val="00637C34"/>
    <w:rsid w:val="00637C69"/>
    <w:rsid w:val="00640028"/>
    <w:rsid w:val="00640049"/>
    <w:rsid w:val="00640554"/>
    <w:rsid w:val="006406DB"/>
    <w:rsid w:val="00640831"/>
    <w:rsid w:val="006408F1"/>
    <w:rsid w:val="00640B47"/>
    <w:rsid w:val="00640E10"/>
    <w:rsid w:val="00641161"/>
    <w:rsid w:val="00641451"/>
    <w:rsid w:val="006418D3"/>
    <w:rsid w:val="00641C48"/>
    <w:rsid w:val="00641D8D"/>
    <w:rsid w:val="00641DA2"/>
    <w:rsid w:val="00641F6A"/>
    <w:rsid w:val="006420E5"/>
    <w:rsid w:val="006428CF"/>
    <w:rsid w:val="00642DF3"/>
    <w:rsid w:val="0064315B"/>
    <w:rsid w:val="00643333"/>
    <w:rsid w:val="006434D1"/>
    <w:rsid w:val="0064377F"/>
    <w:rsid w:val="006438BF"/>
    <w:rsid w:val="00643AF8"/>
    <w:rsid w:val="00643C2E"/>
    <w:rsid w:val="00643DE5"/>
    <w:rsid w:val="00643FAA"/>
    <w:rsid w:val="00643FC9"/>
    <w:rsid w:val="00644301"/>
    <w:rsid w:val="00644414"/>
    <w:rsid w:val="00644855"/>
    <w:rsid w:val="00644FE7"/>
    <w:rsid w:val="00645067"/>
    <w:rsid w:val="006453A3"/>
    <w:rsid w:val="0064547D"/>
    <w:rsid w:val="006454AB"/>
    <w:rsid w:val="006454AE"/>
    <w:rsid w:val="006456FF"/>
    <w:rsid w:val="00645D47"/>
    <w:rsid w:val="00646107"/>
    <w:rsid w:val="00646211"/>
    <w:rsid w:val="006464FA"/>
    <w:rsid w:val="00646652"/>
    <w:rsid w:val="006475A6"/>
    <w:rsid w:val="00647731"/>
    <w:rsid w:val="00647ABE"/>
    <w:rsid w:val="00647BCC"/>
    <w:rsid w:val="00647E9E"/>
    <w:rsid w:val="00647F1C"/>
    <w:rsid w:val="00650CE5"/>
    <w:rsid w:val="00650D86"/>
    <w:rsid w:val="00651325"/>
    <w:rsid w:val="0065161B"/>
    <w:rsid w:val="00651E53"/>
    <w:rsid w:val="00651F6B"/>
    <w:rsid w:val="00652671"/>
    <w:rsid w:val="0065292A"/>
    <w:rsid w:val="00652D61"/>
    <w:rsid w:val="00652E8D"/>
    <w:rsid w:val="00653695"/>
    <w:rsid w:val="006539D5"/>
    <w:rsid w:val="00653A0E"/>
    <w:rsid w:val="00653ABC"/>
    <w:rsid w:val="00653B0E"/>
    <w:rsid w:val="00653ED8"/>
    <w:rsid w:val="006540D0"/>
    <w:rsid w:val="00654327"/>
    <w:rsid w:val="0065441A"/>
    <w:rsid w:val="00654522"/>
    <w:rsid w:val="00654752"/>
    <w:rsid w:val="00654BA5"/>
    <w:rsid w:val="00654F7E"/>
    <w:rsid w:val="0065506E"/>
    <w:rsid w:val="00655267"/>
    <w:rsid w:val="00655666"/>
    <w:rsid w:val="00655667"/>
    <w:rsid w:val="00655A8C"/>
    <w:rsid w:val="00655E96"/>
    <w:rsid w:val="00655F47"/>
    <w:rsid w:val="0065620A"/>
    <w:rsid w:val="00656471"/>
    <w:rsid w:val="006565FB"/>
    <w:rsid w:val="00656824"/>
    <w:rsid w:val="006569ED"/>
    <w:rsid w:val="00657050"/>
    <w:rsid w:val="006572CC"/>
    <w:rsid w:val="0065730F"/>
    <w:rsid w:val="0065746F"/>
    <w:rsid w:val="00657D00"/>
    <w:rsid w:val="00657D5B"/>
    <w:rsid w:val="00657E89"/>
    <w:rsid w:val="00657F05"/>
    <w:rsid w:val="00660094"/>
    <w:rsid w:val="00660112"/>
    <w:rsid w:val="00660153"/>
    <w:rsid w:val="006601B1"/>
    <w:rsid w:val="00660291"/>
    <w:rsid w:val="00660342"/>
    <w:rsid w:val="006605CA"/>
    <w:rsid w:val="0066080A"/>
    <w:rsid w:val="00660925"/>
    <w:rsid w:val="006609E9"/>
    <w:rsid w:val="00660AC2"/>
    <w:rsid w:val="00660E4D"/>
    <w:rsid w:val="00661330"/>
    <w:rsid w:val="0066180D"/>
    <w:rsid w:val="006619F8"/>
    <w:rsid w:val="00661C1B"/>
    <w:rsid w:val="00661C3D"/>
    <w:rsid w:val="00662698"/>
    <w:rsid w:val="006628FC"/>
    <w:rsid w:val="006629D8"/>
    <w:rsid w:val="00662FFF"/>
    <w:rsid w:val="00663229"/>
    <w:rsid w:val="00663265"/>
    <w:rsid w:val="00663351"/>
    <w:rsid w:val="0066348C"/>
    <w:rsid w:val="006635A2"/>
    <w:rsid w:val="006637D9"/>
    <w:rsid w:val="00663911"/>
    <w:rsid w:val="00663AE4"/>
    <w:rsid w:val="00663E13"/>
    <w:rsid w:val="00664326"/>
    <w:rsid w:val="006645D6"/>
    <w:rsid w:val="00664714"/>
    <w:rsid w:val="00664731"/>
    <w:rsid w:val="0066490A"/>
    <w:rsid w:val="00664C59"/>
    <w:rsid w:val="00664C90"/>
    <w:rsid w:val="00665108"/>
    <w:rsid w:val="00665EEA"/>
    <w:rsid w:val="00665F02"/>
    <w:rsid w:val="00665FAF"/>
    <w:rsid w:val="00666921"/>
    <w:rsid w:val="006679A5"/>
    <w:rsid w:val="00667C5D"/>
    <w:rsid w:val="00667D8E"/>
    <w:rsid w:val="00667E76"/>
    <w:rsid w:val="00667FE3"/>
    <w:rsid w:val="006704CA"/>
    <w:rsid w:val="0067076E"/>
    <w:rsid w:val="006707DB"/>
    <w:rsid w:val="006709D4"/>
    <w:rsid w:val="00670C68"/>
    <w:rsid w:val="00670EA6"/>
    <w:rsid w:val="00670F46"/>
    <w:rsid w:val="0067120F"/>
    <w:rsid w:val="00671973"/>
    <w:rsid w:val="00671AD5"/>
    <w:rsid w:val="00671C46"/>
    <w:rsid w:val="00671D42"/>
    <w:rsid w:val="00672058"/>
    <w:rsid w:val="006722F8"/>
    <w:rsid w:val="0067244B"/>
    <w:rsid w:val="00672A17"/>
    <w:rsid w:val="00672AA8"/>
    <w:rsid w:val="00672EEA"/>
    <w:rsid w:val="00673262"/>
    <w:rsid w:val="0067345A"/>
    <w:rsid w:val="0067355A"/>
    <w:rsid w:val="00673680"/>
    <w:rsid w:val="006737D2"/>
    <w:rsid w:val="00673A3E"/>
    <w:rsid w:val="00673B11"/>
    <w:rsid w:val="00673B1C"/>
    <w:rsid w:val="00673B68"/>
    <w:rsid w:val="00673BEF"/>
    <w:rsid w:val="00673E58"/>
    <w:rsid w:val="0067416E"/>
    <w:rsid w:val="0067420F"/>
    <w:rsid w:val="00674330"/>
    <w:rsid w:val="006746A7"/>
    <w:rsid w:val="00674A79"/>
    <w:rsid w:val="00674C69"/>
    <w:rsid w:val="00674D35"/>
    <w:rsid w:val="0067501F"/>
    <w:rsid w:val="006751E8"/>
    <w:rsid w:val="0067528B"/>
    <w:rsid w:val="00675646"/>
    <w:rsid w:val="0067566D"/>
    <w:rsid w:val="006756F3"/>
    <w:rsid w:val="006758FA"/>
    <w:rsid w:val="00675EC8"/>
    <w:rsid w:val="0067626B"/>
    <w:rsid w:val="00676271"/>
    <w:rsid w:val="00676530"/>
    <w:rsid w:val="00676611"/>
    <w:rsid w:val="006768A8"/>
    <w:rsid w:val="00676D32"/>
    <w:rsid w:val="00676F39"/>
    <w:rsid w:val="00676F3E"/>
    <w:rsid w:val="00677601"/>
    <w:rsid w:val="00677B4C"/>
    <w:rsid w:val="00677B72"/>
    <w:rsid w:val="00680224"/>
    <w:rsid w:val="00680452"/>
    <w:rsid w:val="006806C0"/>
    <w:rsid w:val="0068070D"/>
    <w:rsid w:val="00680C2E"/>
    <w:rsid w:val="00680E81"/>
    <w:rsid w:val="006816D8"/>
    <w:rsid w:val="006819F4"/>
    <w:rsid w:val="00681A97"/>
    <w:rsid w:val="00681CD8"/>
    <w:rsid w:val="00681D84"/>
    <w:rsid w:val="00681F7B"/>
    <w:rsid w:val="00681F95"/>
    <w:rsid w:val="00682165"/>
    <w:rsid w:val="0068232C"/>
    <w:rsid w:val="00682421"/>
    <w:rsid w:val="00682DC4"/>
    <w:rsid w:val="00682F4F"/>
    <w:rsid w:val="006832BD"/>
    <w:rsid w:val="00683537"/>
    <w:rsid w:val="006837F3"/>
    <w:rsid w:val="0068385F"/>
    <w:rsid w:val="006839C0"/>
    <w:rsid w:val="00684A5F"/>
    <w:rsid w:val="00684BC2"/>
    <w:rsid w:val="00684BEC"/>
    <w:rsid w:val="006853D2"/>
    <w:rsid w:val="00685575"/>
    <w:rsid w:val="00685672"/>
    <w:rsid w:val="00685706"/>
    <w:rsid w:val="0068587A"/>
    <w:rsid w:val="00685C70"/>
    <w:rsid w:val="00686387"/>
    <w:rsid w:val="006866B2"/>
    <w:rsid w:val="0068677F"/>
    <w:rsid w:val="00686A5D"/>
    <w:rsid w:val="00686AC5"/>
    <w:rsid w:val="00686BCC"/>
    <w:rsid w:val="00686F73"/>
    <w:rsid w:val="006872D9"/>
    <w:rsid w:val="0068767E"/>
    <w:rsid w:val="00687A13"/>
    <w:rsid w:val="0069000B"/>
    <w:rsid w:val="006900B0"/>
    <w:rsid w:val="0069014D"/>
    <w:rsid w:val="00690311"/>
    <w:rsid w:val="00690AED"/>
    <w:rsid w:val="00690BCA"/>
    <w:rsid w:val="00690C34"/>
    <w:rsid w:val="00690D05"/>
    <w:rsid w:val="00690FBD"/>
    <w:rsid w:val="00691034"/>
    <w:rsid w:val="0069105A"/>
    <w:rsid w:val="0069143C"/>
    <w:rsid w:val="006914AC"/>
    <w:rsid w:val="00691C90"/>
    <w:rsid w:val="00691F5B"/>
    <w:rsid w:val="006921AC"/>
    <w:rsid w:val="0069271A"/>
    <w:rsid w:val="00692EFE"/>
    <w:rsid w:val="0069372F"/>
    <w:rsid w:val="00693BBB"/>
    <w:rsid w:val="00693BFA"/>
    <w:rsid w:val="00693C29"/>
    <w:rsid w:val="00693DE6"/>
    <w:rsid w:val="00693E2E"/>
    <w:rsid w:val="00693E3C"/>
    <w:rsid w:val="00693F06"/>
    <w:rsid w:val="0069401D"/>
    <w:rsid w:val="00694229"/>
    <w:rsid w:val="0069476D"/>
    <w:rsid w:val="00694946"/>
    <w:rsid w:val="00694A22"/>
    <w:rsid w:val="006952DE"/>
    <w:rsid w:val="006956ED"/>
    <w:rsid w:val="00696374"/>
    <w:rsid w:val="0069640A"/>
    <w:rsid w:val="00696969"/>
    <w:rsid w:val="006969E5"/>
    <w:rsid w:val="00696B31"/>
    <w:rsid w:val="00696BE0"/>
    <w:rsid w:val="00696DAD"/>
    <w:rsid w:val="00697188"/>
    <w:rsid w:val="00697557"/>
    <w:rsid w:val="00697D9E"/>
    <w:rsid w:val="006A0035"/>
    <w:rsid w:val="006A04C8"/>
    <w:rsid w:val="006A0A31"/>
    <w:rsid w:val="006A0FCC"/>
    <w:rsid w:val="006A1056"/>
    <w:rsid w:val="006A16C5"/>
    <w:rsid w:val="006A186C"/>
    <w:rsid w:val="006A19B9"/>
    <w:rsid w:val="006A1ADE"/>
    <w:rsid w:val="006A1B12"/>
    <w:rsid w:val="006A1E70"/>
    <w:rsid w:val="006A2001"/>
    <w:rsid w:val="006A228A"/>
    <w:rsid w:val="006A25F4"/>
    <w:rsid w:val="006A2AB8"/>
    <w:rsid w:val="006A2B2F"/>
    <w:rsid w:val="006A2CDD"/>
    <w:rsid w:val="006A30B7"/>
    <w:rsid w:val="006A3262"/>
    <w:rsid w:val="006A34D7"/>
    <w:rsid w:val="006A372D"/>
    <w:rsid w:val="006A3870"/>
    <w:rsid w:val="006A38D2"/>
    <w:rsid w:val="006A3980"/>
    <w:rsid w:val="006A3E3F"/>
    <w:rsid w:val="006A42AD"/>
    <w:rsid w:val="006A4508"/>
    <w:rsid w:val="006A45D7"/>
    <w:rsid w:val="006A48B4"/>
    <w:rsid w:val="006A4AB3"/>
    <w:rsid w:val="006A4BF4"/>
    <w:rsid w:val="006A4C96"/>
    <w:rsid w:val="006A4E18"/>
    <w:rsid w:val="006A4EC0"/>
    <w:rsid w:val="006A5130"/>
    <w:rsid w:val="006A51E2"/>
    <w:rsid w:val="006A5332"/>
    <w:rsid w:val="006A5355"/>
    <w:rsid w:val="006A535A"/>
    <w:rsid w:val="006A549C"/>
    <w:rsid w:val="006A5DA2"/>
    <w:rsid w:val="006A5E9F"/>
    <w:rsid w:val="006A5EB9"/>
    <w:rsid w:val="006A5FEF"/>
    <w:rsid w:val="006A6054"/>
    <w:rsid w:val="006A619F"/>
    <w:rsid w:val="006A63B9"/>
    <w:rsid w:val="006A6465"/>
    <w:rsid w:val="006A658F"/>
    <w:rsid w:val="006A66D7"/>
    <w:rsid w:val="006A6A69"/>
    <w:rsid w:val="006A6B3A"/>
    <w:rsid w:val="006A6B6D"/>
    <w:rsid w:val="006A6C2A"/>
    <w:rsid w:val="006A71A1"/>
    <w:rsid w:val="006A726B"/>
    <w:rsid w:val="006A79E6"/>
    <w:rsid w:val="006A7BFF"/>
    <w:rsid w:val="006A7DCD"/>
    <w:rsid w:val="006A7E9D"/>
    <w:rsid w:val="006A7ED3"/>
    <w:rsid w:val="006B0184"/>
    <w:rsid w:val="006B0325"/>
    <w:rsid w:val="006B03BF"/>
    <w:rsid w:val="006B0AB1"/>
    <w:rsid w:val="006B0BAB"/>
    <w:rsid w:val="006B0C5E"/>
    <w:rsid w:val="006B1167"/>
    <w:rsid w:val="006B1810"/>
    <w:rsid w:val="006B2454"/>
    <w:rsid w:val="006B24F1"/>
    <w:rsid w:val="006B2572"/>
    <w:rsid w:val="006B2795"/>
    <w:rsid w:val="006B2EA5"/>
    <w:rsid w:val="006B39D6"/>
    <w:rsid w:val="006B3E1C"/>
    <w:rsid w:val="006B3EBA"/>
    <w:rsid w:val="006B4412"/>
    <w:rsid w:val="006B48CC"/>
    <w:rsid w:val="006B4FE9"/>
    <w:rsid w:val="006B5208"/>
    <w:rsid w:val="006B5466"/>
    <w:rsid w:val="006B55E1"/>
    <w:rsid w:val="006B57F6"/>
    <w:rsid w:val="006B59C4"/>
    <w:rsid w:val="006B5A32"/>
    <w:rsid w:val="006B5A56"/>
    <w:rsid w:val="006B629D"/>
    <w:rsid w:val="006B6558"/>
    <w:rsid w:val="006B6DE8"/>
    <w:rsid w:val="006B7032"/>
    <w:rsid w:val="006B729F"/>
    <w:rsid w:val="006B73BB"/>
    <w:rsid w:val="006B7403"/>
    <w:rsid w:val="006C01D3"/>
    <w:rsid w:val="006C0298"/>
    <w:rsid w:val="006C0CF6"/>
    <w:rsid w:val="006C0F3B"/>
    <w:rsid w:val="006C0F4F"/>
    <w:rsid w:val="006C0FF6"/>
    <w:rsid w:val="006C139F"/>
    <w:rsid w:val="006C1721"/>
    <w:rsid w:val="006C1D4C"/>
    <w:rsid w:val="006C1E18"/>
    <w:rsid w:val="006C1FCA"/>
    <w:rsid w:val="006C24AC"/>
    <w:rsid w:val="006C2941"/>
    <w:rsid w:val="006C2FD5"/>
    <w:rsid w:val="006C31FB"/>
    <w:rsid w:val="006C3537"/>
    <w:rsid w:val="006C36CD"/>
    <w:rsid w:val="006C376B"/>
    <w:rsid w:val="006C3E1A"/>
    <w:rsid w:val="006C3F0B"/>
    <w:rsid w:val="006C4609"/>
    <w:rsid w:val="006C47FD"/>
    <w:rsid w:val="006C4A7A"/>
    <w:rsid w:val="006C4BBD"/>
    <w:rsid w:val="006C4BD7"/>
    <w:rsid w:val="006C4ED2"/>
    <w:rsid w:val="006C50CD"/>
    <w:rsid w:val="006C5211"/>
    <w:rsid w:val="006C548E"/>
    <w:rsid w:val="006C54DA"/>
    <w:rsid w:val="006C55B2"/>
    <w:rsid w:val="006C5617"/>
    <w:rsid w:val="006C5835"/>
    <w:rsid w:val="006C59D7"/>
    <w:rsid w:val="006C5A48"/>
    <w:rsid w:val="006C5B97"/>
    <w:rsid w:val="006C61B7"/>
    <w:rsid w:val="006C69B1"/>
    <w:rsid w:val="006C6D53"/>
    <w:rsid w:val="006C6FF4"/>
    <w:rsid w:val="006C793E"/>
    <w:rsid w:val="006C7BCE"/>
    <w:rsid w:val="006C7EDB"/>
    <w:rsid w:val="006D068D"/>
    <w:rsid w:val="006D0920"/>
    <w:rsid w:val="006D0A86"/>
    <w:rsid w:val="006D0C6B"/>
    <w:rsid w:val="006D0E4B"/>
    <w:rsid w:val="006D101C"/>
    <w:rsid w:val="006D143E"/>
    <w:rsid w:val="006D1576"/>
    <w:rsid w:val="006D15AF"/>
    <w:rsid w:val="006D1618"/>
    <w:rsid w:val="006D18C0"/>
    <w:rsid w:val="006D1AF2"/>
    <w:rsid w:val="006D1EBB"/>
    <w:rsid w:val="006D2091"/>
    <w:rsid w:val="006D223F"/>
    <w:rsid w:val="006D2349"/>
    <w:rsid w:val="006D2425"/>
    <w:rsid w:val="006D2847"/>
    <w:rsid w:val="006D299D"/>
    <w:rsid w:val="006D2BD0"/>
    <w:rsid w:val="006D3B50"/>
    <w:rsid w:val="006D3D29"/>
    <w:rsid w:val="006D40BE"/>
    <w:rsid w:val="006D41ED"/>
    <w:rsid w:val="006D4275"/>
    <w:rsid w:val="006D42B6"/>
    <w:rsid w:val="006D4F40"/>
    <w:rsid w:val="006D5422"/>
    <w:rsid w:val="006D5658"/>
    <w:rsid w:val="006D5797"/>
    <w:rsid w:val="006D5A76"/>
    <w:rsid w:val="006D60C8"/>
    <w:rsid w:val="006D6130"/>
    <w:rsid w:val="006D61FE"/>
    <w:rsid w:val="006D625D"/>
    <w:rsid w:val="006D67AD"/>
    <w:rsid w:val="006D69D1"/>
    <w:rsid w:val="006D6A46"/>
    <w:rsid w:val="006D7227"/>
    <w:rsid w:val="006D7240"/>
    <w:rsid w:val="006D7316"/>
    <w:rsid w:val="006D74C0"/>
    <w:rsid w:val="006E0323"/>
    <w:rsid w:val="006E0663"/>
    <w:rsid w:val="006E0C43"/>
    <w:rsid w:val="006E0E49"/>
    <w:rsid w:val="006E106B"/>
    <w:rsid w:val="006E1183"/>
    <w:rsid w:val="006E1571"/>
    <w:rsid w:val="006E17A4"/>
    <w:rsid w:val="006E1CD8"/>
    <w:rsid w:val="006E2212"/>
    <w:rsid w:val="006E27D6"/>
    <w:rsid w:val="006E2A57"/>
    <w:rsid w:val="006E2E82"/>
    <w:rsid w:val="006E349F"/>
    <w:rsid w:val="006E3645"/>
    <w:rsid w:val="006E369D"/>
    <w:rsid w:val="006E372E"/>
    <w:rsid w:val="006E3ACE"/>
    <w:rsid w:val="006E3E61"/>
    <w:rsid w:val="006E504A"/>
    <w:rsid w:val="006E5112"/>
    <w:rsid w:val="006E51F2"/>
    <w:rsid w:val="006E547A"/>
    <w:rsid w:val="006E57B1"/>
    <w:rsid w:val="006E5890"/>
    <w:rsid w:val="006E61DD"/>
    <w:rsid w:val="006E67F0"/>
    <w:rsid w:val="006E685E"/>
    <w:rsid w:val="006E68FF"/>
    <w:rsid w:val="006E6D1B"/>
    <w:rsid w:val="006E726E"/>
    <w:rsid w:val="006E7382"/>
    <w:rsid w:val="006E758A"/>
    <w:rsid w:val="006E7B4A"/>
    <w:rsid w:val="006E7E83"/>
    <w:rsid w:val="006F044B"/>
    <w:rsid w:val="006F0485"/>
    <w:rsid w:val="006F04AD"/>
    <w:rsid w:val="006F05C2"/>
    <w:rsid w:val="006F06FB"/>
    <w:rsid w:val="006F0B7E"/>
    <w:rsid w:val="006F0D15"/>
    <w:rsid w:val="006F0DEB"/>
    <w:rsid w:val="006F128F"/>
    <w:rsid w:val="006F147D"/>
    <w:rsid w:val="006F18C2"/>
    <w:rsid w:val="006F1940"/>
    <w:rsid w:val="006F1A35"/>
    <w:rsid w:val="006F1DDD"/>
    <w:rsid w:val="006F1DF1"/>
    <w:rsid w:val="006F1ECC"/>
    <w:rsid w:val="006F1ED8"/>
    <w:rsid w:val="006F2033"/>
    <w:rsid w:val="006F2215"/>
    <w:rsid w:val="006F27DC"/>
    <w:rsid w:val="006F2DAA"/>
    <w:rsid w:val="006F2E7E"/>
    <w:rsid w:val="006F34C5"/>
    <w:rsid w:val="006F3E30"/>
    <w:rsid w:val="006F3EAB"/>
    <w:rsid w:val="006F435F"/>
    <w:rsid w:val="006F444B"/>
    <w:rsid w:val="006F4490"/>
    <w:rsid w:val="006F4851"/>
    <w:rsid w:val="006F48A7"/>
    <w:rsid w:val="006F48F4"/>
    <w:rsid w:val="006F4995"/>
    <w:rsid w:val="006F4CA8"/>
    <w:rsid w:val="006F4D25"/>
    <w:rsid w:val="006F4DED"/>
    <w:rsid w:val="006F5091"/>
    <w:rsid w:val="006F5478"/>
    <w:rsid w:val="006F5889"/>
    <w:rsid w:val="006F58E3"/>
    <w:rsid w:val="006F59B8"/>
    <w:rsid w:val="006F5A0E"/>
    <w:rsid w:val="006F5C71"/>
    <w:rsid w:val="006F6096"/>
    <w:rsid w:val="006F62B4"/>
    <w:rsid w:val="006F6358"/>
    <w:rsid w:val="006F642E"/>
    <w:rsid w:val="006F6457"/>
    <w:rsid w:val="006F6561"/>
    <w:rsid w:val="006F67D1"/>
    <w:rsid w:val="006F69A2"/>
    <w:rsid w:val="006F6BA2"/>
    <w:rsid w:val="006F701C"/>
    <w:rsid w:val="006F704D"/>
    <w:rsid w:val="006F7215"/>
    <w:rsid w:val="006F73E6"/>
    <w:rsid w:val="006F74B3"/>
    <w:rsid w:val="006F7640"/>
    <w:rsid w:val="006F7ACD"/>
    <w:rsid w:val="00700025"/>
    <w:rsid w:val="0070019F"/>
    <w:rsid w:val="007001A0"/>
    <w:rsid w:val="00700892"/>
    <w:rsid w:val="007008D0"/>
    <w:rsid w:val="00700A57"/>
    <w:rsid w:val="0070111B"/>
    <w:rsid w:val="00701221"/>
    <w:rsid w:val="007015D9"/>
    <w:rsid w:val="007017C8"/>
    <w:rsid w:val="00701B1F"/>
    <w:rsid w:val="00701C59"/>
    <w:rsid w:val="00701F01"/>
    <w:rsid w:val="00701F74"/>
    <w:rsid w:val="0070226E"/>
    <w:rsid w:val="007022FC"/>
    <w:rsid w:val="0070242F"/>
    <w:rsid w:val="00702816"/>
    <w:rsid w:val="007028F9"/>
    <w:rsid w:val="00702AAC"/>
    <w:rsid w:val="00702ABA"/>
    <w:rsid w:val="00702B2A"/>
    <w:rsid w:val="00702FF1"/>
    <w:rsid w:val="0070302A"/>
    <w:rsid w:val="007034FE"/>
    <w:rsid w:val="0070378B"/>
    <w:rsid w:val="007038E9"/>
    <w:rsid w:val="00703938"/>
    <w:rsid w:val="00703A68"/>
    <w:rsid w:val="00703E15"/>
    <w:rsid w:val="0070452C"/>
    <w:rsid w:val="007046B0"/>
    <w:rsid w:val="007047D9"/>
    <w:rsid w:val="0070498B"/>
    <w:rsid w:val="00704A48"/>
    <w:rsid w:val="00705229"/>
    <w:rsid w:val="0070523B"/>
    <w:rsid w:val="00705355"/>
    <w:rsid w:val="00705392"/>
    <w:rsid w:val="00705506"/>
    <w:rsid w:val="00705788"/>
    <w:rsid w:val="00705BA0"/>
    <w:rsid w:val="00705BD8"/>
    <w:rsid w:val="00705E77"/>
    <w:rsid w:val="00706037"/>
    <w:rsid w:val="0070622D"/>
    <w:rsid w:val="0070677F"/>
    <w:rsid w:val="00706B0B"/>
    <w:rsid w:val="0070704C"/>
    <w:rsid w:val="00707072"/>
    <w:rsid w:val="0070724F"/>
    <w:rsid w:val="00707B42"/>
    <w:rsid w:val="00707CE2"/>
    <w:rsid w:val="00707D01"/>
    <w:rsid w:val="00707DA2"/>
    <w:rsid w:val="00707E72"/>
    <w:rsid w:val="0071045B"/>
    <w:rsid w:val="0071053C"/>
    <w:rsid w:val="0071081A"/>
    <w:rsid w:val="007108CE"/>
    <w:rsid w:val="00710A82"/>
    <w:rsid w:val="00710DF6"/>
    <w:rsid w:val="007110BF"/>
    <w:rsid w:val="00711957"/>
    <w:rsid w:val="00711BC8"/>
    <w:rsid w:val="00711F51"/>
    <w:rsid w:val="007125A5"/>
    <w:rsid w:val="00712E31"/>
    <w:rsid w:val="007130B2"/>
    <w:rsid w:val="007134CA"/>
    <w:rsid w:val="00713A6C"/>
    <w:rsid w:val="00713B73"/>
    <w:rsid w:val="007141A7"/>
    <w:rsid w:val="007141C2"/>
    <w:rsid w:val="007142AE"/>
    <w:rsid w:val="00714681"/>
    <w:rsid w:val="0071485F"/>
    <w:rsid w:val="00714F28"/>
    <w:rsid w:val="00714FF2"/>
    <w:rsid w:val="007150AA"/>
    <w:rsid w:val="00715373"/>
    <w:rsid w:val="007155E1"/>
    <w:rsid w:val="007155E5"/>
    <w:rsid w:val="00715BE0"/>
    <w:rsid w:val="00715C24"/>
    <w:rsid w:val="00716110"/>
    <w:rsid w:val="0071676F"/>
    <w:rsid w:val="00716911"/>
    <w:rsid w:val="00716FA8"/>
    <w:rsid w:val="00717210"/>
    <w:rsid w:val="0071754B"/>
    <w:rsid w:val="00717551"/>
    <w:rsid w:val="0071778B"/>
    <w:rsid w:val="00717CE5"/>
    <w:rsid w:val="00717E0D"/>
    <w:rsid w:val="00720189"/>
    <w:rsid w:val="007203A7"/>
    <w:rsid w:val="0072057A"/>
    <w:rsid w:val="007205FC"/>
    <w:rsid w:val="00720C99"/>
    <w:rsid w:val="00720D20"/>
    <w:rsid w:val="00720D6B"/>
    <w:rsid w:val="00720DC6"/>
    <w:rsid w:val="00721251"/>
    <w:rsid w:val="007215B1"/>
    <w:rsid w:val="0072177E"/>
    <w:rsid w:val="00721D05"/>
    <w:rsid w:val="00721DAD"/>
    <w:rsid w:val="007221BB"/>
    <w:rsid w:val="007227D5"/>
    <w:rsid w:val="007228A7"/>
    <w:rsid w:val="00722C1D"/>
    <w:rsid w:val="00722CBC"/>
    <w:rsid w:val="00722D33"/>
    <w:rsid w:val="00722D66"/>
    <w:rsid w:val="00722E4D"/>
    <w:rsid w:val="007232C4"/>
    <w:rsid w:val="007239D7"/>
    <w:rsid w:val="00723A72"/>
    <w:rsid w:val="00723D7A"/>
    <w:rsid w:val="00723DED"/>
    <w:rsid w:val="00723E31"/>
    <w:rsid w:val="007246BA"/>
    <w:rsid w:val="00724E4D"/>
    <w:rsid w:val="00724FE9"/>
    <w:rsid w:val="00724FF7"/>
    <w:rsid w:val="00725155"/>
    <w:rsid w:val="00725242"/>
    <w:rsid w:val="00725284"/>
    <w:rsid w:val="00725357"/>
    <w:rsid w:val="00725789"/>
    <w:rsid w:val="0072580D"/>
    <w:rsid w:val="0072587C"/>
    <w:rsid w:val="00725CDB"/>
    <w:rsid w:val="00725DCB"/>
    <w:rsid w:val="007261CE"/>
    <w:rsid w:val="0072691F"/>
    <w:rsid w:val="0072693E"/>
    <w:rsid w:val="00726968"/>
    <w:rsid w:val="007269FC"/>
    <w:rsid w:val="00727323"/>
    <w:rsid w:val="00727605"/>
    <w:rsid w:val="0072794F"/>
    <w:rsid w:val="00727AA4"/>
    <w:rsid w:val="00727C33"/>
    <w:rsid w:val="00727C8D"/>
    <w:rsid w:val="00727CAD"/>
    <w:rsid w:val="0073001A"/>
    <w:rsid w:val="0073006E"/>
    <w:rsid w:val="007300F1"/>
    <w:rsid w:val="007301ED"/>
    <w:rsid w:val="007303F8"/>
    <w:rsid w:val="00730471"/>
    <w:rsid w:val="00730518"/>
    <w:rsid w:val="007307A1"/>
    <w:rsid w:val="007309C9"/>
    <w:rsid w:val="00730A73"/>
    <w:rsid w:val="00730FB6"/>
    <w:rsid w:val="00730FC2"/>
    <w:rsid w:val="00730FDD"/>
    <w:rsid w:val="00730FE9"/>
    <w:rsid w:val="0073126B"/>
    <w:rsid w:val="00731276"/>
    <w:rsid w:val="007312EE"/>
    <w:rsid w:val="00731755"/>
    <w:rsid w:val="007317DD"/>
    <w:rsid w:val="00731AEF"/>
    <w:rsid w:val="00731C62"/>
    <w:rsid w:val="0073207F"/>
    <w:rsid w:val="00732380"/>
    <w:rsid w:val="00732387"/>
    <w:rsid w:val="007323E2"/>
    <w:rsid w:val="007324BF"/>
    <w:rsid w:val="0073255E"/>
    <w:rsid w:val="007325F5"/>
    <w:rsid w:val="00732617"/>
    <w:rsid w:val="00732A5C"/>
    <w:rsid w:val="00732CB7"/>
    <w:rsid w:val="00732FE5"/>
    <w:rsid w:val="00733999"/>
    <w:rsid w:val="0073404E"/>
    <w:rsid w:val="0073409A"/>
    <w:rsid w:val="0073448F"/>
    <w:rsid w:val="007347A0"/>
    <w:rsid w:val="00734B77"/>
    <w:rsid w:val="007350FC"/>
    <w:rsid w:val="0073540B"/>
    <w:rsid w:val="00735A46"/>
    <w:rsid w:val="00735A59"/>
    <w:rsid w:val="00735D3A"/>
    <w:rsid w:val="00735FE5"/>
    <w:rsid w:val="00735FF4"/>
    <w:rsid w:val="0073680C"/>
    <w:rsid w:val="007368DB"/>
    <w:rsid w:val="007368ED"/>
    <w:rsid w:val="00736958"/>
    <w:rsid w:val="007369C9"/>
    <w:rsid w:val="00736C20"/>
    <w:rsid w:val="00736DC3"/>
    <w:rsid w:val="0073745E"/>
    <w:rsid w:val="007375E7"/>
    <w:rsid w:val="0073761D"/>
    <w:rsid w:val="00737DF9"/>
    <w:rsid w:val="00737E8F"/>
    <w:rsid w:val="007402A1"/>
    <w:rsid w:val="007406B4"/>
    <w:rsid w:val="0074093F"/>
    <w:rsid w:val="007409F9"/>
    <w:rsid w:val="00740A9A"/>
    <w:rsid w:val="00740ADC"/>
    <w:rsid w:val="00740D0E"/>
    <w:rsid w:val="00740D9F"/>
    <w:rsid w:val="00740F45"/>
    <w:rsid w:val="00741051"/>
    <w:rsid w:val="00741AC6"/>
    <w:rsid w:val="00741B77"/>
    <w:rsid w:val="00741D42"/>
    <w:rsid w:val="0074217D"/>
    <w:rsid w:val="007421B0"/>
    <w:rsid w:val="007427B5"/>
    <w:rsid w:val="0074283D"/>
    <w:rsid w:val="00742866"/>
    <w:rsid w:val="00742BD3"/>
    <w:rsid w:val="00742F4B"/>
    <w:rsid w:val="00743147"/>
    <w:rsid w:val="007431E3"/>
    <w:rsid w:val="007431E7"/>
    <w:rsid w:val="0074345D"/>
    <w:rsid w:val="007434C2"/>
    <w:rsid w:val="00743CDF"/>
    <w:rsid w:val="0074404E"/>
    <w:rsid w:val="00744285"/>
    <w:rsid w:val="00744306"/>
    <w:rsid w:val="00744358"/>
    <w:rsid w:val="00744863"/>
    <w:rsid w:val="00744A14"/>
    <w:rsid w:val="00744AB5"/>
    <w:rsid w:val="00744B24"/>
    <w:rsid w:val="00744C1E"/>
    <w:rsid w:val="00744E5A"/>
    <w:rsid w:val="00745031"/>
    <w:rsid w:val="007459E4"/>
    <w:rsid w:val="00745B03"/>
    <w:rsid w:val="00745E3A"/>
    <w:rsid w:val="00745F83"/>
    <w:rsid w:val="007461EE"/>
    <w:rsid w:val="007462C3"/>
    <w:rsid w:val="0074631A"/>
    <w:rsid w:val="007463C1"/>
    <w:rsid w:val="0074657C"/>
    <w:rsid w:val="00746A64"/>
    <w:rsid w:val="00746A93"/>
    <w:rsid w:val="00746B56"/>
    <w:rsid w:val="00746C5A"/>
    <w:rsid w:val="00746D81"/>
    <w:rsid w:val="00747239"/>
    <w:rsid w:val="00747341"/>
    <w:rsid w:val="0074783E"/>
    <w:rsid w:val="00747B00"/>
    <w:rsid w:val="00747B74"/>
    <w:rsid w:val="00747F60"/>
    <w:rsid w:val="00750093"/>
    <w:rsid w:val="007504CE"/>
    <w:rsid w:val="00750716"/>
    <w:rsid w:val="00750892"/>
    <w:rsid w:val="00750AC8"/>
    <w:rsid w:val="00750E62"/>
    <w:rsid w:val="007511C5"/>
    <w:rsid w:val="00751615"/>
    <w:rsid w:val="00751635"/>
    <w:rsid w:val="00751C55"/>
    <w:rsid w:val="00751F04"/>
    <w:rsid w:val="00752101"/>
    <w:rsid w:val="00752204"/>
    <w:rsid w:val="00752419"/>
    <w:rsid w:val="007528CA"/>
    <w:rsid w:val="007529E0"/>
    <w:rsid w:val="00752CAE"/>
    <w:rsid w:val="00752F3C"/>
    <w:rsid w:val="00753144"/>
    <w:rsid w:val="007531D8"/>
    <w:rsid w:val="00753354"/>
    <w:rsid w:val="0075338F"/>
    <w:rsid w:val="0075400C"/>
    <w:rsid w:val="0075423E"/>
    <w:rsid w:val="007544C2"/>
    <w:rsid w:val="007545A6"/>
    <w:rsid w:val="0075486B"/>
    <w:rsid w:val="0075486C"/>
    <w:rsid w:val="00754AA8"/>
    <w:rsid w:val="00754B19"/>
    <w:rsid w:val="00755078"/>
    <w:rsid w:val="00755589"/>
    <w:rsid w:val="00756068"/>
    <w:rsid w:val="007560EC"/>
    <w:rsid w:val="00756147"/>
    <w:rsid w:val="0075614B"/>
    <w:rsid w:val="0075618B"/>
    <w:rsid w:val="00756663"/>
    <w:rsid w:val="007567C9"/>
    <w:rsid w:val="00756904"/>
    <w:rsid w:val="007569E4"/>
    <w:rsid w:val="00756ACE"/>
    <w:rsid w:val="00756B74"/>
    <w:rsid w:val="00756C68"/>
    <w:rsid w:val="00756E02"/>
    <w:rsid w:val="00756E64"/>
    <w:rsid w:val="00756EB3"/>
    <w:rsid w:val="00757144"/>
    <w:rsid w:val="00757332"/>
    <w:rsid w:val="007573B0"/>
    <w:rsid w:val="00757E7D"/>
    <w:rsid w:val="00757ED9"/>
    <w:rsid w:val="00757F5D"/>
    <w:rsid w:val="00760009"/>
    <w:rsid w:val="007600BD"/>
    <w:rsid w:val="00760148"/>
    <w:rsid w:val="007602D8"/>
    <w:rsid w:val="007607B6"/>
    <w:rsid w:val="0076099E"/>
    <w:rsid w:val="00760B4C"/>
    <w:rsid w:val="00760B9D"/>
    <w:rsid w:val="00760C12"/>
    <w:rsid w:val="00760F0E"/>
    <w:rsid w:val="00761010"/>
    <w:rsid w:val="00761777"/>
    <w:rsid w:val="0076182C"/>
    <w:rsid w:val="007619D6"/>
    <w:rsid w:val="00762048"/>
    <w:rsid w:val="00762474"/>
    <w:rsid w:val="007628BF"/>
    <w:rsid w:val="0076291B"/>
    <w:rsid w:val="00762C4C"/>
    <w:rsid w:val="00762D3A"/>
    <w:rsid w:val="0076301A"/>
    <w:rsid w:val="00763763"/>
    <w:rsid w:val="00763B0A"/>
    <w:rsid w:val="00763C53"/>
    <w:rsid w:val="00763D43"/>
    <w:rsid w:val="00763E43"/>
    <w:rsid w:val="00763FE7"/>
    <w:rsid w:val="00764615"/>
    <w:rsid w:val="00764700"/>
    <w:rsid w:val="00764820"/>
    <w:rsid w:val="0076495B"/>
    <w:rsid w:val="00764D1E"/>
    <w:rsid w:val="00764E73"/>
    <w:rsid w:val="00765493"/>
    <w:rsid w:val="007657B5"/>
    <w:rsid w:val="00765999"/>
    <w:rsid w:val="00765A5B"/>
    <w:rsid w:val="00765A5D"/>
    <w:rsid w:val="00765E7E"/>
    <w:rsid w:val="00766269"/>
    <w:rsid w:val="007662F5"/>
    <w:rsid w:val="007666E3"/>
    <w:rsid w:val="0076745A"/>
    <w:rsid w:val="0076771E"/>
    <w:rsid w:val="00767897"/>
    <w:rsid w:val="007678F6"/>
    <w:rsid w:val="00767D0D"/>
    <w:rsid w:val="00767D1C"/>
    <w:rsid w:val="00767F0C"/>
    <w:rsid w:val="0077001B"/>
    <w:rsid w:val="007700B4"/>
    <w:rsid w:val="00770243"/>
    <w:rsid w:val="00771070"/>
    <w:rsid w:val="0077191A"/>
    <w:rsid w:val="007723E4"/>
    <w:rsid w:val="007724EE"/>
    <w:rsid w:val="0077282F"/>
    <w:rsid w:val="007728A8"/>
    <w:rsid w:val="00772BCF"/>
    <w:rsid w:val="007730BD"/>
    <w:rsid w:val="00773C3C"/>
    <w:rsid w:val="00773E41"/>
    <w:rsid w:val="0077412F"/>
    <w:rsid w:val="007744E9"/>
    <w:rsid w:val="00774507"/>
    <w:rsid w:val="007752DA"/>
    <w:rsid w:val="0077551C"/>
    <w:rsid w:val="00775B01"/>
    <w:rsid w:val="00775D33"/>
    <w:rsid w:val="00775E19"/>
    <w:rsid w:val="00775F03"/>
    <w:rsid w:val="00775F24"/>
    <w:rsid w:val="00776334"/>
    <w:rsid w:val="00776487"/>
    <w:rsid w:val="0077654F"/>
    <w:rsid w:val="00776564"/>
    <w:rsid w:val="00776816"/>
    <w:rsid w:val="00776830"/>
    <w:rsid w:val="00777EA6"/>
    <w:rsid w:val="007800FE"/>
    <w:rsid w:val="0078023D"/>
    <w:rsid w:val="00780352"/>
    <w:rsid w:val="007804AC"/>
    <w:rsid w:val="00780B4A"/>
    <w:rsid w:val="00780F39"/>
    <w:rsid w:val="0078128E"/>
    <w:rsid w:val="0078173C"/>
    <w:rsid w:val="00781975"/>
    <w:rsid w:val="00781B25"/>
    <w:rsid w:val="007820A5"/>
    <w:rsid w:val="00782111"/>
    <w:rsid w:val="00782218"/>
    <w:rsid w:val="00782325"/>
    <w:rsid w:val="007827E5"/>
    <w:rsid w:val="00782917"/>
    <w:rsid w:val="0078292F"/>
    <w:rsid w:val="00782A78"/>
    <w:rsid w:val="00782CFE"/>
    <w:rsid w:val="00783584"/>
    <w:rsid w:val="00783E34"/>
    <w:rsid w:val="00783F72"/>
    <w:rsid w:val="007840C9"/>
    <w:rsid w:val="00784318"/>
    <w:rsid w:val="0078459C"/>
    <w:rsid w:val="0078468D"/>
    <w:rsid w:val="00784866"/>
    <w:rsid w:val="00784967"/>
    <w:rsid w:val="00784D8A"/>
    <w:rsid w:val="0078510D"/>
    <w:rsid w:val="007854CB"/>
    <w:rsid w:val="007854ED"/>
    <w:rsid w:val="0078553B"/>
    <w:rsid w:val="007857A0"/>
    <w:rsid w:val="007862BE"/>
    <w:rsid w:val="00786597"/>
    <w:rsid w:val="007867DA"/>
    <w:rsid w:val="007868FD"/>
    <w:rsid w:val="00786E1A"/>
    <w:rsid w:val="00787267"/>
    <w:rsid w:val="007872DD"/>
    <w:rsid w:val="00787608"/>
    <w:rsid w:val="00787897"/>
    <w:rsid w:val="00787999"/>
    <w:rsid w:val="00787D61"/>
    <w:rsid w:val="00787DFB"/>
    <w:rsid w:val="00790415"/>
    <w:rsid w:val="00790587"/>
    <w:rsid w:val="0079062A"/>
    <w:rsid w:val="007907A2"/>
    <w:rsid w:val="00790D33"/>
    <w:rsid w:val="00790D42"/>
    <w:rsid w:val="00791109"/>
    <w:rsid w:val="00791B04"/>
    <w:rsid w:val="00791BEC"/>
    <w:rsid w:val="00791D73"/>
    <w:rsid w:val="00791D78"/>
    <w:rsid w:val="007922E5"/>
    <w:rsid w:val="007925A5"/>
    <w:rsid w:val="0079265A"/>
    <w:rsid w:val="00792768"/>
    <w:rsid w:val="00792B76"/>
    <w:rsid w:val="007932E8"/>
    <w:rsid w:val="0079364C"/>
    <w:rsid w:val="00793C65"/>
    <w:rsid w:val="00793F9D"/>
    <w:rsid w:val="0079408B"/>
    <w:rsid w:val="007940EA"/>
    <w:rsid w:val="00794239"/>
    <w:rsid w:val="0079431E"/>
    <w:rsid w:val="00794438"/>
    <w:rsid w:val="00794439"/>
    <w:rsid w:val="0079489C"/>
    <w:rsid w:val="00794F39"/>
    <w:rsid w:val="0079562A"/>
    <w:rsid w:val="0079562D"/>
    <w:rsid w:val="00795724"/>
    <w:rsid w:val="0079575D"/>
    <w:rsid w:val="00795AD9"/>
    <w:rsid w:val="00796397"/>
    <w:rsid w:val="00796810"/>
    <w:rsid w:val="0079747D"/>
    <w:rsid w:val="0079751C"/>
    <w:rsid w:val="00797B0B"/>
    <w:rsid w:val="00797F76"/>
    <w:rsid w:val="007A012D"/>
    <w:rsid w:val="007A034A"/>
    <w:rsid w:val="007A07A8"/>
    <w:rsid w:val="007A0912"/>
    <w:rsid w:val="007A0B90"/>
    <w:rsid w:val="007A1072"/>
    <w:rsid w:val="007A107E"/>
    <w:rsid w:val="007A1779"/>
    <w:rsid w:val="007A239B"/>
    <w:rsid w:val="007A2517"/>
    <w:rsid w:val="007A26AB"/>
    <w:rsid w:val="007A280F"/>
    <w:rsid w:val="007A2967"/>
    <w:rsid w:val="007A2DF5"/>
    <w:rsid w:val="007A35B0"/>
    <w:rsid w:val="007A3D09"/>
    <w:rsid w:val="007A40E3"/>
    <w:rsid w:val="007A40E4"/>
    <w:rsid w:val="007A4100"/>
    <w:rsid w:val="007A41FC"/>
    <w:rsid w:val="007A45D3"/>
    <w:rsid w:val="007A4C46"/>
    <w:rsid w:val="007A4C8F"/>
    <w:rsid w:val="007A4DF9"/>
    <w:rsid w:val="007A4E75"/>
    <w:rsid w:val="007A4FE7"/>
    <w:rsid w:val="007A529E"/>
    <w:rsid w:val="007A52DE"/>
    <w:rsid w:val="007A599E"/>
    <w:rsid w:val="007A5B1C"/>
    <w:rsid w:val="007A5C32"/>
    <w:rsid w:val="007A5DA2"/>
    <w:rsid w:val="007A6370"/>
    <w:rsid w:val="007A6D57"/>
    <w:rsid w:val="007A6D6E"/>
    <w:rsid w:val="007A6FB9"/>
    <w:rsid w:val="007A7126"/>
    <w:rsid w:val="007A7706"/>
    <w:rsid w:val="007A7747"/>
    <w:rsid w:val="007A799B"/>
    <w:rsid w:val="007A7D89"/>
    <w:rsid w:val="007B06D7"/>
    <w:rsid w:val="007B0CE8"/>
    <w:rsid w:val="007B0E93"/>
    <w:rsid w:val="007B1107"/>
    <w:rsid w:val="007B18C2"/>
    <w:rsid w:val="007B1D02"/>
    <w:rsid w:val="007B1D7B"/>
    <w:rsid w:val="007B2761"/>
    <w:rsid w:val="007B294E"/>
    <w:rsid w:val="007B3515"/>
    <w:rsid w:val="007B39D8"/>
    <w:rsid w:val="007B3D97"/>
    <w:rsid w:val="007B4116"/>
    <w:rsid w:val="007B4347"/>
    <w:rsid w:val="007B4467"/>
    <w:rsid w:val="007B45FE"/>
    <w:rsid w:val="007B4680"/>
    <w:rsid w:val="007B4BA5"/>
    <w:rsid w:val="007B4DB5"/>
    <w:rsid w:val="007B4E53"/>
    <w:rsid w:val="007B4F59"/>
    <w:rsid w:val="007B5286"/>
    <w:rsid w:val="007B538C"/>
    <w:rsid w:val="007B5802"/>
    <w:rsid w:val="007B590C"/>
    <w:rsid w:val="007B5F60"/>
    <w:rsid w:val="007B705D"/>
    <w:rsid w:val="007B7811"/>
    <w:rsid w:val="007B7B1E"/>
    <w:rsid w:val="007B7B76"/>
    <w:rsid w:val="007C1057"/>
    <w:rsid w:val="007C10CD"/>
    <w:rsid w:val="007C1135"/>
    <w:rsid w:val="007C1CB3"/>
    <w:rsid w:val="007C1D0E"/>
    <w:rsid w:val="007C2188"/>
    <w:rsid w:val="007C227E"/>
    <w:rsid w:val="007C25E4"/>
    <w:rsid w:val="007C3099"/>
    <w:rsid w:val="007C3531"/>
    <w:rsid w:val="007C3703"/>
    <w:rsid w:val="007C39F3"/>
    <w:rsid w:val="007C3A41"/>
    <w:rsid w:val="007C4024"/>
    <w:rsid w:val="007C412C"/>
    <w:rsid w:val="007C4C86"/>
    <w:rsid w:val="007C4E24"/>
    <w:rsid w:val="007C5097"/>
    <w:rsid w:val="007C5325"/>
    <w:rsid w:val="007C5571"/>
    <w:rsid w:val="007C56E3"/>
    <w:rsid w:val="007C58C8"/>
    <w:rsid w:val="007C58FE"/>
    <w:rsid w:val="007C5EEE"/>
    <w:rsid w:val="007C5F91"/>
    <w:rsid w:val="007C60C9"/>
    <w:rsid w:val="007C6252"/>
    <w:rsid w:val="007C6297"/>
    <w:rsid w:val="007C6D92"/>
    <w:rsid w:val="007C6D99"/>
    <w:rsid w:val="007C6EC2"/>
    <w:rsid w:val="007C7039"/>
    <w:rsid w:val="007C71C8"/>
    <w:rsid w:val="007C72BE"/>
    <w:rsid w:val="007C73DD"/>
    <w:rsid w:val="007C76BE"/>
    <w:rsid w:val="007C76C2"/>
    <w:rsid w:val="007D0387"/>
    <w:rsid w:val="007D0CDB"/>
    <w:rsid w:val="007D0E5A"/>
    <w:rsid w:val="007D165F"/>
    <w:rsid w:val="007D1744"/>
    <w:rsid w:val="007D1E82"/>
    <w:rsid w:val="007D209D"/>
    <w:rsid w:val="007D2212"/>
    <w:rsid w:val="007D249E"/>
    <w:rsid w:val="007D29C3"/>
    <w:rsid w:val="007D2C6E"/>
    <w:rsid w:val="007D2CC2"/>
    <w:rsid w:val="007D30BA"/>
    <w:rsid w:val="007D3384"/>
    <w:rsid w:val="007D33CA"/>
    <w:rsid w:val="007D342F"/>
    <w:rsid w:val="007D3500"/>
    <w:rsid w:val="007D3597"/>
    <w:rsid w:val="007D36F1"/>
    <w:rsid w:val="007D38D2"/>
    <w:rsid w:val="007D3E14"/>
    <w:rsid w:val="007D40AE"/>
    <w:rsid w:val="007D485F"/>
    <w:rsid w:val="007D49D1"/>
    <w:rsid w:val="007D4D26"/>
    <w:rsid w:val="007D4DE1"/>
    <w:rsid w:val="007D5A27"/>
    <w:rsid w:val="007D5BD4"/>
    <w:rsid w:val="007D5D2E"/>
    <w:rsid w:val="007D5F53"/>
    <w:rsid w:val="007D6079"/>
    <w:rsid w:val="007D62A2"/>
    <w:rsid w:val="007D67EB"/>
    <w:rsid w:val="007D6839"/>
    <w:rsid w:val="007D6845"/>
    <w:rsid w:val="007D6B9E"/>
    <w:rsid w:val="007D6BE2"/>
    <w:rsid w:val="007D761A"/>
    <w:rsid w:val="007D783B"/>
    <w:rsid w:val="007D78EB"/>
    <w:rsid w:val="007D7935"/>
    <w:rsid w:val="007D7E45"/>
    <w:rsid w:val="007E0174"/>
    <w:rsid w:val="007E0192"/>
    <w:rsid w:val="007E0447"/>
    <w:rsid w:val="007E04C6"/>
    <w:rsid w:val="007E0503"/>
    <w:rsid w:val="007E08A0"/>
    <w:rsid w:val="007E0AD6"/>
    <w:rsid w:val="007E0C78"/>
    <w:rsid w:val="007E0CF5"/>
    <w:rsid w:val="007E0D14"/>
    <w:rsid w:val="007E0D6E"/>
    <w:rsid w:val="007E106C"/>
    <w:rsid w:val="007E13AC"/>
    <w:rsid w:val="007E14DF"/>
    <w:rsid w:val="007E181F"/>
    <w:rsid w:val="007E193E"/>
    <w:rsid w:val="007E1F8F"/>
    <w:rsid w:val="007E25DF"/>
    <w:rsid w:val="007E273E"/>
    <w:rsid w:val="007E29BF"/>
    <w:rsid w:val="007E2BFF"/>
    <w:rsid w:val="007E2F3C"/>
    <w:rsid w:val="007E31C3"/>
    <w:rsid w:val="007E35AA"/>
    <w:rsid w:val="007E3850"/>
    <w:rsid w:val="007E3A26"/>
    <w:rsid w:val="007E3B15"/>
    <w:rsid w:val="007E3EA2"/>
    <w:rsid w:val="007E417B"/>
    <w:rsid w:val="007E463A"/>
    <w:rsid w:val="007E47CA"/>
    <w:rsid w:val="007E4879"/>
    <w:rsid w:val="007E4BF0"/>
    <w:rsid w:val="007E4C41"/>
    <w:rsid w:val="007E5027"/>
    <w:rsid w:val="007E52D2"/>
    <w:rsid w:val="007E5316"/>
    <w:rsid w:val="007E59F8"/>
    <w:rsid w:val="007E5B9B"/>
    <w:rsid w:val="007E5BEF"/>
    <w:rsid w:val="007E5E16"/>
    <w:rsid w:val="007E60E9"/>
    <w:rsid w:val="007E6DC0"/>
    <w:rsid w:val="007E6F45"/>
    <w:rsid w:val="007E6F7E"/>
    <w:rsid w:val="007E76C7"/>
    <w:rsid w:val="007E77D2"/>
    <w:rsid w:val="007E7D9A"/>
    <w:rsid w:val="007E7E79"/>
    <w:rsid w:val="007F0180"/>
    <w:rsid w:val="007F0A2F"/>
    <w:rsid w:val="007F0DDC"/>
    <w:rsid w:val="007F0FF0"/>
    <w:rsid w:val="007F126D"/>
    <w:rsid w:val="007F128E"/>
    <w:rsid w:val="007F13C2"/>
    <w:rsid w:val="007F1A2E"/>
    <w:rsid w:val="007F1A6A"/>
    <w:rsid w:val="007F1AF6"/>
    <w:rsid w:val="007F20E4"/>
    <w:rsid w:val="007F2156"/>
    <w:rsid w:val="007F2304"/>
    <w:rsid w:val="007F26DE"/>
    <w:rsid w:val="007F284C"/>
    <w:rsid w:val="007F2967"/>
    <w:rsid w:val="007F2A84"/>
    <w:rsid w:val="007F2D7E"/>
    <w:rsid w:val="007F3168"/>
    <w:rsid w:val="007F321A"/>
    <w:rsid w:val="007F34F9"/>
    <w:rsid w:val="007F377D"/>
    <w:rsid w:val="007F3983"/>
    <w:rsid w:val="007F3B71"/>
    <w:rsid w:val="007F3C9B"/>
    <w:rsid w:val="007F42C7"/>
    <w:rsid w:val="007F437D"/>
    <w:rsid w:val="007F4422"/>
    <w:rsid w:val="007F46DE"/>
    <w:rsid w:val="007F4908"/>
    <w:rsid w:val="007F4C53"/>
    <w:rsid w:val="007F4C94"/>
    <w:rsid w:val="007F5726"/>
    <w:rsid w:val="007F5812"/>
    <w:rsid w:val="007F5D36"/>
    <w:rsid w:val="007F5E1C"/>
    <w:rsid w:val="007F5F1F"/>
    <w:rsid w:val="007F6660"/>
    <w:rsid w:val="007F66F5"/>
    <w:rsid w:val="007F67E4"/>
    <w:rsid w:val="007F6F56"/>
    <w:rsid w:val="007F6F9B"/>
    <w:rsid w:val="007F76E3"/>
    <w:rsid w:val="007F7775"/>
    <w:rsid w:val="007F7B19"/>
    <w:rsid w:val="007F7BBB"/>
    <w:rsid w:val="007F7BD3"/>
    <w:rsid w:val="00800FAE"/>
    <w:rsid w:val="00800FB7"/>
    <w:rsid w:val="0080109B"/>
    <w:rsid w:val="008010AA"/>
    <w:rsid w:val="0080134F"/>
    <w:rsid w:val="008016D8"/>
    <w:rsid w:val="0080173B"/>
    <w:rsid w:val="0080193D"/>
    <w:rsid w:val="00801A1D"/>
    <w:rsid w:val="00801BC1"/>
    <w:rsid w:val="00801C1E"/>
    <w:rsid w:val="00802063"/>
    <w:rsid w:val="00802107"/>
    <w:rsid w:val="0080213A"/>
    <w:rsid w:val="008029B2"/>
    <w:rsid w:val="00802FB0"/>
    <w:rsid w:val="00803134"/>
    <w:rsid w:val="00803722"/>
    <w:rsid w:val="008037B3"/>
    <w:rsid w:val="00803ADD"/>
    <w:rsid w:val="00803B1C"/>
    <w:rsid w:val="00803B87"/>
    <w:rsid w:val="00803CDD"/>
    <w:rsid w:val="00804435"/>
    <w:rsid w:val="00804688"/>
    <w:rsid w:val="008046C5"/>
    <w:rsid w:val="00804C6C"/>
    <w:rsid w:val="00804CA3"/>
    <w:rsid w:val="00804CD0"/>
    <w:rsid w:val="00804EE8"/>
    <w:rsid w:val="00805164"/>
    <w:rsid w:val="00805639"/>
    <w:rsid w:val="008056EC"/>
    <w:rsid w:val="00805B48"/>
    <w:rsid w:val="00805D82"/>
    <w:rsid w:val="00805DDC"/>
    <w:rsid w:val="0080600A"/>
    <w:rsid w:val="00806221"/>
    <w:rsid w:val="008064FF"/>
    <w:rsid w:val="008065FA"/>
    <w:rsid w:val="00806629"/>
    <w:rsid w:val="00806A32"/>
    <w:rsid w:val="00806AE3"/>
    <w:rsid w:val="00806B04"/>
    <w:rsid w:val="00806BB6"/>
    <w:rsid w:val="00806C7F"/>
    <w:rsid w:val="00806FD2"/>
    <w:rsid w:val="0080713A"/>
    <w:rsid w:val="008071A9"/>
    <w:rsid w:val="008072B8"/>
    <w:rsid w:val="008075C7"/>
    <w:rsid w:val="008076C2"/>
    <w:rsid w:val="00807C93"/>
    <w:rsid w:val="00807CB0"/>
    <w:rsid w:val="00807EA6"/>
    <w:rsid w:val="00810348"/>
    <w:rsid w:val="008103FF"/>
    <w:rsid w:val="0081091C"/>
    <w:rsid w:val="008109DA"/>
    <w:rsid w:val="0081119F"/>
    <w:rsid w:val="00811301"/>
    <w:rsid w:val="00811330"/>
    <w:rsid w:val="00811351"/>
    <w:rsid w:val="00811446"/>
    <w:rsid w:val="008114EE"/>
    <w:rsid w:val="0081155C"/>
    <w:rsid w:val="008115D4"/>
    <w:rsid w:val="00811632"/>
    <w:rsid w:val="008117BA"/>
    <w:rsid w:val="00811C63"/>
    <w:rsid w:val="00811C6E"/>
    <w:rsid w:val="00811D63"/>
    <w:rsid w:val="00811DE7"/>
    <w:rsid w:val="00812036"/>
    <w:rsid w:val="0081211D"/>
    <w:rsid w:val="0081218A"/>
    <w:rsid w:val="008127E1"/>
    <w:rsid w:val="00812A24"/>
    <w:rsid w:val="00812D45"/>
    <w:rsid w:val="00812E42"/>
    <w:rsid w:val="008130C6"/>
    <w:rsid w:val="00813104"/>
    <w:rsid w:val="00813530"/>
    <w:rsid w:val="00813603"/>
    <w:rsid w:val="00813725"/>
    <w:rsid w:val="00813820"/>
    <w:rsid w:val="00813ACC"/>
    <w:rsid w:val="00813B15"/>
    <w:rsid w:val="00813C61"/>
    <w:rsid w:val="008141A5"/>
    <w:rsid w:val="008148BC"/>
    <w:rsid w:val="00814B33"/>
    <w:rsid w:val="00815026"/>
    <w:rsid w:val="008153DF"/>
    <w:rsid w:val="0081558F"/>
    <w:rsid w:val="008158FB"/>
    <w:rsid w:val="00815BF1"/>
    <w:rsid w:val="00815E04"/>
    <w:rsid w:val="00815E83"/>
    <w:rsid w:val="008163DA"/>
    <w:rsid w:val="00816407"/>
    <w:rsid w:val="0081665E"/>
    <w:rsid w:val="008166E9"/>
    <w:rsid w:val="00816999"/>
    <w:rsid w:val="00816C40"/>
    <w:rsid w:val="00816C64"/>
    <w:rsid w:val="00816D5A"/>
    <w:rsid w:val="00816D7C"/>
    <w:rsid w:val="008171F8"/>
    <w:rsid w:val="00817698"/>
    <w:rsid w:val="0081778C"/>
    <w:rsid w:val="0081782A"/>
    <w:rsid w:val="00817987"/>
    <w:rsid w:val="00817A3B"/>
    <w:rsid w:val="00817B25"/>
    <w:rsid w:val="00820372"/>
    <w:rsid w:val="0082079E"/>
    <w:rsid w:val="00820A87"/>
    <w:rsid w:val="00820AF2"/>
    <w:rsid w:val="00820C76"/>
    <w:rsid w:val="00820E80"/>
    <w:rsid w:val="00821050"/>
    <w:rsid w:val="008213D7"/>
    <w:rsid w:val="008213F1"/>
    <w:rsid w:val="008217C3"/>
    <w:rsid w:val="00821A6C"/>
    <w:rsid w:val="00821AD0"/>
    <w:rsid w:val="00821CD2"/>
    <w:rsid w:val="00822137"/>
    <w:rsid w:val="0082236F"/>
    <w:rsid w:val="00822530"/>
    <w:rsid w:val="0082290D"/>
    <w:rsid w:val="00822AFF"/>
    <w:rsid w:val="00822C0B"/>
    <w:rsid w:val="00822D44"/>
    <w:rsid w:val="00822DBC"/>
    <w:rsid w:val="00823078"/>
    <w:rsid w:val="00823D0D"/>
    <w:rsid w:val="00824003"/>
    <w:rsid w:val="0082417E"/>
    <w:rsid w:val="00824449"/>
    <w:rsid w:val="00824510"/>
    <w:rsid w:val="00824C85"/>
    <w:rsid w:val="00824CBC"/>
    <w:rsid w:val="00825200"/>
    <w:rsid w:val="008252DE"/>
    <w:rsid w:val="008253C6"/>
    <w:rsid w:val="00825726"/>
    <w:rsid w:val="00825E4E"/>
    <w:rsid w:val="00825F11"/>
    <w:rsid w:val="0082601B"/>
    <w:rsid w:val="008260F7"/>
    <w:rsid w:val="0082632E"/>
    <w:rsid w:val="00826423"/>
    <w:rsid w:val="008267C0"/>
    <w:rsid w:val="00826B15"/>
    <w:rsid w:val="00826BD6"/>
    <w:rsid w:val="00826E6A"/>
    <w:rsid w:val="0082718C"/>
    <w:rsid w:val="00827343"/>
    <w:rsid w:val="00827AC3"/>
    <w:rsid w:val="00827D3C"/>
    <w:rsid w:val="00827F6C"/>
    <w:rsid w:val="00830254"/>
    <w:rsid w:val="0083071D"/>
    <w:rsid w:val="00831049"/>
    <w:rsid w:val="00831121"/>
    <w:rsid w:val="00831151"/>
    <w:rsid w:val="008311BE"/>
    <w:rsid w:val="008318F0"/>
    <w:rsid w:val="00831B7B"/>
    <w:rsid w:val="00831D5F"/>
    <w:rsid w:val="00831F00"/>
    <w:rsid w:val="00831F71"/>
    <w:rsid w:val="00832099"/>
    <w:rsid w:val="0083276E"/>
    <w:rsid w:val="00832798"/>
    <w:rsid w:val="00832EE5"/>
    <w:rsid w:val="0083307A"/>
    <w:rsid w:val="008330D7"/>
    <w:rsid w:val="008331F6"/>
    <w:rsid w:val="00833AC7"/>
    <w:rsid w:val="00833F50"/>
    <w:rsid w:val="0083419C"/>
    <w:rsid w:val="00834323"/>
    <w:rsid w:val="0083440C"/>
    <w:rsid w:val="00834603"/>
    <w:rsid w:val="008347EB"/>
    <w:rsid w:val="00834839"/>
    <w:rsid w:val="0083496C"/>
    <w:rsid w:val="00834B23"/>
    <w:rsid w:val="00834B41"/>
    <w:rsid w:val="00834B65"/>
    <w:rsid w:val="00834BE5"/>
    <w:rsid w:val="00834C2A"/>
    <w:rsid w:val="00834EF6"/>
    <w:rsid w:val="00835047"/>
    <w:rsid w:val="00835302"/>
    <w:rsid w:val="00835567"/>
    <w:rsid w:val="00835960"/>
    <w:rsid w:val="00835E53"/>
    <w:rsid w:val="00835F62"/>
    <w:rsid w:val="008361A5"/>
    <w:rsid w:val="00837264"/>
    <w:rsid w:val="0083737D"/>
    <w:rsid w:val="0083761B"/>
    <w:rsid w:val="008376CD"/>
    <w:rsid w:val="00837E4E"/>
    <w:rsid w:val="008401D8"/>
    <w:rsid w:val="00840967"/>
    <w:rsid w:val="008409E5"/>
    <w:rsid w:val="00840A3D"/>
    <w:rsid w:val="00840F24"/>
    <w:rsid w:val="008414EC"/>
    <w:rsid w:val="0084150C"/>
    <w:rsid w:val="00841CF2"/>
    <w:rsid w:val="00841D22"/>
    <w:rsid w:val="00841E44"/>
    <w:rsid w:val="008429E1"/>
    <w:rsid w:val="00842A81"/>
    <w:rsid w:val="00842BB9"/>
    <w:rsid w:val="00842DE0"/>
    <w:rsid w:val="00843348"/>
    <w:rsid w:val="00843820"/>
    <w:rsid w:val="00843A3D"/>
    <w:rsid w:val="008442F6"/>
    <w:rsid w:val="0084437C"/>
    <w:rsid w:val="008447BE"/>
    <w:rsid w:val="00844937"/>
    <w:rsid w:val="00845223"/>
    <w:rsid w:val="00845306"/>
    <w:rsid w:val="00845647"/>
    <w:rsid w:val="008459C3"/>
    <w:rsid w:val="00845B6C"/>
    <w:rsid w:val="00845CF6"/>
    <w:rsid w:val="0084665A"/>
    <w:rsid w:val="00846865"/>
    <w:rsid w:val="00846A53"/>
    <w:rsid w:val="00846AB3"/>
    <w:rsid w:val="008474B6"/>
    <w:rsid w:val="00847605"/>
    <w:rsid w:val="008477F9"/>
    <w:rsid w:val="0084782E"/>
    <w:rsid w:val="008501B8"/>
    <w:rsid w:val="008502BE"/>
    <w:rsid w:val="008509C7"/>
    <w:rsid w:val="00851354"/>
    <w:rsid w:val="00851512"/>
    <w:rsid w:val="00851848"/>
    <w:rsid w:val="0085185A"/>
    <w:rsid w:val="00851B12"/>
    <w:rsid w:val="00851DFD"/>
    <w:rsid w:val="00851F29"/>
    <w:rsid w:val="00852482"/>
    <w:rsid w:val="00853377"/>
    <w:rsid w:val="008533CE"/>
    <w:rsid w:val="008536D4"/>
    <w:rsid w:val="00853719"/>
    <w:rsid w:val="00853A64"/>
    <w:rsid w:val="00853C84"/>
    <w:rsid w:val="00853CC9"/>
    <w:rsid w:val="008541FC"/>
    <w:rsid w:val="008545CD"/>
    <w:rsid w:val="0085460E"/>
    <w:rsid w:val="008548EC"/>
    <w:rsid w:val="00854BD5"/>
    <w:rsid w:val="00854C14"/>
    <w:rsid w:val="00854C45"/>
    <w:rsid w:val="00854D04"/>
    <w:rsid w:val="00854F19"/>
    <w:rsid w:val="00855162"/>
    <w:rsid w:val="0085545D"/>
    <w:rsid w:val="00855922"/>
    <w:rsid w:val="00855BA2"/>
    <w:rsid w:val="0085656C"/>
    <w:rsid w:val="008565D5"/>
    <w:rsid w:val="00856C75"/>
    <w:rsid w:val="00856E44"/>
    <w:rsid w:val="00857108"/>
    <w:rsid w:val="008571C7"/>
    <w:rsid w:val="00857477"/>
    <w:rsid w:val="00857A77"/>
    <w:rsid w:val="00857B90"/>
    <w:rsid w:val="00860961"/>
    <w:rsid w:val="00860AF8"/>
    <w:rsid w:val="00860DD3"/>
    <w:rsid w:val="00861176"/>
    <w:rsid w:val="00861644"/>
    <w:rsid w:val="008619A2"/>
    <w:rsid w:val="008619F5"/>
    <w:rsid w:val="00861B54"/>
    <w:rsid w:val="00861E41"/>
    <w:rsid w:val="00862079"/>
    <w:rsid w:val="00862340"/>
    <w:rsid w:val="00862C30"/>
    <w:rsid w:val="00862D21"/>
    <w:rsid w:val="00862D76"/>
    <w:rsid w:val="00862FFF"/>
    <w:rsid w:val="00863297"/>
    <w:rsid w:val="008639BB"/>
    <w:rsid w:val="00863BA3"/>
    <w:rsid w:val="0086400B"/>
    <w:rsid w:val="0086402F"/>
    <w:rsid w:val="00864106"/>
    <w:rsid w:val="008643BC"/>
    <w:rsid w:val="008645AA"/>
    <w:rsid w:val="00864A39"/>
    <w:rsid w:val="0086509D"/>
    <w:rsid w:val="00865500"/>
    <w:rsid w:val="008657C3"/>
    <w:rsid w:val="00865A89"/>
    <w:rsid w:val="00865B7F"/>
    <w:rsid w:val="00865CE5"/>
    <w:rsid w:val="0086609F"/>
    <w:rsid w:val="008662F1"/>
    <w:rsid w:val="008663ED"/>
    <w:rsid w:val="00866442"/>
    <w:rsid w:val="008664CD"/>
    <w:rsid w:val="008668D8"/>
    <w:rsid w:val="00866A5A"/>
    <w:rsid w:val="00866C01"/>
    <w:rsid w:val="00866DCB"/>
    <w:rsid w:val="00867155"/>
    <w:rsid w:val="0086729A"/>
    <w:rsid w:val="00867E3D"/>
    <w:rsid w:val="00867EC1"/>
    <w:rsid w:val="00870115"/>
    <w:rsid w:val="00870360"/>
    <w:rsid w:val="00870D5D"/>
    <w:rsid w:val="00870F6B"/>
    <w:rsid w:val="00871063"/>
    <w:rsid w:val="0087122D"/>
    <w:rsid w:val="0087185D"/>
    <w:rsid w:val="00871D7F"/>
    <w:rsid w:val="00871F0B"/>
    <w:rsid w:val="0087212F"/>
    <w:rsid w:val="00872275"/>
    <w:rsid w:val="0087228F"/>
    <w:rsid w:val="00872293"/>
    <w:rsid w:val="0087251B"/>
    <w:rsid w:val="00872770"/>
    <w:rsid w:val="00872A9B"/>
    <w:rsid w:val="008731F8"/>
    <w:rsid w:val="0087338C"/>
    <w:rsid w:val="008734EF"/>
    <w:rsid w:val="00874B98"/>
    <w:rsid w:val="00874DBF"/>
    <w:rsid w:val="00875277"/>
    <w:rsid w:val="008755E9"/>
    <w:rsid w:val="00875822"/>
    <w:rsid w:val="00875E2B"/>
    <w:rsid w:val="00876577"/>
    <w:rsid w:val="008767D5"/>
    <w:rsid w:val="00876804"/>
    <w:rsid w:val="00876928"/>
    <w:rsid w:val="00876C34"/>
    <w:rsid w:val="00876E01"/>
    <w:rsid w:val="00876EEC"/>
    <w:rsid w:val="00877337"/>
    <w:rsid w:val="008773BD"/>
    <w:rsid w:val="00877B64"/>
    <w:rsid w:val="00877B6C"/>
    <w:rsid w:val="00877D9F"/>
    <w:rsid w:val="00877FB4"/>
    <w:rsid w:val="0088009B"/>
    <w:rsid w:val="008800D3"/>
    <w:rsid w:val="008802D7"/>
    <w:rsid w:val="0088054F"/>
    <w:rsid w:val="0088062E"/>
    <w:rsid w:val="008807E9"/>
    <w:rsid w:val="00880A7F"/>
    <w:rsid w:val="00880B12"/>
    <w:rsid w:val="00880B60"/>
    <w:rsid w:val="00880F8F"/>
    <w:rsid w:val="008810CA"/>
    <w:rsid w:val="0088123D"/>
    <w:rsid w:val="008817A9"/>
    <w:rsid w:val="0088189B"/>
    <w:rsid w:val="00881AEE"/>
    <w:rsid w:val="0088218E"/>
    <w:rsid w:val="0088220D"/>
    <w:rsid w:val="008823DC"/>
    <w:rsid w:val="008825C2"/>
    <w:rsid w:val="00882DB1"/>
    <w:rsid w:val="00883171"/>
    <w:rsid w:val="0088323F"/>
    <w:rsid w:val="0088330C"/>
    <w:rsid w:val="008833DA"/>
    <w:rsid w:val="008835A8"/>
    <w:rsid w:val="00883638"/>
    <w:rsid w:val="00883767"/>
    <w:rsid w:val="00883982"/>
    <w:rsid w:val="00883EA1"/>
    <w:rsid w:val="00885043"/>
    <w:rsid w:val="00885185"/>
    <w:rsid w:val="008851F3"/>
    <w:rsid w:val="00885791"/>
    <w:rsid w:val="00885FE2"/>
    <w:rsid w:val="00885FF7"/>
    <w:rsid w:val="00886051"/>
    <w:rsid w:val="0088628E"/>
    <w:rsid w:val="0088686C"/>
    <w:rsid w:val="00886D5C"/>
    <w:rsid w:val="00886E59"/>
    <w:rsid w:val="00886FB7"/>
    <w:rsid w:val="00887CC4"/>
    <w:rsid w:val="00887DD4"/>
    <w:rsid w:val="00887FBA"/>
    <w:rsid w:val="00890191"/>
    <w:rsid w:val="00890472"/>
    <w:rsid w:val="00890569"/>
    <w:rsid w:val="008907E2"/>
    <w:rsid w:val="00890992"/>
    <w:rsid w:val="00890B47"/>
    <w:rsid w:val="00891276"/>
    <w:rsid w:val="008915FE"/>
    <w:rsid w:val="00891611"/>
    <w:rsid w:val="00891993"/>
    <w:rsid w:val="008919B7"/>
    <w:rsid w:val="00891A27"/>
    <w:rsid w:val="00891D74"/>
    <w:rsid w:val="008920C9"/>
    <w:rsid w:val="008920D9"/>
    <w:rsid w:val="008926F3"/>
    <w:rsid w:val="00892C6D"/>
    <w:rsid w:val="00892EB7"/>
    <w:rsid w:val="0089360A"/>
    <w:rsid w:val="00893809"/>
    <w:rsid w:val="00893880"/>
    <w:rsid w:val="00893D18"/>
    <w:rsid w:val="00893E29"/>
    <w:rsid w:val="0089409A"/>
    <w:rsid w:val="00894251"/>
    <w:rsid w:val="008947ED"/>
    <w:rsid w:val="00894F46"/>
    <w:rsid w:val="00895825"/>
    <w:rsid w:val="00895ACF"/>
    <w:rsid w:val="00895C75"/>
    <w:rsid w:val="008964E9"/>
    <w:rsid w:val="008966F8"/>
    <w:rsid w:val="00896805"/>
    <w:rsid w:val="008968F5"/>
    <w:rsid w:val="00896A81"/>
    <w:rsid w:val="00896D61"/>
    <w:rsid w:val="00896DF4"/>
    <w:rsid w:val="00896DFA"/>
    <w:rsid w:val="0089744D"/>
    <w:rsid w:val="00897770"/>
    <w:rsid w:val="00897BD0"/>
    <w:rsid w:val="008A0358"/>
    <w:rsid w:val="008A03BF"/>
    <w:rsid w:val="008A048B"/>
    <w:rsid w:val="008A1351"/>
    <w:rsid w:val="008A136B"/>
    <w:rsid w:val="008A1AE2"/>
    <w:rsid w:val="008A1B08"/>
    <w:rsid w:val="008A1C2C"/>
    <w:rsid w:val="008A23B5"/>
    <w:rsid w:val="008A2934"/>
    <w:rsid w:val="008A2C99"/>
    <w:rsid w:val="008A2D45"/>
    <w:rsid w:val="008A3039"/>
    <w:rsid w:val="008A3133"/>
    <w:rsid w:val="008A35D0"/>
    <w:rsid w:val="008A3641"/>
    <w:rsid w:val="008A37EF"/>
    <w:rsid w:val="008A3B53"/>
    <w:rsid w:val="008A3F30"/>
    <w:rsid w:val="008A3FFE"/>
    <w:rsid w:val="008A4397"/>
    <w:rsid w:val="008A487D"/>
    <w:rsid w:val="008A4930"/>
    <w:rsid w:val="008A4D6A"/>
    <w:rsid w:val="008A4E46"/>
    <w:rsid w:val="008A501D"/>
    <w:rsid w:val="008A5264"/>
    <w:rsid w:val="008A5301"/>
    <w:rsid w:val="008A53E0"/>
    <w:rsid w:val="008A57C7"/>
    <w:rsid w:val="008A5B9D"/>
    <w:rsid w:val="008A5E6C"/>
    <w:rsid w:val="008A617F"/>
    <w:rsid w:val="008A6491"/>
    <w:rsid w:val="008A667D"/>
    <w:rsid w:val="008A69C6"/>
    <w:rsid w:val="008A6ED9"/>
    <w:rsid w:val="008A7A4D"/>
    <w:rsid w:val="008A7AA2"/>
    <w:rsid w:val="008A7F53"/>
    <w:rsid w:val="008B03DF"/>
    <w:rsid w:val="008B0F48"/>
    <w:rsid w:val="008B1072"/>
    <w:rsid w:val="008B10F3"/>
    <w:rsid w:val="008B11BF"/>
    <w:rsid w:val="008B122E"/>
    <w:rsid w:val="008B12B3"/>
    <w:rsid w:val="008B166D"/>
    <w:rsid w:val="008B1A30"/>
    <w:rsid w:val="008B1B22"/>
    <w:rsid w:val="008B25AA"/>
    <w:rsid w:val="008B2725"/>
    <w:rsid w:val="008B27A3"/>
    <w:rsid w:val="008B28B3"/>
    <w:rsid w:val="008B28F2"/>
    <w:rsid w:val="008B29E6"/>
    <w:rsid w:val="008B2FBD"/>
    <w:rsid w:val="008B3381"/>
    <w:rsid w:val="008B372E"/>
    <w:rsid w:val="008B40AC"/>
    <w:rsid w:val="008B4149"/>
    <w:rsid w:val="008B43A3"/>
    <w:rsid w:val="008B4541"/>
    <w:rsid w:val="008B46BE"/>
    <w:rsid w:val="008B47D4"/>
    <w:rsid w:val="008B4912"/>
    <w:rsid w:val="008B4D10"/>
    <w:rsid w:val="008B5517"/>
    <w:rsid w:val="008B58A3"/>
    <w:rsid w:val="008B5BF3"/>
    <w:rsid w:val="008B5FEE"/>
    <w:rsid w:val="008B6013"/>
    <w:rsid w:val="008B6102"/>
    <w:rsid w:val="008B62B8"/>
    <w:rsid w:val="008B6739"/>
    <w:rsid w:val="008B6A06"/>
    <w:rsid w:val="008B6A5F"/>
    <w:rsid w:val="008B6DF8"/>
    <w:rsid w:val="008B70B0"/>
    <w:rsid w:val="008B7163"/>
    <w:rsid w:val="008B74DE"/>
    <w:rsid w:val="008B7A17"/>
    <w:rsid w:val="008B7B10"/>
    <w:rsid w:val="008B7CBE"/>
    <w:rsid w:val="008B7D64"/>
    <w:rsid w:val="008B7DEF"/>
    <w:rsid w:val="008B7F99"/>
    <w:rsid w:val="008C01A7"/>
    <w:rsid w:val="008C0820"/>
    <w:rsid w:val="008C0A38"/>
    <w:rsid w:val="008C0D67"/>
    <w:rsid w:val="008C1265"/>
    <w:rsid w:val="008C129F"/>
    <w:rsid w:val="008C153A"/>
    <w:rsid w:val="008C164B"/>
    <w:rsid w:val="008C1708"/>
    <w:rsid w:val="008C18E0"/>
    <w:rsid w:val="008C1AE3"/>
    <w:rsid w:val="008C1D39"/>
    <w:rsid w:val="008C2129"/>
    <w:rsid w:val="008C228B"/>
    <w:rsid w:val="008C2604"/>
    <w:rsid w:val="008C2680"/>
    <w:rsid w:val="008C2C21"/>
    <w:rsid w:val="008C2C6C"/>
    <w:rsid w:val="008C2D18"/>
    <w:rsid w:val="008C2E70"/>
    <w:rsid w:val="008C3262"/>
    <w:rsid w:val="008C3594"/>
    <w:rsid w:val="008C3690"/>
    <w:rsid w:val="008C395B"/>
    <w:rsid w:val="008C3ACF"/>
    <w:rsid w:val="008C3D5A"/>
    <w:rsid w:val="008C5170"/>
    <w:rsid w:val="008C540D"/>
    <w:rsid w:val="008C5435"/>
    <w:rsid w:val="008C5993"/>
    <w:rsid w:val="008C59A7"/>
    <w:rsid w:val="008C62E5"/>
    <w:rsid w:val="008C62E7"/>
    <w:rsid w:val="008C6467"/>
    <w:rsid w:val="008C66B6"/>
    <w:rsid w:val="008C6ADF"/>
    <w:rsid w:val="008C6E28"/>
    <w:rsid w:val="008C6F3B"/>
    <w:rsid w:val="008C733A"/>
    <w:rsid w:val="008C77D2"/>
    <w:rsid w:val="008C782B"/>
    <w:rsid w:val="008C790F"/>
    <w:rsid w:val="008C7B29"/>
    <w:rsid w:val="008C7C2E"/>
    <w:rsid w:val="008C7C41"/>
    <w:rsid w:val="008C7D36"/>
    <w:rsid w:val="008C7F8A"/>
    <w:rsid w:val="008D000E"/>
    <w:rsid w:val="008D02A7"/>
    <w:rsid w:val="008D02F7"/>
    <w:rsid w:val="008D061D"/>
    <w:rsid w:val="008D0BCA"/>
    <w:rsid w:val="008D0FFC"/>
    <w:rsid w:val="008D10FA"/>
    <w:rsid w:val="008D1288"/>
    <w:rsid w:val="008D1469"/>
    <w:rsid w:val="008D1BA4"/>
    <w:rsid w:val="008D1DFC"/>
    <w:rsid w:val="008D219E"/>
    <w:rsid w:val="008D24EA"/>
    <w:rsid w:val="008D286C"/>
    <w:rsid w:val="008D32C8"/>
    <w:rsid w:val="008D34AE"/>
    <w:rsid w:val="008D36E7"/>
    <w:rsid w:val="008D37DB"/>
    <w:rsid w:val="008D380E"/>
    <w:rsid w:val="008D39BC"/>
    <w:rsid w:val="008D3B72"/>
    <w:rsid w:val="008D3D17"/>
    <w:rsid w:val="008D4D3F"/>
    <w:rsid w:val="008D51A2"/>
    <w:rsid w:val="008D52DB"/>
    <w:rsid w:val="008D55B7"/>
    <w:rsid w:val="008D5631"/>
    <w:rsid w:val="008D5BE0"/>
    <w:rsid w:val="008D5CCE"/>
    <w:rsid w:val="008D5DA9"/>
    <w:rsid w:val="008D5DFD"/>
    <w:rsid w:val="008D5E69"/>
    <w:rsid w:val="008D621E"/>
    <w:rsid w:val="008D6261"/>
    <w:rsid w:val="008D6832"/>
    <w:rsid w:val="008D6A1C"/>
    <w:rsid w:val="008D6E2D"/>
    <w:rsid w:val="008D6EFF"/>
    <w:rsid w:val="008D7448"/>
    <w:rsid w:val="008D7904"/>
    <w:rsid w:val="008D7937"/>
    <w:rsid w:val="008D79FB"/>
    <w:rsid w:val="008D7DCA"/>
    <w:rsid w:val="008E006E"/>
    <w:rsid w:val="008E035A"/>
    <w:rsid w:val="008E0394"/>
    <w:rsid w:val="008E03E2"/>
    <w:rsid w:val="008E07AC"/>
    <w:rsid w:val="008E0860"/>
    <w:rsid w:val="008E0B39"/>
    <w:rsid w:val="008E0CA7"/>
    <w:rsid w:val="008E0CBE"/>
    <w:rsid w:val="008E0CE3"/>
    <w:rsid w:val="008E0DEB"/>
    <w:rsid w:val="008E1234"/>
    <w:rsid w:val="008E12FB"/>
    <w:rsid w:val="008E132D"/>
    <w:rsid w:val="008E1471"/>
    <w:rsid w:val="008E149C"/>
    <w:rsid w:val="008E150C"/>
    <w:rsid w:val="008E165B"/>
    <w:rsid w:val="008E17FB"/>
    <w:rsid w:val="008E1935"/>
    <w:rsid w:val="008E1EAE"/>
    <w:rsid w:val="008E2132"/>
    <w:rsid w:val="008E2840"/>
    <w:rsid w:val="008E2FDC"/>
    <w:rsid w:val="008E3450"/>
    <w:rsid w:val="008E3A83"/>
    <w:rsid w:val="008E3AF2"/>
    <w:rsid w:val="008E3BD5"/>
    <w:rsid w:val="008E3CDC"/>
    <w:rsid w:val="008E3DCC"/>
    <w:rsid w:val="008E3E06"/>
    <w:rsid w:val="008E3FC6"/>
    <w:rsid w:val="008E4109"/>
    <w:rsid w:val="008E41DA"/>
    <w:rsid w:val="008E4469"/>
    <w:rsid w:val="008E45DF"/>
    <w:rsid w:val="008E4D58"/>
    <w:rsid w:val="008E4FF7"/>
    <w:rsid w:val="008E520E"/>
    <w:rsid w:val="008E54B1"/>
    <w:rsid w:val="008E57C9"/>
    <w:rsid w:val="008E5ABF"/>
    <w:rsid w:val="008E5B3B"/>
    <w:rsid w:val="008E5BA9"/>
    <w:rsid w:val="008E5F62"/>
    <w:rsid w:val="008E6489"/>
    <w:rsid w:val="008E6991"/>
    <w:rsid w:val="008E69EE"/>
    <w:rsid w:val="008E71D3"/>
    <w:rsid w:val="008E738B"/>
    <w:rsid w:val="008E753F"/>
    <w:rsid w:val="008E7AB6"/>
    <w:rsid w:val="008E7AF8"/>
    <w:rsid w:val="008E7B2F"/>
    <w:rsid w:val="008E7D5D"/>
    <w:rsid w:val="008F02FA"/>
    <w:rsid w:val="008F0510"/>
    <w:rsid w:val="008F07D1"/>
    <w:rsid w:val="008F0A6A"/>
    <w:rsid w:val="008F147B"/>
    <w:rsid w:val="008F15A0"/>
    <w:rsid w:val="008F1775"/>
    <w:rsid w:val="008F1B0B"/>
    <w:rsid w:val="008F1B8E"/>
    <w:rsid w:val="008F1BF6"/>
    <w:rsid w:val="008F1C26"/>
    <w:rsid w:val="008F1E07"/>
    <w:rsid w:val="008F21D8"/>
    <w:rsid w:val="008F273D"/>
    <w:rsid w:val="008F30B2"/>
    <w:rsid w:val="008F366A"/>
    <w:rsid w:val="008F3E49"/>
    <w:rsid w:val="008F3E7C"/>
    <w:rsid w:val="008F4173"/>
    <w:rsid w:val="008F4414"/>
    <w:rsid w:val="008F463C"/>
    <w:rsid w:val="008F4739"/>
    <w:rsid w:val="008F48CE"/>
    <w:rsid w:val="008F4A39"/>
    <w:rsid w:val="008F4ABC"/>
    <w:rsid w:val="008F4C08"/>
    <w:rsid w:val="008F5026"/>
    <w:rsid w:val="008F569F"/>
    <w:rsid w:val="008F5734"/>
    <w:rsid w:val="008F57C8"/>
    <w:rsid w:val="008F5B98"/>
    <w:rsid w:val="008F5E28"/>
    <w:rsid w:val="008F5E89"/>
    <w:rsid w:val="008F5F6E"/>
    <w:rsid w:val="008F6504"/>
    <w:rsid w:val="008F6528"/>
    <w:rsid w:val="008F6AB4"/>
    <w:rsid w:val="008F6B1A"/>
    <w:rsid w:val="008F6E4D"/>
    <w:rsid w:val="008F70D2"/>
    <w:rsid w:val="008F74A5"/>
    <w:rsid w:val="008F74BC"/>
    <w:rsid w:val="008F754E"/>
    <w:rsid w:val="008F7A50"/>
    <w:rsid w:val="009004D1"/>
    <w:rsid w:val="009004D5"/>
    <w:rsid w:val="00900686"/>
    <w:rsid w:val="0090075A"/>
    <w:rsid w:val="009008DE"/>
    <w:rsid w:val="00900933"/>
    <w:rsid w:val="00900E4C"/>
    <w:rsid w:val="00901540"/>
    <w:rsid w:val="00901996"/>
    <w:rsid w:val="009019AF"/>
    <w:rsid w:val="00901D6C"/>
    <w:rsid w:val="0090203A"/>
    <w:rsid w:val="0090205D"/>
    <w:rsid w:val="00902247"/>
    <w:rsid w:val="0090282E"/>
    <w:rsid w:val="00902925"/>
    <w:rsid w:val="00902986"/>
    <w:rsid w:val="00902996"/>
    <w:rsid w:val="00902A17"/>
    <w:rsid w:val="00902C07"/>
    <w:rsid w:val="00903DF5"/>
    <w:rsid w:val="00904626"/>
    <w:rsid w:val="009048FD"/>
    <w:rsid w:val="00904CB7"/>
    <w:rsid w:val="00904E47"/>
    <w:rsid w:val="009050BA"/>
    <w:rsid w:val="00905114"/>
    <w:rsid w:val="00905230"/>
    <w:rsid w:val="0090533B"/>
    <w:rsid w:val="0090583D"/>
    <w:rsid w:val="00906709"/>
    <w:rsid w:val="00906AA8"/>
    <w:rsid w:val="00907037"/>
    <w:rsid w:val="009070F8"/>
    <w:rsid w:val="00907757"/>
    <w:rsid w:val="00907C42"/>
    <w:rsid w:val="00907EF7"/>
    <w:rsid w:val="00910501"/>
    <w:rsid w:val="0091064F"/>
    <w:rsid w:val="00910DAC"/>
    <w:rsid w:val="00910DF7"/>
    <w:rsid w:val="00911202"/>
    <w:rsid w:val="00911292"/>
    <w:rsid w:val="0091144E"/>
    <w:rsid w:val="0091171A"/>
    <w:rsid w:val="00911C05"/>
    <w:rsid w:val="00911DAA"/>
    <w:rsid w:val="00911ED8"/>
    <w:rsid w:val="00911F3A"/>
    <w:rsid w:val="00912786"/>
    <w:rsid w:val="00912DB6"/>
    <w:rsid w:val="00912F09"/>
    <w:rsid w:val="00912F8F"/>
    <w:rsid w:val="0091300C"/>
    <w:rsid w:val="0091310C"/>
    <w:rsid w:val="009132BA"/>
    <w:rsid w:val="009134CA"/>
    <w:rsid w:val="00913591"/>
    <w:rsid w:val="009135EA"/>
    <w:rsid w:val="0091393C"/>
    <w:rsid w:val="00913A2D"/>
    <w:rsid w:val="00913AD1"/>
    <w:rsid w:val="00913F75"/>
    <w:rsid w:val="0091405D"/>
    <w:rsid w:val="009141D2"/>
    <w:rsid w:val="00914216"/>
    <w:rsid w:val="00914383"/>
    <w:rsid w:val="0091464A"/>
    <w:rsid w:val="009146CA"/>
    <w:rsid w:val="009147AF"/>
    <w:rsid w:val="009147F6"/>
    <w:rsid w:val="00914BBE"/>
    <w:rsid w:val="00914D1D"/>
    <w:rsid w:val="00915546"/>
    <w:rsid w:val="00915B4D"/>
    <w:rsid w:val="00915CAD"/>
    <w:rsid w:val="00915CCE"/>
    <w:rsid w:val="009161F6"/>
    <w:rsid w:val="0091632F"/>
    <w:rsid w:val="00916BD5"/>
    <w:rsid w:val="00916FE2"/>
    <w:rsid w:val="00917174"/>
    <w:rsid w:val="00917497"/>
    <w:rsid w:val="009175E6"/>
    <w:rsid w:val="00917AA4"/>
    <w:rsid w:val="00917F0D"/>
    <w:rsid w:val="0092012D"/>
    <w:rsid w:val="00920223"/>
    <w:rsid w:val="009205BF"/>
    <w:rsid w:val="00920C72"/>
    <w:rsid w:val="00920F2D"/>
    <w:rsid w:val="009211CE"/>
    <w:rsid w:val="009211DE"/>
    <w:rsid w:val="00921235"/>
    <w:rsid w:val="00921283"/>
    <w:rsid w:val="009214E4"/>
    <w:rsid w:val="009216B5"/>
    <w:rsid w:val="00921EBC"/>
    <w:rsid w:val="009220D3"/>
    <w:rsid w:val="00922291"/>
    <w:rsid w:val="00922382"/>
    <w:rsid w:val="009224C9"/>
    <w:rsid w:val="00922528"/>
    <w:rsid w:val="00922718"/>
    <w:rsid w:val="00922F88"/>
    <w:rsid w:val="00923245"/>
    <w:rsid w:val="00923249"/>
    <w:rsid w:val="00923409"/>
    <w:rsid w:val="009234B9"/>
    <w:rsid w:val="00923BD9"/>
    <w:rsid w:val="00923E71"/>
    <w:rsid w:val="00923EA8"/>
    <w:rsid w:val="00923F19"/>
    <w:rsid w:val="009246CA"/>
    <w:rsid w:val="00924AC4"/>
    <w:rsid w:val="00925096"/>
    <w:rsid w:val="009255FD"/>
    <w:rsid w:val="0092570D"/>
    <w:rsid w:val="009258A6"/>
    <w:rsid w:val="00925AD2"/>
    <w:rsid w:val="00925CB6"/>
    <w:rsid w:val="00925E07"/>
    <w:rsid w:val="00925F42"/>
    <w:rsid w:val="00926584"/>
    <w:rsid w:val="0092676B"/>
    <w:rsid w:val="009268AF"/>
    <w:rsid w:val="00926A4B"/>
    <w:rsid w:val="00926C69"/>
    <w:rsid w:val="00926CC7"/>
    <w:rsid w:val="0092775D"/>
    <w:rsid w:val="00927DD7"/>
    <w:rsid w:val="0093086A"/>
    <w:rsid w:val="009309A5"/>
    <w:rsid w:val="009309E7"/>
    <w:rsid w:val="00930C94"/>
    <w:rsid w:val="00930F06"/>
    <w:rsid w:val="009312C9"/>
    <w:rsid w:val="009314E4"/>
    <w:rsid w:val="009323D7"/>
    <w:rsid w:val="009324A7"/>
    <w:rsid w:val="00932B67"/>
    <w:rsid w:val="00933204"/>
    <w:rsid w:val="009338C4"/>
    <w:rsid w:val="00933C57"/>
    <w:rsid w:val="00933D65"/>
    <w:rsid w:val="009343E0"/>
    <w:rsid w:val="00934449"/>
    <w:rsid w:val="009345CF"/>
    <w:rsid w:val="009358B1"/>
    <w:rsid w:val="00935D50"/>
    <w:rsid w:val="00935E19"/>
    <w:rsid w:val="00936177"/>
    <w:rsid w:val="00936260"/>
    <w:rsid w:val="00936288"/>
    <w:rsid w:val="009363DA"/>
    <w:rsid w:val="00936571"/>
    <w:rsid w:val="009365CC"/>
    <w:rsid w:val="00936760"/>
    <w:rsid w:val="009367D4"/>
    <w:rsid w:val="009369E6"/>
    <w:rsid w:val="00936BB1"/>
    <w:rsid w:val="00936D55"/>
    <w:rsid w:val="00936FE8"/>
    <w:rsid w:val="00937491"/>
    <w:rsid w:val="009374E7"/>
    <w:rsid w:val="00937902"/>
    <w:rsid w:val="00937BF6"/>
    <w:rsid w:val="00937D98"/>
    <w:rsid w:val="00937DBB"/>
    <w:rsid w:val="0094000C"/>
    <w:rsid w:val="00940055"/>
    <w:rsid w:val="00940878"/>
    <w:rsid w:val="00940A9F"/>
    <w:rsid w:val="0094101F"/>
    <w:rsid w:val="00941701"/>
    <w:rsid w:val="009419A7"/>
    <w:rsid w:val="00941B24"/>
    <w:rsid w:val="00941B25"/>
    <w:rsid w:val="00941B44"/>
    <w:rsid w:val="00941E89"/>
    <w:rsid w:val="00941FA3"/>
    <w:rsid w:val="00942438"/>
    <w:rsid w:val="009429B4"/>
    <w:rsid w:val="0094317B"/>
    <w:rsid w:val="009433DD"/>
    <w:rsid w:val="00943598"/>
    <w:rsid w:val="009437A9"/>
    <w:rsid w:val="00943EFD"/>
    <w:rsid w:val="00943F0D"/>
    <w:rsid w:val="009440F0"/>
    <w:rsid w:val="009446C0"/>
    <w:rsid w:val="009447A5"/>
    <w:rsid w:val="009447B1"/>
    <w:rsid w:val="00944E57"/>
    <w:rsid w:val="0094508C"/>
    <w:rsid w:val="009452A6"/>
    <w:rsid w:val="009453FE"/>
    <w:rsid w:val="00945909"/>
    <w:rsid w:val="00945967"/>
    <w:rsid w:val="00946018"/>
    <w:rsid w:val="00946198"/>
    <w:rsid w:val="0094620A"/>
    <w:rsid w:val="009464FF"/>
    <w:rsid w:val="009465BD"/>
    <w:rsid w:val="0094691D"/>
    <w:rsid w:val="00946973"/>
    <w:rsid w:val="00946DA5"/>
    <w:rsid w:val="00946EC2"/>
    <w:rsid w:val="0094707D"/>
    <w:rsid w:val="009470FB"/>
    <w:rsid w:val="009471A5"/>
    <w:rsid w:val="009477C2"/>
    <w:rsid w:val="00947824"/>
    <w:rsid w:val="0094787E"/>
    <w:rsid w:val="00947CEB"/>
    <w:rsid w:val="0095001E"/>
    <w:rsid w:val="0095018C"/>
    <w:rsid w:val="0095032F"/>
    <w:rsid w:val="009507E5"/>
    <w:rsid w:val="00950D86"/>
    <w:rsid w:val="00950E52"/>
    <w:rsid w:val="00950EB2"/>
    <w:rsid w:val="00950FF5"/>
    <w:rsid w:val="009510E4"/>
    <w:rsid w:val="00951D98"/>
    <w:rsid w:val="00951E04"/>
    <w:rsid w:val="0095252D"/>
    <w:rsid w:val="00952936"/>
    <w:rsid w:val="00952AA2"/>
    <w:rsid w:val="00952B87"/>
    <w:rsid w:val="00952BB6"/>
    <w:rsid w:val="00953164"/>
    <w:rsid w:val="009531C3"/>
    <w:rsid w:val="00953722"/>
    <w:rsid w:val="0095389F"/>
    <w:rsid w:val="009539E2"/>
    <w:rsid w:val="00953D1B"/>
    <w:rsid w:val="0095417D"/>
    <w:rsid w:val="00954522"/>
    <w:rsid w:val="00954A51"/>
    <w:rsid w:val="00955062"/>
    <w:rsid w:val="00955275"/>
    <w:rsid w:val="009552AD"/>
    <w:rsid w:val="0095577E"/>
    <w:rsid w:val="00955D00"/>
    <w:rsid w:val="00955DAB"/>
    <w:rsid w:val="00956009"/>
    <w:rsid w:val="00956098"/>
    <w:rsid w:val="0095613D"/>
    <w:rsid w:val="0095677E"/>
    <w:rsid w:val="00956D19"/>
    <w:rsid w:val="0095715C"/>
    <w:rsid w:val="00957399"/>
    <w:rsid w:val="00957843"/>
    <w:rsid w:val="00957C08"/>
    <w:rsid w:val="00957DBC"/>
    <w:rsid w:val="00957ECF"/>
    <w:rsid w:val="00957F5A"/>
    <w:rsid w:val="00957FB6"/>
    <w:rsid w:val="0096007E"/>
    <w:rsid w:val="00960704"/>
    <w:rsid w:val="00960E95"/>
    <w:rsid w:val="00961023"/>
    <w:rsid w:val="009610DB"/>
    <w:rsid w:val="0096147F"/>
    <w:rsid w:val="009618E5"/>
    <w:rsid w:val="00961976"/>
    <w:rsid w:val="0096197C"/>
    <w:rsid w:val="0096200B"/>
    <w:rsid w:val="00962121"/>
    <w:rsid w:val="009623C8"/>
    <w:rsid w:val="009624F7"/>
    <w:rsid w:val="009625EC"/>
    <w:rsid w:val="009626A4"/>
    <w:rsid w:val="009627E8"/>
    <w:rsid w:val="00962BCB"/>
    <w:rsid w:val="00962DA5"/>
    <w:rsid w:val="00963103"/>
    <w:rsid w:val="009631CE"/>
    <w:rsid w:val="009632DD"/>
    <w:rsid w:val="009633F3"/>
    <w:rsid w:val="00964103"/>
    <w:rsid w:val="0096451A"/>
    <w:rsid w:val="009646EE"/>
    <w:rsid w:val="009648A2"/>
    <w:rsid w:val="009648AD"/>
    <w:rsid w:val="00964923"/>
    <w:rsid w:val="00964AB7"/>
    <w:rsid w:val="0096517C"/>
    <w:rsid w:val="00965942"/>
    <w:rsid w:val="00965EEC"/>
    <w:rsid w:val="00966057"/>
    <w:rsid w:val="00966300"/>
    <w:rsid w:val="009663EE"/>
    <w:rsid w:val="00966840"/>
    <w:rsid w:val="00966925"/>
    <w:rsid w:val="0096697C"/>
    <w:rsid w:val="00966AA3"/>
    <w:rsid w:val="00966D6C"/>
    <w:rsid w:val="00966DDA"/>
    <w:rsid w:val="00966F9A"/>
    <w:rsid w:val="009671EB"/>
    <w:rsid w:val="0096736F"/>
    <w:rsid w:val="00967535"/>
    <w:rsid w:val="009678A3"/>
    <w:rsid w:val="00967B74"/>
    <w:rsid w:val="00967D21"/>
    <w:rsid w:val="00967E7E"/>
    <w:rsid w:val="009703CD"/>
    <w:rsid w:val="009704ED"/>
    <w:rsid w:val="0097063A"/>
    <w:rsid w:val="009706B2"/>
    <w:rsid w:val="009707E8"/>
    <w:rsid w:val="0097088A"/>
    <w:rsid w:val="0097091F"/>
    <w:rsid w:val="00970D8A"/>
    <w:rsid w:val="00971507"/>
    <w:rsid w:val="009717EB"/>
    <w:rsid w:val="00971B5F"/>
    <w:rsid w:val="00971DE1"/>
    <w:rsid w:val="009723A0"/>
    <w:rsid w:val="00972E5F"/>
    <w:rsid w:val="009739CF"/>
    <w:rsid w:val="00973E19"/>
    <w:rsid w:val="00974055"/>
    <w:rsid w:val="00974465"/>
    <w:rsid w:val="00974698"/>
    <w:rsid w:val="00974726"/>
    <w:rsid w:val="00974CE2"/>
    <w:rsid w:val="00974E39"/>
    <w:rsid w:val="009752F0"/>
    <w:rsid w:val="0097536F"/>
    <w:rsid w:val="00975389"/>
    <w:rsid w:val="00975BA8"/>
    <w:rsid w:val="00975BBB"/>
    <w:rsid w:val="00975C07"/>
    <w:rsid w:val="00975FF2"/>
    <w:rsid w:val="009764AA"/>
    <w:rsid w:val="009768DD"/>
    <w:rsid w:val="009777BF"/>
    <w:rsid w:val="0097782C"/>
    <w:rsid w:val="00980009"/>
    <w:rsid w:val="00980200"/>
    <w:rsid w:val="0098026F"/>
    <w:rsid w:val="009803D7"/>
    <w:rsid w:val="00980487"/>
    <w:rsid w:val="00980765"/>
    <w:rsid w:val="009807FB"/>
    <w:rsid w:val="00980F7B"/>
    <w:rsid w:val="0098109B"/>
    <w:rsid w:val="00981AF5"/>
    <w:rsid w:val="00981C0F"/>
    <w:rsid w:val="00981C75"/>
    <w:rsid w:val="00981D4E"/>
    <w:rsid w:val="00982264"/>
    <w:rsid w:val="009825D6"/>
    <w:rsid w:val="00982988"/>
    <w:rsid w:val="00982D15"/>
    <w:rsid w:val="0098349A"/>
    <w:rsid w:val="009836C2"/>
    <w:rsid w:val="00983A67"/>
    <w:rsid w:val="00983D5B"/>
    <w:rsid w:val="00983D81"/>
    <w:rsid w:val="009840E3"/>
    <w:rsid w:val="0098414D"/>
    <w:rsid w:val="00984673"/>
    <w:rsid w:val="009846D3"/>
    <w:rsid w:val="00984741"/>
    <w:rsid w:val="00984797"/>
    <w:rsid w:val="009848C2"/>
    <w:rsid w:val="00985159"/>
    <w:rsid w:val="009851DA"/>
    <w:rsid w:val="009854E7"/>
    <w:rsid w:val="0098554D"/>
    <w:rsid w:val="00985BC5"/>
    <w:rsid w:val="00986719"/>
    <w:rsid w:val="00986FDD"/>
    <w:rsid w:val="009870FE"/>
    <w:rsid w:val="009876DA"/>
    <w:rsid w:val="00987B02"/>
    <w:rsid w:val="00987D39"/>
    <w:rsid w:val="00987D8C"/>
    <w:rsid w:val="00987FD2"/>
    <w:rsid w:val="00990455"/>
    <w:rsid w:val="00990643"/>
    <w:rsid w:val="00990717"/>
    <w:rsid w:val="009911E2"/>
    <w:rsid w:val="0099177F"/>
    <w:rsid w:val="009920F4"/>
    <w:rsid w:val="00992116"/>
    <w:rsid w:val="0099221B"/>
    <w:rsid w:val="00992292"/>
    <w:rsid w:val="0099252F"/>
    <w:rsid w:val="009928CA"/>
    <w:rsid w:val="009929D0"/>
    <w:rsid w:val="00992DDA"/>
    <w:rsid w:val="009930C2"/>
    <w:rsid w:val="00993861"/>
    <w:rsid w:val="00993991"/>
    <w:rsid w:val="00993B29"/>
    <w:rsid w:val="00993C60"/>
    <w:rsid w:val="00993FD4"/>
    <w:rsid w:val="00994140"/>
    <w:rsid w:val="00994143"/>
    <w:rsid w:val="009941E5"/>
    <w:rsid w:val="00994255"/>
    <w:rsid w:val="009948EC"/>
    <w:rsid w:val="00995204"/>
    <w:rsid w:val="00995753"/>
    <w:rsid w:val="00995AF8"/>
    <w:rsid w:val="00995B3C"/>
    <w:rsid w:val="00995B97"/>
    <w:rsid w:val="00995DAD"/>
    <w:rsid w:val="00995FF9"/>
    <w:rsid w:val="009962F1"/>
    <w:rsid w:val="00996369"/>
    <w:rsid w:val="009963AA"/>
    <w:rsid w:val="00996682"/>
    <w:rsid w:val="009975C8"/>
    <w:rsid w:val="009979DF"/>
    <w:rsid w:val="00997D01"/>
    <w:rsid w:val="009A01A3"/>
    <w:rsid w:val="009A03B6"/>
    <w:rsid w:val="009A04D6"/>
    <w:rsid w:val="009A0575"/>
    <w:rsid w:val="009A06F0"/>
    <w:rsid w:val="009A0795"/>
    <w:rsid w:val="009A0840"/>
    <w:rsid w:val="009A0D49"/>
    <w:rsid w:val="009A122D"/>
    <w:rsid w:val="009A15A5"/>
    <w:rsid w:val="009A19F3"/>
    <w:rsid w:val="009A1BEB"/>
    <w:rsid w:val="009A2156"/>
    <w:rsid w:val="009A2224"/>
    <w:rsid w:val="009A244F"/>
    <w:rsid w:val="009A2466"/>
    <w:rsid w:val="009A24A5"/>
    <w:rsid w:val="009A2693"/>
    <w:rsid w:val="009A308D"/>
    <w:rsid w:val="009A309E"/>
    <w:rsid w:val="009A3132"/>
    <w:rsid w:val="009A314A"/>
    <w:rsid w:val="009A31F2"/>
    <w:rsid w:val="009A3991"/>
    <w:rsid w:val="009A3CA1"/>
    <w:rsid w:val="009A3CDD"/>
    <w:rsid w:val="009A3D1D"/>
    <w:rsid w:val="009A43A6"/>
    <w:rsid w:val="009A44E9"/>
    <w:rsid w:val="009A475E"/>
    <w:rsid w:val="009A49F0"/>
    <w:rsid w:val="009A4F1D"/>
    <w:rsid w:val="009A52C2"/>
    <w:rsid w:val="009A5531"/>
    <w:rsid w:val="009A591A"/>
    <w:rsid w:val="009A5D2A"/>
    <w:rsid w:val="009A5DB3"/>
    <w:rsid w:val="009A5F7D"/>
    <w:rsid w:val="009A6371"/>
    <w:rsid w:val="009A646E"/>
    <w:rsid w:val="009A6473"/>
    <w:rsid w:val="009A6570"/>
    <w:rsid w:val="009A6A4F"/>
    <w:rsid w:val="009A6BD4"/>
    <w:rsid w:val="009A6F37"/>
    <w:rsid w:val="009A704B"/>
    <w:rsid w:val="009A7A95"/>
    <w:rsid w:val="009B0B20"/>
    <w:rsid w:val="009B1396"/>
    <w:rsid w:val="009B14D4"/>
    <w:rsid w:val="009B152E"/>
    <w:rsid w:val="009B159E"/>
    <w:rsid w:val="009B2360"/>
    <w:rsid w:val="009B237F"/>
    <w:rsid w:val="009B2693"/>
    <w:rsid w:val="009B2B0E"/>
    <w:rsid w:val="009B2BE6"/>
    <w:rsid w:val="009B2D0B"/>
    <w:rsid w:val="009B2E53"/>
    <w:rsid w:val="009B3782"/>
    <w:rsid w:val="009B39B2"/>
    <w:rsid w:val="009B3AE8"/>
    <w:rsid w:val="009B3BCC"/>
    <w:rsid w:val="009B3C45"/>
    <w:rsid w:val="009B3D90"/>
    <w:rsid w:val="009B4177"/>
    <w:rsid w:val="009B434D"/>
    <w:rsid w:val="009B47AF"/>
    <w:rsid w:val="009B4806"/>
    <w:rsid w:val="009B4814"/>
    <w:rsid w:val="009B4993"/>
    <w:rsid w:val="009B4B65"/>
    <w:rsid w:val="009B51A7"/>
    <w:rsid w:val="009B541E"/>
    <w:rsid w:val="009B5698"/>
    <w:rsid w:val="009B57D8"/>
    <w:rsid w:val="009B583C"/>
    <w:rsid w:val="009B604F"/>
    <w:rsid w:val="009B6688"/>
    <w:rsid w:val="009B686E"/>
    <w:rsid w:val="009B69B9"/>
    <w:rsid w:val="009B6A2C"/>
    <w:rsid w:val="009B6E50"/>
    <w:rsid w:val="009B70A8"/>
    <w:rsid w:val="009B70D0"/>
    <w:rsid w:val="009B7138"/>
    <w:rsid w:val="009B74AB"/>
    <w:rsid w:val="009B74F7"/>
    <w:rsid w:val="009B753E"/>
    <w:rsid w:val="009B7992"/>
    <w:rsid w:val="009B7AED"/>
    <w:rsid w:val="009B7BCD"/>
    <w:rsid w:val="009C00D3"/>
    <w:rsid w:val="009C0554"/>
    <w:rsid w:val="009C0A12"/>
    <w:rsid w:val="009C0B21"/>
    <w:rsid w:val="009C0E66"/>
    <w:rsid w:val="009C0EA6"/>
    <w:rsid w:val="009C10A3"/>
    <w:rsid w:val="009C10C3"/>
    <w:rsid w:val="009C12CA"/>
    <w:rsid w:val="009C1435"/>
    <w:rsid w:val="009C17B6"/>
    <w:rsid w:val="009C1DBF"/>
    <w:rsid w:val="009C2218"/>
    <w:rsid w:val="009C2549"/>
    <w:rsid w:val="009C26F0"/>
    <w:rsid w:val="009C2904"/>
    <w:rsid w:val="009C2E37"/>
    <w:rsid w:val="009C2FCA"/>
    <w:rsid w:val="009C3564"/>
    <w:rsid w:val="009C38CD"/>
    <w:rsid w:val="009C3935"/>
    <w:rsid w:val="009C3C2F"/>
    <w:rsid w:val="009C3F22"/>
    <w:rsid w:val="009C4282"/>
    <w:rsid w:val="009C4881"/>
    <w:rsid w:val="009C4D79"/>
    <w:rsid w:val="009C4EDA"/>
    <w:rsid w:val="009C4F6D"/>
    <w:rsid w:val="009C532C"/>
    <w:rsid w:val="009C57EF"/>
    <w:rsid w:val="009C631B"/>
    <w:rsid w:val="009C6439"/>
    <w:rsid w:val="009C67C9"/>
    <w:rsid w:val="009C71C1"/>
    <w:rsid w:val="009C72DA"/>
    <w:rsid w:val="009C7851"/>
    <w:rsid w:val="009C7A5D"/>
    <w:rsid w:val="009C7BA6"/>
    <w:rsid w:val="009C7DBE"/>
    <w:rsid w:val="009C7F45"/>
    <w:rsid w:val="009C7F65"/>
    <w:rsid w:val="009D023E"/>
    <w:rsid w:val="009D0421"/>
    <w:rsid w:val="009D09AB"/>
    <w:rsid w:val="009D152F"/>
    <w:rsid w:val="009D1689"/>
    <w:rsid w:val="009D16DD"/>
    <w:rsid w:val="009D1761"/>
    <w:rsid w:val="009D19BF"/>
    <w:rsid w:val="009D1A8F"/>
    <w:rsid w:val="009D1EFC"/>
    <w:rsid w:val="009D2DDB"/>
    <w:rsid w:val="009D2F48"/>
    <w:rsid w:val="009D2F58"/>
    <w:rsid w:val="009D328F"/>
    <w:rsid w:val="009D33BF"/>
    <w:rsid w:val="009D3600"/>
    <w:rsid w:val="009D38FD"/>
    <w:rsid w:val="009D42BE"/>
    <w:rsid w:val="009D4CC0"/>
    <w:rsid w:val="009D532C"/>
    <w:rsid w:val="009D539E"/>
    <w:rsid w:val="009D53FA"/>
    <w:rsid w:val="009D54BB"/>
    <w:rsid w:val="009D55AC"/>
    <w:rsid w:val="009D58FC"/>
    <w:rsid w:val="009D5DAC"/>
    <w:rsid w:val="009D5F8D"/>
    <w:rsid w:val="009D630A"/>
    <w:rsid w:val="009D6AE9"/>
    <w:rsid w:val="009D6D37"/>
    <w:rsid w:val="009D6D3A"/>
    <w:rsid w:val="009D6ED1"/>
    <w:rsid w:val="009D6EE6"/>
    <w:rsid w:val="009D6F9A"/>
    <w:rsid w:val="009D725B"/>
    <w:rsid w:val="009D72EE"/>
    <w:rsid w:val="009D7D80"/>
    <w:rsid w:val="009D7FAE"/>
    <w:rsid w:val="009E0A9A"/>
    <w:rsid w:val="009E0AFA"/>
    <w:rsid w:val="009E0C7E"/>
    <w:rsid w:val="009E0C88"/>
    <w:rsid w:val="009E106B"/>
    <w:rsid w:val="009E10A7"/>
    <w:rsid w:val="009E10B3"/>
    <w:rsid w:val="009E165B"/>
    <w:rsid w:val="009E1C27"/>
    <w:rsid w:val="009E1D1F"/>
    <w:rsid w:val="009E1DEB"/>
    <w:rsid w:val="009E279F"/>
    <w:rsid w:val="009E293E"/>
    <w:rsid w:val="009E3512"/>
    <w:rsid w:val="009E3537"/>
    <w:rsid w:val="009E39A7"/>
    <w:rsid w:val="009E3DD5"/>
    <w:rsid w:val="009E3E7B"/>
    <w:rsid w:val="009E3EFF"/>
    <w:rsid w:val="009E40BA"/>
    <w:rsid w:val="009E4165"/>
    <w:rsid w:val="009E4479"/>
    <w:rsid w:val="009E4622"/>
    <w:rsid w:val="009E477F"/>
    <w:rsid w:val="009E493D"/>
    <w:rsid w:val="009E4CDF"/>
    <w:rsid w:val="009E4DB6"/>
    <w:rsid w:val="009E5562"/>
    <w:rsid w:val="009E566F"/>
    <w:rsid w:val="009E5A6B"/>
    <w:rsid w:val="009E5C6A"/>
    <w:rsid w:val="009E6023"/>
    <w:rsid w:val="009E60C2"/>
    <w:rsid w:val="009E6347"/>
    <w:rsid w:val="009E699F"/>
    <w:rsid w:val="009E7201"/>
    <w:rsid w:val="009E754A"/>
    <w:rsid w:val="009E7BD2"/>
    <w:rsid w:val="009E7C09"/>
    <w:rsid w:val="009E7D3E"/>
    <w:rsid w:val="009F0220"/>
    <w:rsid w:val="009F0415"/>
    <w:rsid w:val="009F05B5"/>
    <w:rsid w:val="009F0764"/>
    <w:rsid w:val="009F119A"/>
    <w:rsid w:val="009F1834"/>
    <w:rsid w:val="009F1B28"/>
    <w:rsid w:val="009F1C48"/>
    <w:rsid w:val="009F1DC3"/>
    <w:rsid w:val="009F2009"/>
    <w:rsid w:val="009F2495"/>
    <w:rsid w:val="009F283D"/>
    <w:rsid w:val="009F2B66"/>
    <w:rsid w:val="009F2C61"/>
    <w:rsid w:val="009F312F"/>
    <w:rsid w:val="009F328A"/>
    <w:rsid w:val="009F36D0"/>
    <w:rsid w:val="009F474A"/>
    <w:rsid w:val="009F4F9C"/>
    <w:rsid w:val="009F5200"/>
    <w:rsid w:val="009F52E4"/>
    <w:rsid w:val="009F544A"/>
    <w:rsid w:val="009F559A"/>
    <w:rsid w:val="009F59E7"/>
    <w:rsid w:val="009F5B25"/>
    <w:rsid w:val="009F63E4"/>
    <w:rsid w:val="009F6BA5"/>
    <w:rsid w:val="009F6F9D"/>
    <w:rsid w:val="009F705E"/>
    <w:rsid w:val="009F7073"/>
    <w:rsid w:val="009F711A"/>
    <w:rsid w:val="009F74D2"/>
    <w:rsid w:val="009F7612"/>
    <w:rsid w:val="009F767E"/>
    <w:rsid w:val="009F7F76"/>
    <w:rsid w:val="00A00359"/>
    <w:rsid w:val="00A00638"/>
    <w:rsid w:val="00A009DC"/>
    <w:rsid w:val="00A00A18"/>
    <w:rsid w:val="00A00C6F"/>
    <w:rsid w:val="00A00D3E"/>
    <w:rsid w:val="00A01210"/>
    <w:rsid w:val="00A01428"/>
    <w:rsid w:val="00A01515"/>
    <w:rsid w:val="00A016F0"/>
    <w:rsid w:val="00A018C2"/>
    <w:rsid w:val="00A019C5"/>
    <w:rsid w:val="00A01E5C"/>
    <w:rsid w:val="00A01FEB"/>
    <w:rsid w:val="00A02005"/>
    <w:rsid w:val="00A02176"/>
    <w:rsid w:val="00A023CF"/>
    <w:rsid w:val="00A02448"/>
    <w:rsid w:val="00A0248E"/>
    <w:rsid w:val="00A02494"/>
    <w:rsid w:val="00A024EE"/>
    <w:rsid w:val="00A02522"/>
    <w:rsid w:val="00A02C61"/>
    <w:rsid w:val="00A02D4C"/>
    <w:rsid w:val="00A02F91"/>
    <w:rsid w:val="00A03256"/>
    <w:rsid w:val="00A03346"/>
    <w:rsid w:val="00A035B4"/>
    <w:rsid w:val="00A03859"/>
    <w:rsid w:val="00A038ED"/>
    <w:rsid w:val="00A038FE"/>
    <w:rsid w:val="00A03A2B"/>
    <w:rsid w:val="00A04221"/>
    <w:rsid w:val="00A0431D"/>
    <w:rsid w:val="00A04492"/>
    <w:rsid w:val="00A0484C"/>
    <w:rsid w:val="00A048AC"/>
    <w:rsid w:val="00A048B4"/>
    <w:rsid w:val="00A04986"/>
    <w:rsid w:val="00A04E56"/>
    <w:rsid w:val="00A0507C"/>
    <w:rsid w:val="00A05795"/>
    <w:rsid w:val="00A05851"/>
    <w:rsid w:val="00A05CE6"/>
    <w:rsid w:val="00A05E4F"/>
    <w:rsid w:val="00A05F44"/>
    <w:rsid w:val="00A0625C"/>
    <w:rsid w:val="00A063C4"/>
    <w:rsid w:val="00A06687"/>
    <w:rsid w:val="00A06832"/>
    <w:rsid w:val="00A06CC1"/>
    <w:rsid w:val="00A06FD5"/>
    <w:rsid w:val="00A07058"/>
    <w:rsid w:val="00A071F7"/>
    <w:rsid w:val="00A0727B"/>
    <w:rsid w:val="00A072AD"/>
    <w:rsid w:val="00A07570"/>
    <w:rsid w:val="00A078CE"/>
    <w:rsid w:val="00A07B9A"/>
    <w:rsid w:val="00A07F1A"/>
    <w:rsid w:val="00A1025E"/>
    <w:rsid w:val="00A10631"/>
    <w:rsid w:val="00A1071D"/>
    <w:rsid w:val="00A10833"/>
    <w:rsid w:val="00A108FA"/>
    <w:rsid w:val="00A10935"/>
    <w:rsid w:val="00A1107B"/>
    <w:rsid w:val="00A1128D"/>
    <w:rsid w:val="00A113A2"/>
    <w:rsid w:val="00A113CC"/>
    <w:rsid w:val="00A11820"/>
    <w:rsid w:val="00A11A33"/>
    <w:rsid w:val="00A11A40"/>
    <w:rsid w:val="00A125E7"/>
    <w:rsid w:val="00A1289A"/>
    <w:rsid w:val="00A12E26"/>
    <w:rsid w:val="00A1305A"/>
    <w:rsid w:val="00A135AE"/>
    <w:rsid w:val="00A135F3"/>
    <w:rsid w:val="00A136D4"/>
    <w:rsid w:val="00A1380D"/>
    <w:rsid w:val="00A13CE4"/>
    <w:rsid w:val="00A13DE0"/>
    <w:rsid w:val="00A13F07"/>
    <w:rsid w:val="00A13F32"/>
    <w:rsid w:val="00A13F4A"/>
    <w:rsid w:val="00A14291"/>
    <w:rsid w:val="00A14612"/>
    <w:rsid w:val="00A14DCA"/>
    <w:rsid w:val="00A1527B"/>
    <w:rsid w:val="00A157B4"/>
    <w:rsid w:val="00A15AB8"/>
    <w:rsid w:val="00A15D02"/>
    <w:rsid w:val="00A16016"/>
    <w:rsid w:val="00A16446"/>
    <w:rsid w:val="00A165AD"/>
    <w:rsid w:val="00A166BC"/>
    <w:rsid w:val="00A1682C"/>
    <w:rsid w:val="00A171AB"/>
    <w:rsid w:val="00A17389"/>
    <w:rsid w:val="00A177E0"/>
    <w:rsid w:val="00A1793D"/>
    <w:rsid w:val="00A179D3"/>
    <w:rsid w:val="00A17AE1"/>
    <w:rsid w:val="00A17BCB"/>
    <w:rsid w:val="00A17DCC"/>
    <w:rsid w:val="00A17E9B"/>
    <w:rsid w:val="00A17F99"/>
    <w:rsid w:val="00A20270"/>
    <w:rsid w:val="00A205B9"/>
    <w:rsid w:val="00A206DE"/>
    <w:rsid w:val="00A20879"/>
    <w:rsid w:val="00A2090C"/>
    <w:rsid w:val="00A20C32"/>
    <w:rsid w:val="00A20F4D"/>
    <w:rsid w:val="00A21336"/>
    <w:rsid w:val="00A21555"/>
    <w:rsid w:val="00A21764"/>
    <w:rsid w:val="00A21830"/>
    <w:rsid w:val="00A21AB7"/>
    <w:rsid w:val="00A21F45"/>
    <w:rsid w:val="00A22049"/>
    <w:rsid w:val="00A22212"/>
    <w:rsid w:val="00A22A03"/>
    <w:rsid w:val="00A22DBB"/>
    <w:rsid w:val="00A235A2"/>
    <w:rsid w:val="00A23876"/>
    <w:rsid w:val="00A23A03"/>
    <w:rsid w:val="00A23CEF"/>
    <w:rsid w:val="00A23DE1"/>
    <w:rsid w:val="00A240EA"/>
    <w:rsid w:val="00A24339"/>
    <w:rsid w:val="00A24510"/>
    <w:rsid w:val="00A246E1"/>
    <w:rsid w:val="00A2482F"/>
    <w:rsid w:val="00A24998"/>
    <w:rsid w:val="00A2532B"/>
    <w:rsid w:val="00A257BB"/>
    <w:rsid w:val="00A25B26"/>
    <w:rsid w:val="00A25DFB"/>
    <w:rsid w:val="00A25E94"/>
    <w:rsid w:val="00A261CE"/>
    <w:rsid w:val="00A261E0"/>
    <w:rsid w:val="00A262AE"/>
    <w:rsid w:val="00A2656B"/>
    <w:rsid w:val="00A269E0"/>
    <w:rsid w:val="00A26F0E"/>
    <w:rsid w:val="00A271E2"/>
    <w:rsid w:val="00A27A89"/>
    <w:rsid w:val="00A27E39"/>
    <w:rsid w:val="00A27EC8"/>
    <w:rsid w:val="00A27F95"/>
    <w:rsid w:val="00A304EE"/>
    <w:rsid w:val="00A30510"/>
    <w:rsid w:val="00A30AE5"/>
    <w:rsid w:val="00A31136"/>
    <w:rsid w:val="00A316AB"/>
    <w:rsid w:val="00A319E0"/>
    <w:rsid w:val="00A32193"/>
    <w:rsid w:val="00A32260"/>
    <w:rsid w:val="00A32306"/>
    <w:rsid w:val="00A3259C"/>
    <w:rsid w:val="00A3259E"/>
    <w:rsid w:val="00A326BF"/>
    <w:rsid w:val="00A32B29"/>
    <w:rsid w:val="00A32BA0"/>
    <w:rsid w:val="00A33244"/>
    <w:rsid w:val="00A3328A"/>
    <w:rsid w:val="00A333E5"/>
    <w:rsid w:val="00A338ED"/>
    <w:rsid w:val="00A33ACA"/>
    <w:rsid w:val="00A33E0B"/>
    <w:rsid w:val="00A344A8"/>
    <w:rsid w:val="00A346DB"/>
    <w:rsid w:val="00A348D5"/>
    <w:rsid w:val="00A34A74"/>
    <w:rsid w:val="00A34C96"/>
    <w:rsid w:val="00A350C0"/>
    <w:rsid w:val="00A35DDD"/>
    <w:rsid w:val="00A36119"/>
    <w:rsid w:val="00A361D8"/>
    <w:rsid w:val="00A36589"/>
    <w:rsid w:val="00A36594"/>
    <w:rsid w:val="00A36603"/>
    <w:rsid w:val="00A36617"/>
    <w:rsid w:val="00A3671E"/>
    <w:rsid w:val="00A36A33"/>
    <w:rsid w:val="00A36ADB"/>
    <w:rsid w:val="00A36F43"/>
    <w:rsid w:val="00A3705B"/>
    <w:rsid w:val="00A37477"/>
    <w:rsid w:val="00A37B74"/>
    <w:rsid w:val="00A37D93"/>
    <w:rsid w:val="00A37DAF"/>
    <w:rsid w:val="00A40393"/>
    <w:rsid w:val="00A4078B"/>
    <w:rsid w:val="00A40D96"/>
    <w:rsid w:val="00A40F7F"/>
    <w:rsid w:val="00A410E0"/>
    <w:rsid w:val="00A4124B"/>
    <w:rsid w:val="00A4185C"/>
    <w:rsid w:val="00A41940"/>
    <w:rsid w:val="00A41BB3"/>
    <w:rsid w:val="00A41CCB"/>
    <w:rsid w:val="00A4233F"/>
    <w:rsid w:val="00A42483"/>
    <w:rsid w:val="00A42625"/>
    <w:rsid w:val="00A426A3"/>
    <w:rsid w:val="00A4286E"/>
    <w:rsid w:val="00A42C74"/>
    <w:rsid w:val="00A43592"/>
    <w:rsid w:val="00A439E6"/>
    <w:rsid w:val="00A43CD4"/>
    <w:rsid w:val="00A43DDF"/>
    <w:rsid w:val="00A44427"/>
    <w:rsid w:val="00A44568"/>
    <w:rsid w:val="00A445C8"/>
    <w:rsid w:val="00A44D1E"/>
    <w:rsid w:val="00A44D78"/>
    <w:rsid w:val="00A44FA7"/>
    <w:rsid w:val="00A450C1"/>
    <w:rsid w:val="00A451FA"/>
    <w:rsid w:val="00A454F3"/>
    <w:rsid w:val="00A45523"/>
    <w:rsid w:val="00A46020"/>
    <w:rsid w:val="00A4622B"/>
    <w:rsid w:val="00A4628A"/>
    <w:rsid w:val="00A4678F"/>
    <w:rsid w:val="00A4685C"/>
    <w:rsid w:val="00A468B7"/>
    <w:rsid w:val="00A469C9"/>
    <w:rsid w:val="00A46ACA"/>
    <w:rsid w:val="00A46B67"/>
    <w:rsid w:val="00A46B98"/>
    <w:rsid w:val="00A46D3A"/>
    <w:rsid w:val="00A4737D"/>
    <w:rsid w:val="00A475A2"/>
    <w:rsid w:val="00A475F5"/>
    <w:rsid w:val="00A476C3"/>
    <w:rsid w:val="00A479F3"/>
    <w:rsid w:val="00A50115"/>
    <w:rsid w:val="00A50392"/>
    <w:rsid w:val="00A508C7"/>
    <w:rsid w:val="00A50DC1"/>
    <w:rsid w:val="00A50F91"/>
    <w:rsid w:val="00A51098"/>
    <w:rsid w:val="00A51C6A"/>
    <w:rsid w:val="00A51D8C"/>
    <w:rsid w:val="00A51FF3"/>
    <w:rsid w:val="00A52431"/>
    <w:rsid w:val="00A52500"/>
    <w:rsid w:val="00A5264C"/>
    <w:rsid w:val="00A52CA1"/>
    <w:rsid w:val="00A53B31"/>
    <w:rsid w:val="00A53C21"/>
    <w:rsid w:val="00A53C78"/>
    <w:rsid w:val="00A53EE3"/>
    <w:rsid w:val="00A5432F"/>
    <w:rsid w:val="00A54622"/>
    <w:rsid w:val="00A54672"/>
    <w:rsid w:val="00A54682"/>
    <w:rsid w:val="00A548B2"/>
    <w:rsid w:val="00A54B54"/>
    <w:rsid w:val="00A55373"/>
    <w:rsid w:val="00A5540E"/>
    <w:rsid w:val="00A559F8"/>
    <w:rsid w:val="00A55A44"/>
    <w:rsid w:val="00A55A72"/>
    <w:rsid w:val="00A55EDA"/>
    <w:rsid w:val="00A55F77"/>
    <w:rsid w:val="00A564B8"/>
    <w:rsid w:val="00A56644"/>
    <w:rsid w:val="00A56B96"/>
    <w:rsid w:val="00A56CF8"/>
    <w:rsid w:val="00A56E96"/>
    <w:rsid w:val="00A57229"/>
    <w:rsid w:val="00A575C7"/>
    <w:rsid w:val="00A5799D"/>
    <w:rsid w:val="00A579E9"/>
    <w:rsid w:val="00A579F5"/>
    <w:rsid w:val="00A57EBC"/>
    <w:rsid w:val="00A60089"/>
    <w:rsid w:val="00A60920"/>
    <w:rsid w:val="00A60C58"/>
    <w:rsid w:val="00A61056"/>
    <w:rsid w:val="00A61301"/>
    <w:rsid w:val="00A61323"/>
    <w:rsid w:val="00A61555"/>
    <w:rsid w:val="00A61579"/>
    <w:rsid w:val="00A615EA"/>
    <w:rsid w:val="00A61899"/>
    <w:rsid w:val="00A61E6E"/>
    <w:rsid w:val="00A61FBA"/>
    <w:rsid w:val="00A6221A"/>
    <w:rsid w:val="00A62298"/>
    <w:rsid w:val="00A623B7"/>
    <w:rsid w:val="00A625A3"/>
    <w:rsid w:val="00A626F7"/>
    <w:rsid w:val="00A62EAF"/>
    <w:rsid w:val="00A630B7"/>
    <w:rsid w:val="00A63331"/>
    <w:rsid w:val="00A635AB"/>
    <w:rsid w:val="00A64312"/>
    <w:rsid w:val="00A6439F"/>
    <w:rsid w:val="00A644D9"/>
    <w:rsid w:val="00A64594"/>
    <w:rsid w:val="00A64633"/>
    <w:rsid w:val="00A647E8"/>
    <w:rsid w:val="00A64AD7"/>
    <w:rsid w:val="00A64BF5"/>
    <w:rsid w:val="00A64C22"/>
    <w:rsid w:val="00A64D2C"/>
    <w:rsid w:val="00A651A0"/>
    <w:rsid w:val="00A65441"/>
    <w:rsid w:val="00A654F9"/>
    <w:rsid w:val="00A65533"/>
    <w:rsid w:val="00A659AE"/>
    <w:rsid w:val="00A65D7B"/>
    <w:rsid w:val="00A65D7F"/>
    <w:rsid w:val="00A6611E"/>
    <w:rsid w:val="00A663B0"/>
    <w:rsid w:val="00A663F2"/>
    <w:rsid w:val="00A6680A"/>
    <w:rsid w:val="00A66A9F"/>
    <w:rsid w:val="00A66CA6"/>
    <w:rsid w:val="00A6722D"/>
    <w:rsid w:val="00A67394"/>
    <w:rsid w:val="00A677ED"/>
    <w:rsid w:val="00A67A5A"/>
    <w:rsid w:val="00A67BE2"/>
    <w:rsid w:val="00A67D33"/>
    <w:rsid w:val="00A67F10"/>
    <w:rsid w:val="00A701EF"/>
    <w:rsid w:val="00A70342"/>
    <w:rsid w:val="00A70374"/>
    <w:rsid w:val="00A7049E"/>
    <w:rsid w:val="00A70A42"/>
    <w:rsid w:val="00A71088"/>
    <w:rsid w:val="00A7116F"/>
    <w:rsid w:val="00A71178"/>
    <w:rsid w:val="00A714D5"/>
    <w:rsid w:val="00A71857"/>
    <w:rsid w:val="00A718BA"/>
    <w:rsid w:val="00A71FB1"/>
    <w:rsid w:val="00A72214"/>
    <w:rsid w:val="00A72273"/>
    <w:rsid w:val="00A72E1B"/>
    <w:rsid w:val="00A7306F"/>
    <w:rsid w:val="00A734E8"/>
    <w:rsid w:val="00A739E4"/>
    <w:rsid w:val="00A73B56"/>
    <w:rsid w:val="00A74585"/>
    <w:rsid w:val="00A745BF"/>
    <w:rsid w:val="00A74621"/>
    <w:rsid w:val="00A7464C"/>
    <w:rsid w:val="00A746F4"/>
    <w:rsid w:val="00A747D4"/>
    <w:rsid w:val="00A74C49"/>
    <w:rsid w:val="00A74EDD"/>
    <w:rsid w:val="00A74F76"/>
    <w:rsid w:val="00A753B2"/>
    <w:rsid w:val="00A75837"/>
    <w:rsid w:val="00A75EA9"/>
    <w:rsid w:val="00A75FA1"/>
    <w:rsid w:val="00A76681"/>
    <w:rsid w:val="00A766ED"/>
    <w:rsid w:val="00A767D2"/>
    <w:rsid w:val="00A76A36"/>
    <w:rsid w:val="00A76CDF"/>
    <w:rsid w:val="00A77651"/>
    <w:rsid w:val="00A778DF"/>
    <w:rsid w:val="00A77A9F"/>
    <w:rsid w:val="00A77C76"/>
    <w:rsid w:val="00A77FB7"/>
    <w:rsid w:val="00A807B1"/>
    <w:rsid w:val="00A8096C"/>
    <w:rsid w:val="00A80CFB"/>
    <w:rsid w:val="00A811D2"/>
    <w:rsid w:val="00A81482"/>
    <w:rsid w:val="00A81ADC"/>
    <w:rsid w:val="00A81DDC"/>
    <w:rsid w:val="00A81E97"/>
    <w:rsid w:val="00A82162"/>
    <w:rsid w:val="00A827FD"/>
    <w:rsid w:val="00A8286A"/>
    <w:rsid w:val="00A82D52"/>
    <w:rsid w:val="00A82D7C"/>
    <w:rsid w:val="00A82FBE"/>
    <w:rsid w:val="00A83317"/>
    <w:rsid w:val="00A835F0"/>
    <w:rsid w:val="00A83646"/>
    <w:rsid w:val="00A83813"/>
    <w:rsid w:val="00A838A7"/>
    <w:rsid w:val="00A83ADD"/>
    <w:rsid w:val="00A83FA1"/>
    <w:rsid w:val="00A8400E"/>
    <w:rsid w:val="00A84045"/>
    <w:rsid w:val="00A843A7"/>
    <w:rsid w:val="00A84410"/>
    <w:rsid w:val="00A8441E"/>
    <w:rsid w:val="00A84C75"/>
    <w:rsid w:val="00A84EC1"/>
    <w:rsid w:val="00A84FED"/>
    <w:rsid w:val="00A8512D"/>
    <w:rsid w:val="00A853DE"/>
    <w:rsid w:val="00A856F6"/>
    <w:rsid w:val="00A859E1"/>
    <w:rsid w:val="00A85A3D"/>
    <w:rsid w:val="00A85B98"/>
    <w:rsid w:val="00A85D25"/>
    <w:rsid w:val="00A85DDA"/>
    <w:rsid w:val="00A85FD5"/>
    <w:rsid w:val="00A8601C"/>
    <w:rsid w:val="00A86023"/>
    <w:rsid w:val="00A8656C"/>
    <w:rsid w:val="00A866A7"/>
    <w:rsid w:val="00A866B8"/>
    <w:rsid w:val="00A86F54"/>
    <w:rsid w:val="00A87254"/>
    <w:rsid w:val="00A87263"/>
    <w:rsid w:val="00A877B9"/>
    <w:rsid w:val="00A87862"/>
    <w:rsid w:val="00A87890"/>
    <w:rsid w:val="00A87B03"/>
    <w:rsid w:val="00A87D00"/>
    <w:rsid w:val="00A87D81"/>
    <w:rsid w:val="00A87F8E"/>
    <w:rsid w:val="00A87FF6"/>
    <w:rsid w:val="00A90038"/>
    <w:rsid w:val="00A90452"/>
    <w:rsid w:val="00A90638"/>
    <w:rsid w:val="00A906DB"/>
    <w:rsid w:val="00A9079A"/>
    <w:rsid w:val="00A90804"/>
    <w:rsid w:val="00A908B9"/>
    <w:rsid w:val="00A90A8D"/>
    <w:rsid w:val="00A90F57"/>
    <w:rsid w:val="00A9207D"/>
    <w:rsid w:val="00A9223B"/>
    <w:rsid w:val="00A92F4F"/>
    <w:rsid w:val="00A92F69"/>
    <w:rsid w:val="00A92FD6"/>
    <w:rsid w:val="00A9300A"/>
    <w:rsid w:val="00A931D1"/>
    <w:rsid w:val="00A934EE"/>
    <w:rsid w:val="00A936D0"/>
    <w:rsid w:val="00A943D9"/>
    <w:rsid w:val="00A94539"/>
    <w:rsid w:val="00A946AD"/>
    <w:rsid w:val="00A94D1F"/>
    <w:rsid w:val="00A968BE"/>
    <w:rsid w:val="00A96D90"/>
    <w:rsid w:val="00A96EDA"/>
    <w:rsid w:val="00A96F65"/>
    <w:rsid w:val="00A97032"/>
    <w:rsid w:val="00A97098"/>
    <w:rsid w:val="00A97112"/>
    <w:rsid w:val="00A9721A"/>
    <w:rsid w:val="00A97555"/>
    <w:rsid w:val="00A979AE"/>
    <w:rsid w:val="00A97A6B"/>
    <w:rsid w:val="00A97B05"/>
    <w:rsid w:val="00AA0340"/>
    <w:rsid w:val="00AA0391"/>
    <w:rsid w:val="00AA0B43"/>
    <w:rsid w:val="00AA0D98"/>
    <w:rsid w:val="00AA0F24"/>
    <w:rsid w:val="00AA13DF"/>
    <w:rsid w:val="00AA16B5"/>
    <w:rsid w:val="00AA1759"/>
    <w:rsid w:val="00AA17BC"/>
    <w:rsid w:val="00AA17E4"/>
    <w:rsid w:val="00AA1E59"/>
    <w:rsid w:val="00AA1FB8"/>
    <w:rsid w:val="00AA2001"/>
    <w:rsid w:val="00AA20AA"/>
    <w:rsid w:val="00AA278B"/>
    <w:rsid w:val="00AA2A6E"/>
    <w:rsid w:val="00AA2EB3"/>
    <w:rsid w:val="00AA32B3"/>
    <w:rsid w:val="00AA32E1"/>
    <w:rsid w:val="00AA3382"/>
    <w:rsid w:val="00AA351F"/>
    <w:rsid w:val="00AA38D1"/>
    <w:rsid w:val="00AA3AFB"/>
    <w:rsid w:val="00AA3F86"/>
    <w:rsid w:val="00AA42AE"/>
    <w:rsid w:val="00AA45A2"/>
    <w:rsid w:val="00AA4707"/>
    <w:rsid w:val="00AA488F"/>
    <w:rsid w:val="00AA4C37"/>
    <w:rsid w:val="00AA4D34"/>
    <w:rsid w:val="00AA4E30"/>
    <w:rsid w:val="00AA4E8E"/>
    <w:rsid w:val="00AA5016"/>
    <w:rsid w:val="00AA53CA"/>
    <w:rsid w:val="00AA5D32"/>
    <w:rsid w:val="00AA5E56"/>
    <w:rsid w:val="00AA5E89"/>
    <w:rsid w:val="00AA5ECE"/>
    <w:rsid w:val="00AA6379"/>
    <w:rsid w:val="00AA6458"/>
    <w:rsid w:val="00AA654C"/>
    <w:rsid w:val="00AA65EF"/>
    <w:rsid w:val="00AA661D"/>
    <w:rsid w:val="00AA6998"/>
    <w:rsid w:val="00AA6AFA"/>
    <w:rsid w:val="00AA6C43"/>
    <w:rsid w:val="00AA6C84"/>
    <w:rsid w:val="00AA75A3"/>
    <w:rsid w:val="00AA7CF3"/>
    <w:rsid w:val="00AA7D14"/>
    <w:rsid w:val="00AA7F83"/>
    <w:rsid w:val="00AB03AB"/>
    <w:rsid w:val="00AB0784"/>
    <w:rsid w:val="00AB07F4"/>
    <w:rsid w:val="00AB0843"/>
    <w:rsid w:val="00AB0880"/>
    <w:rsid w:val="00AB0B99"/>
    <w:rsid w:val="00AB1C86"/>
    <w:rsid w:val="00AB200B"/>
    <w:rsid w:val="00AB21D7"/>
    <w:rsid w:val="00AB266B"/>
    <w:rsid w:val="00AB27FF"/>
    <w:rsid w:val="00AB297B"/>
    <w:rsid w:val="00AB2C92"/>
    <w:rsid w:val="00AB301A"/>
    <w:rsid w:val="00AB32F3"/>
    <w:rsid w:val="00AB3B08"/>
    <w:rsid w:val="00AB3BC0"/>
    <w:rsid w:val="00AB3C74"/>
    <w:rsid w:val="00AB3EF7"/>
    <w:rsid w:val="00AB426B"/>
    <w:rsid w:val="00AB448A"/>
    <w:rsid w:val="00AB4D9D"/>
    <w:rsid w:val="00AB5138"/>
    <w:rsid w:val="00AB5F4B"/>
    <w:rsid w:val="00AB63C7"/>
    <w:rsid w:val="00AB63DC"/>
    <w:rsid w:val="00AB6906"/>
    <w:rsid w:val="00AB6BD8"/>
    <w:rsid w:val="00AB6CC3"/>
    <w:rsid w:val="00AB6D3E"/>
    <w:rsid w:val="00AB6F15"/>
    <w:rsid w:val="00AB721C"/>
    <w:rsid w:val="00AB746C"/>
    <w:rsid w:val="00AB79DA"/>
    <w:rsid w:val="00AB7B59"/>
    <w:rsid w:val="00AB7F1B"/>
    <w:rsid w:val="00AB7F24"/>
    <w:rsid w:val="00AC0001"/>
    <w:rsid w:val="00AC0199"/>
    <w:rsid w:val="00AC056F"/>
    <w:rsid w:val="00AC1198"/>
    <w:rsid w:val="00AC13A4"/>
    <w:rsid w:val="00AC141D"/>
    <w:rsid w:val="00AC1B59"/>
    <w:rsid w:val="00AC1D3B"/>
    <w:rsid w:val="00AC1D4D"/>
    <w:rsid w:val="00AC1D55"/>
    <w:rsid w:val="00AC1EA7"/>
    <w:rsid w:val="00AC250B"/>
    <w:rsid w:val="00AC25A9"/>
    <w:rsid w:val="00AC2894"/>
    <w:rsid w:val="00AC2A92"/>
    <w:rsid w:val="00AC37EE"/>
    <w:rsid w:val="00AC3A18"/>
    <w:rsid w:val="00AC3C77"/>
    <w:rsid w:val="00AC3F2B"/>
    <w:rsid w:val="00AC477C"/>
    <w:rsid w:val="00AC4943"/>
    <w:rsid w:val="00AC4D29"/>
    <w:rsid w:val="00AC4EDB"/>
    <w:rsid w:val="00AC514F"/>
    <w:rsid w:val="00AC520B"/>
    <w:rsid w:val="00AC53C4"/>
    <w:rsid w:val="00AC5537"/>
    <w:rsid w:val="00AC5968"/>
    <w:rsid w:val="00AC5C14"/>
    <w:rsid w:val="00AC5C92"/>
    <w:rsid w:val="00AC5DCF"/>
    <w:rsid w:val="00AC617A"/>
    <w:rsid w:val="00AC6283"/>
    <w:rsid w:val="00AC6349"/>
    <w:rsid w:val="00AC6387"/>
    <w:rsid w:val="00AC63A5"/>
    <w:rsid w:val="00AC6412"/>
    <w:rsid w:val="00AC655A"/>
    <w:rsid w:val="00AC6B42"/>
    <w:rsid w:val="00AC6C67"/>
    <w:rsid w:val="00AC711F"/>
    <w:rsid w:val="00AC77AA"/>
    <w:rsid w:val="00AC7AE6"/>
    <w:rsid w:val="00AC7C6B"/>
    <w:rsid w:val="00AC7CA9"/>
    <w:rsid w:val="00AC7ED6"/>
    <w:rsid w:val="00AD023B"/>
    <w:rsid w:val="00AD024B"/>
    <w:rsid w:val="00AD0798"/>
    <w:rsid w:val="00AD0E77"/>
    <w:rsid w:val="00AD0EDA"/>
    <w:rsid w:val="00AD1067"/>
    <w:rsid w:val="00AD1176"/>
    <w:rsid w:val="00AD1200"/>
    <w:rsid w:val="00AD1398"/>
    <w:rsid w:val="00AD154D"/>
    <w:rsid w:val="00AD186A"/>
    <w:rsid w:val="00AD1C33"/>
    <w:rsid w:val="00AD1F00"/>
    <w:rsid w:val="00AD1F59"/>
    <w:rsid w:val="00AD203E"/>
    <w:rsid w:val="00AD2667"/>
    <w:rsid w:val="00AD2987"/>
    <w:rsid w:val="00AD29F0"/>
    <w:rsid w:val="00AD2BFE"/>
    <w:rsid w:val="00AD2F43"/>
    <w:rsid w:val="00AD2F92"/>
    <w:rsid w:val="00AD3176"/>
    <w:rsid w:val="00AD3344"/>
    <w:rsid w:val="00AD366E"/>
    <w:rsid w:val="00AD3E37"/>
    <w:rsid w:val="00AD4236"/>
    <w:rsid w:val="00AD4415"/>
    <w:rsid w:val="00AD46B9"/>
    <w:rsid w:val="00AD48B8"/>
    <w:rsid w:val="00AD4FD9"/>
    <w:rsid w:val="00AD5111"/>
    <w:rsid w:val="00AD59C0"/>
    <w:rsid w:val="00AD5A26"/>
    <w:rsid w:val="00AD5BA9"/>
    <w:rsid w:val="00AD5E72"/>
    <w:rsid w:val="00AD5E73"/>
    <w:rsid w:val="00AD609B"/>
    <w:rsid w:val="00AD6161"/>
    <w:rsid w:val="00AD657F"/>
    <w:rsid w:val="00AD6B15"/>
    <w:rsid w:val="00AD7125"/>
    <w:rsid w:val="00AD72A4"/>
    <w:rsid w:val="00AD7397"/>
    <w:rsid w:val="00AD7BBE"/>
    <w:rsid w:val="00AD7C39"/>
    <w:rsid w:val="00AE0A3B"/>
    <w:rsid w:val="00AE0A5B"/>
    <w:rsid w:val="00AE0C04"/>
    <w:rsid w:val="00AE0FA9"/>
    <w:rsid w:val="00AE1062"/>
    <w:rsid w:val="00AE10F6"/>
    <w:rsid w:val="00AE11B9"/>
    <w:rsid w:val="00AE11F3"/>
    <w:rsid w:val="00AE12EE"/>
    <w:rsid w:val="00AE17D5"/>
    <w:rsid w:val="00AE1836"/>
    <w:rsid w:val="00AE1DE0"/>
    <w:rsid w:val="00AE1E5E"/>
    <w:rsid w:val="00AE1F37"/>
    <w:rsid w:val="00AE21F7"/>
    <w:rsid w:val="00AE2418"/>
    <w:rsid w:val="00AE2894"/>
    <w:rsid w:val="00AE298D"/>
    <w:rsid w:val="00AE2CAB"/>
    <w:rsid w:val="00AE2D17"/>
    <w:rsid w:val="00AE2DBC"/>
    <w:rsid w:val="00AE2FA2"/>
    <w:rsid w:val="00AE386F"/>
    <w:rsid w:val="00AE38A0"/>
    <w:rsid w:val="00AE4269"/>
    <w:rsid w:val="00AE4332"/>
    <w:rsid w:val="00AE4485"/>
    <w:rsid w:val="00AE4700"/>
    <w:rsid w:val="00AE49CD"/>
    <w:rsid w:val="00AE4B2D"/>
    <w:rsid w:val="00AE512B"/>
    <w:rsid w:val="00AE53BD"/>
    <w:rsid w:val="00AE5EB7"/>
    <w:rsid w:val="00AE651D"/>
    <w:rsid w:val="00AE6749"/>
    <w:rsid w:val="00AE71C6"/>
    <w:rsid w:val="00AE7206"/>
    <w:rsid w:val="00AE754A"/>
    <w:rsid w:val="00AE7908"/>
    <w:rsid w:val="00AE79A6"/>
    <w:rsid w:val="00AE7EE4"/>
    <w:rsid w:val="00AF025B"/>
    <w:rsid w:val="00AF0280"/>
    <w:rsid w:val="00AF07A0"/>
    <w:rsid w:val="00AF0EC7"/>
    <w:rsid w:val="00AF10AC"/>
    <w:rsid w:val="00AF1624"/>
    <w:rsid w:val="00AF17EA"/>
    <w:rsid w:val="00AF1A41"/>
    <w:rsid w:val="00AF240B"/>
    <w:rsid w:val="00AF279E"/>
    <w:rsid w:val="00AF2B33"/>
    <w:rsid w:val="00AF30AB"/>
    <w:rsid w:val="00AF36C1"/>
    <w:rsid w:val="00AF3918"/>
    <w:rsid w:val="00AF3C1D"/>
    <w:rsid w:val="00AF418D"/>
    <w:rsid w:val="00AF44E5"/>
    <w:rsid w:val="00AF54E2"/>
    <w:rsid w:val="00AF5978"/>
    <w:rsid w:val="00AF607F"/>
    <w:rsid w:val="00AF6153"/>
    <w:rsid w:val="00AF6304"/>
    <w:rsid w:val="00AF678F"/>
    <w:rsid w:val="00AF696B"/>
    <w:rsid w:val="00AF6A79"/>
    <w:rsid w:val="00AF6C04"/>
    <w:rsid w:val="00AF6FAB"/>
    <w:rsid w:val="00AF7398"/>
    <w:rsid w:val="00AF7401"/>
    <w:rsid w:val="00AF7862"/>
    <w:rsid w:val="00B0054E"/>
    <w:rsid w:val="00B00C04"/>
    <w:rsid w:val="00B00C3F"/>
    <w:rsid w:val="00B01161"/>
    <w:rsid w:val="00B011AD"/>
    <w:rsid w:val="00B01379"/>
    <w:rsid w:val="00B01B31"/>
    <w:rsid w:val="00B01BE4"/>
    <w:rsid w:val="00B02534"/>
    <w:rsid w:val="00B0261D"/>
    <w:rsid w:val="00B02B00"/>
    <w:rsid w:val="00B02FF8"/>
    <w:rsid w:val="00B03118"/>
    <w:rsid w:val="00B0383D"/>
    <w:rsid w:val="00B03989"/>
    <w:rsid w:val="00B03CF2"/>
    <w:rsid w:val="00B03F0F"/>
    <w:rsid w:val="00B04562"/>
    <w:rsid w:val="00B0504C"/>
    <w:rsid w:val="00B05743"/>
    <w:rsid w:val="00B059A1"/>
    <w:rsid w:val="00B05B47"/>
    <w:rsid w:val="00B05C36"/>
    <w:rsid w:val="00B05D7C"/>
    <w:rsid w:val="00B05F9D"/>
    <w:rsid w:val="00B0629D"/>
    <w:rsid w:val="00B063FD"/>
    <w:rsid w:val="00B066B0"/>
    <w:rsid w:val="00B06768"/>
    <w:rsid w:val="00B06876"/>
    <w:rsid w:val="00B069EF"/>
    <w:rsid w:val="00B06C21"/>
    <w:rsid w:val="00B06FAF"/>
    <w:rsid w:val="00B07377"/>
    <w:rsid w:val="00B075B5"/>
    <w:rsid w:val="00B07C8C"/>
    <w:rsid w:val="00B1025C"/>
    <w:rsid w:val="00B104F9"/>
    <w:rsid w:val="00B105A1"/>
    <w:rsid w:val="00B1086E"/>
    <w:rsid w:val="00B10871"/>
    <w:rsid w:val="00B10BE8"/>
    <w:rsid w:val="00B10D14"/>
    <w:rsid w:val="00B11539"/>
    <w:rsid w:val="00B1160E"/>
    <w:rsid w:val="00B118AD"/>
    <w:rsid w:val="00B118CC"/>
    <w:rsid w:val="00B11C0F"/>
    <w:rsid w:val="00B11C97"/>
    <w:rsid w:val="00B12183"/>
    <w:rsid w:val="00B125C6"/>
    <w:rsid w:val="00B12795"/>
    <w:rsid w:val="00B127EA"/>
    <w:rsid w:val="00B12B76"/>
    <w:rsid w:val="00B12C35"/>
    <w:rsid w:val="00B13368"/>
    <w:rsid w:val="00B13460"/>
    <w:rsid w:val="00B13555"/>
    <w:rsid w:val="00B139E5"/>
    <w:rsid w:val="00B13DA7"/>
    <w:rsid w:val="00B13E17"/>
    <w:rsid w:val="00B140AF"/>
    <w:rsid w:val="00B141A6"/>
    <w:rsid w:val="00B143C0"/>
    <w:rsid w:val="00B14636"/>
    <w:rsid w:val="00B1495E"/>
    <w:rsid w:val="00B1535E"/>
    <w:rsid w:val="00B15470"/>
    <w:rsid w:val="00B1560C"/>
    <w:rsid w:val="00B15888"/>
    <w:rsid w:val="00B15BA1"/>
    <w:rsid w:val="00B1620C"/>
    <w:rsid w:val="00B168D3"/>
    <w:rsid w:val="00B16ABC"/>
    <w:rsid w:val="00B16F5F"/>
    <w:rsid w:val="00B17700"/>
    <w:rsid w:val="00B17EFC"/>
    <w:rsid w:val="00B205BA"/>
    <w:rsid w:val="00B208F5"/>
    <w:rsid w:val="00B20C49"/>
    <w:rsid w:val="00B20E24"/>
    <w:rsid w:val="00B20FA7"/>
    <w:rsid w:val="00B21365"/>
    <w:rsid w:val="00B21EE1"/>
    <w:rsid w:val="00B21F18"/>
    <w:rsid w:val="00B22019"/>
    <w:rsid w:val="00B2218C"/>
    <w:rsid w:val="00B2231C"/>
    <w:rsid w:val="00B224EE"/>
    <w:rsid w:val="00B22586"/>
    <w:rsid w:val="00B2284E"/>
    <w:rsid w:val="00B2290C"/>
    <w:rsid w:val="00B229C5"/>
    <w:rsid w:val="00B22C77"/>
    <w:rsid w:val="00B22FCA"/>
    <w:rsid w:val="00B23067"/>
    <w:rsid w:val="00B23542"/>
    <w:rsid w:val="00B235ED"/>
    <w:rsid w:val="00B2390B"/>
    <w:rsid w:val="00B23D0A"/>
    <w:rsid w:val="00B23D6D"/>
    <w:rsid w:val="00B23FA4"/>
    <w:rsid w:val="00B24049"/>
    <w:rsid w:val="00B24344"/>
    <w:rsid w:val="00B24532"/>
    <w:rsid w:val="00B249AB"/>
    <w:rsid w:val="00B24AFF"/>
    <w:rsid w:val="00B24B1B"/>
    <w:rsid w:val="00B2519E"/>
    <w:rsid w:val="00B25226"/>
    <w:rsid w:val="00B253B1"/>
    <w:rsid w:val="00B259F6"/>
    <w:rsid w:val="00B25BA2"/>
    <w:rsid w:val="00B25DAC"/>
    <w:rsid w:val="00B25F60"/>
    <w:rsid w:val="00B25F76"/>
    <w:rsid w:val="00B260A4"/>
    <w:rsid w:val="00B270C9"/>
    <w:rsid w:val="00B270CA"/>
    <w:rsid w:val="00B27244"/>
    <w:rsid w:val="00B272A2"/>
    <w:rsid w:val="00B2795C"/>
    <w:rsid w:val="00B27980"/>
    <w:rsid w:val="00B27DB1"/>
    <w:rsid w:val="00B27DD5"/>
    <w:rsid w:val="00B27FD4"/>
    <w:rsid w:val="00B3024F"/>
    <w:rsid w:val="00B30D8E"/>
    <w:rsid w:val="00B31237"/>
    <w:rsid w:val="00B317B7"/>
    <w:rsid w:val="00B31879"/>
    <w:rsid w:val="00B31C06"/>
    <w:rsid w:val="00B3259B"/>
    <w:rsid w:val="00B32707"/>
    <w:rsid w:val="00B32B65"/>
    <w:rsid w:val="00B33005"/>
    <w:rsid w:val="00B33084"/>
    <w:rsid w:val="00B331F5"/>
    <w:rsid w:val="00B33331"/>
    <w:rsid w:val="00B336A7"/>
    <w:rsid w:val="00B336E0"/>
    <w:rsid w:val="00B33D3E"/>
    <w:rsid w:val="00B3412C"/>
    <w:rsid w:val="00B3436A"/>
    <w:rsid w:val="00B344AA"/>
    <w:rsid w:val="00B34B2B"/>
    <w:rsid w:val="00B34E4A"/>
    <w:rsid w:val="00B34EC9"/>
    <w:rsid w:val="00B350C2"/>
    <w:rsid w:val="00B3516A"/>
    <w:rsid w:val="00B35346"/>
    <w:rsid w:val="00B355D0"/>
    <w:rsid w:val="00B35788"/>
    <w:rsid w:val="00B35B54"/>
    <w:rsid w:val="00B35D53"/>
    <w:rsid w:val="00B35EB1"/>
    <w:rsid w:val="00B3612F"/>
    <w:rsid w:val="00B363E8"/>
    <w:rsid w:val="00B36506"/>
    <w:rsid w:val="00B36C54"/>
    <w:rsid w:val="00B36E29"/>
    <w:rsid w:val="00B36E8A"/>
    <w:rsid w:val="00B36EA3"/>
    <w:rsid w:val="00B3722B"/>
    <w:rsid w:val="00B37D8F"/>
    <w:rsid w:val="00B40CEB"/>
    <w:rsid w:val="00B40EEB"/>
    <w:rsid w:val="00B41481"/>
    <w:rsid w:val="00B415CE"/>
    <w:rsid w:val="00B41FF3"/>
    <w:rsid w:val="00B4212A"/>
    <w:rsid w:val="00B42979"/>
    <w:rsid w:val="00B429C3"/>
    <w:rsid w:val="00B42A2A"/>
    <w:rsid w:val="00B42B68"/>
    <w:rsid w:val="00B42DEE"/>
    <w:rsid w:val="00B430E7"/>
    <w:rsid w:val="00B430F0"/>
    <w:rsid w:val="00B4336D"/>
    <w:rsid w:val="00B4358A"/>
    <w:rsid w:val="00B444DA"/>
    <w:rsid w:val="00B44788"/>
    <w:rsid w:val="00B4496A"/>
    <w:rsid w:val="00B44A36"/>
    <w:rsid w:val="00B44AB6"/>
    <w:rsid w:val="00B44AEA"/>
    <w:rsid w:val="00B44DCF"/>
    <w:rsid w:val="00B44E7C"/>
    <w:rsid w:val="00B450DB"/>
    <w:rsid w:val="00B45172"/>
    <w:rsid w:val="00B4521B"/>
    <w:rsid w:val="00B4533F"/>
    <w:rsid w:val="00B45484"/>
    <w:rsid w:val="00B45752"/>
    <w:rsid w:val="00B45B30"/>
    <w:rsid w:val="00B45E25"/>
    <w:rsid w:val="00B46076"/>
    <w:rsid w:val="00B461C1"/>
    <w:rsid w:val="00B46245"/>
    <w:rsid w:val="00B46483"/>
    <w:rsid w:val="00B4696E"/>
    <w:rsid w:val="00B46DA9"/>
    <w:rsid w:val="00B46EBA"/>
    <w:rsid w:val="00B4774D"/>
    <w:rsid w:val="00B47BC7"/>
    <w:rsid w:val="00B47C91"/>
    <w:rsid w:val="00B47EE0"/>
    <w:rsid w:val="00B504B5"/>
    <w:rsid w:val="00B505E6"/>
    <w:rsid w:val="00B50870"/>
    <w:rsid w:val="00B509F8"/>
    <w:rsid w:val="00B5117A"/>
    <w:rsid w:val="00B51197"/>
    <w:rsid w:val="00B51222"/>
    <w:rsid w:val="00B51257"/>
    <w:rsid w:val="00B513F6"/>
    <w:rsid w:val="00B51980"/>
    <w:rsid w:val="00B519BE"/>
    <w:rsid w:val="00B51CAA"/>
    <w:rsid w:val="00B51D6C"/>
    <w:rsid w:val="00B52340"/>
    <w:rsid w:val="00B526D7"/>
    <w:rsid w:val="00B52911"/>
    <w:rsid w:val="00B5297E"/>
    <w:rsid w:val="00B52C23"/>
    <w:rsid w:val="00B52F6C"/>
    <w:rsid w:val="00B538FC"/>
    <w:rsid w:val="00B53BCD"/>
    <w:rsid w:val="00B53D2A"/>
    <w:rsid w:val="00B53FBF"/>
    <w:rsid w:val="00B5418A"/>
    <w:rsid w:val="00B54316"/>
    <w:rsid w:val="00B5431B"/>
    <w:rsid w:val="00B543FA"/>
    <w:rsid w:val="00B544D2"/>
    <w:rsid w:val="00B54DAB"/>
    <w:rsid w:val="00B54EF6"/>
    <w:rsid w:val="00B54F42"/>
    <w:rsid w:val="00B54F66"/>
    <w:rsid w:val="00B5506F"/>
    <w:rsid w:val="00B553D6"/>
    <w:rsid w:val="00B55898"/>
    <w:rsid w:val="00B55B11"/>
    <w:rsid w:val="00B56621"/>
    <w:rsid w:val="00B56755"/>
    <w:rsid w:val="00B5682B"/>
    <w:rsid w:val="00B56BEC"/>
    <w:rsid w:val="00B56D7C"/>
    <w:rsid w:val="00B5721A"/>
    <w:rsid w:val="00B57288"/>
    <w:rsid w:val="00B60139"/>
    <w:rsid w:val="00B6018D"/>
    <w:rsid w:val="00B602D2"/>
    <w:rsid w:val="00B6040D"/>
    <w:rsid w:val="00B60B56"/>
    <w:rsid w:val="00B60B7F"/>
    <w:rsid w:val="00B60EDC"/>
    <w:rsid w:val="00B61054"/>
    <w:rsid w:val="00B61412"/>
    <w:rsid w:val="00B6166B"/>
    <w:rsid w:val="00B617FA"/>
    <w:rsid w:val="00B6180F"/>
    <w:rsid w:val="00B6184B"/>
    <w:rsid w:val="00B61A59"/>
    <w:rsid w:val="00B61AF2"/>
    <w:rsid w:val="00B61C2C"/>
    <w:rsid w:val="00B61E0C"/>
    <w:rsid w:val="00B61EE0"/>
    <w:rsid w:val="00B61FEE"/>
    <w:rsid w:val="00B62154"/>
    <w:rsid w:val="00B6218F"/>
    <w:rsid w:val="00B625A6"/>
    <w:rsid w:val="00B62719"/>
    <w:rsid w:val="00B63194"/>
    <w:rsid w:val="00B63446"/>
    <w:rsid w:val="00B63AAC"/>
    <w:rsid w:val="00B64020"/>
    <w:rsid w:val="00B641F3"/>
    <w:rsid w:val="00B6469C"/>
    <w:rsid w:val="00B646D5"/>
    <w:rsid w:val="00B64E89"/>
    <w:rsid w:val="00B650FC"/>
    <w:rsid w:val="00B6531D"/>
    <w:rsid w:val="00B65597"/>
    <w:rsid w:val="00B65B6C"/>
    <w:rsid w:val="00B66074"/>
    <w:rsid w:val="00B66150"/>
    <w:rsid w:val="00B6632D"/>
    <w:rsid w:val="00B666D5"/>
    <w:rsid w:val="00B667F7"/>
    <w:rsid w:val="00B66A67"/>
    <w:rsid w:val="00B66BA4"/>
    <w:rsid w:val="00B66BB6"/>
    <w:rsid w:val="00B66DD9"/>
    <w:rsid w:val="00B6774C"/>
    <w:rsid w:val="00B6777E"/>
    <w:rsid w:val="00B677D6"/>
    <w:rsid w:val="00B677D7"/>
    <w:rsid w:val="00B67816"/>
    <w:rsid w:val="00B67D91"/>
    <w:rsid w:val="00B67FB0"/>
    <w:rsid w:val="00B701EB"/>
    <w:rsid w:val="00B70510"/>
    <w:rsid w:val="00B7066E"/>
    <w:rsid w:val="00B707B4"/>
    <w:rsid w:val="00B709C1"/>
    <w:rsid w:val="00B70A6B"/>
    <w:rsid w:val="00B70D7F"/>
    <w:rsid w:val="00B70ED6"/>
    <w:rsid w:val="00B71249"/>
    <w:rsid w:val="00B71565"/>
    <w:rsid w:val="00B71E89"/>
    <w:rsid w:val="00B721AD"/>
    <w:rsid w:val="00B721BE"/>
    <w:rsid w:val="00B72843"/>
    <w:rsid w:val="00B728E5"/>
    <w:rsid w:val="00B729A7"/>
    <w:rsid w:val="00B72C11"/>
    <w:rsid w:val="00B72E2B"/>
    <w:rsid w:val="00B73B8C"/>
    <w:rsid w:val="00B73F93"/>
    <w:rsid w:val="00B74018"/>
    <w:rsid w:val="00B747B2"/>
    <w:rsid w:val="00B74845"/>
    <w:rsid w:val="00B74D06"/>
    <w:rsid w:val="00B74E54"/>
    <w:rsid w:val="00B75044"/>
    <w:rsid w:val="00B75105"/>
    <w:rsid w:val="00B75696"/>
    <w:rsid w:val="00B75BD7"/>
    <w:rsid w:val="00B75CBF"/>
    <w:rsid w:val="00B75EA5"/>
    <w:rsid w:val="00B763A3"/>
    <w:rsid w:val="00B765DE"/>
    <w:rsid w:val="00B7660F"/>
    <w:rsid w:val="00B76802"/>
    <w:rsid w:val="00B76A6F"/>
    <w:rsid w:val="00B76B75"/>
    <w:rsid w:val="00B76EB9"/>
    <w:rsid w:val="00B771A3"/>
    <w:rsid w:val="00B77C31"/>
    <w:rsid w:val="00B77FCF"/>
    <w:rsid w:val="00B80245"/>
    <w:rsid w:val="00B8024A"/>
    <w:rsid w:val="00B803BF"/>
    <w:rsid w:val="00B80676"/>
    <w:rsid w:val="00B806A6"/>
    <w:rsid w:val="00B80D02"/>
    <w:rsid w:val="00B81032"/>
    <w:rsid w:val="00B810FF"/>
    <w:rsid w:val="00B81294"/>
    <w:rsid w:val="00B81721"/>
    <w:rsid w:val="00B81839"/>
    <w:rsid w:val="00B81915"/>
    <w:rsid w:val="00B81996"/>
    <w:rsid w:val="00B81A4C"/>
    <w:rsid w:val="00B81D62"/>
    <w:rsid w:val="00B82473"/>
    <w:rsid w:val="00B825C3"/>
    <w:rsid w:val="00B825D7"/>
    <w:rsid w:val="00B826A8"/>
    <w:rsid w:val="00B82AC5"/>
    <w:rsid w:val="00B82AEE"/>
    <w:rsid w:val="00B82E70"/>
    <w:rsid w:val="00B82F91"/>
    <w:rsid w:val="00B83A29"/>
    <w:rsid w:val="00B83E11"/>
    <w:rsid w:val="00B83F53"/>
    <w:rsid w:val="00B83FE4"/>
    <w:rsid w:val="00B846D1"/>
    <w:rsid w:val="00B84B7B"/>
    <w:rsid w:val="00B84E8D"/>
    <w:rsid w:val="00B85F09"/>
    <w:rsid w:val="00B8606A"/>
    <w:rsid w:val="00B86235"/>
    <w:rsid w:val="00B8624F"/>
    <w:rsid w:val="00B8636A"/>
    <w:rsid w:val="00B86BDD"/>
    <w:rsid w:val="00B86BE2"/>
    <w:rsid w:val="00B8704F"/>
    <w:rsid w:val="00B871A2"/>
    <w:rsid w:val="00B873EB"/>
    <w:rsid w:val="00B87517"/>
    <w:rsid w:val="00B878A9"/>
    <w:rsid w:val="00B87D8A"/>
    <w:rsid w:val="00B90057"/>
    <w:rsid w:val="00B90367"/>
    <w:rsid w:val="00B90645"/>
    <w:rsid w:val="00B907A6"/>
    <w:rsid w:val="00B90B28"/>
    <w:rsid w:val="00B912CB"/>
    <w:rsid w:val="00B912D6"/>
    <w:rsid w:val="00B914AC"/>
    <w:rsid w:val="00B916F5"/>
    <w:rsid w:val="00B91ACA"/>
    <w:rsid w:val="00B922E2"/>
    <w:rsid w:val="00B92AB8"/>
    <w:rsid w:val="00B92F20"/>
    <w:rsid w:val="00B933D1"/>
    <w:rsid w:val="00B937B4"/>
    <w:rsid w:val="00B940AB"/>
    <w:rsid w:val="00B942B8"/>
    <w:rsid w:val="00B94314"/>
    <w:rsid w:val="00B943A6"/>
    <w:rsid w:val="00B94435"/>
    <w:rsid w:val="00B9477C"/>
    <w:rsid w:val="00B947D4"/>
    <w:rsid w:val="00B94947"/>
    <w:rsid w:val="00B94BA0"/>
    <w:rsid w:val="00B94D25"/>
    <w:rsid w:val="00B94D31"/>
    <w:rsid w:val="00B94F07"/>
    <w:rsid w:val="00B94FF7"/>
    <w:rsid w:val="00B95188"/>
    <w:rsid w:val="00B9549D"/>
    <w:rsid w:val="00B955CE"/>
    <w:rsid w:val="00B95A7A"/>
    <w:rsid w:val="00B966C8"/>
    <w:rsid w:val="00B96F79"/>
    <w:rsid w:val="00B97034"/>
    <w:rsid w:val="00B9714E"/>
    <w:rsid w:val="00B974C4"/>
    <w:rsid w:val="00B979B5"/>
    <w:rsid w:val="00B97E23"/>
    <w:rsid w:val="00BA02AF"/>
    <w:rsid w:val="00BA0614"/>
    <w:rsid w:val="00BA06DA"/>
    <w:rsid w:val="00BA0D58"/>
    <w:rsid w:val="00BA0FBD"/>
    <w:rsid w:val="00BA18E8"/>
    <w:rsid w:val="00BA214B"/>
    <w:rsid w:val="00BA2313"/>
    <w:rsid w:val="00BA26FB"/>
    <w:rsid w:val="00BA2766"/>
    <w:rsid w:val="00BA2926"/>
    <w:rsid w:val="00BA2A46"/>
    <w:rsid w:val="00BA32AA"/>
    <w:rsid w:val="00BA3C8D"/>
    <w:rsid w:val="00BA3E77"/>
    <w:rsid w:val="00BA4089"/>
    <w:rsid w:val="00BA451D"/>
    <w:rsid w:val="00BA45DB"/>
    <w:rsid w:val="00BA46E1"/>
    <w:rsid w:val="00BA4C25"/>
    <w:rsid w:val="00BA4EA5"/>
    <w:rsid w:val="00BA5193"/>
    <w:rsid w:val="00BA55B5"/>
    <w:rsid w:val="00BA57F2"/>
    <w:rsid w:val="00BA58C6"/>
    <w:rsid w:val="00BA5A59"/>
    <w:rsid w:val="00BA5A8D"/>
    <w:rsid w:val="00BA5D54"/>
    <w:rsid w:val="00BA6131"/>
    <w:rsid w:val="00BA629F"/>
    <w:rsid w:val="00BA65E2"/>
    <w:rsid w:val="00BA6E83"/>
    <w:rsid w:val="00BA712E"/>
    <w:rsid w:val="00BA7BAA"/>
    <w:rsid w:val="00BA7C5D"/>
    <w:rsid w:val="00BA7D97"/>
    <w:rsid w:val="00BA7DD1"/>
    <w:rsid w:val="00BB0083"/>
    <w:rsid w:val="00BB0099"/>
    <w:rsid w:val="00BB023B"/>
    <w:rsid w:val="00BB046B"/>
    <w:rsid w:val="00BB0556"/>
    <w:rsid w:val="00BB0577"/>
    <w:rsid w:val="00BB0815"/>
    <w:rsid w:val="00BB081C"/>
    <w:rsid w:val="00BB0E3F"/>
    <w:rsid w:val="00BB0F3E"/>
    <w:rsid w:val="00BB10D4"/>
    <w:rsid w:val="00BB1439"/>
    <w:rsid w:val="00BB1B86"/>
    <w:rsid w:val="00BB1CA8"/>
    <w:rsid w:val="00BB1FDF"/>
    <w:rsid w:val="00BB227E"/>
    <w:rsid w:val="00BB2D9C"/>
    <w:rsid w:val="00BB3A22"/>
    <w:rsid w:val="00BB3C69"/>
    <w:rsid w:val="00BB4D29"/>
    <w:rsid w:val="00BB4F6C"/>
    <w:rsid w:val="00BB5703"/>
    <w:rsid w:val="00BB57E8"/>
    <w:rsid w:val="00BB588F"/>
    <w:rsid w:val="00BB5BDF"/>
    <w:rsid w:val="00BB5C5B"/>
    <w:rsid w:val="00BB5C8A"/>
    <w:rsid w:val="00BB5DEA"/>
    <w:rsid w:val="00BB5EE9"/>
    <w:rsid w:val="00BB61B2"/>
    <w:rsid w:val="00BB6890"/>
    <w:rsid w:val="00BB695E"/>
    <w:rsid w:val="00BB6987"/>
    <w:rsid w:val="00BB6A2D"/>
    <w:rsid w:val="00BB6D9D"/>
    <w:rsid w:val="00BB7545"/>
    <w:rsid w:val="00BB7DD1"/>
    <w:rsid w:val="00BC0258"/>
    <w:rsid w:val="00BC03A5"/>
    <w:rsid w:val="00BC0637"/>
    <w:rsid w:val="00BC0AAE"/>
    <w:rsid w:val="00BC0E23"/>
    <w:rsid w:val="00BC0F91"/>
    <w:rsid w:val="00BC1015"/>
    <w:rsid w:val="00BC112F"/>
    <w:rsid w:val="00BC1258"/>
    <w:rsid w:val="00BC1353"/>
    <w:rsid w:val="00BC1673"/>
    <w:rsid w:val="00BC1747"/>
    <w:rsid w:val="00BC180C"/>
    <w:rsid w:val="00BC1A8B"/>
    <w:rsid w:val="00BC24F1"/>
    <w:rsid w:val="00BC2600"/>
    <w:rsid w:val="00BC271F"/>
    <w:rsid w:val="00BC293C"/>
    <w:rsid w:val="00BC2ACB"/>
    <w:rsid w:val="00BC2E60"/>
    <w:rsid w:val="00BC2F0C"/>
    <w:rsid w:val="00BC2F54"/>
    <w:rsid w:val="00BC335A"/>
    <w:rsid w:val="00BC36A2"/>
    <w:rsid w:val="00BC3791"/>
    <w:rsid w:val="00BC3BBE"/>
    <w:rsid w:val="00BC3E8A"/>
    <w:rsid w:val="00BC3F4E"/>
    <w:rsid w:val="00BC4325"/>
    <w:rsid w:val="00BC4586"/>
    <w:rsid w:val="00BC48F8"/>
    <w:rsid w:val="00BC4C2E"/>
    <w:rsid w:val="00BC4EE8"/>
    <w:rsid w:val="00BC50E7"/>
    <w:rsid w:val="00BC5518"/>
    <w:rsid w:val="00BC573E"/>
    <w:rsid w:val="00BC5A30"/>
    <w:rsid w:val="00BC5A37"/>
    <w:rsid w:val="00BC5B24"/>
    <w:rsid w:val="00BC5E06"/>
    <w:rsid w:val="00BC6726"/>
    <w:rsid w:val="00BC6851"/>
    <w:rsid w:val="00BC6B9F"/>
    <w:rsid w:val="00BC6C11"/>
    <w:rsid w:val="00BC6DDD"/>
    <w:rsid w:val="00BC712A"/>
    <w:rsid w:val="00BC7191"/>
    <w:rsid w:val="00BC71F0"/>
    <w:rsid w:val="00BC721E"/>
    <w:rsid w:val="00BC75BD"/>
    <w:rsid w:val="00BC7896"/>
    <w:rsid w:val="00BC79EE"/>
    <w:rsid w:val="00BC7B21"/>
    <w:rsid w:val="00BC7C78"/>
    <w:rsid w:val="00BD0067"/>
    <w:rsid w:val="00BD0136"/>
    <w:rsid w:val="00BD039C"/>
    <w:rsid w:val="00BD0626"/>
    <w:rsid w:val="00BD069B"/>
    <w:rsid w:val="00BD166F"/>
    <w:rsid w:val="00BD1957"/>
    <w:rsid w:val="00BD1C42"/>
    <w:rsid w:val="00BD1EE5"/>
    <w:rsid w:val="00BD2866"/>
    <w:rsid w:val="00BD2948"/>
    <w:rsid w:val="00BD2DCD"/>
    <w:rsid w:val="00BD3224"/>
    <w:rsid w:val="00BD3CC8"/>
    <w:rsid w:val="00BD3FA3"/>
    <w:rsid w:val="00BD412E"/>
    <w:rsid w:val="00BD439F"/>
    <w:rsid w:val="00BD446B"/>
    <w:rsid w:val="00BD4493"/>
    <w:rsid w:val="00BD4693"/>
    <w:rsid w:val="00BD48A7"/>
    <w:rsid w:val="00BD48EA"/>
    <w:rsid w:val="00BD4A0A"/>
    <w:rsid w:val="00BD53B9"/>
    <w:rsid w:val="00BD582A"/>
    <w:rsid w:val="00BD6209"/>
    <w:rsid w:val="00BD6210"/>
    <w:rsid w:val="00BD6449"/>
    <w:rsid w:val="00BD68B3"/>
    <w:rsid w:val="00BD6C22"/>
    <w:rsid w:val="00BD6D52"/>
    <w:rsid w:val="00BD6DFF"/>
    <w:rsid w:val="00BD6E7F"/>
    <w:rsid w:val="00BD72ED"/>
    <w:rsid w:val="00BD7480"/>
    <w:rsid w:val="00BD7A23"/>
    <w:rsid w:val="00BD7F97"/>
    <w:rsid w:val="00BE00AA"/>
    <w:rsid w:val="00BE0B51"/>
    <w:rsid w:val="00BE1387"/>
    <w:rsid w:val="00BE17D0"/>
    <w:rsid w:val="00BE182B"/>
    <w:rsid w:val="00BE194C"/>
    <w:rsid w:val="00BE1990"/>
    <w:rsid w:val="00BE1EEA"/>
    <w:rsid w:val="00BE1FA3"/>
    <w:rsid w:val="00BE2267"/>
    <w:rsid w:val="00BE226A"/>
    <w:rsid w:val="00BE24BE"/>
    <w:rsid w:val="00BE24CD"/>
    <w:rsid w:val="00BE2543"/>
    <w:rsid w:val="00BE260A"/>
    <w:rsid w:val="00BE2A63"/>
    <w:rsid w:val="00BE2D1F"/>
    <w:rsid w:val="00BE2DAF"/>
    <w:rsid w:val="00BE3208"/>
    <w:rsid w:val="00BE34A0"/>
    <w:rsid w:val="00BE3D7C"/>
    <w:rsid w:val="00BE3FC0"/>
    <w:rsid w:val="00BE4107"/>
    <w:rsid w:val="00BE413F"/>
    <w:rsid w:val="00BE45EB"/>
    <w:rsid w:val="00BE5067"/>
    <w:rsid w:val="00BE5112"/>
    <w:rsid w:val="00BE5409"/>
    <w:rsid w:val="00BE5634"/>
    <w:rsid w:val="00BE5932"/>
    <w:rsid w:val="00BE5B26"/>
    <w:rsid w:val="00BE5E29"/>
    <w:rsid w:val="00BE6104"/>
    <w:rsid w:val="00BE629F"/>
    <w:rsid w:val="00BE65D3"/>
    <w:rsid w:val="00BE6700"/>
    <w:rsid w:val="00BE6B89"/>
    <w:rsid w:val="00BE70EA"/>
    <w:rsid w:val="00BE7A6E"/>
    <w:rsid w:val="00BE7AE0"/>
    <w:rsid w:val="00BE7C1C"/>
    <w:rsid w:val="00BF05F8"/>
    <w:rsid w:val="00BF0910"/>
    <w:rsid w:val="00BF0B93"/>
    <w:rsid w:val="00BF0CAF"/>
    <w:rsid w:val="00BF0FF6"/>
    <w:rsid w:val="00BF1432"/>
    <w:rsid w:val="00BF14AE"/>
    <w:rsid w:val="00BF1706"/>
    <w:rsid w:val="00BF173B"/>
    <w:rsid w:val="00BF1779"/>
    <w:rsid w:val="00BF1B7B"/>
    <w:rsid w:val="00BF20C0"/>
    <w:rsid w:val="00BF231D"/>
    <w:rsid w:val="00BF2911"/>
    <w:rsid w:val="00BF2A9F"/>
    <w:rsid w:val="00BF2C3D"/>
    <w:rsid w:val="00BF2E3A"/>
    <w:rsid w:val="00BF2EC2"/>
    <w:rsid w:val="00BF3051"/>
    <w:rsid w:val="00BF31E2"/>
    <w:rsid w:val="00BF3204"/>
    <w:rsid w:val="00BF34FE"/>
    <w:rsid w:val="00BF36BE"/>
    <w:rsid w:val="00BF37B4"/>
    <w:rsid w:val="00BF3BD9"/>
    <w:rsid w:val="00BF3E61"/>
    <w:rsid w:val="00BF3F72"/>
    <w:rsid w:val="00BF426D"/>
    <w:rsid w:val="00BF4270"/>
    <w:rsid w:val="00BF44CD"/>
    <w:rsid w:val="00BF4711"/>
    <w:rsid w:val="00BF471F"/>
    <w:rsid w:val="00BF4752"/>
    <w:rsid w:val="00BF4780"/>
    <w:rsid w:val="00BF4A27"/>
    <w:rsid w:val="00BF4E75"/>
    <w:rsid w:val="00BF53F1"/>
    <w:rsid w:val="00BF5631"/>
    <w:rsid w:val="00BF57EE"/>
    <w:rsid w:val="00BF5BA2"/>
    <w:rsid w:val="00BF5E20"/>
    <w:rsid w:val="00BF683A"/>
    <w:rsid w:val="00BF6927"/>
    <w:rsid w:val="00BF6D36"/>
    <w:rsid w:val="00BF6EC8"/>
    <w:rsid w:val="00BF71BD"/>
    <w:rsid w:val="00BF73C6"/>
    <w:rsid w:val="00BF7746"/>
    <w:rsid w:val="00BF7E71"/>
    <w:rsid w:val="00BF7F43"/>
    <w:rsid w:val="00C00420"/>
    <w:rsid w:val="00C00493"/>
    <w:rsid w:val="00C005F1"/>
    <w:rsid w:val="00C007A9"/>
    <w:rsid w:val="00C007E1"/>
    <w:rsid w:val="00C0098E"/>
    <w:rsid w:val="00C00A78"/>
    <w:rsid w:val="00C010D2"/>
    <w:rsid w:val="00C0120B"/>
    <w:rsid w:val="00C0120C"/>
    <w:rsid w:val="00C01698"/>
    <w:rsid w:val="00C0170E"/>
    <w:rsid w:val="00C017BE"/>
    <w:rsid w:val="00C017C1"/>
    <w:rsid w:val="00C01D29"/>
    <w:rsid w:val="00C0202C"/>
    <w:rsid w:val="00C0222A"/>
    <w:rsid w:val="00C02517"/>
    <w:rsid w:val="00C025AE"/>
    <w:rsid w:val="00C0269F"/>
    <w:rsid w:val="00C02B0E"/>
    <w:rsid w:val="00C02E68"/>
    <w:rsid w:val="00C02E9A"/>
    <w:rsid w:val="00C03090"/>
    <w:rsid w:val="00C035B7"/>
    <w:rsid w:val="00C03625"/>
    <w:rsid w:val="00C03629"/>
    <w:rsid w:val="00C03B25"/>
    <w:rsid w:val="00C03C04"/>
    <w:rsid w:val="00C03D8B"/>
    <w:rsid w:val="00C04279"/>
    <w:rsid w:val="00C0487E"/>
    <w:rsid w:val="00C04A09"/>
    <w:rsid w:val="00C04AF2"/>
    <w:rsid w:val="00C04C84"/>
    <w:rsid w:val="00C04DBF"/>
    <w:rsid w:val="00C050B7"/>
    <w:rsid w:val="00C050BF"/>
    <w:rsid w:val="00C0520B"/>
    <w:rsid w:val="00C05213"/>
    <w:rsid w:val="00C05C57"/>
    <w:rsid w:val="00C069CC"/>
    <w:rsid w:val="00C06C1D"/>
    <w:rsid w:val="00C06E23"/>
    <w:rsid w:val="00C071F7"/>
    <w:rsid w:val="00C0773D"/>
    <w:rsid w:val="00C077F5"/>
    <w:rsid w:val="00C07A54"/>
    <w:rsid w:val="00C07B5C"/>
    <w:rsid w:val="00C07BA9"/>
    <w:rsid w:val="00C07E27"/>
    <w:rsid w:val="00C1007A"/>
    <w:rsid w:val="00C10148"/>
    <w:rsid w:val="00C1059B"/>
    <w:rsid w:val="00C1072D"/>
    <w:rsid w:val="00C107C1"/>
    <w:rsid w:val="00C108C8"/>
    <w:rsid w:val="00C10A90"/>
    <w:rsid w:val="00C10ACF"/>
    <w:rsid w:val="00C10AEE"/>
    <w:rsid w:val="00C10CAD"/>
    <w:rsid w:val="00C10E4D"/>
    <w:rsid w:val="00C111D4"/>
    <w:rsid w:val="00C1122B"/>
    <w:rsid w:val="00C114F2"/>
    <w:rsid w:val="00C11585"/>
    <w:rsid w:val="00C116EF"/>
    <w:rsid w:val="00C11A13"/>
    <w:rsid w:val="00C11A52"/>
    <w:rsid w:val="00C11A92"/>
    <w:rsid w:val="00C12062"/>
    <w:rsid w:val="00C12093"/>
    <w:rsid w:val="00C128C1"/>
    <w:rsid w:val="00C129C8"/>
    <w:rsid w:val="00C12BDD"/>
    <w:rsid w:val="00C12BF8"/>
    <w:rsid w:val="00C12E49"/>
    <w:rsid w:val="00C13221"/>
    <w:rsid w:val="00C137E6"/>
    <w:rsid w:val="00C13EDB"/>
    <w:rsid w:val="00C14029"/>
    <w:rsid w:val="00C14503"/>
    <w:rsid w:val="00C147DE"/>
    <w:rsid w:val="00C15099"/>
    <w:rsid w:val="00C150AD"/>
    <w:rsid w:val="00C15258"/>
    <w:rsid w:val="00C159F5"/>
    <w:rsid w:val="00C15C6D"/>
    <w:rsid w:val="00C15C76"/>
    <w:rsid w:val="00C15FF3"/>
    <w:rsid w:val="00C16230"/>
    <w:rsid w:val="00C16354"/>
    <w:rsid w:val="00C16827"/>
    <w:rsid w:val="00C16905"/>
    <w:rsid w:val="00C16AAC"/>
    <w:rsid w:val="00C16BE7"/>
    <w:rsid w:val="00C16C0A"/>
    <w:rsid w:val="00C16E30"/>
    <w:rsid w:val="00C173C7"/>
    <w:rsid w:val="00C173EB"/>
    <w:rsid w:val="00C176E4"/>
    <w:rsid w:val="00C17C63"/>
    <w:rsid w:val="00C17C70"/>
    <w:rsid w:val="00C2025F"/>
    <w:rsid w:val="00C2081F"/>
    <w:rsid w:val="00C20878"/>
    <w:rsid w:val="00C212F6"/>
    <w:rsid w:val="00C213D8"/>
    <w:rsid w:val="00C2141C"/>
    <w:rsid w:val="00C21529"/>
    <w:rsid w:val="00C2181A"/>
    <w:rsid w:val="00C2192C"/>
    <w:rsid w:val="00C21C70"/>
    <w:rsid w:val="00C21D59"/>
    <w:rsid w:val="00C21FBE"/>
    <w:rsid w:val="00C22492"/>
    <w:rsid w:val="00C226C8"/>
    <w:rsid w:val="00C229EE"/>
    <w:rsid w:val="00C22A85"/>
    <w:rsid w:val="00C22CAA"/>
    <w:rsid w:val="00C230A4"/>
    <w:rsid w:val="00C2349B"/>
    <w:rsid w:val="00C23690"/>
    <w:rsid w:val="00C23750"/>
    <w:rsid w:val="00C24372"/>
    <w:rsid w:val="00C2446B"/>
    <w:rsid w:val="00C24BBB"/>
    <w:rsid w:val="00C253C3"/>
    <w:rsid w:val="00C25471"/>
    <w:rsid w:val="00C257BF"/>
    <w:rsid w:val="00C258A2"/>
    <w:rsid w:val="00C25CC9"/>
    <w:rsid w:val="00C260C9"/>
    <w:rsid w:val="00C260EB"/>
    <w:rsid w:val="00C267EA"/>
    <w:rsid w:val="00C26A83"/>
    <w:rsid w:val="00C26D30"/>
    <w:rsid w:val="00C26E45"/>
    <w:rsid w:val="00C275FD"/>
    <w:rsid w:val="00C27CB1"/>
    <w:rsid w:val="00C30948"/>
    <w:rsid w:val="00C30EE3"/>
    <w:rsid w:val="00C30F7D"/>
    <w:rsid w:val="00C31025"/>
    <w:rsid w:val="00C3118F"/>
    <w:rsid w:val="00C313CF"/>
    <w:rsid w:val="00C317F9"/>
    <w:rsid w:val="00C319CB"/>
    <w:rsid w:val="00C31B51"/>
    <w:rsid w:val="00C31E54"/>
    <w:rsid w:val="00C32682"/>
    <w:rsid w:val="00C329BC"/>
    <w:rsid w:val="00C32B36"/>
    <w:rsid w:val="00C32B55"/>
    <w:rsid w:val="00C32BFC"/>
    <w:rsid w:val="00C32D40"/>
    <w:rsid w:val="00C33D3E"/>
    <w:rsid w:val="00C33D40"/>
    <w:rsid w:val="00C33FDA"/>
    <w:rsid w:val="00C3411B"/>
    <w:rsid w:val="00C3414C"/>
    <w:rsid w:val="00C349C7"/>
    <w:rsid w:val="00C34D74"/>
    <w:rsid w:val="00C35216"/>
    <w:rsid w:val="00C354F9"/>
    <w:rsid w:val="00C35672"/>
    <w:rsid w:val="00C359B7"/>
    <w:rsid w:val="00C35A9D"/>
    <w:rsid w:val="00C35D0A"/>
    <w:rsid w:val="00C35F03"/>
    <w:rsid w:val="00C3657B"/>
    <w:rsid w:val="00C3666E"/>
    <w:rsid w:val="00C36F18"/>
    <w:rsid w:val="00C3761F"/>
    <w:rsid w:val="00C37BB9"/>
    <w:rsid w:val="00C37EE6"/>
    <w:rsid w:val="00C40021"/>
    <w:rsid w:val="00C4012D"/>
    <w:rsid w:val="00C40273"/>
    <w:rsid w:val="00C40340"/>
    <w:rsid w:val="00C4037C"/>
    <w:rsid w:val="00C403CC"/>
    <w:rsid w:val="00C40433"/>
    <w:rsid w:val="00C40A7F"/>
    <w:rsid w:val="00C40D21"/>
    <w:rsid w:val="00C412D1"/>
    <w:rsid w:val="00C41501"/>
    <w:rsid w:val="00C41D06"/>
    <w:rsid w:val="00C42080"/>
    <w:rsid w:val="00C4209B"/>
    <w:rsid w:val="00C427F5"/>
    <w:rsid w:val="00C42935"/>
    <w:rsid w:val="00C429D7"/>
    <w:rsid w:val="00C42B6C"/>
    <w:rsid w:val="00C43464"/>
    <w:rsid w:val="00C43650"/>
    <w:rsid w:val="00C436D5"/>
    <w:rsid w:val="00C437CF"/>
    <w:rsid w:val="00C4398E"/>
    <w:rsid w:val="00C441A3"/>
    <w:rsid w:val="00C445E3"/>
    <w:rsid w:val="00C44736"/>
    <w:rsid w:val="00C447C0"/>
    <w:rsid w:val="00C449A7"/>
    <w:rsid w:val="00C44A47"/>
    <w:rsid w:val="00C44C7B"/>
    <w:rsid w:val="00C44D4E"/>
    <w:rsid w:val="00C45428"/>
    <w:rsid w:val="00C45434"/>
    <w:rsid w:val="00C45530"/>
    <w:rsid w:val="00C45987"/>
    <w:rsid w:val="00C45992"/>
    <w:rsid w:val="00C45B44"/>
    <w:rsid w:val="00C45D62"/>
    <w:rsid w:val="00C45D74"/>
    <w:rsid w:val="00C45DAE"/>
    <w:rsid w:val="00C4616D"/>
    <w:rsid w:val="00C466E2"/>
    <w:rsid w:val="00C46AB4"/>
    <w:rsid w:val="00C4717F"/>
    <w:rsid w:val="00C4734E"/>
    <w:rsid w:val="00C47756"/>
    <w:rsid w:val="00C479E4"/>
    <w:rsid w:val="00C47FCC"/>
    <w:rsid w:val="00C50089"/>
    <w:rsid w:val="00C50564"/>
    <w:rsid w:val="00C50A0F"/>
    <w:rsid w:val="00C50A2D"/>
    <w:rsid w:val="00C50E5C"/>
    <w:rsid w:val="00C51041"/>
    <w:rsid w:val="00C5117A"/>
    <w:rsid w:val="00C51286"/>
    <w:rsid w:val="00C51B22"/>
    <w:rsid w:val="00C520F1"/>
    <w:rsid w:val="00C5219C"/>
    <w:rsid w:val="00C522A4"/>
    <w:rsid w:val="00C52513"/>
    <w:rsid w:val="00C5275B"/>
    <w:rsid w:val="00C527AD"/>
    <w:rsid w:val="00C52FC2"/>
    <w:rsid w:val="00C53268"/>
    <w:rsid w:val="00C53371"/>
    <w:rsid w:val="00C53476"/>
    <w:rsid w:val="00C53989"/>
    <w:rsid w:val="00C539F8"/>
    <w:rsid w:val="00C53E3D"/>
    <w:rsid w:val="00C53EFC"/>
    <w:rsid w:val="00C54162"/>
    <w:rsid w:val="00C54184"/>
    <w:rsid w:val="00C5479D"/>
    <w:rsid w:val="00C55026"/>
    <w:rsid w:val="00C554E3"/>
    <w:rsid w:val="00C555DB"/>
    <w:rsid w:val="00C55687"/>
    <w:rsid w:val="00C560AD"/>
    <w:rsid w:val="00C560C6"/>
    <w:rsid w:val="00C562A7"/>
    <w:rsid w:val="00C562CF"/>
    <w:rsid w:val="00C56559"/>
    <w:rsid w:val="00C5676F"/>
    <w:rsid w:val="00C56900"/>
    <w:rsid w:val="00C569FB"/>
    <w:rsid w:val="00C56AD1"/>
    <w:rsid w:val="00C56B56"/>
    <w:rsid w:val="00C57312"/>
    <w:rsid w:val="00C57627"/>
    <w:rsid w:val="00C57C75"/>
    <w:rsid w:val="00C57F3E"/>
    <w:rsid w:val="00C601CB"/>
    <w:rsid w:val="00C60BE3"/>
    <w:rsid w:val="00C60D9A"/>
    <w:rsid w:val="00C60F7C"/>
    <w:rsid w:val="00C6111C"/>
    <w:rsid w:val="00C6111D"/>
    <w:rsid w:val="00C6157D"/>
    <w:rsid w:val="00C61F7F"/>
    <w:rsid w:val="00C620D6"/>
    <w:rsid w:val="00C621BC"/>
    <w:rsid w:val="00C62301"/>
    <w:rsid w:val="00C62352"/>
    <w:rsid w:val="00C624F4"/>
    <w:rsid w:val="00C62806"/>
    <w:rsid w:val="00C62852"/>
    <w:rsid w:val="00C629DB"/>
    <w:rsid w:val="00C62A12"/>
    <w:rsid w:val="00C6313E"/>
    <w:rsid w:val="00C6329B"/>
    <w:rsid w:val="00C633EA"/>
    <w:rsid w:val="00C63499"/>
    <w:rsid w:val="00C636BE"/>
    <w:rsid w:val="00C6377D"/>
    <w:rsid w:val="00C639BC"/>
    <w:rsid w:val="00C63C2D"/>
    <w:rsid w:val="00C63DC4"/>
    <w:rsid w:val="00C643F1"/>
    <w:rsid w:val="00C64CC2"/>
    <w:rsid w:val="00C64DCF"/>
    <w:rsid w:val="00C6523E"/>
    <w:rsid w:val="00C65460"/>
    <w:rsid w:val="00C65761"/>
    <w:rsid w:val="00C65882"/>
    <w:rsid w:val="00C658A7"/>
    <w:rsid w:val="00C65D35"/>
    <w:rsid w:val="00C66345"/>
    <w:rsid w:val="00C664BA"/>
    <w:rsid w:val="00C66D12"/>
    <w:rsid w:val="00C66E14"/>
    <w:rsid w:val="00C67404"/>
    <w:rsid w:val="00C677BC"/>
    <w:rsid w:val="00C679A7"/>
    <w:rsid w:val="00C67B61"/>
    <w:rsid w:val="00C67B80"/>
    <w:rsid w:val="00C70B0F"/>
    <w:rsid w:val="00C70DD3"/>
    <w:rsid w:val="00C70E6C"/>
    <w:rsid w:val="00C7108D"/>
    <w:rsid w:val="00C7131C"/>
    <w:rsid w:val="00C71B19"/>
    <w:rsid w:val="00C71BE7"/>
    <w:rsid w:val="00C71F86"/>
    <w:rsid w:val="00C725E4"/>
    <w:rsid w:val="00C7279E"/>
    <w:rsid w:val="00C727D4"/>
    <w:rsid w:val="00C72F75"/>
    <w:rsid w:val="00C73156"/>
    <w:rsid w:val="00C7346D"/>
    <w:rsid w:val="00C7351C"/>
    <w:rsid w:val="00C73660"/>
    <w:rsid w:val="00C73724"/>
    <w:rsid w:val="00C73D45"/>
    <w:rsid w:val="00C74857"/>
    <w:rsid w:val="00C75569"/>
    <w:rsid w:val="00C75B3C"/>
    <w:rsid w:val="00C75F36"/>
    <w:rsid w:val="00C75FC6"/>
    <w:rsid w:val="00C766F3"/>
    <w:rsid w:val="00C76CBF"/>
    <w:rsid w:val="00C76D71"/>
    <w:rsid w:val="00C770CB"/>
    <w:rsid w:val="00C770F8"/>
    <w:rsid w:val="00C77183"/>
    <w:rsid w:val="00C773D7"/>
    <w:rsid w:val="00C77420"/>
    <w:rsid w:val="00C77524"/>
    <w:rsid w:val="00C77A68"/>
    <w:rsid w:val="00C8027B"/>
    <w:rsid w:val="00C808B2"/>
    <w:rsid w:val="00C80DDF"/>
    <w:rsid w:val="00C80EBC"/>
    <w:rsid w:val="00C81B77"/>
    <w:rsid w:val="00C81DC4"/>
    <w:rsid w:val="00C81DD1"/>
    <w:rsid w:val="00C81E38"/>
    <w:rsid w:val="00C81F1F"/>
    <w:rsid w:val="00C81FC7"/>
    <w:rsid w:val="00C8235A"/>
    <w:rsid w:val="00C82583"/>
    <w:rsid w:val="00C82D18"/>
    <w:rsid w:val="00C82F9F"/>
    <w:rsid w:val="00C8334F"/>
    <w:rsid w:val="00C83459"/>
    <w:rsid w:val="00C83CC6"/>
    <w:rsid w:val="00C8411E"/>
    <w:rsid w:val="00C8434B"/>
    <w:rsid w:val="00C847A4"/>
    <w:rsid w:val="00C848CF"/>
    <w:rsid w:val="00C8492C"/>
    <w:rsid w:val="00C851EF"/>
    <w:rsid w:val="00C85C18"/>
    <w:rsid w:val="00C860B4"/>
    <w:rsid w:val="00C8612F"/>
    <w:rsid w:val="00C864E3"/>
    <w:rsid w:val="00C8664D"/>
    <w:rsid w:val="00C86908"/>
    <w:rsid w:val="00C86D46"/>
    <w:rsid w:val="00C87572"/>
    <w:rsid w:val="00C876A4"/>
    <w:rsid w:val="00C877CD"/>
    <w:rsid w:val="00C87829"/>
    <w:rsid w:val="00C8787F"/>
    <w:rsid w:val="00C87FCC"/>
    <w:rsid w:val="00C90407"/>
    <w:rsid w:val="00C90459"/>
    <w:rsid w:val="00C906E7"/>
    <w:rsid w:val="00C90A3D"/>
    <w:rsid w:val="00C90CDF"/>
    <w:rsid w:val="00C9130F"/>
    <w:rsid w:val="00C91517"/>
    <w:rsid w:val="00C9158B"/>
    <w:rsid w:val="00C915A9"/>
    <w:rsid w:val="00C91C53"/>
    <w:rsid w:val="00C91D3B"/>
    <w:rsid w:val="00C91F03"/>
    <w:rsid w:val="00C9214E"/>
    <w:rsid w:val="00C92243"/>
    <w:rsid w:val="00C92448"/>
    <w:rsid w:val="00C92B8D"/>
    <w:rsid w:val="00C92E22"/>
    <w:rsid w:val="00C92F5E"/>
    <w:rsid w:val="00C93020"/>
    <w:rsid w:val="00C934B1"/>
    <w:rsid w:val="00C93679"/>
    <w:rsid w:val="00C938E4"/>
    <w:rsid w:val="00C942E1"/>
    <w:rsid w:val="00C94318"/>
    <w:rsid w:val="00C944B5"/>
    <w:rsid w:val="00C944E3"/>
    <w:rsid w:val="00C94E2B"/>
    <w:rsid w:val="00C94EA2"/>
    <w:rsid w:val="00C94F11"/>
    <w:rsid w:val="00C9516A"/>
    <w:rsid w:val="00C95315"/>
    <w:rsid w:val="00C953DB"/>
    <w:rsid w:val="00C957CF"/>
    <w:rsid w:val="00C958D1"/>
    <w:rsid w:val="00C9621D"/>
    <w:rsid w:val="00C963F1"/>
    <w:rsid w:val="00C9641B"/>
    <w:rsid w:val="00C96537"/>
    <w:rsid w:val="00C96AD0"/>
    <w:rsid w:val="00C96F40"/>
    <w:rsid w:val="00C97027"/>
    <w:rsid w:val="00C9702A"/>
    <w:rsid w:val="00C972B0"/>
    <w:rsid w:val="00C97845"/>
    <w:rsid w:val="00C97A59"/>
    <w:rsid w:val="00C97CEF"/>
    <w:rsid w:val="00CA0005"/>
    <w:rsid w:val="00CA0242"/>
    <w:rsid w:val="00CA02D5"/>
    <w:rsid w:val="00CA0677"/>
    <w:rsid w:val="00CA0CAF"/>
    <w:rsid w:val="00CA0EB5"/>
    <w:rsid w:val="00CA143E"/>
    <w:rsid w:val="00CA2217"/>
    <w:rsid w:val="00CA22A8"/>
    <w:rsid w:val="00CA2798"/>
    <w:rsid w:val="00CA28BE"/>
    <w:rsid w:val="00CA2ADD"/>
    <w:rsid w:val="00CA2B92"/>
    <w:rsid w:val="00CA2D19"/>
    <w:rsid w:val="00CA2D63"/>
    <w:rsid w:val="00CA3021"/>
    <w:rsid w:val="00CA318E"/>
    <w:rsid w:val="00CA32D1"/>
    <w:rsid w:val="00CA35D2"/>
    <w:rsid w:val="00CA36C2"/>
    <w:rsid w:val="00CA388E"/>
    <w:rsid w:val="00CA38AB"/>
    <w:rsid w:val="00CA3BB6"/>
    <w:rsid w:val="00CA3BBE"/>
    <w:rsid w:val="00CA3C5D"/>
    <w:rsid w:val="00CA4185"/>
    <w:rsid w:val="00CA4312"/>
    <w:rsid w:val="00CA4609"/>
    <w:rsid w:val="00CA47CF"/>
    <w:rsid w:val="00CA4C7F"/>
    <w:rsid w:val="00CA5037"/>
    <w:rsid w:val="00CA52FA"/>
    <w:rsid w:val="00CA5486"/>
    <w:rsid w:val="00CA598F"/>
    <w:rsid w:val="00CA5B68"/>
    <w:rsid w:val="00CA5CB2"/>
    <w:rsid w:val="00CA5DB8"/>
    <w:rsid w:val="00CA5FB0"/>
    <w:rsid w:val="00CA6B3D"/>
    <w:rsid w:val="00CA6B70"/>
    <w:rsid w:val="00CA7237"/>
    <w:rsid w:val="00CA7750"/>
    <w:rsid w:val="00CA7B1F"/>
    <w:rsid w:val="00CA7E54"/>
    <w:rsid w:val="00CB0051"/>
    <w:rsid w:val="00CB055B"/>
    <w:rsid w:val="00CB08A8"/>
    <w:rsid w:val="00CB08C2"/>
    <w:rsid w:val="00CB0D08"/>
    <w:rsid w:val="00CB0DBD"/>
    <w:rsid w:val="00CB0E20"/>
    <w:rsid w:val="00CB0FA0"/>
    <w:rsid w:val="00CB179C"/>
    <w:rsid w:val="00CB1A24"/>
    <w:rsid w:val="00CB1B1F"/>
    <w:rsid w:val="00CB1C81"/>
    <w:rsid w:val="00CB1F3E"/>
    <w:rsid w:val="00CB216C"/>
    <w:rsid w:val="00CB2275"/>
    <w:rsid w:val="00CB23BD"/>
    <w:rsid w:val="00CB25B2"/>
    <w:rsid w:val="00CB2B28"/>
    <w:rsid w:val="00CB2D76"/>
    <w:rsid w:val="00CB2F36"/>
    <w:rsid w:val="00CB308F"/>
    <w:rsid w:val="00CB3186"/>
    <w:rsid w:val="00CB3260"/>
    <w:rsid w:val="00CB33E3"/>
    <w:rsid w:val="00CB35D4"/>
    <w:rsid w:val="00CB3656"/>
    <w:rsid w:val="00CB3C28"/>
    <w:rsid w:val="00CB4074"/>
    <w:rsid w:val="00CB429D"/>
    <w:rsid w:val="00CB46AB"/>
    <w:rsid w:val="00CB482A"/>
    <w:rsid w:val="00CB4A36"/>
    <w:rsid w:val="00CB530F"/>
    <w:rsid w:val="00CB539E"/>
    <w:rsid w:val="00CB63CD"/>
    <w:rsid w:val="00CB63F3"/>
    <w:rsid w:val="00CB6505"/>
    <w:rsid w:val="00CB68DC"/>
    <w:rsid w:val="00CB6A77"/>
    <w:rsid w:val="00CB7132"/>
    <w:rsid w:val="00CB716C"/>
    <w:rsid w:val="00CB7542"/>
    <w:rsid w:val="00CB75CF"/>
    <w:rsid w:val="00CB7BC3"/>
    <w:rsid w:val="00CB7DEF"/>
    <w:rsid w:val="00CB7F36"/>
    <w:rsid w:val="00CB7F72"/>
    <w:rsid w:val="00CC00D8"/>
    <w:rsid w:val="00CC04A0"/>
    <w:rsid w:val="00CC0532"/>
    <w:rsid w:val="00CC0671"/>
    <w:rsid w:val="00CC073F"/>
    <w:rsid w:val="00CC0FE7"/>
    <w:rsid w:val="00CC1001"/>
    <w:rsid w:val="00CC10F1"/>
    <w:rsid w:val="00CC141F"/>
    <w:rsid w:val="00CC19CF"/>
    <w:rsid w:val="00CC1D0B"/>
    <w:rsid w:val="00CC1D32"/>
    <w:rsid w:val="00CC1FC1"/>
    <w:rsid w:val="00CC21E6"/>
    <w:rsid w:val="00CC2321"/>
    <w:rsid w:val="00CC24B2"/>
    <w:rsid w:val="00CC26ED"/>
    <w:rsid w:val="00CC2FEC"/>
    <w:rsid w:val="00CC30C0"/>
    <w:rsid w:val="00CC30EC"/>
    <w:rsid w:val="00CC3654"/>
    <w:rsid w:val="00CC3936"/>
    <w:rsid w:val="00CC3E45"/>
    <w:rsid w:val="00CC414E"/>
    <w:rsid w:val="00CC4676"/>
    <w:rsid w:val="00CC4BD4"/>
    <w:rsid w:val="00CC4D2C"/>
    <w:rsid w:val="00CC4D36"/>
    <w:rsid w:val="00CC4D89"/>
    <w:rsid w:val="00CC55E1"/>
    <w:rsid w:val="00CC5603"/>
    <w:rsid w:val="00CC5645"/>
    <w:rsid w:val="00CC5B61"/>
    <w:rsid w:val="00CC6246"/>
    <w:rsid w:val="00CC62C9"/>
    <w:rsid w:val="00CC70FA"/>
    <w:rsid w:val="00CC7783"/>
    <w:rsid w:val="00CC7907"/>
    <w:rsid w:val="00CC79E4"/>
    <w:rsid w:val="00CC7A3D"/>
    <w:rsid w:val="00CC7B51"/>
    <w:rsid w:val="00CC7BE7"/>
    <w:rsid w:val="00CC7D36"/>
    <w:rsid w:val="00CC7DDB"/>
    <w:rsid w:val="00CC7EF3"/>
    <w:rsid w:val="00CD0082"/>
    <w:rsid w:val="00CD0119"/>
    <w:rsid w:val="00CD0168"/>
    <w:rsid w:val="00CD0217"/>
    <w:rsid w:val="00CD0471"/>
    <w:rsid w:val="00CD08B6"/>
    <w:rsid w:val="00CD0979"/>
    <w:rsid w:val="00CD0A77"/>
    <w:rsid w:val="00CD0A91"/>
    <w:rsid w:val="00CD0E3A"/>
    <w:rsid w:val="00CD1497"/>
    <w:rsid w:val="00CD19DA"/>
    <w:rsid w:val="00CD1A4E"/>
    <w:rsid w:val="00CD1A86"/>
    <w:rsid w:val="00CD1ABB"/>
    <w:rsid w:val="00CD1AF5"/>
    <w:rsid w:val="00CD20EC"/>
    <w:rsid w:val="00CD2649"/>
    <w:rsid w:val="00CD28D8"/>
    <w:rsid w:val="00CD2F06"/>
    <w:rsid w:val="00CD436D"/>
    <w:rsid w:val="00CD460B"/>
    <w:rsid w:val="00CD4A5E"/>
    <w:rsid w:val="00CD4B9C"/>
    <w:rsid w:val="00CD4E9F"/>
    <w:rsid w:val="00CD4EDA"/>
    <w:rsid w:val="00CD518E"/>
    <w:rsid w:val="00CD5602"/>
    <w:rsid w:val="00CD58D9"/>
    <w:rsid w:val="00CD598A"/>
    <w:rsid w:val="00CD5A55"/>
    <w:rsid w:val="00CD5BC8"/>
    <w:rsid w:val="00CD5FD5"/>
    <w:rsid w:val="00CD679E"/>
    <w:rsid w:val="00CD6859"/>
    <w:rsid w:val="00CD6CEF"/>
    <w:rsid w:val="00CD6D45"/>
    <w:rsid w:val="00CD6E92"/>
    <w:rsid w:val="00CD6FBB"/>
    <w:rsid w:val="00CD739D"/>
    <w:rsid w:val="00CD75F3"/>
    <w:rsid w:val="00CD7862"/>
    <w:rsid w:val="00CD79A7"/>
    <w:rsid w:val="00CD7EAD"/>
    <w:rsid w:val="00CD7FC0"/>
    <w:rsid w:val="00CE0315"/>
    <w:rsid w:val="00CE0379"/>
    <w:rsid w:val="00CE03C9"/>
    <w:rsid w:val="00CE04EC"/>
    <w:rsid w:val="00CE0833"/>
    <w:rsid w:val="00CE0A7F"/>
    <w:rsid w:val="00CE0B32"/>
    <w:rsid w:val="00CE0EA1"/>
    <w:rsid w:val="00CE10B4"/>
    <w:rsid w:val="00CE1BC4"/>
    <w:rsid w:val="00CE1CED"/>
    <w:rsid w:val="00CE1F03"/>
    <w:rsid w:val="00CE206D"/>
    <w:rsid w:val="00CE2430"/>
    <w:rsid w:val="00CE26AC"/>
    <w:rsid w:val="00CE29AF"/>
    <w:rsid w:val="00CE2EB7"/>
    <w:rsid w:val="00CE2EDE"/>
    <w:rsid w:val="00CE300E"/>
    <w:rsid w:val="00CE36FE"/>
    <w:rsid w:val="00CE3916"/>
    <w:rsid w:val="00CE3B44"/>
    <w:rsid w:val="00CE3D10"/>
    <w:rsid w:val="00CE4B47"/>
    <w:rsid w:val="00CE4C5E"/>
    <w:rsid w:val="00CE4E69"/>
    <w:rsid w:val="00CE5AC6"/>
    <w:rsid w:val="00CE5BE8"/>
    <w:rsid w:val="00CE628F"/>
    <w:rsid w:val="00CE647E"/>
    <w:rsid w:val="00CE64F4"/>
    <w:rsid w:val="00CE66F1"/>
    <w:rsid w:val="00CE678C"/>
    <w:rsid w:val="00CE687B"/>
    <w:rsid w:val="00CE6CD0"/>
    <w:rsid w:val="00CE6F3D"/>
    <w:rsid w:val="00CE70FD"/>
    <w:rsid w:val="00CE71F6"/>
    <w:rsid w:val="00CE728D"/>
    <w:rsid w:val="00CE75DD"/>
    <w:rsid w:val="00CE7B06"/>
    <w:rsid w:val="00CE7BFC"/>
    <w:rsid w:val="00CE7F00"/>
    <w:rsid w:val="00CF00CF"/>
    <w:rsid w:val="00CF080B"/>
    <w:rsid w:val="00CF0874"/>
    <w:rsid w:val="00CF0926"/>
    <w:rsid w:val="00CF09CA"/>
    <w:rsid w:val="00CF0A94"/>
    <w:rsid w:val="00CF0C08"/>
    <w:rsid w:val="00CF0E97"/>
    <w:rsid w:val="00CF0F24"/>
    <w:rsid w:val="00CF10DE"/>
    <w:rsid w:val="00CF11F8"/>
    <w:rsid w:val="00CF130F"/>
    <w:rsid w:val="00CF1451"/>
    <w:rsid w:val="00CF1481"/>
    <w:rsid w:val="00CF1521"/>
    <w:rsid w:val="00CF16C8"/>
    <w:rsid w:val="00CF1B12"/>
    <w:rsid w:val="00CF1B55"/>
    <w:rsid w:val="00CF1D86"/>
    <w:rsid w:val="00CF1E87"/>
    <w:rsid w:val="00CF21A6"/>
    <w:rsid w:val="00CF22A6"/>
    <w:rsid w:val="00CF2357"/>
    <w:rsid w:val="00CF26CB"/>
    <w:rsid w:val="00CF2877"/>
    <w:rsid w:val="00CF2FFA"/>
    <w:rsid w:val="00CF301E"/>
    <w:rsid w:val="00CF3795"/>
    <w:rsid w:val="00CF414F"/>
    <w:rsid w:val="00CF44D2"/>
    <w:rsid w:val="00CF46C2"/>
    <w:rsid w:val="00CF4D00"/>
    <w:rsid w:val="00CF4DEA"/>
    <w:rsid w:val="00CF5250"/>
    <w:rsid w:val="00CF53DC"/>
    <w:rsid w:val="00CF5532"/>
    <w:rsid w:val="00CF5798"/>
    <w:rsid w:val="00CF589F"/>
    <w:rsid w:val="00CF59A0"/>
    <w:rsid w:val="00CF5BF8"/>
    <w:rsid w:val="00CF5CDA"/>
    <w:rsid w:val="00CF5E81"/>
    <w:rsid w:val="00CF607C"/>
    <w:rsid w:val="00CF64AA"/>
    <w:rsid w:val="00CF6572"/>
    <w:rsid w:val="00CF658F"/>
    <w:rsid w:val="00CF65EF"/>
    <w:rsid w:val="00CF6813"/>
    <w:rsid w:val="00CF68BE"/>
    <w:rsid w:val="00CF6A8D"/>
    <w:rsid w:val="00CF74DF"/>
    <w:rsid w:val="00CF7765"/>
    <w:rsid w:val="00CF794C"/>
    <w:rsid w:val="00CF7A52"/>
    <w:rsid w:val="00D002F5"/>
    <w:rsid w:val="00D00618"/>
    <w:rsid w:val="00D006AA"/>
    <w:rsid w:val="00D00CAD"/>
    <w:rsid w:val="00D0117B"/>
    <w:rsid w:val="00D011F0"/>
    <w:rsid w:val="00D0124D"/>
    <w:rsid w:val="00D015B0"/>
    <w:rsid w:val="00D01B0A"/>
    <w:rsid w:val="00D02596"/>
    <w:rsid w:val="00D025A7"/>
    <w:rsid w:val="00D02671"/>
    <w:rsid w:val="00D02756"/>
    <w:rsid w:val="00D02758"/>
    <w:rsid w:val="00D028BE"/>
    <w:rsid w:val="00D02A0E"/>
    <w:rsid w:val="00D0306D"/>
    <w:rsid w:val="00D0351B"/>
    <w:rsid w:val="00D03A80"/>
    <w:rsid w:val="00D03E0C"/>
    <w:rsid w:val="00D03F49"/>
    <w:rsid w:val="00D0403B"/>
    <w:rsid w:val="00D0430B"/>
    <w:rsid w:val="00D044DE"/>
    <w:rsid w:val="00D04988"/>
    <w:rsid w:val="00D04B9D"/>
    <w:rsid w:val="00D04D54"/>
    <w:rsid w:val="00D04F2C"/>
    <w:rsid w:val="00D0554C"/>
    <w:rsid w:val="00D0557C"/>
    <w:rsid w:val="00D05892"/>
    <w:rsid w:val="00D059F2"/>
    <w:rsid w:val="00D05B13"/>
    <w:rsid w:val="00D063E7"/>
    <w:rsid w:val="00D06A38"/>
    <w:rsid w:val="00D06B64"/>
    <w:rsid w:val="00D07101"/>
    <w:rsid w:val="00D071FA"/>
    <w:rsid w:val="00D07906"/>
    <w:rsid w:val="00D07B91"/>
    <w:rsid w:val="00D07CDC"/>
    <w:rsid w:val="00D100EF"/>
    <w:rsid w:val="00D1082E"/>
    <w:rsid w:val="00D1103D"/>
    <w:rsid w:val="00D11056"/>
    <w:rsid w:val="00D110E4"/>
    <w:rsid w:val="00D11131"/>
    <w:rsid w:val="00D119B1"/>
    <w:rsid w:val="00D11A92"/>
    <w:rsid w:val="00D11BE0"/>
    <w:rsid w:val="00D11E9E"/>
    <w:rsid w:val="00D12293"/>
    <w:rsid w:val="00D123E2"/>
    <w:rsid w:val="00D12698"/>
    <w:rsid w:val="00D12AD8"/>
    <w:rsid w:val="00D12CCC"/>
    <w:rsid w:val="00D12D64"/>
    <w:rsid w:val="00D13281"/>
    <w:rsid w:val="00D1329B"/>
    <w:rsid w:val="00D13301"/>
    <w:rsid w:val="00D13675"/>
    <w:rsid w:val="00D13C67"/>
    <w:rsid w:val="00D14612"/>
    <w:rsid w:val="00D15079"/>
    <w:rsid w:val="00D1544F"/>
    <w:rsid w:val="00D15755"/>
    <w:rsid w:val="00D15832"/>
    <w:rsid w:val="00D15C71"/>
    <w:rsid w:val="00D16800"/>
    <w:rsid w:val="00D16DFF"/>
    <w:rsid w:val="00D170DD"/>
    <w:rsid w:val="00D17588"/>
    <w:rsid w:val="00D17ABA"/>
    <w:rsid w:val="00D17AD5"/>
    <w:rsid w:val="00D20195"/>
    <w:rsid w:val="00D20383"/>
    <w:rsid w:val="00D203C4"/>
    <w:rsid w:val="00D206C2"/>
    <w:rsid w:val="00D20988"/>
    <w:rsid w:val="00D20A66"/>
    <w:rsid w:val="00D20BFC"/>
    <w:rsid w:val="00D20DA8"/>
    <w:rsid w:val="00D20DC7"/>
    <w:rsid w:val="00D21274"/>
    <w:rsid w:val="00D21765"/>
    <w:rsid w:val="00D21778"/>
    <w:rsid w:val="00D21D83"/>
    <w:rsid w:val="00D220A8"/>
    <w:rsid w:val="00D22419"/>
    <w:rsid w:val="00D22B2B"/>
    <w:rsid w:val="00D22C40"/>
    <w:rsid w:val="00D22E21"/>
    <w:rsid w:val="00D232E1"/>
    <w:rsid w:val="00D2335E"/>
    <w:rsid w:val="00D23593"/>
    <w:rsid w:val="00D23862"/>
    <w:rsid w:val="00D24132"/>
    <w:rsid w:val="00D241A2"/>
    <w:rsid w:val="00D24C7D"/>
    <w:rsid w:val="00D24DE3"/>
    <w:rsid w:val="00D25369"/>
    <w:rsid w:val="00D25412"/>
    <w:rsid w:val="00D255FF"/>
    <w:rsid w:val="00D25DA2"/>
    <w:rsid w:val="00D26722"/>
    <w:rsid w:val="00D26A40"/>
    <w:rsid w:val="00D27544"/>
    <w:rsid w:val="00D2758A"/>
    <w:rsid w:val="00D27B29"/>
    <w:rsid w:val="00D27D5C"/>
    <w:rsid w:val="00D27E72"/>
    <w:rsid w:val="00D27E82"/>
    <w:rsid w:val="00D27F70"/>
    <w:rsid w:val="00D30051"/>
    <w:rsid w:val="00D300BD"/>
    <w:rsid w:val="00D30F67"/>
    <w:rsid w:val="00D311DF"/>
    <w:rsid w:val="00D3123E"/>
    <w:rsid w:val="00D3156D"/>
    <w:rsid w:val="00D31A58"/>
    <w:rsid w:val="00D31BA8"/>
    <w:rsid w:val="00D31BAC"/>
    <w:rsid w:val="00D31BC4"/>
    <w:rsid w:val="00D31D8A"/>
    <w:rsid w:val="00D31EE5"/>
    <w:rsid w:val="00D320F1"/>
    <w:rsid w:val="00D32374"/>
    <w:rsid w:val="00D32944"/>
    <w:rsid w:val="00D32F00"/>
    <w:rsid w:val="00D32FE3"/>
    <w:rsid w:val="00D33154"/>
    <w:rsid w:val="00D332DD"/>
    <w:rsid w:val="00D34006"/>
    <w:rsid w:val="00D34293"/>
    <w:rsid w:val="00D346D3"/>
    <w:rsid w:val="00D3497E"/>
    <w:rsid w:val="00D34F35"/>
    <w:rsid w:val="00D34F55"/>
    <w:rsid w:val="00D35309"/>
    <w:rsid w:val="00D354E9"/>
    <w:rsid w:val="00D359D6"/>
    <w:rsid w:val="00D35C14"/>
    <w:rsid w:val="00D35C1A"/>
    <w:rsid w:val="00D35E91"/>
    <w:rsid w:val="00D35F36"/>
    <w:rsid w:val="00D36087"/>
    <w:rsid w:val="00D363DF"/>
    <w:rsid w:val="00D3642A"/>
    <w:rsid w:val="00D365CD"/>
    <w:rsid w:val="00D36C08"/>
    <w:rsid w:val="00D36F83"/>
    <w:rsid w:val="00D37313"/>
    <w:rsid w:val="00D374EA"/>
    <w:rsid w:val="00D37AED"/>
    <w:rsid w:val="00D37B3A"/>
    <w:rsid w:val="00D401F3"/>
    <w:rsid w:val="00D402B2"/>
    <w:rsid w:val="00D40477"/>
    <w:rsid w:val="00D40570"/>
    <w:rsid w:val="00D4068C"/>
    <w:rsid w:val="00D409C9"/>
    <w:rsid w:val="00D40FA1"/>
    <w:rsid w:val="00D410DD"/>
    <w:rsid w:val="00D4132D"/>
    <w:rsid w:val="00D4140D"/>
    <w:rsid w:val="00D41568"/>
    <w:rsid w:val="00D41598"/>
    <w:rsid w:val="00D415C9"/>
    <w:rsid w:val="00D41624"/>
    <w:rsid w:val="00D41A5B"/>
    <w:rsid w:val="00D41AA1"/>
    <w:rsid w:val="00D41B2B"/>
    <w:rsid w:val="00D41BCF"/>
    <w:rsid w:val="00D41D70"/>
    <w:rsid w:val="00D41FAB"/>
    <w:rsid w:val="00D42007"/>
    <w:rsid w:val="00D420EC"/>
    <w:rsid w:val="00D4232D"/>
    <w:rsid w:val="00D4254D"/>
    <w:rsid w:val="00D4261A"/>
    <w:rsid w:val="00D42634"/>
    <w:rsid w:val="00D42898"/>
    <w:rsid w:val="00D42C51"/>
    <w:rsid w:val="00D42CFD"/>
    <w:rsid w:val="00D42EC6"/>
    <w:rsid w:val="00D42FDC"/>
    <w:rsid w:val="00D43625"/>
    <w:rsid w:val="00D437BF"/>
    <w:rsid w:val="00D43911"/>
    <w:rsid w:val="00D43C74"/>
    <w:rsid w:val="00D4449C"/>
    <w:rsid w:val="00D44B90"/>
    <w:rsid w:val="00D450B4"/>
    <w:rsid w:val="00D4514A"/>
    <w:rsid w:val="00D453CE"/>
    <w:rsid w:val="00D45441"/>
    <w:rsid w:val="00D45578"/>
    <w:rsid w:val="00D45935"/>
    <w:rsid w:val="00D45A76"/>
    <w:rsid w:val="00D45AB0"/>
    <w:rsid w:val="00D45D6D"/>
    <w:rsid w:val="00D45D98"/>
    <w:rsid w:val="00D461AF"/>
    <w:rsid w:val="00D4650A"/>
    <w:rsid w:val="00D46749"/>
    <w:rsid w:val="00D46B96"/>
    <w:rsid w:val="00D46F44"/>
    <w:rsid w:val="00D46F60"/>
    <w:rsid w:val="00D475A6"/>
    <w:rsid w:val="00D476DD"/>
    <w:rsid w:val="00D47D91"/>
    <w:rsid w:val="00D50114"/>
    <w:rsid w:val="00D50567"/>
    <w:rsid w:val="00D5059F"/>
    <w:rsid w:val="00D51975"/>
    <w:rsid w:val="00D51B73"/>
    <w:rsid w:val="00D522A9"/>
    <w:rsid w:val="00D522F7"/>
    <w:rsid w:val="00D52916"/>
    <w:rsid w:val="00D52EE4"/>
    <w:rsid w:val="00D530A2"/>
    <w:rsid w:val="00D53849"/>
    <w:rsid w:val="00D53C97"/>
    <w:rsid w:val="00D53E63"/>
    <w:rsid w:val="00D53EDD"/>
    <w:rsid w:val="00D53F03"/>
    <w:rsid w:val="00D54281"/>
    <w:rsid w:val="00D544E0"/>
    <w:rsid w:val="00D545A5"/>
    <w:rsid w:val="00D546E9"/>
    <w:rsid w:val="00D547BE"/>
    <w:rsid w:val="00D549DF"/>
    <w:rsid w:val="00D54B16"/>
    <w:rsid w:val="00D55063"/>
    <w:rsid w:val="00D55925"/>
    <w:rsid w:val="00D559FB"/>
    <w:rsid w:val="00D55BE4"/>
    <w:rsid w:val="00D560C9"/>
    <w:rsid w:val="00D561AA"/>
    <w:rsid w:val="00D567CF"/>
    <w:rsid w:val="00D568CF"/>
    <w:rsid w:val="00D56AC0"/>
    <w:rsid w:val="00D56AE9"/>
    <w:rsid w:val="00D56D00"/>
    <w:rsid w:val="00D579D8"/>
    <w:rsid w:val="00D60064"/>
    <w:rsid w:val="00D60643"/>
    <w:rsid w:val="00D60910"/>
    <w:rsid w:val="00D60B19"/>
    <w:rsid w:val="00D6100E"/>
    <w:rsid w:val="00D61597"/>
    <w:rsid w:val="00D6173F"/>
    <w:rsid w:val="00D6197B"/>
    <w:rsid w:val="00D61A2C"/>
    <w:rsid w:val="00D61A89"/>
    <w:rsid w:val="00D61FBA"/>
    <w:rsid w:val="00D625C0"/>
    <w:rsid w:val="00D62725"/>
    <w:rsid w:val="00D629DE"/>
    <w:rsid w:val="00D62AFE"/>
    <w:rsid w:val="00D62BAE"/>
    <w:rsid w:val="00D62F57"/>
    <w:rsid w:val="00D63039"/>
    <w:rsid w:val="00D63463"/>
    <w:rsid w:val="00D6347F"/>
    <w:rsid w:val="00D636B1"/>
    <w:rsid w:val="00D6440F"/>
    <w:rsid w:val="00D6443B"/>
    <w:rsid w:val="00D64508"/>
    <w:rsid w:val="00D64ECB"/>
    <w:rsid w:val="00D64ECF"/>
    <w:rsid w:val="00D65049"/>
    <w:rsid w:val="00D652CE"/>
    <w:rsid w:val="00D6545A"/>
    <w:rsid w:val="00D65463"/>
    <w:rsid w:val="00D65CEC"/>
    <w:rsid w:val="00D6604B"/>
    <w:rsid w:val="00D66511"/>
    <w:rsid w:val="00D66606"/>
    <w:rsid w:val="00D66702"/>
    <w:rsid w:val="00D66872"/>
    <w:rsid w:val="00D66D8D"/>
    <w:rsid w:val="00D670E8"/>
    <w:rsid w:val="00D67405"/>
    <w:rsid w:val="00D6791E"/>
    <w:rsid w:val="00D67CA2"/>
    <w:rsid w:val="00D706DE"/>
    <w:rsid w:val="00D70986"/>
    <w:rsid w:val="00D70A7A"/>
    <w:rsid w:val="00D70C70"/>
    <w:rsid w:val="00D70C85"/>
    <w:rsid w:val="00D70DB6"/>
    <w:rsid w:val="00D70FEA"/>
    <w:rsid w:val="00D710D6"/>
    <w:rsid w:val="00D71187"/>
    <w:rsid w:val="00D711AE"/>
    <w:rsid w:val="00D7196E"/>
    <w:rsid w:val="00D71A89"/>
    <w:rsid w:val="00D71B10"/>
    <w:rsid w:val="00D71BD6"/>
    <w:rsid w:val="00D71C4F"/>
    <w:rsid w:val="00D71D0E"/>
    <w:rsid w:val="00D71F75"/>
    <w:rsid w:val="00D720ED"/>
    <w:rsid w:val="00D72B00"/>
    <w:rsid w:val="00D72B0F"/>
    <w:rsid w:val="00D72D47"/>
    <w:rsid w:val="00D72F92"/>
    <w:rsid w:val="00D7305C"/>
    <w:rsid w:val="00D732D0"/>
    <w:rsid w:val="00D7336A"/>
    <w:rsid w:val="00D73652"/>
    <w:rsid w:val="00D74121"/>
    <w:rsid w:val="00D7450E"/>
    <w:rsid w:val="00D74CAF"/>
    <w:rsid w:val="00D74D1D"/>
    <w:rsid w:val="00D74D63"/>
    <w:rsid w:val="00D75064"/>
    <w:rsid w:val="00D7539C"/>
    <w:rsid w:val="00D756C4"/>
    <w:rsid w:val="00D75955"/>
    <w:rsid w:val="00D75D40"/>
    <w:rsid w:val="00D75FF1"/>
    <w:rsid w:val="00D762D1"/>
    <w:rsid w:val="00D765B2"/>
    <w:rsid w:val="00D76862"/>
    <w:rsid w:val="00D768B8"/>
    <w:rsid w:val="00D77762"/>
    <w:rsid w:val="00D777A8"/>
    <w:rsid w:val="00D77C66"/>
    <w:rsid w:val="00D77D9D"/>
    <w:rsid w:val="00D8043B"/>
    <w:rsid w:val="00D8053A"/>
    <w:rsid w:val="00D80CAA"/>
    <w:rsid w:val="00D80CD1"/>
    <w:rsid w:val="00D8111A"/>
    <w:rsid w:val="00D813C6"/>
    <w:rsid w:val="00D81458"/>
    <w:rsid w:val="00D8167D"/>
    <w:rsid w:val="00D81921"/>
    <w:rsid w:val="00D81CFC"/>
    <w:rsid w:val="00D81DCF"/>
    <w:rsid w:val="00D81DE5"/>
    <w:rsid w:val="00D82339"/>
    <w:rsid w:val="00D82400"/>
    <w:rsid w:val="00D8272B"/>
    <w:rsid w:val="00D83003"/>
    <w:rsid w:val="00D8333C"/>
    <w:rsid w:val="00D8363F"/>
    <w:rsid w:val="00D836AF"/>
    <w:rsid w:val="00D83997"/>
    <w:rsid w:val="00D83BFE"/>
    <w:rsid w:val="00D83E79"/>
    <w:rsid w:val="00D84084"/>
    <w:rsid w:val="00D840ED"/>
    <w:rsid w:val="00D843B1"/>
    <w:rsid w:val="00D849C6"/>
    <w:rsid w:val="00D84D9A"/>
    <w:rsid w:val="00D853A3"/>
    <w:rsid w:val="00D86461"/>
    <w:rsid w:val="00D867FA"/>
    <w:rsid w:val="00D869C2"/>
    <w:rsid w:val="00D87105"/>
    <w:rsid w:val="00D872A2"/>
    <w:rsid w:val="00D874AF"/>
    <w:rsid w:val="00D87626"/>
    <w:rsid w:val="00D87B10"/>
    <w:rsid w:val="00D90878"/>
    <w:rsid w:val="00D90D79"/>
    <w:rsid w:val="00D90D99"/>
    <w:rsid w:val="00D90EDA"/>
    <w:rsid w:val="00D91655"/>
    <w:rsid w:val="00D91883"/>
    <w:rsid w:val="00D91D32"/>
    <w:rsid w:val="00D91DD4"/>
    <w:rsid w:val="00D91EE5"/>
    <w:rsid w:val="00D91FEA"/>
    <w:rsid w:val="00D9237F"/>
    <w:rsid w:val="00D92426"/>
    <w:rsid w:val="00D92468"/>
    <w:rsid w:val="00D92477"/>
    <w:rsid w:val="00D927E2"/>
    <w:rsid w:val="00D92F1E"/>
    <w:rsid w:val="00D932FA"/>
    <w:rsid w:val="00D93B6F"/>
    <w:rsid w:val="00D93F77"/>
    <w:rsid w:val="00D94076"/>
    <w:rsid w:val="00D940CE"/>
    <w:rsid w:val="00D947C5"/>
    <w:rsid w:val="00D94859"/>
    <w:rsid w:val="00D94ED0"/>
    <w:rsid w:val="00D9519B"/>
    <w:rsid w:val="00D9537C"/>
    <w:rsid w:val="00D95B10"/>
    <w:rsid w:val="00D95F7F"/>
    <w:rsid w:val="00D9602C"/>
    <w:rsid w:val="00D960D6"/>
    <w:rsid w:val="00D9614D"/>
    <w:rsid w:val="00D961D4"/>
    <w:rsid w:val="00D96D35"/>
    <w:rsid w:val="00D9718B"/>
    <w:rsid w:val="00D974BD"/>
    <w:rsid w:val="00D97519"/>
    <w:rsid w:val="00D978F4"/>
    <w:rsid w:val="00DA0112"/>
    <w:rsid w:val="00DA020C"/>
    <w:rsid w:val="00DA0368"/>
    <w:rsid w:val="00DA065C"/>
    <w:rsid w:val="00DA0ADA"/>
    <w:rsid w:val="00DA0B36"/>
    <w:rsid w:val="00DA0BD7"/>
    <w:rsid w:val="00DA0D54"/>
    <w:rsid w:val="00DA0E87"/>
    <w:rsid w:val="00DA0FC6"/>
    <w:rsid w:val="00DA10F7"/>
    <w:rsid w:val="00DA11BE"/>
    <w:rsid w:val="00DA1392"/>
    <w:rsid w:val="00DA1636"/>
    <w:rsid w:val="00DA1C69"/>
    <w:rsid w:val="00DA1F72"/>
    <w:rsid w:val="00DA20EC"/>
    <w:rsid w:val="00DA261D"/>
    <w:rsid w:val="00DA27D8"/>
    <w:rsid w:val="00DA2AC3"/>
    <w:rsid w:val="00DA2D8D"/>
    <w:rsid w:val="00DA3002"/>
    <w:rsid w:val="00DA3217"/>
    <w:rsid w:val="00DA350F"/>
    <w:rsid w:val="00DA36DA"/>
    <w:rsid w:val="00DA399C"/>
    <w:rsid w:val="00DA3D92"/>
    <w:rsid w:val="00DA3ED4"/>
    <w:rsid w:val="00DA4023"/>
    <w:rsid w:val="00DA41A4"/>
    <w:rsid w:val="00DA4832"/>
    <w:rsid w:val="00DA48AA"/>
    <w:rsid w:val="00DA4B05"/>
    <w:rsid w:val="00DA5050"/>
    <w:rsid w:val="00DA52DE"/>
    <w:rsid w:val="00DA5531"/>
    <w:rsid w:val="00DA5582"/>
    <w:rsid w:val="00DA5D60"/>
    <w:rsid w:val="00DA5E2F"/>
    <w:rsid w:val="00DA6715"/>
    <w:rsid w:val="00DA6815"/>
    <w:rsid w:val="00DA6DD0"/>
    <w:rsid w:val="00DA6F7F"/>
    <w:rsid w:val="00DA7041"/>
    <w:rsid w:val="00DA7346"/>
    <w:rsid w:val="00DA74FD"/>
    <w:rsid w:val="00DA7D05"/>
    <w:rsid w:val="00DB053D"/>
    <w:rsid w:val="00DB094F"/>
    <w:rsid w:val="00DB0ADE"/>
    <w:rsid w:val="00DB0C94"/>
    <w:rsid w:val="00DB0CC9"/>
    <w:rsid w:val="00DB0DA6"/>
    <w:rsid w:val="00DB0F53"/>
    <w:rsid w:val="00DB10A4"/>
    <w:rsid w:val="00DB121D"/>
    <w:rsid w:val="00DB17B5"/>
    <w:rsid w:val="00DB1857"/>
    <w:rsid w:val="00DB1B52"/>
    <w:rsid w:val="00DB206E"/>
    <w:rsid w:val="00DB2240"/>
    <w:rsid w:val="00DB2289"/>
    <w:rsid w:val="00DB22EE"/>
    <w:rsid w:val="00DB247D"/>
    <w:rsid w:val="00DB249B"/>
    <w:rsid w:val="00DB2586"/>
    <w:rsid w:val="00DB2BAC"/>
    <w:rsid w:val="00DB2F0C"/>
    <w:rsid w:val="00DB313B"/>
    <w:rsid w:val="00DB3264"/>
    <w:rsid w:val="00DB341D"/>
    <w:rsid w:val="00DB3463"/>
    <w:rsid w:val="00DB35A6"/>
    <w:rsid w:val="00DB3B68"/>
    <w:rsid w:val="00DB3BE6"/>
    <w:rsid w:val="00DB3E8E"/>
    <w:rsid w:val="00DB402A"/>
    <w:rsid w:val="00DB40E4"/>
    <w:rsid w:val="00DB40FA"/>
    <w:rsid w:val="00DB44F4"/>
    <w:rsid w:val="00DB45FA"/>
    <w:rsid w:val="00DB46B4"/>
    <w:rsid w:val="00DB4B56"/>
    <w:rsid w:val="00DB4E43"/>
    <w:rsid w:val="00DB5049"/>
    <w:rsid w:val="00DB5193"/>
    <w:rsid w:val="00DB54A0"/>
    <w:rsid w:val="00DB5582"/>
    <w:rsid w:val="00DB58CA"/>
    <w:rsid w:val="00DB59CA"/>
    <w:rsid w:val="00DB5E5C"/>
    <w:rsid w:val="00DB5FE7"/>
    <w:rsid w:val="00DB6058"/>
    <w:rsid w:val="00DB61A1"/>
    <w:rsid w:val="00DB635E"/>
    <w:rsid w:val="00DB66F4"/>
    <w:rsid w:val="00DB7079"/>
    <w:rsid w:val="00DB716A"/>
    <w:rsid w:val="00DB743D"/>
    <w:rsid w:val="00DB75AC"/>
    <w:rsid w:val="00DB78E3"/>
    <w:rsid w:val="00DB7B0A"/>
    <w:rsid w:val="00DC0095"/>
    <w:rsid w:val="00DC0368"/>
    <w:rsid w:val="00DC03A4"/>
    <w:rsid w:val="00DC055E"/>
    <w:rsid w:val="00DC057B"/>
    <w:rsid w:val="00DC08BA"/>
    <w:rsid w:val="00DC09E1"/>
    <w:rsid w:val="00DC0C31"/>
    <w:rsid w:val="00DC1438"/>
    <w:rsid w:val="00DC16A1"/>
    <w:rsid w:val="00DC1768"/>
    <w:rsid w:val="00DC19AC"/>
    <w:rsid w:val="00DC1A09"/>
    <w:rsid w:val="00DC1C5F"/>
    <w:rsid w:val="00DC1EC1"/>
    <w:rsid w:val="00DC1F5B"/>
    <w:rsid w:val="00DC207A"/>
    <w:rsid w:val="00DC20E6"/>
    <w:rsid w:val="00DC21CD"/>
    <w:rsid w:val="00DC2366"/>
    <w:rsid w:val="00DC2586"/>
    <w:rsid w:val="00DC26AE"/>
    <w:rsid w:val="00DC2880"/>
    <w:rsid w:val="00DC296F"/>
    <w:rsid w:val="00DC2D5E"/>
    <w:rsid w:val="00DC34A2"/>
    <w:rsid w:val="00DC357C"/>
    <w:rsid w:val="00DC395B"/>
    <w:rsid w:val="00DC3CE7"/>
    <w:rsid w:val="00DC3D84"/>
    <w:rsid w:val="00DC3E71"/>
    <w:rsid w:val="00DC3EDE"/>
    <w:rsid w:val="00DC4095"/>
    <w:rsid w:val="00DC40BA"/>
    <w:rsid w:val="00DC423E"/>
    <w:rsid w:val="00DC4269"/>
    <w:rsid w:val="00DC4C4E"/>
    <w:rsid w:val="00DC5103"/>
    <w:rsid w:val="00DC59D0"/>
    <w:rsid w:val="00DC5D59"/>
    <w:rsid w:val="00DC5E86"/>
    <w:rsid w:val="00DC61F6"/>
    <w:rsid w:val="00DC63F9"/>
    <w:rsid w:val="00DC647B"/>
    <w:rsid w:val="00DC6CD3"/>
    <w:rsid w:val="00DC6E07"/>
    <w:rsid w:val="00DC7006"/>
    <w:rsid w:val="00DC70C5"/>
    <w:rsid w:val="00DC76C7"/>
    <w:rsid w:val="00DC7AAA"/>
    <w:rsid w:val="00DC7C0E"/>
    <w:rsid w:val="00DC7D8E"/>
    <w:rsid w:val="00DD015B"/>
    <w:rsid w:val="00DD01C1"/>
    <w:rsid w:val="00DD0618"/>
    <w:rsid w:val="00DD10B9"/>
    <w:rsid w:val="00DD12F4"/>
    <w:rsid w:val="00DD14AC"/>
    <w:rsid w:val="00DD23CD"/>
    <w:rsid w:val="00DD253B"/>
    <w:rsid w:val="00DD29C0"/>
    <w:rsid w:val="00DD2BB7"/>
    <w:rsid w:val="00DD359D"/>
    <w:rsid w:val="00DD3891"/>
    <w:rsid w:val="00DD3A44"/>
    <w:rsid w:val="00DD3B8B"/>
    <w:rsid w:val="00DD4340"/>
    <w:rsid w:val="00DD44B7"/>
    <w:rsid w:val="00DD4778"/>
    <w:rsid w:val="00DD47CA"/>
    <w:rsid w:val="00DD4870"/>
    <w:rsid w:val="00DD48FF"/>
    <w:rsid w:val="00DD4E55"/>
    <w:rsid w:val="00DD4EBB"/>
    <w:rsid w:val="00DD4F5F"/>
    <w:rsid w:val="00DD4FA0"/>
    <w:rsid w:val="00DD4FD1"/>
    <w:rsid w:val="00DD522C"/>
    <w:rsid w:val="00DD541E"/>
    <w:rsid w:val="00DD544E"/>
    <w:rsid w:val="00DD5456"/>
    <w:rsid w:val="00DD5632"/>
    <w:rsid w:val="00DD5A48"/>
    <w:rsid w:val="00DD5E94"/>
    <w:rsid w:val="00DD64C0"/>
    <w:rsid w:val="00DD6572"/>
    <w:rsid w:val="00DD6753"/>
    <w:rsid w:val="00DD6E80"/>
    <w:rsid w:val="00DD6FB1"/>
    <w:rsid w:val="00DD7472"/>
    <w:rsid w:val="00DD75B1"/>
    <w:rsid w:val="00DD75BC"/>
    <w:rsid w:val="00DD7611"/>
    <w:rsid w:val="00DD7ACA"/>
    <w:rsid w:val="00DD7CC6"/>
    <w:rsid w:val="00DE0286"/>
    <w:rsid w:val="00DE0C19"/>
    <w:rsid w:val="00DE0F69"/>
    <w:rsid w:val="00DE114A"/>
    <w:rsid w:val="00DE1270"/>
    <w:rsid w:val="00DE13F5"/>
    <w:rsid w:val="00DE1535"/>
    <w:rsid w:val="00DE16FB"/>
    <w:rsid w:val="00DE1920"/>
    <w:rsid w:val="00DE1CC8"/>
    <w:rsid w:val="00DE1E10"/>
    <w:rsid w:val="00DE2163"/>
    <w:rsid w:val="00DE2179"/>
    <w:rsid w:val="00DE229E"/>
    <w:rsid w:val="00DE23B6"/>
    <w:rsid w:val="00DE2C6F"/>
    <w:rsid w:val="00DE2EE6"/>
    <w:rsid w:val="00DE32A9"/>
    <w:rsid w:val="00DE336F"/>
    <w:rsid w:val="00DE337C"/>
    <w:rsid w:val="00DE39BC"/>
    <w:rsid w:val="00DE406B"/>
    <w:rsid w:val="00DE4317"/>
    <w:rsid w:val="00DE453C"/>
    <w:rsid w:val="00DE4740"/>
    <w:rsid w:val="00DE4795"/>
    <w:rsid w:val="00DE4A0C"/>
    <w:rsid w:val="00DE5177"/>
    <w:rsid w:val="00DE5561"/>
    <w:rsid w:val="00DE5F45"/>
    <w:rsid w:val="00DE5F57"/>
    <w:rsid w:val="00DE603E"/>
    <w:rsid w:val="00DE6360"/>
    <w:rsid w:val="00DE63DD"/>
    <w:rsid w:val="00DE63E3"/>
    <w:rsid w:val="00DE64D8"/>
    <w:rsid w:val="00DE6AB9"/>
    <w:rsid w:val="00DE6E46"/>
    <w:rsid w:val="00DE6F04"/>
    <w:rsid w:val="00DE6F1E"/>
    <w:rsid w:val="00DE7117"/>
    <w:rsid w:val="00DE72F9"/>
    <w:rsid w:val="00DE744D"/>
    <w:rsid w:val="00DE74F4"/>
    <w:rsid w:val="00DE7B90"/>
    <w:rsid w:val="00DE7C41"/>
    <w:rsid w:val="00DE7C51"/>
    <w:rsid w:val="00DE7F7B"/>
    <w:rsid w:val="00DF0116"/>
    <w:rsid w:val="00DF02FB"/>
    <w:rsid w:val="00DF06D4"/>
    <w:rsid w:val="00DF0732"/>
    <w:rsid w:val="00DF07AE"/>
    <w:rsid w:val="00DF136D"/>
    <w:rsid w:val="00DF14FC"/>
    <w:rsid w:val="00DF1542"/>
    <w:rsid w:val="00DF164B"/>
    <w:rsid w:val="00DF1D67"/>
    <w:rsid w:val="00DF1F5A"/>
    <w:rsid w:val="00DF1F5E"/>
    <w:rsid w:val="00DF2280"/>
    <w:rsid w:val="00DF23CF"/>
    <w:rsid w:val="00DF248E"/>
    <w:rsid w:val="00DF24A2"/>
    <w:rsid w:val="00DF2988"/>
    <w:rsid w:val="00DF2C35"/>
    <w:rsid w:val="00DF2F5C"/>
    <w:rsid w:val="00DF3280"/>
    <w:rsid w:val="00DF3EB5"/>
    <w:rsid w:val="00DF4070"/>
    <w:rsid w:val="00DF40FA"/>
    <w:rsid w:val="00DF4AEF"/>
    <w:rsid w:val="00DF4C83"/>
    <w:rsid w:val="00DF5105"/>
    <w:rsid w:val="00DF533D"/>
    <w:rsid w:val="00DF53C7"/>
    <w:rsid w:val="00DF565C"/>
    <w:rsid w:val="00DF5B84"/>
    <w:rsid w:val="00DF5D0E"/>
    <w:rsid w:val="00DF65EA"/>
    <w:rsid w:val="00DF6659"/>
    <w:rsid w:val="00DF6AAF"/>
    <w:rsid w:val="00DF6E0E"/>
    <w:rsid w:val="00DF6FC3"/>
    <w:rsid w:val="00DF70D9"/>
    <w:rsid w:val="00DF7376"/>
    <w:rsid w:val="00DF7563"/>
    <w:rsid w:val="00DF792C"/>
    <w:rsid w:val="00DF7C99"/>
    <w:rsid w:val="00DF7D44"/>
    <w:rsid w:val="00DF7FF6"/>
    <w:rsid w:val="00E0010D"/>
    <w:rsid w:val="00E003F9"/>
    <w:rsid w:val="00E0058D"/>
    <w:rsid w:val="00E00894"/>
    <w:rsid w:val="00E00CBA"/>
    <w:rsid w:val="00E0150C"/>
    <w:rsid w:val="00E01E0A"/>
    <w:rsid w:val="00E01F49"/>
    <w:rsid w:val="00E02379"/>
    <w:rsid w:val="00E0242D"/>
    <w:rsid w:val="00E0260E"/>
    <w:rsid w:val="00E02B1C"/>
    <w:rsid w:val="00E02DE2"/>
    <w:rsid w:val="00E02F7E"/>
    <w:rsid w:val="00E03087"/>
    <w:rsid w:val="00E0321C"/>
    <w:rsid w:val="00E03B61"/>
    <w:rsid w:val="00E03BD8"/>
    <w:rsid w:val="00E03BEE"/>
    <w:rsid w:val="00E040CB"/>
    <w:rsid w:val="00E0470A"/>
    <w:rsid w:val="00E050DA"/>
    <w:rsid w:val="00E0526A"/>
    <w:rsid w:val="00E0595A"/>
    <w:rsid w:val="00E05E1F"/>
    <w:rsid w:val="00E061B0"/>
    <w:rsid w:val="00E06217"/>
    <w:rsid w:val="00E06271"/>
    <w:rsid w:val="00E067F0"/>
    <w:rsid w:val="00E069DD"/>
    <w:rsid w:val="00E06AAC"/>
    <w:rsid w:val="00E06BC8"/>
    <w:rsid w:val="00E0741D"/>
    <w:rsid w:val="00E075A8"/>
    <w:rsid w:val="00E078AE"/>
    <w:rsid w:val="00E0794C"/>
    <w:rsid w:val="00E07B2C"/>
    <w:rsid w:val="00E07D25"/>
    <w:rsid w:val="00E1013A"/>
    <w:rsid w:val="00E108B6"/>
    <w:rsid w:val="00E10925"/>
    <w:rsid w:val="00E10BCF"/>
    <w:rsid w:val="00E10DB0"/>
    <w:rsid w:val="00E1109F"/>
    <w:rsid w:val="00E1110E"/>
    <w:rsid w:val="00E111D4"/>
    <w:rsid w:val="00E1125F"/>
    <w:rsid w:val="00E11346"/>
    <w:rsid w:val="00E113DC"/>
    <w:rsid w:val="00E11450"/>
    <w:rsid w:val="00E11662"/>
    <w:rsid w:val="00E1182F"/>
    <w:rsid w:val="00E1187D"/>
    <w:rsid w:val="00E11962"/>
    <w:rsid w:val="00E11B27"/>
    <w:rsid w:val="00E12128"/>
    <w:rsid w:val="00E1262A"/>
    <w:rsid w:val="00E12733"/>
    <w:rsid w:val="00E12A08"/>
    <w:rsid w:val="00E12ADF"/>
    <w:rsid w:val="00E12B07"/>
    <w:rsid w:val="00E12B67"/>
    <w:rsid w:val="00E12C66"/>
    <w:rsid w:val="00E12F7D"/>
    <w:rsid w:val="00E12FEC"/>
    <w:rsid w:val="00E130BC"/>
    <w:rsid w:val="00E13183"/>
    <w:rsid w:val="00E131F3"/>
    <w:rsid w:val="00E13259"/>
    <w:rsid w:val="00E13B0E"/>
    <w:rsid w:val="00E13ECA"/>
    <w:rsid w:val="00E1401A"/>
    <w:rsid w:val="00E14579"/>
    <w:rsid w:val="00E14A4A"/>
    <w:rsid w:val="00E14DAD"/>
    <w:rsid w:val="00E1548F"/>
    <w:rsid w:val="00E155E8"/>
    <w:rsid w:val="00E15D41"/>
    <w:rsid w:val="00E16242"/>
    <w:rsid w:val="00E16545"/>
    <w:rsid w:val="00E167F6"/>
    <w:rsid w:val="00E174C0"/>
    <w:rsid w:val="00E17542"/>
    <w:rsid w:val="00E17586"/>
    <w:rsid w:val="00E202AC"/>
    <w:rsid w:val="00E205FA"/>
    <w:rsid w:val="00E20A43"/>
    <w:rsid w:val="00E20E95"/>
    <w:rsid w:val="00E211BE"/>
    <w:rsid w:val="00E223C9"/>
    <w:rsid w:val="00E227B3"/>
    <w:rsid w:val="00E22A7F"/>
    <w:rsid w:val="00E22BB6"/>
    <w:rsid w:val="00E230B0"/>
    <w:rsid w:val="00E23326"/>
    <w:rsid w:val="00E23993"/>
    <w:rsid w:val="00E243E2"/>
    <w:rsid w:val="00E2448A"/>
    <w:rsid w:val="00E24D4C"/>
    <w:rsid w:val="00E24FB4"/>
    <w:rsid w:val="00E25A3C"/>
    <w:rsid w:val="00E260D0"/>
    <w:rsid w:val="00E26408"/>
    <w:rsid w:val="00E2659C"/>
    <w:rsid w:val="00E2696F"/>
    <w:rsid w:val="00E26A2F"/>
    <w:rsid w:val="00E26C58"/>
    <w:rsid w:val="00E27197"/>
    <w:rsid w:val="00E273B8"/>
    <w:rsid w:val="00E278BD"/>
    <w:rsid w:val="00E27D5E"/>
    <w:rsid w:val="00E27DEF"/>
    <w:rsid w:val="00E27E05"/>
    <w:rsid w:val="00E27ECD"/>
    <w:rsid w:val="00E27F6B"/>
    <w:rsid w:val="00E30293"/>
    <w:rsid w:val="00E3032F"/>
    <w:rsid w:val="00E30339"/>
    <w:rsid w:val="00E3061E"/>
    <w:rsid w:val="00E307C6"/>
    <w:rsid w:val="00E30B8D"/>
    <w:rsid w:val="00E30D78"/>
    <w:rsid w:val="00E30ED1"/>
    <w:rsid w:val="00E30EF4"/>
    <w:rsid w:val="00E30FC8"/>
    <w:rsid w:val="00E316B5"/>
    <w:rsid w:val="00E31700"/>
    <w:rsid w:val="00E3196C"/>
    <w:rsid w:val="00E31BFB"/>
    <w:rsid w:val="00E31EAE"/>
    <w:rsid w:val="00E32147"/>
    <w:rsid w:val="00E323E6"/>
    <w:rsid w:val="00E3261B"/>
    <w:rsid w:val="00E32A58"/>
    <w:rsid w:val="00E32D16"/>
    <w:rsid w:val="00E335EC"/>
    <w:rsid w:val="00E337B2"/>
    <w:rsid w:val="00E33856"/>
    <w:rsid w:val="00E339B1"/>
    <w:rsid w:val="00E339FE"/>
    <w:rsid w:val="00E33B5C"/>
    <w:rsid w:val="00E33B7D"/>
    <w:rsid w:val="00E33F52"/>
    <w:rsid w:val="00E341C9"/>
    <w:rsid w:val="00E34349"/>
    <w:rsid w:val="00E343EF"/>
    <w:rsid w:val="00E34438"/>
    <w:rsid w:val="00E346F4"/>
    <w:rsid w:val="00E34790"/>
    <w:rsid w:val="00E34E2E"/>
    <w:rsid w:val="00E3580B"/>
    <w:rsid w:val="00E358EF"/>
    <w:rsid w:val="00E360B8"/>
    <w:rsid w:val="00E3618D"/>
    <w:rsid w:val="00E36290"/>
    <w:rsid w:val="00E36332"/>
    <w:rsid w:val="00E3658C"/>
    <w:rsid w:val="00E369F8"/>
    <w:rsid w:val="00E36D8E"/>
    <w:rsid w:val="00E36DF0"/>
    <w:rsid w:val="00E370D1"/>
    <w:rsid w:val="00E371FF"/>
    <w:rsid w:val="00E373BA"/>
    <w:rsid w:val="00E3744D"/>
    <w:rsid w:val="00E37688"/>
    <w:rsid w:val="00E37AFC"/>
    <w:rsid w:val="00E37B62"/>
    <w:rsid w:val="00E37E6B"/>
    <w:rsid w:val="00E37E86"/>
    <w:rsid w:val="00E37EA5"/>
    <w:rsid w:val="00E37FD1"/>
    <w:rsid w:val="00E402F1"/>
    <w:rsid w:val="00E403C9"/>
    <w:rsid w:val="00E406EC"/>
    <w:rsid w:val="00E40871"/>
    <w:rsid w:val="00E408A8"/>
    <w:rsid w:val="00E409DB"/>
    <w:rsid w:val="00E40BAB"/>
    <w:rsid w:val="00E40CD0"/>
    <w:rsid w:val="00E40F9A"/>
    <w:rsid w:val="00E411B6"/>
    <w:rsid w:val="00E415A2"/>
    <w:rsid w:val="00E416C8"/>
    <w:rsid w:val="00E41C70"/>
    <w:rsid w:val="00E41D4F"/>
    <w:rsid w:val="00E41D5D"/>
    <w:rsid w:val="00E41D5F"/>
    <w:rsid w:val="00E42493"/>
    <w:rsid w:val="00E424F6"/>
    <w:rsid w:val="00E42A2C"/>
    <w:rsid w:val="00E42E0F"/>
    <w:rsid w:val="00E43214"/>
    <w:rsid w:val="00E4332A"/>
    <w:rsid w:val="00E435DC"/>
    <w:rsid w:val="00E4363E"/>
    <w:rsid w:val="00E43762"/>
    <w:rsid w:val="00E4389E"/>
    <w:rsid w:val="00E43A34"/>
    <w:rsid w:val="00E43A90"/>
    <w:rsid w:val="00E43B45"/>
    <w:rsid w:val="00E43BF3"/>
    <w:rsid w:val="00E43EE5"/>
    <w:rsid w:val="00E441AD"/>
    <w:rsid w:val="00E443AD"/>
    <w:rsid w:val="00E4448B"/>
    <w:rsid w:val="00E44698"/>
    <w:rsid w:val="00E44AB4"/>
    <w:rsid w:val="00E44EDB"/>
    <w:rsid w:val="00E44F3B"/>
    <w:rsid w:val="00E44F64"/>
    <w:rsid w:val="00E45136"/>
    <w:rsid w:val="00E455E2"/>
    <w:rsid w:val="00E45A60"/>
    <w:rsid w:val="00E45BF4"/>
    <w:rsid w:val="00E45FB9"/>
    <w:rsid w:val="00E46610"/>
    <w:rsid w:val="00E46726"/>
    <w:rsid w:val="00E468BC"/>
    <w:rsid w:val="00E46C10"/>
    <w:rsid w:val="00E46C76"/>
    <w:rsid w:val="00E46C95"/>
    <w:rsid w:val="00E4724E"/>
    <w:rsid w:val="00E472EE"/>
    <w:rsid w:val="00E473B5"/>
    <w:rsid w:val="00E47F40"/>
    <w:rsid w:val="00E47F91"/>
    <w:rsid w:val="00E47F9A"/>
    <w:rsid w:val="00E50045"/>
    <w:rsid w:val="00E503B3"/>
    <w:rsid w:val="00E50748"/>
    <w:rsid w:val="00E510F0"/>
    <w:rsid w:val="00E51162"/>
    <w:rsid w:val="00E51186"/>
    <w:rsid w:val="00E513D6"/>
    <w:rsid w:val="00E5181B"/>
    <w:rsid w:val="00E518BF"/>
    <w:rsid w:val="00E51965"/>
    <w:rsid w:val="00E522EF"/>
    <w:rsid w:val="00E525E2"/>
    <w:rsid w:val="00E52683"/>
    <w:rsid w:val="00E528D0"/>
    <w:rsid w:val="00E52A1E"/>
    <w:rsid w:val="00E531C8"/>
    <w:rsid w:val="00E53298"/>
    <w:rsid w:val="00E535F6"/>
    <w:rsid w:val="00E5381E"/>
    <w:rsid w:val="00E53D93"/>
    <w:rsid w:val="00E53EA6"/>
    <w:rsid w:val="00E540C0"/>
    <w:rsid w:val="00E54364"/>
    <w:rsid w:val="00E54419"/>
    <w:rsid w:val="00E54603"/>
    <w:rsid w:val="00E5463F"/>
    <w:rsid w:val="00E54AF3"/>
    <w:rsid w:val="00E54BBC"/>
    <w:rsid w:val="00E5520E"/>
    <w:rsid w:val="00E554D9"/>
    <w:rsid w:val="00E55777"/>
    <w:rsid w:val="00E55B5A"/>
    <w:rsid w:val="00E55DE2"/>
    <w:rsid w:val="00E55EC0"/>
    <w:rsid w:val="00E5610F"/>
    <w:rsid w:val="00E56756"/>
    <w:rsid w:val="00E56812"/>
    <w:rsid w:val="00E56E17"/>
    <w:rsid w:val="00E57040"/>
    <w:rsid w:val="00E57141"/>
    <w:rsid w:val="00E571BD"/>
    <w:rsid w:val="00E5753A"/>
    <w:rsid w:val="00E575FA"/>
    <w:rsid w:val="00E5779D"/>
    <w:rsid w:val="00E60016"/>
    <w:rsid w:val="00E60765"/>
    <w:rsid w:val="00E60E01"/>
    <w:rsid w:val="00E61054"/>
    <w:rsid w:val="00E612B8"/>
    <w:rsid w:val="00E613A8"/>
    <w:rsid w:val="00E617D0"/>
    <w:rsid w:val="00E61940"/>
    <w:rsid w:val="00E61E2C"/>
    <w:rsid w:val="00E61F2A"/>
    <w:rsid w:val="00E62416"/>
    <w:rsid w:val="00E62515"/>
    <w:rsid w:val="00E6257F"/>
    <w:rsid w:val="00E625F7"/>
    <w:rsid w:val="00E627B9"/>
    <w:rsid w:val="00E62DB1"/>
    <w:rsid w:val="00E62FA4"/>
    <w:rsid w:val="00E630DC"/>
    <w:rsid w:val="00E631B0"/>
    <w:rsid w:val="00E6349C"/>
    <w:rsid w:val="00E634CC"/>
    <w:rsid w:val="00E63A6C"/>
    <w:rsid w:val="00E64036"/>
    <w:rsid w:val="00E648AF"/>
    <w:rsid w:val="00E649D9"/>
    <w:rsid w:val="00E64C57"/>
    <w:rsid w:val="00E64E74"/>
    <w:rsid w:val="00E6559C"/>
    <w:rsid w:val="00E65BE1"/>
    <w:rsid w:val="00E65E3D"/>
    <w:rsid w:val="00E66331"/>
    <w:rsid w:val="00E670EB"/>
    <w:rsid w:val="00E6730C"/>
    <w:rsid w:val="00E67542"/>
    <w:rsid w:val="00E67B0C"/>
    <w:rsid w:val="00E67DB2"/>
    <w:rsid w:val="00E702CF"/>
    <w:rsid w:val="00E70891"/>
    <w:rsid w:val="00E709D8"/>
    <w:rsid w:val="00E7106F"/>
    <w:rsid w:val="00E7183D"/>
    <w:rsid w:val="00E71FE7"/>
    <w:rsid w:val="00E7207A"/>
    <w:rsid w:val="00E72149"/>
    <w:rsid w:val="00E72392"/>
    <w:rsid w:val="00E726CC"/>
    <w:rsid w:val="00E7272F"/>
    <w:rsid w:val="00E72798"/>
    <w:rsid w:val="00E729DE"/>
    <w:rsid w:val="00E72EA1"/>
    <w:rsid w:val="00E73086"/>
    <w:rsid w:val="00E732CB"/>
    <w:rsid w:val="00E736B9"/>
    <w:rsid w:val="00E739D9"/>
    <w:rsid w:val="00E73C09"/>
    <w:rsid w:val="00E7416F"/>
    <w:rsid w:val="00E741B7"/>
    <w:rsid w:val="00E74301"/>
    <w:rsid w:val="00E74450"/>
    <w:rsid w:val="00E7450E"/>
    <w:rsid w:val="00E74A62"/>
    <w:rsid w:val="00E74BFB"/>
    <w:rsid w:val="00E75035"/>
    <w:rsid w:val="00E752DE"/>
    <w:rsid w:val="00E7533A"/>
    <w:rsid w:val="00E754D3"/>
    <w:rsid w:val="00E759B1"/>
    <w:rsid w:val="00E75BA7"/>
    <w:rsid w:val="00E75C56"/>
    <w:rsid w:val="00E75D41"/>
    <w:rsid w:val="00E75FF7"/>
    <w:rsid w:val="00E76105"/>
    <w:rsid w:val="00E7629F"/>
    <w:rsid w:val="00E7685C"/>
    <w:rsid w:val="00E77506"/>
    <w:rsid w:val="00E77864"/>
    <w:rsid w:val="00E8009B"/>
    <w:rsid w:val="00E80425"/>
    <w:rsid w:val="00E8058D"/>
    <w:rsid w:val="00E80781"/>
    <w:rsid w:val="00E80D16"/>
    <w:rsid w:val="00E80FAA"/>
    <w:rsid w:val="00E811EE"/>
    <w:rsid w:val="00E8129A"/>
    <w:rsid w:val="00E81791"/>
    <w:rsid w:val="00E81CEA"/>
    <w:rsid w:val="00E820AD"/>
    <w:rsid w:val="00E8231F"/>
    <w:rsid w:val="00E82514"/>
    <w:rsid w:val="00E82860"/>
    <w:rsid w:val="00E82A6C"/>
    <w:rsid w:val="00E833ED"/>
    <w:rsid w:val="00E83743"/>
    <w:rsid w:val="00E837DE"/>
    <w:rsid w:val="00E8399C"/>
    <w:rsid w:val="00E83C5E"/>
    <w:rsid w:val="00E83CCA"/>
    <w:rsid w:val="00E83CEA"/>
    <w:rsid w:val="00E83DCB"/>
    <w:rsid w:val="00E8477E"/>
    <w:rsid w:val="00E84BA9"/>
    <w:rsid w:val="00E84C4A"/>
    <w:rsid w:val="00E84DC9"/>
    <w:rsid w:val="00E84E7D"/>
    <w:rsid w:val="00E84ED4"/>
    <w:rsid w:val="00E8557E"/>
    <w:rsid w:val="00E855A9"/>
    <w:rsid w:val="00E8562E"/>
    <w:rsid w:val="00E859B2"/>
    <w:rsid w:val="00E85B13"/>
    <w:rsid w:val="00E85B8C"/>
    <w:rsid w:val="00E85D8B"/>
    <w:rsid w:val="00E85D90"/>
    <w:rsid w:val="00E86166"/>
    <w:rsid w:val="00E86478"/>
    <w:rsid w:val="00E8692A"/>
    <w:rsid w:val="00E86E17"/>
    <w:rsid w:val="00E86EF3"/>
    <w:rsid w:val="00E86FC3"/>
    <w:rsid w:val="00E87084"/>
    <w:rsid w:val="00E8735F"/>
    <w:rsid w:val="00E874A7"/>
    <w:rsid w:val="00E87512"/>
    <w:rsid w:val="00E87597"/>
    <w:rsid w:val="00E876B1"/>
    <w:rsid w:val="00E876C6"/>
    <w:rsid w:val="00E87D32"/>
    <w:rsid w:val="00E87DEF"/>
    <w:rsid w:val="00E87E3A"/>
    <w:rsid w:val="00E87EEE"/>
    <w:rsid w:val="00E901CD"/>
    <w:rsid w:val="00E90595"/>
    <w:rsid w:val="00E9078B"/>
    <w:rsid w:val="00E908C9"/>
    <w:rsid w:val="00E90B01"/>
    <w:rsid w:val="00E90FE6"/>
    <w:rsid w:val="00E9103C"/>
    <w:rsid w:val="00E917BC"/>
    <w:rsid w:val="00E91F65"/>
    <w:rsid w:val="00E91F84"/>
    <w:rsid w:val="00E92253"/>
    <w:rsid w:val="00E9234A"/>
    <w:rsid w:val="00E92364"/>
    <w:rsid w:val="00E924DA"/>
    <w:rsid w:val="00E92C56"/>
    <w:rsid w:val="00E92EC6"/>
    <w:rsid w:val="00E9307F"/>
    <w:rsid w:val="00E932F7"/>
    <w:rsid w:val="00E933AE"/>
    <w:rsid w:val="00E935AC"/>
    <w:rsid w:val="00E936B7"/>
    <w:rsid w:val="00E93924"/>
    <w:rsid w:val="00E93936"/>
    <w:rsid w:val="00E93CCE"/>
    <w:rsid w:val="00E944A1"/>
    <w:rsid w:val="00E944DB"/>
    <w:rsid w:val="00E946B3"/>
    <w:rsid w:val="00E947ED"/>
    <w:rsid w:val="00E94CDE"/>
    <w:rsid w:val="00E94D48"/>
    <w:rsid w:val="00E94ECB"/>
    <w:rsid w:val="00E94F2F"/>
    <w:rsid w:val="00E95147"/>
    <w:rsid w:val="00E9521A"/>
    <w:rsid w:val="00E954FB"/>
    <w:rsid w:val="00E9584E"/>
    <w:rsid w:val="00E958FB"/>
    <w:rsid w:val="00E95B18"/>
    <w:rsid w:val="00E95D6E"/>
    <w:rsid w:val="00E96081"/>
    <w:rsid w:val="00E961D3"/>
    <w:rsid w:val="00E963C1"/>
    <w:rsid w:val="00E9641F"/>
    <w:rsid w:val="00E9643A"/>
    <w:rsid w:val="00E9687D"/>
    <w:rsid w:val="00E96896"/>
    <w:rsid w:val="00E969B6"/>
    <w:rsid w:val="00E96B9C"/>
    <w:rsid w:val="00E96ED2"/>
    <w:rsid w:val="00E96F46"/>
    <w:rsid w:val="00E971D9"/>
    <w:rsid w:val="00EA00C4"/>
    <w:rsid w:val="00EA015D"/>
    <w:rsid w:val="00EA0224"/>
    <w:rsid w:val="00EA097D"/>
    <w:rsid w:val="00EA09AF"/>
    <w:rsid w:val="00EA12BF"/>
    <w:rsid w:val="00EA1672"/>
    <w:rsid w:val="00EA1766"/>
    <w:rsid w:val="00EA19B7"/>
    <w:rsid w:val="00EA1AC7"/>
    <w:rsid w:val="00EA1AD8"/>
    <w:rsid w:val="00EA22C8"/>
    <w:rsid w:val="00EA2A1F"/>
    <w:rsid w:val="00EA2D7C"/>
    <w:rsid w:val="00EA3117"/>
    <w:rsid w:val="00EA3671"/>
    <w:rsid w:val="00EA3763"/>
    <w:rsid w:val="00EA3965"/>
    <w:rsid w:val="00EA3AC3"/>
    <w:rsid w:val="00EA470B"/>
    <w:rsid w:val="00EA4A82"/>
    <w:rsid w:val="00EA4B09"/>
    <w:rsid w:val="00EA4DE6"/>
    <w:rsid w:val="00EA4E06"/>
    <w:rsid w:val="00EA4E58"/>
    <w:rsid w:val="00EA51F9"/>
    <w:rsid w:val="00EA5326"/>
    <w:rsid w:val="00EA5542"/>
    <w:rsid w:val="00EA5654"/>
    <w:rsid w:val="00EA5CCA"/>
    <w:rsid w:val="00EA5DBD"/>
    <w:rsid w:val="00EA69E2"/>
    <w:rsid w:val="00EA6A8E"/>
    <w:rsid w:val="00EA6B54"/>
    <w:rsid w:val="00EA6BB5"/>
    <w:rsid w:val="00EA6C1B"/>
    <w:rsid w:val="00EA70D0"/>
    <w:rsid w:val="00EA712C"/>
    <w:rsid w:val="00EA713B"/>
    <w:rsid w:val="00EA74AD"/>
    <w:rsid w:val="00EA764F"/>
    <w:rsid w:val="00EA7F51"/>
    <w:rsid w:val="00EA7FC1"/>
    <w:rsid w:val="00EB0751"/>
    <w:rsid w:val="00EB0796"/>
    <w:rsid w:val="00EB0B06"/>
    <w:rsid w:val="00EB0D14"/>
    <w:rsid w:val="00EB0E42"/>
    <w:rsid w:val="00EB0F6D"/>
    <w:rsid w:val="00EB128A"/>
    <w:rsid w:val="00EB151C"/>
    <w:rsid w:val="00EB1554"/>
    <w:rsid w:val="00EB1575"/>
    <w:rsid w:val="00EB169A"/>
    <w:rsid w:val="00EB1918"/>
    <w:rsid w:val="00EB1936"/>
    <w:rsid w:val="00EB1C68"/>
    <w:rsid w:val="00EB202A"/>
    <w:rsid w:val="00EB2170"/>
    <w:rsid w:val="00EB21E1"/>
    <w:rsid w:val="00EB2280"/>
    <w:rsid w:val="00EB23D9"/>
    <w:rsid w:val="00EB2B87"/>
    <w:rsid w:val="00EB2F55"/>
    <w:rsid w:val="00EB2FC6"/>
    <w:rsid w:val="00EB30D8"/>
    <w:rsid w:val="00EB32BD"/>
    <w:rsid w:val="00EB36DB"/>
    <w:rsid w:val="00EB3DFC"/>
    <w:rsid w:val="00EB45A9"/>
    <w:rsid w:val="00EB48AB"/>
    <w:rsid w:val="00EB4A1F"/>
    <w:rsid w:val="00EB4B75"/>
    <w:rsid w:val="00EB52B3"/>
    <w:rsid w:val="00EB52FA"/>
    <w:rsid w:val="00EB530F"/>
    <w:rsid w:val="00EB54D7"/>
    <w:rsid w:val="00EB5897"/>
    <w:rsid w:val="00EB5AD3"/>
    <w:rsid w:val="00EB5C36"/>
    <w:rsid w:val="00EB5FAA"/>
    <w:rsid w:val="00EB6FCC"/>
    <w:rsid w:val="00EB7079"/>
    <w:rsid w:val="00EB7244"/>
    <w:rsid w:val="00EB73BF"/>
    <w:rsid w:val="00EB7494"/>
    <w:rsid w:val="00EB74B1"/>
    <w:rsid w:val="00EB773C"/>
    <w:rsid w:val="00EC0164"/>
    <w:rsid w:val="00EC01FF"/>
    <w:rsid w:val="00EC0339"/>
    <w:rsid w:val="00EC051E"/>
    <w:rsid w:val="00EC0528"/>
    <w:rsid w:val="00EC0B83"/>
    <w:rsid w:val="00EC0F7D"/>
    <w:rsid w:val="00EC125D"/>
    <w:rsid w:val="00EC12F5"/>
    <w:rsid w:val="00EC16E7"/>
    <w:rsid w:val="00EC1ADE"/>
    <w:rsid w:val="00EC1F67"/>
    <w:rsid w:val="00EC2B2B"/>
    <w:rsid w:val="00EC3183"/>
    <w:rsid w:val="00EC35B9"/>
    <w:rsid w:val="00EC364C"/>
    <w:rsid w:val="00EC37EB"/>
    <w:rsid w:val="00EC39FE"/>
    <w:rsid w:val="00EC3C32"/>
    <w:rsid w:val="00EC3FFA"/>
    <w:rsid w:val="00EC40D9"/>
    <w:rsid w:val="00EC4AB9"/>
    <w:rsid w:val="00EC4AC8"/>
    <w:rsid w:val="00EC518D"/>
    <w:rsid w:val="00EC51E0"/>
    <w:rsid w:val="00EC52CB"/>
    <w:rsid w:val="00EC5715"/>
    <w:rsid w:val="00EC5AF3"/>
    <w:rsid w:val="00EC5DBE"/>
    <w:rsid w:val="00EC5EF1"/>
    <w:rsid w:val="00EC61EE"/>
    <w:rsid w:val="00EC63B9"/>
    <w:rsid w:val="00EC6818"/>
    <w:rsid w:val="00EC6C3C"/>
    <w:rsid w:val="00EC6C5A"/>
    <w:rsid w:val="00EC7DBA"/>
    <w:rsid w:val="00EC7FD0"/>
    <w:rsid w:val="00ED0DB0"/>
    <w:rsid w:val="00ED110B"/>
    <w:rsid w:val="00ED14BF"/>
    <w:rsid w:val="00ED1B23"/>
    <w:rsid w:val="00ED1E46"/>
    <w:rsid w:val="00ED1ED2"/>
    <w:rsid w:val="00ED1FF5"/>
    <w:rsid w:val="00ED244F"/>
    <w:rsid w:val="00ED2BDE"/>
    <w:rsid w:val="00ED2BFD"/>
    <w:rsid w:val="00ED2BFF"/>
    <w:rsid w:val="00ED2E58"/>
    <w:rsid w:val="00ED32A9"/>
    <w:rsid w:val="00ED3D21"/>
    <w:rsid w:val="00ED3D93"/>
    <w:rsid w:val="00ED42D3"/>
    <w:rsid w:val="00ED4671"/>
    <w:rsid w:val="00ED4693"/>
    <w:rsid w:val="00ED46EB"/>
    <w:rsid w:val="00ED4FFD"/>
    <w:rsid w:val="00ED532D"/>
    <w:rsid w:val="00ED57AC"/>
    <w:rsid w:val="00ED5804"/>
    <w:rsid w:val="00ED59D3"/>
    <w:rsid w:val="00ED5C67"/>
    <w:rsid w:val="00ED5F9D"/>
    <w:rsid w:val="00ED6465"/>
    <w:rsid w:val="00ED64FD"/>
    <w:rsid w:val="00ED716A"/>
    <w:rsid w:val="00ED7466"/>
    <w:rsid w:val="00ED7662"/>
    <w:rsid w:val="00ED7C74"/>
    <w:rsid w:val="00ED7CED"/>
    <w:rsid w:val="00EE01A2"/>
    <w:rsid w:val="00EE02EF"/>
    <w:rsid w:val="00EE0524"/>
    <w:rsid w:val="00EE076F"/>
    <w:rsid w:val="00EE0DD7"/>
    <w:rsid w:val="00EE110D"/>
    <w:rsid w:val="00EE128A"/>
    <w:rsid w:val="00EE1680"/>
    <w:rsid w:val="00EE16E4"/>
    <w:rsid w:val="00EE1D0E"/>
    <w:rsid w:val="00EE26B1"/>
    <w:rsid w:val="00EE275D"/>
    <w:rsid w:val="00EE29B2"/>
    <w:rsid w:val="00EE2A6C"/>
    <w:rsid w:val="00EE2B02"/>
    <w:rsid w:val="00EE2F0E"/>
    <w:rsid w:val="00EE2FD2"/>
    <w:rsid w:val="00EE3918"/>
    <w:rsid w:val="00EE3A79"/>
    <w:rsid w:val="00EE3B00"/>
    <w:rsid w:val="00EE3C8C"/>
    <w:rsid w:val="00EE41E4"/>
    <w:rsid w:val="00EE4749"/>
    <w:rsid w:val="00EE4E43"/>
    <w:rsid w:val="00EE4F4A"/>
    <w:rsid w:val="00EE51CC"/>
    <w:rsid w:val="00EE583C"/>
    <w:rsid w:val="00EE5870"/>
    <w:rsid w:val="00EE5875"/>
    <w:rsid w:val="00EE5FF0"/>
    <w:rsid w:val="00EE60B2"/>
    <w:rsid w:val="00EE653D"/>
    <w:rsid w:val="00EE6848"/>
    <w:rsid w:val="00EE698E"/>
    <w:rsid w:val="00EE6CED"/>
    <w:rsid w:val="00EE6F32"/>
    <w:rsid w:val="00EE716D"/>
    <w:rsid w:val="00EE782D"/>
    <w:rsid w:val="00EE7984"/>
    <w:rsid w:val="00EE7C2B"/>
    <w:rsid w:val="00EE7C8C"/>
    <w:rsid w:val="00EF0072"/>
    <w:rsid w:val="00EF0265"/>
    <w:rsid w:val="00EF0639"/>
    <w:rsid w:val="00EF0F62"/>
    <w:rsid w:val="00EF1094"/>
    <w:rsid w:val="00EF1336"/>
    <w:rsid w:val="00EF1BBA"/>
    <w:rsid w:val="00EF1C49"/>
    <w:rsid w:val="00EF21CE"/>
    <w:rsid w:val="00EF280A"/>
    <w:rsid w:val="00EF2C51"/>
    <w:rsid w:val="00EF3442"/>
    <w:rsid w:val="00EF385C"/>
    <w:rsid w:val="00EF3B6F"/>
    <w:rsid w:val="00EF3C5E"/>
    <w:rsid w:val="00EF3FB0"/>
    <w:rsid w:val="00EF4055"/>
    <w:rsid w:val="00EF43C9"/>
    <w:rsid w:val="00EF4523"/>
    <w:rsid w:val="00EF4B10"/>
    <w:rsid w:val="00EF4D16"/>
    <w:rsid w:val="00EF4F06"/>
    <w:rsid w:val="00EF53BC"/>
    <w:rsid w:val="00EF53D6"/>
    <w:rsid w:val="00EF5C20"/>
    <w:rsid w:val="00EF5D18"/>
    <w:rsid w:val="00EF619F"/>
    <w:rsid w:val="00EF61A9"/>
    <w:rsid w:val="00EF6363"/>
    <w:rsid w:val="00EF6460"/>
    <w:rsid w:val="00EF6569"/>
    <w:rsid w:val="00EF680C"/>
    <w:rsid w:val="00EF6DB5"/>
    <w:rsid w:val="00EF72C6"/>
    <w:rsid w:val="00EF7420"/>
    <w:rsid w:val="00EF7844"/>
    <w:rsid w:val="00EF7A87"/>
    <w:rsid w:val="00EF7CBC"/>
    <w:rsid w:val="00EF7FC2"/>
    <w:rsid w:val="00F0043F"/>
    <w:rsid w:val="00F006AD"/>
    <w:rsid w:val="00F00B89"/>
    <w:rsid w:val="00F00DEA"/>
    <w:rsid w:val="00F012A8"/>
    <w:rsid w:val="00F012CE"/>
    <w:rsid w:val="00F01565"/>
    <w:rsid w:val="00F01607"/>
    <w:rsid w:val="00F01889"/>
    <w:rsid w:val="00F018EB"/>
    <w:rsid w:val="00F01C5E"/>
    <w:rsid w:val="00F01FA8"/>
    <w:rsid w:val="00F02171"/>
    <w:rsid w:val="00F02253"/>
    <w:rsid w:val="00F02350"/>
    <w:rsid w:val="00F02697"/>
    <w:rsid w:val="00F02718"/>
    <w:rsid w:val="00F029D2"/>
    <w:rsid w:val="00F029F2"/>
    <w:rsid w:val="00F02B10"/>
    <w:rsid w:val="00F03209"/>
    <w:rsid w:val="00F0345A"/>
    <w:rsid w:val="00F0431B"/>
    <w:rsid w:val="00F04501"/>
    <w:rsid w:val="00F04860"/>
    <w:rsid w:val="00F04976"/>
    <w:rsid w:val="00F04F94"/>
    <w:rsid w:val="00F05315"/>
    <w:rsid w:val="00F056FC"/>
    <w:rsid w:val="00F05A89"/>
    <w:rsid w:val="00F05E37"/>
    <w:rsid w:val="00F06357"/>
    <w:rsid w:val="00F06416"/>
    <w:rsid w:val="00F06445"/>
    <w:rsid w:val="00F06E71"/>
    <w:rsid w:val="00F06F46"/>
    <w:rsid w:val="00F0708B"/>
    <w:rsid w:val="00F070BB"/>
    <w:rsid w:val="00F0730D"/>
    <w:rsid w:val="00F07656"/>
    <w:rsid w:val="00F076DB"/>
    <w:rsid w:val="00F07A23"/>
    <w:rsid w:val="00F07A32"/>
    <w:rsid w:val="00F07AFD"/>
    <w:rsid w:val="00F07E23"/>
    <w:rsid w:val="00F101DF"/>
    <w:rsid w:val="00F1025E"/>
    <w:rsid w:val="00F10338"/>
    <w:rsid w:val="00F1066F"/>
    <w:rsid w:val="00F10B2A"/>
    <w:rsid w:val="00F10BA6"/>
    <w:rsid w:val="00F10BA9"/>
    <w:rsid w:val="00F10C3A"/>
    <w:rsid w:val="00F110C9"/>
    <w:rsid w:val="00F110EA"/>
    <w:rsid w:val="00F1113C"/>
    <w:rsid w:val="00F11408"/>
    <w:rsid w:val="00F11479"/>
    <w:rsid w:val="00F1196E"/>
    <w:rsid w:val="00F11B85"/>
    <w:rsid w:val="00F11F6F"/>
    <w:rsid w:val="00F12438"/>
    <w:rsid w:val="00F129CB"/>
    <w:rsid w:val="00F12B73"/>
    <w:rsid w:val="00F12B78"/>
    <w:rsid w:val="00F12C22"/>
    <w:rsid w:val="00F12D4D"/>
    <w:rsid w:val="00F132B9"/>
    <w:rsid w:val="00F13924"/>
    <w:rsid w:val="00F139D8"/>
    <w:rsid w:val="00F13BAD"/>
    <w:rsid w:val="00F1415C"/>
    <w:rsid w:val="00F14359"/>
    <w:rsid w:val="00F14720"/>
    <w:rsid w:val="00F14787"/>
    <w:rsid w:val="00F14924"/>
    <w:rsid w:val="00F14C76"/>
    <w:rsid w:val="00F15638"/>
    <w:rsid w:val="00F15F94"/>
    <w:rsid w:val="00F1606D"/>
    <w:rsid w:val="00F167FD"/>
    <w:rsid w:val="00F16C4A"/>
    <w:rsid w:val="00F16EFF"/>
    <w:rsid w:val="00F1718F"/>
    <w:rsid w:val="00F171DC"/>
    <w:rsid w:val="00F174D9"/>
    <w:rsid w:val="00F176AA"/>
    <w:rsid w:val="00F17BAE"/>
    <w:rsid w:val="00F20162"/>
    <w:rsid w:val="00F20356"/>
    <w:rsid w:val="00F2039D"/>
    <w:rsid w:val="00F20445"/>
    <w:rsid w:val="00F2047C"/>
    <w:rsid w:val="00F204ED"/>
    <w:rsid w:val="00F2085F"/>
    <w:rsid w:val="00F20A64"/>
    <w:rsid w:val="00F20EBD"/>
    <w:rsid w:val="00F20F83"/>
    <w:rsid w:val="00F20FC3"/>
    <w:rsid w:val="00F21110"/>
    <w:rsid w:val="00F2129F"/>
    <w:rsid w:val="00F2196F"/>
    <w:rsid w:val="00F21B9D"/>
    <w:rsid w:val="00F21CC5"/>
    <w:rsid w:val="00F21D20"/>
    <w:rsid w:val="00F21E31"/>
    <w:rsid w:val="00F21F17"/>
    <w:rsid w:val="00F2256A"/>
    <w:rsid w:val="00F22584"/>
    <w:rsid w:val="00F22F71"/>
    <w:rsid w:val="00F23269"/>
    <w:rsid w:val="00F232AE"/>
    <w:rsid w:val="00F23363"/>
    <w:rsid w:val="00F23988"/>
    <w:rsid w:val="00F23B0B"/>
    <w:rsid w:val="00F23CA5"/>
    <w:rsid w:val="00F23D06"/>
    <w:rsid w:val="00F23D49"/>
    <w:rsid w:val="00F2491E"/>
    <w:rsid w:val="00F24B64"/>
    <w:rsid w:val="00F24C0B"/>
    <w:rsid w:val="00F24D18"/>
    <w:rsid w:val="00F24D60"/>
    <w:rsid w:val="00F24F27"/>
    <w:rsid w:val="00F25260"/>
    <w:rsid w:val="00F252C6"/>
    <w:rsid w:val="00F25382"/>
    <w:rsid w:val="00F25A7E"/>
    <w:rsid w:val="00F262A8"/>
    <w:rsid w:val="00F267D1"/>
    <w:rsid w:val="00F269CE"/>
    <w:rsid w:val="00F26E7A"/>
    <w:rsid w:val="00F271CE"/>
    <w:rsid w:val="00F272F4"/>
    <w:rsid w:val="00F27380"/>
    <w:rsid w:val="00F27504"/>
    <w:rsid w:val="00F2769A"/>
    <w:rsid w:val="00F276A0"/>
    <w:rsid w:val="00F2783C"/>
    <w:rsid w:val="00F2784E"/>
    <w:rsid w:val="00F27B9D"/>
    <w:rsid w:val="00F27D26"/>
    <w:rsid w:val="00F27E4C"/>
    <w:rsid w:val="00F27EE2"/>
    <w:rsid w:val="00F27F0E"/>
    <w:rsid w:val="00F3049B"/>
    <w:rsid w:val="00F305FE"/>
    <w:rsid w:val="00F30A39"/>
    <w:rsid w:val="00F30C9B"/>
    <w:rsid w:val="00F30F7F"/>
    <w:rsid w:val="00F3213E"/>
    <w:rsid w:val="00F3225F"/>
    <w:rsid w:val="00F3267C"/>
    <w:rsid w:val="00F32911"/>
    <w:rsid w:val="00F32D58"/>
    <w:rsid w:val="00F337B5"/>
    <w:rsid w:val="00F33D3C"/>
    <w:rsid w:val="00F3439C"/>
    <w:rsid w:val="00F34563"/>
    <w:rsid w:val="00F34696"/>
    <w:rsid w:val="00F348B2"/>
    <w:rsid w:val="00F34DC9"/>
    <w:rsid w:val="00F350CE"/>
    <w:rsid w:val="00F3518A"/>
    <w:rsid w:val="00F35208"/>
    <w:rsid w:val="00F36C98"/>
    <w:rsid w:val="00F36DA3"/>
    <w:rsid w:val="00F36E66"/>
    <w:rsid w:val="00F376A9"/>
    <w:rsid w:val="00F377EB"/>
    <w:rsid w:val="00F37A04"/>
    <w:rsid w:val="00F37C84"/>
    <w:rsid w:val="00F400A2"/>
    <w:rsid w:val="00F404D6"/>
    <w:rsid w:val="00F409CE"/>
    <w:rsid w:val="00F40ABC"/>
    <w:rsid w:val="00F416FF"/>
    <w:rsid w:val="00F4187B"/>
    <w:rsid w:val="00F4194F"/>
    <w:rsid w:val="00F41975"/>
    <w:rsid w:val="00F42015"/>
    <w:rsid w:val="00F421C1"/>
    <w:rsid w:val="00F42281"/>
    <w:rsid w:val="00F42679"/>
    <w:rsid w:val="00F427EF"/>
    <w:rsid w:val="00F42898"/>
    <w:rsid w:val="00F42A05"/>
    <w:rsid w:val="00F42B58"/>
    <w:rsid w:val="00F42E72"/>
    <w:rsid w:val="00F42F20"/>
    <w:rsid w:val="00F4317D"/>
    <w:rsid w:val="00F43428"/>
    <w:rsid w:val="00F43AB9"/>
    <w:rsid w:val="00F43D78"/>
    <w:rsid w:val="00F4436C"/>
    <w:rsid w:val="00F44BDD"/>
    <w:rsid w:val="00F44EDC"/>
    <w:rsid w:val="00F453DB"/>
    <w:rsid w:val="00F4548E"/>
    <w:rsid w:val="00F45683"/>
    <w:rsid w:val="00F4586B"/>
    <w:rsid w:val="00F45E49"/>
    <w:rsid w:val="00F45E8C"/>
    <w:rsid w:val="00F45F3A"/>
    <w:rsid w:val="00F45FDE"/>
    <w:rsid w:val="00F46278"/>
    <w:rsid w:val="00F464FD"/>
    <w:rsid w:val="00F46653"/>
    <w:rsid w:val="00F467A7"/>
    <w:rsid w:val="00F4680F"/>
    <w:rsid w:val="00F46D83"/>
    <w:rsid w:val="00F47269"/>
    <w:rsid w:val="00F47365"/>
    <w:rsid w:val="00F4737D"/>
    <w:rsid w:val="00F47653"/>
    <w:rsid w:val="00F47680"/>
    <w:rsid w:val="00F47A7B"/>
    <w:rsid w:val="00F47B92"/>
    <w:rsid w:val="00F47D82"/>
    <w:rsid w:val="00F47DAE"/>
    <w:rsid w:val="00F47DFD"/>
    <w:rsid w:val="00F47E77"/>
    <w:rsid w:val="00F5000C"/>
    <w:rsid w:val="00F50083"/>
    <w:rsid w:val="00F504A4"/>
    <w:rsid w:val="00F50AF3"/>
    <w:rsid w:val="00F50B02"/>
    <w:rsid w:val="00F50BEC"/>
    <w:rsid w:val="00F50CB2"/>
    <w:rsid w:val="00F50EBC"/>
    <w:rsid w:val="00F5126F"/>
    <w:rsid w:val="00F5162E"/>
    <w:rsid w:val="00F517B8"/>
    <w:rsid w:val="00F51BE0"/>
    <w:rsid w:val="00F51C48"/>
    <w:rsid w:val="00F51D35"/>
    <w:rsid w:val="00F51ECD"/>
    <w:rsid w:val="00F5261E"/>
    <w:rsid w:val="00F52B43"/>
    <w:rsid w:val="00F52EF8"/>
    <w:rsid w:val="00F531FA"/>
    <w:rsid w:val="00F53A49"/>
    <w:rsid w:val="00F53D9F"/>
    <w:rsid w:val="00F5427C"/>
    <w:rsid w:val="00F54883"/>
    <w:rsid w:val="00F548CD"/>
    <w:rsid w:val="00F54C3B"/>
    <w:rsid w:val="00F5519C"/>
    <w:rsid w:val="00F55844"/>
    <w:rsid w:val="00F56049"/>
    <w:rsid w:val="00F56301"/>
    <w:rsid w:val="00F56B2C"/>
    <w:rsid w:val="00F56B96"/>
    <w:rsid w:val="00F56BB8"/>
    <w:rsid w:val="00F571CF"/>
    <w:rsid w:val="00F5724B"/>
    <w:rsid w:val="00F57273"/>
    <w:rsid w:val="00F57688"/>
    <w:rsid w:val="00F576A2"/>
    <w:rsid w:val="00F57717"/>
    <w:rsid w:val="00F57C95"/>
    <w:rsid w:val="00F57E51"/>
    <w:rsid w:val="00F60839"/>
    <w:rsid w:val="00F6112A"/>
    <w:rsid w:val="00F61235"/>
    <w:rsid w:val="00F61961"/>
    <w:rsid w:val="00F61BDE"/>
    <w:rsid w:val="00F61D9B"/>
    <w:rsid w:val="00F61E13"/>
    <w:rsid w:val="00F6271E"/>
    <w:rsid w:val="00F627E9"/>
    <w:rsid w:val="00F6280A"/>
    <w:rsid w:val="00F62895"/>
    <w:rsid w:val="00F62932"/>
    <w:rsid w:val="00F63703"/>
    <w:rsid w:val="00F639A1"/>
    <w:rsid w:val="00F639D1"/>
    <w:rsid w:val="00F63B09"/>
    <w:rsid w:val="00F63EA7"/>
    <w:rsid w:val="00F641AD"/>
    <w:rsid w:val="00F64252"/>
    <w:rsid w:val="00F6452C"/>
    <w:rsid w:val="00F64596"/>
    <w:rsid w:val="00F647A0"/>
    <w:rsid w:val="00F64AD7"/>
    <w:rsid w:val="00F656DA"/>
    <w:rsid w:val="00F6577A"/>
    <w:rsid w:val="00F657B6"/>
    <w:rsid w:val="00F66569"/>
    <w:rsid w:val="00F667B3"/>
    <w:rsid w:val="00F66FF0"/>
    <w:rsid w:val="00F67949"/>
    <w:rsid w:val="00F67B04"/>
    <w:rsid w:val="00F67C83"/>
    <w:rsid w:val="00F67D4D"/>
    <w:rsid w:val="00F67F16"/>
    <w:rsid w:val="00F70213"/>
    <w:rsid w:val="00F7048B"/>
    <w:rsid w:val="00F706D4"/>
    <w:rsid w:val="00F70F29"/>
    <w:rsid w:val="00F71048"/>
    <w:rsid w:val="00F71061"/>
    <w:rsid w:val="00F71123"/>
    <w:rsid w:val="00F71E31"/>
    <w:rsid w:val="00F71FD1"/>
    <w:rsid w:val="00F72413"/>
    <w:rsid w:val="00F724F2"/>
    <w:rsid w:val="00F7256F"/>
    <w:rsid w:val="00F7348F"/>
    <w:rsid w:val="00F7355D"/>
    <w:rsid w:val="00F739E5"/>
    <w:rsid w:val="00F74878"/>
    <w:rsid w:val="00F7492A"/>
    <w:rsid w:val="00F74DD4"/>
    <w:rsid w:val="00F74F22"/>
    <w:rsid w:val="00F75032"/>
    <w:rsid w:val="00F7554E"/>
    <w:rsid w:val="00F75D34"/>
    <w:rsid w:val="00F75F0A"/>
    <w:rsid w:val="00F76299"/>
    <w:rsid w:val="00F7633D"/>
    <w:rsid w:val="00F766FF"/>
    <w:rsid w:val="00F7686B"/>
    <w:rsid w:val="00F76973"/>
    <w:rsid w:val="00F76EA1"/>
    <w:rsid w:val="00F77081"/>
    <w:rsid w:val="00F77315"/>
    <w:rsid w:val="00F775A3"/>
    <w:rsid w:val="00F7778B"/>
    <w:rsid w:val="00F7786E"/>
    <w:rsid w:val="00F77BF1"/>
    <w:rsid w:val="00F77F4A"/>
    <w:rsid w:val="00F77F71"/>
    <w:rsid w:val="00F800A8"/>
    <w:rsid w:val="00F80270"/>
    <w:rsid w:val="00F80717"/>
    <w:rsid w:val="00F80CB2"/>
    <w:rsid w:val="00F80FED"/>
    <w:rsid w:val="00F81162"/>
    <w:rsid w:val="00F81488"/>
    <w:rsid w:val="00F81D33"/>
    <w:rsid w:val="00F822FF"/>
    <w:rsid w:val="00F82552"/>
    <w:rsid w:val="00F826B3"/>
    <w:rsid w:val="00F8277F"/>
    <w:rsid w:val="00F82C47"/>
    <w:rsid w:val="00F82C7C"/>
    <w:rsid w:val="00F82E46"/>
    <w:rsid w:val="00F82ED9"/>
    <w:rsid w:val="00F82FDB"/>
    <w:rsid w:val="00F834FF"/>
    <w:rsid w:val="00F83EC6"/>
    <w:rsid w:val="00F841FD"/>
    <w:rsid w:val="00F8433E"/>
    <w:rsid w:val="00F84B6F"/>
    <w:rsid w:val="00F84DE6"/>
    <w:rsid w:val="00F8543C"/>
    <w:rsid w:val="00F85465"/>
    <w:rsid w:val="00F85543"/>
    <w:rsid w:val="00F8557C"/>
    <w:rsid w:val="00F85C7D"/>
    <w:rsid w:val="00F8651E"/>
    <w:rsid w:val="00F867AC"/>
    <w:rsid w:val="00F868E6"/>
    <w:rsid w:val="00F86A71"/>
    <w:rsid w:val="00F86AD8"/>
    <w:rsid w:val="00F86AE5"/>
    <w:rsid w:val="00F86B16"/>
    <w:rsid w:val="00F86C66"/>
    <w:rsid w:val="00F87D47"/>
    <w:rsid w:val="00F902D6"/>
    <w:rsid w:val="00F906F3"/>
    <w:rsid w:val="00F90847"/>
    <w:rsid w:val="00F90A15"/>
    <w:rsid w:val="00F90E34"/>
    <w:rsid w:val="00F90FC6"/>
    <w:rsid w:val="00F91170"/>
    <w:rsid w:val="00F9142D"/>
    <w:rsid w:val="00F9168B"/>
    <w:rsid w:val="00F91740"/>
    <w:rsid w:val="00F917EE"/>
    <w:rsid w:val="00F9191B"/>
    <w:rsid w:val="00F9218C"/>
    <w:rsid w:val="00F922B4"/>
    <w:rsid w:val="00F9237B"/>
    <w:rsid w:val="00F923E3"/>
    <w:rsid w:val="00F923ED"/>
    <w:rsid w:val="00F926BE"/>
    <w:rsid w:val="00F9297D"/>
    <w:rsid w:val="00F92C89"/>
    <w:rsid w:val="00F936FA"/>
    <w:rsid w:val="00F937E3"/>
    <w:rsid w:val="00F93887"/>
    <w:rsid w:val="00F93C20"/>
    <w:rsid w:val="00F93DAA"/>
    <w:rsid w:val="00F940CC"/>
    <w:rsid w:val="00F941EA"/>
    <w:rsid w:val="00F9427C"/>
    <w:rsid w:val="00F942F2"/>
    <w:rsid w:val="00F94317"/>
    <w:rsid w:val="00F94322"/>
    <w:rsid w:val="00F944F2"/>
    <w:rsid w:val="00F945DF"/>
    <w:rsid w:val="00F94896"/>
    <w:rsid w:val="00F948E5"/>
    <w:rsid w:val="00F94AC6"/>
    <w:rsid w:val="00F94C0C"/>
    <w:rsid w:val="00F94F6E"/>
    <w:rsid w:val="00F94F82"/>
    <w:rsid w:val="00F951F9"/>
    <w:rsid w:val="00F9526F"/>
    <w:rsid w:val="00F9529C"/>
    <w:rsid w:val="00F958AB"/>
    <w:rsid w:val="00F95B14"/>
    <w:rsid w:val="00F95B27"/>
    <w:rsid w:val="00F95D5B"/>
    <w:rsid w:val="00F95D90"/>
    <w:rsid w:val="00F95FE3"/>
    <w:rsid w:val="00F962D7"/>
    <w:rsid w:val="00F96452"/>
    <w:rsid w:val="00F96863"/>
    <w:rsid w:val="00F96A3B"/>
    <w:rsid w:val="00F96B62"/>
    <w:rsid w:val="00F96BFA"/>
    <w:rsid w:val="00F96CFC"/>
    <w:rsid w:val="00F96D0F"/>
    <w:rsid w:val="00F96D51"/>
    <w:rsid w:val="00F97062"/>
    <w:rsid w:val="00F973ED"/>
    <w:rsid w:val="00F97758"/>
    <w:rsid w:val="00F97C45"/>
    <w:rsid w:val="00F97F5C"/>
    <w:rsid w:val="00FA035D"/>
    <w:rsid w:val="00FA0777"/>
    <w:rsid w:val="00FA0AAF"/>
    <w:rsid w:val="00FA0D4C"/>
    <w:rsid w:val="00FA0F98"/>
    <w:rsid w:val="00FA1149"/>
    <w:rsid w:val="00FA14AC"/>
    <w:rsid w:val="00FA21C2"/>
    <w:rsid w:val="00FA2857"/>
    <w:rsid w:val="00FA2897"/>
    <w:rsid w:val="00FA29F9"/>
    <w:rsid w:val="00FA2CCE"/>
    <w:rsid w:val="00FA2D0B"/>
    <w:rsid w:val="00FA2F09"/>
    <w:rsid w:val="00FA2F4C"/>
    <w:rsid w:val="00FA2FF6"/>
    <w:rsid w:val="00FA302E"/>
    <w:rsid w:val="00FA30D7"/>
    <w:rsid w:val="00FA342E"/>
    <w:rsid w:val="00FA379F"/>
    <w:rsid w:val="00FA3F04"/>
    <w:rsid w:val="00FA40EA"/>
    <w:rsid w:val="00FA4192"/>
    <w:rsid w:val="00FA4477"/>
    <w:rsid w:val="00FA4655"/>
    <w:rsid w:val="00FA466D"/>
    <w:rsid w:val="00FA49C1"/>
    <w:rsid w:val="00FA4D8E"/>
    <w:rsid w:val="00FA4EFA"/>
    <w:rsid w:val="00FA50D0"/>
    <w:rsid w:val="00FA55E4"/>
    <w:rsid w:val="00FA5CB4"/>
    <w:rsid w:val="00FA5D40"/>
    <w:rsid w:val="00FA5F1E"/>
    <w:rsid w:val="00FA6074"/>
    <w:rsid w:val="00FA617E"/>
    <w:rsid w:val="00FA6573"/>
    <w:rsid w:val="00FA6855"/>
    <w:rsid w:val="00FA6CF3"/>
    <w:rsid w:val="00FA6FA8"/>
    <w:rsid w:val="00FA76B4"/>
    <w:rsid w:val="00FA79D5"/>
    <w:rsid w:val="00FA7FD2"/>
    <w:rsid w:val="00FB0200"/>
    <w:rsid w:val="00FB08BA"/>
    <w:rsid w:val="00FB09C9"/>
    <w:rsid w:val="00FB0BCF"/>
    <w:rsid w:val="00FB123D"/>
    <w:rsid w:val="00FB1290"/>
    <w:rsid w:val="00FB13DA"/>
    <w:rsid w:val="00FB1852"/>
    <w:rsid w:val="00FB1C24"/>
    <w:rsid w:val="00FB1C92"/>
    <w:rsid w:val="00FB1DBA"/>
    <w:rsid w:val="00FB21AF"/>
    <w:rsid w:val="00FB21F5"/>
    <w:rsid w:val="00FB2310"/>
    <w:rsid w:val="00FB25ED"/>
    <w:rsid w:val="00FB26B1"/>
    <w:rsid w:val="00FB27B0"/>
    <w:rsid w:val="00FB29B8"/>
    <w:rsid w:val="00FB31F6"/>
    <w:rsid w:val="00FB32A8"/>
    <w:rsid w:val="00FB34D8"/>
    <w:rsid w:val="00FB35A8"/>
    <w:rsid w:val="00FB39BC"/>
    <w:rsid w:val="00FB3B40"/>
    <w:rsid w:val="00FB3DA3"/>
    <w:rsid w:val="00FB3F29"/>
    <w:rsid w:val="00FB3F46"/>
    <w:rsid w:val="00FB4004"/>
    <w:rsid w:val="00FB4233"/>
    <w:rsid w:val="00FB4A53"/>
    <w:rsid w:val="00FB4B1E"/>
    <w:rsid w:val="00FB4E2D"/>
    <w:rsid w:val="00FB4FF8"/>
    <w:rsid w:val="00FB5121"/>
    <w:rsid w:val="00FB517C"/>
    <w:rsid w:val="00FB5554"/>
    <w:rsid w:val="00FB55C7"/>
    <w:rsid w:val="00FB58BC"/>
    <w:rsid w:val="00FB5B94"/>
    <w:rsid w:val="00FB5DEB"/>
    <w:rsid w:val="00FB604F"/>
    <w:rsid w:val="00FB62E3"/>
    <w:rsid w:val="00FB6779"/>
    <w:rsid w:val="00FB6C56"/>
    <w:rsid w:val="00FB6EDF"/>
    <w:rsid w:val="00FB7189"/>
    <w:rsid w:val="00FB72DB"/>
    <w:rsid w:val="00FB7AC3"/>
    <w:rsid w:val="00FB7FFC"/>
    <w:rsid w:val="00FC010D"/>
    <w:rsid w:val="00FC02CC"/>
    <w:rsid w:val="00FC0A0F"/>
    <w:rsid w:val="00FC0AF2"/>
    <w:rsid w:val="00FC0EE7"/>
    <w:rsid w:val="00FC16EB"/>
    <w:rsid w:val="00FC1D68"/>
    <w:rsid w:val="00FC20B0"/>
    <w:rsid w:val="00FC21D3"/>
    <w:rsid w:val="00FC2204"/>
    <w:rsid w:val="00FC2409"/>
    <w:rsid w:val="00FC24D8"/>
    <w:rsid w:val="00FC27AB"/>
    <w:rsid w:val="00FC27B6"/>
    <w:rsid w:val="00FC2D3B"/>
    <w:rsid w:val="00FC2DCD"/>
    <w:rsid w:val="00FC3439"/>
    <w:rsid w:val="00FC3465"/>
    <w:rsid w:val="00FC365A"/>
    <w:rsid w:val="00FC37F7"/>
    <w:rsid w:val="00FC3860"/>
    <w:rsid w:val="00FC38E8"/>
    <w:rsid w:val="00FC3BBF"/>
    <w:rsid w:val="00FC4057"/>
    <w:rsid w:val="00FC4AAC"/>
    <w:rsid w:val="00FC4D97"/>
    <w:rsid w:val="00FC5130"/>
    <w:rsid w:val="00FC5564"/>
    <w:rsid w:val="00FC5652"/>
    <w:rsid w:val="00FC565A"/>
    <w:rsid w:val="00FC5737"/>
    <w:rsid w:val="00FC59DB"/>
    <w:rsid w:val="00FC59F2"/>
    <w:rsid w:val="00FC5C3A"/>
    <w:rsid w:val="00FC5D44"/>
    <w:rsid w:val="00FC5FC0"/>
    <w:rsid w:val="00FC611B"/>
    <w:rsid w:val="00FC61F7"/>
    <w:rsid w:val="00FC6423"/>
    <w:rsid w:val="00FC6586"/>
    <w:rsid w:val="00FC69C4"/>
    <w:rsid w:val="00FC6FF1"/>
    <w:rsid w:val="00FC7556"/>
    <w:rsid w:val="00FC7DEF"/>
    <w:rsid w:val="00FC7F4B"/>
    <w:rsid w:val="00FC7FDA"/>
    <w:rsid w:val="00FD0A13"/>
    <w:rsid w:val="00FD12D1"/>
    <w:rsid w:val="00FD14DB"/>
    <w:rsid w:val="00FD1A2B"/>
    <w:rsid w:val="00FD24B3"/>
    <w:rsid w:val="00FD26A6"/>
    <w:rsid w:val="00FD2A6F"/>
    <w:rsid w:val="00FD2C29"/>
    <w:rsid w:val="00FD33C2"/>
    <w:rsid w:val="00FD34A0"/>
    <w:rsid w:val="00FD3628"/>
    <w:rsid w:val="00FD3754"/>
    <w:rsid w:val="00FD377F"/>
    <w:rsid w:val="00FD3CDF"/>
    <w:rsid w:val="00FD3DEE"/>
    <w:rsid w:val="00FD4143"/>
    <w:rsid w:val="00FD48C3"/>
    <w:rsid w:val="00FD4E5D"/>
    <w:rsid w:val="00FD4E9E"/>
    <w:rsid w:val="00FD555F"/>
    <w:rsid w:val="00FD5649"/>
    <w:rsid w:val="00FD5A22"/>
    <w:rsid w:val="00FD5EAB"/>
    <w:rsid w:val="00FD60C3"/>
    <w:rsid w:val="00FD6111"/>
    <w:rsid w:val="00FD62ED"/>
    <w:rsid w:val="00FD6358"/>
    <w:rsid w:val="00FD657B"/>
    <w:rsid w:val="00FD66DF"/>
    <w:rsid w:val="00FD6E9E"/>
    <w:rsid w:val="00FD726B"/>
    <w:rsid w:val="00FD738A"/>
    <w:rsid w:val="00FD7836"/>
    <w:rsid w:val="00FD7A05"/>
    <w:rsid w:val="00FD7ECD"/>
    <w:rsid w:val="00FE0795"/>
    <w:rsid w:val="00FE09E6"/>
    <w:rsid w:val="00FE0BC6"/>
    <w:rsid w:val="00FE0F39"/>
    <w:rsid w:val="00FE0F3C"/>
    <w:rsid w:val="00FE0F8B"/>
    <w:rsid w:val="00FE1009"/>
    <w:rsid w:val="00FE1347"/>
    <w:rsid w:val="00FE17A9"/>
    <w:rsid w:val="00FE1B9C"/>
    <w:rsid w:val="00FE1D0E"/>
    <w:rsid w:val="00FE1D47"/>
    <w:rsid w:val="00FE217F"/>
    <w:rsid w:val="00FE21FC"/>
    <w:rsid w:val="00FE231B"/>
    <w:rsid w:val="00FE26EC"/>
    <w:rsid w:val="00FE2834"/>
    <w:rsid w:val="00FE2895"/>
    <w:rsid w:val="00FE35DA"/>
    <w:rsid w:val="00FE3724"/>
    <w:rsid w:val="00FE3BB0"/>
    <w:rsid w:val="00FE4136"/>
    <w:rsid w:val="00FE439A"/>
    <w:rsid w:val="00FE4B5A"/>
    <w:rsid w:val="00FE540A"/>
    <w:rsid w:val="00FE55CF"/>
    <w:rsid w:val="00FE5C66"/>
    <w:rsid w:val="00FE60A9"/>
    <w:rsid w:val="00FE623F"/>
    <w:rsid w:val="00FE6475"/>
    <w:rsid w:val="00FE6B04"/>
    <w:rsid w:val="00FE6C44"/>
    <w:rsid w:val="00FE710E"/>
    <w:rsid w:val="00FE768D"/>
    <w:rsid w:val="00FE7AA8"/>
    <w:rsid w:val="00FE7C09"/>
    <w:rsid w:val="00FE7C50"/>
    <w:rsid w:val="00FE7C94"/>
    <w:rsid w:val="00FE7FBB"/>
    <w:rsid w:val="00FF0040"/>
    <w:rsid w:val="00FF0195"/>
    <w:rsid w:val="00FF0316"/>
    <w:rsid w:val="00FF0D2D"/>
    <w:rsid w:val="00FF14C8"/>
    <w:rsid w:val="00FF15DC"/>
    <w:rsid w:val="00FF1659"/>
    <w:rsid w:val="00FF16BB"/>
    <w:rsid w:val="00FF1807"/>
    <w:rsid w:val="00FF1B9C"/>
    <w:rsid w:val="00FF230A"/>
    <w:rsid w:val="00FF2326"/>
    <w:rsid w:val="00FF2898"/>
    <w:rsid w:val="00FF28C3"/>
    <w:rsid w:val="00FF3049"/>
    <w:rsid w:val="00FF3777"/>
    <w:rsid w:val="00FF3880"/>
    <w:rsid w:val="00FF38B5"/>
    <w:rsid w:val="00FF46C0"/>
    <w:rsid w:val="00FF4DAD"/>
    <w:rsid w:val="00FF4ED0"/>
    <w:rsid w:val="00FF51DA"/>
    <w:rsid w:val="00FF5998"/>
    <w:rsid w:val="00FF59BD"/>
    <w:rsid w:val="00FF5A1B"/>
    <w:rsid w:val="00FF6B3F"/>
    <w:rsid w:val="00FF6E78"/>
    <w:rsid w:val="00FF704F"/>
    <w:rsid w:val="00FF7389"/>
    <w:rsid w:val="00FF7539"/>
    <w:rsid w:val="00FF76E3"/>
    <w:rsid w:val="00FF779B"/>
    <w:rsid w:val="00FF7C6B"/>
    <w:rsid w:val="00FF7FF6"/>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EDFE24F"/>
  <w14:defaultImageDpi w14:val="330"/>
  <w15:docId w15:val="{3FC78FD0-A689-4102-BED2-FD64D07D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 Square Sans Pro" w:eastAsiaTheme="minorHAnsi" w:hAnsi="EC Square Sans Pro" w:cstheme="minorBidi"/>
        <w:lang w:val="nl-NL" w:eastAsia="en-US" w:bidi="ar-SA"/>
      </w:rPr>
    </w:rPrDefault>
    <w:pPrDefault>
      <w:pPr>
        <w:spacing w:before="240" w:after="240" w:line="264" w:lineRule="auto"/>
      </w:pPr>
    </w:pPrDefault>
  </w:docDefaults>
  <w:latentStyles w:defLockedState="0" w:defUIPriority="99" w:defSemiHidden="0" w:defUnhideWhenUsed="0" w:defQFormat="0" w:count="371">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8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lsdException w:name="Body Text 3" w:semiHidden="1" w:uiPriority="8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8B1072"/>
  </w:style>
  <w:style w:type="paragraph" w:styleId="Heading1">
    <w:name w:val="heading 1"/>
    <w:next w:val="Normal"/>
    <w:link w:val="Heading1Char"/>
    <w:qFormat/>
    <w:rsid w:val="00B64020"/>
    <w:pPr>
      <w:keepNext/>
      <w:keepLines/>
      <w:pageBreakBefore/>
      <w:suppressAutoHyphens/>
      <w:spacing w:before="0" w:after="480"/>
      <w:outlineLvl w:val="0"/>
    </w:pPr>
    <w:rPr>
      <w:rFonts w:eastAsia="EC Square Sans Pro" w:cs="Times New Roman"/>
      <w:color w:val="215E94" w:themeColor="text2"/>
      <w:sz w:val="48"/>
      <w:szCs w:val="21"/>
      <w:lang w:eastAsia="zh-CN"/>
    </w:rPr>
  </w:style>
  <w:style w:type="paragraph" w:styleId="Heading2">
    <w:name w:val="heading 2"/>
    <w:basedOn w:val="Normal"/>
    <w:next w:val="Normal"/>
    <w:link w:val="Heading2Char"/>
    <w:unhideWhenUsed/>
    <w:qFormat/>
    <w:rsid w:val="00952AA2"/>
    <w:pPr>
      <w:keepNext/>
      <w:keepLines/>
      <w:pBdr>
        <w:bottom w:val="single" w:sz="6" w:space="1" w:color="92D050"/>
      </w:pBdr>
      <w:suppressAutoHyphens/>
      <w:spacing w:before="480"/>
      <w:outlineLvl w:val="1"/>
    </w:pPr>
    <w:rPr>
      <w:rFonts w:eastAsia="EC Square Sans Pro"/>
      <w:b/>
      <w:color w:val="215E94" w:themeColor="text2"/>
      <w:sz w:val="28"/>
      <w:szCs w:val="21"/>
      <w:lang w:eastAsia="zh-CN"/>
    </w:rPr>
  </w:style>
  <w:style w:type="paragraph" w:styleId="Heading3">
    <w:name w:val="heading 3"/>
    <w:basedOn w:val="Normal"/>
    <w:next w:val="Normal"/>
    <w:link w:val="Heading3Char"/>
    <w:unhideWhenUsed/>
    <w:qFormat/>
    <w:rsid w:val="00585AA7"/>
    <w:pPr>
      <w:keepNext/>
      <w:keepLines/>
      <w:suppressAutoHyphens/>
      <w:spacing w:before="480"/>
      <w:outlineLvl w:val="2"/>
    </w:pPr>
    <w:rPr>
      <w:rFonts w:eastAsiaTheme="majorEastAsia" w:cstheme="majorBidi"/>
      <w:b/>
      <w:color w:val="215E94" w:themeColor="text2"/>
      <w:sz w:val="28"/>
      <w:szCs w:val="24"/>
    </w:rPr>
  </w:style>
  <w:style w:type="paragraph" w:styleId="Heading4">
    <w:name w:val="heading 4"/>
    <w:basedOn w:val="Normal"/>
    <w:next w:val="Normal"/>
    <w:link w:val="Heading4Char"/>
    <w:unhideWhenUsed/>
    <w:qFormat/>
    <w:rsid w:val="008E3AF2"/>
    <w:pPr>
      <w:keepNext/>
      <w:keepLines/>
      <w:suppressAutoHyphens/>
      <w:spacing w:before="480"/>
      <w:outlineLvl w:val="3"/>
    </w:pPr>
    <w:rPr>
      <w:rFonts w:cs="Times New Roman"/>
      <w:color w:val="215E94" w:themeColor="text2"/>
      <w:sz w:val="24"/>
      <w:szCs w:val="22"/>
      <w:lang w:eastAsia="zh-CN"/>
    </w:rPr>
  </w:style>
  <w:style w:type="paragraph" w:styleId="Heading5">
    <w:name w:val="heading 5"/>
    <w:basedOn w:val="Normal"/>
    <w:next w:val="Normal"/>
    <w:link w:val="Heading5Char"/>
    <w:uiPriority w:val="99"/>
    <w:unhideWhenUsed/>
    <w:qFormat/>
    <w:rsid w:val="008E3AF2"/>
    <w:pPr>
      <w:keepNext/>
      <w:keepLines/>
      <w:suppressAutoHyphens/>
      <w:ind w:left="340"/>
      <w:outlineLvl w:val="4"/>
    </w:pPr>
    <w:rPr>
      <w:rFonts w:cs="Times New Roman"/>
      <w:b/>
      <w:color w:val="109146" w:themeColor="accent1"/>
      <w:sz w:val="24"/>
      <w:szCs w:val="22"/>
      <w:lang w:eastAsia="zh-CN"/>
      <w14:textOutline w14:w="9525" w14:cap="rnd" w14:cmpd="sng" w14:algn="ctr">
        <w14:noFill/>
        <w14:prstDash w14:val="solid"/>
        <w14:bevel/>
      </w14:textOutline>
    </w:rPr>
  </w:style>
  <w:style w:type="paragraph" w:styleId="Heading6">
    <w:name w:val="heading 6"/>
    <w:basedOn w:val="Normal"/>
    <w:next w:val="Normal"/>
    <w:link w:val="Heading6Char"/>
    <w:uiPriority w:val="99"/>
    <w:unhideWhenUsed/>
    <w:qFormat/>
    <w:rsid w:val="000A2E51"/>
    <w:pPr>
      <w:keepNext/>
      <w:keepLines/>
      <w:spacing w:before="200"/>
      <w:outlineLvl w:val="5"/>
    </w:pPr>
    <w:rPr>
      <w:rFonts w:eastAsiaTheme="majorEastAsia" w:cstheme="majorBidi"/>
      <w:i/>
      <w:iCs/>
      <w:color w:val="084822" w:themeColor="accent1" w:themeShade="7F"/>
    </w:rPr>
  </w:style>
  <w:style w:type="paragraph" w:styleId="Heading7">
    <w:name w:val="heading 7"/>
    <w:basedOn w:val="Normal"/>
    <w:next w:val="Normal"/>
    <w:link w:val="Heading7Char"/>
    <w:uiPriority w:val="99"/>
    <w:unhideWhenUsed/>
    <w:qFormat/>
    <w:rsid w:val="000A2E51"/>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9"/>
    <w:unhideWhenUsed/>
    <w:qFormat/>
    <w:rsid w:val="000A2E51"/>
    <w:pPr>
      <w:keepNext/>
      <w:keepLines/>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9"/>
    <w:unhideWhenUsed/>
    <w:qFormat/>
    <w:rsid w:val="000A2E51"/>
    <w:pPr>
      <w:keepNext/>
      <w:keepLines/>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020"/>
    <w:rPr>
      <w:rFonts w:eastAsia="EC Square Sans Pro" w:cs="Times New Roman"/>
      <w:color w:val="215E94" w:themeColor="text2"/>
      <w:sz w:val="48"/>
      <w:szCs w:val="21"/>
      <w:lang w:val="nl-NL" w:eastAsia="zh-CN"/>
    </w:rPr>
  </w:style>
  <w:style w:type="character" w:customStyle="1" w:styleId="Heading2Char">
    <w:name w:val="Heading 2 Char"/>
    <w:basedOn w:val="DefaultParagraphFont"/>
    <w:link w:val="Heading2"/>
    <w:rsid w:val="00585AA7"/>
    <w:rPr>
      <w:rFonts w:eastAsia="EC Square Sans Pro"/>
      <w:b/>
      <w:color w:val="215E94" w:themeColor="text2"/>
      <w:sz w:val="28"/>
      <w:szCs w:val="21"/>
      <w:lang w:val="nl-NL" w:eastAsia="zh-CN"/>
    </w:rPr>
  </w:style>
  <w:style w:type="character" w:customStyle="1" w:styleId="Heading3Char">
    <w:name w:val="Heading 3 Char"/>
    <w:basedOn w:val="DefaultParagraphFont"/>
    <w:link w:val="Heading3"/>
    <w:rsid w:val="00585AA7"/>
    <w:rPr>
      <w:rFonts w:eastAsiaTheme="majorEastAsia" w:cstheme="majorBidi"/>
      <w:b/>
      <w:color w:val="215E94" w:themeColor="text2"/>
      <w:sz w:val="28"/>
      <w:szCs w:val="24"/>
      <w:lang w:val="nl-NL"/>
    </w:rPr>
  </w:style>
  <w:style w:type="character" w:customStyle="1" w:styleId="Heading4Char">
    <w:name w:val="Heading 4 Char"/>
    <w:basedOn w:val="DefaultParagraphFont"/>
    <w:link w:val="Heading4"/>
    <w:rsid w:val="005E5DAB"/>
    <w:rPr>
      <w:rFonts w:cs="Times New Roman"/>
      <w:color w:val="215E94" w:themeColor="text2"/>
      <w:sz w:val="24"/>
      <w:szCs w:val="22"/>
      <w:lang w:val="nl-NL" w:eastAsia="zh-CN"/>
    </w:rPr>
  </w:style>
  <w:style w:type="character" w:customStyle="1" w:styleId="Heading5Char">
    <w:name w:val="Heading 5 Char"/>
    <w:basedOn w:val="DefaultParagraphFont"/>
    <w:link w:val="Heading5"/>
    <w:uiPriority w:val="99"/>
    <w:rsid w:val="00585AA7"/>
    <w:rPr>
      <w:rFonts w:cs="Times New Roman"/>
      <w:b/>
      <w:color w:val="109146" w:themeColor="accent1"/>
      <w:sz w:val="24"/>
      <w:szCs w:val="22"/>
      <w:lang w:val="nl-NL" w:eastAsia="zh-CN"/>
      <w14:textOutline w14:w="9525" w14:cap="rnd" w14:cmpd="sng" w14:algn="ctr">
        <w14:noFill/>
        <w14:prstDash w14:val="solid"/>
        <w14:bevel/>
      </w14:textOutline>
    </w:rPr>
  </w:style>
  <w:style w:type="character" w:customStyle="1" w:styleId="Heading6Char">
    <w:name w:val="Heading 6 Char"/>
    <w:basedOn w:val="DefaultParagraphFont"/>
    <w:link w:val="Heading6"/>
    <w:uiPriority w:val="99"/>
    <w:rsid w:val="00BF57EE"/>
    <w:rPr>
      <w:rFonts w:eastAsiaTheme="majorEastAsia" w:cstheme="majorBidi"/>
      <w:i/>
      <w:iCs/>
      <w:color w:val="084822" w:themeColor="accent1" w:themeShade="7F"/>
      <w:lang w:val="nl-NL"/>
    </w:rPr>
  </w:style>
  <w:style w:type="character" w:customStyle="1" w:styleId="Heading7Char">
    <w:name w:val="Heading 7 Char"/>
    <w:basedOn w:val="DefaultParagraphFont"/>
    <w:link w:val="Heading7"/>
    <w:uiPriority w:val="99"/>
    <w:rsid w:val="00BF57EE"/>
    <w:rPr>
      <w:rFonts w:eastAsiaTheme="majorEastAsia" w:cstheme="majorBidi"/>
      <w:i/>
      <w:iCs/>
      <w:color w:val="404040" w:themeColor="text1" w:themeTint="BF"/>
      <w:lang w:val="nl-NL"/>
    </w:rPr>
  </w:style>
  <w:style w:type="character" w:customStyle="1" w:styleId="Heading8Char">
    <w:name w:val="Heading 8 Char"/>
    <w:basedOn w:val="DefaultParagraphFont"/>
    <w:link w:val="Heading8"/>
    <w:uiPriority w:val="99"/>
    <w:rsid w:val="00BF57EE"/>
    <w:rPr>
      <w:rFonts w:eastAsiaTheme="majorEastAsia" w:cstheme="majorBidi"/>
      <w:color w:val="404040" w:themeColor="text1" w:themeTint="BF"/>
      <w:lang w:val="nl-NL"/>
    </w:rPr>
  </w:style>
  <w:style w:type="character" w:customStyle="1" w:styleId="Heading9Char">
    <w:name w:val="Heading 9 Char"/>
    <w:basedOn w:val="DefaultParagraphFont"/>
    <w:link w:val="Heading9"/>
    <w:uiPriority w:val="99"/>
    <w:rsid w:val="00BF57EE"/>
    <w:rPr>
      <w:rFonts w:eastAsiaTheme="majorEastAsia" w:cstheme="majorBidi"/>
      <w:i/>
      <w:iCs/>
      <w:color w:val="404040" w:themeColor="text1" w:themeTint="BF"/>
      <w:lang w:val="nl-NL"/>
    </w:rPr>
  </w:style>
  <w:style w:type="paragraph" w:styleId="ListParagraph">
    <w:name w:val="List Paragraph"/>
    <w:basedOn w:val="Normal"/>
    <w:uiPriority w:val="34"/>
    <w:qFormat/>
    <w:rsid w:val="00A24339"/>
    <w:pPr>
      <w:ind w:left="720"/>
      <w:contextualSpacing/>
    </w:pPr>
  </w:style>
  <w:style w:type="table" w:styleId="GridTable2-Accent2">
    <w:name w:val="Grid Table 2 Accent 2"/>
    <w:basedOn w:val="TableNormal"/>
    <w:uiPriority w:val="47"/>
    <w:rsid w:val="00B430F0"/>
    <w:pPr>
      <w:spacing w:after="0" w:line="240" w:lineRule="auto"/>
    </w:pPr>
    <w:tblPr>
      <w:tblStyleRowBandSize w:val="1"/>
      <w:tblStyleColBandSize w:val="1"/>
      <w:tblBorders>
        <w:top w:val="single" w:sz="2" w:space="0" w:color="61D5ED" w:themeColor="accent2" w:themeTint="99"/>
        <w:bottom w:val="single" w:sz="2" w:space="0" w:color="61D5ED" w:themeColor="accent2" w:themeTint="99"/>
        <w:insideH w:val="single" w:sz="2" w:space="0" w:color="61D5ED" w:themeColor="accent2" w:themeTint="99"/>
        <w:insideV w:val="single" w:sz="2" w:space="0" w:color="61D5ED" w:themeColor="accent2" w:themeTint="99"/>
      </w:tblBorders>
    </w:tblPr>
    <w:tblStylePr w:type="firstRow">
      <w:rPr>
        <w:b/>
        <w:bCs/>
      </w:rPr>
      <w:tblPr/>
      <w:tcPr>
        <w:tcBorders>
          <w:top w:val="nil"/>
          <w:bottom w:val="single" w:sz="12" w:space="0" w:color="61D5ED" w:themeColor="accent2" w:themeTint="99"/>
          <w:insideH w:val="nil"/>
          <w:insideV w:val="nil"/>
        </w:tcBorders>
        <w:shd w:val="clear" w:color="auto" w:fill="FFFFFF" w:themeFill="background1"/>
      </w:tcPr>
    </w:tblStylePr>
    <w:tblStylePr w:type="lastRow">
      <w:rPr>
        <w:b/>
        <w:bCs/>
      </w:rPr>
      <w:tblPr/>
      <w:tcPr>
        <w:tcBorders>
          <w:top w:val="double" w:sz="2" w:space="0" w:color="61D5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GridTable4-Accent2">
    <w:name w:val="Grid Table 4 Accent 2"/>
    <w:basedOn w:val="TableNormal"/>
    <w:uiPriority w:val="49"/>
    <w:rsid w:val="00B430F0"/>
    <w:pPr>
      <w:spacing w:after="0" w:line="240" w:lineRule="auto"/>
    </w:p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color w:val="FFFFFF" w:themeColor="background1"/>
      </w:rPr>
      <w:tblPr/>
      <w:tcPr>
        <w:tcBorders>
          <w:top w:val="single" w:sz="4" w:space="0" w:color="16A7C4" w:themeColor="accent2"/>
          <w:left w:val="single" w:sz="4" w:space="0" w:color="16A7C4" w:themeColor="accent2"/>
          <w:bottom w:val="single" w:sz="4" w:space="0" w:color="16A7C4" w:themeColor="accent2"/>
          <w:right w:val="single" w:sz="4" w:space="0" w:color="16A7C4" w:themeColor="accent2"/>
          <w:insideH w:val="nil"/>
          <w:insideV w:val="nil"/>
        </w:tcBorders>
        <w:shd w:val="clear" w:color="auto" w:fill="16A7C4" w:themeFill="accent2"/>
      </w:tcPr>
    </w:tblStylePr>
    <w:tblStylePr w:type="lastRow">
      <w:rPr>
        <w:b/>
        <w:bCs/>
      </w:rPr>
      <w:tblPr/>
      <w:tcPr>
        <w:tcBorders>
          <w:top w:val="double" w:sz="4" w:space="0" w:color="16A7C4" w:themeColor="accent2"/>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TableGrid">
    <w:name w:val="Table Grid"/>
    <w:aliases w:val="Document Table,CV1,Standard table format,Simple table"/>
    <w:basedOn w:val="TableNormal"/>
    <w:uiPriority w:val="59"/>
    <w:rsid w:val="00F276A0"/>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sid w:val="007F126D"/>
    <w:rPr>
      <w:vertAlign w:val="superscript"/>
    </w:rPr>
  </w:style>
  <w:style w:type="paragraph" w:styleId="BalloonText">
    <w:name w:val="Balloon Text"/>
    <w:basedOn w:val="Normal"/>
    <w:link w:val="BalloonTextChar"/>
    <w:semiHidden/>
    <w:unhideWhenUsed/>
    <w:rsid w:val="00F276A0"/>
    <w:rPr>
      <w:rFonts w:cs="Segoe UI"/>
      <w:sz w:val="18"/>
      <w:szCs w:val="18"/>
    </w:rPr>
  </w:style>
  <w:style w:type="character" w:customStyle="1" w:styleId="BalloonTextChar">
    <w:name w:val="Balloon Text Char"/>
    <w:basedOn w:val="DefaultParagraphFont"/>
    <w:link w:val="BalloonText"/>
    <w:semiHidden/>
    <w:rsid w:val="00F276A0"/>
    <w:rPr>
      <w:rFonts w:cs="Segoe UI"/>
      <w:sz w:val="18"/>
      <w:szCs w:val="18"/>
      <w:lang w:val="nl-NL"/>
    </w:rPr>
  </w:style>
  <w:style w:type="paragraph" w:styleId="Footer">
    <w:name w:val="footer"/>
    <w:basedOn w:val="amprFooter-Left"/>
    <w:link w:val="FooterChar"/>
    <w:uiPriority w:val="99"/>
    <w:unhideWhenUsed/>
    <w:rsid w:val="00A17F99"/>
    <w:pPr>
      <w:jc w:val="center"/>
    </w:pPr>
    <w:rPr>
      <w:noProof/>
    </w:rPr>
  </w:style>
  <w:style w:type="character" w:customStyle="1" w:styleId="FooterChar">
    <w:name w:val="Footer Char"/>
    <w:basedOn w:val="DefaultParagraphFont"/>
    <w:link w:val="Footer"/>
    <w:uiPriority w:val="99"/>
    <w:rsid w:val="00A17F99"/>
    <w:rPr>
      <w:rFonts w:eastAsia="EC Square Sans Pro" w:cs="Times New Roman"/>
      <w:noProof/>
      <w:szCs w:val="21"/>
      <w:lang w:val="nl-NL" w:eastAsia="zh-CN"/>
    </w:rPr>
  </w:style>
  <w:style w:type="paragraph" w:styleId="CommentSubject">
    <w:name w:val="annotation subject"/>
    <w:basedOn w:val="Normal"/>
    <w:next w:val="Normal"/>
    <w:link w:val="CommentSubjectChar"/>
    <w:unhideWhenUsed/>
    <w:rsid w:val="0022044E"/>
    <w:pPr>
      <w:spacing w:after="200"/>
    </w:pPr>
    <w:rPr>
      <w:b/>
      <w:bCs/>
    </w:rPr>
  </w:style>
  <w:style w:type="character" w:customStyle="1" w:styleId="CommentSubjectChar">
    <w:name w:val="Comment Subject Char"/>
    <w:basedOn w:val="DefaultParagraphFont"/>
    <w:link w:val="CommentSubject"/>
    <w:rsid w:val="0022044E"/>
    <w:rPr>
      <w:b/>
      <w:bCs/>
      <w:lang w:val="nl-NL"/>
    </w:rPr>
  </w:style>
  <w:style w:type="paragraph" w:styleId="Revision">
    <w:name w:val="Revision"/>
    <w:hidden/>
    <w:uiPriority w:val="99"/>
    <w:semiHidden/>
    <w:rsid w:val="00556021"/>
  </w:style>
  <w:style w:type="character" w:styleId="Hyperlink">
    <w:name w:val="Hyperlink"/>
    <w:basedOn w:val="DefaultParagraphFont"/>
    <w:uiPriority w:val="99"/>
    <w:unhideWhenUsed/>
    <w:rsid w:val="00B76EB9"/>
    <w:rPr>
      <w:rFonts w:ascii="EC Square Sans Pro" w:hAnsi="EC Square Sans Pro"/>
      <w:strike w:val="0"/>
      <w:dstrike w:val="0"/>
      <w:color w:val="007ACC"/>
      <w:u w:val="single" w:color="65BBC8"/>
      <w:effect w:val="none"/>
      <w:shd w:val="clear" w:color="auto" w:fill="auto"/>
      <w:lang w:val="nl-NL"/>
    </w:rPr>
  </w:style>
  <w:style w:type="table" w:styleId="LightShading-Accent6">
    <w:name w:val="Light Shading Accent 6"/>
    <w:basedOn w:val="TableNormal"/>
    <w:uiPriority w:val="60"/>
    <w:rsid w:val="00946DA5"/>
    <w:rPr>
      <w:color w:val="BF8F00" w:themeColor="accent6" w:themeShade="BF"/>
      <w:lang w:eastAsia="en-GB"/>
    </w:rPr>
    <w:tblPr>
      <w:tblStyleRowBandSize w:val="1"/>
      <w:tblStyleColBandSize w:val="1"/>
      <w:tblBorders>
        <w:top w:val="single" w:sz="8" w:space="0" w:color="FFC000" w:themeColor="accent6"/>
        <w:bottom w:val="single" w:sz="8" w:space="0" w:color="FFC000" w:themeColor="accent6"/>
      </w:tblBorders>
    </w:tblPr>
    <w:tblStylePr w:type="fir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la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left w:val="nil"/>
          <w:right w:val="nil"/>
          <w:insideH w:val="nil"/>
          <w:insideV w:val="nil"/>
        </w:tcBorders>
        <w:shd w:val="clear" w:color="auto" w:fill="FFEFC0" w:themeFill="accent6" w:themeFillTint="3F"/>
      </w:tcPr>
    </w:tblStylePr>
  </w:style>
  <w:style w:type="paragraph" w:styleId="EndnoteText">
    <w:name w:val="endnote text"/>
    <w:basedOn w:val="Normal"/>
    <w:link w:val="EndnoteTextChar"/>
    <w:uiPriority w:val="99"/>
    <w:semiHidden/>
    <w:unhideWhenUsed/>
    <w:rsid w:val="00946DA5"/>
    <w:rPr>
      <w:rFonts w:eastAsia="Calibri"/>
    </w:rPr>
  </w:style>
  <w:style w:type="character" w:customStyle="1" w:styleId="EndnoteTextChar">
    <w:name w:val="Endnote Text Char"/>
    <w:basedOn w:val="DefaultParagraphFont"/>
    <w:link w:val="EndnoteText"/>
    <w:uiPriority w:val="99"/>
    <w:semiHidden/>
    <w:rsid w:val="00946DA5"/>
    <w:rPr>
      <w:rFonts w:eastAsia="Calibri"/>
      <w:lang w:val="nl-NL"/>
    </w:rPr>
  </w:style>
  <w:style w:type="character" w:styleId="EndnoteReference">
    <w:name w:val="endnote reference"/>
    <w:basedOn w:val="DefaultParagraphFont"/>
    <w:semiHidden/>
    <w:unhideWhenUsed/>
    <w:rsid w:val="00946DA5"/>
    <w:rPr>
      <w:rFonts w:ascii="EC Square Sans Pro" w:hAnsi="EC Square Sans Pro"/>
      <w:vertAlign w:val="superscript"/>
      <w:lang w:val="nl-NL"/>
    </w:rPr>
  </w:style>
  <w:style w:type="paragraph" w:styleId="ListBullet">
    <w:name w:val="List Bullet"/>
    <w:basedOn w:val="Normal"/>
    <w:uiPriority w:val="99"/>
    <w:semiHidden/>
    <w:unhideWhenUsed/>
    <w:rsid w:val="00946DA5"/>
    <w:pPr>
      <w:tabs>
        <w:tab w:val="num" w:pos="360"/>
      </w:tabs>
      <w:spacing w:before="120" w:after="120"/>
      <w:ind w:left="360" w:hanging="360"/>
      <w:contextualSpacing/>
      <w:jc w:val="both"/>
    </w:pPr>
    <w:rPr>
      <w:sz w:val="24"/>
    </w:rPr>
  </w:style>
  <w:style w:type="paragraph" w:styleId="ListBullet2">
    <w:name w:val="List Bullet 2"/>
    <w:basedOn w:val="Normal"/>
    <w:unhideWhenUsed/>
    <w:rsid w:val="00946DA5"/>
    <w:pPr>
      <w:tabs>
        <w:tab w:val="num" w:pos="643"/>
      </w:tabs>
      <w:spacing w:before="120" w:after="120"/>
      <w:ind w:left="643" w:hanging="360"/>
      <w:contextualSpacing/>
      <w:jc w:val="both"/>
    </w:pPr>
    <w:rPr>
      <w:sz w:val="24"/>
    </w:rPr>
  </w:style>
  <w:style w:type="paragraph" w:styleId="ListBullet3">
    <w:name w:val="List Bullet 3"/>
    <w:basedOn w:val="Normal"/>
    <w:uiPriority w:val="99"/>
    <w:semiHidden/>
    <w:unhideWhenUsed/>
    <w:rsid w:val="00946DA5"/>
    <w:pPr>
      <w:tabs>
        <w:tab w:val="num" w:pos="926"/>
      </w:tabs>
      <w:spacing w:before="120" w:after="120"/>
      <w:ind w:left="926" w:hanging="360"/>
      <w:contextualSpacing/>
      <w:jc w:val="both"/>
    </w:pPr>
    <w:rPr>
      <w:sz w:val="24"/>
    </w:rPr>
  </w:style>
  <w:style w:type="paragraph" w:styleId="ListBullet4">
    <w:name w:val="List Bullet 4"/>
    <w:basedOn w:val="Normal"/>
    <w:uiPriority w:val="99"/>
    <w:semiHidden/>
    <w:unhideWhenUsed/>
    <w:rsid w:val="00946DA5"/>
    <w:pPr>
      <w:tabs>
        <w:tab w:val="num" w:pos="1209"/>
      </w:tabs>
      <w:spacing w:before="120" w:after="120"/>
      <w:ind w:left="1209" w:hanging="360"/>
      <w:contextualSpacing/>
      <w:jc w:val="both"/>
    </w:pPr>
    <w:rPr>
      <w:sz w:val="24"/>
    </w:rPr>
  </w:style>
  <w:style w:type="table" w:styleId="LightShading-Accent5">
    <w:name w:val="Light Shading Accent 5"/>
    <w:basedOn w:val="TableNormal"/>
    <w:uiPriority w:val="60"/>
    <w:rsid w:val="00946DA5"/>
    <w:rPr>
      <w:color w:val="6DA92D" w:themeColor="accent5" w:themeShade="BF"/>
      <w:lang w:eastAsia="en-GB"/>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paragraph" w:styleId="TableofFigures">
    <w:name w:val="table of figures"/>
    <w:basedOn w:val="Normal"/>
    <w:next w:val="Normal"/>
    <w:uiPriority w:val="99"/>
    <w:semiHidden/>
    <w:unhideWhenUsed/>
    <w:rsid w:val="00946DA5"/>
    <w:pPr>
      <w:spacing w:before="120"/>
      <w:jc w:val="both"/>
    </w:pPr>
    <w:rPr>
      <w:sz w:val="24"/>
    </w:rPr>
  </w:style>
  <w:style w:type="paragraph" w:styleId="ListNumber">
    <w:name w:val="List Number"/>
    <w:basedOn w:val="Normal"/>
    <w:uiPriority w:val="99"/>
    <w:semiHidden/>
    <w:unhideWhenUsed/>
    <w:rsid w:val="00946DA5"/>
    <w:pPr>
      <w:tabs>
        <w:tab w:val="num" w:pos="360"/>
      </w:tabs>
      <w:spacing w:before="120" w:after="120"/>
      <w:ind w:left="360" w:hanging="360"/>
      <w:contextualSpacing/>
      <w:jc w:val="both"/>
    </w:pPr>
    <w:rPr>
      <w:sz w:val="24"/>
    </w:rPr>
  </w:style>
  <w:style w:type="paragraph" w:styleId="ListNumber2">
    <w:name w:val="List Number 2"/>
    <w:basedOn w:val="Normal"/>
    <w:uiPriority w:val="99"/>
    <w:semiHidden/>
    <w:unhideWhenUsed/>
    <w:rsid w:val="00946DA5"/>
    <w:pPr>
      <w:tabs>
        <w:tab w:val="num" w:pos="643"/>
      </w:tabs>
      <w:spacing w:before="120" w:after="120"/>
      <w:ind w:left="643" w:hanging="360"/>
      <w:contextualSpacing/>
      <w:jc w:val="both"/>
    </w:pPr>
    <w:rPr>
      <w:sz w:val="24"/>
    </w:rPr>
  </w:style>
  <w:style w:type="paragraph" w:styleId="ListNumber3">
    <w:name w:val="List Number 3"/>
    <w:basedOn w:val="Normal"/>
    <w:uiPriority w:val="99"/>
    <w:semiHidden/>
    <w:unhideWhenUsed/>
    <w:rsid w:val="00946DA5"/>
    <w:pPr>
      <w:tabs>
        <w:tab w:val="num" w:pos="926"/>
      </w:tabs>
      <w:spacing w:before="120" w:after="120"/>
      <w:ind w:left="926" w:hanging="360"/>
      <w:contextualSpacing/>
      <w:jc w:val="both"/>
    </w:pPr>
    <w:rPr>
      <w:sz w:val="24"/>
    </w:rPr>
  </w:style>
  <w:style w:type="paragraph" w:styleId="ListNumber4">
    <w:name w:val="List Number 4"/>
    <w:basedOn w:val="Normal"/>
    <w:uiPriority w:val="99"/>
    <w:semiHidden/>
    <w:unhideWhenUsed/>
    <w:rsid w:val="00946DA5"/>
    <w:pPr>
      <w:tabs>
        <w:tab w:val="num" w:pos="1209"/>
      </w:tabs>
      <w:spacing w:before="120" w:after="120"/>
      <w:ind w:left="1209" w:hanging="360"/>
      <w:contextualSpacing/>
      <w:jc w:val="both"/>
    </w:pPr>
    <w:rPr>
      <w:sz w:val="24"/>
    </w:rPr>
  </w:style>
  <w:style w:type="table" w:styleId="LightShading">
    <w:name w:val="Light Shading"/>
    <w:basedOn w:val="TableNormal"/>
    <w:uiPriority w:val="60"/>
    <w:rsid w:val="004D4C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amprBodyText"/>
    <w:next w:val="Normal"/>
    <w:link w:val="BodyTextChar"/>
    <w:uiPriority w:val="89"/>
    <w:semiHidden/>
    <w:qFormat/>
    <w:rsid w:val="00395986"/>
  </w:style>
  <w:style w:type="character" w:customStyle="1" w:styleId="BodyTextChar">
    <w:name w:val="Body Text Char"/>
    <w:basedOn w:val="DefaultParagraphFont"/>
    <w:link w:val="BodyText"/>
    <w:uiPriority w:val="89"/>
    <w:semiHidden/>
    <w:rsid w:val="008B1072"/>
    <w:rPr>
      <w:rFonts w:eastAsia="EC Square Sans Pro" w:cs="Times New Roman"/>
      <w:szCs w:val="21"/>
      <w:lang w:val="nl-NL" w:eastAsia="zh-CN"/>
    </w:rPr>
  </w:style>
  <w:style w:type="paragraph" w:customStyle="1" w:styleId="Quotes">
    <w:name w:val="Quotes"/>
    <w:basedOn w:val="Normal"/>
    <w:link w:val="QuotesChar"/>
    <w:qFormat/>
    <w:rsid w:val="008E3AF2"/>
    <w:pPr>
      <w:ind w:left="851" w:right="851"/>
      <w:jc w:val="center"/>
    </w:pPr>
    <w:rPr>
      <w:rFonts w:eastAsia="Calibri"/>
      <w:i/>
      <w:color w:val="215E94" w:themeColor="text2"/>
      <w:sz w:val="28"/>
      <w:lang w:eastAsia="zh-CN"/>
    </w:rPr>
  </w:style>
  <w:style w:type="character" w:customStyle="1" w:styleId="QuotesChar">
    <w:name w:val="Quotes Char"/>
    <w:basedOn w:val="DefaultParagraphFont"/>
    <w:link w:val="Quotes"/>
    <w:rsid w:val="008E3AF2"/>
    <w:rPr>
      <w:rFonts w:eastAsia="Calibri"/>
      <w:i/>
      <w:color w:val="215E94" w:themeColor="text2"/>
      <w:sz w:val="28"/>
      <w:lang w:val="nl-NL" w:eastAsia="zh-CN"/>
    </w:rPr>
  </w:style>
  <w:style w:type="paragraph" w:styleId="TOC1">
    <w:name w:val="toc 1"/>
    <w:basedOn w:val="Normal"/>
    <w:next w:val="Normal"/>
    <w:autoRedefine/>
    <w:uiPriority w:val="39"/>
    <w:unhideWhenUsed/>
    <w:qFormat/>
    <w:rsid w:val="003E475D"/>
    <w:pPr>
      <w:tabs>
        <w:tab w:val="right" w:leader="dot" w:pos="9072"/>
      </w:tabs>
      <w:spacing w:before="120" w:after="120"/>
      <w:jc w:val="both"/>
    </w:pPr>
    <w:rPr>
      <w:b/>
      <w:caps/>
    </w:rPr>
  </w:style>
  <w:style w:type="character" w:styleId="FollowedHyperlink">
    <w:name w:val="FollowedHyperlink"/>
    <w:basedOn w:val="DefaultParagraphFont"/>
    <w:uiPriority w:val="99"/>
    <w:semiHidden/>
    <w:unhideWhenUsed/>
    <w:rsid w:val="006F1ED8"/>
    <w:rPr>
      <w:rFonts w:ascii="EC Square Sans Pro" w:hAnsi="EC Square Sans Pro"/>
      <w:color w:val="800080" w:themeColor="followedHyperlink"/>
      <w:u w:val="single"/>
      <w:lang w:val="nl-NL"/>
    </w:rPr>
  </w:style>
  <w:style w:type="table" w:styleId="MediumShading2-Accent1">
    <w:name w:val="Medium Shading 2 Accent 1"/>
    <w:basedOn w:val="TableNormal"/>
    <w:uiPriority w:val="64"/>
    <w:rsid w:val="009B74AB"/>
    <w:rPr>
      <w:rFonts w:ascii="Calibri" w:eastAsia="Calibri" w:hAnsi="Calibri"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914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9146" w:themeFill="accent1"/>
      </w:tcPr>
    </w:tblStylePr>
    <w:tblStylePr w:type="lastCol">
      <w:rPr>
        <w:b/>
        <w:bCs/>
        <w:color w:val="FFFFFF" w:themeColor="background1"/>
      </w:rPr>
      <w:tblPr/>
      <w:tcPr>
        <w:tcBorders>
          <w:left w:val="nil"/>
          <w:right w:val="nil"/>
          <w:insideH w:val="nil"/>
          <w:insideV w:val="nil"/>
        </w:tcBorders>
        <w:shd w:val="clear" w:color="auto" w:fill="10914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semiHidden/>
    <w:unhideWhenUsed/>
    <w:rsid w:val="00BF57EE"/>
  </w:style>
  <w:style w:type="paragraph" w:styleId="BlockText">
    <w:name w:val="Block Text"/>
    <w:basedOn w:val="Normal"/>
    <w:uiPriority w:val="99"/>
    <w:semiHidden/>
    <w:unhideWhenUsed/>
    <w:rsid w:val="00BF57EE"/>
    <w:pPr>
      <w:pBdr>
        <w:top w:val="single" w:sz="2" w:space="10" w:color="109146" w:themeColor="accent1" w:shadow="1" w:frame="1"/>
        <w:left w:val="single" w:sz="2" w:space="10" w:color="109146" w:themeColor="accent1" w:shadow="1" w:frame="1"/>
        <w:bottom w:val="single" w:sz="2" w:space="10" w:color="109146" w:themeColor="accent1" w:shadow="1" w:frame="1"/>
        <w:right w:val="single" w:sz="2" w:space="10" w:color="109146" w:themeColor="accent1" w:shadow="1" w:frame="1"/>
      </w:pBdr>
      <w:ind w:left="1152" w:right="1152"/>
    </w:pPr>
    <w:rPr>
      <w:rFonts w:eastAsiaTheme="minorEastAsia"/>
      <w:i/>
      <w:iCs/>
      <w:color w:val="109146" w:themeColor="accent1"/>
    </w:rPr>
  </w:style>
  <w:style w:type="paragraph" w:styleId="BodyText2">
    <w:name w:val="Body Text 2"/>
    <w:basedOn w:val="amprBodyText"/>
    <w:link w:val="BodyText2Char"/>
    <w:uiPriority w:val="89"/>
    <w:semiHidden/>
    <w:rsid w:val="0056681C"/>
  </w:style>
  <w:style w:type="character" w:customStyle="1" w:styleId="BodyText2Char">
    <w:name w:val="Body Text 2 Char"/>
    <w:basedOn w:val="DefaultParagraphFont"/>
    <w:link w:val="BodyText2"/>
    <w:uiPriority w:val="89"/>
    <w:semiHidden/>
    <w:rsid w:val="008B1072"/>
    <w:rPr>
      <w:rFonts w:eastAsia="EC Square Sans Pro" w:cs="Times New Roman"/>
      <w:szCs w:val="21"/>
      <w:lang w:val="nl-NL" w:eastAsia="zh-CN"/>
    </w:rPr>
  </w:style>
  <w:style w:type="paragraph" w:styleId="BodyText3">
    <w:name w:val="Body Text 3"/>
    <w:basedOn w:val="amprBodyText"/>
    <w:link w:val="BodyText3Char"/>
    <w:uiPriority w:val="89"/>
    <w:semiHidden/>
    <w:rsid w:val="00013105"/>
  </w:style>
  <w:style w:type="character" w:customStyle="1" w:styleId="BodyText3Char">
    <w:name w:val="Body Text 3 Char"/>
    <w:basedOn w:val="DefaultParagraphFont"/>
    <w:link w:val="BodyText3"/>
    <w:uiPriority w:val="89"/>
    <w:semiHidden/>
    <w:rsid w:val="008B1072"/>
    <w:rPr>
      <w:rFonts w:eastAsia="EC Square Sans Pro" w:cs="Times New Roman"/>
      <w:szCs w:val="21"/>
      <w:lang w:val="nl-NL" w:eastAsia="zh-CN"/>
    </w:rPr>
  </w:style>
  <w:style w:type="paragraph" w:styleId="BodyTextFirstIndent">
    <w:name w:val="Body Text First Indent"/>
    <w:basedOn w:val="BodyText"/>
    <w:link w:val="BodyTextFirstIndentChar"/>
    <w:uiPriority w:val="99"/>
    <w:semiHidden/>
    <w:unhideWhenUsed/>
    <w:rsid w:val="00BF57EE"/>
    <w:pPr>
      <w:ind w:firstLine="360"/>
    </w:pPr>
  </w:style>
  <w:style w:type="character" w:customStyle="1" w:styleId="BodyTextFirstIndentChar">
    <w:name w:val="Body Text First Indent Char"/>
    <w:basedOn w:val="BodyTextChar"/>
    <w:link w:val="BodyTextFirstIndent"/>
    <w:uiPriority w:val="99"/>
    <w:semiHidden/>
    <w:rsid w:val="00BF57EE"/>
    <w:rPr>
      <w:rFonts w:eastAsia="EC Square Sans Pro" w:cs="Times New Roman"/>
      <w:color w:val="000000" w:themeColor="text1"/>
      <w:szCs w:val="21"/>
      <w:lang w:val="nl-NL" w:eastAsia="zh-CN"/>
    </w:rPr>
  </w:style>
  <w:style w:type="paragraph" w:styleId="BodyTextIndent">
    <w:name w:val="Body Text Indent"/>
    <w:basedOn w:val="Normal"/>
    <w:link w:val="BodyTextIndentChar"/>
    <w:uiPriority w:val="99"/>
    <w:semiHidden/>
    <w:unhideWhenUsed/>
    <w:rsid w:val="00BF57EE"/>
    <w:pPr>
      <w:spacing w:after="120"/>
      <w:ind w:left="283"/>
    </w:pPr>
  </w:style>
  <w:style w:type="character" w:customStyle="1" w:styleId="BodyTextIndentChar">
    <w:name w:val="Body Text Indent Char"/>
    <w:basedOn w:val="DefaultParagraphFont"/>
    <w:link w:val="BodyTextIndent"/>
    <w:uiPriority w:val="99"/>
    <w:semiHidden/>
    <w:rsid w:val="00BF57EE"/>
    <w:rPr>
      <w:lang w:val="nl-NL"/>
    </w:rPr>
  </w:style>
  <w:style w:type="paragraph" w:styleId="BodyTextFirstIndent2">
    <w:name w:val="Body Text First Indent 2"/>
    <w:basedOn w:val="BodyTextIndent"/>
    <w:link w:val="BodyTextFirstIndent2Char"/>
    <w:uiPriority w:val="99"/>
    <w:semiHidden/>
    <w:unhideWhenUsed/>
    <w:rsid w:val="00BF57EE"/>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57EE"/>
    <w:rPr>
      <w:lang w:val="nl-NL"/>
    </w:rPr>
  </w:style>
  <w:style w:type="paragraph" w:styleId="BodyTextIndent2">
    <w:name w:val="Body Text Indent 2"/>
    <w:basedOn w:val="Normal"/>
    <w:link w:val="BodyTextIndent2Char"/>
    <w:uiPriority w:val="99"/>
    <w:semiHidden/>
    <w:unhideWhenUsed/>
    <w:rsid w:val="00BF57EE"/>
    <w:pPr>
      <w:spacing w:after="120" w:line="480" w:lineRule="auto"/>
      <w:ind w:left="283"/>
    </w:pPr>
  </w:style>
  <w:style w:type="character" w:customStyle="1" w:styleId="BodyTextIndent2Char">
    <w:name w:val="Body Text Indent 2 Char"/>
    <w:basedOn w:val="DefaultParagraphFont"/>
    <w:link w:val="BodyTextIndent2"/>
    <w:uiPriority w:val="99"/>
    <w:semiHidden/>
    <w:rsid w:val="00BF57EE"/>
    <w:rPr>
      <w:lang w:val="nl-NL"/>
    </w:rPr>
  </w:style>
  <w:style w:type="paragraph" w:styleId="BodyTextIndent3">
    <w:name w:val="Body Text Indent 3"/>
    <w:basedOn w:val="Normal"/>
    <w:link w:val="BodyTextIndent3Char"/>
    <w:uiPriority w:val="99"/>
    <w:semiHidden/>
    <w:unhideWhenUsed/>
    <w:rsid w:val="00BF57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57EE"/>
    <w:rPr>
      <w:sz w:val="16"/>
      <w:szCs w:val="16"/>
      <w:lang w:val="nl-NL"/>
    </w:rPr>
  </w:style>
  <w:style w:type="paragraph" w:styleId="Closing">
    <w:name w:val="Closing"/>
    <w:basedOn w:val="Normal"/>
    <w:link w:val="ClosingChar"/>
    <w:uiPriority w:val="99"/>
    <w:semiHidden/>
    <w:unhideWhenUsed/>
    <w:rsid w:val="00BF57EE"/>
    <w:pPr>
      <w:ind w:left="4252"/>
    </w:pPr>
  </w:style>
  <w:style w:type="character" w:customStyle="1" w:styleId="ClosingChar">
    <w:name w:val="Closing Char"/>
    <w:basedOn w:val="DefaultParagraphFont"/>
    <w:link w:val="Closing"/>
    <w:uiPriority w:val="99"/>
    <w:semiHidden/>
    <w:rsid w:val="00BF57EE"/>
    <w:rPr>
      <w:lang w:val="nl-NL"/>
    </w:rPr>
  </w:style>
  <w:style w:type="paragraph" w:styleId="Date">
    <w:name w:val="Date"/>
    <w:basedOn w:val="Normal"/>
    <w:next w:val="Normal"/>
    <w:link w:val="DateChar"/>
    <w:uiPriority w:val="99"/>
    <w:semiHidden/>
    <w:unhideWhenUsed/>
    <w:rsid w:val="00BF57EE"/>
  </w:style>
  <w:style w:type="character" w:customStyle="1" w:styleId="DateChar">
    <w:name w:val="Date Char"/>
    <w:basedOn w:val="DefaultParagraphFont"/>
    <w:link w:val="Date"/>
    <w:uiPriority w:val="99"/>
    <w:semiHidden/>
    <w:rsid w:val="00BF57EE"/>
    <w:rPr>
      <w:lang w:val="nl-NL"/>
    </w:rPr>
  </w:style>
  <w:style w:type="paragraph" w:styleId="DocumentMap">
    <w:name w:val="Document Map"/>
    <w:basedOn w:val="Normal"/>
    <w:link w:val="DocumentMapChar"/>
    <w:semiHidden/>
    <w:unhideWhenUsed/>
    <w:rsid w:val="00BF57EE"/>
    <w:rPr>
      <w:rFonts w:cs="Tahoma"/>
      <w:sz w:val="16"/>
      <w:szCs w:val="16"/>
    </w:rPr>
  </w:style>
  <w:style w:type="character" w:customStyle="1" w:styleId="DocumentMapChar">
    <w:name w:val="Document Map Char"/>
    <w:basedOn w:val="DefaultParagraphFont"/>
    <w:link w:val="DocumentMap"/>
    <w:semiHidden/>
    <w:rsid w:val="00BF57EE"/>
    <w:rPr>
      <w:rFonts w:cs="Tahoma"/>
      <w:sz w:val="16"/>
      <w:szCs w:val="16"/>
      <w:lang w:val="nl-NL"/>
    </w:rPr>
  </w:style>
  <w:style w:type="paragraph" w:styleId="E-mailSignature">
    <w:name w:val="E-mail Signature"/>
    <w:basedOn w:val="Normal"/>
    <w:link w:val="E-mailSignatureChar"/>
    <w:uiPriority w:val="99"/>
    <w:semiHidden/>
    <w:unhideWhenUsed/>
    <w:rsid w:val="00BF57EE"/>
  </w:style>
  <w:style w:type="character" w:customStyle="1" w:styleId="E-mailSignatureChar">
    <w:name w:val="E-mail Signature Char"/>
    <w:basedOn w:val="DefaultParagraphFont"/>
    <w:link w:val="E-mailSignature"/>
    <w:uiPriority w:val="99"/>
    <w:semiHidden/>
    <w:rsid w:val="00BF57EE"/>
    <w:rPr>
      <w:lang w:val="nl-NL"/>
    </w:rPr>
  </w:style>
  <w:style w:type="paragraph" w:styleId="EnvelopeAddress">
    <w:name w:val="envelope address"/>
    <w:basedOn w:val="Normal"/>
    <w:uiPriority w:val="99"/>
    <w:semiHidden/>
    <w:unhideWhenUsed/>
    <w:rsid w:val="00BF57EE"/>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BF57EE"/>
    <w:rPr>
      <w:rFonts w:eastAsiaTheme="majorEastAsia" w:cstheme="majorBidi"/>
    </w:rPr>
  </w:style>
  <w:style w:type="character" w:styleId="HTMLAcronym">
    <w:name w:val="HTML Acronym"/>
    <w:basedOn w:val="DefaultParagraphFont"/>
    <w:uiPriority w:val="99"/>
    <w:semiHidden/>
    <w:unhideWhenUsed/>
    <w:rsid w:val="00BF57EE"/>
    <w:rPr>
      <w:rFonts w:ascii="EC Square Sans Pro" w:hAnsi="EC Square Sans Pro"/>
      <w:lang w:val="nl-NL"/>
    </w:rPr>
  </w:style>
  <w:style w:type="paragraph" w:styleId="HTMLAddress">
    <w:name w:val="HTML Address"/>
    <w:basedOn w:val="Normal"/>
    <w:link w:val="HTMLAddressChar"/>
    <w:uiPriority w:val="99"/>
    <w:semiHidden/>
    <w:unhideWhenUsed/>
    <w:rsid w:val="00BF57EE"/>
    <w:rPr>
      <w:i/>
      <w:iCs/>
    </w:rPr>
  </w:style>
  <w:style w:type="character" w:customStyle="1" w:styleId="HTMLAddressChar">
    <w:name w:val="HTML Address Char"/>
    <w:basedOn w:val="DefaultParagraphFont"/>
    <w:link w:val="HTMLAddress"/>
    <w:uiPriority w:val="99"/>
    <w:semiHidden/>
    <w:rsid w:val="00BF57EE"/>
    <w:rPr>
      <w:i/>
      <w:iCs/>
      <w:lang w:val="nl-NL"/>
    </w:rPr>
  </w:style>
  <w:style w:type="character" w:styleId="HTMLCite">
    <w:name w:val="HTML Cite"/>
    <w:basedOn w:val="DefaultParagraphFont"/>
    <w:uiPriority w:val="99"/>
    <w:semiHidden/>
    <w:unhideWhenUsed/>
    <w:rsid w:val="00BF57EE"/>
    <w:rPr>
      <w:rFonts w:ascii="EC Square Sans Pro" w:hAnsi="EC Square Sans Pro"/>
      <w:i/>
      <w:iCs/>
      <w:lang w:val="nl-NL"/>
    </w:rPr>
  </w:style>
  <w:style w:type="character" w:styleId="HTMLCode">
    <w:name w:val="HTML Code"/>
    <w:basedOn w:val="DefaultParagraphFont"/>
    <w:uiPriority w:val="99"/>
    <w:semiHidden/>
    <w:unhideWhenUsed/>
    <w:rsid w:val="00BF57EE"/>
    <w:rPr>
      <w:rFonts w:ascii="EC Square Sans Pro" w:hAnsi="EC Square Sans Pro" w:cs="Consolas"/>
      <w:sz w:val="20"/>
      <w:szCs w:val="20"/>
      <w:lang w:val="nl-NL"/>
    </w:rPr>
  </w:style>
  <w:style w:type="character" w:styleId="HTMLDefinition">
    <w:name w:val="HTML Definition"/>
    <w:basedOn w:val="DefaultParagraphFont"/>
    <w:uiPriority w:val="99"/>
    <w:semiHidden/>
    <w:unhideWhenUsed/>
    <w:rsid w:val="00BF57EE"/>
    <w:rPr>
      <w:rFonts w:ascii="EC Square Sans Pro" w:hAnsi="EC Square Sans Pro"/>
      <w:i/>
      <w:iCs/>
      <w:lang w:val="nl-NL"/>
    </w:rPr>
  </w:style>
  <w:style w:type="character" w:styleId="HTMLKeyboard">
    <w:name w:val="HTML Keyboard"/>
    <w:basedOn w:val="DefaultParagraphFont"/>
    <w:uiPriority w:val="99"/>
    <w:semiHidden/>
    <w:unhideWhenUsed/>
    <w:rsid w:val="00BF57EE"/>
    <w:rPr>
      <w:rFonts w:ascii="EC Square Sans Pro" w:hAnsi="EC Square Sans Pro" w:cs="Consolas"/>
      <w:sz w:val="20"/>
      <w:szCs w:val="20"/>
      <w:lang w:val="nl-NL"/>
    </w:rPr>
  </w:style>
  <w:style w:type="paragraph" w:styleId="HTMLPreformatted">
    <w:name w:val="HTML Preformatted"/>
    <w:basedOn w:val="Normal"/>
    <w:link w:val="HTMLPreformattedChar"/>
    <w:uiPriority w:val="99"/>
    <w:semiHidden/>
    <w:unhideWhenUsed/>
    <w:rsid w:val="00BF57EE"/>
    <w:rPr>
      <w:rFonts w:cs="Consolas"/>
    </w:rPr>
  </w:style>
  <w:style w:type="character" w:customStyle="1" w:styleId="HTMLPreformattedChar">
    <w:name w:val="HTML Preformatted Char"/>
    <w:basedOn w:val="DefaultParagraphFont"/>
    <w:link w:val="HTMLPreformatted"/>
    <w:uiPriority w:val="99"/>
    <w:semiHidden/>
    <w:rsid w:val="00BF57EE"/>
    <w:rPr>
      <w:rFonts w:cs="Consolas"/>
      <w:lang w:val="nl-NL"/>
    </w:rPr>
  </w:style>
  <w:style w:type="character" w:styleId="HTMLSample">
    <w:name w:val="HTML Sample"/>
    <w:basedOn w:val="DefaultParagraphFont"/>
    <w:uiPriority w:val="99"/>
    <w:semiHidden/>
    <w:unhideWhenUsed/>
    <w:rsid w:val="00BF57EE"/>
    <w:rPr>
      <w:rFonts w:ascii="EC Square Sans Pro" w:hAnsi="EC Square Sans Pro" w:cs="Consolas"/>
      <w:sz w:val="24"/>
      <w:szCs w:val="24"/>
      <w:lang w:val="nl-NL"/>
    </w:rPr>
  </w:style>
  <w:style w:type="character" w:styleId="HTMLTypewriter">
    <w:name w:val="HTML Typewriter"/>
    <w:basedOn w:val="DefaultParagraphFont"/>
    <w:uiPriority w:val="99"/>
    <w:semiHidden/>
    <w:unhideWhenUsed/>
    <w:rsid w:val="00BF57EE"/>
    <w:rPr>
      <w:rFonts w:ascii="EC Square Sans Pro" w:hAnsi="EC Square Sans Pro" w:cs="Consolas"/>
      <w:sz w:val="20"/>
      <w:szCs w:val="20"/>
      <w:lang w:val="nl-NL"/>
    </w:rPr>
  </w:style>
  <w:style w:type="character" w:styleId="HTMLVariable">
    <w:name w:val="HTML Variable"/>
    <w:basedOn w:val="DefaultParagraphFont"/>
    <w:uiPriority w:val="99"/>
    <w:semiHidden/>
    <w:unhideWhenUsed/>
    <w:rsid w:val="00BF57EE"/>
    <w:rPr>
      <w:rFonts w:ascii="EC Square Sans Pro" w:hAnsi="EC Square Sans Pro"/>
      <w:i/>
      <w:iCs/>
      <w:lang w:val="nl-NL"/>
    </w:rPr>
  </w:style>
  <w:style w:type="paragraph" w:styleId="Index1">
    <w:name w:val="index 1"/>
    <w:basedOn w:val="Normal"/>
    <w:next w:val="Normal"/>
    <w:autoRedefine/>
    <w:uiPriority w:val="99"/>
    <w:semiHidden/>
    <w:unhideWhenUsed/>
    <w:rsid w:val="00BF57EE"/>
    <w:pPr>
      <w:ind w:left="200" w:hanging="200"/>
    </w:pPr>
  </w:style>
  <w:style w:type="paragraph" w:styleId="Index2">
    <w:name w:val="index 2"/>
    <w:basedOn w:val="Normal"/>
    <w:next w:val="Normal"/>
    <w:autoRedefine/>
    <w:uiPriority w:val="99"/>
    <w:semiHidden/>
    <w:unhideWhenUsed/>
    <w:rsid w:val="00BF57EE"/>
    <w:pPr>
      <w:ind w:left="400" w:hanging="200"/>
    </w:pPr>
  </w:style>
  <w:style w:type="paragraph" w:styleId="Index3">
    <w:name w:val="index 3"/>
    <w:basedOn w:val="Normal"/>
    <w:next w:val="Normal"/>
    <w:autoRedefine/>
    <w:uiPriority w:val="99"/>
    <w:semiHidden/>
    <w:unhideWhenUsed/>
    <w:rsid w:val="00BF57EE"/>
    <w:pPr>
      <w:ind w:left="600" w:hanging="200"/>
    </w:pPr>
  </w:style>
  <w:style w:type="paragraph" w:styleId="Index4">
    <w:name w:val="index 4"/>
    <w:basedOn w:val="Normal"/>
    <w:next w:val="Normal"/>
    <w:autoRedefine/>
    <w:uiPriority w:val="99"/>
    <w:semiHidden/>
    <w:unhideWhenUsed/>
    <w:rsid w:val="00BF57EE"/>
    <w:pPr>
      <w:ind w:left="800" w:hanging="200"/>
    </w:pPr>
  </w:style>
  <w:style w:type="paragraph" w:styleId="Index5">
    <w:name w:val="index 5"/>
    <w:basedOn w:val="Normal"/>
    <w:next w:val="Normal"/>
    <w:autoRedefine/>
    <w:uiPriority w:val="99"/>
    <w:semiHidden/>
    <w:unhideWhenUsed/>
    <w:rsid w:val="00BF57EE"/>
    <w:pPr>
      <w:ind w:left="1000" w:hanging="200"/>
    </w:pPr>
  </w:style>
  <w:style w:type="paragraph" w:styleId="Index6">
    <w:name w:val="index 6"/>
    <w:basedOn w:val="Normal"/>
    <w:next w:val="Normal"/>
    <w:autoRedefine/>
    <w:uiPriority w:val="99"/>
    <w:semiHidden/>
    <w:unhideWhenUsed/>
    <w:rsid w:val="00BF57EE"/>
    <w:pPr>
      <w:ind w:left="1200" w:hanging="200"/>
    </w:pPr>
  </w:style>
  <w:style w:type="paragraph" w:styleId="Index7">
    <w:name w:val="index 7"/>
    <w:basedOn w:val="Normal"/>
    <w:next w:val="Normal"/>
    <w:autoRedefine/>
    <w:uiPriority w:val="99"/>
    <w:semiHidden/>
    <w:unhideWhenUsed/>
    <w:rsid w:val="00BF57EE"/>
    <w:pPr>
      <w:ind w:left="1400" w:hanging="200"/>
    </w:pPr>
  </w:style>
  <w:style w:type="paragraph" w:styleId="Index8">
    <w:name w:val="index 8"/>
    <w:basedOn w:val="Normal"/>
    <w:next w:val="Normal"/>
    <w:autoRedefine/>
    <w:uiPriority w:val="99"/>
    <w:semiHidden/>
    <w:unhideWhenUsed/>
    <w:rsid w:val="00BF57EE"/>
    <w:pPr>
      <w:ind w:left="1600" w:hanging="200"/>
    </w:pPr>
  </w:style>
  <w:style w:type="paragraph" w:styleId="Index9">
    <w:name w:val="index 9"/>
    <w:basedOn w:val="Normal"/>
    <w:next w:val="Normal"/>
    <w:autoRedefine/>
    <w:uiPriority w:val="99"/>
    <w:semiHidden/>
    <w:unhideWhenUsed/>
    <w:rsid w:val="00BF57EE"/>
    <w:pPr>
      <w:ind w:left="1800" w:hanging="200"/>
    </w:pPr>
  </w:style>
  <w:style w:type="paragraph" w:styleId="IndexHeading">
    <w:name w:val="index heading"/>
    <w:basedOn w:val="Normal"/>
    <w:next w:val="Index1"/>
    <w:uiPriority w:val="99"/>
    <w:semiHidden/>
    <w:unhideWhenUsed/>
    <w:rsid w:val="00BF57EE"/>
    <w:rPr>
      <w:rFonts w:eastAsiaTheme="majorEastAsia" w:cstheme="majorBidi"/>
      <w:b/>
      <w:bCs/>
    </w:rPr>
  </w:style>
  <w:style w:type="character" w:styleId="LineNumber">
    <w:name w:val="line number"/>
    <w:basedOn w:val="DefaultParagraphFont"/>
    <w:uiPriority w:val="99"/>
    <w:semiHidden/>
    <w:unhideWhenUsed/>
    <w:rsid w:val="00BF57EE"/>
    <w:rPr>
      <w:rFonts w:ascii="EC Square Sans Pro" w:hAnsi="EC Square Sans Pro"/>
      <w:lang w:val="nl-NL"/>
    </w:rPr>
  </w:style>
  <w:style w:type="paragraph" w:styleId="List">
    <w:name w:val="List"/>
    <w:basedOn w:val="Normal"/>
    <w:uiPriority w:val="99"/>
    <w:semiHidden/>
    <w:unhideWhenUsed/>
    <w:rsid w:val="00BF57EE"/>
    <w:pPr>
      <w:ind w:left="283" w:hanging="283"/>
      <w:contextualSpacing/>
    </w:pPr>
  </w:style>
  <w:style w:type="paragraph" w:styleId="List2">
    <w:name w:val="List 2"/>
    <w:basedOn w:val="Normal"/>
    <w:uiPriority w:val="99"/>
    <w:semiHidden/>
    <w:unhideWhenUsed/>
    <w:rsid w:val="00BF57EE"/>
    <w:pPr>
      <w:ind w:left="566" w:hanging="283"/>
      <w:contextualSpacing/>
    </w:pPr>
  </w:style>
  <w:style w:type="paragraph" w:styleId="List3">
    <w:name w:val="List 3"/>
    <w:basedOn w:val="Normal"/>
    <w:uiPriority w:val="99"/>
    <w:semiHidden/>
    <w:unhideWhenUsed/>
    <w:rsid w:val="00BF57EE"/>
    <w:pPr>
      <w:ind w:left="849" w:hanging="283"/>
      <w:contextualSpacing/>
    </w:pPr>
  </w:style>
  <w:style w:type="paragraph" w:styleId="List4">
    <w:name w:val="List 4"/>
    <w:basedOn w:val="Normal"/>
    <w:uiPriority w:val="99"/>
    <w:semiHidden/>
    <w:unhideWhenUsed/>
    <w:rsid w:val="00BF57EE"/>
    <w:pPr>
      <w:ind w:left="1132" w:hanging="283"/>
      <w:contextualSpacing/>
    </w:pPr>
  </w:style>
  <w:style w:type="paragraph" w:styleId="List5">
    <w:name w:val="List 5"/>
    <w:basedOn w:val="Normal"/>
    <w:uiPriority w:val="99"/>
    <w:semiHidden/>
    <w:unhideWhenUsed/>
    <w:rsid w:val="00BF57EE"/>
    <w:pPr>
      <w:ind w:left="1415" w:hanging="283"/>
      <w:contextualSpacing/>
    </w:pPr>
  </w:style>
  <w:style w:type="paragraph" w:styleId="ListBullet5">
    <w:name w:val="List Bullet 5"/>
    <w:basedOn w:val="Normal"/>
    <w:uiPriority w:val="99"/>
    <w:semiHidden/>
    <w:unhideWhenUsed/>
    <w:rsid w:val="00BF57EE"/>
    <w:pPr>
      <w:numPr>
        <w:numId w:val="1"/>
      </w:numPr>
      <w:contextualSpacing/>
    </w:pPr>
  </w:style>
  <w:style w:type="paragraph" w:styleId="ListContinue">
    <w:name w:val="List Continue"/>
    <w:basedOn w:val="Normal"/>
    <w:uiPriority w:val="99"/>
    <w:semiHidden/>
    <w:unhideWhenUsed/>
    <w:rsid w:val="00BF57EE"/>
    <w:pPr>
      <w:spacing w:after="120"/>
      <w:ind w:left="283"/>
      <w:contextualSpacing/>
    </w:pPr>
  </w:style>
  <w:style w:type="paragraph" w:styleId="ListContinue2">
    <w:name w:val="List Continue 2"/>
    <w:basedOn w:val="Normal"/>
    <w:uiPriority w:val="99"/>
    <w:semiHidden/>
    <w:unhideWhenUsed/>
    <w:rsid w:val="00BF57EE"/>
    <w:pPr>
      <w:spacing w:after="120"/>
      <w:ind w:left="566"/>
      <w:contextualSpacing/>
    </w:pPr>
  </w:style>
  <w:style w:type="paragraph" w:styleId="ListContinue3">
    <w:name w:val="List Continue 3"/>
    <w:basedOn w:val="Normal"/>
    <w:uiPriority w:val="99"/>
    <w:semiHidden/>
    <w:unhideWhenUsed/>
    <w:rsid w:val="00BF57EE"/>
    <w:pPr>
      <w:spacing w:after="120"/>
      <w:ind w:left="849"/>
      <w:contextualSpacing/>
    </w:pPr>
  </w:style>
  <w:style w:type="paragraph" w:styleId="ListContinue4">
    <w:name w:val="List Continue 4"/>
    <w:basedOn w:val="Normal"/>
    <w:uiPriority w:val="99"/>
    <w:semiHidden/>
    <w:unhideWhenUsed/>
    <w:rsid w:val="00BF57EE"/>
    <w:pPr>
      <w:spacing w:after="120"/>
      <w:ind w:left="1132"/>
      <w:contextualSpacing/>
    </w:pPr>
  </w:style>
  <w:style w:type="paragraph" w:styleId="ListContinue5">
    <w:name w:val="List Continue 5"/>
    <w:basedOn w:val="Normal"/>
    <w:uiPriority w:val="99"/>
    <w:semiHidden/>
    <w:unhideWhenUsed/>
    <w:rsid w:val="00BF57EE"/>
    <w:pPr>
      <w:spacing w:after="120"/>
      <w:ind w:left="1415"/>
      <w:contextualSpacing/>
    </w:pPr>
  </w:style>
  <w:style w:type="paragraph" w:styleId="ListNumber5">
    <w:name w:val="List Number 5"/>
    <w:basedOn w:val="Normal"/>
    <w:uiPriority w:val="99"/>
    <w:semiHidden/>
    <w:unhideWhenUsed/>
    <w:rsid w:val="00BF57EE"/>
    <w:pPr>
      <w:numPr>
        <w:numId w:val="2"/>
      </w:numPr>
      <w:contextualSpacing/>
    </w:pPr>
  </w:style>
  <w:style w:type="paragraph" w:styleId="MacroText">
    <w:name w:val="macro"/>
    <w:link w:val="MacroTextChar"/>
    <w:uiPriority w:val="99"/>
    <w:semiHidden/>
    <w:unhideWhenUsed/>
    <w:rsid w:val="00BF57EE"/>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croTextChar">
    <w:name w:val="Macro Text Char"/>
    <w:basedOn w:val="DefaultParagraphFont"/>
    <w:link w:val="MacroText"/>
    <w:uiPriority w:val="99"/>
    <w:semiHidden/>
    <w:rsid w:val="00BF57EE"/>
    <w:rPr>
      <w:rFonts w:cs="Consolas"/>
      <w:lang w:val="nl-NL"/>
    </w:rPr>
  </w:style>
  <w:style w:type="paragraph" w:styleId="MessageHeader">
    <w:name w:val="Message Header"/>
    <w:basedOn w:val="Normal"/>
    <w:link w:val="MessageHeaderChar"/>
    <w:uiPriority w:val="99"/>
    <w:semiHidden/>
    <w:unhideWhenUsed/>
    <w:rsid w:val="00BF57E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BF57EE"/>
    <w:rPr>
      <w:rFonts w:eastAsiaTheme="majorEastAsia" w:cstheme="majorBidi"/>
      <w:sz w:val="24"/>
      <w:szCs w:val="24"/>
      <w:shd w:val="pct20" w:color="auto" w:fill="auto"/>
      <w:lang w:val="nl-NL"/>
    </w:rPr>
  </w:style>
  <w:style w:type="paragraph" w:styleId="NormalIndent">
    <w:name w:val="Normal Indent"/>
    <w:basedOn w:val="Normal"/>
    <w:uiPriority w:val="99"/>
    <w:semiHidden/>
    <w:unhideWhenUsed/>
    <w:rsid w:val="00BF57EE"/>
    <w:pPr>
      <w:ind w:left="720"/>
    </w:pPr>
  </w:style>
  <w:style w:type="paragraph" w:styleId="NoteHeading">
    <w:name w:val="Note Heading"/>
    <w:basedOn w:val="Normal"/>
    <w:next w:val="Normal"/>
    <w:link w:val="NoteHeadingChar"/>
    <w:uiPriority w:val="99"/>
    <w:semiHidden/>
    <w:unhideWhenUsed/>
    <w:rsid w:val="00BF57EE"/>
  </w:style>
  <w:style w:type="character" w:customStyle="1" w:styleId="NoteHeadingChar">
    <w:name w:val="Note Heading Char"/>
    <w:basedOn w:val="DefaultParagraphFont"/>
    <w:link w:val="NoteHeading"/>
    <w:uiPriority w:val="99"/>
    <w:semiHidden/>
    <w:rsid w:val="00BF57EE"/>
    <w:rPr>
      <w:lang w:val="nl-NL"/>
    </w:rPr>
  </w:style>
  <w:style w:type="character" w:styleId="PageNumber">
    <w:name w:val="page number"/>
    <w:basedOn w:val="DefaultParagraphFont"/>
    <w:unhideWhenUsed/>
    <w:rsid w:val="00BF57EE"/>
    <w:rPr>
      <w:rFonts w:ascii="EC Square Sans Pro" w:hAnsi="EC Square Sans Pro"/>
      <w:lang w:val="nl-NL"/>
    </w:rPr>
  </w:style>
  <w:style w:type="character" w:styleId="PlaceholderText">
    <w:name w:val="Placeholder Text"/>
    <w:basedOn w:val="DefaultParagraphFont"/>
    <w:uiPriority w:val="99"/>
    <w:semiHidden/>
    <w:rsid w:val="00BF57EE"/>
    <w:rPr>
      <w:rFonts w:ascii="EC Square Sans Pro" w:hAnsi="EC Square Sans Pro"/>
      <w:color w:val="808080"/>
      <w:lang w:val="nl-NL"/>
    </w:rPr>
  </w:style>
  <w:style w:type="paragraph" w:styleId="PlainText">
    <w:name w:val="Plain Text"/>
    <w:basedOn w:val="Normal"/>
    <w:link w:val="PlainTextChar"/>
    <w:uiPriority w:val="99"/>
    <w:semiHidden/>
    <w:unhideWhenUsed/>
    <w:rsid w:val="00BF57EE"/>
    <w:rPr>
      <w:rFonts w:cs="Consolas"/>
      <w:sz w:val="21"/>
      <w:szCs w:val="21"/>
    </w:rPr>
  </w:style>
  <w:style w:type="character" w:customStyle="1" w:styleId="PlainTextChar">
    <w:name w:val="Plain Text Char"/>
    <w:basedOn w:val="DefaultParagraphFont"/>
    <w:link w:val="PlainText"/>
    <w:uiPriority w:val="99"/>
    <w:semiHidden/>
    <w:rsid w:val="00BF57EE"/>
    <w:rPr>
      <w:rFonts w:cs="Consolas"/>
      <w:sz w:val="21"/>
      <w:szCs w:val="21"/>
      <w:lang w:val="nl-NL"/>
    </w:rPr>
  </w:style>
  <w:style w:type="paragraph" w:styleId="Salutation">
    <w:name w:val="Salutation"/>
    <w:basedOn w:val="Normal"/>
    <w:next w:val="Normal"/>
    <w:link w:val="SalutationChar"/>
    <w:uiPriority w:val="99"/>
    <w:semiHidden/>
    <w:unhideWhenUsed/>
    <w:rsid w:val="00BF57EE"/>
  </w:style>
  <w:style w:type="character" w:customStyle="1" w:styleId="SalutationChar">
    <w:name w:val="Salutation Char"/>
    <w:basedOn w:val="DefaultParagraphFont"/>
    <w:link w:val="Salutation"/>
    <w:uiPriority w:val="99"/>
    <w:semiHidden/>
    <w:rsid w:val="00BF57EE"/>
    <w:rPr>
      <w:lang w:val="nl-NL"/>
    </w:rPr>
  </w:style>
  <w:style w:type="paragraph" w:styleId="Signature">
    <w:name w:val="Signature"/>
    <w:link w:val="SignatureChar"/>
    <w:uiPriority w:val="99"/>
    <w:rsid w:val="00CA2ADD"/>
    <w:pPr>
      <w:spacing w:before="400"/>
      <w:contextualSpacing/>
    </w:pPr>
    <w:rPr>
      <w:sz w:val="22"/>
      <w:szCs w:val="22"/>
    </w:rPr>
  </w:style>
  <w:style w:type="character" w:customStyle="1" w:styleId="SignatureChar">
    <w:name w:val="Signature Char"/>
    <w:basedOn w:val="DefaultParagraphFont"/>
    <w:link w:val="Signature"/>
    <w:uiPriority w:val="99"/>
    <w:rsid w:val="00CA2ADD"/>
    <w:rPr>
      <w:sz w:val="22"/>
      <w:szCs w:val="22"/>
      <w:lang w:val="nl-NL"/>
    </w:rPr>
  </w:style>
  <w:style w:type="paragraph" w:styleId="TableofAuthorities">
    <w:name w:val="table of authorities"/>
    <w:basedOn w:val="Normal"/>
    <w:next w:val="Normal"/>
    <w:uiPriority w:val="99"/>
    <w:semiHidden/>
    <w:unhideWhenUsed/>
    <w:rsid w:val="00BF57EE"/>
    <w:pPr>
      <w:ind w:left="200" w:hanging="200"/>
    </w:pPr>
  </w:style>
  <w:style w:type="paragraph" w:styleId="TOAHeading">
    <w:name w:val="toa heading"/>
    <w:basedOn w:val="amprH1TITLE-noTOC"/>
    <w:next w:val="Normal"/>
    <w:uiPriority w:val="99"/>
    <w:semiHidden/>
    <w:unhideWhenUsed/>
    <w:rsid w:val="004023DA"/>
  </w:style>
  <w:style w:type="character" w:customStyle="1" w:styleId="BOLDBLUE">
    <w:name w:val="BOLD BLUE"/>
    <w:basedOn w:val="BodyTextChar"/>
    <w:uiPriority w:val="40"/>
    <w:semiHidden/>
    <w:qFormat/>
    <w:rsid w:val="004D4116"/>
    <w:rPr>
      <w:rFonts w:eastAsia="EC Square Sans Pro" w:cs="Times New Roman"/>
      <w:b/>
      <w:color w:val="215E94" w:themeColor="text2"/>
      <w:szCs w:val="21"/>
      <w:lang w:val="nl-NL" w:eastAsia="fr-BE"/>
    </w:rPr>
  </w:style>
  <w:style w:type="table" w:styleId="ListTable2-Accent2">
    <w:name w:val="List Table 2 Accent 2"/>
    <w:basedOn w:val="TableNormal"/>
    <w:uiPriority w:val="47"/>
    <w:rsid w:val="00B430F0"/>
    <w:pPr>
      <w:spacing w:after="0" w:line="240" w:lineRule="auto"/>
    </w:pPr>
    <w:tblPr>
      <w:tblStyleRowBandSize w:val="1"/>
      <w:tblStyleColBandSize w:val="1"/>
      <w:tblBorders>
        <w:top w:val="single" w:sz="4" w:space="0" w:color="61D5ED" w:themeColor="accent2" w:themeTint="99"/>
        <w:bottom w:val="single" w:sz="4" w:space="0" w:color="61D5ED" w:themeColor="accent2" w:themeTint="99"/>
        <w:insideH w:val="single" w:sz="4" w:space="0" w:color="61D5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paragraph" w:styleId="Header">
    <w:name w:val="header"/>
    <w:basedOn w:val="amprHeader-Right"/>
    <w:link w:val="HeaderChar"/>
    <w:unhideWhenUsed/>
    <w:rsid w:val="008E3AF2"/>
  </w:style>
  <w:style w:type="character" w:customStyle="1" w:styleId="HeaderChar">
    <w:name w:val="Header Char"/>
    <w:basedOn w:val="DefaultParagraphFont"/>
    <w:link w:val="Header"/>
    <w:rsid w:val="008E3AF2"/>
    <w:rPr>
      <w:rFonts w:eastAsia="EC Square Sans Pro" w:cs="Times New Roman"/>
      <w:color w:val="767676"/>
      <w:szCs w:val="21"/>
      <w:lang w:val="nl-NL" w:eastAsia="zh-CN"/>
    </w:rPr>
  </w:style>
  <w:style w:type="paragraph" w:styleId="NormalWeb">
    <w:name w:val="Normal (Web)"/>
    <w:basedOn w:val="Normal"/>
    <w:uiPriority w:val="99"/>
    <w:unhideWhenUsed/>
    <w:rsid w:val="00E901CD"/>
    <w:pPr>
      <w:spacing w:before="100" w:beforeAutospacing="1" w:after="100" w:afterAutospacing="1"/>
    </w:pPr>
    <w:rPr>
      <w:rFonts w:ascii="Times New Roman" w:eastAsia="Times New Roman" w:hAnsi="Times New Roman"/>
      <w:sz w:val="24"/>
      <w:szCs w:val="24"/>
      <w:lang w:eastAsia="en-GB"/>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BASE-STYLE-TEXT"/>
    <w:link w:val="FootnoteTextChar"/>
    <w:unhideWhenUsed/>
    <w:qFormat/>
    <w:rsid w:val="00CE0A7F"/>
    <w:pPr>
      <w:spacing w:after="0" w:line="240" w:lineRule="auto"/>
      <w:ind w:left="357" w:hanging="357"/>
      <w:jc w:val="left"/>
    </w:pPr>
    <w:rPr>
      <w:sz w:val="20"/>
      <w:szCs w:val="20"/>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qFormat/>
    <w:rsid w:val="00CE0A7F"/>
    <w:rPr>
      <w:rFonts w:eastAsia="EC Square Sans Pro" w:cs="Times New Roman"/>
      <w:color w:val="000000" w:themeColor="text1"/>
      <w:lang w:val="nl-NL" w:eastAsia="zh-CN"/>
    </w:rPr>
  </w:style>
  <w:style w:type="paragraph" w:customStyle="1" w:styleId="amprTable-ChartSOURCEandPhotoCAPTION">
    <w:name w:val="[ampr] Table-Chart SOURCE and Photo CAPTION"/>
    <w:next w:val="amprBodyText"/>
    <w:uiPriority w:val="2"/>
    <w:qFormat/>
    <w:rsid w:val="00491603"/>
    <w:pPr>
      <w:spacing w:before="40"/>
      <w:contextualSpacing/>
    </w:pPr>
    <w:rPr>
      <w:rFonts w:eastAsia="Calibri"/>
      <w:iCs/>
      <w:noProof/>
      <w:sz w:val="16"/>
      <w:szCs w:val="16"/>
      <w:lang w:eastAsia="fr-BE"/>
    </w:rPr>
  </w:style>
  <w:style w:type="table" w:customStyle="1" w:styleId="AMPR2021">
    <w:name w:val="AMPR_2021"/>
    <w:basedOn w:val="TableNormal"/>
    <w:uiPriority w:val="99"/>
    <w:rsid w:val="000046DE"/>
    <w:pPr>
      <w:spacing w:before="100" w:after="100"/>
    </w:pPr>
    <w:tblPr>
      <w:tblStyleRowBandSize w:val="1"/>
      <w:tblStyleColBandSize w:val="1"/>
      <w:tblBorders>
        <w:top w:val="single" w:sz="4" w:space="0" w:color="8C8C8C"/>
        <w:bottom w:val="single" w:sz="4" w:space="0" w:color="8C8C8C"/>
        <w:insideH w:val="single" w:sz="4" w:space="0" w:color="8C8C8C"/>
      </w:tblBorders>
    </w:tblPr>
    <w:trPr>
      <w:cantSplit/>
    </w:trPr>
    <w:tblStylePr w:type="firstRow">
      <w:pPr>
        <w:wordWrap/>
        <w:jc w:val="center"/>
      </w:pPr>
      <w:rPr>
        <w:b/>
        <w:color w:val="FFFFFF" w:themeColor="background1"/>
      </w:rPr>
      <w:tblPr/>
      <w:tcPr>
        <w:tcBorders>
          <w:top w:val="nil"/>
          <w:left w:val="nil"/>
          <w:bottom w:val="nil"/>
          <w:right w:val="nil"/>
          <w:insideH w:val="nil"/>
          <w:insideV w:val="nil"/>
          <w:tl2br w:val="nil"/>
          <w:tr2bl w:val="nil"/>
        </w:tcBorders>
        <w:shd w:val="clear" w:color="auto" w:fill="215E94" w:themeFill="text2"/>
      </w:tcPr>
    </w:tblStylePr>
    <w:tblStylePr w:type="lastRow">
      <w:rPr>
        <w:b/>
        <w:color w:val="215E94" w:themeColor="text2"/>
      </w:rPr>
      <w:tblPr/>
      <w:tcPr>
        <w:tcBorders>
          <w:bottom w:val="nil"/>
        </w:tcBorders>
        <w:shd w:val="clear" w:color="auto" w:fill="FFFFFF" w:themeFill="background1"/>
      </w:tcPr>
    </w:tblStylePr>
    <w:tblStylePr w:type="firstCol">
      <w:pPr>
        <w:wordWrap/>
        <w:spacing w:beforeLines="0" w:before="100" w:beforeAutospacing="0" w:afterLines="0" w:after="100" w:afterAutospacing="0" w:line="22" w:lineRule="atLeast"/>
        <w:contextualSpacing w:val="0"/>
        <w:jc w:val="left"/>
      </w:pPr>
      <w:rPr>
        <w:b/>
        <w:i w:val="0"/>
        <w:color w:val="109146" w:themeColor="accent1"/>
      </w:rPr>
    </w:tblStylePr>
    <w:tblStylePr w:type="lastCol">
      <w:rPr>
        <w:b/>
      </w:rPr>
    </w:tblStylePr>
    <w:tblStylePr w:type="band2Vert">
      <w:rPr>
        <w:b w:val="0"/>
      </w:rPr>
      <w:tblPr/>
      <w:tcPr>
        <w:tcBorders>
          <w:top w:val="single" w:sz="4" w:space="0" w:color="8C8C8C"/>
          <w:left w:val="nil"/>
          <w:bottom w:val="single" w:sz="4" w:space="0" w:color="8C8C8C"/>
          <w:right w:val="nil"/>
          <w:insideH w:val="single" w:sz="4" w:space="0" w:color="8C8C8C"/>
          <w:insideV w:val="nil"/>
          <w:tl2br w:val="nil"/>
          <w:tr2bl w:val="nil"/>
        </w:tcBorders>
        <w:shd w:val="clear" w:color="auto" w:fill="F2F2F2" w:themeFill="background1" w:themeFillShade="F2"/>
      </w:tcPr>
    </w:tblStylePr>
    <w:tblStylePr w:type="band1Horz">
      <w:rPr>
        <w:b w:val="0"/>
      </w:rPr>
      <w:tblPr/>
      <w:tcPr>
        <w:tcBorders>
          <w:top w:val="single" w:sz="4" w:space="0" w:color="8C8C8C"/>
          <w:left w:val="nil"/>
          <w:bottom w:val="single" w:sz="4" w:space="0" w:color="8C8C8C"/>
          <w:right w:val="nil"/>
          <w:insideH w:val="nil"/>
          <w:insideV w:val="nil"/>
          <w:tl2br w:val="nil"/>
          <w:tr2bl w:val="nil"/>
        </w:tcBorders>
      </w:tcPr>
    </w:tblStylePr>
    <w:tblStylePr w:type="band2Horz">
      <w:rPr>
        <w:b w:val="0"/>
      </w:rPr>
      <w:tblPr/>
      <w:tcPr>
        <w:tcBorders>
          <w:top w:val="single" w:sz="4" w:space="0" w:color="8C8C8C"/>
          <w:left w:val="nil"/>
          <w:bottom w:val="single" w:sz="4" w:space="0" w:color="8C8C8C"/>
          <w:right w:val="nil"/>
          <w:insideH w:val="nil"/>
          <w:insideV w:val="nil"/>
          <w:tl2br w:val="nil"/>
          <w:tr2bl w:val="nil"/>
        </w:tcBorders>
        <w:shd w:val="clear" w:color="auto" w:fill="F2F2F2" w:themeFill="background1" w:themeFillShade="F2"/>
      </w:tcPr>
    </w:tblStylePr>
  </w:style>
  <w:style w:type="numbering" w:customStyle="1" w:styleId="Style1">
    <w:name w:val="Style1"/>
    <w:uiPriority w:val="99"/>
    <w:rsid w:val="00501737"/>
    <w:pPr>
      <w:numPr>
        <w:numId w:val="3"/>
      </w:numPr>
    </w:pPr>
  </w:style>
  <w:style w:type="paragraph" w:styleId="Caption">
    <w:name w:val="caption"/>
    <w:basedOn w:val="Normal"/>
    <w:next w:val="Normal"/>
    <w:link w:val="CaptionChar"/>
    <w:unhideWhenUsed/>
    <w:qFormat/>
    <w:rsid w:val="00923F19"/>
    <w:pPr>
      <w:spacing w:before="0" w:after="200"/>
    </w:pPr>
    <w:rPr>
      <w:i/>
      <w:iCs/>
      <w:color w:val="215E94" w:themeColor="text2"/>
      <w:sz w:val="18"/>
      <w:szCs w:val="18"/>
    </w:rPr>
  </w:style>
  <w:style w:type="paragraph" w:styleId="CommentText">
    <w:name w:val="annotation text"/>
    <w:basedOn w:val="Normal"/>
    <w:link w:val="CommentTextChar"/>
    <w:uiPriority w:val="99"/>
    <w:unhideWhenUsed/>
    <w:qFormat/>
    <w:rsid w:val="00923F19"/>
  </w:style>
  <w:style w:type="character" w:customStyle="1" w:styleId="CommentTextChar">
    <w:name w:val="Comment Text Char"/>
    <w:basedOn w:val="DefaultParagraphFont"/>
    <w:link w:val="CommentText"/>
    <w:uiPriority w:val="99"/>
    <w:rsid w:val="00923F19"/>
    <w:rPr>
      <w:lang w:val="nl-NL"/>
    </w:rPr>
  </w:style>
  <w:style w:type="paragraph" w:styleId="IntenseQuote">
    <w:name w:val="Intense Quote"/>
    <w:basedOn w:val="Normal"/>
    <w:next w:val="Normal"/>
    <w:link w:val="IntenseQuoteChar"/>
    <w:uiPriority w:val="30"/>
    <w:semiHidden/>
    <w:rsid w:val="008E3AF2"/>
    <w:pPr>
      <w:keepLines/>
      <w:pBdr>
        <w:top w:val="single" w:sz="4" w:space="10" w:color="109146" w:themeColor="accent1"/>
        <w:bottom w:val="single" w:sz="4" w:space="10" w:color="109146" w:themeColor="accent1"/>
      </w:pBdr>
      <w:spacing w:before="360" w:after="360"/>
      <w:ind w:left="851" w:right="851"/>
      <w:jc w:val="center"/>
    </w:pPr>
    <w:rPr>
      <w:i/>
      <w:iCs/>
      <w:color w:val="215E94" w:themeColor="text2"/>
    </w:rPr>
  </w:style>
  <w:style w:type="character" w:customStyle="1" w:styleId="IntenseQuoteChar">
    <w:name w:val="Intense Quote Char"/>
    <w:basedOn w:val="DefaultParagraphFont"/>
    <w:link w:val="IntenseQuote"/>
    <w:uiPriority w:val="30"/>
    <w:rsid w:val="008E3AF2"/>
    <w:rPr>
      <w:i/>
      <w:iCs/>
      <w:color w:val="215E94" w:themeColor="text2"/>
      <w:lang w:val="nl-NL"/>
    </w:rPr>
  </w:style>
  <w:style w:type="paragraph" w:styleId="NoSpacing">
    <w:name w:val="No Spacing"/>
    <w:uiPriority w:val="1"/>
    <w:rsid w:val="00923F19"/>
    <w:pPr>
      <w:spacing w:before="0" w:after="0"/>
    </w:pPr>
  </w:style>
  <w:style w:type="paragraph" w:customStyle="1" w:styleId="BASE-STYLE-TEXT">
    <w:name w:val="_BASE-STYLE-TEXT"/>
    <w:next w:val="Normal"/>
    <w:uiPriority w:val="40"/>
    <w:semiHidden/>
    <w:rsid w:val="00A14612"/>
    <w:pPr>
      <w:spacing w:before="0" w:after="200"/>
      <w:jc w:val="both"/>
    </w:pPr>
    <w:rPr>
      <w:rFonts w:eastAsia="EC Square Sans Pro" w:cs="Times New Roman"/>
      <w:color w:val="000000" w:themeColor="text1"/>
      <w:sz w:val="18"/>
      <w:szCs w:val="21"/>
      <w:lang w:eastAsia="zh-CN"/>
    </w:rPr>
  </w:style>
  <w:style w:type="paragraph" w:customStyle="1" w:styleId="BASE-STYLE-HEADINGS">
    <w:name w:val="_BASE-STYLE-HEADINGS"/>
    <w:basedOn w:val="BASE-STYLE-TEXT"/>
    <w:next w:val="Normal"/>
    <w:uiPriority w:val="40"/>
    <w:semiHidden/>
    <w:rsid w:val="00A14612"/>
  </w:style>
  <w:style w:type="paragraph" w:customStyle="1" w:styleId="amprboxBLUEtext">
    <w:name w:val="[ampr box BLUE] text"/>
    <w:basedOn w:val="BASE-STYLE-TEXT"/>
    <w:uiPriority w:val="5"/>
    <w:qFormat/>
    <w:rsid w:val="00A14612"/>
    <w:pPr>
      <w:pBdr>
        <w:top w:val="single" w:sz="12" w:space="8" w:color="215E94" w:themeColor="text2"/>
        <w:left w:val="single" w:sz="12" w:space="8" w:color="215E94" w:themeColor="text2"/>
        <w:bottom w:val="single" w:sz="12" w:space="8" w:color="215E94" w:themeColor="text2"/>
        <w:right w:val="single" w:sz="12" w:space="8" w:color="215E94" w:themeColor="text2"/>
      </w:pBdr>
      <w:shd w:val="clear" w:color="auto" w:fill="215E94" w:themeFill="text2"/>
      <w:spacing w:before="240" w:after="240"/>
    </w:pPr>
    <w:rPr>
      <w:color w:val="FFFFFF" w:themeColor="background1"/>
      <w:sz w:val="20"/>
      <w:lang w:eastAsia="fr-BE"/>
    </w:rPr>
  </w:style>
  <w:style w:type="paragraph" w:customStyle="1" w:styleId="amprboxGREENdashedbulletlist">
    <w:name w:val="[ampr box GREEN dashed] bullet list"/>
    <w:basedOn w:val="amprboxGREENdashedtext"/>
    <w:uiPriority w:val="5"/>
    <w:qFormat/>
    <w:rsid w:val="00A14612"/>
    <w:pPr>
      <w:numPr>
        <w:numId w:val="7"/>
      </w:numPr>
      <w:spacing w:before="60" w:after="60"/>
      <w:ind w:left="357" w:hanging="357"/>
    </w:pPr>
  </w:style>
  <w:style w:type="paragraph" w:customStyle="1" w:styleId="amprboxGREENdashedheading">
    <w:name w:val="[ampr box GREEN dashed] heading"/>
    <w:basedOn w:val="amprboxGREENdashedtext"/>
    <w:next w:val="Normal"/>
    <w:uiPriority w:val="5"/>
    <w:qFormat/>
    <w:rsid w:val="00A14612"/>
    <w:pPr>
      <w:keepNext/>
    </w:pPr>
    <w:rPr>
      <w:b/>
      <w:color w:val="109146" w:themeColor="accent1"/>
    </w:rPr>
  </w:style>
  <w:style w:type="paragraph" w:customStyle="1" w:styleId="amprboxGREENdashedtext">
    <w:name w:val="[ampr box GREEN dashed] text"/>
    <w:basedOn w:val="BASE-STYLE-TEXT"/>
    <w:uiPriority w:val="5"/>
    <w:qFormat/>
    <w:rsid w:val="00A14612"/>
    <w:pPr>
      <w:keepLines/>
      <w:pBdr>
        <w:top w:val="dashSmallGap" w:sz="12" w:space="8" w:color="109146" w:themeColor="accent1"/>
        <w:left w:val="dashSmallGap" w:sz="12" w:space="8" w:color="109146" w:themeColor="accent1"/>
        <w:bottom w:val="dashSmallGap" w:sz="12" w:space="8" w:color="109146" w:themeColor="accent1"/>
        <w:right w:val="dashSmallGap" w:sz="12" w:space="8" w:color="109146" w:themeColor="accent1"/>
      </w:pBdr>
      <w:spacing w:before="240" w:after="240"/>
    </w:pPr>
    <w:rPr>
      <w:sz w:val="20"/>
      <w:lang w:eastAsia="fr-BE"/>
    </w:rPr>
  </w:style>
  <w:style w:type="character" w:customStyle="1" w:styleId="amprcharBoldBlue">
    <w:name w:val="[ampr char] Bold Blue"/>
    <w:qFormat/>
    <w:rsid w:val="004D4116"/>
    <w:rPr>
      <w:b/>
      <w:color w:val="215E94" w:themeColor="text2"/>
      <w:spacing w:val="1"/>
      <w:bdr w:val="none" w:sz="0" w:space="0" w:color="auto"/>
      <w:shd w:val="clear" w:color="auto" w:fill="auto"/>
      <w:lang w:val="nl-NL"/>
    </w:rPr>
  </w:style>
  <w:style w:type="numbering" w:customStyle="1" w:styleId="amprLISTblackbullets">
    <w:name w:val="[ampr LIST black]  bullets"/>
    <w:uiPriority w:val="99"/>
    <w:rsid w:val="00CE0A7F"/>
    <w:pPr>
      <w:numPr>
        <w:numId w:val="4"/>
      </w:numPr>
    </w:pPr>
  </w:style>
  <w:style w:type="paragraph" w:customStyle="1" w:styleId="amprLISTblackbullets-L1">
    <w:name w:val="[ampr LIST black] bullets - L1"/>
    <w:basedOn w:val="BASE-STYLE-TEXT"/>
    <w:uiPriority w:val="5"/>
    <w:qFormat/>
    <w:rsid w:val="00A14612"/>
    <w:pPr>
      <w:numPr>
        <w:numId w:val="5"/>
      </w:numPr>
      <w:spacing w:before="60" w:after="60"/>
    </w:pPr>
    <w:rPr>
      <w:sz w:val="20"/>
      <w:lang w:eastAsia="fr-BE"/>
    </w:rPr>
  </w:style>
  <w:style w:type="paragraph" w:customStyle="1" w:styleId="amprLISTblackbullets-L2">
    <w:name w:val="[ampr LIST black] bullets - L2"/>
    <w:basedOn w:val="BASE-STYLE-TEXT"/>
    <w:uiPriority w:val="5"/>
    <w:qFormat/>
    <w:rsid w:val="00A14612"/>
    <w:pPr>
      <w:numPr>
        <w:ilvl w:val="1"/>
        <w:numId w:val="5"/>
      </w:numPr>
      <w:spacing w:before="60" w:after="60"/>
      <w:ind w:left="1434" w:hanging="357"/>
    </w:pPr>
    <w:rPr>
      <w:sz w:val="20"/>
      <w:lang w:eastAsia="fr-BE"/>
    </w:rPr>
  </w:style>
  <w:style w:type="numbering" w:customStyle="1" w:styleId="amprLISTgreenbullets">
    <w:name w:val="[ampr LIST green] bullets"/>
    <w:uiPriority w:val="99"/>
    <w:rsid w:val="00CE0A7F"/>
    <w:pPr>
      <w:numPr>
        <w:numId w:val="6"/>
      </w:numPr>
    </w:pPr>
  </w:style>
  <w:style w:type="paragraph" w:customStyle="1" w:styleId="amprLISTgreenbullets-L1">
    <w:name w:val="[ampr LIST green] bullets - L1"/>
    <w:basedOn w:val="BASE-STYLE-TEXT"/>
    <w:uiPriority w:val="5"/>
    <w:qFormat/>
    <w:rsid w:val="00A14612"/>
    <w:pPr>
      <w:numPr>
        <w:numId w:val="11"/>
      </w:numPr>
      <w:spacing w:before="60" w:after="60"/>
    </w:pPr>
    <w:rPr>
      <w:sz w:val="20"/>
      <w:lang w:eastAsia="fr-BE"/>
    </w:rPr>
  </w:style>
  <w:style w:type="paragraph" w:customStyle="1" w:styleId="amprLISTgreenbullets-L1consecutiveparagraph">
    <w:name w:val="[ampr LIST green] bullets - L1 (consecutive paragraph)"/>
    <w:basedOn w:val="amprLISTgreenbullets-L1"/>
    <w:uiPriority w:val="5"/>
    <w:qFormat/>
    <w:rsid w:val="007F3983"/>
    <w:pPr>
      <w:numPr>
        <w:numId w:val="0"/>
      </w:numPr>
      <w:ind w:left="720"/>
    </w:pPr>
  </w:style>
  <w:style w:type="paragraph" w:customStyle="1" w:styleId="amprLISTgreenbullets-L2">
    <w:name w:val="[ampr LIST green] bullets - L2"/>
    <w:basedOn w:val="BASE-STYLE-TEXT"/>
    <w:uiPriority w:val="5"/>
    <w:qFormat/>
    <w:rsid w:val="00A14612"/>
    <w:pPr>
      <w:numPr>
        <w:ilvl w:val="1"/>
        <w:numId w:val="11"/>
      </w:numPr>
      <w:spacing w:before="60" w:after="60"/>
      <w:ind w:left="1434" w:hanging="357"/>
    </w:pPr>
    <w:rPr>
      <w:sz w:val="20"/>
      <w:lang w:eastAsia="fr-BE"/>
    </w:rPr>
  </w:style>
  <w:style w:type="paragraph" w:customStyle="1" w:styleId="OPcomment">
    <w:name w:val="OP comment"/>
    <w:uiPriority w:val="89"/>
    <w:semiHidden/>
    <w:qFormat/>
    <w:rsid w:val="000D37DA"/>
    <w:pPr>
      <w:pBdr>
        <w:top w:val="single" w:sz="48" w:space="31" w:color="595959" w:themeColor="text1" w:themeTint="A6"/>
        <w:left w:val="single" w:sz="48" w:space="31" w:color="595959" w:themeColor="text1" w:themeTint="A6"/>
        <w:bottom w:val="single" w:sz="48" w:space="31" w:color="595959" w:themeColor="text1" w:themeTint="A6"/>
        <w:right w:val="single" w:sz="48" w:space="31" w:color="595959" w:themeColor="text1" w:themeTint="A6"/>
      </w:pBdr>
      <w:shd w:val="clear" w:color="auto" w:fill="595959" w:themeFill="text1" w:themeFillTint="A6"/>
      <w:spacing w:before="0" w:line="288" w:lineRule="auto"/>
      <w:ind w:left="-660" w:right="-680"/>
    </w:pPr>
    <w:rPr>
      <w:rFonts w:cs="Arial"/>
      <w:color w:val="FFFFFF"/>
      <w:sz w:val="24"/>
    </w:rPr>
  </w:style>
  <w:style w:type="paragraph" w:customStyle="1" w:styleId="amprBodyText">
    <w:name w:val="[ampr] Body Text"/>
    <w:basedOn w:val="BASE-STYLE-TEXT"/>
    <w:uiPriority w:val="1"/>
    <w:qFormat/>
    <w:rsid w:val="00A14612"/>
    <w:pPr>
      <w:spacing w:before="240" w:after="240"/>
      <w:jc w:val="left"/>
    </w:pPr>
    <w:rPr>
      <w:color w:val="auto"/>
      <w:sz w:val="20"/>
    </w:rPr>
  </w:style>
  <w:style w:type="paragraph" w:customStyle="1" w:styleId="amprTable-ChartTITLE">
    <w:name w:val="[ampr] Table-Chart TITLE"/>
    <w:basedOn w:val="BASE-STYLE-TEXT"/>
    <w:next w:val="amprTable-ChartSOURCEandPhotoCAPTION"/>
    <w:uiPriority w:val="2"/>
    <w:qFormat/>
    <w:rsid w:val="00CE0A7F"/>
    <w:pPr>
      <w:spacing w:before="40" w:after="0" w:line="240" w:lineRule="auto"/>
      <w:jc w:val="left"/>
    </w:pPr>
    <w:rPr>
      <w:rFonts w:ascii="EC Square Sans Cond Pro Medium" w:eastAsia="Calibri" w:hAnsi="EC Square Sans Cond Pro Medium"/>
      <w:color w:val="auto"/>
      <w:sz w:val="16"/>
      <w:szCs w:val="16"/>
      <w:lang w:eastAsia="fr-BE"/>
    </w:rPr>
  </w:style>
  <w:style w:type="paragraph" w:customStyle="1" w:styleId="amprFooter-Left">
    <w:name w:val="[ampr] Footer - Left"/>
    <w:basedOn w:val="BASE-STYLE-TEXT"/>
    <w:next w:val="amprBodyText"/>
    <w:uiPriority w:val="10"/>
    <w:qFormat/>
    <w:rsid w:val="00CE0A7F"/>
    <w:pPr>
      <w:spacing w:after="0" w:line="240" w:lineRule="auto"/>
      <w:jc w:val="left"/>
    </w:pPr>
    <w:rPr>
      <w:color w:val="auto"/>
      <w:sz w:val="20"/>
    </w:rPr>
  </w:style>
  <w:style w:type="paragraph" w:customStyle="1" w:styleId="amprFooter-Right">
    <w:name w:val="[ampr] Footer - Right"/>
    <w:basedOn w:val="BASE-STYLE-TEXT"/>
    <w:next w:val="amprBodyText"/>
    <w:uiPriority w:val="10"/>
    <w:qFormat/>
    <w:rsid w:val="00CE0A7F"/>
    <w:pPr>
      <w:spacing w:after="0" w:line="240" w:lineRule="auto"/>
      <w:jc w:val="right"/>
    </w:pPr>
    <w:rPr>
      <w:color w:val="auto"/>
      <w:sz w:val="20"/>
    </w:rPr>
  </w:style>
  <w:style w:type="paragraph" w:customStyle="1" w:styleId="amprHeader-Left">
    <w:name w:val="[ampr] Header - Left"/>
    <w:basedOn w:val="BASE-STYLE-TEXT"/>
    <w:next w:val="amprBodyText"/>
    <w:uiPriority w:val="10"/>
    <w:qFormat/>
    <w:rsid w:val="00952AA2"/>
    <w:pPr>
      <w:spacing w:after="0" w:line="240" w:lineRule="auto"/>
      <w:jc w:val="left"/>
    </w:pPr>
    <w:rPr>
      <w:color w:val="767676"/>
      <w:sz w:val="20"/>
    </w:rPr>
  </w:style>
  <w:style w:type="paragraph" w:customStyle="1" w:styleId="amprHeader-Right">
    <w:name w:val="[ampr] Header - Right"/>
    <w:basedOn w:val="BASE-STYLE-TEXT"/>
    <w:next w:val="amprBodyText"/>
    <w:uiPriority w:val="10"/>
    <w:qFormat/>
    <w:rsid w:val="00952AA2"/>
    <w:pPr>
      <w:spacing w:after="0" w:line="240" w:lineRule="auto"/>
      <w:jc w:val="right"/>
    </w:pPr>
    <w:rPr>
      <w:color w:val="767676"/>
      <w:sz w:val="20"/>
    </w:rPr>
  </w:style>
  <w:style w:type="paragraph" w:customStyle="1" w:styleId="amprImageplaceholder">
    <w:name w:val="[ampr] Image placeholder"/>
    <w:next w:val="amprBodyText"/>
    <w:uiPriority w:val="2"/>
    <w:qFormat/>
    <w:rsid w:val="00FD377F"/>
    <w:pPr>
      <w:spacing w:after="40" w:line="240" w:lineRule="auto"/>
      <w:jc w:val="center"/>
    </w:pPr>
    <w:rPr>
      <w:rFonts w:eastAsia="EC Square Sans Pro" w:cs="Times New Roman"/>
      <w:szCs w:val="21"/>
      <w:lang w:eastAsia="zh-CN"/>
    </w:rPr>
  </w:style>
  <w:style w:type="paragraph" w:customStyle="1" w:styleId="amprH4Subhead1">
    <w:name w:val="[ampr H4] Subhead 1"/>
    <w:basedOn w:val="BASE-STYLE-HEADINGS"/>
    <w:next w:val="amprBodyText"/>
    <w:uiPriority w:val="9"/>
    <w:qFormat/>
    <w:rsid w:val="00A14612"/>
    <w:pPr>
      <w:keepNext/>
      <w:keepLines/>
      <w:suppressAutoHyphens/>
      <w:spacing w:before="480" w:after="240"/>
      <w:jc w:val="left"/>
      <w:outlineLvl w:val="3"/>
    </w:pPr>
    <w:rPr>
      <w:color w:val="215E94" w:themeColor="text2"/>
      <w:sz w:val="28"/>
    </w:rPr>
  </w:style>
  <w:style w:type="paragraph" w:customStyle="1" w:styleId="amprH5Subhead2">
    <w:name w:val="[ampr H5] Subhead 2"/>
    <w:basedOn w:val="BASE-STYLE-HEADINGS"/>
    <w:next w:val="amprBodyText"/>
    <w:uiPriority w:val="9"/>
    <w:qFormat/>
    <w:rsid w:val="00A14612"/>
    <w:pPr>
      <w:keepNext/>
      <w:keepLines/>
      <w:suppressAutoHyphens/>
      <w:spacing w:before="480" w:after="240"/>
      <w:jc w:val="left"/>
      <w:outlineLvl w:val="4"/>
    </w:pPr>
    <w:rPr>
      <w:b/>
      <w:color w:val="215E94" w:themeColor="text2"/>
      <w:sz w:val="24"/>
    </w:rPr>
  </w:style>
  <w:style w:type="paragraph" w:customStyle="1" w:styleId="amprH6Subhead3">
    <w:name w:val="[ampr H6] Subhead 3"/>
    <w:basedOn w:val="BASE-STYLE-HEADINGS"/>
    <w:next w:val="amprBodyText"/>
    <w:uiPriority w:val="9"/>
    <w:qFormat/>
    <w:rsid w:val="00A14612"/>
    <w:pPr>
      <w:keepNext/>
      <w:keepLines/>
      <w:suppressAutoHyphens/>
      <w:spacing w:before="240" w:after="240"/>
      <w:ind w:left="340"/>
      <w:jc w:val="left"/>
      <w:outlineLvl w:val="5"/>
    </w:pPr>
    <w:rPr>
      <w:b/>
      <w:color w:val="109146" w:themeColor="accent1"/>
      <w:sz w:val="24"/>
      <w14:textOutline w14:w="9525" w14:cap="rnd" w14:cmpd="sng" w14:algn="ctr">
        <w14:noFill/>
        <w14:prstDash w14:val="solid"/>
        <w14:bevel/>
      </w14:textOutline>
    </w:rPr>
  </w:style>
  <w:style w:type="paragraph" w:customStyle="1" w:styleId="amprH2TITLE1">
    <w:name w:val="[ampr H2] TITLE 1"/>
    <w:basedOn w:val="BASE-STYLE-HEADINGS"/>
    <w:next w:val="amprBodyText"/>
    <w:uiPriority w:val="9"/>
    <w:qFormat/>
    <w:rsid w:val="00A548B2"/>
    <w:pPr>
      <w:keepNext/>
      <w:keepLines/>
      <w:pageBreakBefore/>
      <w:suppressAutoHyphens/>
      <w:spacing w:after="720"/>
      <w:jc w:val="left"/>
      <w:outlineLvl w:val="1"/>
    </w:pPr>
    <w:rPr>
      <w:color w:val="215E94" w:themeColor="text2"/>
      <w:sz w:val="48"/>
    </w:rPr>
  </w:style>
  <w:style w:type="paragraph" w:customStyle="1" w:styleId="amprH1TITLE-noTOC">
    <w:name w:val="[ampr H1] TITLE - noTOC"/>
    <w:basedOn w:val="amprH2TITLE1"/>
    <w:next w:val="amprBodyText"/>
    <w:uiPriority w:val="9"/>
    <w:qFormat/>
    <w:rsid w:val="00B64020"/>
    <w:pPr>
      <w:spacing w:after="480"/>
      <w:outlineLvl w:val="0"/>
    </w:pPr>
  </w:style>
  <w:style w:type="paragraph" w:customStyle="1" w:styleId="amprH3Title2">
    <w:name w:val="[ampr H3] Title 2"/>
    <w:basedOn w:val="BASE-STYLE-HEADINGS"/>
    <w:next w:val="amprBodyText"/>
    <w:uiPriority w:val="9"/>
    <w:qFormat/>
    <w:rsid w:val="00A14612"/>
    <w:pPr>
      <w:keepNext/>
      <w:keepLines/>
      <w:pBdr>
        <w:bottom w:val="single" w:sz="6" w:space="1" w:color="92D050"/>
      </w:pBdr>
      <w:suppressAutoHyphens/>
      <w:spacing w:before="480" w:after="240"/>
      <w:jc w:val="left"/>
      <w:outlineLvl w:val="2"/>
    </w:pPr>
    <w:rPr>
      <w:b/>
      <w:color w:val="215E94" w:themeColor="text2"/>
      <w:sz w:val="28"/>
    </w:rPr>
  </w:style>
  <w:style w:type="paragraph" w:customStyle="1" w:styleId="amprH4Subhead1-Numbered-111">
    <w:name w:val="[ampr H4] Subhead 1 - Numbered - 1.1.1."/>
    <w:basedOn w:val="amprH4Subhead1"/>
    <w:next w:val="amprBodyText"/>
    <w:uiPriority w:val="9"/>
    <w:qFormat/>
    <w:rsid w:val="005E5DAB"/>
    <w:pPr>
      <w:numPr>
        <w:ilvl w:val="2"/>
        <w:numId w:val="13"/>
      </w:numPr>
    </w:pPr>
  </w:style>
  <w:style w:type="paragraph" w:customStyle="1" w:styleId="Hidelastparagraphafterthetable">
    <w:name w:val="_Hide last paragraph after the table"/>
    <w:next w:val="Normal"/>
    <w:uiPriority w:val="11"/>
    <w:rsid w:val="00CE0A7F"/>
    <w:pPr>
      <w:widowControl w:val="0"/>
      <w:spacing w:before="0" w:after="0" w:line="20" w:lineRule="exact"/>
    </w:pPr>
    <w:rPr>
      <w:rFonts w:asciiTheme="minorHAnsi" w:eastAsiaTheme="minorEastAsia" w:hAnsiTheme="minorHAnsi"/>
      <w:vanish/>
      <w:sz w:val="2"/>
      <w:szCs w:val="2"/>
    </w:rPr>
  </w:style>
  <w:style w:type="numbering" w:styleId="111111">
    <w:name w:val="Outline List 2"/>
    <w:basedOn w:val="NoList"/>
    <w:uiPriority w:val="99"/>
    <w:semiHidden/>
    <w:unhideWhenUsed/>
    <w:rsid w:val="00CE0A7F"/>
    <w:pPr>
      <w:numPr>
        <w:numId w:val="8"/>
      </w:numPr>
    </w:pPr>
  </w:style>
  <w:style w:type="numbering" w:styleId="1ai">
    <w:name w:val="Outline List 1"/>
    <w:basedOn w:val="NoList"/>
    <w:uiPriority w:val="99"/>
    <w:semiHidden/>
    <w:unhideWhenUsed/>
    <w:rsid w:val="00CE0A7F"/>
    <w:pPr>
      <w:numPr>
        <w:numId w:val="9"/>
      </w:numPr>
    </w:pPr>
  </w:style>
  <w:style w:type="numbering" w:styleId="ArticleSection">
    <w:name w:val="Outline List 3"/>
    <w:basedOn w:val="NoList"/>
    <w:uiPriority w:val="99"/>
    <w:semiHidden/>
    <w:unhideWhenUsed/>
    <w:rsid w:val="00CE0A7F"/>
    <w:pPr>
      <w:numPr>
        <w:numId w:val="10"/>
      </w:numPr>
    </w:pPr>
  </w:style>
  <w:style w:type="character" w:styleId="BookTitle">
    <w:name w:val="Book Title"/>
    <w:basedOn w:val="DefaultParagraphFont"/>
    <w:uiPriority w:val="33"/>
    <w:semiHidden/>
    <w:rsid w:val="00CE0A7F"/>
    <w:rPr>
      <w:b/>
      <w:bCs/>
      <w:i/>
      <w:iCs/>
      <w:spacing w:val="5"/>
      <w:lang w:val="nl-NL"/>
    </w:rPr>
  </w:style>
  <w:style w:type="table" w:styleId="ColorfulGrid">
    <w:name w:val="Colorful Grid"/>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FF8D7" w:themeFill="accent1" w:themeFillTint="33"/>
    </w:tcPr>
    <w:tblStylePr w:type="firstRow">
      <w:rPr>
        <w:b/>
        <w:bCs/>
      </w:rPr>
      <w:tblPr/>
      <w:tcPr>
        <w:shd w:val="clear" w:color="auto" w:fill="81F1AF" w:themeFill="accent1" w:themeFillTint="66"/>
      </w:tcPr>
    </w:tblStylePr>
    <w:tblStylePr w:type="lastRow">
      <w:rPr>
        <w:b/>
        <w:bCs/>
        <w:color w:val="000000" w:themeColor="text1"/>
      </w:rPr>
      <w:tblPr/>
      <w:tcPr>
        <w:shd w:val="clear" w:color="auto" w:fill="81F1AF" w:themeFill="accent1" w:themeFillTint="66"/>
      </w:tcPr>
    </w:tblStylePr>
    <w:tblStylePr w:type="firstCol">
      <w:rPr>
        <w:color w:val="FFFFFF" w:themeColor="background1"/>
      </w:rPr>
      <w:tblPr/>
      <w:tcPr>
        <w:shd w:val="clear" w:color="auto" w:fill="0C6C34" w:themeFill="accent1" w:themeFillShade="BF"/>
      </w:tcPr>
    </w:tblStylePr>
    <w:tblStylePr w:type="lastCol">
      <w:rPr>
        <w:color w:val="FFFFFF" w:themeColor="background1"/>
      </w:rPr>
      <w:tblPr/>
      <w:tcPr>
        <w:shd w:val="clear" w:color="auto" w:fill="0C6C34" w:themeFill="accent1" w:themeFillShade="BF"/>
      </w:tcPr>
    </w:tblStylePr>
    <w:tblStylePr w:type="band1Vert">
      <w:tblPr/>
      <w:tcPr>
        <w:shd w:val="clear" w:color="auto" w:fill="62ED9C" w:themeFill="accent1" w:themeFillTint="7F"/>
      </w:tcPr>
    </w:tblStylePr>
    <w:tblStylePr w:type="band1Horz">
      <w:tblPr/>
      <w:tcPr>
        <w:shd w:val="clear" w:color="auto" w:fill="62ED9C" w:themeFill="accent1" w:themeFillTint="7F"/>
      </w:tcPr>
    </w:tblStylePr>
  </w:style>
  <w:style w:type="table" w:styleId="ColorfulGrid-Accent2">
    <w:name w:val="Colorful Grid Accent 2"/>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AF1F9" w:themeFill="accent2" w:themeFillTint="33"/>
    </w:tcPr>
    <w:tblStylePr w:type="firstRow">
      <w:rPr>
        <w:b/>
        <w:bCs/>
      </w:rPr>
      <w:tblPr/>
      <w:tcPr>
        <w:shd w:val="clear" w:color="auto" w:fill="95E3F3" w:themeFill="accent2" w:themeFillTint="66"/>
      </w:tcPr>
    </w:tblStylePr>
    <w:tblStylePr w:type="lastRow">
      <w:rPr>
        <w:b/>
        <w:bCs/>
        <w:color w:val="000000" w:themeColor="text1"/>
      </w:rPr>
      <w:tblPr/>
      <w:tcPr>
        <w:shd w:val="clear" w:color="auto" w:fill="95E3F3" w:themeFill="accent2" w:themeFillTint="66"/>
      </w:tcPr>
    </w:tblStylePr>
    <w:tblStylePr w:type="firstCol">
      <w:rPr>
        <w:color w:val="FFFFFF" w:themeColor="background1"/>
      </w:rPr>
      <w:tblPr/>
      <w:tcPr>
        <w:shd w:val="clear" w:color="auto" w:fill="107C92" w:themeFill="accent2" w:themeFillShade="BF"/>
      </w:tcPr>
    </w:tblStylePr>
    <w:tblStylePr w:type="lastCol">
      <w:rPr>
        <w:color w:val="FFFFFF" w:themeColor="background1"/>
      </w:rPr>
      <w:tblPr/>
      <w:tcPr>
        <w:shd w:val="clear" w:color="auto" w:fill="107C92" w:themeFill="accent2" w:themeFillShade="BF"/>
      </w:tcPr>
    </w:tblStylePr>
    <w:tblStylePr w:type="band1Vert">
      <w:tblPr/>
      <w:tcPr>
        <w:shd w:val="clear" w:color="auto" w:fill="7CDCF0" w:themeFill="accent2" w:themeFillTint="7F"/>
      </w:tcPr>
    </w:tblStylePr>
    <w:tblStylePr w:type="band1Horz">
      <w:tblPr/>
      <w:tcPr>
        <w:shd w:val="clear" w:color="auto" w:fill="7CDCF0" w:themeFill="accent2" w:themeFillTint="7F"/>
      </w:tcPr>
    </w:tblStylePr>
  </w:style>
  <w:style w:type="table" w:styleId="ColorfulGrid-Accent3">
    <w:name w:val="Colorful Grid Accent 3"/>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0D1" w:themeFill="accent3" w:themeFillTint="33"/>
    </w:tcPr>
    <w:tblStylePr w:type="firstRow">
      <w:rPr>
        <w:b/>
        <w:bCs/>
      </w:rPr>
      <w:tblPr/>
      <w:tcPr>
        <w:shd w:val="clear" w:color="auto" w:fill="ECC1A4" w:themeFill="accent3" w:themeFillTint="66"/>
      </w:tcPr>
    </w:tblStylePr>
    <w:tblStylePr w:type="lastRow">
      <w:rPr>
        <w:b/>
        <w:bCs/>
        <w:color w:val="000000" w:themeColor="text1"/>
      </w:rPr>
      <w:tblPr/>
      <w:tcPr>
        <w:shd w:val="clear" w:color="auto" w:fill="ECC1A4" w:themeFill="accent3" w:themeFillTint="66"/>
      </w:tcPr>
    </w:tblStylePr>
    <w:tblStylePr w:type="firstCol">
      <w:rPr>
        <w:color w:val="FFFFFF" w:themeColor="background1"/>
      </w:rPr>
      <w:tblPr/>
      <w:tcPr>
        <w:shd w:val="clear" w:color="auto" w:fill="934D1E" w:themeFill="accent3" w:themeFillShade="BF"/>
      </w:tcPr>
    </w:tblStylePr>
    <w:tblStylePr w:type="lastCol">
      <w:rPr>
        <w:color w:val="FFFFFF" w:themeColor="background1"/>
      </w:rPr>
      <w:tblPr/>
      <w:tcPr>
        <w:shd w:val="clear" w:color="auto" w:fill="934D1E" w:themeFill="accent3" w:themeFillShade="BF"/>
      </w:tcPr>
    </w:tblStylePr>
    <w:tblStylePr w:type="band1Vert">
      <w:tblPr/>
      <w:tcPr>
        <w:shd w:val="clear" w:color="auto" w:fill="E7B28E" w:themeFill="accent3" w:themeFillTint="7F"/>
      </w:tcPr>
    </w:tblStylePr>
    <w:tblStylePr w:type="band1Horz">
      <w:tblPr/>
      <w:tcPr>
        <w:shd w:val="clear" w:color="auto" w:fill="E7B28E" w:themeFill="accent3" w:themeFillTint="7F"/>
      </w:tcPr>
    </w:tblStylePr>
  </w:style>
  <w:style w:type="table" w:styleId="ColorfulGrid-Accent4">
    <w:name w:val="Colorful Grid Accent 4"/>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6CCE5" w:themeFill="accent4" w:themeFillTint="33"/>
    </w:tcPr>
    <w:tblStylePr w:type="firstRow">
      <w:rPr>
        <w:b/>
        <w:bCs/>
      </w:rPr>
      <w:tblPr/>
      <w:tcPr>
        <w:shd w:val="clear" w:color="auto" w:fill="ED99CB" w:themeFill="accent4" w:themeFillTint="66"/>
      </w:tcPr>
    </w:tblStylePr>
    <w:tblStylePr w:type="lastRow">
      <w:rPr>
        <w:b/>
        <w:bCs/>
        <w:color w:val="000000" w:themeColor="text1"/>
      </w:rPr>
      <w:tblPr/>
      <w:tcPr>
        <w:shd w:val="clear" w:color="auto" w:fill="ED99CB" w:themeFill="accent4" w:themeFillTint="66"/>
      </w:tcPr>
    </w:tblStylePr>
    <w:tblStylePr w:type="firstCol">
      <w:rPr>
        <w:color w:val="FFFFFF" w:themeColor="background1"/>
      </w:rPr>
      <w:tblPr/>
      <w:tcPr>
        <w:shd w:val="clear" w:color="auto" w:fill="88175A" w:themeFill="accent4" w:themeFillShade="BF"/>
      </w:tcPr>
    </w:tblStylePr>
    <w:tblStylePr w:type="lastCol">
      <w:rPr>
        <w:color w:val="FFFFFF" w:themeColor="background1"/>
      </w:rPr>
      <w:tblPr/>
      <w:tcPr>
        <w:shd w:val="clear" w:color="auto" w:fill="88175A" w:themeFill="accent4" w:themeFillShade="BF"/>
      </w:tcPr>
    </w:tblStylePr>
    <w:tblStylePr w:type="band1Vert">
      <w:tblPr/>
      <w:tcPr>
        <w:shd w:val="clear" w:color="auto" w:fill="E980BF" w:themeFill="accent4" w:themeFillTint="7F"/>
      </w:tcPr>
    </w:tblStylePr>
    <w:tblStylePr w:type="band1Horz">
      <w:tblPr/>
      <w:tcPr>
        <w:shd w:val="clear" w:color="auto" w:fill="E980BF" w:themeFill="accent4" w:themeFillTint="7F"/>
      </w:tcPr>
    </w:tblStylePr>
  </w:style>
  <w:style w:type="table" w:styleId="ColorfulGrid-Accent5">
    <w:name w:val="Colorful Grid Accent 5"/>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CE0A7F"/>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6" w:themeFillTint="33"/>
    </w:tcPr>
    <w:tblStylePr w:type="firstRow">
      <w:rPr>
        <w:b/>
        <w:bCs/>
      </w:rPr>
      <w:tblPr/>
      <w:tcPr>
        <w:shd w:val="clear" w:color="auto" w:fill="FFE599" w:themeFill="accent6" w:themeFillTint="66"/>
      </w:tcPr>
    </w:tblStylePr>
    <w:tblStylePr w:type="lastRow">
      <w:rPr>
        <w:b/>
        <w:bCs/>
        <w:color w:val="000000" w:themeColor="text1"/>
      </w:rPr>
      <w:tblPr/>
      <w:tcPr>
        <w:shd w:val="clear" w:color="auto" w:fill="FFE599" w:themeFill="accent6" w:themeFillTint="66"/>
      </w:tcPr>
    </w:tblStylePr>
    <w:tblStylePr w:type="firstCol">
      <w:rPr>
        <w:color w:val="FFFFFF" w:themeColor="background1"/>
      </w:rPr>
      <w:tblPr/>
      <w:tcPr>
        <w:shd w:val="clear" w:color="auto" w:fill="BF8F00" w:themeFill="accent6" w:themeFillShade="BF"/>
      </w:tcPr>
    </w:tblStylePr>
    <w:tblStylePr w:type="lastCol">
      <w:rPr>
        <w:color w:val="FFFFFF" w:themeColor="background1"/>
      </w:rPr>
      <w:tblPr/>
      <w:tcPr>
        <w:shd w:val="clear" w:color="auto" w:fill="BF8F00" w:themeFill="accent6" w:themeFillShade="BF"/>
      </w:tc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ColorfulList">
    <w:name w:val="Colorful List"/>
    <w:basedOn w:val="TableNormal"/>
    <w:uiPriority w:val="72"/>
    <w:semiHidden/>
    <w:unhideWhenUsed/>
    <w:rsid w:val="00CE0A7F"/>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1859C" w:themeFill="accent2" w:themeFillShade="CC"/>
      </w:tcPr>
    </w:tblStylePr>
    <w:tblStylePr w:type="lastRow">
      <w:rPr>
        <w:b/>
        <w:bCs/>
        <w:color w:val="1185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E0A7F"/>
    <w:pPr>
      <w:spacing w:before="0" w:after="0"/>
    </w:pPr>
    <w:rPr>
      <w:color w:val="000000" w:themeColor="text1"/>
    </w:rPr>
    <w:tblPr>
      <w:tblStyleRowBandSize w:val="1"/>
      <w:tblStyleColBandSize w:val="1"/>
    </w:tblPr>
    <w:tcPr>
      <w:shd w:val="clear" w:color="auto" w:fill="E0FBEB" w:themeFill="accent1" w:themeFillTint="19"/>
    </w:tcPr>
    <w:tblStylePr w:type="firstRow">
      <w:rPr>
        <w:b/>
        <w:bCs/>
        <w:color w:val="FFFFFF" w:themeColor="background1"/>
      </w:rPr>
      <w:tblPr/>
      <w:tcPr>
        <w:tcBorders>
          <w:bottom w:val="single" w:sz="12" w:space="0" w:color="FFFFFF" w:themeColor="background1"/>
        </w:tcBorders>
        <w:shd w:val="clear" w:color="auto" w:fill="11859C" w:themeFill="accent2" w:themeFillShade="CC"/>
      </w:tcPr>
    </w:tblStylePr>
    <w:tblStylePr w:type="lastRow">
      <w:rPr>
        <w:b/>
        <w:bCs/>
        <w:color w:val="1185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6CD" w:themeFill="accent1" w:themeFillTint="3F"/>
      </w:tcPr>
    </w:tblStylePr>
    <w:tblStylePr w:type="band1Horz">
      <w:tblPr/>
      <w:tcPr>
        <w:shd w:val="clear" w:color="auto" w:fill="BFF8D7" w:themeFill="accent1" w:themeFillTint="33"/>
      </w:tcPr>
    </w:tblStylePr>
  </w:style>
  <w:style w:type="table" w:styleId="ColorfulList-Accent2">
    <w:name w:val="Colorful List Accent 2"/>
    <w:basedOn w:val="TableNormal"/>
    <w:uiPriority w:val="72"/>
    <w:semiHidden/>
    <w:unhideWhenUsed/>
    <w:rsid w:val="00CE0A7F"/>
    <w:pPr>
      <w:spacing w:before="0" w:after="0"/>
    </w:pPr>
    <w:rPr>
      <w:color w:val="000000" w:themeColor="text1"/>
    </w:rPr>
    <w:tblPr>
      <w:tblStyleRowBandSize w:val="1"/>
      <w:tblStyleColBandSize w:val="1"/>
    </w:tblPr>
    <w:tcPr>
      <w:shd w:val="clear" w:color="auto" w:fill="E5F8FC" w:themeFill="accent2" w:themeFillTint="19"/>
    </w:tcPr>
    <w:tblStylePr w:type="firstRow">
      <w:rPr>
        <w:b/>
        <w:bCs/>
        <w:color w:val="FFFFFF" w:themeColor="background1"/>
      </w:rPr>
      <w:tblPr/>
      <w:tcPr>
        <w:tcBorders>
          <w:bottom w:val="single" w:sz="12" w:space="0" w:color="FFFFFF" w:themeColor="background1"/>
        </w:tcBorders>
        <w:shd w:val="clear" w:color="auto" w:fill="11859C" w:themeFill="accent2" w:themeFillShade="CC"/>
      </w:tcPr>
    </w:tblStylePr>
    <w:tblStylePr w:type="lastRow">
      <w:rPr>
        <w:b/>
        <w:bCs/>
        <w:color w:val="1185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EF7" w:themeFill="accent2" w:themeFillTint="3F"/>
      </w:tcPr>
    </w:tblStylePr>
    <w:tblStylePr w:type="band1Horz">
      <w:tblPr/>
      <w:tcPr>
        <w:shd w:val="clear" w:color="auto" w:fill="CAF1F9" w:themeFill="accent2" w:themeFillTint="33"/>
      </w:tcPr>
    </w:tblStylePr>
  </w:style>
  <w:style w:type="table" w:styleId="ColorfulList-Accent3">
    <w:name w:val="Colorful List Accent 3"/>
    <w:basedOn w:val="TableNormal"/>
    <w:uiPriority w:val="72"/>
    <w:semiHidden/>
    <w:unhideWhenUsed/>
    <w:rsid w:val="00CE0A7F"/>
    <w:pPr>
      <w:spacing w:before="0" w:after="0"/>
    </w:pPr>
    <w:rPr>
      <w:color w:val="000000" w:themeColor="text1"/>
    </w:rPr>
    <w:tblPr>
      <w:tblStyleRowBandSize w:val="1"/>
      <w:tblStyleColBandSize w:val="1"/>
    </w:tblPr>
    <w:tcPr>
      <w:shd w:val="clear" w:color="auto" w:fill="FAEFE8" w:themeFill="accent3" w:themeFillTint="19"/>
    </w:tcPr>
    <w:tblStylePr w:type="firstRow">
      <w:rPr>
        <w:b/>
        <w:bCs/>
        <w:color w:val="FFFFFF" w:themeColor="background1"/>
      </w:rPr>
      <w:tblPr/>
      <w:tcPr>
        <w:tcBorders>
          <w:bottom w:val="single" w:sz="12" w:space="0" w:color="FFFFFF" w:themeColor="background1"/>
        </w:tcBorders>
        <w:shd w:val="clear" w:color="auto" w:fill="921861" w:themeFill="accent4" w:themeFillShade="CC"/>
      </w:tcPr>
    </w:tblStylePr>
    <w:tblStylePr w:type="lastRow">
      <w:rPr>
        <w:b/>
        <w:bCs/>
        <w:color w:val="92186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8C7" w:themeFill="accent3" w:themeFillTint="3F"/>
      </w:tcPr>
    </w:tblStylePr>
    <w:tblStylePr w:type="band1Horz">
      <w:tblPr/>
      <w:tcPr>
        <w:shd w:val="clear" w:color="auto" w:fill="F5E0D1" w:themeFill="accent3" w:themeFillTint="33"/>
      </w:tcPr>
    </w:tblStylePr>
  </w:style>
  <w:style w:type="table" w:styleId="ColorfulList-Accent4">
    <w:name w:val="Colorful List Accent 4"/>
    <w:basedOn w:val="TableNormal"/>
    <w:uiPriority w:val="72"/>
    <w:semiHidden/>
    <w:unhideWhenUsed/>
    <w:rsid w:val="00CE0A7F"/>
    <w:pPr>
      <w:spacing w:before="0" w:after="0"/>
    </w:pPr>
    <w:rPr>
      <w:color w:val="000000" w:themeColor="text1"/>
    </w:rPr>
    <w:tblPr>
      <w:tblStyleRowBandSize w:val="1"/>
      <w:tblStyleColBandSize w:val="1"/>
    </w:tblPr>
    <w:tcPr>
      <w:shd w:val="clear" w:color="auto" w:fill="FAE5F2" w:themeFill="accent4" w:themeFillTint="19"/>
    </w:tcPr>
    <w:tblStylePr w:type="firstRow">
      <w:rPr>
        <w:b/>
        <w:bCs/>
        <w:color w:val="FFFFFF" w:themeColor="background1"/>
      </w:rPr>
      <w:tblPr/>
      <w:tcPr>
        <w:tcBorders>
          <w:bottom w:val="single" w:sz="12" w:space="0" w:color="FFFFFF" w:themeColor="background1"/>
        </w:tcBorders>
        <w:shd w:val="clear" w:color="auto" w:fill="9D5221" w:themeFill="accent3" w:themeFillShade="CC"/>
      </w:tcPr>
    </w:tblStylePr>
    <w:tblStylePr w:type="lastRow">
      <w:rPr>
        <w:b/>
        <w:bCs/>
        <w:color w:val="9D52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0DF" w:themeFill="accent4" w:themeFillTint="3F"/>
      </w:tcPr>
    </w:tblStylePr>
    <w:tblStylePr w:type="band1Horz">
      <w:tblPr/>
      <w:tcPr>
        <w:shd w:val="clear" w:color="auto" w:fill="F6CCE5" w:themeFill="accent4" w:themeFillTint="33"/>
      </w:tcPr>
    </w:tblStylePr>
  </w:style>
  <w:style w:type="table" w:styleId="ColorfulList-Accent5">
    <w:name w:val="Colorful List Accent 5"/>
    <w:basedOn w:val="TableNormal"/>
    <w:uiPriority w:val="72"/>
    <w:semiHidden/>
    <w:unhideWhenUsed/>
    <w:rsid w:val="00CE0A7F"/>
    <w:pPr>
      <w:spacing w:before="0" w:after="0"/>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CC9900" w:themeFill="accent6" w:themeFillShade="CC"/>
      </w:tcPr>
    </w:tblStylePr>
    <w:tblStylePr w:type="lastRow">
      <w:rPr>
        <w:b/>
        <w:bCs/>
        <w:color w:val="CC9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CE0A7F"/>
    <w:pPr>
      <w:spacing w:before="0" w:after="0"/>
    </w:pPr>
    <w:rPr>
      <w:color w:val="000000" w:themeColor="text1"/>
    </w:rPr>
    <w:tblPr>
      <w:tblStyleRowBandSize w:val="1"/>
      <w:tblStyleColBandSize w:val="1"/>
    </w:tblPr>
    <w:tcPr>
      <w:shd w:val="clear" w:color="auto" w:fill="FFF8E6"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6" w:themeFillTint="3F"/>
      </w:tcPr>
    </w:tblStylePr>
    <w:tblStylePr w:type="band1Horz">
      <w:tblPr/>
      <w:tcPr>
        <w:shd w:val="clear" w:color="auto" w:fill="FFF2CC" w:themeFill="accent6" w:themeFillTint="33"/>
      </w:tcPr>
    </w:tblStylePr>
  </w:style>
  <w:style w:type="table" w:styleId="ColorfulShading">
    <w:name w:val="Colorful Shading"/>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16A7C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16A7C4" w:themeColor="accent2"/>
        <w:left w:val="single" w:sz="4" w:space="0" w:color="109146" w:themeColor="accent1"/>
        <w:bottom w:val="single" w:sz="4" w:space="0" w:color="109146" w:themeColor="accent1"/>
        <w:right w:val="single" w:sz="4" w:space="0" w:color="109146" w:themeColor="accent1"/>
        <w:insideH w:val="single" w:sz="4" w:space="0" w:color="FFFFFF" w:themeColor="background1"/>
        <w:insideV w:val="single" w:sz="4" w:space="0" w:color="FFFFFF" w:themeColor="background1"/>
      </w:tblBorders>
    </w:tblPr>
    <w:tcPr>
      <w:shd w:val="clear" w:color="auto" w:fill="E0FBEB" w:themeFill="accent1" w:themeFillTint="19"/>
    </w:tcPr>
    <w:tblStylePr w:type="firstRow">
      <w:rPr>
        <w:b/>
        <w:bCs/>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629" w:themeFill="accent1" w:themeFillShade="99"/>
      </w:tcPr>
    </w:tblStylePr>
    <w:tblStylePr w:type="firstCol">
      <w:rPr>
        <w:color w:val="FFFFFF" w:themeColor="background1"/>
      </w:rPr>
      <w:tblPr/>
      <w:tcPr>
        <w:tcBorders>
          <w:top w:val="nil"/>
          <w:left w:val="nil"/>
          <w:bottom w:val="nil"/>
          <w:right w:val="nil"/>
          <w:insideH w:val="single" w:sz="4" w:space="0" w:color="095629" w:themeColor="accent1" w:themeShade="99"/>
          <w:insideV w:val="nil"/>
        </w:tcBorders>
        <w:shd w:val="clear" w:color="auto" w:fill="0956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5629" w:themeFill="accent1" w:themeFillShade="99"/>
      </w:tcPr>
    </w:tblStylePr>
    <w:tblStylePr w:type="band1Vert">
      <w:tblPr/>
      <w:tcPr>
        <w:shd w:val="clear" w:color="auto" w:fill="81F1AF" w:themeFill="accent1" w:themeFillTint="66"/>
      </w:tcPr>
    </w:tblStylePr>
    <w:tblStylePr w:type="band1Horz">
      <w:tblPr/>
      <w:tcPr>
        <w:shd w:val="clear" w:color="auto" w:fill="62ED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16A7C4" w:themeColor="accent2"/>
        <w:left w:val="single" w:sz="4" w:space="0" w:color="16A7C4" w:themeColor="accent2"/>
        <w:bottom w:val="single" w:sz="4" w:space="0" w:color="16A7C4" w:themeColor="accent2"/>
        <w:right w:val="single" w:sz="4" w:space="0" w:color="16A7C4" w:themeColor="accent2"/>
        <w:insideH w:val="single" w:sz="4" w:space="0" w:color="FFFFFF" w:themeColor="background1"/>
        <w:insideV w:val="single" w:sz="4" w:space="0" w:color="FFFFFF" w:themeColor="background1"/>
      </w:tblBorders>
    </w:tblPr>
    <w:tcPr>
      <w:shd w:val="clear" w:color="auto" w:fill="E5F8FC" w:themeFill="accent2" w:themeFillTint="19"/>
    </w:tcPr>
    <w:tblStylePr w:type="firstRow">
      <w:rPr>
        <w:b/>
        <w:bCs/>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75" w:themeFill="accent2" w:themeFillShade="99"/>
      </w:tcPr>
    </w:tblStylePr>
    <w:tblStylePr w:type="firstCol">
      <w:rPr>
        <w:color w:val="FFFFFF" w:themeColor="background1"/>
      </w:rPr>
      <w:tblPr/>
      <w:tcPr>
        <w:tcBorders>
          <w:top w:val="nil"/>
          <w:left w:val="nil"/>
          <w:bottom w:val="nil"/>
          <w:right w:val="nil"/>
          <w:insideH w:val="single" w:sz="4" w:space="0" w:color="0D6375" w:themeColor="accent2" w:themeShade="99"/>
          <w:insideV w:val="nil"/>
        </w:tcBorders>
        <w:shd w:val="clear" w:color="auto" w:fill="0D63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6375" w:themeFill="accent2" w:themeFillShade="99"/>
      </w:tcPr>
    </w:tblStylePr>
    <w:tblStylePr w:type="band1Vert">
      <w:tblPr/>
      <w:tcPr>
        <w:shd w:val="clear" w:color="auto" w:fill="95E3F3" w:themeFill="accent2" w:themeFillTint="66"/>
      </w:tcPr>
    </w:tblStylePr>
    <w:tblStylePr w:type="band1Horz">
      <w:tblPr/>
      <w:tcPr>
        <w:shd w:val="clear" w:color="auto" w:fill="7CDCF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B71F7A" w:themeColor="accent4"/>
        <w:left w:val="single" w:sz="4" w:space="0" w:color="C56829" w:themeColor="accent3"/>
        <w:bottom w:val="single" w:sz="4" w:space="0" w:color="C56829" w:themeColor="accent3"/>
        <w:right w:val="single" w:sz="4" w:space="0" w:color="C56829" w:themeColor="accent3"/>
        <w:insideH w:val="single" w:sz="4" w:space="0" w:color="FFFFFF" w:themeColor="background1"/>
        <w:insideV w:val="single" w:sz="4" w:space="0" w:color="FFFFFF" w:themeColor="background1"/>
      </w:tblBorders>
    </w:tblPr>
    <w:tcPr>
      <w:shd w:val="clear" w:color="auto" w:fill="FAEFE8" w:themeFill="accent3" w:themeFillTint="19"/>
    </w:tcPr>
    <w:tblStylePr w:type="firstRow">
      <w:rPr>
        <w:b/>
        <w:bCs/>
      </w:rPr>
      <w:tblPr/>
      <w:tcPr>
        <w:tcBorders>
          <w:top w:val="nil"/>
          <w:left w:val="nil"/>
          <w:bottom w:val="single" w:sz="24" w:space="0" w:color="B71F7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E18" w:themeFill="accent3" w:themeFillShade="99"/>
      </w:tcPr>
    </w:tblStylePr>
    <w:tblStylePr w:type="firstCol">
      <w:rPr>
        <w:color w:val="FFFFFF" w:themeColor="background1"/>
      </w:rPr>
      <w:tblPr/>
      <w:tcPr>
        <w:tcBorders>
          <w:top w:val="nil"/>
          <w:left w:val="nil"/>
          <w:bottom w:val="nil"/>
          <w:right w:val="nil"/>
          <w:insideH w:val="single" w:sz="4" w:space="0" w:color="763E18" w:themeColor="accent3" w:themeShade="99"/>
          <w:insideV w:val="nil"/>
        </w:tcBorders>
        <w:shd w:val="clear" w:color="auto" w:fill="763E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E18" w:themeFill="accent3" w:themeFillShade="99"/>
      </w:tcPr>
    </w:tblStylePr>
    <w:tblStylePr w:type="band1Vert">
      <w:tblPr/>
      <w:tcPr>
        <w:shd w:val="clear" w:color="auto" w:fill="ECC1A4" w:themeFill="accent3" w:themeFillTint="66"/>
      </w:tcPr>
    </w:tblStylePr>
    <w:tblStylePr w:type="band1Horz">
      <w:tblPr/>
      <w:tcPr>
        <w:shd w:val="clear" w:color="auto" w:fill="E7B28E" w:themeFill="accent3" w:themeFillTint="7F"/>
      </w:tcPr>
    </w:tblStylePr>
  </w:style>
  <w:style w:type="table" w:styleId="ColorfulShading-Accent4">
    <w:name w:val="Colorful Shading Accent 4"/>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C56829" w:themeColor="accent3"/>
        <w:left w:val="single" w:sz="4" w:space="0" w:color="B71F7A" w:themeColor="accent4"/>
        <w:bottom w:val="single" w:sz="4" w:space="0" w:color="B71F7A" w:themeColor="accent4"/>
        <w:right w:val="single" w:sz="4" w:space="0" w:color="B71F7A" w:themeColor="accent4"/>
        <w:insideH w:val="single" w:sz="4" w:space="0" w:color="FFFFFF" w:themeColor="background1"/>
        <w:insideV w:val="single" w:sz="4" w:space="0" w:color="FFFFFF" w:themeColor="background1"/>
      </w:tblBorders>
    </w:tblPr>
    <w:tcPr>
      <w:shd w:val="clear" w:color="auto" w:fill="FAE5F2" w:themeFill="accent4" w:themeFillTint="19"/>
    </w:tcPr>
    <w:tblStylePr w:type="firstRow">
      <w:rPr>
        <w:b/>
        <w:bCs/>
      </w:rPr>
      <w:tblPr/>
      <w:tcPr>
        <w:tcBorders>
          <w:top w:val="nil"/>
          <w:left w:val="nil"/>
          <w:bottom w:val="single" w:sz="24" w:space="0" w:color="C568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248" w:themeFill="accent4" w:themeFillShade="99"/>
      </w:tcPr>
    </w:tblStylePr>
    <w:tblStylePr w:type="firstCol">
      <w:rPr>
        <w:color w:val="FFFFFF" w:themeColor="background1"/>
      </w:rPr>
      <w:tblPr/>
      <w:tcPr>
        <w:tcBorders>
          <w:top w:val="nil"/>
          <w:left w:val="nil"/>
          <w:bottom w:val="nil"/>
          <w:right w:val="nil"/>
          <w:insideH w:val="single" w:sz="4" w:space="0" w:color="6D1248" w:themeColor="accent4" w:themeShade="99"/>
          <w:insideV w:val="nil"/>
        </w:tcBorders>
        <w:shd w:val="clear" w:color="auto" w:fill="6D12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248" w:themeFill="accent4" w:themeFillShade="99"/>
      </w:tcPr>
    </w:tblStylePr>
    <w:tblStylePr w:type="band1Vert">
      <w:tblPr/>
      <w:tcPr>
        <w:shd w:val="clear" w:color="auto" w:fill="ED99CB" w:themeFill="accent4" w:themeFillTint="66"/>
      </w:tcPr>
    </w:tblStylePr>
    <w:tblStylePr w:type="band1Horz">
      <w:tblPr/>
      <w:tcPr>
        <w:shd w:val="clear" w:color="auto" w:fill="E980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FFC00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E0A7F"/>
    <w:pPr>
      <w:spacing w:before="0" w:after="0"/>
    </w:pPr>
    <w:rPr>
      <w:color w:val="000000" w:themeColor="text1"/>
    </w:rPr>
    <w:tblPr>
      <w:tblStyleRowBandSize w:val="1"/>
      <w:tblStyleColBandSize w:val="1"/>
      <w:tblBorders>
        <w:top w:val="single" w:sz="24" w:space="0" w:color="92D050" w:themeColor="accent5"/>
        <w:left w:val="single" w:sz="4" w:space="0" w:color="FFC000" w:themeColor="accent6"/>
        <w:bottom w:val="single" w:sz="4" w:space="0" w:color="FFC000" w:themeColor="accent6"/>
        <w:right w:val="single" w:sz="4" w:space="0" w:color="FFC000" w:themeColor="accent6"/>
        <w:insideH w:val="single" w:sz="4" w:space="0" w:color="FFFFFF" w:themeColor="background1"/>
        <w:insideV w:val="single" w:sz="4" w:space="0" w:color="FFFFFF" w:themeColor="background1"/>
      </w:tblBorders>
    </w:tblPr>
    <w:tcPr>
      <w:shd w:val="clear" w:color="auto" w:fill="FFF8E6"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6" w:themeFillShade="99"/>
      </w:tcPr>
    </w:tblStylePr>
    <w:tblStylePr w:type="firstCol">
      <w:rPr>
        <w:color w:val="FFFFFF" w:themeColor="background1"/>
      </w:rPr>
      <w:tblPr/>
      <w:tcPr>
        <w:tcBorders>
          <w:top w:val="nil"/>
          <w:left w:val="nil"/>
          <w:bottom w:val="nil"/>
          <w:right w:val="nil"/>
          <w:insideH w:val="single" w:sz="4" w:space="0" w:color="997300" w:themeColor="accent6" w:themeShade="99"/>
          <w:insideV w:val="nil"/>
        </w:tcBorders>
        <w:shd w:val="clear" w:color="auto" w:fill="997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6" w:themeFillShade="99"/>
      </w:tcPr>
    </w:tblStylePr>
    <w:tblStylePr w:type="band1Vert">
      <w:tblPr/>
      <w:tcPr>
        <w:shd w:val="clear" w:color="auto" w:fill="FFE599" w:themeFill="accent6" w:themeFillTint="66"/>
      </w:tcPr>
    </w:tblStylePr>
    <w:tblStylePr w:type="band1Horz">
      <w:tblPr/>
      <w:tcPr>
        <w:shd w:val="clear" w:color="auto" w:fill="FFD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qFormat/>
    <w:rsid w:val="00CE0A7F"/>
    <w:rPr>
      <w:sz w:val="16"/>
      <w:szCs w:val="16"/>
      <w:lang w:val="nl-NL"/>
    </w:rPr>
  </w:style>
  <w:style w:type="table" w:styleId="DarkList">
    <w:name w:val="Dark List"/>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10914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8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6C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6C34" w:themeFill="accent1" w:themeFillShade="BF"/>
      </w:tcPr>
    </w:tblStylePr>
    <w:tblStylePr w:type="band1Vert">
      <w:tblPr/>
      <w:tcPr>
        <w:tcBorders>
          <w:top w:val="nil"/>
          <w:left w:val="nil"/>
          <w:bottom w:val="nil"/>
          <w:right w:val="nil"/>
          <w:insideH w:val="nil"/>
          <w:insideV w:val="nil"/>
        </w:tcBorders>
        <w:shd w:val="clear" w:color="auto" w:fill="0C6C34" w:themeFill="accent1" w:themeFillShade="BF"/>
      </w:tcPr>
    </w:tblStylePr>
    <w:tblStylePr w:type="band1Horz">
      <w:tblPr/>
      <w:tcPr>
        <w:tcBorders>
          <w:top w:val="nil"/>
          <w:left w:val="nil"/>
          <w:bottom w:val="nil"/>
          <w:right w:val="nil"/>
          <w:insideH w:val="nil"/>
          <w:insideV w:val="nil"/>
        </w:tcBorders>
        <w:shd w:val="clear" w:color="auto" w:fill="0C6C34" w:themeFill="accent1" w:themeFillShade="BF"/>
      </w:tcPr>
    </w:tblStylePr>
  </w:style>
  <w:style w:type="table" w:styleId="DarkList-Accent2">
    <w:name w:val="Dark List Accent 2"/>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16A7C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07C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07C92" w:themeFill="accent2" w:themeFillShade="BF"/>
      </w:tcPr>
    </w:tblStylePr>
    <w:tblStylePr w:type="band1Vert">
      <w:tblPr/>
      <w:tcPr>
        <w:tcBorders>
          <w:top w:val="nil"/>
          <w:left w:val="nil"/>
          <w:bottom w:val="nil"/>
          <w:right w:val="nil"/>
          <w:insideH w:val="nil"/>
          <w:insideV w:val="nil"/>
        </w:tcBorders>
        <w:shd w:val="clear" w:color="auto" w:fill="107C92" w:themeFill="accent2" w:themeFillShade="BF"/>
      </w:tcPr>
    </w:tblStylePr>
    <w:tblStylePr w:type="band1Horz">
      <w:tblPr/>
      <w:tcPr>
        <w:tcBorders>
          <w:top w:val="nil"/>
          <w:left w:val="nil"/>
          <w:bottom w:val="nil"/>
          <w:right w:val="nil"/>
          <w:insideH w:val="nil"/>
          <w:insideV w:val="nil"/>
        </w:tcBorders>
        <w:shd w:val="clear" w:color="auto" w:fill="107C92" w:themeFill="accent2" w:themeFillShade="BF"/>
      </w:tcPr>
    </w:tblStylePr>
  </w:style>
  <w:style w:type="table" w:styleId="DarkList-Accent3">
    <w:name w:val="Dark List Accent 3"/>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C568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3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D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D1E" w:themeFill="accent3" w:themeFillShade="BF"/>
      </w:tcPr>
    </w:tblStylePr>
    <w:tblStylePr w:type="band1Vert">
      <w:tblPr/>
      <w:tcPr>
        <w:tcBorders>
          <w:top w:val="nil"/>
          <w:left w:val="nil"/>
          <w:bottom w:val="nil"/>
          <w:right w:val="nil"/>
          <w:insideH w:val="nil"/>
          <w:insideV w:val="nil"/>
        </w:tcBorders>
        <w:shd w:val="clear" w:color="auto" w:fill="934D1E" w:themeFill="accent3" w:themeFillShade="BF"/>
      </w:tcPr>
    </w:tblStylePr>
    <w:tblStylePr w:type="band1Horz">
      <w:tblPr/>
      <w:tcPr>
        <w:tcBorders>
          <w:top w:val="nil"/>
          <w:left w:val="nil"/>
          <w:bottom w:val="nil"/>
          <w:right w:val="nil"/>
          <w:insideH w:val="nil"/>
          <w:insideV w:val="nil"/>
        </w:tcBorders>
        <w:shd w:val="clear" w:color="auto" w:fill="934D1E" w:themeFill="accent3" w:themeFillShade="BF"/>
      </w:tcPr>
    </w:tblStylePr>
  </w:style>
  <w:style w:type="table" w:styleId="DarkList-Accent4">
    <w:name w:val="Dark List Accent 4"/>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B71F7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F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17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175A" w:themeFill="accent4" w:themeFillShade="BF"/>
      </w:tcPr>
    </w:tblStylePr>
    <w:tblStylePr w:type="band1Vert">
      <w:tblPr/>
      <w:tcPr>
        <w:tcBorders>
          <w:top w:val="nil"/>
          <w:left w:val="nil"/>
          <w:bottom w:val="nil"/>
          <w:right w:val="nil"/>
          <w:insideH w:val="nil"/>
          <w:insideV w:val="nil"/>
        </w:tcBorders>
        <w:shd w:val="clear" w:color="auto" w:fill="88175A" w:themeFill="accent4" w:themeFillShade="BF"/>
      </w:tcPr>
    </w:tblStylePr>
    <w:tblStylePr w:type="band1Horz">
      <w:tblPr/>
      <w:tcPr>
        <w:tcBorders>
          <w:top w:val="nil"/>
          <w:left w:val="nil"/>
          <w:bottom w:val="nil"/>
          <w:right w:val="nil"/>
          <w:insideH w:val="nil"/>
          <w:insideV w:val="nil"/>
        </w:tcBorders>
        <w:shd w:val="clear" w:color="auto" w:fill="88175A" w:themeFill="accent4" w:themeFillShade="BF"/>
      </w:tcPr>
    </w:tblStylePr>
  </w:style>
  <w:style w:type="table" w:styleId="DarkList-Accent5">
    <w:name w:val="Dark List Accent 5"/>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CE0A7F"/>
    <w:pPr>
      <w:spacing w:before="0" w:after="0"/>
    </w:pPr>
    <w:rPr>
      <w:color w:val="FFFFFF" w:themeColor="background1"/>
    </w:rPr>
    <w:tblPr>
      <w:tblStyleRowBandSize w:val="1"/>
      <w:tblStyleColBandSize w:val="1"/>
    </w:tblPr>
    <w:tcPr>
      <w:shd w:val="clear" w:color="auto" w:fill="FFC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6" w:themeFillShade="BF"/>
      </w:tcPr>
    </w:tblStylePr>
    <w:tblStylePr w:type="band1Vert">
      <w:tblPr/>
      <w:tcPr>
        <w:tcBorders>
          <w:top w:val="nil"/>
          <w:left w:val="nil"/>
          <w:bottom w:val="nil"/>
          <w:right w:val="nil"/>
          <w:insideH w:val="nil"/>
          <w:insideV w:val="nil"/>
        </w:tcBorders>
        <w:shd w:val="clear" w:color="auto" w:fill="BF8F00" w:themeFill="accent6" w:themeFillShade="BF"/>
      </w:tcPr>
    </w:tblStylePr>
    <w:tblStylePr w:type="band1Horz">
      <w:tblPr/>
      <w:tcPr>
        <w:tcBorders>
          <w:top w:val="nil"/>
          <w:left w:val="nil"/>
          <w:bottom w:val="nil"/>
          <w:right w:val="nil"/>
          <w:insideH w:val="nil"/>
          <w:insideV w:val="nil"/>
        </w:tcBorders>
        <w:shd w:val="clear" w:color="auto" w:fill="BF8F00" w:themeFill="accent6" w:themeFillShade="BF"/>
      </w:tcPr>
    </w:tblStylePr>
  </w:style>
  <w:style w:type="character" w:styleId="Emphasis">
    <w:name w:val="Emphasis"/>
    <w:basedOn w:val="DefaultParagraphFont"/>
    <w:uiPriority w:val="20"/>
    <w:qFormat/>
    <w:rsid w:val="00CE0A7F"/>
    <w:rPr>
      <w:i/>
      <w:iCs/>
      <w:lang w:val="nl-NL"/>
    </w:rPr>
  </w:style>
  <w:style w:type="table" w:styleId="GridTable1Light">
    <w:name w:val="Grid Table 1 Light"/>
    <w:basedOn w:val="TableNormal"/>
    <w:uiPriority w:val="46"/>
    <w:rsid w:val="00CE0A7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0A7F"/>
    <w:pPr>
      <w:spacing w:after="0"/>
    </w:pPr>
    <w:tblPr>
      <w:tblStyleRowBandSize w:val="1"/>
      <w:tblStyleColBandSize w:val="1"/>
      <w:tblBorders>
        <w:top w:val="single" w:sz="4" w:space="0" w:color="81F1AF" w:themeColor="accent1" w:themeTint="66"/>
        <w:left w:val="single" w:sz="4" w:space="0" w:color="81F1AF" w:themeColor="accent1" w:themeTint="66"/>
        <w:bottom w:val="single" w:sz="4" w:space="0" w:color="81F1AF" w:themeColor="accent1" w:themeTint="66"/>
        <w:right w:val="single" w:sz="4" w:space="0" w:color="81F1AF" w:themeColor="accent1" w:themeTint="66"/>
        <w:insideH w:val="single" w:sz="4" w:space="0" w:color="81F1AF" w:themeColor="accent1" w:themeTint="66"/>
        <w:insideV w:val="single" w:sz="4" w:space="0" w:color="81F1AF" w:themeColor="accent1" w:themeTint="66"/>
      </w:tblBorders>
    </w:tblPr>
    <w:tblStylePr w:type="firstRow">
      <w:rPr>
        <w:b/>
        <w:bCs/>
      </w:rPr>
      <w:tblPr/>
      <w:tcPr>
        <w:tcBorders>
          <w:bottom w:val="single" w:sz="12" w:space="0" w:color="42EA88" w:themeColor="accent1" w:themeTint="99"/>
        </w:tcBorders>
      </w:tcPr>
    </w:tblStylePr>
    <w:tblStylePr w:type="lastRow">
      <w:rPr>
        <w:b/>
        <w:bCs/>
      </w:rPr>
      <w:tblPr/>
      <w:tcPr>
        <w:tcBorders>
          <w:top w:val="double" w:sz="2" w:space="0" w:color="42E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E0A7F"/>
    <w:pPr>
      <w:spacing w:after="0"/>
    </w:pPr>
    <w:tblPr>
      <w:tblStyleRowBandSize w:val="1"/>
      <w:tblStyleColBandSize w:val="1"/>
      <w:tblBorders>
        <w:top w:val="single" w:sz="4" w:space="0" w:color="95E3F3" w:themeColor="accent2" w:themeTint="66"/>
        <w:left w:val="single" w:sz="4" w:space="0" w:color="95E3F3" w:themeColor="accent2" w:themeTint="66"/>
        <w:bottom w:val="single" w:sz="4" w:space="0" w:color="95E3F3" w:themeColor="accent2" w:themeTint="66"/>
        <w:right w:val="single" w:sz="4" w:space="0" w:color="95E3F3" w:themeColor="accent2" w:themeTint="66"/>
        <w:insideH w:val="single" w:sz="4" w:space="0" w:color="95E3F3" w:themeColor="accent2" w:themeTint="66"/>
        <w:insideV w:val="single" w:sz="4" w:space="0" w:color="95E3F3" w:themeColor="accent2" w:themeTint="66"/>
      </w:tblBorders>
    </w:tblPr>
    <w:tblStylePr w:type="firstRow">
      <w:rPr>
        <w:b/>
        <w:bCs/>
      </w:rPr>
      <w:tblPr/>
      <w:tcPr>
        <w:tcBorders>
          <w:bottom w:val="single" w:sz="12" w:space="0" w:color="61D5ED" w:themeColor="accent2" w:themeTint="99"/>
        </w:tcBorders>
      </w:tcPr>
    </w:tblStylePr>
    <w:tblStylePr w:type="lastRow">
      <w:rPr>
        <w:b/>
        <w:bCs/>
      </w:rPr>
      <w:tblPr/>
      <w:tcPr>
        <w:tcBorders>
          <w:top w:val="double" w:sz="2" w:space="0" w:color="61D5E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0A7F"/>
    <w:pPr>
      <w:spacing w:after="0"/>
    </w:pPr>
    <w:tblPr>
      <w:tblStyleRowBandSize w:val="1"/>
      <w:tblStyleColBandSize w:val="1"/>
      <w:tblBorders>
        <w:top w:val="single" w:sz="4" w:space="0" w:color="ECC1A4" w:themeColor="accent3" w:themeTint="66"/>
        <w:left w:val="single" w:sz="4" w:space="0" w:color="ECC1A4" w:themeColor="accent3" w:themeTint="66"/>
        <w:bottom w:val="single" w:sz="4" w:space="0" w:color="ECC1A4" w:themeColor="accent3" w:themeTint="66"/>
        <w:right w:val="single" w:sz="4" w:space="0" w:color="ECC1A4" w:themeColor="accent3" w:themeTint="66"/>
        <w:insideH w:val="single" w:sz="4" w:space="0" w:color="ECC1A4" w:themeColor="accent3" w:themeTint="66"/>
        <w:insideV w:val="single" w:sz="4" w:space="0" w:color="ECC1A4" w:themeColor="accent3" w:themeTint="66"/>
      </w:tblBorders>
    </w:tblPr>
    <w:tblStylePr w:type="firstRow">
      <w:rPr>
        <w:b/>
        <w:bCs/>
      </w:rPr>
      <w:tblPr/>
      <w:tcPr>
        <w:tcBorders>
          <w:bottom w:val="single" w:sz="12" w:space="0" w:color="E2A277" w:themeColor="accent3" w:themeTint="99"/>
        </w:tcBorders>
      </w:tcPr>
    </w:tblStylePr>
    <w:tblStylePr w:type="lastRow">
      <w:rPr>
        <w:b/>
        <w:bCs/>
      </w:rPr>
      <w:tblPr/>
      <w:tcPr>
        <w:tcBorders>
          <w:top w:val="double" w:sz="2" w:space="0" w:color="E2A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0A7F"/>
    <w:pPr>
      <w:spacing w:after="0"/>
    </w:pPr>
    <w:tblPr>
      <w:tblStyleRowBandSize w:val="1"/>
      <w:tblStyleColBandSize w:val="1"/>
      <w:tblBorders>
        <w:top w:val="single" w:sz="4" w:space="0" w:color="ED99CB" w:themeColor="accent4" w:themeTint="66"/>
        <w:left w:val="single" w:sz="4" w:space="0" w:color="ED99CB" w:themeColor="accent4" w:themeTint="66"/>
        <w:bottom w:val="single" w:sz="4" w:space="0" w:color="ED99CB" w:themeColor="accent4" w:themeTint="66"/>
        <w:right w:val="single" w:sz="4" w:space="0" w:color="ED99CB" w:themeColor="accent4" w:themeTint="66"/>
        <w:insideH w:val="single" w:sz="4" w:space="0" w:color="ED99CB" w:themeColor="accent4" w:themeTint="66"/>
        <w:insideV w:val="single" w:sz="4" w:space="0" w:color="ED99CB" w:themeColor="accent4" w:themeTint="66"/>
      </w:tblBorders>
    </w:tblPr>
    <w:tblStylePr w:type="firstRow">
      <w:rPr>
        <w:b/>
        <w:bCs/>
      </w:rPr>
      <w:tblPr/>
      <w:tcPr>
        <w:tcBorders>
          <w:bottom w:val="single" w:sz="12" w:space="0" w:color="E567B2" w:themeColor="accent4" w:themeTint="99"/>
        </w:tcBorders>
      </w:tcPr>
    </w:tblStylePr>
    <w:tblStylePr w:type="lastRow">
      <w:rPr>
        <w:b/>
        <w:bCs/>
      </w:rPr>
      <w:tblPr/>
      <w:tcPr>
        <w:tcBorders>
          <w:top w:val="double" w:sz="2" w:space="0" w:color="E567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0A7F"/>
    <w:pPr>
      <w:spacing w:after="0"/>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0A7F"/>
    <w:pPr>
      <w:spacing w:after="0"/>
    </w:pPr>
    <w:tblPr>
      <w:tblStyleRowBandSize w:val="1"/>
      <w:tblStyleColBandSize w:val="1"/>
      <w:tblBorders>
        <w:top w:val="single" w:sz="4" w:space="0" w:color="FFE599" w:themeColor="accent6" w:themeTint="66"/>
        <w:left w:val="single" w:sz="4" w:space="0" w:color="FFE599" w:themeColor="accent6" w:themeTint="66"/>
        <w:bottom w:val="single" w:sz="4" w:space="0" w:color="FFE599" w:themeColor="accent6" w:themeTint="66"/>
        <w:right w:val="single" w:sz="4" w:space="0" w:color="FFE599" w:themeColor="accent6" w:themeTint="66"/>
        <w:insideH w:val="single" w:sz="4" w:space="0" w:color="FFE599" w:themeColor="accent6" w:themeTint="66"/>
        <w:insideV w:val="single" w:sz="4" w:space="0" w:color="FFE599" w:themeColor="accent6" w:themeTint="66"/>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2" w:space="0" w:color="FFD9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E0A7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E0A7F"/>
    <w:pPr>
      <w:spacing w:after="0"/>
    </w:pPr>
    <w:tblPr>
      <w:tblStyleRowBandSize w:val="1"/>
      <w:tblStyleColBandSize w:val="1"/>
      <w:tblBorders>
        <w:top w:val="single" w:sz="2" w:space="0" w:color="42EA88" w:themeColor="accent1" w:themeTint="99"/>
        <w:bottom w:val="single" w:sz="2" w:space="0" w:color="42EA88" w:themeColor="accent1" w:themeTint="99"/>
        <w:insideH w:val="single" w:sz="2" w:space="0" w:color="42EA88" w:themeColor="accent1" w:themeTint="99"/>
        <w:insideV w:val="single" w:sz="2" w:space="0" w:color="42EA88" w:themeColor="accent1" w:themeTint="99"/>
      </w:tblBorders>
    </w:tblPr>
    <w:tblStylePr w:type="firstRow">
      <w:rPr>
        <w:b/>
        <w:bCs/>
      </w:rPr>
      <w:tblPr/>
      <w:tcPr>
        <w:tcBorders>
          <w:top w:val="nil"/>
          <w:bottom w:val="single" w:sz="12" w:space="0" w:color="42EA88" w:themeColor="accent1" w:themeTint="99"/>
          <w:insideH w:val="nil"/>
          <w:insideV w:val="nil"/>
        </w:tcBorders>
        <w:shd w:val="clear" w:color="auto" w:fill="FFFFFF" w:themeFill="background1"/>
      </w:tcPr>
    </w:tblStylePr>
    <w:tblStylePr w:type="lastRow">
      <w:rPr>
        <w:b/>
        <w:bCs/>
      </w:rPr>
      <w:tblPr/>
      <w:tcPr>
        <w:tcBorders>
          <w:top w:val="double" w:sz="2" w:space="0" w:color="42E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GridTable2-Accent3">
    <w:name w:val="Grid Table 2 Accent 3"/>
    <w:basedOn w:val="TableNormal"/>
    <w:uiPriority w:val="47"/>
    <w:rsid w:val="00CE0A7F"/>
    <w:pPr>
      <w:spacing w:after="0"/>
    </w:pPr>
    <w:tblPr>
      <w:tblStyleRowBandSize w:val="1"/>
      <w:tblStyleColBandSize w:val="1"/>
      <w:tblBorders>
        <w:top w:val="single" w:sz="2" w:space="0" w:color="E2A277" w:themeColor="accent3" w:themeTint="99"/>
        <w:bottom w:val="single" w:sz="2" w:space="0" w:color="E2A277" w:themeColor="accent3" w:themeTint="99"/>
        <w:insideH w:val="single" w:sz="2" w:space="0" w:color="E2A277" w:themeColor="accent3" w:themeTint="99"/>
        <w:insideV w:val="single" w:sz="2" w:space="0" w:color="E2A277" w:themeColor="accent3" w:themeTint="99"/>
      </w:tblBorders>
    </w:tblPr>
    <w:tblStylePr w:type="firstRow">
      <w:rPr>
        <w:b/>
        <w:bCs/>
      </w:rPr>
      <w:tblPr/>
      <w:tcPr>
        <w:tcBorders>
          <w:top w:val="nil"/>
          <w:bottom w:val="single" w:sz="12" w:space="0" w:color="E2A277" w:themeColor="accent3" w:themeTint="99"/>
          <w:insideH w:val="nil"/>
          <w:insideV w:val="nil"/>
        </w:tcBorders>
        <w:shd w:val="clear" w:color="auto" w:fill="FFFFFF" w:themeFill="background1"/>
      </w:tcPr>
    </w:tblStylePr>
    <w:tblStylePr w:type="lastRow">
      <w:rPr>
        <w:b/>
        <w:bCs/>
      </w:rPr>
      <w:tblPr/>
      <w:tcPr>
        <w:tcBorders>
          <w:top w:val="double" w:sz="2" w:space="0" w:color="E2A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GridTable2-Accent4">
    <w:name w:val="Grid Table 2 Accent 4"/>
    <w:basedOn w:val="TableNormal"/>
    <w:uiPriority w:val="47"/>
    <w:rsid w:val="00CE0A7F"/>
    <w:pPr>
      <w:spacing w:after="0"/>
    </w:pPr>
    <w:tblPr>
      <w:tblStyleRowBandSize w:val="1"/>
      <w:tblStyleColBandSize w:val="1"/>
      <w:tblBorders>
        <w:top w:val="single" w:sz="2" w:space="0" w:color="E567B2" w:themeColor="accent4" w:themeTint="99"/>
        <w:bottom w:val="single" w:sz="2" w:space="0" w:color="E567B2" w:themeColor="accent4" w:themeTint="99"/>
        <w:insideH w:val="single" w:sz="2" w:space="0" w:color="E567B2" w:themeColor="accent4" w:themeTint="99"/>
        <w:insideV w:val="single" w:sz="2" w:space="0" w:color="E567B2" w:themeColor="accent4" w:themeTint="99"/>
      </w:tblBorders>
    </w:tblPr>
    <w:tblStylePr w:type="firstRow">
      <w:rPr>
        <w:b/>
        <w:bCs/>
      </w:rPr>
      <w:tblPr/>
      <w:tcPr>
        <w:tcBorders>
          <w:top w:val="nil"/>
          <w:bottom w:val="single" w:sz="12" w:space="0" w:color="E567B2" w:themeColor="accent4" w:themeTint="99"/>
          <w:insideH w:val="nil"/>
          <w:insideV w:val="nil"/>
        </w:tcBorders>
        <w:shd w:val="clear" w:color="auto" w:fill="FFFFFF" w:themeFill="background1"/>
      </w:tcPr>
    </w:tblStylePr>
    <w:tblStylePr w:type="lastRow">
      <w:rPr>
        <w:b/>
        <w:bCs/>
      </w:rPr>
      <w:tblPr/>
      <w:tcPr>
        <w:tcBorders>
          <w:top w:val="double" w:sz="2" w:space="0" w:color="E567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GridTable2-Accent5">
    <w:name w:val="Grid Table 2 Accent 5"/>
    <w:basedOn w:val="TableNormal"/>
    <w:uiPriority w:val="47"/>
    <w:rsid w:val="00CE0A7F"/>
    <w:pPr>
      <w:spacing w:after="0"/>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GridTable2-Accent6">
    <w:name w:val="Grid Table 2 Accent 6"/>
    <w:basedOn w:val="TableNormal"/>
    <w:uiPriority w:val="47"/>
    <w:rsid w:val="00CE0A7F"/>
    <w:pPr>
      <w:spacing w:after="0"/>
    </w:pPr>
    <w:tblPr>
      <w:tblStyleRowBandSize w:val="1"/>
      <w:tblStyleColBandSize w:val="1"/>
      <w:tblBorders>
        <w:top w:val="single" w:sz="2" w:space="0" w:color="FFD966" w:themeColor="accent6" w:themeTint="99"/>
        <w:bottom w:val="single" w:sz="2" w:space="0" w:color="FFD966" w:themeColor="accent6" w:themeTint="99"/>
        <w:insideH w:val="single" w:sz="2" w:space="0" w:color="FFD966" w:themeColor="accent6" w:themeTint="99"/>
        <w:insideV w:val="single" w:sz="2" w:space="0" w:color="FFD966" w:themeColor="accent6" w:themeTint="99"/>
      </w:tblBorders>
    </w:tblPr>
    <w:tblStylePr w:type="firstRow">
      <w:rPr>
        <w:b/>
        <w:bCs/>
      </w:rPr>
      <w:tblPr/>
      <w:tcPr>
        <w:tcBorders>
          <w:top w:val="nil"/>
          <w:bottom w:val="single" w:sz="12" w:space="0" w:color="FFD966" w:themeColor="accent6" w:themeTint="99"/>
          <w:insideH w:val="nil"/>
          <w:insideV w:val="nil"/>
        </w:tcBorders>
        <w:shd w:val="clear" w:color="auto" w:fill="FFFFFF" w:themeFill="background1"/>
      </w:tcPr>
    </w:tblStylePr>
    <w:tblStylePr w:type="lastRow">
      <w:rPr>
        <w:b/>
        <w:bCs/>
      </w:rPr>
      <w:tblPr/>
      <w:tcPr>
        <w:tcBorders>
          <w:top w:val="double" w:sz="2" w:space="0" w:color="FFD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3">
    <w:name w:val="Grid Table 3"/>
    <w:basedOn w:val="TableNormal"/>
    <w:uiPriority w:val="48"/>
    <w:rsid w:val="00CE0A7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E0A7F"/>
    <w:pPr>
      <w:spacing w:after="0"/>
    </w:p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8D7" w:themeFill="accent1" w:themeFillTint="33"/>
      </w:tcPr>
    </w:tblStylePr>
    <w:tblStylePr w:type="band1Horz">
      <w:tblPr/>
      <w:tcPr>
        <w:shd w:val="clear" w:color="auto" w:fill="BFF8D7" w:themeFill="accent1" w:themeFillTint="33"/>
      </w:tcPr>
    </w:tblStylePr>
    <w:tblStylePr w:type="neCell">
      <w:tblPr/>
      <w:tcPr>
        <w:tcBorders>
          <w:bottom w:val="single" w:sz="4" w:space="0" w:color="42EA88" w:themeColor="accent1" w:themeTint="99"/>
        </w:tcBorders>
      </w:tcPr>
    </w:tblStylePr>
    <w:tblStylePr w:type="nwCell">
      <w:tblPr/>
      <w:tcPr>
        <w:tcBorders>
          <w:bottom w:val="single" w:sz="4" w:space="0" w:color="42EA88" w:themeColor="accent1" w:themeTint="99"/>
        </w:tcBorders>
      </w:tcPr>
    </w:tblStylePr>
    <w:tblStylePr w:type="seCell">
      <w:tblPr/>
      <w:tcPr>
        <w:tcBorders>
          <w:top w:val="single" w:sz="4" w:space="0" w:color="42EA88" w:themeColor="accent1" w:themeTint="99"/>
        </w:tcBorders>
      </w:tcPr>
    </w:tblStylePr>
    <w:tblStylePr w:type="swCell">
      <w:tblPr/>
      <w:tcPr>
        <w:tcBorders>
          <w:top w:val="single" w:sz="4" w:space="0" w:color="42EA88" w:themeColor="accent1" w:themeTint="99"/>
        </w:tcBorders>
      </w:tcPr>
    </w:tblStylePr>
  </w:style>
  <w:style w:type="table" w:styleId="GridTable3-Accent2">
    <w:name w:val="Grid Table 3 Accent 2"/>
    <w:basedOn w:val="TableNormal"/>
    <w:uiPriority w:val="48"/>
    <w:rsid w:val="00CE0A7F"/>
    <w:pPr>
      <w:spacing w:after="0"/>
    </w:p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9" w:themeFill="accent2" w:themeFillTint="33"/>
      </w:tcPr>
    </w:tblStylePr>
    <w:tblStylePr w:type="band1Horz">
      <w:tblPr/>
      <w:tcPr>
        <w:shd w:val="clear" w:color="auto" w:fill="CAF1F9" w:themeFill="accent2" w:themeFillTint="33"/>
      </w:tcPr>
    </w:tblStylePr>
    <w:tblStylePr w:type="neCell">
      <w:tblPr/>
      <w:tcPr>
        <w:tcBorders>
          <w:bottom w:val="single" w:sz="4" w:space="0" w:color="61D5ED" w:themeColor="accent2" w:themeTint="99"/>
        </w:tcBorders>
      </w:tcPr>
    </w:tblStylePr>
    <w:tblStylePr w:type="nwCell">
      <w:tblPr/>
      <w:tcPr>
        <w:tcBorders>
          <w:bottom w:val="single" w:sz="4" w:space="0" w:color="61D5ED" w:themeColor="accent2" w:themeTint="99"/>
        </w:tcBorders>
      </w:tcPr>
    </w:tblStylePr>
    <w:tblStylePr w:type="seCell">
      <w:tblPr/>
      <w:tcPr>
        <w:tcBorders>
          <w:top w:val="single" w:sz="4" w:space="0" w:color="61D5ED" w:themeColor="accent2" w:themeTint="99"/>
        </w:tcBorders>
      </w:tcPr>
    </w:tblStylePr>
    <w:tblStylePr w:type="swCell">
      <w:tblPr/>
      <w:tcPr>
        <w:tcBorders>
          <w:top w:val="single" w:sz="4" w:space="0" w:color="61D5ED" w:themeColor="accent2" w:themeTint="99"/>
        </w:tcBorders>
      </w:tcPr>
    </w:tblStylePr>
  </w:style>
  <w:style w:type="table" w:styleId="GridTable3-Accent3">
    <w:name w:val="Grid Table 3 Accent 3"/>
    <w:basedOn w:val="TableNormal"/>
    <w:uiPriority w:val="48"/>
    <w:rsid w:val="00CE0A7F"/>
    <w:pPr>
      <w:spacing w:after="0"/>
    </w:p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0D1" w:themeFill="accent3" w:themeFillTint="33"/>
      </w:tcPr>
    </w:tblStylePr>
    <w:tblStylePr w:type="band1Horz">
      <w:tblPr/>
      <w:tcPr>
        <w:shd w:val="clear" w:color="auto" w:fill="F5E0D1" w:themeFill="accent3" w:themeFillTint="33"/>
      </w:tcPr>
    </w:tblStylePr>
    <w:tblStylePr w:type="neCell">
      <w:tblPr/>
      <w:tcPr>
        <w:tcBorders>
          <w:bottom w:val="single" w:sz="4" w:space="0" w:color="E2A277" w:themeColor="accent3" w:themeTint="99"/>
        </w:tcBorders>
      </w:tcPr>
    </w:tblStylePr>
    <w:tblStylePr w:type="nwCell">
      <w:tblPr/>
      <w:tcPr>
        <w:tcBorders>
          <w:bottom w:val="single" w:sz="4" w:space="0" w:color="E2A277" w:themeColor="accent3" w:themeTint="99"/>
        </w:tcBorders>
      </w:tcPr>
    </w:tblStylePr>
    <w:tblStylePr w:type="seCell">
      <w:tblPr/>
      <w:tcPr>
        <w:tcBorders>
          <w:top w:val="single" w:sz="4" w:space="0" w:color="E2A277" w:themeColor="accent3" w:themeTint="99"/>
        </w:tcBorders>
      </w:tcPr>
    </w:tblStylePr>
    <w:tblStylePr w:type="swCell">
      <w:tblPr/>
      <w:tcPr>
        <w:tcBorders>
          <w:top w:val="single" w:sz="4" w:space="0" w:color="E2A277" w:themeColor="accent3" w:themeTint="99"/>
        </w:tcBorders>
      </w:tcPr>
    </w:tblStylePr>
  </w:style>
  <w:style w:type="table" w:styleId="GridTable3-Accent4">
    <w:name w:val="Grid Table 3 Accent 4"/>
    <w:basedOn w:val="TableNormal"/>
    <w:uiPriority w:val="48"/>
    <w:rsid w:val="00CE0A7F"/>
    <w:pPr>
      <w:spacing w:after="0"/>
    </w:p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CE5" w:themeFill="accent4" w:themeFillTint="33"/>
      </w:tcPr>
    </w:tblStylePr>
    <w:tblStylePr w:type="band1Horz">
      <w:tblPr/>
      <w:tcPr>
        <w:shd w:val="clear" w:color="auto" w:fill="F6CCE5" w:themeFill="accent4" w:themeFillTint="33"/>
      </w:tcPr>
    </w:tblStylePr>
    <w:tblStylePr w:type="neCell">
      <w:tblPr/>
      <w:tcPr>
        <w:tcBorders>
          <w:bottom w:val="single" w:sz="4" w:space="0" w:color="E567B2" w:themeColor="accent4" w:themeTint="99"/>
        </w:tcBorders>
      </w:tcPr>
    </w:tblStylePr>
    <w:tblStylePr w:type="nwCell">
      <w:tblPr/>
      <w:tcPr>
        <w:tcBorders>
          <w:bottom w:val="single" w:sz="4" w:space="0" w:color="E567B2" w:themeColor="accent4" w:themeTint="99"/>
        </w:tcBorders>
      </w:tcPr>
    </w:tblStylePr>
    <w:tblStylePr w:type="seCell">
      <w:tblPr/>
      <w:tcPr>
        <w:tcBorders>
          <w:top w:val="single" w:sz="4" w:space="0" w:color="E567B2" w:themeColor="accent4" w:themeTint="99"/>
        </w:tcBorders>
      </w:tcPr>
    </w:tblStylePr>
    <w:tblStylePr w:type="swCell">
      <w:tblPr/>
      <w:tcPr>
        <w:tcBorders>
          <w:top w:val="single" w:sz="4" w:space="0" w:color="E567B2" w:themeColor="accent4" w:themeTint="99"/>
        </w:tcBorders>
      </w:tcPr>
    </w:tblStylePr>
  </w:style>
  <w:style w:type="table" w:styleId="GridTable3-Accent5">
    <w:name w:val="Grid Table 3 Accent 5"/>
    <w:basedOn w:val="TableNormal"/>
    <w:uiPriority w:val="48"/>
    <w:rsid w:val="00CE0A7F"/>
    <w:pPr>
      <w:spacing w:after="0"/>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styleId="GridTable3-Accent6">
    <w:name w:val="Grid Table 3 Accent 6"/>
    <w:basedOn w:val="TableNormal"/>
    <w:uiPriority w:val="48"/>
    <w:rsid w:val="00CE0A7F"/>
    <w:pPr>
      <w:spacing w:after="0"/>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GridTable4">
    <w:name w:val="Grid Table 4"/>
    <w:basedOn w:val="TableNormal"/>
    <w:uiPriority w:val="49"/>
    <w:rsid w:val="00CE0A7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E0A7F"/>
    <w:pPr>
      <w:spacing w:after="0"/>
    </w:p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color w:val="FFFFFF" w:themeColor="background1"/>
      </w:rPr>
      <w:tblPr/>
      <w:tcPr>
        <w:tcBorders>
          <w:top w:val="single" w:sz="4" w:space="0" w:color="109146" w:themeColor="accent1"/>
          <w:left w:val="single" w:sz="4" w:space="0" w:color="109146" w:themeColor="accent1"/>
          <w:bottom w:val="single" w:sz="4" w:space="0" w:color="109146" w:themeColor="accent1"/>
          <w:right w:val="single" w:sz="4" w:space="0" w:color="109146" w:themeColor="accent1"/>
          <w:insideH w:val="nil"/>
          <w:insideV w:val="nil"/>
        </w:tcBorders>
        <w:shd w:val="clear" w:color="auto" w:fill="109146" w:themeFill="accent1"/>
      </w:tcPr>
    </w:tblStylePr>
    <w:tblStylePr w:type="lastRow">
      <w:rPr>
        <w:b/>
        <w:bCs/>
      </w:rPr>
      <w:tblPr/>
      <w:tcPr>
        <w:tcBorders>
          <w:top w:val="double" w:sz="4" w:space="0" w:color="109146" w:themeColor="accent1"/>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GridTable4-Accent3">
    <w:name w:val="Grid Table 4 Accent 3"/>
    <w:basedOn w:val="TableNormal"/>
    <w:uiPriority w:val="49"/>
    <w:rsid w:val="00CE0A7F"/>
    <w:pPr>
      <w:spacing w:after="0"/>
    </w:p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color w:val="FFFFFF" w:themeColor="background1"/>
      </w:rPr>
      <w:tblPr/>
      <w:tcPr>
        <w:tcBorders>
          <w:top w:val="single" w:sz="4" w:space="0" w:color="C56829" w:themeColor="accent3"/>
          <w:left w:val="single" w:sz="4" w:space="0" w:color="C56829" w:themeColor="accent3"/>
          <w:bottom w:val="single" w:sz="4" w:space="0" w:color="C56829" w:themeColor="accent3"/>
          <w:right w:val="single" w:sz="4" w:space="0" w:color="C56829" w:themeColor="accent3"/>
          <w:insideH w:val="nil"/>
          <w:insideV w:val="nil"/>
        </w:tcBorders>
        <w:shd w:val="clear" w:color="auto" w:fill="C56829" w:themeFill="accent3"/>
      </w:tcPr>
    </w:tblStylePr>
    <w:tblStylePr w:type="lastRow">
      <w:rPr>
        <w:b/>
        <w:bCs/>
      </w:rPr>
      <w:tblPr/>
      <w:tcPr>
        <w:tcBorders>
          <w:top w:val="double" w:sz="4" w:space="0" w:color="C56829" w:themeColor="accent3"/>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GridTable4-Accent4">
    <w:name w:val="Grid Table 4 Accent 4"/>
    <w:basedOn w:val="TableNormal"/>
    <w:uiPriority w:val="49"/>
    <w:rsid w:val="00CE0A7F"/>
    <w:pPr>
      <w:spacing w:after="0"/>
    </w:p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color w:val="FFFFFF" w:themeColor="background1"/>
      </w:rPr>
      <w:tblPr/>
      <w:tcPr>
        <w:tcBorders>
          <w:top w:val="single" w:sz="4" w:space="0" w:color="B71F7A" w:themeColor="accent4"/>
          <w:left w:val="single" w:sz="4" w:space="0" w:color="B71F7A" w:themeColor="accent4"/>
          <w:bottom w:val="single" w:sz="4" w:space="0" w:color="B71F7A" w:themeColor="accent4"/>
          <w:right w:val="single" w:sz="4" w:space="0" w:color="B71F7A" w:themeColor="accent4"/>
          <w:insideH w:val="nil"/>
          <w:insideV w:val="nil"/>
        </w:tcBorders>
        <w:shd w:val="clear" w:color="auto" w:fill="B71F7A" w:themeFill="accent4"/>
      </w:tcPr>
    </w:tblStylePr>
    <w:tblStylePr w:type="lastRow">
      <w:rPr>
        <w:b/>
        <w:bCs/>
      </w:rPr>
      <w:tblPr/>
      <w:tcPr>
        <w:tcBorders>
          <w:top w:val="double" w:sz="4" w:space="0" w:color="B71F7A" w:themeColor="accent4"/>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GridTable4-Accent5">
    <w:name w:val="Grid Table 4 Accent 5"/>
    <w:basedOn w:val="TableNormal"/>
    <w:uiPriority w:val="49"/>
    <w:rsid w:val="00CE0A7F"/>
    <w:pPr>
      <w:spacing w:after="0"/>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GridTable4-Accent6">
    <w:name w:val="Grid Table 4 Accent 6"/>
    <w:basedOn w:val="TableNormal"/>
    <w:uiPriority w:val="49"/>
    <w:rsid w:val="00CE0A7F"/>
    <w:pPr>
      <w:spacing w:after="0"/>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insideV w:val="nil"/>
        </w:tcBorders>
        <w:shd w:val="clear" w:color="auto" w:fill="FFC000" w:themeFill="accent6"/>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5Dark">
    <w:name w:val="Grid Table 5 Dark"/>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8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14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14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14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146" w:themeFill="accent1"/>
      </w:tcPr>
    </w:tblStylePr>
    <w:tblStylePr w:type="band1Vert">
      <w:tblPr/>
      <w:tcPr>
        <w:shd w:val="clear" w:color="auto" w:fill="81F1AF" w:themeFill="accent1" w:themeFillTint="66"/>
      </w:tcPr>
    </w:tblStylePr>
    <w:tblStylePr w:type="band1Horz">
      <w:tblPr/>
      <w:tcPr>
        <w:shd w:val="clear" w:color="auto" w:fill="81F1AF" w:themeFill="accent1" w:themeFillTint="66"/>
      </w:tcPr>
    </w:tblStylePr>
  </w:style>
  <w:style w:type="table" w:styleId="GridTable5Dark-Accent2">
    <w:name w:val="Grid Table 5 Dark Accent 2"/>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A7C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A7C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A7C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A7C4" w:themeFill="accent2"/>
      </w:tcPr>
    </w:tblStylePr>
    <w:tblStylePr w:type="band1Vert">
      <w:tblPr/>
      <w:tcPr>
        <w:shd w:val="clear" w:color="auto" w:fill="95E3F3" w:themeFill="accent2" w:themeFillTint="66"/>
      </w:tcPr>
    </w:tblStylePr>
    <w:tblStylePr w:type="band1Horz">
      <w:tblPr/>
      <w:tcPr>
        <w:shd w:val="clear" w:color="auto" w:fill="95E3F3" w:themeFill="accent2" w:themeFillTint="66"/>
      </w:tcPr>
    </w:tblStylePr>
  </w:style>
  <w:style w:type="table" w:styleId="GridTable5Dark-Accent3">
    <w:name w:val="Grid Table 5 Dark Accent 3"/>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0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568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568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568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56829" w:themeFill="accent3"/>
      </w:tcPr>
    </w:tblStylePr>
    <w:tblStylePr w:type="band1Vert">
      <w:tblPr/>
      <w:tcPr>
        <w:shd w:val="clear" w:color="auto" w:fill="ECC1A4" w:themeFill="accent3" w:themeFillTint="66"/>
      </w:tcPr>
    </w:tblStylePr>
    <w:tblStylePr w:type="band1Horz">
      <w:tblPr/>
      <w:tcPr>
        <w:shd w:val="clear" w:color="auto" w:fill="ECC1A4" w:themeFill="accent3" w:themeFillTint="66"/>
      </w:tcPr>
    </w:tblStylePr>
  </w:style>
  <w:style w:type="table" w:styleId="GridTable5Dark-Accent4">
    <w:name w:val="Grid Table 5 Dark Accent 4"/>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C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1F7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1F7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1F7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1F7A" w:themeFill="accent4"/>
      </w:tcPr>
    </w:tblStylePr>
    <w:tblStylePr w:type="band1Vert">
      <w:tblPr/>
      <w:tcPr>
        <w:shd w:val="clear" w:color="auto" w:fill="ED99CB" w:themeFill="accent4" w:themeFillTint="66"/>
      </w:tcPr>
    </w:tblStylePr>
    <w:tblStylePr w:type="band1Horz">
      <w:tblPr/>
      <w:tcPr>
        <w:shd w:val="clear" w:color="auto" w:fill="ED99CB" w:themeFill="accent4" w:themeFillTint="66"/>
      </w:tcPr>
    </w:tblStylePr>
  </w:style>
  <w:style w:type="table" w:styleId="GridTable5Dark-Accent5">
    <w:name w:val="Grid Table 5 Dark Accent 5"/>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styleId="GridTable5Dark-Accent6">
    <w:name w:val="Grid Table 5 Dark Accent 6"/>
    <w:basedOn w:val="TableNormal"/>
    <w:uiPriority w:val="50"/>
    <w:rsid w:val="00CE0A7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6"/>
      </w:tcPr>
    </w:tblStylePr>
    <w:tblStylePr w:type="band1Vert">
      <w:tblPr/>
      <w:tcPr>
        <w:shd w:val="clear" w:color="auto" w:fill="FFE599" w:themeFill="accent6" w:themeFillTint="66"/>
      </w:tcPr>
    </w:tblStylePr>
    <w:tblStylePr w:type="band1Horz">
      <w:tblPr/>
      <w:tcPr>
        <w:shd w:val="clear" w:color="auto" w:fill="FFE599" w:themeFill="accent6" w:themeFillTint="66"/>
      </w:tcPr>
    </w:tblStylePr>
  </w:style>
  <w:style w:type="table" w:styleId="GridTable6Colorful">
    <w:name w:val="Grid Table 6 Colorful"/>
    <w:basedOn w:val="TableNormal"/>
    <w:uiPriority w:val="51"/>
    <w:rsid w:val="00CE0A7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0A7F"/>
    <w:pPr>
      <w:spacing w:after="0"/>
    </w:pPr>
    <w:rPr>
      <w:color w:val="0C6C34" w:themeColor="accent1" w:themeShade="BF"/>
    </w:r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rPr>
      <w:tblPr/>
      <w:tcPr>
        <w:tcBorders>
          <w:bottom w:val="single" w:sz="12" w:space="0" w:color="42EA88" w:themeColor="accent1" w:themeTint="99"/>
        </w:tcBorders>
      </w:tcPr>
    </w:tblStylePr>
    <w:tblStylePr w:type="lastRow">
      <w:rPr>
        <w:b/>
        <w:bCs/>
      </w:rPr>
      <w:tblPr/>
      <w:tcPr>
        <w:tcBorders>
          <w:top w:val="double" w:sz="4" w:space="0" w:color="42EA88" w:themeColor="accent1" w:themeTint="99"/>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GridTable6Colorful-Accent2">
    <w:name w:val="Grid Table 6 Colorful Accent 2"/>
    <w:basedOn w:val="TableNormal"/>
    <w:uiPriority w:val="51"/>
    <w:rsid w:val="00CE0A7F"/>
    <w:pPr>
      <w:spacing w:after="0"/>
    </w:pPr>
    <w:rPr>
      <w:color w:val="107C92" w:themeColor="accent2" w:themeShade="BF"/>
    </w:r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rPr>
      <w:tblPr/>
      <w:tcPr>
        <w:tcBorders>
          <w:bottom w:val="single" w:sz="12" w:space="0" w:color="61D5ED" w:themeColor="accent2" w:themeTint="99"/>
        </w:tcBorders>
      </w:tcPr>
    </w:tblStylePr>
    <w:tblStylePr w:type="lastRow">
      <w:rPr>
        <w:b/>
        <w:bCs/>
      </w:rPr>
      <w:tblPr/>
      <w:tcPr>
        <w:tcBorders>
          <w:top w:val="double" w:sz="4" w:space="0" w:color="61D5ED" w:themeColor="accent2" w:themeTint="99"/>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GridTable6Colorful-Accent3">
    <w:name w:val="Grid Table 6 Colorful Accent 3"/>
    <w:basedOn w:val="TableNormal"/>
    <w:uiPriority w:val="51"/>
    <w:rsid w:val="00CE0A7F"/>
    <w:pPr>
      <w:spacing w:after="0"/>
    </w:pPr>
    <w:rPr>
      <w:color w:val="934D1E" w:themeColor="accent3" w:themeShade="BF"/>
    </w:r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rPr>
      <w:tblPr/>
      <w:tcPr>
        <w:tcBorders>
          <w:bottom w:val="single" w:sz="12" w:space="0" w:color="E2A277" w:themeColor="accent3" w:themeTint="99"/>
        </w:tcBorders>
      </w:tcPr>
    </w:tblStylePr>
    <w:tblStylePr w:type="lastRow">
      <w:rPr>
        <w:b/>
        <w:bCs/>
      </w:rPr>
      <w:tblPr/>
      <w:tcPr>
        <w:tcBorders>
          <w:top w:val="double" w:sz="4" w:space="0" w:color="E2A277" w:themeColor="accent3" w:themeTint="99"/>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GridTable6Colorful-Accent4">
    <w:name w:val="Grid Table 6 Colorful Accent 4"/>
    <w:basedOn w:val="TableNormal"/>
    <w:uiPriority w:val="51"/>
    <w:rsid w:val="00CE0A7F"/>
    <w:pPr>
      <w:spacing w:after="0"/>
    </w:pPr>
    <w:rPr>
      <w:color w:val="88175A" w:themeColor="accent4" w:themeShade="BF"/>
    </w:r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rPr>
      <w:tblPr/>
      <w:tcPr>
        <w:tcBorders>
          <w:bottom w:val="single" w:sz="12" w:space="0" w:color="E567B2" w:themeColor="accent4" w:themeTint="99"/>
        </w:tcBorders>
      </w:tcPr>
    </w:tblStylePr>
    <w:tblStylePr w:type="lastRow">
      <w:rPr>
        <w:b/>
        <w:bCs/>
      </w:rPr>
      <w:tblPr/>
      <w:tcPr>
        <w:tcBorders>
          <w:top w:val="double" w:sz="4" w:space="0" w:color="E567B2" w:themeColor="accent4" w:themeTint="99"/>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GridTable6Colorful-Accent5">
    <w:name w:val="Grid Table 6 Colorful Accent 5"/>
    <w:basedOn w:val="TableNormal"/>
    <w:uiPriority w:val="51"/>
    <w:rsid w:val="00CE0A7F"/>
    <w:pPr>
      <w:spacing w:after="0"/>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GridTable6Colorful-Accent6">
    <w:name w:val="Grid Table 6 Colorful Accent 6"/>
    <w:basedOn w:val="TableNormal"/>
    <w:uiPriority w:val="51"/>
    <w:rsid w:val="00CE0A7F"/>
    <w:pPr>
      <w:spacing w:after="0"/>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7Colorful">
    <w:name w:val="Grid Table 7 Colorful"/>
    <w:basedOn w:val="TableNormal"/>
    <w:uiPriority w:val="52"/>
    <w:rsid w:val="00CE0A7F"/>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E0A7F"/>
    <w:pPr>
      <w:spacing w:after="0"/>
    </w:pPr>
    <w:rPr>
      <w:color w:val="0C6C34" w:themeColor="accent1" w:themeShade="BF"/>
    </w:r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insideV w:val="single" w:sz="4" w:space="0" w:color="42E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8D7" w:themeFill="accent1" w:themeFillTint="33"/>
      </w:tcPr>
    </w:tblStylePr>
    <w:tblStylePr w:type="band1Horz">
      <w:tblPr/>
      <w:tcPr>
        <w:shd w:val="clear" w:color="auto" w:fill="BFF8D7" w:themeFill="accent1" w:themeFillTint="33"/>
      </w:tcPr>
    </w:tblStylePr>
    <w:tblStylePr w:type="neCell">
      <w:tblPr/>
      <w:tcPr>
        <w:tcBorders>
          <w:bottom w:val="single" w:sz="4" w:space="0" w:color="42EA88" w:themeColor="accent1" w:themeTint="99"/>
        </w:tcBorders>
      </w:tcPr>
    </w:tblStylePr>
    <w:tblStylePr w:type="nwCell">
      <w:tblPr/>
      <w:tcPr>
        <w:tcBorders>
          <w:bottom w:val="single" w:sz="4" w:space="0" w:color="42EA88" w:themeColor="accent1" w:themeTint="99"/>
        </w:tcBorders>
      </w:tcPr>
    </w:tblStylePr>
    <w:tblStylePr w:type="seCell">
      <w:tblPr/>
      <w:tcPr>
        <w:tcBorders>
          <w:top w:val="single" w:sz="4" w:space="0" w:color="42EA88" w:themeColor="accent1" w:themeTint="99"/>
        </w:tcBorders>
      </w:tcPr>
    </w:tblStylePr>
    <w:tblStylePr w:type="swCell">
      <w:tblPr/>
      <w:tcPr>
        <w:tcBorders>
          <w:top w:val="single" w:sz="4" w:space="0" w:color="42EA88" w:themeColor="accent1" w:themeTint="99"/>
        </w:tcBorders>
      </w:tcPr>
    </w:tblStylePr>
  </w:style>
  <w:style w:type="table" w:styleId="GridTable7Colorful-Accent2">
    <w:name w:val="Grid Table 7 Colorful Accent 2"/>
    <w:basedOn w:val="TableNormal"/>
    <w:uiPriority w:val="52"/>
    <w:rsid w:val="00CE0A7F"/>
    <w:pPr>
      <w:spacing w:after="0"/>
    </w:pPr>
    <w:rPr>
      <w:color w:val="107C92" w:themeColor="accent2" w:themeShade="BF"/>
    </w:r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insideV w:val="single" w:sz="4" w:space="0" w:color="61D5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9" w:themeFill="accent2" w:themeFillTint="33"/>
      </w:tcPr>
    </w:tblStylePr>
    <w:tblStylePr w:type="band1Horz">
      <w:tblPr/>
      <w:tcPr>
        <w:shd w:val="clear" w:color="auto" w:fill="CAF1F9" w:themeFill="accent2" w:themeFillTint="33"/>
      </w:tcPr>
    </w:tblStylePr>
    <w:tblStylePr w:type="neCell">
      <w:tblPr/>
      <w:tcPr>
        <w:tcBorders>
          <w:bottom w:val="single" w:sz="4" w:space="0" w:color="61D5ED" w:themeColor="accent2" w:themeTint="99"/>
        </w:tcBorders>
      </w:tcPr>
    </w:tblStylePr>
    <w:tblStylePr w:type="nwCell">
      <w:tblPr/>
      <w:tcPr>
        <w:tcBorders>
          <w:bottom w:val="single" w:sz="4" w:space="0" w:color="61D5ED" w:themeColor="accent2" w:themeTint="99"/>
        </w:tcBorders>
      </w:tcPr>
    </w:tblStylePr>
    <w:tblStylePr w:type="seCell">
      <w:tblPr/>
      <w:tcPr>
        <w:tcBorders>
          <w:top w:val="single" w:sz="4" w:space="0" w:color="61D5ED" w:themeColor="accent2" w:themeTint="99"/>
        </w:tcBorders>
      </w:tcPr>
    </w:tblStylePr>
    <w:tblStylePr w:type="swCell">
      <w:tblPr/>
      <w:tcPr>
        <w:tcBorders>
          <w:top w:val="single" w:sz="4" w:space="0" w:color="61D5ED" w:themeColor="accent2" w:themeTint="99"/>
        </w:tcBorders>
      </w:tcPr>
    </w:tblStylePr>
  </w:style>
  <w:style w:type="table" w:styleId="GridTable7Colorful-Accent3">
    <w:name w:val="Grid Table 7 Colorful Accent 3"/>
    <w:basedOn w:val="TableNormal"/>
    <w:uiPriority w:val="52"/>
    <w:rsid w:val="00CE0A7F"/>
    <w:pPr>
      <w:spacing w:after="0"/>
    </w:pPr>
    <w:rPr>
      <w:color w:val="934D1E" w:themeColor="accent3" w:themeShade="BF"/>
    </w:r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insideV w:val="single" w:sz="4" w:space="0" w:color="E2A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0D1" w:themeFill="accent3" w:themeFillTint="33"/>
      </w:tcPr>
    </w:tblStylePr>
    <w:tblStylePr w:type="band1Horz">
      <w:tblPr/>
      <w:tcPr>
        <w:shd w:val="clear" w:color="auto" w:fill="F5E0D1" w:themeFill="accent3" w:themeFillTint="33"/>
      </w:tcPr>
    </w:tblStylePr>
    <w:tblStylePr w:type="neCell">
      <w:tblPr/>
      <w:tcPr>
        <w:tcBorders>
          <w:bottom w:val="single" w:sz="4" w:space="0" w:color="E2A277" w:themeColor="accent3" w:themeTint="99"/>
        </w:tcBorders>
      </w:tcPr>
    </w:tblStylePr>
    <w:tblStylePr w:type="nwCell">
      <w:tblPr/>
      <w:tcPr>
        <w:tcBorders>
          <w:bottom w:val="single" w:sz="4" w:space="0" w:color="E2A277" w:themeColor="accent3" w:themeTint="99"/>
        </w:tcBorders>
      </w:tcPr>
    </w:tblStylePr>
    <w:tblStylePr w:type="seCell">
      <w:tblPr/>
      <w:tcPr>
        <w:tcBorders>
          <w:top w:val="single" w:sz="4" w:space="0" w:color="E2A277" w:themeColor="accent3" w:themeTint="99"/>
        </w:tcBorders>
      </w:tcPr>
    </w:tblStylePr>
    <w:tblStylePr w:type="swCell">
      <w:tblPr/>
      <w:tcPr>
        <w:tcBorders>
          <w:top w:val="single" w:sz="4" w:space="0" w:color="E2A277" w:themeColor="accent3" w:themeTint="99"/>
        </w:tcBorders>
      </w:tcPr>
    </w:tblStylePr>
  </w:style>
  <w:style w:type="table" w:styleId="GridTable7Colorful-Accent4">
    <w:name w:val="Grid Table 7 Colorful Accent 4"/>
    <w:basedOn w:val="TableNormal"/>
    <w:uiPriority w:val="52"/>
    <w:rsid w:val="00CE0A7F"/>
    <w:pPr>
      <w:spacing w:after="0"/>
    </w:pPr>
    <w:rPr>
      <w:color w:val="88175A" w:themeColor="accent4" w:themeShade="BF"/>
    </w:r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insideV w:val="single" w:sz="4" w:space="0" w:color="E567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CE5" w:themeFill="accent4" w:themeFillTint="33"/>
      </w:tcPr>
    </w:tblStylePr>
    <w:tblStylePr w:type="band1Horz">
      <w:tblPr/>
      <w:tcPr>
        <w:shd w:val="clear" w:color="auto" w:fill="F6CCE5" w:themeFill="accent4" w:themeFillTint="33"/>
      </w:tcPr>
    </w:tblStylePr>
    <w:tblStylePr w:type="neCell">
      <w:tblPr/>
      <w:tcPr>
        <w:tcBorders>
          <w:bottom w:val="single" w:sz="4" w:space="0" w:color="E567B2" w:themeColor="accent4" w:themeTint="99"/>
        </w:tcBorders>
      </w:tcPr>
    </w:tblStylePr>
    <w:tblStylePr w:type="nwCell">
      <w:tblPr/>
      <w:tcPr>
        <w:tcBorders>
          <w:bottom w:val="single" w:sz="4" w:space="0" w:color="E567B2" w:themeColor="accent4" w:themeTint="99"/>
        </w:tcBorders>
      </w:tcPr>
    </w:tblStylePr>
    <w:tblStylePr w:type="seCell">
      <w:tblPr/>
      <w:tcPr>
        <w:tcBorders>
          <w:top w:val="single" w:sz="4" w:space="0" w:color="E567B2" w:themeColor="accent4" w:themeTint="99"/>
        </w:tcBorders>
      </w:tcPr>
    </w:tblStylePr>
    <w:tblStylePr w:type="swCell">
      <w:tblPr/>
      <w:tcPr>
        <w:tcBorders>
          <w:top w:val="single" w:sz="4" w:space="0" w:color="E567B2" w:themeColor="accent4" w:themeTint="99"/>
        </w:tcBorders>
      </w:tcPr>
    </w:tblStylePr>
  </w:style>
  <w:style w:type="table" w:styleId="GridTable7Colorful-Accent5">
    <w:name w:val="Grid Table 7 Colorful Accent 5"/>
    <w:basedOn w:val="TableNormal"/>
    <w:uiPriority w:val="52"/>
    <w:rsid w:val="00CE0A7F"/>
    <w:pPr>
      <w:spacing w:after="0"/>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styleId="GridTable7Colorful-Accent6">
    <w:name w:val="Grid Table 7 Colorful Accent 6"/>
    <w:basedOn w:val="TableNormal"/>
    <w:uiPriority w:val="52"/>
    <w:rsid w:val="00CE0A7F"/>
    <w:pPr>
      <w:spacing w:after="0"/>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character" w:styleId="IntenseEmphasis">
    <w:name w:val="Intense Emphasis"/>
    <w:basedOn w:val="DefaultParagraphFont"/>
    <w:uiPriority w:val="21"/>
    <w:semiHidden/>
    <w:rsid w:val="004D4116"/>
    <w:rPr>
      <w:i/>
      <w:iCs/>
      <w:color w:val="215E94" w:themeColor="text2"/>
      <w:lang w:val="nl-NL"/>
    </w:rPr>
  </w:style>
  <w:style w:type="character" w:styleId="IntenseReference">
    <w:name w:val="Intense Reference"/>
    <w:basedOn w:val="DefaultParagraphFont"/>
    <w:uiPriority w:val="32"/>
    <w:semiHidden/>
    <w:rsid w:val="004D4116"/>
    <w:rPr>
      <w:b/>
      <w:bCs/>
      <w:smallCaps/>
      <w:color w:val="215E94" w:themeColor="text2"/>
      <w:spacing w:val="5"/>
      <w:lang w:val="nl-NL"/>
    </w:rPr>
  </w:style>
  <w:style w:type="table" w:styleId="LightGrid">
    <w:name w:val="Light Grid"/>
    <w:basedOn w:val="TableNormal"/>
    <w:uiPriority w:val="62"/>
    <w:semiHidden/>
    <w:unhideWhenUsed/>
    <w:rsid w:val="00CE0A7F"/>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E0A7F"/>
    <w:pPr>
      <w:spacing w:before="0" w:after="0"/>
    </w:p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insideH w:val="single" w:sz="8" w:space="0" w:color="109146" w:themeColor="accent1"/>
        <w:insideV w:val="single" w:sz="8" w:space="0" w:color="10914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9146" w:themeColor="accent1"/>
          <w:left w:val="single" w:sz="8" w:space="0" w:color="109146" w:themeColor="accent1"/>
          <w:bottom w:val="single" w:sz="18" w:space="0" w:color="109146" w:themeColor="accent1"/>
          <w:right w:val="single" w:sz="8" w:space="0" w:color="109146" w:themeColor="accent1"/>
          <w:insideH w:val="nil"/>
          <w:insideV w:val="single" w:sz="8" w:space="0" w:color="10914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9146" w:themeColor="accent1"/>
          <w:left w:val="single" w:sz="8" w:space="0" w:color="109146" w:themeColor="accent1"/>
          <w:bottom w:val="single" w:sz="8" w:space="0" w:color="109146" w:themeColor="accent1"/>
          <w:right w:val="single" w:sz="8" w:space="0" w:color="109146" w:themeColor="accent1"/>
          <w:insideH w:val="nil"/>
          <w:insideV w:val="single" w:sz="8" w:space="0" w:color="10914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tcPr>
    </w:tblStylePr>
    <w:tblStylePr w:type="band1Vert">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shd w:val="clear" w:color="auto" w:fill="B1F6CD" w:themeFill="accent1" w:themeFillTint="3F"/>
      </w:tcPr>
    </w:tblStylePr>
    <w:tblStylePr w:type="band1Horz">
      <w:tblPr/>
      <w:tcPr>
        <w:tcBorders>
          <w:top w:val="single" w:sz="8" w:space="0" w:color="109146" w:themeColor="accent1"/>
          <w:left w:val="single" w:sz="8" w:space="0" w:color="109146" w:themeColor="accent1"/>
          <w:bottom w:val="single" w:sz="8" w:space="0" w:color="109146" w:themeColor="accent1"/>
          <w:right w:val="single" w:sz="8" w:space="0" w:color="109146" w:themeColor="accent1"/>
          <w:insideV w:val="single" w:sz="8" w:space="0" w:color="109146" w:themeColor="accent1"/>
        </w:tcBorders>
        <w:shd w:val="clear" w:color="auto" w:fill="B1F6CD" w:themeFill="accent1" w:themeFillTint="3F"/>
      </w:tcPr>
    </w:tblStylePr>
    <w:tblStylePr w:type="band2Horz">
      <w:tblPr/>
      <w:tcPr>
        <w:tcBorders>
          <w:top w:val="single" w:sz="8" w:space="0" w:color="109146" w:themeColor="accent1"/>
          <w:left w:val="single" w:sz="8" w:space="0" w:color="109146" w:themeColor="accent1"/>
          <w:bottom w:val="single" w:sz="8" w:space="0" w:color="109146" w:themeColor="accent1"/>
          <w:right w:val="single" w:sz="8" w:space="0" w:color="109146" w:themeColor="accent1"/>
          <w:insideV w:val="single" w:sz="8" w:space="0" w:color="109146" w:themeColor="accent1"/>
        </w:tcBorders>
      </w:tcPr>
    </w:tblStylePr>
  </w:style>
  <w:style w:type="table" w:styleId="LightGrid-Accent2">
    <w:name w:val="Light Grid Accent 2"/>
    <w:basedOn w:val="TableNormal"/>
    <w:uiPriority w:val="62"/>
    <w:semiHidden/>
    <w:unhideWhenUsed/>
    <w:rsid w:val="00CE0A7F"/>
    <w:pPr>
      <w:spacing w:before="0" w:after="0"/>
    </w:p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insideH w:val="single" w:sz="8" w:space="0" w:color="16A7C4" w:themeColor="accent2"/>
        <w:insideV w:val="single" w:sz="8" w:space="0" w:color="16A7C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A7C4" w:themeColor="accent2"/>
          <w:left w:val="single" w:sz="8" w:space="0" w:color="16A7C4" w:themeColor="accent2"/>
          <w:bottom w:val="single" w:sz="18" w:space="0" w:color="16A7C4" w:themeColor="accent2"/>
          <w:right w:val="single" w:sz="8" w:space="0" w:color="16A7C4" w:themeColor="accent2"/>
          <w:insideH w:val="nil"/>
          <w:insideV w:val="single" w:sz="8" w:space="0" w:color="16A7C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A7C4" w:themeColor="accent2"/>
          <w:left w:val="single" w:sz="8" w:space="0" w:color="16A7C4" w:themeColor="accent2"/>
          <w:bottom w:val="single" w:sz="8" w:space="0" w:color="16A7C4" w:themeColor="accent2"/>
          <w:right w:val="single" w:sz="8" w:space="0" w:color="16A7C4" w:themeColor="accent2"/>
          <w:insideH w:val="nil"/>
          <w:insideV w:val="single" w:sz="8" w:space="0" w:color="16A7C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tcPr>
    </w:tblStylePr>
    <w:tblStylePr w:type="band1Vert">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shd w:val="clear" w:color="auto" w:fill="BDEEF7" w:themeFill="accent2" w:themeFillTint="3F"/>
      </w:tcPr>
    </w:tblStylePr>
    <w:tblStylePr w:type="band1Horz">
      <w:tblPr/>
      <w:tcPr>
        <w:tcBorders>
          <w:top w:val="single" w:sz="8" w:space="0" w:color="16A7C4" w:themeColor="accent2"/>
          <w:left w:val="single" w:sz="8" w:space="0" w:color="16A7C4" w:themeColor="accent2"/>
          <w:bottom w:val="single" w:sz="8" w:space="0" w:color="16A7C4" w:themeColor="accent2"/>
          <w:right w:val="single" w:sz="8" w:space="0" w:color="16A7C4" w:themeColor="accent2"/>
          <w:insideV w:val="single" w:sz="8" w:space="0" w:color="16A7C4" w:themeColor="accent2"/>
        </w:tcBorders>
        <w:shd w:val="clear" w:color="auto" w:fill="BDEEF7" w:themeFill="accent2" w:themeFillTint="3F"/>
      </w:tcPr>
    </w:tblStylePr>
    <w:tblStylePr w:type="band2Horz">
      <w:tblPr/>
      <w:tcPr>
        <w:tcBorders>
          <w:top w:val="single" w:sz="8" w:space="0" w:color="16A7C4" w:themeColor="accent2"/>
          <w:left w:val="single" w:sz="8" w:space="0" w:color="16A7C4" w:themeColor="accent2"/>
          <w:bottom w:val="single" w:sz="8" w:space="0" w:color="16A7C4" w:themeColor="accent2"/>
          <w:right w:val="single" w:sz="8" w:space="0" w:color="16A7C4" w:themeColor="accent2"/>
          <w:insideV w:val="single" w:sz="8" w:space="0" w:color="16A7C4" w:themeColor="accent2"/>
        </w:tcBorders>
      </w:tcPr>
    </w:tblStylePr>
  </w:style>
  <w:style w:type="table" w:styleId="LightGrid-Accent3">
    <w:name w:val="Light Grid Accent 3"/>
    <w:basedOn w:val="TableNormal"/>
    <w:uiPriority w:val="62"/>
    <w:semiHidden/>
    <w:unhideWhenUsed/>
    <w:rsid w:val="00CE0A7F"/>
    <w:pPr>
      <w:spacing w:before="0" w:after="0"/>
    </w:p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insideH w:val="single" w:sz="8" w:space="0" w:color="C56829" w:themeColor="accent3"/>
        <w:insideV w:val="single" w:sz="8" w:space="0" w:color="C568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6829" w:themeColor="accent3"/>
          <w:left w:val="single" w:sz="8" w:space="0" w:color="C56829" w:themeColor="accent3"/>
          <w:bottom w:val="single" w:sz="18" w:space="0" w:color="C56829" w:themeColor="accent3"/>
          <w:right w:val="single" w:sz="8" w:space="0" w:color="C56829" w:themeColor="accent3"/>
          <w:insideH w:val="nil"/>
          <w:insideV w:val="single" w:sz="8" w:space="0" w:color="C568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6829" w:themeColor="accent3"/>
          <w:left w:val="single" w:sz="8" w:space="0" w:color="C56829" w:themeColor="accent3"/>
          <w:bottom w:val="single" w:sz="8" w:space="0" w:color="C56829" w:themeColor="accent3"/>
          <w:right w:val="single" w:sz="8" w:space="0" w:color="C56829" w:themeColor="accent3"/>
          <w:insideH w:val="nil"/>
          <w:insideV w:val="single" w:sz="8" w:space="0" w:color="C568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tcPr>
    </w:tblStylePr>
    <w:tblStylePr w:type="band1Vert">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shd w:val="clear" w:color="auto" w:fill="F3D8C7" w:themeFill="accent3" w:themeFillTint="3F"/>
      </w:tcPr>
    </w:tblStylePr>
    <w:tblStylePr w:type="band1Horz">
      <w:tblPr/>
      <w:tcPr>
        <w:tcBorders>
          <w:top w:val="single" w:sz="8" w:space="0" w:color="C56829" w:themeColor="accent3"/>
          <w:left w:val="single" w:sz="8" w:space="0" w:color="C56829" w:themeColor="accent3"/>
          <w:bottom w:val="single" w:sz="8" w:space="0" w:color="C56829" w:themeColor="accent3"/>
          <w:right w:val="single" w:sz="8" w:space="0" w:color="C56829" w:themeColor="accent3"/>
          <w:insideV w:val="single" w:sz="8" w:space="0" w:color="C56829" w:themeColor="accent3"/>
        </w:tcBorders>
        <w:shd w:val="clear" w:color="auto" w:fill="F3D8C7" w:themeFill="accent3" w:themeFillTint="3F"/>
      </w:tcPr>
    </w:tblStylePr>
    <w:tblStylePr w:type="band2Horz">
      <w:tblPr/>
      <w:tcPr>
        <w:tcBorders>
          <w:top w:val="single" w:sz="8" w:space="0" w:color="C56829" w:themeColor="accent3"/>
          <w:left w:val="single" w:sz="8" w:space="0" w:color="C56829" w:themeColor="accent3"/>
          <w:bottom w:val="single" w:sz="8" w:space="0" w:color="C56829" w:themeColor="accent3"/>
          <w:right w:val="single" w:sz="8" w:space="0" w:color="C56829" w:themeColor="accent3"/>
          <w:insideV w:val="single" w:sz="8" w:space="0" w:color="C56829" w:themeColor="accent3"/>
        </w:tcBorders>
      </w:tcPr>
    </w:tblStylePr>
  </w:style>
  <w:style w:type="table" w:styleId="LightGrid-Accent4">
    <w:name w:val="Light Grid Accent 4"/>
    <w:basedOn w:val="TableNormal"/>
    <w:uiPriority w:val="62"/>
    <w:semiHidden/>
    <w:unhideWhenUsed/>
    <w:rsid w:val="00CE0A7F"/>
    <w:pPr>
      <w:spacing w:before="0" w:after="0"/>
    </w:p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insideH w:val="single" w:sz="8" w:space="0" w:color="B71F7A" w:themeColor="accent4"/>
        <w:insideV w:val="single" w:sz="8" w:space="0" w:color="B71F7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F7A" w:themeColor="accent4"/>
          <w:left w:val="single" w:sz="8" w:space="0" w:color="B71F7A" w:themeColor="accent4"/>
          <w:bottom w:val="single" w:sz="18" w:space="0" w:color="B71F7A" w:themeColor="accent4"/>
          <w:right w:val="single" w:sz="8" w:space="0" w:color="B71F7A" w:themeColor="accent4"/>
          <w:insideH w:val="nil"/>
          <w:insideV w:val="single" w:sz="8" w:space="0" w:color="B71F7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F7A" w:themeColor="accent4"/>
          <w:left w:val="single" w:sz="8" w:space="0" w:color="B71F7A" w:themeColor="accent4"/>
          <w:bottom w:val="single" w:sz="8" w:space="0" w:color="B71F7A" w:themeColor="accent4"/>
          <w:right w:val="single" w:sz="8" w:space="0" w:color="B71F7A" w:themeColor="accent4"/>
          <w:insideH w:val="nil"/>
          <w:insideV w:val="single" w:sz="8" w:space="0" w:color="B71F7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tcPr>
    </w:tblStylePr>
    <w:tblStylePr w:type="band1Vert">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shd w:val="clear" w:color="auto" w:fill="F4C0DF" w:themeFill="accent4" w:themeFillTint="3F"/>
      </w:tcPr>
    </w:tblStylePr>
    <w:tblStylePr w:type="band1Horz">
      <w:tblPr/>
      <w:tcPr>
        <w:tcBorders>
          <w:top w:val="single" w:sz="8" w:space="0" w:color="B71F7A" w:themeColor="accent4"/>
          <w:left w:val="single" w:sz="8" w:space="0" w:color="B71F7A" w:themeColor="accent4"/>
          <w:bottom w:val="single" w:sz="8" w:space="0" w:color="B71F7A" w:themeColor="accent4"/>
          <w:right w:val="single" w:sz="8" w:space="0" w:color="B71F7A" w:themeColor="accent4"/>
          <w:insideV w:val="single" w:sz="8" w:space="0" w:color="B71F7A" w:themeColor="accent4"/>
        </w:tcBorders>
        <w:shd w:val="clear" w:color="auto" w:fill="F4C0DF" w:themeFill="accent4" w:themeFillTint="3F"/>
      </w:tcPr>
    </w:tblStylePr>
    <w:tblStylePr w:type="band2Horz">
      <w:tblPr/>
      <w:tcPr>
        <w:tcBorders>
          <w:top w:val="single" w:sz="8" w:space="0" w:color="B71F7A" w:themeColor="accent4"/>
          <w:left w:val="single" w:sz="8" w:space="0" w:color="B71F7A" w:themeColor="accent4"/>
          <w:bottom w:val="single" w:sz="8" w:space="0" w:color="B71F7A" w:themeColor="accent4"/>
          <w:right w:val="single" w:sz="8" w:space="0" w:color="B71F7A" w:themeColor="accent4"/>
          <w:insideV w:val="single" w:sz="8" w:space="0" w:color="B71F7A" w:themeColor="accent4"/>
        </w:tcBorders>
      </w:tcPr>
    </w:tblStylePr>
  </w:style>
  <w:style w:type="table" w:styleId="LightGrid-Accent5">
    <w:name w:val="Light Grid Accent 5"/>
    <w:basedOn w:val="TableNormal"/>
    <w:uiPriority w:val="62"/>
    <w:semiHidden/>
    <w:unhideWhenUsed/>
    <w:rsid w:val="00CE0A7F"/>
    <w:pPr>
      <w:spacing w:before="0" w:after="0"/>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CE0A7F"/>
    <w:pPr>
      <w:spacing w:before="0" w:after="0"/>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18" w:space="0" w:color="FFC000" w:themeColor="accent6"/>
          <w:right w:val="single" w:sz="8" w:space="0" w:color="FFC000" w:themeColor="accent6"/>
          <w:insideH w:val="nil"/>
          <w:insideV w:val="single" w:sz="8" w:space="0" w:color="FFC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insideH w:val="nil"/>
          <w:insideV w:val="single" w:sz="8" w:space="0" w:color="FFC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shd w:val="clear" w:color="auto" w:fill="FFEFC0" w:themeFill="accent6" w:themeFillTint="3F"/>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shd w:val="clear" w:color="auto" w:fill="FFEFC0" w:themeFill="accent6" w:themeFillTint="3F"/>
      </w:tcPr>
    </w:tblStylePr>
    <w:tblStylePr w:type="band2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tcPr>
    </w:tblStylePr>
  </w:style>
  <w:style w:type="table" w:styleId="LightList">
    <w:name w:val="Light List"/>
    <w:basedOn w:val="TableNormal"/>
    <w:uiPriority w:val="61"/>
    <w:semiHidden/>
    <w:unhideWhenUsed/>
    <w:rsid w:val="00CE0A7F"/>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E0A7F"/>
    <w:pPr>
      <w:spacing w:before="0" w:after="0"/>
    </w:p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tblBorders>
    </w:tblPr>
    <w:tblStylePr w:type="firstRow">
      <w:pPr>
        <w:spacing w:before="0" w:after="0" w:line="240" w:lineRule="auto"/>
      </w:pPr>
      <w:rPr>
        <w:b/>
        <w:bCs/>
        <w:color w:val="FFFFFF" w:themeColor="background1"/>
      </w:rPr>
      <w:tblPr/>
      <w:tcPr>
        <w:shd w:val="clear" w:color="auto" w:fill="109146" w:themeFill="accent1"/>
      </w:tcPr>
    </w:tblStylePr>
    <w:tblStylePr w:type="lastRow">
      <w:pPr>
        <w:spacing w:before="0" w:after="0" w:line="240" w:lineRule="auto"/>
      </w:pPr>
      <w:rPr>
        <w:b/>
        <w:bCs/>
      </w:rPr>
      <w:tblPr/>
      <w:tcPr>
        <w:tcBorders>
          <w:top w:val="double" w:sz="6" w:space="0" w:color="109146" w:themeColor="accent1"/>
          <w:left w:val="single" w:sz="8" w:space="0" w:color="109146" w:themeColor="accent1"/>
          <w:bottom w:val="single" w:sz="8" w:space="0" w:color="109146" w:themeColor="accent1"/>
          <w:right w:val="single" w:sz="8" w:space="0" w:color="109146" w:themeColor="accent1"/>
        </w:tcBorders>
      </w:tcPr>
    </w:tblStylePr>
    <w:tblStylePr w:type="firstCol">
      <w:rPr>
        <w:b/>
        <w:bCs/>
      </w:rPr>
    </w:tblStylePr>
    <w:tblStylePr w:type="lastCol">
      <w:rPr>
        <w:b/>
        <w:bCs/>
      </w:rPr>
    </w:tblStylePr>
    <w:tblStylePr w:type="band1Vert">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tcPr>
    </w:tblStylePr>
    <w:tblStylePr w:type="band1Horz">
      <w:tblPr/>
      <w:tcPr>
        <w:tcBorders>
          <w:top w:val="single" w:sz="8" w:space="0" w:color="109146" w:themeColor="accent1"/>
          <w:left w:val="single" w:sz="8" w:space="0" w:color="109146" w:themeColor="accent1"/>
          <w:bottom w:val="single" w:sz="8" w:space="0" w:color="109146" w:themeColor="accent1"/>
          <w:right w:val="single" w:sz="8" w:space="0" w:color="109146" w:themeColor="accent1"/>
        </w:tcBorders>
      </w:tcPr>
    </w:tblStylePr>
  </w:style>
  <w:style w:type="table" w:styleId="LightList-Accent2">
    <w:name w:val="Light List Accent 2"/>
    <w:basedOn w:val="TableNormal"/>
    <w:uiPriority w:val="61"/>
    <w:semiHidden/>
    <w:unhideWhenUsed/>
    <w:rsid w:val="00CE0A7F"/>
    <w:pPr>
      <w:spacing w:before="0" w:after="0"/>
    </w:p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tblBorders>
    </w:tblPr>
    <w:tblStylePr w:type="firstRow">
      <w:pPr>
        <w:spacing w:before="0" w:after="0" w:line="240" w:lineRule="auto"/>
      </w:pPr>
      <w:rPr>
        <w:b/>
        <w:bCs/>
        <w:color w:val="FFFFFF" w:themeColor="background1"/>
      </w:rPr>
      <w:tblPr/>
      <w:tcPr>
        <w:shd w:val="clear" w:color="auto" w:fill="16A7C4" w:themeFill="accent2"/>
      </w:tcPr>
    </w:tblStylePr>
    <w:tblStylePr w:type="lastRow">
      <w:pPr>
        <w:spacing w:before="0" w:after="0" w:line="240" w:lineRule="auto"/>
      </w:pPr>
      <w:rPr>
        <w:b/>
        <w:bCs/>
      </w:rPr>
      <w:tblPr/>
      <w:tcPr>
        <w:tcBorders>
          <w:top w:val="double" w:sz="6" w:space="0" w:color="16A7C4" w:themeColor="accent2"/>
          <w:left w:val="single" w:sz="8" w:space="0" w:color="16A7C4" w:themeColor="accent2"/>
          <w:bottom w:val="single" w:sz="8" w:space="0" w:color="16A7C4" w:themeColor="accent2"/>
          <w:right w:val="single" w:sz="8" w:space="0" w:color="16A7C4" w:themeColor="accent2"/>
        </w:tcBorders>
      </w:tcPr>
    </w:tblStylePr>
    <w:tblStylePr w:type="firstCol">
      <w:rPr>
        <w:b/>
        <w:bCs/>
      </w:rPr>
    </w:tblStylePr>
    <w:tblStylePr w:type="lastCol">
      <w:rPr>
        <w:b/>
        <w:bCs/>
      </w:rPr>
    </w:tblStylePr>
    <w:tblStylePr w:type="band1Vert">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tcPr>
    </w:tblStylePr>
    <w:tblStylePr w:type="band1Horz">
      <w:tblPr/>
      <w:tcPr>
        <w:tcBorders>
          <w:top w:val="single" w:sz="8" w:space="0" w:color="16A7C4" w:themeColor="accent2"/>
          <w:left w:val="single" w:sz="8" w:space="0" w:color="16A7C4" w:themeColor="accent2"/>
          <w:bottom w:val="single" w:sz="8" w:space="0" w:color="16A7C4" w:themeColor="accent2"/>
          <w:right w:val="single" w:sz="8" w:space="0" w:color="16A7C4" w:themeColor="accent2"/>
        </w:tcBorders>
      </w:tcPr>
    </w:tblStylePr>
  </w:style>
  <w:style w:type="table" w:styleId="LightList-Accent3">
    <w:name w:val="Light List Accent 3"/>
    <w:basedOn w:val="TableNormal"/>
    <w:uiPriority w:val="61"/>
    <w:semiHidden/>
    <w:unhideWhenUsed/>
    <w:rsid w:val="00CE0A7F"/>
    <w:pPr>
      <w:spacing w:before="0" w:after="0"/>
    </w:p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tblBorders>
    </w:tblPr>
    <w:tblStylePr w:type="firstRow">
      <w:pPr>
        <w:spacing w:before="0" w:after="0" w:line="240" w:lineRule="auto"/>
      </w:pPr>
      <w:rPr>
        <w:b/>
        <w:bCs/>
        <w:color w:val="FFFFFF" w:themeColor="background1"/>
      </w:rPr>
      <w:tblPr/>
      <w:tcPr>
        <w:shd w:val="clear" w:color="auto" w:fill="C56829" w:themeFill="accent3"/>
      </w:tcPr>
    </w:tblStylePr>
    <w:tblStylePr w:type="lastRow">
      <w:pPr>
        <w:spacing w:before="0" w:after="0" w:line="240" w:lineRule="auto"/>
      </w:pPr>
      <w:rPr>
        <w:b/>
        <w:bCs/>
      </w:rPr>
      <w:tblPr/>
      <w:tcPr>
        <w:tcBorders>
          <w:top w:val="double" w:sz="6" w:space="0" w:color="C56829" w:themeColor="accent3"/>
          <w:left w:val="single" w:sz="8" w:space="0" w:color="C56829" w:themeColor="accent3"/>
          <w:bottom w:val="single" w:sz="8" w:space="0" w:color="C56829" w:themeColor="accent3"/>
          <w:right w:val="single" w:sz="8" w:space="0" w:color="C56829" w:themeColor="accent3"/>
        </w:tcBorders>
      </w:tcPr>
    </w:tblStylePr>
    <w:tblStylePr w:type="firstCol">
      <w:rPr>
        <w:b/>
        <w:bCs/>
      </w:rPr>
    </w:tblStylePr>
    <w:tblStylePr w:type="lastCol">
      <w:rPr>
        <w:b/>
        <w:bCs/>
      </w:rPr>
    </w:tblStylePr>
    <w:tblStylePr w:type="band1Vert">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tcPr>
    </w:tblStylePr>
    <w:tblStylePr w:type="band1Horz">
      <w:tblPr/>
      <w:tcPr>
        <w:tcBorders>
          <w:top w:val="single" w:sz="8" w:space="0" w:color="C56829" w:themeColor="accent3"/>
          <w:left w:val="single" w:sz="8" w:space="0" w:color="C56829" w:themeColor="accent3"/>
          <w:bottom w:val="single" w:sz="8" w:space="0" w:color="C56829" w:themeColor="accent3"/>
          <w:right w:val="single" w:sz="8" w:space="0" w:color="C56829" w:themeColor="accent3"/>
        </w:tcBorders>
      </w:tcPr>
    </w:tblStylePr>
  </w:style>
  <w:style w:type="table" w:styleId="LightList-Accent4">
    <w:name w:val="Light List Accent 4"/>
    <w:basedOn w:val="TableNormal"/>
    <w:uiPriority w:val="61"/>
    <w:semiHidden/>
    <w:unhideWhenUsed/>
    <w:rsid w:val="00CE0A7F"/>
    <w:pPr>
      <w:spacing w:before="0" w:after="0"/>
    </w:p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tblBorders>
    </w:tblPr>
    <w:tblStylePr w:type="firstRow">
      <w:pPr>
        <w:spacing w:before="0" w:after="0" w:line="240" w:lineRule="auto"/>
      </w:pPr>
      <w:rPr>
        <w:b/>
        <w:bCs/>
        <w:color w:val="FFFFFF" w:themeColor="background1"/>
      </w:rPr>
      <w:tblPr/>
      <w:tcPr>
        <w:shd w:val="clear" w:color="auto" w:fill="B71F7A" w:themeFill="accent4"/>
      </w:tcPr>
    </w:tblStylePr>
    <w:tblStylePr w:type="lastRow">
      <w:pPr>
        <w:spacing w:before="0" w:after="0" w:line="240" w:lineRule="auto"/>
      </w:pPr>
      <w:rPr>
        <w:b/>
        <w:bCs/>
      </w:rPr>
      <w:tblPr/>
      <w:tcPr>
        <w:tcBorders>
          <w:top w:val="double" w:sz="6" w:space="0" w:color="B71F7A" w:themeColor="accent4"/>
          <w:left w:val="single" w:sz="8" w:space="0" w:color="B71F7A" w:themeColor="accent4"/>
          <w:bottom w:val="single" w:sz="8" w:space="0" w:color="B71F7A" w:themeColor="accent4"/>
          <w:right w:val="single" w:sz="8" w:space="0" w:color="B71F7A" w:themeColor="accent4"/>
        </w:tcBorders>
      </w:tcPr>
    </w:tblStylePr>
    <w:tblStylePr w:type="firstCol">
      <w:rPr>
        <w:b/>
        <w:bCs/>
      </w:rPr>
    </w:tblStylePr>
    <w:tblStylePr w:type="lastCol">
      <w:rPr>
        <w:b/>
        <w:bCs/>
      </w:rPr>
    </w:tblStylePr>
    <w:tblStylePr w:type="band1Vert">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tcPr>
    </w:tblStylePr>
    <w:tblStylePr w:type="band1Horz">
      <w:tblPr/>
      <w:tcPr>
        <w:tcBorders>
          <w:top w:val="single" w:sz="8" w:space="0" w:color="B71F7A" w:themeColor="accent4"/>
          <w:left w:val="single" w:sz="8" w:space="0" w:color="B71F7A" w:themeColor="accent4"/>
          <w:bottom w:val="single" w:sz="8" w:space="0" w:color="B71F7A" w:themeColor="accent4"/>
          <w:right w:val="single" w:sz="8" w:space="0" w:color="B71F7A" w:themeColor="accent4"/>
        </w:tcBorders>
      </w:tcPr>
    </w:tblStylePr>
  </w:style>
  <w:style w:type="table" w:styleId="LightList-Accent5">
    <w:name w:val="Light List Accent 5"/>
    <w:basedOn w:val="TableNormal"/>
    <w:uiPriority w:val="61"/>
    <w:semiHidden/>
    <w:unhideWhenUsed/>
    <w:rsid w:val="00CE0A7F"/>
    <w:pPr>
      <w:spacing w:before="0" w:after="0"/>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CE0A7F"/>
    <w:pPr>
      <w:spacing w:before="0" w:after="0"/>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pPr>
        <w:spacing w:before="0" w:after="0" w:line="240" w:lineRule="auto"/>
      </w:pPr>
      <w:rPr>
        <w:b/>
        <w:bCs/>
        <w:color w:val="FFFFFF" w:themeColor="background1"/>
      </w:rPr>
      <w:tblPr/>
      <w:tcPr>
        <w:shd w:val="clear" w:color="auto" w:fill="FFC000" w:themeFill="accent6"/>
      </w:tcPr>
    </w:tblStylePr>
    <w:tblStylePr w:type="lastRow">
      <w:pPr>
        <w:spacing w:before="0" w:after="0" w:line="240" w:lineRule="auto"/>
      </w:pPr>
      <w:rPr>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tcBorders>
      </w:tcPr>
    </w:tblStylePr>
    <w:tblStylePr w:type="firstCol">
      <w:rPr>
        <w:b/>
        <w:bCs/>
      </w:rPr>
    </w:tblStylePr>
    <w:tblStylePr w:type="lastCol">
      <w:rPr>
        <w:b/>
        <w:bCs/>
      </w:r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style>
  <w:style w:type="table" w:styleId="LightShading-Accent1">
    <w:name w:val="Light Shading Accent 1"/>
    <w:basedOn w:val="TableNormal"/>
    <w:uiPriority w:val="60"/>
    <w:semiHidden/>
    <w:unhideWhenUsed/>
    <w:rsid w:val="00CE0A7F"/>
    <w:pPr>
      <w:spacing w:before="0" w:after="0"/>
    </w:pPr>
    <w:rPr>
      <w:color w:val="0C6C34" w:themeColor="accent1" w:themeShade="BF"/>
    </w:rPr>
    <w:tblPr>
      <w:tblStyleRowBandSize w:val="1"/>
      <w:tblStyleColBandSize w:val="1"/>
      <w:tblBorders>
        <w:top w:val="single" w:sz="8" w:space="0" w:color="109146" w:themeColor="accent1"/>
        <w:bottom w:val="single" w:sz="8" w:space="0" w:color="109146" w:themeColor="accent1"/>
      </w:tblBorders>
    </w:tblPr>
    <w:tblStylePr w:type="firstRow">
      <w:pPr>
        <w:spacing w:before="0" w:after="0" w:line="240" w:lineRule="auto"/>
      </w:pPr>
      <w:rPr>
        <w:b/>
        <w:bCs/>
      </w:rPr>
      <w:tblPr/>
      <w:tcPr>
        <w:tcBorders>
          <w:top w:val="single" w:sz="8" w:space="0" w:color="109146" w:themeColor="accent1"/>
          <w:left w:val="nil"/>
          <w:bottom w:val="single" w:sz="8" w:space="0" w:color="109146" w:themeColor="accent1"/>
          <w:right w:val="nil"/>
          <w:insideH w:val="nil"/>
          <w:insideV w:val="nil"/>
        </w:tcBorders>
      </w:tcPr>
    </w:tblStylePr>
    <w:tblStylePr w:type="lastRow">
      <w:pPr>
        <w:spacing w:before="0" w:after="0" w:line="240" w:lineRule="auto"/>
      </w:pPr>
      <w:rPr>
        <w:b/>
        <w:bCs/>
      </w:rPr>
      <w:tblPr/>
      <w:tcPr>
        <w:tcBorders>
          <w:top w:val="single" w:sz="8" w:space="0" w:color="109146" w:themeColor="accent1"/>
          <w:left w:val="nil"/>
          <w:bottom w:val="single" w:sz="8" w:space="0" w:color="10914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6CD" w:themeFill="accent1" w:themeFillTint="3F"/>
      </w:tcPr>
    </w:tblStylePr>
    <w:tblStylePr w:type="band1Horz">
      <w:tblPr/>
      <w:tcPr>
        <w:tcBorders>
          <w:left w:val="nil"/>
          <w:right w:val="nil"/>
          <w:insideH w:val="nil"/>
          <w:insideV w:val="nil"/>
        </w:tcBorders>
        <w:shd w:val="clear" w:color="auto" w:fill="B1F6CD" w:themeFill="accent1" w:themeFillTint="3F"/>
      </w:tcPr>
    </w:tblStylePr>
  </w:style>
  <w:style w:type="table" w:styleId="LightShading-Accent2">
    <w:name w:val="Light Shading Accent 2"/>
    <w:basedOn w:val="TableNormal"/>
    <w:uiPriority w:val="60"/>
    <w:semiHidden/>
    <w:unhideWhenUsed/>
    <w:rsid w:val="00CE0A7F"/>
    <w:pPr>
      <w:spacing w:before="0" w:after="0"/>
    </w:pPr>
    <w:rPr>
      <w:color w:val="107C92" w:themeColor="accent2" w:themeShade="BF"/>
    </w:rPr>
    <w:tblPr>
      <w:tblStyleRowBandSize w:val="1"/>
      <w:tblStyleColBandSize w:val="1"/>
      <w:tblBorders>
        <w:top w:val="single" w:sz="8" w:space="0" w:color="16A7C4" w:themeColor="accent2"/>
        <w:bottom w:val="single" w:sz="8" w:space="0" w:color="16A7C4" w:themeColor="accent2"/>
      </w:tblBorders>
    </w:tblPr>
    <w:tblStylePr w:type="firstRow">
      <w:pPr>
        <w:spacing w:before="0" w:after="0" w:line="240" w:lineRule="auto"/>
      </w:pPr>
      <w:rPr>
        <w:b/>
        <w:bCs/>
      </w:rPr>
      <w:tblPr/>
      <w:tcPr>
        <w:tcBorders>
          <w:top w:val="single" w:sz="8" w:space="0" w:color="16A7C4" w:themeColor="accent2"/>
          <w:left w:val="nil"/>
          <w:bottom w:val="single" w:sz="8" w:space="0" w:color="16A7C4" w:themeColor="accent2"/>
          <w:right w:val="nil"/>
          <w:insideH w:val="nil"/>
          <w:insideV w:val="nil"/>
        </w:tcBorders>
      </w:tcPr>
    </w:tblStylePr>
    <w:tblStylePr w:type="lastRow">
      <w:pPr>
        <w:spacing w:before="0" w:after="0" w:line="240" w:lineRule="auto"/>
      </w:pPr>
      <w:rPr>
        <w:b/>
        <w:bCs/>
      </w:rPr>
      <w:tblPr/>
      <w:tcPr>
        <w:tcBorders>
          <w:top w:val="single" w:sz="8" w:space="0" w:color="16A7C4" w:themeColor="accent2"/>
          <w:left w:val="nil"/>
          <w:bottom w:val="single" w:sz="8" w:space="0" w:color="16A7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EF7" w:themeFill="accent2" w:themeFillTint="3F"/>
      </w:tcPr>
    </w:tblStylePr>
    <w:tblStylePr w:type="band1Horz">
      <w:tblPr/>
      <w:tcPr>
        <w:tcBorders>
          <w:left w:val="nil"/>
          <w:right w:val="nil"/>
          <w:insideH w:val="nil"/>
          <w:insideV w:val="nil"/>
        </w:tcBorders>
        <w:shd w:val="clear" w:color="auto" w:fill="BDEEF7" w:themeFill="accent2" w:themeFillTint="3F"/>
      </w:tcPr>
    </w:tblStylePr>
  </w:style>
  <w:style w:type="table" w:styleId="LightShading-Accent3">
    <w:name w:val="Light Shading Accent 3"/>
    <w:basedOn w:val="TableNormal"/>
    <w:uiPriority w:val="60"/>
    <w:semiHidden/>
    <w:unhideWhenUsed/>
    <w:rsid w:val="00CE0A7F"/>
    <w:pPr>
      <w:spacing w:before="0" w:after="0"/>
    </w:pPr>
    <w:rPr>
      <w:color w:val="934D1E" w:themeColor="accent3" w:themeShade="BF"/>
    </w:rPr>
    <w:tblPr>
      <w:tblStyleRowBandSize w:val="1"/>
      <w:tblStyleColBandSize w:val="1"/>
      <w:tblBorders>
        <w:top w:val="single" w:sz="8" w:space="0" w:color="C56829" w:themeColor="accent3"/>
        <w:bottom w:val="single" w:sz="8" w:space="0" w:color="C56829" w:themeColor="accent3"/>
      </w:tblBorders>
    </w:tblPr>
    <w:tblStylePr w:type="firstRow">
      <w:pPr>
        <w:spacing w:before="0" w:after="0" w:line="240" w:lineRule="auto"/>
      </w:pPr>
      <w:rPr>
        <w:b/>
        <w:bCs/>
      </w:rPr>
      <w:tblPr/>
      <w:tcPr>
        <w:tcBorders>
          <w:top w:val="single" w:sz="8" w:space="0" w:color="C56829" w:themeColor="accent3"/>
          <w:left w:val="nil"/>
          <w:bottom w:val="single" w:sz="8" w:space="0" w:color="C56829" w:themeColor="accent3"/>
          <w:right w:val="nil"/>
          <w:insideH w:val="nil"/>
          <w:insideV w:val="nil"/>
        </w:tcBorders>
      </w:tcPr>
    </w:tblStylePr>
    <w:tblStylePr w:type="lastRow">
      <w:pPr>
        <w:spacing w:before="0" w:after="0" w:line="240" w:lineRule="auto"/>
      </w:pPr>
      <w:rPr>
        <w:b/>
        <w:bCs/>
      </w:rPr>
      <w:tblPr/>
      <w:tcPr>
        <w:tcBorders>
          <w:top w:val="single" w:sz="8" w:space="0" w:color="C56829" w:themeColor="accent3"/>
          <w:left w:val="nil"/>
          <w:bottom w:val="single" w:sz="8" w:space="0" w:color="C568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8C7" w:themeFill="accent3" w:themeFillTint="3F"/>
      </w:tcPr>
    </w:tblStylePr>
    <w:tblStylePr w:type="band1Horz">
      <w:tblPr/>
      <w:tcPr>
        <w:tcBorders>
          <w:left w:val="nil"/>
          <w:right w:val="nil"/>
          <w:insideH w:val="nil"/>
          <w:insideV w:val="nil"/>
        </w:tcBorders>
        <w:shd w:val="clear" w:color="auto" w:fill="F3D8C7" w:themeFill="accent3" w:themeFillTint="3F"/>
      </w:tcPr>
    </w:tblStylePr>
  </w:style>
  <w:style w:type="table" w:styleId="LightShading-Accent4">
    <w:name w:val="Light Shading Accent 4"/>
    <w:basedOn w:val="TableNormal"/>
    <w:uiPriority w:val="60"/>
    <w:semiHidden/>
    <w:unhideWhenUsed/>
    <w:rsid w:val="00CE0A7F"/>
    <w:pPr>
      <w:spacing w:before="0" w:after="0"/>
    </w:pPr>
    <w:rPr>
      <w:color w:val="88175A" w:themeColor="accent4" w:themeShade="BF"/>
    </w:rPr>
    <w:tblPr>
      <w:tblStyleRowBandSize w:val="1"/>
      <w:tblStyleColBandSize w:val="1"/>
      <w:tblBorders>
        <w:top w:val="single" w:sz="8" w:space="0" w:color="B71F7A" w:themeColor="accent4"/>
        <w:bottom w:val="single" w:sz="8" w:space="0" w:color="B71F7A" w:themeColor="accent4"/>
      </w:tblBorders>
    </w:tblPr>
    <w:tblStylePr w:type="firstRow">
      <w:pPr>
        <w:spacing w:before="0" w:after="0" w:line="240" w:lineRule="auto"/>
      </w:pPr>
      <w:rPr>
        <w:b/>
        <w:bCs/>
      </w:rPr>
      <w:tblPr/>
      <w:tcPr>
        <w:tcBorders>
          <w:top w:val="single" w:sz="8" w:space="0" w:color="B71F7A" w:themeColor="accent4"/>
          <w:left w:val="nil"/>
          <w:bottom w:val="single" w:sz="8" w:space="0" w:color="B71F7A" w:themeColor="accent4"/>
          <w:right w:val="nil"/>
          <w:insideH w:val="nil"/>
          <w:insideV w:val="nil"/>
        </w:tcBorders>
      </w:tcPr>
    </w:tblStylePr>
    <w:tblStylePr w:type="lastRow">
      <w:pPr>
        <w:spacing w:before="0" w:after="0" w:line="240" w:lineRule="auto"/>
      </w:pPr>
      <w:rPr>
        <w:b/>
        <w:bCs/>
      </w:rPr>
      <w:tblPr/>
      <w:tcPr>
        <w:tcBorders>
          <w:top w:val="single" w:sz="8" w:space="0" w:color="B71F7A" w:themeColor="accent4"/>
          <w:left w:val="nil"/>
          <w:bottom w:val="single" w:sz="8" w:space="0" w:color="B71F7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0DF" w:themeFill="accent4" w:themeFillTint="3F"/>
      </w:tcPr>
    </w:tblStylePr>
    <w:tblStylePr w:type="band1Horz">
      <w:tblPr/>
      <w:tcPr>
        <w:tcBorders>
          <w:left w:val="nil"/>
          <w:right w:val="nil"/>
          <w:insideH w:val="nil"/>
          <w:insideV w:val="nil"/>
        </w:tcBorders>
        <w:shd w:val="clear" w:color="auto" w:fill="F4C0DF" w:themeFill="accent4" w:themeFillTint="3F"/>
      </w:tcPr>
    </w:tblStylePr>
  </w:style>
  <w:style w:type="table" w:styleId="ListTable1Light">
    <w:name w:val="List Table 1 Light"/>
    <w:basedOn w:val="TableNormal"/>
    <w:uiPriority w:val="46"/>
    <w:rsid w:val="00CE0A7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E0A7F"/>
    <w:pPr>
      <w:spacing w:after="0"/>
    </w:pPr>
    <w:tblPr>
      <w:tblStyleRowBandSize w:val="1"/>
      <w:tblStyleColBandSize w:val="1"/>
    </w:tblPr>
    <w:tblStylePr w:type="firstRow">
      <w:rPr>
        <w:b/>
        <w:bCs/>
      </w:rPr>
      <w:tblPr/>
      <w:tcPr>
        <w:tcBorders>
          <w:bottom w:val="single" w:sz="4" w:space="0" w:color="42EA88" w:themeColor="accent1" w:themeTint="99"/>
        </w:tcBorders>
      </w:tcPr>
    </w:tblStylePr>
    <w:tblStylePr w:type="lastRow">
      <w:rPr>
        <w:b/>
        <w:bCs/>
      </w:rPr>
      <w:tblPr/>
      <w:tcPr>
        <w:tcBorders>
          <w:top w:val="single" w:sz="4" w:space="0" w:color="42EA88" w:themeColor="accent1" w:themeTint="99"/>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1Light-Accent2">
    <w:name w:val="List Table 1 Light Accent 2"/>
    <w:basedOn w:val="TableNormal"/>
    <w:uiPriority w:val="46"/>
    <w:rsid w:val="00CE0A7F"/>
    <w:pPr>
      <w:spacing w:after="0"/>
    </w:pPr>
    <w:tblPr>
      <w:tblStyleRowBandSize w:val="1"/>
      <w:tblStyleColBandSize w:val="1"/>
    </w:tblPr>
    <w:tblStylePr w:type="firstRow">
      <w:rPr>
        <w:b/>
        <w:bCs/>
      </w:rPr>
      <w:tblPr/>
      <w:tcPr>
        <w:tcBorders>
          <w:bottom w:val="single" w:sz="4" w:space="0" w:color="61D5ED" w:themeColor="accent2" w:themeTint="99"/>
        </w:tcBorders>
      </w:tcPr>
    </w:tblStylePr>
    <w:tblStylePr w:type="lastRow">
      <w:rPr>
        <w:b/>
        <w:bCs/>
      </w:rPr>
      <w:tblPr/>
      <w:tcPr>
        <w:tcBorders>
          <w:top w:val="single" w:sz="4" w:space="0" w:color="61D5ED" w:themeColor="accent2" w:themeTint="99"/>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ListTable1Light-Accent3">
    <w:name w:val="List Table 1 Light Accent 3"/>
    <w:basedOn w:val="TableNormal"/>
    <w:uiPriority w:val="46"/>
    <w:rsid w:val="00CE0A7F"/>
    <w:pPr>
      <w:spacing w:after="0"/>
    </w:pPr>
    <w:tblPr>
      <w:tblStyleRowBandSize w:val="1"/>
      <w:tblStyleColBandSize w:val="1"/>
    </w:tblPr>
    <w:tblStylePr w:type="firstRow">
      <w:rPr>
        <w:b/>
        <w:bCs/>
      </w:rPr>
      <w:tblPr/>
      <w:tcPr>
        <w:tcBorders>
          <w:bottom w:val="single" w:sz="4" w:space="0" w:color="E2A277" w:themeColor="accent3" w:themeTint="99"/>
        </w:tcBorders>
      </w:tcPr>
    </w:tblStylePr>
    <w:tblStylePr w:type="lastRow">
      <w:rPr>
        <w:b/>
        <w:bCs/>
      </w:rPr>
      <w:tblPr/>
      <w:tcPr>
        <w:tcBorders>
          <w:top w:val="single" w:sz="4" w:space="0" w:color="E2A277" w:themeColor="accent3" w:themeTint="99"/>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1Light-Accent4">
    <w:name w:val="List Table 1 Light Accent 4"/>
    <w:basedOn w:val="TableNormal"/>
    <w:uiPriority w:val="46"/>
    <w:rsid w:val="00CE0A7F"/>
    <w:pPr>
      <w:spacing w:after="0"/>
    </w:pPr>
    <w:tblPr>
      <w:tblStyleRowBandSize w:val="1"/>
      <w:tblStyleColBandSize w:val="1"/>
    </w:tblPr>
    <w:tblStylePr w:type="firstRow">
      <w:rPr>
        <w:b/>
        <w:bCs/>
      </w:rPr>
      <w:tblPr/>
      <w:tcPr>
        <w:tcBorders>
          <w:bottom w:val="single" w:sz="4" w:space="0" w:color="E567B2" w:themeColor="accent4" w:themeTint="99"/>
        </w:tcBorders>
      </w:tcPr>
    </w:tblStylePr>
    <w:tblStylePr w:type="lastRow">
      <w:rPr>
        <w:b/>
        <w:bCs/>
      </w:rPr>
      <w:tblPr/>
      <w:tcPr>
        <w:tcBorders>
          <w:top w:val="single" w:sz="4" w:space="0" w:color="E567B2" w:themeColor="accent4" w:themeTint="99"/>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1Light-Accent5">
    <w:name w:val="List Table 1 Light Accent 5"/>
    <w:basedOn w:val="TableNormal"/>
    <w:uiPriority w:val="46"/>
    <w:rsid w:val="00CE0A7F"/>
    <w:pPr>
      <w:spacing w:after="0"/>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1Light-Accent6">
    <w:name w:val="List Table 1 Light Accent 6"/>
    <w:basedOn w:val="TableNormal"/>
    <w:uiPriority w:val="46"/>
    <w:rsid w:val="00CE0A7F"/>
    <w:pPr>
      <w:spacing w:after="0"/>
    </w:pPr>
    <w:tblPr>
      <w:tblStyleRowBandSize w:val="1"/>
      <w:tblStyleColBandSize w:val="1"/>
    </w:tblPr>
    <w:tblStylePr w:type="firstRow">
      <w:rPr>
        <w:b/>
        <w:bCs/>
      </w:rPr>
      <w:tblPr/>
      <w:tcPr>
        <w:tcBorders>
          <w:bottom w:val="single" w:sz="4" w:space="0" w:color="FFD966" w:themeColor="accent6" w:themeTint="99"/>
        </w:tcBorders>
      </w:tcPr>
    </w:tblStylePr>
    <w:tblStylePr w:type="lastRow">
      <w:rPr>
        <w:b/>
        <w:bCs/>
      </w:rPr>
      <w:tblPr/>
      <w:tcPr>
        <w:tcBorders>
          <w:top w:val="sing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2">
    <w:name w:val="List Table 2"/>
    <w:basedOn w:val="TableNormal"/>
    <w:uiPriority w:val="47"/>
    <w:rsid w:val="00CE0A7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E0A7F"/>
    <w:pPr>
      <w:spacing w:after="0"/>
    </w:pPr>
    <w:tblPr>
      <w:tblStyleRowBandSize w:val="1"/>
      <w:tblStyleColBandSize w:val="1"/>
      <w:tblBorders>
        <w:top w:val="single" w:sz="4" w:space="0" w:color="42EA88" w:themeColor="accent1" w:themeTint="99"/>
        <w:bottom w:val="single" w:sz="4" w:space="0" w:color="42EA88" w:themeColor="accent1" w:themeTint="99"/>
        <w:insideH w:val="single" w:sz="4" w:space="0" w:color="42E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2-Accent3">
    <w:name w:val="List Table 2 Accent 3"/>
    <w:basedOn w:val="TableNormal"/>
    <w:uiPriority w:val="47"/>
    <w:rsid w:val="00CE0A7F"/>
    <w:pPr>
      <w:spacing w:after="0"/>
    </w:pPr>
    <w:tblPr>
      <w:tblStyleRowBandSize w:val="1"/>
      <w:tblStyleColBandSize w:val="1"/>
      <w:tblBorders>
        <w:top w:val="single" w:sz="4" w:space="0" w:color="E2A277" w:themeColor="accent3" w:themeTint="99"/>
        <w:bottom w:val="single" w:sz="4" w:space="0" w:color="E2A277" w:themeColor="accent3" w:themeTint="99"/>
        <w:insideH w:val="single" w:sz="4" w:space="0" w:color="E2A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2-Accent4">
    <w:name w:val="List Table 2 Accent 4"/>
    <w:basedOn w:val="TableNormal"/>
    <w:uiPriority w:val="47"/>
    <w:rsid w:val="00CE0A7F"/>
    <w:pPr>
      <w:spacing w:after="0"/>
    </w:pPr>
    <w:tblPr>
      <w:tblStyleRowBandSize w:val="1"/>
      <w:tblStyleColBandSize w:val="1"/>
      <w:tblBorders>
        <w:top w:val="single" w:sz="4" w:space="0" w:color="E567B2" w:themeColor="accent4" w:themeTint="99"/>
        <w:bottom w:val="single" w:sz="4" w:space="0" w:color="E567B2" w:themeColor="accent4" w:themeTint="99"/>
        <w:insideH w:val="single" w:sz="4" w:space="0" w:color="E567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2-Accent5">
    <w:name w:val="List Table 2 Accent 5"/>
    <w:basedOn w:val="TableNormal"/>
    <w:uiPriority w:val="47"/>
    <w:rsid w:val="00CE0A7F"/>
    <w:pPr>
      <w:spacing w:after="0"/>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2-Accent6">
    <w:name w:val="List Table 2 Accent 6"/>
    <w:basedOn w:val="TableNormal"/>
    <w:uiPriority w:val="47"/>
    <w:rsid w:val="00CE0A7F"/>
    <w:pPr>
      <w:spacing w:after="0"/>
    </w:pPr>
    <w:tblPr>
      <w:tblStyleRowBandSize w:val="1"/>
      <w:tblStyleColBandSize w:val="1"/>
      <w:tblBorders>
        <w:top w:val="single" w:sz="4" w:space="0" w:color="FFD966" w:themeColor="accent6" w:themeTint="99"/>
        <w:bottom w:val="single" w:sz="4" w:space="0" w:color="FFD966" w:themeColor="accent6" w:themeTint="99"/>
        <w:insideH w:val="single" w:sz="4" w:space="0" w:color="FFD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3">
    <w:name w:val="List Table 3"/>
    <w:basedOn w:val="TableNormal"/>
    <w:uiPriority w:val="48"/>
    <w:rsid w:val="00CE0A7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E0A7F"/>
    <w:pPr>
      <w:spacing w:after="0"/>
    </w:pPr>
    <w:tblPr>
      <w:tblStyleRowBandSize w:val="1"/>
      <w:tblStyleColBandSize w:val="1"/>
      <w:tblBorders>
        <w:top w:val="single" w:sz="4" w:space="0" w:color="109146" w:themeColor="accent1"/>
        <w:left w:val="single" w:sz="4" w:space="0" w:color="109146" w:themeColor="accent1"/>
        <w:bottom w:val="single" w:sz="4" w:space="0" w:color="109146" w:themeColor="accent1"/>
        <w:right w:val="single" w:sz="4" w:space="0" w:color="109146" w:themeColor="accent1"/>
      </w:tblBorders>
    </w:tblPr>
    <w:tblStylePr w:type="firstRow">
      <w:rPr>
        <w:b/>
        <w:bCs/>
        <w:color w:val="FFFFFF" w:themeColor="background1"/>
      </w:rPr>
      <w:tblPr/>
      <w:tcPr>
        <w:shd w:val="clear" w:color="auto" w:fill="109146" w:themeFill="accent1"/>
      </w:tcPr>
    </w:tblStylePr>
    <w:tblStylePr w:type="lastRow">
      <w:rPr>
        <w:b/>
        <w:bCs/>
      </w:rPr>
      <w:tblPr/>
      <w:tcPr>
        <w:tcBorders>
          <w:top w:val="double" w:sz="4" w:space="0" w:color="1091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9146" w:themeColor="accent1"/>
          <w:right w:val="single" w:sz="4" w:space="0" w:color="109146" w:themeColor="accent1"/>
        </w:tcBorders>
      </w:tcPr>
    </w:tblStylePr>
    <w:tblStylePr w:type="band1Horz">
      <w:tblPr/>
      <w:tcPr>
        <w:tcBorders>
          <w:top w:val="single" w:sz="4" w:space="0" w:color="109146" w:themeColor="accent1"/>
          <w:bottom w:val="single" w:sz="4" w:space="0" w:color="1091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9146" w:themeColor="accent1"/>
          <w:left w:val="nil"/>
        </w:tcBorders>
      </w:tcPr>
    </w:tblStylePr>
    <w:tblStylePr w:type="swCell">
      <w:tblPr/>
      <w:tcPr>
        <w:tcBorders>
          <w:top w:val="double" w:sz="4" w:space="0" w:color="109146" w:themeColor="accent1"/>
          <w:right w:val="nil"/>
        </w:tcBorders>
      </w:tcPr>
    </w:tblStylePr>
  </w:style>
  <w:style w:type="table" w:styleId="ListTable3-Accent2">
    <w:name w:val="List Table 3 Accent 2"/>
    <w:basedOn w:val="TableNormal"/>
    <w:uiPriority w:val="48"/>
    <w:rsid w:val="00CE0A7F"/>
    <w:pPr>
      <w:spacing w:after="0"/>
    </w:pPr>
    <w:tblPr>
      <w:tblStyleRowBandSize w:val="1"/>
      <w:tblStyleColBandSize w:val="1"/>
      <w:tblBorders>
        <w:top w:val="single" w:sz="4" w:space="0" w:color="16A7C4" w:themeColor="accent2"/>
        <w:left w:val="single" w:sz="4" w:space="0" w:color="16A7C4" w:themeColor="accent2"/>
        <w:bottom w:val="single" w:sz="4" w:space="0" w:color="16A7C4" w:themeColor="accent2"/>
        <w:right w:val="single" w:sz="4" w:space="0" w:color="16A7C4" w:themeColor="accent2"/>
      </w:tblBorders>
    </w:tblPr>
    <w:tblStylePr w:type="firstRow">
      <w:rPr>
        <w:b/>
        <w:bCs/>
        <w:color w:val="FFFFFF" w:themeColor="background1"/>
      </w:rPr>
      <w:tblPr/>
      <w:tcPr>
        <w:shd w:val="clear" w:color="auto" w:fill="16A7C4" w:themeFill="accent2"/>
      </w:tcPr>
    </w:tblStylePr>
    <w:tblStylePr w:type="lastRow">
      <w:rPr>
        <w:b/>
        <w:bCs/>
      </w:rPr>
      <w:tblPr/>
      <w:tcPr>
        <w:tcBorders>
          <w:top w:val="double" w:sz="4" w:space="0" w:color="16A7C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A7C4" w:themeColor="accent2"/>
          <w:right w:val="single" w:sz="4" w:space="0" w:color="16A7C4" w:themeColor="accent2"/>
        </w:tcBorders>
      </w:tcPr>
    </w:tblStylePr>
    <w:tblStylePr w:type="band1Horz">
      <w:tblPr/>
      <w:tcPr>
        <w:tcBorders>
          <w:top w:val="single" w:sz="4" w:space="0" w:color="16A7C4" w:themeColor="accent2"/>
          <w:bottom w:val="single" w:sz="4" w:space="0" w:color="16A7C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A7C4" w:themeColor="accent2"/>
          <w:left w:val="nil"/>
        </w:tcBorders>
      </w:tcPr>
    </w:tblStylePr>
    <w:tblStylePr w:type="swCell">
      <w:tblPr/>
      <w:tcPr>
        <w:tcBorders>
          <w:top w:val="double" w:sz="4" w:space="0" w:color="16A7C4" w:themeColor="accent2"/>
          <w:right w:val="nil"/>
        </w:tcBorders>
      </w:tcPr>
    </w:tblStylePr>
  </w:style>
  <w:style w:type="table" w:styleId="ListTable3-Accent3">
    <w:name w:val="List Table 3 Accent 3"/>
    <w:basedOn w:val="TableNormal"/>
    <w:uiPriority w:val="48"/>
    <w:rsid w:val="00CE0A7F"/>
    <w:pPr>
      <w:spacing w:after="0"/>
    </w:pPr>
    <w:tblPr>
      <w:tblStyleRowBandSize w:val="1"/>
      <w:tblStyleColBandSize w:val="1"/>
      <w:tblBorders>
        <w:top w:val="single" w:sz="4" w:space="0" w:color="C56829" w:themeColor="accent3"/>
        <w:left w:val="single" w:sz="4" w:space="0" w:color="C56829" w:themeColor="accent3"/>
        <w:bottom w:val="single" w:sz="4" w:space="0" w:color="C56829" w:themeColor="accent3"/>
        <w:right w:val="single" w:sz="4" w:space="0" w:color="C56829" w:themeColor="accent3"/>
      </w:tblBorders>
    </w:tblPr>
    <w:tblStylePr w:type="firstRow">
      <w:rPr>
        <w:b/>
        <w:bCs/>
        <w:color w:val="FFFFFF" w:themeColor="background1"/>
      </w:rPr>
      <w:tblPr/>
      <w:tcPr>
        <w:shd w:val="clear" w:color="auto" w:fill="C56829" w:themeFill="accent3"/>
      </w:tcPr>
    </w:tblStylePr>
    <w:tblStylePr w:type="lastRow">
      <w:rPr>
        <w:b/>
        <w:bCs/>
      </w:rPr>
      <w:tblPr/>
      <w:tcPr>
        <w:tcBorders>
          <w:top w:val="double" w:sz="4" w:space="0" w:color="C568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56829" w:themeColor="accent3"/>
          <w:right w:val="single" w:sz="4" w:space="0" w:color="C56829" w:themeColor="accent3"/>
        </w:tcBorders>
      </w:tcPr>
    </w:tblStylePr>
    <w:tblStylePr w:type="band1Horz">
      <w:tblPr/>
      <w:tcPr>
        <w:tcBorders>
          <w:top w:val="single" w:sz="4" w:space="0" w:color="C56829" w:themeColor="accent3"/>
          <w:bottom w:val="single" w:sz="4" w:space="0" w:color="C568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56829" w:themeColor="accent3"/>
          <w:left w:val="nil"/>
        </w:tcBorders>
      </w:tcPr>
    </w:tblStylePr>
    <w:tblStylePr w:type="swCell">
      <w:tblPr/>
      <w:tcPr>
        <w:tcBorders>
          <w:top w:val="double" w:sz="4" w:space="0" w:color="C56829" w:themeColor="accent3"/>
          <w:right w:val="nil"/>
        </w:tcBorders>
      </w:tcPr>
    </w:tblStylePr>
  </w:style>
  <w:style w:type="table" w:styleId="ListTable3-Accent4">
    <w:name w:val="List Table 3 Accent 4"/>
    <w:basedOn w:val="TableNormal"/>
    <w:uiPriority w:val="48"/>
    <w:rsid w:val="00CE0A7F"/>
    <w:pPr>
      <w:spacing w:after="0"/>
    </w:pPr>
    <w:tblPr>
      <w:tblStyleRowBandSize w:val="1"/>
      <w:tblStyleColBandSize w:val="1"/>
      <w:tblBorders>
        <w:top w:val="single" w:sz="4" w:space="0" w:color="B71F7A" w:themeColor="accent4"/>
        <w:left w:val="single" w:sz="4" w:space="0" w:color="B71F7A" w:themeColor="accent4"/>
        <w:bottom w:val="single" w:sz="4" w:space="0" w:color="B71F7A" w:themeColor="accent4"/>
        <w:right w:val="single" w:sz="4" w:space="0" w:color="B71F7A" w:themeColor="accent4"/>
      </w:tblBorders>
    </w:tblPr>
    <w:tblStylePr w:type="firstRow">
      <w:rPr>
        <w:b/>
        <w:bCs/>
        <w:color w:val="FFFFFF" w:themeColor="background1"/>
      </w:rPr>
      <w:tblPr/>
      <w:tcPr>
        <w:shd w:val="clear" w:color="auto" w:fill="B71F7A" w:themeFill="accent4"/>
      </w:tcPr>
    </w:tblStylePr>
    <w:tblStylePr w:type="lastRow">
      <w:rPr>
        <w:b/>
        <w:bCs/>
      </w:rPr>
      <w:tblPr/>
      <w:tcPr>
        <w:tcBorders>
          <w:top w:val="double" w:sz="4" w:space="0" w:color="B71F7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1F7A" w:themeColor="accent4"/>
          <w:right w:val="single" w:sz="4" w:space="0" w:color="B71F7A" w:themeColor="accent4"/>
        </w:tcBorders>
      </w:tcPr>
    </w:tblStylePr>
    <w:tblStylePr w:type="band1Horz">
      <w:tblPr/>
      <w:tcPr>
        <w:tcBorders>
          <w:top w:val="single" w:sz="4" w:space="0" w:color="B71F7A" w:themeColor="accent4"/>
          <w:bottom w:val="single" w:sz="4" w:space="0" w:color="B71F7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1F7A" w:themeColor="accent4"/>
          <w:left w:val="nil"/>
        </w:tcBorders>
      </w:tcPr>
    </w:tblStylePr>
    <w:tblStylePr w:type="swCell">
      <w:tblPr/>
      <w:tcPr>
        <w:tcBorders>
          <w:top w:val="double" w:sz="4" w:space="0" w:color="B71F7A" w:themeColor="accent4"/>
          <w:right w:val="nil"/>
        </w:tcBorders>
      </w:tcPr>
    </w:tblStylePr>
  </w:style>
  <w:style w:type="table" w:styleId="ListTable3-Accent5">
    <w:name w:val="List Table 3 Accent 5"/>
    <w:basedOn w:val="TableNormal"/>
    <w:uiPriority w:val="48"/>
    <w:rsid w:val="00CE0A7F"/>
    <w:pPr>
      <w:spacing w:after="0"/>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styleId="ListTable3-Accent6">
    <w:name w:val="List Table 3 Accent 6"/>
    <w:basedOn w:val="TableNormal"/>
    <w:uiPriority w:val="48"/>
    <w:rsid w:val="00CE0A7F"/>
    <w:pPr>
      <w:spacing w:after="0"/>
    </w:pPr>
    <w:tblPr>
      <w:tblStyleRowBandSize w:val="1"/>
      <w:tblStyleColBandSize w:val="1"/>
      <w:tblBorders>
        <w:top w:val="single" w:sz="4" w:space="0" w:color="FFC000" w:themeColor="accent6"/>
        <w:left w:val="single" w:sz="4" w:space="0" w:color="FFC000" w:themeColor="accent6"/>
        <w:bottom w:val="single" w:sz="4" w:space="0" w:color="FFC000" w:themeColor="accent6"/>
        <w:right w:val="single" w:sz="4" w:space="0" w:color="FFC000" w:themeColor="accent6"/>
      </w:tblBorders>
    </w:tblPr>
    <w:tblStylePr w:type="firstRow">
      <w:rPr>
        <w:b/>
        <w:bCs/>
        <w:color w:val="FFFFFF" w:themeColor="background1"/>
      </w:rPr>
      <w:tblPr/>
      <w:tcPr>
        <w:shd w:val="clear" w:color="auto" w:fill="FFC000" w:themeFill="accent6"/>
      </w:tcPr>
    </w:tblStylePr>
    <w:tblStylePr w:type="lastRow">
      <w:rPr>
        <w:b/>
        <w:bCs/>
      </w:rPr>
      <w:tblPr/>
      <w:tcPr>
        <w:tcBorders>
          <w:top w:val="double" w:sz="4" w:space="0" w:color="FFC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6"/>
          <w:right w:val="single" w:sz="4" w:space="0" w:color="FFC000" w:themeColor="accent6"/>
        </w:tcBorders>
      </w:tcPr>
    </w:tblStylePr>
    <w:tblStylePr w:type="band1Horz">
      <w:tblPr/>
      <w:tcPr>
        <w:tcBorders>
          <w:top w:val="single" w:sz="4" w:space="0" w:color="FFC000" w:themeColor="accent6"/>
          <w:bottom w:val="single" w:sz="4" w:space="0" w:color="FFC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6"/>
          <w:left w:val="nil"/>
        </w:tcBorders>
      </w:tcPr>
    </w:tblStylePr>
    <w:tblStylePr w:type="swCell">
      <w:tblPr/>
      <w:tcPr>
        <w:tcBorders>
          <w:top w:val="double" w:sz="4" w:space="0" w:color="FFC000" w:themeColor="accent6"/>
          <w:right w:val="nil"/>
        </w:tcBorders>
      </w:tcPr>
    </w:tblStylePr>
  </w:style>
  <w:style w:type="table" w:styleId="ListTable4">
    <w:name w:val="List Table 4"/>
    <w:basedOn w:val="TableNormal"/>
    <w:uiPriority w:val="49"/>
    <w:rsid w:val="00CE0A7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E0A7F"/>
    <w:pPr>
      <w:spacing w:after="0"/>
    </w:pPr>
    <w:tblPr>
      <w:tblStyleRowBandSize w:val="1"/>
      <w:tblStyleColBandSize w:val="1"/>
      <w:tblBorders>
        <w:top w:val="single" w:sz="4" w:space="0" w:color="42EA88" w:themeColor="accent1" w:themeTint="99"/>
        <w:left w:val="single" w:sz="4" w:space="0" w:color="42EA88" w:themeColor="accent1" w:themeTint="99"/>
        <w:bottom w:val="single" w:sz="4" w:space="0" w:color="42EA88" w:themeColor="accent1" w:themeTint="99"/>
        <w:right w:val="single" w:sz="4" w:space="0" w:color="42EA88" w:themeColor="accent1" w:themeTint="99"/>
        <w:insideH w:val="single" w:sz="4" w:space="0" w:color="42EA88" w:themeColor="accent1" w:themeTint="99"/>
      </w:tblBorders>
    </w:tblPr>
    <w:tblStylePr w:type="firstRow">
      <w:rPr>
        <w:b/>
        <w:bCs/>
        <w:color w:val="FFFFFF" w:themeColor="background1"/>
      </w:rPr>
      <w:tblPr/>
      <w:tcPr>
        <w:tcBorders>
          <w:top w:val="single" w:sz="4" w:space="0" w:color="109146" w:themeColor="accent1"/>
          <w:left w:val="single" w:sz="4" w:space="0" w:color="109146" w:themeColor="accent1"/>
          <w:bottom w:val="single" w:sz="4" w:space="0" w:color="109146" w:themeColor="accent1"/>
          <w:right w:val="single" w:sz="4" w:space="0" w:color="109146" w:themeColor="accent1"/>
          <w:insideH w:val="nil"/>
        </w:tcBorders>
        <w:shd w:val="clear" w:color="auto" w:fill="109146" w:themeFill="accent1"/>
      </w:tcPr>
    </w:tblStylePr>
    <w:tblStylePr w:type="lastRow">
      <w:rPr>
        <w:b/>
        <w:bCs/>
      </w:rPr>
      <w:tblPr/>
      <w:tcPr>
        <w:tcBorders>
          <w:top w:val="double" w:sz="4" w:space="0" w:color="42EA88" w:themeColor="accent1" w:themeTint="99"/>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4-Accent2">
    <w:name w:val="List Table 4 Accent 2"/>
    <w:basedOn w:val="TableNormal"/>
    <w:uiPriority w:val="49"/>
    <w:rsid w:val="00CE0A7F"/>
    <w:pPr>
      <w:spacing w:after="0"/>
    </w:pPr>
    <w:tblPr>
      <w:tblStyleRowBandSize w:val="1"/>
      <w:tblStyleColBandSize w:val="1"/>
      <w:tblBorders>
        <w:top w:val="single" w:sz="4" w:space="0" w:color="61D5ED" w:themeColor="accent2" w:themeTint="99"/>
        <w:left w:val="single" w:sz="4" w:space="0" w:color="61D5ED" w:themeColor="accent2" w:themeTint="99"/>
        <w:bottom w:val="single" w:sz="4" w:space="0" w:color="61D5ED" w:themeColor="accent2" w:themeTint="99"/>
        <w:right w:val="single" w:sz="4" w:space="0" w:color="61D5ED" w:themeColor="accent2" w:themeTint="99"/>
        <w:insideH w:val="single" w:sz="4" w:space="0" w:color="61D5ED" w:themeColor="accent2" w:themeTint="99"/>
      </w:tblBorders>
    </w:tblPr>
    <w:tblStylePr w:type="firstRow">
      <w:rPr>
        <w:b/>
        <w:bCs/>
        <w:color w:val="FFFFFF" w:themeColor="background1"/>
      </w:rPr>
      <w:tblPr/>
      <w:tcPr>
        <w:tcBorders>
          <w:top w:val="single" w:sz="4" w:space="0" w:color="16A7C4" w:themeColor="accent2"/>
          <w:left w:val="single" w:sz="4" w:space="0" w:color="16A7C4" w:themeColor="accent2"/>
          <w:bottom w:val="single" w:sz="4" w:space="0" w:color="16A7C4" w:themeColor="accent2"/>
          <w:right w:val="single" w:sz="4" w:space="0" w:color="16A7C4" w:themeColor="accent2"/>
          <w:insideH w:val="nil"/>
        </w:tcBorders>
        <w:shd w:val="clear" w:color="auto" w:fill="16A7C4" w:themeFill="accent2"/>
      </w:tcPr>
    </w:tblStylePr>
    <w:tblStylePr w:type="lastRow">
      <w:rPr>
        <w:b/>
        <w:bCs/>
      </w:rPr>
      <w:tblPr/>
      <w:tcPr>
        <w:tcBorders>
          <w:top w:val="double" w:sz="4" w:space="0" w:color="61D5ED" w:themeColor="accent2" w:themeTint="99"/>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ListTable4-Accent3">
    <w:name w:val="List Table 4 Accent 3"/>
    <w:basedOn w:val="TableNormal"/>
    <w:uiPriority w:val="49"/>
    <w:rsid w:val="00CE0A7F"/>
    <w:pPr>
      <w:spacing w:after="0"/>
    </w:pPr>
    <w:tblPr>
      <w:tblStyleRowBandSize w:val="1"/>
      <w:tblStyleColBandSize w:val="1"/>
      <w:tblBorders>
        <w:top w:val="single" w:sz="4" w:space="0" w:color="E2A277" w:themeColor="accent3" w:themeTint="99"/>
        <w:left w:val="single" w:sz="4" w:space="0" w:color="E2A277" w:themeColor="accent3" w:themeTint="99"/>
        <w:bottom w:val="single" w:sz="4" w:space="0" w:color="E2A277" w:themeColor="accent3" w:themeTint="99"/>
        <w:right w:val="single" w:sz="4" w:space="0" w:color="E2A277" w:themeColor="accent3" w:themeTint="99"/>
        <w:insideH w:val="single" w:sz="4" w:space="0" w:color="E2A277" w:themeColor="accent3" w:themeTint="99"/>
      </w:tblBorders>
    </w:tblPr>
    <w:tblStylePr w:type="firstRow">
      <w:rPr>
        <w:b/>
        <w:bCs/>
        <w:color w:val="FFFFFF" w:themeColor="background1"/>
      </w:rPr>
      <w:tblPr/>
      <w:tcPr>
        <w:tcBorders>
          <w:top w:val="single" w:sz="4" w:space="0" w:color="C56829" w:themeColor="accent3"/>
          <w:left w:val="single" w:sz="4" w:space="0" w:color="C56829" w:themeColor="accent3"/>
          <w:bottom w:val="single" w:sz="4" w:space="0" w:color="C56829" w:themeColor="accent3"/>
          <w:right w:val="single" w:sz="4" w:space="0" w:color="C56829" w:themeColor="accent3"/>
          <w:insideH w:val="nil"/>
        </w:tcBorders>
        <w:shd w:val="clear" w:color="auto" w:fill="C56829" w:themeFill="accent3"/>
      </w:tcPr>
    </w:tblStylePr>
    <w:tblStylePr w:type="lastRow">
      <w:rPr>
        <w:b/>
        <w:bCs/>
      </w:rPr>
      <w:tblPr/>
      <w:tcPr>
        <w:tcBorders>
          <w:top w:val="double" w:sz="4" w:space="0" w:color="E2A277" w:themeColor="accent3" w:themeTint="99"/>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4-Accent4">
    <w:name w:val="List Table 4 Accent 4"/>
    <w:basedOn w:val="TableNormal"/>
    <w:uiPriority w:val="49"/>
    <w:rsid w:val="00CE0A7F"/>
    <w:pPr>
      <w:spacing w:after="0"/>
    </w:pPr>
    <w:tblPr>
      <w:tblStyleRowBandSize w:val="1"/>
      <w:tblStyleColBandSize w:val="1"/>
      <w:tblBorders>
        <w:top w:val="single" w:sz="4" w:space="0" w:color="E567B2" w:themeColor="accent4" w:themeTint="99"/>
        <w:left w:val="single" w:sz="4" w:space="0" w:color="E567B2" w:themeColor="accent4" w:themeTint="99"/>
        <w:bottom w:val="single" w:sz="4" w:space="0" w:color="E567B2" w:themeColor="accent4" w:themeTint="99"/>
        <w:right w:val="single" w:sz="4" w:space="0" w:color="E567B2" w:themeColor="accent4" w:themeTint="99"/>
        <w:insideH w:val="single" w:sz="4" w:space="0" w:color="E567B2" w:themeColor="accent4" w:themeTint="99"/>
      </w:tblBorders>
    </w:tblPr>
    <w:tblStylePr w:type="firstRow">
      <w:rPr>
        <w:b/>
        <w:bCs/>
        <w:color w:val="FFFFFF" w:themeColor="background1"/>
      </w:rPr>
      <w:tblPr/>
      <w:tcPr>
        <w:tcBorders>
          <w:top w:val="single" w:sz="4" w:space="0" w:color="B71F7A" w:themeColor="accent4"/>
          <w:left w:val="single" w:sz="4" w:space="0" w:color="B71F7A" w:themeColor="accent4"/>
          <w:bottom w:val="single" w:sz="4" w:space="0" w:color="B71F7A" w:themeColor="accent4"/>
          <w:right w:val="single" w:sz="4" w:space="0" w:color="B71F7A" w:themeColor="accent4"/>
          <w:insideH w:val="nil"/>
        </w:tcBorders>
        <w:shd w:val="clear" w:color="auto" w:fill="B71F7A" w:themeFill="accent4"/>
      </w:tcPr>
    </w:tblStylePr>
    <w:tblStylePr w:type="lastRow">
      <w:rPr>
        <w:b/>
        <w:bCs/>
      </w:rPr>
      <w:tblPr/>
      <w:tcPr>
        <w:tcBorders>
          <w:top w:val="double" w:sz="4" w:space="0" w:color="E567B2" w:themeColor="accent4" w:themeTint="99"/>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4-Accent5">
    <w:name w:val="List Table 4 Accent 5"/>
    <w:basedOn w:val="TableNormal"/>
    <w:uiPriority w:val="49"/>
    <w:rsid w:val="00CE0A7F"/>
    <w:pPr>
      <w:spacing w:after="0"/>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4-Accent6">
    <w:name w:val="List Table 4 Accent 6"/>
    <w:basedOn w:val="TableNormal"/>
    <w:uiPriority w:val="49"/>
    <w:rsid w:val="00CE0A7F"/>
    <w:pPr>
      <w:spacing w:after="0"/>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tcBorders>
        <w:shd w:val="clear" w:color="auto" w:fill="FFC000" w:themeFill="accent6"/>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5Dark">
    <w:name w:val="List Table 5 Dark"/>
    <w:basedOn w:val="TableNormal"/>
    <w:uiPriority w:val="50"/>
    <w:rsid w:val="00CE0A7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E0A7F"/>
    <w:pPr>
      <w:spacing w:after="0"/>
    </w:pPr>
    <w:rPr>
      <w:color w:val="FFFFFF" w:themeColor="background1"/>
    </w:rPr>
    <w:tblPr>
      <w:tblStyleRowBandSize w:val="1"/>
      <w:tblStyleColBandSize w:val="1"/>
      <w:tblBorders>
        <w:top w:val="single" w:sz="24" w:space="0" w:color="109146" w:themeColor="accent1"/>
        <w:left w:val="single" w:sz="24" w:space="0" w:color="109146" w:themeColor="accent1"/>
        <w:bottom w:val="single" w:sz="24" w:space="0" w:color="109146" w:themeColor="accent1"/>
        <w:right w:val="single" w:sz="24" w:space="0" w:color="109146" w:themeColor="accent1"/>
      </w:tblBorders>
    </w:tblPr>
    <w:tcPr>
      <w:shd w:val="clear" w:color="auto" w:fill="10914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E0A7F"/>
    <w:pPr>
      <w:spacing w:after="0"/>
    </w:pPr>
    <w:rPr>
      <w:color w:val="FFFFFF" w:themeColor="background1"/>
    </w:rPr>
    <w:tblPr>
      <w:tblStyleRowBandSize w:val="1"/>
      <w:tblStyleColBandSize w:val="1"/>
      <w:tblBorders>
        <w:top w:val="single" w:sz="24" w:space="0" w:color="16A7C4" w:themeColor="accent2"/>
        <w:left w:val="single" w:sz="24" w:space="0" w:color="16A7C4" w:themeColor="accent2"/>
        <w:bottom w:val="single" w:sz="24" w:space="0" w:color="16A7C4" w:themeColor="accent2"/>
        <w:right w:val="single" w:sz="24" w:space="0" w:color="16A7C4" w:themeColor="accent2"/>
      </w:tblBorders>
    </w:tblPr>
    <w:tcPr>
      <w:shd w:val="clear" w:color="auto" w:fill="16A7C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E0A7F"/>
    <w:pPr>
      <w:spacing w:after="0"/>
    </w:pPr>
    <w:rPr>
      <w:color w:val="FFFFFF" w:themeColor="background1"/>
    </w:rPr>
    <w:tblPr>
      <w:tblStyleRowBandSize w:val="1"/>
      <w:tblStyleColBandSize w:val="1"/>
      <w:tblBorders>
        <w:top w:val="single" w:sz="24" w:space="0" w:color="C56829" w:themeColor="accent3"/>
        <w:left w:val="single" w:sz="24" w:space="0" w:color="C56829" w:themeColor="accent3"/>
        <w:bottom w:val="single" w:sz="24" w:space="0" w:color="C56829" w:themeColor="accent3"/>
        <w:right w:val="single" w:sz="24" w:space="0" w:color="C56829" w:themeColor="accent3"/>
      </w:tblBorders>
    </w:tblPr>
    <w:tcPr>
      <w:shd w:val="clear" w:color="auto" w:fill="C568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E0A7F"/>
    <w:pPr>
      <w:spacing w:after="0"/>
    </w:pPr>
    <w:rPr>
      <w:color w:val="FFFFFF" w:themeColor="background1"/>
    </w:rPr>
    <w:tblPr>
      <w:tblStyleRowBandSize w:val="1"/>
      <w:tblStyleColBandSize w:val="1"/>
      <w:tblBorders>
        <w:top w:val="single" w:sz="24" w:space="0" w:color="B71F7A" w:themeColor="accent4"/>
        <w:left w:val="single" w:sz="24" w:space="0" w:color="B71F7A" w:themeColor="accent4"/>
        <w:bottom w:val="single" w:sz="24" w:space="0" w:color="B71F7A" w:themeColor="accent4"/>
        <w:right w:val="single" w:sz="24" w:space="0" w:color="B71F7A" w:themeColor="accent4"/>
      </w:tblBorders>
    </w:tblPr>
    <w:tcPr>
      <w:shd w:val="clear" w:color="auto" w:fill="B71F7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E0A7F"/>
    <w:pPr>
      <w:spacing w:after="0"/>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E0A7F"/>
    <w:pPr>
      <w:spacing w:after="0"/>
    </w:pPr>
    <w:rPr>
      <w:color w:val="FFFFFF" w:themeColor="background1"/>
    </w:rPr>
    <w:tblPr>
      <w:tblStyleRowBandSize w:val="1"/>
      <w:tblStyleColBandSize w:val="1"/>
      <w:tblBorders>
        <w:top w:val="single" w:sz="24" w:space="0" w:color="FFC000" w:themeColor="accent6"/>
        <w:left w:val="single" w:sz="24" w:space="0" w:color="FFC000" w:themeColor="accent6"/>
        <w:bottom w:val="single" w:sz="24" w:space="0" w:color="FFC000" w:themeColor="accent6"/>
        <w:right w:val="single" w:sz="24" w:space="0" w:color="FFC000" w:themeColor="accent6"/>
      </w:tblBorders>
    </w:tblPr>
    <w:tcPr>
      <w:shd w:val="clear" w:color="auto" w:fill="FFC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E0A7F"/>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E0A7F"/>
    <w:pPr>
      <w:spacing w:after="0"/>
    </w:pPr>
    <w:rPr>
      <w:color w:val="0C6C34" w:themeColor="accent1" w:themeShade="BF"/>
    </w:rPr>
    <w:tblPr>
      <w:tblStyleRowBandSize w:val="1"/>
      <w:tblStyleColBandSize w:val="1"/>
      <w:tblBorders>
        <w:top w:val="single" w:sz="4" w:space="0" w:color="109146" w:themeColor="accent1"/>
        <w:bottom w:val="single" w:sz="4" w:space="0" w:color="109146" w:themeColor="accent1"/>
      </w:tblBorders>
    </w:tblPr>
    <w:tblStylePr w:type="firstRow">
      <w:rPr>
        <w:b/>
        <w:bCs/>
      </w:rPr>
      <w:tblPr/>
      <w:tcPr>
        <w:tcBorders>
          <w:bottom w:val="single" w:sz="4" w:space="0" w:color="109146" w:themeColor="accent1"/>
        </w:tcBorders>
      </w:tcPr>
    </w:tblStylePr>
    <w:tblStylePr w:type="lastRow">
      <w:rPr>
        <w:b/>
        <w:bCs/>
      </w:rPr>
      <w:tblPr/>
      <w:tcPr>
        <w:tcBorders>
          <w:top w:val="double" w:sz="4" w:space="0" w:color="109146" w:themeColor="accent1"/>
        </w:tcBorders>
      </w:tcPr>
    </w:tblStylePr>
    <w:tblStylePr w:type="firstCol">
      <w:rPr>
        <w:b/>
        <w:bCs/>
      </w:rPr>
    </w:tblStylePr>
    <w:tblStylePr w:type="lastCol">
      <w:rPr>
        <w:b/>
        <w:bCs/>
      </w:rPr>
    </w:tblStylePr>
    <w:tblStylePr w:type="band1Vert">
      <w:tblPr/>
      <w:tcPr>
        <w:shd w:val="clear" w:color="auto" w:fill="BFF8D7" w:themeFill="accent1" w:themeFillTint="33"/>
      </w:tcPr>
    </w:tblStylePr>
    <w:tblStylePr w:type="band1Horz">
      <w:tblPr/>
      <w:tcPr>
        <w:shd w:val="clear" w:color="auto" w:fill="BFF8D7" w:themeFill="accent1" w:themeFillTint="33"/>
      </w:tcPr>
    </w:tblStylePr>
  </w:style>
  <w:style w:type="table" w:styleId="ListTable6Colorful-Accent2">
    <w:name w:val="List Table 6 Colorful Accent 2"/>
    <w:basedOn w:val="TableNormal"/>
    <w:uiPriority w:val="51"/>
    <w:rsid w:val="00CE0A7F"/>
    <w:pPr>
      <w:spacing w:after="0"/>
    </w:pPr>
    <w:rPr>
      <w:color w:val="107C92" w:themeColor="accent2" w:themeShade="BF"/>
    </w:rPr>
    <w:tblPr>
      <w:tblStyleRowBandSize w:val="1"/>
      <w:tblStyleColBandSize w:val="1"/>
      <w:tblBorders>
        <w:top w:val="single" w:sz="4" w:space="0" w:color="16A7C4" w:themeColor="accent2"/>
        <w:bottom w:val="single" w:sz="4" w:space="0" w:color="16A7C4" w:themeColor="accent2"/>
      </w:tblBorders>
    </w:tblPr>
    <w:tblStylePr w:type="firstRow">
      <w:rPr>
        <w:b/>
        <w:bCs/>
      </w:rPr>
      <w:tblPr/>
      <w:tcPr>
        <w:tcBorders>
          <w:bottom w:val="single" w:sz="4" w:space="0" w:color="16A7C4" w:themeColor="accent2"/>
        </w:tcBorders>
      </w:tcPr>
    </w:tblStylePr>
    <w:tblStylePr w:type="lastRow">
      <w:rPr>
        <w:b/>
        <w:bCs/>
      </w:rPr>
      <w:tblPr/>
      <w:tcPr>
        <w:tcBorders>
          <w:top w:val="double" w:sz="4" w:space="0" w:color="16A7C4" w:themeColor="accent2"/>
        </w:tcBorders>
      </w:tcPr>
    </w:tblStylePr>
    <w:tblStylePr w:type="firstCol">
      <w:rPr>
        <w:b/>
        <w:bCs/>
      </w:rPr>
    </w:tblStylePr>
    <w:tblStylePr w:type="lastCol">
      <w:rPr>
        <w:b/>
        <w:bCs/>
      </w:rPr>
    </w:tblStylePr>
    <w:tblStylePr w:type="band1Vert">
      <w:tblPr/>
      <w:tcPr>
        <w:shd w:val="clear" w:color="auto" w:fill="CAF1F9" w:themeFill="accent2" w:themeFillTint="33"/>
      </w:tcPr>
    </w:tblStylePr>
    <w:tblStylePr w:type="band1Horz">
      <w:tblPr/>
      <w:tcPr>
        <w:shd w:val="clear" w:color="auto" w:fill="CAF1F9" w:themeFill="accent2" w:themeFillTint="33"/>
      </w:tcPr>
    </w:tblStylePr>
  </w:style>
  <w:style w:type="table" w:styleId="ListTable6Colorful-Accent3">
    <w:name w:val="List Table 6 Colorful Accent 3"/>
    <w:basedOn w:val="TableNormal"/>
    <w:uiPriority w:val="51"/>
    <w:rsid w:val="00CE0A7F"/>
    <w:pPr>
      <w:spacing w:after="0"/>
    </w:pPr>
    <w:rPr>
      <w:color w:val="934D1E" w:themeColor="accent3" w:themeShade="BF"/>
    </w:rPr>
    <w:tblPr>
      <w:tblStyleRowBandSize w:val="1"/>
      <w:tblStyleColBandSize w:val="1"/>
      <w:tblBorders>
        <w:top w:val="single" w:sz="4" w:space="0" w:color="C56829" w:themeColor="accent3"/>
        <w:bottom w:val="single" w:sz="4" w:space="0" w:color="C56829" w:themeColor="accent3"/>
      </w:tblBorders>
    </w:tblPr>
    <w:tblStylePr w:type="firstRow">
      <w:rPr>
        <w:b/>
        <w:bCs/>
      </w:rPr>
      <w:tblPr/>
      <w:tcPr>
        <w:tcBorders>
          <w:bottom w:val="single" w:sz="4" w:space="0" w:color="C56829" w:themeColor="accent3"/>
        </w:tcBorders>
      </w:tcPr>
    </w:tblStylePr>
    <w:tblStylePr w:type="lastRow">
      <w:rPr>
        <w:b/>
        <w:bCs/>
      </w:rPr>
      <w:tblPr/>
      <w:tcPr>
        <w:tcBorders>
          <w:top w:val="double" w:sz="4" w:space="0" w:color="C56829" w:themeColor="accent3"/>
        </w:tcBorders>
      </w:tcPr>
    </w:tblStylePr>
    <w:tblStylePr w:type="firstCol">
      <w:rPr>
        <w:b/>
        <w:bCs/>
      </w:rPr>
    </w:tblStylePr>
    <w:tblStylePr w:type="lastCol">
      <w:rPr>
        <w:b/>
        <w:bCs/>
      </w:rPr>
    </w:tblStylePr>
    <w:tblStylePr w:type="band1Vert">
      <w:tblPr/>
      <w:tcPr>
        <w:shd w:val="clear" w:color="auto" w:fill="F5E0D1" w:themeFill="accent3" w:themeFillTint="33"/>
      </w:tcPr>
    </w:tblStylePr>
    <w:tblStylePr w:type="band1Horz">
      <w:tblPr/>
      <w:tcPr>
        <w:shd w:val="clear" w:color="auto" w:fill="F5E0D1" w:themeFill="accent3" w:themeFillTint="33"/>
      </w:tcPr>
    </w:tblStylePr>
  </w:style>
  <w:style w:type="table" w:styleId="ListTable6Colorful-Accent4">
    <w:name w:val="List Table 6 Colorful Accent 4"/>
    <w:basedOn w:val="TableNormal"/>
    <w:uiPriority w:val="51"/>
    <w:rsid w:val="00CE0A7F"/>
    <w:pPr>
      <w:spacing w:after="0"/>
    </w:pPr>
    <w:rPr>
      <w:color w:val="88175A" w:themeColor="accent4" w:themeShade="BF"/>
    </w:rPr>
    <w:tblPr>
      <w:tblStyleRowBandSize w:val="1"/>
      <w:tblStyleColBandSize w:val="1"/>
      <w:tblBorders>
        <w:top w:val="single" w:sz="4" w:space="0" w:color="B71F7A" w:themeColor="accent4"/>
        <w:bottom w:val="single" w:sz="4" w:space="0" w:color="B71F7A" w:themeColor="accent4"/>
      </w:tblBorders>
    </w:tblPr>
    <w:tblStylePr w:type="firstRow">
      <w:rPr>
        <w:b/>
        <w:bCs/>
      </w:rPr>
      <w:tblPr/>
      <w:tcPr>
        <w:tcBorders>
          <w:bottom w:val="single" w:sz="4" w:space="0" w:color="B71F7A" w:themeColor="accent4"/>
        </w:tcBorders>
      </w:tcPr>
    </w:tblStylePr>
    <w:tblStylePr w:type="lastRow">
      <w:rPr>
        <w:b/>
        <w:bCs/>
      </w:rPr>
      <w:tblPr/>
      <w:tcPr>
        <w:tcBorders>
          <w:top w:val="double" w:sz="4" w:space="0" w:color="B71F7A" w:themeColor="accent4"/>
        </w:tcBorders>
      </w:tcPr>
    </w:tblStylePr>
    <w:tblStylePr w:type="firstCol">
      <w:rPr>
        <w:b/>
        <w:bCs/>
      </w:rPr>
    </w:tblStylePr>
    <w:tblStylePr w:type="lastCol">
      <w:rPr>
        <w:b/>
        <w:bCs/>
      </w:rPr>
    </w:tblStylePr>
    <w:tblStylePr w:type="band1Vert">
      <w:tblPr/>
      <w:tcPr>
        <w:shd w:val="clear" w:color="auto" w:fill="F6CCE5" w:themeFill="accent4" w:themeFillTint="33"/>
      </w:tcPr>
    </w:tblStylePr>
    <w:tblStylePr w:type="band1Horz">
      <w:tblPr/>
      <w:tcPr>
        <w:shd w:val="clear" w:color="auto" w:fill="F6CCE5" w:themeFill="accent4" w:themeFillTint="33"/>
      </w:tcPr>
    </w:tblStylePr>
  </w:style>
  <w:style w:type="table" w:styleId="ListTable6Colorful-Accent5">
    <w:name w:val="List Table 6 Colorful Accent 5"/>
    <w:basedOn w:val="TableNormal"/>
    <w:uiPriority w:val="51"/>
    <w:rsid w:val="00CE0A7F"/>
    <w:pPr>
      <w:spacing w:after="0"/>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styleId="ListTable6Colorful-Accent6">
    <w:name w:val="List Table 6 Colorful Accent 6"/>
    <w:basedOn w:val="TableNormal"/>
    <w:uiPriority w:val="51"/>
    <w:rsid w:val="00CE0A7F"/>
    <w:pPr>
      <w:spacing w:after="0"/>
    </w:pPr>
    <w:rPr>
      <w:color w:val="BF8F00" w:themeColor="accent6" w:themeShade="BF"/>
    </w:rPr>
    <w:tblPr>
      <w:tblStyleRowBandSize w:val="1"/>
      <w:tblStyleColBandSize w:val="1"/>
      <w:tblBorders>
        <w:top w:val="single" w:sz="4" w:space="0" w:color="FFC000" w:themeColor="accent6"/>
        <w:bottom w:val="single" w:sz="4" w:space="0" w:color="FFC000" w:themeColor="accent6"/>
      </w:tblBorders>
    </w:tblPr>
    <w:tblStylePr w:type="firstRow">
      <w:rPr>
        <w:b/>
        <w:bCs/>
      </w:rPr>
      <w:tblPr/>
      <w:tcPr>
        <w:tcBorders>
          <w:bottom w:val="single" w:sz="4" w:space="0" w:color="FFC000" w:themeColor="accent6"/>
        </w:tcBorders>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7Colorful">
    <w:name w:val="List Table 7 Colorful"/>
    <w:basedOn w:val="TableNormal"/>
    <w:uiPriority w:val="52"/>
    <w:rsid w:val="00CE0A7F"/>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0A7F"/>
    <w:pPr>
      <w:spacing w:after="0"/>
    </w:pPr>
    <w:rPr>
      <w:color w:val="0C6C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14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14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14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146" w:themeColor="accent1"/>
        </w:tcBorders>
        <w:shd w:val="clear" w:color="auto" w:fill="FFFFFF" w:themeFill="background1"/>
      </w:tcPr>
    </w:tblStylePr>
    <w:tblStylePr w:type="band1Vert">
      <w:tblPr/>
      <w:tcPr>
        <w:shd w:val="clear" w:color="auto" w:fill="BFF8D7" w:themeFill="accent1" w:themeFillTint="33"/>
      </w:tcPr>
    </w:tblStylePr>
    <w:tblStylePr w:type="band1Horz">
      <w:tblPr/>
      <w:tcPr>
        <w:shd w:val="clear" w:color="auto" w:fill="BFF8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E0A7F"/>
    <w:pPr>
      <w:spacing w:after="0"/>
    </w:pPr>
    <w:rPr>
      <w:color w:val="107C9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A7C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A7C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A7C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A7C4" w:themeColor="accent2"/>
        </w:tcBorders>
        <w:shd w:val="clear" w:color="auto" w:fill="FFFFFF" w:themeFill="background1"/>
      </w:tcPr>
    </w:tblStylePr>
    <w:tblStylePr w:type="band1Vert">
      <w:tblPr/>
      <w:tcPr>
        <w:shd w:val="clear" w:color="auto" w:fill="CAF1F9" w:themeFill="accent2" w:themeFillTint="33"/>
      </w:tcPr>
    </w:tblStylePr>
    <w:tblStylePr w:type="band1Horz">
      <w:tblPr/>
      <w:tcPr>
        <w:shd w:val="clear" w:color="auto" w:fill="CAF1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E0A7F"/>
    <w:pPr>
      <w:spacing w:after="0"/>
    </w:pPr>
    <w:rPr>
      <w:color w:val="934D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568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568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568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56829" w:themeColor="accent3"/>
        </w:tcBorders>
        <w:shd w:val="clear" w:color="auto" w:fill="FFFFFF" w:themeFill="background1"/>
      </w:tcPr>
    </w:tblStylePr>
    <w:tblStylePr w:type="band1Vert">
      <w:tblPr/>
      <w:tcPr>
        <w:shd w:val="clear" w:color="auto" w:fill="F5E0D1" w:themeFill="accent3" w:themeFillTint="33"/>
      </w:tcPr>
    </w:tblStylePr>
    <w:tblStylePr w:type="band1Horz">
      <w:tblPr/>
      <w:tcPr>
        <w:shd w:val="clear" w:color="auto" w:fill="F5E0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E0A7F"/>
    <w:pPr>
      <w:spacing w:after="0"/>
    </w:pPr>
    <w:rPr>
      <w:color w:val="8817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1F7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1F7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1F7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1F7A" w:themeColor="accent4"/>
        </w:tcBorders>
        <w:shd w:val="clear" w:color="auto" w:fill="FFFFFF" w:themeFill="background1"/>
      </w:tcPr>
    </w:tblStylePr>
    <w:tblStylePr w:type="band1Vert">
      <w:tblPr/>
      <w:tcPr>
        <w:shd w:val="clear" w:color="auto" w:fill="F6CCE5" w:themeFill="accent4" w:themeFillTint="33"/>
      </w:tcPr>
    </w:tblStylePr>
    <w:tblStylePr w:type="band1Horz">
      <w:tblPr/>
      <w:tcPr>
        <w:shd w:val="clear" w:color="auto" w:fill="F6CC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E0A7F"/>
    <w:pPr>
      <w:spacing w:after="0"/>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E0A7F"/>
    <w:pPr>
      <w:spacing w:after="0"/>
    </w:pPr>
    <w:rPr>
      <w:color w:val="BF8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6"/>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E0A7F"/>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E0A7F"/>
    <w:pPr>
      <w:spacing w:before="0" w:after="0"/>
    </w:pPr>
    <w:tblPr>
      <w:tblStyleRowBandSize w:val="1"/>
      <w:tblStyleColBandSize w:val="1"/>
      <w:tblBorders>
        <w:top w:val="single" w:sz="8"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single" w:sz="8" w:space="0" w:color="18DF6B" w:themeColor="accent1" w:themeTint="BF"/>
        <w:insideV w:val="single" w:sz="8" w:space="0" w:color="18DF6B" w:themeColor="accent1" w:themeTint="BF"/>
      </w:tblBorders>
    </w:tblPr>
    <w:tcPr>
      <w:shd w:val="clear" w:color="auto" w:fill="B1F6CD" w:themeFill="accent1" w:themeFillTint="3F"/>
    </w:tcPr>
    <w:tblStylePr w:type="firstRow">
      <w:rPr>
        <w:b/>
        <w:bCs/>
      </w:rPr>
    </w:tblStylePr>
    <w:tblStylePr w:type="lastRow">
      <w:rPr>
        <w:b/>
        <w:bCs/>
      </w:rPr>
      <w:tblPr/>
      <w:tcPr>
        <w:tcBorders>
          <w:top w:val="single" w:sz="18" w:space="0" w:color="18DF6B" w:themeColor="accent1" w:themeTint="BF"/>
        </w:tcBorders>
      </w:tcPr>
    </w:tblStylePr>
    <w:tblStylePr w:type="firstCol">
      <w:rPr>
        <w:b/>
        <w:bCs/>
      </w:rPr>
    </w:tblStylePr>
    <w:tblStylePr w:type="lastCol">
      <w:rPr>
        <w:b/>
        <w:bCs/>
      </w:rPr>
    </w:tblStylePr>
    <w:tblStylePr w:type="band1Vert">
      <w:tblPr/>
      <w:tcPr>
        <w:shd w:val="clear" w:color="auto" w:fill="62ED9C" w:themeFill="accent1" w:themeFillTint="7F"/>
      </w:tcPr>
    </w:tblStylePr>
    <w:tblStylePr w:type="band1Horz">
      <w:tblPr/>
      <w:tcPr>
        <w:shd w:val="clear" w:color="auto" w:fill="62ED9C" w:themeFill="accent1" w:themeFillTint="7F"/>
      </w:tcPr>
    </w:tblStylePr>
  </w:style>
  <w:style w:type="table" w:styleId="MediumGrid1-Accent2">
    <w:name w:val="Medium Grid 1 Accent 2"/>
    <w:basedOn w:val="TableNormal"/>
    <w:uiPriority w:val="67"/>
    <w:semiHidden/>
    <w:unhideWhenUsed/>
    <w:rsid w:val="00CE0A7F"/>
    <w:pPr>
      <w:spacing w:before="0" w:after="0"/>
    </w:pPr>
    <w:tblPr>
      <w:tblStyleRowBandSize w:val="1"/>
      <w:tblStyleColBandSize w:val="1"/>
      <w:tblBorders>
        <w:top w:val="single" w:sz="8"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single" w:sz="8" w:space="0" w:color="3ACBE9" w:themeColor="accent2" w:themeTint="BF"/>
        <w:insideV w:val="single" w:sz="8" w:space="0" w:color="3ACBE9" w:themeColor="accent2" w:themeTint="BF"/>
      </w:tblBorders>
    </w:tblPr>
    <w:tcPr>
      <w:shd w:val="clear" w:color="auto" w:fill="BDEEF7" w:themeFill="accent2" w:themeFillTint="3F"/>
    </w:tcPr>
    <w:tblStylePr w:type="firstRow">
      <w:rPr>
        <w:b/>
        <w:bCs/>
      </w:rPr>
    </w:tblStylePr>
    <w:tblStylePr w:type="lastRow">
      <w:rPr>
        <w:b/>
        <w:bCs/>
      </w:rPr>
      <w:tblPr/>
      <w:tcPr>
        <w:tcBorders>
          <w:top w:val="single" w:sz="18" w:space="0" w:color="3ACBE9" w:themeColor="accent2" w:themeTint="BF"/>
        </w:tcBorders>
      </w:tcPr>
    </w:tblStylePr>
    <w:tblStylePr w:type="firstCol">
      <w:rPr>
        <w:b/>
        <w:bCs/>
      </w:rPr>
    </w:tblStylePr>
    <w:tblStylePr w:type="lastCol">
      <w:rPr>
        <w:b/>
        <w:bCs/>
      </w:rPr>
    </w:tblStylePr>
    <w:tblStylePr w:type="band1Vert">
      <w:tblPr/>
      <w:tcPr>
        <w:shd w:val="clear" w:color="auto" w:fill="7CDCF0" w:themeFill="accent2" w:themeFillTint="7F"/>
      </w:tcPr>
    </w:tblStylePr>
    <w:tblStylePr w:type="band1Horz">
      <w:tblPr/>
      <w:tcPr>
        <w:shd w:val="clear" w:color="auto" w:fill="7CDCF0" w:themeFill="accent2" w:themeFillTint="7F"/>
      </w:tcPr>
    </w:tblStylePr>
  </w:style>
  <w:style w:type="table" w:styleId="MediumGrid1-Accent3">
    <w:name w:val="Medium Grid 1 Accent 3"/>
    <w:basedOn w:val="TableNormal"/>
    <w:uiPriority w:val="67"/>
    <w:semiHidden/>
    <w:unhideWhenUsed/>
    <w:rsid w:val="00CE0A7F"/>
    <w:pPr>
      <w:spacing w:before="0" w:after="0"/>
    </w:pPr>
    <w:tblPr>
      <w:tblStyleRowBandSize w:val="1"/>
      <w:tblStyleColBandSize w:val="1"/>
      <w:tblBorders>
        <w:top w:val="single" w:sz="8"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single" w:sz="8" w:space="0" w:color="DB8B56" w:themeColor="accent3" w:themeTint="BF"/>
        <w:insideV w:val="single" w:sz="8" w:space="0" w:color="DB8B56" w:themeColor="accent3" w:themeTint="BF"/>
      </w:tblBorders>
    </w:tblPr>
    <w:tcPr>
      <w:shd w:val="clear" w:color="auto" w:fill="F3D8C7" w:themeFill="accent3" w:themeFillTint="3F"/>
    </w:tcPr>
    <w:tblStylePr w:type="firstRow">
      <w:rPr>
        <w:b/>
        <w:bCs/>
      </w:rPr>
    </w:tblStylePr>
    <w:tblStylePr w:type="lastRow">
      <w:rPr>
        <w:b/>
        <w:bCs/>
      </w:rPr>
      <w:tblPr/>
      <w:tcPr>
        <w:tcBorders>
          <w:top w:val="single" w:sz="18" w:space="0" w:color="DB8B56" w:themeColor="accent3" w:themeTint="BF"/>
        </w:tcBorders>
      </w:tcPr>
    </w:tblStylePr>
    <w:tblStylePr w:type="firstCol">
      <w:rPr>
        <w:b/>
        <w:bCs/>
      </w:rPr>
    </w:tblStylePr>
    <w:tblStylePr w:type="lastCol">
      <w:rPr>
        <w:b/>
        <w:bCs/>
      </w:rPr>
    </w:tblStylePr>
    <w:tblStylePr w:type="band1Vert">
      <w:tblPr/>
      <w:tcPr>
        <w:shd w:val="clear" w:color="auto" w:fill="E7B28E" w:themeFill="accent3" w:themeFillTint="7F"/>
      </w:tcPr>
    </w:tblStylePr>
    <w:tblStylePr w:type="band1Horz">
      <w:tblPr/>
      <w:tcPr>
        <w:shd w:val="clear" w:color="auto" w:fill="E7B28E" w:themeFill="accent3" w:themeFillTint="7F"/>
      </w:tcPr>
    </w:tblStylePr>
  </w:style>
  <w:style w:type="table" w:styleId="MediumGrid1-Accent4">
    <w:name w:val="Medium Grid 1 Accent 4"/>
    <w:basedOn w:val="TableNormal"/>
    <w:uiPriority w:val="67"/>
    <w:semiHidden/>
    <w:unhideWhenUsed/>
    <w:rsid w:val="00CE0A7F"/>
    <w:pPr>
      <w:spacing w:before="0" w:after="0"/>
    </w:pPr>
    <w:tblPr>
      <w:tblStyleRowBandSize w:val="1"/>
      <w:tblStyleColBandSize w:val="1"/>
      <w:tblBorders>
        <w:top w:val="single" w:sz="8"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single" w:sz="8" w:space="0" w:color="DE419F" w:themeColor="accent4" w:themeTint="BF"/>
        <w:insideV w:val="single" w:sz="8" w:space="0" w:color="DE419F" w:themeColor="accent4" w:themeTint="BF"/>
      </w:tblBorders>
    </w:tblPr>
    <w:tcPr>
      <w:shd w:val="clear" w:color="auto" w:fill="F4C0DF" w:themeFill="accent4" w:themeFillTint="3F"/>
    </w:tcPr>
    <w:tblStylePr w:type="firstRow">
      <w:rPr>
        <w:b/>
        <w:bCs/>
      </w:rPr>
    </w:tblStylePr>
    <w:tblStylePr w:type="lastRow">
      <w:rPr>
        <w:b/>
        <w:bCs/>
      </w:rPr>
      <w:tblPr/>
      <w:tcPr>
        <w:tcBorders>
          <w:top w:val="single" w:sz="18" w:space="0" w:color="DE419F" w:themeColor="accent4" w:themeTint="BF"/>
        </w:tcBorders>
      </w:tcPr>
    </w:tblStylePr>
    <w:tblStylePr w:type="firstCol">
      <w:rPr>
        <w:b/>
        <w:bCs/>
      </w:rPr>
    </w:tblStylePr>
    <w:tblStylePr w:type="lastCol">
      <w:rPr>
        <w:b/>
        <w:bCs/>
      </w:rPr>
    </w:tblStylePr>
    <w:tblStylePr w:type="band1Vert">
      <w:tblPr/>
      <w:tcPr>
        <w:shd w:val="clear" w:color="auto" w:fill="E980BF" w:themeFill="accent4" w:themeFillTint="7F"/>
      </w:tcPr>
    </w:tblStylePr>
    <w:tblStylePr w:type="band1Horz">
      <w:tblPr/>
      <w:tcPr>
        <w:shd w:val="clear" w:color="auto" w:fill="E980BF" w:themeFill="accent4" w:themeFillTint="7F"/>
      </w:tcPr>
    </w:tblStylePr>
  </w:style>
  <w:style w:type="table" w:styleId="MediumGrid1-Accent5">
    <w:name w:val="Medium Grid 1 Accent 5"/>
    <w:basedOn w:val="TableNormal"/>
    <w:uiPriority w:val="67"/>
    <w:semiHidden/>
    <w:unhideWhenUsed/>
    <w:rsid w:val="00CE0A7F"/>
    <w:pPr>
      <w:spacing w:before="0" w:after="0"/>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CE0A7F"/>
    <w:pPr>
      <w:spacing w:before="0" w:after="0"/>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insideV w:val="single" w:sz="8" w:space="0" w:color="FFCF40" w:themeColor="accent6" w:themeTint="BF"/>
      </w:tblBorders>
    </w:tblPr>
    <w:tcPr>
      <w:shd w:val="clear" w:color="auto" w:fill="FFEFC0" w:themeFill="accent6" w:themeFillTint="3F"/>
    </w:tcPr>
    <w:tblStylePr w:type="firstRow">
      <w:rPr>
        <w:b/>
        <w:bCs/>
      </w:rPr>
    </w:tblStylePr>
    <w:tblStylePr w:type="lastRow">
      <w:rPr>
        <w:b/>
        <w:bCs/>
      </w:rPr>
      <w:tblPr/>
      <w:tcPr>
        <w:tcBorders>
          <w:top w:val="single" w:sz="18" w:space="0" w:color="FFCF40" w:themeColor="accent6" w:themeTint="BF"/>
        </w:tcBorders>
      </w:tcPr>
    </w:tblStylePr>
    <w:tblStylePr w:type="firstCol">
      <w:rPr>
        <w:b/>
        <w:bCs/>
      </w:rPr>
    </w:tblStylePr>
    <w:tblStylePr w:type="lastCol">
      <w:rPr>
        <w:b/>
        <w:bCs/>
      </w:r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MediumGrid2">
    <w:name w:val="Medium Grid 2"/>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insideH w:val="single" w:sz="8" w:space="0" w:color="109146" w:themeColor="accent1"/>
        <w:insideV w:val="single" w:sz="8" w:space="0" w:color="109146" w:themeColor="accent1"/>
      </w:tblBorders>
    </w:tblPr>
    <w:tcPr>
      <w:shd w:val="clear" w:color="auto" w:fill="B1F6CD" w:themeFill="accent1" w:themeFillTint="3F"/>
    </w:tcPr>
    <w:tblStylePr w:type="firstRow">
      <w:rPr>
        <w:b/>
        <w:bCs/>
        <w:color w:val="000000" w:themeColor="text1"/>
      </w:rPr>
      <w:tblPr/>
      <w:tcPr>
        <w:shd w:val="clear" w:color="auto" w:fill="E0FB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8D7" w:themeFill="accent1" w:themeFillTint="33"/>
      </w:tcPr>
    </w:tblStylePr>
    <w:tblStylePr w:type="band1Vert">
      <w:tblPr/>
      <w:tcPr>
        <w:shd w:val="clear" w:color="auto" w:fill="62ED9C" w:themeFill="accent1" w:themeFillTint="7F"/>
      </w:tcPr>
    </w:tblStylePr>
    <w:tblStylePr w:type="band1Horz">
      <w:tblPr/>
      <w:tcPr>
        <w:tcBorders>
          <w:insideH w:val="single" w:sz="6" w:space="0" w:color="109146" w:themeColor="accent1"/>
          <w:insideV w:val="single" w:sz="6" w:space="0" w:color="109146" w:themeColor="accent1"/>
        </w:tcBorders>
        <w:shd w:val="clear" w:color="auto" w:fill="62ED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insideH w:val="single" w:sz="8" w:space="0" w:color="16A7C4" w:themeColor="accent2"/>
        <w:insideV w:val="single" w:sz="8" w:space="0" w:color="16A7C4" w:themeColor="accent2"/>
      </w:tblBorders>
    </w:tblPr>
    <w:tcPr>
      <w:shd w:val="clear" w:color="auto" w:fill="BDEEF7" w:themeFill="accent2" w:themeFillTint="3F"/>
    </w:tcPr>
    <w:tblStylePr w:type="firstRow">
      <w:rPr>
        <w:b/>
        <w:bCs/>
        <w:color w:val="000000" w:themeColor="text1"/>
      </w:rPr>
      <w:tblPr/>
      <w:tcPr>
        <w:shd w:val="clear" w:color="auto" w:fill="E5F8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1F9" w:themeFill="accent2" w:themeFillTint="33"/>
      </w:tcPr>
    </w:tblStylePr>
    <w:tblStylePr w:type="band1Vert">
      <w:tblPr/>
      <w:tcPr>
        <w:shd w:val="clear" w:color="auto" w:fill="7CDCF0" w:themeFill="accent2" w:themeFillTint="7F"/>
      </w:tcPr>
    </w:tblStylePr>
    <w:tblStylePr w:type="band1Horz">
      <w:tblPr/>
      <w:tcPr>
        <w:tcBorders>
          <w:insideH w:val="single" w:sz="6" w:space="0" w:color="16A7C4" w:themeColor="accent2"/>
          <w:insideV w:val="single" w:sz="6" w:space="0" w:color="16A7C4" w:themeColor="accent2"/>
        </w:tcBorders>
        <w:shd w:val="clear" w:color="auto" w:fill="7CDCF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insideH w:val="single" w:sz="8" w:space="0" w:color="C56829" w:themeColor="accent3"/>
        <w:insideV w:val="single" w:sz="8" w:space="0" w:color="C56829" w:themeColor="accent3"/>
      </w:tblBorders>
    </w:tblPr>
    <w:tcPr>
      <w:shd w:val="clear" w:color="auto" w:fill="F3D8C7" w:themeFill="accent3" w:themeFillTint="3F"/>
    </w:tcPr>
    <w:tblStylePr w:type="firstRow">
      <w:rPr>
        <w:b/>
        <w:bCs/>
        <w:color w:val="000000" w:themeColor="text1"/>
      </w:rPr>
      <w:tblPr/>
      <w:tcPr>
        <w:shd w:val="clear" w:color="auto" w:fill="FA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0D1" w:themeFill="accent3" w:themeFillTint="33"/>
      </w:tcPr>
    </w:tblStylePr>
    <w:tblStylePr w:type="band1Vert">
      <w:tblPr/>
      <w:tcPr>
        <w:shd w:val="clear" w:color="auto" w:fill="E7B28E" w:themeFill="accent3" w:themeFillTint="7F"/>
      </w:tcPr>
    </w:tblStylePr>
    <w:tblStylePr w:type="band1Horz">
      <w:tblPr/>
      <w:tcPr>
        <w:tcBorders>
          <w:insideH w:val="single" w:sz="6" w:space="0" w:color="C56829" w:themeColor="accent3"/>
          <w:insideV w:val="single" w:sz="6" w:space="0" w:color="C56829" w:themeColor="accent3"/>
        </w:tcBorders>
        <w:shd w:val="clear" w:color="auto" w:fill="E7B2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insideH w:val="single" w:sz="8" w:space="0" w:color="B71F7A" w:themeColor="accent4"/>
        <w:insideV w:val="single" w:sz="8" w:space="0" w:color="B71F7A" w:themeColor="accent4"/>
      </w:tblBorders>
    </w:tblPr>
    <w:tcPr>
      <w:shd w:val="clear" w:color="auto" w:fill="F4C0DF" w:themeFill="accent4" w:themeFillTint="3F"/>
    </w:tcPr>
    <w:tblStylePr w:type="firstRow">
      <w:rPr>
        <w:b/>
        <w:bCs/>
        <w:color w:val="000000" w:themeColor="text1"/>
      </w:rPr>
      <w:tblPr/>
      <w:tcPr>
        <w:shd w:val="clear" w:color="auto" w:fill="FAE5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CE5" w:themeFill="accent4" w:themeFillTint="33"/>
      </w:tcPr>
    </w:tblStylePr>
    <w:tblStylePr w:type="band1Vert">
      <w:tblPr/>
      <w:tcPr>
        <w:shd w:val="clear" w:color="auto" w:fill="E980BF" w:themeFill="accent4" w:themeFillTint="7F"/>
      </w:tcPr>
    </w:tblStylePr>
    <w:tblStylePr w:type="band1Horz">
      <w:tblPr/>
      <w:tcPr>
        <w:tcBorders>
          <w:insideH w:val="single" w:sz="6" w:space="0" w:color="B71F7A" w:themeColor="accent4"/>
          <w:insideV w:val="single" w:sz="6" w:space="0" w:color="B71F7A" w:themeColor="accent4"/>
        </w:tcBorders>
        <w:shd w:val="clear" w:color="auto" w:fill="E980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cPr>
      <w:shd w:val="clear" w:color="auto" w:fill="FFEFC0" w:themeFill="accent6" w:themeFillTint="3F"/>
    </w:tcPr>
    <w:tblStylePr w:type="firstRow">
      <w:rPr>
        <w:b/>
        <w:bCs/>
        <w:color w:val="000000" w:themeColor="text1"/>
      </w:rPr>
      <w:tblPr/>
      <w:tcPr>
        <w:shd w:val="clear" w:color="auto" w:fill="FFF8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6" w:themeFillTint="33"/>
      </w:tcPr>
    </w:tblStylePr>
    <w:tblStylePr w:type="band1Vert">
      <w:tblPr/>
      <w:tcPr>
        <w:shd w:val="clear" w:color="auto" w:fill="FFDF80" w:themeFill="accent6" w:themeFillTint="7F"/>
      </w:tcPr>
    </w:tblStylePr>
    <w:tblStylePr w:type="band1Horz">
      <w:tblPr/>
      <w:tcPr>
        <w:tcBorders>
          <w:insideH w:val="single" w:sz="6" w:space="0" w:color="FFC000" w:themeColor="accent6"/>
          <w:insideV w:val="single" w:sz="6" w:space="0" w:color="FFC000" w:themeColor="accent6"/>
        </w:tcBorders>
        <w:shd w:val="clear" w:color="auto" w:fill="FFD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F6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914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914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914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914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ED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ED9C" w:themeFill="accent1" w:themeFillTint="7F"/>
      </w:tcPr>
    </w:tblStylePr>
  </w:style>
  <w:style w:type="table" w:styleId="MediumGrid3-Accent2">
    <w:name w:val="Medium Grid 3 Accent 2"/>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E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A7C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A7C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A7C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A7C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DC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DCF0" w:themeFill="accent2" w:themeFillTint="7F"/>
      </w:tcPr>
    </w:tblStylePr>
  </w:style>
  <w:style w:type="table" w:styleId="MediumGrid3-Accent3">
    <w:name w:val="Medium Grid 3 Accent 3"/>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8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68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68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68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68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2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28E" w:themeFill="accent3" w:themeFillTint="7F"/>
      </w:tcPr>
    </w:tblStylePr>
  </w:style>
  <w:style w:type="table" w:styleId="MediumGrid3-Accent4">
    <w:name w:val="Medium Grid 3 Accent 4"/>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0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1F7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1F7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1F7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1F7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80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80BF" w:themeFill="accent4" w:themeFillTint="7F"/>
      </w:tcPr>
    </w:tblStylePr>
  </w:style>
  <w:style w:type="table" w:styleId="MediumGrid3-Accent5">
    <w:name w:val="Medium Grid 3 Accent 5"/>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CE0A7F"/>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6" w:themeFillTint="7F"/>
      </w:tcPr>
    </w:tblStylePr>
  </w:style>
  <w:style w:type="table" w:styleId="MediumList1">
    <w:name w:val="Medium List 1"/>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15E9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109146" w:themeColor="accent1"/>
        <w:bottom w:val="single" w:sz="8" w:space="0" w:color="109146" w:themeColor="accent1"/>
      </w:tblBorders>
    </w:tblPr>
    <w:tblStylePr w:type="firstRow">
      <w:rPr>
        <w:rFonts w:asciiTheme="majorHAnsi" w:eastAsiaTheme="majorEastAsia" w:hAnsiTheme="majorHAnsi" w:cstheme="majorBidi"/>
      </w:rPr>
      <w:tblPr/>
      <w:tcPr>
        <w:tcBorders>
          <w:top w:val="nil"/>
          <w:bottom w:val="single" w:sz="8" w:space="0" w:color="109146" w:themeColor="accent1"/>
        </w:tcBorders>
      </w:tcPr>
    </w:tblStylePr>
    <w:tblStylePr w:type="lastRow">
      <w:rPr>
        <w:b/>
        <w:bCs/>
        <w:color w:val="215E94" w:themeColor="text2"/>
      </w:rPr>
      <w:tblPr/>
      <w:tcPr>
        <w:tcBorders>
          <w:top w:val="single" w:sz="8" w:space="0" w:color="109146" w:themeColor="accent1"/>
          <w:bottom w:val="single" w:sz="8" w:space="0" w:color="109146" w:themeColor="accent1"/>
        </w:tcBorders>
      </w:tcPr>
    </w:tblStylePr>
    <w:tblStylePr w:type="firstCol">
      <w:rPr>
        <w:b/>
        <w:bCs/>
      </w:rPr>
    </w:tblStylePr>
    <w:tblStylePr w:type="lastCol">
      <w:rPr>
        <w:b/>
        <w:bCs/>
      </w:rPr>
      <w:tblPr/>
      <w:tcPr>
        <w:tcBorders>
          <w:top w:val="single" w:sz="8" w:space="0" w:color="109146" w:themeColor="accent1"/>
          <w:bottom w:val="single" w:sz="8" w:space="0" w:color="109146" w:themeColor="accent1"/>
        </w:tcBorders>
      </w:tcPr>
    </w:tblStylePr>
    <w:tblStylePr w:type="band1Vert">
      <w:tblPr/>
      <w:tcPr>
        <w:shd w:val="clear" w:color="auto" w:fill="B1F6CD" w:themeFill="accent1" w:themeFillTint="3F"/>
      </w:tcPr>
    </w:tblStylePr>
    <w:tblStylePr w:type="band1Horz">
      <w:tblPr/>
      <w:tcPr>
        <w:shd w:val="clear" w:color="auto" w:fill="B1F6CD" w:themeFill="accent1" w:themeFillTint="3F"/>
      </w:tcPr>
    </w:tblStylePr>
  </w:style>
  <w:style w:type="table" w:styleId="MediumList1-Accent2">
    <w:name w:val="Medium List 1 Accent 2"/>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16A7C4" w:themeColor="accent2"/>
        <w:bottom w:val="single" w:sz="8" w:space="0" w:color="16A7C4" w:themeColor="accent2"/>
      </w:tblBorders>
    </w:tblPr>
    <w:tblStylePr w:type="firstRow">
      <w:rPr>
        <w:rFonts w:asciiTheme="majorHAnsi" w:eastAsiaTheme="majorEastAsia" w:hAnsiTheme="majorHAnsi" w:cstheme="majorBidi"/>
      </w:rPr>
      <w:tblPr/>
      <w:tcPr>
        <w:tcBorders>
          <w:top w:val="nil"/>
          <w:bottom w:val="single" w:sz="8" w:space="0" w:color="16A7C4" w:themeColor="accent2"/>
        </w:tcBorders>
      </w:tcPr>
    </w:tblStylePr>
    <w:tblStylePr w:type="lastRow">
      <w:rPr>
        <w:b/>
        <w:bCs/>
        <w:color w:val="215E94" w:themeColor="text2"/>
      </w:rPr>
      <w:tblPr/>
      <w:tcPr>
        <w:tcBorders>
          <w:top w:val="single" w:sz="8" w:space="0" w:color="16A7C4" w:themeColor="accent2"/>
          <w:bottom w:val="single" w:sz="8" w:space="0" w:color="16A7C4" w:themeColor="accent2"/>
        </w:tcBorders>
      </w:tcPr>
    </w:tblStylePr>
    <w:tblStylePr w:type="firstCol">
      <w:rPr>
        <w:b/>
        <w:bCs/>
      </w:rPr>
    </w:tblStylePr>
    <w:tblStylePr w:type="lastCol">
      <w:rPr>
        <w:b/>
        <w:bCs/>
      </w:rPr>
      <w:tblPr/>
      <w:tcPr>
        <w:tcBorders>
          <w:top w:val="single" w:sz="8" w:space="0" w:color="16A7C4" w:themeColor="accent2"/>
          <w:bottom w:val="single" w:sz="8" w:space="0" w:color="16A7C4" w:themeColor="accent2"/>
        </w:tcBorders>
      </w:tcPr>
    </w:tblStylePr>
    <w:tblStylePr w:type="band1Vert">
      <w:tblPr/>
      <w:tcPr>
        <w:shd w:val="clear" w:color="auto" w:fill="BDEEF7" w:themeFill="accent2" w:themeFillTint="3F"/>
      </w:tcPr>
    </w:tblStylePr>
    <w:tblStylePr w:type="band1Horz">
      <w:tblPr/>
      <w:tcPr>
        <w:shd w:val="clear" w:color="auto" w:fill="BDEEF7" w:themeFill="accent2" w:themeFillTint="3F"/>
      </w:tcPr>
    </w:tblStylePr>
  </w:style>
  <w:style w:type="table" w:styleId="MediumList1-Accent3">
    <w:name w:val="Medium List 1 Accent 3"/>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C56829" w:themeColor="accent3"/>
        <w:bottom w:val="single" w:sz="8" w:space="0" w:color="C56829" w:themeColor="accent3"/>
      </w:tblBorders>
    </w:tblPr>
    <w:tblStylePr w:type="firstRow">
      <w:rPr>
        <w:rFonts w:asciiTheme="majorHAnsi" w:eastAsiaTheme="majorEastAsia" w:hAnsiTheme="majorHAnsi" w:cstheme="majorBidi"/>
      </w:rPr>
      <w:tblPr/>
      <w:tcPr>
        <w:tcBorders>
          <w:top w:val="nil"/>
          <w:bottom w:val="single" w:sz="8" w:space="0" w:color="C56829" w:themeColor="accent3"/>
        </w:tcBorders>
      </w:tcPr>
    </w:tblStylePr>
    <w:tblStylePr w:type="lastRow">
      <w:rPr>
        <w:b/>
        <w:bCs/>
        <w:color w:val="215E94" w:themeColor="text2"/>
      </w:rPr>
      <w:tblPr/>
      <w:tcPr>
        <w:tcBorders>
          <w:top w:val="single" w:sz="8" w:space="0" w:color="C56829" w:themeColor="accent3"/>
          <w:bottom w:val="single" w:sz="8" w:space="0" w:color="C56829" w:themeColor="accent3"/>
        </w:tcBorders>
      </w:tcPr>
    </w:tblStylePr>
    <w:tblStylePr w:type="firstCol">
      <w:rPr>
        <w:b/>
        <w:bCs/>
      </w:rPr>
    </w:tblStylePr>
    <w:tblStylePr w:type="lastCol">
      <w:rPr>
        <w:b/>
        <w:bCs/>
      </w:rPr>
      <w:tblPr/>
      <w:tcPr>
        <w:tcBorders>
          <w:top w:val="single" w:sz="8" w:space="0" w:color="C56829" w:themeColor="accent3"/>
          <w:bottom w:val="single" w:sz="8" w:space="0" w:color="C56829" w:themeColor="accent3"/>
        </w:tcBorders>
      </w:tcPr>
    </w:tblStylePr>
    <w:tblStylePr w:type="band1Vert">
      <w:tblPr/>
      <w:tcPr>
        <w:shd w:val="clear" w:color="auto" w:fill="F3D8C7" w:themeFill="accent3" w:themeFillTint="3F"/>
      </w:tcPr>
    </w:tblStylePr>
    <w:tblStylePr w:type="band1Horz">
      <w:tblPr/>
      <w:tcPr>
        <w:shd w:val="clear" w:color="auto" w:fill="F3D8C7" w:themeFill="accent3" w:themeFillTint="3F"/>
      </w:tcPr>
    </w:tblStylePr>
  </w:style>
  <w:style w:type="table" w:styleId="MediumList1-Accent4">
    <w:name w:val="Medium List 1 Accent 4"/>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B71F7A" w:themeColor="accent4"/>
        <w:bottom w:val="single" w:sz="8" w:space="0" w:color="B71F7A" w:themeColor="accent4"/>
      </w:tblBorders>
    </w:tblPr>
    <w:tblStylePr w:type="firstRow">
      <w:rPr>
        <w:rFonts w:asciiTheme="majorHAnsi" w:eastAsiaTheme="majorEastAsia" w:hAnsiTheme="majorHAnsi" w:cstheme="majorBidi"/>
      </w:rPr>
      <w:tblPr/>
      <w:tcPr>
        <w:tcBorders>
          <w:top w:val="nil"/>
          <w:bottom w:val="single" w:sz="8" w:space="0" w:color="B71F7A" w:themeColor="accent4"/>
        </w:tcBorders>
      </w:tcPr>
    </w:tblStylePr>
    <w:tblStylePr w:type="lastRow">
      <w:rPr>
        <w:b/>
        <w:bCs/>
        <w:color w:val="215E94" w:themeColor="text2"/>
      </w:rPr>
      <w:tblPr/>
      <w:tcPr>
        <w:tcBorders>
          <w:top w:val="single" w:sz="8" w:space="0" w:color="B71F7A" w:themeColor="accent4"/>
          <w:bottom w:val="single" w:sz="8" w:space="0" w:color="B71F7A" w:themeColor="accent4"/>
        </w:tcBorders>
      </w:tcPr>
    </w:tblStylePr>
    <w:tblStylePr w:type="firstCol">
      <w:rPr>
        <w:b/>
        <w:bCs/>
      </w:rPr>
    </w:tblStylePr>
    <w:tblStylePr w:type="lastCol">
      <w:rPr>
        <w:b/>
        <w:bCs/>
      </w:rPr>
      <w:tblPr/>
      <w:tcPr>
        <w:tcBorders>
          <w:top w:val="single" w:sz="8" w:space="0" w:color="B71F7A" w:themeColor="accent4"/>
          <w:bottom w:val="single" w:sz="8" w:space="0" w:color="B71F7A" w:themeColor="accent4"/>
        </w:tcBorders>
      </w:tcPr>
    </w:tblStylePr>
    <w:tblStylePr w:type="band1Vert">
      <w:tblPr/>
      <w:tcPr>
        <w:shd w:val="clear" w:color="auto" w:fill="F4C0DF" w:themeFill="accent4" w:themeFillTint="3F"/>
      </w:tcPr>
    </w:tblStylePr>
    <w:tblStylePr w:type="band1Horz">
      <w:tblPr/>
      <w:tcPr>
        <w:shd w:val="clear" w:color="auto" w:fill="F4C0DF" w:themeFill="accent4" w:themeFillTint="3F"/>
      </w:tcPr>
    </w:tblStylePr>
  </w:style>
  <w:style w:type="table" w:styleId="MediumList1-Accent5">
    <w:name w:val="Medium List 1 Accent 5"/>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15E9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CE0A7F"/>
    <w:pPr>
      <w:spacing w:before="0" w:after="0"/>
    </w:pPr>
    <w:rPr>
      <w:color w:val="000000" w:themeColor="text1"/>
    </w:rPr>
    <w:tblPr>
      <w:tblStyleRowBandSize w:val="1"/>
      <w:tblStyleColBandSize w:val="1"/>
      <w:tblBorders>
        <w:top w:val="single" w:sz="8" w:space="0" w:color="FFC000" w:themeColor="accent6"/>
        <w:bottom w:val="single" w:sz="8" w:space="0" w:color="FFC000" w:themeColor="accent6"/>
      </w:tblBorders>
    </w:tblPr>
    <w:tblStylePr w:type="firstRow">
      <w:rPr>
        <w:rFonts w:asciiTheme="majorHAnsi" w:eastAsiaTheme="majorEastAsia" w:hAnsiTheme="majorHAnsi" w:cstheme="majorBidi"/>
      </w:rPr>
      <w:tblPr/>
      <w:tcPr>
        <w:tcBorders>
          <w:top w:val="nil"/>
          <w:bottom w:val="single" w:sz="8" w:space="0" w:color="FFC000" w:themeColor="accent6"/>
        </w:tcBorders>
      </w:tcPr>
    </w:tblStylePr>
    <w:tblStylePr w:type="lastRow">
      <w:rPr>
        <w:b/>
        <w:bCs/>
        <w:color w:val="215E94" w:themeColor="text2"/>
      </w:rPr>
      <w:tblPr/>
      <w:tcPr>
        <w:tcBorders>
          <w:top w:val="single" w:sz="8" w:space="0" w:color="FFC000" w:themeColor="accent6"/>
          <w:bottom w:val="single" w:sz="8" w:space="0" w:color="FFC000" w:themeColor="accent6"/>
        </w:tcBorders>
      </w:tcPr>
    </w:tblStylePr>
    <w:tblStylePr w:type="firstCol">
      <w:rPr>
        <w:b/>
        <w:bCs/>
      </w:rPr>
    </w:tblStylePr>
    <w:tblStylePr w:type="lastCol">
      <w:rPr>
        <w:b/>
        <w:bCs/>
      </w:rPr>
      <w:tblPr/>
      <w:tcPr>
        <w:tcBorders>
          <w:top w:val="single" w:sz="8" w:space="0" w:color="FFC000" w:themeColor="accent6"/>
          <w:bottom w:val="single" w:sz="8" w:space="0" w:color="FFC000" w:themeColor="accent6"/>
        </w:tcBorders>
      </w:tcPr>
    </w:tblStylePr>
    <w:tblStylePr w:type="band1Vert">
      <w:tblPr/>
      <w:tcPr>
        <w:shd w:val="clear" w:color="auto" w:fill="FFEFC0" w:themeFill="accent6" w:themeFillTint="3F"/>
      </w:tcPr>
    </w:tblStylePr>
    <w:tblStylePr w:type="band1Horz">
      <w:tblPr/>
      <w:tcPr>
        <w:shd w:val="clear" w:color="auto" w:fill="FFEFC0" w:themeFill="accent6" w:themeFillTint="3F"/>
      </w:tcPr>
    </w:tblStylePr>
  </w:style>
  <w:style w:type="table" w:styleId="MediumList2">
    <w:name w:val="Medium List 2"/>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9146" w:themeColor="accent1"/>
        <w:left w:val="single" w:sz="8" w:space="0" w:color="109146" w:themeColor="accent1"/>
        <w:bottom w:val="single" w:sz="8" w:space="0" w:color="109146" w:themeColor="accent1"/>
        <w:right w:val="single" w:sz="8" w:space="0" w:color="109146" w:themeColor="accent1"/>
      </w:tblBorders>
    </w:tblPr>
    <w:tblStylePr w:type="firstRow">
      <w:rPr>
        <w:sz w:val="24"/>
        <w:szCs w:val="24"/>
      </w:rPr>
      <w:tblPr/>
      <w:tcPr>
        <w:tcBorders>
          <w:top w:val="nil"/>
          <w:left w:val="nil"/>
          <w:bottom w:val="single" w:sz="24" w:space="0" w:color="10914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9146" w:themeColor="accent1"/>
          <w:insideH w:val="nil"/>
          <w:insideV w:val="nil"/>
        </w:tcBorders>
        <w:shd w:val="clear" w:color="auto" w:fill="FFFFFF" w:themeFill="background1"/>
      </w:tcPr>
    </w:tblStylePr>
    <w:tblStylePr w:type="lastCol">
      <w:tblPr/>
      <w:tcPr>
        <w:tcBorders>
          <w:top w:val="nil"/>
          <w:left w:val="single" w:sz="8" w:space="0" w:color="10914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6CD" w:themeFill="accent1" w:themeFillTint="3F"/>
      </w:tcPr>
    </w:tblStylePr>
    <w:tblStylePr w:type="band1Horz">
      <w:tblPr/>
      <w:tcPr>
        <w:tcBorders>
          <w:top w:val="nil"/>
          <w:bottom w:val="nil"/>
          <w:insideH w:val="nil"/>
          <w:insideV w:val="nil"/>
        </w:tcBorders>
        <w:shd w:val="clear" w:color="auto" w:fill="B1F6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6A7C4" w:themeColor="accent2"/>
        <w:left w:val="single" w:sz="8" w:space="0" w:color="16A7C4" w:themeColor="accent2"/>
        <w:bottom w:val="single" w:sz="8" w:space="0" w:color="16A7C4" w:themeColor="accent2"/>
        <w:right w:val="single" w:sz="8" w:space="0" w:color="16A7C4" w:themeColor="accent2"/>
      </w:tblBorders>
    </w:tblPr>
    <w:tblStylePr w:type="firstRow">
      <w:rPr>
        <w:sz w:val="24"/>
        <w:szCs w:val="24"/>
      </w:rPr>
      <w:tblPr/>
      <w:tcPr>
        <w:tcBorders>
          <w:top w:val="nil"/>
          <w:left w:val="nil"/>
          <w:bottom w:val="single" w:sz="24" w:space="0" w:color="16A7C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A7C4" w:themeColor="accent2"/>
          <w:insideH w:val="nil"/>
          <w:insideV w:val="nil"/>
        </w:tcBorders>
        <w:shd w:val="clear" w:color="auto" w:fill="FFFFFF" w:themeFill="background1"/>
      </w:tcPr>
    </w:tblStylePr>
    <w:tblStylePr w:type="lastCol">
      <w:tblPr/>
      <w:tcPr>
        <w:tcBorders>
          <w:top w:val="nil"/>
          <w:left w:val="single" w:sz="8" w:space="0" w:color="16A7C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EF7" w:themeFill="accent2" w:themeFillTint="3F"/>
      </w:tcPr>
    </w:tblStylePr>
    <w:tblStylePr w:type="band1Horz">
      <w:tblPr/>
      <w:tcPr>
        <w:tcBorders>
          <w:top w:val="nil"/>
          <w:bottom w:val="nil"/>
          <w:insideH w:val="nil"/>
          <w:insideV w:val="nil"/>
        </w:tcBorders>
        <w:shd w:val="clear" w:color="auto" w:fill="BDEE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C56829" w:themeColor="accent3"/>
        <w:left w:val="single" w:sz="8" w:space="0" w:color="C56829" w:themeColor="accent3"/>
        <w:bottom w:val="single" w:sz="8" w:space="0" w:color="C56829" w:themeColor="accent3"/>
        <w:right w:val="single" w:sz="8" w:space="0" w:color="C56829" w:themeColor="accent3"/>
      </w:tblBorders>
    </w:tblPr>
    <w:tblStylePr w:type="firstRow">
      <w:rPr>
        <w:sz w:val="24"/>
        <w:szCs w:val="24"/>
      </w:rPr>
      <w:tblPr/>
      <w:tcPr>
        <w:tcBorders>
          <w:top w:val="nil"/>
          <w:left w:val="nil"/>
          <w:bottom w:val="single" w:sz="24" w:space="0" w:color="C568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6829" w:themeColor="accent3"/>
          <w:insideH w:val="nil"/>
          <w:insideV w:val="nil"/>
        </w:tcBorders>
        <w:shd w:val="clear" w:color="auto" w:fill="FFFFFF" w:themeFill="background1"/>
      </w:tcPr>
    </w:tblStylePr>
    <w:tblStylePr w:type="lastCol">
      <w:tblPr/>
      <w:tcPr>
        <w:tcBorders>
          <w:top w:val="nil"/>
          <w:left w:val="single" w:sz="8" w:space="0" w:color="C568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8C7" w:themeFill="accent3" w:themeFillTint="3F"/>
      </w:tcPr>
    </w:tblStylePr>
    <w:tblStylePr w:type="band1Horz">
      <w:tblPr/>
      <w:tcPr>
        <w:tcBorders>
          <w:top w:val="nil"/>
          <w:bottom w:val="nil"/>
          <w:insideH w:val="nil"/>
          <w:insideV w:val="nil"/>
        </w:tcBorders>
        <w:shd w:val="clear" w:color="auto" w:fill="F3D8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71F7A" w:themeColor="accent4"/>
        <w:left w:val="single" w:sz="8" w:space="0" w:color="B71F7A" w:themeColor="accent4"/>
        <w:bottom w:val="single" w:sz="8" w:space="0" w:color="B71F7A" w:themeColor="accent4"/>
        <w:right w:val="single" w:sz="8" w:space="0" w:color="B71F7A" w:themeColor="accent4"/>
      </w:tblBorders>
    </w:tblPr>
    <w:tblStylePr w:type="firstRow">
      <w:rPr>
        <w:sz w:val="24"/>
        <w:szCs w:val="24"/>
      </w:rPr>
      <w:tblPr/>
      <w:tcPr>
        <w:tcBorders>
          <w:top w:val="nil"/>
          <w:left w:val="nil"/>
          <w:bottom w:val="single" w:sz="24" w:space="0" w:color="B71F7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1F7A" w:themeColor="accent4"/>
          <w:insideH w:val="nil"/>
          <w:insideV w:val="nil"/>
        </w:tcBorders>
        <w:shd w:val="clear" w:color="auto" w:fill="FFFFFF" w:themeFill="background1"/>
      </w:tcPr>
    </w:tblStylePr>
    <w:tblStylePr w:type="lastCol">
      <w:tblPr/>
      <w:tcPr>
        <w:tcBorders>
          <w:top w:val="nil"/>
          <w:left w:val="single" w:sz="8" w:space="0" w:color="B71F7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0DF" w:themeFill="accent4" w:themeFillTint="3F"/>
      </w:tcPr>
    </w:tblStylePr>
    <w:tblStylePr w:type="band1Horz">
      <w:tblPr/>
      <w:tcPr>
        <w:tcBorders>
          <w:top w:val="nil"/>
          <w:bottom w:val="nil"/>
          <w:insideH w:val="nil"/>
          <w:insideV w:val="nil"/>
        </w:tcBorders>
        <w:shd w:val="clear" w:color="auto" w:fill="F4C0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E0A7F"/>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rPr>
        <w:sz w:val="24"/>
        <w:szCs w:val="24"/>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6"/>
          <w:insideH w:val="nil"/>
          <w:insideV w:val="nil"/>
        </w:tcBorders>
        <w:shd w:val="clear" w:color="auto" w:fill="FFFFFF" w:themeFill="background1"/>
      </w:tcPr>
    </w:tblStylePr>
    <w:tblStylePr w:type="lastCol">
      <w:tblPr/>
      <w:tcPr>
        <w:tcBorders>
          <w:top w:val="nil"/>
          <w:left w:val="single" w:sz="8" w:space="0" w:color="FFC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top w:val="nil"/>
          <w:bottom w:val="nil"/>
          <w:insideH w:val="nil"/>
          <w:insideV w:val="nil"/>
        </w:tcBorders>
        <w:shd w:val="clear" w:color="auto" w:fill="FFE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E0A7F"/>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E0A7F"/>
    <w:pPr>
      <w:spacing w:before="0" w:after="0"/>
    </w:pPr>
    <w:tblPr>
      <w:tblStyleRowBandSize w:val="1"/>
      <w:tblStyleColBandSize w:val="1"/>
      <w:tblBorders>
        <w:top w:val="single" w:sz="8"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single" w:sz="8" w:space="0" w:color="18DF6B" w:themeColor="accent1" w:themeTint="BF"/>
      </w:tblBorders>
    </w:tblPr>
    <w:tblStylePr w:type="firstRow">
      <w:pPr>
        <w:spacing w:before="0" w:after="0" w:line="240" w:lineRule="auto"/>
      </w:pPr>
      <w:rPr>
        <w:b/>
        <w:bCs/>
        <w:color w:val="FFFFFF" w:themeColor="background1"/>
      </w:rPr>
      <w:tblPr/>
      <w:tcPr>
        <w:tcBorders>
          <w:top w:val="single" w:sz="8"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nil"/>
          <w:insideV w:val="nil"/>
        </w:tcBorders>
        <w:shd w:val="clear" w:color="auto" w:fill="109146" w:themeFill="accent1"/>
      </w:tcPr>
    </w:tblStylePr>
    <w:tblStylePr w:type="lastRow">
      <w:pPr>
        <w:spacing w:before="0" w:after="0" w:line="240" w:lineRule="auto"/>
      </w:pPr>
      <w:rPr>
        <w:b/>
        <w:bCs/>
      </w:rPr>
      <w:tblPr/>
      <w:tcPr>
        <w:tcBorders>
          <w:top w:val="double" w:sz="6" w:space="0" w:color="18DF6B" w:themeColor="accent1" w:themeTint="BF"/>
          <w:left w:val="single" w:sz="8" w:space="0" w:color="18DF6B" w:themeColor="accent1" w:themeTint="BF"/>
          <w:bottom w:val="single" w:sz="8" w:space="0" w:color="18DF6B" w:themeColor="accent1" w:themeTint="BF"/>
          <w:right w:val="single" w:sz="8" w:space="0" w:color="18DF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F6CD" w:themeFill="accent1" w:themeFillTint="3F"/>
      </w:tcPr>
    </w:tblStylePr>
    <w:tblStylePr w:type="band1Horz">
      <w:tblPr/>
      <w:tcPr>
        <w:tcBorders>
          <w:insideH w:val="nil"/>
          <w:insideV w:val="nil"/>
        </w:tcBorders>
        <w:shd w:val="clear" w:color="auto" w:fill="B1F6C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E0A7F"/>
    <w:pPr>
      <w:spacing w:before="0" w:after="0"/>
    </w:pPr>
    <w:tblPr>
      <w:tblStyleRowBandSize w:val="1"/>
      <w:tblStyleColBandSize w:val="1"/>
      <w:tblBorders>
        <w:top w:val="single" w:sz="8"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single" w:sz="8" w:space="0" w:color="3ACBE9" w:themeColor="accent2" w:themeTint="BF"/>
      </w:tblBorders>
    </w:tblPr>
    <w:tblStylePr w:type="firstRow">
      <w:pPr>
        <w:spacing w:before="0" w:after="0" w:line="240" w:lineRule="auto"/>
      </w:pPr>
      <w:rPr>
        <w:b/>
        <w:bCs/>
        <w:color w:val="FFFFFF" w:themeColor="background1"/>
      </w:rPr>
      <w:tblPr/>
      <w:tcPr>
        <w:tcBorders>
          <w:top w:val="single" w:sz="8"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nil"/>
          <w:insideV w:val="nil"/>
        </w:tcBorders>
        <w:shd w:val="clear" w:color="auto" w:fill="16A7C4" w:themeFill="accent2"/>
      </w:tcPr>
    </w:tblStylePr>
    <w:tblStylePr w:type="lastRow">
      <w:pPr>
        <w:spacing w:before="0" w:after="0" w:line="240" w:lineRule="auto"/>
      </w:pPr>
      <w:rPr>
        <w:b/>
        <w:bCs/>
      </w:rPr>
      <w:tblPr/>
      <w:tcPr>
        <w:tcBorders>
          <w:top w:val="double" w:sz="6" w:space="0" w:color="3ACBE9" w:themeColor="accent2" w:themeTint="BF"/>
          <w:left w:val="single" w:sz="8" w:space="0" w:color="3ACBE9" w:themeColor="accent2" w:themeTint="BF"/>
          <w:bottom w:val="single" w:sz="8" w:space="0" w:color="3ACBE9" w:themeColor="accent2" w:themeTint="BF"/>
          <w:right w:val="single" w:sz="8" w:space="0" w:color="3ACBE9"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EF7" w:themeFill="accent2" w:themeFillTint="3F"/>
      </w:tcPr>
    </w:tblStylePr>
    <w:tblStylePr w:type="band1Horz">
      <w:tblPr/>
      <w:tcPr>
        <w:tcBorders>
          <w:insideH w:val="nil"/>
          <w:insideV w:val="nil"/>
        </w:tcBorders>
        <w:shd w:val="clear" w:color="auto" w:fill="BDEE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E0A7F"/>
    <w:pPr>
      <w:spacing w:before="0" w:after="0"/>
    </w:pPr>
    <w:tblPr>
      <w:tblStyleRowBandSize w:val="1"/>
      <w:tblStyleColBandSize w:val="1"/>
      <w:tblBorders>
        <w:top w:val="single" w:sz="8"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single" w:sz="8" w:space="0" w:color="DB8B56" w:themeColor="accent3" w:themeTint="BF"/>
      </w:tblBorders>
    </w:tblPr>
    <w:tblStylePr w:type="firstRow">
      <w:pPr>
        <w:spacing w:before="0" w:after="0" w:line="240" w:lineRule="auto"/>
      </w:pPr>
      <w:rPr>
        <w:b/>
        <w:bCs/>
        <w:color w:val="FFFFFF" w:themeColor="background1"/>
      </w:rPr>
      <w:tblPr/>
      <w:tcPr>
        <w:tcBorders>
          <w:top w:val="single" w:sz="8"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nil"/>
          <w:insideV w:val="nil"/>
        </w:tcBorders>
        <w:shd w:val="clear" w:color="auto" w:fill="C56829" w:themeFill="accent3"/>
      </w:tcPr>
    </w:tblStylePr>
    <w:tblStylePr w:type="lastRow">
      <w:pPr>
        <w:spacing w:before="0" w:after="0" w:line="240" w:lineRule="auto"/>
      </w:pPr>
      <w:rPr>
        <w:b/>
        <w:bCs/>
      </w:rPr>
      <w:tblPr/>
      <w:tcPr>
        <w:tcBorders>
          <w:top w:val="double" w:sz="6" w:space="0" w:color="DB8B56" w:themeColor="accent3" w:themeTint="BF"/>
          <w:left w:val="single" w:sz="8" w:space="0" w:color="DB8B56" w:themeColor="accent3" w:themeTint="BF"/>
          <w:bottom w:val="single" w:sz="8" w:space="0" w:color="DB8B56" w:themeColor="accent3" w:themeTint="BF"/>
          <w:right w:val="single" w:sz="8" w:space="0" w:color="DB8B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D8C7" w:themeFill="accent3" w:themeFillTint="3F"/>
      </w:tcPr>
    </w:tblStylePr>
    <w:tblStylePr w:type="band1Horz">
      <w:tblPr/>
      <w:tcPr>
        <w:tcBorders>
          <w:insideH w:val="nil"/>
          <w:insideV w:val="nil"/>
        </w:tcBorders>
        <w:shd w:val="clear" w:color="auto" w:fill="F3D8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E0A7F"/>
    <w:pPr>
      <w:spacing w:before="0" w:after="0"/>
    </w:pPr>
    <w:tblPr>
      <w:tblStyleRowBandSize w:val="1"/>
      <w:tblStyleColBandSize w:val="1"/>
      <w:tblBorders>
        <w:top w:val="single" w:sz="8"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single" w:sz="8" w:space="0" w:color="DE419F" w:themeColor="accent4" w:themeTint="BF"/>
      </w:tblBorders>
    </w:tblPr>
    <w:tblStylePr w:type="firstRow">
      <w:pPr>
        <w:spacing w:before="0" w:after="0" w:line="240" w:lineRule="auto"/>
      </w:pPr>
      <w:rPr>
        <w:b/>
        <w:bCs/>
        <w:color w:val="FFFFFF" w:themeColor="background1"/>
      </w:rPr>
      <w:tblPr/>
      <w:tcPr>
        <w:tcBorders>
          <w:top w:val="single" w:sz="8"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nil"/>
          <w:insideV w:val="nil"/>
        </w:tcBorders>
        <w:shd w:val="clear" w:color="auto" w:fill="B71F7A" w:themeFill="accent4"/>
      </w:tcPr>
    </w:tblStylePr>
    <w:tblStylePr w:type="lastRow">
      <w:pPr>
        <w:spacing w:before="0" w:after="0" w:line="240" w:lineRule="auto"/>
      </w:pPr>
      <w:rPr>
        <w:b/>
        <w:bCs/>
      </w:rPr>
      <w:tblPr/>
      <w:tcPr>
        <w:tcBorders>
          <w:top w:val="double" w:sz="6" w:space="0" w:color="DE419F" w:themeColor="accent4" w:themeTint="BF"/>
          <w:left w:val="single" w:sz="8" w:space="0" w:color="DE419F" w:themeColor="accent4" w:themeTint="BF"/>
          <w:bottom w:val="single" w:sz="8" w:space="0" w:color="DE419F" w:themeColor="accent4" w:themeTint="BF"/>
          <w:right w:val="single" w:sz="8" w:space="0" w:color="DE41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C0DF" w:themeFill="accent4" w:themeFillTint="3F"/>
      </w:tcPr>
    </w:tblStylePr>
    <w:tblStylePr w:type="band1Horz">
      <w:tblPr/>
      <w:tcPr>
        <w:tcBorders>
          <w:insideH w:val="nil"/>
          <w:insideV w:val="nil"/>
        </w:tcBorders>
        <w:shd w:val="clear" w:color="auto" w:fill="F4C0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E0A7F"/>
    <w:pPr>
      <w:spacing w:before="0" w:after="0"/>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E0A7F"/>
    <w:pPr>
      <w:spacing w:before="0" w:after="0"/>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tblBorders>
    </w:tblPr>
    <w:tblStylePr w:type="firstRow">
      <w:pPr>
        <w:spacing w:before="0" w:after="0" w:line="240" w:lineRule="auto"/>
      </w:pPr>
      <w:rPr>
        <w:b/>
        <w:bCs/>
        <w:color w:val="FFFFFF" w:themeColor="background1"/>
      </w:rPr>
      <w:tblPr/>
      <w:tcPr>
        <w:tc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shd w:val="clear" w:color="auto" w:fill="FFC000" w:themeFill="accent6"/>
      </w:tcPr>
    </w:tblStylePr>
    <w:tblStylePr w:type="lastRow">
      <w:pPr>
        <w:spacing w:before="0" w:after="0" w:line="240" w:lineRule="auto"/>
      </w:pPr>
      <w:rPr>
        <w:b/>
        <w:bCs/>
      </w:rPr>
      <w:tblPr/>
      <w:tcPr>
        <w:tcBorders>
          <w:top w:val="double" w:sz="6"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6" w:themeFillTint="3F"/>
      </w:tcPr>
    </w:tblStylePr>
    <w:tblStylePr w:type="band1Horz">
      <w:tblPr/>
      <w:tcPr>
        <w:tcBorders>
          <w:insideH w:val="nil"/>
          <w:insideV w:val="nil"/>
        </w:tcBorders>
        <w:shd w:val="clear" w:color="auto" w:fill="FFE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A7C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6A7C4" w:themeFill="accent2"/>
      </w:tcPr>
    </w:tblStylePr>
    <w:tblStylePr w:type="lastCol">
      <w:rPr>
        <w:b/>
        <w:bCs/>
        <w:color w:val="FFFFFF" w:themeColor="background1"/>
      </w:rPr>
      <w:tblPr/>
      <w:tcPr>
        <w:tcBorders>
          <w:left w:val="nil"/>
          <w:right w:val="nil"/>
          <w:insideH w:val="nil"/>
          <w:insideV w:val="nil"/>
        </w:tcBorders>
        <w:shd w:val="clear" w:color="auto" w:fill="16A7C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68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56829" w:themeFill="accent3"/>
      </w:tcPr>
    </w:tblStylePr>
    <w:tblStylePr w:type="lastCol">
      <w:rPr>
        <w:b/>
        <w:bCs/>
        <w:color w:val="FFFFFF" w:themeColor="background1"/>
      </w:rPr>
      <w:tblPr/>
      <w:tcPr>
        <w:tcBorders>
          <w:left w:val="nil"/>
          <w:right w:val="nil"/>
          <w:insideH w:val="nil"/>
          <w:insideV w:val="nil"/>
        </w:tcBorders>
        <w:shd w:val="clear" w:color="auto" w:fill="C568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1F7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1F7A" w:themeFill="accent4"/>
      </w:tcPr>
    </w:tblStylePr>
    <w:tblStylePr w:type="lastCol">
      <w:rPr>
        <w:b/>
        <w:bCs/>
        <w:color w:val="FFFFFF" w:themeColor="background1"/>
      </w:rPr>
      <w:tblPr/>
      <w:tcPr>
        <w:tcBorders>
          <w:left w:val="nil"/>
          <w:right w:val="nil"/>
          <w:insideH w:val="nil"/>
          <w:insideV w:val="nil"/>
        </w:tcBorders>
        <w:shd w:val="clear" w:color="auto" w:fill="B71F7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E0A7F"/>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6"/>
      </w:tcPr>
    </w:tblStylePr>
    <w:tblStylePr w:type="lastCol">
      <w:rPr>
        <w:b/>
        <w:bCs/>
        <w:color w:val="FFFFFF" w:themeColor="background1"/>
      </w:rPr>
      <w:tblPr/>
      <w:tcPr>
        <w:tcBorders>
          <w:left w:val="nil"/>
          <w:right w:val="nil"/>
          <w:insideH w:val="nil"/>
          <w:insideV w:val="nil"/>
        </w:tcBorders>
        <w:shd w:val="clear" w:color="auto" w:fill="FFC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CE0A7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0A7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E0A7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0A7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0A7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E0A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0A7F"/>
    <w:rPr>
      <w:i/>
      <w:iCs/>
      <w:color w:val="404040" w:themeColor="text1" w:themeTint="BF"/>
      <w:lang w:val="nl-NL"/>
    </w:rPr>
  </w:style>
  <w:style w:type="character" w:styleId="Strong">
    <w:name w:val="Strong"/>
    <w:basedOn w:val="DefaultParagraphFont"/>
    <w:uiPriority w:val="22"/>
    <w:qFormat/>
    <w:rsid w:val="00CE0A7F"/>
    <w:rPr>
      <w:b/>
      <w:bCs/>
      <w:lang w:val="nl-NL"/>
    </w:rPr>
  </w:style>
  <w:style w:type="paragraph" w:styleId="Subtitle">
    <w:name w:val="Subtitle"/>
    <w:basedOn w:val="Normal"/>
    <w:next w:val="Normal"/>
    <w:link w:val="SubtitleChar"/>
    <w:uiPriority w:val="11"/>
    <w:rsid w:val="008E3AF2"/>
    <w:pPr>
      <w:numPr>
        <w:ilvl w:val="1"/>
      </w:numPr>
    </w:pPr>
    <w:rPr>
      <w:rFonts w:asciiTheme="minorHAnsi" w:eastAsiaTheme="minorEastAsia" w:hAnsiTheme="minorHAnsi"/>
      <w:color w:val="000000" w:themeColor="text1"/>
      <w:spacing w:val="15"/>
      <w:sz w:val="22"/>
      <w:szCs w:val="22"/>
    </w:rPr>
  </w:style>
  <w:style w:type="character" w:customStyle="1" w:styleId="SubtitleChar">
    <w:name w:val="Subtitle Char"/>
    <w:basedOn w:val="DefaultParagraphFont"/>
    <w:link w:val="Subtitle"/>
    <w:uiPriority w:val="11"/>
    <w:rsid w:val="008E3AF2"/>
    <w:rPr>
      <w:rFonts w:asciiTheme="minorHAnsi" w:eastAsiaTheme="minorEastAsia" w:hAnsiTheme="minorHAnsi"/>
      <w:color w:val="000000" w:themeColor="text1"/>
      <w:spacing w:val="15"/>
      <w:sz w:val="22"/>
      <w:szCs w:val="22"/>
      <w:lang w:val="nl-NL"/>
    </w:rPr>
  </w:style>
  <w:style w:type="character" w:styleId="SubtleEmphasis">
    <w:name w:val="Subtle Emphasis"/>
    <w:basedOn w:val="DefaultParagraphFont"/>
    <w:uiPriority w:val="19"/>
    <w:semiHidden/>
    <w:rsid w:val="00CE0A7F"/>
    <w:rPr>
      <w:i/>
      <w:iCs/>
      <w:color w:val="404040" w:themeColor="text1" w:themeTint="BF"/>
      <w:lang w:val="nl-NL"/>
    </w:rPr>
  </w:style>
  <w:style w:type="character" w:styleId="SubtleReference">
    <w:name w:val="Subtle Reference"/>
    <w:basedOn w:val="DefaultParagraphFont"/>
    <w:uiPriority w:val="31"/>
    <w:semiHidden/>
    <w:qFormat/>
    <w:rsid w:val="00CE0A7F"/>
    <w:rPr>
      <w:smallCaps/>
      <w:color w:val="5A5A5A" w:themeColor="text1" w:themeTint="A5"/>
      <w:lang w:val="nl-NL"/>
    </w:rPr>
  </w:style>
  <w:style w:type="table" w:styleId="Table3Deffects1">
    <w:name w:val="Table 3D effects 1"/>
    <w:basedOn w:val="TableNormal"/>
    <w:uiPriority w:val="99"/>
    <w:semiHidden/>
    <w:unhideWhenUsed/>
    <w:rsid w:val="00CE0A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0A7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0A7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0A7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0A7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0A7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0A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0A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0A7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0A7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0A7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0A7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0A7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0A7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0A7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0A7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0A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0A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0A7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0A7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0A7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0A7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0A7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E0A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E0A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0A7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0A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0A7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0A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0A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0A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E0A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0A7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0A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0A7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0A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0A7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0A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0A7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0A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E0A7F"/>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A7F"/>
    <w:rPr>
      <w:rFonts w:asciiTheme="majorHAnsi" w:eastAsiaTheme="majorEastAsia" w:hAnsiTheme="majorHAnsi" w:cstheme="majorBidi"/>
      <w:spacing w:val="-10"/>
      <w:kern w:val="28"/>
      <w:sz w:val="56"/>
      <w:szCs w:val="56"/>
      <w:lang w:val="nl-NL"/>
    </w:rPr>
  </w:style>
  <w:style w:type="paragraph" w:styleId="TOC2">
    <w:name w:val="toc 2"/>
    <w:basedOn w:val="Normal"/>
    <w:next w:val="Normal"/>
    <w:autoRedefine/>
    <w:uiPriority w:val="39"/>
    <w:unhideWhenUsed/>
    <w:qFormat/>
    <w:rsid w:val="003E475D"/>
    <w:pPr>
      <w:tabs>
        <w:tab w:val="left" w:pos="880"/>
        <w:tab w:val="right" w:leader="dot" w:pos="9072"/>
        <w:tab w:val="right" w:leader="dot" w:pos="9594"/>
      </w:tabs>
      <w:spacing w:before="0" w:after="120" w:line="240" w:lineRule="auto"/>
      <w:ind w:left="357"/>
    </w:pPr>
  </w:style>
  <w:style w:type="paragraph" w:styleId="TOC3">
    <w:name w:val="toc 3"/>
    <w:basedOn w:val="Normal"/>
    <w:next w:val="Normal"/>
    <w:autoRedefine/>
    <w:uiPriority w:val="39"/>
    <w:unhideWhenUsed/>
    <w:qFormat/>
    <w:rsid w:val="004023DA"/>
    <w:pPr>
      <w:spacing w:after="100"/>
      <w:ind w:left="720"/>
    </w:pPr>
  </w:style>
  <w:style w:type="paragraph" w:styleId="TOC4">
    <w:name w:val="toc 4"/>
    <w:basedOn w:val="Normal"/>
    <w:next w:val="Normal"/>
    <w:autoRedefine/>
    <w:uiPriority w:val="39"/>
    <w:semiHidden/>
    <w:unhideWhenUsed/>
    <w:rsid w:val="00CE0A7F"/>
    <w:pPr>
      <w:spacing w:after="100"/>
      <w:ind w:left="600"/>
    </w:pPr>
  </w:style>
  <w:style w:type="paragraph" w:styleId="TOC5">
    <w:name w:val="toc 5"/>
    <w:basedOn w:val="Normal"/>
    <w:next w:val="Normal"/>
    <w:autoRedefine/>
    <w:uiPriority w:val="39"/>
    <w:semiHidden/>
    <w:unhideWhenUsed/>
    <w:rsid w:val="00CE0A7F"/>
    <w:pPr>
      <w:spacing w:after="100"/>
      <w:ind w:left="800"/>
    </w:pPr>
  </w:style>
  <w:style w:type="paragraph" w:styleId="TOC6">
    <w:name w:val="toc 6"/>
    <w:basedOn w:val="Normal"/>
    <w:next w:val="Normal"/>
    <w:autoRedefine/>
    <w:uiPriority w:val="39"/>
    <w:semiHidden/>
    <w:unhideWhenUsed/>
    <w:rsid w:val="00CE0A7F"/>
    <w:pPr>
      <w:spacing w:after="100"/>
      <w:ind w:left="1000"/>
    </w:pPr>
  </w:style>
  <w:style w:type="paragraph" w:styleId="TOC7">
    <w:name w:val="toc 7"/>
    <w:basedOn w:val="Normal"/>
    <w:next w:val="Normal"/>
    <w:autoRedefine/>
    <w:uiPriority w:val="39"/>
    <w:semiHidden/>
    <w:unhideWhenUsed/>
    <w:rsid w:val="00CE0A7F"/>
    <w:pPr>
      <w:spacing w:after="100"/>
      <w:ind w:left="1200"/>
    </w:pPr>
  </w:style>
  <w:style w:type="paragraph" w:styleId="TOC8">
    <w:name w:val="toc 8"/>
    <w:basedOn w:val="Normal"/>
    <w:next w:val="Normal"/>
    <w:autoRedefine/>
    <w:uiPriority w:val="39"/>
    <w:semiHidden/>
    <w:unhideWhenUsed/>
    <w:rsid w:val="00CE0A7F"/>
    <w:pPr>
      <w:spacing w:after="100"/>
      <w:ind w:left="1400"/>
    </w:pPr>
  </w:style>
  <w:style w:type="paragraph" w:styleId="TOC9">
    <w:name w:val="toc 9"/>
    <w:basedOn w:val="Normal"/>
    <w:next w:val="Normal"/>
    <w:autoRedefine/>
    <w:uiPriority w:val="39"/>
    <w:semiHidden/>
    <w:unhideWhenUsed/>
    <w:rsid w:val="00CE0A7F"/>
    <w:pPr>
      <w:spacing w:after="100"/>
      <w:ind w:left="1600"/>
    </w:pPr>
  </w:style>
  <w:style w:type="paragraph" w:styleId="TOCHeading">
    <w:name w:val="TOC Heading"/>
    <w:basedOn w:val="amprH1TITLE-noTOC"/>
    <w:next w:val="Normal"/>
    <w:uiPriority w:val="39"/>
    <w:unhideWhenUsed/>
    <w:qFormat/>
    <w:rsid w:val="004023DA"/>
  </w:style>
  <w:style w:type="paragraph" w:customStyle="1" w:styleId="amprH2TITLE1-Numbered-1">
    <w:name w:val="[ampr H2] TITLE 1 - Numbered - 1."/>
    <w:basedOn w:val="amprH2TITLE1"/>
    <w:next w:val="amprBodyText"/>
    <w:uiPriority w:val="9"/>
    <w:qFormat/>
    <w:rsid w:val="00723E31"/>
    <w:pPr>
      <w:pageBreakBefore w:val="0"/>
      <w:numPr>
        <w:numId w:val="13"/>
      </w:numPr>
      <w:spacing w:before="360"/>
    </w:pPr>
  </w:style>
  <w:style w:type="paragraph" w:customStyle="1" w:styleId="amprH3Title2-Numbered-11">
    <w:name w:val="[ampr H3] Title 2 - Numbered - 1.1."/>
    <w:basedOn w:val="amprH3Title2"/>
    <w:next w:val="amprBodyText"/>
    <w:uiPriority w:val="9"/>
    <w:qFormat/>
    <w:rsid w:val="00212F51"/>
    <w:pPr>
      <w:numPr>
        <w:ilvl w:val="1"/>
        <w:numId w:val="13"/>
      </w:numPr>
      <w:ind w:left="576" w:hanging="576"/>
    </w:pPr>
  </w:style>
  <w:style w:type="paragraph" w:customStyle="1" w:styleId="amprH5Subhead2-Numbered-1111">
    <w:name w:val="[ampr H5] Subhead 2 - Numbered - 1.1.1.1."/>
    <w:basedOn w:val="amprH5Subhead2"/>
    <w:next w:val="amprBodyText"/>
    <w:uiPriority w:val="9"/>
    <w:qFormat/>
    <w:rsid w:val="00B526D7"/>
    <w:pPr>
      <w:numPr>
        <w:ilvl w:val="3"/>
        <w:numId w:val="13"/>
      </w:numPr>
    </w:pPr>
  </w:style>
  <w:style w:type="table" w:customStyle="1" w:styleId="amprbox1">
    <w:name w:val="[ampr] box 1"/>
    <w:basedOn w:val="TableNormal"/>
    <w:uiPriority w:val="99"/>
    <w:rsid w:val="007A6370"/>
    <w:pPr>
      <w:keepLines/>
    </w:pPr>
    <w:tblPr>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blBorders>
      <w:tblCellMar>
        <w:left w:w="198" w:type="dxa"/>
        <w:right w:w="198" w:type="dxa"/>
      </w:tblCellMar>
    </w:tblPr>
    <w:trPr>
      <w:jc w:val="center"/>
    </w:trPr>
    <w:tcPr>
      <w:shd w:val="clear" w:color="auto" w:fill="F2F2F2" w:themeFill="background1" w:themeFillShade="F2"/>
    </w:tcPr>
  </w:style>
  <w:style w:type="paragraph" w:customStyle="1" w:styleId="amprboxGREYtext">
    <w:name w:val="[ampr box GREY] text"/>
    <w:basedOn w:val="BASE-STYLE-TEXT"/>
    <w:uiPriority w:val="5"/>
    <w:qFormat/>
    <w:rsid w:val="00A14612"/>
    <w:pPr>
      <w:pBdr>
        <w:top w:val="single" w:sz="12" w:space="8" w:color="F2F2F2" w:themeColor="background1" w:themeShade="F2"/>
        <w:left w:val="single" w:sz="12" w:space="8" w:color="F2F2F2" w:themeColor="background1" w:themeShade="F2"/>
        <w:bottom w:val="single" w:sz="12" w:space="8" w:color="F2F2F2" w:themeColor="background1" w:themeShade="F2"/>
        <w:right w:val="single" w:sz="12" w:space="8" w:color="F2F2F2" w:themeColor="background1" w:themeShade="F2"/>
      </w:pBdr>
      <w:shd w:val="clear" w:color="auto" w:fill="F2F2F2" w:themeFill="background1" w:themeFillShade="F2"/>
      <w:spacing w:before="240" w:after="240"/>
    </w:pPr>
    <w:rPr>
      <w:color w:val="auto"/>
      <w:sz w:val="20"/>
      <w:lang w:eastAsia="fr-BE"/>
    </w:rPr>
  </w:style>
  <w:style w:type="paragraph" w:customStyle="1" w:styleId="amprLISTblackbullets-L1consecutiveparagraph">
    <w:name w:val="[ampr LIST black] bullets - L1 (consecutive paragraph)"/>
    <w:basedOn w:val="amprLISTblackbullets-L1"/>
    <w:uiPriority w:val="5"/>
    <w:qFormat/>
    <w:rsid w:val="007F3983"/>
    <w:pPr>
      <w:numPr>
        <w:numId w:val="0"/>
      </w:numPr>
      <w:ind w:left="720"/>
    </w:pPr>
  </w:style>
  <w:style w:type="paragraph" w:customStyle="1" w:styleId="amprLISTblackbullets-L2consecutiveparagraph">
    <w:name w:val="[ampr LIST black] bullets - L2 (consecutive paragraph)"/>
    <w:basedOn w:val="amprLISTblackbullets-L2"/>
    <w:uiPriority w:val="5"/>
    <w:qFormat/>
    <w:rsid w:val="007F3983"/>
    <w:pPr>
      <w:numPr>
        <w:ilvl w:val="0"/>
        <w:numId w:val="0"/>
      </w:numPr>
      <w:ind w:left="1435"/>
    </w:pPr>
  </w:style>
  <w:style w:type="paragraph" w:customStyle="1" w:styleId="amprLISTgreenbullets-L2consecutiveparagraph">
    <w:name w:val="[ampr LIST green] bullets - L2 (consecutive paragraph)"/>
    <w:basedOn w:val="amprLISTgreenbullets-L2"/>
    <w:uiPriority w:val="5"/>
    <w:qFormat/>
    <w:rsid w:val="007F3983"/>
    <w:pPr>
      <w:numPr>
        <w:ilvl w:val="0"/>
        <w:numId w:val="0"/>
      </w:numPr>
      <w:ind w:left="1435"/>
    </w:pPr>
  </w:style>
  <w:style w:type="paragraph" w:customStyle="1" w:styleId="amprH1Sectiontitle">
    <w:name w:val="[ampr H1] Section title"/>
    <w:basedOn w:val="BASE-STYLE-HEADINGS"/>
    <w:next w:val="amprBodyText"/>
    <w:uiPriority w:val="9"/>
    <w:qFormat/>
    <w:rsid w:val="005F0759"/>
    <w:pPr>
      <w:spacing w:before="8000" w:after="240"/>
      <w:ind w:left="4321"/>
      <w:jc w:val="left"/>
      <w:outlineLvl w:val="0"/>
    </w:pPr>
    <w:rPr>
      <w:rFonts w:ascii="EC Square Sans Pro Light" w:eastAsiaTheme="minorHAnsi" w:hAnsi="EC Square Sans Pro Light" w:cstheme="minorBidi"/>
      <w:color w:val="FFFFFF" w:themeColor="background1"/>
      <w:sz w:val="96"/>
      <w:szCs w:val="96"/>
    </w:rPr>
  </w:style>
  <w:style w:type="numbering" w:customStyle="1" w:styleId="amprHLISTNumberedheadings">
    <w:name w:val="[ampr H LIST] Numbered headings"/>
    <w:uiPriority w:val="99"/>
    <w:rsid w:val="00B62719"/>
    <w:pPr>
      <w:numPr>
        <w:numId w:val="12"/>
      </w:numPr>
    </w:pPr>
  </w:style>
  <w:style w:type="table" w:customStyle="1" w:styleId="amprbox2">
    <w:name w:val="[ampr] box 2"/>
    <w:basedOn w:val="TableNormal"/>
    <w:uiPriority w:val="99"/>
    <w:rsid w:val="00E80FAA"/>
    <w:pPr>
      <w:keepLines/>
    </w:pPr>
    <w:rPr>
      <w:color w:val="FFFFFF" w:themeColor="background1"/>
    </w:rPr>
    <w:tblPr>
      <w:jc w:val="center"/>
      <w:tblBorders>
        <w:top w:val="single" w:sz="12" w:space="0" w:color="215E94" w:themeColor="text2"/>
        <w:left w:val="single" w:sz="12" w:space="0" w:color="215E94" w:themeColor="text2"/>
        <w:bottom w:val="single" w:sz="12" w:space="0" w:color="215E94" w:themeColor="text2"/>
        <w:right w:val="single" w:sz="12" w:space="0" w:color="215E94" w:themeColor="text2"/>
        <w:insideH w:val="single" w:sz="12" w:space="0" w:color="215E94" w:themeColor="text2"/>
        <w:insideV w:val="single" w:sz="12" w:space="0" w:color="215E94" w:themeColor="text2"/>
      </w:tblBorders>
      <w:tblCellMar>
        <w:left w:w="198" w:type="dxa"/>
        <w:right w:w="198" w:type="dxa"/>
      </w:tblCellMar>
    </w:tblPr>
    <w:trPr>
      <w:jc w:val="center"/>
    </w:trPr>
    <w:tcPr>
      <w:shd w:val="clear" w:color="auto" w:fill="215E94" w:themeFill="text2"/>
    </w:tcPr>
  </w:style>
  <w:style w:type="table" w:customStyle="1" w:styleId="amprbox3">
    <w:name w:val="[ampr] box 3"/>
    <w:basedOn w:val="TableNormal"/>
    <w:uiPriority w:val="99"/>
    <w:rsid w:val="00DD14AC"/>
    <w:pPr>
      <w:keepLines/>
    </w:pPr>
    <w:tblPr>
      <w:jc w:val="center"/>
      <w:tblBorders>
        <w:top w:val="dashSmallGap" w:sz="12" w:space="0" w:color="109146" w:themeColor="accent1"/>
        <w:left w:val="dashSmallGap" w:sz="12" w:space="0" w:color="109146" w:themeColor="accent1"/>
        <w:bottom w:val="dashSmallGap" w:sz="12" w:space="0" w:color="109146" w:themeColor="accent1"/>
        <w:right w:val="dashSmallGap" w:sz="12" w:space="0" w:color="109146" w:themeColor="accent1"/>
      </w:tblBorders>
      <w:tblCellMar>
        <w:left w:w="198" w:type="dxa"/>
        <w:right w:w="198" w:type="dxa"/>
      </w:tblCellMar>
    </w:tblPr>
    <w:trPr>
      <w:jc w:val="center"/>
    </w:trPr>
    <w:tcPr>
      <w:shd w:val="clear" w:color="auto" w:fill="auto"/>
    </w:tcPr>
  </w:style>
  <w:style w:type="paragraph" w:customStyle="1" w:styleId="amprboxBLUEdashedtext">
    <w:name w:val="[ampr box BLUE dashed] text"/>
    <w:basedOn w:val="BASE-STYLE-TEXT"/>
    <w:uiPriority w:val="5"/>
    <w:qFormat/>
    <w:rsid w:val="007A2517"/>
    <w:pPr>
      <w:keepLines/>
      <w:pBdr>
        <w:top w:val="dashSmallGap" w:sz="12" w:space="8" w:color="215E94" w:themeColor="text2"/>
        <w:left w:val="dashSmallGap" w:sz="12" w:space="8" w:color="215E94" w:themeColor="text2"/>
        <w:bottom w:val="dashSmallGap" w:sz="12" w:space="8" w:color="215E94" w:themeColor="text2"/>
        <w:right w:val="dashSmallGap" w:sz="12" w:space="8" w:color="215E94" w:themeColor="text2"/>
      </w:pBdr>
      <w:spacing w:before="240" w:after="240"/>
    </w:pPr>
    <w:rPr>
      <w:sz w:val="20"/>
      <w:lang w:eastAsia="fr-BE"/>
    </w:rPr>
  </w:style>
  <w:style w:type="paragraph" w:customStyle="1" w:styleId="amprboxBLUEdashedheading">
    <w:name w:val="[ampr box BLUE dashed] heading"/>
    <w:basedOn w:val="amprboxBLUEdashedtext"/>
    <w:next w:val="amprboxBLUEdashedtext"/>
    <w:uiPriority w:val="5"/>
    <w:qFormat/>
    <w:rsid w:val="007A2517"/>
    <w:pPr>
      <w:keepNext/>
    </w:pPr>
    <w:rPr>
      <w:b/>
      <w:color w:val="215E94" w:themeColor="text2"/>
    </w:rPr>
  </w:style>
  <w:style w:type="paragraph" w:customStyle="1" w:styleId="amprboxBLUEdashedbulletlist">
    <w:name w:val="[ampr box BLUE dashed] bullet list"/>
    <w:basedOn w:val="amprboxBLUEdashedtext"/>
    <w:next w:val="amprboxBLUEdashedtext"/>
    <w:uiPriority w:val="5"/>
    <w:qFormat/>
    <w:rsid w:val="00710DF6"/>
    <w:pPr>
      <w:numPr>
        <w:numId w:val="14"/>
      </w:numPr>
      <w:spacing w:before="60" w:after="60"/>
      <w:ind w:left="357" w:hanging="357"/>
    </w:pPr>
  </w:style>
  <w:style w:type="paragraph" w:customStyle="1" w:styleId="amprLISTOrdered-L1">
    <w:name w:val="[ampr LIST Ordered] - L1"/>
    <w:basedOn w:val="BASE-STYLE-TEXT"/>
    <w:uiPriority w:val="5"/>
    <w:qFormat/>
    <w:rsid w:val="00E415A2"/>
    <w:pPr>
      <w:numPr>
        <w:numId w:val="15"/>
      </w:numPr>
      <w:spacing w:before="80" w:after="80"/>
    </w:pPr>
    <w:rPr>
      <w:rFonts w:ascii="Proxima Nova" w:hAnsi="Proxima Nova"/>
      <w:szCs w:val="22"/>
    </w:rPr>
  </w:style>
  <w:style w:type="paragraph" w:customStyle="1" w:styleId="amprLISTOrdered-L2">
    <w:name w:val="[ampr LIST Ordered] - L2"/>
    <w:basedOn w:val="amprLISTOrdered-L1"/>
    <w:uiPriority w:val="5"/>
    <w:qFormat/>
    <w:rsid w:val="001C0BF8"/>
    <w:pPr>
      <w:numPr>
        <w:ilvl w:val="1"/>
      </w:numPr>
    </w:pPr>
  </w:style>
  <w:style w:type="paragraph" w:customStyle="1" w:styleId="amprLISTOrdered-L3">
    <w:name w:val="[ampr LIST Ordered] - L3"/>
    <w:basedOn w:val="amprLISTOrdered-L2"/>
    <w:uiPriority w:val="5"/>
    <w:qFormat/>
    <w:rsid w:val="001C0BF8"/>
    <w:pPr>
      <w:numPr>
        <w:ilvl w:val="2"/>
      </w:numPr>
    </w:pPr>
  </w:style>
  <w:style w:type="paragraph" w:customStyle="1" w:styleId="amprLISTOrdered-L1consecutiveparagraph">
    <w:name w:val="[ampr LIST Ordered] - L1 (consecutive paragraph)"/>
    <w:basedOn w:val="amprLISTOrdered-L1"/>
    <w:uiPriority w:val="5"/>
    <w:qFormat/>
    <w:rsid w:val="001C0BF8"/>
    <w:pPr>
      <w:numPr>
        <w:numId w:val="0"/>
      </w:numPr>
      <w:ind w:left="714"/>
    </w:pPr>
  </w:style>
  <w:style w:type="paragraph" w:customStyle="1" w:styleId="amprLISTOrdered-L2consecutiveparagraph">
    <w:name w:val="[ampr LIST Ordered] - L2 (consecutive paragraph)"/>
    <w:basedOn w:val="amprLISTOrdered-L2"/>
    <w:uiPriority w:val="5"/>
    <w:qFormat/>
    <w:rsid w:val="001C0BF8"/>
    <w:pPr>
      <w:numPr>
        <w:ilvl w:val="0"/>
        <w:numId w:val="0"/>
      </w:numPr>
      <w:ind w:left="1185"/>
    </w:pPr>
  </w:style>
  <w:style w:type="paragraph" w:customStyle="1" w:styleId="amprLISTOrdered-L3consecutiveparagraph">
    <w:name w:val="[ampr LIST Ordered] - L3 (consecutive paragraph)"/>
    <w:basedOn w:val="amprLISTOrdered-L3"/>
    <w:uiPriority w:val="5"/>
    <w:qFormat/>
    <w:rsid w:val="000046DE"/>
    <w:pPr>
      <w:numPr>
        <w:ilvl w:val="0"/>
        <w:numId w:val="0"/>
      </w:numPr>
      <w:ind w:left="1769"/>
    </w:pPr>
  </w:style>
  <w:style w:type="numbering" w:customStyle="1" w:styleId="amprLIST-Ordered">
    <w:name w:val="[ampr LIST]-Ordered"/>
    <w:uiPriority w:val="99"/>
    <w:rsid w:val="001C0BF8"/>
    <w:pPr>
      <w:numPr>
        <w:numId w:val="15"/>
      </w:numPr>
    </w:pPr>
  </w:style>
  <w:style w:type="paragraph" w:customStyle="1" w:styleId="amprLISTOrdered-L4">
    <w:name w:val="[ampr LIST Ordered] - L4"/>
    <w:basedOn w:val="amprLISTOrdered-L3"/>
    <w:uiPriority w:val="5"/>
    <w:qFormat/>
    <w:rsid w:val="001C0BF8"/>
    <w:pPr>
      <w:numPr>
        <w:ilvl w:val="3"/>
      </w:numPr>
    </w:pPr>
  </w:style>
  <w:style w:type="paragraph" w:customStyle="1" w:styleId="amprLISTOrdered-L4consecutiveparagraph">
    <w:name w:val="[ampr LIST Ordered] - L4 (consecutive paragraph)"/>
    <w:basedOn w:val="amprLISTOrdered-L4"/>
    <w:uiPriority w:val="5"/>
    <w:qFormat/>
    <w:rsid w:val="000046DE"/>
    <w:pPr>
      <w:numPr>
        <w:ilvl w:val="0"/>
        <w:numId w:val="0"/>
      </w:numPr>
      <w:ind w:left="2466"/>
    </w:pPr>
  </w:style>
  <w:style w:type="paragraph" w:customStyle="1" w:styleId="amprLISTMixed-L1">
    <w:name w:val="[ampr LIST Mixed] - L1"/>
    <w:basedOn w:val="BASE-STYLE-TEXT"/>
    <w:uiPriority w:val="5"/>
    <w:qFormat/>
    <w:rsid w:val="001C0BF8"/>
    <w:pPr>
      <w:numPr>
        <w:numId w:val="17"/>
      </w:numPr>
      <w:spacing w:before="80" w:after="80"/>
    </w:pPr>
    <w:rPr>
      <w:szCs w:val="22"/>
    </w:rPr>
  </w:style>
  <w:style w:type="paragraph" w:customStyle="1" w:styleId="amprLISTMixed-L2">
    <w:name w:val="[ampr LIST Mixed] - L2"/>
    <w:basedOn w:val="amprLISTMixed-L1"/>
    <w:uiPriority w:val="5"/>
    <w:qFormat/>
    <w:rsid w:val="001C0BF8"/>
    <w:pPr>
      <w:numPr>
        <w:ilvl w:val="1"/>
      </w:numPr>
    </w:pPr>
  </w:style>
  <w:style w:type="paragraph" w:customStyle="1" w:styleId="amprLISTMixed-L3">
    <w:name w:val="[ampr LIST Mixed] - L3"/>
    <w:basedOn w:val="amprLISTMixed-L2"/>
    <w:uiPriority w:val="5"/>
    <w:qFormat/>
    <w:rsid w:val="001C0BF8"/>
    <w:pPr>
      <w:numPr>
        <w:ilvl w:val="2"/>
      </w:numPr>
    </w:pPr>
  </w:style>
  <w:style w:type="paragraph" w:customStyle="1" w:styleId="amprLISTMixed-L1consecutiveparagraph">
    <w:name w:val="[ampr LIST Mixed] - L1 (consecutive paragraph)"/>
    <w:basedOn w:val="amprLISTMixed-L1"/>
    <w:uiPriority w:val="5"/>
    <w:qFormat/>
    <w:rsid w:val="001C0BF8"/>
    <w:pPr>
      <w:numPr>
        <w:numId w:val="0"/>
      </w:numPr>
      <w:ind w:left="714"/>
    </w:pPr>
  </w:style>
  <w:style w:type="paragraph" w:customStyle="1" w:styleId="amprLISTMixed-L2consecutiveparagraph">
    <w:name w:val="[ampr LIST Mixed] - L2 (consecutive paragraph)"/>
    <w:basedOn w:val="amprLISTMixed-L2"/>
    <w:uiPriority w:val="5"/>
    <w:qFormat/>
    <w:rsid w:val="001C0BF8"/>
    <w:pPr>
      <w:numPr>
        <w:ilvl w:val="0"/>
        <w:numId w:val="0"/>
      </w:numPr>
      <w:ind w:left="1072"/>
    </w:pPr>
  </w:style>
  <w:style w:type="paragraph" w:customStyle="1" w:styleId="amprLISTMixed-L3consecutiveparagraph">
    <w:name w:val="[ampr LIST Mixed] - L3 (consecutive paragraph)"/>
    <w:basedOn w:val="amprLISTMixed-L3"/>
    <w:uiPriority w:val="5"/>
    <w:qFormat/>
    <w:rsid w:val="001C0BF8"/>
    <w:pPr>
      <w:numPr>
        <w:ilvl w:val="0"/>
        <w:numId w:val="0"/>
      </w:numPr>
      <w:ind w:left="1429"/>
    </w:pPr>
  </w:style>
  <w:style w:type="numbering" w:customStyle="1" w:styleId="amprLIST-Mixed">
    <w:name w:val="[ampr LIST]-Mixed"/>
    <w:uiPriority w:val="99"/>
    <w:rsid w:val="001C0BF8"/>
    <w:pPr>
      <w:numPr>
        <w:numId w:val="16"/>
      </w:numPr>
    </w:pPr>
  </w:style>
  <w:style w:type="table" w:customStyle="1" w:styleId="AMPR20212">
    <w:name w:val="AMPR_2021_2"/>
    <w:basedOn w:val="TableNormal"/>
    <w:uiPriority w:val="99"/>
    <w:rsid w:val="00A81DDC"/>
    <w:pPr>
      <w:spacing w:before="60" w:after="60" w:line="240" w:lineRule="auto"/>
    </w:pPr>
    <w:tblPr>
      <w:jc w:val="center"/>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rPr>
      <w:jc w:val="center"/>
    </w:trPr>
    <w:tcPr>
      <w:shd w:val="clear" w:color="auto" w:fill="F2F2F2" w:themeFill="background1" w:themeFillShade="F2"/>
    </w:tcPr>
    <w:tblStylePr w:type="firstRow">
      <w:pPr>
        <w:wordWrap/>
        <w:spacing w:beforeLines="0" w:before="100" w:beforeAutospacing="0" w:afterLines="0" w:after="100" w:afterAutospacing="0" w:line="240" w:lineRule="auto"/>
        <w:contextualSpacing w:val="0"/>
      </w:pPr>
      <w:rPr>
        <w:b/>
        <w:color w:val="FFFFFF" w:themeColor="background1"/>
      </w:rPr>
      <w:tblPr/>
      <w:tcPr>
        <w:tcBorders>
          <w:top w:val="single" w:sz="4" w:space="0" w:color="215E94" w:themeColor="text2"/>
          <w:left w:val="single" w:sz="4" w:space="0" w:color="215E94" w:themeColor="text2"/>
          <w:bottom w:val="single" w:sz="4" w:space="0" w:color="215E94" w:themeColor="text2"/>
          <w:right w:val="single" w:sz="4" w:space="0" w:color="215E94" w:themeColor="text2"/>
          <w:insideH w:val="nil"/>
          <w:insideV w:val="single" w:sz="4" w:space="0" w:color="FFFFFF" w:themeColor="background1"/>
          <w:tl2br w:val="nil"/>
          <w:tr2bl w:val="nil"/>
        </w:tcBorders>
        <w:shd w:val="clear" w:color="auto" w:fill="215E94" w:themeFill="text2"/>
      </w:tcPr>
    </w:tblStylePr>
    <w:tblStylePr w:type="firstCol">
      <w:rPr>
        <w:b/>
        <w:i w:val="0"/>
        <w:color w:val="109146" w:themeColor="accent1"/>
      </w:rPr>
    </w:tblStylePr>
  </w:style>
  <w:style w:type="paragraph" w:customStyle="1" w:styleId="ZCom">
    <w:name w:val="Z_Com"/>
    <w:basedOn w:val="Normal"/>
    <w:next w:val="ZDGName"/>
    <w:rsid w:val="00D66606"/>
    <w:pPr>
      <w:widowControl w:val="0"/>
      <w:autoSpaceDE w:val="0"/>
      <w:autoSpaceDN w:val="0"/>
      <w:spacing w:before="0" w:after="0" w:line="240" w:lineRule="auto"/>
      <w:ind w:right="85"/>
      <w:jc w:val="both"/>
    </w:pPr>
    <w:rPr>
      <w:rFonts w:ascii="Arial" w:eastAsia="Times New Roman" w:hAnsi="Arial" w:cs="Arial"/>
      <w:sz w:val="24"/>
      <w:szCs w:val="24"/>
      <w:lang w:eastAsia="ko-KR"/>
    </w:rPr>
  </w:style>
  <w:style w:type="paragraph" w:customStyle="1" w:styleId="ZDGName">
    <w:name w:val="Z_DGName"/>
    <w:basedOn w:val="Normal"/>
    <w:rsid w:val="00D66606"/>
    <w:pPr>
      <w:widowControl w:val="0"/>
      <w:autoSpaceDE w:val="0"/>
      <w:autoSpaceDN w:val="0"/>
      <w:spacing w:before="0" w:after="0" w:line="240" w:lineRule="auto"/>
      <w:ind w:right="85"/>
    </w:pPr>
    <w:rPr>
      <w:rFonts w:ascii="Arial" w:eastAsia="Times New Roman" w:hAnsi="Arial" w:cs="Arial"/>
      <w:sz w:val="16"/>
      <w:szCs w:val="16"/>
      <w:lang w:eastAsia="ko-KR"/>
    </w:rPr>
  </w:style>
  <w:style w:type="paragraph" w:customStyle="1" w:styleId="NoteHead">
    <w:name w:val="NoteHead"/>
    <w:basedOn w:val="Normal"/>
    <w:next w:val="Normal"/>
    <w:rsid w:val="00D66606"/>
    <w:pPr>
      <w:spacing w:before="720" w:after="720" w:line="240" w:lineRule="auto"/>
      <w:jc w:val="center"/>
    </w:pPr>
    <w:rPr>
      <w:rFonts w:ascii="Times New Roman" w:eastAsia="Times New Roman" w:hAnsi="Times New Roman" w:cs="Times New Roman"/>
      <w:b/>
      <w:smallCaps/>
      <w:sz w:val="24"/>
    </w:rPr>
  </w:style>
  <w:style w:type="paragraph" w:customStyle="1" w:styleId="Text3">
    <w:name w:val="Text 3"/>
    <w:basedOn w:val="Normal"/>
    <w:rsid w:val="00D66606"/>
    <w:pPr>
      <w:spacing w:before="120" w:after="120" w:line="240" w:lineRule="auto"/>
      <w:ind w:left="851"/>
      <w:jc w:val="both"/>
    </w:pPr>
    <w:rPr>
      <w:rFonts w:ascii="Times New Roman" w:eastAsia="Times New Roman" w:hAnsi="Times New Roman" w:cs="Times New Roman"/>
      <w:sz w:val="24"/>
      <w:lang w:eastAsia="fr-BE"/>
    </w:rPr>
  </w:style>
  <w:style w:type="paragraph" w:customStyle="1" w:styleId="Tiret0">
    <w:name w:val="Tiret 0"/>
    <w:basedOn w:val="Normal"/>
    <w:link w:val="Tiret0Char"/>
    <w:uiPriority w:val="99"/>
    <w:rsid w:val="00D66606"/>
    <w:pPr>
      <w:numPr>
        <w:numId w:val="18"/>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Tiret0Char">
    <w:name w:val="Tiret 0 Char"/>
    <w:basedOn w:val="DefaultParagraphFont"/>
    <w:link w:val="Tiret0"/>
    <w:uiPriority w:val="99"/>
    <w:rsid w:val="00D66606"/>
    <w:rPr>
      <w:rFonts w:ascii="Times New Roman" w:eastAsia="Times New Roman" w:hAnsi="Times New Roman" w:cs="Times New Roman"/>
      <w:sz w:val="24"/>
      <w:szCs w:val="24"/>
      <w:lang w:val="nl-NL" w:eastAsia="en-GB"/>
    </w:rPr>
  </w:style>
  <w:style w:type="paragraph" w:customStyle="1" w:styleId="Text1">
    <w:name w:val="Text 1"/>
    <w:basedOn w:val="Normal"/>
    <w:link w:val="Text1Char"/>
    <w:rsid w:val="00D66606"/>
    <w:pPr>
      <w:spacing w:before="0" w:line="240" w:lineRule="auto"/>
      <w:ind w:left="482"/>
      <w:jc w:val="both"/>
    </w:pPr>
    <w:rPr>
      <w:rFonts w:ascii="Times New Roman" w:eastAsia="Times New Roman" w:hAnsi="Times New Roman" w:cs="Times New Roman"/>
      <w:sz w:val="24"/>
    </w:rPr>
  </w:style>
  <w:style w:type="paragraph" w:customStyle="1" w:styleId="Text2">
    <w:name w:val="Text 2"/>
    <w:basedOn w:val="Normal"/>
    <w:rsid w:val="00D66606"/>
    <w:pPr>
      <w:tabs>
        <w:tab w:val="left" w:pos="2160"/>
      </w:tabs>
      <w:spacing w:before="0" w:line="240" w:lineRule="auto"/>
      <w:ind w:left="1077"/>
      <w:jc w:val="both"/>
    </w:pPr>
    <w:rPr>
      <w:rFonts w:ascii="Times New Roman" w:eastAsia="Times New Roman" w:hAnsi="Times New Roman" w:cs="Times New Roman"/>
      <w:sz w:val="24"/>
    </w:rPr>
  </w:style>
  <w:style w:type="paragraph" w:customStyle="1" w:styleId="Subject">
    <w:name w:val="Subject"/>
    <w:basedOn w:val="Normal"/>
    <w:next w:val="Normal"/>
    <w:rsid w:val="00D66606"/>
    <w:pPr>
      <w:spacing w:before="0" w:after="480" w:line="240" w:lineRule="auto"/>
      <w:ind w:left="1191" w:hanging="1191"/>
    </w:pPr>
    <w:rPr>
      <w:rFonts w:ascii="Times New Roman" w:eastAsia="Times New Roman" w:hAnsi="Times New Roman" w:cs="Times New Roman"/>
      <w:b/>
      <w:sz w:val="24"/>
    </w:rPr>
  </w:style>
  <w:style w:type="character" w:customStyle="1" w:styleId="Text1Char">
    <w:name w:val="Text 1 Char"/>
    <w:basedOn w:val="DefaultParagraphFont"/>
    <w:link w:val="Text1"/>
    <w:rsid w:val="00D66606"/>
    <w:rPr>
      <w:rFonts w:ascii="Times New Roman" w:eastAsia="Times New Roman" w:hAnsi="Times New Roman" w:cs="Times New Roman"/>
      <w:sz w:val="24"/>
      <w:lang w:val="nl-NL"/>
    </w:rPr>
  </w:style>
  <w:style w:type="paragraph" w:customStyle="1" w:styleId="Default">
    <w:name w:val="Default"/>
    <w:rsid w:val="00D66606"/>
    <w:pPr>
      <w:autoSpaceDE w:val="0"/>
      <w:autoSpaceDN w:val="0"/>
      <w:adjustRightInd w:val="0"/>
      <w:spacing w:before="0" w:after="0" w:line="240" w:lineRule="auto"/>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sid w:val="00D66606"/>
    <w:rPr>
      <w:rFonts w:cs="Times New Roman"/>
      <w:color w:val="auto"/>
    </w:rPr>
  </w:style>
  <w:style w:type="paragraph" w:customStyle="1" w:styleId="CM3">
    <w:name w:val="CM3"/>
    <w:basedOn w:val="Default"/>
    <w:next w:val="Default"/>
    <w:uiPriority w:val="99"/>
    <w:rsid w:val="00D66606"/>
    <w:rPr>
      <w:rFonts w:cs="Times New Roman"/>
      <w:color w:val="auto"/>
    </w:rPr>
  </w:style>
  <w:style w:type="character" w:customStyle="1" w:styleId="Marker">
    <w:name w:val="Marker"/>
    <w:basedOn w:val="DefaultParagraphFont"/>
    <w:rsid w:val="00D66606"/>
    <w:rPr>
      <w:color w:val="0000FF"/>
      <w:shd w:val="clear" w:color="auto" w:fill="auto"/>
    </w:rPr>
  </w:style>
  <w:style w:type="paragraph" w:customStyle="1" w:styleId="Pagedecouverture">
    <w:name w:val="Page de couverture"/>
    <w:basedOn w:val="Normal"/>
    <w:next w:val="Normal"/>
    <w:rsid w:val="00D66606"/>
    <w:pPr>
      <w:spacing w:before="0" w:after="0" w:line="240" w:lineRule="auto"/>
      <w:jc w:val="both"/>
    </w:pPr>
    <w:rPr>
      <w:rFonts w:ascii="Times New Roman" w:hAnsi="Times New Roman" w:cs="Times New Roman"/>
      <w:sz w:val="24"/>
      <w:szCs w:val="22"/>
    </w:rPr>
  </w:style>
  <w:style w:type="paragraph" w:customStyle="1" w:styleId="FooterCoverPage">
    <w:name w:val="Footer Cover Page"/>
    <w:basedOn w:val="Normal"/>
    <w:link w:val="FooterCoverPageChar"/>
    <w:rsid w:val="00D66606"/>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CaptionChar">
    <w:name w:val="Caption Char"/>
    <w:basedOn w:val="DefaultParagraphFont"/>
    <w:link w:val="Caption"/>
    <w:rsid w:val="00D66606"/>
    <w:rPr>
      <w:i/>
      <w:iCs/>
      <w:color w:val="215E94" w:themeColor="text2"/>
      <w:sz w:val="18"/>
      <w:szCs w:val="18"/>
      <w:lang w:val="nl-NL"/>
    </w:rPr>
  </w:style>
  <w:style w:type="character" w:customStyle="1" w:styleId="FooterCoverPageChar">
    <w:name w:val="Footer Cover Page Char"/>
    <w:basedOn w:val="CaptionChar"/>
    <w:link w:val="FooterCoverPage"/>
    <w:rsid w:val="00D66606"/>
    <w:rPr>
      <w:rFonts w:ascii="Times New Roman" w:hAnsi="Times New Roman" w:cs="Times New Roman"/>
      <w:i w:val="0"/>
      <w:iCs w:val="0"/>
      <w:color w:val="215E94" w:themeColor="text2"/>
      <w:sz w:val="24"/>
      <w:szCs w:val="18"/>
      <w:lang w:val="nl-NL"/>
    </w:rPr>
  </w:style>
  <w:style w:type="paragraph" w:customStyle="1" w:styleId="FooterSensitivity">
    <w:name w:val="Footer Sensitivity"/>
    <w:basedOn w:val="Normal"/>
    <w:link w:val="FooterSensitivityChar"/>
    <w:rsid w:val="00D66606"/>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CaptionChar"/>
    <w:link w:val="FooterSensitivity"/>
    <w:rsid w:val="00D66606"/>
    <w:rPr>
      <w:rFonts w:ascii="Times New Roman" w:hAnsi="Times New Roman" w:cs="Times New Roman"/>
      <w:b/>
      <w:i w:val="0"/>
      <w:iCs w:val="0"/>
      <w:color w:val="215E94" w:themeColor="text2"/>
      <w:sz w:val="32"/>
      <w:szCs w:val="18"/>
      <w:lang w:val="nl-NL"/>
    </w:rPr>
  </w:style>
  <w:style w:type="paragraph" w:customStyle="1" w:styleId="HeaderCoverPage">
    <w:name w:val="Header Cover Page"/>
    <w:basedOn w:val="Normal"/>
    <w:link w:val="HeaderCoverPageChar"/>
    <w:rsid w:val="00D66606"/>
    <w:pPr>
      <w:tabs>
        <w:tab w:val="center" w:pos="4535"/>
        <w:tab w:val="right" w:pos="9071"/>
      </w:tabs>
      <w:spacing w:before="0" w:after="120" w:line="240" w:lineRule="auto"/>
      <w:jc w:val="both"/>
    </w:pPr>
    <w:rPr>
      <w:rFonts w:ascii="Times New Roman" w:hAnsi="Times New Roman" w:cs="Times New Roman"/>
      <w:sz w:val="24"/>
    </w:rPr>
  </w:style>
  <w:style w:type="character" w:customStyle="1" w:styleId="HeaderCoverPageChar">
    <w:name w:val="Header Cover Page Char"/>
    <w:basedOn w:val="CaptionChar"/>
    <w:link w:val="HeaderCoverPage"/>
    <w:rsid w:val="00D66606"/>
    <w:rPr>
      <w:rFonts w:ascii="Times New Roman" w:hAnsi="Times New Roman" w:cs="Times New Roman"/>
      <w:i w:val="0"/>
      <w:iCs w:val="0"/>
      <w:color w:val="215E94" w:themeColor="text2"/>
      <w:sz w:val="24"/>
      <w:szCs w:val="18"/>
      <w:lang w:val="nl-NL"/>
    </w:rPr>
  </w:style>
  <w:style w:type="paragraph" w:customStyle="1" w:styleId="HeaderSensitivity">
    <w:name w:val="Header Sensitivity"/>
    <w:basedOn w:val="Normal"/>
    <w:link w:val="HeaderSensitivityChar"/>
    <w:rsid w:val="00D66606"/>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CaptionChar"/>
    <w:link w:val="HeaderSensitivity"/>
    <w:rsid w:val="00D66606"/>
    <w:rPr>
      <w:rFonts w:ascii="Times New Roman" w:hAnsi="Times New Roman" w:cs="Times New Roman"/>
      <w:b/>
      <w:i w:val="0"/>
      <w:iCs w:val="0"/>
      <w:color w:val="215E94" w:themeColor="text2"/>
      <w:sz w:val="32"/>
      <w:szCs w:val="18"/>
      <w:lang w:val="nl-NL"/>
    </w:rPr>
  </w:style>
  <w:style w:type="character" w:customStyle="1" w:styleId="WW8Num4z1">
    <w:name w:val="WW8Num4z1"/>
    <w:rsid w:val="00D66606"/>
    <w:rPr>
      <w:rFonts w:ascii="Wingdings" w:hAnsi="Wingdings" w:cs="Symbol" w:hint="default"/>
    </w:rPr>
  </w:style>
  <w:style w:type="character" w:customStyle="1" w:styleId="footnotereference0">
    <w:name w:val="footnotereference"/>
    <w:basedOn w:val="DefaultParagraphFont"/>
    <w:rsid w:val="00D66606"/>
    <w:rPr>
      <w:rFonts w:ascii="Times New Roman" w:hAnsi="Times New Roman" w:cs="Times New Roman" w:hint="default"/>
    </w:rPr>
  </w:style>
  <w:style w:type="paragraph" w:customStyle="1" w:styleId="SecurityMarking">
    <w:name w:val="SecurityMarking"/>
    <w:basedOn w:val="Normal"/>
    <w:rsid w:val="00D66606"/>
    <w:pPr>
      <w:spacing w:before="0" w:after="0" w:line="276" w:lineRule="auto"/>
      <w:ind w:left="5103"/>
    </w:pPr>
    <w:rPr>
      <w:rFonts w:ascii="Times New Roman" w:hAnsi="Times New Roman" w:cs="Times New Roman"/>
      <w:sz w:val="28"/>
      <w:szCs w:val="22"/>
    </w:rPr>
  </w:style>
  <w:style w:type="paragraph" w:customStyle="1" w:styleId="DateMarking">
    <w:name w:val="DateMarking"/>
    <w:basedOn w:val="Normal"/>
    <w:rsid w:val="00D66606"/>
    <w:pPr>
      <w:spacing w:before="0" w:after="0" w:line="276" w:lineRule="auto"/>
      <w:ind w:left="5103"/>
    </w:pPr>
    <w:rPr>
      <w:rFonts w:ascii="Times New Roman" w:hAnsi="Times New Roman" w:cs="Times New Roman"/>
      <w:i/>
      <w:sz w:val="28"/>
      <w:szCs w:val="22"/>
    </w:rPr>
  </w:style>
  <w:style w:type="paragraph" w:customStyle="1" w:styleId="ReleasableTo">
    <w:name w:val="ReleasableTo"/>
    <w:basedOn w:val="Normal"/>
    <w:rsid w:val="00D66606"/>
    <w:pPr>
      <w:spacing w:before="0" w:after="0" w:line="276" w:lineRule="auto"/>
      <w:ind w:left="5103"/>
    </w:pPr>
    <w:rPr>
      <w:rFonts w:ascii="Times New Roman" w:hAnsi="Times New Roman" w:cs="Times New Roman"/>
      <w:i/>
      <w:sz w:val="28"/>
      <w:szCs w:val="22"/>
    </w:rPr>
  </w:style>
  <w:style w:type="paragraph" w:customStyle="1" w:styleId="HeaderSensitivityRight">
    <w:name w:val="Header Sensitivity Right"/>
    <w:basedOn w:val="Normal"/>
    <w:rsid w:val="00D66606"/>
    <w:pPr>
      <w:spacing w:before="0" w:after="120" w:line="240" w:lineRule="auto"/>
      <w:jc w:val="right"/>
    </w:pPr>
    <w:rPr>
      <w:rFonts w:ascii="Times New Roman" w:hAnsi="Times New Roman" w:cs="Times New Roman"/>
      <w:sz w:val="28"/>
    </w:rPr>
  </w:style>
  <w:style w:type="paragraph" w:customStyle="1" w:styleId="Point0">
    <w:name w:val="Point 0"/>
    <w:basedOn w:val="Normal"/>
    <w:uiPriority w:val="99"/>
    <w:rsid w:val="00D66606"/>
    <w:pPr>
      <w:spacing w:before="120" w:after="120" w:line="240" w:lineRule="auto"/>
      <w:ind w:left="850" w:hanging="850"/>
      <w:jc w:val="both"/>
    </w:pPr>
    <w:rPr>
      <w:rFonts w:ascii="Times New Roman" w:eastAsiaTheme="minorEastAsia" w:hAnsi="Times New Roman" w:cs="Times New Roman"/>
      <w:sz w:val="24"/>
      <w:szCs w:val="24"/>
      <w:lang w:eastAsia="en-GB"/>
    </w:rPr>
  </w:style>
  <w:style w:type="character" w:customStyle="1" w:styleId="markedcontent">
    <w:name w:val="markedcontent"/>
    <w:basedOn w:val="DefaultParagraphFont"/>
    <w:rsid w:val="00D66606"/>
  </w:style>
  <w:style w:type="paragraph" w:customStyle="1" w:styleId="title-bold">
    <w:name w:val="title-bold"/>
    <w:basedOn w:val="Normal"/>
    <w:rsid w:val="00D6660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ention1">
    <w:name w:val="Mention1"/>
    <w:basedOn w:val="DefaultParagraphFont"/>
    <w:uiPriority w:val="99"/>
    <w:unhideWhenUsed/>
    <w:rsid w:val="00407D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56518824">
      <w:bodyDiv w:val="1"/>
      <w:marLeft w:val="0"/>
      <w:marRight w:val="0"/>
      <w:marTop w:val="0"/>
      <w:marBottom w:val="0"/>
      <w:divBdr>
        <w:top w:val="none" w:sz="0" w:space="0" w:color="auto"/>
        <w:left w:val="none" w:sz="0" w:space="0" w:color="auto"/>
        <w:bottom w:val="none" w:sz="0" w:space="0" w:color="auto"/>
        <w:right w:val="none" w:sz="0" w:space="0" w:color="auto"/>
      </w:divBdr>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54498362">
      <w:bodyDiv w:val="1"/>
      <w:marLeft w:val="0"/>
      <w:marRight w:val="0"/>
      <w:marTop w:val="0"/>
      <w:marBottom w:val="0"/>
      <w:divBdr>
        <w:top w:val="none" w:sz="0" w:space="0" w:color="auto"/>
        <w:left w:val="none" w:sz="0" w:space="0" w:color="auto"/>
        <w:bottom w:val="none" w:sz="0" w:space="0" w:color="auto"/>
        <w:right w:val="none" w:sz="0" w:space="0" w:color="auto"/>
      </w:divBdr>
    </w:div>
    <w:div w:id="163471648">
      <w:bodyDiv w:val="1"/>
      <w:marLeft w:val="0"/>
      <w:marRight w:val="0"/>
      <w:marTop w:val="0"/>
      <w:marBottom w:val="0"/>
      <w:divBdr>
        <w:top w:val="none" w:sz="0" w:space="0" w:color="auto"/>
        <w:left w:val="none" w:sz="0" w:space="0" w:color="auto"/>
        <w:bottom w:val="none" w:sz="0" w:space="0" w:color="auto"/>
        <w:right w:val="none" w:sz="0" w:space="0" w:color="auto"/>
      </w:divBdr>
      <w:divsChild>
        <w:div w:id="1545603797">
          <w:marLeft w:val="0"/>
          <w:marRight w:val="0"/>
          <w:marTop w:val="0"/>
          <w:marBottom w:val="0"/>
          <w:divBdr>
            <w:top w:val="none" w:sz="0" w:space="0" w:color="auto"/>
            <w:left w:val="none" w:sz="0" w:space="0" w:color="auto"/>
            <w:bottom w:val="none" w:sz="0" w:space="0" w:color="auto"/>
            <w:right w:val="none" w:sz="0" w:space="0" w:color="auto"/>
          </w:divBdr>
          <w:divsChild>
            <w:div w:id="2087412605">
              <w:marLeft w:val="0"/>
              <w:marRight w:val="0"/>
              <w:marTop w:val="0"/>
              <w:marBottom w:val="0"/>
              <w:divBdr>
                <w:top w:val="none" w:sz="0" w:space="0" w:color="auto"/>
                <w:left w:val="none" w:sz="0" w:space="0" w:color="auto"/>
                <w:bottom w:val="none" w:sz="0" w:space="0" w:color="auto"/>
                <w:right w:val="none" w:sz="0" w:space="0" w:color="auto"/>
              </w:divBdr>
              <w:divsChild>
                <w:div w:id="414977839">
                  <w:marLeft w:val="0"/>
                  <w:marRight w:val="0"/>
                  <w:marTop w:val="0"/>
                  <w:marBottom w:val="0"/>
                  <w:divBdr>
                    <w:top w:val="none" w:sz="0" w:space="0" w:color="auto"/>
                    <w:left w:val="none" w:sz="0" w:space="0" w:color="auto"/>
                    <w:bottom w:val="none" w:sz="0" w:space="0" w:color="auto"/>
                    <w:right w:val="none" w:sz="0" w:space="0" w:color="auto"/>
                  </w:divBdr>
                  <w:divsChild>
                    <w:div w:id="1951547590">
                      <w:marLeft w:val="0"/>
                      <w:marRight w:val="0"/>
                      <w:marTop w:val="0"/>
                      <w:marBottom w:val="0"/>
                      <w:divBdr>
                        <w:top w:val="none" w:sz="0" w:space="0" w:color="auto"/>
                        <w:left w:val="none" w:sz="0" w:space="0" w:color="auto"/>
                        <w:bottom w:val="none" w:sz="0" w:space="0" w:color="auto"/>
                        <w:right w:val="none" w:sz="0" w:space="0" w:color="auto"/>
                      </w:divBdr>
                      <w:divsChild>
                        <w:div w:id="1997223519">
                          <w:marLeft w:val="0"/>
                          <w:marRight w:val="0"/>
                          <w:marTop w:val="0"/>
                          <w:marBottom w:val="0"/>
                          <w:divBdr>
                            <w:top w:val="none" w:sz="0" w:space="0" w:color="auto"/>
                            <w:left w:val="none" w:sz="0" w:space="0" w:color="auto"/>
                            <w:bottom w:val="none" w:sz="0" w:space="0" w:color="auto"/>
                            <w:right w:val="none" w:sz="0" w:space="0" w:color="auto"/>
                          </w:divBdr>
                          <w:divsChild>
                            <w:div w:id="665859235">
                              <w:marLeft w:val="-225"/>
                              <w:marRight w:val="-225"/>
                              <w:marTop w:val="0"/>
                              <w:marBottom w:val="0"/>
                              <w:divBdr>
                                <w:top w:val="none" w:sz="0" w:space="0" w:color="auto"/>
                                <w:left w:val="none" w:sz="0" w:space="0" w:color="auto"/>
                                <w:bottom w:val="none" w:sz="0" w:space="0" w:color="auto"/>
                                <w:right w:val="none" w:sz="0" w:space="0" w:color="auto"/>
                              </w:divBdr>
                              <w:divsChild>
                                <w:div w:id="1634603584">
                                  <w:marLeft w:val="0"/>
                                  <w:marRight w:val="0"/>
                                  <w:marTop w:val="0"/>
                                  <w:marBottom w:val="133"/>
                                  <w:divBdr>
                                    <w:top w:val="none" w:sz="0" w:space="0" w:color="auto"/>
                                    <w:left w:val="none" w:sz="0" w:space="0" w:color="auto"/>
                                    <w:bottom w:val="none" w:sz="0" w:space="0" w:color="auto"/>
                                    <w:right w:val="none" w:sz="0" w:space="0" w:color="auto"/>
                                  </w:divBdr>
                                  <w:divsChild>
                                    <w:div w:id="8583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07642439">
      <w:bodyDiv w:val="1"/>
      <w:marLeft w:val="0"/>
      <w:marRight w:val="0"/>
      <w:marTop w:val="0"/>
      <w:marBottom w:val="0"/>
      <w:divBdr>
        <w:top w:val="none" w:sz="0" w:space="0" w:color="auto"/>
        <w:left w:val="none" w:sz="0" w:space="0" w:color="auto"/>
        <w:bottom w:val="none" w:sz="0" w:space="0" w:color="auto"/>
        <w:right w:val="none" w:sz="0" w:space="0" w:color="auto"/>
      </w:divBdr>
    </w:div>
    <w:div w:id="229850510">
      <w:bodyDiv w:val="1"/>
      <w:marLeft w:val="0"/>
      <w:marRight w:val="0"/>
      <w:marTop w:val="0"/>
      <w:marBottom w:val="0"/>
      <w:divBdr>
        <w:top w:val="none" w:sz="0" w:space="0" w:color="auto"/>
        <w:left w:val="none" w:sz="0" w:space="0" w:color="auto"/>
        <w:bottom w:val="none" w:sz="0" w:space="0" w:color="auto"/>
        <w:right w:val="none" w:sz="0" w:space="0" w:color="auto"/>
      </w:divBdr>
    </w:div>
    <w:div w:id="233854571">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54618136">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378669119">
      <w:bodyDiv w:val="1"/>
      <w:marLeft w:val="0"/>
      <w:marRight w:val="0"/>
      <w:marTop w:val="0"/>
      <w:marBottom w:val="0"/>
      <w:divBdr>
        <w:top w:val="none" w:sz="0" w:space="0" w:color="auto"/>
        <w:left w:val="none" w:sz="0" w:space="0" w:color="auto"/>
        <w:bottom w:val="none" w:sz="0" w:space="0" w:color="auto"/>
        <w:right w:val="none" w:sz="0" w:space="0" w:color="auto"/>
      </w:divBdr>
    </w:div>
    <w:div w:id="382218318">
      <w:bodyDiv w:val="1"/>
      <w:marLeft w:val="0"/>
      <w:marRight w:val="0"/>
      <w:marTop w:val="0"/>
      <w:marBottom w:val="0"/>
      <w:divBdr>
        <w:top w:val="none" w:sz="0" w:space="0" w:color="auto"/>
        <w:left w:val="none" w:sz="0" w:space="0" w:color="auto"/>
        <w:bottom w:val="none" w:sz="0" w:space="0" w:color="auto"/>
        <w:right w:val="none" w:sz="0" w:space="0" w:color="auto"/>
      </w:divBdr>
      <w:divsChild>
        <w:div w:id="13771394">
          <w:marLeft w:val="0"/>
          <w:marRight w:val="0"/>
          <w:marTop w:val="0"/>
          <w:marBottom w:val="0"/>
          <w:divBdr>
            <w:top w:val="none" w:sz="0" w:space="0" w:color="auto"/>
            <w:left w:val="none" w:sz="0" w:space="0" w:color="auto"/>
            <w:bottom w:val="none" w:sz="0" w:space="0" w:color="auto"/>
            <w:right w:val="none" w:sz="0" w:space="0" w:color="auto"/>
          </w:divBdr>
        </w:div>
        <w:div w:id="351037791">
          <w:marLeft w:val="0"/>
          <w:marRight w:val="0"/>
          <w:marTop w:val="0"/>
          <w:marBottom w:val="0"/>
          <w:divBdr>
            <w:top w:val="none" w:sz="0" w:space="0" w:color="auto"/>
            <w:left w:val="none" w:sz="0" w:space="0" w:color="auto"/>
            <w:bottom w:val="none" w:sz="0" w:space="0" w:color="auto"/>
            <w:right w:val="none" w:sz="0" w:space="0" w:color="auto"/>
          </w:divBdr>
        </w:div>
        <w:div w:id="1160927742">
          <w:marLeft w:val="0"/>
          <w:marRight w:val="0"/>
          <w:marTop w:val="0"/>
          <w:marBottom w:val="0"/>
          <w:divBdr>
            <w:top w:val="none" w:sz="0" w:space="0" w:color="auto"/>
            <w:left w:val="none" w:sz="0" w:space="0" w:color="auto"/>
            <w:bottom w:val="none" w:sz="0" w:space="0" w:color="auto"/>
            <w:right w:val="none" w:sz="0" w:space="0" w:color="auto"/>
          </w:divBdr>
        </w:div>
        <w:div w:id="1696610093">
          <w:marLeft w:val="0"/>
          <w:marRight w:val="0"/>
          <w:marTop w:val="0"/>
          <w:marBottom w:val="0"/>
          <w:divBdr>
            <w:top w:val="none" w:sz="0" w:space="0" w:color="auto"/>
            <w:left w:val="none" w:sz="0" w:space="0" w:color="auto"/>
            <w:bottom w:val="none" w:sz="0" w:space="0" w:color="auto"/>
            <w:right w:val="none" w:sz="0" w:space="0" w:color="auto"/>
          </w:divBdr>
        </w:div>
        <w:div w:id="1951353634">
          <w:marLeft w:val="0"/>
          <w:marRight w:val="0"/>
          <w:marTop w:val="0"/>
          <w:marBottom w:val="0"/>
          <w:divBdr>
            <w:top w:val="none" w:sz="0" w:space="0" w:color="auto"/>
            <w:left w:val="none" w:sz="0" w:space="0" w:color="auto"/>
            <w:bottom w:val="none" w:sz="0" w:space="0" w:color="auto"/>
            <w:right w:val="none" w:sz="0" w:space="0" w:color="auto"/>
          </w:divBdr>
        </w:div>
      </w:divsChild>
    </w:div>
    <w:div w:id="441609357">
      <w:bodyDiv w:val="1"/>
      <w:marLeft w:val="0"/>
      <w:marRight w:val="0"/>
      <w:marTop w:val="0"/>
      <w:marBottom w:val="0"/>
      <w:divBdr>
        <w:top w:val="none" w:sz="0" w:space="0" w:color="auto"/>
        <w:left w:val="none" w:sz="0" w:space="0" w:color="auto"/>
        <w:bottom w:val="none" w:sz="0" w:space="0" w:color="auto"/>
        <w:right w:val="none" w:sz="0" w:space="0" w:color="auto"/>
      </w:divBdr>
      <w:divsChild>
        <w:div w:id="583799303">
          <w:marLeft w:val="0"/>
          <w:marRight w:val="0"/>
          <w:marTop w:val="0"/>
          <w:marBottom w:val="0"/>
          <w:divBdr>
            <w:top w:val="none" w:sz="0" w:space="0" w:color="auto"/>
            <w:left w:val="none" w:sz="0" w:space="0" w:color="auto"/>
            <w:bottom w:val="none" w:sz="0" w:space="0" w:color="auto"/>
            <w:right w:val="none" w:sz="0" w:space="0" w:color="auto"/>
          </w:divBdr>
          <w:divsChild>
            <w:div w:id="208156326">
              <w:marLeft w:val="0"/>
              <w:marRight w:val="0"/>
              <w:marTop w:val="0"/>
              <w:marBottom w:val="0"/>
              <w:divBdr>
                <w:top w:val="none" w:sz="0" w:space="0" w:color="auto"/>
                <w:left w:val="none" w:sz="0" w:space="0" w:color="auto"/>
                <w:bottom w:val="none" w:sz="0" w:space="0" w:color="auto"/>
                <w:right w:val="none" w:sz="0" w:space="0" w:color="auto"/>
              </w:divBdr>
              <w:divsChild>
                <w:div w:id="702243767">
                  <w:marLeft w:val="0"/>
                  <w:marRight w:val="0"/>
                  <w:marTop w:val="0"/>
                  <w:marBottom w:val="0"/>
                  <w:divBdr>
                    <w:top w:val="none" w:sz="0" w:space="0" w:color="auto"/>
                    <w:left w:val="none" w:sz="0" w:space="0" w:color="auto"/>
                    <w:bottom w:val="none" w:sz="0" w:space="0" w:color="auto"/>
                    <w:right w:val="none" w:sz="0" w:space="0" w:color="auto"/>
                  </w:divBdr>
                  <w:divsChild>
                    <w:div w:id="64422346">
                      <w:marLeft w:val="0"/>
                      <w:marRight w:val="0"/>
                      <w:marTop w:val="0"/>
                      <w:marBottom w:val="0"/>
                      <w:divBdr>
                        <w:top w:val="none" w:sz="0" w:space="0" w:color="auto"/>
                        <w:left w:val="none" w:sz="0" w:space="0" w:color="auto"/>
                        <w:bottom w:val="none" w:sz="0" w:space="0" w:color="auto"/>
                        <w:right w:val="none" w:sz="0" w:space="0" w:color="auto"/>
                      </w:divBdr>
                      <w:divsChild>
                        <w:div w:id="1014117586">
                          <w:marLeft w:val="0"/>
                          <w:marRight w:val="0"/>
                          <w:marTop w:val="0"/>
                          <w:marBottom w:val="0"/>
                          <w:divBdr>
                            <w:top w:val="none" w:sz="0" w:space="0" w:color="auto"/>
                            <w:left w:val="none" w:sz="0" w:space="0" w:color="auto"/>
                            <w:bottom w:val="none" w:sz="0" w:space="0" w:color="auto"/>
                            <w:right w:val="none" w:sz="0" w:space="0" w:color="auto"/>
                          </w:divBdr>
                          <w:divsChild>
                            <w:div w:id="1535147112">
                              <w:marLeft w:val="-225"/>
                              <w:marRight w:val="-225"/>
                              <w:marTop w:val="0"/>
                              <w:marBottom w:val="0"/>
                              <w:divBdr>
                                <w:top w:val="none" w:sz="0" w:space="0" w:color="auto"/>
                                <w:left w:val="none" w:sz="0" w:space="0" w:color="auto"/>
                                <w:bottom w:val="none" w:sz="0" w:space="0" w:color="auto"/>
                                <w:right w:val="none" w:sz="0" w:space="0" w:color="auto"/>
                              </w:divBdr>
                              <w:divsChild>
                                <w:div w:id="759565836">
                                  <w:marLeft w:val="0"/>
                                  <w:marRight w:val="0"/>
                                  <w:marTop w:val="0"/>
                                  <w:marBottom w:val="133"/>
                                  <w:divBdr>
                                    <w:top w:val="none" w:sz="0" w:space="0" w:color="auto"/>
                                    <w:left w:val="none" w:sz="0" w:space="0" w:color="auto"/>
                                    <w:bottom w:val="none" w:sz="0" w:space="0" w:color="auto"/>
                                    <w:right w:val="none" w:sz="0" w:space="0" w:color="auto"/>
                                  </w:divBdr>
                                  <w:divsChild>
                                    <w:div w:id="20977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45589">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11606774">
      <w:bodyDiv w:val="1"/>
      <w:marLeft w:val="0"/>
      <w:marRight w:val="0"/>
      <w:marTop w:val="0"/>
      <w:marBottom w:val="0"/>
      <w:divBdr>
        <w:top w:val="none" w:sz="0" w:space="0" w:color="auto"/>
        <w:left w:val="none" w:sz="0" w:space="0" w:color="auto"/>
        <w:bottom w:val="none" w:sz="0" w:space="0" w:color="auto"/>
        <w:right w:val="none" w:sz="0" w:space="0" w:color="auto"/>
      </w:divBdr>
    </w:div>
    <w:div w:id="520163498">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536430408">
      <w:bodyDiv w:val="1"/>
      <w:marLeft w:val="0"/>
      <w:marRight w:val="0"/>
      <w:marTop w:val="0"/>
      <w:marBottom w:val="0"/>
      <w:divBdr>
        <w:top w:val="none" w:sz="0" w:space="0" w:color="auto"/>
        <w:left w:val="none" w:sz="0" w:space="0" w:color="auto"/>
        <w:bottom w:val="none" w:sz="0" w:space="0" w:color="auto"/>
        <w:right w:val="none" w:sz="0" w:space="0" w:color="auto"/>
      </w:divBdr>
    </w:div>
    <w:div w:id="542403621">
      <w:bodyDiv w:val="1"/>
      <w:marLeft w:val="0"/>
      <w:marRight w:val="0"/>
      <w:marTop w:val="0"/>
      <w:marBottom w:val="0"/>
      <w:divBdr>
        <w:top w:val="none" w:sz="0" w:space="0" w:color="auto"/>
        <w:left w:val="none" w:sz="0" w:space="0" w:color="auto"/>
        <w:bottom w:val="none" w:sz="0" w:space="0" w:color="auto"/>
        <w:right w:val="none" w:sz="0" w:space="0" w:color="auto"/>
      </w:divBdr>
    </w:div>
    <w:div w:id="559828176">
      <w:bodyDiv w:val="1"/>
      <w:marLeft w:val="0"/>
      <w:marRight w:val="0"/>
      <w:marTop w:val="0"/>
      <w:marBottom w:val="0"/>
      <w:divBdr>
        <w:top w:val="none" w:sz="0" w:space="0" w:color="auto"/>
        <w:left w:val="none" w:sz="0" w:space="0" w:color="auto"/>
        <w:bottom w:val="none" w:sz="0" w:space="0" w:color="auto"/>
        <w:right w:val="none" w:sz="0" w:space="0" w:color="auto"/>
      </w:divBdr>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73287929">
      <w:bodyDiv w:val="1"/>
      <w:marLeft w:val="0"/>
      <w:marRight w:val="0"/>
      <w:marTop w:val="0"/>
      <w:marBottom w:val="0"/>
      <w:divBdr>
        <w:top w:val="none" w:sz="0" w:space="0" w:color="auto"/>
        <w:left w:val="none" w:sz="0" w:space="0" w:color="auto"/>
        <w:bottom w:val="none" w:sz="0" w:space="0" w:color="auto"/>
        <w:right w:val="none" w:sz="0" w:space="0" w:color="auto"/>
      </w:divBdr>
    </w:div>
    <w:div w:id="805004994">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857163708">
      <w:bodyDiv w:val="1"/>
      <w:marLeft w:val="0"/>
      <w:marRight w:val="0"/>
      <w:marTop w:val="0"/>
      <w:marBottom w:val="0"/>
      <w:divBdr>
        <w:top w:val="none" w:sz="0" w:space="0" w:color="auto"/>
        <w:left w:val="none" w:sz="0" w:space="0" w:color="auto"/>
        <w:bottom w:val="none" w:sz="0" w:space="0" w:color="auto"/>
        <w:right w:val="none" w:sz="0" w:space="0" w:color="auto"/>
      </w:divBdr>
      <w:divsChild>
        <w:div w:id="384569576">
          <w:marLeft w:val="0"/>
          <w:marRight w:val="0"/>
          <w:marTop w:val="0"/>
          <w:marBottom w:val="0"/>
          <w:divBdr>
            <w:top w:val="none" w:sz="0" w:space="0" w:color="auto"/>
            <w:left w:val="none" w:sz="0" w:space="0" w:color="auto"/>
            <w:bottom w:val="none" w:sz="0" w:space="0" w:color="auto"/>
            <w:right w:val="none" w:sz="0" w:space="0" w:color="auto"/>
          </w:divBdr>
          <w:divsChild>
            <w:div w:id="1145314700">
              <w:marLeft w:val="0"/>
              <w:marRight w:val="0"/>
              <w:marTop w:val="0"/>
              <w:marBottom w:val="0"/>
              <w:divBdr>
                <w:top w:val="none" w:sz="0" w:space="0" w:color="auto"/>
                <w:left w:val="none" w:sz="0" w:space="0" w:color="auto"/>
                <w:bottom w:val="none" w:sz="0" w:space="0" w:color="auto"/>
                <w:right w:val="none" w:sz="0" w:space="0" w:color="auto"/>
              </w:divBdr>
              <w:divsChild>
                <w:div w:id="603004632">
                  <w:marLeft w:val="0"/>
                  <w:marRight w:val="0"/>
                  <w:marTop w:val="0"/>
                  <w:marBottom w:val="0"/>
                  <w:divBdr>
                    <w:top w:val="none" w:sz="0" w:space="0" w:color="auto"/>
                    <w:left w:val="none" w:sz="0" w:space="0" w:color="auto"/>
                    <w:bottom w:val="none" w:sz="0" w:space="0" w:color="auto"/>
                    <w:right w:val="none" w:sz="0" w:space="0" w:color="auto"/>
                  </w:divBdr>
                  <w:divsChild>
                    <w:div w:id="1084837614">
                      <w:marLeft w:val="0"/>
                      <w:marRight w:val="0"/>
                      <w:marTop w:val="0"/>
                      <w:marBottom w:val="0"/>
                      <w:divBdr>
                        <w:top w:val="none" w:sz="0" w:space="0" w:color="auto"/>
                        <w:left w:val="none" w:sz="0" w:space="0" w:color="auto"/>
                        <w:bottom w:val="none" w:sz="0" w:space="0" w:color="auto"/>
                        <w:right w:val="none" w:sz="0" w:space="0" w:color="auto"/>
                      </w:divBdr>
                      <w:divsChild>
                        <w:div w:id="1277252659">
                          <w:marLeft w:val="0"/>
                          <w:marRight w:val="0"/>
                          <w:marTop w:val="0"/>
                          <w:marBottom w:val="0"/>
                          <w:divBdr>
                            <w:top w:val="none" w:sz="0" w:space="0" w:color="auto"/>
                            <w:left w:val="none" w:sz="0" w:space="0" w:color="auto"/>
                            <w:bottom w:val="none" w:sz="0" w:space="0" w:color="auto"/>
                            <w:right w:val="none" w:sz="0" w:space="0" w:color="auto"/>
                          </w:divBdr>
                          <w:divsChild>
                            <w:div w:id="1596985510">
                              <w:marLeft w:val="-225"/>
                              <w:marRight w:val="-225"/>
                              <w:marTop w:val="0"/>
                              <w:marBottom w:val="0"/>
                              <w:divBdr>
                                <w:top w:val="none" w:sz="0" w:space="0" w:color="auto"/>
                                <w:left w:val="none" w:sz="0" w:space="0" w:color="auto"/>
                                <w:bottom w:val="none" w:sz="0" w:space="0" w:color="auto"/>
                                <w:right w:val="none" w:sz="0" w:space="0" w:color="auto"/>
                              </w:divBdr>
                              <w:divsChild>
                                <w:div w:id="267006942">
                                  <w:marLeft w:val="0"/>
                                  <w:marRight w:val="0"/>
                                  <w:marTop w:val="0"/>
                                  <w:marBottom w:val="133"/>
                                  <w:divBdr>
                                    <w:top w:val="none" w:sz="0" w:space="0" w:color="auto"/>
                                    <w:left w:val="none" w:sz="0" w:space="0" w:color="auto"/>
                                    <w:bottom w:val="none" w:sz="0" w:space="0" w:color="auto"/>
                                    <w:right w:val="none" w:sz="0" w:space="0" w:color="auto"/>
                                  </w:divBdr>
                                  <w:divsChild>
                                    <w:div w:id="302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75261">
      <w:bodyDiv w:val="1"/>
      <w:marLeft w:val="0"/>
      <w:marRight w:val="0"/>
      <w:marTop w:val="0"/>
      <w:marBottom w:val="0"/>
      <w:divBdr>
        <w:top w:val="none" w:sz="0" w:space="0" w:color="auto"/>
        <w:left w:val="none" w:sz="0" w:space="0" w:color="auto"/>
        <w:bottom w:val="none" w:sz="0" w:space="0" w:color="auto"/>
        <w:right w:val="none" w:sz="0" w:space="0" w:color="auto"/>
      </w:divBdr>
      <w:divsChild>
        <w:div w:id="303899439">
          <w:marLeft w:val="0"/>
          <w:marRight w:val="0"/>
          <w:marTop w:val="0"/>
          <w:marBottom w:val="0"/>
          <w:divBdr>
            <w:top w:val="none" w:sz="0" w:space="0" w:color="auto"/>
            <w:left w:val="none" w:sz="0" w:space="0" w:color="auto"/>
            <w:bottom w:val="none" w:sz="0" w:space="0" w:color="auto"/>
            <w:right w:val="none" w:sz="0" w:space="0" w:color="auto"/>
          </w:divBdr>
        </w:div>
        <w:div w:id="701439095">
          <w:marLeft w:val="0"/>
          <w:marRight w:val="0"/>
          <w:marTop w:val="0"/>
          <w:marBottom w:val="0"/>
          <w:divBdr>
            <w:top w:val="none" w:sz="0" w:space="0" w:color="auto"/>
            <w:left w:val="none" w:sz="0" w:space="0" w:color="auto"/>
            <w:bottom w:val="none" w:sz="0" w:space="0" w:color="auto"/>
            <w:right w:val="none" w:sz="0" w:space="0" w:color="auto"/>
          </w:divBdr>
        </w:div>
        <w:div w:id="1441416683">
          <w:marLeft w:val="0"/>
          <w:marRight w:val="0"/>
          <w:marTop w:val="0"/>
          <w:marBottom w:val="0"/>
          <w:divBdr>
            <w:top w:val="none" w:sz="0" w:space="0" w:color="auto"/>
            <w:left w:val="none" w:sz="0" w:space="0" w:color="auto"/>
            <w:bottom w:val="none" w:sz="0" w:space="0" w:color="auto"/>
            <w:right w:val="none" w:sz="0" w:space="0" w:color="auto"/>
          </w:divBdr>
        </w:div>
        <w:div w:id="1603300060">
          <w:marLeft w:val="0"/>
          <w:marRight w:val="0"/>
          <w:marTop w:val="0"/>
          <w:marBottom w:val="0"/>
          <w:divBdr>
            <w:top w:val="none" w:sz="0" w:space="0" w:color="auto"/>
            <w:left w:val="none" w:sz="0" w:space="0" w:color="auto"/>
            <w:bottom w:val="none" w:sz="0" w:space="0" w:color="auto"/>
            <w:right w:val="none" w:sz="0" w:space="0" w:color="auto"/>
          </w:divBdr>
        </w:div>
        <w:div w:id="1743327301">
          <w:marLeft w:val="0"/>
          <w:marRight w:val="0"/>
          <w:marTop w:val="0"/>
          <w:marBottom w:val="0"/>
          <w:divBdr>
            <w:top w:val="none" w:sz="0" w:space="0" w:color="auto"/>
            <w:left w:val="none" w:sz="0" w:space="0" w:color="auto"/>
            <w:bottom w:val="none" w:sz="0" w:space="0" w:color="auto"/>
            <w:right w:val="none" w:sz="0" w:space="0" w:color="auto"/>
          </w:divBdr>
        </w:div>
      </w:divsChild>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28268341">
      <w:bodyDiv w:val="1"/>
      <w:marLeft w:val="0"/>
      <w:marRight w:val="0"/>
      <w:marTop w:val="0"/>
      <w:marBottom w:val="0"/>
      <w:divBdr>
        <w:top w:val="none" w:sz="0" w:space="0" w:color="auto"/>
        <w:left w:val="none" w:sz="0" w:space="0" w:color="auto"/>
        <w:bottom w:val="none" w:sz="0" w:space="0" w:color="auto"/>
        <w:right w:val="none" w:sz="0" w:space="0" w:color="auto"/>
      </w:divBdr>
    </w:div>
    <w:div w:id="944770525">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6374190">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986012970">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5354747">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53848113">
      <w:bodyDiv w:val="1"/>
      <w:marLeft w:val="0"/>
      <w:marRight w:val="0"/>
      <w:marTop w:val="0"/>
      <w:marBottom w:val="0"/>
      <w:divBdr>
        <w:top w:val="none" w:sz="0" w:space="0" w:color="auto"/>
        <w:left w:val="none" w:sz="0" w:space="0" w:color="auto"/>
        <w:bottom w:val="none" w:sz="0" w:space="0" w:color="auto"/>
        <w:right w:val="none" w:sz="0" w:space="0" w:color="auto"/>
      </w:divBdr>
    </w:div>
    <w:div w:id="1062874348">
      <w:bodyDiv w:val="1"/>
      <w:marLeft w:val="0"/>
      <w:marRight w:val="0"/>
      <w:marTop w:val="0"/>
      <w:marBottom w:val="0"/>
      <w:divBdr>
        <w:top w:val="none" w:sz="0" w:space="0" w:color="auto"/>
        <w:left w:val="none" w:sz="0" w:space="0" w:color="auto"/>
        <w:bottom w:val="none" w:sz="0" w:space="0" w:color="auto"/>
        <w:right w:val="none" w:sz="0" w:space="0" w:color="auto"/>
      </w:divBdr>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88123358">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39819049">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68946028">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54191890">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66124783">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710452589">
      <w:bodyDiv w:val="1"/>
      <w:marLeft w:val="0"/>
      <w:marRight w:val="0"/>
      <w:marTop w:val="0"/>
      <w:marBottom w:val="0"/>
      <w:divBdr>
        <w:top w:val="none" w:sz="0" w:space="0" w:color="auto"/>
        <w:left w:val="none" w:sz="0" w:space="0" w:color="auto"/>
        <w:bottom w:val="none" w:sz="0" w:space="0" w:color="auto"/>
        <w:right w:val="none" w:sz="0" w:space="0" w:color="auto"/>
      </w:divBdr>
    </w:div>
    <w:div w:id="1724908724">
      <w:bodyDiv w:val="1"/>
      <w:marLeft w:val="0"/>
      <w:marRight w:val="0"/>
      <w:marTop w:val="0"/>
      <w:marBottom w:val="0"/>
      <w:divBdr>
        <w:top w:val="none" w:sz="0" w:space="0" w:color="auto"/>
        <w:left w:val="none" w:sz="0" w:space="0" w:color="auto"/>
        <w:bottom w:val="none" w:sz="0" w:space="0" w:color="auto"/>
        <w:right w:val="none" w:sz="0" w:space="0" w:color="auto"/>
      </w:divBdr>
    </w:div>
    <w:div w:id="1762994582">
      <w:bodyDiv w:val="1"/>
      <w:marLeft w:val="0"/>
      <w:marRight w:val="0"/>
      <w:marTop w:val="0"/>
      <w:marBottom w:val="0"/>
      <w:divBdr>
        <w:top w:val="none" w:sz="0" w:space="0" w:color="auto"/>
        <w:left w:val="none" w:sz="0" w:space="0" w:color="auto"/>
        <w:bottom w:val="none" w:sz="0" w:space="0" w:color="auto"/>
        <w:right w:val="none" w:sz="0" w:space="0" w:color="auto"/>
      </w:divBdr>
    </w:div>
    <w:div w:id="1799684705">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46168020">
      <w:bodyDiv w:val="1"/>
      <w:marLeft w:val="0"/>
      <w:marRight w:val="0"/>
      <w:marTop w:val="0"/>
      <w:marBottom w:val="0"/>
      <w:divBdr>
        <w:top w:val="none" w:sz="0" w:space="0" w:color="auto"/>
        <w:left w:val="none" w:sz="0" w:space="0" w:color="auto"/>
        <w:bottom w:val="none" w:sz="0" w:space="0" w:color="auto"/>
        <w:right w:val="none" w:sz="0" w:space="0" w:color="auto"/>
      </w:divBdr>
    </w:div>
    <w:div w:id="1848014453">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870487796">
      <w:bodyDiv w:val="1"/>
      <w:marLeft w:val="0"/>
      <w:marRight w:val="0"/>
      <w:marTop w:val="0"/>
      <w:marBottom w:val="0"/>
      <w:divBdr>
        <w:top w:val="none" w:sz="0" w:space="0" w:color="auto"/>
        <w:left w:val="none" w:sz="0" w:space="0" w:color="auto"/>
        <w:bottom w:val="none" w:sz="0" w:space="0" w:color="auto"/>
        <w:right w:val="none" w:sz="0" w:space="0" w:color="auto"/>
      </w:divBdr>
    </w:div>
    <w:div w:id="1874463715">
      <w:bodyDiv w:val="1"/>
      <w:marLeft w:val="0"/>
      <w:marRight w:val="0"/>
      <w:marTop w:val="0"/>
      <w:marBottom w:val="0"/>
      <w:divBdr>
        <w:top w:val="none" w:sz="0" w:space="0" w:color="auto"/>
        <w:left w:val="none" w:sz="0" w:space="0" w:color="auto"/>
        <w:bottom w:val="none" w:sz="0" w:space="0" w:color="auto"/>
        <w:right w:val="none" w:sz="0" w:space="0" w:color="auto"/>
      </w:divBdr>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1975064939">
      <w:bodyDiv w:val="1"/>
      <w:marLeft w:val="0"/>
      <w:marRight w:val="0"/>
      <w:marTop w:val="0"/>
      <w:marBottom w:val="0"/>
      <w:divBdr>
        <w:top w:val="none" w:sz="0" w:space="0" w:color="auto"/>
        <w:left w:val="none" w:sz="0" w:space="0" w:color="auto"/>
        <w:bottom w:val="none" w:sz="0" w:space="0" w:color="auto"/>
        <w:right w:val="none" w:sz="0" w:space="0" w:color="auto"/>
      </w:divBdr>
    </w:div>
    <w:div w:id="2036493993">
      <w:bodyDiv w:val="1"/>
      <w:marLeft w:val="0"/>
      <w:marRight w:val="0"/>
      <w:marTop w:val="0"/>
      <w:marBottom w:val="0"/>
      <w:divBdr>
        <w:top w:val="none" w:sz="0" w:space="0" w:color="auto"/>
        <w:left w:val="none" w:sz="0" w:space="0" w:color="auto"/>
        <w:bottom w:val="none" w:sz="0" w:space="0" w:color="auto"/>
        <w:right w:val="none" w:sz="0" w:space="0" w:color="auto"/>
      </w:divBdr>
    </w:div>
    <w:div w:id="2047292501">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472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info/publications/european-economic-forecast-spring-2022_en" TargetMode="External"/><Relationship Id="rId2" Type="http://schemas.openxmlformats.org/officeDocument/2006/relationships/hyperlink" Target="https://ec.europa.eu/info/publications/european-economic-forecast-spring-2022_en" TargetMode="External"/><Relationship Id="rId1" Type="http://schemas.openxmlformats.org/officeDocument/2006/relationships/hyperlink" Target="https://ec.europa.eu/info/publications/european-economic-forecast-spring-2022_en" TargetMode="External"/><Relationship Id="rId4" Type="http://schemas.openxmlformats.org/officeDocument/2006/relationships/hyperlink" Target="https://ec.europa.eu/info/publications/european-economic-forecast-spring-2022_en" TargetMode="Externa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215E94"/>
      </a:dk2>
      <a:lt2>
        <a:srgbClr val="F2F2F2"/>
      </a:lt2>
      <a:accent1>
        <a:srgbClr val="109146"/>
      </a:accent1>
      <a:accent2>
        <a:srgbClr val="16A7C4"/>
      </a:accent2>
      <a:accent3>
        <a:srgbClr val="C56829"/>
      </a:accent3>
      <a:accent4>
        <a:srgbClr val="B71F7A"/>
      </a:accent4>
      <a:accent5>
        <a:srgbClr val="92D050"/>
      </a:accent5>
      <a:accent6>
        <a:srgbClr val="FFC000"/>
      </a:accent6>
      <a:hlink>
        <a:srgbClr val="007ACC"/>
      </a:hlink>
      <a:folHlink>
        <a:srgbClr val="800080"/>
      </a:folHlink>
    </a:clrScheme>
    <a:fontScheme name="FONT EC Square">
      <a:majorFont>
        <a:latin typeface="EC Square Sans Pro"/>
        <a:ea typeface=""/>
        <a:cs typeface=""/>
      </a:majorFont>
      <a:minorFont>
        <a:latin typeface="EC Squar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78d0848-0cce-44bc-8931-8052bd5de5b6">EN</EC_Collab_DocumentLanguage>
    <EC_Collab_Status xmlns="f78d0848-0cce-44bc-8931-8052bd5de5b6">Draft</EC_Collab_Status>
    <EC_Collab_Reference xmlns="f78d0848-0cce-44bc-8931-8052bd5de5b6" xsi:nil="true"/>
    <EC_ARES_TRANSFERRED_BY xmlns="f78d0848-0cce-44bc-8931-8052bd5de5b6" xsi:nil="true"/>
    <EC_ARES_NUMBER xmlns="f78d0848-0cce-44bc-8931-8052bd5de5b6">
      <Url xsi:nil="true"/>
      <Description xsi:nil="true"/>
    </EC_ARES_NUMBER>
    <EC_ARES_DATE_TRANSFERRED xmlns="f78d0848-0cce-44bc-8931-8052bd5de5b6" xsi:nil="true"/>
    <_dlc_DocId xmlns="b9a1bbf4-3872-40cb-a1a3-b88a292b9176">NHRUTF4F6DR2-152895277-623</_dlc_DocId>
    <_dlc_DocIdUrl xmlns="b9a1bbf4-3872-40cb-a1a3-b88a292b9176">
      <Url>https://myintracomm-collab.ec.europa.eu/dg/budg/unit-B1-site/_layouts/15/DocIdRedir.aspx?ID=NHRUTF4F6DR2-152895277-623</Url>
      <Description>NHRUTF4F6DR2-152895277-623</Description>
    </_dlc_DocIdUrl>
    <SharedWithUsers xmlns="2e73dc95-9ddd-4ab8-a319-7bef957e83bb">
      <UserInfo>
        <DisplayName>FILIPKOVA Lenka</DisplayName>
        <AccountId>751</AccountId>
        <AccountType/>
      </UserInfo>
      <UserInfo>
        <DisplayName>ION Andrei</DisplayName>
        <AccountId>627</AccountId>
        <AccountType/>
      </UserInfo>
      <UserInfo>
        <DisplayName>CHUCHEV Atanas</DisplayName>
        <AccountId>272</AccountId>
        <AccountType/>
      </UserInfo>
      <UserInfo>
        <DisplayName>LOPEZ LLEDO Juan Jose</DisplayName>
        <AccountId>793</AccountId>
        <AccountType/>
      </UserInfo>
      <UserInfo>
        <DisplayName>SAIL Etienne</DisplayName>
        <AccountId>2679</AccountId>
        <AccountType/>
      </UserInfo>
      <UserInfo>
        <DisplayName>GERRITSEN Jan</DisplayName>
        <AccountId>608</AccountId>
        <AccountType/>
      </UserInfo>
      <UserInfo>
        <DisplayName>BONANOMI Francesco</DisplayName>
        <AccountId>761</AccountId>
        <AccountType/>
      </UserInfo>
      <UserInfo>
        <DisplayName>ESCLAPEZ Pierre-Yves</DisplayName>
        <AccountId>1203</AccountId>
        <AccountType/>
      </UserInfo>
      <UserInfo>
        <DisplayName>SCHMIDT-FABER Claudius</DisplayName>
        <AccountId>804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5470B514A2418498415EF2CB00EE337" ma:contentTypeVersion="6" ma:contentTypeDescription="Create a new document in this library." ma:contentTypeScope="" ma:versionID="91e5a90e98b4ce5cf2d74ac31dd7b226">
  <xsd:schema xmlns:xsd="http://www.w3.org/2001/XMLSchema" xmlns:xs="http://www.w3.org/2001/XMLSchema" xmlns:p="http://schemas.microsoft.com/office/2006/metadata/properties" xmlns:ns3="f78d0848-0cce-44bc-8931-8052bd5de5b6" xmlns:ns4="b9a1bbf4-3872-40cb-a1a3-b88a292b9176" xmlns:ns5="2e73dc95-9ddd-4ab8-a319-7bef957e83bb" targetNamespace="http://schemas.microsoft.com/office/2006/metadata/properties" ma:root="true" ma:fieldsID="f35a554dadcbe1a92b3d69350a2d030a" ns3:_="" ns4:_="" ns5:_="">
    <xsd:import namespace="f78d0848-0cce-44bc-8931-8052bd5de5b6"/>
    <xsd:import namespace="b9a1bbf4-3872-40cb-a1a3-b88a292b9176"/>
    <xsd:import namespace="2e73dc95-9ddd-4ab8-a319-7bef957e83b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4:_dlc_DocId" minOccurs="0"/>
                <xsd:element ref="ns4:_dlc_DocIdUrl" minOccurs="0"/>
                <xsd:element ref="ns4:_dlc_DocIdPersist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0848-0cce-44bc-8931-8052bd5de5b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73dc95-9ddd-4ab8-a319-7bef957e83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D32D953-E476-477A-9BB5-CC6C9245F445}">
  <ds:schemaRefs>
    <ds:schemaRef ds:uri="http://schemas.microsoft.com/office/infopath/2007/PartnerControls"/>
    <ds:schemaRef ds:uri="http://purl.org/dc/elements/1.1/"/>
    <ds:schemaRef ds:uri="http://schemas.microsoft.com/office/2006/metadata/properties"/>
    <ds:schemaRef ds:uri="b9a1bbf4-3872-40cb-a1a3-b88a292b9176"/>
    <ds:schemaRef ds:uri="http://purl.org/dc/terms/"/>
    <ds:schemaRef ds:uri="http://schemas.openxmlformats.org/package/2006/metadata/core-properties"/>
    <ds:schemaRef ds:uri="2e73dc95-9ddd-4ab8-a319-7bef957e83bb"/>
    <ds:schemaRef ds:uri="http://schemas.microsoft.com/office/2006/documentManagement/types"/>
    <ds:schemaRef ds:uri="f78d0848-0cce-44bc-8931-8052bd5de5b6"/>
    <ds:schemaRef ds:uri="http://www.w3.org/XML/1998/namespace"/>
    <ds:schemaRef ds:uri="http://purl.org/dc/dcmitype/"/>
  </ds:schemaRefs>
</ds:datastoreItem>
</file>

<file path=customXml/itemProps2.xml><?xml version="1.0" encoding="utf-8"?>
<ds:datastoreItem xmlns:ds="http://schemas.openxmlformats.org/officeDocument/2006/customXml" ds:itemID="{F1CBB7A0-8A52-4271-8D5E-E3713224A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0848-0cce-44bc-8931-8052bd5de5b6"/>
    <ds:schemaRef ds:uri="b9a1bbf4-3872-40cb-a1a3-b88a292b9176"/>
    <ds:schemaRef ds:uri="2e73dc95-9ddd-4ab8-a319-7bef957e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C461E-6167-41DD-9826-8090DD560F81}">
  <ds:schemaRefs>
    <ds:schemaRef ds:uri="http://schemas.microsoft.com/sharepoint/events"/>
  </ds:schemaRefs>
</ds:datastoreItem>
</file>

<file path=customXml/itemProps4.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5.xml><?xml version="1.0" encoding="utf-8"?>
<ds:datastoreItem xmlns:ds="http://schemas.openxmlformats.org/officeDocument/2006/customXml" ds:itemID="{28F8A981-734D-4C9C-9B2A-8D0719CD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6167</Words>
  <Characters>35651</Characters>
  <Application>Microsoft Office Word</Application>
  <DocSecurity>0</DocSecurity>
  <Lines>990</Lines>
  <Paragraphs>685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34</cp:revision>
  <cp:lastPrinted>2022-03-20T21:30:00Z</cp:lastPrinted>
  <dcterms:created xsi:type="dcterms:W3CDTF">2022-06-07T18:32:00Z</dcterms:created>
  <dcterms:modified xsi:type="dcterms:W3CDTF">2022-06-30T06:21:00Z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Last edited using">
    <vt:lpwstr>LW 8.0, Build 20220128</vt:lpwstr>
  </property>
  <property fmtid="{D5CDD505-2E9C-101B-9397-08002B2CF9AE}" pid="6" name="Created using">
    <vt:lpwstr>LW 6.0.1, Build 20180503</vt:lpwstr>
  </property>
  <property fmtid="{D5CDD505-2E9C-101B-9397-08002B2CF9AE}" pid="7" name="DocStatus">
    <vt:lpwstr>Green</vt:lpwstr>
  </property>
  <property fmtid="{D5CDD505-2E9C-101B-9397-08002B2CF9AE}" pid="8" name="synchronize">
    <vt:lpwstr>on</vt:lpwstr>
  </property>
  <property fmtid="{D5CDD505-2E9C-101B-9397-08002B2CF9AE}" pid="9" name="CPTemplateID">
    <vt:lpwstr>CP-006</vt:lpwstr>
  </property>
  <property fmtid="{D5CDD505-2E9C-101B-9397-08002B2CF9AE}" pid="10" name="_LW_INVALIDATED__LW_INVALIDATED_ContentTypeId">
    <vt:lpwstr>0x010100258AA79CEB83498886A3A0868112325000189CB87B1E53E74D8E56C76F27A51955</vt:lpwstr>
  </property>
  <property fmtid="{D5CDD505-2E9C-101B-9397-08002B2CF9AE}" pid="11" name="ContentTypeId">
    <vt:lpwstr>0x010100258AA79CEB83498886A3A086811232500005470B514A2418498415EF2CB00EE337</vt:lpwstr>
  </property>
  <property fmtid="{D5CDD505-2E9C-101B-9397-08002B2CF9AE}" pid="12" name="_dlc_DocIdItemGuid">
    <vt:lpwstr>612815d5-7b94-4e92-b123-ce86cafd4f18</vt:lpwstr>
  </property>
  <property fmtid="{D5CDD505-2E9C-101B-9397-08002B2CF9AE}" pid="13" name="MSIP_Label_6bd9ddd1-4d20-43f6-abfa-fc3c07406f94_Enabled">
    <vt:lpwstr>true</vt:lpwstr>
  </property>
  <property fmtid="{D5CDD505-2E9C-101B-9397-08002B2CF9AE}" pid="14" name="MSIP_Label_6bd9ddd1-4d20-43f6-abfa-fc3c07406f94_SetDate">
    <vt:lpwstr>2022-05-17T07:30:17Z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5bd134ee-e9e5-4153-9fea-730183349a8b</vt:lpwstr>
  </property>
  <property fmtid="{D5CDD505-2E9C-101B-9397-08002B2CF9AE}" pid="19" name="MSIP_Label_6bd9ddd1-4d20-43f6-abfa-fc3c07406f94_ContentBits">
    <vt:lpwstr>0</vt:lpwstr>
  </property>
</Properties>
</file>