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59231" w14:textId="006FA4BE" w:rsidR="00A01964" w:rsidRPr="00AC2DE7" w:rsidRDefault="00AE2C37" w:rsidP="00AE2C37">
      <w:pPr>
        <w:pStyle w:val="Pagedecouverture"/>
        <w:rPr>
          <w:noProof/>
        </w:rPr>
      </w:pPr>
      <w:bookmarkStart w:id="0" w:name="LW_BM_COVERPAGE"/>
      <w:r>
        <w:rPr>
          <w:noProof/>
        </w:rPr>
        <w:pict w14:anchorId="1A6D4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41B8623-E593-40C5-9185-7DD2535028D8" style="width:455.25pt;height:351.75pt">
            <v:imagedata r:id="rId11" o:title=""/>
          </v:shape>
        </w:pict>
      </w:r>
    </w:p>
    <w:bookmarkEnd w:id="0"/>
    <w:p w14:paraId="04265C9D" w14:textId="4A9844C8" w:rsidR="00037E67" w:rsidRPr="00AC2DE7" w:rsidRDefault="00037E67" w:rsidP="002B4286">
      <w:pPr>
        <w:spacing w:line="276" w:lineRule="auto"/>
        <w:rPr>
          <w:rFonts w:ascii="Times New Roman" w:hAnsi="Times New Roman" w:cs="Times New Roman"/>
          <w:noProof/>
          <w:sz w:val="24"/>
          <w:szCs w:val="24"/>
        </w:rPr>
        <w:sectPr w:rsidR="00037E67" w:rsidRPr="00AC2DE7" w:rsidSect="00AE2C37">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4EBB9B6C" w14:textId="77777777" w:rsidR="00A01964" w:rsidRPr="00AC2DE7" w:rsidRDefault="00A01964" w:rsidP="002B4286">
      <w:pPr>
        <w:spacing w:line="276" w:lineRule="auto"/>
        <w:jc w:val="center"/>
        <w:rPr>
          <w:rFonts w:ascii="Times New Roman" w:hAnsi="Times New Roman" w:cs="Times New Roman"/>
          <w:b/>
          <w:noProof/>
          <w:sz w:val="24"/>
          <w:szCs w:val="24"/>
        </w:rPr>
      </w:pPr>
      <w:bookmarkStart w:id="1" w:name="_GoBack"/>
      <w:bookmarkEnd w:id="1"/>
      <w:r w:rsidRPr="00AC2DE7">
        <w:rPr>
          <w:rFonts w:ascii="Times New Roman" w:hAnsi="Times New Roman"/>
          <w:b/>
          <w:noProof/>
          <w:sz w:val="24"/>
        </w:rPr>
        <w:lastRenderedPageBreak/>
        <w:t>SPRAWOZDANIE KOMISJI DLA PARLAMENTU EUROPEJSKIEGO I RADY</w:t>
      </w:r>
    </w:p>
    <w:p w14:paraId="73C87625" w14:textId="55013F41" w:rsidR="009D73BE" w:rsidRPr="00AC2DE7" w:rsidRDefault="001718F5" w:rsidP="002B4286">
      <w:pPr>
        <w:spacing w:line="276" w:lineRule="auto"/>
        <w:jc w:val="center"/>
        <w:rPr>
          <w:rFonts w:ascii="Times New Roman" w:hAnsi="Times New Roman" w:cs="Times New Roman"/>
          <w:b/>
          <w:noProof/>
          <w:sz w:val="24"/>
          <w:szCs w:val="24"/>
        </w:rPr>
      </w:pPr>
      <w:r w:rsidRPr="00AC2DE7">
        <w:rPr>
          <w:rFonts w:ascii="Times New Roman" w:hAnsi="Times New Roman"/>
          <w:b/>
          <w:noProof/>
          <w:sz w:val="24"/>
        </w:rPr>
        <w:t>w odniesieniu do zintensyfikowania odpraw na granicach zewnętrznych</w:t>
      </w:r>
      <w:r w:rsidR="00AC2DE7" w:rsidRPr="00AC2DE7">
        <w:rPr>
          <w:rFonts w:ascii="Times New Roman" w:hAnsi="Times New Roman"/>
          <w:b/>
          <w:noProof/>
          <w:sz w:val="24"/>
        </w:rPr>
        <w:t xml:space="preserve"> z wyk</w:t>
      </w:r>
      <w:r w:rsidRPr="00AC2DE7">
        <w:rPr>
          <w:rFonts w:ascii="Times New Roman" w:hAnsi="Times New Roman"/>
          <w:b/>
          <w:noProof/>
          <w:sz w:val="24"/>
        </w:rPr>
        <w:t>orzystaniem odpowiednich baz danych wprowadzonego na mocy rozporządzenia (UE) 2017/458 zmieniającego rozporządzenie (UE) 2016/399</w:t>
      </w:r>
    </w:p>
    <w:p w14:paraId="6C697209" w14:textId="77777777" w:rsidR="009D73BE" w:rsidRPr="00AC2DE7" w:rsidRDefault="009D73BE" w:rsidP="002B4286">
      <w:pPr>
        <w:spacing w:line="276" w:lineRule="auto"/>
        <w:jc w:val="center"/>
        <w:rPr>
          <w:rFonts w:ascii="Times New Roman" w:hAnsi="Times New Roman" w:cs="Times New Roman"/>
          <w:b/>
          <w:noProof/>
          <w:sz w:val="24"/>
          <w:szCs w:val="24"/>
        </w:rPr>
      </w:pPr>
    </w:p>
    <w:p w14:paraId="2448A235" w14:textId="77777777" w:rsidR="009D73BE" w:rsidRPr="00AC2DE7" w:rsidRDefault="009D73BE" w:rsidP="002B4286">
      <w:pPr>
        <w:pStyle w:val="IIntroduction"/>
        <w:spacing w:line="276" w:lineRule="auto"/>
        <w:rPr>
          <w:noProof/>
          <w:sz w:val="24"/>
          <w:szCs w:val="24"/>
        </w:rPr>
      </w:pPr>
      <w:r w:rsidRPr="00AC2DE7">
        <w:rPr>
          <w:noProof/>
          <w:sz w:val="24"/>
        </w:rPr>
        <w:t xml:space="preserve">I. Wprowadzenie </w:t>
      </w:r>
    </w:p>
    <w:p w14:paraId="500E4149" w14:textId="26FBF493" w:rsidR="005F333F" w:rsidRPr="00AC2DE7" w:rsidRDefault="00D03679" w:rsidP="009F1EA3">
      <w:pPr>
        <w:jc w:val="both"/>
        <w:rPr>
          <w:rFonts w:ascii="Times New Roman" w:hAnsi="Times New Roman" w:cs="Times New Roman"/>
          <w:noProof/>
          <w:sz w:val="24"/>
          <w:szCs w:val="24"/>
        </w:rPr>
      </w:pPr>
      <w:r w:rsidRPr="00AC2DE7">
        <w:rPr>
          <w:rFonts w:ascii="Times New Roman" w:hAnsi="Times New Roman"/>
          <w:noProof/>
          <w:sz w:val="24"/>
        </w:rPr>
        <w:t>W odpowiedzi na ataki terrorystyczne</w:t>
      </w:r>
      <w:r w:rsidR="00AC2DE7" w:rsidRPr="00AC2DE7">
        <w:rPr>
          <w:rFonts w:ascii="Times New Roman" w:hAnsi="Times New Roman"/>
          <w:noProof/>
          <w:sz w:val="24"/>
        </w:rPr>
        <w:t xml:space="preserve"> w Kop</w:t>
      </w:r>
      <w:r w:rsidRPr="00AC2DE7">
        <w:rPr>
          <w:rFonts w:ascii="Times New Roman" w:hAnsi="Times New Roman"/>
          <w:noProof/>
          <w:sz w:val="24"/>
        </w:rPr>
        <w:t>enhadze</w:t>
      </w:r>
      <w:r w:rsidR="00AC2DE7" w:rsidRPr="00AC2DE7">
        <w:rPr>
          <w:rFonts w:ascii="Times New Roman" w:hAnsi="Times New Roman"/>
          <w:noProof/>
          <w:sz w:val="24"/>
        </w:rPr>
        <w:t xml:space="preserve"> w lut</w:t>
      </w:r>
      <w:r w:rsidRPr="00AC2DE7">
        <w:rPr>
          <w:rFonts w:ascii="Times New Roman" w:hAnsi="Times New Roman"/>
          <w:noProof/>
          <w:sz w:val="24"/>
        </w:rPr>
        <w:t>ym 2015</w:t>
      </w:r>
      <w:r w:rsidR="00836F72" w:rsidRPr="00AC2DE7">
        <w:rPr>
          <w:rFonts w:ascii="Times New Roman" w:hAnsi="Times New Roman"/>
          <w:noProof/>
          <w:sz w:val="24"/>
        </w:rPr>
        <w:t> </w:t>
      </w:r>
      <w:r w:rsidRPr="00AC2DE7">
        <w:rPr>
          <w:rFonts w:ascii="Times New Roman" w:hAnsi="Times New Roman"/>
          <w:noProof/>
          <w:sz w:val="24"/>
        </w:rPr>
        <w:t>r.,</w:t>
      </w:r>
      <w:r w:rsidR="00AC2DE7" w:rsidRPr="00AC2DE7">
        <w:rPr>
          <w:rFonts w:ascii="Times New Roman" w:hAnsi="Times New Roman"/>
          <w:noProof/>
          <w:sz w:val="24"/>
        </w:rPr>
        <w:t xml:space="preserve"> w Par</w:t>
      </w:r>
      <w:r w:rsidRPr="00AC2DE7">
        <w:rPr>
          <w:rFonts w:ascii="Times New Roman" w:hAnsi="Times New Roman"/>
          <w:noProof/>
          <w:sz w:val="24"/>
        </w:rPr>
        <w:t>yżu</w:t>
      </w:r>
      <w:r w:rsidR="00AC2DE7" w:rsidRPr="00AC2DE7">
        <w:rPr>
          <w:rFonts w:ascii="Times New Roman" w:hAnsi="Times New Roman"/>
          <w:noProof/>
          <w:sz w:val="24"/>
        </w:rPr>
        <w:t xml:space="preserve"> w sty</w:t>
      </w:r>
      <w:r w:rsidRPr="00AC2DE7">
        <w:rPr>
          <w:rFonts w:ascii="Times New Roman" w:hAnsi="Times New Roman"/>
          <w:noProof/>
          <w:sz w:val="24"/>
        </w:rPr>
        <w:t>czniu</w:t>
      </w:r>
      <w:r w:rsidR="00AC2DE7" w:rsidRPr="00AC2DE7">
        <w:rPr>
          <w:rFonts w:ascii="Times New Roman" w:hAnsi="Times New Roman"/>
          <w:noProof/>
          <w:sz w:val="24"/>
        </w:rPr>
        <w:t xml:space="preserve"> i lis</w:t>
      </w:r>
      <w:r w:rsidRPr="00AC2DE7">
        <w:rPr>
          <w:rFonts w:ascii="Times New Roman" w:hAnsi="Times New Roman"/>
          <w:noProof/>
          <w:sz w:val="24"/>
        </w:rPr>
        <w:t>topadzie 2015</w:t>
      </w:r>
      <w:r w:rsidR="00836F72" w:rsidRPr="00AC2DE7">
        <w:rPr>
          <w:rFonts w:ascii="Times New Roman" w:hAnsi="Times New Roman"/>
          <w:noProof/>
          <w:sz w:val="24"/>
        </w:rPr>
        <w:t> </w:t>
      </w:r>
      <w:r w:rsidRPr="00AC2DE7">
        <w:rPr>
          <w:rFonts w:ascii="Times New Roman" w:hAnsi="Times New Roman"/>
          <w:noProof/>
          <w:sz w:val="24"/>
        </w:rPr>
        <w:t>r. oraz</w:t>
      </w:r>
      <w:r w:rsidR="00AC2DE7" w:rsidRPr="00AC2DE7">
        <w:rPr>
          <w:rFonts w:ascii="Times New Roman" w:hAnsi="Times New Roman"/>
          <w:noProof/>
          <w:sz w:val="24"/>
        </w:rPr>
        <w:t xml:space="preserve"> w Bru</w:t>
      </w:r>
      <w:r w:rsidRPr="00AC2DE7">
        <w:rPr>
          <w:rFonts w:ascii="Times New Roman" w:hAnsi="Times New Roman"/>
          <w:noProof/>
          <w:sz w:val="24"/>
        </w:rPr>
        <w:t>kseli</w:t>
      </w:r>
      <w:r w:rsidR="00AC2DE7" w:rsidRPr="00AC2DE7">
        <w:rPr>
          <w:rFonts w:ascii="Times New Roman" w:hAnsi="Times New Roman"/>
          <w:noProof/>
          <w:sz w:val="24"/>
        </w:rPr>
        <w:t xml:space="preserve"> w mar</w:t>
      </w:r>
      <w:r w:rsidRPr="00AC2DE7">
        <w:rPr>
          <w:rFonts w:ascii="Times New Roman" w:hAnsi="Times New Roman"/>
          <w:noProof/>
          <w:sz w:val="24"/>
        </w:rPr>
        <w:t>cu 2016</w:t>
      </w:r>
      <w:r w:rsidR="00836F72" w:rsidRPr="00AC2DE7">
        <w:rPr>
          <w:rFonts w:ascii="Times New Roman" w:hAnsi="Times New Roman"/>
          <w:noProof/>
          <w:sz w:val="24"/>
        </w:rPr>
        <w:t> </w:t>
      </w:r>
      <w:r w:rsidRPr="00AC2DE7">
        <w:rPr>
          <w:rFonts w:ascii="Times New Roman" w:hAnsi="Times New Roman"/>
          <w:noProof/>
          <w:sz w:val="24"/>
        </w:rPr>
        <w:t>r., Parlament</w:t>
      </w:r>
      <w:r w:rsidR="00AC2DE7" w:rsidRPr="00AC2DE7">
        <w:rPr>
          <w:rFonts w:ascii="Times New Roman" w:hAnsi="Times New Roman"/>
          <w:noProof/>
          <w:sz w:val="24"/>
        </w:rPr>
        <w:t xml:space="preserve"> i Rad</w:t>
      </w:r>
      <w:r w:rsidRPr="00AC2DE7">
        <w:rPr>
          <w:rFonts w:ascii="Times New Roman" w:hAnsi="Times New Roman"/>
          <w:noProof/>
          <w:sz w:val="24"/>
        </w:rPr>
        <w:t>a przyjęły rozporządzenie (UE) 2017/458</w:t>
      </w:r>
      <w:r w:rsidR="00AC2DE7" w:rsidRPr="00AC2DE7">
        <w:rPr>
          <w:rFonts w:ascii="Times New Roman" w:hAnsi="Times New Roman"/>
          <w:noProof/>
          <w:sz w:val="24"/>
        </w:rPr>
        <w:t xml:space="preserve"> z dni</w:t>
      </w:r>
      <w:r w:rsidRPr="00AC2DE7">
        <w:rPr>
          <w:rFonts w:ascii="Times New Roman" w:hAnsi="Times New Roman"/>
          <w:noProof/>
          <w:sz w:val="24"/>
        </w:rPr>
        <w:t>a 15 marca 2017</w:t>
      </w:r>
      <w:r w:rsidR="00836F72" w:rsidRPr="00AC2DE7">
        <w:rPr>
          <w:rFonts w:ascii="Times New Roman" w:hAnsi="Times New Roman"/>
          <w:noProof/>
          <w:sz w:val="24"/>
        </w:rPr>
        <w:t> </w:t>
      </w:r>
      <w:r w:rsidRPr="00AC2DE7">
        <w:rPr>
          <w:rFonts w:ascii="Times New Roman" w:hAnsi="Times New Roman"/>
          <w:noProof/>
          <w:sz w:val="24"/>
        </w:rPr>
        <w:t>r.</w:t>
      </w:r>
      <w:r w:rsidR="009F1EA3" w:rsidRPr="00AC2DE7">
        <w:rPr>
          <w:rStyle w:val="FootnoteReference"/>
          <w:rFonts w:ascii="Times New Roman" w:hAnsi="Times New Roman" w:cs="Times New Roman"/>
          <w:noProof/>
          <w:sz w:val="24"/>
          <w:szCs w:val="24"/>
        </w:rPr>
        <w:footnoteReference w:id="2"/>
      </w:r>
      <w:r w:rsidRPr="00AC2DE7">
        <w:rPr>
          <w:rFonts w:ascii="Times New Roman" w:hAnsi="Times New Roman"/>
          <w:noProof/>
          <w:sz w:val="24"/>
        </w:rPr>
        <w:t xml:space="preserve"> („rozporządzenie”) zmieniające rozporządzenie (UE) 2016/399</w:t>
      </w:r>
      <w:r w:rsidR="009F1EA3" w:rsidRPr="00AC2DE7">
        <w:rPr>
          <w:rStyle w:val="FootnoteReference"/>
          <w:rFonts w:ascii="Times New Roman" w:hAnsi="Times New Roman" w:cs="Times New Roman"/>
          <w:noProof/>
          <w:sz w:val="24"/>
          <w:szCs w:val="24"/>
        </w:rPr>
        <w:footnoteReference w:id="3"/>
      </w:r>
      <w:r w:rsidRPr="00AC2DE7">
        <w:rPr>
          <w:rFonts w:ascii="Times New Roman" w:hAnsi="Times New Roman"/>
          <w:noProof/>
          <w:sz w:val="24"/>
        </w:rPr>
        <w:t xml:space="preserve"> („kodeks graniczny Schengen”). Zmiana ta dotyczyła art.</w:t>
      </w:r>
      <w:r w:rsidR="00836F72" w:rsidRPr="00AC2DE7">
        <w:rPr>
          <w:rFonts w:ascii="Times New Roman" w:hAnsi="Times New Roman"/>
          <w:noProof/>
          <w:sz w:val="24"/>
        </w:rPr>
        <w:t> </w:t>
      </w:r>
      <w:r w:rsidRPr="00AC2DE7">
        <w:rPr>
          <w:rFonts w:ascii="Times New Roman" w:hAnsi="Times New Roman"/>
          <w:noProof/>
          <w:sz w:val="24"/>
        </w:rPr>
        <w:t>8,</w:t>
      </w:r>
      <w:r w:rsidR="00AC2DE7" w:rsidRPr="00AC2DE7">
        <w:rPr>
          <w:rFonts w:ascii="Times New Roman" w:hAnsi="Times New Roman"/>
          <w:noProof/>
          <w:sz w:val="24"/>
        </w:rPr>
        <w:t xml:space="preserve"> w któ</w:t>
      </w:r>
      <w:r w:rsidRPr="00AC2DE7">
        <w:rPr>
          <w:rFonts w:ascii="Times New Roman" w:hAnsi="Times New Roman"/>
          <w:noProof/>
          <w:sz w:val="24"/>
        </w:rPr>
        <w:t>rym mowa</w:t>
      </w:r>
      <w:r w:rsidR="00AC2DE7" w:rsidRPr="00AC2DE7">
        <w:rPr>
          <w:rFonts w:ascii="Times New Roman" w:hAnsi="Times New Roman"/>
          <w:noProof/>
          <w:sz w:val="24"/>
        </w:rPr>
        <w:t xml:space="preserve"> o odp</w:t>
      </w:r>
      <w:r w:rsidRPr="00AC2DE7">
        <w:rPr>
          <w:rFonts w:ascii="Times New Roman" w:hAnsi="Times New Roman"/>
          <w:noProof/>
          <w:sz w:val="24"/>
        </w:rPr>
        <w:t>rawie granicznej osób,</w:t>
      </w:r>
      <w:r w:rsidR="00AC2DE7" w:rsidRPr="00AC2DE7">
        <w:rPr>
          <w:rFonts w:ascii="Times New Roman" w:hAnsi="Times New Roman"/>
          <w:noProof/>
          <w:sz w:val="24"/>
        </w:rPr>
        <w:t xml:space="preserve"> i pol</w:t>
      </w:r>
      <w:r w:rsidRPr="00AC2DE7">
        <w:rPr>
          <w:rFonts w:ascii="Times New Roman" w:hAnsi="Times New Roman"/>
          <w:noProof/>
          <w:sz w:val="24"/>
        </w:rPr>
        <w:t>egała na wzmocnieniu odprawy wszystkich osób wjeżdżających do strefy Schengen lub wyjeżdżających</w:t>
      </w:r>
      <w:r w:rsidR="00AC2DE7" w:rsidRPr="00AC2DE7">
        <w:rPr>
          <w:rFonts w:ascii="Times New Roman" w:hAnsi="Times New Roman"/>
          <w:noProof/>
          <w:sz w:val="24"/>
        </w:rPr>
        <w:t xml:space="preserve"> z nie</w:t>
      </w:r>
      <w:r w:rsidRPr="00AC2DE7">
        <w:rPr>
          <w:rFonts w:ascii="Times New Roman" w:hAnsi="Times New Roman"/>
          <w:noProof/>
          <w:sz w:val="24"/>
        </w:rPr>
        <w:t xml:space="preserve">j bez kontroli na granicach wewnętrznych („strefa Schengen”). </w:t>
      </w:r>
    </w:p>
    <w:p w14:paraId="3640679B" w14:textId="38B38BDE" w:rsidR="00183FAB" w:rsidRPr="00AC2DE7" w:rsidRDefault="00D03679" w:rsidP="007E23C5">
      <w:pPr>
        <w:spacing w:line="276" w:lineRule="auto"/>
        <w:jc w:val="both"/>
        <w:rPr>
          <w:rFonts w:ascii="Times New Roman" w:hAnsi="Times New Roman" w:cs="Times New Roman"/>
          <w:noProof/>
          <w:sz w:val="24"/>
          <w:szCs w:val="24"/>
        </w:rPr>
      </w:pPr>
      <w:r w:rsidRPr="00AC2DE7">
        <w:rPr>
          <w:rFonts w:ascii="Times New Roman" w:hAnsi="Times New Roman"/>
          <w:noProof/>
          <w:sz w:val="24"/>
        </w:rPr>
        <w:t>Zgodnie</w:t>
      </w:r>
      <w:r w:rsidR="00AC2DE7" w:rsidRPr="00AC2DE7">
        <w:rPr>
          <w:rFonts w:ascii="Times New Roman" w:hAnsi="Times New Roman"/>
          <w:noProof/>
          <w:sz w:val="24"/>
        </w:rPr>
        <w:t xml:space="preserve"> z roz</w:t>
      </w:r>
      <w:r w:rsidRPr="00AC2DE7">
        <w:rPr>
          <w:rFonts w:ascii="Times New Roman" w:hAnsi="Times New Roman"/>
          <w:noProof/>
          <w:sz w:val="24"/>
        </w:rPr>
        <w:t>porządzeniem państwa członkowskie</w:t>
      </w:r>
      <w:r w:rsidR="00AC2DE7" w:rsidRPr="00AC2DE7">
        <w:rPr>
          <w:rFonts w:ascii="Times New Roman" w:hAnsi="Times New Roman"/>
          <w:noProof/>
          <w:sz w:val="24"/>
        </w:rPr>
        <w:t xml:space="preserve"> i pań</w:t>
      </w:r>
      <w:r w:rsidRPr="00AC2DE7">
        <w:rPr>
          <w:rFonts w:ascii="Times New Roman" w:hAnsi="Times New Roman"/>
          <w:noProof/>
          <w:sz w:val="24"/>
        </w:rPr>
        <w:t>stwa stowarzyszone</w:t>
      </w:r>
      <w:r w:rsidR="00AC2DE7" w:rsidRPr="00AC2DE7">
        <w:rPr>
          <w:rFonts w:ascii="Times New Roman" w:hAnsi="Times New Roman"/>
          <w:noProof/>
          <w:sz w:val="24"/>
        </w:rPr>
        <w:t xml:space="preserve"> w ram</w:t>
      </w:r>
      <w:r w:rsidRPr="00AC2DE7">
        <w:rPr>
          <w:rFonts w:ascii="Times New Roman" w:hAnsi="Times New Roman"/>
          <w:noProof/>
          <w:sz w:val="24"/>
        </w:rPr>
        <w:t>ach Schengen („państwa członkowskie”) muszą prowadzić systematyczne odprawy wszystkich osób przekraczających granice zewnętrzne UE</w:t>
      </w:r>
      <w:r w:rsidR="00AC2DE7" w:rsidRPr="00AC2DE7">
        <w:rPr>
          <w:rFonts w:ascii="Times New Roman" w:hAnsi="Times New Roman"/>
          <w:noProof/>
          <w:sz w:val="24"/>
        </w:rPr>
        <w:t xml:space="preserve"> z wyk</w:t>
      </w:r>
      <w:r w:rsidRPr="00AC2DE7">
        <w:rPr>
          <w:rFonts w:ascii="Times New Roman" w:hAnsi="Times New Roman"/>
          <w:noProof/>
          <w:sz w:val="24"/>
        </w:rPr>
        <w:t>orzystaniem odpowiednich baz danych. Obowiązek ten istniał już</w:t>
      </w:r>
      <w:r w:rsidR="00AC2DE7" w:rsidRPr="00AC2DE7">
        <w:rPr>
          <w:rFonts w:ascii="Times New Roman" w:hAnsi="Times New Roman"/>
          <w:noProof/>
          <w:sz w:val="24"/>
        </w:rPr>
        <w:t xml:space="preserve"> w prz</w:t>
      </w:r>
      <w:r w:rsidRPr="00AC2DE7">
        <w:rPr>
          <w:rFonts w:ascii="Times New Roman" w:hAnsi="Times New Roman"/>
          <w:noProof/>
          <w:sz w:val="24"/>
        </w:rPr>
        <w:t>ypadku odpraw obywateli państw trzecich, ale nie osób korzystających</w:t>
      </w:r>
      <w:r w:rsidR="00AC2DE7" w:rsidRPr="00AC2DE7">
        <w:rPr>
          <w:rFonts w:ascii="Times New Roman" w:hAnsi="Times New Roman"/>
          <w:noProof/>
          <w:sz w:val="24"/>
        </w:rPr>
        <w:t xml:space="preserve"> z pra</w:t>
      </w:r>
      <w:r w:rsidRPr="00AC2DE7">
        <w:rPr>
          <w:rFonts w:ascii="Times New Roman" w:hAnsi="Times New Roman"/>
          <w:noProof/>
          <w:sz w:val="24"/>
        </w:rPr>
        <w:t>wa do swobodnego przemieszczania się na mocy prawa Unii. Zgodnie ze zmienionym rozporządzeniem również osoby korzystające</w:t>
      </w:r>
      <w:r w:rsidR="00AC2DE7" w:rsidRPr="00AC2DE7">
        <w:rPr>
          <w:rFonts w:ascii="Times New Roman" w:hAnsi="Times New Roman"/>
          <w:noProof/>
          <w:sz w:val="24"/>
        </w:rPr>
        <w:t xml:space="preserve"> z pra</w:t>
      </w:r>
      <w:r w:rsidRPr="00AC2DE7">
        <w:rPr>
          <w:rFonts w:ascii="Times New Roman" w:hAnsi="Times New Roman"/>
          <w:noProof/>
          <w:sz w:val="24"/>
        </w:rPr>
        <w:t>wa do swobodnego przemieszczania się podlegają: (i) weryfikacji ich tożsamości</w:t>
      </w:r>
      <w:r w:rsidR="00AC2DE7" w:rsidRPr="00AC2DE7">
        <w:rPr>
          <w:rFonts w:ascii="Times New Roman" w:hAnsi="Times New Roman"/>
          <w:noProof/>
          <w:sz w:val="24"/>
        </w:rPr>
        <w:t xml:space="preserve"> i oby</w:t>
      </w:r>
      <w:r w:rsidRPr="00AC2DE7">
        <w:rPr>
          <w:rFonts w:ascii="Times New Roman" w:hAnsi="Times New Roman"/>
          <w:noProof/>
          <w:sz w:val="24"/>
        </w:rPr>
        <w:t>watelstwa oraz autentyczności</w:t>
      </w:r>
      <w:r w:rsidR="00AC2DE7" w:rsidRPr="00AC2DE7">
        <w:rPr>
          <w:rFonts w:ascii="Times New Roman" w:hAnsi="Times New Roman"/>
          <w:noProof/>
          <w:sz w:val="24"/>
        </w:rPr>
        <w:t xml:space="preserve"> i waż</w:t>
      </w:r>
      <w:r w:rsidRPr="00AC2DE7">
        <w:rPr>
          <w:rFonts w:ascii="Times New Roman" w:hAnsi="Times New Roman"/>
          <w:noProof/>
          <w:sz w:val="24"/>
        </w:rPr>
        <w:t>ności ich dokumentów podróży oraz (ii) weryfikacji, czy osoby te nie stanowią zagrożenia dla porządku publicznego, bezpieczeństwa wewnętrznego, zdrowia publicznego lub stosunków międzynarodowych któregokolwiek</w:t>
      </w:r>
      <w:r w:rsidR="00AC2DE7" w:rsidRPr="00AC2DE7">
        <w:rPr>
          <w:rFonts w:ascii="Times New Roman" w:hAnsi="Times New Roman"/>
          <w:noProof/>
          <w:sz w:val="24"/>
        </w:rPr>
        <w:t xml:space="preserve"> z pań</w:t>
      </w:r>
      <w:r w:rsidRPr="00AC2DE7">
        <w:rPr>
          <w:rFonts w:ascii="Times New Roman" w:hAnsi="Times New Roman"/>
          <w:noProof/>
          <w:sz w:val="24"/>
        </w:rPr>
        <w:t>stw członkowskich.</w:t>
      </w:r>
      <w:r w:rsidR="00836F72" w:rsidRPr="00AC2DE7">
        <w:rPr>
          <w:rFonts w:ascii="Times New Roman" w:hAnsi="Times New Roman"/>
          <w:noProof/>
          <w:sz w:val="24"/>
        </w:rPr>
        <w:t xml:space="preserve"> </w:t>
      </w:r>
      <w:r w:rsidRPr="00AC2DE7">
        <w:rPr>
          <w:rFonts w:ascii="Times New Roman" w:hAnsi="Times New Roman"/>
          <w:noProof/>
          <w:sz w:val="24"/>
        </w:rPr>
        <w:t xml:space="preserve">Bazy danych, które należy przeszukać, obejmują System Informacyjny Schengen (SIS), bazę Interpolu zawierającą dane skradzionych lub utraconych dokumentów podróży (SLTD) oraz inne odpowiednie krajowe bazy danych. </w:t>
      </w:r>
    </w:p>
    <w:p w14:paraId="7D70944A" w14:textId="38448B1F" w:rsidR="001B2BFA" w:rsidRPr="00AC2DE7" w:rsidRDefault="00CF1E07"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Zmianę wprowadzono po tym, jak okazało się, że wielu bojowników terrorystycznych było jednocześnie obywatelami Unii, którzy korzystając ze swobody przemieszczania się, podlegali wcześniej jedynie ograniczonej odprawie na granicach zewnętrznych (wizualna kontrola tożsamości nie pozwalała na ich potencjalną identyfikację jako osób stanowiących zagrożenie bezpieczeństwa,</w:t>
      </w:r>
      <w:r w:rsidR="00AC2DE7" w:rsidRPr="00AC2DE7">
        <w:rPr>
          <w:rFonts w:ascii="Times New Roman" w:hAnsi="Times New Roman"/>
          <w:noProof/>
          <w:sz w:val="24"/>
        </w:rPr>
        <w:t xml:space="preserve"> a odp</w:t>
      </w:r>
      <w:r w:rsidRPr="00AC2DE7">
        <w:rPr>
          <w:rFonts w:ascii="Times New Roman" w:hAnsi="Times New Roman"/>
          <w:noProof/>
          <w:sz w:val="24"/>
        </w:rPr>
        <w:t>rawy</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 były prowadzone</w:t>
      </w:r>
      <w:r w:rsidR="00AC2DE7" w:rsidRPr="00AC2DE7">
        <w:rPr>
          <w:rFonts w:ascii="Times New Roman" w:hAnsi="Times New Roman"/>
          <w:noProof/>
          <w:sz w:val="24"/>
        </w:rPr>
        <w:t xml:space="preserve"> w spo</w:t>
      </w:r>
      <w:r w:rsidRPr="00AC2DE7">
        <w:rPr>
          <w:rFonts w:ascii="Times New Roman" w:hAnsi="Times New Roman"/>
          <w:noProof/>
          <w:sz w:val="24"/>
        </w:rPr>
        <w:t xml:space="preserve">sób niesystematyczny). </w:t>
      </w:r>
    </w:p>
    <w:p w14:paraId="70550C6C" w14:textId="688B3CE2" w:rsidR="00192D62" w:rsidRPr="00AC2DE7" w:rsidRDefault="00DF22C9" w:rsidP="00DF22C9">
      <w:pPr>
        <w:spacing w:line="276" w:lineRule="auto"/>
        <w:jc w:val="both"/>
        <w:rPr>
          <w:rFonts w:ascii="Times New Roman" w:hAnsi="Times New Roman" w:cs="Times New Roman"/>
          <w:noProof/>
          <w:sz w:val="24"/>
          <w:szCs w:val="24"/>
        </w:rPr>
      </w:pPr>
      <w:r w:rsidRPr="00AC2DE7">
        <w:rPr>
          <w:rFonts w:ascii="Times New Roman" w:hAnsi="Times New Roman"/>
          <w:noProof/>
          <w:sz w:val="24"/>
        </w:rPr>
        <w:t>Rozporządzenie umożliwia tymczasowe ograniczenie systematycznych odpraw</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 poprzez sprawdzanie odpowiednich baz danych wyłącznie</w:t>
      </w:r>
      <w:r w:rsidR="00AC2DE7" w:rsidRPr="00AC2DE7">
        <w:rPr>
          <w:rFonts w:ascii="Times New Roman" w:hAnsi="Times New Roman"/>
          <w:noProof/>
          <w:sz w:val="24"/>
        </w:rPr>
        <w:t xml:space="preserve"> w spo</w:t>
      </w:r>
      <w:r w:rsidRPr="00AC2DE7">
        <w:rPr>
          <w:rFonts w:ascii="Times New Roman" w:hAnsi="Times New Roman"/>
          <w:noProof/>
          <w:sz w:val="24"/>
        </w:rPr>
        <w:t>sób ukierunkowany, jeżeli systematyczne odprawy „miałyby nieproporcjonalny wpływ na płynność ruchu”</w:t>
      </w:r>
      <w:r w:rsidRPr="00AC2DE7">
        <w:rPr>
          <w:rStyle w:val="FootnoteReference"/>
          <w:rFonts w:ascii="Times New Roman" w:hAnsi="Times New Roman" w:cs="Times New Roman"/>
          <w:noProof/>
          <w:sz w:val="24"/>
          <w:szCs w:val="24"/>
        </w:rPr>
        <w:footnoteReference w:id="4"/>
      </w:r>
      <w:r w:rsidRPr="00AC2DE7">
        <w:rPr>
          <w:rFonts w:ascii="Times New Roman" w:hAnsi="Times New Roman"/>
          <w:noProof/>
          <w:sz w:val="24"/>
        </w:rPr>
        <w:t>. Odstępstwa takie wymagają powiadomienia Komisji</w:t>
      </w:r>
      <w:r w:rsidR="00AC2DE7" w:rsidRPr="00AC2DE7">
        <w:rPr>
          <w:rFonts w:ascii="Times New Roman" w:hAnsi="Times New Roman"/>
          <w:noProof/>
          <w:sz w:val="24"/>
        </w:rPr>
        <w:t xml:space="preserve"> i Eur</w:t>
      </w:r>
      <w:r w:rsidRPr="00AC2DE7">
        <w:rPr>
          <w:rFonts w:ascii="Times New Roman" w:hAnsi="Times New Roman"/>
          <w:noProof/>
          <w:sz w:val="24"/>
        </w:rPr>
        <w:t>opejskiej Agencji Straży Granicznej</w:t>
      </w:r>
      <w:r w:rsidR="00AC2DE7" w:rsidRPr="00AC2DE7">
        <w:rPr>
          <w:rFonts w:ascii="Times New Roman" w:hAnsi="Times New Roman"/>
          <w:noProof/>
          <w:sz w:val="24"/>
        </w:rPr>
        <w:t xml:space="preserve"> i Prz</w:t>
      </w:r>
      <w:r w:rsidRPr="00AC2DE7">
        <w:rPr>
          <w:rFonts w:ascii="Times New Roman" w:hAnsi="Times New Roman"/>
          <w:noProof/>
          <w:sz w:val="24"/>
        </w:rPr>
        <w:t>ybrzeżnej,</w:t>
      </w:r>
      <w:r w:rsidR="00AC2DE7" w:rsidRPr="00AC2DE7">
        <w:rPr>
          <w:rFonts w:ascii="Times New Roman" w:hAnsi="Times New Roman"/>
          <w:noProof/>
          <w:sz w:val="24"/>
        </w:rPr>
        <w:t xml:space="preserve"> a tak</w:t>
      </w:r>
      <w:r w:rsidRPr="00AC2DE7">
        <w:rPr>
          <w:rFonts w:ascii="Times New Roman" w:hAnsi="Times New Roman"/>
          <w:noProof/>
          <w:sz w:val="24"/>
        </w:rPr>
        <w:t>że przedłożenia Agencji oceny ryzyka oraz,</w:t>
      </w:r>
      <w:r w:rsidR="00AC2DE7" w:rsidRPr="00AC2DE7">
        <w:rPr>
          <w:rFonts w:ascii="Times New Roman" w:hAnsi="Times New Roman"/>
          <w:noProof/>
          <w:sz w:val="24"/>
        </w:rPr>
        <w:t xml:space="preserve"> w sto</w:t>
      </w:r>
      <w:r w:rsidRPr="00AC2DE7">
        <w:rPr>
          <w:rFonts w:ascii="Times New Roman" w:hAnsi="Times New Roman"/>
          <w:noProof/>
          <w:sz w:val="24"/>
        </w:rPr>
        <w:t xml:space="preserve">sownych przypadkach, jej kolejnych aktualizacji. </w:t>
      </w:r>
    </w:p>
    <w:p w14:paraId="1BE92C37" w14:textId="72710F17" w:rsidR="00DF22C9" w:rsidRPr="00AC2DE7" w:rsidRDefault="00D03679" w:rsidP="00DF22C9">
      <w:pPr>
        <w:spacing w:line="276" w:lineRule="auto"/>
        <w:jc w:val="both"/>
        <w:rPr>
          <w:rFonts w:ascii="Times New Roman" w:hAnsi="Times New Roman" w:cs="Times New Roman"/>
          <w:noProof/>
          <w:sz w:val="24"/>
          <w:szCs w:val="24"/>
        </w:rPr>
      </w:pPr>
      <w:r w:rsidRPr="00AC2DE7">
        <w:rPr>
          <w:rFonts w:ascii="Times New Roman" w:hAnsi="Times New Roman"/>
          <w:noProof/>
          <w:sz w:val="24"/>
        </w:rPr>
        <w:t>W przypadku lotniczych przejść granicznych możliwość ta obowiązywała jedynie podczas 6-miesięcznego okresu przejściowego po wejściu</w:t>
      </w:r>
      <w:r w:rsidR="00AC2DE7" w:rsidRPr="00AC2DE7">
        <w:rPr>
          <w:rFonts w:ascii="Times New Roman" w:hAnsi="Times New Roman"/>
          <w:noProof/>
          <w:sz w:val="24"/>
        </w:rPr>
        <w:t xml:space="preserve"> w życ</w:t>
      </w:r>
      <w:r w:rsidRPr="00AC2DE7">
        <w:rPr>
          <w:rFonts w:ascii="Times New Roman" w:hAnsi="Times New Roman"/>
          <w:noProof/>
          <w:sz w:val="24"/>
        </w:rPr>
        <w:t>ie rozporządzenia</w:t>
      </w:r>
      <w:r w:rsidR="00AC2DE7" w:rsidRPr="00AC2DE7">
        <w:rPr>
          <w:rFonts w:ascii="Times New Roman" w:hAnsi="Times New Roman"/>
          <w:noProof/>
          <w:sz w:val="24"/>
        </w:rPr>
        <w:t>. W uza</w:t>
      </w:r>
      <w:r w:rsidRPr="00AC2DE7">
        <w:rPr>
          <w:rFonts w:ascii="Times New Roman" w:hAnsi="Times New Roman"/>
          <w:noProof/>
          <w:sz w:val="24"/>
        </w:rPr>
        <w:t>sadnionych przypadkach państwa członkowskie mogą przedłużyć ten okres</w:t>
      </w:r>
      <w:r w:rsidR="00AC2DE7" w:rsidRPr="00AC2DE7">
        <w:rPr>
          <w:rFonts w:ascii="Times New Roman" w:hAnsi="Times New Roman"/>
          <w:noProof/>
          <w:sz w:val="24"/>
        </w:rPr>
        <w:t xml:space="preserve"> o mak</w:t>
      </w:r>
      <w:r w:rsidRPr="00AC2DE7">
        <w:rPr>
          <w:rFonts w:ascii="Times New Roman" w:hAnsi="Times New Roman"/>
          <w:noProof/>
          <w:sz w:val="24"/>
        </w:rPr>
        <w:t>symalnie 18 miesięcy</w:t>
      </w:r>
      <w:r w:rsidR="00DF22C9" w:rsidRPr="00AC2DE7">
        <w:rPr>
          <w:rStyle w:val="FootnoteReference"/>
          <w:rFonts w:ascii="Times New Roman" w:hAnsi="Times New Roman" w:cs="Times New Roman"/>
          <w:noProof/>
          <w:sz w:val="24"/>
          <w:szCs w:val="24"/>
        </w:rPr>
        <w:footnoteReference w:id="5"/>
      </w:r>
      <w:r w:rsidRPr="00AC2DE7">
        <w:rPr>
          <w:rFonts w:ascii="Times New Roman" w:hAnsi="Times New Roman"/>
          <w:noProof/>
          <w:sz w:val="24"/>
        </w:rPr>
        <w:t xml:space="preserve"> (co daje łączny maksymalny okres przejściowy wynoszący 24 miesiące). </w:t>
      </w:r>
    </w:p>
    <w:p w14:paraId="3696B9BE" w14:textId="507FE9FA" w:rsidR="000F0E9B"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Niniejsze sprawozdanie zawiera przegląd realizacji takich systematycznych odpraw osób, którym przysługuje prawo do swobodnego przemieszczania się na mocy prawa Unii, oraz skutków wprowadzenia takich odpraw,</w:t>
      </w:r>
      <w:r w:rsidR="00AC2DE7" w:rsidRPr="00AC2DE7">
        <w:rPr>
          <w:rFonts w:ascii="Times New Roman" w:hAnsi="Times New Roman"/>
          <w:noProof/>
          <w:sz w:val="24"/>
        </w:rPr>
        <w:t xml:space="preserve"> z uwz</w:t>
      </w:r>
      <w:r w:rsidRPr="00AC2DE7">
        <w:rPr>
          <w:rFonts w:ascii="Times New Roman" w:hAnsi="Times New Roman"/>
          <w:noProof/>
          <w:sz w:val="24"/>
        </w:rPr>
        <w:t>ględnieniem wyników systematycznych kontroli bezpieczeństwa</w:t>
      </w:r>
      <w:r w:rsidR="00AC2DE7" w:rsidRPr="00AC2DE7">
        <w:rPr>
          <w:rFonts w:ascii="Times New Roman" w:hAnsi="Times New Roman"/>
          <w:noProof/>
          <w:sz w:val="24"/>
        </w:rPr>
        <w:t xml:space="preserve"> w str</w:t>
      </w:r>
      <w:r w:rsidRPr="00AC2DE7">
        <w:rPr>
          <w:rFonts w:ascii="Times New Roman" w:hAnsi="Times New Roman"/>
          <w:noProof/>
          <w:sz w:val="24"/>
        </w:rPr>
        <w:t>efie Schengen,</w:t>
      </w:r>
      <w:r w:rsidR="00AC2DE7" w:rsidRPr="00AC2DE7">
        <w:rPr>
          <w:rFonts w:ascii="Times New Roman" w:hAnsi="Times New Roman"/>
          <w:noProof/>
          <w:sz w:val="24"/>
        </w:rPr>
        <w:t xml:space="preserve"> w szc</w:t>
      </w:r>
      <w:r w:rsidRPr="00AC2DE7">
        <w:rPr>
          <w:rFonts w:ascii="Times New Roman" w:hAnsi="Times New Roman"/>
          <w:noProof/>
          <w:sz w:val="24"/>
        </w:rPr>
        <w:t>zególności</w:t>
      </w:r>
      <w:r w:rsidR="00AC2DE7" w:rsidRPr="00AC2DE7">
        <w:rPr>
          <w:rFonts w:ascii="Times New Roman" w:hAnsi="Times New Roman"/>
          <w:noProof/>
          <w:sz w:val="24"/>
        </w:rPr>
        <w:t xml:space="preserve"> w odn</w:t>
      </w:r>
      <w:r w:rsidRPr="00AC2DE7">
        <w:rPr>
          <w:rFonts w:ascii="Times New Roman" w:hAnsi="Times New Roman"/>
          <w:noProof/>
          <w:sz w:val="24"/>
        </w:rPr>
        <w:t>iesieniu do bojowników terrorystycznych</w:t>
      </w:r>
      <w:r w:rsidR="00AC2DE7" w:rsidRPr="00AC2DE7">
        <w:rPr>
          <w:rFonts w:ascii="Times New Roman" w:hAnsi="Times New Roman"/>
          <w:noProof/>
          <w:sz w:val="24"/>
        </w:rPr>
        <w:t>. W spr</w:t>
      </w:r>
      <w:r w:rsidRPr="00AC2DE7">
        <w:rPr>
          <w:rFonts w:ascii="Times New Roman" w:hAnsi="Times New Roman"/>
          <w:noProof/>
          <w:sz w:val="24"/>
        </w:rPr>
        <w:t>awozdaniu uwzględniono również ogólne koszty ponoszone przez państwa członkowskie</w:t>
      </w:r>
      <w:r w:rsidR="00AC2DE7" w:rsidRPr="00AC2DE7">
        <w:rPr>
          <w:rFonts w:ascii="Times New Roman" w:hAnsi="Times New Roman"/>
          <w:noProof/>
          <w:sz w:val="24"/>
        </w:rPr>
        <w:t xml:space="preserve"> i pas</w:t>
      </w:r>
      <w:r w:rsidRPr="00AC2DE7">
        <w:rPr>
          <w:rFonts w:ascii="Times New Roman" w:hAnsi="Times New Roman"/>
          <w:noProof/>
          <w:sz w:val="24"/>
        </w:rPr>
        <w:t>ażerów, określono wyzwania</w:t>
      </w:r>
      <w:r w:rsidR="00AC2DE7" w:rsidRPr="00AC2DE7">
        <w:rPr>
          <w:rFonts w:ascii="Times New Roman" w:hAnsi="Times New Roman"/>
          <w:noProof/>
          <w:sz w:val="24"/>
        </w:rPr>
        <w:t xml:space="preserve"> i nie</w:t>
      </w:r>
      <w:r w:rsidRPr="00AC2DE7">
        <w:rPr>
          <w:rFonts w:ascii="Times New Roman" w:hAnsi="Times New Roman"/>
          <w:noProof/>
          <w:sz w:val="24"/>
        </w:rPr>
        <w:t>dociągnięcia związane</w:t>
      </w:r>
      <w:r w:rsidR="00AC2DE7" w:rsidRPr="00AC2DE7">
        <w:rPr>
          <w:rFonts w:ascii="Times New Roman" w:hAnsi="Times New Roman"/>
          <w:noProof/>
          <w:sz w:val="24"/>
        </w:rPr>
        <w:t xml:space="preserve"> z wdr</w:t>
      </w:r>
      <w:r w:rsidRPr="00AC2DE7">
        <w:rPr>
          <w:rFonts w:ascii="Times New Roman" w:hAnsi="Times New Roman"/>
          <w:noProof/>
          <w:sz w:val="24"/>
        </w:rPr>
        <w:t>ażaniem rozporządzenia oraz przeanalizowano wpływ nowo wprowadzonych przepisów.</w:t>
      </w:r>
    </w:p>
    <w:p w14:paraId="62B17E8B" w14:textId="55C312DE" w:rsidR="00E97471" w:rsidRPr="00AC2DE7" w:rsidRDefault="00E97471" w:rsidP="00E97471">
      <w:pPr>
        <w:spacing w:line="276" w:lineRule="auto"/>
        <w:jc w:val="both"/>
        <w:rPr>
          <w:rFonts w:ascii="Times New Roman" w:hAnsi="Times New Roman" w:cs="Times New Roman"/>
          <w:noProof/>
          <w:sz w:val="24"/>
          <w:szCs w:val="24"/>
        </w:rPr>
      </w:pPr>
      <w:r w:rsidRPr="00AC2DE7">
        <w:rPr>
          <w:rFonts w:ascii="Times New Roman" w:hAnsi="Times New Roman"/>
          <w:noProof/>
          <w:sz w:val="24"/>
        </w:rPr>
        <w:t>Sprawozdanie to należało przekazać Parlamentowi</w:t>
      </w:r>
      <w:r w:rsidR="00AC2DE7" w:rsidRPr="00AC2DE7">
        <w:rPr>
          <w:rFonts w:ascii="Times New Roman" w:hAnsi="Times New Roman"/>
          <w:noProof/>
          <w:sz w:val="24"/>
        </w:rPr>
        <w:t xml:space="preserve"> i Rad</w:t>
      </w:r>
      <w:r w:rsidRPr="00AC2DE7">
        <w:rPr>
          <w:rFonts w:ascii="Times New Roman" w:hAnsi="Times New Roman"/>
          <w:noProof/>
          <w:sz w:val="24"/>
        </w:rPr>
        <w:t>zie do</w:t>
      </w:r>
      <w:r w:rsidR="00836F72" w:rsidRPr="00AC2DE7">
        <w:rPr>
          <w:rFonts w:ascii="Times New Roman" w:hAnsi="Times New Roman"/>
          <w:noProof/>
          <w:sz w:val="24"/>
        </w:rPr>
        <w:t> </w:t>
      </w:r>
      <w:r w:rsidRPr="00AC2DE7">
        <w:rPr>
          <w:rFonts w:ascii="Times New Roman" w:hAnsi="Times New Roman"/>
          <w:noProof/>
          <w:sz w:val="24"/>
        </w:rPr>
        <w:t>8 kwietnia 2019</w:t>
      </w:r>
      <w:r w:rsidR="00836F72" w:rsidRPr="00AC2DE7">
        <w:rPr>
          <w:rFonts w:ascii="Times New Roman" w:hAnsi="Times New Roman"/>
          <w:noProof/>
          <w:sz w:val="24"/>
        </w:rPr>
        <w:t> </w:t>
      </w:r>
      <w:r w:rsidRPr="00AC2DE7">
        <w:rPr>
          <w:rFonts w:ascii="Times New Roman" w:hAnsi="Times New Roman"/>
          <w:noProof/>
          <w:sz w:val="24"/>
        </w:rPr>
        <w:t>r.</w:t>
      </w:r>
      <w:r w:rsidRPr="00AC2DE7">
        <w:rPr>
          <w:rStyle w:val="FootnoteReference"/>
          <w:rFonts w:ascii="Times New Roman" w:hAnsi="Times New Roman" w:cs="Times New Roman"/>
          <w:noProof/>
          <w:sz w:val="24"/>
          <w:szCs w:val="24"/>
        </w:rPr>
        <w:footnoteReference w:id="6"/>
      </w:r>
      <w:r w:rsidRPr="00AC2DE7">
        <w:rPr>
          <w:rFonts w:ascii="Times New Roman" w:hAnsi="Times New Roman"/>
          <w:noProof/>
          <w:sz w:val="24"/>
        </w:rPr>
        <w:t xml:space="preserve"> Ponieważ jednak rozporządzenie dawało państwom członkowskim możliwość opóźnienia wprowadzenia takich systematycznych odpraw na swoich granicach powietrznych</w:t>
      </w:r>
      <w:r w:rsidR="00AC2DE7" w:rsidRPr="00AC2DE7">
        <w:rPr>
          <w:rFonts w:ascii="Times New Roman" w:hAnsi="Times New Roman"/>
          <w:noProof/>
          <w:sz w:val="24"/>
        </w:rPr>
        <w:t xml:space="preserve"> o mak</w:t>
      </w:r>
      <w:r w:rsidRPr="00AC2DE7">
        <w:rPr>
          <w:rFonts w:ascii="Times New Roman" w:hAnsi="Times New Roman"/>
          <w:noProof/>
          <w:sz w:val="24"/>
        </w:rPr>
        <w:t>symalnie 24 miesiące (tj. do czasu upływu terminu przekazania sprawozdania)</w:t>
      </w:r>
      <w:r w:rsidRPr="00AC2DE7">
        <w:rPr>
          <w:rStyle w:val="FootnoteReference"/>
          <w:rFonts w:ascii="Times New Roman" w:hAnsi="Times New Roman" w:cs="Times New Roman"/>
          <w:noProof/>
          <w:sz w:val="24"/>
          <w:szCs w:val="24"/>
        </w:rPr>
        <w:footnoteReference w:id="7"/>
      </w:r>
      <w:r w:rsidRPr="00AC2DE7">
        <w:rPr>
          <w:rFonts w:ascii="Times New Roman" w:hAnsi="Times New Roman"/>
          <w:noProof/>
          <w:sz w:val="24"/>
        </w:rPr>
        <w:t>,</w:t>
      </w:r>
      <w:r w:rsidR="00AC2DE7" w:rsidRPr="00AC2DE7">
        <w:rPr>
          <w:rFonts w:ascii="Times New Roman" w:hAnsi="Times New Roman"/>
          <w:noProof/>
          <w:sz w:val="24"/>
        </w:rPr>
        <w:t xml:space="preserve"> a z moż</w:t>
      </w:r>
      <w:r w:rsidRPr="00AC2DE7">
        <w:rPr>
          <w:rFonts w:ascii="Times New Roman" w:hAnsi="Times New Roman"/>
          <w:noProof/>
          <w:sz w:val="24"/>
        </w:rPr>
        <w:t>liwości tej skorzystało 13 państw członkowskich,</w:t>
      </w:r>
      <w:r w:rsidR="00AC2DE7" w:rsidRPr="00AC2DE7">
        <w:rPr>
          <w:rFonts w:ascii="Times New Roman" w:hAnsi="Times New Roman"/>
          <w:noProof/>
          <w:sz w:val="24"/>
        </w:rPr>
        <w:t xml:space="preserve"> w cza</w:t>
      </w:r>
      <w:r w:rsidRPr="00AC2DE7">
        <w:rPr>
          <w:rFonts w:ascii="Times New Roman" w:hAnsi="Times New Roman"/>
          <w:noProof/>
          <w:sz w:val="24"/>
        </w:rPr>
        <w:t>sie upływu terminu przekazania sprawozdania dostępne dane obejmowały okres,</w:t>
      </w:r>
      <w:r w:rsidR="00AC2DE7" w:rsidRPr="00AC2DE7">
        <w:rPr>
          <w:rFonts w:ascii="Times New Roman" w:hAnsi="Times New Roman"/>
          <w:noProof/>
          <w:sz w:val="24"/>
        </w:rPr>
        <w:t xml:space="preserve"> w któ</w:t>
      </w:r>
      <w:r w:rsidRPr="00AC2DE7">
        <w:rPr>
          <w:rFonts w:ascii="Times New Roman" w:hAnsi="Times New Roman"/>
          <w:noProof/>
          <w:sz w:val="24"/>
        </w:rPr>
        <w:t>rym tylko niektóre państwa członkowskie</w:t>
      </w:r>
      <w:r w:rsidR="00AC2DE7" w:rsidRPr="00AC2DE7">
        <w:rPr>
          <w:rFonts w:ascii="Times New Roman" w:hAnsi="Times New Roman"/>
          <w:noProof/>
          <w:sz w:val="24"/>
        </w:rPr>
        <w:t xml:space="preserve"> w peł</w:t>
      </w:r>
      <w:r w:rsidRPr="00AC2DE7">
        <w:rPr>
          <w:rFonts w:ascii="Times New Roman" w:hAnsi="Times New Roman"/>
          <w:noProof/>
          <w:sz w:val="24"/>
        </w:rPr>
        <w:t xml:space="preserve">ni stosowały już rozporządzenie. </w:t>
      </w:r>
    </w:p>
    <w:p w14:paraId="10AEF436" w14:textId="73FECC2B" w:rsidR="007A0728"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Niniejsze sprawozdanie opracowano głównie na podstawie badania przeprowadzonego przez zewnętrznego wykonawcę na zlecenie Komisji Europejskiej</w:t>
      </w:r>
      <w:r w:rsidR="000F0E9B" w:rsidRPr="00AC2DE7">
        <w:rPr>
          <w:rStyle w:val="FootnoteReference"/>
          <w:rFonts w:ascii="Times New Roman" w:hAnsi="Times New Roman" w:cs="Times New Roman"/>
          <w:noProof/>
          <w:sz w:val="24"/>
          <w:szCs w:val="24"/>
        </w:rPr>
        <w:footnoteReference w:id="8"/>
      </w:r>
      <w:r w:rsidRPr="00AC2DE7">
        <w:rPr>
          <w:rFonts w:ascii="Times New Roman" w:hAnsi="Times New Roman"/>
          <w:noProof/>
          <w:sz w:val="24"/>
        </w:rPr>
        <w:t>, obejmującego pierwsze dwa lata stosowania rozporządzenia, tj. od</w:t>
      </w:r>
      <w:r w:rsidR="00836F72" w:rsidRPr="00AC2DE7">
        <w:rPr>
          <w:rFonts w:ascii="Times New Roman" w:hAnsi="Times New Roman"/>
          <w:noProof/>
          <w:sz w:val="24"/>
        </w:rPr>
        <w:t> </w:t>
      </w:r>
      <w:r w:rsidRPr="00AC2DE7">
        <w:rPr>
          <w:rFonts w:ascii="Times New Roman" w:hAnsi="Times New Roman"/>
          <w:noProof/>
          <w:sz w:val="24"/>
        </w:rPr>
        <w:t>7 kwietnia 2017</w:t>
      </w:r>
      <w:r w:rsidR="00836F72" w:rsidRPr="00AC2DE7">
        <w:rPr>
          <w:rFonts w:ascii="Times New Roman" w:hAnsi="Times New Roman"/>
          <w:noProof/>
          <w:sz w:val="24"/>
        </w:rPr>
        <w:t> </w:t>
      </w:r>
      <w:r w:rsidRPr="00AC2DE7">
        <w:rPr>
          <w:rFonts w:ascii="Times New Roman" w:hAnsi="Times New Roman"/>
          <w:noProof/>
          <w:sz w:val="24"/>
        </w:rPr>
        <w:t>r. do</w:t>
      </w:r>
      <w:r w:rsidR="00836F72" w:rsidRPr="00AC2DE7">
        <w:rPr>
          <w:rFonts w:ascii="Times New Roman" w:hAnsi="Times New Roman"/>
          <w:noProof/>
          <w:sz w:val="24"/>
        </w:rPr>
        <w:t> </w:t>
      </w:r>
      <w:r w:rsidRPr="00AC2DE7">
        <w:rPr>
          <w:rFonts w:ascii="Times New Roman" w:hAnsi="Times New Roman"/>
          <w:noProof/>
          <w:sz w:val="24"/>
        </w:rPr>
        <w:t>7 kwietnia 2019</w:t>
      </w:r>
      <w:r w:rsidR="00836F72" w:rsidRPr="00AC2DE7">
        <w:rPr>
          <w:rFonts w:ascii="Times New Roman" w:hAnsi="Times New Roman"/>
          <w:noProof/>
          <w:sz w:val="24"/>
        </w:rPr>
        <w:t> </w:t>
      </w:r>
      <w:r w:rsidRPr="00AC2DE7">
        <w:rPr>
          <w:rFonts w:ascii="Times New Roman" w:hAnsi="Times New Roman"/>
          <w:noProof/>
          <w:sz w:val="24"/>
        </w:rPr>
        <w:t>r. Ze względu na znaczne braki</w:t>
      </w:r>
      <w:r w:rsidR="00AC2DE7" w:rsidRPr="00AC2DE7">
        <w:rPr>
          <w:rFonts w:ascii="Times New Roman" w:hAnsi="Times New Roman"/>
          <w:noProof/>
          <w:sz w:val="24"/>
        </w:rPr>
        <w:t xml:space="preserve"> w dan</w:t>
      </w:r>
      <w:r w:rsidRPr="00AC2DE7">
        <w:rPr>
          <w:rFonts w:ascii="Times New Roman" w:hAnsi="Times New Roman"/>
          <w:noProof/>
          <w:sz w:val="24"/>
        </w:rPr>
        <w:t>ych dostępnych lub dostarczonych wykonawcy przez państwa członkowskie dane liczbowe dostępne</w:t>
      </w:r>
      <w:r w:rsidR="00AC2DE7" w:rsidRPr="00AC2DE7">
        <w:rPr>
          <w:rFonts w:ascii="Times New Roman" w:hAnsi="Times New Roman"/>
          <w:noProof/>
          <w:sz w:val="24"/>
        </w:rPr>
        <w:t xml:space="preserve"> w ram</w:t>
      </w:r>
      <w:r w:rsidRPr="00AC2DE7">
        <w:rPr>
          <w:rFonts w:ascii="Times New Roman" w:hAnsi="Times New Roman"/>
          <w:noProof/>
          <w:sz w:val="24"/>
        </w:rPr>
        <w:t>ach badania opierają się częściowo na szacunkach</w:t>
      </w:r>
      <w:r w:rsidR="00AC2DE7" w:rsidRPr="00AC2DE7">
        <w:rPr>
          <w:rFonts w:ascii="Times New Roman" w:hAnsi="Times New Roman"/>
          <w:noProof/>
          <w:sz w:val="24"/>
        </w:rPr>
        <w:t xml:space="preserve"> i nal</w:t>
      </w:r>
      <w:r w:rsidRPr="00AC2DE7">
        <w:rPr>
          <w:rFonts w:ascii="Times New Roman" w:hAnsi="Times New Roman"/>
          <w:noProof/>
          <w:sz w:val="24"/>
        </w:rPr>
        <w:t>eży je interpretować jako wskazujące ogólne tendencje. Przy sporządzaniu niniejszego sprawozdania Komisja korzystała nie tylko</w:t>
      </w:r>
      <w:r w:rsidR="00AC2DE7" w:rsidRPr="00AC2DE7">
        <w:rPr>
          <w:rFonts w:ascii="Times New Roman" w:hAnsi="Times New Roman"/>
          <w:noProof/>
          <w:sz w:val="24"/>
        </w:rPr>
        <w:t xml:space="preserve"> z teg</w:t>
      </w:r>
      <w:r w:rsidRPr="00AC2DE7">
        <w:rPr>
          <w:rFonts w:ascii="Times New Roman" w:hAnsi="Times New Roman"/>
          <w:noProof/>
          <w:sz w:val="24"/>
        </w:rPr>
        <w:t>o badania, ale także</w:t>
      </w:r>
      <w:r w:rsidR="00AC2DE7" w:rsidRPr="00AC2DE7">
        <w:rPr>
          <w:rFonts w:ascii="Times New Roman" w:hAnsi="Times New Roman"/>
          <w:noProof/>
          <w:sz w:val="24"/>
        </w:rPr>
        <w:t xml:space="preserve"> z inn</w:t>
      </w:r>
      <w:r w:rsidRPr="00AC2DE7">
        <w:rPr>
          <w:rFonts w:ascii="Times New Roman" w:hAnsi="Times New Roman"/>
          <w:noProof/>
          <w:sz w:val="24"/>
        </w:rPr>
        <w:t>ych źródeł obejmujących dłuższy okres czasu. Obejmują one pierwszy wieloletni program ocen (2015–2019) funkcjonowania mechanizmu oceny</w:t>
      </w:r>
      <w:r w:rsidR="00AC2DE7" w:rsidRPr="00AC2DE7">
        <w:rPr>
          <w:rFonts w:ascii="Times New Roman" w:hAnsi="Times New Roman"/>
          <w:noProof/>
          <w:sz w:val="24"/>
        </w:rPr>
        <w:t xml:space="preserve"> i mon</w:t>
      </w:r>
      <w:r w:rsidRPr="00AC2DE7">
        <w:rPr>
          <w:rFonts w:ascii="Times New Roman" w:hAnsi="Times New Roman"/>
          <w:noProof/>
          <w:sz w:val="24"/>
        </w:rPr>
        <w:t>itorowania Schengen</w:t>
      </w:r>
      <w:r w:rsidR="00431EB6" w:rsidRPr="00AC2DE7">
        <w:rPr>
          <w:rStyle w:val="FootnoteReference"/>
          <w:rFonts w:ascii="Times New Roman" w:hAnsi="Times New Roman" w:cs="Times New Roman"/>
          <w:noProof/>
          <w:sz w:val="24"/>
          <w:szCs w:val="24"/>
        </w:rPr>
        <w:footnoteReference w:id="9"/>
      </w:r>
      <w:r w:rsidRPr="00AC2DE7">
        <w:rPr>
          <w:rFonts w:ascii="Times New Roman" w:hAnsi="Times New Roman"/>
          <w:noProof/>
          <w:sz w:val="24"/>
        </w:rPr>
        <w:t xml:space="preserve"> oraz sprawozdania krajowe przedłożone Komisji przez państwa członkowskie, które zastosowały odstępstwa. </w:t>
      </w:r>
    </w:p>
    <w:p w14:paraId="1786091F" w14:textId="73CE5084" w:rsidR="00E335CB" w:rsidRPr="00AC2DE7" w:rsidRDefault="002D2CA7" w:rsidP="0019048B">
      <w:pPr>
        <w:spacing w:line="276" w:lineRule="auto"/>
        <w:jc w:val="both"/>
        <w:rPr>
          <w:rFonts w:ascii="Times New Roman" w:hAnsi="Times New Roman" w:cs="Times New Roman"/>
          <w:noProof/>
          <w:sz w:val="24"/>
          <w:szCs w:val="24"/>
        </w:rPr>
      </w:pPr>
      <w:r w:rsidRPr="00AC2DE7">
        <w:rPr>
          <w:rFonts w:ascii="Times New Roman" w:hAnsi="Times New Roman"/>
          <w:noProof/>
          <w:sz w:val="24"/>
        </w:rPr>
        <w:t>Ponadto, jak wynika</w:t>
      </w:r>
      <w:r w:rsidR="00AC2DE7" w:rsidRPr="00AC2DE7">
        <w:rPr>
          <w:rFonts w:ascii="Times New Roman" w:hAnsi="Times New Roman"/>
          <w:noProof/>
          <w:sz w:val="24"/>
        </w:rPr>
        <w:t xml:space="preserve"> z reg</w:t>
      </w:r>
      <w:r w:rsidRPr="00AC2DE7">
        <w:rPr>
          <w:rFonts w:ascii="Times New Roman" w:hAnsi="Times New Roman"/>
          <w:noProof/>
          <w:sz w:val="24"/>
        </w:rPr>
        <w:t>ularnych ocen Komisji</w:t>
      </w:r>
      <w:r w:rsidR="00AC2DE7" w:rsidRPr="00AC2DE7">
        <w:rPr>
          <w:rFonts w:ascii="Times New Roman" w:hAnsi="Times New Roman"/>
          <w:noProof/>
          <w:sz w:val="24"/>
        </w:rPr>
        <w:t xml:space="preserve"> i dan</w:t>
      </w:r>
      <w:r w:rsidRPr="00AC2DE7">
        <w:rPr>
          <w:rFonts w:ascii="Times New Roman" w:hAnsi="Times New Roman"/>
          <w:noProof/>
          <w:sz w:val="24"/>
        </w:rPr>
        <w:t>ych dostarczonych przez Frontex,</w:t>
      </w:r>
      <w:r w:rsidR="00AC2DE7" w:rsidRPr="00AC2DE7">
        <w:rPr>
          <w:rFonts w:ascii="Times New Roman" w:hAnsi="Times New Roman"/>
          <w:noProof/>
          <w:sz w:val="24"/>
        </w:rPr>
        <w:t xml:space="preserve"> w 2</w:t>
      </w:r>
      <w:r w:rsidRPr="00AC2DE7">
        <w:rPr>
          <w:rFonts w:ascii="Times New Roman" w:hAnsi="Times New Roman"/>
          <w:noProof/>
          <w:sz w:val="24"/>
        </w:rPr>
        <w:t>020</w:t>
      </w:r>
      <w:r w:rsidR="00AC2DE7" w:rsidRPr="00AC2DE7">
        <w:rPr>
          <w:rFonts w:ascii="Times New Roman" w:hAnsi="Times New Roman"/>
          <w:noProof/>
          <w:sz w:val="24"/>
        </w:rPr>
        <w:t xml:space="preserve"> i 2</w:t>
      </w:r>
      <w:r w:rsidRPr="00AC2DE7">
        <w:rPr>
          <w:rFonts w:ascii="Times New Roman" w:hAnsi="Times New Roman"/>
          <w:noProof/>
          <w:sz w:val="24"/>
        </w:rPr>
        <w:t>021</w:t>
      </w:r>
      <w:r w:rsidR="00836F72" w:rsidRPr="00AC2DE7">
        <w:rPr>
          <w:rFonts w:ascii="Times New Roman" w:hAnsi="Times New Roman"/>
          <w:noProof/>
          <w:sz w:val="24"/>
        </w:rPr>
        <w:t> </w:t>
      </w:r>
      <w:r w:rsidRPr="00AC2DE7">
        <w:rPr>
          <w:rFonts w:ascii="Times New Roman" w:hAnsi="Times New Roman"/>
          <w:noProof/>
          <w:sz w:val="24"/>
        </w:rPr>
        <w:t>r. nastąpił drastyczny spadek liczby podróży transgranicznych</w:t>
      </w:r>
      <w:r w:rsidR="00AC2DE7" w:rsidRPr="00AC2DE7">
        <w:rPr>
          <w:rFonts w:ascii="Times New Roman" w:hAnsi="Times New Roman"/>
          <w:noProof/>
          <w:sz w:val="24"/>
        </w:rPr>
        <w:t xml:space="preserve"> z pow</w:t>
      </w:r>
      <w:r w:rsidRPr="00AC2DE7">
        <w:rPr>
          <w:rFonts w:ascii="Times New Roman" w:hAnsi="Times New Roman"/>
          <w:noProof/>
          <w:sz w:val="24"/>
        </w:rPr>
        <w:t>odu pandemii COVID-19 (odpowiednio</w:t>
      </w:r>
      <w:r w:rsidR="00AC2DE7" w:rsidRPr="00AC2DE7">
        <w:rPr>
          <w:rFonts w:ascii="Times New Roman" w:hAnsi="Times New Roman"/>
          <w:noProof/>
          <w:sz w:val="24"/>
        </w:rPr>
        <w:t xml:space="preserve"> o oko</w:t>
      </w:r>
      <w:r w:rsidRPr="00AC2DE7">
        <w:rPr>
          <w:rFonts w:ascii="Times New Roman" w:hAnsi="Times New Roman"/>
          <w:noProof/>
          <w:sz w:val="24"/>
        </w:rPr>
        <w:t>ło -69</w:t>
      </w:r>
      <w:r w:rsidR="00836F72" w:rsidRPr="00AC2DE7">
        <w:rPr>
          <w:rFonts w:ascii="Times New Roman" w:hAnsi="Times New Roman"/>
          <w:noProof/>
          <w:sz w:val="24"/>
        </w:rPr>
        <w:t> </w:t>
      </w:r>
      <w:r w:rsidRPr="00AC2DE7">
        <w:rPr>
          <w:rFonts w:ascii="Times New Roman" w:hAnsi="Times New Roman"/>
          <w:noProof/>
          <w:sz w:val="24"/>
        </w:rPr>
        <w:t>% i -67</w:t>
      </w:r>
      <w:r w:rsidR="00836F72" w:rsidRPr="00AC2DE7">
        <w:rPr>
          <w:rFonts w:ascii="Times New Roman" w:hAnsi="Times New Roman"/>
          <w:noProof/>
          <w:sz w:val="24"/>
        </w:rPr>
        <w:t> </w:t>
      </w:r>
      <w:r w:rsidRPr="00AC2DE7">
        <w:rPr>
          <w:rFonts w:ascii="Times New Roman" w:hAnsi="Times New Roman"/>
          <w:noProof/>
          <w:sz w:val="24"/>
        </w:rPr>
        <w:t>%</w:t>
      </w:r>
      <w:r w:rsidR="00AC2DE7" w:rsidRPr="00AC2DE7">
        <w:rPr>
          <w:rFonts w:ascii="Times New Roman" w:hAnsi="Times New Roman"/>
          <w:noProof/>
          <w:sz w:val="24"/>
        </w:rPr>
        <w:t xml:space="preserve"> w por</w:t>
      </w:r>
      <w:r w:rsidRPr="00AC2DE7">
        <w:rPr>
          <w:rFonts w:ascii="Times New Roman" w:hAnsi="Times New Roman"/>
          <w:noProof/>
          <w:sz w:val="24"/>
        </w:rPr>
        <w:t>ównaniu</w:t>
      </w:r>
      <w:r w:rsidR="00AC2DE7" w:rsidRPr="00AC2DE7">
        <w:rPr>
          <w:rFonts w:ascii="Times New Roman" w:hAnsi="Times New Roman"/>
          <w:noProof/>
          <w:sz w:val="24"/>
        </w:rPr>
        <w:t xml:space="preserve"> z 2</w:t>
      </w:r>
      <w:r w:rsidRPr="00AC2DE7">
        <w:rPr>
          <w:rFonts w:ascii="Times New Roman" w:hAnsi="Times New Roman"/>
          <w:noProof/>
          <w:sz w:val="24"/>
        </w:rPr>
        <w:t>019</w:t>
      </w:r>
      <w:r w:rsidR="00836F72" w:rsidRPr="00AC2DE7">
        <w:rPr>
          <w:rFonts w:ascii="Times New Roman" w:hAnsi="Times New Roman"/>
          <w:noProof/>
          <w:sz w:val="24"/>
        </w:rPr>
        <w:t> </w:t>
      </w:r>
      <w:r w:rsidRPr="00AC2DE7">
        <w:rPr>
          <w:rFonts w:ascii="Times New Roman" w:hAnsi="Times New Roman"/>
          <w:noProof/>
          <w:sz w:val="24"/>
        </w:rPr>
        <w:t>r.). Mniejszy przepływ pasażerów</w:t>
      </w:r>
      <w:r w:rsidR="00AC2DE7" w:rsidRPr="00AC2DE7">
        <w:rPr>
          <w:rFonts w:ascii="Times New Roman" w:hAnsi="Times New Roman"/>
          <w:noProof/>
          <w:sz w:val="24"/>
        </w:rPr>
        <w:t xml:space="preserve"> i zao</w:t>
      </w:r>
      <w:r w:rsidRPr="00AC2DE7">
        <w:rPr>
          <w:rFonts w:ascii="Times New Roman" w:hAnsi="Times New Roman"/>
          <w:noProof/>
          <w:sz w:val="24"/>
        </w:rPr>
        <w:t>strzone odprawy mające na celu ograniczenie rozprzestrzeniania się wirusa sprawiły, że państwa członkowskie odczuwały mniejszą potrzebę odstępstw od systematycznych odpraw</w:t>
      </w:r>
      <w:r w:rsidR="00AC2DE7" w:rsidRPr="00AC2DE7">
        <w:rPr>
          <w:rFonts w:ascii="Times New Roman" w:hAnsi="Times New Roman"/>
          <w:noProof/>
          <w:sz w:val="24"/>
        </w:rPr>
        <w:t>. W zwi</w:t>
      </w:r>
      <w:r w:rsidRPr="00AC2DE7">
        <w:rPr>
          <w:rFonts w:ascii="Times New Roman" w:hAnsi="Times New Roman"/>
          <w:noProof/>
          <w:sz w:val="24"/>
        </w:rPr>
        <w:t>ązku</w:t>
      </w:r>
      <w:r w:rsidR="00AC2DE7" w:rsidRPr="00AC2DE7">
        <w:rPr>
          <w:rFonts w:ascii="Times New Roman" w:hAnsi="Times New Roman"/>
          <w:noProof/>
          <w:sz w:val="24"/>
        </w:rPr>
        <w:t xml:space="preserve"> z tym</w:t>
      </w:r>
      <w:r w:rsidRPr="00AC2DE7">
        <w:rPr>
          <w:rFonts w:ascii="Times New Roman" w:hAnsi="Times New Roman"/>
          <w:noProof/>
          <w:sz w:val="24"/>
        </w:rPr>
        <w:t xml:space="preserve"> żadne państwo członkowskie nie powiadomiło Komisji</w:t>
      </w:r>
      <w:r w:rsidR="00AC2DE7" w:rsidRPr="00AC2DE7">
        <w:rPr>
          <w:rFonts w:ascii="Times New Roman" w:hAnsi="Times New Roman"/>
          <w:noProof/>
          <w:sz w:val="24"/>
        </w:rPr>
        <w:t xml:space="preserve"> o zam</w:t>
      </w:r>
      <w:r w:rsidRPr="00AC2DE7">
        <w:rPr>
          <w:rFonts w:ascii="Times New Roman" w:hAnsi="Times New Roman"/>
          <w:noProof/>
          <w:sz w:val="24"/>
        </w:rPr>
        <w:t>iarze skorzystania</w:t>
      </w:r>
      <w:r w:rsidR="00AC2DE7" w:rsidRPr="00AC2DE7">
        <w:rPr>
          <w:rFonts w:ascii="Times New Roman" w:hAnsi="Times New Roman"/>
          <w:noProof/>
          <w:sz w:val="24"/>
        </w:rPr>
        <w:t xml:space="preserve"> z ods</w:t>
      </w:r>
      <w:r w:rsidRPr="00AC2DE7">
        <w:rPr>
          <w:rFonts w:ascii="Times New Roman" w:hAnsi="Times New Roman"/>
          <w:noProof/>
          <w:sz w:val="24"/>
        </w:rPr>
        <w:t>tępstw</w:t>
      </w:r>
      <w:r w:rsidR="00AC2DE7" w:rsidRPr="00AC2DE7">
        <w:rPr>
          <w:rFonts w:ascii="Times New Roman" w:hAnsi="Times New Roman"/>
          <w:noProof/>
          <w:sz w:val="24"/>
        </w:rPr>
        <w:t xml:space="preserve"> w tym</w:t>
      </w:r>
      <w:r w:rsidRPr="00AC2DE7">
        <w:rPr>
          <w:rFonts w:ascii="Times New Roman" w:hAnsi="Times New Roman"/>
          <w:noProof/>
          <w:sz w:val="24"/>
        </w:rPr>
        <w:t xml:space="preserve"> okresie. </w:t>
      </w:r>
    </w:p>
    <w:p w14:paraId="1DBFFE99" w14:textId="10997B7D" w:rsidR="007708EC" w:rsidRPr="00AC2DE7" w:rsidRDefault="005B565E"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Dzięki kampaniom szczepień</w:t>
      </w:r>
      <w:r w:rsidR="00AC2DE7" w:rsidRPr="00AC2DE7">
        <w:rPr>
          <w:rFonts w:ascii="Times New Roman" w:hAnsi="Times New Roman"/>
          <w:noProof/>
          <w:sz w:val="24"/>
        </w:rPr>
        <w:t xml:space="preserve"> i pom</w:t>
      </w:r>
      <w:r w:rsidRPr="00AC2DE7">
        <w:rPr>
          <w:rFonts w:ascii="Times New Roman" w:hAnsi="Times New Roman"/>
          <w:noProof/>
          <w:sz w:val="24"/>
        </w:rPr>
        <w:t>yślnemu przyjęciu unijnego cyfrowego zaświadczenia COVID</w:t>
      </w:r>
      <w:r w:rsidR="00247FD2" w:rsidRPr="00AC2DE7">
        <w:rPr>
          <w:rStyle w:val="FootnoteReference"/>
          <w:rFonts w:ascii="Times New Roman" w:hAnsi="Times New Roman" w:cs="Times New Roman"/>
          <w:noProof/>
          <w:sz w:val="24"/>
          <w:szCs w:val="24"/>
        </w:rPr>
        <w:footnoteReference w:id="10"/>
      </w:r>
      <w:r w:rsidRPr="00AC2DE7">
        <w:rPr>
          <w:rFonts w:ascii="Times New Roman" w:hAnsi="Times New Roman"/>
          <w:noProof/>
          <w:sz w:val="24"/>
        </w:rPr>
        <w:t xml:space="preserve"> transgraniczny przepływ pasażerów stopniowo wzrasta od początku drugiego półrocza 2021 roku. Unijne cyfrowe zaświadczenie COVID odegrało kluczową rolę</w:t>
      </w:r>
      <w:r w:rsidR="00AC2DE7" w:rsidRPr="00AC2DE7">
        <w:rPr>
          <w:rFonts w:ascii="Times New Roman" w:hAnsi="Times New Roman"/>
          <w:noProof/>
          <w:sz w:val="24"/>
        </w:rPr>
        <w:t xml:space="preserve"> w uła</w:t>
      </w:r>
      <w:r w:rsidRPr="00AC2DE7">
        <w:rPr>
          <w:rFonts w:ascii="Times New Roman" w:hAnsi="Times New Roman"/>
          <w:noProof/>
          <w:sz w:val="24"/>
        </w:rPr>
        <w:t>twieniu podróżowania</w:t>
      </w:r>
      <w:r w:rsidR="00AC2DE7" w:rsidRPr="00AC2DE7">
        <w:rPr>
          <w:rFonts w:ascii="Times New Roman" w:hAnsi="Times New Roman"/>
          <w:noProof/>
          <w:sz w:val="24"/>
        </w:rPr>
        <w:t xml:space="preserve"> w obr</w:t>
      </w:r>
      <w:r w:rsidRPr="00AC2DE7">
        <w:rPr>
          <w:rFonts w:ascii="Times New Roman" w:hAnsi="Times New Roman"/>
          <w:noProof/>
          <w:sz w:val="24"/>
        </w:rPr>
        <w:t>ębie UE,</w:t>
      </w:r>
      <w:r w:rsidR="00AC2DE7" w:rsidRPr="00AC2DE7">
        <w:rPr>
          <w:rFonts w:ascii="Times New Roman" w:hAnsi="Times New Roman"/>
          <w:noProof/>
          <w:sz w:val="24"/>
        </w:rPr>
        <w:t xml:space="preserve"> a tak</w:t>
      </w:r>
      <w:r w:rsidRPr="00AC2DE7">
        <w:rPr>
          <w:rFonts w:ascii="Times New Roman" w:hAnsi="Times New Roman"/>
          <w:noProof/>
          <w:sz w:val="24"/>
        </w:rPr>
        <w:t>że miało kluczowe znaczenie dla ożywienia</w:t>
      </w:r>
      <w:r w:rsidR="00AC2DE7" w:rsidRPr="00AC2DE7">
        <w:rPr>
          <w:rFonts w:ascii="Times New Roman" w:hAnsi="Times New Roman"/>
          <w:noProof/>
          <w:sz w:val="24"/>
        </w:rPr>
        <w:t xml:space="preserve"> w obs</w:t>
      </w:r>
      <w:r w:rsidRPr="00AC2DE7">
        <w:rPr>
          <w:rFonts w:ascii="Times New Roman" w:hAnsi="Times New Roman"/>
          <w:noProof/>
          <w:sz w:val="24"/>
        </w:rPr>
        <w:t>zarze podróżowania z UE i do UE, mimo że</w:t>
      </w:r>
      <w:r w:rsidR="00AC2DE7" w:rsidRPr="00AC2DE7">
        <w:rPr>
          <w:rFonts w:ascii="Times New Roman" w:hAnsi="Times New Roman"/>
          <w:noProof/>
          <w:sz w:val="24"/>
        </w:rPr>
        <w:t xml:space="preserve"> z pra</w:t>
      </w:r>
      <w:r w:rsidRPr="00AC2DE7">
        <w:rPr>
          <w:rFonts w:ascii="Times New Roman" w:hAnsi="Times New Roman"/>
          <w:noProof/>
          <w:sz w:val="24"/>
        </w:rPr>
        <w:t>wnego punktu widzenia reguluje ono tylko przyjazdy do UE. Oczekuje się, że ta tendencja wzrostowa będzie się utrzymywać,</w:t>
      </w:r>
      <w:r w:rsidR="00AC2DE7" w:rsidRPr="00AC2DE7">
        <w:rPr>
          <w:rFonts w:ascii="Times New Roman" w:hAnsi="Times New Roman"/>
          <w:noProof/>
          <w:sz w:val="24"/>
        </w:rPr>
        <w:t xml:space="preserve"> a now</w:t>
      </w:r>
      <w:r w:rsidRPr="00AC2DE7">
        <w:rPr>
          <w:rFonts w:ascii="Times New Roman" w:hAnsi="Times New Roman"/>
          <w:noProof/>
          <w:sz w:val="24"/>
        </w:rPr>
        <w:t>y szczyt powinien zostać osiągnięty</w:t>
      </w:r>
      <w:r w:rsidR="00AC2DE7" w:rsidRPr="00AC2DE7">
        <w:rPr>
          <w:rFonts w:ascii="Times New Roman" w:hAnsi="Times New Roman"/>
          <w:noProof/>
          <w:sz w:val="24"/>
        </w:rPr>
        <w:t xml:space="preserve"> w sez</w:t>
      </w:r>
      <w:r w:rsidRPr="00AC2DE7">
        <w:rPr>
          <w:rFonts w:ascii="Times New Roman" w:hAnsi="Times New Roman"/>
          <w:noProof/>
          <w:sz w:val="24"/>
        </w:rPr>
        <w:t xml:space="preserve">onie wakacyjnym 2022. </w:t>
      </w:r>
    </w:p>
    <w:p w14:paraId="0E585BEE" w14:textId="0F7DB9A8" w:rsidR="001B2BFA" w:rsidRPr="00AC2DE7" w:rsidRDefault="00B60BBC"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W związku</w:t>
      </w:r>
      <w:r w:rsidR="00AC2DE7" w:rsidRPr="00AC2DE7">
        <w:rPr>
          <w:rFonts w:ascii="Times New Roman" w:hAnsi="Times New Roman"/>
          <w:noProof/>
          <w:sz w:val="24"/>
        </w:rPr>
        <w:t xml:space="preserve"> z pow</w:t>
      </w:r>
      <w:r w:rsidRPr="00AC2DE7">
        <w:rPr>
          <w:rFonts w:ascii="Times New Roman" w:hAnsi="Times New Roman"/>
          <w:noProof/>
          <w:sz w:val="24"/>
        </w:rPr>
        <w:t>yższym</w:t>
      </w:r>
      <w:r w:rsidR="00AC2DE7" w:rsidRPr="00AC2DE7">
        <w:rPr>
          <w:rFonts w:ascii="Times New Roman" w:hAnsi="Times New Roman"/>
          <w:noProof/>
          <w:sz w:val="24"/>
        </w:rPr>
        <w:t xml:space="preserve"> w nin</w:t>
      </w:r>
      <w:r w:rsidRPr="00AC2DE7">
        <w:rPr>
          <w:rFonts w:ascii="Times New Roman" w:hAnsi="Times New Roman"/>
          <w:noProof/>
          <w:sz w:val="24"/>
        </w:rPr>
        <w:t>iejszym sprawozdaniu podsumowano sytuację, wyciągnięto niezbędne wnioski</w:t>
      </w:r>
      <w:r w:rsidR="00AC2DE7" w:rsidRPr="00AC2DE7">
        <w:rPr>
          <w:rFonts w:ascii="Times New Roman" w:hAnsi="Times New Roman"/>
          <w:noProof/>
          <w:sz w:val="24"/>
        </w:rPr>
        <w:t xml:space="preserve"> i zal</w:t>
      </w:r>
      <w:r w:rsidRPr="00AC2DE7">
        <w:rPr>
          <w:rFonts w:ascii="Times New Roman" w:hAnsi="Times New Roman"/>
          <w:noProof/>
          <w:sz w:val="24"/>
        </w:rPr>
        <w:t>econo podjęcie odpowiednich działań</w:t>
      </w:r>
      <w:r w:rsidR="00AC2DE7" w:rsidRPr="00AC2DE7">
        <w:rPr>
          <w:rFonts w:ascii="Times New Roman" w:hAnsi="Times New Roman"/>
          <w:noProof/>
          <w:sz w:val="24"/>
        </w:rPr>
        <w:t xml:space="preserve"> w odn</w:t>
      </w:r>
      <w:r w:rsidRPr="00AC2DE7">
        <w:rPr>
          <w:rFonts w:ascii="Times New Roman" w:hAnsi="Times New Roman"/>
          <w:noProof/>
          <w:sz w:val="24"/>
        </w:rPr>
        <w:t>iesieniu do stosowania art.</w:t>
      </w:r>
      <w:r w:rsidR="00836F72" w:rsidRPr="00AC2DE7">
        <w:rPr>
          <w:rFonts w:ascii="Times New Roman" w:hAnsi="Times New Roman"/>
          <w:noProof/>
          <w:sz w:val="24"/>
        </w:rPr>
        <w:t> </w:t>
      </w:r>
      <w:r w:rsidRPr="00AC2DE7">
        <w:rPr>
          <w:rFonts w:ascii="Times New Roman" w:hAnsi="Times New Roman"/>
          <w:noProof/>
          <w:sz w:val="24"/>
        </w:rPr>
        <w:t>8 kodeksu granicznego Schengen.</w:t>
      </w:r>
    </w:p>
    <w:p w14:paraId="238626AD" w14:textId="77777777" w:rsidR="00E209CE" w:rsidRPr="00AC2DE7" w:rsidRDefault="00E209CE" w:rsidP="002B4286">
      <w:pPr>
        <w:spacing w:line="276" w:lineRule="auto"/>
        <w:jc w:val="both"/>
        <w:rPr>
          <w:rFonts w:ascii="Times New Roman" w:hAnsi="Times New Roman" w:cs="Times New Roman"/>
          <w:b/>
          <w:noProof/>
          <w:sz w:val="24"/>
          <w:szCs w:val="24"/>
        </w:rPr>
      </w:pPr>
    </w:p>
    <w:p w14:paraId="297B8E46" w14:textId="0175730A" w:rsidR="001B2BFA" w:rsidRPr="00AC2DE7" w:rsidRDefault="00791AA0"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II. Wdrożenie art.</w:t>
      </w:r>
      <w:r w:rsidR="00836F72" w:rsidRPr="00AC2DE7">
        <w:rPr>
          <w:rFonts w:ascii="Times New Roman" w:hAnsi="Times New Roman"/>
          <w:b/>
          <w:noProof/>
          <w:sz w:val="24"/>
        </w:rPr>
        <w:t> </w:t>
      </w:r>
      <w:r w:rsidRPr="00AC2DE7">
        <w:rPr>
          <w:rFonts w:ascii="Times New Roman" w:hAnsi="Times New Roman"/>
          <w:b/>
          <w:noProof/>
          <w:sz w:val="24"/>
        </w:rPr>
        <w:t>8 ust.</w:t>
      </w:r>
      <w:r w:rsidR="00836F72" w:rsidRPr="00AC2DE7">
        <w:rPr>
          <w:rFonts w:ascii="Times New Roman" w:hAnsi="Times New Roman"/>
          <w:b/>
          <w:noProof/>
          <w:sz w:val="24"/>
        </w:rPr>
        <w:t> </w:t>
      </w:r>
      <w:r w:rsidRPr="00AC2DE7">
        <w:rPr>
          <w:rFonts w:ascii="Times New Roman" w:hAnsi="Times New Roman"/>
          <w:b/>
          <w:noProof/>
          <w:sz w:val="24"/>
        </w:rPr>
        <w:t>2 kodeksu granicznego Schengen</w:t>
      </w:r>
    </w:p>
    <w:p w14:paraId="040DD093" w14:textId="68D5F53B" w:rsidR="001B2BFA" w:rsidRPr="00AC2DE7" w:rsidRDefault="00791AA0"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 xml:space="preserve">II.1. Praktyczne skutki rozporządzenia </w:t>
      </w:r>
    </w:p>
    <w:p w14:paraId="21075346" w14:textId="693A1B71" w:rsidR="001B2BFA"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Przed wejściem</w:t>
      </w:r>
      <w:r w:rsidR="00AC2DE7" w:rsidRPr="00AC2DE7">
        <w:rPr>
          <w:rFonts w:ascii="Times New Roman" w:hAnsi="Times New Roman"/>
          <w:noProof/>
          <w:sz w:val="24"/>
        </w:rPr>
        <w:t xml:space="preserve"> w życ</w:t>
      </w:r>
      <w:r w:rsidRPr="00AC2DE7">
        <w:rPr>
          <w:rFonts w:ascii="Times New Roman" w:hAnsi="Times New Roman"/>
          <w:noProof/>
          <w:sz w:val="24"/>
        </w:rPr>
        <w:t>ie rozporządzenia ukierunkowane, niesystematyczne odprawy</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 osób, którym przysługuje prawo do swobodnego przemieszczania się na mocy prawa Unii, były prowadzone przez państwa członkowskie nierównomiernie</w:t>
      </w:r>
      <w:r w:rsidR="00AC2DE7" w:rsidRPr="00AC2DE7">
        <w:rPr>
          <w:rFonts w:ascii="Times New Roman" w:hAnsi="Times New Roman"/>
          <w:noProof/>
          <w:sz w:val="24"/>
        </w:rPr>
        <w:t>. Z dan</w:t>
      </w:r>
      <w:r w:rsidRPr="00AC2DE7">
        <w:rPr>
          <w:rFonts w:ascii="Times New Roman" w:hAnsi="Times New Roman"/>
          <w:noProof/>
          <w:sz w:val="24"/>
        </w:rPr>
        <w:t>ych zebranych</w:t>
      </w:r>
      <w:r w:rsidR="00AC2DE7" w:rsidRPr="00AC2DE7">
        <w:rPr>
          <w:rFonts w:ascii="Times New Roman" w:hAnsi="Times New Roman"/>
          <w:noProof/>
          <w:sz w:val="24"/>
        </w:rPr>
        <w:t xml:space="preserve"> w bad</w:t>
      </w:r>
      <w:r w:rsidRPr="00AC2DE7">
        <w:rPr>
          <w:rFonts w:ascii="Times New Roman" w:hAnsi="Times New Roman"/>
          <w:noProof/>
          <w:sz w:val="24"/>
        </w:rPr>
        <w:t>aniu zewnętrznym stanowiącym podstawę niniejszego sprawozdania wynika, że siedem państw członkowskich przeprowadzało już systematyczne odprawy takich osób na wszystkich swoich granicach przed wejściem</w:t>
      </w:r>
      <w:r w:rsidR="00AC2DE7" w:rsidRPr="00AC2DE7">
        <w:rPr>
          <w:rFonts w:ascii="Times New Roman" w:hAnsi="Times New Roman"/>
          <w:noProof/>
          <w:sz w:val="24"/>
        </w:rPr>
        <w:t xml:space="preserve"> w życ</w:t>
      </w:r>
      <w:r w:rsidRPr="00AC2DE7">
        <w:rPr>
          <w:rFonts w:ascii="Times New Roman" w:hAnsi="Times New Roman"/>
          <w:noProof/>
          <w:sz w:val="24"/>
        </w:rPr>
        <w:t>ie rozporządzenia. Podczas gdy inne państwa członkowskie stosowały systematyczne odprawy osób posiadających prawo do swobodnego przemieszczania się</w:t>
      </w:r>
      <w:r w:rsidR="00AC2DE7" w:rsidRPr="00AC2DE7">
        <w:rPr>
          <w:rFonts w:ascii="Times New Roman" w:hAnsi="Times New Roman"/>
          <w:noProof/>
          <w:sz w:val="24"/>
        </w:rPr>
        <w:t xml:space="preserve"> w ogr</w:t>
      </w:r>
      <w:r w:rsidRPr="00AC2DE7">
        <w:rPr>
          <w:rFonts w:ascii="Times New Roman" w:hAnsi="Times New Roman"/>
          <w:noProof/>
          <w:sz w:val="24"/>
        </w:rPr>
        <w:t>aniczonym zakresie, np. tylko tymczasowo, na niektórych przejściach granicznych lub na niektórych odcinkach granic/granicach</w:t>
      </w:r>
      <w:r w:rsidR="00AC2DE7" w:rsidRPr="00AC2DE7">
        <w:rPr>
          <w:rFonts w:ascii="Times New Roman" w:hAnsi="Times New Roman"/>
          <w:noProof/>
          <w:sz w:val="24"/>
        </w:rPr>
        <w:t xml:space="preserve"> z nie</w:t>
      </w:r>
      <w:r w:rsidRPr="00AC2DE7">
        <w:rPr>
          <w:rFonts w:ascii="Times New Roman" w:hAnsi="Times New Roman"/>
          <w:noProof/>
          <w:sz w:val="24"/>
        </w:rPr>
        <w:t>którymi państwami trzecimi, pięć państw członkowskich zadeklarowało, że nigdy nie stosowało systematycznych odpraw na żadnym przejściu granicznym przed wejściem</w:t>
      </w:r>
      <w:r w:rsidR="00AC2DE7" w:rsidRPr="00AC2DE7">
        <w:rPr>
          <w:rFonts w:ascii="Times New Roman" w:hAnsi="Times New Roman"/>
          <w:noProof/>
          <w:sz w:val="24"/>
        </w:rPr>
        <w:t xml:space="preserve"> w życ</w:t>
      </w:r>
      <w:r w:rsidRPr="00AC2DE7">
        <w:rPr>
          <w:rFonts w:ascii="Times New Roman" w:hAnsi="Times New Roman"/>
          <w:noProof/>
          <w:sz w:val="24"/>
        </w:rPr>
        <w:t>ie rozporządzenia (UE) 2017/458.</w:t>
      </w:r>
    </w:p>
    <w:p w14:paraId="7C44B793" w14:textId="570FD17B" w:rsidR="00791AA0" w:rsidRPr="00AC2DE7" w:rsidRDefault="006E109B" w:rsidP="002B4286">
      <w:pPr>
        <w:spacing w:line="276" w:lineRule="auto"/>
        <w:jc w:val="both"/>
        <w:rPr>
          <w:rFonts w:ascii="Times New Roman" w:hAnsi="Times New Roman" w:cs="Times New Roman"/>
          <w:bCs/>
          <w:noProof/>
          <w:sz w:val="24"/>
          <w:szCs w:val="24"/>
        </w:rPr>
      </w:pPr>
      <w:r w:rsidRPr="00AC2DE7">
        <w:rPr>
          <w:rFonts w:ascii="Times New Roman" w:hAnsi="Times New Roman"/>
          <w:noProof/>
          <w:sz w:val="24"/>
        </w:rPr>
        <w:t>Aby wypełnić zobowiązania wynikające</w:t>
      </w:r>
      <w:r w:rsidR="00AC2DE7" w:rsidRPr="00AC2DE7">
        <w:rPr>
          <w:rFonts w:ascii="Times New Roman" w:hAnsi="Times New Roman"/>
          <w:noProof/>
          <w:sz w:val="24"/>
        </w:rPr>
        <w:t xml:space="preserve"> z roz</w:t>
      </w:r>
      <w:r w:rsidRPr="00AC2DE7">
        <w:rPr>
          <w:rFonts w:ascii="Times New Roman" w:hAnsi="Times New Roman"/>
          <w:noProof/>
          <w:sz w:val="24"/>
        </w:rPr>
        <w:t>porządzenia, większość państw członkowskich zaktualizowała swoje wytyczne operacyjne dla straży granicznej. Ponieważ systematyczne odprawy były już przeprowadzane</w:t>
      </w:r>
      <w:r w:rsidR="00AC2DE7" w:rsidRPr="00AC2DE7">
        <w:rPr>
          <w:rFonts w:ascii="Times New Roman" w:hAnsi="Times New Roman"/>
          <w:noProof/>
          <w:sz w:val="24"/>
        </w:rPr>
        <w:t xml:space="preserve"> w sto</w:t>
      </w:r>
      <w:r w:rsidRPr="00AC2DE7">
        <w:rPr>
          <w:rFonts w:ascii="Times New Roman" w:hAnsi="Times New Roman"/>
          <w:noProof/>
          <w:sz w:val="24"/>
        </w:rPr>
        <w:t>sunku do osób niebędących obywatelami UE, nie było konieczności wprowadzania większych zmian</w:t>
      </w:r>
      <w:r w:rsidR="00AC2DE7" w:rsidRPr="00AC2DE7">
        <w:rPr>
          <w:rFonts w:ascii="Times New Roman" w:hAnsi="Times New Roman"/>
          <w:noProof/>
          <w:sz w:val="24"/>
        </w:rPr>
        <w:t xml:space="preserve"> w str</w:t>
      </w:r>
      <w:r w:rsidRPr="00AC2DE7">
        <w:rPr>
          <w:rFonts w:ascii="Times New Roman" w:hAnsi="Times New Roman"/>
          <w:noProof/>
          <w:sz w:val="24"/>
        </w:rPr>
        <w:t>ukturze organizacyjnej, organizacji pracy</w:t>
      </w:r>
      <w:r w:rsidR="00AC2DE7" w:rsidRPr="00AC2DE7">
        <w:rPr>
          <w:rFonts w:ascii="Times New Roman" w:hAnsi="Times New Roman"/>
          <w:noProof/>
          <w:sz w:val="24"/>
        </w:rPr>
        <w:t xml:space="preserve"> i pro</w:t>
      </w:r>
      <w:r w:rsidRPr="00AC2DE7">
        <w:rPr>
          <w:rFonts w:ascii="Times New Roman" w:hAnsi="Times New Roman"/>
          <w:noProof/>
          <w:sz w:val="24"/>
        </w:rPr>
        <w:t xml:space="preserve">cesach. Około 10 państw członkowskich zaktualizowało również swoje wytyczne dotyczące profilowania ryzyka wśród pasażerów, przeznaczone dla funkcjonariuszy granicznych pierwszej linii. </w:t>
      </w:r>
    </w:p>
    <w:p w14:paraId="607FBA53" w14:textId="5CE0FBD8" w:rsidR="00AC710E" w:rsidRPr="00AC2DE7" w:rsidRDefault="000333D5" w:rsidP="00454F83">
      <w:pPr>
        <w:spacing w:line="276" w:lineRule="auto"/>
        <w:jc w:val="both"/>
        <w:rPr>
          <w:rFonts w:ascii="Times New Roman" w:hAnsi="Times New Roman" w:cs="Times New Roman"/>
          <w:noProof/>
          <w:sz w:val="24"/>
          <w:szCs w:val="24"/>
        </w:rPr>
      </w:pPr>
      <w:r w:rsidRPr="00AC2DE7">
        <w:rPr>
          <w:rFonts w:ascii="Times New Roman" w:hAnsi="Times New Roman"/>
          <w:noProof/>
          <w:sz w:val="24"/>
        </w:rPr>
        <w:t>W latach 2017–2019 18 państw członkowskich zatrudniło dodatkowych pracowników,</w:t>
      </w:r>
      <w:r w:rsidR="00AC2DE7" w:rsidRPr="00AC2DE7">
        <w:rPr>
          <w:rFonts w:ascii="Times New Roman" w:hAnsi="Times New Roman"/>
          <w:noProof/>
          <w:sz w:val="24"/>
        </w:rPr>
        <w:t xml:space="preserve"> z cze</w:t>
      </w:r>
      <w:r w:rsidRPr="00AC2DE7">
        <w:rPr>
          <w:rFonts w:ascii="Times New Roman" w:hAnsi="Times New Roman"/>
          <w:noProof/>
          <w:sz w:val="24"/>
        </w:rPr>
        <w:t>go 11</w:t>
      </w:r>
      <w:r w:rsidR="00AC2DE7" w:rsidRPr="00AC2DE7">
        <w:rPr>
          <w:rFonts w:ascii="Times New Roman" w:hAnsi="Times New Roman"/>
          <w:noProof/>
          <w:sz w:val="24"/>
        </w:rPr>
        <w:t xml:space="preserve"> w cel</w:t>
      </w:r>
      <w:r w:rsidRPr="00AC2DE7">
        <w:rPr>
          <w:rFonts w:ascii="Times New Roman" w:hAnsi="Times New Roman"/>
          <w:noProof/>
          <w:sz w:val="24"/>
        </w:rPr>
        <w:t>u spełnienia nowych wymogów wynikających</w:t>
      </w:r>
      <w:r w:rsidR="00AC2DE7" w:rsidRPr="00AC2DE7">
        <w:rPr>
          <w:rFonts w:ascii="Times New Roman" w:hAnsi="Times New Roman"/>
          <w:noProof/>
          <w:sz w:val="24"/>
        </w:rPr>
        <w:t xml:space="preserve"> z roz</w:t>
      </w:r>
      <w:r w:rsidRPr="00AC2DE7">
        <w:rPr>
          <w:rFonts w:ascii="Times New Roman" w:hAnsi="Times New Roman"/>
          <w:noProof/>
          <w:sz w:val="24"/>
        </w:rPr>
        <w:t>porządzenia. Niektóre państwa członkowskie wykorzystały tę okazję do przesunięcia</w:t>
      </w:r>
      <w:r w:rsidR="00AC2DE7" w:rsidRPr="00AC2DE7">
        <w:rPr>
          <w:rFonts w:ascii="Times New Roman" w:hAnsi="Times New Roman"/>
          <w:noProof/>
          <w:sz w:val="24"/>
        </w:rPr>
        <w:t xml:space="preserve"> i prz</w:t>
      </w:r>
      <w:r w:rsidRPr="00AC2DE7">
        <w:rPr>
          <w:rFonts w:ascii="Times New Roman" w:hAnsi="Times New Roman"/>
          <w:noProof/>
          <w:sz w:val="24"/>
        </w:rPr>
        <w:t>ekwalifikowania pracowników. Większość państw członkowskich zmodyfikowała (i nadal modyfikuje) istniejącą infrastrukturę na przejściach granicznych, aby umożliwić przeprowadzanie systematycznych odpraw. Według funkcjonariuszy straży granicznej,</w:t>
      </w:r>
      <w:r w:rsidR="00AC2DE7" w:rsidRPr="00AC2DE7">
        <w:rPr>
          <w:rFonts w:ascii="Times New Roman" w:hAnsi="Times New Roman"/>
          <w:noProof/>
          <w:sz w:val="24"/>
        </w:rPr>
        <w:t xml:space="preserve"> z któ</w:t>
      </w:r>
      <w:r w:rsidRPr="00AC2DE7">
        <w:rPr>
          <w:rFonts w:ascii="Times New Roman" w:hAnsi="Times New Roman"/>
          <w:noProof/>
          <w:sz w:val="24"/>
        </w:rPr>
        <w:t>rymi przeprowadzono wywiady</w:t>
      </w:r>
      <w:r w:rsidR="00AC2DE7" w:rsidRPr="00AC2DE7">
        <w:rPr>
          <w:rFonts w:ascii="Times New Roman" w:hAnsi="Times New Roman"/>
          <w:noProof/>
          <w:sz w:val="24"/>
        </w:rPr>
        <w:t xml:space="preserve"> w ram</w:t>
      </w:r>
      <w:r w:rsidRPr="00AC2DE7">
        <w:rPr>
          <w:rFonts w:ascii="Times New Roman" w:hAnsi="Times New Roman"/>
          <w:noProof/>
          <w:sz w:val="24"/>
        </w:rPr>
        <w:t>ach badania zewnętrznego, modernizacja infrastruktury stanowiła zasadniczo część szerszych reform, których celem było często zwiększenie przepustowości portów lotniczych, portów</w:t>
      </w:r>
      <w:r w:rsidR="00AC2DE7" w:rsidRPr="00AC2DE7">
        <w:rPr>
          <w:rFonts w:ascii="Times New Roman" w:hAnsi="Times New Roman"/>
          <w:noProof/>
          <w:sz w:val="24"/>
        </w:rPr>
        <w:t xml:space="preserve"> i prz</w:t>
      </w:r>
      <w:r w:rsidRPr="00AC2DE7">
        <w:rPr>
          <w:rFonts w:ascii="Times New Roman" w:hAnsi="Times New Roman"/>
          <w:noProof/>
          <w:sz w:val="24"/>
        </w:rPr>
        <w:t>ejść granicznych, tak aby mogły one obsłużyć zwiększony ruch, który</w:t>
      </w:r>
      <w:r w:rsidR="00AC2DE7" w:rsidRPr="00AC2DE7">
        <w:rPr>
          <w:rFonts w:ascii="Times New Roman" w:hAnsi="Times New Roman"/>
          <w:noProof/>
          <w:sz w:val="24"/>
        </w:rPr>
        <w:t xml:space="preserve"> w wie</w:t>
      </w:r>
      <w:r w:rsidRPr="00AC2DE7">
        <w:rPr>
          <w:rFonts w:ascii="Times New Roman" w:hAnsi="Times New Roman"/>
          <w:noProof/>
          <w:sz w:val="24"/>
        </w:rPr>
        <w:t>lu państwach członkowskich odnotowano</w:t>
      </w:r>
      <w:r w:rsidR="00AC2DE7" w:rsidRPr="00AC2DE7">
        <w:rPr>
          <w:rFonts w:ascii="Times New Roman" w:hAnsi="Times New Roman"/>
          <w:noProof/>
          <w:sz w:val="24"/>
        </w:rPr>
        <w:t xml:space="preserve"> w lat</w:t>
      </w:r>
      <w:r w:rsidRPr="00AC2DE7">
        <w:rPr>
          <w:rFonts w:ascii="Times New Roman" w:hAnsi="Times New Roman"/>
          <w:noProof/>
          <w:sz w:val="24"/>
        </w:rPr>
        <w:t>ach poprzedzających pandemię. Zmiany te ułatwiły jednak według doniesień przeprowadzanie systematycznych odpraw.</w:t>
      </w:r>
      <w:r w:rsidR="00836F72" w:rsidRPr="00AC2DE7">
        <w:rPr>
          <w:rFonts w:ascii="Times New Roman" w:hAnsi="Times New Roman"/>
          <w:noProof/>
          <w:sz w:val="24"/>
        </w:rPr>
        <w:t xml:space="preserve"> </w:t>
      </w:r>
    </w:p>
    <w:p w14:paraId="1386899A" w14:textId="5D04C10B" w:rsidR="00E24E70" w:rsidRPr="00AC2DE7" w:rsidRDefault="00E24E70" w:rsidP="004F4B13">
      <w:pPr>
        <w:keepNext/>
        <w:spacing w:line="276" w:lineRule="auto"/>
        <w:jc w:val="center"/>
        <w:rPr>
          <w:rFonts w:ascii="Times New Roman" w:hAnsi="Times New Roman" w:cs="Times New Roman"/>
          <w:i/>
          <w:noProof/>
          <w:sz w:val="24"/>
          <w:szCs w:val="24"/>
        </w:rPr>
      </w:pPr>
      <w:r w:rsidRPr="00AC2DE7">
        <w:rPr>
          <w:rFonts w:ascii="Times New Roman" w:hAnsi="Times New Roman"/>
          <w:i/>
          <w:noProof/>
          <w:sz w:val="24"/>
        </w:rPr>
        <w:t>Tabela 1: Zmiany</w:t>
      </w:r>
      <w:r w:rsidR="00AC2DE7" w:rsidRPr="00AC2DE7">
        <w:rPr>
          <w:rFonts w:ascii="Times New Roman" w:hAnsi="Times New Roman"/>
          <w:i/>
          <w:noProof/>
          <w:sz w:val="24"/>
        </w:rPr>
        <w:t xml:space="preserve"> w inf</w:t>
      </w:r>
      <w:r w:rsidRPr="00AC2DE7">
        <w:rPr>
          <w:rFonts w:ascii="Times New Roman" w:hAnsi="Times New Roman"/>
          <w:i/>
          <w:noProof/>
          <w:sz w:val="24"/>
        </w:rPr>
        <w:t>rastrukturze przejść granicznych (2017–2019)</w:t>
      </w:r>
      <w:r w:rsidR="00CA158C" w:rsidRPr="00AC2DE7">
        <w:rPr>
          <w:rStyle w:val="FootnoteReference"/>
          <w:rFonts w:ascii="Times New Roman" w:hAnsi="Times New Roman" w:cs="Times New Roman"/>
          <w:i/>
          <w:noProof/>
          <w:sz w:val="24"/>
          <w:szCs w:val="24"/>
        </w:rPr>
        <w:footnoteReference w:id="11"/>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000" w:firstRow="0" w:lastRow="0" w:firstColumn="0" w:lastColumn="0" w:noHBand="0" w:noVBand="0"/>
        <w:tblDescription w:val="Fałsz|Prawda|Prawda"/>
      </w:tblPr>
      <w:tblGrid>
        <w:gridCol w:w="2399"/>
        <w:gridCol w:w="3248"/>
        <w:gridCol w:w="3389"/>
      </w:tblGrid>
      <w:tr w:rsidR="00AC710E" w:rsidRPr="00AC2DE7" w14:paraId="5C6E47D4" w14:textId="77777777" w:rsidTr="00734D2B">
        <w:trPr>
          <w:cantSplit/>
          <w:tblHeader/>
        </w:trPr>
        <w:tc>
          <w:tcPr>
            <w:tcW w:w="1328" w:type="pct"/>
            <w:shd w:val="clear" w:color="auto" w:fill="FFFFFF" w:themeFill="background1"/>
          </w:tcPr>
          <w:p w14:paraId="7B990F7A" w14:textId="77777777" w:rsidR="00AC710E" w:rsidRPr="00AC2DE7" w:rsidRDefault="00AC710E" w:rsidP="00AC710E">
            <w:pPr>
              <w:spacing w:before="120" w:after="0" w:line="240" w:lineRule="auto"/>
              <w:ind w:left="113"/>
              <w:rPr>
                <w:rFonts w:ascii="Times New Roman" w:eastAsia="Calibri" w:hAnsi="Times New Roman" w:cs="Times New Roman"/>
                <w:b/>
                <w:noProof/>
                <w:color w:val="FFFFFF"/>
              </w:rPr>
            </w:pPr>
          </w:p>
        </w:tc>
        <w:tc>
          <w:tcPr>
            <w:tcW w:w="1797" w:type="pct"/>
            <w:shd w:val="clear" w:color="auto" w:fill="FFFFFF" w:themeFill="background1"/>
          </w:tcPr>
          <w:p w14:paraId="39F3BAED" w14:textId="1980E8E0" w:rsidR="00AC710E" w:rsidRPr="00AC2DE7" w:rsidRDefault="00AC710E" w:rsidP="00734D2B">
            <w:pPr>
              <w:spacing w:before="120" w:after="0" w:line="240" w:lineRule="auto"/>
              <w:ind w:left="113"/>
              <w:jc w:val="center"/>
              <w:rPr>
                <w:rFonts w:ascii="Times New Roman" w:eastAsia="Calibri" w:hAnsi="Times New Roman" w:cs="Times New Roman"/>
                <w:b/>
                <w:noProof/>
              </w:rPr>
            </w:pPr>
            <w:r w:rsidRPr="00AC2DE7">
              <w:rPr>
                <w:rFonts w:ascii="Times New Roman" w:hAnsi="Times New Roman"/>
                <w:b/>
                <w:noProof/>
              </w:rPr>
              <w:t>Zmiany wprowadzone</w:t>
            </w:r>
            <w:r w:rsidR="00AC2DE7" w:rsidRPr="00AC2DE7">
              <w:rPr>
                <w:rFonts w:ascii="Times New Roman" w:hAnsi="Times New Roman"/>
                <w:b/>
                <w:noProof/>
              </w:rPr>
              <w:t xml:space="preserve"> w cel</w:t>
            </w:r>
            <w:r w:rsidRPr="00AC2DE7">
              <w:rPr>
                <w:rFonts w:ascii="Times New Roman" w:hAnsi="Times New Roman"/>
                <w:b/>
                <w:noProof/>
              </w:rPr>
              <w:t>u wdrożenia rozporządzenia</w:t>
            </w:r>
          </w:p>
        </w:tc>
        <w:tc>
          <w:tcPr>
            <w:tcW w:w="1875" w:type="pct"/>
            <w:shd w:val="clear" w:color="auto" w:fill="FFFFFF" w:themeFill="background1"/>
          </w:tcPr>
          <w:p w14:paraId="5656D676" w14:textId="2E677526" w:rsidR="00AC710E" w:rsidRPr="00AC2DE7" w:rsidRDefault="00AC710E" w:rsidP="00734D2B">
            <w:pPr>
              <w:spacing w:before="120" w:after="0" w:line="240" w:lineRule="auto"/>
              <w:ind w:left="113"/>
              <w:jc w:val="center"/>
              <w:rPr>
                <w:rFonts w:ascii="Times New Roman" w:eastAsia="Calibri" w:hAnsi="Times New Roman" w:cs="Times New Roman"/>
                <w:b/>
                <w:noProof/>
              </w:rPr>
            </w:pPr>
            <w:r w:rsidRPr="00AC2DE7">
              <w:rPr>
                <w:rFonts w:ascii="Times New Roman" w:hAnsi="Times New Roman"/>
                <w:b/>
                <w:noProof/>
              </w:rPr>
              <w:t>Zmiany wprowadzone bez związku</w:t>
            </w:r>
            <w:r w:rsidR="00AC2DE7" w:rsidRPr="00AC2DE7">
              <w:rPr>
                <w:rFonts w:ascii="Times New Roman" w:hAnsi="Times New Roman"/>
                <w:b/>
                <w:noProof/>
              </w:rPr>
              <w:t xml:space="preserve"> z roz</w:t>
            </w:r>
            <w:r w:rsidRPr="00AC2DE7">
              <w:rPr>
                <w:rFonts w:ascii="Times New Roman" w:hAnsi="Times New Roman"/>
                <w:b/>
                <w:noProof/>
              </w:rPr>
              <w:t>porządzeniem</w:t>
            </w:r>
          </w:p>
        </w:tc>
      </w:tr>
      <w:tr w:rsidR="00AC710E" w:rsidRPr="00AC2DE7" w14:paraId="7A4B423C" w14:textId="77777777" w:rsidTr="00734D2B">
        <w:tc>
          <w:tcPr>
            <w:tcW w:w="1328" w:type="pct"/>
            <w:shd w:val="clear" w:color="auto" w:fill="FFFFFF" w:themeFill="background1"/>
          </w:tcPr>
          <w:p w14:paraId="0DC67D7D" w14:textId="77777777" w:rsidR="00AC710E" w:rsidRPr="00AC2DE7" w:rsidRDefault="00AC710E" w:rsidP="00AC710E">
            <w:pPr>
              <w:spacing w:before="120" w:after="0" w:line="240" w:lineRule="auto"/>
              <w:ind w:left="113"/>
              <w:rPr>
                <w:rFonts w:ascii="Times New Roman" w:eastAsia="Calibri" w:hAnsi="Times New Roman" w:cs="Times New Roman"/>
                <w:b/>
                <w:bCs/>
                <w:noProof/>
                <w:color w:val="000000"/>
              </w:rPr>
            </w:pPr>
            <w:r w:rsidRPr="00AC2DE7">
              <w:rPr>
                <w:rFonts w:ascii="Times New Roman" w:hAnsi="Times New Roman"/>
                <w:b/>
                <w:noProof/>
                <w:color w:val="000000"/>
              </w:rPr>
              <w:t>Dodatkowe pasy ruchu dla pasażerów</w:t>
            </w:r>
          </w:p>
        </w:tc>
        <w:tc>
          <w:tcPr>
            <w:tcW w:w="1797" w:type="pct"/>
            <w:shd w:val="clear" w:color="auto" w:fill="FFFFFF" w:themeFill="background1"/>
          </w:tcPr>
          <w:p w14:paraId="12C8E65A" w14:textId="577393EB"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powietrzna:</w:t>
            </w:r>
            <w:r w:rsidRPr="00AC2DE7">
              <w:rPr>
                <w:rFonts w:ascii="Times New Roman" w:hAnsi="Times New Roman"/>
                <w:noProof/>
                <w:color w:val="000000"/>
              </w:rPr>
              <w:t xml:space="preserve"> Cypr, Hiszpania</w:t>
            </w:r>
          </w:p>
          <w:p w14:paraId="4039B82D" w14:textId="17D5D269" w:rsidR="00AC710E" w:rsidRPr="00AC2DE7" w:rsidRDefault="00AC710E" w:rsidP="00AD588B">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lądowa:</w:t>
            </w:r>
            <w:r w:rsidRPr="00AC2DE7">
              <w:rPr>
                <w:rFonts w:ascii="Times New Roman" w:hAnsi="Times New Roman"/>
                <w:noProof/>
                <w:color w:val="000000"/>
              </w:rPr>
              <w:t xml:space="preserve"> Litwa (planowane), Łotwa (planowane)</w:t>
            </w:r>
          </w:p>
        </w:tc>
        <w:tc>
          <w:tcPr>
            <w:tcW w:w="1875" w:type="pct"/>
            <w:shd w:val="clear" w:color="auto" w:fill="FFFFFF" w:themeFill="background1"/>
          </w:tcPr>
          <w:p w14:paraId="015B7A02" w14:textId="1CF6E79F"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powietrzna:</w:t>
            </w:r>
            <w:r w:rsidRPr="00AC2DE7">
              <w:rPr>
                <w:rFonts w:ascii="Times New Roman" w:hAnsi="Times New Roman"/>
                <w:noProof/>
                <w:color w:val="000000"/>
              </w:rPr>
              <w:t xml:space="preserve"> Bułgaria, Chorwacja, Cypr</w:t>
            </w:r>
            <w:r w:rsidR="00AC2DE7" w:rsidRPr="00AC2DE7">
              <w:rPr>
                <w:rFonts w:ascii="Times New Roman" w:hAnsi="Times New Roman"/>
                <w:noProof/>
                <w:color w:val="000000"/>
              </w:rPr>
              <w:t xml:space="preserve"> i Sło</w:t>
            </w:r>
            <w:r w:rsidRPr="00AC2DE7">
              <w:rPr>
                <w:rFonts w:ascii="Times New Roman" w:hAnsi="Times New Roman"/>
                <w:noProof/>
                <w:color w:val="000000"/>
              </w:rPr>
              <w:t>wacja</w:t>
            </w:r>
          </w:p>
          <w:p w14:paraId="2D64422B" w14:textId="07808116" w:rsidR="00AC710E" w:rsidRPr="00AC2DE7" w:rsidRDefault="00AC710E" w:rsidP="00AD588B">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lądowa:</w:t>
            </w:r>
            <w:r w:rsidRPr="00AC2DE7">
              <w:rPr>
                <w:rFonts w:ascii="Times New Roman" w:hAnsi="Times New Roman"/>
                <w:noProof/>
                <w:color w:val="000000"/>
              </w:rPr>
              <w:t xml:space="preserve"> Chorwacja, Grecja</w:t>
            </w:r>
          </w:p>
        </w:tc>
      </w:tr>
      <w:tr w:rsidR="00AC710E" w:rsidRPr="00AC2DE7" w14:paraId="1D7849B8" w14:textId="77777777" w:rsidTr="00734D2B">
        <w:tc>
          <w:tcPr>
            <w:tcW w:w="1328" w:type="pct"/>
            <w:shd w:val="clear" w:color="auto" w:fill="FFFFFF" w:themeFill="background1"/>
          </w:tcPr>
          <w:p w14:paraId="3439029A" w14:textId="77777777" w:rsidR="00AC710E" w:rsidRPr="00AC2DE7" w:rsidRDefault="00AC710E" w:rsidP="00AC710E">
            <w:pPr>
              <w:spacing w:before="120" w:after="0" w:line="240" w:lineRule="auto"/>
              <w:ind w:left="113"/>
              <w:rPr>
                <w:rFonts w:ascii="Times New Roman" w:eastAsia="Calibri" w:hAnsi="Times New Roman" w:cs="Times New Roman"/>
                <w:b/>
                <w:bCs/>
                <w:noProof/>
                <w:color w:val="000000"/>
              </w:rPr>
            </w:pPr>
            <w:r w:rsidRPr="00AC2DE7">
              <w:rPr>
                <w:rFonts w:ascii="Times New Roman" w:hAnsi="Times New Roman"/>
                <w:b/>
                <w:noProof/>
                <w:color w:val="000000"/>
              </w:rPr>
              <w:t>Dodatkowe stanowiska kontroli</w:t>
            </w:r>
          </w:p>
        </w:tc>
        <w:tc>
          <w:tcPr>
            <w:tcW w:w="1797" w:type="pct"/>
            <w:shd w:val="clear" w:color="auto" w:fill="FFFFFF" w:themeFill="background1"/>
          </w:tcPr>
          <w:p w14:paraId="0A25A77D" w14:textId="56E247B4" w:rsidR="00AC710E" w:rsidRPr="00AC2DE7" w:rsidRDefault="00AC710E" w:rsidP="00AD588B">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morska:</w:t>
            </w:r>
            <w:r w:rsidRPr="00AC2DE7">
              <w:rPr>
                <w:rFonts w:ascii="Times New Roman" w:hAnsi="Times New Roman"/>
                <w:noProof/>
                <w:color w:val="000000"/>
              </w:rPr>
              <w:t xml:space="preserve"> Węgry, Włochy, Hiszpania </w:t>
            </w:r>
          </w:p>
        </w:tc>
        <w:tc>
          <w:tcPr>
            <w:tcW w:w="1875" w:type="pct"/>
            <w:shd w:val="clear" w:color="auto" w:fill="FFFFFF" w:themeFill="background1"/>
          </w:tcPr>
          <w:p w14:paraId="61971C35" w14:textId="72444D3D"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powietrzna:</w:t>
            </w:r>
            <w:r w:rsidRPr="00AC2DE7">
              <w:rPr>
                <w:rFonts w:ascii="Times New Roman" w:hAnsi="Times New Roman"/>
                <w:noProof/>
                <w:color w:val="000000"/>
              </w:rPr>
              <w:t xml:space="preserve"> Słowacja, Islandia</w:t>
            </w:r>
          </w:p>
          <w:p w14:paraId="7D220720" w14:textId="0761A0CD"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Wszystkie:</w:t>
            </w:r>
            <w:r w:rsidRPr="00AC2DE7">
              <w:rPr>
                <w:rFonts w:ascii="Times New Roman" w:hAnsi="Times New Roman"/>
                <w:noProof/>
                <w:color w:val="000000"/>
              </w:rPr>
              <w:t xml:space="preserve"> Francja</w:t>
            </w:r>
          </w:p>
        </w:tc>
      </w:tr>
      <w:tr w:rsidR="00AC710E" w:rsidRPr="00AC2DE7" w14:paraId="342F2922" w14:textId="77777777" w:rsidTr="00734D2B">
        <w:tc>
          <w:tcPr>
            <w:tcW w:w="1328" w:type="pct"/>
            <w:shd w:val="clear" w:color="auto" w:fill="FFFFFF" w:themeFill="background1"/>
          </w:tcPr>
          <w:p w14:paraId="2AB0CB52" w14:textId="35E5F63B" w:rsidR="00AC710E" w:rsidRPr="00AC2DE7" w:rsidRDefault="00AC710E" w:rsidP="00AC710E">
            <w:pPr>
              <w:spacing w:before="120" w:after="0" w:line="240" w:lineRule="auto"/>
              <w:ind w:left="113"/>
              <w:rPr>
                <w:rFonts w:ascii="Times New Roman" w:eastAsia="Calibri" w:hAnsi="Times New Roman" w:cs="Times New Roman"/>
                <w:b/>
                <w:bCs/>
                <w:noProof/>
                <w:color w:val="000000"/>
              </w:rPr>
            </w:pPr>
            <w:r w:rsidRPr="00AC2DE7">
              <w:rPr>
                <w:rFonts w:ascii="Times New Roman" w:hAnsi="Times New Roman"/>
                <w:b/>
                <w:noProof/>
                <w:color w:val="000000"/>
              </w:rPr>
              <w:t>Ogólna rozbudowa przejść granicznych</w:t>
            </w:r>
          </w:p>
        </w:tc>
        <w:tc>
          <w:tcPr>
            <w:tcW w:w="1797" w:type="pct"/>
            <w:shd w:val="clear" w:color="auto" w:fill="FFFFFF" w:themeFill="background1"/>
          </w:tcPr>
          <w:p w14:paraId="5B74DA76" w14:textId="65C0A0D6"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powietrzna:</w:t>
            </w:r>
            <w:r w:rsidRPr="00AC2DE7">
              <w:rPr>
                <w:rFonts w:ascii="Times New Roman" w:hAnsi="Times New Roman"/>
                <w:noProof/>
                <w:color w:val="000000"/>
              </w:rPr>
              <w:t xml:space="preserve"> Węgry, Włochy, Litwa</w:t>
            </w:r>
          </w:p>
          <w:p w14:paraId="2CEDBA42" w14:textId="7060EB9A" w:rsidR="00AC710E" w:rsidRPr="00AC2DE7" w:rsidRDefault="00AC710E" w:rsidP="00AC710E">
            <w:pPr>
              <w:spacing w:before="120" w:after="0" w:line="240" w:lineRule="auto"/>
              <w:ind w:left="113"/>
              <w:rPr>
                <w:rFonts w:ascii="Times New Roman" w:eastAsia="Calibri" w:hAnsi="Times New Roman" w:cs="Times New Roman"/>
                <w:b/>
                <w:bCs/>
                <w:noProof/>
                <w:color w:val="000000"/>
              </w:rPr>
            </w:pPr>
            <w:r w:rsidRPr="00AC2DE7">
              <w:rPr>
                <w:rFonts w:ascii="Times New Roman" w:hAnsi="Times New Roman"/>
                <w:b/>
                <w:noProof/>
                <w:color w:val="000000"/>
              </w:rPr>
              <w:t>Granica morska:</w:t>
            </w:r>
            <w:r w:rsidRPr="00AC2DE7">
              <w:rPr>
                <w:rFonts w:ascii="Times New Roman" w:hAnsi="Times New Roman"/>
                <w:noProof/>
                <w:color w:val="000000"/>
              </w:rPr>
              <w:t xml:space="preserve"> Cypr</w:t>
            </w:r>
          </w:p>
        </w:tc>
        <w:tc>
          <w:tcPr>
            <w:tcW w:w="1875" w:type="pct"/>
            <w:shd w:val="clear" w:color="auto" w:fill="FFFFFF" w:themeFill="background1"/>
          </w:tcPr>
          <w:p w14:paraId="370F4434" w14:textId="78929ACA"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powietrzna:</w:t>
            </w:r>
            <w:r w:rsidRPr="00AC2DE7">
              <w:rPr>
                <w:rFonts w:ascii="Times New Roman" w:hAnsi="Times New Roman"/>
                <w:noProof/>
                <w:color w:val="000000"/>
              </w:rPr>
              <w:t xml:space="preserve"> Chorwacja, Finlandia, Niemcy, Węgry, Islandia</w:t>
            </w:r>
          </w:p>
          <w:p w14:paraId="5FB84AA4" w14:textId="296CB4CE"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morska:</w:t>
            </w:r>
            <w:r w:rsidRPr="00AC2DE7">
              <w:rPr>
                <w:rFonts w:ascii="Times New Roman" w:hAnsi="Times New Roman"/>
                <w:noProof/>
                <w:color w:val="000000"/>
              </w:rPr>
              <w:t xml:space="preserve"> Niemcy</w:t>
            </w:r>
          </w:p>
          <w:p w14:paraId="3C1467EB" w14:textId="40BF71E3"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lądowa:</w:t>
            </w:r>
            <w:r w:rsidRPr="00AC2DE7">
              <w:rPr>
                <w:rFonts w:ascii="Times New Roman" w:hAnsi="Times New Roman"/>
                <w:noProof/>
                <w:color w:val="000000"/>
              </w:rPr>
              <w:t xml:space="preserve"> Chorwacja, Bułgaria</w:t>
            </w:r>
          </w:p>
          <w:p w14:paraId="75E38340" w14:textId="6C7A8ACA"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Wszystkie:</w:t>
            </w:r>
            <w:r w:rsidRPr="00AC2DE7">
              <w:rPr>
                <w:rFonts w:ascii="Times New Roman" w:hAnsi="Times New Roman"/>
                <w:noProof/>
                <w:color w:val="000000"/>
              </w:rPr>
              <w:t xml:space="preserve"> Węgry</w:t>
            </w:r>
          </w:p>
        </w:tc>
      </w:tr>
      <w:tr w:rsidR="00AC710E" w:rsidRPr="00AC2DE7" w14:paraId="77F5F07F" w14:textId="77777777" w:rsidTr="00734D2B">
        <w:tc>
          <w:tcPr>
            <w:tcW w:w="1328" w:type="pct"/>
            <w:shd w:val="clear" w:color="auto" w:fill="FFFFFF" w:themeFill="background1"/>
          </w:tcPr>
          <w:p w14:paraId="1049D2FF" w14:textId="77777777" w:rsidR="00AC710E" w:rsidRPr="00AC2DE7" w:rsidRDefault="00AC710E" w:rsidP="00AC710E">
            <w:pPr>
              <w:spacing w:before="120" w:after="0" w:line="240" w:lineRule="auto"/>
              <w:ind w:left="113"/>
              <w:rPr>
                <w:rFonts w:ascii="Times New Roman" w:eastAsia="Calibri" w:hAnsi="Times New Roman" w:cs="Times New Roman"/>
                <w:b/>
                <w:bCs/>
                <w:noProof/>
                <w:color w:val="000000"/>
              </w:rPr>
            </w:pPr>
            <w:r w:rsidRPr="00AC2DE7">
              <w:rPr>
                <w:rFonts w:ascii="Times New Roman" w:hAnsi="Times New Roman"/>
                <w:b/>
                <w:noProof/>
                <w:color w:val="000000"/>
              </w:rPr>
              <w:t>Nowe ustalenia dotyczące systemu kolejkowania</w:t>
            </w:r>
            <w:r w:rsidRPr="00AC2DE7">
              <w:rPr>
                <w:rFonts w:ascii="Times New Roman" w:eastAsia="Calibri" w:hAnsi="Times New Roman" w:cs="Times New Roman"/>
                <w:b/>
                <w:bCs/>
                <w:noProof/>
                <w:color w:val="000000"/>
                <w:vertAlign w:val="superscript"/>
              </w:rPr>
              <w:footnoteReference w:id="12"/>
            </w:r>
          </w:p>
        </w:tc>
        <w:tc>
          <w:tcPr>
            <w:tcW w:w="1797" w:type="pct"/>
            <w:shd w:val="clear" w:color="auto" w:fill="FFFFFF" w:themeFill="background1"/>
          </w:tcPr>
          <w:p w14:paraId="7B304BB6" w14:textId="5C305762"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 xml:space="preserve">Granica powietrzna: </w:t>
            </w:r>
            <w:r w:rsidRPr="00AC2DE7">
              <w:rPr>
                <w:rFonts w:ascii="Times New Roman" w:hAnsi="Times New Roman"/>
                <w:noProof/>
                <w:color w:val="000000"/>
              </w:rPr>
              <w:t>Bułgaria, Dania, Węgry, Łotwa</w:t>
            </w:r>
          </w:p>
          <w:p w14:paraId="06D58579" w14:textId="2247F615" w:rsidR="00AC710E" w:rsidRPr="00AC2DE7" w:rsidRDefault="00AC710E" w:rsidP="00AC710E">
            <w:pPr>
              <w:spacing w:before="120" w:after="0" w:line="240" w:lineRule="auto"/>
              <w:ind w:left="113"/>
              <w:rPr>
                <w:rFonts w:ascii="Times New Roman" w:eastAsia="Calibri" w:hAnsi="Times New Roman" w:cs="Times New Roman"/>
                <w:bCs/>
                <w:noProof/>
                <w:color w:val="000000"/>
              </w:rPr>
            </w:pPr>
            <w:r w:rsidRPr="00AC2DE7">
              <w:rPr>
                <w:rFonts w:ascii="Times New Roman" w:hAnsi="Times New Roman"/>
                <w:b/>
                <w:noProof/>
                <w:color w:val="000000"/>
              </w:rPr>
              <w:t>Granica lądowa:</w:t>
            </w:r>
            <w:r w:rsidRPr="00AC2DE7">
              <w:rPr>
                <w:rFonts w:ascii="Times New Roman" w:hAnsi="Times New Roman"/>
                <w:noProof/>
                <w:color w:val="000000"/>
              </w:rPr>
              <w:t xml:space="preserve"> Bułgaria</w:t>
            </w:r>
          </w:p>
          <w:p w14:paraId="486E2C47" w14:textId="79B1D633" w:rsidR="00AC710E" w:rsidRPr="00AC2DE7" w:rsidRDefault="00AC710E" w:rsidP="00AC710E">
            <w:pPr>
              <w:spacing w:before="120" w:after="0" w:line="240" w:lineRule="auto"/>
              <w:ind w:left="113"/>
              <w:rPr>
                <w:rFonts w:ascii="Times New Roman" w:eastAsia="Calibri" w:hAnsi="Times New Roman" w:cs="Times New Roman"/>
                <w:bCs/>
                <w:noProof/>
                <w:color w:val="000000"/>
              </w:rPr>
            </w:pPr>
            <w:r w:rsidRPr="00AC2DE7">
              <w:rPr>
                <w:rFonts w:ascii="Times New Roman" w:hAnsi="Times New Roman"/>
                <w:b/>
                <w:noProof/>
                <w:color w:val="000000"/>
              </w:rPr>
              <w:t>Wszystkie:</w:t>
            </w:r>
            <w:r w:rsidRPr="00AC2DE7">
              <w:rPr>
                <w:rFonts w:ascii="Times New Roman" w:hAnsi="Times New Roman"/>
                <w:noProof/>
                <w:color w:val="000000"/>
              </w:rPr>
              <w:t xml:space="preserve"> Włochy, Hiszpania</w:t>
            </w:r>
          </w:p>
        </w:tc>
        <w:tc>
          <w:tcPr>
            <w:tcW w:w="1875" w:type="pct"/>
            <w:shd w:val="clear" w:color="auto" w:fill="FFFFFF" w:themeFill="background1"/>
          </w:tcPr>
          <w:p w14:paraId="45A577E9" w14:textId="77777777"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noProof/>
                <w:color w:val="000000"/>
              </w:rPr>
              <w:t>-</w:t>
            </w:r>
          </w:p>
        </w:tc>
      </w:tr>
      <w:tr w:rsidR="00AC710E" w:rsidRPr="00AC2DE7" w14:paraId="32E54B34" w14:textId="77777777" w:rsidTr="00734D2B">
        <w:tc>
          <w:tcPr>
            <w:tcW w:w="1328" w:type="pct"/>
            <w:shd w:val="clear" w:color="auto" w:fill="FFFFFF" w:themeFill="background1"/>
          </w:tcPr>
          <w:p w14:paraId="31182396" w14:textId="1510C299" w:rsidR="00AC710E" w:rsidRPr="00AC2DE7" w:rsidRDefault="00AC710E" w:rsidP="00AC710E">
            <w:pPr>
              <w:spacing w:before="120" w:after="0" w:line="240" w:lineRule="auto"/>
              <w:ind w:left="113"/>
              <w:rPr>
                <w:rFonts w:ascii="Times New Roman" w:eastAsia="Calibri" w:hAnsi="Times New Roman" w:cs="Times New Roman"/>
                <w:b/>
                <w:bCs/>
                <w:noProof/>
                <w:color w:val="000000"/>
              </w:rPr>
            </w:pPr>
            <w:r w:rsidRPr="00AC2DE7">
              <w:rPr>
                <w:rFonts w:ascii="Times New Roman" w:hAnsi="Times New Roman"/>
                <w:b/>
                <w:noProof/>
                <w:color w:val="000000"/>
              </w:rPr>
              <w:t>Ściślejsze rozgraniczenie pasów ruchu UE/spoza UE/pasów objętych zautomatyzowanym systemem kontroli granicznej</w:t>
            </w:r>
          </w:p>
        </w:tc>
        <w:tc>
          <w:tcPr>
            <w:tcW w:w="1797" w:type="pct"/>
            <w:shd w:val="clear" w:color="auto" w:fill="FFFFFF" w:themeFill="background1"/>
          </w:tcPr>
          <w:p w14:paraId="0619F741" w14:textId="2935BB0C"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powietrzna:</w:t>
            </w:r>
            <w:r w:rsidRPr="00AC2DE7">
              <w:rPr>
                <w:rFonts w:ascii="Times New Roman" w:hAnsi="Times New Roman"/>
                <w:noProof/>
                <w:color w:val="000000"/>
              </w:rPr>
              <w:t xml:space="preserve"> Austria, Cypr</w:t>
            </w:r>
            <w:r w:rsidRPr="00AC2DE7">
              <w:rPr>
                <w:rFonts w:ascii="Times New Roman" w:eastAsia="Calibri" w:hAnsi="Times New Roman" w:cs="Times New Roman"/>
                <w:noProof/>
                <w:color w:val="000000"/>
                <w:vertAlign w:val="superscript"/>
              </w:rPr>
              <w:footnoteReference w:id="13"/>
            </w:r>
            <w:r w:rsidRPr="00AC2DE7">
              <w:rPr>
                <w:rFonts w:ascii="Times New Roman" w:hAnsi="Times New Roman"/>
                <w:noProof/>
                <w:color w:val="000000"/>
              </w:rPr>
              <w:t>, Czechy, Dania, Łotwa</w:t>
            </w:r>
          </w:p>
          <w:p w14:paraId="2D2F3036" w14:textId="3FADDA10"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Granica morska:</w:t>
            </w:r>
            <w:r w:rsidRPr="00AC2DE7">
              <w:rPr>
                <w:rFonts w:ascii="Times New Roman" w:hAnsi="Times New Roman"/>
                <w:noProof/>
                <w:color w:val="000000"/>
              </w:rPr>
              <w:t xml:space="preserve"> Cypr</w:t>
            </w:r>
          </w:p>
          <w:p w14:paraId="065958EB" w14:textId="0DA75F9D" w:rsidR="00AC710E" w:rsidRPr="00AC2DE7" w:rsidRDefault="00AC710E" w:rsidP="00AD588B">
            <w:pPr>
              <w:spacing w:before="120" w:after="0" w:line="240" w:lineRule="auto"/>
              <w:ind w:left="113"/>
              <w:rPr>
                <w:rFonts w:ascii="Times New Roman" w:eastAsia="Calibri" w:hAnsi="Times New Roman" w:cs="Times New Roman"/>
                <w:noProof/>
                <w:color w:val="000000"/>
              </w:rPr>
            </w:pPr>
            <w:r w:rsidRPr="00AC2DE7">
              <w:rPr>
                <w:rFonts w:ascii="Times New Roman" w:hAnsi="Times New Roman"/>
                <w:b/>
                <w:noProof/>
                <w:color w:val="000000"/>
              </w:rPr>
              <w:t>Wszystkie:</w:t>
            </w:r>
            <w:r w:rsidRPr="00AC2DE7">
              <w:rPr>
                <w:rFonts w:ascii="Times New Roman" w:hAnsi="Times New Roman"/>
                <w:noProof/>
                <w:color w:val="000000"/>
              </w:rPr>
              <w:t xml:space="preserve"> Chorwacja, Włochy, Hiszpania </w:t>
            </w:r>
          </w:p>
        </w:tc>
        <w:tc>
          <w:tcPr>
            <w:tcW w:w="1875" w:type="pct"/>
            <w:shd w:val="clear" w:color="auto" w:fill="FFFFFF" w:themeFill="background1"/>
          </w:tcPr>
          <w:p w14:paraId="2CB4E5EC" w14:textId="77777777" w:rsidR="00AC710E" w:rsidRPr="00AC2DE7" w:rsidRDefault="00AC710E" w:rsidP="00AC710E">
            <w:pPr>
              <w:spacing w:before="120" w:after="0" w:line="240" w:lineRule="auto"/>
              <w:ind w:left="113"/>
              <w:rPr>
                <w:rFonts w:ascii="Times New Roman" w:eastAsia="Calibri" w:hAnsi="Times New Roman" w:cs="Times New Roman"/>
                <w:noProof/>
                <w:color w:val="000000"/>
              </w:rPr>
            </w:pPr>
            <w:r w:rsidRPr="00AC2DE7">
              <w:rPr>
                <w:rFonts w:ascii="Times New Roman" w:hAnsi="Times New Roman"/>
                <w:noProof/>
                <w:color w:val="000000"/>
              </w:rPr>
              <w:t>-</w:t>
            </w:r>
          </w:p>
        </w:tc>
      </w:tr>
    </w:tbl>
    <w:p w14:paraId="4468F8D8" w14:textId="01587764" w:rsidR="00E24E70" w:rsidRPr="00AC2DE7" w:rsidRDefault="00E24E70">
      <w:pPr>
        <w:pStyle w:val="BodyText"/>
        <w:jc w:val="center"/>
        <w:rPr>
          <w:rFonts w:ascii="Times New Roman" w:hAnsi="Times New Roman" w:cs="Times New Roman"/>
          <w:i/>
          <w:iCs/>
          <w:noProof/>
          <w:sz w:val="18"/>
          <w:szCs w:val="18"/>
        </w:rPr>
      </w:pPr>
      <w:r w:rsidRPr="00AC2DE7">
        <w:rPr>
          <w:rFonts w:ascii="Times New Roman" w:hAnsi="Times New Roman"/>
          <w:i/>
          <w:noProof/>
          <w:sz w:val="18"/>
        </w:rPr>
        <w:t>Źródło: tabela opracowana na podstawie ankiety straży granicznej</w:t>
      </w:r>
      <w:r w:rsidR="00AC2DE7" w:rsidRPr="00AC2DE7">
        <w:rPr>
          <w:rFonts w:ascii="Times New Roman" w:hAnsi="Times New Roman"/>
          <w:i/>
          <w:noProof/>
          <w:sz w:val="18"/>
        </w:rPr>
        <w:t xml:space="preserve"> i wyw</w:t>
      </w:r>
      <w:r w:rsidRPr="00AC2DE7">
        <w:rPr>
          <w:rFonts w:ascii="Times New Roman" w:hAnsi="Times New Roman"/>
          <w:i/>
          <w:noProof/>
          <w:sz w:val="18"/>
        </w:rPr>
        <w:t>iadów (w siedzibie głównej</w:t>
      </w:r>
      <w:r w:rsidR="00AC2DE7" w:rsidRPr="00AC2DE7">
        <w:rPr>
          <w:rFonts w:ascii="Times New Roman" w:hAnsi="Times New Roman"/>
          <w:i/>
          <w:noProof/>
          <w:sz w:val="18"/>
        </w:rPr>
        <w:t xml:space="preserve"> i wśr</w:t>
      </w:r>
      <w:r w:rsidRPr="00AC2DE7">
        <w:rPr>
          <w:rFonts w:ascii="Times New Roman" w:hAnsi="Times New Roman"/>
          <w:i/>
          <w:noProof/>
          <w:sz w:val="18"/>
        </w:rPr>
        <w:t>ód pracowników straży granicznej)</w:t>
      </w:r>
    </w:p>
    <w:p w14:paraId="304EBC49" w14:textId="77777777" w:rsidR="00AC710E" w:rsidRPr="00AC2DE7" w:rsidRDefault="00AC710E" w:rsidP="002B4286">
      <w:pPr>
        <w:spacing w:line="276" w:lineRule="auto"/>
        <w:jc w:val="both"/>
        <w:rPr>
          <w:rFonts w:ascii="Times New Roman" w:hAnsi="Times New Roman" w:cs="Times New Roman"/>
          <w:noProof/>
          <w:sz w:val="24"/>
          <w:szCs w:val="24"/>
        </w:rPr>
      </w:pPr>
    </w:p>
    <w:p w14:paraId="2883C84A" w14:textId="1BED24FB" w:rsidR="001B2BFA" w:rsidRPr="00AC2DE7" w:rsidRDefault="009F15F7"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Większość państw członkowskich zainwestowała również</w:t>
      </w:r>
      <w:r w:rsidR="00AC2DE7" w:rsidRPr="00AC2DE7">
        <w:rPr>
          <w:rFonts w:ascii="Times New Roman" w:hAnsi="Times New Roman"/>
          <w:noProof/>
          <w:sz w:val="24"/>
        </w:rPr>
        <w:t xml:space="preserve"> w dod</w:t>
      </w:r>
      <w:r w:rsidRPr="00AC2DE7">
        <w:rPr>
          <w:rFonts w:ascii="Times New Roman" w:hAnsi="Times New Roman"/>
          <w:noProof/>
          <w:sz w:val="24"/>
        </w:rPr>
        <w:t>atkowy sprzęt, przede wszystkim</w:t>
      </w:r>
      <w:r w:rsidR="00AC2DE7" w:rsidRPr="00AC2DE7">
        <w:rPr>
          <w:rFonts w:ascii="Times New Roman" w:hAnsi="Times New Roman"/>
          <w:noProof/>
          <w:sz w:val="24"/>
        </w:rPr>
        <w:t xml:space="preserve"> w odp</w:t>
      </w:r>
      <w:r w:rsidRPr="00AC2DE7">
        <w:rPr>
          <w:rFonts w:ascii="Times New Roman" w:hAnsi="Times New Roman"/>
          <w:noProof/>
          <w:sz w:val="24"/>
        </w:rPr>
        <w:t>owiedzi na rozporządzenie, głównie</w:t>
      </w:r>
      <w:r w:rsidR="00AC2DE7" w:rsidRPr="00AC2DE7">
        <w:rPr>
          <w:rFonts w:ascii="Times New Roman" w:hAnsi="Times New Roman"/>
          <w:noProof/>
          <w:sz w:val="24"/>
        </w:rPr>
        <w:t xml:space="preserve"> w dod</w:t>
      </w:r>
      <w:r w:rsidRPr="00AC2DE7">
        <w:rPr>
          <w:rFonts w:ascii="Times New Roman" w:hAnsi="Times New Roman"/>
          <w:noProof/>
          <w:sz w:val="24"/>
        </w:rPr>
        <w:t>atkowe bramki do zautomatyzowanej kontroli granicznej, które są najskuteczniejszym sposobem ograniczenia dodatkowego czasu oczekiwania przy jednoczesnym utrzymaniu kosztów personelu na niskim poziomie (jedna przeszkolona osoba może pilnować do sześciu takich bramek). Zakupiono również urządzenia do mobilnych odpraw granicznych, czytniki paszportów</w:t>
      </w:r>
      <w:r w:rsidR="00AC2DE7" w:rsidRPr="00AC2DE7">
        <w:rPr>
          <w:rFonts w:ascii="Times New Roman" w:hAnsi="Times New Roman"/>
          <w:noProof/>
          <w:sz w:val="24"/>
        </w:rPr>
        <w:t xml:space="preserve"> i ska</w:t>
      </w:r>
      <w:r w:rsidRPr="00AC2DE7">
        <w:rPr>
          <w:rFonts w:ascii="Times New Roman" w:hAnsi="Times New Roman"/>
          <w:noProof/>
          <w:sz w:val="24"/>
        </w:rPr>
        <w:t>nery odcisków palców. Kilka państw członkowskich zainwestowało również</w:t>
      </w:r>
      <w:r w:rsidR="00AC2DE7" w:rsidRPr="00AC2DE7">
        <w:rPr>
          <w:rFonts w:ascii="Times New Roman" w:hAnsi="Times New Roman"/>
          <w:noProof/>
          <w:sz w:val="24"/>
        </w:rPr>
        <w:t xml:space="preserve"> w swo</w:t>
      </w:r>
      <w:r w:rsidRPr="00AC2DE7">
        <w:rPr>
          <w:rFonts w:ascii="Times New Roman" w:hAnsi="Times New Roman"/>
          <w:noProof/>
          <w:sz w:val="24"/>
        </w:rPr>
        <w:t>je systemy informatyczne, aby dostosować je do wymogów rozporządzenia. Dokonano również niewielkich zmian</w:t>
      </w:r>
      <w:r w:rsidR="00AC2DE7" w:rsidRPr="00AC2DE7">
        <w:rPr>
          <w:rFonts w:ascii="Times New Roman" w:hAnsi="Times New Roman"/>
          <w:noProof/>
          <w:sz w:val="24"/>
        </w:rPr>
        <w:t xml:space="preserve"> w pro</w:t>
      </w:r>
      <w:r w:rsidRPr="00AC2DE7">
        <w:rPr>
          <w:rFonts w:ascii="Times New Roman" w:hAnsi="Times New Roman"/>
          <w:noProof/>
          <w:sz w:val="24"/>
        </w:rPr>
        <w:t>cesach</w:t>
      </w:r>
      <w:r w:rsidR="00AC2DE7" w:rsidRPr="00AC2DE7">
        <w:rPr>
          <w:rFonts w:ascii="Times New Roman" w:hAnsi="Times New Roman"/>
          <w:noProof/>
          <w:sz w:val="24"/>
        </w:rPr>
        <w:t xml:space="preserve"> i inf</w:t>
      </w:r>
      <w:r w:rsidRPr="00AC2DE7">
        <w:rPr>
          <w:rFonts w:ascii="Times New Roman" w:hAnsi="Times New Roman"/>
          <w:noProof/>
          <w:sz w:val="24"/>
        </w:rPr>
        <w:t>rastrukturze, np.</w:t>
      </w:r>
      <w:r w:rsidR="00AC2DE7" w:rsidRPr="00AC2DE7">
        <w:rPr>
          <w:rFonts w:ascii="Times New Roman" w:hAnsi="Times New Roman"/>
          <w:noProof/>
          <w:sz w:val="24"/>
        </w:rPr>
        <w:t xml:space="preserve"> w zak</w:t>
      </w:r>
      <w:r w:rsidRPr="00AC2DE7">
        <w:rPr>
          <w:rFonts w:ascii="Times New Roman" w:hAnsi="Times New Roman"/>
          <w:noProof/>
          <w:sz w:val="24"/>
        </w:rPr>
        <w:t>resie zarządzania przepływem pasażerów,</w:t>
      </w:r>
      <w:r w:rsidR="00AC2DE7" w:rsidRPr="00AC2DE7">
        <w:rPr>
          <w:rFonts w:ascii="Times New Roman" w:hAnsi="Times New Roman"/>
          <w:noProof/>
          <w:sz w:val="24"/>
        </w:rPr>
        <w:t xml:space="preserve"> w tym</w:t>
      </w:r>
      <w:r w:rsidRPr="00AC2DE7">
        <w:rPr>
          <w:rFonts w:ascii="Times New Roman" w:hAnsi="Times New Roman"/>
          <w:noProof/>
          <w:sz w:val="24"/>
        </w:rPr>
        <w:t xml:space="preserve"> wprowadzono dodatkowe pasy ruchu dla pasażerów</w:t>
      </w:r>
      <w:r w:rsidR="00AC2DE7" w:rsidRPr="00AC2DE7">
        <w:rPr>
          <w:rFonts w:ascii="Times New Roman" w:hAnsi="Times New Roman"/>
          <w:noProof/>
          <w:sz w:val="24"/>
        </w:rPr>
        <w:t xml:space="preserve"> i sta</w:t>
      </w:r>
      <w:r w:rsidRPr="00AC2DE7">
        <w:rPr>
          <w:rFonts w:ascii="Times New Roman" w:hAnsi="Times New Roman"/>
          <w:noProof/>
          <w:sz w:val="24"/>
        </w:rPr>
        <w:t xml:space="preserve">nowiska kontroli oraz ściślejsze oddzielenie pasów ruchu dla pasażerów z UE od pasów ruchu dla pasażerów spoza UE. </w:t>
      </w:r>
    </w:p>
    <w:p w14:paraId="5ACD83A5" w14:textId="6B1DA92A" w:rsidR="00970012" w:rsidRPr="00AC2DE7" w:rsidRDefault="0004619E" w:rsidP="0004619E">
      <w:pPr>
        <w:pStyle w:val="FigureTitle"/>
        <w:numPr>
          <w:ilvl w:val="0"/>
          <w:numId w:val="0"/>
        </w:numPr>
        <w:ind w:left="960" w:hanging="676"/>
        <w:jc w:val="center"/>
        <w:rPr>
          <w:rFonts w:ascii="Times New Roman" w:hAnsi="Times New Roman" w:cs="Times New Roman"/>
          <w:noProof/>
          <w:sz w:val="24"/>
          <w:szCs w:val="24"/>
        </w:rPr>
      </w:pPr>
      <w:r w:rsidRPr="00AC2DE7">
        <w:rPr>
          <w:rFonts w:ascii="Times New Roman" w:hAnsi="Times New Roman"/>
          <w:noProof/>
          <w:sz w:val="24"/>
        </w:rPr>
        <w:t xml:space="preserve">Rysunek 1. </w:t>
      </w:r>
      <w:r w:rsidR="00970012" w:rsidRPr="00AC2DE7">
        <w:rPr>
          <w:rFonts w:ascii="Times New Roman" w:hAnsi="Times New Roman"/>
          <w:noProof/>
          <w:sz w:val="24"/>
        </w:rPr>
        <w:t>Inwestycje zrealizowane przez p</w:t>
      </w:r>
      <w:r w:rsidRPr="00AC2DE7">
        <w:rPr>
          <w:rFonts w:ascii="Times New Roman" w:hAnsi="Times New Roman"/>
          <w:noProof/>
          <w:sz w:val="24"/>
        </w:rPr>
        <w:t>aństwa członkowskie</w:t>
      </w:r>
      <w:r w:rsidR="00AC2DE7" w:rsidRPr="00AC2DE7">
        <w:rPr>
          <w:rFonts w:ascii="Times New Roman" w:hAnsi="Times New Roman"/>
          <w:noProof/>
          <w:sz w:val="24"/>
        </w:rPr>
        <w:t xml:space="preserve"> w zwi</w:t>
      </w:r>
      <w:r w:rsidRPr="00AC2DE7">
        <w:rPr>
          <w:rFonts w:ascii="Times New Roman" w:hAnsi="Times New Roman"/>
          <w:noProof/>
          <w:sz w:val="24"/>
        </w:rPr>
        <w:t>ązku</w:t>
      </w:r>
      <w:r w:rsidR="00AC2DE7" w:rsidRPr="00AC2DE7">
        <w:rPr>
          <w:rFonts w:ascii="Times New Roman" w:hAnsi="Times New Roman"/>
          <w:noProof/>
          <w:sz w:val="24"/>
        </w:rPr>
        <w:t xml:space="preserve"> z wdr</w:t>
      </w:r>
      <w:r w:rsidR="00970012" w:rsidRPr="00AC2DE7">
        <w:rPr>
          <w:rFonts w:ascii="Times New Roman" w:hAnsi="Times New Roman"/>
          <w:noProof/>
          <w:sz w:val="24"/>
        </w:rPr>
        <w:t>ożeniem rozporządzenia (w latach 2017–2019)</w:t>
      </w:r>
    </w:p>
    <w:p w14:paraId="1940337A" w14:textId="5200B857" w:rsidR="00970012" w:rsidRPr="00AC2DE7" w:rsidRDefault="0004619E" w:rsidP="00970012">
      <w:pPr>
        <w:pStyle w:val="BodyText"/>
        <w:rPr>
          <w:rFonts w:ascii="Times New Roman" w:hAnsi="Times New Roman" w:cs="Times New Roman"/>
          <w:noProof/>
          <w:sz w:val="24"/>
          <w:szCs w:val="24"/>
        </w:rPr>
      </w:pPr>
      <w:r w:rsidRPr="00AC2DE7">
        <w:rPr>
          <w:noProof/>
          <w:lang w:val="en-GB" w:eastAsia="en-GB"/>
        </w:rPr>
        <w:drawing>
          <wp:inline distT="0" distB="0" distL="0" distR="0" wp14:anchorId="2F46CB31" wp14:editId="462891DD">
            <wp:extent cx="5731510" cy="214221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2142213"/>
                    </a:xfrm>
                    <a:prstGeom prst="rect">
                      <a:avLst/>
                    </a:prstGeom>
                    <a:noFill/>
                    <a:ln>
                      <a:noFill/>
                    </a:ln>
                  </pic:spPr>
                </pic:pic>
              </a:graphicData>
            </a:graphic>
          </wp:inline>
        </w:drawing>
      </w:r>
    </w:p>
    <w:p w14:paraId="4F037D53" w14:textId="49A14846" w:rsidR="00970012" w:rsidRPr="00AC2DE7" w:rsidRDefault="00970012">
      <w:pPr>
        <w:pStyle w:val="BodyText"/>
        <w:jc w:val="center"/>
        <w:rPr>
          <w:rFonts w:ascii="Times New Roman" w:hAnsi="Times New Roman" w:cs="Times New Roman"/>
          <w:i/>
          <w:iCs/>
          <w:noProof/>
          <w:sz w:val="18"/>
          <w:szCs w:val="24"/>
        </w:rPr>
      </w:pPr>
      <w:r w:rsidRPr="00AC2DE7">
        <w:rPr>
          <w:rFonts w:ascii="Times New Roman" w:hAnsi="Times New Roman"/>
          <w:i/>
          <w:noProof/>
          <w:sz w:val="18"/>
        </w:rPr>
        <w:t>Źródło: Obliczenia na podstawie ankiety przeprowadzonej wśród organów straży granicznej</w:t>
      </w:r>
    </w:p>
    <w:p w14:paraId="07FF8C13" w14:textId="77777777" w:rsidR="00970012" w:rsidRPr="00AC2DE7" w:rsidRDefault="00970012" w:rsidP="002B4286">
      <w:pPr>
        <w:spacing w:line="276" w:lineRule="auto"/>
        <w:jc w:val="both"/>
        <w:rPr>
          <w:rFonts w:ascii="Times New Roman" w:hAnsi="Times New Roman" w:cs="Times New Roman"/>
          <w:bCs/>
          <w:noProof/>
          <w:sz w:val="24"/>
          <w:szCs w:val="24"/>
        </w:rPr>
      </w:pPr>
    </w:p>
    <w:p w14:paraId="62A790B4" w14:textId="1BAB0371" w:rsidR="001B2BFA" w:rsidRPr="00AC2DE7" w:rsidRDefault="00D73652"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Na podstawie danych</w:t>
      </w:r>
      <w:r w:rsidR="00AC2DE7" w:rsidRPr="00AC2DE7">
        <w:rPr>
          <w:rFonts w:ascii="Times New Roman" w:hAnsi="Times New Roman"/>
          <w:noProof/>
          <w:sz w:val="24"/>
        </w:rPr>
        <w:t xml:space="preserve"> i inf</w:t>
      </w:r>
      <w:r w:rsidRPr="00AC2DE7">
        <w:rPr>
          <w:rFonts w:ascii="Times New Roman" w:hAnsi="Times New Roman"/>
          <w:noProof/>
          <w:sz w:val="24"/>
        </w:rPr>
        <w:t>ormacji zebranych przez Komisję,</w:t>
      </w:r>
      <w:r w:rsidR="00AC2DE7" w:rsidRPr="00AC2DE7">
        <w:rPr>
          <w:rFonts w:ascii="Times New Roman" w:hAnsi="Times New Roman"/>
          <w:noProof/>
          <w:sz w:val="24"/>
        </w:rPr>
        <w:t xml:space="preserve"> w szc</w:t>
      </w:r>
      <w:r w:rsidRPr="00AC2DE7">
        <w:rPr>
          <w:rFonts w:ascii="Times New Roman" w:hAnsi="Times New Roman"/>
          <w:noProof/>
          <w:sz w:val="24"/>
        </w:rPr>
        <w:t>zególności podczas wizyt związanych</w:t>
      </w:r>
      <w:r w:rsidR="00AC2DE7" w:rsidRPr="00AC2DE7">
        <w:rPr>
          <w:rFonts w:ascii="Times New Roman" w:hAnsi="Times New Roman"/>
          <w:noProof/>
          <w:sz w:val="24"/>
        </w:rPr>
        <w:t xml:space="preserve"> z oce</w:t>
      </w:r>
      <w:r w:rsidRPr="00AC2DE7">
        <w:rPr>
          <w:rFonts w:ascii="Times New Roman" w:hAnsi="Times New Roman"/>
          <w:noProof/>
          <w:sz w:val="24"/>
        </w:rPr>
        <w:t>ną stosowania dorobku Schengen, pomimo tych wymiernych postępów, wyciągnięto następujące wnioski: „Chociaż ogólna jakość kontroli na granicach zewnętrznych jest dobra, nadal różni się ona</w:t>
      </w:r>
      <w:r w:rsidR="00AC2DE7" w:rsidRPr="00AC2DE7">
        <w:rPr>
          <w:rFonts w:ascii="Times New Roman" w:hAnsi="Times New Roman"/>
          <w:noProof/>
          <w:sz w:val="24"/>
        </w:rPr>
        <w:t xml:space="preserve"> w pos</w:t>
      </w:r>
      <w:r w:rsidRPr="00AC2DE7">
        <w:rPr>
          <w:rFonts w:ascii="Times New Roman" w:hAnsi="Times New Roman"/>
          <w:noProof/>
          <w:sz w:val="24"/>
        </w:rPr>
        <w:t>zczególnych państwach członkowskich</w:t>
      </w:r>
      <w:r w:rsidR="00AC2DE7" w:rsidRPr="00AC2DE7">
        <w:rPr>
          <w:rFonts w:ascii="Times New Roman" w:hAnsi="Times New Roman"/>
          <w:noProof/>
          <w:sz w:val="24"/>
        </w:rPr>
        <w:t xml:space="preserve"> i mię</w:t>
      </w:r>
      <w:r w:rsidRPr="00AC2DE7">
        <w:rPr>
          <w:rFonts w:ascii="Times New Roman" w:hAnsi="Times New Roman"/>
          <w:noProof/>
          <w:sz w:val="24"/>
        </w:rPr>
        <w:t>dzy nimi. Większość państw boryka się</w:t>
      </w:r>
      <w:r w:rsidR="00AC2DE7" w:rsidRPr="00AC2DE7">
        <w:rPr>
          <w:rFonts w:ascii="Times New Roman" w:hAnsi="Times New Roman"/>
          <w:noProof/>
          <w:sz w:val="24"/>
        </w:rPr>
        <w:t xml:space="preserve"> z wyz</w:t>
      </w:r>
      <w:r w:rsidRPr="00AC2DE7">
        <w:rPr>
          <w:rFonts w:ascii="Times New Roman" w:hAnsi="Times New Roman"/>
          <w:noProof/>
          <w:sz w:val="24"/>
        </w:rPr>
        <w:t>waniami związanymi</w:t>
      </w:r>
      <w:r w:rsidR="00AC2DE7" w:rsidRPr="00AC2DE7">
        <w:rPr>
          <w:rFonts w:ascii="Times New Roman" w:hAnsi="Times New Roman"/>
          <w:noProof/>
          <w:sz w:val="24"/>
        </w:rPr>
        <w:t xml:space="preserve"> z zas</w:t>
      </w:r>
      <w:r w:rsidRPr="00AC2DE7">
        <w:rPr>
          <w:rFonts w:ascii="Times New Roman" w:hAnsi="Times New Roman"/>
          <w:noProof/>
          <w:sz w:val="24"/>
        </w:rPr>
        <w:t>obami, szkoleniami</w:t>
      </w:r>
      <w:r w:rsidR="00AC2DE7" w:rsidRPr="00AC2DE7">
        <w:rPr>
          <w:rFonts w:ascii="Times New Roman" w:hAnsi="Times New Roman"/>
          <w:noProof/>
          <w:sz w:val="24"/>
        </w:rPr>
        <w:t xml:space="preserve"> i pla</w:t>
      </w:r>
      <w:r w:rsidRPr="00AC2DE7">
        <w:rPr>
          <w:rFonts w:ascii="Times New Roman" w:hAnsi="Times New Roman"/>
          <w:noProof/>
          <w:sz w:val="24"/>
        </w:rPr>
        <w:t>nowaniem operacyjnym, aby zapewnić jednolite</w:t>
      </w:r>
      <w:r w:rsidR="00AC2DE7" w:rsidRPr="00AC2DE7">
        <w:rPr>
          <w:rFonts w:ascii="Times New Roman" w:hAnsi="Times New Roman"/>
          <w:noProof/>
          <w:sz w:val="24"/>
        </w:rPr>
        <w:t xml:space="preserve"> i sys</w:t>
      </w:r>
      <w:r w:rsidRPr="00AC2DE7">
        <w:rPr>
          <w:rFonts w:ascii="Times New Roman" w:hAnsi="Times New Roman"/>
          <w:noProof/>
          <w:sz w:val="24"/>
        </w:rPr>
        <w:t>tematyczne odprawy na wszystkich przejściach granicznych na granicach zewnętrznych oraz skuteczny nadzór granic zewnętrznych”</w:t>
      </w:r>
      <w:r w:rsidR="006D0773" w:rsidRPr="00AC2DE7">
        <w:rPr>
          <w:rStyle w:val="FootnoteReference"/>
          <w:rFonts w:ascii="Times New Roman" w:hAnsi="Times New Roman" w:cs="Times New Roman"/>
          <w:noProof/>
          <w:sz w:val="24"/>
          <w:szCs w:val="24"/>
        </w:rPr>
        <w:footnoteReference w:id="14"/>
      </w:r>
      <w:r w:rsidRPr="00AC2DE7">
        <w:rPr>
          <w:rFonts w:ascii="Times New Roman" w:hAnsi="Times New Roman"/>
          <w:noProof/>
          <w:sz w:val="24"/>
        </w:rPr>
        <w:t>. Wyzwania te obejmowały również</w:t>
      </w:r>
      <w:r w:rsidRPr="00AC2DE7">
        <w:rPr>
          <w:rFonts w:ascii="Times New Roman" w:hAnsi="Times New Roman"/>
          <w:i/>
          <w:noProof/>
          <w:sz w:val="24"/>
        </w:rPr>
        <w:t xml:space="preserve"> </w:t>
      </w:r>
      <w:r w:rsidRPr="00AC2DE7">
        <w:rPr>
          <w:rFonts w:ascii="Times New Roman" w:hAnsi="Times New Roman"/>
          <w:noProof/>
          <w:sz w:val="24"/>
        </w:rPr>
        <w:t>ograniczenia infrastrukturalne (np. brak stanowisk straży granicznej</w:t>
      </w:r>
      <w:r w:rsidR="00AC2DE7" w:rsidRPr="00AC2DE7">
        <w:rPr>
          <w:rFonts w:ascii="Times New Roman" w:hAnsi="Times New Roman"/>
          <w:noProof/>
          <w:sz w:val="24"/>
        </w:rPr>
        <w:t xml:space="preserve"> w por</w:t>
      </w:r>
      <w:r w:rsidRPr="00AC2DE7">
        <w:rPr>
          <w:rFonts w:ascii="Times New Roman" w:hAnsi="Times New Roman"/>
          <w:noProof/>
          <w:sz w:val="24"/>
        </w:rPr>
        <w:t>tach lotniczych)</w:t>
      </w:r>
      <w:r w:rsidR="00AC2DE7" w:rsidRPr="00AC2DE7">
        <w:rPr>
          <w:rFonts w:ascii="Times New Roman" w:hAnsi="Times New Roman"/>
          <w:noProof/>
          <w:sz w:val="24"/>
        </w:rPr>
        <w:t xml:space="preserve"> w poł</w:t>
      </w:r>
      <w:r w:rsidRPr="00AC2DE7">
        <w:rPr>
          <w:rFonts w:ascii="Times New Roman" w:hAnsi="Times New Roman"/>
          <w:noProof/>
          <w:sz w:val="24"/>
        </w:rPr>
        <w:t>owie państw członkowskich, zwłaszcza</w:t>
      </w:r>
      <w:r w:rsidR="00AC2DE7" w:rsidRPr="00AC2DE7">
        <w:rPr>
          <w:rFonts w:ascii="Times New Roman" w:hAnsi="Times New Roman"/>
          <w:noProof/>
          <w:sz w:val="24"/>
        </w:rPr>
        <w:t xml:space="preserve"> w szc</w:t>
      </w:r>
      <w:r w:rsidRPr="00AC2DE7">
        <w:rPr>
          <w:rFonts w:ascii="Times New Roman" w:hAnsi="Times New Roman"/>
          <w:noProof/>
          <w:sz w:val="24"/>
        </w:rPr>
        <w:t>zytowym okresie letnim</w:t>
      </w:r>
      <w:r w:rsidR="00AC2DE7" w:rsidRPr="00AC2DE7">
        <w:rPr>
          <w:rFonts w:ascii="Times New Roman" w:hAnsi="Times New Roman"/>
          <w:noProof/>
          <w:sz w:val="24"/>
        </w:rPr>
        <w:t xml:space="preserve"> i wak</w:t>
      </w:r>
      <w:r w:rsidRPr="00AC2DE7">
        <w:rPr>
          <w:rFonts w:ascii="Times New Roman" w:hAnsi="Times New Roman"/>
          <w:noProof/>
          <w:sz w:val="24"/>
        </w:rPr>
        <w:t>acyjnym. Ponadto niektóre państwa członkowskie nadal borykają się</w:t>
      </w:r>
      <w:r w:rsidR="00AC2DE7" w:rsidRPr="00AC2DE7">
        <w:rPr>
          <w:rFonts w:ascii="Times New Roman" w:hAnsi="Times New Roman"/>
          <w:noProof/>
          <w:sz w:val="24"/>
        </w:rPr>
        <w:t xml:space="preserve"> z bra</w:t>
      </w:r>
      <w:r w:rsidRPr="00AC2DE7">
        <w:rPr>
          <w:rFonts w:ascii="Times New Roman" w:hAnsi="Times New Roman"/>
          <w:noProof/>
          <w:sz w:val="24"/>
        </w:rPr>
        <w:t>kiem odpowiedniego sprzętu,</w:t>
      </w:r>
      <w:r w:rsidR="00AC2DE7" w:rsidRPr="00AC2DE7">
        <w:rPr>
          <w:rFonts w:ascii="Times New Roman" w:hAnsi="Times New Roman"/>
          <w:noProof/>
          <w:sz w:val="24"/>
        </w:rPr>
        <w:t xml:space="preserve"> w szc</w:t>
      </w:r>
      <w:r w:rsidRPr="00AC2DE7">
        <w:rPr>
          <w:rFonts w:ascii="Times New Roman" w:hAnsi="Times New Roman"/>
          <w:noProof/>
          <w:sz w:val="24"/>
        </w:rPr>
        <w:t>zególności do sprawdzania odcisków palców podróżnych</w:t>
      </w:r>
      <w:r w:rsidR="00AC2DE7" w:rsidRPr="00AC2DE7">
        <w:rPr>
          <w:rFonts w:ascii="Times New Roman" w:hAnsi="Times New Roman"/>
          <w:noProof/>
          <w:sz w:val="24"/>
        </w:rPr>
        <w:t xml:space="preserve"> z dan</w:t>
      </w:r>
      <w:r w:rsidRPr="00AC2DE7">
        <w:rPr>
          <w:rFonts w:ascii="Times New Roman" w:hAnsi="Times New Roman"/>
          <w:noProof/>
          <w:sz w:val="24"/>
        </w:rPr>
        <w:t>ymi zawartymi</w:t>
      </w:r>
      <w:r w:rsidR="00AC2DE7" w:rsidRPr="00AC2DE7">
        <w:rPr>
          <w:rFonts w:ascii="Times New Roman" w:hAnsi="Times New Roman"/>
          <w:noProof/>
          <w:sz w:val="24"/>
        </w:rPr>
        <w:t xml:space="preserve"> w ich</w:t>
      </w:r>
      <w:r w:rsidRPr="00AC2DE7">
        <w:rPr>
          <w:rFonts w:ascii="Times New Roman" w:hAnsi="Times New Roman"/>
          <w:noProof/>
          <w:sz w:val="24"/>
        </w:rPr>
        <w:t xml:space="preserve"> dokumentach podróży, co ma zasadnicze znaczenie dla weryfikacji tożsamości podróżnego.</w:t>
      </w:r>
    </w:p>
    <w:p w14:paraId="269BD25A" w14:textId="3FD860CC" w:rsidR="00B61E69" w:rsidRPr="00AC2DE7" w:rsidRDefault="001A577B"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II.2. Wyjątki ograniczone</w:t>
      </w:r>
      <w:r w:rsidR="00AC2DE7" w:rsidRPr="00AC2DE7">
        <w:rPr>
          <w:rFonts w:ascii="Times New Roman" w:hAnsi="Times New Roman"/>
          <w:b/>
          <w:noProof/>
          <w:sz w:val="24"/>
        </w:rPr>
        <w:t xml:space="preserve"> w cza</w:t>
      </w:r>
      <w:r w:rsidRPr="00AC2DE7">
        <w:rPr>
          <w:rFonts w:ascii="Times New Roman" w:hAnsi="Times New Roman"/>
          <w:b/>
          <w:noProof/>
          <w:sz w:val="24"/>
        </w:rPr>
        <w:t xml:space="preserve">sie </w:t>
      </w:r>
    </w:p>
    <w:p w14:paraId="7EC4C8D3" w14:textId="3137C960" w:rsidR="001B2BFA" w:rsidRPr="00AC2DE7" w:rsidRDefault="00B61E69"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Odstępstwa na podstawie art.</w:t>
      </w:r>
      <w:r w:rsidR="00836F72" w:rsidRPr="00AC2DE7">
        <w:rPr>
          <w:rFonts w:ascii="Times New Roman" w:hAnsi="Times New Roman"/>
          <w:b/>
          <w:noProof/>
          <w:sz w:val="24"/>
        </w:rPr>
        <w:t> </w:t>
      </w:r>
      <w:r w:rsidRPr="00AC2DE7">
        <w:rPr>
          <w:rFonts w:ascii="Times New Roman" w:hAnsi="Times New Roman"/>
          <w:b/>
          <w:noProof/>
          <w:sz w:val="24"/>
        </w:rPr>
        <w:t xml:space="preserve">8 kodeksu granicznego Schengen </w:t>
      </w:r>
    </w:p>
    <w:p w14:paraId="3F7A5809" w14:textId="14E11FD9" w:rsidR="005D3CBA" w:rsidRPr="00AC2DE7" w:rsidRDefault="0079773A" w:rsidP="00E34409">
      <w:pPr>
        <w:spacing w:line="276" w:lineRule="auto"/>
        <w:jc w:val="both"/>
        <w:rPr>
          <w:rFonts w:ascii="Times New Roman" w:hAnsi="Times New Roman" w:cs="Times New Roman"/>
          <w:noProof/>
          <w:sz w:val="24"/>
          <w:szCs w:val="24"/>
          <w:shd w:val="clear" w:color="auto" w:fill="FFFFFF"/>
        </w:rPr>
      </w:pPr>
      <w:r w:rsidRPr="00AC2DE7">
        <w:rPr>
          <w:rFonts w:ascii="Times New Roman" w:hAnsi="Times New Roman"/>
          <w:noProof/>
          <w:sz w:val="24"/>
          <w:shd w:val="clear" w:color="auto" w:fill="FFFFFF"/>
        </w:rPr>
        <w:t>Art. 8 ust.</w:t>
      </w:r>
      <w:r w:rsidR="00836F72" w:rsidRPr="00AC2DE7">
        <w:rPr>
          <w:rFonts w:ascii="Times New Roman" w:hAnsi="Times New Roman"/>
          <w:noProof/>
          <w:sz w:val="24"/>
          <w:shd w:val="clear" w:color="auto" w:fill="FFFFFF"/>
        </w:rPr>
        <w:t> </w:t>
      </w:r>
      <w:r w:rsidRPr="00AC2DE7">
        <w:rPr>
          <w:rFonts w:ascii="Times New Roman" w:hAnsi="Times New Roman"/>
          <w:noProof/>
          <w:sz w:val="24"/>
          <w:shd w:val="clear" w:color="auto" w:fill="FFFFFF"/>
        </w:rPr>
        <w:t>2d rozporządzenia (UE) 2016/399 pozwala na odstępstwo od zasady prowadzenia systematycznych odpraw</w:t>
      </w:r>
      <w:r w:rsidR="00AC2DE7" w:rsidRPr="00AC2DE7">
        <w:rPr>
          <w:rFonts w:ascii="Times New Roman" w:hAnsi="Times New Roman"/>
          <w:noProof/>
          <w:sz w:val="24"/>
          <w:shd w:val="clear" w:color="auto" w:fill="FFFFFF"/>
        </w:rPr>
        <w:t xml:space="preserve"> z wyk</w:t>
      </w:r>
      <w:r w:rsidRPr="00AC2DE7">
        <w:rPr>
          <w:rFonts w:ascii="Times New Roman" w:hAnsi="Times New Roman"/>
          <w:noProof/>
          <w:sz w:val="24"/>
          <w:shd w:val="clear" w:color="auto" w:fill="FFFFFF"/>
        </w:rPr>
        <w:t>orzystaniem odpowiednich baz danych</w:t>
      </w:r>
      <w:r w:rsidRPr="00AC2DE7">
        <w:rPr>
          <w:rStyle w:val="FootnoteReference"/>
          <w:rFonts w:ascii="Times New Roman" w:hAnsi="Times New Roman" w:cs="Times New Roman"/>
          <w:noProof/>
          <w:sz w:val="24"/>
          <w:szCs w:val="24"/>
        </w:rPr>
        <w:footnoteReference w:id="15"/>
      </w:r>
      <w:r w:rsidRPr="00AC2DE7">
        <w:rPr>
          <w:rFonts w:ascii="Times New Roman" w:hAnsi="Times New Roman"/>
          <w:noProof/>
          <w:sz w:val="24"/>
          <w:shd w:val="clear" w:color="auto" w:fill="FFFFFF"/>
        </w:rPr>
        <w:t xml:space="preserve"> dotyczących osób korzystających</w:t>
      </w:r>
      <w:r w:rsidR="00AC2DE7" w:rsidRPr="00AC2DE7">
        <w:rPr>
          <w:rFonts w:ascii="Times New Roman" w:hAnsi="Times New Roman"/>
          <w:noProof/>
          <w:sz w:val="24"/>
          <w:shd w:val="clear" w:color="auto" w:fill="FFFFFF"/>
        </w:rPr>
        <w:t xml:space="preserve"> z pra</w:t>
      </w:r>
      <w:r w:rsidRPr="00AC2DE7">
        <w:rPr>
          <w:rFonts w:ascii="Times New Roman" w:hAnsi="Times New Roman"/>
          <w:noProof/>
          <w:sz w:val="24"/>
          <w:shd w:val="clear" w:color="auto" w:fill="FFFFFF"/>
        </w:rPr>
        <w:t>wa do swobodnego przemieszczania się, gdy spełnione są dwa łączne warunki: (i) </w:t>
      </w:r>
      <w:r w:rsidRPr="00AC2DE7">
        <w:rPr>
          <w:rFonts w:ascii="Times New Roman" w:hAnsi="Times New Roman"/>
          <w:noProof/>
          <w:sz w:val="24"/>
        </w:rPr>
        <w:t>odprawy</w:t>
      </w:r>
      <w:r w:rsidR="00AC2DE7" w:rsidRPr="00AC2DE7">
        <w:rPr>
          <w:rFonts w:ascii="Times New Roman" w:hAnsi="Times New Roman"/>
          <w:noProof/>
          <w:sz w:val="24"/>
        </w:rPr>
        <w:t xml:space="preserve"> z wyk</w:t>
      </w:r>
      <w:r w:rsidRPr="00AC2DE7">
        <w:rPr>
          <w:rFonts w:ascii="Times New Roman" w:hAnsi="Times New Roman"/>
          <w:noProof/>
          <w:sz w:val="24"/>
        </w:rPr>
        <w:t>orzystaniem odpowiednich baz danych na konkretnych przejściach granicznych miałyby nieproporcjonalnie duży wpływ na płynność ruchu oraz (ii) dane państwo członkowskie przygotowuje ocenę ryzyka wykazującą, że stosowanie odpraw</w:t>
      </w:r>
      <w:r w:rsidR="00AC2DE7" w:rsidRPr="00AC2DE7">
        <w:rPr>
          <w:rFonts w:ascii="Times New Roman" w:hAnsi="Times New Roman"/>
          <w:noProof/>
          <w:sz w:val="24"/>
        </w:rPr>
        <w:t xml:space="preserve"> w spo</w:t>
      </w:r>
      <w:r w:rsidRPr="00AC2DE7">
        <w:rPr>
          <w:rFonts w:ascii="Times New Roman" w:hAnsi="Times New Roman"/>
          <w:noProof/>
          <w:sz w:val="24"/>
        </w:rPr>
        <w:t>sób ukierunkowany nie spowoduje zagrożenia dla bezpieczeństwa.</w:t>
      </w:r>
    </w:p>
    <w:p w14:paraId="12474CDE" w14:textId="20067E27" w:rsidR="00E3793F" w:rsidRPr="00AC2DE7" w:rsidRDefault="00EA707C" w:rsidP="00434401">
      <w:pPr>
        <w:spacing w:line="276" w:lineRule="auto"/>
        <w:jc w:val="both"/>
        <w:rPr>
          <w:rFonts w:ascii="Times New Roman" w:hAnsi="Times New Roman" w:cs="Times New Roman"/>
          <w:b/>
          <w:noProof/>
          <w:sz w:val="24"/>
          <w:szCs w:val="24"/>
        </w:rPr>
      </w:pPr>
      <w:r w:rsidRPr="00AC2DE7">
        <w:rPr>
          <w:rFonts w:ascii="Times New Roman" w:hAnsi="Times New Roman"/>
          <w:noProof/>
          <w:sz w:val="24"/>
          <w:shd w:val="clear" w:color="auto" w:fill="FFFFFF"/>
        </w:rPr>
        <w:t>Podczas gdy odstępstwa od systematycznych odpraw są nadal możliwe na granicach lądowych</w:t>
      </w:r>
      <w:r w:rsidR="00AC2DE7" w:rsidRPr="00AC2DE7">
        <w:rPr>
          <w:rFonts w:ascii="Times New Roman" w:hAnsi="Times New Roman"/>
          <w:noProof/>
          <w:sz w:val="24"/>
          <w:shd w:val="clear" w:color="auto" w:fill="FFFFFF"/>
        </w:rPr>
        <w:t xml:space="preserve"> i mor</w:t>
      </w:r>
      <w:r w:rsidRPr="00AC2DE7">
        <w:rPr>
          <w:rFonts w:ascii="Times New Roman" w:hAnsi="Times New Roman"/>
          <w:noProof/>
          <w:sz w:val="24"/>
          <w:shd w:val="clear" w:color="auto" w:fill="FFFFFF"/>
        </w:rPr>
        <w:t>skich, odstępstwa na granicach powietrznych zostały ograniczone do maksymalnego okresu przejściowego wynoszącego 6 miesięcy od wejścia</w:t>
      </w:r>
      <w:r w:rsidR="00AC2DE7" w:rsidRPr="00AC2DE7">
        <w:rPr>
          <w:rFonts w:ascii="Times New Roman" w:hAnsi="Times New Roman"/>
          <w:noProof/>
          <w:sz w:val="24"/>
          <w:shd w:val="clear" w:color="auto" w:fill="FFFFFF"/>
        </w:rPr>
        <w:t xml:space="preserve"> w życ</w:t>
      </w:r>
      <w:r w:rsidRPr="00AC2DE7">
        <w:rPr>
          <w:rFonts w:ascii="Times New Roman" w:hAnsi="Times New Roman"/>
          <w:noProof/>
          <w:sz w:val="24"/>
          <w:shd w:val="clear" w:color="auto" w:fill="FFFFFF"/>
        </w:rPr>
        <w:t>ie rozporządzenia</w:t>
      </w:r>
      <w:r w:rsidR="00A72AC5" w:rsidRPr="00AC2DE7">
        <w:rPr>
          <w:rStyle w:val="FootnoteReference"/>
          <w:rFonts w:ascii="Times New Roman" w:hAnsi="Times New Roman" w:cs="Times New Roman"/>
          <w:noProof/>
          <w:sz w:val="24"/>
          <w:szCs w:val="24"/>
          <w:shd w:val="clear" w:color="auto" w:fill="FFFFFF"/>
        </w:rPr>
        <w:footnoteReference w:id="16"/>
      </w:r>
      <w:r w:rsidRPr="00AC2DE7">
        <w:rPr>
          <w:rFonts w:ascii="Times New Roman" w:hAnsi="Times New Roman"/>
          <w:noProof/>
          <w:sz w:val="24"/>
          <w:shd w:val="clear" w:color="auto" w:fill="FFFFFF"/>
        </w:rPr>
        <w:t>. Państwa członkowskie mogły przedłużyć ten okres</w:t>
      </w:r>
      <w:r w:rsidR="00AC2DE7" w:rsidRPr="00AC2DE7">
        <w:rPr>
          <w:rFonts w:ascii="Times New Roman" w:hAnsi="Times New Roman"/>
          <w:noProof/>
          <w:sz w:val="24"/>
          <w:shd w:val="clear" w:color="auto" w:fill="FFFFFF"/>
        </w:rPr>
        <w:t xml:space="preserve"> o dod</w:t>
      </w:r>
      <w:r w:rsidRPr="00AC2DE7">
        <w:rPr>
          <w:rFonts w:ascii="Times New Roman" w:hAnsi="Times New Roman"/>
          <w:noProof/>
          <w:sz w:val="24"/>
          <w:shd w:val="clear" w:color="auto" w:fill="FFFFFF"/>
        </w:rPr>
        <w:t>atkowe 18 miesięcy, do dnia 7 kwietnia 2019</w:t>
      </w:r>
      <w:r w:rsidR="00836F72" w:rsidRPr="00AC2DE7">
        <w:rPr>
          <w:rFonts w:ascii="Times New Roman" w:hAnsi="Times New Roman"/>
          <w:noProof/>
          <w:sz w:val="24"/>
          <w:shd w:val="clear" w:color="auto" w:fill="FFFFFF"/>
        </w:rPr>
        <w:t> </w:t>
      </w:r>
      <w:r w:rsidRPr="00AC2DE7">
        <w:rPr>
          <w:rFonts w:ascii="Times New Roman" w:hAnsi="Times New Roman"/>
          <w:noProof/>
          <w:sz w:val="24"/>
          <w:shd w:val="clear" w:color="auto" w:fill="FFFFFF"/>
        </w:rPr>
        <w:t>r., ze względu na wyjątkowe trudności infrastrukturalne</w:t>
      </w:r>
      <w:r w:rsidR="00C203EE" w:rsidRPr="00AC2DE7">
        <w:rPr>
          <w:rStyle w:val="FootnoteReference"/>
          <w:rFonts w:ascii="Times New Roman" w:hAnsi="Times New Roman" w:cs="Times New Roman"/>
          <w:noProof/>
          <w:sz w:val="24"/>
          <w:szCs w:val="24"/>
          <w:shd w:val="clear" w:color="auto" w:fill="FFFFFF"/>
        </w:rPr>
        <w:footnoteReference w:id="17"/>
      </w:r>
      <w:r w:rsidRPr="00AC2DE7">
        <w:rPr>
          <w:rFonts w:ascii="Times New Roman" w:hAnsi="Times New Roman"/>
          <w:noProof/>
          <w:sz w:val="24"/>
          <w:shd w:val="clear" w:color="auto" w:fill="FFFFFF"/>
        </w:rPr>
        <w:t>.</w:t>
      </w:r>
    </w:p>
    <w:p w14:paraId="70D7DCED" w14:textId="36E10DED" w:rsidR="00E34409" w:rsidRPr="00AC2DE7" w:rsidRDefault="006F3E97" w:rsidP="00434401">
      <w:pPr>
        <w:spacing w:line="276" w:lineRule="auto"/>
        <w:jc w:val="both"/>
        <w:rPr>
          <w:rFonts w:ascii="Times New Roman" w:hAnsi="Times New Roman" w:cs="Times New Roman"/>
          <w:noProof/>
          <w:sz w:val="24"/>
          <w:szCs w:val="24"/>
        </w:rPr>
      </w:pPr>
      <w:r w:rsidRPr="00AC2DE7">
        <w:rPr>
          <w:rFonts w:ascii="Times New Roman" w:hAnsi="Times New Roman"/>
          <w:noProof/>
          <w:sz w:val="24"/>
        </w:rPr>
        <w:t>Z powiadomień przesłanych Komisji przez państwa członkowskie wynika, że</w:t>
      </w:r>
      <w:r w:rsidR="00AC2DE7" w:rsidRPr="00AC2DE7">
        <w:rPr>
          <w:rFonts w:ascii="Times New Roman" w:hAnsi="Times New Roman"/>
          <w:noProof/>
          <w:sz w:val="24"/>
        </w:rPr>
        <w:t xml:space="preserve"> w okr</w:t>
      </w:r>
      <w:r w:rsidRPr="00AC2DE7">
        <w:rPr>
          <w:rFonts w:ascii="Times New Roman" w:hAnsi="Times New Roman"/>
          <w:noProof/>
          <w:sz w:val="24"/>
        </w:rPr>
        <w:t>esie od kwietnia do października 2017</w:t>
      </w:r>
      <w:r w:rsidR="00836F72" w:rsidRPr="00AC2DE7">
        <w:rPr>
          <w:rFonts w:ascii="Times New Roman" w:hAnsi="Times New Roman"/>
          <w:noProof/>
          <w:sz w:val="24"/>
        </w:rPr>
        <w:t> </w:t>
      </w:r>
      <w:r w:rsidRPr="00AC2DE7">
        <w:rPr>
          <w:rFonts w:ascii="Times New Roman" w:hAnsi="Times New Roman"/>
          <w:noProof/>
          <w:sz w:val="24"/>
        </w:rPr>
        <w:t>r. tymczasowe 6-miesięczne odstępstwo zastosowało 13 państw członkowskich. Spośród nich 7 państw członkowskich przedłużyło okres obowiązywania odstępstwa maksymalnie</w:t>
      </w:r>
      <w:r w:rsidR="00AC2DE7" w:rsidRPr="00AC2DE7">
        <w:rPr>
          <w:rFonts w:ascii="Times New Roman" w:hAnsi="Times New Roman"/>
          <w:noProof/>
          <w:sz w:val="24"/>
        </w:rPr>
        <w:t xml:space="preserve"> o kol</w:t>
      </w:r>
      <w:r w:rsidRPr="00AC2DE7">
        <w:rPr>
          <w:rFonts w:ascii="Times New Roman" w:hAnsi="Times New Roman"/>
          <w:noProof/>
          <w:sz w:val="24"/>
        </w:rPr>
        <w:t>ejne 18 miesięcy. Ponadto cztery państwa członkowskie powiadomiły Komisję, że stosują odstępstwo na granicach lądowych,</w:t>
      </w:r>
      <w:r w:rsidR="00AC2DE7" w:rsidRPr="00AC2DE7">
        <w:rPr>
          <w:rFonts w:ascii="Times New Roman" w:hAnsi="Times New Roman"/>
          <w:noProof/>
          <w:sz w:val="24"/>
        </w:rPr>
        <w:t xml:space="preserve"> a trz</w:t>
      </w:r>
      <w:r w:rsidRPr="00AC2DE7">
        <w:rPr>
          <w:rFonts w:ascii="Times New Roman" w:hAnsi="Times New Roman"/>
          <w:noProof/>
          <w:sz w:val="24"/>
        </w:rPr>
        <w:t>y</w:t>
      </w:r>
      <w:r w:rsidR="00AC2DE7" w:rsidRPr="00AC2DE7">
        <w:rPr>
          <w:rFonts w:ascii="Times New Roman" w:hAnsi="Times New Roman"/>
          <w:noProof/>
          <w:sz w:val="24"/>
        </w:rPr>
        <w:t xml:space="preserve"> z nic</w:t>
      </w:r>
      <w:r w:rsidRPr="00AC2DE7">
        <w:rPr>
          <w:rFonts w:ascii="Times New Roman" w:hAnsi="Times New Roman"/>
          <w:noProof/>
          <w:sz w:val="24"/>
        </w:rPr>
        <w:t>h</w:t>
      </w:r>
      <w:r w:rsidR="00AC2DE7" w:rsidRPr="00AC2DE7">
        <w:rPr>
          <w:rFonts w:ascii="Times New Roman" w:hAnsi="Times New Roman"/>
          <w:noProof/>
          <w:sz w:val="24"/>
        </w:rPr>
        <w:t xml:space="preserve"> w zwi</w:t>
      </w:r>
      <w:r w:rsidRPr="00AC2DE7">
        <w:rPr>
          <w:rFonts w:ascii="Times New Roman" w:hAnsi="Times New Roman"/>
          <w:noProof/>
          <w:sz w:val="24"/>
        </w:rPr>
        <w:t>ązku</w:t>
      </w:r>
      <w:r w:rsidR="00AC2DE7" w:rsidRPr="00AC2DE7">
        <w:rPr>
          <w:rFonts w:ascii="Times New Roman" w:hAnsi="Times New Roman"/>
          <w:noProof/>
          <w:sz w:val="24"/>
        </w:rPr>
        <w:t xml:space="preserve"> z sez</w:t>
      </w:r>
      <w:r w:rsidRPr="00AC2DE7">
        <w:rPr>
          <w:rFonts w:ascii="Times New Roman" w:hAnsi="Times New Roman"/>
          <w:noProof/>
          <w:sz w:val="24"/>
        </w:rPr>
        <w:t xml:space="preserve">onem wakacyjnym 2019/2020. </w:t>
      </w:r>
    </w:p>
    <w:p w14:paraId="75251FD0" w14:textId="064A5A76" w:rsidR="00711115" w:rsidRPr="00AC2DE7" w:rsidRDefault="00711115" w:rsidP="00711115">
      <w:pPr>
        <w:spacing w:line="276" w:lineRule="auto"/>
        <w:jc w:val="center"/>
        <w:rPr>
          <w:rFonts w:ascii="Times New Roman" w:hAnsi="Times New Roman" w:cs="Times New Roman"/>
          <w:i/>
          <w:noProof/>
          <w:sz w:val="24"/>
          <w:szCs w:val="24"/>
        </w:rPr>
      </w:pPr>
      <w:r w:rsidRPr="00AC2DE7">
        <w:rPr>
          <w:rFonts w:ascii="Times New Roman" w:hAnsi="Times New Roman"/>
          <w:i/>
          <w:noProof/>
          <w:sz w:val="24"/>
        </w:rPr>
        <w:t>Tabela 2: Powiadomienia przesłane przez państwa członkowskie</w:t>
      </w:r>
      <w:r w:rsidR="00AC2DE7" w:rsidRPr="00AC2DE7">
        <w:rPr>
          <w:rFonts w:ascii="Times New Roman" w:hAnsi="Times New Roman"/>
          <w:i/>
          <w:noProof/>
          <w:sz w:val="24"/>
        </w:rPr>
        <w:t xml:space="preserve"> w spr</w:t>
      </w:r>
      <w:r w:rsidRPr="00AC2DE7">
        <w:rPr>
          <w:rFonts w:ascii="Times New Roman" w:hAnsi="Times New Roman"/>
          <w:i/>
          <w:noProof/>
          <w:sz w:val="24"/>
        </w:rPr>
        <w:t xml:space="preserve">awie odstępstw </w:t>
      </w:r>
      <w:r w:rsidRPr="00AC2DE7">
        <w:rPr>
          <w:rFonts w:ascii="Times New Roman" w:hAnsi="Times New Roman"/>
          <w:i/>
          <w:noProof/>
          <w:sz w:val="24"/>
          <w:shd w:val="clear" w:color="auto" w:fill="FFFFFF"/>
        </w:rPr>
        <w:t>od zasady systematycznych odpraw</w:t>
      </w:r>
      <w:r w:rsidR="00AC2DE7" w:rsidRPr="00AC2DE7">
        <w:rPr>
          <w:rFonts w:ascii="Times New Roman" w:hAnsi="Times New Roman"/>
          <w:i/>
          <w:noProof/>
          <w:sz w:val="24"/>
          <w:shd w:val="clear" w:color="auto" w:fill="FFFFFF"/>
        </w:rPr>
        <w:t xml:space="preserve"> z wyk</w:t>
      </w:r>
      <w:r w:rsidRPr="00AC2DE7">
        <w:rPr>
          <w:rFonts w:ascii="Times New Roman" w:hAnsi="Times New Roman"/>
          <w:i/>
          <w:noProof/>
          <w:sz w:val="24"/>
          <w:shd w:val="clear" w:color="auto" w:fill="FFFFFF"/>
        </w:rPr>
        <w:t>orzystaniem odpowiednich baz danych</w:t>
      </w: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6"/>
        <w:gridCol w:w="1824"/>
        <w:gridCol w:w="1824"/>
        <w:gridCol w:w="1824"/>
        <w:gridCol w:w="1825"/>
      </w:tblGrid>
      <w:tr w:rsidR="0047580A" w:rsidRPr="00AC2DE7" w14:paraId="0D65A6F2" w14:textId="77777777" w:rsidTr="001B7E75">
        <w:trPr>
          <w:jc w:val="center"/>
        </w:trPr>
        <w:tc>
          <w:tcPr>
            <w:tcW w:w="513" w:type="dxa"/>
            <w:tcBorders>
              <w:top w:val="single" w:sz="4" w:space="0" w:color="FFFFFF" w:themeColor="background1"/>
              <w:bottom w:val="single" w:sz="4" w:space="0" w:color="D9D9D9" w:themeColor="background1" w:themeShade="D9"/>
              <w:right w:val="nil"/>
            </w:tcBorders>
          </w:tcPr>
          <w:p w14:paraId="3E1120E8" w14:textId="77777777" w:rsidR="0047580A" w:rsidRPr="00AC2DE7" w:rsidRDefault="0047580A" w:rsidP="0055335B">
            <w:pPr>
              <w:jc w:val="center"/>
              <w:rPr>
                <w:rFonts w:ascii="Times New Roman" w:hAnsi="Times New Roman" w:cs="Times New Roman"/>
                <w:noProof/>
              </w:rPr>
            </w:pPr>
          </w:p>
        </w:tc>
        <w:tc>
          <w:tcPr>
            <w:tcW w:w="1824" w:type="dxa"/>
            <w:tcBorders>
              <w:top w:val="nil"/>
              <w:left w:val="nil"/>
              <w:bottom w:val="single" w:sz="4" w:space="0" w:color="D9D9D9" w:themeColor="background1" w:themeShade="D9"/>
              <w:right w:val="nil"/>
            </w:tcBorders>
          </w:tcPr>
          <w:p w14:paraId="322828B1" w14:textId="52A07527" w:rsidR="0047580A" w:rsidRPr="00AC2DE7" w:rsidRDefault="0047580A" w:rsidP="0055335B">
            <w:pPr>
              <w:jc w:val="center"/>
              <w:rPr>
                <w:rFonts w:ascii="Times New Roman" w:hAnsi="Times New Roman" w:cs="Times New Roman"/>
                <w:noProof/>
                <w:sz w:val="18"/>
                <w:szCs w:val="18"/>
              </w:rPr>
            </w:pPr>
            <w:r w:rsidRPr="00AC2DE7">
              <w:rPr>
                <w:rFonts w:ascii="Times New Roman" w:hAnsi="Times New Roman"/>
                <w:noProof/>
                <w:sz w:val="18"/>
              </w:rPr>
              <w:t>Zastosowano odstępstwo</w:t>
            </w:r>
            <w:r w:rsidR="00AC2DE7" w:rsidRPr="00AC2DE7">
              <w:rPr>
                <w:rFonts w:ascii="Times New Roman" w:hAnsi="Times New Roman"/>
                <w:noProof/>
                <w:sz w:val="18"/>
              </w:rPr>
              <w:t xml:space="preserve"> w cią</w:t>
            </w:r>
            <w:r w:rsidRPr="00AC2DE7">
              <w:rPr>
                <w:rFonts w:ascii="Times New Roman" w:hAnsi="Times New Roman"/>
                <w:noProof/>
                <w:sz w:val="18"/>
              </w:rPr>
              <w:t>gu pierwszych 6 miesięcy</w:t>
            </w:r>
          </w:p>
          <w:p w14:paraId="49ADE1EC" w14:textId="6C5C277C" w:rsidR="0047580A" w:rsidRPr="00AC2DE7" w:rsidRDefault="0047580A" w:rsidP="0055335B">
            <w:pPr>
              <w:jc w:val="center"/>
              <w:rPr>
                <w:rFonts w:ascii="Times New Roman" w:hAnsi="Times New Roman" w:cs="Times New Roman"/>
                <w:noProof/>
                <w:sz w:val="18"/>
                <w:szCs w:val="18"/>
              </w:rPr>
            </w:pPr>
            <w:r w:rsidRPr="00AC2DE7">
              <w:rPr>
                <w:rFonts w:ascii="Times New Roman" w:hAnsi="Times New Roman"/>
                <w:noProof/>
                <w:sz w:val="14"/>
              </w:rPr>
              <w:t>(te same zasady dla granic lądowych</w:t>
            </w:r>
            <w:r w:rsidR="00AC2DE7" w:rsidRPr="00AC2DE7">
              <w:rPr>
                <w:rFonts w:ascii="Times New Roman" w:hAnsi="Times New Roman"/>
                <w:noProof/>
                <w:sz w:val="14"/>
              </w:rPr>
              <w:t xml:space="preserve"> i pow</w:t>
            </w:r>
            <w:r w:rsidRPr="00AC2DE7">
              <w:rPr>
                <w:rFonts w:ascii="Times New Roman" w:hAnsi="Times New Roman"/>
                <w:noProof/>
                <w:sz w:val="14"/>
              </w:rPr>
              <w:t>ietrznych)</w:t>
            </w:r>
          </w:p>
        </w:tc>
        <w:tc>
          <w:tcPr>
            <w:tcW w:w="1824" w:type="dxa"/>
            <w:tcBorders>
              <w:left w:val="nil"/>
              <w:bottom w:val="single" w:sz="4" w:space="0" w:color="D9D9D9" w:themeColor="background1" w:themeShade="D9"/>
              <w:right w:val="nil"/>
            </w:tcBorders>
          </w:tcPr>
          <w:p w14:paraId="2EC0E97C" w14:textId="533F02EB" w:rsidR="0047580A" w:rsidRPr="00AC2DE7" w:rsidRDefault="0047580A" w:rsidP="0055335B">
            <w:pPr>
              <w:jc w:val="center"/>
              <w:rPr>
                <w:rFonts w:ascii="Times New Roman" w:hAnsi="Times New Roman" w:cs="Times New Roman"/>
                <w:noProof/>
                <w:sz w:val="18"/>
                <w:szCs w:val="18"/>
              </w:rPr>
            </w:pPr>
            <w:r w:rsidRPr="00AC2DE7">
              <w:rPr>
                <w:rFonts w:ascii="Times New Roman" w:hAnsi="Times New Roman"/>
                <w:noProof/>
                <w:sz w:val="18"/>
              </w:rPr>
              <w:t>Zastosowano odstępstwa</w:t>
            </w:r>
            <w:r w:rsidR="00AC2DE7" w:rsidRPr="00AC2DE7">
              <w:rPr>
                <w:rFonts w:ascii="Times New Roman" w:hAnsi="Times New Roman"/>
                <w:noProof/>
                <w:sz w:val="18"/>
              </w:rPr>
              <w:t xml:space="preserve"> w prz</w:t>
            </w:r>
            <w:r w:rsidRPr="00AC2DE7">
              <w:rPr>
                <w:rFonts w:ascii="Times New Roman" w:hAnsi="Times New Roman"/>
                <w:noProof/>
                <w:sz w:val="18"/>
              </w:rPr>
              <w:t xml:space="preserve">ypadku granic powietrznych na okres dłuższy niż 6 miesięcy </w:t>
            </w:r>
          </w:p>
          <w:p w14:paraId="39CA1037" w14:textId="29BFCAD6" w:rsidR="0047580A" w:rsidRPr="00AC2DE7" w:rsidRDefault="0047580A" w:rsidP="006F3E97">
            <w:pPr>
              <w:jc w:val="center"/>
              <w:rPr>
                <w:rFonts w:ascii="Times New Roman" w:hAnsi="Times New Roman" w:cs="Times New Roman"/>
                <w:noProof/>
                <w:sz w:val="18"/>
                <w:szCs w:val="18"/>
              </w:rPr>
            </w:pPr>
            <w:r w:rsidRPr="00AC2DE7">
              <w:rPr>
                <w:rFonts w:ascii="Times New Roman" w:hAnsi="Times New Roman"/>
                <w:noProof/>
                <w:sz w:val="14"/>
              </w:rPr>
              <w:t>(do</w:t>
            </w:r>
            <w:r w:rsidR="00836F72" w:rsidRPr="00AC2DE7">
              <w:rPr>
                <w:rFonts w:ascii="Times New Roman" w:hAnsi="Times New Roman"/>
                <w:noProof/>
                <w:sz w:val="14"/>
              </w:rPr>
              <w:t> </w:t>
            </w:r>
            <w:r w:rsidRPr="00AC2DE7">
              <w:rPr>
                <w:rFonts w:ascii="Times New Roman" w:hAnsi="Times New Roman"/>
                <w:noProof/>
                <w:sz w:val="14"/>
              </w:rPr>
              <w:t>7.04.2019</w:t>
            </w:r>
            <w:r w:rsidR="00836F72" w:rsidRPr="00AC2DE7">
              <w:rPr>
                <w:rFonts w:ascii="Times New Roman" w:hAnsi="Times New Roman"/>
                <w:noProof/>
                <w:sz w:val="14"/>
              </w:rPr>
              <w:t> </w:t>
            </w:r>
            <w:r w:rsidRPr="00AC2DE7">
              <w:rPr>
                <w:rFonts w:ascii="Times New Roman" w:hAnsi="Times New Roman"/>
                <w:noProof/>
                <w:sz w:val="14"/>
              </w:rPr>
              <w:t>r.)</w:t>
            </w:r>
          </w:p>
        </w:tc>
        <w:tc>
          <w:tcPr>
            <w:tcW w:w="1824" w:type="dxa"/>
            <w:tcBorders>
              <w:top w:val="nil"/>
              <w:left w:val="nil"/>
              <w:bottom w:val="single" w:sz="4" w:space="0" w:color="D9D9D9" w:themeColor="background1" w:themeShade="D9"/>
              <w:right w:val="nil"/>
            </w:tcBorders>
          </w:tcPr>
          <w:p w14:paraId="17DCE37A" w14:textId="2F574C5B" w:rsidR="0047580A" w:rsidRPr="00AC2DE7" w:rsidRDefault="0047580A" w:rsidP="006F3E97">
            <w:pPr>
              <w:jc w:val="center"/>
              <w:rPr>
                <w:rFonts w:ascii="Times New Roman" w:hAnsi="Times New Roman" w:cs="Times New Roman"/>
                <w:noProof/>
                <w:sz w:val="18"/>
                <w:szCs w:val="18"/>
              </w:rPr>
            </w:pPr>
            <w:r w:rsidRPr="00AC2DE7">
              <w:rPr>
                <w:rFonts w:ascii="Times New Roman" w:hAnsi="Times New Roman"/>
                <w:noProof/>
                <w:sz w:val="18"/>
              </w:rPr>
              <w:t>Zastosowano odstępstwa</w:t>
            </w:r>
            <w:r w:rsidR="00AC2DE7" w:rsidRPr="00AC2DE7">
              <w:rPr>
                <w:rFonts w:ascii="Times New Roman" w:hAnsi="Times New Roman"/>
                <w:noProof/>
                <w:sz w:val="18"/>
              </w:rPr>
              <w:t xml:space="preserve"> w prz</w:t>
            </w:r>
            <w:r w:rsidRPr="00AC2DE7">
              <w:rPr>
                <w:rFonts w:ascii="Times New Roman" w:hAnsi="Times New Roman"/>
                <w:noProof/>
                <w:sz w:val="18"/>
              </w:rPr>
              <w:t>ypadku granic lądowych/morskich po</w:t>
            </w:r>
            <w:r w:rsidR="00836F72" w:rsidRPr="00AC2DE7">
              <w:rPr>
                <w:rFonts w:ascii="Times New Roman" w:hAnsi="Times New Roman"/>
                <w:noProof/>
                <w:sz w:val="18"/>
              </w:rPr>
              <w:t> </w:t>
            </w:r>
            <w:r w:rsidRPr="00AC2DE7">
              <w:rPr>
                <w:rFonts w:ascii="Times New Roman" w:hAnsi="Times New Roman"/>
                <w:noProof/>
                <w:sz w:val="18"/>
              </w:rPr>
              <w:t>7.04.2019</w:t>
            </w:r>
            <w:r w:rsidR="00836F72" w:rsidRPr="00AC2DE7">
              <w:rPr>
                <w:rFonts w:ascii="Times New Roman" w:hAnsi="Times New Roman"/>
                <w:noProof/>
                <w:sz w:val="18"/>
              </w:rPr>
              <w:t> </w:t>
            </w:r>
            <w:r w:rsidRPr="00AC2DE7">
              <w:rPr>
                <w:rFonts w:ascii="Times New Roman" w:hAnsi="Times New Roman"/>
                <w:noProof/>
                <w:sz w:val="18"/>
              </w:rPr>
              <w:t>r.</w:t>
            </w:r>
          </w:p>
        </w:tc>
        <w:tc>
          <w:tcPr>
            <w:tcW w:w="1825" w:type="dxa"/>
            <w:tcBorders>
              <w:left w:val="nil"/>
              <w:bottom w:val="single" w:sz="4" w:space="0" w:color="D9D9D9" w:themeColor="background1" w:themeShade="D9"/>
            </w:tcBorders>
          </w:tcPr>
          <w:p w14:paraId="100F7C77" w14:textId="77777777" w:rsidR="0047580A" w:rsidRPr="00AC2DE7" w:rsidRDefault="0047580A" w:rsidP="0055335B">
            <w:pPr>
              <w:jc w:val="center"/>
              <w:rPr>
                <w:rFonts w:ascii="Times New Roman" w:hAnsi="Times New Roman" w:cs="Times New Roman"/>
                <w:noProof/>
                <w:sz w:val="18"/>
                <w:szCs w:val="18"/>
              </w:rPr>
            </w:pPr>
            <w:r w:rsidRPr="00AC2DE7">
              <w:rPr>
                <w:rFonts w:ascii="Times New Roman" w:hAnsi="Times New Roman"/>
                <w:noProof/>
                <w:sz w:val="18"/>
              </w:rPr>
              <w:t>Obecnie obowiązują odstępstwa na granicach lądowych/morskich</w:t>
            </w:r>
          </w:p>
          <w:p w14:paraId="3D269D19" w14:textId="72D99D82" w:rsidR="0047580A" w:rsidRPr="00AC2DE7" w:rsidRDefault="0047580A" w:rsidP="00C27ED9">
            <w:pPr>
              <w:jc w:val="center"/>
              <w:rPr>
                <w:rFonts w:ascii="Times New Roman" w:hAnsi="Times New Roman" w:cs="Times New Roman"/>
                <w:noProof/>
                <w:sz w:val="18"/>
                <w:szCs w:val="18"/>
              </w:rPr>
            </w:pPr>
            <w:r w:rsidRPr="00AC2DE7">
              <w:rPr>
                <w:rFonts w:ascii="Times New Roman" w:hAnsi="Times New Roman"/>
                <w:noProof/>
                <w:sz w:val="18"/>
              </w:rPr>
              <w:t>(zgodnie ze stanem na kwiecień 2022</w:t>
            </w:r>
            <w:r w:rsidR="00836F72" w:rsidRPr="00AC2DE7">
              <w:rPr>
                <w:rFonts w:ascii="Times New Roman" w:hAnsi="Times New Roman"/>
                <w:noProof/>
                <w:sz w:val="18"/>
              </w:rPr>
              <w:t> </w:t>
            </w:r>
            <w:r w:rsidRPr="00AC2DE7">
              <w:rPr>
                <w:rFonts w:ascii="Times New Roman" w:hAnsi="Times New Roman"/>
                <w:noProof/>
                <w:sz w:val="18"/>
              </w:rPr>
              <w:t>r.)</w:t>
            </w:r>
            <w:r w:rsidR="008328CF" w:rsidRPr="00AC2DE7">
              <w:rPr>
                <w:rStyle w:val="FootnoteReference"/>
                <w:rFonts w:ascii="Times New Roman" w:hAnsi="Times New Roman" w:cs="Times New Roman"/>
                <w:noProof/>
                <w:sz w:val="18"/>
                <w:szCs w:val="18"/>
              </w:rPr>
              <w:footnoteReference w:id="18"/>
            </w:r>
          </w:p>
        </w:tc>
      </w:tr>
      <w:tr w:rsidR="0047580A" w:rsidRPr="00AC2DE7" w14:paraId="7459E2A3"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tcPr>
          <w:p w14:paraId="0FC243BF" w14:textId="77777777" w:rsidR="0047580A" w:rsidRPr="00AC2DE7" w:rsidRDefault="0047580A" w:rsidP="0055335B">
            <w:pPr>
              <w:jc w:val="center"/>
              <w:rPr>
                <w:rFonts w:ascii="Times New Roman" w:hAnsi="Times New Roman" w:cs="Times New Roman"/>
                <w:noProof/>
              </w:rPr>
            </w:pPr>
            <w:r w:rsidRPr="00AC2DE7">
              <w:rPr>
                <w:rFonts w:ascii="Times New Roman" w:hAnsi="Times New Roman"/>
                <w:noProof/>
              </w:rPr>
              <w:t>#</w:t>
            </w:r>
          </w:p>
        </w:tc>
        <w:tc>
          <w:tcPr>
            <w:tcW w:w="1824" w:type="dxa"/>
            <w:tcBorders>
              <w:top w:val="single" w:sz="4" w:space="0" w:color="D9D9D9" w:themeColor="background1" w:themeShade="D9"/>
              <w:left w:val="nil"/>
              <w:bottom w:val="single" w:sz="4" w:space="0" w:color="D9D9D9" w:themeColor="background1" w:themeShade="D9"/>
              <w:right w:val="nil"/>
            </w:tcBorders>
          </w:tcPr>
          <w:p w14:paraId="2AADA1D9" w14:textId="77777777" w:rsidR="0047580A" w:rsidRPr="00AC2DE7" w:rsidRDefault="0047580A" w:rsidP="0055335B">
            <w:pPr>
              <w:jc w:val="center"/>
              <w:rPr>
                <w:rFonts w:ascii="Times New Roman" w:hAnsi="Times New Roman" w:cs="Times New Roman"/>
                <w:noProof/>
                <w:sz w:val="18"/>
              </w:rPr>
            </w:pPr>
            <w:r w:rsidRPr="00AC2DE7">
              <w:rPr>
                <w:rFonts w:ascii="Times New Roman" w:hAnsi="Times New Roman"/>
                <w:noProof/>
                <w:sz w:val="18"/>
              </w:rPr>
              <w:t>13</w:t>
            </w:r>
          </w:p>
        </w:tc>
        <w:tc>
          <w:tcPr>
            <w:tcW w:w="1824" w:type="dxa"/>
            <w:tcBorders>
              <w:top w:val="single" w:sz="4" w:space="0" w:color="D9D9D9" w:themeColor="background1" w:themeShade="D9"/>
              <w:left w:val="nil"/>
              <w:bottom w:val="single" w:sz="4" w:space="0" w:color="D9D9D9" w:themeColor="background1" w:themeShade="D9"/>
              <w:right w:val="nil"/>
            </w:tcBorders>
          </w:tcPr>
          <w:p w14:paraId="6226C2CB" w14:textId="70A4B27F" w:rsidR="0047580A" w:rsidRPr="00AC2DE7" w:rsidRDefault="0047580A" w:rsidP="0055335B">
            <w:pPr>
              <w:jc w:val="center"/>
              <w:rPr>
                <w:rFonts w:ascii="Times New Roman" w:hAnsi="Times New Roman" w:cs="Times New Roman"/>
                <w:noProof/>
              </w:rPr>
            </w:pPr>
            <w:r w:rsidRPr="00AC2DE7">
              <w:rPr>
                <w:rFonts w:ascii="Times New Roman" w:hAnsi="Times New Roman"/>
                <w:noProof/>
              </w:rPr>
              <w:t>7</w:t>
            </w:r>
          </w:p>
        </w:tc>
        <w:tc>
          <w:tcPr>
            <w:tcW w:w="1824" w:type="dxa"/>
            <w:tcBorders>
              <w:top w:val="single" w:sz="4" w:space="0" w:color="D9D9D9" w:themeColor="background1" w:themeShade="D9"/>
              <w:left w:val="nil"/>
              <w:bottom w:val="single" w:sz="4" w:space="0" w:color="D9D9D9" w:themeColor="background1" w:themeShade="D9"/>
              <w:right w:val="nil"/>
            </w:tcBorders>
          </w:tcPr>
          <w:p w14:paraId="040BD219" w14:textId="722085B2" w:rsidR="0047580A" w:rsidRPr="00AC2DE7" w:rsidRDefault="00271398" w:rsidP="0055335B">
            <w:pPr>
              <w:jc w:val="center"/>
              <w:rPr>
                <w:rFonts w:ascii="Times New Roman" w:hAnsi="Times New Roman" w:cs="Times New Roman"/>
                <w:noProof/>
              </w:rPr>
            </w:pPr>
            <w:r w:rsidRPr="00AC2DE7">
              <w:rPr>
                <w:rFonts w:ascii="Times New Roman" w:hAnsi="Times New Roman"/>
                <w:noProof/>
              </w:rPr>
              <w:t>5</w:t>
            </w:r>
          </w:p>
        </w:tc>
        <w:tc>
          <w:tcPr>
            <w:tcW w:w="1825" w:type="dxa"/>
            <w:tcBorders>
              <w:top w:val="single" w:sz="4" w:space="0" w:color="D9D9D9" w:themeColor="background1" w:themeShade="D9"/>
              <w:left w:val="nil"/>
              <w:bottom w:val="single" w:sz="4" w:space="0" w:color="D9D9D9" w:themeColor="background1" w:themeShade="D9"/>
            </w:tcBorders>
          </w:tcPr>
          <w:p w14:paraId="5487AF38" w14:textId="5FCD693F" w:rsidR="0047580A" w:rsidRPr="00AC2DE7" w:rsidRDefault="00E97471" w:rsidP="0055335B">
            <w:pPr>
              <w:jc w:val="center"/>
              <w:rPr>
                <w:rFonts w:ascii="Times New Roman" w:hAnsi="Times New Roman" w:cs="Times New Roman"/>
                <w:noProof/>
              </w:rPr>
            </w:pPr>
            <w:r w:rsidRPr="00AC2DE7">
              <w:rPr>
                <w:rFonts w:ascii="Times New Roman" w:hAnsi="Times New Roman"/>
                <w:noProof/>
              </w:rPr>
              <w:t>7</w:t>
            </w:r>
          </w:p>
        </w:tc>
      </w:tr>
      <w:tr w:rsidR="0047580A" w:rsidRPr="00AC2DE7" w14:paraId="307D6132"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tcPr>
          <w:p w14:paraId="37588B9D" w14:textId="77777777" w:rsidR="0047580A" w:rsidRPr="00AC2DE7" w:rsidRDefault="0047580A" w:rsidP="0055335B">
            <w:pPr>
              <w:jc w:val="center"/>
              <w:rPr>
                <w:rFonts w:ascii="Times New Roman" w:hAnsi="Times New Roman" w:cs="Times New Roman"/>
                <w:b/>
                <w:noProof/>
              </w:rPr>
            </w:pPr>
            <w:r w:rsidRPr="00AC2DE7">
              <w:rPr>
                <w:rFonts w:ascii="Times New Roman" w:hAnsi="Times New Roman"/>
                <w:b/>
                <w:noProof/>
              </w:rPr>
              <w:t>AT</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5AF0DE60"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658FE8A2"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5CDC6DEF"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0F7256EC" w14:textId="77777777" w:rsidR="0047580A" w:rsidRPr="00AC2DE7" w:rsidRDefault="0047580A" w:rsidP="0055335B">
            <w:pPr>
              <w:jc w:val="center"/>
              <w:rPr>
                <w:rFonts w:ascii="Times New Roman" w:hAnsi="Times New Roman" w:cs="Times New Roman"/>
                <w:noProof/>
              </w:rPr>
            </w:pPr>
          </w:p>
        </w:tc>
      </w:tr>
      <w:tr w:rsidR="0047580A" w:rsidRPr="00AC2DE7" w14:paraId="4AEDC997"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tcPr>
          <w:p w14:paraId="55067D40" w14:textId="77777777" w:rsidR="0047580A" w:rsidRPr="00AC2DE7" w:rsidRDefault="0047580A" w:rsidP="0055335B">
            <w:pPr>
              <w:jc w:val="center"/>
              <w:rPr>
                <w:rFonts w:ascii="Times New Roman" w:hAnsi="Times New Roman" w:cs="Times New Roman"/>
                <w:b/>
                <w:noProof/>
              </w:rPr>
            </w:pPr>
            <w:r w:rsidRPr="00AC2DE7">
              <w:rPr>
                <w:rFonts w:ascii="Times New Roman" w:hAnsi="Times New Roman"/>
                <w:b/>
                <w:noProof/>
              </w:rPr>
              <w:t>BE</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74FFE207"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178F2852"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6A0A9C57"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341CAB8B" w14:textId="77777777" w:rsidR="0047580A" w:rsidRPr="00AC2DE7" w:rsidRDefault="0047580A" w:rsidP="0055335B">
            <w:pPr>
              <w:jc w:val="center"/>
              <w:rPr>
                <w:rFonts w:ascii="Times New Roman" w:hAnsi="Times New Roman" w:cs="Times New Roman"/>
                <w:noProof/>
              </w:rPr>
            </w:pPr>
          </w:p>
        </w:tc>
      </w:tr>
      <w:tr w:rsidR="0047580A" w:rsidRPr="00AC2DE7" w14:paraId="5F826DEB"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1F5B7462"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BG</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128C94DE"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3637C424"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146C7B76"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20C9244D" w14:textId="77777777" w:rsidR="0047580A" w:rsidRPr="00AC2DE7" w:rsidRDefault="0047580A" w:rsidP="0055335B">
            <w:pPr>
              <w:jc w:val="center"/>
              <w:rPr>
                <w:rFonts w:ascii="Times New Roman" w:hAnsi="Times New Roman" w:cs="Times New Roman"/>
                <w:noProof/>
              </w:rPr>
            </w:pPr>
          </w:p>
        </w:tc>
      </w:tr>
      <w:tr w:rsidR="0047580A" w:rsidRPr="00AC2DE7" w14:paraId="0949870B"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29BFC94F"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CY</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3D9A959F"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6E6AB7E5"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0F1DC2CE"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03C720FF" w14:textId="77777777" w:rsidR="0047580A" w:rsidRPr="00AC2DE7" w:rsidRDefault="0047580A" w:rsidP="0055335B">
            <w:pPr>
              <w:jc w:val="center"/>
              <w:rPr>
                <w:rFonts w:ascii="Times New Roman" w:hAnsi="Times New Roman" w:cs="Times New Roman"/>
                <w:noProof/>
              </w:rPr>
            </w:pPr>
          </w:p>
        </w:tc>
      </w:tr>
      <w:tr w:rsidR="0047580A" w:rsidRPr="00AC2DE7" w14:paraId="7AF74EBE"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64CE7182"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EL</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5EE57120"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2331BDDB"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464D3D3F"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1C3366B1" w14:textId="77777777" w:rsidR="0047580A" w:rsidRPr="00AC2DE7" w:rsidRDefault="0047580A" w:rsidP="0055335B">
            <w:pPr>
              <w:jc w:val="center"/>
              <w:rPr>
                <w:rFonts w:ascii="Times New Roman" w:hAnsi="Times New Roman" w:cs="Times New Roman"/>
                <w:noProof/>
              </w:rPr>
            </w:pPr>
          </w:p>
        </w:tc>
      </w:tr>
      <w:tr w:rsidR="0055335B" w:rsidRPr="00AC2DE7" w14:paraId="256B1A82"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7C94C2EF"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FI</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72074B06"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1CD61D4B"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5D2E8050"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5BFD747F" w14:textId="77777777" w:rsidR="0047580A" w:rsidRPr="00AC2DE7" w:rsidRDefault="0047580A" w:rsidP="0055335B">
            <w:pPr>
              <w:jc w:val="center"/>
              <w:rPr>
                <w:rFonts w:ascii="Times New Roman" w:hAnsi="Times New Roman" w:cs="Times New Roman"/>
                <w:noProof/>
              </w:rPr>
            </w:pPr>
          </w:p>
        </w:tc>
      </w:tr>
      <w:tr w:rsidR="0047580A" w:rsidRPr="00AC2DE7" w14:paraId="573967FB" w14:textId="77777777" w:rsidTr="001C604F">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18E4B60F"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HR</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19292635"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5AAB810A"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008248E9"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2133B1D1" w14:textId="77777777" w:rsidR="0047580A" w:rsidRPr="00AC2DE7" w:rsidRDefault="0047580A" w:rsidP="0055335B">
            <w:pPr>
              <w:jc w:val="center"/>
              <w:rPr>
                <w:rFonts w:ascii="Times New Roman" w:hAnsi="Times New Roman" w:cs="Times New Roman"/>
                <w:noProof/>
              </w:rPr>
            </w:pPr>
          </w:p>
        </w:tc>
      </w:tr>
      <w:tr w:rsidR="0047580A" w:rsidRPr="00AC2DE7" w14:paraId="043BA33F"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5056F158" w14:textId="77777777" w:rsidR="0047580A" w:rsidRPr="00AC2DE7" w:rsidRDefault="0047580A" w:rsidP="0055335B">
            <w:pPr>
              <w:jc w:val="center"/>
              <w:textAlignment w:val="baseline"/>
              <w:rPr>
                <w:rFonts w:ascii="Times New Roman" w:eastAsia="Times New Roman" w:hAnsi="Times New Roman" w:cs="Times New Roman"/>
                <w:b/>
                <w:noProof/>
              </w:rPr>
            </w:pPr>
            <w:r w:rsidRPr="00AC2DE7">
              <w:rPr>
                <w:rFonts w:ascii="Times New Roman" w:hAnsi="Times New Roman"/>
                <w:b/>
                <w:noProof/>
              </w:rPr>
              <w:t>HU</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3275A75E"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66A2984A"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06B9323E"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09C92275" w14:textId="77777777" w:rsidR="0047580A" w:rsidRPr="00AC2DE7" w:rsidRDefault="0047580A" w:rsidP="0055335B">
            <w:pPr>
              <w:jc w:val="center"/>
              <w:rPr>
                <w:rFonts w:ascii="Times New Roman" w:hAnsi="Times New Roman" w:cs="Times New Roman"/>
                <w:noProof/>
              </w:rPr>
            </w:pPr>
          </w:p>
        </w:tc>
      </w:tr>
      <w:tr w:rsidR="0047580A" w:rsidRPr="00AC2DE7" w14:paraId="0ED91981" w14:textId="77777777" w:rsidTr="001B7E75">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7EF258F6"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IT</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324BD499"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2227B58B"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686C65AB"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tcPr>
          <w:p w14:paraId="21853899" w14:textId="77777777" w:rsidR="0047580A" w:rsidRPr="00AC2DE7" w:rsidRDefault="0047580A" w:rsidP="0055335B">
            <w:pPr>
              <w:jc w:val="center"/>
              <w:rPr>
                <w:rFonts w:ascii="Times New Roman" w:hAnsi="Times New Roman" w:cs="Times New Roman"/>
                <w:noProof/>
              </w:rPr>
            </w:pPr>
          </w:p>
        </w:tc>
      </w:tr>
      <w:tr w:rsidR="0047580A" w:rsidRPr="00AC2DE7" w14:paraId="70438D96"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39B42E20" w14:textId="77777777" w:rsidR="0047580A" w:rsidRPr="00AC2DE7" w:rsidRDefault="0047580A" w:rsidP="0055335B">
            <w:pPr>
              <w:jc w:val="center"/>
              <w:textAlignment w:val="baseline"/>
              <w:rPr>
                <w:rFonts w:ascii="Times New Roman" w:eastAsia="Times New Roman" w:hAnsi="Times New Roman" w:cs="Times New Roman"/>
                <w:b/>
                <w:noProof/>
              </w:rPr>
            </w:pPr>
            <w:r w:rsidRPr="00AC2DE7">
              <w:rPr>
                <w:rFonts w:ascii="Times New Roman" w:hAnsi="Times New Roman"/>
                <w:b/>
                <w:noProof/>
              </w:rPr>
              <w:t>LV</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505A474F"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D966" w:themeFill="accent4" w:themeFillTint="99"/>
          </w:tcPr>
          <w:p w14:paraId="326E78B1"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5318F3B8"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7F4AB660" w14:textId="77777777" w:rsidR="0047580A" w:rsidRPr="00AC2DE7" w:rsidRDefault="0047580A" w:rsidP="0055335B">
            <w:pPr>
              <w:jc w:val="center"/>
              <w:rPr>
                <w:rFonts w:ascii="Times New Roman" w:hAnsi="Times New Roman" w:cs="Times New Roman"/>
                <w:noProof/>
              </w:rPr>
            </w:pPr>
          </w:p>
        </w:tc>
      </w:tr>
      <w:tr w:rsidR="0047580A" w:rsidRPr="00AC2DE7" w14:paraId="39326DF5" w14:textId="77777777" w:rsidTr="001C604F">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6A9BB87D"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SI</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73017D22"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tcPr>
          <w:p w14:paraId="1B2A6682"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7CAAC" w:themeFill="accent2" w:themeFillTint="66"/>
          </w:tcPr>
          <w:p w14:paraId="44AB4518"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79868893" w14:textId="77777777" w:rsidR="0047580A" w:rsidRPr="00AC2DE7" w:rsidRDefault="0047580A" w:rsidP="0055335B">
            <w:pPr>
              <w:jc w:val="center"/>
              <w:rPr>
                <w:rFonts w:ascii="Times New Roman" w:hAnsi="Times New Roman" w:cs="Times New Roman"/>
                <w:noProof/>
              </w:rPr>
            </w:pPr>
          </w:p>
        </w:tc>
      </w:tr>
      <w:tr w:rsidR="0055335B" w:rsidRPr="00AC2DE7" w14:paraId="70929DE3" w14:textId="77777777" w:rsidTr="0071503A">
        <w:trPr>
          <w:jc w:val="center"/>
        </w:trPr>
        <w:tc>
          <w:tcPr>
            <w:tcW w:w="513" w:type="dxa"/>
            <w:tcBorders>
              <w:top w:val="single" w:sz="4" w:space="0" w:color="D9D9D9" w:themeColor="background1" w:themeShade="D9"/>
              <w:bottom w:val="single" w:sz="4" w:space="0" w:color="D9D9D9" w:themeColor="background1" w:themeShade="D9"/>
              <w:right w:val="nil"/>
            </w:tcBorders>
            <w:vAlign w:val="center"/>
          </w:tcPr>
          <w:p w14:paraId="5EB121E6"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IS</w:t>
            </w: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A8D08D" w:themeFill="accent6" w:themeFillTint="99"/>
          </w:tcPr>
          <w:p w14:paraId="4C6E62D9"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bottom w:val="single" w:sz="4" w:space="0" w:color="D9D9D9" w:themeColor="background1" w:themeShade="D9"/>
              <w:right w:val="nil"/>
            </w:tcBorders>
            <w:shd w:val="clear" w:color="auto" w:fill="FFFFFF" w:themeFill="background1"/>
          </w:tcPr>
          <w:p w14:paraId="41D3070F"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single" w:sz="4" w:space="0" w:color="D9D9D9" w:themeColor="background1" w:themeShade="D9"/>
              <w:right w:val="nil"/>
            </w:tcBorders>
          </w:tcPr>
          <w:p w14:paraId="57C29753"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bottom w:val="single" w:sz="4" w:space="0" w:color="D9D9D9" w:themeColor="background1" w:themeShade="D9"/>
            </w:tcBorders>
            <w:shd w:val="clear" w:color="auto" w:fill="9CC2E5" w:themeFill="accent1" w:themeFillTint="99"/>
          </w:tcPr>
          <w:p w14:paraId="5F3432ED" w14:textId="77777777" w:rsidR="0047580A" w:rsidRPr="00AC2DE7" w:rsidRDefault="0047580A" w:rsidP="0055335B">
            <w:pPr>
              <w:jc w:val="center"/>
              <w:rPr>
                <w:rFonts w:ascii="Times New Roman" w:hAnsi="Times New Roman" w:cs="Times New Roman"/>
                <w:noProof/>
              </w:rPr>
            </w:pPr>
          </w:p>
        </w:tc>
      </w:tr>
      <w:tr w:rsidR="0047580A" w:rsidRPr="00AC2DE7" w14:paraId="7DA6134E" w14:textId="77777777" w:rsidTr="003763CA">
        <w:trPr>
          <w:jc w:val="center"/>
        </w:trPr>
        <w:tc>
          <w:tcPr>
            <w:tcW w:w="513" w:type="dxa"/>
            <w:tcBorders>
              <w:top w:val="single" w:sz="4" w:space="0" w:color="D9D9D9" w:themeColor="background1" w:themeShade="D9"/>
              <w:right w:val="nil"/>
            </w:tcBorders>
            <w:vAlign w:val="center"/>
          </w:tcPr>
          <w:p w14:paraId="43C00DF8" w14:textId="77777777" w:rsidR="0047580A" w:rsidRPr="00AC2DE7" w:rsidRDefault="0047580A" w:rsidP="0055335B">
            <w:pPr>
              <w:jc w:val="center"/>
              <w:textAlignment w:val="baseline"/>
              <w:rPr>
                <w:rFonts w:ascii="Times New Roman" w:eastAsia="Times New Roman" w:hAnsi="Times New Roman" w:cs="Times New Roman"/>
                <w:b/>
                <w:noProof/>
                <w:sz w:val="18"/>
                <w:szCs w:val="18"/>
              </w:rPr>
            </w:pPr>
            <w:r w:rsidRPr="00AC2DE7">
              <w:rPr>
                <w:rFonts w:ascii="Times New Roman" w:hAnsi="Times New Roman"/>
                <w:b/>
                <w:noProof/>
              </w:rPr>
              <w:t>NO</w:t>
            </w:r>
          </w:p>
        </w:tc>
        <w:tc>
          <w:tcPr>
            <w:tcW w:w="1824" w:type="dxa"/>
            <w:tcBorders>
              <w:top w:val="single" w:sz="4" w:space="0" w:color="D9D9D9" w:themeColor="background1" w:themeShade="D9"/>
              <w:left w:val="nil"/>
              <w:bottom w:val="nil"/>
              <w:right w:val="nil"/>
            </w:tcBorders>
            <w:shd w:val="clear" w:color="auto" w:fill="A8D08D" w:themeFill="accent6" w:themeFillTint="99"/>
          </w:tcPr>
          <w:p w14:paraId="39E4AA5A" w14:textId="77777777" w:rsidR="0047580A" w:rsidRPr="00AC2DE7" w:rsidRDefault="0047580A" w:rsidP="0055335B">
            <w:pPr>
              <w:jc w:val="center"/>
              <w:rPr>
                <w:rFonts w:ascii="Times New Roman" w:hAnsi="Times New Roman" w:cs="Times New Roman"/>
                <w:noProof/>
                <w:sz w:val="18"/>
              </w:rPr>
            </w:pPr>
          </w:p>
        </w:tc>
        <w:tc>
          <w:tcPr>
            <w:tcW w:w="1824" w:type="dxa"/>
            <w:tcBorders>
              <w:top w:val="single" w:sz="4" w:space="0" w:color="D9D9D9" w:themeColor="background1" w:themeShade="D9"/>
              <w:left w:val="nil"/>
              <w:right w:val="nil"/>
            </w:tcBorders>
            <w:shd w:val="clear" w:color="auto" w:fill="FFD966" w:themeFill="accent4" w:themeFillTint="99"/>
          </w:tcPr>
          <w:p w14:paraId="14680E92" w14:textId="77777777" w:rsidR="0047580A" w:rsidRPr="00AC2DE7" w:rsidRDefault="0047580A" w:rsidP="0055335B">
            <w:pPr>
              <w:jc w:val="center"/>
              <w:rPr>
                <w:rFonts w:ascii="Times New Roman" w:hAnsi="Times New Roman" w:cs="Times New Roman"/>
                <w:noProof/>
              </w:rPr>
            </w:pPr>
          </w:p>
        </w:tc>
        <w:tc>
          <w:tcPr>
            <w:tcW w:w="1824" w:type="dxa"/>
            <w:tcBorders>
              <w:top w:val="single" w:sz="4" w:space="0" w:color="D9D9D9" w:themeColor="background1" w:themeShade="D9"/>
              <w:left w:val="nil"/>
              <w:bottom w:val="nil"/>
              <w:right w:val="nil"/>
            </w:tcBorders>
          </w:tcPr>
          <w:p w14:paraId="7703C2A4" w14:textId="77777777" w:rsidR="0047580A" w:rsidRPr="00AC2DE7" w:rsidRDefault="0047580A" w:rsidP="0055335B">
            <w:pPr>
              <w:jc w:val="center"/>
              <w:rPr>
                <w:rFonts w:ascii="Times New Roman" w:hAnsi="Times New Roman" w:cs="Times New Roman"/>
                <w:noProof/>
              </w:rPr>
            </w:pPr>
          </w:p>
        </w:tc>
        <w:tc>
          <w:tcPr>
            <w:tcW w:w="1825" w:type="dxa"/>
            <w:tcBorders>
              <w:top w:val="single" w:sz="4" w:space="0" w:color="D9D9D9" w:themeColor="background1" w:themeShade="D9"/>
              <w:left w:val="nil"/>
            </w:tcBorders>
          </w:tcPr>
          <w:p w14:paraId="664EF1FB" w14:textId="77777777" w:rsidR="0047580A" w:rsidRPr="00AC2DE7" w:rsidRDefault="0047580A" w:rsidP="0055335B">
            <w:pPr>
              <w:jc w:val="center"/>
              <w:rPr>
                <w:rFonts w:ascii="Times New Roman" w:hAnsi="Times New Roman" w:cs="Times New Roman"/>
                <w:noProof/>
              </w:rPr>
            </w:pPr>
          </w:p>
        </w:tc>
      </w:tr>
    </w:tbl>
    <w:p w14:paraId="4B09E9BF" w14:textId="77777777" w:rsidR="001B7E75" w:rsidRPr="00AC2DE7" w:rsidRDefault="001B7E75" w:rsidP="001B7E75">
      <w:pPr>
        <w:spacing w:line="276" w:lineRule="auto"/>
        <w:jc w:val="center"/>
        <w:rPr>
          <w:rFonts w:ascii="Times New Roman" w:hAnsi="Times New Roman" w:cs="Times New Roman"/>
          <w:noProof/>
          <w:sz w:val="18"/>
          <w:szCs w:val="20"/>
        </w:rPr>
      </w:pPr>
    </w:p>
    <w:p w14:paraId="2DFBBD54" w14:textId="2EF18676" w:rsidR="00644A43" w:rsidRPr="00AC2DE7" w:rsidRDefault="0055335B" w:rsidP="001B7E75">
      <w:pPr>
        <w:spacing w:line="276" w:lineRule="auto"/>
        <w:jc w:val="center"/>
        <w:rPr>
          <w:rFonts w:ascii="Times New Roman" w:hAnsi="Times New Roman" w:cs="Times New Roman"/>
          <w:noProof/>
          <w:sz w:val="18"/>
          <w:szCs w:val="20"/>
        </w:rPr>
      </w:pPr>
      <w:r w:rsidRPr="00AC2DE7">
        <w:rPr>
          <w:rFonts w:ascii="Times New Roman" w:hAnsi="Times New Roman"/>
          <w:noProof/>
          <w:sz w:val="18"/>
        </w:rPr>
        <w:t>Tabela opracowana na podstawie powiadomień państw członkowskich wysłanych Komisji</w:t>
      </w:r>
    </w:p>
    <w:p w14:paraId="74A74353" w14:textId="33DE974C" w:rsidR="00DC1646" w:rsidRPr="00AC2DE7" w:rsidRDefault="00DC1646"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Państwa członkowskie, które zdecydują się na prowadzenie odpraw</w:t>
      </w:r>
      <w:r w:rsidR="00AC2DE7" w:rsidRPr="00AC2DE7">
        <w:rPr>
          <w:rFonts w:ascii="Times New Roman" w:hAnsi="Times New Roman"/>
          <w:noProof/>
          <w:sz w:val="24"/>
        </w:rPr>
        <w:t xml:space="preserve"> w spo</w:t>
      </w:r>
      <w:r w:rsidRPr="00AC2DE7">
        <w:rPr>
          <w:rFonts w:ascii="Times New Roman" w:hAnsi="Times New Roman"/>
          <w:noProof/>
          <w:sz w:val="24"/>
        </w:rPr>
        <w:t>sób ukierunkowany na konkretnych przejściach granicznych, mają obowiązek przedkładać co</w:t>
      </w:r>
      <w:r w:rsidR="00836F72" w:rsidRPr="00AC2DE7">
        <w:rPr>
          <w:rFonts w:ascii="Times New Roman" w:hAnsi="Times New Roman"/>
          <w:noProof/>
          <w:sz w:val="24"/>
        </w:rPr>
        <w:t> </w:t>
      </w:r>
      <w:r w:rsidRPr="00AC2DE7">
        <w:rPr>
          <w:rFonts w:ascii="Times New Roman" w:hAnsi="Times New Roman"/>
          <w:noProof/>
          <w:sz w:val="24"/>
        </w:rPr>
        <w:t>6 miesięcy Komisji</w:t>
      </w:r>
      <w:r w:rsidR="00AC2DE7" w:rsidRPr="00AC2DE7">
        <w:rPr>
          <w:rFonts w:ascii="Times New Roman" w:hAnsi="Times New Roman"/>
          <w:noProof/>
          <w:sz w:val="24"/>
        </w:rPr>
        <w:t xml:space="preserve"> i Eur</w:t>
      </w:r>
      <w:r w:rsidRPr="00AC2DE7">
        <w:rPr>
          <w:rFonts w:ascii="Times New Roman" w:hAnsi="Times New Roman"/>
          <w:noProof/>
          <w:sz w:val="24"/>
        </w:rPr>
        <w:t>opejskiej Agencji Straży Granicznej</w:t>
      </w:r>
      <w:r w:rsidR="00AC2DE7" w:rsidRPr="00AC2DE7">
        <w:rPr>
          <w:rFonts w:ascii="Times New Roman" w:hAnsi="Times New Roman"/>
          <w:noProof/>
          <w:sz w:val="24"/>
        </w:rPr>
        <w:t xml:space="preserve"> i Prz</w:t>
      </w:r>
      <w:r w:rsidRPr="00AC2DE7">
        <w:rPr>
          <w:rFonts w:ascii="Times New Roman" w:hAnsi="Times New Roman"/>
          <w:noProof/>
          <w:sz w:val="24"/>
        </w:rPr>
        <w:t>ybrzeżnej (Agencji) sprawozdania</w:t>
      </w:r>
      <w:r w:rsidR="00AC2DE7" w:rsidRPr="00AC2DE7">
        <w:rPr>
          <w:rFonts w:ascii="Times New Roman" w:hAnsi="Times New Roman"/>
          <w:noProof/>
          <w:sz w:val="24"/>
        </w:rPr>
        <w:t xml:space="preserve"> z pro</w:t>
      </w:r>
      <w:r w:rsidRPr="00AC2DE7">
        <w:rPr>
          <w:rFonts w:ascii="Times New Roman" w:hAnsi="Times New Roman"/>
          <w:noProof/>
          <w:sz w:val="24"/>
        </w:rPr>
        <w:t>wadzenia odpraw. Ze sprawozdań przedłożonych Komisji przez 13 państw członkowskich</w:t>
      </w:r>
      <w:r w:rsidR="00AC2DE7" w:rsidRPr="00AC2DE7">
        <w:rPr>
          <w:rFonts w:ascii="Times New Roman" w:hAnsi="Times New Roman"/>
          <w:noProof/>
          <w:sz w:val="24"/>
        </w:rPr>
        <w:t xml:space="preserve"> w lat</w:t>
      </w:r>
      <w:r w:rsidRPr="00AC2DE7">
        <w:rPr>
          <w:rFonts w:ascii="Times New Roman" w:hAnsi="Times New Roman"/>
          <w:noProof/>
          <w:sz w:val="24"/>
        </w:rPr>
        <w:t>ach 2017–2020 wyciągnięto następujące wnioski:</w:t>
      </w:r>
    </w:p>
    <w:p w14:paraId="0DA8024B" w14:textId="290807CD" w:rsidR="00DC1646" w:rsidRPr="00AC2DE7" w:rsidRDefault="00DC1646"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sidRPr="00AC2DE7">
        <w:rPr>
          <w:rFonts w:ascii="Times New Roman" w:hAnsi="Times New Roman"/>
          <w:noProof/>
          <w:sz w:val="24"/>
        </w:rPr>
        <w:t>osiem państw członkowskich poinformowało, że ukierunkowane odprawy prowadzone są wyłącznie</w:t>
      </w:r>
      <w:r w:rsidR="00AC2DE7" w:rsidRPr="00AC2DE7">
        <w:rPr>
          <w:rFonts w:ascii="Times New Roman" w:hAnsi="Times New Roman"/>
          <w:noProof/>
          <w:sz w:val="24"/>
        </w:rPr>
        <w:t xml:space="preserve"> w prz</w:t>
      </w:r>
      <w:r w:rsidRPr="00AC2DE7">
        <w:rPr>
          <w:rFonts w:ascii="Times New Roman" w:hAnsi="Times New Roman"/>
          <w:noProof/>
          <w:sz w:val="24"/>
        </w:rPr>
        <w:t>ypadku zwiększonego napływu pasażerów oraz</w:t>
      </w:r>
      <w:r w:rsidR="00AC2DE7" w:rsidRPr="00AC2DE7">
        <w:rPr>
          <w:rFonts w:ascii="Times New Roman" w:hAnsi="Times New Roman"/>
          <w:noProof/>
          <w:sz w:val="24"/>
        </w:rPr>
        <w:t xml:space="preserve"> w cel</w:t>
      </w:r>
      <w:r w:rsidRPr="00AC2DE7">
        <w:rPr>
          <w:rFonts w:ascii="Times New Roman" w:hAnsi="Times New Roman"/>
          <w:noProof/>
          <w:sz w:val="24"/>
        </w:rPr>
        <w:t>u zapewnienia terminowego</w:t>
      </w:r>
      <w:r w:rsidR="00AC2DE7" w:rsidRPr="00AC2DE7">
        <w:rPr>
          <w:rFonts w:ascii="Times New Roman" w:hAnsi="Times New Roman"/>
          <w:noProof/>
          <w:sz w:val="24"/>
        </w:rPr>
        <w:t xml:space="preserve"> i spr</w:t>
      </w:r>
      <w:r w:rsidRPr="00AC2DE7">
        <w:rPr>
          <w:rFonts w:ascii="Times New Roman" w:hAnsi="Times New Roman"/>
          <w:noProof/>
          <w:sz w:val="24"/>
        </w:rPr>
        <w:t>awnego przekraczania granic, przy jednoczesnym zagwarantowaniu odpowiedniego poziomu bezpieczeństwa;</w:t>
      </w:r>
    </w:p>
    <w:p w14:paraId="52099614" w14:textId="452BDCC8" w:rsidR="00DC1646" w:rsidRPr="00AC2DE7" w:rsidRDefault="00DC1646"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sidRPr="00AC2DE7">
        <w:rPr>
          <w:rFonts w:ascii="Times New Roman" w:hAnsi="Times New Roman"/>
          <w:noProof/>
          <w:sz w:val="24"/>
        </w:rPr>
        <w:t>trzy państwa członkowskie stwierdziły, że nie odnotowały znaczącego spadku liczby trafień w SIS</w:t>
      </w:r>
      <w:r w:rsidR="00AC2DE7" w:rsidRPr="00AC2DE7">
        <w:rPr>
          <w:rFonts w:ascii="Times New Roman" w:hAnsi="Times New Roman"/>
          <w:noProof/>
          <w:sz w:val="24"/>
        </w:rPr>
        <w:t xml:space="preserve"> w zwi</w:t>
      </w:r>
      <w:r w:rsidRPr="00AC2DE7">
        <w:rPr>
          <w:rFonts w:ascii="Times New Roman" w:hAnsi="Times New Roman"/>
          <w:noProof/>
          <w:sz w:val="24"/>
        </w:rPr>
        <w:t>ązku</w:t>
      </w:r>
      <w:r w:rsidR="00AC2DE7" w:rsidRPr="00AC2DE7">
        <w:rPr>
          <w:rFonts w:ascii="Times New Roman" w:hAnsi="Times New Roman"/>
          <w:noProof/>
          <w:sz w:val="24"/>
        </w:rPr>
        <w:t xml:space="preserve"> z wpr</w:t>
      </w:r>
      <w:r w:rsidRPr="00AC2DE7">
        <w:rPr>
          <w:rFonts w:ascii="Times New Roman" w:hAnsi="Times New Roman"/>
          <w:noProof/>
          <w:sz w:val="24"/>
        </w:rPr>
        <w:t>owadzonymi ukierunkowanymi odprawami;</w:t>
      </w:r>
    </w:p>
    <w:p w14:paraId="1467B3FE" w14:textId="317D07B9" w:rsidR="00DC1646" w:rsidRPr="00AC2DE7" w:rsidRDefault="00DC1646"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sidRPr="00AC2DE7">
        <w:rPr>
          <w:rFonts w:ascii="Times New Roman" w:hAnsi="Times New Roman"/>
          <w:noProof/>
          <w:sz w:val="24"/>
        </w:rPr>
        <w:t>pięć państw członkowskich zgłosiło, że tymczasowe wprowadzenie ukierunkowanych odpraw</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 nie zwiększyło ryzyka związanego</w:t>
      </w:r>
      <w:r w:rsidR="00AC2DE7" w:rsidRPr="00AC2DE7">
        <w:rPr>
          <w:rFonts w:ascii="Times New Roman" w:hAnsi="Times New Roman"/>
          <w:noProof/>
          <w:sz w:val="24"/>
        </w:rPr>
        <w:t xml:space="preserve"> z por</w:t>
      </w:r>
      <w:r w:rsidRPr="00AC2DE7">
        <w:rPr>
          <w:rFonts w:ascii="Times New Roman" w:hAnsi="Times New Roman"/>
          <w:noProof/>
          <w:sz w:val="24"/>
        </w:rPr>
        <w:t>ządkiem publicznym, bezpieczeństwem wewnętrznym, zdrowiem publicznym lub stosunkami międzynarodowymi żadnego</w:t>
      </w:r>
      <w:r w:rsidR="00AC2DE7" w:rsidRPr="00AC2DE7">
        <w:rPr>
          <w:rFonts w:ascii="Times New Roman" w:hAnsi="Times New Roman"/>
          <w:noProof/>
          <w:sz w:val="24"/>
        </w:rPr>
        <w:t xml:space="preserve"> z pań</w:t>
      </w:r>
      <w:r w:rsidRPr="00AC2DE7">
        <w:rPr>
          <w:rFonts w:ascii="Times New Roman" w:hAnsi="Times New Roman"/>
          <w:noProof/>
          <w:sz w:val="24"/>
        </w:rPr>
        <w:t>stw członkowskich</w:t>
      </w:r>
      <w:r w:rsidR="00AC2DE7" w:rsidRPr="00AC2DE7">
        <w:rPr>
          <w:rFonts w:ascii="Times New Roman" w:hAnsi="Times New Roman"/>
          <w:noProof/>
          <w:sz w:val="24"/>
        </w:rPr>
        <w:t xml:space="preserve"> i nie</w:t>
      </w:r>
      <w:r w:rsidRPr="00AC2DE7">
        <w:rPr>
          <w:rFonts w:ascii="Times New Roman" w:hAnsi="Times New Roman"/>
          <w:noProof/>
          <w:sz w:val="24"/>
        </w:rPr>
        <w:t xml:space="preserve"> wpłynęło na ochronę granic zewnętrznych UE oraz </w:t>
      </w:r>
    </w:p>
    <w:p w14:paraId="35839FE0" w14:textId="59F7B6D3" w:rsidR="00DC1646" w:rsidRPr="00AC2DE7" w:rsidRDefault="00385BBA" w:rsidP="00D46A81">
      <w:pPr>
        <w:pStyle w:val="ListParagraph"/>
        <w:numPr>
          <w:ilvl w:val="0"/>
          <w:numId w:val="13"/>
        </w:numPr>
        <w:spacing w:line="276" w:lineRule="auto"/>
        <w:contextualSpacing w:val="0"/>
        <w:jc w:val="both"/>
        <w:rPr>
          <w:rFonts w:ascii="Times New Roman" w:hAnsi="Times New Roman" w:cs="Times New Roman"/>
          <w:noProof/>
          <w:sz w:val="24"/>
          <w:szCs w:val="24"/>
        </w:rPr>
      </w:pPr>
      <w:r w:rsidRPr="00AC2DE7">
        <w:rPr>
          <w:rFonts w:ascii="Times New Roman" w:hAnsi="Times New Roman"/>
          <w:noProof/>
          <w:sz w:val="24"/>
        </w:rPr>
        <w:t>cztery państwa członkowskie stwierdziły, że zakres</w:t>
      </w:r>
      <w:r w:rsidR="00AC2DE7" w:rsidRPr="00AC2DE7">
        <w:rPr>
          <w:rFonts w:ascii="Times New Roman" w:hAnsi="Times New Roman"/>
          <w:noProof/>
          <w:sz w:val="24"/>
        </w:rPr>
        <w:t xml:space="preserve"> i cza</w:t>
      </w:r>
      <w:r w:rsidRPr="00AC2DE7">
        <w:rPr>
          <w:rFonts w:ascii="Times New Roman" w:hAnsi="Times New Roman"/>
          <w:noProof/>
          <w:sz w:val="24"/>
        </w:rPr>
        <w:t>s trwania ukierunkowanych odpraw</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 nie wykraczał poza to, co było ściśle niezbędne.</w:t>
      </w:r>
    </w:p>
    <w:p w14:paraId="493936CF" w14:textId="24AFDD8D" w:rsidR="00F04C5E" w:rsidRPr="00AC2DE7" w:rsidRDefault="007B20CD"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Podczas pandemii COVID-19 żadne państwo członkowskie nie powiadomiło Komisji</w:t>
      </w:r>
      <w:r w:rsidR="00AC2DE7" w:rsidRPr="00AC2DE7">
        <w:rPr>
          <w:rFonts w:ascii="Times New Roman" w:hAnsi="Times New Roman"/>
          <w:noProof/>
          <w:sz w:val="24"/>
        </w:rPr>
        <w:t xml:space="preserve"> o zam</w:t>
      </w:r>
      <w:r w:rsidRPr="00AC2DE7">
        <w:rPr>
          <w:rFonts w:ascii="Times New Roman" w:hAnsi="Times New Roman"/>
          <w:noProof/>
          <w:sz w:val="24"/>
        </w:rPr>
        <w:t>iarze skorzystania</w:t>
      </w:r>
      <w:r w:rsidR="00AC2DE7" w:rsidRPr="00AC2DE7">
        <w:rPr>
          <w:rFonts w:ascii="Times New Roman" w:hAnsi="Times New Roman"/>
          <w:noProof/>
          <w:sz w:val="24"/>
        </w:rPr>
        <w:t xml:space="preserve"> z ods</w:t>
      </w:r>
      <w:r w:rsidRPr="00AC2DE7">
        <w:rPr>
          <w:rFonts w:ascii="Times New Roman" w:hAnsi="Times New Roman"/>
          <w:noProof/>
          <w:sz w:val="24"/>
        </w:rPr>
        <w:t>tępstw</w:t>
      </w:r>
      <w:r w:rsidR="00AC2DE7" w:rsidRPr="00AC2DE7">
        <w:rPr>
          <w:rFonts w:ascii="Times New Roman" w:hAnsi="Times New Roman"/>
          <w:noProof/>
          <w:sz w:val="24"/>
        </w:rPr>
        <w:t xml:space="preserve"> w tym</w:t>
      </w:r>
      <w:r w:rsidRPr="00AC2DE7">
        <w:rPr>
          <w:rFonts w:ascii="Times New Roman" w:hAnsi="Times New Roman"/>
          <w:noProof/>
          <w:sz w:val="24"/>
        </w:rPr>
        <w:t xml:space="preserve"> okresie. Do 15 maja 2022</w:t>
      </w:r>
      <w:r w:rsidR="00836F72" w:rsidRPr="00AC2DE7">
        <w:rPr>
          <w:rFonts w:ascii="Times New Roman" w:hAnsi="Times New Roman"/>
          <w:noProof/>
          <w:sz w:val="24"/>
        </w:rPr>
        <w:t> </w:t>
      </w:r>
      <w:r w:rsidRPr="00AC2DE7">
        <w:rPr>
          <w:rFonts w:ascii="Times New Roman" w:hAnsi="Times New Roman"/>
          <w:noProof/>
          <w:sz w:val="24"/>
        </w:rPr>
        <w:t>r. siedem państw członkowskich powiadomiło Komisję</w:t>
      </w:r>
      <w:r w:rsidR="00AC2DE7" w:rsidRPr="00AC2DE7">
        <w:rPr>
          <w:rFonts w:ascii="Times New Roman" w:hAnsi="Times New Roman"/>
          <w:noProof/>
          <w:sz w:val="24"/>
        </w:rPr>
        <w:t xml:space="preserve"> o moż</w:t>
      </w:r>
      <w:r w:rsidRPr="00AC2DE7">
        <w:rPr>
          <w:rFonts w:ascii="Times New Roman" w:hAnsi="Times New Roman"/>
          <w:noProof/>
          <w:sz w:val="24"/>
        </w:rPr>
        <w:t>liwości tymczasowego zawieszenia,</w:t>
      </w:r>
      <w:r w:rsidR="00AC2DE7" w:rsidRPr="00AC2DE7">
        <w:rPr>
          <w:rFonts w:ascii="Times New Roman" w:hAnsi="Times New Roman"/>
          <w:noProof/>
          <w:sz w:val="24"/>
        </w:rPr>
        <w:t xml:space="preserve"> w raz</w:t>
      </w:r>
      <w:r w:rsidRPr="00AC2DE7">
        <w:rPr>
          <w:rFonts w:ascii="Times New Roman" w:hAnsi="Times New Roman"/>
          <w:noProof/>
          <w:sz w:val="24"/>
        </w:rPr>
        <w:t>ie potrzeby, zintensyfikowania odpraw</w:t>
      </w:r>
      <w:r w:rsidR="00AC2DE7" w:rsidRPr="00AC2DE7">
        <w:rPr>
          <w:rFonts w:ascii="Times New Roman" w:hAnsi="Times New Roman"/>
          <w:noProof/>
          <w:sz w:val="24"/>
        </w:rPr>
        <w:t xml:space="preserve"> z wyk</w:t>
      </w:r>
      <w:r w:rsidRPr="00AC2DE7">
        <w:rPr>
          <w:rFonts w:ascii="Times New Roman" w:hAnsi="Times New Roman"/>
          <w:noProof/>
          <w:sz w:val="24"/>
        </w:rPr>
        <w:t>orzystaniem odpowiednich baz danych. Te państwa członkowskie będą mogły skorzystać</w:t>
      </w:r>
      <w:r w:rsidR="00AC2DE7" w:rsidRPr="00AC2DE7">
        <w:rPr>
          <w:rFonts w:ascii="Times New Roman" w:hAnsi="Times New Roman"/>
          <w:noProof/>
          <w:sz w:val="24"/>
        </w:rPr>
        <w:t xml:space="preserve"> z tej</w:t>
      </w:r>
      <w:r w:rsidRPr="00AC2DE7">
        <w:rPr>
          <w:rFonts w:ascii="Times New Roman" w:hAnsi="Times New Roman"/>
          <w:noProof/>
          <w:sz w:val="24"/>
        </w:rPr>
        <w:t xml:space="preserve"> możliwości tylko wtedy, gdy systematyczne odprawy będą wywierały nieproporcjonalny wpływ na czas oczekiwania na konkretnym przejściu granicznym lub na życie miejscowej ludności przy danej granicy. Ponadto odstępstwo to dotyczyło wyłącznie osób korzystających</w:t>
      </w:r>
      <w:r w:rsidR="00AC2DE7" w:rsidRPr="00AC2DE7">
        <w:rPr>
          <w:rFonts w:ascii="Times New Roman" w:hAnsi="Times New Roman"/>
          <w:noProof/>
          <w:sz w:val="24"/>
        </w:rPr>
        <w:t xml:space="preserve"> z pra</w:t>
      </w:r>
      <w:r w:rsidRPr="00AC2DE7">
        <w:rPr>
          <w:rFonts w:ascii="Times New Roman" w:hAnsi="Times New Roman"/>
          <w:noProof/>
          <w:sz w:val="24"/>
        </w:rPr>
        <w:t xml:space="preserve">wa do swobodnego przemieszczania się na mocy prawa Unii. </w:t>
      </w:r>
    </w:p>
    <w:p w14:paraId="62F243E1" w14:textId="23F34000" w:rsidR="00B61E69" w:rsidRPr="00AC2DE7" w:rsidRDefault="00B61E69" w:rsidP="00D46A81">
      <w:pPr>
        <w:spacing w:line="276" w:lineRule="auto"/>
        <w:jc w:val="both"/>
        <w:rPr>
          <w:rFonts w:ascii="Times New Roman" w:hAnsi="Times New Roman" w:cs="Times New Roman"/>
          <w:noProof/>
          <w:sz w:val="24"/>
          <w:szCs w:val="24"/>
        </w:rPr>
      </w:pPr>
      <w:r w:rsidRPr="00AC2DE7">
        <w:rPr>
          <w:rFonts w:ascii="Times New Roman" w:hAnsi="Times New Roman"/>
          <w:b/>
          <w:noProof/>
          <w:sz w:val="24"/>
        </w:rPr>
        <w:t>Uproszczenia (art.</w:t>
      </w:r>
      <w:r w:rsidR="00836F72" w:rsidRPr="00AC2DE7">
        <w:rPr>
          <w:rFonts w:ascii="Times New Roman" w:hAnsi="Times New Roman"/>
          <w:b/>
          <w:noProof/>
          <w:sz w:val="24"/>
        </w:rPr>
        <w:t> </w:t>
      </w:r>
      <w:r w:rsidRPr="00AC2DE7">
        <w:rPr>
          <w:rFonts w:ascii="Times New Roman" w:hAnsi="Times New Roman"/>
          <w:b/>
          <w:noProof/>
          <w:sz w:val="24"/>
        </w:rPr>
        <w:t>9 kodeksu granicznego Schengen)</w:t>
      </w:r>
    </w:p>
    <w:p w14:paraId="02444ED3" w14:textId="507D054A" w:rsidR="00FA3680" w:rsidRPr="00AC2DE7" w:rsidRDefault="00E3793F"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Możliwość stosowania odstępstw opisanych powyżej nadal nie ma wpływu na stosowanie art.</w:t>
      </w:r>
      <w:r w:rsidR="00836F72" w:rsidRPr="00AC2DE7">
        <w:rPr>
          <w:rFonts w:ascii="Times New Roman" w:hAnsi="Times New Roman"/>
          <w:noProof/>
          <w:sz w:val="24"/>
        </w:rPr>
        <w:t> </w:t>
      </w:r>
      <w:r w:rsidRPr="00AC2DE7">
        <w:rPr>
          <w:rFonts w:ascii="Times New Roman" w:hAnsi="Times New Roman"/>
          <w:noProof/>
          <w:sz w:val="24"/>
        </w:rPr>
        <w:t>9 kodeksu granicznego Schengen, który pozwala</w:t>
      </w:r>
      <w:r w:rsidRPr="00AC2DE7">
        <w:rPr>
          <w:rFonts w:ascii="Times New Roman" w:hAnsi="Times New Roman"/>
          <w:b/>
          <w:noProof/>
          <w:sz w:val="24"/>
        </w:rPr>
        <w:t xml:space="preserve"> </w:t>
      </w:r>
      <w:r w:rsidRPr="00AC2DE7">
        <w:rPr>
          <w:rFonts w:ascii="Times New Roman" w:hAnsi="Times New Roman"/>
          <w:noProof/>
          <w:sz w:val="24"/>
        </w:rPr>
        <w:t xml:space="preserve">na </w:t>
      </w:r>
      <w:r w:rsidRPr="00AC2DE7">
        <w:rPr>
          <w:rFonts w:ascii="Times New Roman" w:hAnsi="Times New Roman"/>
          <w:b/>
          <w:noProof/>
          <w:sz w:val="24"/>
        </w:rPr>
        <w:t>uproszczenie</w:t>
      </w:r>
      <w:r w:rsidRPr="00AC2DE7">
        <w:rPr>
          <w:rFonts w:ascii="Times New Roman" w:hAnsi="Times New Roman"/>
          <w:noProof/>
          <w:sz w:val="24"/>
        </w:rPr>
        <w:t xml:space="preserve"> odpraw granicznych, jeżeli „powodują one nadmierne wydłużenie czasu oczekiwania na przejściach granicznych”</w:t>
      </w:r>
      <w:r w:rsidR="00AC2DE7" w:rsidRPr="00AC2DE7">
        <w:rPr>
          <w:rFonts w:ascii="Times New Roman" w:hAnsi="Times New Roman"/>
          <w:i/>
          <w:noProof/>
          <w:sz w:val="24"/>
        </w:rPr>
        <w:t xml:space="preserve"> </w:t>
      </w:r>
      <w:r w:rsidR="00AC2DE7" w:rsidRPr="00AC2DE7">
        <w:rPr>
          <w:rFonts w:ascii="Times New Roman" w:hAnsi="Times New Roman"/>
          <w:noProof/>
          <w:sz w:val="24"/>
        </w:rPr>
        <w:t>z</w:t>
      </w:r>
      <w:r w:rsidR="00AC2DE7" w:rsidRPr="00AC2DE7">
        <w:rPr>
          <w:rFonts w:ascii="Times New Roman" w:hAnsi="Times New Roman"/>
          <w:i/>
          <w:noProof/>
          <w:sz w:val="24"/>
        </w:rPr>
        <w:t> </w:t>
      </w:r>
      <w:r w:rsidR="00AC2DE7" w:rsidRPr="00AC2DE7">
        <w:rPr>
          <w:rFonts w:ascii="Times New Roman" w:hAnsi="Times New Roman"/>
          <w:noProof/>
          <w:sz w:val="24"/>
        </w:rPr>
        <w:t>pow</w:t>
      </w:r>
      <w:r w:rsidRPr="00AC2DE7">
        <w:rPr>
          <w:rFonts w:ascii="Times New Roman" w:hAnsi="Times New Roman"/>
          <w:noProof/>
          <w:sz w:val="24"/>
        </w:rPr>
        <w:t>odu</w:t>
      </w:r>
      <w:r w:rsidR="00836F72" w:rsidRPr="00AC2DE7">
        <w:rPr>
          <w:rFonts w:ascii="Times New Roman" w:hAnsi="Times New Roman"/>
          <w:noProof/>
          <w:sz w:val="24"/>
        </w:rPr>
        <w:t xml:space="preserve"> </w:t>
      </w:r>
      <w:r w:rsidRPr="00AC2DE7">
        <w:rPr>
          <w:rFonts w:ascii="Times New Roman" w:hAnsi="Times New Roman"/>
          <w:noProof/>
          <w:sz w:val="24"/>
        </w:rPr>
        <w:t>„wyjątkowych</w:t>
      </w:r>
      <w:r w:rsidR="00AC2DE7" w:rsidRPr="00AC2DE7">
        <w:rPr>
          <w:rFonts w:ascii="Times New Roman" w:hAnsi="Times New Roman"/>
          <w:noProof/>
          <w:sz w:val="24"/>
        </w:rPr>
        <w:t xml:space="preserve"> i nie</w:t>
      </w:r>
      <w:r w:rsidRPr="00AC2DE7">
        <w:rPr>
          <w:rFonts w:ascii="Times New Roman" w:hAnsi="Times New Roman"/>
          <w:noProof/>
          <w:sz w:val="24"/>
        </w:rPr>
        <w:t>przewidzianych okoliczności”</w:t>
      </w:r>
      <w:r w:rsidR="00AC2DE7" w:rsidRPr="00AC2DE7">
        <w:rPr>
          <w:rFonts w:ascii="Times New Roman" w:hAnsi="Times New Roman"/>
          <w:noProof/>
          <w:sz w:val="24"/>
        </w:rPr>
        <w:t>. W prz</w:t>
      </w:r>
      <w:r w:rsidRPr="00AC2DE7">
        <w:rPr>
          <w:rFonts w:ascii="Times New Roman" w:hAnsi="Times New Roman"/>
          <w:noProof/>
          <w:sz w:val="24"/>
        </w:rPr>
        <w:t>ypadku uproszczenia odprawy granicznej kontrole przeprowadzane są wyrywkowo, niesystematycznie,</w:t>
      </w:r>
      <w:r w:rsidR="00AC2DE7" w:rsidRPr="00AC2DE7">
        <w:rPr>
          <w:rFonts w:ascii="Times New Roman" w:hAnsi="Times New Roman"/>
          <w:noProof/>
          <w:sz w:val="24"/>
        </w:rPr>
        <w:t xml:space="preserve"> a pie</w:t>
      </w:r>
      <w:r w:rsidRPr="00AC2DE7">
        <w:rPr>
          <w:rFonts w:ascii="Times New Roman" w:hAnsi="Times New Roman"/>
          <w:noProof/>
          <w:sz w:val="24"/>
        </w:rPr>
        <w:t>rwszeństwo mają kontrole przyjazdów przed kontrolami wyjazdów. Mimo że artykuł ten nie był częścią rozporządzenia, niektóre państwa członkowskie interpretują go jako ściśle związany</w:t>
      </w:r>
      <w:r w:rsidR="00AC2DE7" w:rsidRPr="00AC2DE7">
        <w:rPr>
          <w:rFonts w:ascii="Times New Roman" w:hAnsi="Times New Roman"/>
          <w:noProof/>
          <w:sz w:val="24"/>
        </w:rPr>
        <w:t xml:space="preserve"> z pra</w:t>
      </w:r>
      <w:r w:rsidRPr="00AC2DE7">
        <w:rPr>
          <w:rFonts w:ascii="Times New Roman" w:hAnsi="Times New Roman"/>
          <w:noProof/>
          <w:sz w:val="24"/>
        </w:rPr>
        <w:t xml:space="preserve">ktycznym wdrażaniem systematycznych odpraw, mimo że te dwie kwestie dotyczą zupełnie różnych scenariuszy. </w:t>
      </w:r>
    </w:p>
    <w:p w14:paraId="3AA1A4BB" w14:textId="575C1CE6" w:rsidR="00E91881" w:rsidRPr="00AC2DE7" w:rsidRDefault="009B00FC"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W ciągu pierwszych dwóch lat obowiązywania rozporządzenia państwa członkowskie mogły nie zawsze dokonywać wyraźnego rozróżnienia między odstępstwami na mocy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kodeksu granicznego Schengen</w:t>
      </w:r>
      <w:r w:rsidR="00AC2DE7" w:rsidRPr="00AC2DE7">
        <w:rPr>
          <w:rFonts w:ascii="Times New Roman" w:hAnsi="Times New Roman"/>
          <w:noProof/>
          <w:sz w:val="24"/>
        </w:rPr>
        <w:t xml:space="preserve"> a upr</w:t>
      </w:r>
      <w:r w:rsidRPr="00AC2DE7">
        <w:rPr>
          <w:rFonts w:ascii="Times New Roman" w:hAnsi="Times New Roman"/>
          <w:noProof/>
          <w:sz w:val="24"/>
        </w:rPr>
        <w:t>oszczeniami na mocy art.</w:t>
      </w:r>
      <w:r w:rsidR="00836F72" w:rsidRPr="00AC2DE7">
        <w:rPr>
          <w:rFonts w:ascii="Times New Roman" w:hAnsi="Times New Roman"/>
          <w:noProof/>
          <w:sz w:val="24"/>
        </w:rPr>
        <w:t> </w:t>
      </w:r>
      <w:r w:rsidRPr="00AC2DE7">
        <w:rPr>
          <w:rFonts w:ascii="Times New Roman" w:hAnsi="Times New Roman"/>
          <w:noProof/>
          <w:sz w:val="24"/>
        </w:rPr>
        <w:t>9 kodeksu granicznego Schengen. Jest to prawdopodobne, ponieważ scenariusz odniesienia dla odstępstw od systematycznych odpraw na mocy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(„nieproporcjonalny wpływ na płynność ruchu”) jest podobny do scenariusza uproszczeń odpraw granicznych na mocy art.</w:t>
      </w:r>
      <w:r w:rsidR="00836F72" w:rsidRPr="00AC2DE7">
        <w:rPr>
          <w:rFonts w:ascii="Times New Roman" w:hAnsi="Times New Roman"/>
          <w:noProof/>
          <w:sz w:val="24"/>
        </w:rPr>
        <w:t> </w:t>
      </w:r>
      <w:r w:rsidRPr="00AC2DE7">
        <w:rPr>
          <w:rFonts w:ascii="Times New Roman" w:hAnsi="Times New Roman"/>
          <w:noProof/>
          <w:sz w:val="24"/>
        </w:rPr>
        <w:t>9 („ruch</w:t>
      </w:r>
      <w:r w:rsidR="00AC2DE7" w:rsidRPr="00AC2DE7">
        <w:rPr>
          <w:rFonts w:ascii="Times New Roman" w:hAnsi="Times New Roman"/>
          <w:noProof/>
          <w:sz w:val="24"/>
        </w:rPr>
        <w:t xml:space="preserve"> o tak</w:t>
      </w:r>
      <w:r w:rsidRPr="00AC2DE7">
        <w:rPr>
          <w:rFonts w:ascii="Times New Roman" w:hAnsi="Times New Roman"/>
          <w:noProof/>
          <w:sz w:val="24"/>
        </w:rPr>
        <w:t>im natężeniu, że powoduje ono nadmierne wydłużenie czasu oczekiwania na przejściach granicznych”) kodeksu granicznego Schengen.</w:t>
      </w:r>
    </w:p>
    <w:p w14:paraId="78DE529F" w14:textId="35055125" w:rsidR="00B61E69" w:rsidRPr="00AC2DE7" w:rsidRDefault="00B61E69" w:rsidP="00D46A81">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Odstępstwa</w:t>
      </w:r>
      <w:r w:rsidR="00AC2DE7" w:rsidRPr="00AC2DE7">
        <w:rPr>
          <w:rFonts w:ascii="Times New Roman" w:hAnsi="Times New Roman"/>
          <w:b/>
          <w:noProof/>
          <w:sz w:val="24"/>
        </w:rPr>
        <w:t xml:space="preserve"> i upr</w:t>
      </w:r>
      <w:r w:rsidRPr="00AC2DE7">
        <w:rPr>
          <w:rFonts w:ascii="Times New Roman" w:hAnsi="Times New Roman"/>
          <w:b/>
          <w:noProof/>
          <w:sz w:val="24"/>
        </w:rPr>
        <w:t>oszczenia – dalsze kroki</w:t>
      </w:r>
    </w:p>
    <w:p w14:paraId="76B1BCF3" w14:textId="4874F406" w:rsidR="00B61E69" w:rsidRPr="00AC2DE7" w:rsidRDefault="009B00FC" w:rsidP="008E689A">
      <w:pPr>
        <w:spacing w:line="276" w:lineRule="auto"/>
        <w:jc w:val="both"/>
        <w:rPr>
          <w:rFonts w:ascii="Times New Roman" w:hAnsi="Times New Roman" w:cs="Times New Roman"/>
          <w:noProof/>
          <w:sz w:val="24"/>
          <w:szCs w:val="24"/>
        </w:rPr>
      </w:pPr>
      <w:r w:rsidRPr="00AC2DE7">
        <w:rPr>
          <w:rFonts w:ascii="Times New Roman" w:hAnsi="Times New Roman"/>
          <w:noProof/>
          <w:sz w:val="24"/>
        </w:rPr>
        <w:t>Oba przepisy koncentrują się na praktycznym wpływie na ruch, natomiast art.</w:t>
      </w:r>
      <w:r w:rsidR="00836F72" w:rsidRPr="00AC2DE7">
        <w:rPr>
          <w:rFonts w:ascii="Times New Roman" w:hAnsi="Times New Roman"/>
          <w:noProof/>
          <w:sz w:val="24"/>
        </w:rPr>
        <w:t> </w:t>
      </w:r>
      <w:r w:rsidRPr="00AC2DE7">
        <w:rPr>
          <w:rFonts w:ascii="Times New Roman" w:hAnsi="Times New Roman"/>
          <w:noProof/>
          <w:sz w:val="24"/>
        </w:rPr>
        <w:t xml:space="preserve">9 stanowi, że a) sytuacja taka musi być spowodowana </w:t>
      </w:r>
      <w:r w:rsidRPr="00AC2DE7">
        <w:rPr>
          <w:rFonts w:ascii="Times New Roman" w:hAnsi="Times New Roman"/>
          <w:i/>
          <w:noProof/>
          <w:sz w:val="24"/>
        </w:rPr>
        <w:t>wyjątkowymi</w:t>
      </w:r>
      <w:r w:rsidR="00AC2DE7" w:rsidRPr="00AC2DE7">
        <w:rPr>
          <w:rFonts w:ascii="Times New Roman" w:hAnsi="Times New Roman"/>
          <w:i/>
          <w:noProof/>
          <w:sz w:val="24"/>
        </w:rPr>
        <w:t xml:space="preserve"> i nie</w:t>
      </w:r>
      <w:r w:rsidRPr="00AC2DE7">
        <w:rPr>
          <w:rFonts w:ascii="Times New Roman" w:hAnsi="Times New Roman"/>
          <w:i/>
          <w:noProof/>
          <w:sz w:val="24"/>
        </w:rPr>
        <w:t>możliwymi do przewidzenia zdarzeniami</w:t>
      </w:r>
      <w:r w:rsidRPr="00AC2DE7">
        <w:rPr>
          <w:rFonts w:ascii="Times New Roman" w:hAnsi="Times New Roman"/>
          <w:noProof/>
          <w:sz w:val="24"/>
        </w:rPr>
        <w:t xml:space="preserve"> oraz b) wyczerpane zostały wszystkie zasoby</w:t>
      </w:r>
      <w:r w:rsidR="00AC2DE7" w:rsidRPr="00AC2DE7">
        <w:rPr>
          <w:rFonts w:ascii="Times New Roman" w:hAnsi="Times New Roman"/>
          <w:noProof/>
          <w:sz w:val="24"/>
        </w:rPr>
        <w:t xml:space="preserve"> w zak</w:t>
      </w:r>
      <w:r w:rsidRPr="00AC2DE7">
        <w:rPr>
          <w:rFonts w:ascii="Times New Roman" w:hAnsi="Times New Roman"/>
          <w:noProof/>
          <w:sz w:val="24"/>
        </w:rPr>
        <w:t>resie personelu, wyposażenia</w:t>
      </w:r>
      <w:r w:rsidR="00AC2DE7" w:rsidRPr="00AC2DE7">
        <w:rPr>
          <w:rFonts w:ascii="Times New Roman" w:hAnsi="Times New Roman"/>
          <w:noProof/>
          <w:sz w:val="24"/>
        </w:rPr>
        <w:t xml:space="preserve"> i org</w:t>
      </w:r>
      <w:r w:rsidRPr="00AC2DE7">
        <w:rPr>
          <w:rFonts w:ascii="Times New Roman" w:hAnsi="Times New Roman"/>
          <w:noProof/>
          <w:sz w:val="24"/>
        </w:rPr>
        <w:t>anizacji. Uproszczenia mają charakter mniej nakazowy niż odstępstwa,</w:t>
      </w:r>
      <w:r w:rsidR="00AC2DE7" w:rsidRPr="00AC2DE7">
        <w:rPr>
          <w:rFonts w:ascii="Times New Roman" w:hAnsi="Times New Roman"/>
          <w:noProof/>
          <w:sz w:val="24"/>
        </w:rPr>
        <w:t xml:space="preserve"> a ich</w:t>
      </w:r>
      <w:r w:rsidRPr="00AC2DE7">
        <w:rPr>
          <w:rFonts w:ascii="Times New Roman" w:hAnsi="Times New Roman"/>
          <w:noProof/>
          <w:sz w:val="24"/>
        </w:rPr>
        <w:t xml:space="preserve"> stosowanie pozostawia się ocenie funkcjonariusza straży granicznej dowodzącego danym przejściem granicznym, bez żadnej formalnej procedury. Komisji należy przedkładać jedynie roczne sprawozdanie </w:t>
      </w:r>
      <w:r w:rsidRPr="00AC2DE7">
        <w:rPr>
          <w:rFonts w:ascii="Times New Roman" w:hAnsi="Times New Roman"/>
          <w:i/>
          <w:noProof/>
          <w:sz w:val="24"/>
        </w:rPr>
        <w:t>ex post</w:t>
      </w:r>
      <w:r w:rsidR="00AC2DE7" w:rsidRPr="00AC2DE7">
        <w:rPr>
          <w:rFonts w:ascii="Times New Roman" w:hAnsi="Times New Roman"/>
          <w:noProof/>
          <w:sz w:val="24"/>
        </w:rPr>
        <w:t xml:space="preserve"> o zas</w:t>
      </w:r>
      <w:r w:rsidRPr="00AC2DE7">
        <w:rPr>
          <w:rFonts w:ascii="Times New Roman" w:hAnsi="Times New Roman"/>
          <w:noProof/>
          <w:sz w:val="24"/>
        </w:rPr>
        <w:t>tosowanych</w:t>
      </w:r>
      <w:r w:rsidR="00AC2DE7" w:rsidRPr="00AC2DE7">
        <w:rPr>
          <w:rFonts w:ascii="Times New Roman" w:hAnsi="Times New Roman"/>
          <w:noProof/>
          <w:sz w:val="24"/>
        </w:rPr>
        <w:t xml:space="preserve"> w dan</w:t>
      </w:r>
      <w:r w:rsidRPr="00AC2DE7">
        <w:rPr>
          <w:rFonts w:ascii="Times New Roman" w:hAnsi="Times New Roman"/>
          <w:noProof/>
          <w:sz w:val="24"/>
        </w:rPr>
        <w:t>ym roku uproszczeniach.</w:t>
      </w:r>
    </w:p>
    <w:p w14:paraId="180812C8" w14:textId="708D1126" w:rsidR="00B61E69" w:rsidRPr="00AC2DE7" w:rsidRDefault="001B2BFA" w:rsidP="008E689A">
      <w:pPr>
        <w:spacing w:line="276" w:lineRule="auto"/>
        <w:jc w:val="both"/>
        <w:rPr>
          <w:rFonts w:ascii="Times New Roman" w:hAnsi="Times New Roman" w:cs="Times New Roman"/>
          <w:noProof/>
          <w:sz w:val="24"/>
          <w:szCs w:val="24"/>
        </w:rPr>
      </w:pPr>
      <w:r w:rsidRPr="00AC2DE7">
        <w:rPr>
          <w:rFonts w:ascii="Times New Roman" w:hAnsi="Times New Roman"/>
          <w:noProof/>
          <w:sz w:val="24"/>
        </w:rPr>
        <w:t>Aby zastosować odstępstwa na mocy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kodeksu granicznego Schengen, konieczne jest uprzednie przedłożenie Agencji oceny ryzyka, którą należy regularnie aktualizować</w:t>
      </w:r>
      <w:r w:rsidR="00AC2DE7" w:rsidRPr="00AC2DE7">
        <w:rPr>
          <w:rFonts w:ascii="Times New Roman" w:hAnsi="Times New Roman"/>
          <w:noProof/>
          <w:sz w:val="24"/>
        </w:rPr>
        <w:t xml:space="preserve"> w prz</w:t>
      </w:r>
      <w:r w:rsidRPr="00AC2DE7">
        <w:rPr>
          <w:rFonts w:ascii="Times New Roman" w:hAnsi="Times New Roman"/>
          <w:noProof/>
          <w:sz w:val="24"/>
        </w:rPr>
        <w:t>ypadku kontynuacji odstępstw, natychmiastowe powiadomienie pozostałych państw członkowskich, Komisji</w:t>
      </w:r>
      <w:r w:rsidR="00AC2DE7" w:rsidRPr="00AC2DE7">
        <w:rPr>
          <w:rFonts w:ascii="Times New Roman" w:hAnsi="Times New Roman"/>
          <w:noProof/>
          <w:sz w:val="24"/>
        </w:rPr>
        <w:t xml:space="preserve"> i Age</w:t>
      </w:r>
      <w:r w:rsidRPr="00AC2DE7">
        <w:rPr>
          <w:rFonts w:ascii="Times New Roman" w:hAnsi="Times New Roman"/>
          <w:noProof/>
          <w:sz w:val="24"/>
        </w:rPr>
        <w:t>ncji oraz składanie Komisji</w:t>
      </w:r>
      <w:r w:rsidR="00AC2DE7" w:rsidRPr="00AC2DE7">
        <w:rPr>
          <w:rFonts w:ascii="Times New Roman" w:hAnsi="Times New Roman"/>
          <w:noProof/>
          <w:sz w:val="24"/>
        </w:rPr>
        <w:t xml:space="preserve"> i Age</w:t>
      </w:r>
      <w:r w:rsidRPr="00AC2DE7">
        <w:rPr>
          <w:rFonts w:ascii="Times New Roman" w:hAnsi="Times New Roman"/>
          <w:noProof/>
          <w:sz w:val="24"/>
        </w:rPr>
        <w:t xml:space="preserve">ncji półrocznych sprawozdań. </w:t>
      </w:r>
    </w:p>
    <w:p w14:paraId="2BE4D17D" w14:textId="3F93F2DF" w:rsidR="00A12E1B" w:rsidRPr="00AC2DE7" w:rsidRDefault="00EA4034"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Z informacji zebranych na potrzeby niniejszego sprawozdania wynika, że państwa członkowskie stosują odstępstwa</w:t>
      </w:r>
      <w:r w:rsidR="00AC2DE7" w:rsidRPr="00AC2DE7">
        <w:rPr>
          <w:rFonts w:ascii="Times New Roman" w:hAnsi="Times New Roman"/>
          <w:noProof/>
          <w:sz w:val="24"/>
        </w:rPr>
        <w:t xml:space="preserve"> i upr</w:t>
      </w:r>
      <w:r w:rsidRPr="00AC2DE7">
        <w:rPr>
          <w:rFonts w:ascii="Times New Roman" w:hAnsi="Times New Roman"/>
          <w:noProof/>
          <w:sz w:val="24"/>
        </w:rPr>
        <w:t>oszczenia</w:t>
      </w:r>
      <w:r w:rsidR="00AC2DE7" w:rsidRPr="00AC2DE7">
        <w:rPr>
          <w:rFonts w:ascii="Times New Roman" w:hAnsi="Times New Roman"/>
          <w:noProof/>
          <w:sz w:val="24"/>
        </w:rPr>
        <w:t xml:space="preserve"> w spo</w:t>
      </w:r>
      <w:r w:rsidRPr="00AC2DE7">
        <w:rPr>
          <w:rFonts w:ascii="Times New Roman" w:hAnsi="Times New Roman"/>
          <w:noProof/>
          <w:sz w:val="24"/>
        </w:rPr>
        <w:t>sób niespójny, przy czym wiele</w:t>
      </w:r>
      <w:r w:rsidR="00AC2DE7" w:rsidRPr="00AC2DE7">
        <w:rPr>
          <w:rFonts w:ascii="Times New Roman" w:hAnsi="Times New Roman"/>
          <w:noProof/>
          <w:sz w:val="24"/>
        </w:rPr>
        <w:t xml:space="preserve"> z nic</w:t>
      </w:r>
      <w:r w:rsidRPr="00AC2DE7">
        <w:rPr>
          <w:rFonts w:ascii="Times New Roman" w:hAnsi="Times New Roman"/>
          <w:noProof/>
          <w:sz w:val="24"/>
        </w:rPr>
        <w:t>h korzysta</w:t>
      </w:r>
      <w:r w:rsidR="00AC2DE7" w:rsidRPr="00AC2DE7">
        <w:rPr>
          <w:rFonts w:ascii="Times New Roman" w:hAnsi="Times New Roman"/>
          <w:noProof/>
          <w:sz w:val="24"/>
        </w:rPr>
        <w:t xml:space="preserve"> z upr</w:t>
      </w:r>
      <w:r w:rsidRPr="00AC2DE7">
        <w:rPr>
          <w:rFonts w:ascii="Times New Roman" w:hAnsi="Times New Roman"/>
          <w:noProof/>
          <w:sz w:val="24"/>
        </w:rPr>
        <w:t>oszczeń odpraw granicznych na mocy art.</w:t>
      </w:r>
      <w:r w:rsidR="00836F72" w:rsidRPr="00AC2DE7">
        <w:rPr>
          <w:rFonts w:ascii="Times New Roman" w:hAnsi="Times New Roman"/>
          <w:noProof/>
          <w:sz w:val="24"/>
        </w:rPr>
        <w:t> </w:t>
      </w:r>
      <w:r w:rsidRPr="00AC2DE7">
        <w:rPr>
          <w:rFonts w:ascii="Times New Roman" w:hAnsi="Times New Roman"/>
          <w:noProof/>
          <w:sz w:val="24"/>
        </w:rPr>
        <w:t>9 kodeksu granicznego Schengen</w:t>
      </w:r>
      <w:r w:rsidR="00AC2DE7" w:rsidRPr="00AC2DE7">
        <w:rPr>
          <w:rFonts w:ascii="Times New Roman" w:hAnsi="Times New Roman"/>
          <w:noProof/>
          <w:sz w:val="24"/>
        </w:rPr>
        <w:t xml:space="preserve"> w prz</w:t>
      </w:r>
      <w:r w:rsidRPr="00AC2DE7">
        <w:rPr>
          <w:rFonts w:ascii="Times New Roman" w:hAnsi="Times New Roman"/>
          <w:noProof/>
          <w:sz w:val="24"/>
        </w:rPr>
        <w:t>ypadkach,</w:t>
      </w:r>
      <w:r w:rsidR="00AC2DE7" w:rsidRPr="00AC2DE7">
        <w:rPr>
          <w:rFonts w:ascii="Times New Roman" w:hAnsi="Times New Roman"/>
          <w:noProof/>
          <w:sz w:val="24"/>
        </w:rPr>
        <w:t xml:space="preserve"> w któ</w:t>
      </w:r>
      <w:r w:rsidRPr="00AC2DE7">
        <w:rPr>
          <w:rFonts w:ascii="Times New Roman" w:hAnsi="Times New Roman"/>
          <w:noProof/>
          <w:sz w:val="24"/>
        </w:rPr>
        <w:t>rych właściwym narzędziem byłby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kodeksu granicznego Schengen przewidujący bardziej rygorystyczne wymogi formalne</w:t>
      </w:r>
      <w:r w:rsidR="001B2BFA" w:rsidRPr="00AC2DE7">
        <w:rPr>
          <w:rStyle w:val="FootnoteReference"/>
          <w:rFonts w:ascii="Times New Roman" w:hAnsi="Times New Roman" w:cs="Times New Roman"/>
          <w:noProof/>
          <w:sz w:val="24"/>
          <w:szCs w:val="24"/>
        </w:rPr>
        <w:footnoteReference w:id="19"/>
      </w:r>
      <w:r w:rsidR="00AC2DE7" w:rsidRPr="00AC2DE7">
        <w:rPr>
          <w:rFonts w:ascii="Times New Roman" w:hAnsi="Times New Roman"/>
          <w:noProof/>
          <w:sz w:val="24"/>
        </w:rPr>
        <w:t>. W prz</w:t>
      </w:r>
      <w:r w:rsidRPr="00AC2DE7">
        <w:rPr>
          <w:rFonts w:ascii="Times New Roman" w:hAnsi="Times New Roman"/>
          <w:noProof/>
          <w:sz w:val="24"/>
        </w:rPr>
        <w:t>ypadku trzech państw członkowskich zastosowanie uproszczeń było decyzją przemyślaną, natomiast</w:t>
      </w:r>
      <w:r w:rsidR="00AC2DE7" w:rsidRPr="00AC2DE7">
        <w:rPr>
          <w:rFonts w:ascii="Times New Roman" w:hAnsi="Times New Roman"/>
          <w:noProof/>
          <w:sz w:val="24"/>
        </w:rPr>
        <w:t xml:space="preserve"> w prz</w:t>
      </w:r>
      <w:r w:rsidRPr="00AC2DE7">
        <w:rPr>
          <w:rFonts w:ascii="Times New Roman" w:hAnsi="Times New Roman"/>
          <w:noProof/>
          <w:sz w:val="24"/>
        </w:rPr>
        <w:t>ypadku czterech innych wydaje się, że wynikało</w:t>
      </w:r>
      <w:r w:rsidR="00AC2DE7" w:rsidRPr="00AC2DE7">
        <w:rPr>
          <w:rFonts w:ascii="Times New Roman" w:hAnsi="Times New Roman"/>
          <w:noProof/>
          <w:sz w:val="24"/>
        </w:rPr>
        <w:t xml:space="preserve"> z bra</w:t>
      </w:r>
      <w:r w:rsidRPr="00AC2DE7">
        <w:rPr>
          <w:rFonts w:ascii="Times New Roman" w:hAnsi="Times New Roman"/>
          <w:noProof/>
          <w:sz w:val="24"/>
        </w:rPr>
        <w:t>ku jasności co do właściwego instrumentu, który należy zastosować</w:t>
      </w:r>
      <w:r w:rsidR="00AC2DE7" w:rsidRPr="00AC2DE7">
        <w:rPr>
          <w:rFonts w:ascii="Times New Roman" w:hAnsi="Times New Roman"/>
          <w:noProof/>
          <w:sz w:val="24"/>
        </w:rPr>
        <w:t>. W cza</w:t>
      </w:r>
      <w:r w:rsidRPr="00AC2DE7">
        <w:rPr>
          <w:rFonts w:ascii="Times New Roman" w:hAnsi="Times New Roman"/>
          <w:noProof/>
          <w:sz w:val="24"/>
        </w:rPr>
        <w:t>sie przeprowadzania badania przepisy krajowe dwóch państw członkowskich wyraźnie zabraniały stosowania odstępstw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ze względu na związane</w:t>
      </w:r>
      <w:r w:rsidR="00AC2DE7" w:rsidRPr="00AC2DE7">
        <w:rPr>
          <w:rFonts w:ascii="Times New Roman" w:hAnsi="Times New Roman"/>
          <w:noProof/>
          <w:sz w:val="24"/>
        </w:rPr>
        <w:t xml:space="preserve"> z nim</w:t>
      </w:r>
      <w:r w:rsidRPr="00AC2DE7">
        <w:rPr>
          <w:rFonts w:ascii="Times New Roman" w:hAnsi="Times New Roman"/>
          <w:noProof/>
          <w:sz w:val="24"/>
        </w:rPr>
        <w:t xml:space="preserve">i duże obciążenie administracyjne. </w:t>
      </w:r>
    </w:p>
    <w:p w14:paraId="7909121C" w14:textId="6D8AE00B" w:rsidR="002A2E2A" w:rsidRPr="00AC2DE7" w:rsidRDefault="00B66433" w:rsidP="002A2E2A">
      <w:pPr>
        <w:spacing w:line="276" w:lineRule="auto"/>
        <w:jc w:val="both"/>
        <w:rPr>
          <w:rFonts w:ascii="Times New Roman" w:hAnsi="Times New Roman" w:cs="Times New Roman"/>
          <w:noProof/>
          <w:sz w:val="24"/>
          <w:szCs w:val="24"/>
        </w:rPr>
      </w:pPr>
      <w:r w:rsidRPr="00AC2DE7">
        <w:rPr>
          <w:rFonts w:ascii="Times New Roman" w:hAnsi="Times New Roman"/>
          <w:noProof/>
          <w:sz w:val="24"/>
        </w:rPr>
        <w:t>Po otrzymaniu pierwszych powiadomień dotyczących stosowania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Komisja wysłała pisma do zainteresowanych państw Schengen</w:t>
      </w:r>
      <w:r w:rsidR="00AC2DE7" w:rsidRPr="00AC2DE7">
        <w:rPr>
          <w:rFonts w:ascii="Times New Roman" w:hAnsi="Times New Roman"/>
          <w:noProof/>
          <w:sz w:val="24"/>
        </w:rPr>
        <w:t xml:space="preserve"> z dal</w:t>
      </w:r>
      <w:r w:rsidRPr="00AC2DE7">
        <w:rPr>
          <w:rFonts w:ascii="Times New Roman" w:hAnsi="Times New Roman"/>
          <w:noProof/>
          <w:sz w:val="24"/>
        </w:rPr>
        <w:t>szymi wyjaśnieniami dotyczącymi: (i) warunków stosowania odstępstw; (ii) kroków, jakie powinno podjąć państwo członkowskie chcące skorzystać</w:t>
      </w:r>
      <w:r w:rsidR="00AC2DE7" w:rsidRPr="00AC2DE7">
        <w:rPr>
          <w:rFonts w:ascii="Times New Roman" w:hAnsi="Times New Roman"/>
          <w:noProof/>
          <w:sz w:val="24"/>
        </w:rPr>
        <w:t xml:space="preserve"> z teg</w:t>
      </w:r>
      <w:r w:rsidRPr="00AC2DE7">
        <w:rPr>
          <w:rFonts w:ascii="Times New Roman" w:hAnsi="Times New Roman"/>
          <w:noProof/>
          <w:sz w:val="24"/>
        </w:rPr>
        <w:t>o instrumentu; (iii) szczegółowych kwestii, które państwa członkowskie musiały uwzględnić</w:t>
      </w:r>
      <w:r w:rsidR="00AC2DE7" w:rsidRPr="00AC2DE7">
        <w:rPr>
          <w:rFonts w:ascii="Times New Roman" w:hAnsi="Times New Roman"/>
          <w:noProof/>
          <w:sz w:val="24"/>
        </w:rPr>
        <w:t xml:space="preserve"> w pow</w:t>
      </w:r>
      <w:r w:rsidRPr="00AC2DE7">
        <w:rPr>
          <w:rFonts w:ascii="Times New Roman" w:hAnsi="Times New Roman"/>
          <w:noProof/>
          <w:sz w:val="24"/>
        </w:rPr>
        <w:t>iadomieniach</w:t>
      </w:r>
      <w:r w:rsidR="005E4687" w:rsidRPr="00AC2DE7">
        <w:rPr>
          <w:rStyle w:val="FootnoteReference"/>
          <w:rFonts w:ascii="Times New Roman" w:hAnsi="Times New Roman" w:cs="Times New Roman"/>
          <w:noProof/>
          <w:sz w:val="24"/>
          <w:szCs w:val="24"/>
        </w:rPr>
        <w:footnoteReference w:id="20"/>
      </w:r>
      <w:r w:rsidRPr="00AC2DE7">
        <w:rPr>
          <w:rFonts w:ascii="Times New Roman" w:hAnsi="Times New Roman"/>
          <w:noProof/>
          <w:sz w:val="24"/>
        </w:rPr>
        <w:t>. Jeśli chodzi</w:t>
      </w:r>
      <w:r w:rsidR="00AC2DE7" w:rsidRPr="00AC2DE7">
        <w:rPr>
          <w:rFonts w:ascii="Times New Roman" w:hAnsi="Times New Roman"/>
          <w:noProof/>
          <w:sz w:val="24"/>
        </w:rPr>
        <w:t xml:space="preserve"> o wym</w:t>
      </w:r>
      <w:r w:rsidRPr="00AC2DE7">
        <w:rPr>
          <w:rFonts w:ascii="Times New Roman" w:hAnsi="Times New Roman"/>
          <w:noProof/>
          <w:sz w:val="24"/>
        </w:rPr>
        <w:t>ogi dotyczące korzystania</w:t>
      </w:r>
      <w:r w:rsidR="00AC2DE7" w:rsidRPr="00AC2DE7">
        <w:rPr>
          <w:rFonts w:ascii="Times New Roman" w:hAnsi="Times New Roman"/>
          <w:noProof/>
          <w:sz w:val="24"/>
        </w:rPr>
        <w:t xml:space="preserve"> z ods</w:t>
      </w:r>
      <w:r w:rsidRPr="00AC2DE7">
        <w:rPr>
          <w:rFonts w:ascii="Times New Roman" w:hAnsi="Times New Roman"/>
          <w:noProof/>
          <w:sz w:val="24"/>
        </w:rPr>
        <w:t>tępstw od systematycznych odpraw, badanie wykazało, że</w:t>
      </w:r>
      <w:r w:rsidR="00AC2DE7" w:rsidRPr="00AC2DE7">
        <w:rPr>
          <w:rFonts w:ascii="Times New Roman" w:hAnsi="Times New Roman"/>
          <w:noProof/>
          <w:sz w:val="24"/>
        </w:rPr>
        <w:t xml:space="preserve"> w wię</w:t>
      </w:r>
      <w:r w:rsidRPr="00AC2DE7">
        <w:rPr>
          <w:rFonts w:ascii="Times New Roman" w:hAnsi="Times New Roman"/>
          <w:noProof/>
          <w:sz w:val="24"/>
        </w:rPr>
        <w:t>kszości państw członkowskich organy zajmujące się zwalczaniem terroryzmu</w:t>
      </w:r>
      <w:r w:rsidR="00AC2DE7" w:rsidRPr="00AC2DE7">
        <w:rPr>
          <w:rFonts w:ascii="Times New Roman" w:hAnsi="Times New Roman"/>
          <w:noProof/>
          <w:sz w:val="24"/>
        </w:rPr>
        <w:t xml:space="preserve"> i prz</w:t>
      </w:r>
      <w:r w:rsidRPr="00AC2DE7">
        <w:rPr>
          <w:rFonts w:ascii="Times New Roman" w:hAnsi="Times New Roman"/>
          <w:noProof/>
          <w:sz w:val="24"/>
        </w:rPr>
        <w:t>estępczości zorganizowanej nie były zaangażowane</w:t>
      </w:r>
      <w:r w:rsidR="00AC2DE7" w:rsidRPr="00AC2DE7">
        <w:rPr>
          <w:rFonts w:ascii="Times New Roman" w:hAnsi="Times New Roman"/>
          <w:noProof/>
          <w:sz w:val="24"/>
        </w:rPr>
        <w:t xml:space="preserve"> w prz</w:t>
      </w:r>
      <w:r w:rsidRPr="00AC2DE7">
        <w:rPr>
          <w:rFonts w:ascii="Times New Roman" w:hAnsi="Times New Roman"/>
          <w:noProof/>
          <w:sz w:val="24"/>
        </w:rPr>
        <w:t>ygotowanie oceny ryzyka lub były zaangażowane tylko pośrednio. Biorąc pod uwagę sam cel wprowadzenia systematycznych odpraw, większe zaangażowanie organów zajmujących się zwalczaniem terroryzmu</w:t>
      </w:r>
      <w:r w:rsidR="00AC2DE7" w:rsidRPr="00AC2DE7">
        <w:rPr>
          <w:rFonts w:ascii="Times New Roman" w:hAnsi="Times New Roman"/>
          <w:noProof/>
          <w:sz w:val="24"/>
        </w:rPr>
        <w:t xml:space="preserve"> i prz</w:t>
      </w:r>
      <w:r w:rsidRPr="00AC2DE7">
        <w:rPr>
          <w:rFonts w:ascii="Times New Roman" w:hAnsi="Times New Roman"/>
          <w:noProof/>
          <w:sz w:val="24"/>
        </w:rPr>
        <w:t xml:space="preserve">estępczości zorganizowanej mogłoby poprawić jakość ocen ryzyka. </w:t>
      </w:r>
    </w:p>
    <w:p w14:paraId="63308E2E" w14:textId="5EE53629" w:rsidR="007F4839" w:rsidRPr="00AC2DE7" w:rsidRDefault="007E0F0E"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Państwa członkowskie konsekwentnie podkreślały potrzebę dalszego wyjaśnienia kwestii rozróżnienia tych przepisów</w:t>
      </w:r>
      <w:r w:rsidR="00AC2DE7" w:rsidRPr="00AC2DE7">
        <w:rPr>
          <w:rFonts w:ascii="Times New Roman" w:hAnsi="Times New Roman"/>
          <w:noProof/>
          <w:sz w:val="24"/>
        </w:rPr>
        <w:t xml:space="preserve"> w odn</w:t>
      </w:r>
      <w:r w:rsidRPr="00AC2DE7">
        <w:rPr>
          <w:rFonts w:ascii="Times New Roman" w:hAnsi="Times New Roman"/>
          <w:noProof/>
          <w:sz w:val="24"/>
        </w:rPr>
        <w:t>iesieniu do krajowych organów straży granicznej państw członkowskich</w:t>
      </w:r>
      <w:r w:rsidR="00AC2DE7" w:rsidRPr="00AC2DE7">
        <w:rPr>
          <w:rFonts w:ascii="Times New Roman" w:hAnsi="Times New Roman"/>
          <w:noProof/>
          <w:sz w:val="24"/>
        </w:rPr>
        <w:t>. W pla</w:t>
      </w:r>
      <w:r w:rsidRPr="00AC2DE7">
        <w:rPr>
          <w:rFonts w:ascii="Times New Roman" w:hAnsi="Times New Roman"/>
          <w:noProof/>
          <w:sz w:val="24"/>
        </w:rPr>
        <w:t xml:space="preserve">nowanym przeglądzie </w:t>
      </w:r>
      <w:r w:rsidRPr="00AC2DE7">
        <w:rPr>
          <w:rFonts w:ascii="Times New Roman" w:hAnsi="Times New Roman"/>
          <w:i/>
          <w:noProof/>
          <w:sz w:val="24"/>
        </w:rPr>
        <w:t>Praktycznego podręcznika dla straży granicznej</w:t>
      </w:r>
      <w:r w:rsidR="00D41C91" w:rsidRPr="00AC2DE7">
        <w:rPr>
          <w:rStyle w:val="FootnoteReference"/>
          <w:rFonts w:ascii="Times New Roman" w:hAnsi="Times New Roman" w:cs="Times New Roman"/>
          <w:i/>
          <w:noProof/>
          <w:sz w:val="24"/>
          <w:szCs w:val="24"/>
        </w:rPr>
        <w:footnoteReference w:id="21"/>
      </w:r>
      <w:r w:rsidRPr="00AC2DE7">
        <w:rPr>
          <w:rFonts w:ascii="Times New Roman" w:hAnsi="Times New Roman"/>
          <w:noProof/>
          <w:sz w:val="24"/>
        </w:rPr>
        <w:t xml:space="preserve"> wyjaśniona zostanie różnica między uproszczeniem odpraw</w:t>
      </w:r>
      <w:r w:rsidR="00AC2DE7" w:rsidRPr="00AC2DE7">
        <w:rPr>
          <w:rFonts w:ascii="Times New Roman" w:hAnsi="Times New Roman"/>
          <w:noProof/>
          <w:sz w:val="24"/>
        </w:rPr>
        <w:t xml:space="preserve"> a odp</w:t>
      </w:r>
      <w:r w:rsidRPr="00AC2DE7">
        <w:rPr>
          <w:rFonts w:ascii="Times New Roman" w:hAnsi="Times New Roman"/>
          <w:noProof/>
          <w:sz w:val="24"/>
        </w:rPr>
        <w:t>rawami ukierunkowanymi, aby rozwiązać problem niespójnego stosowania obu instrumentów przez państwa członkowskie</w:t>
      </w:r>
      <w:r w:rsidR="00AC2DE7" w:rsidRPr="00AC2DE7">
        <w:rPr>
          <w:rFonts w:ascii="Times New Roman" w:hAnsi="Times New Roman"/>
          <w:noProof/>
          <w:sz w:val="24"/>
        </w:rPr>
        <w:t xml:space="preserve"> i uni</w:t>
      </w:r>
      <w:r w:rsidRPr="00AC2DE7">
        <w:rPr>
          <w:rFonts w:ascii="Times New Roman" w:hAnsi="Times New Roman"/>
          <w:noProof/>
          <w:sz w:val="24"/>
        </w:rPr>
        <w:t>knąć sytuacji,</w:t>
      </w:r>
      <w:r w:rsidR="00AC2DE7" w:rsidRPr="00AC2DE7">
        <w:rPr>
          <w:rFonts w:ascii="Times New Roman" w:hAnsi="Times New Roman"/>
          <w:noProof/>
          <w:sz w:val="24"/>
        </w:rPr>
        <w:t xml:space="preserve"> w któ</w:t>
      </w:r>
      <w:r w:rsidRPr="00AC2DE7">
        <w:rPr>
          <w:rFonts w:ascii="Times New Roman" w:hAnsi="Times New Roman"/>
          <w:noProof/>
          <w:sz w:val="24"/>
        </w:rPr>
        <w:t>rej państwa członkowskie nieprawidłowo stosują uproszczenie kontroli granicznych zamiast odstępstw. Opracowanie przez Frontex szablonu oceny ryzyka poprawiło jakość oceny ryzyka</w:t>
      </w:r>
      <w:r w:rsidR="00AC2DE7" w:rsidRPr="00AC2DE7">
        <w:rPr>
          <w:rFonts w:ascii="Times New Roman" w:hAnsi="Times New Roman"/>
          <w:noProof/>
          <w:sz w:val="24"/>
        </w:rPr>
        <w:t xml:space="preserve"> i jej</w:t>
      </w:r>
      <w:r w:rsidRPr="00AC2DE7">
        <w:rPr>
          <w:rFonts w:ascii="Times New Roman" w:hAnsi="Times New Roman"/>
          <w:noProof/>
          <w:sz w:val="24"/>
        </w:rPr>
        <w:t xml:space="preserve"> wartość jako podstawy do podejmowania przez zainteresowane państwa członkowskie świadomych decyzji</w:t>
      </w:r>
      <w:r w:rsidR="00AC2DE7" w:rsidRPr="00AC2DE7">
        <w:rPr>
          <w:rFonts w:ascii="Times New Roman" w:hAnsi="Times New Roman"/>
          <w:noProof/>
          <w:sz w:val="24"/>
        </w:rPr>
        <w:t xml:space="preserve"> w spr</w:t>
      </w:r>
      <w:r w:rsidRPr="00AC2DE7">
        <w:rPr>
          <w:rFonts w:ascii="Times New Roman" w:hAnsi="Times New Roman"/>
          <w:noProof/>
          <w:sz w:val="24"/>
        </w:rPr>
        <w:t>awie odstępstw. Obecnie stanowi on również solidną podstawę do identyfikacji przez Agencję ewentualnych problemów. Te dalsze wytyczne powinny również oznaczać, że dane dostarczane</w:t>
      </w:r>
      <w:r w:rsidR="00AC2DE7" w:rsidRPr="00AC2DE7">
        <w:rPr>
          <w:rFonts w:ascii="Times New Roman" w:hAnsi="Times New Roman"/>
          <w:noProof/>
          <w:sz w:val="24"/>
        </w:rPr>
        <w:t xml:space="preserve"> w prz</w:t>
      </w:r>
      <w:r w:rsidRPr="00AC2DE7">
        <w:rPr>
          <w:rFonts w:ascii="Times New Roman" w:hAnsi="Times New Roman"/>
          <w:noProof/>
          <w:sz w:val="24"/>
        </w:rPr>
        <w:t>yszłości przez państwa członkowskie będą lepszej jakości</w:t>
      </w:r>
      <w:r w:rsidR="00AC2DE7" w:rsidRPr="00AC2DE7">
        <w:rPr>
          <w:rFonts w:ascii="Times New Roman" w:hAnsi="Times New Roman"/>
          <w:noProof/>
          <w:sz w:val="24"/>
        </w:rPr>
        <w:t xml:space="preserve"> i bar</w:t>
      </w:r>
      <w:r w:rsidRPr="00AC2DE7">
        <w:rPr>
          <w:rFonts w:ascii="Times New Roman" w:hAnsi="Times New Roman"/>
          <w:noProof/>
          <w:sz w:val="24"/>
        </w:rPr>
        <w:t>dziej kompletne.</w:t>
      </w:r>
    </w:p>
    <w:p w14:paraId="2BCFCA5B" w14:textId="3B6D7348" w:rsidR="00273E67" w:rsidRPr="00AC2DE7" w:rsidRDefault="007E0F0E" w:rsidP="006D57D9">
      <w:pPr>
        <w:spacing w:line="276" w:lineRule="auto"/>
        <w:jc w:val="both"/>
        <w:rPr>
          <w:rFonts w:ascii="Times New Roman" w:hAnsi="Times New Roman" w:cs="Times New Roman"/>
          <w:noProof/>
          <w:sz w:val="24"/>
          <w:szCs w:val="24"/>
        </w:rPr>
      </w:pPr>
      <w:r w:rsidRPr="00AC2DE7">
        <w:rPr>
          <w:rFonts w:ascii="Times New Roman" w:hAnsi="Times New Roman"/>
          <w:noProof/>
          <w:sz w:val="24"/>
        </w:rPr>
        <w:t>Państwa członkowskie poprosiły również</w:t>
      </w:r>
      <w:r w:rsidR="00AC2DE7" w:rsidRPr="00AC2DE7">
        <w:rPr>
          <w:rFonts w:ascii="Times New Roman" w:hAnsi="Times New Roman"/>
          <w:noProof/>
          <w:sz w:val="24"/>
        </w:rPr>
        <w:t xml:space="preserve"> o wsk</w:t>
      </w:r>
      <w:r w:rsidRPr="00AC2DE7">
        <w:rPr>
          <w:rFonts w:ascii="Times New Roman" w:hAnsi="Times New Roman"/>
          <w:noProof/>
          <w:sz w:val="24"/>
        </w:rPr>
        <w:t>azówki dotyczące oceny „nadmiernego czasu oczekiwania”. Ocena „nadmiernego” czasu oczekiwania zależy od wielu czynników</w:t>
      </w:r>
      <w:r w:rsidR="00AC2DE7" w:rsidRPr="00AC2DE7">
        <w:rPr>
          <w:rFonts w:ascii="Times New Roman" w:hAnsi="Times New Roman"/>
          <w:noProof/>
          <w:sz w:val="24"/>
        </w:rPr>
        <w:t xml:space="preserve"> i prz</w:t>
      </w:r>
      <w:r w:rsidRPr="00AC2DE7">
        <w:rPr>
          <w:rFonts w:ascii="Times New Roman" w:hAnsi="Times New Roman"/>
          <w:noProof/>
          <w:sz w:val="24"/>
        </w:rPr>
        <w:t>eprowadza ją funkcjonariusz straży granicznej dowodzący przejściem granicznym. Ponieważ uproszczenia stanowią wyjątek od systematycznych odpraw</w:t>
      </w:r>
      <w:r w:rsidR="00AC2DE7" w:rsidRPr="00AC2DE7">
        <w:rPr>
          <w:rFonts w:ascii="Times New Roman" w:hAnsi="Times New Roman"/>
          <w:noProof/>
          <w:sz w:val="24"/>
        </w:rPr>
        <w:t xml:space="preserve"> i mog</w:t>
      </w:r>
      <w:r w:rsidRPr="00AC2DE7">
        <w:rPr>
          <w:rFonts w:ascii="Times New Roman" w:hAnsi="Times New Roman"/>
          <w:noProof/>
          <w:sz w:val="24"/>
        </w:rPr>
        <w:t>ą podważać cele kodeksu granicznego Schengen, szkodząc bezpieczeństwu</w:t>
      </w:r>
      <w:r w:rsidR="00AC2DE7" w:rsidRPr="00AC2DE7">
        <w:rPr>
          <w:rFonts w:ascii="Times New Roman" w:hAnsi="Times New Roman"/>
          <w:noProof/>
          <w:sz w:val="24"/>
        </w:rPr>
        <w:t xml:space="preserve"> w str</w:t>
      </w:r>
      <w:r w:rsidRPr="00AC2DE7">
        <w:rPr>
          <w:rFonts w:ascii="Times New Roman" w:hAnsi="Times New Roman"/>
          <w:noProof/>
          <w:sz w:val="24"/>
        </w:rPr>
        <w:t>efie Schengen,</w:t>
      </w:r>
      <w:r w:rsidR="00AC2DE7" w:rsidRPr="00AC2DE7">
        <w:rPr>
          <w:rFonts w:ascii="Times New Roman" w:hAnsi="Times New Roman"/>
          <w:noProof/>
          <w:sz w:val="24"/>
        </w:rPr>
        <w:t xml:space="preserve"> w oce</w:t>
      </w:r>
      <w:r w:rsidRPr="00AC2DE7">
        <w:rPr>
          <w:rFonts w:ascii="Times New Roman" w:hAnsi="Times New Roman"/>
          <w:noProof/>
          <w:sz w:val="24"/>
        </w:rPr>
        <w:t>nie tej należy kierować się wspólnymi kryteriami</w:t>
      </w:r>
      <w:r w:rsidR="00AC2DE7" w:rsidRPr="00AC2DE7">
        <w:rPr>
          <w:rFonts w:ascii="Times New Roman" w:hAnsi="Times New Roman"/>
          <w:noProof/>
          <w:sz w:val="24"/>
        </w:rPr>
        <w:t>. W pla</w:t>
      </w:r>
      <w:r w:rsidRPr="00AC2DE7">
        <w:rPr>
          <w:rFonts w:ascii="Times New Roman" w:hAnsi="Times New Roman"/>
          <w:noProof/>
          <w:sz w:val="24"/>
        </w:rPr>
        <w:t xml:space="preserve">nowanym przeglądzie </w:t>
      </w:r>
      <w:r w:rsidRPr="00AC2DE7">
        <w:rPr>
          <w:rFonts w:ascii="Times New Roman" w:hAnsi="Times New Roman"/>
          <w:i/>
          <w:noProof/>
          <w:sz w:val="24"/>
        </w:rPr>
        <w:t>Praktycznego podręcznika dla straży granicznej</w:t>
      </w:r>
      <w:r w:rsidRPr="00AC2DE7">
        <w:rPr>
          <w:rFonts w:ascii="Times New Roman" w:hAnsi="Times New Roman"/>
          <w:noProof/>
          <w:sz w:val="24"/>
        </w:rPr>
        <w:t xml:space="preserve"> Komisja zaleci praktyczne sposoby przestrzegania zasady przewidzianej</w:t>
      </w:r>
      <w:r w:rsidR="00AC2DE7" w:rsidRPr="00AC2DE7">
        <w:rPr>
          <w:rFonts w:ascii="Times New Roman" w:hAnsi="Times New Roman"/>
          <w:noProof/>
          <w:sz w:val="24"/>
        </w:rPr>
        <w:t xml:space="preserve"> w kod</w:t>
      </w:r>
      <w:r w:rsidRPr="00AC2DE7">
        <w:rPr>
          <w:rFonts w:ascii="Times New Roman" w:hAnsi="Times New Roman"/>
          <w:noProof/>
          <w:sz w:val="24"/>
        </w:rPr>
        <w:t>eksie granicznym Schengen, zgodnie</w:t>
      </w:r>
      <w:r w:rsidR="00AC2DE7" w:rsidRPr="00AC2DE7">
        <w:rPr>
          <w:rFonts w:ascii="Times New Roman" w:hAnsi="Times New Roman"/>
          <w:noProof/>
          <w:sz w:val="24"/>
        </w:rPr>
        <w:t xml:space="preserve"> z któ</w:t>
      </w:r>
      <w:r w:rsidRPr="00AC2DE7">
        <w:rPr>
          <w:rFonts w:ascii="Times New Roman" w:hAnsi="Times New Roman"/>
          <w:noProof/>
          <w:sz w:val="24"/>
        </w:rPr>
        <w:t>rą uproszczenie można stosować wyłącznie wtedy, gdy wszystkie dostępne zasoby zostały wykorzystane</w:t>
      </w:r>
      <w:r w:rsidR="00AC2DE7" w:rsidRPr="00AC2DE7">
        <w:rPr>
          <w:rFonts w:ascii="Times New Roman" w:hAnsi="Times New Roman"/>
          <w:noProof/>
          <w:sz w:val="24"/>
        </w:rPr>
        <w:t xml:space="preserve"> w mak</w:t>
      </w:r>
      <w:r w:rsidRPr="00AC2DE7">
        <w:rPr>
          <w:rFonts w:ascii="Times New Roman" w:hAnsi="Times New Roman"/>
          <w:noProof/>
          <w:sz w:val="24"/>
        </w:rPr>
        <w:t>symalnym możliwym stopniu oraz gdy konsekwencje nieprzewidzianego zdarzenia prowadzą (lub mogą prowadzić) do nadmiernego czasu oczekiwania.</w:t>
      </w:r>
    </w:p>
    <w:p w14:paraId="64AC27D6" w14:textId="47B6F1E8" w:rsidR="00DC5147" w:rsidRPr="00AC2DE7" w:rsidRDefault="006B6B92"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Ponadto przydatne mogą być także zabezpieczenia prewencyjne, aby zapewnić zgodność</w:t>
      </w:r>
      <w:r w:rsidR="00AC2DE7" w:rsidRPr="00AC2DE7">
        <w:rPr>
          <w:rFonts w:ascii="Times New Roman" w:hAnsi="Times New Roman"/>
          <w:noProof/>
          <w:sz w:val="24"/>
        </w:rPr>
        <w:t xml:space="preserve"> z odp</w:t>
      </w:r>
      <w:r w:rsidRPr="00AC2DE7">
        <w:rPr>
          <w:rFonts w:ascii="Times New Roman" w:hAnsi="Times New Roman"/>
          <w:noProof/>
          <w:sz w:val="24"/>
        </w:rPr>
        <w:t>owiednimi wymogami prawnymi</w:t>
      </w:r>
      <w:r w:rsidR="00AC2DE7" w:rsidRPr="00AC2DE7">
        <w:rPr>
          <w:rFonts w:ascii="Times New Roman" w:hAnsi="Times New Roman"/>
          <w:noProof/>
          <w:sz w:val="24"/>
        </w:rPr>
        <w:t>. W zwi</w:t>
      </w:r>
      <w:r w:rsidRPr="00AC2DE7">
        <w:rPr>
          <w:rFonts w:ascii="Times New Roman" w:hAnsi="Times New Roman"/>
          <w:noProof/>
          <w:sz w:val="24"/>
        </w:rPr>
        <w:t>ązku</w:t>
      </w:r>
      <w:r w:rsidR="00AC2DE7" w:rsidRPr="00AC2DE7">
        <w:rPr>
          <w:rFonts w:ascii="Times New Roman" w:hAnsi="Times New Roman"/>
          <w:noProof/>
          <w:sz w:val="24"/>
        </w:rPr>
        <w:t xml:space="preserve"> z tym</w:t>
      </w:r>
      <w:r w:rsidRPr="00AC2DE7">
        <w:rPr>
          <w:rFonts w:ascii="Times New Roman" w:hAnsi="Times New Roman"/>
          <w:noProof/>
          <w:sz w:val="24"/>
        </w:rPr>
        <w:t xml:space="preserve"> odsetek państw członkowskich, które nie zgłaszają Komisji przypadków uproszczeń (dwie trzecie</w:t>
      </w:r>
      <w:r w:rsidR="00AC2DE7" w:rsidRPr="00AC2DE7">
        <w:rPr>
          <w:rFonts w:ascii="Times New Roman" w:hAnsi="Times New Roman"/>
          <w:noProof/>
          <w:sz w:val="24"/>
        </w:rPr>
        <w:t xml:space="preserve"> w okr</w:t>
      </w:r>
      <w:r w:rsidRPr="00AC2DE7">
        <w:rPr>
          <w:rFonts w:ascii="Times New Roman" w:hAnsi="Times New Roman"/>
          <w:noProof/>
          <w:sz w:val="24"/>
        </w:rPr>
        <w:t>esie objętym badaniem), sugeruje, że obowiązki sprawozdawcze mogą nie być przestrzegane. Ta kwestia również zasługuje na uwagę</w:t>
      </w:r>
      <w:r w:rsidR="00AC2DE7" w:rsidRPr="00AC2DE7">
        <w:rPr>
          <w:rFonts w:ascii="Times New Roman" w:hAnsi="Times New Roman"/>
          <w:noProof/>
          <w:sz w:val="24"/>
        </w:rPr>
        <w:t xml:space="preserve"> i zos</w:t>
      </w:r>
      <w:r w:rsidRPr="00AC2DE7">
        <w:rPr>
          <w:rFonts w:ascii="Times New Roman" w:hAnsi="Times New Roman"/>
          <w:noProof/>
          <w:sz w:val="24"/>
        </w:rPr>
        <w:t>tanie uwzględniona</w:t>
      </w:r>
      <w:r w:rsidR="00AC2DE7" w:rsidRPr="00AC2DE7">
        <w:rPr>
          <w:rFonts w:ascii="Times New Roman" w:hAnsi="Times New Roman"/>
          <w:noProof/>
          <w:sz w:val="24"/>
        </w:rPr>
        <w:t xml:space="preserve"> w pla</w:t>
      </w:r>
      <w:r w:rsidRPr="00AC2DE7">
        <w:rPr>
          <w:rFonts w:ascii="Times New Roman" w:hAnsi="Times New Roman"/>
          <w:noProof/>
          <w:sz w:val="24"/>
        </w:rPr>
        <w:t xml:space="preserve">nowanym przeglądzie </w:t>
      </w:r>
      <w:r w:rsidRPr="00AC2DE7">
        <w:rPr>
          <w:rFonts w:ascii="Times New Roman" w:hAnsi="Times New Roman"/>
          <w:i/>
          <w:noProof/>
          <w:sz w:val="24"/>
        </w:rPr>
        <w:t>Praktycznego podręcznika dla straży granicznej</w:t>
      </w:r>
      <w:r w:rsidRPr="00AC2DE7">
        <w:rPr>
          <w:rFonts w:ascii="Times New Roman" w:hAnsi="Times New Roman"/>
          <w:noProof/>
          <w:sz w:val="24"/>
        </w:rPr>
        <w:t xml:space="preserve">. </w:t>
      </w:r>
    </w:p>
    <w:p w14:paraId="4825BB81" w14:textId="55987651" w:rsidR="001B2BFA" w:rsidRPr="00AC2DE7" w:rsidRDefault="00B6226C" w:rsidP="00D46A81">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III. Skuteczność systematycznych odpraw</w:t>
      </w:r>
    </w:p>
    <w:p w14:paraId="6A97159C" w14:textId="3A910A30" w:rsidR="001B2BFA" w:rsidRPr="00AC2DE7" w:rsidRDefault="00556342"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Ponieważ nie zawsze da się policzyć zagrożenia, którym udało się zapobiec,</w:t>
      </w:r>
      <w:r w:rsidR="00AC2DE7" w:rsidRPr="00AC2DE7">
        <w:rPr>
          <w:rFonts w:ascii="Times New Roman" w:hAnsi="Times New Roman"/>
          <w:noProof/>
          <w:sz w:val="24"/>
        </w:rPr>
        <w:t xml:space="preserve"> a cza</w:t>
      </w:r>
      <w:r w:rsidRPr="00AC2DE7">
        <w:rPr>
          <w:rFonts w:ascii="Times New Roman" w:hAnsi="Times New Roman"/>
          <w:noProof/>
          <w:sz w:val="24"/>
        </w:rPr>
        <w:t>sem można tylko wyciągnąć wnioski na ich temat, trudno jest precyzyjnie określić skutki wprowadzenia systematycznych odpraw wszystkich osób wjeżdżających do strefy Schengen</w:t>
      </w:r>
      <w:r w:rsidR="00AC2DE7" w:rsidRPr="00AC2DE7">
        <w:rPr>
          <w:rFonts w:ascii="Times New Roman" w:hAnsi="Times New Roman"/>
          <w:noProof/>
          <w:sz w:val="24"/>
        </w:rPr>
        <w:t xml:space="preserve"> i z nie</w:t>
      </w:r>
      <w:r w:rsidRPr="00AC2DE7">
        <w:rPr>
          <w:rFonts w:ascii="Times New Roman" w:hAnsi="Times New Roman"/>
          <w:noProof/>
          <w:sz w:val="24"/>
        </w:rPr>
        <w:t>j wyjeżdżających. Skuteczność rozporządzenia</w:t>
      </w:r>
      <w:r w:rsidR="00AC2DE7" w:rsidRPr="00AC2DE7">
        <w:rPr>
          <w:rFonts w:ascii="Times New Roman" w:hAnsi="Times New Roman"/>
          <w:noProof/>
          <w:sz w:val="24"/>
        </w:rPr>
        <w:t xml:space="preserve"> w zap</w:t>
      </w:r>
      <w:r w:rsidRPr="00AC2DE7">
        <w:rPr>
          <w:rFonts w:ascii="Times New Roman" w:hAnsi="Times New Roman"/>
          <w:noProof/>
          <w:sz w:val="24"/>
        </w:rPr>
        <w:t>obieganiu zagrożeniom dla bezpieczeństwa wewnętrznego strefy Schengen należy zatem oceniać na podstawie wymiernych wskaźników</w:t>
      </w:r>
      <w:r w:rsidR="00AC2DE7" w:rsidRPr="00AC2DE7">
        <w:rPr>
          <w:rFonts w:ascii="Times New Roman" w:hAnsi="Times New Roman"/>
          <w:noProof/>
          <w:sz w:val="24"/>
        </w:rPr>
        <w:t xml:space="preserve"> i opi</w:t>
      </w:r>
      <w:r w:rsidRPr="00AC2DE7">
        <w:rPr>
          <w:rFonts w:ascii="Times New Roman" w:hAnsi="Times New Roman"/>
          <w:noProof/>
          <w:sz w:val="24"/>
        </w:rPr>
        <w:t>nii ekspertów. Według funkcjonariuszy straży granicznej,</w:t>
      </w:r>
      <w:r w:rsidR="00AC2DE7" w:rsidRPr="00AC2DE7">
        <w:rPr>
          <w:rFonts w:ascii="Times New Roman" w:hAnsi="Times New Roman"/>
          <w:noProof/>
          <w:sz w:val="24"/>
        </w:rPr>
        <w:t xml:space="preserve"> z któ</w:t>
      </w:r>
      <w:r w:rsidRPr="00AC2DE7">
        <w:rPr>
          <w:rFonts w:ascii="Times New Roman" w:hAnsi="Times New Roman"/>
          <w:noProof/>
          <w:sz w:val="24"/>
        </w:rPr>
        <w:t>rymi konsultowano się</w:t>
      </w:r>
      <w:r w:rsidR="00AC2DE7" w:rsidRPr="00AC2DE7">
        <w:rPr>
          <w:rFonts w:ascii="Times New Roman" w:hAnsi="Times New Roman"/>
          <w:noProof/>
          <w:sz w:val="24"/>
        </w:rPr>
        <w:t xml:space="preserve"> w ram</w:t>
      </w:r>
      <w:r w:rsidRPr="00AC2DE7">
        <w:rPr>
          <w:rFonts w:ascii="Times New Roman" w:hAnsi="Times New Roman"/>
          <w:noProof/>
          <w:sz w:val="24"/>
        </w:rPr>
        <w:t>ach badania zewnętrznego, wprowadzenie systematycznych odpraw na granicach zewnętrznych Schengen</w:t>
      </w:r>
      <w:r w:rsidR="00AC2DE7" w:rsidRPr="00AC2DE7">
        <w:rPr>
          <w:rFonts w:ascii="Times New Roman" w:hAnsi="Times New Roman"/>
          <w:noProof/>
          <w:sz w:val="24"/>
        </w:rPr>
        <w:t xml:space="preserve"> w zak</w:t>
      </w:r>
      <w:r w:rsidRPr="00AC2DE7">
        <w:rPr>
          <w:rFonts w:ascii="Times New Roman" w:hAnsi="Times New Roman"/>
          <w:noProof/>
          <w:sz w:val="24"/>
        </w:rPr>
        <w:t>resie zapobiegania przestępczości przyniosło następujące korzyści:</w:t>
      </w:r>
    </w:p>
    <w:p w14:paraId="1539C59F" w14:textId="2BAC3AD4" w:rsidR="00ED46B9" w:rsidRPr="00AC2DE7" w:rsidRDefault="00ED46B9" w:rsidP="00181815">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lepszej jakości</w:t>
      </w:r>
      <w:r w:rsidR="00AC2DE7" w:rsidRPr="00AC2DE7">
        <w:rPr>
          <w:rFonts w:ascii="Times New Roman" w:hAnsi="Times New Roman"/>
          <w:noProof/>
          <w:sz w:val="24"/>
        </w:rPr>
        <w:t xml:space="preserve"> i bar</w:t>
      </w:r>
      <w:r w:rsidRPr="00AC2DE7">
        <w:rPr>
          <w:rFonts w:ascii="Times New Roman" w:hAnsi="Times New Roman"/>
          <w:noProof/>
          <w:sz w:val="24"/>
        </w:rPr>
        <w:t>dziej kompleksowe dane wywiadowcze zgromadzone na temat osób zaangażowanych</w:t>
      </w:r>
      <w:r w:rsidR="00AC2DE7" w:rsidRPr="00AC2DE7">
        <w:rPr>
          <w:rFonts w:ascii="Times New Roman" w:hAnsi="Times New Roman"/>
          <w:noProof/>
          <w:sz w:val="24"/>
        </w:rPr>
        <w:t xml:space="preserve"> w prz</w:t>
      </w:r>
      <w:r w:rsidRPr="00AC2DE7">
        <w:rPr>
          <w:rFonts w:ascii="Times New Roman" w:hAnsi="Times New Roman"/>
          <w:noProof/>
          <w:sz w:val="24"/>
        </w:rPr>
        <w:t>estępczość zorganizowaną dzięki zwiększonej liczbie trafień dotyczących art.</w:t>
      </w:r>
      <w:r w:rsidR="00836F72" w:rsidRPr="00AC2DE7">
        <w:rPr>
          <w:rFonts w:ascii="Times New Roman" w:hAnsi="Times New Roman"/>
          <w:noProof/>
          <w:sz w:val="24"/>
        </w:rPr>
        <w:t> </w:t>
      </w:r>
      <w:r w:rsidRPr="00AC2DE7">
        <w:rPr>
          <w:rFonts w:ascii="Times New Roman" w:hAnsi="Times New Roman"/>
          <w:noProof/>
          <w:sz w:val="24"/>
        </w:rPr>
        <w:t>36 ust.</w:t>
      </w:r>
      <w:r w:rsidR="00836F72" w:rsidRPr="00AC2DE7">
        <w:rPr>
          <w:rFonts w:ascii="Times New Roman" w:hAnsi="Times New Roman"/>
          <w:noProof/>
          <w:sz w:val="24"/>
        </w:rPr>
        <w:t> </w:t>
      </w:r>
      <w:r w:rsidRPr="00AC2DE7">
        <w:rPr>
          <w:rFonts w:ascii="Times New Roman" w:hAnsi="Times New Roman"/>
          <w:noProof/>
          <w:sz w:val="24"/>
        </w:rPr>
        <w:t>2 decyzji</w:t>
      </w:r>
      <w:r w:rsidR="00AC2DE7" w:rsidRPr="00AC2DE7">
        <w:rPr>
          <w:rFonts w:ascii="Times New Roman" w:hAnsi="Times New Roman"/>
          <w:noProof/>
          <w:sz w:val="24"/>
        </w:rPr>
        <w:t xml:space="preserve"> w spr</w:t>
      </w:r>
      <w:r w:rsidRPr="00AC2DE7">
        <w:rPr>
          <w:rFonts w:ascii="Times New Roman" w:hAnsi="Times New Roman"/>
          <w:noProof/>
          <w:sz w:val="24"/>
        </w:rPr>
        <w:t>awie SIS II;</w:t>
      </w:r>
    </w:p>
    <w:p w14:paraId="645F323C" w14:textId="35A2B2B1" w:rsidR="00ED46B9" w:rsidRPr="00AC2DE7" w:rsidRDefault="00ED46B9" w:rsidP="00181815">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większa wykrywalność</w:t>
      </w:r>
      <w:r w:rsidR="00AC2DE7" w:rsidRPr="00AC2DE7">
        <w:rPr>
          <w:rFonts w:ascii="Times New Roman" w:hAnsi="Times New Roman"/>
          <w:noProof/>
          <w:sz w:val="24"/>
        </w:rPr>
        <w:t xml:space="preserve"> i sku</w:t>
      </w:r>
      <w:r w:rsidRPr="00AC2DE7">
        <w:rPr>
          <w:rFonts w:ascii="Times New Roman" w:hAnsi="Times New Roman"/>
          <w:noProof/>
          <w:sz w:val="24"/>
        </w:rPr>
        <w:t>teczność egzekwowania wpisów</w:t>
      </w:r>
      <w:r w:rsidR="00AC2DE7" w:rsidRPr="00AC2DE7">
        <w:rPr>
          <w:rFonts w:ascii="Times New Roman" w:hAnsi="Times New Roman"/>
          <w:noProof/>
          <w:sz w:val="24"/>
        </w:rPr>
        <w:t xml:space="preserve"> w Sys</w:t>
      </w:r>
      <w:r w:rsidRPr="00AC2DE7">
        <w:rPr>
          <w:rFonts w:ascii="Times New Roman" w:hAnsi="Times New Roman"/>
          <w:noProof/>
          <w:sz w:val="24"/>
        </w:rPr>
        <w:t>temie Informacyjnym Schengen (SIS)</w:t>
      </w:r>
      <w:r w:rsidR="00AC2DE7" w:rsidRPr="00AC2DE7">
        <w:rPr>
          <w:rFonts w:ascii="Times New Roman" w:hAnsi="Times New Roman"/>
          <w:noProof/>
          <w:sz w:val="24"/>
        </w:rPr>
        <w:t xml:space="preserve"> w zak</w:t>
      </w:r>
      <w:r w:rsidRPr="00AC2DE7">
        <w:rPr>
          <w:rFonts w:ascii="Times New Roman" w:hAnsi="Times New Roman"/>
          <w:noProof/>
          <w:sz w:val="24"/>
        </w:rPr>
        <w:t>resie aresztowania, ekstradycji</w:t>
      </w:r>
      <w:r w:rsidR="00AC2DE7" w:rsidRPr="00AC2DE7">
        <w:rPr>
          <w:rFonts w:ascii="Times New Roman" w:hAnsi="Times New Roman"/>
          <w:noProof/>
          <w:sz w:val="24"/>
        </w:rPr>
        <w:t xml:space="preserve"> i wyd</w:t>
      </w:r>
      <w:r w:rsidRPr="00AC2DE7">
        <w:rPr>
          <w:rFonts w:ascii="Times New Roman" w:hAnsi="Times New Roman"/>
          <w:noProof/>
          <w:sz w:val="24"/>
        </w:rPr>
        <w:t>awania osób na przejściach granicznych;</w:t>
      </w:r>
    </w:p>
    <w:p w14:paraId="331720F5" w14:textId="4BF667D0" w:rsidR="00ED46B9" w:rsidRPr="00AC2DE7" w:rsidRDefault="00ED46B9" w:rsidP="00181815">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zwiększona wykrywalność w SIS lub krajowych bazach danych osób</w:t>
      </w:r>
      <w:r w:rsidR="00AC2DE7" w:rsidRPr="00AC2DE7">
        <w:rPr>
          <w:rFonts w:ascii="Times New Roman" w:hAnsi="Times New Roman"/>
          <w:noProof/>
          <w:sz w:val="24"/>
        </w:rPr>
        <w:t xml:space="preserve"> z zak</w:t>
      </w:r>
      <w:r w:rsidRPr="00AC2DE7">
        <w:rPr>
          <w:rFonts w:ascii="Times New Roman" w:hAnsi="Times New Roman"/>
          <w:noProof/>
          <w:sz w:val="24"/>
        </w:rPr>
        <w:t>azem wjazdu związanym</w:t>
      </w:r>
      <w:r w:rsidR="00AC2DE7" w:rsidRPr="00AC2DE7">
        <w:rPr>
          <w:rFonts w:ascii="Times New Roman" w:hAnsi="Times New Roman"/>
          <w:noProof/>
          <w:sz w:val="24"/>
        </w:rPr>
        <w:t xml:space="preserve"> z zar</w:t>
      </w:r>
      <w:r w:rsidRPr="00AC2DE7">
        <w:rPr>
          <w:rFonts w:ascii="Times New Roman" w:hAnsi="Times New Roman"/>
          <w:noProof/>
          <w:sz w:val="24"/>
        </w:rPr>
        <w:t>zutami karnymi;</w:t>
      </w:r>
    </w:p>
    <w:p w14:paraId="195825D5" w14:textId="0D30133B" w:rsidR="00ED46B9" w:rsidRPr="00AC2DE7" w:rsidRDefault="00ED46B9" w:rsidP="00181815">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zwiększona wykrywalność oszustw związanych</w:t>
      </w:r>
      <w:r w:rsidR="00AC2DE7" w:rsidRPr="00AC2DE7">
        <w:rPr>
          <w:rFonts w:ascii="Times New Roman" w:hAnsi="Times New Roman"/>
          <w:noProof/>
          <w:sz w:val="24"/>
        </w:rPr>
        <w:t xml:space="preserve"> z wyk</w:t>
      </w:r>
      <w:r w:rsidRPr="00AC2DE7">
        <w:rPr>
          <w:rFonts w:ascii="Times New Roman" w:hAnsi="Times New Roman"/>
          <w:noProof/>
          <w:sz w:val="24"/>
        </w:rPr>
        <w:t>orzystaniem dokumentów tożsamości (zagubionych, skradzionych lub unieważnionych) dzięki zwiększonej liczbie trafień</w:t>
      </w:r>
      <w:r w:rsidR="00AC2DE7" w:rsidRPr="00AC2DE7">
        <w:rPr>
          <w:rFonts w:ascii="Times New Roman" w:hAnsi="Times New Roman"/>
          <w:noProof/>
          <w:sz w:val="24"/>
        </w:rPr>
        <w:t xml:space="preserve"> w baz</w:t>
      </w:r>
      <w:r w:rsidRPr="00AC2DE7">
        <w:rPr>
          <w:rFonts w:ascii="Times New Roman" w:hAnsi="Times New Roman"/>
          <w:noProof/>
          <w:sz w:val="24"/>
        </w:rPr>
        <w:t>ie Interpolu zawierającej dane skradzionych lub utraconych dokumentów podróży (SLTD);</w:t>
      </w:r>
    </w:p>
    <w:p w14:paraId="65B01326" w14:textId="77777777" w:rsidR="00ED46B9" w:rsidRPr="00AC2DE7" w:rsidRDefault="00ED46B9" w:rsidP="00181815">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usprawnienie wymiany informacji między państwami członkowskimi UE na temat spraw dotyczących przestępczości zorganizowanej.</w:t>
      </w:r>
    </w:p>
    <w:p w14:paraId="68222159" w14:textId="6F7FC04E" w:rsidR="00ED46B9" w:rsidRPr="00AC2DE7" w:rsidRDefault="00E14E2C" w:rsidP="004F4B13">
      <w:pPr>
        <w:keepNext/>
        <w:spacing w:line="276" w:lineRule="auto"/>
        <w:jc w:val="both"/>
        <w:rPr>
          <w:rFonts w:ascii="Times New Roman" w:hAnsi="Times New Roman" w:cs="Times New Roman"/>
          <w:noProof/>
          <w:sz w:val="28"/>
          <w:szCs w:val="24"/>
        </w:rPr>
      </w:pPr>
      <w:r w:rsidRPr="00AC2DE7">
        <w:rPr>
          <w:rFonts w:ascii="Times New Roman" w:hAnsi="Times New Roman"/>
          <w:noProof/>
          <w:sz w:val="24"/>
        </w:rPr>
        <w:t>Jeśli chodzi</w:t>
      </w:r>
      <w:r w:rsidR="00AC2DE7" w:rsidRPr="00AC2DE7">
        <w:rPr>
          <w:rFonts w:ascii="Times New Roman" w:hAnsi="Times New Roman"/>
          <w:noProof/>
          <w:sz w:val="24"/>
        </w:rPr>
        <w:t xml:space="preserve"> o pol</w:t>
      </w:r>
      <w:r w:rsidRPr="00AC2DE7">
        <w:rPr>
          <w:rFonts w:ascii="Times New Roman" w:hAnsi="Times New Roman"/>
          <w:noProof/>
          <w:sz w:val="24"/>
        </w:rPr>
        <w:t xml:space="preserve">itykę przeciwdziałania terroryzmowi, korzyści obejmowały: </w:t>
      </w:r>
    </w:p>
    <w:p w14:paraId="3FD3C680" w14:textId="0484CC3D" w:rsidR="00E14E2C" w:rsidRPr="00AC2DE7" w:rsidRDefault="00E14E2C" w:rsidP="002C54FB">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lepszej jakości</w:t>
      </w:r>
      <w:r w:rsidR="00AC2DE7" w:rsidRPr="00AC2DE7">
        <w:rPr>
          <w:rFonts w:ascii="Times New Roman" w:hAnsi="Times New Roman"/>
          <w:noProof/>
          <w:sz w:val="24"/>
        </w:rPr>
        <w:t xml:space="preserve"> i bar</w:t>
      </w:r>
      <w:r w:rsidRPr="00AC2DE7">
        <w:rPr>
          <w:rFonts w:ascii="Times New Roman" w:hAnsi="Times New Roman"/>
          <w:noProof/>
          <w:sz w:val="24"/>
        </w:rPr>
        <w:t>dziej kompleksowe dane wywiadowcze zgromadzone na temat bojowników terrorystycznych</w:t>
      </w:r>
      <w:r w:rsidR="00AC2DE7" w:rsidRPr="00AC2DE7">
        <w:rPr>
          <w:rFonts w:ascii="Times New Roman" w:hAnsi="Times New Roman"/>
          <w:noProof/>
          <w:sz w:val="24"/>
        </w:rPr>
        <w:t xml:space="preserve"> i osó</w:t>
      </w:r>
      <w:r w:rsidRPr="00AC2DE7">
        <w:rPr>
          <w:rFonts w:ascii="Times New Roman" w:hAnsi="Times New Roman"/>
          <w:noProof/>
          <w:sz w:val="24"/>
        </w:rPr>
        <w:t>b zaangażowanych</w:t>
      </w:r>
      <w:r w:rsidR="00AC2DE7" w:rsidRPr="00AC2DE7">
        <w:rPr>
          <w:rFonts w:ascii="Times New Roman" w:hAnsi="Times New Roman"/>
          <w:noProof/>
          <w:sz w:val="24"/>
        </w:rPr>
        <w:t xml:space="preserve"> w dzi</w:t>
      </w:r>
      <w:r w:rsidRPr="00AC2DE7">
        <w:rPr>
          <w:rFonts w:ascii="Times New Roman" w:hAnsi="Times New Roman"/>
          <w:noProof/>
          <w:sz w:val="24"/>
        </w:rPr>
        <w:t>ałania związane</w:t>
      </w:r>
      <w:r w:rsidR="00AC2DE7" w:rsidRPr="00AC2DE7">
        <w:rPr>
          <w:rFonts w:ascii="Times New Roman" w:hAnsi="Times New Roman"/>
          <w:noProof/>
          <w:sz w:val="24"/>
        </w:rPr>
        <w:t xml:space="preserve"> z ter</w:t>
      </w:r>
      <w:r w:rsidRPr="00AC2DE7">
        <w:rPr>
          <w:rFonts w:ascii="Times New Roman" w:hAnsi="Times New Roman"/>
          <w:noProof/>
          <w:sz w:val="24"/>
        </w:rPr>
        <w:t>roryzmem, dzięki zwiększonej liczbie trafień związanych</w:t>
      </w:r>
      <w:r w:rsidR="00AC2DE7" w:rsidRPr="00AC2DE7">
        <w:rPr>
          <w:rFonts w:ascii="Times New Roman" w:hAnsi="Times New Roman"/>
          <w:noProof/>
          <w:sz w:val="24"/>
        </w:rPr>
        <w:t xml:space="preserve"> z wpi</w:t>
      </w:r>
      <w:r w:rsidRPr="00AC2DE7">
        <w:rPr>
          <w:rFonts w:ascii="Times New Roman" w:hAnsi="Times New Roman"/>
          <w:noProof/>
          <w:sz w:val="24"/>
        </w:rPr>
        <w:t>sami dokonanymi na mocy art.</w:t>
      </w:r>
      <w:r w:rsidR="00836F72" w:rsidRPr="00AC2DE7">
        <w:rPr>
          <w:rFonts w:ascii="Times New Roman" w:hAnsi="Times New Roman"/>
          <w:noProof/>
          <w:sz w:val="24"/>
        </w:rPr>
        <w:t> </w:t>
      </w:r>
      <w:r w:rsidRPr="00AC2DE7">
        <w:rPr>
          <w:rFonts w:ascii="Times New Roman" w:hAnsi="Times New Roman"/>
          <w:noProof/>
          <w:sz w:val="24"/>
        </w:rPr>
        <w:t>24, art.</w:t>
      </w:r>
      <w:r w:rsidR="00836F72" w:rsidRPr="00AC2DE7">
        <w:rPr>
          <w:rFonts w:ascii="Times New Roman" w:hAnsi="Times New Roman"/>
          <w:noProof/>
          <w:sz w:val="24"/>
        </w:rPr>
        <w:t> </w:t>
      </w:r>
      <w:r w:rsidRPr="00AC2DE7">
        <w:rPr>
          <w:rFonts w:ascii="Times New Roman" w:hAnsi="Times New Roman"/>
          <w:noProof/>
          <w:sz w:val="24"/>
        </w:rPr>
        <w:t>26, art.</w:t>
      </w:r>
      <w:r w:rsidR="00836F72" w:rsidRPr="00AC2DE7">
        <w:rPr>
          <w:rFonts w:ascii="Times New Roman" w:hAnsi="Times New Roman"/>
          <w:noProof/>
          <w:sz w:val="24"/>
        </w:rPr>
        <w:t> </w:t>
      </w:r>
      <w:r w:rsidRPr="00AC2DE7">
        <w:rPr>
          <w:rFonts w:ascii="Times New Roman" w:hAnsi="Times New Roman"/>
          <w:noProof/>
          <w:sz w:val="24"/>
        </w:rPr>
        <w:t>36 ust.</w:t>
      </w:r>
      <w:r w:rsidR="00836F72" w:rsidRPr="00AC2DE7">
        <w:rPr>
          <w:rFonts w:ascii="Times New Roman" w:hAnsi="Times New Roman"/>
          <w:noProof/>
          <w:sz w:val="24"/>
        </w:rPr>
        <w:t> </w:t>
      </w:r>
      <w:r w:rsidRPr="00AC2DE7">
        <w:rPr>
          <w:rFonts w:ascii="Times New Roman" w:hAnsi="Times New Roman"/>
          <w:noProof/>
          <w:sz w:val="24"/>
        </w:rPr>
        <w:t>2</w:t>
      </w:r>
      <w:r w:rsidR="00AC2DE7" w:rsidRPr="00AC2DE7">
        <w:rPr>
          <w:rFonts w:ascii="Times New Roman" w:hAnsi="Times New Roman"/>
          <w:noProof/>
          <w:sz w:val="24"/>
        </w:rPr>
        <w:t xml:space="preserve"> i art</w:t>
      </w:r>
      <w:r w:rsidRPr="00AC2DE7">
        <w:rPr>
          <w:rFonts w:ascii="Times New Roman" w:hAnsi="Times New Roman"/>
          <w:noProof/>
          <w:sz w:val="24"/>
        </w:rPr>
        <w:t>.</w:t>
      </w:r>
      <w:r w:rsidR="00836F72" w:rsidRPr="00AC2DE7">
        <w:rPr>
          <w:rFonts w:ascii="Times New Roman" w:hAnsi="Times New Roman"/>
          <w:noProof/>
          <w:sz w:val="24"/>
        </w:rPr>
        <w:t> </w:t>
      </w:r>
      <w:r w:rsidRPr="00AC2DE7">
        <w:rPr>
          <w:rFonts w:ascii="Times New Roman" w:hAnsi="Times New Roman"/>
          <w:noProof/>
          <w:sz w:val="24"/>
        </w:rPr>
        <w:t>36 ust.</w:t>
      </w:r>
      <w:r w:rsidR="00836F72" w:rsidRPr="00AC2DE7">
        <w:rPr>
          <w:rFonts w:ascii="Times New Roman" w:hAnsi="Times New Roman"/>
          <w:noProof/>
          <w:sz w:val="24"/>
        </w:rPr>
        <w:t> </w:t>
      </w:r>
      <w:r w:rsidRPr="00AC2DE7">
        <w:rPr>
          <w:rFonts w:ascii="Times New Roman" w:hAnsi="Times New Roman"/>
          <w:noProof/>
          <w:sz w:val="24"/>
        </w:rPr>
        <w:t>3 decyzji</w:t>
      </w:r>
      <w:r w:rsidR="00AC2DE7" w:rsidRPr="00AC2DE7">
        <w:rPr>
          <w:rFonts w:ascii="Times New Roman" w:hAnsi="Times New Roman"/>
          <w:noProof/>
          <w:sz w:val="24"/>
        </w:rPr>
        <w:t xml:space="preserve"> w spr</w:t>
      </w:r>
      <w:r w:rsidRPr="00AC2DE7">
        <w:rPr>
          <w:rFonts w:ascii="Times New Roman" w:hAnsi="Times New Roman"/>
          <w:noProof/>
          <w:sz w:val="24"/>
        </w:rPr>
        <w:t>awie SIS II;</w:t>
      </w:r>
    </w:p>
    <w:p w14:paraId="3A72EB7A" w14:textId="20B04A77" w:rsidR="00E14E2C" w:rsidRPr="00AC2DE7" w:rsidRDefault="00E14E2C" w:rsidP="002C54FB">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lepsze wykorzystanie Systemu Informacyjnego Schengen (SIS)</w:t>
      </w:r>
      <w:r w:rsidR="00AC2DE7" w:rsidRPr="00AC2DE7">
        <w:rPr>
          <w:rFonts w:ascii="Times New Roman" w:hAnsi="Times New Roman"/>
          <w:noProof/>
          <w:sz w:val="24"/>
        </w:rPr>
        <w:t xml:space="preserve"> w spr</w:t>
      </w:r>
      <w:r w:rsidRPr="00AC2DE7">
        <w:rPr>
          <w:rFonts w:ascii="Times New Roman" w:hAnsi="Times New Roman"/>
          <w:noProof/>
          <w:sz w:val="24"/>
        </w:rPr>
        <w:t>awach związanych</w:t>
      </w:r>
      <w:r w:rsidR="00AC2DE7" w:rsidRPr="00AC2DE7">
        <w:rPr>
          <w:rFonts w:ascii="Times New Roman" w:hAnsi="Times New Roman"/>
          <w:noProof/>
          <w:sz w:val="24"/>
        </w:rPr>
        <w:t xml:space="preserve"> z ter</w:t>
      </w:r>
      <w:r w:rsidRPr="00AC2DE7">
        <w:rPr>
          <w:rFonts w:ascii="Times New Roman" w:hAnsi="Times New Roman"/>
          <w:noProof/>
          <w:sz w:val="24"/>
        </w:rPr>
        <w:t>roryzmem;</w:t>
      </w:r>
    </w:p>
    <w:p w14:paraId="65C06C07" w14:textId="16F78B92" w:rsidR="00E14E2C" w:rsidRPr="00AC2DE7" w:rsidRDefault="00E14E2C" w:rsidP="002C54FB">
      <w:pPr>
        <w:pStyle w:val="ListParagraph"/>
        <w:numPr>
          <w:ilvl w:val="0"/>
          <w:numId w:val="21"/>
        </w:numPr>
        <w:spacing w:line="276" w:lineRule="auto"/>
        <w:jc w:val="both"/>
        <w:rPr>
          <w:rFonts w:ascii="Times New Roman" w:hAnsi="Times New Roman" w:cs="Times New Roman"/>
          <w:noProof/>
          <w:sz w:val="24"/>
          <w:szCs w:val="24"/>
        </w:rPr>
      </w:pPr>
      <w:r w:rsidRPr="00AC2DE7">
        <w:rPr>
          <w:rFonts w:ascii="Times New Roman" w:hAnsi="Times New Roman"/>
          <w:noProof/>
          <w:sz w:val="24"/>
        </w:rPr>
        <w:t>każdy</w:t>
      </w:r>
      <w:r w:rsidR="00AC2DE7" w:rsidRPr="00AC2DE7">
        <w:rPr>
          <w:rFonts w:ascii="Times New Roman" w:hAnsi="Times New Roman"/>
          <w:noProof/>
          <w:sz w:val="24"/>
        </w:rPr>
        <w:t xml:space="preserve"> z tyc</w:t>
      </w:r>
      <w:r w:rsidRPr="00AC2DE7">
        <w:rPr>
          <w:rFonts w:ascii="Times New Roman" w:hAnsi="Times New Roman"/>
          <w:noProof/>
          <w:sz w:val="24"/>
        </w:rPr>
        <w:t>h efektów systematycznych odpraw może ułatwić pracę organów ścigania</w:t>
      </w:r>
      <w:r w:rsidR="00AC2DE7" w:rsidRPr="00AC2DE7">
        <w:rPr>
          <w:rFonts w:ascii="Times New Roman" w:hAnsi="Times New Roman"/>
          <w:noProof/>
          <w:sz w:val="24"/>
        </w:rPr>
        <w:t xml:space="preserve"> w spr</w:t>
      </w:r>
      <w:r w:rsidRPr="00AC2DE7">
        <w:rPr>
          <w:rFonts w:ascii="Times New Roman" w:hAnsi="Times New Roman"/>
          <w:noProof/>
          <w:sz w:val="24"/>
        </w:rPr>
        <w:t>awach związanych</w:t>
      </w:r>
      <w:r w:rsidR="00AC2DE7" w:rsidRPr="00AC2DE7">
        <w:rPr>
          <w:rFonts w:ascii="Times New Roman" w:hAnsi="Times New Roman"/>
          <w:noProof/>
          <w:sz w:val="24"/>
        </w:rPr>
        <w:t xml:space="preserve"> z ter</w:t>
      </w:r>
      <w:r w:rsidRPr="00AC2DE7">
        <w:rPr>
          <w:rFonts w:ascii="Times New Roman" w:hAnsi="Times New Roman"/>
          <w:noProof/>
          <w:sz w:val="24"/>
        </w:rPr>
        <w:t>roryzmem,</w:t>
      </w:r>
      <w:r w:rsidR="00AC2DE7" w:rsidRPr="00AC2DE7">
        <w:rPr>
          <w:rFonts w:ascii="Times New Roman" w:hAnsi="Times New Roman"/>
          <w:noProof/>
          <w:sz w:val="24"/>
        </w:rPr>
        <w:t xml:space="preserve"> a tym</w:t>
      </w:r>
      <w:r w:rsidRPr="00AC2DE7">
        <w:rPr>
          <w:rFonts w:ascii="Times New Roman" w:hAnsi="Times New Roman"/>
          <w:noProof/>
          <w:sz w:val="24"/>
        </w:rPr>
        <w:t xml:space="preserve"> samym przyczynić się do zapobiegania atakom terrorystycznym. </w:t>
      </w:r>
    </w:p>
    <w:p w14:paraId="4124E208" w14:textId="19BA9069" w:rsidR="001B2BFA" w:rsidRPr="00AC2DE7" w:rsidRDefault="00B6226C" w:rsidP="00D46A81">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III.1. Wpływ rozporządzenia na zwalczanie terroryzmu</w:t>
      </w:r>
      <w:r w:rsidR="00AC2DE7" w:rsidRPr="00AC2DE7">
        <w:rPr>
          <w:rFonts w:ascii="Times New Roman" w:hAnsi="Times New Roman"/>
          <w:b/>
          <w:noProof/>
          <w:sz w:val="24"/>
        </w:rPr>
        <w:t xml:space="preserve"> i prz</w:t>
      </w:r>
      <w:r w:rsidRPr="00AC2DE7">
        <w:rPr>
          <w:rFonts w:ascii="Times New Roman" w:hAnsi="Times New Roman"/>
          <w:b/>
          <w:noProof/>
          <w:sz w:val="24"/>
        </w:rPr>
        <w:t>estępczości zorganizowanej</w:t>
      </w:r>
    </w:p>
    <w:p w14:paraId="034A42CC" w14:textId="7EA259C9" w:rsidR="006A4C90" w:rsidRPr="00AC2DE7" w:rsidRDefault="006A4C90" w:rsidP="00317E12">
      <w:pPr>
        <w:spacing w:before="120" w:after="120" w:line="240" w:lineRule="auto"/>
        <w:jc w:val="both"/>
        <w:rPr>
          <w:rFonts w:ascii="Times New Roman" w:hAnsi="Times New Roman" w:cs="Times New Roman"/>
          <w:b/>
          <w:noProof/>
          <w:sz w:val="24"/>
          <w:szCs w:val="24"/>
        </w:rPr>
      </w:pPr>
      <w:r w:rsidRPr="00AC2DE7">
        <w:rPr>
          <w:rFonts w:ascii="Times New Roman" w:hAnsi="Times New Roman"/>
          <w:noProof/>
          <w:sz w:val="24"/>
        </w:rPr>
        <w:t>Na wstępie należy podkreślić, że nie ma żadnych publicznie dostępnych danych dotyczących odsetka wpisów/trafień dotyczących osób korzystających</w:t>
      </w:r>
      <w:r w:rsidR="00AC2DE7" w:rsidRPr="00AC2DE7">
        <w:rPr>
          <w:rFonts w:ascii="Times New Roman" w:hAnsi="Times New Roman"/>
          <w:noProof/>
          <w:sz w:val="24"/>
        </w:rPr>
        <w:t xml:space="preserve"> z pra</w:t>
      </w:r>
      <w:r w:rsidRPr="00AC2DE7">
        <w:rPr>
          <w:rFonts w:ascii="Times New Roman" w:hAnsi="Times New Roman"/>
          <w:noProof/>
          <w:sz w:val="24"/>
        </w:rPr>
        <w:t>wa do swobodnego przemieszczania się na mocy prawa Unii</w:t>
      </w:r>
      <w:r w:rsidR="00AC2DE7" w:rsidRPr="00AC2DE7">
        <w:rPr>
          <w:rFonts w:ascii="Times New Roman" w:hAnsi="Times New Roman"/>
          <w:noProof/>
          <w:sz w:val="24"/>
        </w:rPr>
        <w:t xml:space="preserve"> w por</w:t>
      </w:r>
      <w:r w:rsidRPr="00AC2DE7">
        <w:rPr>
          <w:rFonts w:ascii="Times New Roman" w:hAnsi="Times New Roman"/>
          <w:noProof/>
          <w:sz w:val="24"/>
        </w:rPr>
        <w:t>ównaniu</w:t>
      </w:r>
      <w:r w:rsidR="00AC2DE7" w:rsidRPr="00AC2DE7">
        <w:rPr>
          <w:rFonts w:ascii="Times New Roman" w:hAnsi="Times New Roman"/>
          <w:noProof/>
          <w:sz w:val="24"/>
        </w:rPr>
        <w:t xml:space="preserve"> z oby</w:t>
      </w:r>
      <w:r w:rsidRPr="00AC2DE7">
        <w:rPr>
          <w:rFonts w:ascii="Times New Roman" w:hAnsi="Times New Roman"/>
          <w:noProof/>
          <w:sz w:val="24"/>
        </w:rPr>
        <w:t>watelami państw trzecich. Poniższe dane odnoszą się do wszystkich osób przekraczających granice zewnętrzne. Ten brak rozróżnienia</w:t>
      </w:r>
      <w:r w:rsidR="00AC2DE7" w:rsidRPr="00AC2DE7">
        <w:rPr>
          <w:rFonts w:ascii="Times New Roman" w:hAnsi="Times New Roman"/>
          <w:noProof/>
          <w:sz w:val="24"/>
        </w:rPr>
        <w:t xml:space="preserve"> w dan</w:t>
      </w:r>
      <w:r w:rsidRPr="00AC2DE7">
        <w:rPr>
          <w:rFonts w:ascii="Times New Roman" w:hAnsi="Times New Roman"/>
          <w:noProof/>
          <w:sz w:val="24"/>
        </w:rPr>
        <w:t>ych statystycznych</w:t>
      </w:r>
      <w:r w:rsidR="005A17EC" w:rsidRPr="00AC2DE7">
        <w:rPr>
          <w:rStyle w:val="FootnoteReference"/>
          <w:rFonts w:ascii="Times New Roman" w:hAnsi="Times New Roman" w:cs="Times New Roman"/>
          <w:noProof/>
          <w:sz w:val="24"/>
          <w:szCs w:val="24"/>
        </w:rPr>
        <w:footnoteReference w:id="22"/>
      </w:r>
      <w:r w:rsidRPr="00AC2DE7">
        <w:rPr>
          <w:rFonts w:ascii="Times New Roman" w:hAnsi="Times New Roman"/>
          <w:noProof/>
          <w:sz w:val="24"/>
        </w:rPr>
        <w:t xml:space="preserve"> osób korzystających</w:t>
      </w:r>
      <w:r w:rsidR="00AC2DE7" w:rsidRPr="00AC2DE7">
        <w:rPr>
          <w:rFonts w:ascii="Times New Roman" w:hAnsi="Times New Roman"/>
          <w:noProof/>
          <w:sz w:val="24"/>
        </w:rPr>
        <w:t xml:space="preserve"> z pra</w:t>
      </w:r>
      <w:r w:rsidRPr="00AC2DE7">
        <w:rPr>
          <w:rFonts w:ascii="Times New Roman" w:hAnsi="Times New Roman"/>
          <w:noProof/>
          <w:sz w:val="24"/>
        </w:rPr>
        <w:t>wa do swobodnego przemieszczania się</w:t>
      </w:r>
      <w:r w:rsidR="00AC2DE7" w:rsidRPr="00AC2DE7">
        <w:rPr>
          <w:rFonts w:ascii="Times New Roman" w:hAnsi="Times New Roman"/>
          <w:noProof/>
          <w:sz w:val="24"/>
        </w:rPr>
        <w:t xml:space="preserve"> i oby</w:t>
      </w:r>
      <w:r w:rsidRPr="00AC2DE7">
        <w:rPr>
          <w:rFonts w:ascii="Times New Roman" w:hAnsi="Times New Roman"/>
          <w:noProof/>
          <w:sz w:val="24"/>
        </w:rPr>
        <w:t>wateli państw trzecich</w:t>
      </w:r>
      <w:r w:rsidR="00AC2DE7" w:rsidRPr="00AC2DE7">
        <w:rPr>
          <w:rFonts w:ascii="Times New Roman" w:hAnsi="Times New Roman"/>
          <w:noProof/>
          <w:sz w:val="24"/>
        </w:rPr>
        <w:t xml:space="preserve"> w ocz</w:t>
      </w:r>
      <w:r w:rsidRPr="00AC2DE7">
        <w:rPr>
          <w:rFonts w:ascii="Times New Roman" w:hAnsi="Times New Roman"/>
          <w:noProof/>
          <w:sz w:val="24"/>
        </w:rPr>
        <w:t>ywisty sposób utrudnia wyciągnięcie wiarygodnych wniosków.</w:t>
      </w:r>
    </w:p>
    <w:p w14:paraId="294D7461" w14:textId="1923468D" w:rsidR="00711115" w:rsidRPr="00AC2DE7" w:rsidRDefault="00127204" w:rsidP="00D46A81">
      <w:pPr>
        <w:spacing w:line="276" w:lineRule="auto"/>
        <w:jc w:val="both"/>
        <w:rPr>
          <w:rFonts w:ascii="Times New Roman" w:hAnsi="Times New Roman" w:cs="Times New Roman"/>
          <w:noProof/>
          <w:sz w:val="24"/>
          <w:szCs w:val="24"/>
        </w:rPr>
      </w:pPr>
      <w:r w:rsidRPr="00AC2DE7">
        <w:rPr>
          <w:rFonts w:ascii="Times New Roman" w:hAnsi="Times New Roman"/>
          <w:noProof/>
          <w:sz w:val="24"/>
        </w:rPr>
        <w:t>Z badania przeprowadzonego przez wykonawcę zewnętrznego wynika, że</w:t>
      </w:r>
      <w:r w:rsidR="00AC2DE7" w:rsidRPr="00AC2DE7">
        <w:rPr>
          <w:rFonts w:ascii="Times New Roman" w:hAnsi="Times New Roman"/>
          <w:noProof/>
          <w:sz w:val="24"/>
        </w:rPr>
        <w:t xml:space="preserve"> w lat</w:t>
      </w:r>
      <w:r w:rsidRPr="00AC2DE7">
        <w:rPr>
          <w:rFonts w:ascii="Times New Roman" w:hAnsi="Times New Roman"/>
          <w:noProof/>
          <w:sz w:val="24"/>
        </w:rPr>
        <w:t>ach 2016–2018 ogólna liczba wpisów dotyczących osób</w:t>
      </w:r>
      <w:r w:rsidR="00AC2DE7" w:rsidRPr="00AC2DE7">
        <w:rPr>
          <w:rFonts w:ascii="Times New Roman" w:hAnsi="Times New Roman"/>
          <w:noProof/>
          <w:sz w:val="24"/>
        </w:rPr>
        <w:t xml:space="preserve"> w Sys</w:t>
      </w:r>
      <w:r w:rsidRPr="00AC2DE7">
        <w:rPr>
          <w:rFonts w:ascii="Times New Roman" w:hAnsi="Times New Roman"/>
          <w:noProof/>
          <w:sz w:val="24"/>
        </w:rPr>
        <w:t>temie Informacyjnym Schengen (SIS) wzrosła</w:t>
      </w:r>
      <w:r w:rsidR="00AC2DE7" w:rsidRPr="00AC2DE7">
        <w:rPr>
          <w:rFonts w:ascii="Times New Roman" w:hAnsi="Times New Roman"/>
          <w:noProof/>
          <w:sz w:val="24"/>
        </w:rPr>
        <w:t xml:space="preserve"> o 1</w:t>
      </w:r>
      <w:r w:rsidRPr="00AC2DE7">
        <w:rPr>
          <w:rFonts w:ascii="Times New Roman" w:hAnsi="Times New Roman"/>
          <w:noProof/>
          <w:sz w:val="24"/>
        </w:rPr>
        <w:t>3</w:t>
      </w:r>
      <w:r w:rsidR="00836F72" w:rsidRPr="00AC2DE7">
        <w:rPr>
          <w:rFonts w:ascii="Times New Roman" w:hAnsi="Times New Roman"/>
          <w:noProof/>
          <w:sz w:val="24"/>
        </w:rPr>
        <w:t> </w:t>
      </w:r>
      <w:r w:rsidRPr="00AC2DE7">
        <w:rPr>
          <w:rFonts w:ascii="Times New Roman" w:hAnsi="Times New Roman"/>
          <w:noProof/>
          <w:sz w:val="24"/>
        </w:rPr>
        <w:t>%. Najbardziej znaczący (63</w:t>
      </w:r>
      <w:r w:rsidR="00836F72" w:rsidRPr="00AC2DE7">
        <w:rPr>
          <w:rFonts w:ascii="Times New Roman" w:hAnsi="Times New Roman"/>
          <w:noProof/>
          <w:sz w:val="24"/>
        </w:rPr>
        <w:t> </w:t>
      </w:r>
      <w:r w:rsidRPr="00AC2DE7">
        <w:rPr>
          <w:rFonts w:ascii="Times New Roman" w:hAnsi="Times New Roman"/>
          <w:noProof/>
          <w:sz w:val="24"/>
        </w:rPr>
        <w:t>%) był wzrost liczby wpisów dotyczących kontroli niejawnych</w:t>
      </w:r>
      <w:r w:rsidR="00AC2DE7" w:rsidRPr="00AC2DE7">
        <w:rPr>
          <w:rFonts w:ascii="Times New Roman" w:hAnsi="Times New Roman"/>
          <w:noProof/>
          <w:sz w:val="24"/>
        </w:rPr>
        <w:t xml:space="preserve"> i szc</w:t>
      </w:r>
      <w:r w:rsidRPr="00AC2DE7">
        <w:rPr>
          <w:rFonts w:ascii="Times New Roman" w:hAnsi="Times New Roman"/>
          <w:noProof/>
          <w:sz w:val="24"/>
        </w:rPr>
        <w:t>zególnych (art.</w:t>
      </w:r>
      <w:r w:rsidR="00836F72" w:rsidRPr="00AC2DE7">
        <w:rPr>
          <w:rFonts w:ascii="Times New Roman" w:hAnsi="Times New Roman"/>
          <w:noProof/>
          <w:sz w:val="24"/>
        </w:rPr>
        <w:t> </w:t>
      </w:r>
      <w:r w:rsidRPr="00AC2DE7">
        <w:rPr>
          <w:rFonts w:ascii="Times New Roman" w:hAnsi="Times New Roman"/>
          <w:noProof/>
          <w:sz w:val="24"/>
        </w:rPr>
        <w:t>36 decyzji</w:t>
      </w:r>
      <w:r w:rsidR="00AC2DE7" w:rsidRPr="00AC2DE7">
        <w:rPr>
          <w:rFonts w:ascii="Times New Roman" w:hAnsi="Times New Roman"/>
          <w:noProof/>
          <w:sz w:val="24"/>
        </w:rPr>
        <w:t xml:space="preserve"> w spr</w:t>
      </w:r>
      <w:r w:rsidRPr="00AC2DE7">
        <w:rPr>
          <w:rFonts w:ascii="Times New Roman" w:hAnsi="Times New Roman"/>
          <w:noProof/>
          <w:sz w:val="24"/>
        </w:rPr>
        <w:t>awie SIS II</w:t>
      </w:r>
      <w:r w:rsidR="00301A77" w:rsidRPr="00AC2DE7">
        <w:rPr>
          <w:rStyle w:val="FootnoteReference"/>
          <w:rFonts w:ascii="Times New Roman" w:hAnsi="Times New Roman" w:cs="Times New Roman"/>
          <w:noProof/>
          <w:sz w:val="24"/>
          <w:szCs w:val="24"/>
        </w:rPr>
        <w:footnoteReference w:id="23"/>
      </w:r>
      <w:r w:rsidRPr="00AC2DE7">
        <w:rPr>
          <w:rFonts w:ascii="Times New Roman" w:hAnsi="Times New Roman"/>
          <w:noProof/>
          <w:sz w:val="24"/>
        </w:rPr>
        <w:t>). Podobnie liczba trafień w SIS wzrosła</w:t>
      </w:r>
      <w:r w:rsidR="00AC2DE7" w:rsidRPr="00AC2DE7">
        <w:rPr>
          <w:rFonts w:ascii="Times New Roman" w:hAnsi="Times New Roman"/>
          <w:noProof/>
          <w:sz w:val="24"/>
        </w:rPr>
        <w:t xml:space="preserve"> w prz</w:t>
      </w:r>
      <w:r w:rsidRPr="00AC2DE7">
        <w:rPr>
          <w:rFonts w:ascii="Times New Roman" w:hAnsi="Times New Roman"/>
          <w:noProof/>
          <w:sz w:val="24"/>
        </w:rPr>
        <w:t>ypadku 12 państw członkowskich poddanych dogłębnej analizie</w:t>
      </w:r>
      <w:r w:rsidR="00225019" w:rsidRPr="00AC2DE7">
        <w:rPr>
          <w:rStyle w:val="FootnoteReference"/>
          <w:rFonts w:ascii="Times New Roman" w:hAnsi="Times New Roman" w:cs="Times New Roman"/>
          <w:noProof/>
          <w:sz w:val="24"/>
          <w:szCs w:val="24"/>
        </w:rPr>
        <w:footnoteReference w:id="24"/>
      </w:r>
      <w:r w:rsidR="00AC2DE7" w:rsidRPr="00AC2DE7">
        <w:rPr>
          <w:rFonts w:ascii="Times New Roman" w:hAnsi="Times New Roman"/>
          <w:noProof/>
          <w:sz w:val="24"/>
        </w:rPr>
        <w:t xml:space="preserve"> w bad</w:t>
      </w:r>
      <w:r w:rsidRPr="00AC2DE7">
        <w:rPr>
          <w:rFonts w:ascii="Times New Roman" w:hAnsi="Times New Roman"/>
          <w:noProof/>
          <w:sz w:val="24"/>
        </w:rPr>
        <w:t xml:space="preserve">aniu zewnętrznym. </w:t>
      </w:r>
    </w:p>
    <w:p w14:paraId="592946C2" w14:textId="21E00094" w:rsidR="007563B5" w:rsidRPr="00AC2DE7" w:rsidRDefault="00836F72" w:rsidP="00836F72">
      <w:pPr>
        <w:pStyle w:val="FigureTitle"/>
        <w:numPr>
          <w:ilvl w:val="0"/>
          <w:numId w:val="0"/>
        </w:numPr>
        <w:ind w:left="960" w:hanging="960"/>
        <w:jc w:val="center"/>
        <w:rPr>
          <w:rFonts w:ascii="Times New Roman" w:hAnsi="Times New Roman" w:cs="Times New Roman"/>
          <w:noProof/>
          <w:sz w:val="24"/>
        </w:rPr>
      </w:pPr>
      <w:bookmarkStart w:id="2" w:name="_Ref23180038"/>
      <w:r w:rsidRPr="00AC2DE7">
        <w:rPr>
          <w:rFonts w:ascii="Times New Roman" w:hAnsi="Times New Roman"/>
          <w:noProof/>
          <w:sz w:val="24"/>
        </w:rPr>
        <w:t xml:space="preserve">Rysunek 2. </w:t>
      </w:r>
      <w:r w:rsidR="007563B5" w:rsidRPr="00AC2DE7">
        <w:rPr>
          <w:rFonts w:ascii="Times New Roman" w:hAnsi="Times New Roman"/>
          <w:noProof/>
          <w:sz w:val="24"/>
        </w:rPr>
        <w:t>Liczba ogólnych trafień w SIS II odnotowanych na przejściach granicznych na granicach zewnętrznych</w:t>
      </w:r>
      <w:bookmarkEnd w:id="2"/>
      <w:r w:rsidR="007563B5" w:rsidRPr="00AC2DE7">
        <w:rPr>
          <w:rFonts w:ascii="Times New Roman" w:hAnsi="Times New Roman"/>
          <w:noProof/>
          <w:sz w:val="24"/>
        </w:rPr>
        <w:t xml:space="preserve"> (2015–2019)</w:t>
      </w:r>
      <w:r w:rsidR="00EA172D" w:rsidRPr="00AC2DE7">
        <w:rPr>
          <w:rStyle w:val="FootnoteReference"/>
          <w:rFonts w:ascii="Times New Roman" w:hAnsi="Times New Roman" w:cs="Times New Roman"/>
          <w:noProof/>
          <w:sz w:val="24"/>
        </w:rPr>
        <w:footnoteReference w:id="25"/>
      </w:r>
    </w:p>
    <w:p w14:paraId="0D4775B0" w14:textId="3DA90292" w:rsidR="00836F72" w:rsidRPr="00AC2DE7" w:rsidRDefault="00836F72" w:rsidP="00B769BC">
      <w:pPr>
        <w:jc w:val="center"/>
        <w:rPr>
          <w:rFonts w:ascii="Times New Roman" w:hAnsi="Times New Roman"/>
          <w:i/>
          <w:noProof/>
          <w:sz w:val="18"/>
        </w:rPr>
      </w:pPr>
      <w:r w:rsidRPr="00AC2DE7">
        <w:rPr>
          <w:noProof/>
          <w:lang w:val="en-GB" w:eastAsia="en-GB"/>
        </w:rPr>
        <w:drawing>
          <wp:inline distT="0" distB="0" distL="0" distR="0" wp14:anchorId="764BEEE7" wp14:editId="4684AE01">
            <wp:extent cx="5731510" cy="300792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1510" cy="3007924"/>
                    </a:xfrm>
                    <a:prstGeom prst="rect">
                      <a:avLst/>
                    </a:prstGeom>
                    <a:noFill/>
                    <a:ln>
                      <a:noFill/>
                    </a:ln>
                  </pic:spPr>
                </pic:pic>
              </a:graphicData>
            </a:graphic>
          </wp:inline>
        </w:drawing>
      </w:r>
    </w:p>
    <w:p w14:paraId="67185F98" w14:textId="258747B3" w:rsidR="007563B5" w:rsidRPr="00AC2DE7" w:rsidRDefault="007563B5" w:rsidP="00B769BC">
      <w:pPr>
        <w:jc w:val="center"/>
        <w:rPr>
          <w:rFonts w:ascii="Times New Roman" w:hAnsi="Times New Roman" w:cs="Times New Roman"/>
          <w:i/>
          <w:iCs/>
          <w:noProof/>
          <w:sz w:val="18"/>
          <w:szCs w:val="18"/>
        </w:rPr>
      </w:pPr>
      <w:r w:rsidRPr="00AC2DE7">
        <w:rPr>
          <w:rFonts w:ascii="Times New Roman" w:hAnsi="Times New Roman"/>
          <w:i/>
          <w:noProof/>
          <w:sz w:val="18"/>
        </w:rPr>
        <w:t>Źródło: dane oparte na badaniach straży granicznej (dane dotyczące Austrii, Chorwacji, Estonii, Finlandii, Niemiec, Łotwy, Litwy, Rumunii, Słowenii, Hiszpanii</w:t>
      </w:r>
      <w:r w:rsidR="00AC2DE7" w:rsidRPr="00AC2DE7">
        <w:rPr>
          <w:rFonts w:ascii="Times New Roman" w:hAnsi="Times New Roman"/>
          <w:i/>
          <w:noProof/>
          <w:sz w:val="18"/>
        </w:rPr>
        <w:t xml:space="preserve"> i Szw</w:t>
      </w:r>
      <w:r w:rsidRPr="00AC2DE7">
        <w:rPr>
          <w:rFonts w:ascii="Times New Roman" w:hAnsi="Times New Roman"/>
          <w:i/>
          <w:noProof/>
          <w:sz w:val="18"/>
        </w:rPr>
        <w:t>ecji)</w:t>
      </w:r>
      <w:r w:rsidR="00AC2DE7" w:rsidRPr="00AC2DE7">
        <w:rPr>
          <w:rFonts w:ascii="Times New Roman" w:hAnsi="Times New Roman"/>
          <w:i/>
          <w:noProof/>
          <w:sz w:val="18"/>
        </w:rPr>
        <w:t>. W dan</w:t>
      </w:r>
      <w:r w:rsidRPr="00AC2DE7">
        <w:rPr>
          <w:rFonts w:ascii="Times New Roman" w:hAnsi="Times New Roman"/>
          <w:i/>
          <w:noProof/>
          <w:sz w:val="18"/>
        </w:rPr>
        <w:t>ych dotyczących Hiszpanii wykorzystano wyłącznie dane dotyczące portu lotniczego Madryt Barajas</w:t>
      </w:r>
      <w:r w:rsidRPr="00AC2DE7">
        <w:rPr>
          <w:rStyle w:val="FootnoteReference"/>
          <w:rFonts w:ascii="Times New Roman" w:hAnsi="Times New Roman" w:cs="Times New Roman"/>
          <w:i/>
          <w:iCs/>
          <w:noProof/>
          <w:sz w:val="18"/>
          <w:szCs w:val="18"/>
        </w:rPr>
        <w:footnoteReference w:id="26"/>
      </w:r>
      <w:r w:rsidRPr="00AC2DE7">
        <w:rPr>
          <w:rFonts w:ascii="Times New Roman" w:hAnsi="Times New Roman"/>
          <w:i/>
          <w:noProof/>
          <w:sz w:val="18"/>
        </w:rPr>
        <w:t>.</w:t>
      </w:r>
    </w:p>
    <w:p w14:paraId="103E3E34" w14:textId="3E58E1D6" w:rsidR="00D14A9E" w:rsidRPr="00AC2DE7" w:rsidRDefault="00D14A9E" w:rsidP="00827E5F">
      <w:pPr>
        <w:spacing w:line="276" w:lineRule="auto"/>
        <w:jc w:val="both"/>
        <w:rPr>
          <w:rFonts w:ascii="Times New Roman" w:hAnsi="Times New Roman" w:cs="Times New Roman"/>
          <w:noProof/>
          <w:sz w:val="24"/>
          <w:szCs w:val="24"/>
        </w:rPr>
      </w:pPr>
      <w:r w:rsidRPr="00AC2DE7">
        <w:rPr>
          <w:rFonts w:ascii="Times New Roman" w:hAnsi="Times New Roman"/>
          <w:noProof/>
          <w:sz w:val="24"/>
        </w:rPr>
        <w:t>Według urzędników zajmujących się zwalczaniem terroryzmu,</w:t>
      </w:r>
      <w:r w:rsidR="00AC2DE7" w:rsidRPr="00AC2DE7">
        <w:rPr>
          <w:rFonts w:ascii="Times New Roman" w:hAnsi="Times New Roman"/>
          <w:noProof/>
          <w:sz w:val="24"/>
        </w:rPr>
        <w:t xml:space="preserve"> z któ</w:t>
      </w:r>
      <w:r w:rsidRPr="00AC2DE7">
        <w:rPr>
          <w:rFonts w:ascii="Times New Roman" w:hAnsi="Times New Roman"/>
          <w:noProof/>
          <w:sz w:val="24"/>
        </w:rPr>
        <w:t>rymi skonsultowano się na potrzeby badania zewnętrznego, wydaje się, że rozporządzenie miało pozytywny wpływ na walkę</w:t>
      </w:r>
      <w:r w:rsidR="00AC2DE7" w:rsidRPr="00AC2DE7">
        <w:rPr>
          <w:rFonts w:ascii="Times New Roman" w:hAnsi="Times New Roman"/>
          <w:noProof/>
          <w:sz w:val="24"/>
        </w:rPr>
        <w:t xml:space="preserve"> z ter</w:t>
      </w:r>
      <w:r w:rsidRPr="00AC2DE7">
        <w:rPr>
          <w:rFonts w:ascii="Times New Roman" w:hAnsi="Times New Roman"/>
          <w:noProof/>
          <w:sz w:val="24"/>
        </w:rPr>
        <w:t>roryzmem</w:t>
      </w:r>
      <w:r w:rsidR="00AC2DE7" w:rsidRPr="00AC2DE7">
        <w:rPr>
          <w:rFonts w:ascii="Times New Roman" w:hAnsi="Times New Roman"/>
          <w:noProof/>
          <w:sz w:val="24"/>
        </w:rPr>
        <w:t xml:space="preserve"> i prz</w:t>
      </w:r>
      <w:r w:rsidRPr="00AC2DE7">
        <w:rPr>
          <w:rFonts w:ascii="Times New Roman" w:hAnsi="Times New Roman"/>
          <w:noProof/>
          <w:sz w:val="24"/>
        </w:rPr>
        <w:t>estępczością zorganizowaną, głównie dzięki ogólnemu gromadzeniu danych wywiadowczych, ułatwionemu dzięki większej liczbie trafień, co jest bezpośrednio związane</w:t>
      </w:r>
      <w:r w:rsidR="00AC2DE7" w:rsidRPr="00AC2DE7">
        <w:rPr>
          <w:rFonts w:ascii="Times New Roman" w:hAnsi="Times New Roman"/>
          <w:noProof/>
          <w:sz w:val="24"/>
        </w:rPr>
        <w:t xml:space="preserve"> z wię</w:t>
      </w:r>
      <w:r w:rsidRPr="00AC2DE7">
        <w:rPr>
          <w:rFonts w:ascii="Times New Roman" w:hAnsi="Times New Roman"/>
          <w:noProof/>
          <w:sz w:val="24"/>
        </w:rPr>
        <w:t>kszą liczbą odpraw</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 Oprócz samej wartości zwiększonej liczby trafień, większa skuteczność odpraw granicznych zwiększyła zaufanie organów ścigania</w:t>
      </w:r>
      <w:r w:rsidR="00AC2DE7" w:rsidRPr="00AC2DE7">
        <w:rPr>
          <w:rFonts w:ascii="Times New Roman" w:hAnsi="Times New Roman"/>
          <w:noProof/>
          <w:sz w:val="24"/>
        </w:rPr>
        <w:t xml:space="preserve"> i słu</w:t>
      </w:r>
      <w:r w:rsidRPr="00AC2DE7">
        <w:rPr>
          <w:rFonts w:ascii="Times New Roman" w:hAnsi="Times New Roman"/>
          <w:noProof/>
          <w:sz w:val="24"/>
        </w:rPr>
        <w:t>żb bezpieczeństwa do systemów, zachęcając je do wprowadzania wpisów do Systemu Informacyjnego Schengen (SIS) lub bazy Interpolu zawierającej dane skradzionych lub utraconych dokumentów podróży (SLTD).</w:t>
      </w:r>
      <w:r w:rsidR="00836F72" w:rsidRPr="00AC2DE7">
        <w:rPr>
          <w:rFonts w:ascii="Times New Roman" w:hAnsi="Times New Roman"/>
          <w:noProof/>
          <w:sz w:val="24"/>
        </w:rPr>
        <w:t xml:space="preserve"> </w:t>
      </w:r>
    </w:p>
    <w:p w14:paraId="174C1ECD" w14:textId="475BDF40" w:rsidR="001B2BFA" w:rsidRPr="00AC2DE7" w:rsidRDefault="00051F0D" w:rsidP="00827E5F">
      <w:pPr>
        <w:spacing w:line="276" w:lineRule="auto"/>
        <w:jc w:val="both"/>
        <w:rPr>
          <w:rFonts w:ascii="Times New Roman" w:hAnsi="Times New Roman" w:cs="Times New Roman"/>
          <w:noProof/>
          <w:sz w:val="24"/>
          <w:szCs w:val="24"/>
        </w:rPr>
      </w:pPr>
      <w:r w:rsidRPr="00AC2DE7">
        <w:rPr>
          <w:rFonts w:ascii="Times New Roman" w:hAnsi="Times New Roman"/>
          <w:noProof/>
          <w:sz w:val="24"/>
        </w:rPr>
        <w:t>Ponieważ rozporządzenie zostało przyjęte</w:t>
      </w:r>
      <w:r w:rsidR="00AC2DE7" w:rsidRPr="00AC2DE7">
        <w:rPr>
          <w:rFonts w:ascii="Times New Roman" w:hAnsi="Times New Roman"/>
          <w:noProof/>
          <w:sz w:val="24"/>
        </w:rPr>
        <w:t xml:space="preserve"> w cel</w:t>
      </w:r>
      <w:r w:rsidRPr="00AC2DE7">
        <w:rPr>
          <w:rFonts w:ascii="Times New Roman" w:hAnsi="Times New Roman"/>
          <w:noProof/>
          <w:sz w:val="24"/>
        </w:rPr>
        <w:t>u przeciwdziałania zagrożeniu terroryzmem, zwłaszcza ze strony bojowników terrorystycznych, szczególnie interesujące są zmiany</w:t>
      </w:r>
      <w:r w:rsidR="00AC2DE7" w:rsidRPr="00AC2DE7">
        <w:rPr>
          <w:rFonts w:ascii="Times New Roman" w:hAnsi="Times New Roman"/>
          <w:noProof/>
          <w:sz w:val="24"/>
        </w:rPr>
        <w:t xml:space="preserve"> w zak</w:t>
      </w:r>
      <w:r w:rsidRPr="00AC2DE7">
        <w:rPr>
          <w:rFonts w:ascii="Times New Roman" w:hAnsi="Times New Roman"/>
          <w:noProof/>
          <w:sz w:val="24"/>
        </w:rPr>
        <w:t>resie trafień</w:t>
      </w:r>
      <w:r w:rsidR="00AC2DE7" w:rsidRPr="00AC2DE7">
        <w:rPr>
          <w:rFonts w:ascii="Times New Roman" w:hAnsi="Times New Roman"/>
          <w:noProof/>
          <w:sz w:val="24"/>
        </w:rPr>
        <w:t xml:space="preserve"> i wpi</w:t>
      </w:r>
      <w:r w:rsidRPr="00AC2DE7">
        <w:rPr>
          <w:rFonts w:ascii="Times New Roman" w:hAnsi="Times New Roman"/>
          <w:noProof/>
          <w:sz w:val="24"/>
        </w:rPr>
        <w:t>sów związanych</w:t>
      </w:r>
      <w:r w:rsidR="00AC2DE7" w:rsidRPr="00AC2DE7">
        <w:rPr>
          <w:rFonts w:ascii="Times New Roman" w:hAnsi="Times New Roman"/>
          <w:noProof/>
          <w:sz w:val="24"/>
        </w:rPr>
        <w:t xml:space="preserve"> z ter</w:t>
      </w:r>
      <w:r w:rsidRPr="00AC2DE7">
        <w:rPr>
          <w:rFonts w:ascii="Times New Roman" w:hAnsi="Times New Roman"/>
          <w:noProof/>
          <w:sz w:val="24"/>
        </w:rPr>
        <w:t>roryzmem. Według danych przetworzonych</w:t>
      </w:r>
      <w:r w:rsidR="00AC2DE7" w:rsidRPr="00AC2DE7">
        <w:rPr>
          <w:rFonts w:ascii="Times New Roman" w:hAnsi="Times New Roman"/>
          <w:noProof/>
          <w:sz w:val="24"/>
        </w:rPr>
        <w:t xml:space="preserve"> w ram</w:t>
      </w:r>
      <w:r w:rsidRPr="00AC2DE7">
        <w:rPr>
          <w:rFonts w:ascii="Times New Roman" w:hAnsi="Times New Roman"/>
          <w:noProof/>
          <w:sz w:val="24"/>
        </w:rPr>
        <w:t>ach badania liczba wpisów dokonanych na wniosek organów odpowiedzialnych za bezpieczeństwo narodowe (związanych</w:t>
      </w:r>
      <w:r w:rsidR="00AC2DE7" w:rsidRPr="00AC2DE7">
        <w:rPr>
          <w:rFonts w:ascii="Times New Roman" w:hAnsi="Times New Roman"/>
          <w:noProof/>
          <w:sz w:val="24"/>
        </w:rPr>
        <w:t xml:space="preserve"> z ter</w:t>
      </w:r>
      <w:r w:rsidRPr="00AC2DE7">
        <w:rPr>
          <w:rFonts w:ascii="Times New Roman" w:hAnsi="Times New Roman"/>
          <w:noProof/>
          <w:sz w:val="24"/>
        </w:rPr>
        <w:t>roryzmem) na podstawie art.</w:t>
      </w:r>
      <w:r w:rsidR="00836F72" w:rsidRPr="00AC2DE7">
        <w:rPr>
          <w:rFonts w:ascii="Times New Roman" w:hAnsi="Times New Roman"/>
          <w:noProof/>
          <w:sz w:val="24"/>
        </w:rPr>
        <w:t> </w:t>
      </w:r>
      <w:r w:rsidRPr="00AC2DE7">
        <w:rPr>
          <w:rFonts w:ascii="Times New Roman" w:hAnsi="Times New Roman"/>
          <w:noProof/>
          <w:sz w:val="24"/>
        </w:rPr>
        <w:t>36 ust.</w:t>
      </w:r>
      <w:r w:rsidR="00836F72" w:rsidRPr="00AC2DE7">
        <w:rPr>
          <w:rFonts w:ascii="Times New Roman" w:hAnsi="Times New Roman"/>
          <w:noProof/>
          <w:sz w:val="24"/>
        </w:rPr>
        <w:t> </w:t>
      </w:r>
      <w:r w:rsidRPr="00AC2DE7">
        <w:rPr>
          <w:rFonts w:ascii="Times New Roman" w:hAnsi="Times New Roman"/>
          <w:noProof/>
          <w:sz w:val="24"/>
        </w:rPr>
        <w:t>3 decyzji</w:t>
      </w:r>
      <w:r w:rsidR="00AC2DE7" w:rsidRPr="00AC2DE7">
        <w:rPr>
          <w:rFonts w:ascii="Times New Roman" w:hAnsi="Times New Roman"/>
          <w:noProof/>
          <w:sz w:val="24"/>
        </w:rPr>
        <w:t xml:space="preserve"> w spr</w:t>
      </w:r>
      <w:r w:rsidRPr="00AC2DE7">
        <w:rPr>
          <w:rFonts w:ascii="Times New Roman" w:hAnsi="Times New Roman"/>
          <w:noProof/>
          <w:sz w:val="24"/>
        </w:rPr>
        <w:t>awie SIS II wzrosła</w:t>
      </w:r>
      <w:r w:rsidR="00AC2DE7" w:rsidRPr="00AC2DE7">
        <w:rPr>
          <w:rFonts w:ascii="Times New Roman" w:hAnsi="Times New Roman"/>
          <w:noProof/>
          <w:sz w:val="24"/>
        </w:rPr>
        <w:t xml:space="preserve"> w lat</w:t>
      </w:r>
      <w:r w:rsidRPr="00AC2DE7">
        <w:rPr>
          <w:rFonts w:ascii="Times New Roman" w:hAnsi="Times New Roman"/>
          <w:noProof/>
          <w:sz w:val="24"/>
        </w:rPr>
        <w:t>ach 2016–2018</w:t>
      </w:r>
      <w:r w:rsidR="00AC2DE7" w:rsidRPr="00AC2DE7">
        <w:rPr>
          <w:rFonts w:ascii="Times New Roman" w:hAnsi="Times New Roman"/>
          <w:noProof/>
          <w:sz w:val="24"/>
        </w:rPr>
        <w:t xml:space="preserve"> o 4</w:t>
      </w:r>
      <w:r w:rsidRPr="00AC2DE7">
        <w:rPr>
          <w:rFonts w:ascii="Times New Roman" w:hAnsi="Times New Roman"/>
          <w:noProof/>
          <w:sz w:val="24"/>
        </w:rPr>
        <w:t>6</w:t>
      </w:r>
      <w:r w:rsidR="00836F72" w:rsidRPr="00AC2DE7">
        <w:rPr>
          <w:rFonts w:ascii="Times New Roman" w:hAnsi="Times New Roman"/>
          <w:noProof/>
          <w:sz w:val="24"/>
        </w:rPr>
        <w:t> </w:t>
      </w:r>
      <w:r w:rsidRPr="00AC2DE7">
        <w:rPr>
          <w:rFonts w:ascii="Times New Roman" w:hAnsi="Times New Roman"/>
          <w:noProof/>
          <w:sz w:val="24"/>
        </w:rPr>
        <w:t>%. Zgodnie</w:t>
      </w:r>
      <w:r w:rsidR="00AC2DE7" w:rsidRPr="00AC2DE7">
        <w:rPr>
          <w:rFonts w:ascii="Times New Roman" w:hAnsi="Times New Roman"/>
          <w:noProof/>
          <w:sz w:val="24"/>
        </w:rPr>
        <w:t xml:space="preserve"> z dan</w:t>
      </w:r>
      <w:r w:rsidRPr="00AC2DE7">
        <w:rPr>
          <w:rFonts w:ascii="Times New Roman" w:hAnsi="Times New Roman"/>
          <w:noProof/>
          <w:sz w:val="24"/>
        </w:rPr>
        <w:t>ymi dostarczonymi przez siedem krajowych biur obsługujących wnioski</w:t>
      </w:r>
      <w:r w:rsidR="00AC2DE7" w:rsidRPr="00AC2DE7">
        <w:rPr>
          <w:rFonts w:ascii="Times New Roman" w:hAnsi="Times New Roman"/>
          <w:noProof/>
          <w:sz w:val="24"/>
        </w:rPr>
        <w:t xml:space="preserve"> o inf</w:t>
      </w:r>
      <w:r w:rsidRPr="00AC2DE7">
        <w:rPr>
          <w:rFonts w:ascii="Times New Roman" w:hAnsi="Times New Roman"/>
          <w:noProof/>
          <w:sz w:val="24"/>
        </w:rPr>
        <w:t xml:space="preserve">ormacje uzupełniające na poziomie dostępów krajowych </w:t>
      </w:r>
      <w:r w:rsidRPr="00AC2DE7">
        <w:rPr>
          <w:rFonts w:ascii="Times New Roman" w:hAnsi="Times New Roman"/>
          <w:noProof/>
        </w:rPr>
        <w:t>(</w:t>
      </w:r>
      <w:r w:rsidRPr="00AC2DE7">
        <w:rPr>
          <w:rFonts w:ascii="Times New Roman" w:hAnsi="Times New Roman"/>
          <w:noProof/>
          <w:sz w:val="24"/>
        </w:rPr>
        <w:t>biur SIRENE)</w:t>
      </w:r>
      <w:r w:rsidR="00A61E38" w:rsidRPr="00AC2DE7">
        <w:rPr>
          <w:rFonts w:ascii="Times New Roman" w:hAnsi="Times New Roman" w:cs="Times New Roman"/>
          <w:noProof/>
          <w:sz w:val="24"/>
          <w:szCs w:val="24"/>
          <w:vertAlign w:val="superscript"/>
        </w:rPr>
        <w:footnoteReference w:id="27"/>
      </w:r>
      <w:r w:rsidRPr="00AC2DE7">
        <w:rPr>
          <w:rFonts w:ascii="Times New Roman" w:hAnsi="Times New Roman"/>
          <w:noProof/>
          <w:sz w:val="24"/>
        </w:rPr>
        <w:t xml:space="preserve"> liczba trafień związanych</w:t>
      </w:r>
      <w:r w:rsidR="00AC2DE7" w:rsidRPr="00AC2DE7">
        <w:rPr>
          <w:rFonts w:ascii="Times New Roman" w:hAnsi="Times New Roman"/>
          <w:noProof/>
          <w:sz w:val="24"/>
        </w:rPr>
        <w:t xml:space="preserve"> z ter</w:t>
      </w:r>
      <w:r w:rsidRPr="00AC2DE7">
        <w:rPr>
          <w:rFonts w:ascii="Times New Roman" w:hAnsi="Times New Roman"/>
          <w:noProof/>
          <w:sz w:val="24"/>
        </w:rPr>
        <w:t>roryzmem regulowanych tym samym artykułem wzrosła ponad dwukrotnie</w:t>
      </w:r>
      <w:r w:rsidR="00AC2DE7" w:rsidRPr="00AC2DE7">
        <w:rPr>
          <w:rFonts w:ascii="Times New Roman" w:hAnsi="Times New Roman"/>
          <w:noProof/>
          <w:sz w:val="24"/>
        </w:rPr>
        <w:t xml:space="preserve"> w tym</w:t>
      </w:r>
      <w:r w:rsidRPr="00AC2DE7">
        <w:rPr>
          <w:rFonts w:ascii="Times New Roman" w:hAnsi="Times New Roman"/>
          <w:noProof/>
          <w:sz w:val="24"/>
        </w:rPr>
        <w:t xml:space="preserve"> samym okresie. Oprócz danych statystycznych dotyczących wpisów</w:t>
      </w:r>
      <w:r w:rsidR="00AC2DE7" w:rsidRPr="00AC2DE7">
        <w:rPr>
          <w:rFonts w:ascii="Times New Roman" w:hAnsi="Times New Roman"/>
          <w:noProof/>
          <w:sz w:val="24"/>
        </w:rPr>
        <w:t xml:space="preserve"> i tra</w:t>
      </w:r>
      <w:r w:rsidRPr="00AC2DE7">
        <w:rPr>
          <w:rFonts w:ascii="Times New Roman" w:hAnsi="Times New Roman"/>
          <w:noProof/>
          <w:sz w:val="24"/>
        </w:rPr>
        <w:t>fień, według urzędników zajmujących się zwalczaniem terroryzmu,</w:t>
      </w:r>
      <w:r w:rsidR="00AC2DE7" w:rsidRPr="00AC2DE7">
        <w:rPr>
          <w:rFonts w:ascii="Times New Roman" w:hAnsi="Times New Roman"/>
          <w:noProof/>
          <w:sz w:val="24"/>
        </w:rPr>
        <w:t xml:space="preserve"> z któ</w:t>
      </w:r>
      <w:r w:rsidRPr="00AC2DE7">
        <w:rPr>
          <w:rFonts w:ascii="Times New Roman" w:hAnsi="Times New Roman"/>
          <w:noProof/>
          <w:sz w:val="24"/>
        </w:rPr>
        <w:t>rymi przeprowadzono rozmowy</w:t>
      </w:r>
      <w:r w:rsidR="00AC2DE7" w:rsidRPr="00AC2DE7">
        <w:rPr>
          <w:rFonts w:ascii="Times New Roman" w:hAnsi="Times New Roman"/>
          <w:noProof/>
          <w:sz w:val="24"/>
        </w:rPr>
        <w:t xml:space="preserve"> w ram</w:t>
      </w:r>
      <w:r w:rsidRPr="00AC2DE7">
        <w:rPr>
          <w:rFonts w:ascii="Times New Roman" w:hAnsi="Times New Roman"/>
          <w:noProof/>
          <w:sz w:val="24"/>
        </w:rPr>
        <w:t>ach badania zewnętrznego, rozporządzenie miało również inne dostrzegalne pozytywne skutki. Wśród nich urzędnicy wymienili poprawę</w:t>
      </w:r>
      <w:r w:rsidR="00AC2DE7" w:rsidRPr="00AC2DE7">
        <w:rPr>
          <w:rFonts w:ascii="Times New Roman" w:hAnsi="Times New Roman"/>
          <w:noProof/>
          <w:sz w:val="24"/>
        </w:rPr>
        <w:t xml:space="preserve"> w zak</w:t>
      </w:r>
      <w:r w:rsidRPr="00AC2DE7">
        <w:rPr>
          <w:rFonts w:ascii="Times New Roman" w:hAnsi="Times New Roman"/>
          <w:noProof/>
          <w:sz w:val="24"/>
        </w:rPr>
        <w:t>resie: (i) monitorowania przemieszczania się bojowników terrorystycznych</w:t>
      </w:r>
      <w:r w:rsidR="00AC2DE7" w:rsidRPr="00AC2DE7">
        <w:rPr>
          <w:rFonts w:ascii="Times New Roman" w:hAnsi="Times New Roman"/>
          <w:noProof/>
          <w:sz w:val="24"/>
        </w:rPr>
        <w:t xml:space="preserve"> i wsp</w:t>
      </w:r>
      <w:r w:rsidRPr="00AC2DE7">
        <w:rPr>
          <w:rFonts w:ascii="Times New Roman" w:hAnsi="Times New Roman"/>
          <w:noProof/>
          <w:sz w:val="24"/>
        </w:rPr>
        <w:t>ółpracy między państwami członkowskimi</w:t>
      </w:r>
      <w:r w:rsidR="00AC2DE7" w:rsidRPr="00AC2DE7">
        <w:rPr>
          <w:rFonts w:ascii="Times New Roman" w:hAnsi="Times New Roman"/>
          <w:noProof/>
          <w:sz w:val="24"/>
        </w:rPr>
        <w:t xml:space="preserve"> w cel</w:t>
      </w:r>
      <w:r w:rsidRPr="00AC2DE7">
        <w:rPr>
          <w:rFonts w:ascii="Times New Roman" w:hAnsi="Times New Roman"/>
          <w:noProof/>
          <w:sz w:val="24"/>
        </w:rPr>
        <w:t>u śledzenia tych ruchów; (ii) ogólnych danych wywiadowczych na temat terroryzmu, które ułatwiają przeprowadzanie ocen ryzyka</w:t>
      </w:r>
      <w:r w:rsidR="00AC2DE7" w:rsidRPr="00AC2DE7">
        <w:rPr>
          <w:rFonts w:ascii="Times New Roman" w:hAnsi="Times New Roman"/>
          <w:noProof/>
          <w:sz w:val="24"/>
        </w:rPr>
        <w:t xml:space="preserve"> i opr</w:t>
      </w:r>
      <w:r w:rsidRPr="00AC2DE7">
        <w:rPr>
          <w:rFonts w:ascii="Times New Roman" w:hAnsi="Times New Roman"/>
          <w:noProof/>
          <w:sz w:val="24"/>
        </w:rPr>
        <w:t>acowywanie sposobów reagowania; (iii) ułatwienia interwencji</w:t>
      </w:r>
      <w:r w:rsidR="00AC2DE7" w:rsidRPr="00AC2DE7">
        <w:rPr>
          <w:rFonts w:ascii="Times New Roman" w:hAnsi="Times New Roman"/>
          <w:noProof/>
          <w:sz w:val="24"/>
        </w:rPr>
        <w:t xml:space="preserve"> w spr</w:t>
      </w:r>
      <w:r w:rsidRPr="00AC2DE7">
        <w:rPr>
          <w:rFonts w:ascii="Times New Roman" w:hAnsi="Times New Roman"/>
          <w:noProof/>
          <w:sz w:val="24"/>
        </w:rPr>
        <w:t>awie bojowników terrorystycznych;(iv) skuteczności niejawnego nadzoru oraz (v) zdolności</w:t>
      </w:r>
      <w:r w:rsidR="00AC2DE7" w:rsidRPr="00AC2DE7">
        <w:rPr>
          <w:rFonts w:ascii="Times New Roman" w:hAnsi="Times New Roman"/>
          <w:noProof/>
          <w:sz w:val="24"/>
        </w:rPr>
        <w:t xml:space="preserve"> w zak</w:t>
      </w:r>
      <w:r w:rsidRPr="00AC2DE7">
        <w:rPr>
          <w:rFonts w:ascii="Times New Roman" w:hAnsi="Times New Roman"/>
          <w:noProof/>
          <w:sz w:val="24"/>
        </w:rPr>
        <w:t xml:space="preserve">resie wykrywania. </w:t>
      </w:r>
    </w:p>
    <w:p w14:paraId="5E466AC0" w14:textId="313D795E" w:rsidR="001B2BFA" w:rsidRPr="00AC2DE7" w:rsidRDefault="007C433F" w:rsidP="00827E5F">
      <w:pPr>
        <w:spacing w:line="276" w:lineRule="auto"/>
        <w:jc w:val="both"/>
        <w:rPr>
          <w:rFonts w:ascii="Times New Roman" w:hAnsi="Times New Roman" w:cs="Times New Roman"/>
          <w:noProof/>
          <w:sz w:val="24"/>
          <w:szCs w:val="24"/>
        </w:rPr>
      </w:pPr>
      <w:r w:rsidRPr="00AC2DE7">
        <w:rPr>
          <w:rFonts w:ascii="Times New Roman" w:hAnsi="Times New Roman"/>
          <w:noProof/>
          <w:sz w:val="24"/>
        </w:rPr>
        <w:t>Z badania przeprowadzonego przez wykonawcę zewnętrznego wynika, że poza zwalczaniem terroryzmu rozporządzenie przyczyniło się również do zwalczania przestępczości zorganizowanej,</w:t>
      </w:r>
      <w:r w:rsidR="00AC2DE7" w:rsidRPr="00AC2DE7">
        <w:rPr>
          <w:rFonts w:ascii="Times New Roman" w:hAnsi="Times New Roman"/>
          <w:noProof/>
          <w:sz w:val="24"/>
        </w:rPr>
        <w:t xml:space="preserve"> w szc</w:t>
      </w:r>
      <w:r w:rsidRPr="00AC2DE7">
        <w:rPr>
          <w:rFonts w:ascii="Times New Roman" w:hAnsi="Times New Roman"/>
          <w:noProof/>
          <w:sz w:val="24"/>
        </w:rPr>
        <w:t>zególności przemytu migrantów, handlu ludźmi, nielegalnego obrotu środkami odurzającymi, przenoszenia majątku za granicę, fałszowania pieniądza</w:t>
      </w:r>
      <w:r w:rsidR="00AC2DE7" w:rsidRPr="00AC2DE7">
        <w:rPr>
          <w:rFonts w:ascii="Times New Roman" w:hAnsi="Times New Roman"/>
          <w:noProof/>
          <w:sz w:val="24"/>
        </w:rPr>
        <w:t xml:space="preserve"> i prz</w:t>
      </w:r>
      <w:r w:rsidRPr="00AC2DE7">
        <w:rPr>
          <w:rFonts w:ascii="Times New Roman" w:hAnsi="Times New Roman"/>
          <w:noProof/>
          <w:sz w:val="24"/>
        </w:rPr>
        <w:t>estępstw przeciwko mieniu oraz fałszowania dokumentów. Podobnie jak</w:t>
      </w:r>
      <w:r w:rsidR="00AC2DE7" w:rsidRPr="00AC2DE7">
        <w:rPr>
          <w:rFonts w:ascii="Times New Roman" w:hAnsi="Times New Roman"/>
          <w:noProof/>
          <w:sz w:val="24"/>
        </w:rPr>
        <w:t xml:space="preserve"> w prz</w:t>
      </w:r>
      <w:r w:rsidRPr="00AC2DE7">
        <w:rPr>
          <w:rFonts w:ascii="Times New Roman" w:hAnsi="Times New Roman"/>
          <w:noProof/>
          <w:sz w:val="24"/>
        </w:rPr>
        <w:t>ypadku przeciwdziałania terroryzmowi, rozporządzenie przyczyniło się szczególnie do poprawy</w:t>
      </w:r>
      <w:r w:rsidR="00AC2DE7" w:rsidRPr="00AC2DE7">
        <w:rPr>
          <w:rFonts w:ascii="Times New Roman" w:hAnsi="Times New Roman"/>
          <w:noProof/>
          <w:sz w:val="24"/>
        </w:rPr>
        <w:t xml:space="preserve"> w zak</w:t>
      </w:r>
      <w:r w:rsidRPr="00AC2DE7">
        <w:rPr>
          <w:rFonts w:ascii="Times New Roman" w:hAnsi="Times New Roman"/>
          <w:noProof/>
          <w:sz w:val="24"/>
        </w:rPr>
        <w:t>resie ogólnej ilości danych wywiadowczych</w:t>
      </w:r>
      <w:r w:rsidR="00AC2DE7" w:rsidRPr="00AC2DE7">
        <w:rPr>
          <w:rFonts w:ascii="Times New Roman" w:hAnsi="Times New Roman"/>
          <w:noProof/>
          <w:sz w:val="24"/>
        </w:rPr>
        <w:t xml:space="preserve"> i ana</w:t>
      </w:r>
      <w:r w:rsidRPr="00AC2DE7">
        <w:rPr>
          <w:rFonts w:ascii="Times New Roman" w:hAnsi="Times New Roman"/>
          <w:noProof/>
          <w:sz w:val="24"/>
        </w:rPr>
        <w:t>lizy ryzyka, zwiększając zdolność organów ścigania do przeciwdziałania przestępczości zorganizowanej. Wzrosła liczba trafień dotyczących kwestii regulowanych odpowiednimi artykułami, szczególnie art.</w:t>
      </w:r>
      <w:r w:rsidR="00836F72" w:rsidRPr="00AC2DE7">
        <w:rPr>
          <w:rFonts w:ascii="Times New Roman" w:hAnsi="Times New Roman"/>
          <w:noProof/>
          <w:sz w:val="24"/>
        </w:rPr>
        <w:t> </w:t>
      </w:r>
      <w:r w:rsidRPr="00AC2DE7">
        <w:rPr>
          <w:rFonts w:ascii="Times New Roman" w:hAnsi="Times New Roman"/>
          <w:noProof/>
          <w:sz w:val="24"/>
        </w:rPr>
        <w:t>36 („Wpisy dotyczące kontroli niejawnych lub kontroli szczególnych”). Ponadto według danych zebranych</w:t>
      </w:r>
      <w:r w:rsidR="00AC2DE7" w:rsidRPr="00AC2DE7">
        <w:rPr>
          <w:rFonts w:ascii="Times New Roman" w:hAnsi="Times New Roman"/>
          <w:noProof/>
          <w:sz w:val="24"/>
        </w:rPr>
        <w:t xml:space="preserve"> w ram</w:t>
      </w:r>
      <w:r w:rsidRPr="00AC2DE7">
        <w:rPr>
          <w:rFonts w:ascii="Times New Roman" w:hAnsi="Times New Roman"/>
          <w:noProof/>
          <w:sz w:val="24"/>
        </w:rPr>
        <w:t>ach badania liczba trafień dotyczących wpisów</w:t>
      </w:r>
      <w:r w:rsidR="00AC2DE7" w:rsidRPr="00AC2DE7">
        <w:rPr>
          <w:rFonts w:ascii="Times New Roman" w:hAnsi="Times New Roman"/>
          <w:noProof/>
          <w:sz w:val="24"/>
        </w:rPr>
        <w:t xml:space="preserve"> o are</w:t>
      </w:r>
      <w:r w:rsidRPr="00AC2DE7">
        <w:rPr>
          <w:rFonts w:ascii="Times New Roman" w:hAnsi="Times New Roman"/>
          <w:noProof/>
          <w:sz w:val="24"/>
        </w:rPr>
        <w:t>sztowaniu oraz liczba trafień dotyczących wpisów</w:t>
      </w:r>
      <w:r w:rsidR="00AC2DE7" w:rsidRPr="00AC2DE7">
        <w:rPr>
          <w:rFonts w:ascii="Times New Roman" w:hAnsi="Times New Roman"/>
          <w:noProof/>
          <w:sz w:val="24"/>
        </w:rPr>
        <w:t xml:space="preserve"> o odm</w:t>
      </w:r>
      <w:r w:rsidRPr="00AC2DE7">
        <w:rPr>
          <w:rFonts w:ascii="Times New Roman" w:hAnsi="Times New Roman"/>
          <w:noProof/>
          <w:sz w:val="24"/>
        </w:rPr>
        <w:t>owie wjazdu</w:t>
      </w:r>
      <w:r w:rsidR="00AC2DE7" w:rsidRPr="00AC2DE7">
        <w:rPr>
          <w:rFonts w:ascii="Times New Roman" w:hAnsi="Times New Roman"/>
          <w:noProof/>
          <w:sz w:val="24"/>
        </w:rPr>
        <w:t xml:space="preserve"> i pob</w:t>
      </w:r>
      <w:r w:rsidRPr="00AC2DE7">
        <w:rPr>
          <w:rFonts w:ascii="Times New Roman" w:hAnsi="Times New Roman"/>
          <w:noProof/>
          <w:sz w:val="24"/>
        </w:rPr>
        <w:t>ytu obywateli państw trzecich (art.</w:t>
      </w:r>
      <w:r w:rsidR="00836F72" w:rsidRPr="00AC2DE7">
        <w:rPr>
          <w:rFonts w:ascii="Times New Roman" w:hAnsi="Times New Roman"/>
          <w:noProof/>
          <w:sz w:val="24"/>
        </w:rPr>
        <w:t> </w:t>
      </w:r>
      <w:r w:rsidRPr="00AC2DE7">
        <w:rPr>
          <w:rFonts w:ascii="Times New Roman" w:hAnsi="Times New Roman"/>
          <w:noProof/>
          <w:sz w:val="24"/>
        </w:rPr>
        <w:t>24 rozporządzenia SIS II</w:t>
      </w:r>
      <w:r w:rsidR="00004A72" w:rsidRPr="00AC2DE7">
        <w:rPr>
          <w:rFonts w:ascii="Times New Roman" w:hAnsi="Times New Roman" w:cs="Times New Roman"/>
          <w:noProof/>
          <w:sz w:val="24"/>
          <w:szCs w:val="24"/>
          <w:vertAlign w:val="superscript"/>
        </w:rPr>
        <w:footnoteReference w:id="28"/>
      </w:r>
      <w:r w:rsidRPr="00AC2DE7">
        <w:rPr>
          <w:rFonts w:ascii="Times New Roman" w:hAnsi="Times New Roman"/>
          <w:noProof/>
          <w:sz w:val="24"/>
        </w:rPr>
        <w:t>) wzrosła od kwietnia 2017</w:t>
      </w:r>
      <w:r w:rsidR="00836F72" w:rsidRPr="00AC2DE7">
        <w:rPr>
          <w:rFonts w:ascii="Times New Roman" w:hAnsi="Times New Roman"/>
          <w:noProof/>
          <w:sz w:val="24"/>
        </w:rPr>
        <w:t> </w:t>
      </w:r>
      <w:r w:rsidRPr="00AC2DE7">
        <w:rPr>
          <w:rFonts w:ascii="Times New Roman" w:hAnsi="Times New Roman"/>
          <w:noProof/>
          <w:sz w:val="24"/>
        </w:rPr>
        <w:t>r. do kwietnia 2019</w:t>
      </w:r>
      <w:r w:rsidR="00836F72" w:rsidRPr="00AC2DE7">
        <w:rPr>
          <w:rFonts w:ascii="Times New Roman" w:hAnsi="Times New Roman"/>
          <w:noProof/>
          <w:sz w:val="24"/>
        </w:rPr>
        <w:t> </w:t>
      </w:r>
      <w:r w:rsidRPr="00AC2DE7">
        <w:rPr>
          <w:rFonts w:ascii="Times New Roman" w:hAnsi="Times New Roman"/>
          <w:noProof/>
          <w:sz w:val="24"/>
        </w:rPr>
        <w:t>r.</w:t>
      </w:r>
      <w:r w:rsidR="00AC2DE7" w:rsidRPr="00AC2DE7">
        <w:rPr>
          <w:rFonts w:ascii="Times New Roman" w:hAnsi="Times New Roman"/>
          <w:noProof/>
          <w:sz w:val="24"/>
        </w:rPr>
        <w:t xml:space="preserve"> o 3</w:t>
      </w:r>
      <w:r w:rsidRPr="00AC2DE7">
        <w:rPr>
          <w:rFonts w:ascii="Times New Roman" w:hAnsi="Times New Roman"/>
          <w:noProof/>
          <w:sz w:val="24"/>
        </w:rPr>
        <w:t>0</w:t>
      </w:r>
      <w:r w:rsidR="00836F72" w:rsidRPr="00AC2DE7">
        <w:rPr>
          <w:rFonts w:ascii="Times New Roman" w:hAnsi="Times New Roman"/>
          <w:noProof/>
          <w:sz w:val="24"/>
        </w:rPr>
        <w:t> </w:t>
      </w:r>
      <w:r w:rsidRPr="00AC2DE7">
        <w:rPr>
          <w:rFonts w:ascii="Times New Roman" w:hAnsi="Times New Roman"/>
          <w:noProof/>
          <w:sz w:val="24"/>
        </w:rPr>
        <w:t>%</w:t>
      </w:r>
      <w:r w:rsidR="00AC2DE7" w:rsidRPr="00AC2DE7">
        <w:rPr>
          <w:rFonts w:ascii="Times New Roman" w:hAnsi="Times New Roman"/>
          <w:noProof/>
          <w:sz w:val="24"/>
        </w:rPr>
        <w:t xml:space="preserve"> w prz</w:t>
      </w:r>
      <w:r w:rsidRPr="00AC2DE7">
        <w:rPr>
          <w:rFonts w:ascii="Times New Roman" w:hAnsi="Times New Roman"/>
          <w:noProof/>
          <w:sz w:val="24"/>
        </w:rPr>
        <w:t>ypadku 12 państw członkowskich poddanych dalszej analizie</w:t>
      </w:r>
      <w:r w:rsidR="00AC2DE7" w:rsidRPr="00AC2DE7">
        <w:rPr>
          <w:rFonts w:ascii="Times New Roman" w:hAnsi="Times New Roman"/>
          <w:noProof/>
          <w:sz w:val="24"/>
        </w:rPr>
        <w:t xml:space="preserve"> w ram</w:t>
      </w:r>
      <w:r w:rsidRPr="00AC2DE7">
        <w:rPr>
          <w:rFonts w:ascii="Times New Roman" w:hAnsi="Times New Roman"/>
          <w:noProof/>
          <w:sz w:val="24"/>
        </w:rPr>
        <w:t>ach badania zewnętrznego</w:t>
      </w:r>
    </w:p>
    <w:p w14:paraId="4E7A29A5" w14:textId="4959FE1B" w:rsidR="001B2BFA" w:rsidRPr="00AC2DE7" w:rsidRDefault="001B2BFA" w:rsidP="00827E5F">
      <w:pPr>
        <w:spacing w:line="276" w:lineRule="auto"/>
        <w:jc w:val="both"/>
        <w:rPr>
          <w:rFonts w:ascii="Times New Roman" w:hAnsi="Times New Roman" w:cs="Times New Roman"/>
          <w:noProof/>
          <w:sz w:val="24"/>
          <w:szCs w:val="24"/>
        </w:rPr>
      </w:pPr>
      <w:r w:rsidRPr="00AC2DE7">
        <w:rPr>
          <w:rFonts w:ascii="Times New Roman" w:hAnsi="Times New Roman"/>
          <w:noProof/>
          <w:sz w:val="24"/>
        </w:rPr>
        <w:t>Ponadto ogólna liczba trafień</w:t>
      </w:r>
      <w:r w:rsidR="00AC2DE7" w:rsidRPr="00AC2DE7">
        <w:rPr>
          <w:rFonts w:ascii="Times New Roman" w:hAnsi="Times New Roman"/>
          <w:noProof/>
          <w:sz w:val="24"/>
        </w:rPr>
        <w:t xml:space="preserve"> w baz</w:t>
      </w:r>
      <w:r w:rsidRPr="00AC2DE7">
        <w:rPr>
          <w:rFonts w:ascii="Times New Roman" w:hAnsi="Times New Roman"/>
          <w:noProof/>
          <w:sz w:val="24"/>
        </w:rPr>
        <w:t>ie Interpolu zawierającej dane skradzionych lub utraconych dokumentów podróży (SLTD) wzrosła ponad dwukrotnie</w:t>
      </w:r>
      <w:r w:rsidR="00AC2DE7" w:rsidRPr="00AC2DE7">
        <w:rPr>
          <w:rFonts w:ascii="Times New Roman" w:hAnsi="Times New Roman"/>
          <w:noProof/>
          <w:sz w:val="24"/>
        </w:rPr>
        <w:t xml:space="preserve"> w lat</w:t>
      </w:r>
      <w:r w:rsidRPr="00AC2DE7">
        <w:rPr>
          <w:rFonts w:ascii="Times New Roman" w:hAnsi="Times New Roman"/>
          <w:noProof/>
          <w:sz w:val="24"/>
        </w:rPr>
        <w:t>ach 2016–2018, choć wzrost ten jest bardzo zróżnicowany</w:t>
      </w:r>
      <w:r w:rsidR="00AC2DE7" w:rsidRPr="00AC2DE7">
        <w:rPr>
          <w:rFonts w:ascii="Times New Roman" w:hAnsi="Times New Roman"/>
          <w:noProof/>
          <w:sz w:val="24"/>
        </w:rPr>
        <w:t xml:space="preserve"> w pos</w:t>
      </w:r>
      <w:r w:rsidRPr="00AC2DE7">
        <w:rPr>
          <w:rFonts w:ascii="Times New Roman" w:hAnsi="Times New Roman"/>
          <w:noProof/>
          <w:sz w:val="24"/>
        </w:rPr>
        <w:t xml:space="preserve">zczególnych państwach członkowskich. </w:t>
      </w:r>
    </w:p>
    <w:p w14:paraId="40010CD2" w14:textId="77777777" w:rsidR="00F90363" w:rsidRPr="00AC2DE7" w:rsidRDefault="00F90363" w:rsidP="002B4286">
      <w:pPr>
        <w:spacing w:line="276" w:lineRule="auto"/>
        <w:jc w:val="both"/>
        <w:rPr>
          <w:rFonts w:ascii="Times New Roman" w:hAnsi="Times New Roman" w:cs="Times New Roman"/>
          <w:b/>
          <w:noProof/>
          <w:sz w:val="24"/>
          <w:szCs w:val="24"/>
        </w:rPr>
      </w:pPr>
    </w:p>
    <w:p w14:paraId="6FC14E9D" w14:textId="7D039EC9" w:rsidR="001B2BFA" w:rsidRPr="00AC2DE7" w:rsidRDefault="004A3547"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III.2. Skutki gospodarcze rozporządzenia</w:t>
      </w:r>
    </w:p>
    <w:p w14:paraId="1D85132B" w14:textId="5C717B24" w:rsidR="00A05A91" w:rsidRPr="00AC2DE7" w:rsidRDefault="001B2BFA" w:rsidP="002B4286">
      <w:pPr>
        <w:spacing w:line="276" w:lineRule="auto"/>
        <w:jc w:val="both"/>
        <w:rPr>
          <w:rFonts w:ascii="Times New Roman" w:hAnsi="Times New Roman" w:cs="Times New Roman"/>
          <w:b/>
          <w:noProof/>
          <w:sz w:val="24"/>
          <w:szCs w:val="24"/>
        </w:rPr>
      </w:pPr>
      <w:r w:rsidRPr="00AC2DE7">
        <w:rPr>
          <w:rFonts w:ascii="Times New Roman" w:hAnsi="Times New Roman"/>
          <w:noProof/>
          <w:sz w:val="24"/>
        </w:rPr>
        <w:t>Korzyści wynikające</w:t>
      </w:r>
      <w:r w:rsidR="00AC2DE7" w:rsidRPr="00AC2DE7">
        <w:rPr>
          <w:rFonts w:ascii="Times New Roman" w:hAnsi="Times New Roman"/>
          <w:noProof/>
          <w:sz w:val="24"/>
        </w:rPr>
        <w:t xml:space="preserve"> z roz</w:t>
      </w:r>
      <w:r w:rsidRPr="00AC2DE7">
        <w:rPr>
          <w:rFonts w:ascii="Times New Roman" w:hAnsi="Times New Roman"/>
          <w:noProof/>
          <w:sz w:val="24"/>
        </w:rPr>
        <w:t>porządzenia muszą być rozpatrywane łącznie</w:t>
      </w:r>
      <w:r w:rsidR="00AC2DE7" w:rsidRPr="00AC2DE7">
        <w:rPr>
          <w:rFonts w:ascii="Times New Roman" w:hAnsi="Times New Roman"/>
          <w:noProof/>
          <w:sz w:val="24"/>
        </w:rPr>
        <w:t xml:space="preserve"> z kos</w:t>
      </w:r>
      <w:r w:rsidRPr="00AC2DE7">
        <w:rPr>
          <w:rFonts w:ascii="Times New Roman" w:hAnsi="Times New Roman"/>
          <w:noProof/>
          <w:sz w:val="24"/>
        </w:rPr>
        <w:t>ztami, jakie ponoszą różne zainteresowane strony przy jego wdrażaniu.</w:t>
      </w:r>
      <w:r w:rsidRPr="00AC2DE7">
        <w:rPr>
          <w:rFonts w:ascii="Times New Roman" w:hAnsi="Times New Roman"/>
          <w:b/>
          <w:noProof/>
          <w:sz w:val="24"/>
        </w:rPr>
        <w:t xml:space="preserve"> </w:t>
      </w:r>
    </w:p>
    <w:p w14:paraId="1FC022CD" w14:textId="2B21C77E" w:rsidR="00BA3890" w:rsidRPr="00AC2DE7" w:rsidRDefault="004746AB"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Badanie zewnętrzne</w:t>
      </w:r>
      <w:r w:rsidRPr="00AC2DE7">
        <w:rPr>
          <w:rFonts w:ascii="Times New Roman" w:hAnsi="Times New Roman"/>
          <w:b/>
          <w:noProof/>
          <w:sz w:val="24"/>
        </w:rPr>
        <w:t xml:space="preserve"> </w:t>
      </w:r>
      <w:r w:rsidRPr="00AC2DE7">
        <w:rPr>
          <w:rFonts w:ascii="Times New Roman" w:hAnsi="Times New Roman"/>
          <w:noProof/>
          <w:sz w:val="24"/>
        </w:rPr>
        <w:t>obejmuje analizę kosztów gospodarczych, jakie zainteresowane strony poniosły</w:t>
      </w:r>
      <w:r w:rsidR="00AC2DE7" w:rsidRPr="00AC2DE7">
        <w:rPr>
          <w:rFonts w:ascii="Times New Roman" w:hAnsi="Times New Roman"/>
          <w:noProof/>
          <w:sz w:val="24"/>
        </w:rPr>
        <w:t xml:space="preserve"> w zwi</w:t>
      </w:r>
      <w:r w:rsidRPr="00AC2DE7">
        <w:rPr>
          <w:rFonts w:ascii="Times New Roman" w:hAnsi="Times New Roman"/>
          <w:noProof/>
          <w:sz w:val="24"/>
        </w:rPr>
        <w:t>ązku</w:t>
      </w:r>
      <w:r w:rsidR="00AC2DE7" w:rsidRPr="00AC2DE7">
        <w:rPr>
          <w:rFonts w:ascii="Times New Roman" w:hAnsi="Times New Roman"/>
          <w:noProof/>
          <w:sz w:val="24"/>
        </w:rPr>
        <w:t xml:space="preserve"> z wdr</w:t>
      </w:r>
      <w:r w:rsidRPr="00AC2DE7">
        <w:rPr>
          <w:rFonts w:ascii="Times New Roman" w:hAnsi="Times New Roman"/>
          <w:noProof/>
          <w:sz w:val="24"/>
        </w:rPr>
        <w:t>ożeniem rozporządzenia</w:t>
      </w:r>
      <w:r w:rsidR="00AC2DE7" w:rsidRPr="00AC2DE7">
        <w:rPr>
          <w:rFonts w:ascii="Times New Roman" w:hAnsi="Times New Roman"/>
          <w:noProof/>
          <w:sz w:val="24"/>
        </w:rPr>
        <w:t xml:space="preserve"> w 2</w:t>
      </w:r>
      <w:r w:rsidRPr="00AC2DE7">
        <w:rPr>
          <w:rFonts w:ascii="Times New Roman" w:hAnsi="Times New Roman"/>
          <w:noProof/>
          <w:sz w:val="24"/>
        </w:rPr>
        <w:t>018</w:t>
      </w:r>
      <w:r w:rsidR="00836F72" w:rsidRPr="00AC2DE7">
        <w:rPr>
          <w:rFonts w:ascii="Times New Roman" w:hAnsi="Times New Roman"/>
          <w:noProof/>
          <w:sz w:val="24"/>
        </w:rPr>
        <w:t> </w:t>
      </w:r>
      <w:r w:rsidRPr="00AC2DE7">
        <w:rPr>
          <w:rFonts w:ascii="Times New Roman" w:hAnsi="Times New Roman"/>
          <w:noProof/>
          <w:sz w:val="24"/>
        </w:rPr>
        <w:t>r., czyli</w:t>
      </w:r>
      <w:r w:rsidR="00AC2DE7" w:rsidRPr="00AC2DE7">
        <w:rPr>
          <w:rFonts w:ascii="Times New Roman" w:hAnsi="Times New Roman"/>
          <w:noProof/>
          <w:sz w:val="24"/>
        </w:rPr>
        <w:t xml:space="preserve"> w rok</w:t>
      </w:r>
      <w:r w:rsidRPr="00AC2DE7">
        <w:rPr>
          <w:rFonts w:ascii="Times New Roman" w:hAnsi="Times New Roman"/>
          <w:noProof/>
          <w:sz w:val="24"/>
        </w:rPr>
        <w:t>u,</w:t>
      </w:r>
      <w:r w:rsidR="00AC2DE7" w:rsidRPr="00AC2DE7">
        <w:rPr>
          <w:rFonts w:ascii="Times New Roman" w:hAnsi="Times New Roman"/>
          <w:noProof/>
          <w:sz w:val="24"/>
        </w:rPr>
        <w:t xml:space="preserve"> w któ</w:t>
      </w:r>
      <w:r w:rsidRPr="00AC2DE7">
        <w:rPr>
          <w:rFonts w:ascii="Times New Roman" w:hAnsi="Times New Roman"/>
          <w:noProof/>
          <w:sz w:val="24"/>
        </w:rPr>
        <w:t>rym dostępne są najbardziej kompletne dane na temat kluczowych czynników gospodarczych. Ograniczenia danych wpłynęły jednak znacząco na możliwość wyciągnięcia jednoznacznych wniosków</w:t>
      </w:r>
      <w:r w:rsidR="00AC2DE7" w:rsidRPr="00AC2DE7">
        <w:rPr>
          <w:rFonts w:ascii="Times New Roman" w:hAnsi="Times New Roman"/>
          <w:noProof/>
          <w:sz w:val="24"/>
        </w:rPr>
        <w:t>. W szc</w:t>
      </w:r>
      <w:r w:rsidRPr="00AC2DE7">
        <w:rPr>
          <w:rFonts w:ascii="Times New Roman" w:hAnsi="Times New Roman"/>
          <w:noProof/>
          <w:sz w:val="24"/>
        </w:rPr>
        <w:t>zególności:</w:t>
      </w:r>
    </w:p>
    <w:p w14:paraId="00619B96" w14:textId="586C0270" w:rsidR="00371BC5" w:rsidRPr="00AC2DE7" w:rsidRDefault="00371BC5" w:rsidP="004F4B13">
      <w:pPr>
        <w:pStyle w:val="ListParagraph"/>
        <w:numPr>
          <w:ilvl w:val="0"/>
          <w:numId w:val="23"/>
        </w:numPr>
        <w:spacing w:line="276" w:lineRule="auto"/>
        <w:jc w:val="both"/>
        <w:rPr>
          <w:rFonts w:ascii="Times New Roman" w:hAnsi="Times New Roman" w:cs="Times New Roman"/>
          <w:noProof/>
          <w:sz w:val="24"/>
          <w:szCs w:val="24"/>
        </w:rPr>
      </w:pPr>
      <w:r w:rsidRPr="00AC2DE7">
        <w:rPr>
          <w:rFonts w:ascii="Times New Roman" w:hAnsi="Times New Roman"/>
          <w:noProof/>
          <w:sz w:val="24"/>
        </w:rPr>
        <w:t>Ze względu na ograniczenia danych analiza dodatkowego czasu oczekiwania pasażerów musiała być częściowo oparta na szacunkach.</w:t>
      </w:r>
    </w:p>
    <w:p w14:paraId="00889512" w14:textId="301DAFD6" w:rsidR="00371BC5" w:rsidRPr="00AC2DE7" w:rsidRDefault="00371BC5" w:rsidP="004F4B13">
      <w:pPr>
        <w:pStyle w:val="ListParagraph"/>
        <w:numPr>
          <w:ilvl w:val="0"/>
          <w:numId w:val="23"/>
        </w:numPr>
        <w:spacing w:line="276" w:lineRule="auto"/>
        <w:jc w:val="both"/>
        <w:rPr>
          <w:rFonts w:ascii="Times New Roman" w:hAnsi="Times New Roman" w:cs="Times New Roman"/>
          <w:noProof/>
          <w:sz w:val="24"/>
          <w:szCs w:val="24"/>
        </w:rPr>
      </w:pPr>
      <w:r w:rsidRPr="00AC2DE7">
        <w:rPr>
          <w:rFonts w:ascii="Times New Roman" w:hAnsi="Times New Roman"/>
          <w:noProof/>
          <w:sz w:val="24"/>
        </w:rPr>
        <w:t>Podczas oceny kosztów obliczonych</w:t>
      </w:r>
      <w:r w:rsidR="00AC2DE7" w:rsidRPr="00AC2DE7">
        <w:rPr>
          <w:rFonts w:ascii="Times New Roman" w:hAnsi="Times New Roman"/>
          <w:noProof/>
          <w:sz w:val="24"/>
        </w:rPr>
        <w:t xml:space="preserve"> w ram</w:t>
      </w:r>
      <w:r w:rsidRPr="00AC2DE7">
        <w:rPr>
          <w:rFonts w:ascii="Times New Roman" w:hAnsi="Times New Roman"/>
          <w:noProof/>
          <w:sz w:val="24"/>
        </w:rPr>
        <w:t>ach badania okazało się również, że podróżni doświadczają opóźnień</w:t>
      </w:r>
      <w:r w:rsidR="00AC2DE7" w:rsidRPr="00AC2DE7">
        <w:rPr>
          <w:rFonts w:ascii="Times New Roman" w:hAnsi="Times New Roman"/>
          <w:noProof/>
          <w:sz w:val="24"/>
        </w:rPr>
        <w:t xml:space="preserve"> z wie</w:t>
      </w:r>
      <w:r w:rsidRPr="00AC2DE7">
        <w:rPr>
          <w:rFonts w:ascii="Times New Roman" w:hAnsi="Times New Roman"/>
          <w:noProof/>
          <w:sz w:val="24"/>
        </w:rPr>
        <w:t>lu różnych powodów, takich jak regularne korki czy opóźnienia</w:t>
      </w:r>
      <w:r w:rsidR="00AC2DE7" w:rsidRPr="00AC2DE7">
        <w:rPr>
          <w:rFonts w:ascii="Times New Roman" w:hAnsi="Times New Roman"/>
          <w:noProof/>
          <w:sz w:val="24"/>
        </w:rPr>
        <w:t xml:space="preserve"> w tra</w:t>
      </w:r>
      <w:r w:rsidRPr="00AC2DE7">
        <w:rPr>
          <w:rFonts w:ascii="Times New Roman" w:hAnsi="Times New Roman"/>
          <w:noProof/>
          <w:sz w:val="24"/>
        </w:rPr>
        <w:t>nsporcie publicznym. Opóźnienia te nie podlegają ocenie zgodnie</w:t>
      </w:r>
      <w:r w:rsidR="00AC2DE7" w:rsidRPr="00AC2DE7">
        <w:rPr>
          <w:rFonts w:ascii="Times New Roman" w:hAnsi="Times New Roman"/>
          <w:noProof/>
          <w:sz w:val="24"/>
        </w:rPr>
        <w:t xml:space="preserve"> z tym</w:t>
      </w:r>
      <w:r w:rsidRPr="00AC2DE7">
        <w:rPr>
          <w:rFonts w:ascii="Times New Roman" w:hAnsi="Times New Roman"/>
          <w:noProof/>
          <w:sz w:val="24"/>
        </w:rPr>
        <w:t xml:space="preserve"> samym podejściem,</w:t>
      </w:r>
      <w:r w:rsidR="00AC2DE7" w:rsidRPr="00AC2DE7">
        <w:rPr>
          <w:rFonts w:ascii="Times New Roman" w:hAnsi="Times New Roman"/>
          <w:noProof/>
          <w:sz w:val="24"/>
        </w:rPr>
        <w:t xml:space="preserve"> a pod</w:t>
      </w:r>
      <w:r w:rsidRPr="00AC2DE7">
        <w:rPr>
          <w:rFonts w:ascii="Times New Roman" w:hAnsi="Times New Roman"/>
          <w:noProof/>
          <w:sz w:val="24"/>
        </w:rPr>
        <w:t>różni, którzy ich doświadczają najprawdopodobniej nie są</w:t>
      </w:r>
      <w:r w:rsidR="00AC2DE7" w:rsidRPr="00AC2DE7">
        <w:rPr>
          <w:rFonts w:ascii="Times New Roman" w:hAnsi="Times New Roman"/>
          <w:noProof/>
          <w:sz w:val="24"/>
        </w:rPr>
        <w:t xml:space="preserve"> w sta</w:t>
      </w:r>
      <w:r w:rsidRPr="00AC2DE7">
        <w:rPr>
          <w:rFonts w:ascii="Times New Roman" w:hAnsi="Times New Roman"/>
          <w:noProof/>
          <w:sz w:val="24"/>
        </w:rPr>
        <w:t>nie dokonać ich podziału według ich różnych przyczyn (np. odprawy, ruch drogowy, roboty drogowe, pogoda).</w:t>
      </w:r>
    </w:p>
    <w:p w14:paraId="29F767FF" w14:textId="6D360350" w:rsidR="00371BC5" w:rsidRPr="00AC2DE7" w:rsidRDefault="001B2BFA" w:rsidP="004F4B13">
      <w:pPr>
        <w:pStyle w:val="ListParagraph"/>
        <w:numPr>
          <w:ilvl w:val="0"/>
          <w:numId w:val="23"/>
        </w:numPr>
        <w:spacing w:line="276" w:lineRule="auto"/>
        <w:jc w:val="both"/>
        <w:rPr>
          <w:rFonts w:ascii="Times New Roman" w:hAnsi="Times New Roman" w:cs="Times New Roman"/>
          <w:noProof/>
          <w:sz w:val="24"/>
          <w:szCs w:val="24"/>
        </w:rPr>
      </w:pPr>
      <w:r w:rsidRPr="00AC2DE7">
        <w:rPr>
          <w:rFonts w:ascii="Times New Roman" w:hAnsi="Times New Roman"/>
          <w:noProof/>
          <w:sz w:val="24"/>
        </w:rPr>
        <w:t>Ze względu na niedostępność danych nie uwzględniono kosztów ponoszonych przez podmioty prywatne, np. kosztów inwestycji, kosztów spowodowanych opóźnieniami</w:t>
      </w:r>
      <w:r w:rsidR="00AC2DE7" w:rsidRPr="00AC2DE7">
        <w:rPr>
          <w:rFonts w:ascii="Times New Roman" w:hAnsi="Times New Roman"/>
          <w:noProof/>
          <w:sz w:val="24"/>
        </w:rPr>
        <w:t xml:space="preserve"> i ods</w:t>
      </w:r>
      <w:r w:rsidRPr="00AC2DE7">
        <w:rPr>
          <w:rFonts w:ascii="Times New Roman" w:hAnsi="Times New Roman"/>
          <w:noProof/>
          <w:sz w:val="24"/>
        </w:rPr>
        <w:t xml:space="preserve">zkodowań dla pasażerów. </w:t>
      </w:r>
    </w:p>
    <w:p w14:paraId="65F1BE4A" w14:textId="65B12A61" w:rsidR="001B2BFA" w:rsidRPr="00AC2DE7" w:rsidRDefault="00371BC5" w:rsidP="004F4B13">
      <w:pPr>
        <w:pStyle w:val="ListParagraph"/>
        <w:numPr>
          <w:ilvl w:val="0"/>
          <w:numId w:val="23"/>
        </w:numPr>
        <w:spacing w:line="276" w:lineRule="auto"/>
        <w:jc w:val="both"/>
        <w:rPr>
          <w:rFonts w:ascii="Times New Roman" w:hAnsi="Times New Roman" w:cs="Times New Roman"/>
          <w:noProof/>
          <w:sz w:val="24"/>
          <w:szCs w:val="24"/>
        </w:rPr>
      </w:pPr>
      <w:r w:rsidRPr="00AC2DE7">
        <w:rPr>
          <w:rFonts w:ascii="Times New Roman" w:hAnsi="Times New Roman"/>
          <w:noProof/>
          <w:sz w:val="24"/>
        </w:rPr>
        <w:t>Pośrednie oszczędności mogły zostać poczynione dzięki wpływowi rozporządzenia na zwalczanie terroryzmu</w:t>
      </w:r>
      <w:r w:rsidR="00AC2DE7" w:rsidRPr="00AC2DE7">
        <w:rPr>
          <w:rFonts w:ascii="Times New Roman" w:hAnsi="Times New Roman"/>
          <w:noProof/>
          <w:sz w:val="24"/>
        </w:rPr>
        <w:t xml:space="preserve"> i zor</w:t>
      </w:r>
      <w:r w:rsidRPr="00AC2DE7">
        <w:rPr>
          <w:rFonts w:ascii="Times New Roman" w:hAnsi="Times New Roman"/>
          <w:noProof/>
          <w:sz w:val="24"/>
        </w:rPr>
        <w:t>ganizowanej działalności przestępczej, co jest głównym celem rozporządzenia. Dokładne szacunki dotyczące takich zysków są jednak dostępne tylko</w:t>
      </w:r>
      <w:r w:rsidR="00AC2DE7" w:rsidRPr="00AC2DE7">
        <w:rPr>
          <w:rFonts w:ascii="Times New Roman" w:hAnsi="Times New Roman"/>
          <w:noProof/>
          <w:sz w:val="24"/>
        </w:rPr>
        <w:t xml:space="preserve"> w bar</w:t>
      </w:r>
      <w:r w:rsidRPr="00AC2DE7">
        <w:rPr>
          <w:rFonts w:ascii="Times New Roman" w:hAnsi="Times New Roman"/>
          <w:noProof/>
          <w:sz w:val="24"/>
        </w:rPr>
        <w:t>dzo ograniczonym zakresie. Ponadto określenie ilościowe korzyści płynących</w:t>
      </w:r>
      <w:r w:rsidR="00AC2DE7" w:rsidRPr="00AC2DE7">
        <w:rPr>
          <w:rFonts w:ascii="Times New Roman" w:hAnsi="Times New Roman"/>
          <w:noProof/>
          <w:sz w:val="24"/>
        </w:rPr>
        <w:t xml:space="preserve"> z uda</w:t>
      </w:r>
      <w:r w:rsidRPr="00AC2DE7">
        <w:rPr>
          <w:rFonts w:ascii="Times New Roman" w:hAnsi="Times New Roman"/>
          <w:noProof/>
          <w:sz w:val="24"/>
        </w:rPr>
        <w:t>remnionego ataku terrorystycznego jest niezwykle trudne, jeśli nie niemożliwe,</w:t>
      </w:r>
      <w:r w:rsidR="00AC2DE7" w:rsidRPr="00AC2DE7">
        <w:rPr>
          <w:rFonts w:ascii="Times New Roman" w:hAnsi="Times New Roman"/>
          <w:noProof/>
          <w:sz w:val="24"/>
        </w:rPr>
        <w:t xml:space="preserve"> i nie</w:t>
      </w:r>
      <w:r w:rsidRPr="00AC2DE7">
        <w:rPr>
          <w:rFonts w:ascii="Times New Roman" w:hAnsi="Times New Roman"/>
          <w:noProof/>
          <w:sz w:val="24"/>
        </w:rPr>
        <w:t xml:space="preserve"> można ich mierzyć wyłącznie</w:t>
      </w:r>
      <w:r w:rsidR="00AC2DE7" w:rsidRPr="00AC2DE7">
        <w:rPr>
          <w:rFonts w:ascii="Times New Roman" w:hAnsi="Times New Roman"/>
          <w:noProof/>
          <w:sz w:val="24"/>
        </w:rPr>
        <w:t xml:space="preserve"> w kat</w:t>
      </w:r>
      <w:r w:rsidRPr="00AC2DE7">
        <w:rPr>
          <w:rFonts w:ascii="Times New Roman" w:hAnsi="Times New Roman"/>
          <w:noProof/>
          <w:sz w:val="24"/>
        </w:rPr>
        <w:t>egoriach gospodarczych.</w:t>
      </w:r>
    </w:p>
    <w:p w14:paraId="2B24792B" w14:textId="7C23C197" w:rsidR="00CE0858" w:rsidRPr="00AC2DE7" w:rsidRDefault="0083615D"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Z tych powodów nie jest możliwe ustalenie jednoznacznej równowagi, która decydowałaby</w:t>
      </w:r>
      <w:r w:rsidR="00AC2DE7" w:rsidRPr="00AC2DE7">
        <w:rPr>
          <w:rFonts w:ascii="Times New Roman" w:hAnsi="Times New Roman"/>
          <w:noProof/>
          <w:sz w:val="24"/>
        </w:rPr>
        <w:t xml:space="preserve"> o osz</w:t>
      </w:r>
      <w:r w:rsidRPr="00AC2DE7">
        <w:rPr>
          <w:rFonts w:ascii="Times New Roman" w:hAnsi="Times New Roman"/>
          <w:noProof/>
          <w:sz w:val="24"/>
        </w:rPr>
        <w:t>czędności kosztowej rozporządzenia</w:t>
      </w:r>
      <w:r w:rsidR="00AC2DE7" w:rsidRPr="00AC2DE7">
        <w:rPr>
          <w:rFonts w:ascii="Times New Roman" w:hAnsi="Times New Roman"/>
          <w:noProof/>
          <w:sz w:val="24"/>
        </w:rPr>
        <w:t>. W każ</w:t>
      </w:r>
      <w:r w:rsidRPr="00AC2DE7">
        <w:rPr>
          <w:rFonts w:ascii="Times New Roman" w:hAnsi="Times New Roman"/>
          <w:noProof/>
          <w:sz w:val="24"/>
        </w:rPr>
        <w:t>dym razie pasażerowie ponoszą zdecydowanie największą część kosztów ze względu na wydłużenie czasu oczekiwania, który</w:t>
      </w:r>
      <w:r w:rsidR="00AC2DE7" w:rsidRPr="00AC2DE7">
        <w:rPr>
          <w:rFonts w:ascii="Times New Roman" w:hAnsi="Times New Roman"/>
          <w:noProof/>
          <w:sz w:val="24"/>
        </w:rPr>
        <w:t xml:space="preserve"> w prz</w:t>
      </w:r>
      <w:r w:rsidRPr="00AC2DE7">
        <w:rPr>
          <w:rFonts w:ascii="Times New Roman" w:hAnsi="Times New Roman"/>
          <w:noProof/>
          <w:sz w:val="24"/>
        </w:rPr>
        <w:t>eliczeniu na jednego pasażera wydaje się jednak bardzo ograniczony</w:t>
      </w:r>
      <w:r w:rsidR="00334FE0" w:rsidRPr="00AC2DE7">
        <w:rPr>
          <w:rStyle w:val="FootnoteReference"/>
          <w:rFonts w:ascii="Times New Roman" w:hAnsi="Times New Roman" w:cs="Times New Roman"/>
          <w:noProof/>
          <w:sz w:val="24"/>
          <w:szCs w:val="24"/>
        </w:rPr>
        <w:footnoteReference w:id="29"/>
      </w:r>
      <w:r w:rsidRPr="00AC2DE7">
        <w:rPr>
          <w:rFonts w:ascii="Times New Roman" w:hAnsi="Times New Roman"/>
          <w:noProof/>
          <w:sz w:val="24"/>
        </w:rPr>
        <w:t xml:space="preserve">. </w:t>
      </w:r>
    </w:p>
    <w:p w14:paraId="7BDC8F56" w14:textId="6B1055CC" w:rsidR="00CE0858" w:rsidRPr="00AC2DE7" w:rsidRDefault="0083615D"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Ponadto przeprowadzanie takich odpraw sprawia, że pasażerowie czują się bezpieczniej</w:t>
      </w:r>
      <w:r w:rsidR="009F2F53" w:rsidRPr="00AC2DE7">
        <w:rPr>
          <w:rStyle w:val="FootnoteReference"/>
          <w:rFonts w:ascii="Times New Roman" w:hAnsi="Times New Roman" w:cs="Times New Roman"/>
          <w:noProof/>
          <w:sz w:val="24"/>
          <w:szCs w:val="24"/>
        </w:rPr>
        <w:footnoteReference w:id="30"/>
      </w:r>
      <w:r w:rsidR="00AC2DE7" w:rsidRPr="00AC2DE7">
        <w:rPr>
          <w:rFonts w:ascii="Times New Roman" w:hAnsi="Times New Roman"/>
          <w:noProof/>
          <w:sz w:val="24"/>
        </w:rPr>
        <w:t xml:space="preserve"> i w kon</w:t>
      </w:r>
      <w:r w:rsidRPr="00AC2DE7">
        <w:rPr>
          <w:rFonts w:ascii="Times New Roman" w:hAnsi="Times New Roman"/>
          <w:noProof/>
          <w:sz w:val="24"/>
        </w:rPr>
        <w:t>sekwencji są skłonni zaakceptować dłuższy czas oczekiwania, jeśli zmniejszy to ryzyko ataków terrorystycznych. Ten wzrost postrzeganego bezpieczeństwa należy również uznać za ogólny pozytywny efekt,</w:t>
      </w:r>
      <w:r w:rsidR="00AC2DE7" w:rsidRPr="00AC2DE7">
        <w:rPr>
          <w:rFonts w:ascii="Times New Roman" w:hAnsi="Times New Roman"/>
          <w:noProof/>
          <w:sz w:val="24"/>
        </w:rPr>
        <w:t xml:space="preserve"> w tym</w:t>
      </w:r>
      <w:r w:rsidRPr="00AC2DE7">
        <w:rPr>
          <w:rFonts w:ascii="Times New Roman" w:hAnsi="Times New Roman"/>
          <w:noProof/>
          <w:sz w:val="24"/>
        </w:rPr>
        <w:t xml:space="preserve"> pozytywny efekt mnożnikowy dla gospodarki. Ponadto odprawy na granicach mogą przebiegać bezproblemowo, jeśli są dobrze zorganizowane,</w:t>
      </w:r>
      <w:r w:rsidR="00AC2DE7" w:rsidRPr="00AC2DE7">
        <w:rPr>
          <w:rFonts w:ascii="Times New Roman" w:hAnsi="Times New Roman"/>
          <w:noProof/>
          <w:sz w:val="24"/>
        </w:rPr>
        <w:t xml:space="preserve"> a dzi</w:t>
      </w:r>
      <w:r w:rsidRPr="00AC2DE7">
        <w:rPr>
          <w:rFonts w:ascii="Times New Roman" w:hAnsi="Times New Roman"/>
          <w:noProof/>
          <w:sz w:val="24"/>
        </w:rPr>
        <w:t xml:space="preserve">ęki temu czas oczekiwania może być znikomy. </w:t>
      </w:r>
    </w:p>
    <w:p w14:paraId="159FDD3C" w14:textId="0DD18451" w:rsidR="001B2BFA"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Chociaż znaczne wydłużenie czasu oczekiwania może rzeczywiście wpłynąć na zmianę akceptacji pasażerów, możliwość uproszczenia odpraw granicznych na mocy art.</w:t>
      </w:r>
      <w:r w:rsidR="00836F72" w:rsidRPr="00AC2DE7">
        <w:rPr>
          <w:rFonts w:ascii="Times New Roman" w:hAnsi="Times New Roman"/>
          <w:noProof/>
          <w:sz w:val="24"/>
        </w:rPr>
        <w:t> </w:t>
      </w:r>
      <w:r w:rsidRPr="00AC2DE7">
        <w:rPr>
          <w:rFonts w:ascii="Times New Roman" w:hAnsi="Times New Roman"/>
          <w:noProof/>
          <w:sz w:val="24"/>
        </w:rPr>
        <w:t>9 zapewnia</w:t>
      </w:r>
      <w:r w:rsidR="00AC2DE7" w:rsidRPr="00AC2DE7">
        <w:rPr>
          <w:rFonts w:ascii="Times New Roman" w:hAnsi="Times New Roman"/>
          <w:noProof/>
          <w:sz w:val="24"/>
        </w:rPr>
        <w:t xml:space="preserve"> w ram</w:t>
      </w:r>
      <w:r w:rsidRPr="00AC2DE7">
        <w:rPr>
          <w:rFonts w:ascii="Times New Roman" w:hAnsi="Times New Roman"/>
          <w:noProof/>
          <w:sz w:val="24"/>
        </w:rPr>
        <w:t xml:space="preserve">ach kodeksu granicznego Schengen mechanizm reagowania na nieprzewidziane nadmierne wydłużenie czasu oczekiwania. </w:t>
      </w:r>
    </w:p>
    <w:p w14:paraId="30F6F9E6" w14:textId="4463BACD" w:rsidR="001B2BFA" w:rsidRPr="00AC2DE7" w:rsidRDefault="00371BC5"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Na tej podstawie oraz biorąc pod uwagę ogólne korzyści płynące</w:t>
      </w:r>
      <w:r w:rsidR="00AC2DE7" w:rsidRPr="00AC2DE7">
        <w:rPr>
          <w:rFonts w:ascii="Times New Roman" w:hAnsi="Times New Roman"/>
          <w:noProof/>
          <w:sz w:val="24"/>
        </w:rPr>
        <w:t xml:space="preserve"> z sys</w:t>
      </w:r>
      <w:r w:rsidRPr="00AC2DE7">
        <w:rPr>
          <w:rFonts w:ascii="Times New Roman" w:hAnsi="Times New Roman"/>
          <w:noProof/>
          <w:sz w:val="24"/>
        </w:rPr>
        <w:t>tematycznych odpraw dla bezpieczeństwa wewnętrznego strefy Schengen,</w:t>
      </w:r>
      <w:r w:rsidR="00AC2DE7" w:rsidRPr="00AC2DE7">
        <w:rPr>
          <w:rFonts w:ascii="Times New Roman" w:hAnsi="Times New Roman"/>
          <w:noProof/>
          <w:sz w:val="24"/>
        </w:rPr>
        <w:t xml:space="preserve"> w szc</w:t>
      </w:r>
      <w:r w:rsidRPr="00AC2DE7">
        <w:rPr>
          <w:rFonts w:ascii="Times New Roman" w:hAnsi="Times New Roman"/>
          <w:noProof/>
          <w:sz w:val="24"/>
        </w:rPr>
        <w:t>zególności gromadzenie kompleksowych danych wywiadowczych na temat terroryzmu</w:t>
      </w:r>
      <w:r w:rsidR="00AC2DE7" w:rsidRPr="00AC2DE7">
        <w:rPr>
          <w:rFonts w:ascii="Times New Roman" w:hAnsi="Times New Roman"/>
          <w:noProof/>
          <w:sz w:val="24"/>
        </w:rPr>
        <w:t xml:space="preserve"> i prz</w:t>
      </w:r>
      <w:r w:rsidRPr="00AC2DE7">
        <w:rPr>
          <w:rFonts w:ascii="Times New Roman" w:hAnsi="Times New Roman"/>
          <w:noProof/>
          <w:sz w:val="24"/>
        </w:rPr>
        <w:t>estępczości zorganizowanej dzięki zwiększonej liczbie wpisów</w:t>
      </w:r>
      <w:r w:rsidR="00AC2DE7" w:rsidRPr="00AC2DE7">
        <w:rPr>
          <w:rFonts w:ascii="Times New Roman" w:hAnsi="Times New Roman"/>
          <w:noProof/>
          <w:sz w:val="24"/>
        </w:rPr>
        <w:t xml:space="preserve"> i tra</w:t>
      </w:r>
      <w:r w:rsidRPr="00AC2DE7">
        <w:rPr>
          <w:rFonts w:ascii="Times New Roman" w:hAnsi="Times New Roman"/>
          <w:noProof/>
          <w:sz w:val="24"/>
        </w:rPr>
        <w:t>fień w SIS, koszty poniesione</w:t>
      </w:r>
      <w:r w:rsidR="00AC2DE7" w:rsidRPr="00AC2DE7">
        <w:rPr>
          <w:rFonts w:ascii="Times New Roman" w:hAnsi="Times New Roman"/>
          <w:noProof/>
          <w:sz w:val="24"/>
        </w:rPr>
        <w:t xml:space="preserve"> w zwi</w:t>
      </w:r>
      <w:r w:rsidRPr="00AC2DE7">
        <w:rPr>
          <w:rFonts w:ascii="Times New Roman" w:hAnsi="Times New Roman"/>
          <w:noProof/>
          <w:sz w:val="24"/>
        </w:rPr>
        <w:t>ązku</w:t>
      </w:r>
      <w:r w:rsidR="00AC2DE7" w:rsidRPr="00AC2DE7">
        <w:rPr>
          <w:rFonts w:ascii="Times New Roman" w:hAnsi="Times New Roman"/>
          <w:noProof/>
          <w:sz w:val="24"/>
        </w:rPr>
        <w:t xml:space="preserve"> z wdr</w:t>
      </w:r>
      <w:r w:rsidRPr="00AC2DE7">
        <w:rPr>
          <w:rFonts w:ascii="Times New Roman" w:hAnsi="Times New Roman"/>
          <w:noProof/>
          <w:sz w:val="24"/>
        </w:rPr>
        <w:t>ożeniem rozporządzenia wydają się proporcjonalne</w:t>
      </w:r>
      <w:r w:rsidR="00AC2DE7" w:rsidRPr="00AC2DE7">
        <w:rPr>
          <w:rFonts w:ascii="Times New Roman" w:hAnsi="Times New Roman"/>
          <w:noProof/>
          <w:sz w:val="24"/>
        </w:rPr>
        <w:t xml:space="preserve"> i uza</w:t>
      </w:r>
      <w:r w:rsidRPr="00AC2DE7">
        <w:rPr>
          <w:rFonts w:ascii="Times New Roman" w:hAnsi="Times New Roman"/>
          <w:noProof/>
          <w:sz w:val="24"/>
        </w:rPr>
        <w:t>sadnione.</w:t>
      </w:r>
    </w:p>
    <w:p w14:paraId="265821CB" w14:textId="77777777" w:rsidR="002F03E8" w:rsidRPr="00AC2DE7" w:rsidRDefault="002F03E8" w:rsidP="002B4286">
      <w:pPr>
        <w:spacing w:line="276" w:lineRule="auto"/>
        <w:jc w:val="both"/>
        <w:rPr>
          <w:rFonts w:ascii="Times New Roman" w:hAnsi="Times New Roman" w:cs="Times New Roman"/>
          <w:noProof/>
          <w:sz w:val="24"/>
          <w:szCs w:val="24"/>
        </w:rPr>
      </w:pPr>
    </w:p>
    <w:p w14:paraId="0F5EAA62" w14:textId="568FE1E8" w:rsidR="001B2BFA" w:rsidRPr="00AC2DE7" w:rsidRDefault="00EB0DC7"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 xml:space="preserve">IV. Czynniki zewnętrzne wpływające na skuteczność systematycznych odpraw </w:t>
      </w:r>
    </w:p>
    <w:p w14:paraId="53449700" w14:textId="1FA26053" w:rsidR="001B2BFA" w:rsidRPr="00AC2DE7" w:rsidRDefault="001B2BFA" w:rsidP="001B1526">
      <w:pPr>
        <w:spacing w:line="276" w:lineRule="auto"/>
        <w:jc w:val="both"/>
        <w:rPr>
          <w:rFonts w:ascii="Times New Roman" w:hAnsi="Times New Roman" w:cs="Times New Roman"/>
          <w:noProof/>
          <w:sz w:val="24"/>
          <w:szCs w:val="24"/>
        </w:rPr>
      </w:pPr>
      <w:r w:rsidRPr="00AC2DE7">
        <w:rPr>
          <w:rFonts w:ascii="Times New Roman" w:hAnsi="Times New Roman"/>
          <w:noProof/>
          <w:sz w:val="24"/>
        </w:rPr>
        <w:t>Znaczne niedociągnięcia, jeżeli chodzi</w:t>
      </w:r>
      <w:r w:rsidR="00AC2DE7" w:rsidRPr="00AC2DE7">
        <w:rPr>
          <w:rFonts w:ascii="Times New Roman" w:hAnsi="Times New Roman"/>
          <w:noProof/>
          <w:sz w:val="24"/>
        </w:rPr>
        <w:t xml:space="preserve"> o tec</w:t>
      </w:r>
      <w:r w:rsidRPr="00AC2DE7">
        <w:rPr>
          <w:rFonts w:ascii="Times New Roman" w:hAnsi="Times New Roman"/>
          <w:noProof/>
          <w:sz w:val="24"/>
        </w:rPr>
        <w:t>hniczne możliwości państw członkowskich</w:t>
      </w:r>
      <w:r w:rsidR="00AC2DE7" w:rsidRPr="00AC2DE7">
        <w:rPr>
          <w:rFonts w:ascii="Times New Roman" w:hAnsi="Times New Roman"/>
          <w:noProof/>
          <w:sz w:val="24"/>
        </w:rPr>
        <w:t xml:space="preserve"> w zak</w:t>
      </w:r>
      <w:r w:rsidRPr="00AC2DE7">
        <w:rPr>
          <w:rFonts w:ascii="Times New Roman" w:hAnsi="Times New Roman"/>
          <w:noProof/>
          <w:sz w:val="24"/>
        </w:rPr>
        <w:t>resie sprawdzania odcisków palców danej osoby</w:t>
      </w:r>
      <w:r w:rsidR="00AC2DE7" w:rsidRPr="00AC2DE7">
        <w:rPr>
          <w:rFonts w:ascii="Times New Roman" w:hAnsi="Times New Roman"/>
          <w:noProof/>
          <w:sz w:val="24"/>
        </w:rPr>
        <w:t xml:space="preserve"> w odn</w:t>
      </w:r>
      <w:r w:rsidRPr="00AC2DE7">
        <w:rPr>
          <w:rFonts w:ascii="Times New Roman" w:hAnsi="Times New Roman"/>
          <w:noProof/>
          <w:sz w:val="24"/>
        </w:rPr>
        <w:t>iesieniu do danych zawartych</w:t>
      </w:r>
      <w:r w:rsidR="00AC2DE7" w:rsidRPr="00AC2DE7">
        <w:rPr>
          <w:rFonts w:ascii="Times New Roman" w:hAnsi="Times New Roman"/>
          <w:noProof/>
          <w:sz w:val="24"/>
        </w:rPr>
        <w:t xml:space="preserve"> w dok</w:t>
      </w:r>
      <w:r w:rsidRPr="00AC2DE7">
        <w:rPr>
          <w:rFonts w:ascii="Times New Roman" w:hAnsi="Times New Roman"/>
          <w:noProof/>
          <w:sz w:val="24"/>
        </w:rPr>
        <w:t>umentach podróży, zmniejszają skuteczność systematycznych odpraw. Wymaga to zwiększonej uwagi</w:t>
      </w:r>
      <w:r w:rsidR="00AC2DE7" w:rsidRPr="00AC2DE7">
        <w:rPr>
          <w:rFonts w:ascii="Times New Roman" w:hAnsi="Times New Roman"/>
          <w:noProof/>
          <w:sz w:val="24"/>
        </w:rPr>
        <w:t xml:space="preserve"> i dzi</w:t>
      </w:r>
      <w:r w:rsidRPr="00AC2DE7">
        <w:rPr>
          <w:rFonts w:ascii="Times New Roman" w:hAnsi="Times New Roman"/>
          <w:noProof/>
          <w:sz w:val="24"/>
        </w:rPr>
        <w:t>ałań zarówno ze strony Komisji, jak</w:t>
      </w:r>
      <w:r w:rsidR="00AC2DE7" w:rsidRPr="00AC2DE7">
        <w:rPr>
          <w:rFonts w:ascii="Times New Roman" w:hAnsi="Times New Roman"/>
          <w:noProof/>
          <w:sz w:val="24"/>
        </w:rPr>
        <w:t xml:space="preserve"> i wła</w:t>
      </w:r>
      <w:r w:rsidRPr="00AC2DE7">
        <w:rPr>
          <w:rFonts w:ascii="Times New Roman" w:hAnsi="Times New Roman"/>
          <w:noProof/>
          <w:sz w:val="24"/>
        </w:rPr>
        <w:t>dz państw członkowskich.</w:t>
      </w:r>
    </w:p>
    <w:p w14:paraId="2A748006" w14:textId="13A19FE6" w:rsidR="00062B3F"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W przypadku wątpliwości co do autentyczności dokumentu podróży lub tożsamości jego posiadacza państwa członkowskie są zobowiązane do sprawdzenia co najmniej jednego</w:t>
      </w:r>
      <w:r w:rsidR="00AC2DE7" w:rsidRPr="00AC2DE7">
        <w:rPr>
          <w:rFonts w:ascii="Times New Roman" w:hAnsi="Times New Roman"/>
          <w:noProof/>
          <w:sz w:val="24"/>
        </w:rPr>
        <w:t xml:space="preserve"> z ide</w:t>
      </w:r>
      <w:r w:rsidRPr="00AC2DE7">
        <w:rPr>
          <w:rFonts w:ascii="Times New Roman" w:hAnsi="Times New Roman"/>
          <w:noProof/>
          <w:sz w:val="24"/>
        </w:rPr>
        <w:t>ntyfikatorów biometrycznych umieszczonych na nośniku pamięci paszportów</w:t>
      </w:r>
      <w:r w:rsidR="00AC2DE7" w:rsidRPr="00AC2DE7">
        <w:rPr>
          <w:rFonts w:ascii="Times New Roman" w:hAnsi="Times New Roman"/>
          <w:noProof/>
          <w:sz w:val="24"/>
        </w:rPr>
        <w:t xml:space="preserve"> i dok</w:t>
      </w:r>
      <w:r w:rsidRPr="00AC2DE7">
        <w:rPr>
          <w:rFonts w:ascii="Times New Roman" w:hAnsi="Times New Roman"/>
          <w:noProof/>
          <w:sz w:val="24"/>
        </w:rPr>
        <w:t>umentów podróży wydanych na mocy rozporządzenia (WE) nr</w:t>
      </w:r>
      <w:r w:rsidR="00836F72" w:rsidRPr="00AC2DE7">
        <w:rPr>
          <w:rFonts w:ascii="Times New Roman" w:hAnsi="Times New Roman"/>
          <w:noProof/>
          <w:sz w:val="24"/>
        </w:rPr>
        <w:t> </w:t>
      </w:r>
      <w:r w:rsidRPr="00AC2DE7">
        <w:rPr>
          <w:rFonts w:ascii="Times New Roman" w:hAnsi="Times New Roman"/>
          <w:noProof/>
          <w:sz w:val="24"/>
        </w:rPr>
        <w:t>2252/2004</w:t>
      </w:r>
      <w:r w:rsidR="005E2672" w:rsidRPr="00AC2DE7">
        <w:rPr>
          <w:rStyle w:val="FootnoteReference"/>
          <w:rFonts w:ascii="Times New Roman" w:hAnsi="Times New Roman" w:cs="Times New Roman"/>
          <w:noProof/>
          <w:sz w:val="24"/>
          <w:szCs w:val="24"/>
        </w:rPr>
        <w:footnoteReference w:id="31"/>
      </w:r>
      <w:r w:rsidRPr="00AC2DE7">
        <w:rPr>
          <w:rFonts w:ascii="Times New Roman" w:hAnsi="Times New Roman"/>
          <w:noProof/>
          <w:sz w:val="24"/>
        </w:rPr>
        <w:t>, tj. wizerunku twarzy lub odcisków palców. „Jeżeli [taka weryfikacja jest] możliwa”, obowiązek ten dotyczy również dokumentów podróży, które nie zostały wydane na podstawie niniejszego rozporządzenia. Najbardziej skutecznym, niezawodnym</w:t>
      </w:r>
      <w:r w:rsidR="00AC2DE7" w:rsidRPr="00AC2DE7">
        <w:rPr>
          <w:rFonts w:ascii="Times New Roman" w:hAnsi="Times New Roman"/>
          <w:noProof/>
          <w:sz w:val="24"/>
        </w:rPr>
        <w:t xml:space="preserve"> i nie</w:t>
      </w:r>
      <w:r w:rsidRPr="00AC2DE7">
        <w:rPr>
          <w:rFonts w:ascii="Times New Roman" w:hAnsi="Times New Roman"/>
          <w:noProof/>
          <w:sz w:val="24"/>
        </w:rPr>
        <w:t>drogim identyfikatorem biometrycznym służącym do wykrywania osób podróżujących pod przybraną tożsamością są odciski palców, np. jeśli oszust jest bardzo podobny do prawowitego posiadacza okazanego dokumentu. Tym samym sprawdzanie odcisków palców jest jeszcze ważniejsze, biorąc pod uwagę, że przestępstwa przeciwko wiarygodności dokumentów stają się coraz bardziej wyrafinowane</w:t>
      </w:r>
      <w:r w:rsidR="00AC2DE7" w:rsidRPr="00AC2DE7">
        <w:rPr>
          <w:rFonts w:ascii="Times New Roman" w:hAnsi="Times New Roman"/>
          <w:noProof/>
          <w:sz w:val="24"/>
        </w:rPr>
        <w:t xml:space="preserve"> i tru</w:t>
      </w:r>
      <w:r w:rsidRPr="00AC2DE7">
        <w:rPr>
          <w:rFonts w:ascii="Times New Roman" w:hAnsi="Times New Roman"/>
          <w:noProof/>
          <w:sz w:val="24"/>
        </w:rPr>
        <w:t>dne do wykrycia, np.</w:t>
      </w:r>
      <w:r w:rsidR="00AC2DE7" w:rsidRPr="00AC2DE7">
        <w:rPr>
          <w:rFonts w:ascii="Times New Roman" w:hAnsi="Times New Roman"/>
          <w:noProof/>
          <w:sz w:val="24"/>
        </w:rPr>
        <w:t xml:space="preserve"> z pow</w:t>
      </w:r>
      <w:r w:rsidRPr="00AC2DE7">
        <w:rPr>
          <w:rFonts w:ascii="Times New Roman" w:hAnsi="Times New Roman"/>
          <w:noProof/>
          <w:sz w:val="24"/>
        </w:rPr>
        <w:t>odu „morfingu”</w:t>
      </w:r>
      <w:r w:rsidR="003E1C1B" w:rsidRPr="00AC2DE7">
        <w:rPr>
          <w:rStyle w:val="FootnoteReference"/>
          <w:rFonts w:ascii="Times New Roman" w:hAnsi="Times New Roman" w:cs="Times New Roman"/>
          <w:noProof/>
          <w:sz w:val="24"/>
          <w:szCs w:val="24"/>
        </w:rPr>
        <w:footnoteReference w:id="32"/>
      </w:r>
      <w:r w:rsidRPr="00AC2DE7">
        <w:rPr>
          <w:rFonts w:ascii="Times New Roman" w:hAnsi="Times New Roman"/>
          <w:noProof/>
          <w:sz w:val="24"/>
        </w:rPr>
        <w:t xml:space="preserve">. </w:t>
      </w:r>
    </w:p>
    <w:p w14:paraId="1B0C0BAA" w14:textId="41841062" w:rsidR="00D37F0A" w:rsidRPr="00AC2DE7" w:rsidRDefault="00205A4E"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Aby przeciwdziałać tym coraz częściej stosowanym technikom fałszerstw, Komisja postanowiła sfinansować projekt badawczy iMARS (rozwiązania do wykrywania oszustw dotyczących manipulacji obrazu), którego celem jest opracowanie narzędzi do wykrywania zmanipulowanych obrazów twarzy,</w:t>
      </w:r>
      <w:r w:rsidR="00AC2DE7" w:rsidRPr="00AC2DE7">
        <w:rPr>
          <w:rFonts w:ascii="Times New Roman" w:hAnsi="Times New Roman"/>
          <w:noProof/>
          <w:sz w:val="24"/>
        </w:rPr>
        <w:t xml:space="preserve"> w szc</w:t>
      </w:r>
      <w:r w:rsidRPr="00AC2DE7">
        <w:rPr>
          <w:rFonts w:ascii="Times New Roman" w:hAnsi="Times New Roman"/>
          <w:noProof/>
          <w:sz w:val="24"/>
        </w:rPr>
        <w:t>zególności obrazów zawierających morfing twarzy,</w:t>
      </w:r>
      <w:r w:rsidR="00AC2DE7" w:rsidRPr="00AC2DE7">
        <w:rPr>
          <w:rFonts w:ascii="Times New Roman" w:hAnsi="Times New Roman"/>
          <w:noProof/>
          <w:sz w:val="24"/>
        </w:rPr>
        <w:t xml:space="preserve"> w cyk</w:t>
      </w:r>
      <w:r w:rsidRPr="00AC2DE7">
        <w:rPr>
          <w:rFonts w:ascii="Times New Roman" w:hAnsi="Times New Roman"/>
          <w:noProof/>
          <w:sz w:val="24"/>
        </w:rPr>
        <w:t>lu życia dokumentu tożsamości oraz do weryfikacji autentyczności dokumentów tożsamości,</w:t>
      </w:r>
      <w:r w:rsidR="00AC2DE7" w:rsidRPr="00AC2DE7">
        <w:rPr>
          <w:rFonts w:ascii="Times New Roman" w:hAnsi="Times New Roman"/>
          <w:noProof/>
          <w:sz w:val="24"/>
        </w:rPr>
        <w:t xml:space="preserve"> a tak</w:t>
      </w:r>
      <w:r w:rsidRPr="00AC2DE7">
        <w:rPr>
          <w:rFonts w:ascii="Times New Roman" w:hAnsi="Times New Roman"/>
          <w:noProof/>
          <w:sz w:val="24"/>
        </w:rPr>
        <w:t>że zapewnienie, aby paszporty europejskie zawierające obrazy poddane morfingowi lub inne zmanipulowane obrazy nie mogły już być wydawane</w:t>
      </w:r>
      <w:r w:rsidR="00AC2DE7" w:rsidRPr="00AC2DE7">
        <w:rPr>
          <w:rFonts w:ascii="Times New Roman" w:hAnsi="Times New Roman"/>
          <w:noProof/>
          <w:sz w:val="24"/>
        </w:rPr>
        <w:t xml:space="preserve"> w Uni</w:t>
      </w:r>
      <w:r w:rsidRPr="00AC2DE7">
        <w:rPr>
          <w:rFonts w:ascii="Times New Roman" w:hAnsi="Times New Roman"/>
          <w:noProof/>
          <w:sz w:val="24"/>
        </w:rPr>
        <w:t>i Europejskiej</w:t>
      </w:r>
      <w:r w:rsidR="00D37F0A" w:rsidRPr="00AC2DE7">
        <w:rPr>
          <w:rStyle w:val="FootnoteReference"/>
          <w:rFonts w:ascii="Times New Roman" w:hAnsi="Times New Roman" w:cs="Times New Roman"/>
          <w:noProof/>
          <w:sz w:val="24"/>
          <w:szCs w:val="24"/>
        </w:rPr>
        <w:footnoteReference w:id="33"/>
      </w:r>
      <w:r w:rsidRPr="00AC2DE7">
        <w:rPr>
          <w:rFonts w:ascii="Times New Roman" w:hAnsi="Times New Roman"/>
          <w:noProof/>
          <w:sz w:val="24"/>
        </w:rPr>
        <w:t xml:space="preserve">. </w:t>
      </w:r>
    </w:p>
    <w:p w14:paraId="0961C148" w14:textId="2D068F09" w:rsidR="001B2BFA" w:rsidRPr="00AC2DE7" w:rsidRDefault="004F448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W oczekiwaniu na rezultaty projektu iMARS wątpliwości co do tożsamości danej osoby można wyjaśnić jedynie poprzez sprawdzenie odcisków palców</w:t>
      </w:r>
      <w:r w:rsidR="00AC2DE7" w:rsidRPr="00AC2DE7">
        <w:rPr>
          <w:rFonts w:ascii="Times New Roman" w:hAnsi="Times New Roman"/>
          <w:noProof/>
          <w:sz w:val="24"/>
        </w:rPr>
        <w:t xml:space="preserve"> z ide</w:t>
      </w:r>
      <w:r w:rsidRPr="00AC2DE7">
        <w:rPr>
          <w:rFonts w:ascii="Times New Roman" w:hAnsi="Times New Roman"/>
          <w:noProof/>
          <w:sz w:val="24"/>
        </w:rPr>
        <w:t>ntyfikatorami biometrycznymi wbudowanymi</w:t>
      </w:r>
      <w:r w:rsidR="00AC2DE7" w:rsidRPr="00AC2DE7">
        <w:rPr>
          <w:rFonts w:ascii="Times New Roman" w:hAnsi="Times New Roman"/>
          <w:noProof/>
          <w:sz w:val="24"/>
        </w:rPr>
        <w:t xml:space="preserve"> w noś</w:t>
      </w:r>
      <w:r w:rsidRPr="00AC2DE7">
        <w:rPr>
          <w:rFonts w:ascii="Times New Roman" w:hAnsi="Times New Roman"/>
          <w:noProof/>
          <w:sz w:val="24"/>
        </w:rPr>
        <w:t>niki pamięci paszportów</w:t>
      </w:r>
      <w:r w:rsidR="00AC2DE7" w:rsidRPr="00AC2DE7">
        <w:rPr>
          <w:rFonts w:ascii="Times New Roman" w:hAnsi="Times New Roman"/>
          <w:noProof/>
          <w:sz w:val="24"/>
        </w:rPr>
        <w:t xml:space="preserve"> i dok</w:t>
      </w:r>
      <w:r w:rsidRPr="00AC2DE7">
        <w:rPr>
          <w:rFonts w:ascii="Times New Roman" w:hAnsi="Times New Roman"/>
          <w:noProof/>
          <w:sz w:val="24"/>
        </w:rPr>
        <w:t>umentów podróży. Odciski palców sprawdza się obecnie</w:t>
      </w:r>
      <w:r w:rsidR="00EE14E6" w:rsidRPr="00AC2DE7">
        <w:rPr>
          <w:rStyle w:val="FootnoteReference"/>
          <w:rFonts w:ascii="Times New Roman" w:hAnsi="Times New Roman" w:cs="Times New Roman"/>
          <w:noProof/>
          <w:sz w:val="24"/>
          <w:szCs w:val="24"/>
        </w:rPr>
        <w:footnoteReference w:id="34"/>
      </w:r>
      <w:r w:rsidRPr="00AC2DE7">
        <w:rPr>
          <w:rFonts w:ascii="Times New Roman" w:hAnsi="Times New Roman"/>
          <w:noProof/>
          <w:sz w:val="24"/>
        </w:rPr>
        <w:t xml:space="preserve"> na granicach zewnętrznych tylko 13 państw członkowskich</w:t>
      </w:r>
      <w:r w:rsidR="00AC2DE7" w:rsidRPr="00AC2DE7">
        <w:rPr>
          <w:rFonts w:ascii="Times New Roman" w:hAnsi="Times New Roman"/>
          <w:noProof/>
          <w:sz w:val="24"/>
        </w:rPr>
        <w:t xml:space="preserve"> i jes</w:t>
      </w:r>
      <w:r w:rsidRPr="00AC2DE7">
        <w:rPr>
          <w:rFonts w:ascii="Times New Roman" w:hAnsi="Times New Roman"/>
          <w:noProof/>
          <w:sz w:val="24"/>
        </w:rPr>
        <w:t>t to możliwe tylko</w:t>
      </w:r>
      <w:r w:rsidR="00AC2DE7" w:rsidRPr="00AC2DE7">
        <w:rPr>
          <w:rFonts w:ascii="Times New Roman" w:hAnsi="Times New Roman"/>
          <w:noProof/>
          <w:sz w:val="24"/>
        </w:rPr>
        <w:t xml:space="preserve"> w prz</w:t>
      </w:r>
      <w:r w:rsidRPr="00AC2DE7">
        <w:rPr>
          <w:rFonts w:ascii="Times New Roman" w:hAnsi="Times New Roman"/>
          <w:noProof/>
          <w:sz w:val="24"/>
        </w:rPr>
        <w:t>ypadku posiadaczy paszportów wydanych przez 15 państw członkowskich, które już stosują niezbędną technologię. Stanowi to lukę</w:t>
      </w:r>
      <w:r w:rsidR="00AC2DE7" w:rsidRPr="00AC2DE7">
        <w:rPr>
          <w:rFonts w:ascii="Times New Roman" w:hAnsi="Times New Roman"/>
          <w:noProof/>
          <w:sz w:val="24"/>
        </w:rPr>
        <w:t xml:space="preserve"> w zak</w:t>
      </w:r>
      <w:r w:rsidRPr="00AC2DE7">
        <w:rPr>
          <w:rFonts w:ascii="Times New Roman" w:hAnsi="Times New Roman"/>
          <w:noProof/>
          <w:sz w:val="24"/>
        </w:rPr>
        <w:t>resie bezpieczeństwa, którą należy szybko wypełnić. To znaczne niedostateczne wykorzystanie odcisków palców bezpośrednio podważa cel systematycznych odpraw. Ponieważ ostatecznie to dokument podróży</w:t>
      </w:r>
      <w:r w:rsidR="00AC2DE7" w:rsidRPr="00AC2DE7">
        <w:rPr>
          <w:rFonts w:ascii="Times New Roman" w:hAnsi="Times New Roman"/>
          <w:noProof/>
          <w:sz w:val="24"/>
        </w:rPr>
        <w:t xml:space="preserve"> i zaw</w:t>
      </w:r>
      <w:r w:rsidRPr="00AC2DE7">
        <w:rPr>
          <w:rFonts w:ascii="Times New Roman" w:hAnsi="Times New Roman"/>
          <w:noProof/>
          <w:sz w:val="24"/>
        </w:rPr>
        <w:t>arte</w:t>
      </w:r>
      <w:r w:rsidR="00AC2DE7" w:rsidRPr="00AC2DE7">
        <w:rPr>
          <w:rFonts w:ascii="Times New Roman" w:hAnsi="Times New Roman"/>
          <w:noProof/>
          <w:sz w:val="24"/>
        </w:rPr>
        <w:t xml:space="preserve"> w nim</w:t>
      </w:r>
      <w:r w:rsidRPr="00AC2DE7">
        <w:rPr>
          <w:rFonts w:ascii="Times New Roman" w:hAnsi="Times New Roman"/>
          <w:noProof/>
          <w:sz w:val="24"/>
        </w:rPr>
        <w:t xml:space="preserve"> dane osobowe są sprawdzane</w:t>
      </w:r>
      <w:r w:rsidR="00AC2DE7" w:rsidRPr="00AC2DE7">
        <w:rPr>
          <w:rFonts w:ascii="Times New Roman" w:hAnsi="Times New Roman"/>
          <w:noProof/>
          <w:sz w:val="24"/>
        </w:rPr>
        <w:t xml:space="preserve"> z wyk</w:t>
      </w:r>
      <w:r w:rsidRPr="00AC2DE7">
        <w:rPr>
          <w:rFonts w:ascii="Times New Roman" w:hAnsi="Times New Roman"/>
          <w:noProof/>
          <w:sz w:val="24"/>
        </w:rPr>
        <w:t>orzystaniem baz danych,</w:t>
      </w:r>
      <w:r w:rsidR="00AC2DE7" w:rsidRPr="00AC2DE7">
        <w:rPr>
          <w:rFonts w:ascii="Times New Roman" w:hAnsi="Times New Roman"/>
          <w:noProof/>
          <w:sz w:val="24"/>
        </w:rPr>
        <w:t xml:space="preserve"> a nie</w:t>
      </w:r>
      <w:r w:rsidRPr="00AC2DE7">
        <w:rPr>
          <w:rFonts w:ascii="Times New Roman" w:hAnsi="Times New Roman"/>
          <w:noProof/>
          <w:sz w:val="24"/>
        </w:rPr>
        <w:t xml:space="preserve"> osoba wjeżdżająca do strefy Schengen, bez wiarygodnej weryfikacji związku między osobą</w:t>
      </w:r>
      <w:r w:rsidR="00AC2DE7" w:rsidRPr="00AC2DE7">
        <w:rPr>
          <w:rFonts w:ascii="Times New Roman" w:hAnsi="Times New Roman"/>
          <w:noProof/>
          <w:sz w:val="24"/>
        </w:rPr>
        <w:t xml:space="preserve"> a oka</w:t>
      </w:r>
      <w:r w:rsidRPr="00AC2DE7">
        <w:rPr>
          <w:rFonts w:ascii="Times New Roman" w:hAnsi="Times New Roman"/>
          <w:noProof/>
          <w:sz w:val="24"/>
        </w:rPr>
        <w:t>zanym dokumentem podróży powracający bojownicy terrorystyczni mogliby, mimo systematycznej odprawy, nadal wjeżdżać d</w:t>
      </w:r>
      <w:r w:rsidR="00836F72" w:rsidRPr="00AC2DE7">
        <w:rPr>
          <w:rFonts w:ascii="Times New Roman" w:hAnsi="Times New Roman"/>
          <w:noProof/>
          <w:sz w:val="24"/>
        </w:rPr>
        <w:t>o strefy Schengen bez wykrycia.</w:t>
      </w:r>
    </w:p>
    <w:p w14:paraId="06409850" w14:textId="77777777" w:rsidR="001B2BFA" w:rsidRPr="00AC2DE7" w:rsidRDefault="001B2BFA" w:rsidP="002B4286">
      <w:pPr>
        <w:spacing w:line="276" w:lineRule="auto"/>
        <w:jc w:val="both"/>
        <w:rPr>
          <w:rFonts w:ascii="Times New Roman" w:hAnsi="Times New Roman" w:cs="Times New Roman"/>
          <w:noProof/>
          <w:sz w:val="24"/>
          <w:szCs w:val="24"/>
        </w:rPr>
      </w:pPr>
    </w:p>
    <w:p w14:paraId="771FEE88" w14:textId="1AD0B3C2" w:rsidR="001B2BFA" w:rsidRPr="00AC2DE7" w:rsidRDefault="00B319F7" w:rsidP="002B4286">
      <w:pPr>
        <w:spacing w:line="276" w:lineRule="auto"/>
        <w:jc w:val="both"/>
        <w:rPr>
          <w:rFonts w:ascii="Times New Roman" w:hAnsi="Times New Roman" w:cs="Times New Roman"/>
          <w:b/>
          <w:noProof/>
          <w:sz w:val="24"/>
          <w:szCs w:val="24"/>
        </w:rPr>
      </w:pPr>
      <w:r w:rsidRPr="00AC2DE7">
        <w:rPr>
          <w:rFonts w:ascii="Times New Roman" w:hAnsi="Times New Roman"/>
          <w:b/>
          <w:noProof/>
          <w:sz w:val="24"/>
        </w:rPr>
        <w:t>V. Wnioski</w:t>
      </w:r>
    </w:p>
    <w:p w14:paraId="0C847403" w14:textId="26E7D0B9" w:rsidR="00A7396D"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Terroryzm,</w:t>
      </w:r>
      <w:r w:rsidR="00AC2DE7" w:rsidRPr="00AC2DE7">
        <w:rPr>
          <w:rFonts w:ascii="Times New Roman" w:hAnsi="Times New Roman"/>
          <w:noProof/>
          <w:sz w:val="24"/>
        </w:rPr>
        <w:t xml:space="preserve"> w tym</w:t>
      </w:r>
      <w:r w:rsidRPr="00AC2DE7">
        <w:rPr>
          <w:rFonts w:ascii="Times New Roman" w:hAnsi="Times New Roman"/>
          <w:noProof/>
          <w:sz w:val="24"/>
        </w:rPr>
        <w:t xml:space="preserve"> zagrożenie ze strony powracających bojowników terrorystycznych, pozostaje jednym</w:t>
      </w:r>
      <w:r w:rsidR="00AC2DE7" w:rsidRPr="00AC2DE7">
        <w:rPr>
          <w:rFonts w:ascii="Times New Roman" w:hAnsi="Times New Roman"/>
          <w:noProof/>
          <w:sz w:val="24"/>
        </w:rPr>
        <w:t xml:space="preserve"> z głó</w:t>
      </w:r>
      <w:r w:rsidRPr="00AC2DE7">
        <w:rPr>
          <w:rFonts w:ascii="Times New Roman" w:hAnsi="Times New Roman"/>
          <w:noProof/>
          <w:sz w:val="24"/>
        </w:rPr>
        <w:t>wnych problemów bezpieczeństwa Unii Europejskiej. Choć nie można dokładnie określić bezpośredniego wpływu rozporządzenia na zapobieganie atakom terrorystycznym lub zorganizowanej działalności przestępczej, to jednak</w:t>
      </w:r>
      <w:r w:rsidR="00AC2DE7" w:rsidRPr="00AC2DE7">
        <w:rPr>
          <w:rFonts w:ascii="Times New Roman" w:hAnsi="Times New Roman"/>
          <w:noProof/>
          <w:sz w:val="24"/>
        </w:rPr>
        <w:t xml:space="preserve"> z opi</w:t>
      </w:r>
      <w:r w:rsidRPr="00AC2DE7">
        <w:rPr>
          <w:rFonts w:ascii="Times New Roman" w:hAnsi="Times New Roman"/>
          <w:noProof/>
          <w:sz w:val="24"/>
        </w:rPr>
        <w:t>nii zainteresowanych stron</w:t>
      </w:r>
      <w:r w:rsidR="00AC2DE7" w:rsidRPr="00AC2DE7">
        <w:rPr>
          <w:rFonts w:ascii="Times New Roman" w:hAnsi="Times New Roman"/>
          <w:noProof/>
          <w:sz w:val="24"/>
        </w:rPr>
        <w:t xml:space="preserve"> i dos</w:t>
      </w:r>
      <w:r w:rsidRPr="00AC2DE7">
        <w:rPr>
          <w:rFonts w:ascii="Times New Roman" w:hAnsi="Times New Roman"/>
          <w:noProof/>
          <w:sz w:val="24"/>
        </w:rPr>
        <w:t>tępnych danych statystycznych wynika, że miało ono ogólnie pozytywny wpływ na bezpieczeństwo wewnętrzne</w:t>
      </w:r>
      <w:r w:rsidR="00AC2DE7" w:rsidRPr="00AC2DE7">
        <w:rPr>
          <w:rFonts w:ascii="Times New Roman" w:hAnsi="Times New Roman"/>
          <w:noProof/>
          <w:sz w:val="24"/>
        </w:rPr>
        <w:t xml:space="preserve"> w str</w:t>
      </w:r>
      <w:r w:rsidRPr="00AC2DE7">
        <w:rPr>
          <w:rFonts w:ascii="Times New Roman" w:hAnsi="Times New Roman"/>
          <w:noProof/>
          <w:sz w:val="24"/>
        </w:rPr>
        <w:t xml:space="preserve">efie Schengen, zwłaszcza dzięki zwiększeniu ogólnej ilości danych wywiadowczych dostępnych dla organów ścigania. </w:t>
      </w:r>
    </w:p>
    <w:p w14:paraId="1F0EBD76" w14:textId="38CC6A3F" w:rsidR="001B2BFA" w:rsidRPr="00AC2DE7" w:rsidRDefault="00A85200"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Rozporządzenie miało największy wpływ na osoby korzystające</w:t>
      </w:r>
      <w:r w:rsidR="00AC2DE7" w:rsidRPr="00AC2DE7">
        <w:rPr>
          <w:rFonts w:ascii="Times New Roman" w:hAnsi="Times New Roman"/>
          <w:noProof/>
          <w:sz w:val="24"/>
        </w:rPr>
        <w:t xml:space="preserve"> z pra</w:t>
      </w:r>
      <w:r w:rsidRPr="00AC2DE7">
        <w:rPr>
          <w:rFonts w:ascii="Times New Roman" w:hAnsi="Times New Roman"/>
          <w:noProof/>
          <w:sz w:val="24"/>
        </w:rPr>
        <w:t>wa do swobodnego przemieszczania się na mocy prawa Unii dzięki zapewnieniu, aby kontrole bezpieczeństwa były systematycznie przeprowadzane</w:t>
      </w:r>
      <w:r w:rsidR="00AC2DE7" w:rsidRPr="00AC2DE7">
        <w:rPr>
          <w:rFonts w:ascii="Times New Roman" w:hAnsi="Times New Roman"/>
          <w:noProof/>
          <w:sz w:val="24"/>
        </w:rPr>
        <w:t xml:space="preserve"> w sto</w:t>
      </w:r>
      <w:r w:rsidRPr="00AC2DE7">
        <w:rPr>
          <w:rFonts w:ascii="Times New Roman" w:hAnsi="Times New Roman"/>
          <w:noProof/>
          <w:sz w:val="24"/>
        </w:rPr>
        <w:t>sunku do wszystkich osób. Można zatem uznać, że rozporządzenie wypełnia istotną lukę</w:t>
      </w:r>
      <w:r w:rsidR="00AC2DE7" w:rsidRPr="00AC2DE7">
        <w:rPr>
          <w:rFonts w:ascii="Times New Roman" w:hAnsi="Times New Roman"/>
          <w:noProof/>
          <w:sz w:val="24"/>
        </w:rPr>
        <w:t xml:space="preserve"> w kor</w:t>
      </w:r>
      <w:r w:rsidRPr="00AC2DE7">
        <w:rPr>
          <w:rFonts w:ascii="Times New Roman" w:hAnsi="Times New Roman"/>
          <w:noProof/>
          <w:sz w:val="24"/>
        </w:rPr>
        <w:t>zystaniu</w:t>
      </w:r>
      <w:r w:rsidR="00AC2DE7" w:rsidRPr="00AC2DE7">
        <w:rPr>
          <w:rFonts w:ascii="Times New Roman" w:hAnsi="Times New Roman"/>
          <w:noProof/>
          <w:sz w:val="24"/>
        </w:rPr>
        <w:t xml:space="preserve"> z baz</w:t>
      </w:r>
      <w:r w:rsidRPr="00AC2DE7">
        <w:rPr>
          <w:rFonts w:ascii="Times New Roman" w:hAnsi="Times New Roman"/>
          <w:noProof/>
          <w:sz w:val="24"/>
        </w:rPr>
        <w:t xml:space="preserve"> danych dotyczących osób korzystających ze swobody przemieszczania się, zważywszy, że niektórzy bojownicy terrorystyczni mogą korzystać</w:t>
      </w:r>
      <w:r w:rsidR="00AC2DE7" w:rsidRPr="00AC2DE7">
        <w:rPr>
          <w:rFonts w:ascii="Times New Roman" w:hAnsi="Times New Roman"/>
          <w:noProof/>
          <w:sz w:val="24"/>
        </w:rPr>
        <w:t xml:space="preserve"> z pra</w:t>
      </w:r>
      <w:r w:rsidRPr="00AC2DE7">
        <w:rPr>
          <w:rFonts w:ascii="Times New Roman" w:hAnsi="Times New Roman"/>
          <w:noProof/>
          <w:sz w:val="24"/>
        </w:rPr>
        <w:t>wa do podróżowania</w:t>
      </w:r>
      <w:r w:rsidR="00AC2DE7" w:rsidRPr="00AC2DE7">
        <w:rPr>
          <w:rFonts w:ascii="Times New Roman" w:hAnsi="Times New Roman"/>
          <w:noProof/>
          <w:sz w:val="24"/>
        </w:rPr>
        <w:t xml:space="preserve"> w obr</w:t>
      </w:r>
      <w:r w:rsidRPr="00AC2DE7">
        <w:rPr>
          <w:rFonts w:ascii="Times New Roman" w:hAnsi="Times New Roman"/>
          <w:noProof/>
          <w:sz w:val="24"/>
        </w:rPr>
        <w:t>ębie strefy Schengen.</w:t>
      </w:r>
    </w:p>
    <w:p w14:paraId="13871AA2" w14:textId="23BE1E09" w:rsidR="001B2BFA"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 xml:space="preserve">Chociaż </w:t>
      </w:r>
      <w:r w:rsidRPr="00AC2DE7">
        <w:rPr>
          <w:rFonts w:ascii="Times New Roman" w:hAnsi="Times New Roman"/>
          <w:b/>
          <w:noProof/>
          <w:sz w:val="24"/>
        </w:rPr>
        <w:t>koszty wprowadzenia systematycznych odpraw wszystkich osób wjeżdżających do strefy Schengen</w:t>
      </w:r>
      <w:r w:rsidR="00AC2DE7" w:rsidRPr="00AC2DE7">
        <w:rPr>
          <w:rFonts w:ascii="Times New Roman" w:hAnsi="Times New Roman"/>
          <w:b/>
          <w:noProof/>
          <w:sz w:val="24"/>
        </w:rPr>
        <w:t xml:space="preserve"> i wyj</w:t>
      </w:r>
      <w:r w:rsidRPr="00AC2DE7">
        <w:rPr>
          <w:rFonts w:ascii="Times New Roman" w:hAnsi="Times New Roman"/>
          <w:b/>
          <w:noProof/>
          <w:sz w:val="24"/>
        </w:rPr>
        <w:t>eżdżających</w:t>
      </w:r>
      <w:r w:rsidR="00AC2DE7" w:rsidRPr="00AC2DE7">
        <w:rPr>
          <w:rFonts w:ascii="Times New Roman" w:hAnsi="Times New Roman"/>
          <w:b/>
          <w:noProof/>
          <w:sz w:val="24"/>
        </w:rPr>
        <w:t xml:space="preserve"> z nie</w:t>
      </w:r>
      <w:r w:rsidRPr="00AC2DE7">
        <w:rPr>
          <w:rFonts w:ascii="Times New Roman" w:hAnsi="Times New Roman"/>
          <w:b/>
          <w:noProof/>
          <w:sz w:val="24"/>
        </w:rPr>
        <w:t>j</w:t>
      </w:r>
      <w:r w:rsidRPr="00AC2DE7">
        <w:rPr>
          <w:rFonts w:ascii="Times New Roman" w:hAnsi="Times New Roman"/>
          <w:noProof/>
          <w:sz w:val="24"/>
        </w:rPr>
        <w:t xml:space="preserve"> nie są bez znaczenia,</w:t>
      </w:r>
      <w:r w:rsidR="00AC2DE7" w:rsidRPr="00AC2DE7">
        <w:rPr>
          <w:rFonts w:ascii="Times New Roman" w:hAnsi="Times New Roman"/>
          <w:noProof/>
          <w:sz w:val="24"/>
        </w:rPr>
        <w:t xml:space="preserve"> a pon</w:t>
      </w:r>
      <w:r w:rsidRPr="00AC2DE7">
        <w:rPr>
          <w:rFonts w:ascii="Times New Roman" w:hAnsi="Times New Roman"/>
          <w:noProof/>
          <w:sz w:val="24"/>
        </w:rPr>
        <w:t xml:space="preserve">oszą je przede wszystkim pasażerowie ze względu na wydłużenie czasu oczekiwania, </w:t>
      </w:r>
      <w:r w:rsidRPr="00AC2DE7">
        <w:rPr>
          <w:rFonts w:ascii="Times New Roman" w:hAnsi="Times New Roman"/>
          <w:b/>
          <w:noProof/>
          <w:sz w:val="24"/>
        </w:rPr>
        <w:t>wydają się one proporcjonalne do wpływu rozporządzenia na bezpieczeństwo wewnętrzne</w:t>
      </w:r>
      <w:r w:rsidRPr="00AC2DE7">
        <w:rPr>
          <w:rFonts w:ascii="Times New Roman" w:hAnsi="Times New Roman"/>
          <w:noProof/>
          <w:sz w:val="24"/>
        </w:rPr>
        <w:t>, nawet bez uwzględnienia potencjalnych oszczędności kosztów związanych</w:t>
      </w:r>
      <w:r w:rsidR="00AC2DE7" w:rsidRPr="00AC2DE7">
        <w:rPr>
          <w:rFonts w:ascii="Times New Roman" w:hAnsi="Times New Roman"/>
          <w:noProof/>
          <w:sz w:val="24"/>
        </w:rPr>
        <w:t xml:space="preserve"> z zap</w:t>
      </w:r>
      <w:r w:rsidRPr="00AC2DE7">
        <w:rPr>
          <w:rFonts w:ascii="Times New Roman" w:hAnsi="Times New Roman"/>
          <w:noProof/>
          <w:sz w:val="24"/>
        </w:rPr>
        <w:t>obieganiem atakom terrorystycznym</w:t>
      </w:r>
      <w:r w:rsidR="00AC2DE7" w:rsidRPr="00AC2DE7">
        <w:rPr>
          <w:rFonts w:ascii="Times New Roman" w:hAnsi="Times New Roman"/>
          <w:noProof/>
          <w:sz w:val="24"/>
        </w:rPr>
        <w:t xml:space="preserve"> i prz</w:t>
      </w:r>
      <w:r w:rsidRPr="00AC2DE7">
        <w:rPr>
          <w:rFonts w:ascii="Times New Roman" w:hAnsi="Times New Roman"/>
          <w:noProof/>
          <w:sz w:val="24"/>
        </w:rPr>
        <w:t>estępczości zorganizowanej. Oceniając ogólny wpływ rozporządzenia, organy straży granicznej,</w:t>
      </w:r>
      <w:r w:rsidR="00AC2DE7" w:rsidRPr="00AC2DE7">
        <w:rPr>
          <w:rFonts w:ascii="Times New Roman" w:hAnsi="Times New Roman"/>
          <w:noProof/>
          <w:sz w:val="24"/>
        </w:rPr>
        <w:t xml:space="preserve"> z któ</w:t>
      </w:r>
      <w:r w:rsidRPr="00AC2DE7">
        <w:rPr>
          <w:rFonts w:ascii="Times New Roman" w:hAnsi="Times New Roman"/>
          <w:noProof/>
          <w:sz w:val="24"/>
        </w:rPr>
        <w:t>rymi konsultowano się</w:t>
      </w:r>
      <w:r w:rsidR="00AC2DE7" w:rsidRPr="00AC2DE7">
        <w:rPr>
          <w:rFonts w:ascii="Times New Roman" w:hAnsi="Times New Roman"/>
          <w:noProof/>
          <w:sz w:val="24"/>
        </w:rPr>
        <w:t xml:space="preserve"> w ram</w:t>
      </w:r>
      <w:r w:rsidRPr="00AC2DE7">
        <w:rPr>
          <w:rFonts w:ascii="Times New Roman" w:hAnsi="Times New Roman"/>
          <w:noProof/>
          <w:sz w:val="24"/>
        </w:rPr>
        <w:t>ach badania, niemal jednogłośnie uznały, że rozporządzenie</w:t>
      </w:r>
      <w:r w:rsidR="00AC2DE7" w:rsidRPr="00AC2DE7">
        <w:rPr>
          <w:rFonts w:ascii="Times New Roman" w:hAnsi="Times New Roman"/>
          <w:noProof/>
          <w:sz w:val="24"/>
        </w:rPr>
        <w:t xml:space="preserve"> w odp</w:t>
      </w:r>
      <w:r w:rsidRPr="00AC2DE7">
        <w:rPr>
          <w:rFonts w:ascii="Times New Roman" w:hAnsi="Times New Roman"/>
          <w:noProof/>
          <w:sz w:val="24"/>
        </w:rPr>
        <w:t>owiedni sposób odpowiada na bieżące potrzeby</w:t>
      </w:r>
      <w:r w:rsidR="00AC2DE7" w:rsidRPr="00AC2DE7">
        <w:rPr>
          <w:rFonts w:ascii="Times New Roman" w:hAnsi="Times New Roman"/>
          <w:noProof/>
          <w:sz w:val="24"/>
        </w:rPr>
        <w:t xml:space="preserve"> w zak</w:t>
      </w:r>
      <w:r w:rsidRPr="00AC2DE7">
        <w:rPr>
          <w:rFonts w:ascii="Times New Roman" w:hAnsi="Times New Roman"/>
          <w:noProof/>
          <w:sz w:val="24"/>
        </w:rPr>
        <w:t>resie bezpieczeństwa.</w:t>
      </w:r>
    </w:p>
    <w:p w14:paraId="2899A457" w14:textId="061CE393" w:rsidR="004B3C46"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b/>
          <w:noProof/>
          <w:sz w:val="24"/>
        </w:rPr>
        <w:t>W pierwszych latach wdrażania można było jednak zidentyfikować znaczące wyzwania.</w:t>
      </w:r>
      <w:r w:rsidRPr="00AC2DE7">
        <w:rPr>
          <w:rFonts w:ascii="Times New Roman" w:hAnsi="Times New Roman"/>
          <w:noProof/>
          <w:sz w:val="24"/>
        </w:rPr>
        <w:t xml:space="preserve"> Wyzwania te dotyczą rozróżnienia między odstępstwami na mocy art.</w:t>
      </w:r>
      <w:r w:rsidR="00836F72" w:rsidRPr="00AC2DE7">
        <w:rPr>
          <w:rFonts w:ascii="Times New Roman" w:hAnsi="Times New Roman"/>
          <w:noProof/>
          <w:sz w:val="24"/>
        </w:rPr>
        <w:t> </w:t>
      </w:r>
      <w:r w:rsidRPr="00AC2DE7">
        <w:rPr>
          <w:rFonts w:ascii="Times New Roman" w:hAnsi="Times New Roman"/>
          <w:noProof/>
          <w:sz w:val="24"/>
        </w:rPr>
        <w:t>8 ust.</w:t>
      </w:r>
      <w:r w:rsidR="00836F72" w:rsidRPr="00AC2DE7">
        <w:rPr>
          <w:rFonts w:ascii="Times New Roman" w:hAnsi="Times New Roman"/>
          <w:noProof/>
          <w:sz w:val="24"/>
        </w:rPr>
        <w:t> </w:t>
      </w:r>
      <w:r w:rsidRPr="00AC2DE7">
        <w:rPr>
          <w:rFonts w:ascii="Times New Roman" w:hAnsi="Times New Roman"/>
          <w:noProof/>
          <w:sz w:val="24"/>
        </w:rPr>
        <w:t>2a kodeksu granicznego Schengen</w:t>
      </w:r>
      <w:r w:rsidR="00AC2DE7" w:rsidRPr="00AC2DE7">
        <w:rPr>
          <w:rFonts w:ascii="Times New Roman" w:hAnsi="Times New Roman"/>
          <w:noProof/>
          <w:sz w:val="24"/>
        </w:rPr>
        <w:t xml:space="preserve"> a upr</w:t>
      </w:r>
      <w:r w:rsidRPr="00AC2DE7">
        <w:rPr>
          <w:rFonts w:ascii="Times New Roman" w:hAnsi="Times New Roman"/>
          <w:noProof/>
          <w:sz w:val="24"/>
        </w:rPr>
        <w:t>oszczeniami na mocy art.</w:t>
      </w:r>
      <w:r w:rsidR="00836F72" w:rsidRPr="00AC2DE7">
        <w:rPr>
          <w:rFonts w:ascii="Times New Roman" w:hAnsi="Times New Roman"/>
          <w:noProof/>
          <w:sz w:val="24"/>
        </w:rPr>
        <w:t> </w:t>
      </w:r>
      <w:r w:rsidRPr="00AC2DE7">
        <w:rPr>
          <w:rFonts w:ascii="Times New Roman" w:hAnsi="Times New Roman"/>
          <w:noProof/>
          <w:sz w:val="24"/>
        </w:rPr>
        <w:t>9 kodeksu granicznego Schengen, interpretacji wymogów obu przepisów,</w:t>
      </w:r>
      <w:r w:rsidR="00AC2DE7" w:rsidRPr="00AC2DE7">
        <w:rPr>
          <w:rFonts w:ascii="Times New Roman" w:hAnsi="Times New Roman"/>
          <w:noProof/>
          <w:sz w:val="24"/>
        </w:rPr>
        <w:t xml:space="preserve"> a w kon</w:t>
      </w:r>
      <w:r w:rsidRPr="00AC2DE7">
        <w:rPr>
          <w:rFonts w:ascii="Times New Roman" w:hAnsi="Times New Roman"/>
          <w:noProof/>
          <w:sz w:val="24"/>
        </w:rPr>
        <w:t>sekwencji ich praktycznego zastosowania, jakości oceny ryzyka wymaganej</w:t>
      </w:r>
      <w:r w:rsidR="00AC2DE7" w:rsidRPr="00AC2DE7">
        <w:rPr>
          <w:rFonts w:ascii="Times New Roman" w:hAnsi="Times New Roman"/>
          <w:noProof/>
          <w:sz w:val="24"/>
        </w:rPr>
        <w:t xml:space="preserve"> w prz</w:t>
      </w:r>
      <w:r w:rsidRPr="00AC2DE7">
        <w:rPr>
          <w:rFonts w:ascii="Times New Roman" w:hAnsi="Times New Roman"/>
          <w:noProof/>
          <w:sz w:val="24"/>
        </w:rPr>
        <w:t>ypadku odstępstw oraz sprawozdawczości wymaganej</w:t>
      </w:r>
      <w:r w:rsidR="00AC2DE7" w:rsidRPr="00AC2DE7">
        <w:rPr>
          <w:rFonts w:ascii="Times New Roman" w:hAnsi="Times New Roman"/>
          <w:noProof/>
          <w:sz w:val="24"/>
        </w:rPr>
        <w:t xml:space="preserve"> w prz</w:t>
      </w:r>
      <w:r w:rsidRPr="00AC2DE7">
        <w:rPr>
          <w:rFonts w:ascii="Times New Roman" w:hAnsi="Times New Roman"/>
          <w:noProof/>
          <w:sz w:val="24"/>
        </w:rPr>
        <w:t>ypadku uproszczeń. Ponieważ oba przepisy mają nadal zastosowanie do lądowych</w:t>
      </w:r>
      <w:r w:rsidR="00AC2DE7" w:rsidRPr="00AC2DE7">
        <w:rPr>
          <w:rFonts w:ascii="Times New Roman" w:hAnsi="Times New Roman"/>
          <w:noProof/>
          <w:sz w:val="24"/>
        </w:rPr>
        <w:t xml:space="preserve"> i mor</w:t>
      </w:r>
      <w:r w:rsidRPr="00AC2DE7">
        <w:rPr>
          <w:rFonts w:ascii="Times New Roman" w:hAnsi="Times New Roman"/>
          <w:noProof/>
          <w:sz w:val="24"/>
        </w:rPr>
        <w:t>skich przejść granicznych, konieczne jest dalsze wyjaśnienie procedur dotyczących tymczasowego powrotu do ukierunkowanych odpraw oraz bardziej rygorystyczne egzekwowanie przepisów, aby zapewnić spójnie wysoki poziom bezpieczeństwa na wszystkich granicach zewnętrznych. Korzystanie</w:t>
      </w:r>
      <w:r w:rsidR="00AC2DE7" w:rsidRPr="00AC2DE7">
        <w:rPr>
          <w:rFonts w:ascii="Times New Roman" w:hAnsi="Times New Roman"/>
          <w:noProof/>
          <w:sz w:val="24"/>
        </w:rPr>
        <w:t xml:space="preserve"> z upr</w:t>
      </w:r>
      <w:r w:rsidRPr="00AC2DE7">
        <w:rPr>
          <w:rFonts w:ascii="Times New Roman" w:hAnsi="Times New Roman"/>
          <w:noProof/>
          <w:sz w:val="24"/>
        </w:rPr>
        <w:t>oszczeń powinno być ograniczone do wyjątkowych</w:t>
      </w:r>
      <w:r w:rsidR="00AC2DE7" w:rsidRPr="00AC2DE7">
        <w:rPr>
          <w:rFonts w:ascii="Times New Roman" w:hAnsi="Times New Roman"/>
          <w:noProof/>
          <w:sz w:val="24"/>
        </w:rPr>
        <w:t xml:space="preserve"> i nie</w:t>
      </w:r>
      <w:r w:rsidRPr="00AC2DE7">
        <w:rPr>
          <w:rFonts w:ascii="Times New Roman" w:hAnsi="Times New Roman"/>
          <w:noProof/>
          <w:sz w:val="24"/>
        </w:rPr>
        <w:t xml:space="preserve">przewidzianych okoliczności. </w:t>
      </w:r>
    </w:p>
    <w:p w14:paraId="0B41A002" w14:textId="24DBE3E6" w:rsidR="005C0D12" w:rsidRPr="00AC2DE7" w:rsidRDefault="00AC5B82" w:rsidP="00AC5B82">
      <w:pPr>
        <w:spacing w:line="276" w:lineRule="auto"/>
        <w:jc w:val="both"/>
        <w:rPr>
          <w:rFonts w:ascii="Times New Roman" w:hAnsi="Times New Roman" w:cs="Times New Roman"/>
          <w:noProof/>
          <w:sz w:val="24"/>
          <w:szCs w:val="24"/>
        </w:rPr>
      </w:pPr>
      <w:r w:rsidRPr="00AC2DE7">
        <w:rPr>
          <w:rFonts w:ascii="Times New Roman" w:hAnsi="Times New Roman"/>
          <w:noProof/>
          <w:sz w:val="24"/>
        </w:rPr>
        <w:t xml:space="preserve">W przypadku </w:t>
      </w:r>
      <w:r w:rsidRPr="00AC2DE7">
        <w:rPr>
          <w:rFonts w:ascii="Times New Roman" w:hAnsi="Times New Roman"/>
          <w:noProof/>
          <w:sz w:val="24"/>
          <w:shd w:val="clear" w:color="auto" w:fill="FFFFFF"/>
        </w:rPr>
        <w:t>stosowania odstępstwa od zasady systematycznych odpraw</w:t>
      </w:r>
      <w:r w:rsidR="00AC2DE7" w:rsidRPr="00AC2DE7">
        <w:rPr>
          <w:rFonts w:ascii="Times New Roman" w:hAnsi="Times New Roman"/>
          <w:noProof/>
          <w:sz w:val="24"/>
          <w:shd w:val="clear" w:color="auto" w:fill="FFFFFF"/>
        </w:rPr>
        <w:t xml:space="preserve"> z wyk</w:t>
      </w:r>
      <w:r w:rsidRPr="00AC2DE7">
        <w:rPr>
          <w:rFonts w:ascii="Times New Roman" w:hAnsi="Times New Roman"/>
          <w:noProof/>
          <w:sz w:val="24"/>
          <w:shd w:val="clear" w:color="auto" w:fill="FFFFFF"/>
        </w:rPr>
        <w:t>orzystaniem odpowiednich baz danych państwa członkowskie</w:t>
      </w:r>
      <w:r w:rsidRPr="00AC2DE7">
        <w:rPr>
          <w:rFonts w:ascii="Times New Roman" w:hAnsi="Times New Roman"/>
          <w:noProof/>
          <w:sz w:val="24"/>
        </w:rPr>
        <w:t xml:space="preserve"> zachęca się do zaangażowania</w:t>
      </w:r>
      <w:r w:rsidR="00AC2DE7" w:rsidRPr="00AC2DE7">
        <w:rPr>
          <w:rFonts w:ascii="Times New Roman" w:hAnsi="Times New Roman"/>
          <w:noProof/>
          <w:sz w:val="24"/>
        </w:rPr>
        <w:t xml:space="preserve"> w prz</w:t>
      </w:r>
      <w:r w:rsidRPr="00AC2DE7">
        <w:rPr>
          <w:rFonts w:ascii="Times New Roman" w:hAnsi="Times New Roman"/>
          <w:noProof/>
          <w:sz w:val="24"/>
        </w:rPr>
        <w:t>ygotowanie oceny ryzyka również organów zajmujących się zwalczaniem terroryzmu</w:t>
      </w:r>
      <w:r w:rsidR="00AC2DE7" w:rsidRPr="00AC2DE7">
        <w:rPr>
          <w:rFonts w:ascii="Times New Roman" w:hAnsi="Times New Roman"/>
          <w:noProof/>
          <w:sz w:val="24"/>
        </w:rPr>
        <w:t xml:space="preserve"> i prz</w:t>
      </w:r>
      <w:r w:rsidRPr="00AC2DE7">
        <w:rPr>
          <w:rFonts w:ascii="Times New Roman" w:hAnsi="Times New Roman"/>
          <w:noProof/>
          <w:sz w:val="24"/>
        </w:rPr>
        <w:t>estępczości zorganizowanej. Szablon opracowany</w:t>
      </w:r>
      <w:r w:rsidR="00AC2DE7" w:rsidRPr="00AC2DE7">
        <w:rPr>
          <w:rFonts w:ascii="Times New Roman" w:hAnsi="Times New Roman"/>
          <w:noProof/>
          <w:sz w:val="24"/>
        </w:rPr>
        <w:t xml:space="preserve"> w tym</w:t>
      </w:r>
      <w:r w:rsidRPr="00AC2DE7">
        <w:rPr>
          <w:rFonts w:ascii="Times New Roman" w:hAnsi="Times New Roman"/>
          <w:noProof/>
          <w:sz w:val="24"/>
        </w:rPr>
        <w:t xml:space="preserve"> celu przez Frontex ma na celu rozwiązanie problemu braku harmonizacji</w:t>
      </w:r>
      <w:r w:rsidR="00AC2DE7" w:rsidRPr="00AC2DE7">
        <w:rPr>
          <w:rFonts w:ascii="Times New Roman" w:hAnsi="Times New Roman"/>
          <w:noProof/>
          <w:sz w:val="24"/>
        </w:rPr>
        <w:t xml:space="preserve"> w gro</w:t>
      </w:r>
      <w:r w:rsidRPr="00AC2DE7">
        <w:rPr>
          <w:rFonts w:ascii="Times New Roman" w:hAnsi="Times New Roman"/>
          <w:noProof/>
          <w:sz w:val="24"/>
        </w:rPr>
        <w:t>madzeniu danych</w:t>
      </w:r>
      <w:r w:rsidR="00AC2DE7" w:rsidRPr="00AC2DE7">
        <w:rPr>
          <w:rFonts w:ascii="Times New Roman" w:hAnsi="Times New Roman"/>
          <w:noProof/>
          <w:sz w:val="24"/>
        </w:rPr>
        <w:t xml:space="preserve"> i pop</w:t>
      </w:r>
      <w:r w:rsidRPr="00AC2DE7">
        <w:rPr>
          <w:rFonts w:ascii="Times New Roman" w:hAnsi="Times New Roman"/>
          <w:noProof/>
          <w:sz w:val="24"/>
        </w:rPr>
        <w:t>rawę ich jakości, jednak nie osiągnie on swoich celów, jeśli nie wszystkie właściwe organy będą aktywnie zaangażowane.</w:t>
      </w:r>
    </w:p>
    <w:p w14:paraId="2F9716B6" w14:textId="1DF741AC" w:rsidR="0092028E" w:rsidRPr="00AC2DE7" w:rsidRDefault="001B2BFA" w:rsidP="002429B8">
      <w:pPr>
        <w:spacing w:line="276" w:lineRule="auto"/>
        <w:jc w:val="both"/>
        <w:rPr>
          <w:rFonts w:ascii="Times New Roman" w:hAnsi="Times New Roman" w:cs="Times New Roman"/>
          <w:noProof/>
          <w:sz w:val="24"/>
          <w:szCs w:val="24"/>
        </w:rPr>
      </w:pPr>
      <w:r w:rsidRPr="00AC2DE7">
        <w:rPr>
          <w:rFonts w:ascii="Times New Roman" w:hAnsi="Times New Roman"/>
          <w:b/>
          <w:noProof/>
          <w:sz w:val="24"/>
        </w:rPr>
        <w:t>Bardziej proaktywne podejście zapobiegające nadmiernemu czasowi oczekiwania spowodowanemu przewidywalnymi zdarzeniami</w:t>
      </w:r>
      <w:r w:rsidRPr="00AC2DE7">
        <w:rPr>
          <w:rFonts w:ascii="Times New Roman" w:hAnsi="Times New Roman"/>
          <w:noProof/>
          <w:sz w:val="24"/>
        </w:rPr>
        <w:t xml:space="preserve"> byłoby ważnym krokiem</w:t>
      </w:r>
      <w:r w:rsidR="00AC2DE7" w:rsidRPr="00AC2DE7">
        <w:rPr>
          <w:rFonts w:ascii="Times New Roman" w:hAnsi="Times New Roman"/>
          <w:noProof/>
          <w:sz w:val="24"/>
        </w:rPr>
        <w:t xml:space="preserve"> w kie</w:t>
      </w:r>
      <w:r w:rsidRPr="00AC2DE7">
        <w:rPr>
          <w:rFonts w:ascii="Times New Roman" w:hAnsi="Times New Roman"/>
          <w:noProof/>
          <w:sz w:val="24"/>
        </w:rPr>
        <w:t>runku poprawy sytuacji na przejściach granicznych bez naruszania samego celu rozporządzenia. Wiele państw członkowskich zgłosiło zamiar odstąpienia od zasady systematycznych odpraw</w:t>
      </w:r>
      <w:r w:rsidR="00AC2DE7" w:rsidRPr="00AC2DE7">
        <w:rPr>
          <w:rFonts w:ascii="Times New Roman" w:hAnsi="Times New Roman"/>
          <w:noProof/>
          <w:sz w:val="24"/>
        </w:rPr>
        <w:t xml:space="preserve"> z wyk</w:t>
      </w:r>
      <w:r w:rsidRPr="00AC2DE7">
        <w:rPr>
          <w:rFonts w:ascii="Times New Roman" w:hAnsi="Times New Roman"/>
          <w:noProof/>
          <w:sz w:val="24"/>
        </w:rPr>
        <w:t>orzystaniem odpowiednich baz danych</w:t>
      </w:r>
      <w:r w:rsidR="00AC2DE7" w:rsidRPr="00AC2DE7">
        <w:rPr>
          <w:rFonts w:ascii="Times New Roman" w:hAnsi="Times New Roman"/>
          <w:noProof/>
          <w:sz w:val="24"/>
        </w:rPr>
        <w:t xml:space="preserve"> w zwi</w:t>
      </w:r>
      <w:r w:rsidRPr="00AC2DE7">
        <w:rPr>
          <w:rFonts w:ascii="Times New Roman" w:hAnsi="Times New Roman"/>
          <w:noProof/>
          <w:sz w:val="24"/>
        </w:rPr>
        <w:t>ązku</w:t>
      </w:r>
      <w:r w:rsidR="00AC2DE7" w:rsidRPr="00AC2DE7">
        <w:rPr>
          <w:rFonts w:ascii="Times New Roman" w:hAnsi="Times New Roman"/>
          <w:noProof/>
          <w:sz w:val="24"/>
        </w:rPr>
        <w:t xml:space="preserve"> z prz</w:t>
      </w:r>
      <w:r w:rsidRPr="00AC2DE7">
        <w:rPr>
          <w:rFonts w:ascii="Times New Roman" w:hAnsi="Times New Roman"/>
          <w:noProof/>
          <w:sz w:val="24"/>
        </w:rPr>
        <w:t>erwą letnią</w:t>
      </w:r>
      <w:r w:rsidR="00AC2DE7" w:rsidRPr="00AC2DE7">
        <w:rPr>
          <w:rFonts w:ascii="Times New Roman" w:hAnsi="Times New Roman"/>
          <w:noProof/>
          <w:sz w:val="24"/>
        </w:rPr>
        <w:t xml:space="preserve"> i świ</w:t>
      </w:r>
      <w:r w:rsidRPr="00AC2DE7">
        <w:rPr>
          <w:rFonts w:ascii="Times New Roman" w:hAnsi="Times New Roman"/>
          <w:noProof/>
          <w:sz w:val="24"/>
        </w:rPr>
        <w:t>ętami Bożego Narodzenia. Chociaż państwa członkowskie mogą nadal korzystać</w:t>
      </w:r>
      <w:r w:rsidR="00AC2DE7" w:rsidRPr="00AC2DE7">
        <w:rPr>
          <w:rFonts w:ascii="Times New Roman" w:hAnsi="Times New Roman"/>
          <w:noProof/>
          <w:sz w:val="24"/>
        </w:rPr>
        <w:t xml:space="preserve"> z ods</w:t>
      </w:r>
      <w:r w:rsidRPr="00AC2DE7">
        <w:rPr>
          <w:rFonts w:ascii="Times New Roman" w:hAnsi="Times New Roman"/>
          <w:noProof/>
          <w:sz w:val="24"/>
        </w:rPr>
        <w:t>tępstw na granicach lądowych</w:t>
      </w:r>
      <w:r w:rsidR="00AC2DE7" w:rsidRPr="00AC2DE7">
        <w:rPr>
          <w:rFonts w:ascii="Times New Roman" w:hAnsi="Times New Roman"/>
          <w:noProof/>
          <w:sz w:val="24"/>
        </w:rPr>
        <w:t xml:space="preserve"> i mor</w:t>
      </w:r>
      <w:r w:rsidRPr="00AC2DE7">
        <w:rPr>
          <w:rFonts w:ascii="Times New Roman" w:hAnsi="Times New Roman"/>
          <w:noProof/>
          <w:sz w:val="24"/>
        </w:rPr>
        <w:t>skich, powinny one być raczej przygotowane na zwiększenie liczby personelu</w:t>
      </w:r>
      <w:r w:rsidR="00AC2DE7" w:rsidRPr="00AC2DE7">
        <w:rPr>
          <w:rFonts w:ascii="Times New Roman" w:hAnsi="Times New Roman"/>
          <w:noProof/>
          <w:sz w:val="24"/>
        </w:rPr>
        <w:t xml:space="preserve"> i zmi</w:t>
      </w:r>
      <w:r w:rsidRPr="00AC2DE7">
        <w:rPr>
          <w:rFonts w:ascii="Times New Roman" w:hAnsi="Times New Roman"/>
          <w:noProof/>
          <w:sz w:val="24"/>
        </w:rPr>
        <w:t>anę organizacji infrastruktury</w:t>
      </w:r>
      <w:r w:rsidR="00AC2DE7" w:rsidRPr="00AC2DE7">
        <w:rPr>
          <w:rFonts w:ascii="Times New Roman" w:hAnsi="Times New Roman"/>
          <w:noProof/>
          <w:sz w:val="24"/>
        </w:rPr>
        <w:t xml:space="preserve"> w tyc</w:t>
      </w:r>
      <w:r w:rsidRPr="00AC2DE7">
        <w:rPr>
          <w:rFonts w:ascii="Times New Roman" w:hAnsi="Times New Roman"/>
          <w:noProof/>
          <w:sz w:val="24"/>
        </w:rPr>
        <w:t>h powszechnie znanych okresach szczytowych.</w:t>
      </w:r>
    </w:p>
    <w:p w14:paraId="57419F3E" w14:textId="196F2647" w:rsidR="00C54B71" w:rsidRPr="00AC2DE7" w:rsidRDefault="001B2BFA" w:rsidP="002B4286">
      <w:pPr>
        <w:spacing w:line="276" w:lineRule="auto"/>
        <w:jc w:val="both"/>
        <w:rPr>
          <w:rFonts w:ascii="Times New Roman" w:hAnsi="Times New Roman" w:cs="Times New Roman"/>
          <w:noProof/>
          <w:sz w:val="24"/>
          <w:szCs w:val="24"/>
        </w:rPr>
      </w:pPr>
      <w:r w:rsidRPr="00AC2DE7">
        <w:rPr>
          <w:rFonts w:ascii="Times New Roman" w:hAnsi="Times New Roman"/>
          <w:noProof/>
          <w:sz w:val="24"/>
        </w:rPr>
        <w:t>Podobnie</w:t>
      </w:r>
      <w:r w:rsidRPr="00AC2DE7">
        <w:rPr>
          <w:rFonts w:ascii="Times New Roman" w:hAnsi="Times New Roman"/>
          <w:b/>
          <w:noProof/>
          <w:sz w:val="24"/>
        </w:rPr>
        <w:t xml:space="preserve"> jednolite podejście do oceny „nieprzewidywalnych zdarzeń” i „nadmiernego” czasu oczekiwania</w:t>
      </w:r>
      <w:r w:rsidRPr="00AC2DE7">
        <w:rPr>
          <w:rFonts w:ascii="Times New Roman" w:hAnsi="Times New Roman"/>
          <w:noProof/>
          <w:sz w:val="24"/>
        </w:rPr>
        <w:t xml:space="preserve"> zapewniłoby spójność</w:t>
      </w:r>
      <w:r w:rsidR="00AC2DE7" w:rsidRPr="00AC2DE7">
        <w:rPr>
          <w:rFonts w:ascii="Times New Roman" w:hAnsi="Times New Roman"/>
          <w:noProof/>
          <w:sz w:val="24"/>
        </w:rPr>
        <w:t xml:space="preserve"> w kry</w:t>
      </w:r>
      <w:r w:rsidRPr="00AC2DE7">
        <w:rPr>
          <w:rFonts w:ascii="Times New Roman" w:hAnsi="Times New Roman"/>
          <w:noProof/>
          <w:sz w:val="24"/>
        </w:rPr>
        <w:t>tycznej kwestii, która może mieć wpływ na bezpieczeństwo wszystkich państw strefy Schengen</w:t>
      </w:r>
      <w:r w:rsidR="00AC2DE7" w:rsidRPr="00AC2DE7">
        <w:rPr>
          <w:rFonts w:ascii="Times New Roman" w:hAnsi="Times New Roman"/>
          <w:noProof/>
          <w:sz w:val="24"/>
        </w:rPr>
        <w:t>. W spr</w:t>
      </w:r>
      <w:r w:rsidRPr="00AC2DE7">
        <w:rPr>
          <w:rFonts w:ascii="Times New Roman" w:hAnsi="Times New Roman"/>
          <w:noProof/>
          <w:sz w:val="24"/>
        </w:rPr>
        <w:t>awozdaniu</w:t>
      </w:r>
      <w:r w:rsidR="00AC2DE7" w:rsidRPr="00AC2DE7">
        <w:rPr>
          <w:rFonts w:ascii="Times New Roman" w:hAnsi="Times New Roman"/>
          <w:noProof/>
          <w:sz w:val="24"/>
        </w:rPr>
        <w:t xml:space="preserve"> z fun</w:t>
      </w:r>
      <w:r w:rsidRPr="00AC2DE7">
        <w:rPr>
          <w:rFonts w:ascii="Times New Roman" w:hAnsi="Times New Roman"/>
          <w:noProof/>
          <w:sz w:val="24"/>
        </w:rPr>
        <w:t>kcjonowania mechanizmu oceny</w:t>
      </w:r>
      <w:r w:rsidR="00AC2DE7" w:rsidRPr="00AC2DE7">
        <w:rPr>
          <w:rFonts w:ascii="Times New Roman" w:hAnsi="Times New Roman"/>
          <w:noProof/>
          <w:sz w:val="24"/>
        </w:rPr>
        <w:t xml:space="preserve"> i mon</w:t>
      </w:r>
      <w:r w:rsidRPr="00AC2DE7">
        <w:rPr>
          <w:rFonts w:ascii="Times New Roman" w:hAnsi="Times New Roman"/>
          <w:noProof/>
          <w:sz w:val="24"/>
        </w:rPr>
        <w:t>itorowania Schengen</w:t>
      </w:r>
      <w:r w:rsidR="00EB6D81" w:rsidRPr="00AC2DE7">
        <w:rPr>
          <w:rStyle w:val="FootnoteReference"/>
          <w:rFonts w:ascii="Times New Roman" w:hAnsi="Times New Roman" w:cs="Times New Roman"/>
          <w:noProof/>
          <w:sz w:val="24"/>
          <w:szCs w:val="24"/>
        </w:rPr>
        <w:footnoteReference w:id="35"/>
      </w:r>
      <w:r w:rsidRPr="00AC2DE7">
        <w:rPr>
          <w:rFonts w:ascii="Times New Roman" w:hAnsi="Times New Roman"/>
          <w:noProof/>
          <w:sz w:val="24"/>
        </w:rPr>
        <w:t xml:space="preserve"> ogólnie potwierdzono istnienie wyżej wymienionych wyzwań, ale przyznano również, że</w:t>
      </w:r>
      <w:r w:rsidR="00AC2DE7" w:rsidRPr="00AC2DE7">
        <w:rPr>
          <w:rFonts w:ascii="Times New Roman" w:hAnsi="Times New Roman"/>
          <w:noProof/>
          <w:sz w:val="24"/>
        </w:rPr>
        <w:t xml:space="preserve"> w wię</w:t>
      </w:r>
      <w:r w:rsidRPr="00AC2DE7">
        <w:rPr>
          <w:rFonts w:ascii="Times New Roman" w:hAnsi="Times New Roman"/>
          <w:noProof/>
          <w:sz w:val="24"/>
        </w:rPr>
        <w:t>kszości przypadków organy krajowe już się nimi zajęły lub zajęły się nimi podczas ponownych ocen przeprowadzanych</w:t>
      </w:r>
      <w:r w:rsidR="00AC2DE7" w:rsidRPr="00AC2DE7">
        <w:rPr>
          <w:rFonts w:ascii="Times New Roman" w:hAnsi="Times New Roman"/>
          <w:noProof/>
          <w:sz w:val="24"/>
        </w:rPr>
        <w:t xml:space="preserve"> w ram</w:t>
      </w:r>
      <w:r w:rsidRPr="00AC2DE7">
        <w:rPr>
          <w:rFonts w:ascii="Times New Roman" w:hAnsi="Times New Roman"/>
          <w:noProof/>
          <w:sz w:val="24"/>
        </w:rPr>
        <w:t xml:space="preserve">ach mechanizmu oceny Schengen. </w:t>
      </w:r>
    </w:p>
    <w:p w14:paraId="53051DAF" w14:textId="1FB357C0" w:rsidR="001B2BFA" w:rsidRPr="00AC2DE7" w:rsidRDefault="00205C88" w:rsidP="00C94279">
      <w:pPr>
        <w:spacing w:line="276" w:lineRule="auto"/>
        <w:jc w:val="both"/>
        <w:rPr>
          <w:rFonts w:ascii="Times New Roman" w:hAnsi="Times New Roman" w:cs="Times New Roman"/>
          <w:noProof/>
          <w:sz w:val="24"/>
          <w:szCs w:val="24"/>
        </w:rPr>
      </w:pPr>
      <w:r w:rsidRPr="00AC2DE7">
        <w:rPr>
          <w:rFonts w:ascii="Times New Roman" w:hAnsi="Times New Roman"/>
          <w:noProof/>
          <w:sz w:val="24"/>
        </w:rPr>
        <w:t>Z powyższych względów Komisja, opracowując</w:t>
      </w:r>
      <w:r w:rsidR="00AC2DE7" w:rsidRPr="00AC2DE7">
        <w:rPr>
          <w:rFonts w:ascii="Times New Roman" w:hAnsi="Times New Roman"/>
          <w:noProof/>
          <w:sz w:val="24"/>
        </w:rPr>
        <w:t xml:space="preserve"> w cze</w:t>
      </w:r>
      <w:r w:rsidRPr="00AC2DE7">
        <w:rPr>
          <w:rFonts w:ascii="Times New Roman" w:hAnsi="Times New Roman"/>
          <w:noProof/>
          <w:sz w:val="24"/>
        </w:rPr>
        <w:t>rwcu 2021</w:t>
      </w:r>
      <w:r w:rsidR="00836F72" w:rsidRPr="00AC2DE7">
        <w:rPr>
          <w:rFonts w:ascii="Times New Roman" w:hAnsi="Times New Roman"/>
          <w:noProof/>
          <w:sz w:val="24"/>
        </w:rPr>
        <w:t> </w:t>
      </w:r>
      <w:r w:rsidRPr="00AC2DE7">
        <w:rPr>
          <w:rFonts w:ascii="Times New Roman" w:hAnsi="Times New Roman"/>
          <w:noProof/>
          <w:sz w:val="24"/>
        </w:rPr>
        <w:t>r. strategię dotyczącą przyszłości strefy Schengen</w:t>
      </w:r>
      <w:r w:rsidRPr="00AC2DE7">
        <w:rPr>
          <w:rStyle w:val="FootnoteReference"/>
          <w:rFonts w:ascii="Times New Roman" w:hAnsi="Times New Roman" w:cs="Times New Roman"/>
          <w:noProof/>
          <w:sz w:val="24"/>
          <w:szCs w:val="24"/>
        </w:rPr>
        <w:footnoteReference w:id="36"/>
      </w:r>
      <w:r w:rsidR="00AC2DE7" w:rsidRPr="00AC2DE7">
        <w:rPr>
          <w:rFonts w:ascii="Times New Roman" w:hAnsi="Times New Roman"/>
          <w:noProof/>
          <w:sz w:val="24"/>
        </w:rPr>
        <w:t xml:space="preserve"> i skł</w:t>
      </w:r>
      <w:r w:rsidRPr="00AC2DE7">
        <w:rPr>
          <w:rFonts w:ascii="Times New Roman" w:hAnsi="Times New Roman"/>
          <w:noProof/>
          <w:sz w:val="24"/>
        </w:rPr>
        <w:t>adając</w:t>
      </w:r>
      <w:r w:rsidR="00AC2DE7" w:rsidRPr="00AC2DE7">
        <w:rPr>
          <w:rFonts w:ascii="Times New Roman" w:hAnsi="Times New Roman"/>
          <w:noProof/>
          <w:sz w:val="24"/>
        </w:rPr>
        <w:t xml:space="preserve"> w gru</w:t>
      </w:r>
      <w:r w:rsidRPr="00AC2DE7">
        <w:rPr>
          <w:rFonts w:ascii="Times New Roman" w:hAnsi="Times New Roman"/>
          <w:noProof/>
          <w:sz w:val="24"/>
        </w:rPr>
        <w:t>dniu 2021</w:t>
      </w:r>
      <w:r w:rsidR="00836F72" w:rsidRPr="00AC2DE7">
        <w:rPr>
          <w:rFonts w:ascii="Times New Roman" w:hAnsi="Times New Roman"/>
          <w:noProof/>
          <w:sz w:val="24"/>
        </w:rPr>
        <w:t> </w:t>
      </w:r>
      <w:r w:rsidRPr="00AC2DE7">
        <w:rPr>
          <w:rFonts w:ascii="Times New Roman" w:hAnsi="Times New Roman"/>
          <w:noProof/>
          <w:sz w:val="24"/>
        </w:rPr>
        <w:t>r. wniosek dotyczący zmiany kodeksu granicznego Schengen</w:t>
      </w:r>
      <w:r w:rsidR="00963717" w:rsidRPr="00AC2DE7">
        <w:rPr>
          <w:rStyle w:val="FootnoteReference"/>
          <w:rFonts w:ascii="Times New Roman" w:hAnsi="Times New Roman" w:cs="Times New Roman"/>
          <w:noProof/>
          <w:sz w:val="24"/>
          <w:szCs w:val="24"/>
        </w:rPr>
        <w:footnoteReference w:id="37"/>
      </w:r>
      <w:r w:rsidRPr="00AC2DE7">
        <w:rPr>
          <w:rFonts w:ascii="Times New Roman" w:hAnsi="Times New Roman"/>
          <w:noProof/>
          <w:sz w:val="24"/>
        </w:rPr>
        <w:t>, stwierdziła, że nie ma potrzeby wprowadzania zmian legislacyjnych do obowiązującego art.</w:t>
      </w:r>
      <w:r w:rsidR="00836F72" w:rsidRPr="00AC2DE7">
        <w:rPr>
          <w:rFonts w:ascii="Times New Roman" w:hAnsi="Times New Roman"/>
          <w:noProof/>
          <w:sz w:val="24"/>
        </w:rPr>
        <w:t> </w:t>
      </w:r>
      <w:r w:rsidRPr="00AC2DE7">
        <w:rPr>
          <w:rFonts w:ascii="Times New Roman" w:hAnsi="Times New Roman"/>
          <w:noProof/>
          <w:sz w:val="24"/>
        </w:rPr>
        <w:t>8</w:t>
      </w:r>
      <w:r w:rsidR="00AC2DE7" w:rsidRPr="00AC2DE7">
        <w:rPr>
          <w:rFonts w:ascii="Times New Roman" w:hAnsi="Times New Roman"/>
          <w:noProof/>
          <w:sz w:val="24"/>
        </w:rPr>
        <w:t xml:space="preserve"> w cel</w:t>
      </w:r>
      <w:r w:rsidRPr="00AC2DE7">
        <w:rPr>
          <w:rFonts w:ascii="Times New Roman" w:hAnsi="Times New Roman"/>
          <w:noProof/>
          <w:sz w:val="24"/>
        </w:rPr>
        <w:t>u usunięcia stwierdzonych niedociągnięć. Komisja zamierza raczej zająć się tymi kwestiami za pomocą środków „miękkiego prawa”,</w:t>
      </w:r>
      <w:r w:rsidR="00AC2DE7" w:rsidRPr="00AC2DE7">
        <w:rPr>
          <w:rFonts w:ascii="Times New Roman" w:hAnsi="Times New Roman"/>
          <w:noProof/>
          <w:sz w:val="24"/>
        </w:rPr>
        <w:t xml:space="preserve"> w szc</w:t>
      </w:r>
      <w:r w:rsidRPr="00AC2DE7">
        <w:rPr>
          <w:rFonts w:ascii="Times New Roman" w:hAnsi="Times New Roman"/>
          <w:noProof/>
          <w:sz w:val="24"/>
        </w:rPr>
        <w:t xml:space="preserve">zególności poprzez planowany przegląd </w:t>
      </w:r>
      <w:r w:rsidRPr="00AC2DE7">
        <w:rPr>
          <w:rFonts w:ascii="Times New Roman" w:hAnsi="Times New Roman"/>
          <w:i/>
          <w:noProof/>
          <w:sz w:val="24"/>
        </w:rPr>
        <w:t>Praktycznego podręcznika dla straży granicznej</w:t>
      </w:r>
      <w:r w:rsidR="00C54B71" w:rsidRPr="00AC2DE7">
        <w:rPr>
          <w:rStyle w:val="FootnoteReference"/>
          <w:rFonts w:ascii="Times New Roman" w:hAnsi="Times New Roman" w:cs="Times New Roman"/>
          <w:noProof/>
          <w:sz w:val="24"/>
          <w:szCs w:val="24"/>
        </w:rPr>
        <w:footnoteReference w:id="38"/>
      </w:r>
      <w:r w:rsidRPr="00AC2DE7">
        <w:rPr>
          <w:rFonts w:ascii="Times New Roman" w:hAnsi="Times New Roman"/>
          <w:noProof/>
          <w:sz w:val="24"/>
        </w:rPr>
        <w:t xml:space="preserve">przeznaczonego dla właściwych organów państw członkowskich na potrzeby kontroli granicznej osób. </w:t>
      </w:r>
    </w:p>
    <w:p w14:paraId="0C5344A9" w14:textId="6862F60E" w:rsidR="0025712A" w:rsidRPr="00AC2DE7" w:rsidRDefault="00E62285" w:rsidP="0025712A">
      <w:pPr>
        <w:spacing w:line="276" w:lineRule="auto"/>
        <w:jc w:val="both"/>
        <w:rPr>
          <w:rFonts w:ascii="Times New Roman" w:hAnsi="Times New Roman" w:cs="Times New Roman"/>
          <w:noProof/>
          <w:sz w:val="24"/>
          <w:szCs w:val="24"/>
        </w:rPr>
      </w:pPr>
      <w:r w:rsidRPr="00AC2DE7">
        <w:rPr>
          <w:rFonts w:ascii="Times New Roman" w:hAnsi="Times New Roman"/>
          <w:noProof/>
          <w:sz w:val="24"/>
        </w:rPr>
        <w:t>W przyszłości Komisja będzie nadal monitorować stosowanie art.</w:t>
      </w:r>
      <w:r w:rsidR="00836F72" w:rsidRPr="00AC2DE7">
        <w:rPr>
          <w:rFonts w:ascii="Times New Roman" w:hAnsi="Times New Roman"/>
          <w:noProof/>
          <w:sz w:val="24"/>
        </w:rPr>
        <w:t> </w:t>
      </w:r>
      <w:r w:rsidRPr="00AC2DE7">
        <w:rPr>
          <w:rFonts w:ascii="Times New Roman" w:hAnsi="Times New Roman"/>
          <w:noProof/>
          <w:sz w:val="24"/>
        </w:rPr>
        <w:t>8 jako część mechanizmu oceny</w:t>
      </w:r>
      <w:r w:rsidR="00AC2DE7" w:rsidRPr="00AC2DE7">
        <w:rPr>
          <w:rFonts w:ascii="Times New Roman" w:hAnsi="Times New Roman"/>
          <w:noProof/>
          <w:sz w:val="24"/>
        </w:rPr>
        <w:t xml:space="preserve"> i mon</w:t>
      </w:r>
      <w:r w:rsidRPr="00AC2DE7">
        <w:rPr>
          <w:rFonts w:ascii="Times New Roman" w:hAnsi="Times New Roman"/>
          <w:noProof/>
          <w:sz w:val="24"/>
        </w:rPr>
        <w:t xml:space="preserve">itorowania Schengen. </w:t>
      </w:r>
    </w:p>
    <w:p w14:paraId="6D17D120" w14:textId="60618CC2" w:rsidR="00F42301" w:rsidRPr="00AC2DE7" w:rsidRDefault="00F42301" w:rsidP="00C94279">
      <w:pPr>
        <w:spacing w:line="276" w:lineRule="auto"/>
        <w:jc w:val="both"/>
        <w:rPr>
          <w:rFonts w:ascii="Times New Roman" w:hAnsi="Times New Roman" w:cs="Times New Roman"/>
          <w:noProof/>
          <w:sz w:val="24"/>
          <w:szCs w:val="24"/>
        </w:rPr>
      </w:pPr>
    </w:p>
    <w:sectPr w:rsidR="00F42301" w:rsidRPr="00AC2DE7" w:rsidSect="00E75DE8">
      <w:headerReference w:type="even" r:id="rId20"/>
      <w:headerReference w:type="default" r:id="rId21"/>
      <w:footerReference w:type="even" r:id="rId22"/>
      <w:footerReference w:type="default" r:id="rId23"/>
      <w:headerReference w:type="first" r:id="rId24"/>
      <w:footerReference w:type="first" r:id="rId25"/>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2568D" w14:textId="77777777" w:rsidR="00FA724D" w:rsidRPr="00AC2DE7" w:rsidRDefault="00FA724D" w:rsidP="00A01964">
      <w:pPr>
        <w:spacing w:after="0" w:line="240" w:lineRule="auto"/>
      </w:pPr>
      <w:r w:rsidRPr="00AC2DE7">
        <w:separator/>
      </w:r>
    </w:p>
  </w:endnote>
  <w:endnote w:type="continuationSeparator" w:id="0">
    <w:p w14:paraId="24443C52" w14:textId="77777777" w:rsidR="00FA724D" w:rsidRPr="00AC2DE7" w:rsidRDefault="00FA724D" w:rsidP="00A01964">
      <w:pPr>
        <w:spacing w:after="0" w:line="240" w:lineRule="auto"/>
      </w:pPr>
      <w:r w:rsidRPr="00AC2DE7">
        <w:continuationSeparator/>
      </w:r>
    </w:p>
  </w:endnote>
  <w:endnote w:type="continuationNotice" w:id="1">
    <w:p w14:paraId="49D10242" w14:textId="77777777" w:rsidR="00FA724D" w:rsidRPr="00AC2DE7" w:rsidRDefault="00FA72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F2401" w14:textId="77777777" w:rsidR="00AE2C37" w:rsidRPr="00AE2C37" w:rsidRDefault="00AE2C37" w:rsidP="00AE2C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AF14" w14:textId="2F15227C" w:rsidR="00DB3EB8" w:rsidRPr="00AE2C37" w:rsidRDefault="00AE2C37" w:rsidP="00AE2C37">
    <w:pPr>
      <w:pStyle w:val="FooterCoverPage"/>
      <w:rPr>
        <w:rFonts w:ascii="Arial" w:hAnsi="Arial" w:cs="Arial"/>
        <w:b/>
        <w:sz w:val="48"/>
      </w:rPr>
    </w:pPr>
    <w:r w:rsidRPr="00AE2C37">
      <w:rPr>
        <w:rFonts w:ascii="Arial" w:hAnsi="Arial" w:cs="Arial"/>
        <w:b/>
        <w:sz w:val="48"/>
      </w:rPr>
      <w:t>PL</w:t>
    </w:r>
    <w:r w:rsidRPr="00AE2C37">
      <w:rPr>
        <w:rFonts w:ascii="Arial" w:hAnsi="Arial" w:cs="Arial"/>
        <w:b/>
        <w:sz w:val="48"/>
      </w:rPr>
      <w:tab/>
    </w:r>
    <w:r w:rsidRPr="00AE2C37">
      <w:rPr>
        <w:rFonts w:ascii="Arial" w:hAnsi="Arial" w:cs="Arial"/>
        <w:b/>
        <w:sz w:val="48"/>
      </w:rPr>
      <w:tab/>
    </w:r>
    <w:r w:rsidRPr="00AE2C37">
      <w:tab/>
    </w:r>
    <w:r w:rsidRPr="00AE2C37">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A1DE" w14:textId="77777777" w:rsidR="00AE2C37" w:rsidRPr="00AE2C37" w:rsidRDefault="00AE2C37" w:rsidP="00AE2C37">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6A51C" w14:textId="77777777" w:rsidR="008140CF" w:rsidRDefault="008140C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8679"/>
      <w:docPartObj>
        <w:docPartGallery w:val="Page Numbers (Bottom of Page)"/>
        <w:docPartUnique/>
      </w:docPartObj>
    </w:sdtPr>
    <w:sdtEndPr>
      <w:rPr>
        <w:noProof/>
      </w:rPr>
    </w:sdtEndPr>
    <w:sdtContent>
      <w:p w14:paraId="400E82D8" w14:textId="47013814" w:rsidR="008140CF" w:rsidRDefault="008140CF">
        <w:pPr>
          <w:pStyle w:val="Footer"/>
          <w:jc w:val="center"/>
        </w:pPr>
        <w:r>
          <w:fldChar w:fldCharType="begin"/>
        </w:r>
        <w:r>
          <w:instrText xml:space="preserve"> PAGE   \* MERGEFORMAT </w:instrText>
        </w:r>
        <w:r>
          <w:fldChar w:fldCharType="separate"/>
        </w:r>
        <w:r w:rsidR="00AE2C37">
          <w:rPr>
            <w:noProof/>
          </w:rPr>
          <w:t>1</w:t>
        </w:r>
        <w:r>
          <w:fldChar w:fldCharType="end"/>
        </w:r>
      </w:p>
    </w:sdtContent>
  </w:sdt>
  <w:p w14:paraId="419BFD06" w14:textId="77777777" w:rsidR="008140CF" w:rsidRDefault="008140C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38DD2" w14:textId="77777777" w:rsidR="008140CF" w:rsidRDefault="008140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885A5" w14:textId="77777777" w:rsidR="00FA724D" w:rsidRPr="00AC2DE7" w:rsidRDefault="00FA724D" w:rsidP="00A01964">
      <w:pPr>
        <w:spacing w:after="0" w:line="240" w:lineRule="auto"/>
      </w:pPr>
      <w:r w:rsidRPr="00AC2DE7">
        <w:separator/>
      </w:r>
    </w:p>
  </w:footnote>
  <w:footnote w:type="continuationSeparator" w:id="0">
    <w:p w14:paraId="4EE85C00" w14:textId="77777777" w:rsidR="00FA724D" w:rsidRPr="00AC2DE7" w:rsidRDefault="00FA724D" w:rsidP="00A01964">
      <w:pPr>
        <w:spacing w:after="0" w:line="240" w:lineRule="auto"/>
      </w:pPr>
      <w:r w:rsidRPr="00AC2DE7">
        <w:continuationSeparator/>
      </w:r>
    </w:p>
  </w:footnote>
  <w:footnote w:type="continuationNotice" w:id="1">
    <w:p w14:paraId="7BBA9727" w14:textId="77777777" w:rsidR="00FA724D" w:rsidRPr="00AC2DE7" w:rsidRDefault="00FA724D">
      <w:pPr>
        <w:spacing w:after="0" w:line="240" w:lineRule="auto"/>
      </w:pPr>
    </w:p>
  </w:footnote>
  <w:footnote w:id="2">
    <w:p w14:paraId="25752CA8" w14:textId="48DC7720"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Rozporządzenie Parlamentu Europejskiego</w:t>
      </w:r>
      <w:r w:rsidR="00AC2DE7" w:rsidRPr="00AC2DE7">
        <w:rPr>
          <w:rFonts w:ascii="Times New Roman" w:hAnsi="Times New Roman"/>
        </w:rPr>
        <w:t xml:space="preserve"> i Rad</w:t>
      </w:r>
      <w:r w:rsidRPr="00AC2DE7">
        <w:rPr>
          <w:rFonts w:ascii="Times New Roman" w:hAnsi="Times New Roman"/>
        </w:rPr>
        <w:t>y (UE) 2017/458</w:t>
      </w:r>
      <w:r w:rsidR="00AC2DE7" w:rsidRPr="00AC2DE7">
        <w:rPr>
          <w:rFonts w:ascii="Times New Roman" w:hAnsi="Times New Roman"/>
        </w:rPr>
        <w:t xml:space="preserve"> z dni</w:t>
      </w:r>
      <w:r w:rsidRPr="00AC2DE7">
        <w:rPr>
          <w:rFonts w:ascii="Times New Roman" w:hAnsi="Times New Roman"/>
        </w:rPr>
        <w:t>a 15 marca 2017</w:t>
      </w:r>
      <w:r w:rsidR="00836F72" w:rsidRPr="00AC2DE7">
        <w:rPr>
          <w:rFonts w:ascii="Times New Roman" w:hAnsi="Times New Roman"/>
        </w:rPr>
        <w:t> </w:t>
      </w:r>
      <w:r w:rsidRPr="00AC2DE7">
        <w:rPr>
          <w:rFonts w:ascii="Times New Roman" w:hAnsi="Times New Roman"/>
        </w:rPr>
        <w:t>r. zmieniające rozporządzenie (UE) 2016/399</w:t>
      </w:r>
      <w:r w:rsidR="00AC2DE7" w:rsidRPr="00AC2DE7">
        <w:rPr>
          <w:rFonts w:ascii="Times New Roman" w:hAnsi="Times New Roman"/>
        </w:rPr>
        <w:t xml:space="preserve"> w odn</w:t>
      </w:r>
      <w:r w:rsidRPr="00AC2DE7">
        <w:rPr>
          <w:rFonts w:ascii="Times New Roman" w:hAnsi="Times New Roman"/>
        </w:rPr>
        <w:t>iesieniu do zintensyfikowania odpraw na granicach zewnętrznych</w:t>
      </w:r>
      <w:r w:rsidR="00AC2DE7" w:rsidRPr="00AC2DE7">
        <w:rPr>
          <w:rFonts w:ascii="Times New Roman" w:hAnsi="Times New Roman"/>
        </w:rPr>
        <w:t xml:space="preserve"> z wyk</w:t>
      </w:r>
      <w:r w:rsidRPr="00AC2DE7">
        <w:rPr>
          <w:rFonts w:ascii="Times New Roman" w:hAnsi="Times New Roman"/>
        </w:rPr>
        <w:t>orzystaniem odpowiednich baz danych (Dz.U. L 74</w:t>
      </w:r>
      <w:r w:rsidR="00AC2DE7" w:rsidRPr="00AC2DE7">
        <w:rPr>
          <w:rFonts w:ascii="Times New Roman" w:hAnsi="Times New Roman"/>
        </w:rPr>
        <w:t xml:space="preserve"> z 1</w:t>
      </w:r>
      <w:r w:rsidRPr="00AC2DE7">
        <w:rPr>
          <w:rFonts w:ascii="Times New Roman" w:hAnsi="Times New Roman"/>
        </w:rPr>
        <w:t>8.3.2017, s. 1).</w:t>
      </w:r>
    </w:p>
  </w:footnote>
  <w:footnote w:id="3">
    <w:p w14:paraId="4469A25C" w14:textId="6E015535"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Rozporządzenie Parlamentu Europejskiego</w:t>
      </w:r>
      <w:r w:rsidR="00AC2DE7" w:rsidRPr="00AC2DE7">
        <w:rPr>
          <w:rFonts w:ascii="Times New Roman" w:hAnsi="Times New Roman"/>
        </w:rPr>
        <w:t xml:space="preserve"> i Rad</w:t>
      </w:r>
      <w:r w:rsidRPr="00AC2DE7">
        <w:rPr>
          <w:rFonts w:ascii="Times New Roman" w:hAnsi="Times New Roman"/>
        </w:rPr>
        <w:t>y (UE) 2016/399</w:t>
      </w:r>
      <w:r w:rsidR="00AC2DE7" w:rsidRPr="00AC2DE7">
        <w:rPr>
          <w:rFonts w:ascii="Times New Roman" w:hAnsi="Times New Roman"/>
        </w:rPr>
        <w:t xml:space="preserve"> z dni</w:t>
      </w:r>
      <w:r w:rsidRPr="00AC2DE7">
        <w:rPr>
          <w:rFonts w:ascii="Times New Roman" w:hAnsi="Times New Roman"/>
        </w:rPr>
        <w:t>a 9 marca 2016</w:t>
      </w:r>
      <w:r w:rsidR="00836F72" w:rsidRPr="00AC2DE7">
        <w:rPr>
          <w:rFonts w:ascii="Times New Roman" w:hAnsi="Times New Roman"/>
        </w:rPr>
        <w:t> </w:t>
      </w:r>
      <w:r w:rsidRPr="00AC2DE7">
        <w:rPr>
          <w:rFonts w:ascii="Times New Roman" w:hAnsi="Times New Roman"/>
        </w:rPr>
        <w:t>r.</w:t>
      </w:r>
      <w:r w:rsidR="00AC2DE7" w:rsidRPr="00AC2DE7">
        <w:rPr>
          <w:rFonts w:ascii="Times New Roman" w:hAnsi="Times New Roman"/>
        </w:rPr>
        <w:t xml:space="preserve"> w spr</w:t>
      </w:r>
      <w:r w:rsidRPr="00AC2DE7">
        <w:rPr>
          <w:rFonts w:ascii="Times New Roman" w:hAnsi="Times New Roman"/>
        </w:rPr>
        <w:t>awie unijnego kodeksu zasad regulujących przepływ osób przez granice (kodeks graniczny Schengen) (Dz.U. L 77</w:t>
      </w:r>
      <w:r w:rsidR="00AC2DE7" w:rsidRPr="00AC2DE7">
        <w:rPr>
          <w:rFonts w:ascii="Times New Roman" w:hAnsi="Times New Roman"/>
        </w:rPr>
        <w:t xml:space="preserve"> z 2</w:t>
      </w:r>
      <w:r w:rsidRPr="00AC2DE7">
        <w:rPr>
          <w:rFonts w:ascii="Times New Roman" w:hAnsi="Times New Roman"/>
        </w:rPr>
        <w:t>3.3.2016, s. 1).</w:t>
      </w:r>
    </w:p>
  </w:footnote>
  <w:footnote w:id="4">
    <w:p w14:paraId="5B51F70C" w14:textId="11F3E4C4"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8 ust.</w:t>
      </w:r>
      <w:r w:rsidR="00836F72" w:rsidRPr="00AC2DE7">
        <w:rPr>
          <w:rFonts w:ascii="Times New Roman" w:hAnsi="Times New Roman"/>
        </w:rPr>
        <w:t> </w:t>
      </w:r>
      <w:r w:rsidRPr="00AC2DE7">
        <w:rPr>
          <w:rFonts w:ascii="Times New Roman" w:hAnsi="Times New Roman"/>
        </w:rPr>
        <w:t>2a kodeksu granicznego Schengen.</w:t>
      </w:r>
    </w:p>
  </w:footnote>
  <w:footnote w:id="5">
    <w:p w14:paraId="727F629F" w14:textId="7B8037CB"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8 ust.</w:t>
      </w:r>
      <w:r w:rsidR="00836F72" w:rsidRPr="00AC2DE7">
        <w:rPr>
          <w:rFonts w:ascii="Times New Roman" w:hAnsi="Times New Roman"/>
        </w:rPr>
        <w:t> </w:t>
      </w:r>
      <w:r w:rsidRPr="00AC2DE7">
        <w:rPr>
          <w:rFonts w:ascii="Times New Roman" w:hAnsi="Times New Roman"/>
        </w:rPr>
        <w:t>2d kodeksu granicznego Schengen.</w:t>
      </w:r>
    </w:p>
  </w:footnote>
  <w:footnote w:id="6">
    <w:p w14:paraId="4E507A07" w14:textId="1586C55F"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8 ust.</w:t>
      </w:r>
      <w:r w:rsidR="00836F72" w:rsidRPr="00AC2DE7">
        <w:rPr>
          <w:rFonts w:ascii="Times New Roman" w:hAnsi="Times New Roman"/>
        </w:rPr>
        <w:t> </w:t>
      </w:r>
      <w:r w:rsidRPr="00AC2DE7">
        <w:rPr>
          <w:rFonts w:ascii="Times New Roman" w:hAnsi="Times New Roman"/>
        </w:rPr>
        <w:t>2c kodeksu granicznego Schengen.</w:t>
      </w:r>
    </w:p>
  </w:footnote>
  <w:footnote w:id="7">
    <w:p w14:paraId="00664F17" w14:textId="5674D309" w:rsidR="008140CF" w:rsidRPr="00AC2DE7" w:rsidRDefault="008140CF" w:rsidP="004617F6">
      <w:pPr>
        <w:pStyle w:val="FootnoteText"/>
        <w:ind w:left="284" w:hanging="284"/>
        <w:jc w:val="both"/>
        <w:rPr>
          <w:rFonts w:ascii="Times New Roman" w:hAnsi="Times New Roman" w:cs="Times New Roman"/>
        </w:rPr>
      </w:pPr>
      <w:r w:rsidRPr="00AC2DE7">
        <w:rPr>
          <w:rFonts w:ascii="Times New Roman" w:hAnsi="Times New Roman" w:cs="Times New Roman"/>
          <w:vertAlign w:val="superscript"/>
        </w:rPr>
        <w:footnoteRef/>
      </w:r>
      <w:r w:rsidRPr="00AC2DE7">
        <w:rPr>
          <w:rFonts w:ascii="Times New Roman" w:hAnsi="Times New Roman"/>
        </w:rPr>
        <w:t xml:space="preserve"> </w:t>
      </w:r>
      <w:r w:rsidRPr="00AC2DE7">
        <w:rPr>
          <w:rFonts w:ascii="Times New Roman" w:hAnsi="Times New Roman"/>
          <w:vertAlign w:val="superscript"/>
        </w:rPr>
        <w:tab/>
      </w:r>
      <w:r w:rsidRPr="00AC2DE7">
        <w:rPr>
          <w:rFonts w:ascii="Times New Roman" w:hAnsi="Times New Roman"/>
        </w:rPr>
        <w:t>Art. 8 ust.</w:t>
      </w:r>
      <w:r w:rsidR="00836F72" w:rsidRPr="00AC2DE7">
        <w:rPr>
          <w:rFonts w:ascii="Times New Roman" w:hAnsi="Times New Roman"/>
        </w:rPr>
        <w:t> </w:t>
      </w:r>
      <w:r w:rsidRPr="00AC2DE7">
        <w:rPr>
          <w:rFonts w:ascii="Times New Roman" w:hAnsi="Times New Roman"/>
        </w:rPr>
        <w:t>2d kodeksu granicznego Schengen.</w:t>
      </w:r>
    </w:p>
  </w:footnote>
  <w:footnote w:id="8">
    <w:p w14:paraId="3A3FB480" w14:textId="1CF6DAD7"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Ocena wdrożenia rozporządzenia (UE) 2017/458 zmieniającego rozporządzenie (UE) 2016/399</w:t>
      </w:r>
      <w:r w:rsidR="00AC2DE7" w:rsidRPr="00AC2DE7">
        <w:rPr>
          <w:rFonts w:ascii="Times New Roman" w:hAnsi="Times New Roman"/>
        </w:rPr>
        <w:t xml:space="preserve"> w odn</w:t>
      </w:r>
      <w:r w:rsidRPr="00AC2DE7">
        <w:rPr>
          <w:rFonts w:ascii="Times New Roman" w:hAnsi="Times New Roman"/>
        </w:rPr>
        <w:t>iesieniu do zintensyfikowania odpraw</w:t>
      </w:r>
      <w:r w:rsidR="00AC2DE7" w:rsidRPr="00AC2DE7">
        <w:rPr>
          <w:rFonts w:ascii="Times New Roman" w:hAnsi="Times New Roman"/>
        </w:rPr>
        <w:t xml:space="preserve"> z wyk</w:t>
      </w:r>
      <w:r w:rsidRPr="00AC2DE7">
        <w:rPr>
          <w:rFonts w:ascii="Times New Roman" w:hAnsi="Times New Roman"/>
        </w:rPr>
        <w:t>orzystaniem odpowiednich baz danych na granicach zewnętrznych, luty 2020</w:t>
      </w:r>
      <w:r w:rsidR="00836F72" w:rsidRPr="00AC2DE7">
        <w:rPr>
          <w:rFonts w:ascii="Times New Roman" w:hAnsi="Times New Roman"/>
        </w:rPr>
        <w:t> </w:t>
      </w:r>
      <w:r w:rsidRPr="00AC2DE7">
        <w:rPr>
          <w:rFonts w:ascii="Times New Roman" w:hAnsi="Times New Roman"/>
        </w:rPr>
        <w:t>r.</w:t>
      </w:r>
    </w:p>
  </w:footnote>
  <w:footnote w:id="9">
    <w:p w14:paraId="7BBED6A9" w14:textId="491CA769"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Sprawozdanie Komisji dla Rady</w:t>
      </w:r>
      <w:r w:rsidR="00AC2DE7" w:rsidRPr="00AC2DE7">
        <w:rPr>
          <w:rFonts w:ascii="Times New Roman" w:hAnsi="Times New Roman"/>
        </w:rPr>
        <w:t xml:space="preserve"> i Par</w:t>
      </w:r>
      <w:r w:rsidRPr="00AC2DE7">
        <w:rPr>
          <w:rFonts w:ascii="Times New Roman" w:hAnsi="Times New Roman"/>
        </w:rPr>
        <w:t>lamentu Europejskiego</w:t>
      </w:r>
      <w:r w:rsidR="00AC2DE7" w:rsidRPr="00AC2DE7">
        <w:rPr>
          <w:rFonts w:ascii="Times New Roman" w:hAnsi="Times New Roman"/>
        </w:rPr>
        <w:t xml:space="preserve"> w spr</w:t>
      </w:r>
      <w:r w:rsidRPr="00AC2DE7">
        <w:rPr>
          <w:rFonts w:ascii="Times New Roman" w:hAnsi="Times New Roman"/>
        </w:rPr>
        <w:t>awie funkcjonowania mechanizmu oceny</w:t>
      </w:r>
      <w:r w:rsidR="00AC2DE7" w:rsidRPr="00AC2DE7">
        <w:rPr>
          <w:rFonts w:ascii="Times New Roman" w:hAnsi="Times New Roman"/>
        </w:rPr>
        <w:t xml:space="preserve"> i mon</w:t>
      </w:r>
      <w:r w:rsidRPr="00AC2DE7">
        <w:rPr>
          <w:rFonts w:ascii="Times New Roman" w:hAnsi="Times New Roman"/>
        </w:rPr>
        <w:t>itorowania dorobku Schengen na podstawie art.</w:t>
      </w:r>
      <w:r w:rsidR="00836F72" w:rsidRPr="00AC2DE7">
        <w:rPr>
          <w:rFonts w:ascii="Times New Roman" w:hAnsi="Times New Roman"/>
        </w:rPr>
        <w:t> </w:t>
      </w:r>
      <w:r w:rsidRPr="00AC2DE7">
        <w:rPr>
          <w:rFonts w:ascii="Times New Roman" w:hAnsi="Times New Roman"/>
        </w:rPr>
        <w:t>22 rozporządzenia (UE) nr</w:t>
      </w:r>
      <w:r w:rsidR="00836F72" w:rsidRPr="00AC2DE7">
        <w:rPr>
          <w:rFonts w:ascii="Times New Roman" w:hAnsi="Times New Roman"/>
        </w:rPr>
        <w:t> </w:t>
      </w:r>
      <w:r w:rsidRPr="00AC2DE7">
        <w:rPr>
          <w:rFonts w:ascii="Times New Roman" w:hAnsi="Times New Roman"/>
        </w:rPr>
        <w:t>1053/2013, COM(2020) 779 final, 25.11.2020</w:t>
      </w:r>
      <w:r w:rsidR="00836F72" w:rsidRPr="00AC2DE7">
        <w:rPr>
          <w:rFonts w:ascii="Times New Roman" w:hAnsi="Times New Roman"/>
        </w:rPr>
        <w:t> </w:t>
      </w:r>
      <w:r w:rsidRPr="00AC2DE7">
        <w:rPr>
          <w:rFonts w:ascii="Times New Roman" w:hAnsi="Times New Roman"/>
        </w:rPr>
        <w:t>r.</w:t>
      </w:r>
    </w:p>
  </w:footnote>
  <w:footnote w:id="10">
    <w:p w14:paraId="756FB436" w14:textId="429DB046"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Rozporządzenie Parlamentu Europejskiego</w:t>
      </w:r>
      <w:r w:rsidR="00AC2DE7" w:rsidRPr="00AC2DE7">
        <w:rPr>
          <w:rFonts w:ascii="Times New Roman" w:hAnsi="Times New Roman"/>
        </w:rPr>
        <w:t xml:space="preserve"> i Rad</w:t>
      </w:r>
      <w:r w:rsidRPr="00AC2DE7">
        <w:rPr>
          <w:rFonts w:ascii="Times New Roman" w:hAnsi="Times New Roman"/>
        </w:rPr>
        <w:t>y (UE) 2021/953</w:t>
      </w:r>
      <w:r w:rsidR="00AC2DE7" w:rsidRPr="00AC2DE7">
        <w:rPr>
          <w:rFonts w:ascii="Times New Roman" w:hAnsi="Times New Roman"/>
        </w:rPr>
        <w:t xml:space="preserve"> z dni</w:t>
      </w:r>
      <w:r w:rsidRPr="00AC2DE7">
        <w:rPr>
          <w:rFonts w:ascii="Times New Roman" w:hAnsi="Times New Roman"/>
        </w:rPr>
        <w:t>a 14 czerwca 2021 r.</w:t>
      </w:r>
      <w:r w:rsidR="00AC2DE7" w:rsidRPr="00AC2DE7">
        <w:rPr>
          <w:rFonts w:ascii="Times New Roman" w:hAnsi="Times New Roman"/>
        </w:rPr>
        <w:t xml:space="preserve"> w spr</w:t>
      </w:r>
      <w:r w:rsidRPr="00AC2DE7">
        <w:rPr>
          <w:rFonts w:ascii="Times New Roman" w:hAnsi="Times New Roman"/>
        </w:rPr>
        <w:t>awie ram wydawania, weryfikowania</w:t>
      </w:r>
      <w:r w:rsidR="00AC2DE7" w:rsidRPr="00AC2DE7">
        <w:rPr>
          <w:rFonts w:ascii="Times New Roman" w:hAnsi="Times New Roman"/>
        </w:rPr>
        <w:t xml:space="preserve"> i uzn</w:t>
      </w:r>
      <w:r w:rsidRPr="00AC2DE7">
        <w:rPr>
          <w:rFonts w:ascii="Times New Roman" w:hAnsi="Times New Roman"/>
        </w:rPr>
        <w:t>awania interoperacyjnych zaświadczeń</w:t>
      </w:r>
      <w:r w:rsidR="00AC2DE7" w:rsidRPr="00AC2DE7">
        <w:rPr>
          <w:rFonts w:ascii="Times New Roman" w:hAnsi="Times New Roman"/>
        </w:rPr>
        <w:t xml:space="preserve"> o szc</w:t>
      </w:r>
      <w:r w:rsidRPr="00AC2DE7">
        <w:rPr>
          <w:rFonts w:ascii="Times New Roman" w:hAnsi="Times New Roman"/>
        </w:rPr>
        <w:t>zepieniu,</w:t>
      </w:r>
      <w:r w:rsidR="00AC2DE7" w:rsidRPr="00AC2DE7">
        <w:rPr>
          <w:rFonts w:ascii="Times New Roman" w:hAnsi="Times New Roman"/>
        </w:rPr>
        <w:t xml:space="preserve"> o wyn</w:t>
      </w:r>
      <w:r w:rsidRPr="00AC2DE7">
        <w:rPr>
          <w:rFonts w:ascii="Times New Roman" w:hAnsi="Times New Roman"/>
        </w:rPr>
        <w:t>iku testu</w:t>
      </w:r>
      <w:r w:rsidR="00AC2DE7" w:rsidRPr="00AC2DE7">
        <w:rPr>
          <w:rFonts w:ascii="Times New Roman" w:hAnsi="Times New Roman"/>
        </w:rPr>
        <w:t xml:space="preserve"> i o pow</w:t>
      </w:r>
      <w:r w:rsidRPr="00AC2DE7">
        <w:rPr>
          <w:rFonts w:ascii="Times New Roman" w:hAnsi="Times New Roman"/>
        </w:rPr>
        <w:t>rocie do zdrowia</w:t>
      </w:r>
      <w:r w:rsidR="00AC2DE7" w:rsidRPr="00AC2DE7">
        <w:rPr>
          <w:rFonts w:ascii="Times New Roman" w:hAnsi="Times New Roman"/>
        </w:rPr>
        <w:t xml:space="preserve"> w zwi</w:t>
      </w:r>
      <w:r w:rsidRPr="00AC2DE7">
        <w:rPr>
          <w:rFonts w:ascii="Times New Roman" w:hAnsi="Times New Roman"/>
        </w:rPr>
        <w:t>ązku z COVID-19 (unijne cyfrowe zaświadczenie COVID)</w:t>
      </w:r>
      <w:r w:rsidR="00AC2DE7" w:rsidRPr="00AC2DE7">
        <w:rPr>
          <w:rFonts w:ascii="Times New Roman" w:hAnsi="Times New Roman"/>
        </w:rPr>
        <w:t xml:space="preserve"> w cel</w:t>
      </w:r>
      <w:r w:rsidRPr="00AC2DE7">
        <w:rPr>
          <w:rFonts w:ascii="Times New Roman" w:hAnsi="Times New Roman"/>
        </w:rPr>
        <w:t>u ułatwienia swobodnego przemieszczania się</w:t>
      </w:r>
      <w:r w:rsidR="00AC2DE7" w:rsidRPr="00AC2DE7">
        <w:rPr>
          <w:rFonts w:ascii="Times New Roman" w:hAnsi="Times New Roman"/>
        </w:rPr>
        <w:t xml:space="preserve"> w cza</w:t>
      </w:r>
      <w:r w:rsidRPr="00AC2DE7">
        <w:rPr>
          <w:rFonts w:ascii="Times New Roman" w:hAnsi="Times New Roman"/>
        </w:rPr>
        <w:t>sie pandemii COVID-19 oraz rozporządzenie Parlamentu Europejskiego</w:t>
      </w:r>
      <w:r w:rsidR="00AC2DE7" w:rsidRPr="00AC2DE7">
        <w:rPr>
          <w:rFonts w:ascii="Times New Roman" w:hAnsi="Times New Roman"/>
        </w:rPr>
        <w:t xml:space="preserve"> i Rad</w:t>
      </w:r>
      <w:r w:rsidRPr="00AC2DE7">
        <w:rPr>
          <w:rFonts w:ascii="Times New Roman" w:hAnsi="Times New Roman"/>
        </w:rPr>
        <w:t>y (UE) 2021/954</w:t>
      </w:r>
      <w:r w:rsidR="00AC2DE7" w:rsidRPr="00AC2DE7">
        <w:rPr>
          <w:rFonts w:ascii="Times New Roman" w:hAnsi="Times New Roman"/>
        </w:rPr>
        <w:t xml:space="preserve"> z dni</w:t>
      </w:r>
      <w:r w:rsidRPr="00AC2DE7">
        <w:rPr>
          <w:rFonts w:ascii="Times New Roman" w:hAnsi="Times New Roman"/>
        </w:rPr>
        <w:t>a 14 czerwca 2021 r.</w:t>
      </w:r>
      <w:r w:rsidR="00AC2DE7" w:rsidRPr="00AC2DE7">
        <w:rPr>
          <w:rFonts w:ascii="Times New Roman" w:hAnsi="Times New Roman"/>
        </w:rPr>
        <w:t xml:space="preserve"> w spr</w:t>
      </w:r>
      <w:r w:rsidRPr="00AC2DE7">
        <w:rPr>
          <w:rFonts w:ascii="Times New Roman" w:hAnsi="Times New Roman"/>
        </w:rPr>
        <w:t>awie ram wydawania obywatelom państw trzecich legalnie przebywającym lub zamieszkującym na terytoriach państw członkowskich</w:t>
      </w:r>
      <w:r w:rsidR="00AC2DE7" w:rsidRPr="00AC2DE7">
        <w:rPr>
          <w:rFonts w:ascii="Times New Roman" w:hAnsi="Times New Roman"/>
        </w:rPr>
        <w:t xml:space="preserve"> w cza</w:t>
      </w:r>
      <w:r w:rsidRPr="00AC2DE7">
        <w:rPr>
          <w:rFonts w:ascii="Times New Roman" w:hAnsi="Times New Roman"/>
        </w:rPr>
        <w:t>sie pandemii COVID-19 interoperacyjnych zaświadczeń</w:t>
      </w:r>
      <w:r w:rsidR="00AC2DE7" w:rsidRPr="00AC2DE7">
        <w:rPr>
          <w:rFonts w:ascii="Times New Roman" w:hAnsi="Times New Roman"/>
        </w:rPr>
        <w:t xml:space="preserve"> o szc</w:t>
      </w:r>
      <w:r w:rsidRPr="00AC2DE7">
        <w:rPr>
          <w:rFonts w:ascii="Times New Roman" w:hAnsi="Times New Roman"/>
        </w:rPr>
        <w:t>zepieniu,</w:t>
      </w:r>
      <w:r w:rsidR="00AC2DE7" w:rsidRPr="00AC2DE7">
        <w:rPr>
          <w:rFonts w:ascii="Times New Roman" w:hAnsi="Times New Roman"/>
        </w:rPr>
        <w:t xml:space="preserve"> o wyn</w:t>
      </w:r>
      <w:r w:rsidRPr="00AC2DE7">
        <w:rPr>
          <w:rFonts w:ascii="Times New Roman" w:hAnsi="Times New Roman"/>
        </w:rPr>
        <w:t>iku testu</w:t>
      </w:r>
      <w:r w:rsidR="00AC2DE7" w:rsidRPr="00AC2DE7">
        <w:rPr>
          <w:rFonts w:ascii="Times New Roman" w:hAnsi="Times New Roman"/>
        </w:rPr>
        <w:t xml:space="preserve"> i o pow</w:t>
      </w:r>
      <w:r w:rsidRPr="00AC2DE7">
        <w:rPr>
          <w:rFonts w:ascii="Times New Roman" w:hAnsi="Times New Roman"/>
        </w:rPr>
        <w:t>rocie do zdrowia</w:t>
      </w:r>
      <w:r w:rsidR="00AC2DE7" w:rsidRPr="00AC2DE7">
        <w:rPr>
          <w:rFonts w:ascii="Times New Roman" w:hAnsi="Times New Roman"/>
        </w:rPr>
        <w:t xml:space="preserve"> w zwi</w:t>
      </w:r>
      <w:r w:rsidRPr="00AC2DE7">
        <w:rPr>
          <w:rFonts w:ascii="Times New Roman" w:hAnsi="Times New Roman"/>
        </w:rPr>
        <w:t>ązku z COVID-19 (unijne cyfrowe zaświadczenie COVID), oraz weryfikowania</w:t>
      </w:r>
      <w:r w:rsidR="00AC2DE7" w:rsidRPr="00AC2DE7">
        <w:rPr>
          <w:rFonts w:ascii="Times New Roman" w:hAnsi="Times New Roman"/>
        </w:rPr>
        <w:t xml:space="preserve"> i uzn</w:t>
      </w:r>
      <w:r w:rsidRPr="00AC2DE7">
        <w:rPr>
          <w:rFonts w:ascii="Times New Roman" w:hAnsi="Times New Roman"/>
        </w:rPr>
        <w:t>awania takich zaświadczeń.</w:t>
      </w:r>
    </w:p>
  </w:footnote>
  <w:footnote w:id="11">
    <w:p w14:paraId="663E2C66" w14:textId="5A579B8B" w:rsidR="00CA158C" w:rsidRPr="00AC2DE7" w:rsidRDefault="00CA158C" w:rsidP="004617F6">
      <w:pPr>
        <w:pStyle w:val="FootnoteText"/>
        <w:ind w:left="284" w:hanging="284"/>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Obserwowany okres obejmuje pierwsze dwa lata stosowania rozporządzenia, tj. od</w:t>
      </w:r>
      <w:r w:rsidR="00836F72" w:rsidRPr="00AC2DE7">
        <w:rPr>
          <w:rFonts w:ascii="Times New Roman" w:hAnsi="Times New Roman"/>
        </w:rPr>
        <w:t> </w:t>
      </w:r>
      <w:r w:rsidRPr="00AC2DE7">
        <w:rPr>
          <w:rFonts w:ascii="Times New Roman" w:hAnsi="Times New Roman"/>
        </w:rPr>
        <w:t>7 kwietnia 2017</w:t>
      </w:r>
      <w:r w:rsidR="00836F72" w:rsidRPr="00AC2DE7">
        <w:rPr>
          <w:rFonts w:ascii="Times New Roman" w:hAnsi="Times New Roman"/>
        </w:rPr>
        <w:t> </w:t>
      </w:r>
      <w:r w:rsidRPr="00AC2DE7">
        <w:rPr>
          <w:rFonts w:ascii="Times New Roman" w:hAnsi="Times New Roman"/>
        </w:rPr>
        <w:t>r. do</w:t>
      </w:r>
      <w:r w:rsidR="00836F72" w:rsidRPr="00AC2DE7">
        <w:rPr>
          <w:rFonts w:ascii="Times New Roman" w:hAnsi="Times New Roman"/>
        </w:rPr>
        <w:t> </w:t>
      </w:r>
      <w:r w:rsidRPr="00AC2DE7">
        <w:rPr>
          <w:rFonts w:ascii="Times New Roman" w:hAnsi="Times New Roman"/>
        </w:rPr>
        <w:t>7 kwietnia 2019</w:t>
      </w:r>
      <w:r w:rsidR="00836F72" w:rsidRPr="00AC2DE7">
        <w:rPr>
          <w:rFonts w:ascii="Times New Roman" w:hAnsi="Times New Roman"/>
        </w:rPr>
        <w:t> </w:t>
      </w:r>
      <w:r w:rsidRPr="00AC2DE7">
        <w:rPr>
          <w:rFonts w:ascii="Times New Roman" w:hAnsi="Times New Roman"/>
        </w:rPr>
        <w:t xml:space="preserve">r., kiedy to nadal dopuszczalne były odstępstwa od systematycznych odpraw na granicach powietrznych. </w:t>
      </w:r>
    </w:p>
  </w:footnote>
  <w:footnote w:id="12">
    <w:p w14:paraId="2182D3C6" w14:textId="22E55ACA" w:rsidR="008140CF" w:rsidRPr="00AC2DE7" w:rsidRDefault="008140CF" w:rsidP="004617F6">
      <w:pPr>
        <w:pStyle w:val="FootnoteText"/>
        <w:ind w:left="284" w:hanging="284"/>
        <w:rPr>
          <w:rFonts w:ascii="Times New Roman" w:hAnsi="Times New Roman" w:cs="Times New Roman"/>
          <w:b/>
          <w:bCs/>
        </w:rPr>
      </w:pPr>
      <w:r w:rsidRPr="00AC2DE7">
        <w:rPr>
          <w:rStyle w:val="FootnoteReference"/>
          <w:rFonts w:ascii="Times New Roman" w:hAnsi="Times New Roman" w:cs="Times New Roman"/>
          <w:bCs/>
        </w:rPr>
        <w:footnoteRef/>
      </w:r>
      <w:r w:rsidRPr="00AC2DE7">
        <w:rPr>
          <w:rFonts w:ascii="Times New Roman" w:hAnsi="Times New Roman"/>
        </w:rPr>
        <w:t xml:space="preserve"> </w:t>
      </w:r>
      <w:r w:rsidRPr="00AC2DE7">
        <w:rPr>
          <w:rFonts w:ascii="Times New Roman" w:hAnsi="Times New Roman"/>
        </w:rPr>
        <w:tab/>
        <w:t>W tym te przewidziane</w:t>
      </w:r>
      <w:r w:rsidR="00AC2DE7" w:rsidRPr="00AC2DE7">
        <w:rPr>
          <w:rFonts w:ascii="Times New Roman" w:hAnsi="Times New Roman"/>
        </w:rPr>
        <w:t xml:space="preserve"> w art</w:t>
      </w:r>
      <w:r w:rsidRPr="00AC2DE7">
        <w:rPr>
          <w:rFonts w:ascii="Times New Roman" w:hAnsi="Times New Roman"/>
        </w:rPr>
        <w:t>.</w:t>
      </w:r>
      <w:r w:rsidR="00836F72" w:rsidRPr="00AC2DE7">
        <w:rPr>
          <w:rFonts w:ascii="Times New Roman" w:hAnsi="Times New Roman"/>
        </w:rPr>
        <w:t> </w:t>
      </w:r>
      <w:r w:rsidRPr="00AC2DE7">
        <w:rPr>
          <w:rFonts w:ascii="Times New Roman" w:hAnsi="Times New Roman"/>
        </w:rPr>
        <w:t>10 ust.</w:t>
      </w:r>
      <w:r w:rsidR="00836F72" w:rsidRPr="00AC2DE7">
        <w:rPr>
          <w:rFonts w:ascii="Times New Roman" w:hAnsi="Times New Roman"/>
        </w:rPr>
        <w:t> </w:t>
      </w:r>
      <w:r w:rsidRPr="00AC2DE7">
        <w:rPr>
          <w:rFonts w:ascii="Times New Roman" w:hAnsi="Times New Roman"/>
        </w:rPr>
        <w:t>4 rozporządzenia 2016/399.</w:t>
      </w:r>
    </w:p>
  </w:footnote>
  <w:footnote w:id="13">
    <w:p w14:paraId="33030A27" w14:textId="3EE560BD" w:rsidR="008140CF" w:rsidRPr="00AC2DE7" w:rsidRDefault="008140CF" w:rsidP="004617F6">
      <w:pPr>
        <w:pStyle w:val="FootnoteText"/>
        <w:ind w:left="284" w:hanging="284"/>
        <w:rPr>
          <w:rFonts w:ascii="Times New Roman" w:hAnsi="Times New Roman" w:cs="Times New Roman"/>
          <w:b/>
          <w:bCs/>
        </w:rPr>
      </w:pPr>
      <w:r w:rsidRPr="00AC2DE7">
        <w:rPr>
          <w:rStyle w:val="FootnoteReference"/>
          <w:rFonts w:ascii="Times New Roman" w:hAnsi="Times New Roman" w:cs="Times New Roman"/>
          <w:bCs/>
        </w:rPr>
        <w:footnoteRef/>
      </w:r>
      <w:r w:rsidRPr="00AC2DE7">
        <w:rPr>
          <w:rFonts w:ascii="Times New Roman" w:hAnsi="Times New Roman"/>
        </w:rPr>
        <w:t xml:space="preserve"> </w:t>
      </w:r>
      <w:r w:rsidRPr="00AC2DE7">
        <w:rPr>
          <w:rFonts w:ascii="Times New Roman" w:hAnsi="Times New Roman"/>
        </w:rPr>
        <w:tab/>
        <w:t>W porcie Limassol nowe ustalenia dotyczące systemu kolejkowania nie zawsze są stosowane.</w:t>
      </w:r>
    </w:p>
  </w:footnote>
  <w:footnote w:id="14">
    <w:p w14:paraId="51413A11" w14:textId="7335FBB5"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Sprawozdanie Komisji dla Rady</w:t>
      </w:r>
      <w:r w:rsidR="00AC2DE7" w:rsidRPr="00AC2DE7">
        <w:rPr>
          <w:rFonts w:ascii="Times New Roman" w:hAnsi="Times New Roman"/>
        </w:rPr>
        <w:t xml:space="preserve"> i Par</w:t>
      </w:r>
      <w:r w:rsidRPr="00AC2DE7">
        <w:rPr>
          <w:rFonts w:ascii="Times New Roman" w:hAnsi="Times New Roman"/>
        </w:rPr>
        <w:t>lamentu Europejskiego</w:t>
      </w:r>
      <w:r w:rsidR="00AC2DE7" w:rsidRPr="00AC2DE7">
        <w:rPr>
          <w:rFonts w:ascii="Times New Roman" w:hAnsi="Times New Roman"/>
        </w:rPr>
        <w:t xml:space="preserve"> w spr</w:t>
      </w:r>
      <w:r w:rsidRPr="00AC2DE7">
        <w:rPr>
          <w:rFonts w:ascii="Times New Roman" w:hAnsi="Times New Roman"/>
        </w:rPr>
        <w:t>awie funkcjonowania mechanizmu oceny</w:t>
      </w:r>
      <w:r w:rsidR="00AC2DE7" w:rsidRPr="00AC2DE7">
        <w:rPr>
          <w:rFonts w:ascii="Times New Roman" w:hAnsi="Times New Roman"/>
        </w:rPr>
        <w:t xml:space="preserve"> i mon</w:t>
      </w:r>
      <w:r w:rsidRPr="00AC2DE7">
        <w:rPr>
          <w:rFonts w:ascii="Times New Roman" w:hAnsi="Times New Roman"/>
        </w:rPr>
        <w:t>itorowania dorobku Schengen na podstawie art.</w:t>
      </w:r>
      <w:r w:rsidR="00836F72" w:rsidRPr="00AC2DE7">
        <w:rPr>
          <w:rFonts w:ascii="Times New Roman" w:hAnsi="Times New Roman"/>
        </w:rPr>
        <w:t> </w:t>
      </w:r>
      <w:r w:rsidRPr="00AC2DE7">
        <w:rPr>
          <w:rFonts w:ascii="Times New Roman" w:hAnsi="Times New Roman"/>
        </w:rPr>
        <w:t>22 rozporządzenia (UE) nr</w:t>
      </w:r>
      <w:r w:rsidR="00836F72" w:rsidRPr="00AC2DE7">
        <w:rPr>
          <w:rFonts w:ascii="Times New Roman" w:hAnsi="Times New Roman"/>
        </w:rPr>
        <w:t> </w:t>
      </w:r>
      <w:r w:rsidRPr="00AC2DE7">
        <w:rPr>
          <w:rFonts w:ascii="Times New Roman" w:hAnsi="Times New Roman"/>
        </w:rPr>
        <w:t>1053/2013, COM(2020) 779 final, 25.11.2020</w:t>
      </w:r>
      <w:r w:rsidR="00836F72" w:rsidRPr="00AC2DE7">
        <w:rPr>
          <w:rFonts w:ascii="Times New Roman" w:hAnsi="Times New Roman"/>
        </w:rPr>
        <w:t> </w:t>
      </w:r>
      <w:r w:rsidRPr="00AC2DE7">
        <w:rPr>
          <w:rFonts w:ascii="Times New Roman" w:hAnsi="Times New Roman"/>
        </w:rPr>
        <w:t>r. (s. 7).</w:t>
      </w:r>
    </w:p>
  </w:footnote>
  <w:footnote w:id="15">
    <w:p w14:paraId="49E456AA" w14:textId="1C28D569"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8 ust.</w:t>
      </w:r>
      <w:r w:rsidR="00836F72" w:rsidRPr="00AC2DE7">
        <w:rPr>
          <w:rFonts w:ascii="Times New Roman" w:hAnsi="Times New Roman"/>
        </w:rPr>
        <w:t> </w:t>
      </w:r>
      <w:r w:rsidRPr="00AC2DE7">
        <w:rPr>
          <w:rFonts w:ascii="Times New Roman" w:hAnsi="Times New Roman"/>
        </w:rPr>
        <w:t>2a</w:t>
      </w:r>
      <w:r w:rsidR="00AC2DE7" w:rsidRPr="00AC2DE7">
        <w:rPr>
          <w:rFonts w:ascii="Times New Roman" w:hAnsi="Times New Roman"/>
        </w:rPr>
        <w:t xml:space="preserve"> i art</w:t>
      </w:r>
      <w:r w:rsidRPr="00AC2DE7">
        <w:rPr>
          <w:rFonts w:ascii="Times New Roman" w:hAnsi="Times New Roman"/>
        </w:rPr>
        <w:t>.</w:t>
      </w:r>
      <w:r w:rsidR="00836F72" w:rsidRPr="00AC2DE7">
        <w:rPr>
          <w:rFonts w:ascii="Times New Roman" w:hAnsi="Times New Roman"/>
        </w:rPr>
        <w:t> </w:t>
      </w:r>
      <w:r w:rsidRPr="00AC2DE7">
        <w:rPr>
          <w:rFonts w:ascii="Times New Roman" w:hAnsi="Times New Roman"/>
        </w:rPr>
        <w:t>8 ust.</w:t>
      </w:r>
      <w:r w:rsidR="00836F72" w:rsidRPr="00AC2DE7">
        <w:rPr>
          <w:rFonts w:ascii="Times New Roman" w:hAnsi="Times New Roman"/>
        </w:rPr>
        <w:t> </w:t>
      </w:r>
      <w:r w:rsidRPr="00AC2DE7">
        <w:rPr>
          <w:rFonts w:ascii="Times New Roman" w:hAnsi="Times New Roman"/>
        </w:rPr>
        <w:t>2b kodeksu granicznego Schengen.</w:t>
      </w:r>
    </w:p>
  </w:footnote>
  <w:footnote w:id="16">
    <w:p w14:paraId="037F82F7" w14:textId="7E24E2DA"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8 ust.</w:t>
      </w:r>
      <w:r w:rsidR="00836F72" w:rsidRPr="00AC2DE7">
        <w:rPr>
          <w:rFonts w:ascii="Times New Roman" w:hAnsi="Times New Roman"/>
        </w:rPr>
        <w:t> </w:t>
      </w:r>
      <w:r w:rsidRPr="00AC2DE7">
        <w:rPr>
          <w:rFonts w:ascii="Times New Roman" w:hAnsi="Times New Roman"/>
        </w:rPr>
        <w:t>2d kodeksu granicznego Schengen.</w:t>
      </w:r>
    </w:p>
  </w:footnote>
  <w:footnote w:id="17">
    <w:p w14:paraId="2954F9BA" w14:textId="240D4103"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8 ust.</w:t>
      </w:r>
      <w:r w:rsidR="00836F72" w:rsidRPr="00AC2DE7">
        <w:rPr>
          <w:rFonts w:ascii="Times New Roman" w:hAnsi="Times New Roman"/>
        </w:rPr>
        <w:t> </w:t>
      </w:r>
      <w:r w:rsidRPr="00AC2DE7">
        <w:rPr>
          <w:rFonts w:ascii="Times New Roman" w:hAnsi="Times New Roman"/>
        </w:rPr>
        <w:t>2d akapit drugi kodeksu granicznego Schengen.</w:t>
      </w:r>
    </w:p>
  </w:footnote>
  <w:footnote w:id="18">
    <w:p w14:paraId="48FA8F70" w14:textId="386629A7"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Od czasu przyjęcia rozporządzenia Chorwacja, Finlandia, Grecja, Węgry, Łotwa</w:t>
      </w:r>
      <w:r w:rsidR="00AC2DE7" w:rsidRPr="00AC2DE7">
        <w:rPr>
          <w:rFonts w:ascii="Times New Roman" w:hAnsi="Times New Roman"/>
        </w:rPr>
        <w:t xml:space="preserve"> i Nor</w:t>
      </w:r>
      <w:r w:rsidRPr="00AC2DE7">
        <w:rPr>
          <w:rFonts w:ascii="Times New Roman" w:hAnsi="Times New Roman"/>
        </w:rPr>
        <w:t>wegia przesłały powiadomienia, nie wskazując, do kiedy są one ważne. Podczas posiedzenia grupy ekspertów ds. zarządzania granicami zewnętrznymi, które odbyło się</w:t>
      </w:r>
      <w:r w:rsidR="00836F72" w:rsidRPr="00AC2DE7">
        <w:rPr>
          <w:rFonts w:ascii="Times New Roman" w:hAnsi="Times New Roman"/>
        </w:rPr>
        <w:t> </w:t>
      </w:r>
      <w:r w:rsidRPr="00AC2DE7">
        <w:rPr>
          <w:rFonts w:ascii="Times New Roman" w:hAnsi="Times New Roman"/>
        </w:rPr>
        <w:t>28 marca 2022</w:t>
      </w:r>
      <w:r w:rsidR="00836F72" w:rsidRPr="00AC2DE7">
        <w:rPr>
          <w:rFonts w:ascii="Times New Roman" w:hAnsi="Times New Roman"/>
        </w:rPr>
        <w:t> </w:t>
      </w:r>
      <w:r w:rsidRPr="00AC2DE7">
        <w:rPr>
          <w:rFonts w:ascii="Times New Roman" w:hAnsi="Times New Roman"/>
        </w:rPr>
        <w:t>r., Komisja zwróciła się do tych państw członkowskich</w:t>
      </w:r>
      <w:r w:rsidR="00AC2DE7" w:rsidRPr="00AC2DE7">
        <w:rPr>
          <w:rFonts w:ascii="Times New Roman" w:hAnsi="Times New Roman"/>
        </w:rPr>
        <w:t xml:space="preserve"> o pot</w:t>
      </w:r>
      <w:r w:rsidRPr="00AC2DE7">
        <w:rPr>
          <w:rFonts w:ascii="Times New Roman" w:hAnsi="Times New Roman"/>
        </w:rPr>
        <w:t>wierdzenie, czy ich powiadomienia bezterminowe są nadal ważne. Finlandia odpowiedziała, że ostatnio nie korzystała</w:t>
      </w:r>
      <w:r w:rsidR="00AC2DE7" w:rsidRPr="00AC2DE7">
        <w:rPr>
          <w:rFonts w:ascii="Times New Roman" w:hAnsi="Times New Roman"/>
        </w:rPr>
        <w:t xml:space="preserve"> z moż</w:t>
      </w:r>
      <w:r w:rsidRPr="00AC2DE7">
        <w:rPr>
          <w:rFonts w:ascii="Times New Roman" w:hAnsi="Times New Roman"/>
        </w:rPr>
        <w:t>liwości przeprowadzania jedynie ukierunkowanych (a nie systematycznych) odpraw na niektórych przejściach granicznych zgodnie</w:t>
      </w:r>
      <w:r w:rsidR="00AC2DE7" w:rsidRPr="00AC2DE7">
        <w:rPr>
          <w:rFonts w:ascii="Times New Roman" w:hAnsi="Times New Roman"/>
        </w:rPr>
        <w:t xml:space="preserve"> z art</w:t>
      </w:r>
      <w:r w:rsidRPr="00AC2DE7">
        <w:rPr>
          <w:rFonts w:ascii="Times New Roman" w:hAnsi="Times New Roman"/>
        </w:rPr>
        <w:t>.</w:t>
      </w:r>
      <w:r w:rsidR="00836F72" w:rsidRPr="00AC2DE7">
        <w:rPr>
          <w:rFonts w:ascii="Times New Roman" w:hAnsi="Times New Roman"/>
        </w:rPr>
        <w:t> </w:t>
      </w:r>
      <w:r w:rsidRPr="00AC2DE7">
        <w:rPr>
          <w:rFonts w:ascii="Times New Roman" w:hAnsi="Times New Roman"/>
        </w:rPr>
        <w:t>8 ust.</w:t>
      </w:r>
      <w:r w:rsidR="00836F72" w:rsidRPr="00AC2DE7">
        <w:rPr>
          <w:rFonts w:ascii="Times New Roman" w:hAnsi="Times New Roman"/>
        </w:rPr>
        <w:t> </w:t>
      </w:r>
      <w:r w:rsidRPr="00AC2DE7">
        <w:rPr>
          <w:rFonts w:ascii="Times New Roman" w:hAnsi="Times New Roman"/>
        </w:rPr>
        <w:t>2a kodeksu granicznego Schengen, ale jej powiadomienie</w:t>
      </w:r>
      <w:r w:rsidR="00AC2DE7" w:rsidRPr="00AC2DE7">
        <w:rPr>
          <w:rFonts w:ascii="Times New Roman" w:hAnsi="Times New Roman"/>
        </w:rPr>
        <w:t xml:space="preserve"> o cha</w:t>
      </w:r>
      <w:r w:rsidRPr="00AC2DE7">
        <w:rPr>
          <w:rFonts w:ascii="Times New Roman" w:hAnsi="Times New Roman"/>
        </w:rPr>
        <w:t>rakterze otwartym nadal obowiązuje</w:t>
      </w:r>
      <w:r w:rsidR="00AC2DE7" w:rsidRPr="00AC2DE7">
        <w:rPr>
          <w:rFonts w:ascii="Times New Roman" w:hAnsi="Times New Roman"/>
        </w:rPr>
        <w:t xml:space="preserve"> i nad</w:t>
      </w:r>
      <w:r w:rsidRPr="00AC2DE7">
        <w:rPr>
          <w:rFonts w:ascii="Times New Roman" w:hAnsi="Times New Roman"/>
        </w:rPr>
        <w:t>al istnieje możliwość skorzystania</w:t>
      </w:r>
      <w:r w:rsidR="00AC2DE7" w:rsidRPr="00AC2DE7">
        <w:rPr>
          <w:rFonts w:ascii="Times New Roman" w:hAnsi="Times New Roman"/>
        </w:rPr>
        <w:t xml:space="preserve"> z nie</w:t>
      </w:r>
      <w:r w:rsidRPr="00AC2DE7">
        <w:rPr>
          <w:rFonts w:ascii="Times New Roman" w:hAnsi="Times New Roman"/>
        </w:rPr>
        <w:t>go</w:t>
      </w:r>
      <w:r w:rsidR="00AC2DE7" w:rsidRPr="00AC2DE7">
        <w:rPr>
          <w:rFonts w:ascii="Times New Roman" w:hAnsi="Times New Roman"/>
        </w:rPr>
        <w:t>. W kwi</w:t>
      </w:r>
      <w:r w:rsidRPr="00AC2DE7">
        <w:rPr>
          <w:rFonts w:ascii="Times New Roman" w:hAnsi="Times New Roman"/>
        </w:rPr>
        <w:t>etniu 2022</w:t>
      </w:r>
      <w:r w:rsidR="00836F72" w:rsidRPr="00AC2DE7">
        <w:rPr>
          <w:rFonts w:ascii="Times New Roman" w:hAnsi="Times New Roman"/>
        </w:rPr>
        <w:t> </w:t>
      </w:r>
      <w:r w:rsidRPr="00AC2DE7">
        <w:rPr>
          <w:rFonts w:ascii="Times New Roman" w:hAnsi="Times New Roman"/>
        </w:rPr>
        <w:t>r. Chorwacja</w:t>
      </w:r>
      <w:r w:rsidR="00AC2DE7" w:rsidRPr="00AC2DE7">
        <w:rPr>
          <w:rFonts w:ascii="Times New Roman" w:hAnsi="Times New Roman"/>
        </w:rPr>
        <w:t xml:space="preserve"> i Sło</w:t>
      </w:r>
      <w:r w:rsidRPr="00AC2DE7">
        <w:rPr>
          <w:rFonts w:ascii="Times New Roman" w:hAnsi="Times New Roman"/>
        </w:rPr>
        <w:t>wenia powiadomiły Komisję</w:t>
      </w:r>
      <w:r w:rsidR="00AC2DE7" w:rsidRPr="00AC2DE7">
        <w:rPr>
          <w:rFonts w:ascii="Times New Roman" w:hAnsi="Times New Roman"/>
        </w:rPr>
        <w:t xml:space="preserve"> o zam</w:t>
      </w:r>
      <w:r w:rsidRPr="00AC2DE7">
        <w:rPr>
          <w:rFonts w:ascii="Times New Roman" w:hAnsi="Times New Roman"/>
        </w:rPr>
        <w:t>iarze skorzystania</w:t>
      </w:r>
      <w:r w:rsidR="00AC2DE7" w:rsidRPr="00AC2DE7">
        <w:rPr>
          <w:rFonts w:ascii="Times New Roman" w:hAnsi="Times New Roman"/>
        </w:rPr>
        <w:t xml:space="preserve"> z moż</w:t>
      </w:r>
      <w:r w:rsidRPr="00AC2DE7">
        <w:rPr>
          <w:rFonts w:ascii="Times New Roman" w:hAnsi="Times New Roman"/>
        </w:rPr>
        <w:t>liwości przewidzianej</w:t>
      </w:r>
      <w:r w:rsidR="00AC2DE7" w:rsidRPr="00AC2DE7">
        <w:rPr>
          <w:rFonts w:ascii="Times New Roman" w:hAnsi="Times New Roman"/>
        </w:rPr>
        <w:t xml:space="preserve"> w art</w:t>
      </w:r>
      <w:r w:rsidRPr="00AC2DE7">
        <w:rPr>
          <w:rFonts w:ascii="Times New Roman" w:hAnsi="Times New Roman"/>
        </w:rPr>
        <w:t>.</w:t>
      </w:r>
      <w:r w:rsidR="00836F72" w:rsidRPr="00AC2DE7">
        <w:rPr>
          <w:rFonts w:ascii="Times New Roman" w:hAnsi="Times New Roman"/>
        </w:rPr>
        <w:t> </w:t>
      </w:r>
      <w:r w:rsidRPr="00AC2DE7">
        <w:rPr>
          <w:rFonts w:ascii="Times New Roman" w:hAnsi="Times New Roman"/>
        </w:rPr>
        <w:t>8 ust.</w:t>
      </w:r>
      <w:r w:rsidR="00836F72" w:rsidRPr="00AC2DE7">
        <w:rPr>
          <w:rFonts w:ascii="Times New Roman" w:hAnsi="Times New Roman"/>
        </w:rPr>
        <w:t> </w:t>
      </w:r>
      <w:r w:rsidRPr="00AC2DE7">
        <w:rPr>
          <w:rFonts w:ascii="Times New Roman" w:hAnsi="Times New Roman"/>
        </w:rPr>
        <w:t>2a kodeksu granicznego Schengen przez okres 5 miesięcy. Pozostałe państwa członkowskie nie udzieliły jeszcze Komisji odpowiedzi</w:t>
      </w:r>
      <w:r w:rsidR="00AC2DE7" w:rsidRPr="00AC2DE7">
        <w:rPr>
          <w:rFonts w:ascii="Times New Roman" w:hAnsi="Times New Roman"/>
        </w:rPr>
        <w:t xml:space="preserve"> w mom</w:t>
      </w:r>
      <w:r w:rsidRPr="00AC2DE7">
        <w:rPr>
          <w:rFonts w:ascii="Times New Roman" w:hAnsi="Times New Roman"/>
        </w:rPr>
        <w:t xml:space="preserve">encie sporządzania niniejszego sprawozdania. </w:t>
      </w:r>
    </w:p>
  </w:footnote>
  <w:footnote w:id="19">
    <w:p w14:paraId="0DB57F2C" w14:textId="3961CA02"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Ponieważ</w:t>
      </w:r>
      <w:r w:rsidR="00AC2DE7" w:rsidRPr="00AC2DE7">
        <w:rPr>
          <w:rFonts w:ascii="Times New Roman" w:hAnsi="Times New Roman"/>
        </w:rPr>
        <w:t xml:space="preserve"> w kwi</w:t>
      </w:r>
      <w:r w:rsidRPr="00AC2DE7">
        <w:rPr>
          <w:rFonts w:ascii="Times New Roman" w:hAnsi="Times New Roman"/>
        </w:rPr>
        <w:t>etniu 2019</w:t>
      </w:r>
      <w:r w:rsidR="00836F72" w:rsidRPr="00AC2DE7">
        <w:rPr>
          <w:rFonts w:ascii="Times New Roman" w:hAnsi="Times New Roman"/>
        </w:rPr>
        <w:t> </w:t>
      </w:r>
      <w:r w:rsidRPr="00AC2DE7">
        <w:rPr>
          <w:rFonts w:ascii="Times New Roman" w:hAnsi="Times New Roman"/>
        </w:rPr>
        <w:t>r. upłynął przedłużony okres przejściowy,</w:t>
      </w:r>
      <w:r w:rsidR="00AC2DE7" w:rsidRPr="00AC2DE7">
        <w:rPr>
          <w:rFonts w:ascii="Times New Roman" w:hAnsi="Times New Roman"/>
        </w:rPr>
        <w:t xml:space="preserve"> w któ</w:t>
      </w:r>
      <w:r w:rsidRPr="00AC2DE7">
        <w:rPr>
          <w:rFonts w:ascii="Times New Roman" w:hAnsi="Times New Roman"/>
        </w:rPr>
        <w:t>rym możliwe było stosowanie odstępstw na lotniczych przejściach granicznych na mocy art.</w:t>
      </w:r>
      <w:r w:rsidR="00836F72" w:rsidRPr="00AC2DE7">
        <w:rPr>
          <w:rFonts w:ascii="Times New Roman" w:hAnsi="Times New Roman"/>
        </w:rPr>
        <w:t> </w:t>
      </w:r>
      <w:r w:rsidRPr="00AC2DE7">
        <w:rPr>
          <w:rFonts w:ascii="Times New Roman" w:hAnsi="Times New Roman"/>
        </w:rPr>
        <w:t>8 ust.</w:t>
      </w:r>
      <w:r w:rsidR="00836F72" w:rsidRPr="00AC2DE7">
        <w:rPr>
          <w:rFonts w:ascii="Times New Roman" w:hAnsi="Times New Roman"/>
        </w:rPr>
        <w:t> </w:t>
      </w:r>
      <w:r w:rsidRPr="00AC2DE7">
        <w:rPr>
          <w:rFonts w:ascii="Times New Roman" w:hAnsi="Times New Roman"/>
        </w:rPr>
        <w:t>2d kodeksu granicznego Schengen, na lotniczych przejściach granicznych można stosować wyłącznie uproszczenia. Jednak sytuacja na lądowych</w:t>
      </w:r>
      <w:r w:rsidR="00AC2DE7" w:rsidRPr="00AC2DE7">
        <w:rPr>
          <w:rFonts w:ascii="Times New Roman" w:hAnsi="Times New Roman"/>
        </w:rPr>
        <w:t xml:space="preserve"> i mor</w:t>
      </w:r>
      <w:r w:rsidRPr="00AC2DE7">
        <w:rPr>
          <w:rFonts w:ascii="Times New Roman" w:hAnsi="Times New Roman"/>
        </w:rPr>
        <w:t>skich przejściach granicznych może być nadal niejasna.</w:t>
      </w:r>
    </w:p>
  </w:footnote>
  <w:footnote w:id="20">
    <w:p w14:paraId="33E24476" w14:textId="5CC4F594" w:rsidR="008140CF" w:rsidRPr="00AC2DE7" w:rsidRDefault="008140CF" w:rsidP="004617F6">
      <w:pPr>
        <w:pStyle w:val="FootnoteText"/>
        <w:ind w:left="284" w:hanging="284"/>
        <w:jc w:val="both"/>
        <w:rPr>
          <w:rFonts w:ascii="Times New Roman" w:hAnsi="Times New Roman" w:cs="Times New Roman"/>
        </w:rPr>
      </w:pPr>
      <w:r w:rsidRPr="00AC2DE7">
        <w:rPr>
          <w:rFonts w:ascii="Times New Roman" w:hAnsi="Times New Roman" w:cs="Times New Roman"/>
          <w:vertAlign w:val="superscript"/>
        </w:rPr>
        <w:footnoteRef/>
      </w:r>
      <w:r w:rsidRPr="00AC2DE7">
        <w:rPr>
          <w:rFonts w:ascii="Times New Roman" w:hAnsi="Times New Roman"/>
        </w:rPr>
        <w:t xml:space="preserve"> </w:t>
      </w:r>
      <w:r w:rsidRPr="00AC2DE7">
        <w:rPr>
          <w:rFonts w:ascii="Times New Roman" w:hAnsi="Times New Roman"/>
        </w:rPr>
        <w:tab/>
        <w:t>W kwietniu 2017</w:t>
      </w:r>
      <w:r w:rsidR="00836F72" w:rsidRPr="00AC2DE7">
        <w:rPr>
          <w:rFonts w:ascii="Times New Roman" w:hAnsi="Times New Roman"/>
        </w:rPr>
        <w:t> </w:t>
      </w:r>
      <w:r w:rsidRPr="00AC2DE7">
        <w:rPr>
          <w:rFonts w:ascii="Times New Roman" w:hAnsi="Times New Roman"/>
        </w:rPr>
        <w:t>r. Komisja wysłała pisma do dwunastu państw członkowskich, które skorzystały</w:t>
      </w:r>
      <w:r w:rsidR="00AC2DE7" w:rsidRPr="00AC2DE7">
        <w:rPr>
          <w:rFonts w:ascii="Times New Roman" w:hAnsi="Times New Roman"/>
        </w:rPr>
        <w:t xml:space="preserve"> z ods</w:t>
      </w:r>
      <w:r w:rsidRPr="00AC2DE7">
        <w:rPr>
          <w:rFonts w:ascii="Times New Roman" w:hAnsi="Times New Roman"/>
        </w:rPr>
        <w:t>tępstw. Pięć państw członkowskich udzieliło zadowalających odpowiedzi, dostarczając wymaganych dalszych wyjaśnień. Następnie</w:t>
      </w:r>
      <w:r w:rsidR="00AC2DE7" w:rsidRPr="00AC2DE7">
        <w:rPr>
          <w:rFonts w:ascii="Times New Roman" w:hAnsi="Times New Roman"/>
        </w:rPr>
        <w:t xml:space="preserve"> w lip</w:t>
      </w:r>
      <w:r w:rsidRPr="00AC2DE7">
        <w:rPr>
          <w:rFonts w:ascii="Times New Roman" w:hAnsi="Times New Roman"/>
        </w:rPr>
        <w:t>cu 2017</w:t>
      </w:r>
      <w:r w:rsidR="00836F72" w:rsidRPr="00AC2DE7">
        <w:rPr>
          <w:rFonts w:ascii="Times New Roman" w:hAnsi="Times New Roman"/>
        </w:rPr>
        <w:t> </w:t>
      </w:r>
      <w:r w:rsidRPr="00AC2DE7">
        <w:rPr>
          <w:rFonts w:ascii="Times New Roman" w:hAnsi="Times New Roman"/>
        </w:rPr>
        <w:t>r. wysłano pisma uzupełniające do siedmiu państw członkowskich, które nie odpowiedziały na pierwsze pisma. Wymiany te zostały uwzględnione przy opracowywaniu zmienionego „Praktycznego podręcznika dla straży granicznej”.</w:t>
      </w:r>
    </w:p>
  </w:footnote>
  <w:footnote w:id="21">
    <w:p w14:paraId="2E7AC422" w14:textId="728EE351"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W zaleceniu Komisji C(2019)7131 ustanawiającym „Praktyczny podręcznik dla straży granicznej” Komisja zobowiązała się do zapewnienia regularnej aktualizacji tego podręcznika</w:t>
      </w:r>
      <w:r w:rsidR="00AC2DE7" w:rsidRPr="00AC2DE7">
        <w:rPr>
          <w:rFonts w:ascii="Times New Roman" w:hAnsi="Times New Roman"/>
        </w:rPr>
        <w:t>. W ram</w:t>
      </w:r>
      <w:r w:rsidRPr="00AC2DE7">
        <w:rPr>
          <w:rFonts w:ascii="Times New Roman" w:hAnsi="Times New Roman"/>
        </w:rPr>
        <w:t>ach pierwszej aktualizacji</w:t>
      </w:r>
      <w:r w:rsidR="00AC2DE7" w:rsidRPr="00AC2DE7">
        <w:rPr>
          <w:rFonts w:ascii="Times New Roman" w:hAnsi="Times New Roman"/>
        </w:rPr>
        <w:t xml:space="preserve"> w pod</w:t>
      </w:r>
      <w:r w:rsidRPr="00AC2DE7">
        <w:rPr>
          <w:rFonts w:ascii="Times New Roman" w:hAnsi="Times New Roman"/>
        </w:rPr>
        <w:t>ręczniku zostanie uwzględnionych szereg zmian wynikających</w:t>
      </w:r>
      <w:r w:rsidR="00AC2DE7" w:rsidRPr="00AC2DE7">
        <w:rPr>
          <w:rFonts w:ascii="Times New Roman" w:hAnsi="Times New Roman"/>
        </w:rPr>
        <w:t xml:space="preserve"> z naj</w:t>
      </w:r>
      <w:r w:rsidRPr="00AC2DE7">
        <w:rPr>
          <w:rFonts w:ascii="Times New Roman" w:hAnsi="Times New Roman"/>
        </w:rPr>
        <w:t>nowszego orzecznictwa TSUE, przyjęcia nowych przepisów oraz innych istotnych zdarzeń, które miały miejsce</w:t>
      </w:r>
      <w:r w:rsidR="00AC2DE7" w:rsidRPr="00AC2DE7">
        <w:rPr>
          <w:rFonts w:ascii="Times New Roman" w:hAnsi="Times New Roman"/>
        </w:rPr>
        <w:t xml:space="preserve"> w ost</w:t>
      </w:r>
      <w:r w:rsidRPr="00AC2DE7">
        <w:rPr>
          <w:rFonts w:ascii="Times New Roman" w:hAnsi="Times New Roman"/>
        </w:rPr>
        <w:t>atnim czasie. Aktualizacja ta będzie się również opierać na posiedzeniach grupy ekspertów ds. zarządzania granicami zewnętrznymi, które odbyły się w IV kwartale 2021</w:t>
      </w:r>
      <w:r w:rsidR="00836F72" w:rsidRPr="00AC2DE7">
        <w:rPr>
          <w:rFonts w:ascii="Times New Roman" w:hAnsi="Times New Roman"/>
        </w:rPr>
        <w:t> </w:t>
      </w:r>
      <w:r w:rsidRPr="00AC2DE7">
        <w:rPr>
          <w:rFonts w:ascii="Times New Roman" w:hAnsi="Times New Roman"/>
        </w:rPr>
        <w:t>r. i I kwartale 2022</w:t>
      </w:r>
      <w:r w:rsidR="00836F72" w:rsidRPr="00AC2DE7">
        <w:rPr>
          <w:rFonts w:ascii="Times New Roman" w:hAnsi="Times New Roman"/>
        </w:rPr>
        <w:t> </w:t>
      </w:r>
      <w:r w:rsidRPr="00AC2DE7">
        <w:rPr>
          <w:rFonts w:ascii="Times New Roman" w:hAnsi="Times New Roman"/>
        </w:rPr>
        <w:t>r.</w:t>
      </w:r>
    </w:p>
  </w:footnote>
  <w:footnote w:id="22">
    <w:p w14:paraId="7AD3B55B" w14:textId="27699236" w:rsidR="005A17EC" w:rsidRPr="00AC2DE7" w:rsidRDefault="005A17EC" w:rsidP="004617F6">
      <w:pPr>
        <w:pStyle w:val="FootnoteText"/>
        <w:ind w:left="284" w:hanging="284"/>
        <w:jc w:val="both"/>
        <w:rPr>
          <w:rFonts w:ascii="Times New Roman" w:hAnsi="Times New Roman" w:cs="Times New Roman"/>
        </w:rPr>
      </w:pPr>
      <w:r w:rsidRPr="00AC2DE7">
        <w:rPr>
          <w:rFonts w:ascii="Times New Roman" w:hAnsi="Times New Roman" w:cs="Times New Roman"/>
          <w:vertAlign w:val="superscript"/>
        </w:rPr>
        <w:footnoteRef/>
      </w:r>
      <w:r w:rsidRPr="00AC2DE7">
        <w:rPr>
          <w:rFonts w:ascii="Times New Roman" w:hAnsi="Times New Roman"/>
        </w:rPr>
        <w:t xml:space="preserve"> </w:t>
      </w:r>
      <w:r w:rsidRPr="00AC2DE7">
        <w:rPr>
          <w:rFonts w:ascii="Times New Roman" w:hAnsi="Times New Roman"/>
        </w:rPr>
        <w:tab/>
        <w:t>Oprócz danych zgromadzonych</w:t>
      </w:r>
      <w:r w:rsidR="00AC2DE7" w:rsidRPr="00AC2DE7">
        <w:rPr>
          <w:rFonts w:ascii="Times New Roman" w:hAnsi="Times New Roman"/>
        </w:rPr>
        <w:t xml:space="preserve"> w ram</w:t>
      </w:r>
      <w:r w:rsidRPr="00AC2DE7">
        <w:rPr>
          <w:rFonts w:ascii="Times New Roman" w:hAnsi="Times New Roman"/>
        </w:rPr>
        <w:t>ach badania zewnętrznego, dane statystyczne dotyczące korzystania z SIS przez państwa członkowskie są gromadzone przez eu-LISA na podstawie przepisów rozporządzenia</w:t>
      </w:r>
      <w:r w:rsidR="00AC2DE7" w:rsidRPr="00AC2DE7">
        <w:rPr>
          <w:rFonts w:ascii="Times New Roman" w:hAnsi="Times New Roman"/>
        </w:rPr>
        <w:t xml:space="preserve"> w spr</w:t>
      </w:r>
      <w:r w:rsidRPr="00AC2DE7">
        <w:rPr>
          <w:rFonts w:ascii="Times New Roman" w:hAnsi="Times New Roman"/>
        </w:rPr>
        <w:t>awie SIS</w:t>
      </w:r>
      <w:r w:rsidR="00AC2DE7" w:rsidRPr="00AC2DE7">
        <w:rPr>
          <w:rFonts w:ascii="Times New Roman" w:hAnsi="Times New Roman"/>
        </w:rPr>
        <w:t xml:space="preserve"> i zwi</w:t>
      </w:r>
      <w:r w:rsidRPr="00AC2DE7">
        <w:rPr>
          <w:rFonts w:ascii="Times New Roman" w:hAnsi="Times New Roman"/>
        </w:rPr>
        <w:t>ązanych</w:t>
      </w:r>
      <w:r w:rsidR="00AC2DE7" w:rsidRPr="00AC2DE7">
        <w:rPr>
          <w:rFonts w:ascii="Times New Roman" w:hAnsi="Times New Roman"/>
        </w:rPr>
        <w:t xml:space="preserve"> z nim</w:t>
      </w:r>
      <w:r w:rsidRPr="00AC2DE7">
        <w:rPr>
          <w:rFonts w:ascii="Times New Roman" w:hAnsi="Times New Roman"/>
        </w:rPr>
        <w:t xml:space="preserve"> aktów wykonawczych. Dane dotyczące liczby wyszukiwań</w:t>
      </w:r>
      <w:r w:rsidR="00AC2DE7" w:rsidRPr="00AC2DE7">
        <w:rPr>
          <w:rFonts w:ascii="Times New Roman" w:hAnsi="Times New Roman"/>
        </w:rPr>
        <w:t xml:space="preserve"> i wpi</w:t>
      </w:r>
      <w:r w:rsidRPr="00AC2DE7">
        <w:rPr>
          <w:rFonts w:ascii="Times New Roman" w:hAnsi="Times New Roman"/>
        </w:rPr>
        <w:t>sów w SIS są gromadzone</w:t>
      </w:r>
      <w:r w:rsidR="00AC2DE7" w:rsidRPr="00AC2DE7">
        <w:rPr>
          <w:rFonts w:ascii="Times New Roman" w:hAnsi="Times New Roman"/>
        </w:rPr>
        <w:t xml:space="preserve"> w pod</w:t>
      </w:r>
      <w:r w:rsidRPr="00AC2DE7">
        <w:rPr>
          <w:rFonts w:ascii="Times New Roman" w:hAnsi="Times New Roman"/>
        </w:rPr>
        <w:t>ziale na państwa członkowskie</w:t>
      </w:r>
      <w:r w:rsidR="00AC2DE7" w:rsidRPr="00AC2DE7">
        <w:rPr>
          <w:rFonts w:ascii="Times New Roman" w:hAnsi="Times New Roman"/>
        </w:rPr>
        <w:t xml:space="preserve"> i nie</w:t>
      </w:r>
      <w:r w:rsidRPr="00AC2DE7">
        <w:rPr>
          <w:rFonts w:ascii="Times New Roman" w:hAnsi="Times New Roman"/>
        </w:rPr>
        <w:t xml:space="preserve"> są wyodrębniane według „rodzaju wyszukiwania” lub „miejsca trafienia” (odprawy graniczne, kontrole policyjne itp.)</w:t>
      </w:r>
      <w:r w:rsidR="00AC2DE7" w:rsidRPr="00AC2DE7">
        <w:rPr>
          <w:rFonts w:ascii="Times New Roman" w:hAnsi="Times New Roman"/>
        </w:rPr>
        <w:t>. W mom</w:t>
      </w:r>
      <w:r w:rsidRPr="00AC2DE7">
        <w:rPr>
          <w:rFonts w:ascii="Times New Roman" w:hAnsi="Times New Roman"/>
        </w:rPr>
        <w:t>encie opracowywania niniejszego sprawozdania większość państw członkowskich (choć nie wszystkie) dysponowała, do pewnego stopnia, krajowymi danymi statystycznymi</w:t>
      </w:r>
      <w:r w:rsidR="00AC2DE7" w:rsidRPr="00AC2DE7">
        <w:rPr>
          <w:rFonts w:ascii="Times New Roman" w:hAnsi="Times New Roman"/>
        </w:rPr>
        <w:t xml:space="preserve"> o tak</w:t>
      </w:r>
      <w:r w:rsidRPr="00AC2DE7">
        <w:rPr>
          <w:rFonts w:ascii="Times New Roman" w:hAnsi="Times New Roman"/>
        </w:rPr>
        <w:t>im poziomie szczegółowości.</w:t>
      </w:r>
    </w:p>
  </w:footnote>
  <w:footnote w:id="23">
    <w:p w14:paraId="4F987568" w14:textId="3C227DD6"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Decyzja Rady 2007/533/WSiSW</w:t>
      </w:r>
      <w:r w:rsidR="00AC2DE7" w:rsidRPr="00AC2DE7">
        <w:rPr>
          <w:rFonts w:ascii="Times New Roman" w:hAnsi="Times New Roman"/>
        </w:rPr>
        <w:t xml:space="preserve"> z dni</w:t>
      </w:r>
      <w:r w:rsidRPr="00AC2DE7">
        <w:rPr>
          <w:rFonts w:ascii="Times New Roman" w:hAnsi="Times New Roman"/>
        </w:rPr>
        <w:t>a 12 czerwca 2007</w:t>
      </w:r>
      <w:r w:rsidR="00836F72" w:rsidRPr="00AC2DE7">
        <w:rPr>
          <w:rFonts w:ascii="Times New Roman" w:hAnsi="Times New Roman"/>
        </w:rPr>
        <w:t> </w:t>
      </w:r>
      <w:r w:rsidRPr="00AC2DE7">
        <w:rPr>
          <w:rFonts w:ascii="Times New Roman" w:hAnsi="Times New Roman"/>
        </w:rPr>
        <w:t>r.</w:t>
      </w:r>
      <w:r w:rsidR="00AC2DE7" w:rsidRPr="00AC2DE7">
        <w:rPr>
          <w:rFonts w:ascii="Times New Roman" w:hAnsi="Times New Roman"/>
        </w:rPr>
        <w:t xml:space="preserve"> w spr</w:t>
      </w:r>
      <w:r w:rsidRPr="00AC2DE7">
        <w:rPr>
          <w:rFonts w:ascii="Times New Roman" w:hAnsi="Times New Roman"/>
        </w:rPr>
        <w:t>awie utworzenia, funkcjonowania</w:t>
      </w:r>
      <w:r w:rsidR="00AC2DE7" w:rsidRPr="00AC2DE7">
        <w:rPr>
          <w:rFonts w:ascii="Times New Roman" w:hAnsi="Times New Roman"/>
        </w:rPr>
        <w:t xml:space="preserve"> i uży</w:t>
      </w:r>
      <w:r w:rsidRPr="00AC2DE7">
        <w:rPr>
          <w:rFonts w:ascii="Times New Roman" w:hAnsi="Times New Roman"/>
        </w:rPr>
        <w:t>tkowania Systemu Informacyjnego Schengen drugiej generacji (SIS II), Dz.U. L 205</w:t>
      </w:r>
      <w:r w:rsidR="00AC2DE7" w:rsidRPr="00AC2DE7">
        <w:rPr>
          <w:rFonts w:ascii="Times New Roman" w:hAnsi="Times New Roman"/>
        </w:rPr>
        <w:t xml:space="preserve"> z 7</w:t>
      </w:r>
      <w:r w:rsidRPr="00AC2DE7">
        <w:rPr>
          <w:rFonts w:ascii="Times New Roman" w:hAnsi="Times New Roman"/>
        </w:rPr>
        <w:t>.8.2007, s. 63.</w:t>
      </w:r>
    </w:p>
  </w:footnote>
  <w:footnote w:id="24">
    <w:p w14:paraId="3268A8FB" w14:textId="386B73CC" w:rsidR="00225019" w:rsidRPr="00AC2DE7" w:rsidRDefault="00225019" w:rsidP="004617F6">
      <w:pPr>
        <w:pStyle w:val="FootnoteText"/>
        <w:ind w:left="284" w:hanging="284"/>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Badanie zewnętrzne objęło wszystkie państwa członkowskie, przy czym bardziej dogłębnie przeanalizowano</w:t>
      </w:r>
      <w:r w:rsidR="00AC2DE7" w:rsidRPr="00AC2DE7">
        <w:rPr>
          <w:rFonts w:ascii="Times New Roman" w:hAnsi="Times New Roman"/>
        </w:rPr>
        <w:t xml:space="preserve"> w nim</w:t>
      </w:r>
      <w:r w:rsidRPr="00AC2DE7">
        <w:rPr>
          <w:rFonts w:ascii="Times New Roman" w:hAnsi="Times New Roman"/>
        </w:rPr>
        <w:t xml:space="preserve"> sytuację</w:t>
      </w:r>
      <w:r w:rsidR="00AC2DE7" w:rsidRPr="00AC2DE7">
        <w:rPr>
          <w:rFonts w:ascii="Times New Roman" w:hAnsi="Times New Roman"/>
        </w:rPr>
        <w:t xml:space="preserve"> w dwu</w:t>
      </w:r>
      <w:r w:rsidRPr="00AC2DE7">
        <w:rPr>
          <w:rFonts w:ascii="Times New Roman" w:hAnsi="Times New Roman"/>
        </w:rPr>
        <w:t>nastu</w:t>
      </w:r>
      <w:r w:rsidR="00AC2DE7" w:rsidRPr="00AC2DE7">
        <w:rPr>
          <w:rFonts w:ascii="Times New Roman" w:hAnsi="Times New Roman"/>
        </w:rPr>
        <w:t xml:space="preserve"> z nic</w:t>
      </w:r>
      <w:r w:rsidRPr="00AC2DE7">
        <w:rPr>
          <w:rFonts w:ascii="Times New Roman" w:hAnsi="Times New Roman"/>
        </w:rPr>
        <w:t>h: Austrii, Bułgarii, Chorwacji, Estonii, Finlandii, Niemiec, Łotwy, Litwy, Rumunii, Słowenii, Hiszpanii</w:t>
      </w:r>
      <w:r w:rsidR="00AC2DE7" w:rsidRPr="00AC2DE7">
        <w:rPr>
          <w:rFonts w:ascii="Times New Roman" w:hAnsi="Times New Roman"/>
        </w:rPr>
        <w:t xml:space="preserve"> i Szw</w:t>
      </w:r>
      <w:r w:rsidRPr="00AC2DE7">
        <w:rPr>
          <w:rFonts w:ascii="Times New Roman" w:hAnsi="Times New Roman"/>
        </w:rPr>
        <w:t>ecji.</w:t>
      </w:r>
    </w:p>
  </w:footnote>
  <w:footnote w:id="25">
    <w:p w14:paraId="5718E8D8" w14:textId="56FC22F1"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Art. 24 rozporządzenia (WE) nr</w:t>
      </w:r>
      <w:r w:rsidR="00836F72" w:rsidRPr="00AC2DE7">
        <w:rPr>
          <w:rFonts w:ascii="Times New Roman" w:hAnsi="Times New Roman"/>
        </w:rPr>
        <w:t> </w:t>
      </w:r>
      <w:r w:rsidRPr="00AC2DE7">
        <w:rPr>
          <w:rFonts w:ascii="Times New Roman" w:hAnsi="Times New Roman"/>
        </w:rPr>
        <w:t>1987/2006 Parlamentu Europejskiego</w:t>
      </w:r>
      <w:r w:rsidR="00AC2DE7" w:rsidRPr="00AC2DE7">
        <w:rPr>
          <w:rFonts w:ascii="Times New Roman" w:hAnsi="Times New Roman"/>
        </w:rPr>
        <w:t xml:space="preserve"> i Rad</w:t>
      </w:r>
      <w:r w:rsidRPr="00AC2DE7">
        <w:rPr>
          <w:rFonts w:ascii="Times New Roman" w:hAnsi="Times New Roman"/>
        </w:rPr>
        <w:t>y</w:t>
      </w:r>
      <w:r w:rsidR="00AC2DE7" w:rsidRPr="00AC2DE7">
        <w:rPr>
          <w:rFonts w:ascii="Times New Roman" w:hAnsi="Times New Roman"/>
        </w:rPr>
        <w:t xml:space="preserve"> z dni</w:t>
      </w:r>
      <w:r w:rsidRPr="00AC2DE7">
        <w:rPr>
          <w:rFonts w:ascii="Times New Roman" w:hAnsi="Times New Roman"/>
        </w:rPr>
        <w:t>a 20 grudnia 2006</w:t>
      </w:r>
      <w:r w:rsidR="00836F72" w:rsidRPr="00AC2DE7">
        <w:rPr>
          <w:rFonts w:ascii="Times New Roman" w:hAnsi="Times New Roman"/>
        </w:rPr>
        <w:t> </w:t>
      </w:r>
      <w:r w:rsidRPr="00AC2DE7">
        <w:rPr>
          <w:rFonts w:ascii="Times New Roman" w:hAnsi="Times New Roman"/>
        </w:rPr>
        <w:t>r.</w:t>
      </w:r>
      <w:r w:rsidR="00AC2DE7" w:rsidRPr="00AC2DE7">
        <w:rPr>
          <w:rFonts w:ascii="Times New Roman" w:hAnsi="Times New Roman"/>
        </w:rPr>
        <w:t xml:space="preserve"> w spr</w:t>
      </w:r>
      <w:r w:rsidRPr="00AC2DE7">
        <w:rPr>
          <w:rFonts w:ascii="Times New Roman" w:hAnsi="Times New Roman"/>
        </w:rPr>
        <w:t>awie utworzenia, funkcjonowania</w:t>
      </w:r>
      <w:r w:rsidR="00AC2DE7" w:rsidRPr="00AC2DE7">
        <w:rPr>
          <w:rFonts w:ascii="Times New Roman" w:hAnsi="Times New Roman"/>
        </w:rPr>
        <w:t xml:space="preserve"> i uży</w:t>
      </w:r>
      <w:r w:rsidRPr="00AC2DE7">
        <w:rPr>
          <w:rFonts w:ascii="Times New Roman" w:hAnsi="Times New Roman"/>
        </w:rPr>
        <w:t>tkowania Systemu Informacyjnego Schengen drugiej generacji (SIS II) odnosi się wyłącznie do obywateli państw trzecich, dlatego wpisy dokonywane na podstawie tego artykułu nigdy nie są istotne</w:t>
      </w:r>
      <w:r w:rsidR="00AC2DE7" w:rsidRPr="00AC2DE7">
        <w:rPr>
          <w:rFonts w:ascii="Times New Roman" w:hAnsi="Times New Roman"/>
        </w:rPr>
        <w:t xml:space="preserve"> z per</w:t>
      </w:r>
      <w:r w:rsidRPr="00AC2DE7">
        <w:rPr>
          <w:rFonts w:ascii="Times New Roman" w:hAnsi="Times New Roman"/>
        </w:rPr>
        <w:t>spektywy obywateli Unii. Ponadto art.</w:t>
      </w:r>
      <w:r w:rsidR="00836F72" w:rsidRPr="00AC2DE7">
        <w:rPr>
          <w:rFonts w:ascii="Times New Roman" w:hAnsi="Times New Roman"/>
        </w:rPr>
        <w:t> </w:t>
      </w:r>
      <w:r w:rsidRPr="00AC2DE7">
        <w:rPr>
          <w:rFonts w:ascii="Times New Roman" w:hAnsi="Times New Roman"/>
        </w:rPr>
        <w:t>24 może obejmować wpisy, których podstawą nie jest bezpieczeństwo,</w:t>
      </w:r>
      <w:r w:rsidR="00AC2DE7" w:rsidRPr="00AC2DE7">
        <w:rPr>
          <w:rFonts w:ascii="Times New Roman" w:hAnsi="Times New Roman"/>
        </w:rPr>
        <w:t xml:space="preserve"> a zat</w:t>
      </w:r>
      <w:r w:rsidRPr="00AC2DE7">
        <w:rPr>
          <w:rFonts w:ascii="Times New Roman" w:hAnsi="Times New Roman"/>
        </w:rPr>
        <w:t>em nie wszystkie takie trafienia mogą być istotne, jeśli chodzi</w:t>
      </w:r>
      <w:r w:rsidR="00AC2DE7" w:rsidRPr="00AC2DE7">
        <w:rPr>
          <w:rFonts w:ascii="Times New Roman" w:hAnsi="Times New Roman"/>
        </w:rPr>
        <w:t xml:space="preserve"> o oce</w:t>
      </w:r>
      <w:r w:rsidRPr="00AC2DE7">
        <w:rPr>
          <w:rFonts w:ascii="Times New Roman" w:hAnsi="Times New Roman"/>
        </w:rPr>
        <w:t>nę zapobiegania zagrożeniom dla bezpieczeństwa wewnętrznego strefy Schengen.</w:t>
      </w:r>
    </w:p>
  </w:footnote>
  <w:footnote w:id="26">
    <w:p w14:paraId="082BE52C" w14:textId="1875FF1E" w:rsidR="008140CF" w:rsidRPr="00AC2DE7" w:rsidRDefault="008140CF" w:rsidP="004617F6">
      <w:pPr>
        <w:spacing w:after="0"/>
        <w:ind w:left="284" w:hanging="284"/>
        <w:jc w:val="both"/>
        <w:rPr>
          <w:rFonts w:ascii="Times New Roman" w:hAnsi="Times New Roman" w:cs="Times New Roman"/>
          <w:sz w:val="20"/>
          <w:szCs w:val="20"/>
          <w:highlight w:val="yellow"/>
        </w:rPr>
      </w:pPr>
      <w:r w:rsidRPr="00AC2DE7">
        <w:rPr>
          <w:rStyle w:val="FootnoteReference"/>
          <w:rFonts w:ascii="Times New Roman" w:hAnsi="Times New Roman" w:cs="Times New Roman"/>
          <w:sz w:val="20"/>
          <w:szCs w:val="20"/>
        </w:rPr>
        <w:footnoteRef/>
      </w:r>
      <w:r w:rsidRPr="00AC2DE7">
        <w:rPr>
          <w:rFonts w:ascii="Times New Roman" w:hAnsi="Times New Roman"/>
          <w:sz w:val="20"/>
        </w:rPr>
        <w:t xml:space="preserve"> </w:t>
      </w:r>
      <w:r w:rsidRPr="00AC2DE7">
        <w:rPr>
          <w:rFonts w:ascii="Times New Roman" w:hAnsi="Times New Roman"/>
          <w:sz w:val="20"/>
        </w:rPr>
        <w:tab/>
        <w:t>Zespół badawczy zwrócił się</w:t>
      </w:r>
      <w:r w:rsidR="00AC2DE7" w:rsidRPr="00AC2DE7">
        <w:rPr>
          <w:rFonts w:ascii="Times New Roman" w:hAnsi="Times New Roman"/>
          <w:sz w:val="20"/>
        </w:rPr>
        <w:t xml:space="preserve"> o dan</w:t>
      </w:r>
      <w:r w:rsidRPr="00AC2DE7">
        <w:rPr>
          <w:rFonts w:ascii="Times New Roman" w:hAnsi="Times New Roman"/>
          <w:sz w:val="20"/>
        </w:rPr>
        <w:t>e dotyczące trafień zarówno</w:t>
      </w:r>
      <w:r w:rsidR="00AC2DE7" w:rsidRPr="00AC2DE7">
        <w:rPr>
          <w:rFonts w:ascii="Times New Roman" w:hAnsi="Times New Roman"/>
          <w:sz w:val="20"/>
        </w:rPr>
        <w:t xml:space="preserve"> w ram</w:t>
      </w:r>
      <w:r w:rsidRPr="00AC2DE7">
        <w:rPr>
          <w:rFonts w:ascii="Times New Roman" w:hAnsi="Times New Roman"/>
          <w:sz w:val="20"/>
        </w:rPr>
        <w:t>ach wniosku</w:t>
      </w:r>
      <w:r w:rsidR="00AC2DE7" w:rsidRPr="00AC2DE7">
        <w:rPr>
          <w:rFonts w:ascii="Times New Roman" w:hAnsi="Times New Roman"/>
          <w:sz w:val="20"/>
        </w:rPr>
        <w:t xml:space="preserve"> o inf</w:t>
      </w:r>
      <w:r w:rsidRPr="00AC2DE7">
        <w:rPr>
          <w:rFonts w:ascii="Times New Roman" w:hAnsi="Times New Roman"/>
          <w:sz w:val="20"/>
        </w:rPr>
        <w:t>ormacje uzupełniające na poziomie dostępów krajowych (SIRENE), jak</w:t>
      </w:r>
      <w:r w:rsidR="00AC2DE7" w:rsidRPr="00AC2DE7">
        <w:rPr>
          <w:rFonts w:ascii="Times New Roman" w:hAnsi="Times New Roman"/>
          <w:sz w:val="20"/>
        </w:rPr>
        <w:t xml:space="preserve"> i w ram</w:t>
      </w:r>
      <w:r w:rsidRPr="00AC2DE7">
        <w:rPr>
          <w:rFonts w:ascii="Times New Roman" w:hAnsi="Times New Roman"/>
          <w:sz w:val="20"/>
        </w:rPr>
        <w:t>ach badania przeprowadzonego przez straż graniczną</w:t>
      </w:r>
      <w:r w:rsidR="00AC2DE7" w:rsidRPr="00AC2DE7">
        <w:rPr>
          <w:rFonts w:ascii="Times New Roman" w:hAnsi="Times New Roman"/>
          <w:sz w:val="20"/>
        </w:rPr>
        <w:t>.</w:t>
      </w:r>
      <w:r w:rsidR="00AC2DE7" w:rsidRPr="00AC2DE7">
        <w:t xml:space="preserve"> </w:t>
      </w:r>
      <w:r w:rsidR="00AC2DE7" w:rsidRPr="00AC2DE7">
        <w:rPr>
          <w:rFonts w:ascii="Times New Roman" w:hAnsi="Times New Roman"/>
          <w:sz w:val="20"/>
        </w:rPr>
        <w:t>W bad</w:t>
      </w:r>
      <w:r w:rsidRPr="00AC2DE7">
        <w:rPr>
          <w:rFonts w:ascii="Times New Roman" w:hAnsi="Times New Roman"/>
          <w:sz w:val="20"/>
        </w:rPr>
        <w:t>aniu tym dane,</w:t>
      </w:r>
      <w:r w:rsidR="00AC2DE7" w:rsidRPr="00AC2DE7">
        <w:rPr>
          <w:rFonts w:ascii="Times New Roman" w:hAnsi="Times New Roman"/>
          <w:sz w:val="20"/>
        </w:rPr>
        <w:t xml:space="preserve"> o któ</w:t>
      </w:r>
      <w:r w:rsidRPr="00AC2DE7">
        <w:rPr>
          <w:rFonts w:ascii="Times New Roman" w:hAnsi="Times New Roman"/>
          <w:sz w:val="20"/>
        </w:rPr>
        <w:t>re zwrócił się zespół badawczy, dotyczyły tylko art.</w:t>
      </w:r>
      <w:r w:rsidR="00836F72" w:rsidRPr="00AC2DE7">
        <w:rPr>
          <w:rFonts w:ascii="Times New Roman" w:hAnsi="Times New Roman"/>
          <w:sz w:val="20"/>
        </w:rPr>
        <w:t> </w:t>
      </w:r>
      <w:r w:rsidRPr="00AC2DE7">
        <w:rPr>
          <w:rFonts w:ascii="Times New Roman" w:hAnsi="Times New Roman"/>
          <w:sz w:val="20"/>
        </w:rPr>
        <w:t>26, 32</w:t>
      </w:r>
      <w:r w:rsidR="00AC2DE7" w:rsidRPr="00AC2DE7">
        <w:rPr>
          <w:rFonts w:ascii="Times New Roman" w:hAnsi="Times New Roman"/>
          <w:sz w:val="20"/>
        </w:rPr>
        <w:t xml:space="preserve"> i 3</w:t>
      </w:r>
      <w:r w:rsidRPr="00AC2DE7">
        <w:rPr>
          <w:rFonts w:ascii="Times New Roman" w:hAnsi="Times New Roman"/>
          <w:sz w:val="20"/>
        </w:rPr>
        <w:t>4 decyzji 2007/533</w:t>
      </w:r>
      <w:r w:rsidR="00AC2DE7" w:rsidRPr="00AC2DE7">
        <w:rPr>
          <w:rFonts w:ascii="Times New Roman" w:hAnsi="Times New Roman"/>
          <w:sz w:val="20"/>
        </w:rPr>
        <w:t xml:space="preserve"> i art</w:t>
      </w:r>
      <w:r w:rsidRPr="00AC2DE7">
        <w:rPr>
          <w:rFonts w:ascii="Times New Roman" w:hAnsi="Times New Roman"/>
          <w:sz w:val="20"/>
        </w:rPr>
        <w:t>.</w:t>
      </w:r>
      <w:r w:rsidR="00836F72" w:rsidRPr="00AC2DE7">
        <w:rPr>
          <w:rFonts w:ascii="Times New Roman" w:hAnsi="Times New Roman"/>
          <w:sz w:val="20"/>
        </w:rPr>
        <w:t> </w:t>
      </w:r>
      <w:r w:rsidRPr="00AC2DE7">
        <w:rPr>
          <w:rFonts w:ascii="Times New Roman" w:hAnsi="Times New Roman"/>
          <w:sz w:val="20"/>
        </w:rPr>
        <w:t>24 rozporządzenia (WE) 1987/2006 oraz art.</w:t>
      </w:r>
      <w:r w:rsidR="00836F72" w:rsidRPr="00AC2DE7">
        <w:rPr>
          <w:rFonts w:ascii="Times New Roman" w:hAnsi="Times New Roman"/>
          <w:sz w:val="20"/>
        </w:rPr>
        <w:t> </w:t>
      </w:r>
      <w:r w:rsidRPr="00AC2DE7">
        <w:rPr>
          <w:rFonts w:ascii="Times New Roman" w:hAnsi="Times New Roman"/>
          <w:sz w:val="20"/>
        </w:rPr>
        <w:t>36 ust.</w:t>
      </w:r>
      <w:r w:rsidR="00836F72" w:rsidRPr="00AC2DE7">
        <w:rPr>
          <w:rFonts w:ascii="Times New Roman" w:hAnsi="Times New Roman"/>
          <w:sz w:val="20"/>
        </w:rPr>
        <w:t> </w:t>
      </w:r>
      <w:r w:rsidRPr="00AC2DE7">
        <w:rPr>
          <w:rFonts w:ascii="Times New Roman" w:hAnsi="Times New Roman"/>
          <w:sz w:val="20"/>
        </w:rPr>
        <w:t>2, art.</w:t>
      </w:r>
      <w:r w:rsidR="00836F72" w:rsidRPr="00AC2DE7">
        <w:rPr>
          <w:rFonts w:ascii="Times New Roman" w:hAnsi="Times New Roman"/>
          <w:sz w:val="20"/>
        </w:rPr>
        <w:t> </w:t>
      </w:r>
      <w:r w:rsidRPr="00AC2DE7">
        <w:rPr>
          <w:rFonts w:ascii="Times New Roman" w:hAnsi="Times New Roman"/>
          <w:sz w:val="20"/>
        </w:rPr>
        <w:t>36 ust.</w:t>
      </w:r>
      <w:r w:rsidR="00836F72" w:rsidRPr="00AC2DE7">
        <w:rPr>
          <w:rFonts w:ascii="Times New Roman" w:hAnsi="Times New Roman"/>
          <w:sz w:val="20"/>
        </w:rPr>
        <w:t> </w:t>
      </w:r>
      <w:r w:rsidRPr="00AC2DE7">
        <w:rPr>
          <w:rFonts w:ascii="Times New Roman" w:hAnsi="Times New Roman"/>
          <w:sz w:val="20"/>
        </w:rPr>
        <w:t>3, art.</w:t>
      </w:r>
      <w:r w:rsidR="00836F72" w:rsidRPr="00AC2DE7">
        <w:rPr>
          <w:rFonts w:ascii="Times New Roman" w:hAnsi="Times New Roman"/>
          <w:sz w:val="20"/>
        </w:rPr>
        <w:t> </w:t>
      </w:r>
      <w:r w:rsidRPr="00AC2DE7">
        <w:rPr>
          <w:rFonts w:ascii="Times New Roman" w:hAnsi="Times New Roman"/>
          <w:sz w:val="20"/>
        </w:rPr>
        <w:t>38 ust.</w:t>
      </w:r>
      <w:r w:rsidR="00836F72" w:rsidRPr="00AC2DE7">
        <w:rPr>
          <w:rFonts w:ascii="Times New Roman" w:hAnsi="Times New Roman"/>
          <w:sz w:val="20"/>
        </w:rPr>
        <w:t> </w:t>
      </w:r>
      <w:r w:rsidRPr="00AC2DE7">
        <w:rPr>
          <w:rFonts w:ascii="Times New Roman" w:hAnsi="Times New Roman"/>
          <w:sz w:val="20"/>
        </w:rPr>
        <w:t>2 lit.</w:t>
      </w:r>
      <w:r w:rsidR="00836F72" w:rsidRPr="00AC2DE7">
        <w:rPr>
          <w:rFonts w:ascii="Times New Roman" w:hAnsi="Times New Roman"/>
          <w:sz w:val="20"/>
        </w:rPr>
        <w:t> </w:t>
      </w:r>
      <w:r w:rsidRPr="00AC2DE7">
        <w:rPr>
          <w:rFonts w:ascii="Times New Roman" w:hAnsi="Times New Roman"/>
          <w:sz w:val="20"/>
        </w:rPr>
        <w:t>a)</w:t>
      </w:r>
      <w:r w:rsidR="00AC2DE7" w:rsidRPr="00AC2DE7">
        <w:rPr>
          <w:rFonts w:ascii="Times New Roman" w:hAnsi="Times New Roman"/>
          <w:sz w:val="20"/>
        </w:rPr>
        <w:t xml:space="preserve"> i art</w:t>
      </w:r>
      <w:r w:rsidRPr="00AC2DE7">
        <w:rPr>
          <w:rFonts w:ascii="Times New Roman" w:hAnsi="Times New Roman"/>
          <w:sz w:val="20"/>
        </w:rPr>
        <w:t>.</w:t>
      </w:r>
      <w:r w:rsidR="00836F72" w:rsidRPr="00AC2DE7">
        <w:rPr>
          <w:rFonts w:ascii="Times New Roman" w:hAnsi="Times New Roman"/>
          <w:sz w:val="20"/>
        </w:rPr>
        <w:t> </w:t>
      </w:r>
      <w:r w:rsidRPr="00AC2DE7">
        <w:rPr>
          <w:rFonts w:ascii="Times New Roman" w:hAnsi="Times New Roman"/>
          <w:sz w:val="20"/>
        </w:rPr>
        <w:t>38 ust.</w:t>
      </w:r>
      <w:r w:rsidR="00836F72" w:rsidRPr="00AC2DE7">
        <w:rPr>
          <w:rFonts w:ascii="Times New Roman" w:hAnsi="Times New Roman"/>
          <w:sz w:val="20"/>
        </w:rPr>
        <w:t> </w:t>
      </w:r>
      <w:r w:rsidRPr="00AC2DE7">
        <w:rPr>
          <w:rFonts w:ascii="Times New Roman" w:hAnsi="Times New Roman"/>
          <w:sz w:val="20"/>
        </w:rPr>
        <w:t>2 lit.</w:t>
      </w:r>
      <w:r w:rsidR="00836F72" w:rsidRPr="00AC2DE7">
        <w:rPr>
          <w:rFonts w:ascii="Times New Roman" w:hAnsi="Times New Roman"/>
          <w:sz w:val="20"/>
        </w:rPr>
        <w:t> </w:t>
      </w:r>
      <w:r w:rsidRPr="00AC2DE7">
        <w:rPr>
          <w:rFonts w:ascii="Times New Roman" w:hAnsi="Times New Roman"/>
          <w:sz w:val="20"/>
        </w:rPr>
        <w:t>e) wspomnianej decyzji. Zwrócono się również</w:t>
      </w:r>
      <w:r w:rsidR="00AC2DE7" w:rsidRPr="00AC2DE7">
        <w:rPr>
          <w:rFonts w:ascii="Times New Roman" w:hAnsi="Times New Roman"/>
          <w:sz w:val="20"/>
        </w:rPr>
        <w:t xml:space="preserve"> o dan</w:t>
      </w:r>
      <w:r w:rsidRPr="00AC2DE7">
        <w:rPr>
          <w:rFonts w:ascii="Times New Roman" w:hAnsi="Times New Roman"/>
          <w:sz w:val="20"/>
        </w:rPr>
        <w:t>e dotyczące konkretnych odwiedzonych miejsc</w:t>
      </w:r>
      <w:r w:rsidR="00AC2DE7" w:rsidRPr="00AC2DE7">
        <w:rPr>
          <w:rFonts w:ascii="Times New Roman" w:hAnsi="Times New Roman"/>
          <w:sz w:val="20"/>
        </w:rPr>
        <w:t>. W prz</w:t>
      </w:r>
      <w:r w:rsidRPr="00AC2DE7">
        <w:rPr>
          <w:rFonts w:ascii="Times New Roman" w:hAnsi="Times New Roman"/>
          <w:sz w:val="20"/>
        </w:rPr>
        <w:t>ypadku danych,</w:t>
      </w:r>
      <w:r w:rsidR="00AC2DE7" w:rsidRPr="00AC2DE7">
        <w:rPr>
          <w:rFonts w:ascii="Times New Roman" w:hAnsi="Times New Roman"/>
          <w:sz w:val="20"/>
        </w:rPr>
        <w:t xml:space="preserve"> o któ</w:t>
      </w:r>
      <w:r w:rsidRPr="00AC2DE7">
        <w:rPr>
          <w:rFonts w:ascii="Times New Roman" w:hAnsi="Times New Roman"/>
          <w:sz w:val="20"/>
        </w:rPr>
        <w:t>re zwrócono się</w:t>
      </w:r>
      <w:r w:rsidR="00AC2DE7" w:rsidRPr="00AC2DE7">
        <w:rPr>
          <w:rFonts w:ascii="Times New Roman" w:hAnsi="Times New Roman"/>
          <w:sz w:val="20"/>
        </w:rPr>
        <w:t xml:space="preserve"> w ram</w:t>
      </w:r>
      <w:r w:rsidRPr="00AC2DE7">
        <w:rPr>
          <w:rFonts w:ascii="Times New Roman" w:hAnsi="Times New Roman"/>
          <w:sz w:val="20"/>
        </w:rPr>
        <w:t>ach SIRENE, poproszono nawet</w:t>
      </w:r>
      <w:r w:rsidR="00AC2DE7" w:rsidRPr="00AC2DE7">
        <w:rPr>
          <w:rFonts w:ascii="Times New Roman" w:hAnsi="Times New Roman"/>
          <w:sz w:val="20"/>
        </w:rPr>
        <w:t xml:space="preserve"> o pod</w:t>
      </w:r>
      <w:r w:rsidRPr="00AC2DE7">
        <w:rPr>
          <w:rFonts w:ascii="Times New Roman" w:hAnsi="Times New Roman"/>
          <w:sz w:val="20"/>
        </w:rPr>
        <w:t>anie podkategorii</w:t>
      </w:r>
      <w:r w:rsidR="00AC2DE7" w:rsidRPr="00AC2DE7">
        <w:rPr>
          <w:rFonts w:ascii="Times New Roman" w:hAnsi="Times New Roman"/>
          <w:sz w:val="20"/>
        </w:rPr>
        <w:t xml:space="preserve"> w ram</w:t>
      </w:r>
      <w:r w:rsidRPr="00AC2DE7">
        <w:rPr>
          <w:rFonts w:ascii="Times New Roman" w:hAnsi="Times New Roman"/>
          <w:sz w:val="20"/>
        </w:rPr>
        <w:t>ach poszczególnych artykułów</w:t>
      </w:r>
      <w:r w:rsidR="00AC2DE7" w:rsidRPr="00AC2DE7">
        <w:rPr>
          <w:rFonts w:ascii="Times New Roman" w:hAnsi="Times New Roman"/>
          <w:sz w:val="20"/>
        </w:rPr>
        <w:t xml:space="preserve"> i ust</w:t>
      </w:r>
      <w:r w:rsidRPr="00AC2DE7">
        <w:rPr>
          <w:rFonts w:ascii="Times New Roman" w:hAnsi="Times New Roman"/>
          <w:sz w:val="20"/>
        </w:rPr>
        <w:t>ępów. Kategorie te obejmowały zagranicznych bojowników terrorystycznych</w:t>
      </w:r>
      <w:r w:rsidR="00AC2DE7" w:rsidRPr="00AC2DE7">
        <w:rPr>
          <w:rFonts w:ascii="Times New Roman" w:hAnsi="Times New Roman"/>
          <w:sz w:val="20"/>
        </w:rPr>
        <w:t xml:space="preserve"> i prz</w:t>
      </w:r>
      <w:r w:rsidRPr="00AC2DE7">
        <w:rPr>
          <w:rFonts w:ascii="Times New Roman" w:hAnsi="Times New Roman"/>
          <w:sz w:val="20"/>
        </w:rPr>
        <w:t>estępstwa. Założono, że</w:t>
      </w:r>
      <w:r w:rsidR="00AC2DE7" w:rsidRPr="00AC2DE7">
        <w:rPr>
          <w:rFonts w:ascii="Times New Roman" w:hAnsi="Times New Roman"/>
          <w:sz w:val="20"/>
        </w:rPr>
        <w:t xml:space="preserve"> w baz</w:t>
      </w:r>
      <w:r w:rsidRPr="00AC2DE7">
        <w:rPr>
          <w:rFonts w:ascii="Times New Roman" w:hAnsi="Times New Roman"/>
          <w:sz w:val="20"/>
        </w:rPr>
        <w:t>ie danych SIRENE gromadzone są</w:t>
      </w:r>
      <w:r w:rsidR="00AC2DE7" w:rsidRPr="00AC2DE7">
        <w:rPr>
          <w:rFonts w:ascii="Times New Roman" w:hAnsi="Times New Roman"/>
          <w:sz w:val="20"/>
        </w:rPr>
        <w:t xml:space="preserve"> i utr</w:t>
      </w:r>
      <w:r w:rsidRPr="00AC2DE7">
        <w:rPr>
          <w:rFonts w:ascii="Times New Roman" w:hAnsi="Times New Roman"/>
          <w:sz w:val="20"/>
        </w:rPr>
        <w:t xml:space="preserve">zymywane bardziej szczegółowe dane, ponieważ są one przekazywane z SIRENE również do eu-LISA. </w:t>
      </w:r>
    </w:p>
  </w:footnote>
  <w:footnote w:id="27">
    <w:p w14:paraId="529AF1C1" w14:textId="5BD0835D"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Wniosek</w:t>
      </w:r>
      <w:r w:rsidR="00AC2DE7" w:rsidRPr="00AC2DE7">
        <w:rPr>
          <w:rFonts w:ascii="Times New Roman" w:hAnsi="Times New Roman"/>
        </w:rPr>
        <w:t xml:space="preserve"> o inf</w:t>
      </w:r>
      <w:r w:rsidRPr="00AC2DE7">
        <w:rPr>
          <w:rFonts w:ascii="Times New Roman" w:hAnsi="Times New Roman"/>
        </w:rPr>
        <w:t>ormacje uzupełniające na poziomie dostępów krajowych (SIRENE). Każde państwo członkowskie UE, które korzysta z SIS, utworzyło działające całodobowo krajowe biuro SIRENE, które jest odpowiedzialne za wymianę informacji uzupełniających</w:t>
      </w:r>
      <w:r w:rsidR="00AC2DE7" w:rsidRPr="00AC2DE7">
        <w:rPr>
          <w:rFonts w:ascii="Times New Roman" w:hAnsi="Times New Roman"/>
        </w:rPr>
        <w:t xml:space="preserve"> i koo</w:t>
      </w:r>
      <w:r w:rsidRPr="00AC2DE7">
        <w:rPr>
          <w:rFonts w:ascii="Times New Roman" w:hAnsi="Times New Roman"/>
        </w:rPr>
        <w:t>rdynację działań związanych</w:t>
      </w:r>
      <w:r w:rsidR="00AC2DE7" w:rsidRPr="00AC2DE7">
        <w:rPr>
          <w:rFonts w:ascii="Times New Roman" w:hAnsi="Times New Roman"/>
        </w:rPr>
        <w:t xml:space="preserve"> z wpi</w:t>
      </w:r>
      <w:r w:rsidRPr="00AC2DE7">
        <w:rPr>
          <w:rFonts w:ascii="Times New Roman" w:hAnsi="Times New Roman"/>
        </w:rPr>
        <w:t>sami w SIS.</w:t>
      </w:r>
    </w:p>
  </w:footnote>
  <w:footnote w:id="28">
    <w:p w14:paraId="7D322E19" w14:textId="327C82AC"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Rozporządzenie (WE) nr</w:t>
      </w:r>
      <w:r w:rsidR="00836F72" w:rsidRPr="00AC2DE7">
        <w:rPr>
          <w:rFonts w:ascii="Times New Roman" w:hAnsi="Times New Roman"/>
        </w:rPr>
        <w:t> </w:t>
      </w:r>
      <w:r w:rsidRPr="00AC2DE7">
        <w:rPr>
          <w:rFonts w:ascii="Times New Roman" w:hAnsi="Times New Roman"/>
        </w:rPr>
        <w:t>1987/2006 Parlamentu Europejskiego</w:t>
      </w:r>
      <w:r w:rsidR="00AC2DE7" w:rsidRPr="00AC2DE7">
        <w:rPr>
          <w:rFonts w:ascii="Times New Roman" w:hAnsi="Times New Roman"/>
        </w:rPr>
        <w:t xml:space="preserve"> i Rad</w:t>
      </w:r>
      <w:r w:rsidRPr="00AC2DE7">
        <w:rPr>
          <w:rFonts w:ascii="Times New Roman" w:hAnsi="Times New Roman"/>
        </w:rPr>
        <w:t>y</w:t>
      </w:r>
      <w:r w:rsidR="00AC2DE7" w:rsidRPr="00AC2DE7">
        <w:rPr>
          <w:rFonts w:ascii="Times New Roman" w:hAnsi="Times New Roman"/>
        </w:rPr>
        <w:t xml:space="preserve"> z dni</w:t>
      </w:r>
      <w:r w:rsidRPr="00AC2DE7">
        <w:rPr>
          <w:rFonts w:ascii="Times New Roman" w:hAnsi="Times New Roman"/>
        </w:rPr>
        <w:t>a 20 grudnia 2006</w:t>
      </w:r>
      <w:r w:rsidR="00836F72" w:rsidRPr="00AC2DE7">
        <w:rPr>
          <w:rFonts w:ascii="Times New Roman" w:hAnsi="Times New Roman"/>
        </w:rPr>
        <w:t> </w:t>
      </w:r>
      <w:r w:rsidRPr="00AC2DE7">
        <w:rPr>
          <w:rFonts w:ascii="Times New Roman" w:hAnsi="Times New Roman"/>
        </w:rPr>
        <w:t>r.</w:t>
      </w:r>
      <w:r w:rsidR="00AC2DE7" w:rsidRPr="00AC2DE7">
        <w:rPr>
          <w:rFonts w:ascii="Times New Roman" w:hAnsi="Times New Roman"/>
        </w:rPr>
        <w:t xml:space="preserve"> w spr</w:t>
      </w:r>
      <w:r w:rsidRPr="00AC2DE7">
        <w:rPr>
          <w:rFonts w:ascii="Times New Roman" w:hAnsi="Times New Roman"/>
        </w:rPr>
        <w:t>awie utworzenia, funkcjonowania</w:t>
      </w:r>
      <w:r w:rsidR="00AC2DE7" w:rsidRPr="00AC2DE7">
        <w:rPr>
          <w:rFonts w:ascii="Times New Roman" w:hAnsi="Times New Roman"/>
        </w:rPr>
        <w:t xml:space="preserve"> i uży</w:t>
      </w:r>
      <w:r w:rsidRPr="00AC2DE7">
        <w:rPr>
          <w:rFonts w:ascii="Times New Roman" w:hAnsi="Times New Roman"/>
        </w:rPr>
        <w:t>tkowania Systemu Informacyjnego Schengen drugiej generacji (SIS II) (Dz.U. L 381</w:t>
      </w:r>
      <w:r w:rsidR="00AC2DE7" w:rsidRPr="00AC2DE7">
        <w:rPr>
          <w:rFonts w:ascii="Times New Roman" w:hAnsi="Times New Roman"/>
        </w:rPr>
        <w:t xml:space="preserve"> z 2</w:t>
      </w:r>
      <w:r w:rsidRPr="00AC2DE7">
        <w:rPr>
          <w:rFonts w:ascii="Times New Roman" w:hAnsi="Times New Roman"/>
        </w:rPr>
        <w:t>8.12.2006, s. 4).</w:t>
      </w:r>
    </w:p>
  </w:footnote>
  <w:footnote w:id="29">
    <w:p w14:paraId="3A8EB52E" w14:textId="165495C4"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Z badania przeprowadzonego przez wykonawcę zewnętrznego wynika, że tylko cztery państwa członkowskie przedstawiły szacunkowe dane dotyczące wydłużenia czasu oczekiwania</w:t>
      </w:r>
      <w:r w:rsidR="00AC2DE7" w:rsidRPr="00AC2DE7">
        <w:rPr>
          <w:rFonts w:ascii="Times New Roman" w:hAnsi="Times New Roman"/>
        </w:rPr>
        <w:t xml:space="preserve"> w min</w:t>
      </w:r>
      <w:r w:rsidRPr="00AC2DE7">
        <w:rPr>
          <w:rFonts w:ascii="Times New Roman" w:hAnsi="Times New Roman"/>
        </w:rPr>
        <w:t>utach. Na podstawie ograniczonych danych zebranych od organów straży granicznej wykonawca zewnętrzny określił dwa skrajne scenariusze – scenariusz optymistyczny,</w:t>
      </w:r>
      <w:r w:rsidR="00AC2DE7" w:rsidRPr="00AC2DE7">
        <w:rPr>
          <w:rFonts w:ascii="Times New Roman" w:hAnsi="Times New Roman"/>
        </w:rPr>
        <w:t xml:space="preserve"> w któ</w:t>
      </w:r>
      <w:r w:rsidRPr="00AC2DE7">
        <w:rPr>
          <w:rFonts w:ascii="Times New Roman" w:hAnsi="Times New Roman"/>
        </w:rPr>
        <w:t>rym czas oczekiwania na pasażera wzrósł</w:t>
      </w:r>
      <w:r w:rsidR="00AC2DE7" w:rsidRPr="00AC2DE7">
        <w:rPr>
          <w:rFonts w:ascii="Times New Roman" w:hAnsi="Times New Roman"/>
        </w:rPr>
        <w:t xml:space="preserve"> o jed</w:t>
      </w:r>
      <w:r w:rsidRPr="00AC2DE7">
        <w:rPr>
          <w:rFonts w:ascii="Times New Roman" w:hAnsi="Times New Roman"/>
        </w:rPr>
        <w:t>ną minutę</w:t>
      </w:r>
      <w:r w:rsidR="00AC2DE7" w:rsidRPr="00AC2DE7">
        <w:rPr>
          <w:rFonts w:ascii="Times New Roman" w:hAnsi="Times New Roman"/>
        </w:rPr>
        <w:t xml:space="preserve"> z pow</w:t>
      </w:r>
      <w:r w:rsidRPr="00AC2DE7">
        <w:rPr>
          <w:rFonts w:ascii="Times New Roman" w:hAnsi="Times New Roman"/>
        </w:rPr>
        <w:t>odu wprowadzenia systematycznych odpraw, oraz scenariusz pesymistyczny,</w:t>
      </w:r>
      <w:r w:rsidR="00AC2DE7" w:rsidRPr="00AC2DE7">
        <w:rPr>
          <w:rFonts w:ascii="Times New Roman" w:hAnsi="Times New Roman"/>
        </w:rPr>
        <w:t xml:space="preserve"> w któ</w:t>
      </w:r>
      <w:r w:rsidRPr="00AC2DE7">
        <w:rPr>
          <w:rFonts w:ascii="Times New Roman" w:hAnsi="Times New Roman"/>
        </w:rPr>
        <w:t>rym czas oczekiwania na pasażera wzrósł</w:t>
      </w:r>
      <w:r w:rsidR="00AC2DE7" w:rsidRPr="00AC2DE7">
        <w:rPr>
          <w:rFonts w:ascii="Times New Roman" w:hAnsi="Times New Roman"/>
        </w:rPr>
        <w:t xml:space="preserve"> o trz</w:t>
      </w:r>
      <w:r w:rsidRPr="00AC2DE7">
        <w:rPr>
          <w:rFonts w:ascii="Times New Roman" w:hAnsi="Times New Roman"/>
        </w:rPr>
        <w:t>ynaście minut</w:t>
      </w:r>
      <w:r w:rsidR="00AC2DE7" w:rsidRPr="00AC2DE7">
        <w:rPr>
          <w:rFonts w:ascii="Times New Roman" w:hAnsi="Times New Roman"/>
        </w:rPr>
        <w:t xml:space="preserve"> z pow</w:t>
      </w:r>
      <w:r w:rsidRPr="00AC2DE7">
        <w:rPr>
          <w:rFonts w:ascii="Times New Roman" w:hAnsi="Times New Roman"/>
        </w:rPr>
        <w:t>odu wprowadzenia systematycznych odpraw</w:t>
      </w:r>
      <w:r w:rsidR="00AC2DE7" w:rsidRPr="00AC2DE7">
        <w:rPr>
          <w:rFonts w:ascii="Times New Roman" w:hAnsi="Times New Roman"/>
        </w:rPr>
        <w:t>. Z dan</w:t>
      </w:r>
      <w:r w:rsidRPr="00AC2DE7">
        <w:rPr>
          <w:rFonts w:ascii="Times New Roman" w:hAnsi="Times New Roman"/>
        </w:rPr>
        <w:t>ych dostarczonych wykonawcy zewnętrznemu wynika, że koszt na jednego pasażera wynosi od</w:t>
      </w:r>
      <w:r w:rsidR="00836F72" w:rsidRPr="00AC2DE7">
        <w:rPr>
          <w:rFonts w:ascii="Times New Roman" w:hAnsi="Times New Roman"/>
        </w:rPr>
        <w:t> </w:t>
      </w:r>
      <w:r w:rsidRPr="00AC2DE7">
        <w:rPr>
          <w:rFonts w:ascii="Times New Roman" w:hAnsi="Times New Roman"/>
        </w:rPr>
        <w:t>0,08 EUR do</w:t>
      </w:r>
      <w:r w:rsidR="00836F72" w:rsidRPr="00AC2DE7">
        <w:rPr>
          <w:rFonts w:ascii="Times New Roman" w:hAnsi="Times New Roman"/>
        </w:rPr>
        <w:t> </w:t>
      </w:r>
      <w:r w:rsidRPr="00AC2DE7">
        <w:rPr>
          <w:rFonts w:ascii="Times New Roman" w:hAnsi="Times New Roman"/>
        </w:rPr>
        <w:t>0,16 EUR.</w:t>
      </w:r>
    </w:p>
  </w:footnote>
  <w:footnote w:id="30">
    <w:p w14:paraId="1D06A2BA" w14:textId="50E0CE04"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Oświadczenie wydane przez the Biuro Narodów Zjednoczonych ds. Narkotyków</w:t>
      </w:r>
      <w:r w:rsidR="00AC2DE7" w:rsidRPr="00AC2DE7">
        <w:rPr>
          <w:rFonts w:ascii="Times New Roman" w:hAnsi="Times New Roman"/>
        </w:rPr>
        <w:t xml:space="preserve"> i Prz</w:t>
      </w:r>
      <w:r w:rsidRPr="00AC2DE7">
        <w:rPr>
          <w:rFonts w:ascii="Times New Roman" w:hAnsi="Times New Roman"/>
        </w:rPr>
        <w:t>estępczości (UNODC) podczas wywiadów przeprowadzonych przez wykonawcę zewnętrznego</w:t>
      </w:r>
      <w:r w:rsidR="00AC2DE7" w:rsidRPr="00AC2DE7">
        <w:rPr>
          <w:rFonts w:ascii="Times New Roman" w:hAnsi="Times New Roman"/>
        </w:rPr>
        <w:t xml:space="preserve"> w ram</w:t>
      </w:r>
      <w:r w:rsidRPr="00AC2DE7">
        <w:rPr>
          <w:rFonts w:ascii="Times New Roman" w:hAnsi="Times New Roman"/>
        </w:rPr>
        <w:t xml:space="preserve">ach badania. </w:t>
      </w:r>
    </w:p>
  </w:footnote>
  <w:footnote w:id="31">
    <w:p w14:paraId="6DEB880B" w14:textId="5D6881CC"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Rozporządzenie Rady (WE) nr 2252/2004</w:t>
      </w:r>
      <w:r w:rsidR="00AC2DE7" w:rsidRPr="00AC2DE7">
        <w:rPr>
          <w:rFonts w:ascii="Times New Roman" w:hAnsi="Times New Roman"/>
        </w:rPr>
        <w:t xml:space="preserve"> z dni</w:t>
      </w:r>
      <w:r w:rsidRPr="00AC2DE7">
        <w:rPr>
          <w:rFonts w:ascii="Times New Roman" w:hAnsi="Times New Roman"/>
        </w:rPr>
        <w:t>a 13 grudnia 2004 r.</w:t>
      </w:r>
      <w:r w:rsidR="00AC2DE7" w:rsidRPr="00AC2DE7">
        <w:rPr>
          <w:rFonts w:ascii="Times New Roman" w:hAnsi="Times New Roman"/>
        </w:rPr>
        <w:t xml:space="preserve"> w spr</w:t>
      </w:r>
      <w:r w:rsidRPr="00AC2DE7">
        <w:rPr>
          <w:rFonts w:ascii="Times New Roman" w:hAnsi="Times New Roman"/>
        </w:rPr>
        <w:t>awie norm dotyczących zabezpieczeń</w:t>
      </w:r>
      <w:r w:rsidR="00AC2DE7" w:rsidRPr="00AC2DE7">
        <w:rPr>
          <w:rFonts w:ascii="Times New Roman" w:hAnsi="Times New Roman"/>
        </w:rPr>
        <w:t xml:space="preserve"> i dan</w:t>
      </w:r>
      <w:r w:rsidRPr="00AC2DE7">
        <w:rPr>
          <w:rFonts w:ascii="Times New Roman" w:hAnsi="Times New Roman"/>
        </w:rPr>
        <w:t>ych biometrycznych</w:t>
      </w:r>
      <w:r w:rsidR="00AC2DE7" w:rsidRPr="00AC2DE7">
        <w:rPr>
          <w:rFonts w:ascii="Times New Roman" w:hAnsi="Times New Roman"/>
        </w:rPr>
        <w:t xml:space="preserve"> w pas</w:t>
      </w:r>
      <w:r w:rsidRPr="00AC2DE7">
        <w:rPr>
          <w:rFonts w:ascii="Times New Roman" w:hAnsi="Times New Roman"/>
        </w:rPr>
        <w:t>zportach</w:t>
      </w:r>
      <w:r w:rsidR="00AC2DE7" w:rsidRPr="00AC2DE7">
        <w:rPr>
          <w:rFonts w:ascii="Times New Roman" w:hAnsi="Times New Roman"/>
        </w:rPr>
        <w:t xml:space="preserve"> i dok</w:t>
      </w:r>
      <w:r w:rsidRPr="00AC2DE7">
        <w:rPr>
          <w:rFonts w:ascii="Times New Roman" w:hAnsi="Times New Roman"/>
        </w:rPr>
        <w:t xml:space="preserve">umentach podróży wydawanych przez Państwa Członkowskie </w:t>
      </w:r>
      <w:r w:rsidRPr="00AC2DE7">
        <w:rPr>
          <w:rStyle w:val="Emphasis"/>
          <w:rFonts w:ascii="Times New Roman" w:hAnsi="Times New Roman"/>
          <w:i w:val="0"/>
          <w:color w:val="333333"/>
          <w:shd w:val="clear" w:color="auto" w:fill="FFFFFF"/>
        </w:rPr>
        <w:t>(Dz.U. L 385</w:t>
      </w:r>
      <w:r w:rsidR="00AC2DE7" w:rsidRPr="00AC2DE7">
        <w:rPr>
          <w:rStyle w:val="Emphasis"/>
          <w:rFonts w:ascii="Times New Roman" w:hAnsi="Times New Roman"/>
          <w:i w:val="0"/>
          <w:color w:val="333333"/>
          <w:shd w:val="clear" w:color="auto" w:fill="FFFFFF"/>
        </w:rPr>
        <w:t xml:space="preserve"> z 2</w:t>
      </w:r>
      <w:r w:rsidRPr="00AC2DE7">
        <w:rPr>
          <w:rStyle w:val="Emphasis"/>
          <w:rFonts w:ascii="Times New Roman" w:hAnsi="Times New Roman"/>
          <w:i w:val="0"/>
          <w:color w:val="333333"/>
          <w:shd w:val="clear" w:color="auto" w:fill="FFFFFF"/>
        </w:rPr>
        <w:t>9.12.2004, s. 1)</w:t>
      </w:r>
      <w:r w:rsidRPr="00AC2DE7">
        <w:t>.</w:t>
      </w:r>
      <w:r w:rsidRPr="00AC2DE7">
        <w:rPr>
          <w:rStyle w:val="Emphasis"/>
          <w:rFonts w:ascii="Times New Roman" w:hAnsi="Times New Roman"/>
          <w:color w:val="333333"/>
          <w:shd w:val="clear" w:color="auto" w:fill="FFFFFF"/>
        </w:rPr>
        <w:t xml:space="preserve"> </w:t>
      </w:r>
    </w:p>
  </w:footnote>
  <w:footnote w:id="32">
    <w:p w14:paraId="6FA430BE" w14:textId="7E476F32"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Technika ta polega na tworzeniu nowego wizerunku twarzy przez cyfrowe połączenie odwzorowań twarzy</w:t>
      </w:r>
      <w:r w:rsidR="00AC2DE7" w:rsidRPr="00AC2DE7">
        <w:rPr>
          <w:rFonts w:ascii="Times New Roman" w:hAnsi="Times New Roman"/>
        </w:rPr>
        <w:t xml:space="preserve"> z dwó</w:t>
      </w:r>
      <w:r w:rsidRPr="00AC2DE7">
        <w:rPr>
          <w:rFonts w:ascii="Times New Roman" w:hAnsi="Times New Roman"/>
        </w:rPr>
        <w:t>ch różnych wizerunków. Istnieje wiele różnych technik morfingu, od morfingu automatycznego</w:t>
      </w:r>
      <w:r w:rsidR="00AC2DE7" w:rsidRPr="00AC2DE7">
        <w:rPr>
          <w:rFonts w:ascii="Times New Roman" w:hAnsi="Times New Roman"/>
        </w:rPr>
        <w:t xml:space="preserve"> z wyk</w:t>
      </w:r>
      <w:r w:rsidRPr="00AC2DE7">
        <w:rPr>
          <w:rFonts w:ascii="Times New Roman" w:hAnsi="Times New Roman"/>
        </w:rPr>
        <w:t>orzystaniem aplikacji</w:t>
      </w:r>
      <w:r w:rsidR="00AC2DE7" w:rsidRPr="00AC2DE7">
        <w:rPr>
          <w:rFonts w:ascii="Times New Roman" w:hAnsi="Times New Roman"/>
        </w:rPr>
        <w:t xml:space="preserve"> i opr</w:t>
      </w:r>
      <w:r w:rsidRPr="00AC2DE7">
        <w:rPr>
          <w:rFonts w:ascii="Times New Roman" w:hAnsi="Times New Roman"/>
        </w:rPr>
        <w:t>ogramowania, po morfing ręczny uzyskiwany za pomocą powszechnie dostępnego oprogramowania do edycji zdjęć.</w:t>
      </w:r>
    </w:p>
  </w:footnote>
  <w:footnote w:id="33">
    <w:p w14:paraId="6D315EA3" w14:textId="0255F1C3"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iMARS to projekt badawczy finansowany przez Komisję Europejską, który rozpoczęto we wrześniu 2020</w:t>
      </w:r>
      <w:r w:rsidR="00836F72" w:rsidRPr="00AC2DE7">
        <w:rPr>
          <w:rFonts w:ascii="Times New Roman" w:hAnsi="Times New Roman"/>
        </w:rPr>
        <w:t> </w:t>
      </w:r>
      <w:r w:rsidRPr="00AC2DE7">
        <w:rPr>
          <w:rFonts w:ascii="Times New Roman" w:hAnsi="Times New Roman"/>
        </w:rPr>
        <w:t>r.</w:t>
      </w:r>
      <w:r w:rsidR="00AC2DE7" w:rsidRPr="00AC2DE7">
        <w:rPr>
          <w:rFonts w:ascii="Times New Roman" w:hAnsi="Times New Roman"/>
        </w:rPr>
        <w:t xml:space="preserve"> i któ</w:t>
      </w:r>
      <w:r w:rsidRPr="00AC2DE7">
        <w:rPr>
          <w:rFonts w:ascii="Times New Roman" w:hAnsi="Times New Roman"/>
        </w:rPr>
        <w:t>ry ma trwać przez 48 miesięcy.</w:t>
      </w:r>
      <w:r w:rsidR="00836F72" w:rsidRPr="00AC2DE7">
        <w:rPr>
          <w:rFonts w:ascii="Times New Roman" w:hAnsi="Times New Roman"/>
        </w:rPr>
        <w:t xml:space="preserve"> </w:t>
      </w:r>
      <w:r w:rsidRPr="00AC2DE7">
        <w:rPr>
          <w:rFonts w:ascii="Times New Roman" w:hAnsi="Times New Roman"/>
        </w:rPr>
        <w:t>https://imars-project.eu/</w:t>
      </w:r>
    </w:p>
  </w:footnote>
  <w:footnote w:id="34">
    <w:p w14:paraId="42454051" w14:textId="3A61483A" w:rsidR="008140CF" w:rsidRPr="00AC2DE7" w:rsidRDefault="008140CF" w:rsidP="004617F6">
      <w:pPr>
        <w:pStyle w:val="FootnoteText"/>
        <w:ind w:left="284" w:hanging="284"/>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W momencie opracowywania niniejszego sprawozdania</w:t>
      </w:r>
    </w:p>
  </w:footnote>
  <w:footnote w:id="35">
    <w:p w14:paraId="633F2704" w14:textId="131F3497"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Sprawozdanie Komisji dla Rady</w:t>
      </w:r>
      <w:r w:rsidR="00AC2DE7" w:rsidRPr="00AC2DE7">
        <w:rPr>
          <w:rFonts w:ascii="Times New Roman" w:hAnsi="Times New Roman"/>
        </w:rPr>
        <w:t xml:space="preserve"> i Par</w:t>
      </w:r>
      <w:r w:rsidRPr="00AC2DE7">
        <w:rPr>
          <w:rFonts w:ascii="Times New Roman" w:hAnsi="Times New Roman"/>
        </w:rPr>
        <w:t>lamentu Europejskiego</w:t>
      </w:r>
      <w:r w:rsidR="00AC2DE7" w:rsidRPr="00AC2DE7">
        <w:rPr>
          <w:rFonts w:ascii="Times New Roman" w:hAnsi="Times New Roman"/>
        </w:rPr>
        <w:t xml:space="preserve"> w spr</w:t>
      </w:r>
      <w:r w:rsidRPr="00AC2DE7">
        <w:rPr>
          <w:rFonts w:ascii="Times New Roman" w:hAnsi="Times New Roman"/>
        </w:rPr>
        <w:t>awie funkcjonowania mechanizmu oceny</w:t>
      </w:r>
      <w:r w:rsidR="00AC2DE7" w:rsidRPr="00AC2DE7">
        <w:rPr>
          <w:rFonts w:ascii="Times New Roman" w:hAnsi="Times New Roman"/>
        </w:rPr>
        <w:t xml:space="preserve"> i mon</w:t>
      </w:r>
      <w:r w:rsidRPr="00AC2DE7">
        <w:rPr>
          <w:rFonts w:ascii="Times New Roman" w:hAnsi="Times New Roman"/>
        </w:rPr>
        <w:t>itorowania dorobku Schengen na podstawie art.</w:t>
      </w:r>
      <w:r w:rsidR="00836F72" w:rsidRPr="00AC2DE7">
        <w:rPr>
          <w:rFonts w:ascii="Times New Roman" w:hAnsi="Times New Roman"/>
        </w:rPr>
        <w:t> </w:t>
      </w:r>
      <w:r w:rsidRPr="00AC2DE7">
        <w:rPr>
          <w:rFonts w:ascii="Times New Roman" w:hAnsi="Times New Roman"/>
        </w:rPr>
        <w:t>22 rozporządzenia (UE) nr</w:t>
      </w:r>
      <w:r w:rsidR="00836F72" w:rsidRPr="00AC2DE7">
        <w:rPr>
          <w:rFonts w:ascii="Times New Roman" w:hAnsi="Times New Roman"/>
        </w:rPr>
        <w:t> </w:t>
      </w:r>
      <w:r w:rsidRPr="00AC2DE7">
        <w:rPr>
          <w:rFonts w:ascii="Times New Roman" w:hAnsi="Times New Roman"/>
        </w:rPr>
        <w:t>1053/2013, COM(2020) 779 final, 25.11.2020</w:t>
      </w:r>
      <w:r w:rsidR="00836F72" w:rsidRPr="00AC2DE7">
        <w:rPr>
          <w:rFonts w:ascii="Times New Roman" w:hAnsi="Times New Roman"/>
        </w:rPr>
        <w:t> </w:t>
      </w:r>
      <w:r w:rsidRPr="00AC2DE7">
        <w:rPr>
          <w:rFonts w:ascii="Times New Roman" w:hAnsi="Times New Roman"/>
        </w:rPr>
        <w:t>r.</w:t>
      </w:r>
    </w:p>
  </w:footnote>
  <w:footnote w:id="36">
    <w:p w14:paraId="447014D6" w14:textId="758A3456"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r>
      <w:hyperlink r:id="rId1" w:history="1">
        <w:r w:rsidRPr="00AC2DE7">
          <w:rPr>
            <w:rStyle w:val="Hyperlink"/>
            <w:rFonts w:ascii="Times New Roman" w:hAnsi="Times New Roman"/>
            <w:color w:val="auto"/>
          </w:rPr>
          <w:t>https://ec.europa.eu/home-affairs/news/towards-stronger-and-more-resilient-schengen-area-2021-05-28_en</w:t>
        </w:r>
      </w:hyperlink>
    </w:p>
  </w:footnote>
  <w:footnote w:id="37">
    <w:p w14:paraId="4CCEC435" w14:textId="02E924FF" w:rsidR="008140CF" w:rsidRPr="00AC2DE7" w:rsidRDefault="008140CF" w:rsidP="004617F6">
      <w:pPr>
        <w:pStyle w:val="FootnoteText"/>
        <w:tabs>
          <w:tab w:val="left" w:pos="284"/>
        </w:tabs>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Wniosek dotyczący rozporządzenia Parlamentu Europejskiego</w:t>
      </w:r>
      <w:r w:rsidR="00AC2DE7" w:rsidRPr="00AC2DE7">
        <w:rPr>
          <w:rFonts w:ascii="Times New Roman" w:hAnsi="Times New Roman"/>
        </w:rPr>
        <w:t xml:space="preserve"> i Rad</w:t>
      </w:r>
      <w:r w:rsidRPr="00AC2DE7">
        <w:rPr>
          <w:rFonts w:ascii="Times New Roman" w:hAnsi="Times New Roman"/>
        </w:rPr>
        <w:t>y (UE) 2016/399</w:t>
      </w:r>
      <w:r w:rsidR="00AC2DE7" w:rsidRPr="00AC2DE7">
        <w:rPr>
          <w:rFonts w:ascii="Times New Roman" w:hAnsi="Times New Roman"/>
        </w:rPr>
        <w:t xml:space="preserve"> w spr</w:t>
      </w:r>
      <w:r w:rsidRPr="00AC2DE7">
        <w:rPr>
          <w:rFonts w:ascii="Times New Roman" w:hAnsi="Times New Roman"/>
        </w:rPr>
        <w:t>awie unijnego kodeksu zasad regulujących przepływ osób przez granice – COM(2021) 891 final.</w:t>
      </w:r>
    </w:p>
  </w:footnote>
  <w:footnote w:id="38">
    <w:p w14:paraId="5D38E960" w14:textId="696A4CE0" w:rsidR="008140CF" w:rsidRPr="00AC2DE7" w:rsidRDefault="008140CF" w:rsidP="004617F6">
      <w:pPr>
        <w:pStyle w:val="FootnoteText"/>
        <w:ind w:left="284" w:hanging="284"/>
        <w:jc w:val="both"/>
        <w:rPr>
          <w:rFonts w:ascii="Times New Roman" w:hAnsi="Times New Roman" w:cs="Times New Roman"/>
        </w:rPr>
      </w:pPr>
      <w:r w:rsidRPr="00AC2DE7">
        <w:rPr>
          <w:rStyle w:val="FootnoteReference"/>
          <w:rFonts w:ascii="Times New Roman" w:hAnsi="Times New Roman" w:cs="Times New Roman"/>
        </w:rPr>
        <w:footnoteRef/>
      </w:r>
      <w:r w:rsidRPr="00AC2DE7">
        <w:rPr>
          <w:rFonts w:ascii="Times New Roman" w:hAnsi="Times New Roman"/>
        </w:rPr>
        <w:t xml:space="preserve"> </w:t>
      </w:r>
      <w:r w:rsidRPr="00AC2DE7">
        <w:rPr>
          <w:rFonts w:ascii="Times New Roman" w:hAnsi="Times New Roman"/>
        </w:rPr>
        <w:tab/>
        <w:t>C(2019) 7131 final, 8.10.2019.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B44C6" w14:textId="77777777" w:rsidR="00AE2C37" w:rsidRPr="00AE2C37" w:rsidRDefault="00AE2C37" w:rsidP="00AE2C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B20EE" w14:textId="77777777" w:rsidR="00AE2C37" w:rsidRPr="00AE2C37" w:rsidRDefault="00AE2C37" w:rsidP="00AE2C37">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C4B5A" w14:textId="77777777" w:rsidR="00AE2C37" w:rsidRPr="00AE2C37" w:rsidRDefault="00AE2C37" w:rsidP="00AE2C37">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3090" w14:textId="77777777" w:rsidR="008140CF" w:rsidRDefault="008140C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DEA0" w14:textId="5FB00BFF" w:rsidR="008140CF" w:rsidRDefault="008140CF">
    <w:pPr>
      <w:pStyle w:val="Header"/>
    </w:pPr>
  </w:p>
  <w:p w14:paraId="22976E72" w14:textId="1A4FB230" w:rsidR="008140CF" w:rsidRPr="00727036" w:rsidRDefault="008140CF" w:rsidP="00727036">
    <w:pPr>
      <w:pStyle w:val="Header"/>
      <w:jc w:val="right"/>
      <w:rPr>
        <w:b/>
        <w:sz w:val="20"/>
        <w:lang w:val="en-IE"/>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08CBB" w14:textId="77777777" w:rsidR="008140CF" w:rsidRDefault="00814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182B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8A57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3CD5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790A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E238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DA4E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0E22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812D3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C838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200B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5006"/>
    <w:multiLevelType w:val="multilevel"/>
    <w:tmpl w:val="8F320F56"/>
    <w:styleLink w:val="NumblistTables"/>
    <w:lvl w:ilvl="0">
      <w:start w:val="1"/>
      <w:numFmt w:val="decimal"/>
      <w:lvlText w:val="Table %1."/>
      <w:lvlJc w:val="left"/>
      <w:pPr>
        <w:tabs>
          <w:tab w:val="num" w:pos="3477"/>
        </w:tabs>
        <w:ind w:left="3477" w:hanging="1077"/>
      </w:pPr>
      <w:rPr>
        <w:rFonts w:hint="default"/>
      </w:rPr>
    </w:lvl>
    <w:lvl w:ilvl="1">
      <w:start w:val="1"/>
      <w:numFmt w:val="none"/>
      <w:lvlRestart w:val="0"/>
      <w:lvlText w:val=""/>
      <w:lvlJc w:val="left"/>
      <w:pPr>
        <w:tabs>
          <w:tab w:val="num" w:pos="0"/>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077532EA"/>
    <w:multiLevelType w:val="hybridMultilevel"/>
    <w:tmpl w:val="2C9483A6"/>
    <w:lvl w:ilvl="0" w:tplc="CFB8557E">
      <w:start w:val="2"/>
      <w:numFmt w:val="bullet"/>
      <w:lvlText w:val="-"/>
      <w:lvlJc w:val="left"/>
      <w:pPr>
        <w:ind w:left="720" w:hanging="360"/>
      </w:pPr>
      <w:rPr>
        <w:rFonts w:ascii="Times New Roman" w:eastAsiaTheme="minorHAnsi"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6808CB"/>
    <w:multiLevelType w:val="multilevel"/>
    <w:tmpl w:val="9B0ED194"/>
    <w:styleLink w:val="NumbListFigures"/>
    <w:lvl w:ilvl="0">
      <w:start w:val="1"/>
      <w:numFmt w:val="decimal"/>
      <w:pStyle w:val="FigureTitle"/>
      <w:lvlText w:val="Figure %1."/>
      <w:lvlJc w:val="left"/>
      <w:pPr>
        <w:tabs>
          <w:tab w:val="num" w:pos="2037"/>
        </w:tabs>
        <w:ind w:left="2037" w:hanging="1077"/>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C737E1E"/>
    <w:multiLevelType w:val="hybridMultilevel"/>
    <w:tmpl w:val="94A05766"/>
    <w:lvl w:ilvl="0" w:tplc="6BBC64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C4F08"/>
    <w:multiLevelType w:val="multilevel"/>
    <w:tmpl w:val="688C2EF2"/>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5" w15:restartNumberingAfterBreak="0">
    <w:nsid w:val="34C65847"/>
    <w:multiLevelType w:val="multilevel"/>
    <w:tmpl w:val="688C2EF2"/>
    <w:styleLink w:val="NumbListHeading"/>
    <w:lvl w:ilvl="0">
      <w:start w:val="1"/>
      <w:numFmt w:val="decimal"/>
      <w:isLg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rPr>
    </w:lvl>
    <w:lvl w:ilvl="3">
      <w:start w:val="1"/>
      <w:numFmt w:val="decimal"/>
      <w:lvlText w:val="%1.%2.%3.%4"/>
      <w:lvlJc w:val="left"/>
      <w:pPr>
        <w:tabs>
          <w:tab w:val="num" w:pos="851"/>
        </w:tabs>
        <w:ind w:left="851" w:hanging="851"/>
      </w:pPr>
      <w:rPr>
        <w:rFonts w:hint="default"/>
        <w:spacing w:val="-20"/>
      </w:rPr>
    </w:lvl>
    <w:lvl w:ilvl="4">
      <w:start w:val="1"/>
      <w:numFmt w:val="none"/>
      <w:lvlText w:val=""/>
      <w:lvlJc w:val="left"/>
      <w:pPr>
        <w:tabs>
          <w:tab w:val="num" w:pos="680"/>
        </w:tabs>
        <w:ind w:left="680" w:firstLine="0"/>
      </w:pPr>
      <w:rPr>
        <w:rFonts w:hint="default"/>
      </w:rPr>
    </w:lvl>
    <w:lvl w:ilvl="5">
      <w:start w:val="1"/>
      <w:numFmt w:val="none"/>
      <w:lvlText w:val=""/>
      <w:lvlJc w:val="left"/>
      <w:pPr>
        <w:tabs>
          <w:tab w:val="num" w:pos="680"/>
        </w:tabs>
        <w:ind w:left="680" w:firstLine="0"/>
      </w:pPr>
      <w:rPr>
        <w:rFonts w:hint="default"/>
      </w:rPr>
    </w:lvl>
    <w:lvl w:ilvl="6">
      <w:start w:val="1"/>
      <w:numFmt w:val="none"/>
      <w:lvlText w:val=""/>
      <w:lvlJc w:val="left"/>
      <w:pPr>
        <w:tabs>
          <w:tab w:val="num" w:pos="680"/>
        </w:tabs>
        <w:ind w:left="680" w:firstLine="0"/>
      </w:pPr>
      <w:rPr>
        <w:rFonts w:hint="default"/>
      </w:rPr>
    </w:lvl>
    <w:lvl w:ilvl="7">
      <w:start w:val="1"/>
      <w:numFmt w:val="none"/>
      <w:lvlText w:val=""/>
      <w:lvlJc w:val="left"/>
      <w:pPr>
        <w:tabs>
          <w:tab w:val="num" w:pos="680"/>
        </w:tabs>
        <w:ind w:left="680" w:firstLine="0"/>
      </w:pPr>
      <w:rPr>
        <w:rFonts w:hint="default"/>
      </w:rPr>
    </w:lvl>
    <w:lvl w:ilvl="8">
      <w:start w:val="1"/>
      <w:numFmt w:val="none"/>
      <w:lvlText w:val=""/>
      <w:lvlJc w:val="left"/>
      <w:pPr>
        <w:tabs>
          <w:tab w:val="num" w:pos="680"/>
        </w:tabs>
        <w:ind w:left="680" w:firstLine="0"/>
      </w:pPr>
      <w:rPr>
        <w:rFonts w:hint="default"/>
      </w:rPr>
    </w:lvl>
  </w:abstractNum>
  <w:abstractNum w:abstractNumId="16" w15:restartNumberingAfterBreak="0">
    <w:nsid w:val="3DB92A87"/>
    <w:multiLevelType w:val="multilevel"/>
    <w:tmpl w:val="D2D8303A"/>
    <w:styleLink w:val="Bullets"/>
    <w:lvl w:ilvl="0">
      <w:start w:val="1"/>
      <w:numFmt w:val="bullet"/>
      <w:pStyle w:val="Bullet1"/>
      <w:lvlText w:val=""/>
      <w:lvlJc w:val="left"/>
      <w:pPr>
        <w:tabs>
          <w:tab w:val="num" w:pos="680"/>
        </w:tabs>
        <w:ind w:left="680" w:hanging="340"/>
      </w:pPr>
      <w:rPr>
        <w:rFonts w:ascii="Wingdings" w:hAnsi="Wingdings" w:hint="default"/>
        <w:color w:val="002395"/>
        <w:sz w:val="24"/>
      </w:rPr>
    </w:lvl>
    <w:lvl w:ilvl="1">
      <w:start w:val="1"/>
      <w:numFmt w:val="bullet"/>
      <w:pStyle w:val="Bullet2"/>
      <w:lvlText w:val="-"/>
      <w:lvlJc w:val="left"/>
      <w:pPr>
        <w:tabs>
          <w:tab w:val="num" w:pos="1021"/>
        </w:tabs>
        <w:ind w:left="1021" w:hanging="341"/>
      </w:pPr>
      <w:rPr>
        <w:rFonts w:ascii="Arial" w:hAnsi="Arial" w:hint="default"/>
        <w:color w:val="auto"/>
        <w:sz w:val="24"/>
      </w:rPr>
    </w:lvl>
    <w:lvl w:ilvl="2">
      <w:start w:val="1"/>
      <w:numFmt w:val="bullet"/>
      <w:pStyle w:val="Bullet3"/>
      <w:lvlText w:val="◦"/>
      <w:lvlJc w:val="left"/>
      <w:pPr>
        <w:tabs>
          <w:tab w:val="num" w:pos="1361"/>
        </w:tabs>
        <w:ind w:left="1361" w:hanging="340"/>
      </w:pPr>
      <w:rPr>
        <w:rFonts w:ascii="Arial" w:hAnsi="Arial" w:hint="default"/>
        <w:color w:val="44546A" w:themeColor="text2"/>
        <w:sz w:val="28"/>
      </w:rPr>
    </w:lvl>
    <w:lvl w:ilvl="3">
      <w:start w:val="1"/>
      <w:numFmt w:val="none"/>
      <w:lvlText w:val=""/>
      <w:lvlJc w:val="left"/>
      <w:pPr>
        <w:tabs>
          <w:tab w:val="num" w:pos="1361"/>
        </w:tabs>
        <w:ind w:left="1361" w:firstLine="0"/>
      </w:pPr>
      <w:rPr>
        <w:rFonts w:hint="default"/>
      </w:rPr>
    </w:lvl>
    <w:lvl w:ilvl="4">
      <w:start w:val="1"/>
      <w:numFmt w:val="none"/>
      <w:lvlText w:val=""/>
      <w:lvlJc w:val="left"/>
      <w:pPr>
        <w:tabs>
          <w:tab w:val="num" w:pos="1361"/>
        </w:tabs>
        <w:ind w:left="1361" w:firstLine="0"/>
      </w:pPr>
      <w:rPr>
        <w:rFonts w:hint="default"/>
      </w:rPr>
    </w:lvl>
    <w:lvl w:ilvl="5">
      <w:start w:val="1"/>
      <w:numFmt w:val="none"/>
      <w:lvlText w:val=""/>
      <w:lvlJc w:val="left"/>
      <w:pPr>
        <w:tabs>
          <w:tab w:val="num" w:pos="1361"/>
        </w:tabs>
        <w:ind w:left="1361" w:firstLine="0"/>
      </w:pPr>
      <w:rPr>
        <w:rFonts w:hint="default"/>
      </w:rPr>
    </w:lvl>
    <w:lvl w:ilvl="6">
      <w:start w:val="1"/>
      <w:numFmt w:val="none"/>
      <w:lvlText w:val=""/>
      <w:lvlJc w:val="left"/>
      <w:pPr>
        <w:tabs>
          <w:tab w:val="num" w:pos="1361"/>
        </w:tabs>
        <w:ind w:left="1361" w:firstLine="0"/>
      </w:pPr>
      <w:rPr>
        <w:rFonts w:hint="default"/>
      </w:rPr>
    </w:lvl>
    <w:lvl w:ilvl="7">
      <w:start w:val="1"/>
      <w:numFmt w:val="none"/>
      <w:lvlText w:val=""/>
      <w:lvlJc w:val="left"/>
      <w:pPr>
        <w:tabs>
          <w:tab w:val="num" w:pos="1361"/>
        </w:tabs>
        <w:ind w:left="1361" w:firstLine="0"/>
      </w:pPr>
      <w:rPr>
        <w:rFonts w:hint="default"/>
      </w:rPr>
    </w:lvl>
    <w:lvl w:ilvl="8">
      <w:start w:val="1"/>
      <w:numFmt w:val="none"/>
      <w:lvlText w:val=""/>
      <w:lvlJc w:val="left"/>
      <w:pPr>
        <w:tabs>
          <w:tab w:val="num" w:pos="1361"/>
        </w:tabs>
        <w:ind w:left="1361" w:firstLine="0"/>
      </w:pPr>
      <w:rPr>
        <w:rFonts w:hint="default"/>
      </w:rPr>
    </w:lvl>
  </w:abstractNum>
  <w:abstractNum w:abstractNumId="17" w15:restartNumberingAfterBreak="0">
    <w:nsid w:val="4DBA2586"/>
    <w:multiLevelType w:val="hybridMultilevel"/>
    <w:tmpl w:val="9F14650C"/>
    <w:lvl w:ilvl="0" w:tplc="6BBC647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A023F1"/>
    <w:multiLevelType w:val="hybridMultilevel"/>
    <w:tmpl w:val="36362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703D7"/>
    <w:multiLevelType w:val="hybridMultilevel"/>
    <w:tmpl w:val="E7449DA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88C201E"/>
    <w:multiLevelType w:val="hybridMultilevel"/>
    <w:tmpl w:val="D1A6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20"/>
  </w:num>
  <w:num w:numId="14">
    <w:abstractNumId w:val="12"/>
    <w:lvlOverride w:ilvl="0">
      <w:lvl w:ilvl="0">
        <w:start w:val="1"/>
        <w:numFmt w:val="decimal"/>
        <w:pStyle w:val="FigureTitle"/>
        <w:lvlText w:val="Figure %1."/>
        <w:lvlJc w:val="left"/>
        <w:pPr>
          <w:tabs>
            <w:tab w:val="num" w:pos="2037"/>
          </w:tabs>
          <w:ind w:left="2037" w:hanging="1077"/>
        </w:pPr>
        <w:rPr>
          <w:rFonts w:hint="default"/>
        </w:rPr>
      </w:lvl>
    </w:lvlOverride>
  </w:num>
  <w:num w:numId="15">
    <w:abstractNumId w:val="12"/>
  </w:num>
  <w:num w:numId="16">
    <w:abstractNumId w:val="15"/>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3"/>
  </w:num>
  <w:num w:numId="21">
    <w:abstractNumId w:val="17"/>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fr-FR" w:vendorID="64" w:dllVersion="6" w:nlCheck="1" w:checkStyle="0"/>
  <w:activeWritingStyle w:appName="MSWord" w:lang="es-ES_tradnl" w:vendorID="64" w:dllVersion="6"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41B8623-E593-40C5-9185-7DD2535028D8"/>
    <w:docVar w:name="LW_COVERPAGE_TYPE" w:val="1"/>
    <w:docVar w:name="LW_CROSSREFERENCE" w:val="&lt;UNUSED&gt;"/>
    <w:docVar w:name="LW_DocType" w:val="NORMAL"/>
    <w:docVar w:name="LW_EMISSION" w:val="24.5.2022"/>
    <w:docVar w:name="LW_EMISSION_ISODATE" w:val="2022-05-24"/>
    <w:docVar w:name="LW_EMISSION_LOCATION" w:val="BRX"/>
    <w:docVar w:name="LW_EMISSION_PREFIX" w:val="Bruksela, dnia "/>
    <w:docVar w:name="LW_EMISSION_SUFFIX" w:val=" r."/>
    <w:docVar w:name="LW_ID_DOCTYPE_NONLW" w:val="CP-006"/>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2) 30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w odniesieniu do zintensyfikowania odpraw na granicach zewnętrznych z wykorzystaniem odpowiednich baz danych wprowadzonego na mocy rozporządzenia (UE) 2017/458 zmieniającego rozporządzenie (UE) 2016/399_x000d__x000d__x000d__x000d__x000d_&lt;/FMT&gt;_x000d__x000d__x000b_&lt;FMT:Bold&gt;_x000d__x000d__x000d__x000d__x000d__x000d__x000d__x000d_&lt;/FMT&gt;_x000d__x000d__x000b_"/>
    <w:docVar w:name="LW_TYPE.DOC.CP" w:val="SPRAWOZDANIE KOMISJI DLA PARLAMENTU EUROPEJSKIEGO I RADY"/>
    <w:docVar w:name="LwApiVersions" w:val="LW4CoDe 1.23.2.0; LW 8.0, Build 20211117"/>
  </w:docVars>
  <w:rsids>
    <w:rsidRoot w:val="00A01964"/>
    <w:rsid w:val="00004A72"/>
    <w:rsid w:val="00005852"/>
    <w:rsid w:val="00005EB7"/>
    <w:rsid w:val="00012574"/>
    <w:rsid w:val="000215F2"/>
    <w:rsid w:val="0002195B"/>
    <w:rsid w:val="00024712"/>
    <w:rsid w:val="00025F92"/>
    <w:rsid w:val="00027BB4"/>
    <w:rsid w:val="00032052"/>
    <w:rsid w:val="000333D5"/>
    <w:rsid w:val="00034087"/>
    <w:rsid w:val="000378DD"/>
    <w:rsid w:val="00037E67"/>
    <w:rsid w:val="00040647"/>
    <w:rsid w:val="00044AD4"/>
    <w:rsid w:val="00044DF8"/>
    <w:rsid w:val="000452B4"/>
    <w:rsid w:val="000456AE"/>
    <w:rsid w:val="00045A6C"/>
    <w:rsid w:val="00045BBF"/>
    <w:rsid w:val="0004619E"/>
    <w:rsid w:val="00051F0D"/>
    <w:rsid w:val="0006099B"/>
    <w:rsid w:val="00062B3F"/>
    <w:rsid w:val="00064B78"/>
    <w:rsid w:val="00071B1B"/>
    <w:rsid w:val="00072706"/>
    <w:rsid w:val="00087A57"/>
    <w:rsid w:val="000908CB"/>
    <w:rsid w:val="00096097"/>
    <w:rsid w:val="000A0040"/>
    <w:rsid w:val="000A1F78"/>
    <w:rsid w:val="000A2C8A"/>
    <w:rsid w:val="000A491D"/>
    <w:rsid w:val="000C0D05"/>
    <w:rsid w:val="000C3506"/>
    <w:rsid w:val="000C4C12"/>
    <w:rsid w:val="000D0747"/>
    <w:rsid w:val="000E7E2A"/>
    <w:rsid w:val="000F0E9B"/>
    <w:rsid w:val="000F5A5B"/>
    <w:rsid w:val="00101350"/>
    <w:rsid w:val="0010239A"/>
    <w:rsid w:val="00104FDD"/>
    <w:rsid w:val="001052E5"/>
    <w:rsid w:val="00112E0F"/>
    <w:rsid w:val="00122477"/>
    <w:rsid w:val="00122A11"/>
    <w:rsid w:val="001248AB"/>
    <w:rsid w:val="00127204"/>
    <w:rsid w:val="00132794"/>
    <w:rsid w:val="0013584A"/>
    <w:rsid w:val="001407B0"/>
    <w:rsid w:val="00142BE8"/>
    <w:rsid w:val="00150E5D"/>
    <w:rsid w:val="00151EDE"/>
    <w:rsid w:val="00151FCC"/>
    <w:rsid w:val="00154DA9"/>
    <w:rsid w:val="00155DC5"/>
    <w:rsid w:val="00163360"/>
    <w:rsid w:val="001718F5"/>
    <w:rsid w:val="00181815"/>
    <w:rsid w:val="00181BFE"/>
    <w:rsid w:val="00182785"/>
    <w:rsid w:val="00183FAB"/>
    <w:rsid w:val="00187B9F"/>
    <w:rsid w:val="0019048B"/>
    <w:rsid w:val="00192D62"/>
    <w:rsid w:val="0019365E"/>
    <w:rsid w:val="001A0EC9"/>
    <w:rsid w:val="001A4452"/>
    <w:rsid w:val="001A577B"/>
    <w:rsid w:val="001B1526"/>
    <w:rsid w:val="001B2BFA"/>
    <w:rsid w:val="001B3BB9"/>
    <w:rsid w:val="001B61E2"/>
    <w:rsid w:val="001B7E75"/>
    <w:rsid w:val="001C4102"/>
    <w:rsid w:val="001C604F"/>
    <w:rsid w:val="001D2A32"/>
    <w:rsid w:val="001D7F16"/>
    <w:rsid w:val="001E128B"/>
    <w:rsid w:val="001E1841"/>
    <w:rsid w:val="001E4EDF"/>
    <w:rsid w:val="001F2895"/>
    <w:rsid w:val="001F4A87"/>
    <w:rsid w:val="00201DB3"/>
    <w:rsid w:val="002026DF"/>
    <w:rsid w:val="00203086"/>
    <w:rsid w:val="002044BA"/>
    <w:rsid w:val="00204B11"/>
    <w:rsid w:val="002056FD"/>
    <w:rsid w:val="00205A4E"/>
    <w:rsid w:val="00205C88"/>
    <w:rsid w:val="002163D4"/>
    <w:rsid w:val="00225019"/>
    <w:rsid w:val="0023047F"/>
    <w:rsid w:val="002314C1"/>
    <w:rsid w:val="00237C41"/>
    <w:rsid w:val="00237F4F"/>
    <w:rsid w:val="002427AB"/>
    <w:rsid w:val="002429B8"/>
    <w:rsid w:val="00247FD2"/>
    <w:rsid w:val="00254D27"/>
    <w:rsid w:val="00256DE5"/>
    <w:rsid w:val="0025712A"/>
    <w:rsid w:val="00265661"/>
    <w:rsid w:val="00271398"/>
    <w:rsid w:val="002737E5"/>
    <w:rsid w:val="00273E67"/>
    <w:rsid w:val="002745C3"/>
    <w:rsid w:val="00274C1F"/>
    <w:rsid w:val="00276ECC"/>
    <w:rsid w:val="002849CD"/>
    <w:rsid w:val="0028588F"/>
    <w:rsid w:val="0029273B"/>
    <w:rsid w:val="002957FF"/>
    <w:rsid w:val="00295EBD"/>
    <w:rsid w:val="00296D4C"/>
    <w:rsid w:val="002A06EF"/>
    <w:rsid w:val="002A2E2A"/>
    <w:rsid w:val="002A6B6C"/>
    <w:rsid w:val="002B372B"/>
    <w:rsid w:val="002B4286"/>
    <w:rsid w:val="002B557C"/>
    <w:rsid w:val="002B5F6F"/>
    <w:rsid w:val="002B6110"/>
    <w:rsid w:val="002B64AC"/>
    <w:rsid w:val="002C1978"/>
    <w:rsid w:val="002C54FB"/>
    <w:rsid w:val="002D01CF"/>
    <w:rsid w:val="002D0492"/>
    <w:rsid w:val="002D229C"/>
    <w:rsid w:val="002D2CA7"/>
    <w:rsid w:val="002D481A"/>
    <w:rsid w:val="002E2646"/>
    <w:rsid w:val="002E4A64"/>
    <w:rsid w:val="002E6305"/>
    <w:rsid w:val="002F03E8"/>
    <w:rsid w:val="00301A77"/>
    <w:rsid w:val="00305BD1"/>
    <w:rsid w:val="0030657A"/>
    <w:rsid w:val="00311551"/>
    <w:rsid w:val="00317E12"/>
    <w:rsid w:val="00322C7C"/>
    <w:rsid w:val="0032349E"/>
    <w:rsid w:val="00326F27"/>
    <w:rsid w:val="00334FE0"/>
    <w:rsid w:val="0034051B"/>
    <w:rsid w:val="003437C9"/>
    <w:rsid w:val="00344028"/>
    <w:rsid w:val="00353A11"/>
    <w:rsid w:val="00364DB8"/>
    <w:rsid w:val="00365318"/>
    <w:rsid w:val="003661D8"/>
    <w:rsid w:val="00371BC5"/>
    <w:rsid w:val="0037590D"/>
    <w:rsid w:val="003763CA"/>
    <w:rsid w:val="00377578"/>
    <w:rsid w:val="00385BBA"/>
    <w:rsid w:val="00386448"/>
    <w:rsid w:val="00397333"/>
    <w:rsid w:val="003A2519"/>
    <w:rsid w:val="003A515E"/>
    <w:rsid w:val="003A52B0"/>
    <w:rsid w:val="003A536C"/>
    <w:rsid w:val="003A5A8C"/>
    <w:rsid w:val="003A63D3"/>
    <w:rsid w:val="003A6CDB"/>
    <w:rsid w:val="003A7741"/>
    <w:rsid w:val="003C3A54"/>
    <w:rsid w:val="003C3F3B"/>
    <w:rsid w:val="003C553C"/>
    <w:rsid w:val="003C70CF"/>
    <w:rsid w:val="003D5B50"/>
    <w:rsid w:val="003E1C1B"/>
    <w:rsid w:val="003E58F8"/>
    <w:rsid w:val="003F05B1"/>
    <w:rsid w:val="003F3864"/>
    <w:rsid w:val="004027A7"/>
    <w:rsid w:val="00404C92"/>
    <w:rsid w:val="004071AD"/>
    <w:rsid w:val="004101A6"/>
    <w:rsid w:val="0041706D"/>
    <w:rsid w:val="00421BA1"/>
    <w:rsid w:val="00431EB6"/>
    <w:rsid w:val="00431F27"/>
    <w:rsid w:val="00432502"/>
    <w:rsid w:val="00434401"/>
    <w:rsid w:val="00435FA2"/>
    <w:rsid w:val="00436F2A"/>
    <w:rsid w:val="00442FC5"/>
    <w:rsid w:val="00447B8E"/>
    <w:rsid w:val="004527E4"/>
    <w:rsid w:val="00454F83"/>
    <w:rsid w:val="004617F6"/>
    <w:rsid w:val="004634D6"/>
    <w:rsid w:val="004678CC"/>
    <w:rsid w:val="00470653"/>
    <w:rsid w:val="00472D32"/>
    <w:rsid w:val="004736E5"/>
    <w:rsid w:val="004746AB"/>
    <w:rsid w:val="0047580A"/>
    <w:rsid w:val="00476269"/>
    <w:rsid w:val="00476BAC"/>
    <w:rsid w:val="00477480"/>
    <w:rsid w:val="004777F6"/>
    <w:rsid w:val="00477CFD"/>
    <w:rsid w:val="00477D00"/>
    <w:rsid w:val="00480ABB"/>
    <w:rsid w:val="004925DE"/>
    <w:rsid w:val="004A0F1F"/>
    <w:rsid w:val="004A3547"/>
    <w:rsid w:val="004A5A1C"/>
    <w:rsid w:val="004B10AA"/>
    <w:rsid w:val="004B29AC"/>
    <w:rsid w:val="004B3265"/>
    <w:rsid w:val="004B3C46"/>
    <w:rsid w:val="004B5C1B"/>
    <w:rsid w:val="004B67E2"/>
    <w:rsid w:val="004B7D1D"/>
    <w:rsid w:val="004C2C94"/>
    <w:rsid w:val="004C32F4"/>
    <w:rsid w:val="004C4982"/>
    <w:rsid w:val="004D1B52"/>
    <w:rsid w:val="004D6062"/>
    <w:rsid w:val="004E520D"/>
    <w:rsid w:val="004F448A"/>
    <w:rsid w:val="004F4B13"/>
    <w:rsid w:val="00503090"/>
    <w:rsid w:val="00505E41"/>
    <w:rsid w:val="0051483E"/>
    <w:rsid w:val="00516547"/>
    <w:rsid w:val="005220E2"/>
    <w:rsid w:val="00530569"/>
    <w:rsid w:val="00540CA8"/>
    <w:rsid w:val="00543F8F"/>
    <w:rsid w:val="0055335B"/>
    <w:rsid w:val="00553A61"/>
    <w:rsid w:val="00556342"/>
    <w:rsid w:val="00557BAF"/>
    <w:rsid w:val="0056333E"/>
    <w:rsid w:val="00563805"/>
    <w:rsid w:val="00565991"/>
    <w:rsid w:val="00566933"/>
    <w:rsid w:val="00567EBD"/>
    <w:rsid w:val="00574D4F"/>
    <w:rsid w:val="00577934"/>
    <w:rsid w:val="00593A5F"/>
    <w:rsid w:val="005A17EC"/>
    <w:rsid w:val="005A6588"/>
    <w:rsid w:val="005B0B9E"/>
    <w:rsid w:val="005B4B73"/>
    <w:rsid w:val="005B565E"/>
    <w:rsid w:val="005C0532"/>
    <w:rsid w:val="005C0D12"/>
    <w:rsid w:val="005C0F4C"/>
    <w:rsid w:val="005C7097"/>
    <w:rsid w:val="005D0F52"/>
    <w:rsid w:val="005D3861"/>
    <w:rsid w:val="005D3CBA"/>
    <w:rsid w:val="005E2672"/>
    <w:rsid w:val="005E4687"/>
    <w:rsid w:val="005E47C4"/>
    <w:rsid w:val="005F0976"/>
    <w:rsid w:val="005F2C2A"/>
    <w:rsid w:val="005F2F1E"/>
    <w:rsid w:val="005F333F"/>
    <w:rsid w:val="005F4497"/>
    <w:rsid w:val="005F45D4"/>
    <w:rsid w:val="006048A8"/>
    <w:rsid w:val="00605362"/>
    <w:rsid w:val="0060773E"/>
    <w:rsid w:val="006157EE"/>
    <w:rsid w:val="0061680E"/>
    <w:rsid w:val="00625ECB"/>
    <w:rsid w:val="006273EE"/>
    <w:rsid w:val="00627902"/>
    <w:rsid w:val="00630973"/>
    <w:rsid w:val="00630EA6"/>
    <w:rsid w:val="006359F3"/>
    <w:rsid w:val="0064432B"/>
    <w:rsid w:val="00644A43"/>
    <w:rsid w:val="006516E8"/>
    <w:rsid w:val="006532B1"/>
    <w:rsid w:val="00655844"/>
    <w:rsid w:val="006566C7"/>
    <w:rsid w:val="00656C3D"/>
    <w:rsid w:val="006574AB"/>
    <w:rsid w:val="00657D18"/>
    <w:rsid w:val="00662054"/>
    <w:rsid w:val="00671B29"/>
    <w:rsid w:val="006769EF"/>
    <w:rsid w:val="0068490C"/>
    <w:rsid w:val="00686A83"/>
    <w:rsid w:val="006918D9"/>
    <w:rsid w:val="006946A0"/>
    <w:rsid w:val="0069550D"/>
    <w:rsid w:val="00697809"/>
    <w:rsid w:val="00697B45"/>
    <w:rsid w:val="006A076E"/>
    <w:rsid w:val="006A4C90"/>
    <w:rsid w:val="006A563F"/>
    <w:rsid w:val="006A5E0F"/>
    <w:rsid w:val="006B1B89"/>
    <w:rsid w:val="006B3397"/>
    <w:rsid w:val="006B43CB"/>
    <w:rsid w:val="006B48C6"/>
    <w:rsid w:val="006B6B92"/>
    <w:rsid w:val="006B78B9"/>
    <w:rsid w:val="006D0773"/>
    <w:rsid w:val="006D57D9"/>
    <w:rsid w:val="006E109B"/>
    <w:rsid w:val="006E1C03"/>
    <w:rsid w:val="006E35E8"/>
    <w:rsid w:val="006E4CC0"/>
    <w:rsid w:val="006F3E97"/>
    <w:rsid w:val="006F7AF1"/>
    <w:rsid w:val="0070498A"/>
    <w:rsid w:val="0070596A"/>
    <w:rsid w:val="007079DC"/>
    <w:rsid w:val="00711115"/>
    <w:rsid w:val="0071503A"/>
    <w:rsid w:val="0071733F"/>
    <w:rsid w:val="00727036"/>
    <w:rsid w:val="007278DF"/>
    <w:rsid w:val="00727FF9"/>
    <w:rsid w:val="00734D2B"/>
    <w:rsid w:val="0073623F"/>
    <w:rsid w:val="00736B9E"/>
    <w:rsid w:val="007563B5"/>
    <w:rsid w:val="00760FC4"/>
    <w:rsid w:val="00765881"/>
    <w:rsid w:val="00766192"/>
    <w:rsid w:val="007708EC"/>
    <w:rsid w:val="00773E08"/>
    <w:rsid w:val="00784E48"/>
    <w:rsid w:val="00791AA0"/>
    <w:rsid w:val="00794018"/>
    <w:rsid w:val="00794314"/>
    <w:rsid w:val="0079773A"/>
    <w:rsid w:val="007A0728"/>
    <w:rsid w:val="007A08DC"/>
    <w:rsid w:val="007A5517"/>
    <w:rsid w:val="007B20CD"/>
    <w:rsid w:val="007B38A8"/>
    <w:rsid w:val="007B7D8D"/>
    <w:rsid w:val="007C0065"/>
    <w:rsid w:val="007C433F"/>
    <w:rsid w:val="007C6364"/>
    <w:rsid w:val="007C763A"/>
    <w:rsid w:val="007D448C"/>
    <w:rsid w:val="007E001E"/>
    <w:rsid w:val="007E0F0E"/>
    <w:rsid w:val="007E23C5"/>
    <w:rsid w:val="007E46F6"/>
    <w:rsid w:val="007F3DE2"/>
    <w:rsid w:val="007F4839"/>
    <w:rsid w:val="00813A1C"/>
    <w:rsid w:val="008140CF"/>
    <w:rsid w:val="0082727F"/>
    <w:rsid w:val="008274C6"/>
    <w:rsid w:val="00827E5F"/>
    <w:rsid w:val="0083063C"/>
    <w:rsid w:val="008328CF"/>
    <w:rsid w:val="008334A3"/>
    <w:rsid w:val="0083615D"/>
    <w:rsid w:val="00836DC6"/>
    <w:rsid w:val="00836F72"/>
    <w:rsid w:val="0084307E"/>
    <w:rsid w:val="008475B9"/>
    <w:rsid w:val="008504C7"/>
    <w:rsid w:val="00851B70"/>
    <w:rsid w:val="00851E09"/>
    <w:rsid w:val="008561E2"/>
    <w:rsid w:val="0085779C"/>
    <w:rsid w:val="00861D7E"/>
    <w:rsid w:val="00862336"/>
    <w:rsid w:val="0086666E"/>
    <w:rsid w:val="0087443A"/>
    <w:rsid w:val="008759E7"/>
    <w:rsid w:val="00877E36"/>
    <w:rsid w:val="00891AD2"/>
    <w:rsid w:val="008969A8"/>
    <w:rsid w:val="008A09B0"/>
    <w:rsid w:val="008A1B5D"/>
    <w:rsid w:val="008B0B1F"/>
    <w:rsid w:val="008B1B42"/>
    <w:rsid w:val="008B65D2"/>
    <w:rsid w:val="008B7473"/>
    <w:rsid w:val="008B7483"/>
    <w:rsid w:val="008B74D1"/>
    <w:rsid w:val="008C0454"/>
    <w:rsid w:val="008C2191"/>
    <w:rsid w:val="008C58B1"/>
    <w:rsid w:val="008C5E46"/>
    <w:rsid w:val="008E1D48"/>
    <w:rsid w:val="008E39D8"/>
    <w:rsid w:val="008E689A"/>
    <w:rsid w:val="008F2DCC"/>
    <w:rsid w:val="008F2E6D"/>
    <w:rsid w:val="008F3857"/>
    <w:rsid w:val="008F5517"/>
    <w:rsid w:val="008F7306"/>
    <w:rsid w:val="00900604"/>
    <w:rsid w:val="009013B9"/>
    <w:rsid w:val="00901730"/>
    <w:rsid w:val="0092028E"/>
    <w:rsid w:val="009223A0"/>
    <w:rsid w:val="00924E11"/>
    <w:rsid w:val="009273B4"/>
    <w:rsid w:val="009307EB"/>
    <w:rsid w:val="009362D7"/>
    <w:rsid w:val="00936BDF"/>
    <w:rsid w:val="00937876"/>
    <w:rsid w:val="009420ED"/>
    <w:rsid w:val="00942851"/>
    <w:rsid w:val="00944A29"/>
    <w:rsid w:val="00946459"/>
    <w:rsid w:val="009504C4"/>
    <w:rsid w:val="00951EE5"/>
    <w:rsid w:val="009570F3"/>
    <w:rsid w:val="009573F3"/>
    <w:rsid w:val="00960E2E"/>
    <w:rsid w:val="00963717"/>
    <w:rsid w:val="00964F68"/>
    <w:rsid w:val="00970012"/>
    <w:rsid w:val="009740BF"/>
    <w:rsid w:val="009747F6"/>
    <w:rsid w:val="00975077"/>
    <w:rsid w:val="00976E71"/>
    <w:rsid w:val="00977951"/>
    <w:rsid w:val="00982027"/>
    <w:rsid w:val="00986CB2"/>
    <w:rsid w:val="009929D2"/>
    <w:rsid w:val="009A4E3E"/>
    <w:rsid w:val="009B00FC"/>
    <w:rsid w:val="009B1FF7"/>
    <w:rsid w:val="009B7C3D"/>
    <w:rsid w:val="009C0D5B"/>
    <w:rsid w:val="009C6946"/>
    <w:rsid w:val="009D1C55"/>
    <w:rsid w:val="009D4C11"/>
    <w:rsid w:val="009D5AC2"/>
    <w:rsid w:val="009D73BE"/>
    <w:rsid w:val="009E15DB"/>
    <w:rsid w:val="009E1F39"/>
    <w:rsid w:val="009E4783"/>
    <w:rsid w:val="009E5B33"/>
    <w:rsid w:val="009F027E"/>
    <w:rsid w:val="009F15F7"/>
    <w:rsid w:val="009F1EA3"/>
    <w:rsid w:val="009F2F53"/>
    <w:rsid w:val="009F4E93"/>
    <w:rsid w:val="009F5925"/>
    <w:rsid w:val="009F60D4"/>
    <w:rsid w:val="009F70D5"/>
    <w:rsid w:val="009F7BEC"/>
    <w:rsid w:val="00A01964"/>
    <w:rsid w:val="00A05A91"/>
    <w:rsid w:val="00A06043"/>
    <w:rsid w:val="00A07581"/>
    <w:rsid w:val="00A07C59"/>
    <w:rsid w:val="00A1208D"/>
    <w:rsid w:val="00A12E1B"/>
    <w:rsid w:val="00A141B7"/>
    <w:rsid w:val="00A16016"/>
    <w:rsid w:val="00A162A9"/>
    <w:rsid w:val="00A21344"/>
    <w:rsid w:val="00A21FB2"/>
    <w:rsid w:val="00A30199"/>
    <w:rsid w:val="00A30C9D"/>
    <w:rsid w:val="00A31795"/>
    <w:rsid w:val="00A31811"/>
    <w:rsid w:val="00A32F2E"/>
    <w:rsid w:val="00A350D6"/>
    <w:rsid w:val="00A40FB5"/>
    <w:rsid w:val="00A52C2C"/>
    <w:rsid w:val="00A54804"/>
    <w:rsid w:val="00A61E38"/>
    <w:rsid w:val="00A621C2"/>
    <w:rsid w:val="00A62D72"/>
    <w:rsid w:val="00A7068E"/>
    <w:rsid w:val="00A7237E"/>
    <w:rsid w:val="00A72AC5"/>
    <w:rsid w:val="00A7396D"/>
    <w:rsid w:val="00A75B32"/>
    <w:rsid w:val="00A75D32"/>
    <w:rsid w:val="00A8362D"/>
    <w:rsid w:val="00A85200"/>
    <w:rsid w:val="00A91561"/>
    <w:rsid w:val="00A923A4"/>
    <w:rsid w:val="00A94463"/>
    <w:rsid w:val="00A95C93"/>
    <w:rsid w:val="00A978BF"/>
    <w:rsid w:val="00AA5B7F"/>
    <w:rsid w:val="00AA637A"/>
    <w:rsid w:val="00AB031B"/>
    <w:rsid w:val="00AC0C28"/>
    <w:rsid w:val="00AC1EB8"/>
    <w:rsid w:val="00AC2DE7"/>
    <w:rsid w:val="00AC5757"/>
    <w:rsid w:val="00AC5B82"/>
    <w:rsid w:val="00AC710E"/>
    <w:rsid w:val="00AC73C3"/>
    <w:rsid w:val="00AD3F83"/>
    <w:rsid w:val="00AD480B"/>
    <w:rsid w:val="00AD5453"/>
    <w:rsid w:val="00AD588B"/>
    <w:rsid w:val="00AD739D"/>
    <w:rsid w:val="00AE0E75"/>
    <w:rsid w:val="00AE1F58"/>
    <w:rsid w:val="00AE2C37"/>
    <w:rsid w:val="00AE40E1"/>
    <w:rsid w:val="00AE56D8"/>
    <w:rsid w:val="00AE797C"/>
    <w:rsid w:val="00AF0249"/>
    <w:rsid w:val="00AF032C"/>
    <w:rsid w:val="00AF2811"/>
    <w:rsid w:val="00AF4EB3"/>
    <w:rsid w:val="00AF7878"/>
    <w:rsid w:val="00B0489B"/>
    <w:rsid w:val="00B06ACF"/>
    <w:rsid w:val="00B17794"/>
    <w:rsid w:val="00B3188F"/>
    <w:rsid w:val="00B319F7"/>
    <w:rsid w:val="00B4048C"/>
    <w:rsid w:val="00B40601"/>
    <w:rsid w:val="00B40BE8"/>
    <w:rsid w:val="00B43A24"/>
    <w:rsid w:val="00B460E3"/>
    <w:rsid w:val="00B46853"/>
    <w:rsid w:val="00B60BBC"/>
    <w:rsid w:val="00B61E69"/>
    <w:rsid w:val="00B6226C"/>
    <w:rsid w:val="00B66433"/>
    <w:rsid w:val="00B6650B"/>
    <w:rsid w:val="00B70512"/>
    <w:rsid w:val="00B769BC"/>
    <w:rsid w:val="00B80439"/>
    <w:rsid w:val="00B86DD6"/>
    <w:rsid w:val="00B94DF9"/>
    <w:rsid w:val="00BA3768"/>
    <w:rsid w:val="00BA3890"/>
    <w:rsid w:val="00BB1210"/>
    <w:rsid w:val="00BB1701"/>
    <w:rsid w:val="00BB33B7"/>
    <w:rsid w:val="00BB3C00"/>
    <w:rsid w:val="00BB454F"/>
    <w:rsid w:val="00BC2134"/>
    <w:rsid w:val="00BC4C9D"/>
    <w:rsid w:val="00BC62B0"/>
    <w:rsid w:val="00BE49EA"/>
    <w:rsid w:val="00BE4C1E"/>
    <w:rsid w:val="00BF3229"/>
    <w:rsid w:val="00C12D74"/>
    <w:rsid w:val="00C1527D"/>
    <w:rsid w:val="00C171A0"/>
    <w:rsid w:val="00C203EE"/>
    <w:rsid w:val="00C207DB"/>
    <w:rsid w:val="00C23A1D"/>
    <w:rsid w:val="00C27ED9"/>
    <w:rsid w:val="00C31D58"/>
    <w:rsid w:val="00C33AE1"/>
    <w:rsid w:val="00C40862"/>
    <w:rsid w:val="00C52685"/>
    <w:rsid w:val="00C54B71"/>
    <w:rsid w:val="00C56CD3"/>
    <w:rsid w:val="00C609DF"/>
    <w:rsid w:val="00C61B17"/>
    <w:rsid w:val="00C6459F"/>
    <w:rsid w:val="00C6698F"/>
    <w:rsid w:val="00C67970"/>
    <w:rsid w:val="00C71A03"/>
    <w:rsid w:val="00C71A62"/>
    <w:rsid w:val="00C8691C"/>
    <w:rsid w:val="00C94279"/>
    <w:rsid w:val="00CA158C"/>
    <w:rsid w:val="00CA3A46"/>
    <w:rsid w:val="00CA44DE"/>
    <w:rsid w:val="00CA722F"/>
    <w:rsid w:val="00CA781E"/>
    <w:rsid w:val="00CB2385"/>
    <w:rsid w:val="00CD30EF"/>
    <w:rsid w:val="00CD3DEC"/>
    <w:rsid w:val="00CE0847"/>
    <w:rsid w:val="00CE0858"/>
    <w:rsid w:val="00CE4A16"/>
    <w:rsid w:val="00CF03B3"/>
    <w:rsid w:val="00CF1E07"/>
    <w:rsid w:val="00CF261D"/>
    <w:rsid w:val="00CF3B33"/>
    <w:rsid w:val="00D014A3"/>
    <w:rsid w:val="00D03679"/>
    <w:rsid w:val="00D04BB9"/>
    <w:rsid w:val="00D04D0A"/>
    <w:rsid w:val="00D06E7A"/>
    <w:rsid w:val="00D078F5"/>
    <w:rsid w:val="00D1052B"/>
    <w:rsid w:val="00D13E51"/>
    <w:rsid w:val="00D14830"/>
    <w:rsid w:val="00D14A9E"/>
    <w:rsid w:val="00D15229"/>
    <w:rsid w:val="00D209DE"/>
    <w:rsid w:val="00D2107B"/>
    <w:rsid w:val="00D21751"/>
    <w:rsid w:val="00D24A61"/>
    <w:rsid w:val="00D3268E"/>
    <w:rsid w:val="00D32D13"/>
    <w:rsid w:val="00D37F0A"/>
    <w:rsid w:val="00D41C91"/>
    <w:rsid w:val="00D432C2"/>
    <w:rsid w:val="00D46A81"/>
    <w:rsid w:val="00D54B23"/>
    <w:rsid w:val="00D66CE5"/>
    <w:rsid w:val="00D679B8"/>
    <w:rsid w:val="00D7264F"/>
    <w:rsid w:val="00D73652"/>
    <w:rsid w:val="00D77BD4"/>
    <w:rsid w:val="00D82869"/>
    <w:rsid w:val="00D832C3"/>
    <w:rsid w:val="00D94E58"/>
    <w:rsid w:val="00D950CE"/>
    <w:rsid w:val="00D972CA"/>
    <w:rsid w:val="00DA59D6"/>
    <w:rsid w:val="00DA7141"/>
    <w:rsid w:val="00DB3EB8"/>
    <w:rsid w:val="00DB723C"/>
    <w:rsid w:val="00DC1646"/>
    <w:rsid w:val="00DC1C7B"/>
    <w:rsid w:val="00DC224C"/>
    <w:rsid w:val="00DC2566"/>
    <w:rsid w:val="00DC5147"/>
    <w:rsid w:val="00DE3EFD"/>
    <w:rsid w:val="00DE48E3"/>
    <w:rsid w:val="00DF1DE2"/>
    <w:rsid w:val="00DF22C9"/>
    <w:rsid w:val="00DF4CF5"/>
    <w:rsid w:val="00DF7510"/>
    <w:rsid w:val="00E12D7E"/>
    <w:rsid w:val="00E1386F"/>
    <w:rsid w:val="00E14BE6"/>
    <w:rsid w:val="00E14E2C"/>
    <w:rsid w:val="00E16A46"/>
    <w:rsid w:val="00E209CE"/>
    <w:rsid w:val="00E24E70"/>
    <w:rsid w:val="00E253A1"/>
    <w:rsid w:val="00E335CB"/>
    <w:rsid w:val="00E34409"/>
    <w:rsid w:val="00E34A7C"/>
    <w:rsid w:val="00E3793F"/>
    <w:rsid w:val="00E43B2A"/>
    <w:rsid w:val="00E54D50"/>
    <w:rsid w:val="00E61235"/>
    <w:rsid w:val="00E62285"/>
    <w:rsid w:val="00E63F9C"/>
    <w:rsid w:val="00E652A5"/>
    <w:rsid w:val="00E65E6F"/>
    <w:rsid w:val="00E66D55"/>
    <w:rsid w:val="00E70F17"/>
    <w:rsid w:val="00E738D3"/>
    <w:rsid w:val="00E740C4"/>
    <w:rsid w:val="00E758AF"/>
    <w:rsid w:val="00E75DE8"/>
    <w:rsid w:val="00E84485"/>
    <w:rsid w:val="00E84FF4"/>
    <w:rsid w:val="00E91881"/>
    <w:rsid w:val="00E97471"/>
    <w:rsid w:val="00EA172D"/>
    <w:rsid w:val="00EA4034"/>
    <w:rsid w:val="00EA707C"/>
    <w:rsid w:val="00EA7FDC"/>
    <w:rsid w:val="00EB09E8"/>
    <w:rsid w:val="00EB0DC7"/>
    <w:rsid w:val="00EB6D81"/>
    <w:rsid w:val="00EC033C"/>
    <w:rsid w:val="00EC054A"/>
    <w:rsid w:val="00ED2ABB"/>
    <w:rsid w:val="00ED46B9"/>
    <w:rsid w:val="00ED5493"/>
    <w:rsid w:val="00EE14E6"/>
    <w:rsid w:val="00EE3EBF"/>
    <w:rsid w:val="00EE6A14"/>
    <w:rsid w:val="00F02F21"/>
    <w:rsid w:val="00F03BD5"/>
    <w:rsid w:val="00F03D13"/>
    <w:rsid w:val="00F045C4"/>
    <w:rsid w:val="00F04C5E"/>
    <w:rsid w:val="00F143CD"/>
    <w:rsid w:val="00F1458A"/>
    <w:rsid w:val="00F14B2E"/>
    <w:rsid w:val="00F218D0"/>
    <w:rsid w:val="00F261C4"/>
    <w:rsid w:val="00F42301"/>
    <w:rsid w:val="00F434C2"/>
    <w:rsid w:val="00F561C6"/>
    <w:rsid w:val="00F56563"/>
    <w:rsid w:val="00F57EA4"/>
    <w:rsid w:val="00F60D2F"/>
    <w:rsid w:val="00F64BA2"/>
    <w:rsid w:val="00F81882"/>
    <w:rsid w:val="00F90363"/>
    <w:rsid w:val="00F925AC"/>
    <w:rsid w:val="00F93953"/>
    <w:rsid w:val="00F94D6C"/>
    <w:rsid w:val="00FA3680"/>
    <w:rsid w:val="00FA5513"/>
    <w:rsid w:val="00FA724D"/>
    <w:rsid w:val="00FB3E4F"/>
    <w:rsid w:val="00FB4429"/>
    <w:rsid w:val="00FB5D43"/>
    <w:rsid w:val="00FC06B4"/>
    <w:rsid w:val="00FC3DA7"/>
    <w:rsid w:val="00FE36F3"/>
    <w:rsid w:val="00FE4817"/>
    <w:rsid w:val="00FE5202"/>
    <w:rsid w:val="00FE71C2"/>
    <w:rsid w:val="00FF04A2"/>
    <w:rsid w:val="00FF5213"/>
    <w:rsid w:val="00FF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07923AF"/>
  <w15:chartTrackingRefBased/>
  <w15:docId w15:val="{995133EF-F51F-4D4B-BCDA-D0543E2FA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6" w:unhideWhenUsed="1" w:qFormat="1"/>
    <w:lsdException w:name="heading 3" w:semiHidden="1" w:uiPriority="6" w:unhideWhenUsed="1" w:qFormat="1"/>
    <w:lsdException w:name="heading 4" w:semiHidden="1" w:uiPriority="6"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1,AnnexHeading,AnnexHeading NoPage,ESHeading 1,Heading 1NoSpace,F3 Heading 1 - Section,(Section),h1,Numbered - 1,Section,Chapter Hdg,CH TITLE 1,Headline 1,cover1,intoduction,head1,Chapter Heading,IMPACT STUDY TITLE1,TITLE 1 NR"/>
    <w:basedOn w:val="Normal"/>
    <w:next w:val="Normal"/>
    <w:link w:val="Heading1Char"/>
    <w:uiPriority w:val="6"/>
    <w:qFormat/>
    <w:rsid w:val="00F14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Heading2,AnnexH2,ESHeading 2,BoxNumb,CaseStudy,Conclusion,Evidence,Recommendation,F4 Heading 2 - SubSection,(SubSection),h2,Para Nos,Para,Main Heading,Main Headi,Numbered - 2,(Main Heading),Paragraph,Sub Heading,ignorer2,Oscar Faber 2"/>
    <w:basedOn w:val="Normal"/>
    <w:next w:val="Normal"/>
    <w:link w:val="Heading2Char"/>
    <w:uiPriority w:val="6"/>
    <w:unhideWhenUsed/>
    <w:qFormat/>
    <w:rsid w:val="00F143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eading3,AnnexH3,ESHeading 3,Box,Stage,F5 Heading 3,h3,Numbered - 3,H3,H31,Headline 3,h31,h32,Sub Paragraph,Voorwoord,ASAPHeading 3,Level 1 - 1,Heading 3 - old,heading 3,Heading 2.3,1.2.3.,Titles,(Alt+3),(Alt+3)1,(Alt+3)2,(Alt+3)3,(Alt+3)4"/>
    <w:basedOn w:val="Normal"/>
    <w:next w:val="Normal"/>
    <w:link w:val="Heading3Char"/>
    <w:uiPriority w:val="6"/>
    <w:unhideWhenUsed/>
    <w:qFormat/>
    <w:rsid w:val="00F143C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Heading4,AnnexH4,ESHeading 4,GHKContactsHeading,Task,level 3 subhead,PA Micro Section,(Alt+4),H41,(Alt+4)1,H42,(Alt+4)2,H43,(Alt+4)3,H44,(Alt+4)4,H45,(Alt+4)5,H411,(Alt+4)11,H421,(Alt+4)21,H431,(Alt+4)31,H46,(Alt+4)6,H412,(Alt+4)12,H422,H432"/>
    <w:basedOn w:val="Normal"/>
    <w:next w:val="Normal"/>
    <w:link w:val="Heading4Char"/>
    <w:uiPriority w:val="6"/>
    <w:unhideWhenUsed/>
    <w:qFormat/>
    <w:rsid w:val="00F143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A01964"/>
    <w:rPr>
      <w:color w:val="0000FF"/>
      <w:shd w:val="clear" w:color="auto" w:fill="auto"/>
    </w:rPr>
  </w:style>
  <w:style w:type="paragraph" w:customStyle="1" w:styleId="Pagedecouverture">
    <w:name w:val="Page de couverture"/>
    <w:basedOn w:val="Normal"/>
    <w:next w:val="Normal"/>
    <w:rsid w:val="00A01964"/>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rsid w:val="00A0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64"/>
    <w:rPr>
      <w:lang w:val="pl-PL"/>
    </w:rPr>
  </w:style>
  <w:style w:type="paragraph" w:styleId="Footer">
    <w:name w:val="footer"/>
    <w:basedOn w:val="Normal"/>
    <w:link w:val="FooterChar"/>
    <w:uiPriority w:val="99"/>
    <w:unhideWhenUsed/>
    <w:rsid w:val="00A0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64"/>
    <w:rPr>
      <w:lang w:val="pl-PL"/>
    </w:rPr>
  </w:style>
  <w:style w:type="paragraph" w:customStyle="1" w:styleId="FooterCoverPage">
    <w:name w:val="Footer Cover Page"/>
    <w:basedOn w:val="Normal"/>
    <w:link w:val="FooterCoverPageChar"/>
    <w:rsid w:val="00A0196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01964"/>
    <w:rPr>
      <w:rFonts w:ascii="Times New Roman" w:hAnsi="Times New Roman" w:cs="Times New Roman"/>
      <w:sz w:val="24"/>
    </w:rPr>
  </w:style>
  <w:style w:type="paragraph" w:customStyle="1" w:styleId="FooterSensitivity">
    <w:name w:val="Footer Sensitivity"/>
    <w:basedOn w:val="Normal"/>
    <w:link w:val="FooterSensitivityChar"/>
    <w:rsid w:val="00A0196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01964"/>
    <w:rPr>
      <w:rFonts w:ascii="Times New Roman" w:hAnsi="Times New Roman" w:cs="Times New Roman"/>
      <w:b/>
      <w:sz w:val="32"/>
    </w:rPr>
  </w:style>
  <w:style w:type="paragraph" w:customStyle="1" w:styleId="HeaderCoverPage">
    <w:name w:val="Header Cover Page"/>
    <w:basedOn w:val="Normal"/>
    <w:link w:val="HeaderCoverPageChar"/>
    <w:rsid w:val="00A0196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01964"/>
    <w:rPr>
      <w:rFonts w:ascii="Times New Roman" w:hAnsi="Times New Roman" w:cs="Times New Roman"/>
      <w:sz w:val="24"/>
    </w:rPr>
  </w:style>
  <w:style w:type="paragraph" w:customStyle="1" w:styleId="HeaderSensitivity">
    <w:name w:val="Header Sensitivity"/>
    <w:basedOn w:val="Normal"/>
    <w:link w:val="HeaderSensitivityChar"/>
    <w:rsid w:val="00A0196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01964"/>
    <w:rPr>
      <w:rFonts w:ascii="Times New Roman" w:hAnsi="Times New Roman" w:cs="Times New Roman"/>
      <w:b/>
      <w:sz w:val="32"/>
    </w:rPr>
  </w:style>
  <w:style w:type="paragraph" w:customStyle="1" w:styleId="HeaderSensitivityRight">
    <w:name w:val="Header Sensitivity Right"/>
    <w:basedOn w:val="Normal"/>
    <w:link w:val="HeaderSensitivityRightChar"/>
    <w:rsid w:val="00A0196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01964"/>
    <w:rPr>
      <w:rFonts w:ascii="Times New Roman" w:hAnsi="Times New Roman" w:cs="Times New Roman"/>
      <w:sz w:val="28"/>
    </w:rPr>
  </w:style>
  <w:style w:type="paragraph" w:customStyle="1" w:styleId="IIntroduction">
    <w:name w:val="I Introduction"/>
    <w:basedOn w:val="Normal"/>
    <w:rsid w:val="009D73BE"/>
    <w:pPr>
      <w:jc w:val="both"/>
    </w:pPr>
    <w:rPr>
      <w:rFonts w:ascii="Times New Roman" w:hAnsi="Times New Roman" w:cs="Times New Roman"/>
      <w:b/>
    </w:rPr>
  </w:style>
  <w:style w:type="paragraph" w:styleId="FootnoteText">
    <w:name w:val="footnote text"/>
    <w:aliases w:val="Footnote,Fußnote,Char Char Car,Fußnotentextf,Note de bas de page Car Car Car Car Car Car Car Car Car Car,Note de bas de page Car Car Car Car,Note de bas de page Car Car Car Car Car Car Car Car Car,ft,o,fn, Char Char Car,Footnote Text Char1"/>
    <w:basedOn w:val="Normal"/>
    <w:link w:val="FootnoteTextChar"/>
    <w:uiPriority w:val="99"/>
    <w:unhideWhenUsed/>
    <w:qFormat/>
    <w:rsid w:val="001B2BFA"/>
    <w:pPr>
      <w:spacing w:after="0" w:line="240" w:lineRule="auto"/>
    </w:pPr>
    <w:rPr>
      <w:sz w:val="20"/>
      <w:szCs w:val="20"/>
    </w:rPr>
  </w:style>
  <w:style w:type="character" w:customStyle="1" w:styleId="FootnoteTextChar">
    <w:name w:val="Footnote Text Char"/>
    <w:aliases w:val="Footnote Char,Fußnote Char,Char Char Car Char,Fußnotentextf Char,Note de bas de page Car Car Car Car Car Car Car Car Car Car Char,Note de bas de page Car Car Car Car Char,Note de bas de page Car Car Car Car Car Car Car Car Car Char"/>
    <w:basedOn w:val="DefaultParagraphFont"/>
    <w:link w:val="FootnoteText"/>
    <w:uiPriority w:val="99"/>
    <w:qFormat/>
    <w:rsid w:val="001B2BFA"/>
    <w:rPr>
      <w:sz w:val="20"/>
      <w:szCs w:val="20"/>
      <w:lang w:val="pl-PL"/>
    </w:rPr>
  </w:style>
  <w:style w:type="character" w:styleId="FootnoteReference">
    <w:name w:val="footnote reference"/>
    <w:aliases w:val="Footnote Refernece,Footnote Reference Superscript,Footnote Reference text,Footnote symbol,Voetnootverwijzing,footnote ref,FR,Fußnotenzeichen diss neu,Times 10 Point,Exposant 3 Point,Odwołanie przypisu,BVI fnr,Re,SUPERS,Footnote sign"/>
    <w:basedOn w:val="DefaultParagraphFont"/>
    <w:link w:val="BVIfnrCarCarCarCarCharCharCharCharCar"/>
    <w:uiPriority w:val="99"/>
    <w:qFormat/>
    <w:rsid w:val="001B2BFA"/>
    <w:rPr>
      <w:vertAlign w:val="superscript"/>
    </w:rPr>
  </w:style>
  <w:style w:type="paragraph" w:customStyle="1" w:styleId="BVIfnrCarCarCarCarCharCharCharCharCar">
    <w:name w:val="BVI fnr Car Car Car Car Char Char Char Char Car"/>
    <w:aliases w:val="BVI fnr Car Car Car Car Char Char Car,BVI fnr Car Car Car Car Char Char Char Char Char Char Char Char Char Car, BVI fnr Car Car Car Car Char Char Car"/>
    <w:basedOn w:val="Normal"/>
    <w:link w:val="FootnoteReference"/>
    <w:uiPriority w:val="99"/>
    <w:rsid w:val="001B2BFA"/>
    <w:pPr>
      <w:spacing w:line="240" w:lineRule="exact"/>
    </w:pPr>
    <w:rPr>
      <w:vertAlign w:val="superscript"/>
    </w:rPr>
  </w:style>
  <w:style w:type="character" w:styleId="CommentReference">
    <w:name w:val="annotation reference"/>
    <w:basedOn w:val="DefaultParagraphFont"/>
    <w:uiPriority w:val="99"/>
    <w:semiHidden/>
    <w:unhideWhenUsed/>
    <w:rsid w:val="001B2BFA"/>
    <w:rPr>
      <w:sz w:val="16"/>
      <w:szCs w:val="16"/>
    </w:rPr>
  </w:style>
  <w:style w:type="paragraph" w:styleId="CommentText">
    <w:name w:val="annotation text"/>
    <w:basedOn w:val="Normal"/>
    <w:link w:val="CommentTextChar"/>
    <w:unhideWhenUsed/>
    <w:rsid w:val="001B2BFA"/>
    <w:pPr>
      <w:spacing w:line="240" w:lineRule="auto"/>
    </w:pPr>
    <w:rPr>
      <w:sz w:val="20"/>
      <w:szCs w:val="20"/>
    </w:rPr>
  </w:style>
  <w:style w:type="character" w:customStyle="1" w:styleId="CommentTextChar">
    <w:name w:val="Comment Text Char"/>
    <w:basedOn w:val="DefaultParagraphFont"/>
    <w:link w:val="CommentText"/>
    <w:rsid w:val="001B2BFA"/>
    <w:rPr>
      <w:sz w:val="20"/>
      <w:szCs w:val="20"/>
      <w:lang w:val="pl-PL"/>
    </w:rPr>
  </w:style>
  <w:style w:type="character" w:styleId="Hyperlink">
    <w:name w:val="Hyperlink"/>
    <w:basedOn w:val="DefaultParagraphFont"/>
    <w:uiPriority w:val="99"/>
    <w:qFormat/>
    <w:rsid w:val="001B2BFA"/>
    <w:rPr>
      <w:color w:val="1A3F7C"/>
      <w:u w:val="none"/>
    </w:rPr>
  </w:style>
  <w:style w:type="paragraph" w:styleId="BalloonText">
    <w:name w:val="Balloon Text"/>
    <w:basedOn w:val="Normal"/>
    <w:link w:val="BalloonTextChar"/>
    <w:uiPriority w:val="99"/>
    <w:semiHidden/>
    <w:unhideWhenUsed/>
    <w:rsid w:val="001B2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BFA"/>
    <w:rPr>
      <w:rFonts w:ascii="Segoe UI" w:hAnsi="Segoe UI" w:cs="Segoe UI"/>
      <w:sz w:val="18"/>
      <w:szCs w:val="18"/>
      <w:lang w:val="pl-PL"/>
    </w:rPr>
  </w:style>
  <w:style w:type="paragraph" w:styleId="CommentSubject">
    <w:name w:val="annotation subject"/>
    <w:basedOn w:val="CommentText"/>
    <w:next w:val="CommentText"/>
    <w:link w:val="CommentSubjectChar"/>
    <w:uiPriority w:val="99"/>
    <w:semiHidden/>
    <w:unhideWhenUsed/>
    <w:rsid w:val="00791AA0"/>
    <w:rPr>
      <w:b/>
      <w:bCs/>
    </w:rPr>
  </w:style>
  <w:style w:type="character" w:customStyle="1" w:styleId="CommentSubjectChar">
    <w:name w:val="Comment Subject Char"/>
    <w:basedOn w:val="CommentTextChar"/>
    <w:link w:val="CommentSubject"/>
    <w:uiPriority w:val="99"/>
    <w:semiHidden/>
    <w:rsid w:val="00791AA0"/>
    <w:rPr>
      <w:b/>
      <w:bCs/>
      <w:sz w:val="20"/>
      <w:szCs w:val="20"/>
      <w:lang w:val="pl-PL"/>
    </w:rPr>
  </w:style>
  <w:style w:type="paragraph" w:styleId="Revision">
    <w:name w:val="Revision"/>
    <w:hidden/>
    <w:uiPriority w:val="99"/>
    <w:semiHidden/>
    <w:rsid w:val="00AD3F83"/>
    <w:pPr>
      <w:spacing w:after="0" w:line="240" w:lineRule="auto"/>
    </w:pPr>
  </w:style>
  <w:style w:type="character" w:customStyle="1" w:styleId="Heading1Char">
    <w:name w:val="Heading 1 Char"/>
    <w:aliases w:val="Heading1 Char,AnnexHeading Char,AnnexHeading NoPage Char,ESHeading 1 Char,Heading 1NoSpace Char,F3 Heading 1 - Section Char,(Section) Char,h1 Char,Numbered - 1 Char,Section Char,Chapter Hdg Char,CH TITLE 1 Char,Headline 1 Char,cover1 Char"/>
    <w:basedOn w:val="DefaultParagraphFont"/>
    <w:link w:val="Heading1"/>
    <w:uiPriority w:val="9"/>
    <w:rsid w:val="00F143CD"/>
    <w:rPr>
      <w:rFonts w:asciiTheme="majorHAnsi" w:eastAsiaTheme="majorEastAsia" w:hAnsiTheme="majorHAnsi" w:cstheme="majorBidi"/>
      <w:color w:val="2E74B5" w:themeColor="accent1" w:themeShade="BF"/>
      <w:sz w:val="32"/>
      <w:szCs w:val="32"/>
      <w:lang w:val="pl-PL"/>
    </w:rPr>
  </w:style>
  <w:style w:type="character" w:customStyle="1" w:styleId="Heading2Char">
    <w:name w:val="Heading 2 Char"/>
    <w:aliases w:val="Heading2 Char,AnnexH2 Char,ESHeading 2 Char,BoxNumb Char,CaseStudy Char,Conclusion Char,Evidence Char,Recommendation Char,F4 Heading 2 - SubSection Char,(SubSection) Char,h2 Char,Para Nos Char,Para Char,Main Heading Char,Main Headi Char"/>
    <w:basedOn w:val="DefaultParagraphFont"/>
    <w:link w:val="Heading2"/>
    <w:uiPriority w:val="9"/>
    <w:semiHidden/>
    <w:rsid w:val="00F143CD"/>
    <w:rPr>
      <w:rFonts w:asciiTheme="majorHAnsi" w:eastAsiaTheme="majorEastAsia" w:hAnsiTheme="majorHAnsi" w:cstheme="majorBidi"/>
      <w:color w:val="2E74B5" w:themeColor="accent1" w:themeShade="BF"/>
      <w:sz w:val="26"/>
      <w:szCs w:val="26"/>
      <w:lang w:val="pl-PL"/>
    </w:rPr>
  </w:style>
  <w:style w:type="character" w:customStyle="1" w:styleId="Heading3Char">
    <w:name w:val="Heading 3 Char"/>
    <w:aliases w:val="Heading3 Char,AnnexH3 Char,ESHeading 3 Char,Box Char,Stage Char,F5 Heading 3 Char,h3 Char,Numbered - 3 Char,H3 Char,H31 Char,Headline 3 Char,h31 Char,h32 Char,Sub Paragraph Char,Voorwoord Char,ASAPHeading 3 Char,Level 1 - 1 Char"/>
    <w:basedOn w:val="DefaultParagraphFont"/>
    <w:link w:val="Heading3"/>
    <w:uiPriority w:val="9"/>
    <w:semiHidden/>
    <w:rsid w:val="00F143CD"/>
    <w:rPr>
      <w:rFonts w:asciiTheme="majorHAnsi" w:eastAsiaTheme="majorEastAsia" w:hAnsiTheme="majorHAnsi" w:cstheme="majorBidi"/>
      <w:color w:val="1F4D78" w:themeColor="accent1" w:themeShade="7F"/>
      <w:sz w:val="24"/>
      <w:szCs w:val="24"/>
      <w:lang w:val="pl-PL"/>
    </w:rPr>
  </w:style>
  <w:style w:type="character" w:customStyle="1" w:styleId="Heading4Char">
    <w:name w:val="Heading 4 Char"/>
    <w:aliases w:val="Heading4 Char,AnnexH4 Char,ESHeading 4 Char,GHKContactsHeading Char,Task Char,level 3 subhead Char,PA Micro Section Char,(Alt+4) Char,H41 Char,(Alt+4)1 Char,H42 Char,(Alt+4)2 Char,H43 Char,(Alt+4)3 Char,H44 Char,(Alt+4)4 Char,H45 Char"/>
    <w:basedOn w:val="DefaultParagraphFont"/>
    <w:link w:val="Heading4"/>
    <w:uiPriority w:val="9"/>
    <w:semiHidden/>
    <w:rsid w:val="00F143CD"/>
    <w:rPr>
      <w:rFonts w:asciiTheme="majorHAnsi" w:eastAsiaTheme="majorEastAsia" w:hAnsiTheme="majorHAnsi" w:cstheme="majorBidi"/>
      <w:i/>
      <w:iCs/>
      <w:color w:val="2E74B5" w:themeColor="accent1" w:themeShade="BF"/>
      <w:lang w:val="pl-PL"/>
    </w:rPr>
  </w:style>
  <w:style w:type="paragraph" w:customStyle="1" w:styleId="CM1">
    <w:name w:val="CM1"/>
    <w:basedOn w:val="Normal"/>
    <w:next w:val="Normal"/>
    <w:uiPriority w:val="99"/>
    <w:rsid w:val="003437C9"/>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3437C9"/>
    <w:pPr>
      <w:autoSpaceDE w:val="0"/>
      <w:autoSpaceDN w:val="0"/>
      <w:adjustRightInd w:val="0"/>
      <w:spacing w:after="0" w:line="240" w:lineRule="auto"/>
    </w:pPr>
    <w:rPr>
      <w:rFonts w:ascii="EUAlbertina" w:hAnsi="EUAlbertina"/>
      <w:sz w:val="24"/>
      <w:szCs w:val="24"/>
    </w:rPr>
  </w:style>
  <w:style w:type="character" w:customStyle="1" w:styleId="super">
    <w:name w:val="super"/>
    <w:basedOn w:val="DefaultParagraphFont"/>
    <w:rsid w:val="008561E2"/>
  </w:style>
  <w:style w:type="table" w:styleId="TableGrid">
    <w:name w:val="Table Grid"/>
    <w:basedOn w:val="TableNormal"/>
    <w:uiPriority w:val="39"/>
    <w:rsid w:val="00E37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1646"/>
    <w:pPr>
      <w:ind w:left="720"/>
      <w:contextualSpacing/>
    </w:pPr>
  </w:style>
  <w:style w:type="paragraph" w:customStyle="1" w:styleId="FigureTitle">
    <w:name w:val="Figure Title"/>
    <w:basedOn w:val="Normal"/>
    <w:uiPriority w:val="29"/>
    <w:qFormat/>
    <w:rsid w:val="007563B5"/>
    <w:pPr>
      <w:keepNext/>
      <w:keepLines/>
      <w:numPr>
        <w:numId w:val="14"/>
      </w:numPr>
      <w:tabs>
        <w:tab w:val="clear" w:pos="2037"/>
        <w:tab w:val="num" w:pos="1077"/>
      </w:tabs>
      <w:spacing w:before="120" w:after="120" w:line="240" w:lineRule="auto"/>
      <w:ind w:left="1077"/>
      <w:outlineLvl w:val="2"/>
    </w:pPr>
    <w:rPr>
      <w:rFonts w:ascii="Verdana" w:eastAsiaTheme="majorEastAsia" w:hAnsi="Verdana" w:cstheme="majorBidi"/>
      <w:bCs/>
      <w:i/>
      <w:sz w:val="20"/>
    </w:rPr>
  </w:style>
  <w:style w:type="numbering" w:customStyle="1" w:styleId="NumbListFigures">
    <w:name w:val="NumbList Figures"/>
    <w:uiPriority w:val="99"/>
    <w:rsid w:val="007563B5"/>
    <w:pPr>
      <w:numPr>
        <w:numId w:val="15"/>
      </w:numPr>
    </w:pPr>
  </w:style>
  <w:style w:type="character" w:styleId="Emphasis">
    <w:name w:val="Emphasis"/>
    <w:basedOn w:val="DefaultParagraphFont"/>
    <w:uiPriority w:val="20"/>
    <w:qFormat/>
    <w:rsid w:val="005E2672"/>
    <w:rPr>
      <w:i/>
      <w:iCs/>
    </w:rPr>
  </w:style>
  <w:style w:type="paragraph" w:styleId="BodyText">
    <w:name w:val="Body Text"/>
    <w:aliases w:val="Document,Doc,Body Text2,doc,Standard paragraph, (Norm),Body Text 12,bt,gl,uvlaka 2,(Norm),heading3,Body Text - Level 2,1body,BodText,body text,Body Txt,Body Text-10,Body Text Char2,Text Char1,Τίτλος Μελέτης,- TF,Corps de texte,Text,b."/>
    <w:basedOn w:val="Normal"/>
    <w:link w:val="BodyTextChar"/>
    <w:uiPriority w:val="1"/>
    <w:qFormat/>
    <w:rsid w:val="00E24E70"/>
    <w:pPr>
      <w:spacing w:before="120" w:after="120" w:line="240" w:lineRule="auto"/>
    </w:pPr>
    <w:rPr>
      <w:rFonts w:ascii="Verdana" w:hAnsi="Verdana"/>
      <w:color w:val="000000" w:themeColor="text1"/>
      <w:sz w:val="20"/>
    </w:rPr>
  </w:style>
  <w:style w:type="character" w:customStyle="1" w:styleId="BodyTextChar">
    <w:name w:val="Body Text Char"/>
    <w:aliases w:val="Document Char,Doc Char,Body Text2 Char,doc Char,Standard paragraph Char, (Norm) Char,Body Text 12 Char,bt Char,gl Char,uvlaka 2 Char,(Norm) Char,heading3 Char,Body Text - Level 2 Char,1body Char,BodText Char,body text Char,Body Txt Char"/>
    <w:basedOn w:val="DefaultParagraphFont"/>
    <w:link w:val="BodyText"/>
    <w:uiPriority w:val="1"/>
    <w:rsid w:val="00E24E70"/>
    <w:rPr>
      <w:rFonts w:ascii="Verdana" w:hAnsi="Verdana"/>
      <w:color w:val="000000" w:themeColor="text1"/>
      <w:sz w:val="20"/>
      <w:lang w:val="pl-PL"/>
    </w:rPr>
  </w:style>
  <w:style w:type="paragraph" w:customStyle="1" w:styleId="TableHeading">
    <w:name w:val="TableHeading"/>
    <w:aliases w:val="TableHeadingWhite"/>
    <w:basedOn w:val="Normal"/>
    <w:uiPriority w:val="16"/>
    <w:qFormat/>
    <w:rsid w:val="00BA3890"/>
    <w:pPr>
      <w:spacing w:before="120" w:after="0" w:line="240" w:lineRule="auto"/>
      <w:ind w:left="113"/>
    </w:pPr>
    <w:rPr>
      <w:rFonts w:ascii="Verdana" w:hAnsi="Verdana"/>
      <w:b/>
      <w:color w:val="FFFFFF" w:themeColor="background1"/>
      <w:sz w:val="20"/>
    </w:rPr>
  </w:style>
  <w:style w:type="paragraph" w:customStyle="1" w:styleId="TableText">
    <w:name w:val="TableText"/>
    <w:aliases w:val="TableTextNoSpace"/>
    <w:basedOn w:val="Normal"/>
    <w:uiPriority w:val="15"/>
    <w:qFormat/>
    <w:rsid w:val="00BA3890"/>
    <w:pPr>
      <w:spacing w:before="120" w:after="0" w:line="240" w:lineRule="auto"/>
      <w:ind w:left="113"/>
    </w:pPr>
    <w:rPr>
      <w:rFonts w:ascii="Verdana" w:hAnsi="Verdana"/>
      <w:color w:val="000000" w:themeColor="text1"/>
      <w:sz w:val="20"/>
    </w:rPr>
  </w:style>
  <w:style w:type="numbering" w:customStyle="1" w:styleId="NumbListHeading">
    <w:name w:val="NumbListHeading"/>
    <w:aliases w:val="NumbLstAnnex,NumbLstBoxes,NumbLstExecSumm,NumbLstMain,NumbLstStage,NumbLstTableSimpleNo"/>
    <w:uiPriority w:val="99"/>
    <w:rsid w:val="00BA3890"/>
    <w:pPr>
      <w:numPr>
        <w:numId w:val="16"/>
      </w:numPr>
    </w:pPr>
  </w:style>
  <w:style w:type="table" w:styleId="GridTable4-Accent1">
    <w:name w:val="Grid Table 4 Accent 1"/>
    <w:basedOn w:val="TableNormal"/>
    <w:uiPriority w:val="49"/>
    <w:rsid w:val="00BA389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Title">
    <w:name w:val="TableTitle"/>
    <w:aliases w:val="Table,AnnexTable,AnnexFigure,Figure,ESTable,ESTableLeft,TableSimpleNo,TableLeft,ESFigure,ESFigureLeft,9 pt,Bold,t,T,T + 10 pt + 10 pt,Table Cell,White,Text Gras"/>
    <w:basedOn w:val="Heading3"/>
    <w:link w:val="TableChar"/>
    <w:uiPriority w:val="6"/>
    <w:qFormat/>
    <w:rsid w:val="00BA3890"/>
    <w:pPr>
      <w:tabs>
        <w:tab w:val="num" w:pos="1077"/>
      </w:tabs>
      <w:spacing w:before="120" w:after="120" w:line="240" w:lineRule="auto"/>
      <w:ind w:left="1077" w:hanging="1077"/>
    </w:pPr>
    <w:rPr>
      <w:rFonts w:ascii="Verdana" w:hAnsi="Verdana"/>
      <w:bCs/>
      <w:i/>
      <w:color w:val="auto"/>
      <w:sz w:val="20"/>
      <w:szCs w:val="22"/>
    </w:rPr>
  </w:style>
  <w:style w:type="numbering" w:customStyle="1" w:styleId="NumblistTables">
    <w:name w:val="Numblist Tables"/>
    <w:uiPriority w:val="99"/>
    <w:rsid w:val="00BA3890"/>
    <w:pPr>
      <w:numPr>
        <w:numId w:val="19"/>
      </w:numPr>
    </w:pPr>
  </w:style>
  <w:style w:type="character" w:customStyle="1" w:styleId="TableChar">
    <w:name w:val="Table Char"/>
    <w:basedOn w:val="DefaultParagraphFont"/>
    <w:link w:val="TableTitle"/>
    <w:uiPriority w:val="6"/>
    <w:rsid w:val="00BA3890"/>
    <w:rPr>
      <w:rFonts w:ascii="Verdana" w:eastAsiaTheme="majorEastAsia" w:hAnsi="Verdana" w:cstheme="majorBidi"/>
      <w:bCs/>
      <w:i/>
      <w:sz w:val="20"/>
      <w:lang w:val="pl-PL"/>
    </w:rPr>
  </w:style>
  <w:style w:type="numbering" w:customStyle="1" w:styleId="Bullets">
    <w:name w:val="Bullets"/>
    <w:aliases w:val="NumbLstBTBullet,NumbLstBullet"/>
    <w:uiPriority w:val="99"/>
    <w:rsid w:val="00E14E2C"/>
    <w:pPr>
      <w:numPr>
        <w:numId w:val="22"/>
      </w:numPr>
    </w:pPr>
  </w:style>
  <w:style w:type="paragraph" w:customStyle="1" w:styleId="Bullet1">
    <w:name w:val="Bullet 1"/>
    <w:aliases w:val="Bullet1,BTBullet1"/>
    <w:basedOn w:val="Normal"/>
    <w:link w:val="BTBullet1Znak"/>
    <w:uiPriority w:val="6"/>
    <w:qFormat/>
    <w:rsid w:val="00E14E2C"/>
    <w:pPr>
      <w:numPr>
        <w:numId w:val="22"/>
      </w:numPr>
      <w:spacing w:before="120" w:after="120" w:line="240" w:lineRule="auto"/>
      <w:contextualSpacing/>
    </w:pPr>
    <w:rPr>
      <w:rFonts w:ascii="Verdana" w:hAnsi="Verdana"/>
      <w:color w:val="000000" w:themeColor="text1"/>
      <w:sz w:val="20"/>
    </w:rPr>
  </w:style>
  <w:style w:type="paragraph" w:customStyle="1" w:styleId="Bullet2">
    <w:name w:val="Bullet 2"/>
    <w:aliases w:val="Bullet2,BTBullet2"/>
    <w:basedOn w:val="Normal"/>
    <w:uiPriority w:val="6"/>
    <w:qFormat/>
    <w:rsid w:val="00E14E2C"/>
    <w:pPr>
      <w:numPr>
        <w:ilvl w:val="1"/>
        <w:numId w:val="22"/>
      </w:numPr>
      <w:spacing w:before="120" w:after="120" w:line="240" w:lineRule="auto"/>
      <w:contextualSpacing/>
    </w:pPr>
    <w:rPr>
      <w:rFonts w:ascii="Verdana" w:hAnsi="Verdana"/>
      <w:color w:val="000000" w:themeColor="text1"/>
      <w:sz w:val="20"/>
    </w:rPr>
  </w:style>
  <w:style w:type="paragraph" w:customStyle="1" w:styleId="Bullet3">
    <w:name w:val="Bullet 3"/>
    <w:aliases w:val="Bullet3,BTBullet3"/>
    <w:basedOn w:val="Bullet2"/>
    <w:uiPriority w:val="6"/>
    <w:qFormat/>
    <w:rsid w:val="00E14E2C"/>
    <w:pPr>
      <w:numPr>
        <w:ilvl w:val="2"/>
      </w:numPr>
    </w:pPr>
  </w:style>
  <w:style w:type="character" w:customStyle="1" w:styleId="BTBullet1Znak">
    <w:name w:val="BTBullet1 Znak"/>
    <w:link w:val="Bullet1"/>
    <w:uiPriority w:val="6"/>
    <w:rsid w:val="00E14E2C"/>
    <w:rPr>
      <w:rFonts w:ascii="Verdana" w:hAnsi="Verdana"/>
      <w:color w:val="000000" w:themeColor="text1"/>
      <w:sz w:val="20"/>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8397">
      <w:bodyDiv w:val="1"/>
      <w:marLeft w:val="0"/>
      <w:marRight w:val="0"/>
      <w:marTop w:val="0"/>
      <w:marBottom w:val="0"/>
      <w:divBdr>
        <w:top w:val="none" w:sz="0" w:space="0" w:color="auto"/>
        <w:left w:val="none" w:sz="0" w:space="0" w:color="auto"/>
        <w:bottom w:val="none" w:sz="0" w:space="0" w:color="auto"/>
        <w:right w:val="none" w:sz="0" w:space="0" w:color="auto"/>
      </w:divBdr>
    </w:div>
    <w:div w:id="45377256">
      <w:bodyDiv w:val="1"/>
      <w:marLeft w:val="0"/>
      <w:marRight w:val="0"/>
      <w:marTop w:val="0"/>
      <w:marBottom w:val="0"/>
      <w:divBdr>
        <w:top w:val="none" w:sz="0" w:space="0" w:color="auto"/>
        <w:left w:val="none" w:sz="0" w:space="0" w:color="auto"/>
        <w:bottom w:val="none" w:sz="0" w:space="0" w:color="auto"/>
        <w:right w:val="none" w:sz="0" w:space="0" w:color="auto"/>
      </w:divBdr>
    </w:div>
    <w:div w:id="191310121">
      <w:bodyDiv w:val="1"/>
      <w:marLeft w:val="0"/>
      <w:marRight w:val="0"/>
      <w:marTop w:val="0"/>
      <w:marBottom w:val="0"/>
      <w:divBdr>
        <w:top w:val="none" w:sz="0" w:space="0" w:color="auto"/>
        <w:left w:val="none" w:sz="0" w:space="0" w:color="auto"/>
        <w:bottom w:val="none" w:sz="0" w:space="0" w:color="auto"/>
        <w:right w:val="none" w:sz="0" w:space="0" w:color="auto"/>
      </w:divBdr>
    </w:div>
    <w:div w:id="224804476">
      <w:bodyDiv w:val="1"/>
      <w:marLeft w:val="0"/>
      <w:marRight w:val="0"/>
      <w:marTop w:val="0"/>
      <w:marBottom w:val="0"/>
      <w:divBdr>
        <w:top w:val="none" w:sz="0" w:space="0" w:color="auto"/>
        <w:left w:val="none" w:sz="0" w:space="0" w:color="auto"/>
        <w:bottom w:val="none" w:sz="0" w:space="0" w:color="auto"/>
        <w:right w:val="none" w:sz="0" w:space="0" w:color="auto"/>
      </w:divBdr>
    </w:div>
    <w:div w:id="263222665">
      <w:bodyDiv w:val="1"/>
      <w:marLeft w:val="0"/>
      <w:marRight w:val="0"/>
      <w:marTop w:val="0"/>
      <w:marBottom w:val="0"/>
      <w:divBdr>
        <w:top w:val="none" w:sz="0" w:space="0" w:color="auto"/>
        <w:left w:val="none" w:sz="0" w:space="0" w:color="auto"/>
        <w:bottom w:val="none" w:sz="0" w:space="0" w:color="auto"/>
        <w:right w:val="none" w:sz="0" w:space="0" w:color="auto"/>
      </w:divBdr>
    </w:div>
    <w:div w:id="517306553">
      <w:bodyDiv w:val="1"/>
      <w:marLeft w:val="0"/>
      <w:marRight w:val="0"/>
      <w:marTop w:val="0"/>
      <w:marBottom w:val="0"/>
      <w:divBdr>
        <w:top w:val="none" w:sz="0" w:space="0" w:color="auto"/>
        <w:left w:val="none" w:sz="0" w:space="0" w:color="auto"/>
        <w:bottom w:val="none" w:sz="0" w:space="0" w:color="auto"/>
        <w:right w:val="none" w:sz="0" w:space="0" w:color="auto"/>
      </w:divBdr>
    </w:div>
    <w:div w:id="545873649">
      <w:bodyDiv w:val="1"/>
      <w:marLeft w:val="0"/>
      <w:marRight w:val="0"/>
      <w:marTop w:val="0"/>
      <w:marBottom w:val="0"/>
      <w:divBdr>
        <w:top w:val="none" w:sz="0" w:space="0" w:color="auto"/>
        <w:left w:val="none" w:sz="0" w:space="0" w:color="auto"/>
        <w:bottom w:val="none" w:sz="0" w:space="0" w:color="auto"/>
        <w:right w:val="none" w:sz="0" w:space="0" w:color="auto"/>
      </w:divBdr>
      <w:divsChild>
        <w:div w:id="1437410861">
          <w:marLeft w:val="0"/>
          <w:marRight w:val="0"/>
          <w:marTop w:val="0"/>
          <w:marBottom w:val="0"/>
          <w:divBdr>
            <w:top w:val="none" w:sz="0" w:space="0" w:color="auto"/>
            <w:left w:val="none" w:sz="0" w:space="0" w:color="auto"/>
            <w:bottom w:val="none" w:sz="0" w:space="0" w:color="auto"/>
            <w:right w:val="none" w:sz="0" w:space="0" w:color="auto"/>
          </w:divBdr>
          <w:divsChild>
            <w:div w:id="83912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071093">
      <w:bodyDiv w:val="1"/>
      <w:marLeft w:val="0"/>
      <w:marRight w:val="0"/>
      <w:marTop w:val="0"/>
      <w:marBottom w:val="0"/>
      <w:divBdr>
        <w:top w:val="none" w:sz="0" w:space="0" w:color="auto"/>
        <w:left w:val="none" w:sz="0" w:space="0" w:color="auto"/>
        <w:bottom w:val="none" w:sz="0" w:space="0" w:color="auto"/>
        <w:right w:val="none" w:sz="0" w:space="0" w:color="auto"/>
      </w:divBdr>
    </w:div>
    <w:div w:id="719942647">
      <w:bodyDiv w:val="1"/>
      <w:marLeft w:val="0"/>
      <w:marRight w:val="0"/>
      <w:marTop w:val="0"/>
      <w:marBottom w:val="0"/>
      <w:divBdr>
        <w:top w:val="none" w:sz="0" w:space="0" w:color="auto"/>
        <w:left w:val="none" w:sz="0" w:space="0" w:color="auto"/>
        <w:bottom w:val="none" w:sz="0" w:space="0" w:color="auto"/>
        <w:right w:val="none" w:sz="0" w:space="0" w:color="auto"/>
      </w:divBdr>
    </w:div>
    <w:div w:id="755446326">
      <w:bodyDiv w:val="1"/>
      <w:marLeft w:val="0"/>
      <w:marRight w:val="0"/>
      <w:marTop w:val="0"/>
      <w:marBottom w:val="0"/>
      <w:divBdr>
        <w:top w:val="none" w:sz="0" w:space="0" w:color="auto"/>
        <w:left w:val="none" w:sz="0" w:space="0" w:color="auto"/>
        <w:bottom w:val="none" w:sz="0" w:space="0" w:color="auto"/>
        <w:right w:val="none" w:sz="0" w:space="0" w:color="auto"/>
      </w:divBdr>
    </w:div>
    <w:div w:id="868839287">
      <w:bodyDiv w:val="1"/>
      <w:marLeft w:val="0"/>
      <w:marRight w:val="0"/>
      <w:marTop w:val="0"/>
      <w:marBottom w:val="0"/>
      <w:divBdr>
        <w:top w:val="none" w:sz="0" w:space="0" w:color="auto"/>
        <w:left w:val="none" w:sz="0" w:space="0" w:color="auto"/>
        <w:bottom w:val="none" w:sz="0" w:space="0" w:color="auto"/>
        <w:right w:val="none" w:sz="0" w:space="0" w:color="auto"/>
      </w:divBdr>
    </w:div>
    <w:div w:id="1064181703">
      <w:bodyDiv w:val="1"/>
      <w:marLeft w:val="0"/>
      <w:marRight w:val="0"/>
      <w:marTop w:val="0"/>
      <w:marBottom w:val="0"/>
      <w:divBdr>
        <w:top w:val="none" w:sz="0" w:space="0" w:color="auto"/>
        <w:left w:val="none" w:sz="0" w:space="0" w:color="auto"/>
        <w:bottom w:val="none" w:sz="0" w:space="0" w:color="auto"/>
        <w:right w:val="none" w:sz="0" w:space="0" w:color="auto"/>
      </w:divBdr>
    </w:div>
    <w:div w:id="1086346554">
      <w:bodyDiv w:val="1"/>
      <w:marLeft w:val="0"/>
      <w:marRight w:val="0"/>
      <w:marTop w:val="0"/>
      <w:marBottom w:val="0"/>
      <w:divBdr>
        <w:top w:val="none" w:sz="0" w:space="0" w:color="auto"/>
        <w:left w:val="none" w:sz="0" w:space="0" w:color="auto"/>
        <w:bottom w:val="none" w:sz="0" w:space="0" w:color="auto"/>
        <w:right w:val="none" w:sz="0" w:space="0" w:color="auto"/>
      </w:divBdr>
    </w:div>
    <w:div w:id="1391461688">
      <w:bodyDiv w:val="1"/>
      <w:marLeft w:val="0"/>
      <w:marRight w:val="0"/>
      <w:marTop w:val="0"/>
      <w:marBottom w:val="0"/>
      <w:divBdr>
        <w:top w:val="none" w:sz="0" w:space="0" w:color="auto"/>
        <w:left w:val="none" w:sz="0" w:space="0" w:color="auto"/>
        <w:bottom w:val="none" w:sz="0" w:space="0" w:color="auto"/>
        <w:right w:val="none" w:sz="0" w:space="0" w:color="auto"/>
      </w:divBdr>
    </w:div>
    <w:div w:id="1451123074">
      <w:bodyDiv w:val="1"/>
      <w:marLeft w:val="0"/>
      <w:marRight w:val="0"/>
      <w:marTop w:val="0"/>
      <w:marBottom w:val="0"/>
      <w:divBdr>
        <w:top w:val="none" w:sz="0" w:space="0" w:color="auto"/>
        <w:left w:val="none" w:sz="0" w:space="0" w:color="auto"/>
        <w:bottom w:val="none" w:sz="0" w:space="0" w:color="auto"/>
        <w:right w:val="none" w:sz="0" w:space="0" w:color="auto"/>
      </w:divBdr>
    </w:div>
    <w:div w:id="1470321802">
      <w:bodyDiv w:val="1"/>
      <w:marLeft w:val="0"/>
      <w:marRight w:val="0"/>
      <w:marTop w:val="0"/>
      <w:marBottom w:val="0"/>
      <w:divBdr>
        <w:top w:val="none" w:sz="0" w:space="0" w:color="auto"/>
        <w:left w:val="none" w:sz="0" w:space="0" w:color="auto"/>
        <w:bottom w:val="none" w:sz="0" w:space="0" w:color="auto"/>
        <w:right w:val="none" w:sz="0" w:space="0" w:color="auto"/>
      </w:divBdr>
    </w:div>
    <w:div w:id="1591697460">
      <w:bodyDiv w:val="1"/>
      <w:marLeft w:val="0"/>
      <w:marRight w:val="0"/>
      <w:marTop w:val="0"/>
      <w:marBottom w:val="0"/>
      <w:divBdr>
        <w:top w:val="none" w:sz="0" w:space="0" w:color="auto"/>
        <w:left w:val="none" w:sz="0" w:space="0" w:color="auto"/>
        <w:bottom w:val="none" w:sz="0" w:space="0" w:color="auto"/>
        <w:right w:val="none" w:sz="0" w:space="0" w:color="auto"/>
      </w:divBdr>
    </w:div>
    <w:div w:id="1618373428">
      <w:bodyDiv w:val="1"/>
      <w:marLeft w:val="0"/>
      <w:marRight w:val="0"/>
      <w:marTop w:val="0"/>
      <w:marBottom w:val="0"/>
      <w:divBdr>
        <w:top w:val="none" w:sz="0" w:space="0" w:color="auto"/>
        <w:left w:val="none" w:sz="0" w:space="0" w:color="auto"/>
        <w:bottom w:val="none" w:sz="0" w:space="0" w:color="auto"/>
        <w:right w:val="none" w:sz="0" w:space="0" w:color="auto"/>
      </w:divBdr>
    </w:div>
    <w:div w:id="1771583914">
      <w:bodyDiv w:val="1"/>
      <w:marLeft w:val="0"/>
      <w:marRight w:val="0"/>
      <w:marTop w:val="0"/>
      <w:marBottom w:val="0"/>
      <w:divBdr>
        <w:top w:val="none" w:sz="0" w:space="0" w:color="auto"/>
        <w:left w:val="none" w:sz="0" w:space="0" w:color="auto"/>
        <w:bottom w:val="none" w:sz="0" w:space="0" w:color="auto"/>
        <w:right w:val="none" w:sz="0" w:space="0" w:color="auto"/>
      </w:divBdr>
    </w:div>
    <w:div w:id="1790585578">
      <w:bodyDiv w:val="1"/>
      <w:marLeft w:val="0"/>
      <w:marRight w:val="0"/>
      <w:marTop w:val="0"/>
      <w:marBottom w:val="0"/>
      <w:divBdr>
        <w:top w:val="none" w:sz="0" w:space="0" w:color="auto"/>
        <w:left w:val="none" w:sz="0" w:space="0" w:color="auto"/>
        <w:bottom w:val="none" w:sz="0" w:space="0" w:color="auto"/>
        <w:right w:val="none" w:sz="0" w:space="0" w:color="auto"/>
      </w:divBdr>
    </w:div>
    <w:div w:id="1948004852">
      <w:bodyDiv w:val="1"/>
      <w:marLeft w:val="0"/>
      <w:marRight w:val="0"/>
      <w:marTop w:val="0"/>
      <w:marBottom w:val="0"/>
      <w:divBdr>
        <w:top w:val="none" w:sz="0" w:space="0" w:color="auto"/>
        <w:left w:val="none" w:sz="0" w:space="0" w:color="auto"/>
        <w:bottom w:val="none" w:sz="0" w:space="0" w:color="auto"/>
        <w:right w:val="none" w:sz="0" w:space="0" w:color="auto"/>
      </w:divBdr>
    </w:div>
    <w:div w:id="212680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home-affairs/news/towards-stronger-and-more-resilient-schengen-area-2021-05-28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DocumentLanguage xmlns="17730c43-1c7a-490c-8af6-e0e078c4a587">EN</EC_Collab_DocumentLanguage>
    <EC_Collab_Status xmlns="17730c43-1c7a-490c-8af6-e0e078c4a587">Not Started</EC_Collab_Status>
    <Sort_x0020_order_x0020_no xmlns="17730c43-1c7a-490c-8af6-e0e078c4a587" xsi:nil="true"/>
    <_Status xmlns="http://schemas.microsoft.com/sharepoint/v3/fields">Not Started</_Status>
    <EC_Collab_Reference xmlns="17730c43-1c7a-490c-8af6-e0e078c4a58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6EF9D13EB5B09F479C3B8323D523042B" ma:contentTypeVersion="3" ma:contentTypeDescription="Create a new document in this library." ma:contentTypeScope="" ma:versionID="7894ad8daead64fa987f84de761d8f1f">
  <xsd:schema xmlns:xsd="http://www.w3.org/2001/XMLSchema" xmlns:xs="http://www.w3.org/2001/XMLSchema" xmlns:p="http://schemas.microsoft.com/office/2006/metadata/properties" xmlns:ns2="http://schemas.microsoft.com/sharepoint/v3/fields" xmlns:ns3="17730c43-1c7a-490c-8af6-e0e078c4a587" xmlns:ns4="5844f193-b267-46d7-afe9-1f837dd55ee2" targetNamespace="http://schemas.microsoft.com/office/2006/metadata/properties" ma:root="true" ma:fieldsID="234d4add1c35cf14fdb9ed3443d065cb" ns2:_="" ns3:_="" ns4:_="">
    <xsd:import namespace="http://schemas.microsoft.com/sharepoint/v3/fields"/>
    <xsd:import namespace="17730c43-1c7a-490c-8af6-e0e078c4a587"/>
    <xsd:import namespace="5844f193-b267-46d7-afe9-1f837dd55ee2"/>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ort_x0020_order_x0020_no"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7730c43-1c7a-490c-8af6-e0e078c4a58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ort_x0020_order_x0020_no" ma:index="16" nillable="true" ma:displayName="Sort order no" ma:decimals="2" ma:internalName="Sort_x0020_order_x0020_no">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844f193-b267-46d7-afe9-1f837dd55ee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9F47-139A-401D-BA2C-A8F04DF25813}">
  <ds:schemaRefs>
    <ds:schemaRef ds:uri="http://schemas.microsoft.com/office/2006/metadata/properties"/>
    <ds:schemaRef ds:uri="http://schemas.microsoft.com/office/infopath/2007/PartnerControls"/>
    <ds:schemaRef ds:uri="17730c43-1c7a-490c-8af6-e0e078c4a587"/>
    <ds:schemaRef ds:uri="http://schemas.microsoft.com/sharepoint/v3/fields"/>
  </ds:schemaRefs>
</ds:datastoreItem>
</file>

<file path=customXml/itemProps2.xml><?xml version="1.0" encoding="utf-8"?>
<ds:datastoreItem xmlns:ds="http://schemas.openxmlformats.org/officeDocument/2006/customXml" ds:itemID="{D7729DCF-5DED-4268-AE31-15B794D47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7730c43-1c7a-490c-8af6-e0e078c4a587"/>
    <ds:schemaRef ds:uri="5844f193-b267-46d7-afe9-1f837dd55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CA125C-4247-403A-B9A8-11A9437DAABF}">
  <ds:schemaRefs>
    <ds:schemaRef ds:uri="http://schemas.microsoft.com/sharepoint/v3/contenttype/forms"/>
  </ds:schemaRefs>
</ds:datastoreItem>
</file>

<file path=customXml/itemProps4.xml><?xml version="1.0" encoding="utf-8"?>
<ds:datastoreItem xmlns:ds="http://schemas.openxmlformats.org/officeDocument/2006/customXml" ds:itemID="{611F95CC-1E00-473D-A8D6-9CE38C1BC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5270</Words>
  <Characters>36788</Characters>
  <Application>Microsoft Office Word</Application>
  <DocSecurity>0</DocSecurity>
  <Lines>694</Lines>
  <Paragraphs>168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2022-05-19T20:31:00Z</dcterms:created>
  <dcterms:modified xsi:type="dcterms:W3CDTF">2022-06-29T08:56:00Z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CP-006</vt:lpwstr>
  </property>
  <property fmtid="{D5CDD505-2E9C-101B-9397-08002B2CF9AE}" pid="7" name="Last edited using">
    <vt:lpwstr>LW 8.0, Build 20220128</vt:lpwstr>
  </property>
  <property fmtid="{D5CDD505-2E9C-101B-9397-08002B2CF9AE}" pid="8" name="Created using">
    <vt:lpwstr>LW 7.0.1, Build 20200226</vt:lpwstr>
  </property>
  <property fmtid="{D5CDD505-2E9C-101B-9397-08002B2CF9AE}" pid="9" name="MSIP_Label_6bd9ddd1-4d20-43f6-abfa-fc3c07406f94_Enabled">
    <vt:lpwstr>true</vt:lpwstr>
  </property>
  <property fmtid="{D5CDD505-2E9C-101B-9397-08002B2CF9AE}" pid="10" name="MSIP_Label_6bd9ddd1-4d20-43f6-abfa-fc3c07406f94_SetDate">
    <vt:lpwstr>2022-05-17T10:58:01Z</vt:lpwstr>
  </property>
  <property fmtid="{D5CDD505-2E9C-101B-9397-08002B2CF9AE}" pid="11" name="MSIP_Label_6bd9ddd1-4d20-43f6-abfa-fc3c07406f94_Method">
    <vt:lpwstr>Standard</vt:lpwstr>
  </property>
  <property fmtid="{D5CDD505-2E9C-101B-9397-08002B2CF9AE}" pid="12" name="MSIP_Label_6bd9ddd1-4d20-43f6-abfa-fc3c07406f94_Name">
    <vt:lpwstr>Commission Use</vt:lpwstr>
  </property>
  <property fmtid="{D5CDD505-2E9C-101B-9397-08002B2CF9AE}" pid="13" name="MSIP_Label_6bd9ddd1-4d20-43f6-abfa-fc3c07406f94_SiteId">
    <vt:lpwstr>b24c8b06-522c-46fe-9080-70926f8dddb1</vt:lpwstr>
  </property>
  <property fmtid="{D5CDD505-2E9C-101B-9397-08002B2CF9AE}" pid="14" name="MSIP_Label_6bd9ddd1-4d20-43f6-abfa-fc3c07406f94_ActionId">
    <vt:lpwstr>14e197b7-b431-4e14-a0ba-defc5967e6c2</vt:lpwstr>
  </property>
  <property fmtid="{D5CDD505-2E9C-101B-9397-08002B2CF9AE}" pid="15" name="MSIP_Label_6bd9ddd1-4d20-43f6-abfa-fc3c07406f94_ContentBits">
    <vt:lpwstr>0</vt:lpwstr>
  </property>
  <property fmtid="{D5CDD505-2E9C-101B-9397-08002B2CF9AE}" pid="16" name="ContentTypeId">
    <vt:lpwstr>0x010100258AA79CEB83498886A3A08681123250006EF9D13EB5B09F479C3B8323D523042B</vt:lpwstr>
  </property>
</Properties>
</file>